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BE3E6" w14:textId="77777777" w:rsidR="00C92C58" w:rsidRPr="00C174D5" w:rsidRDefault="00C92C58" w:rsidP="00C92C58">
      <w:pPr>
        <w:pStyle w:val="AnexoTit3"/>
        <w:rPr>
          <w:lang w:val="es-ES"/>
        </w:rPr>
      </w:pPr>
    </w:p>
    <w:p w14:paraId="6AB2BFED" w14:textId="77777777" w:rsidR="00C92C58" w:rsidRPr="00C174D5" w:rsidRDefault="00C92C58" w:rsidP="00C92C58">
      <w:pPr>
        <w:rPr>
          <w:sz w:val="48"/>
          <w:lang w:val="es-ES"/>
        </w:rPr>
      </w:pPr>
    </w:p>
    <w:p w14:paraId="6679CAFA" w14:textId="77777777" w:rsidR="00C92C58" w:rsidRPr="00C174D5" w:rsidRDefault="00C92C58" w:rsidP="00C92C58">
      <w:pPr>
        <w:jc w:val="center"/>
        <w:rPr>
          <w:sz w:val="52"/>
          <w:lang w:val="es-ES"/>
        </w:rPr>
      </w:pPr>
      <w:r w:rsidRPr="00C174D5">
        <w:rPr>
          <w:sz w:val="52"/>
          <w:lang w:val="es-ES"/>
        </w:rPr>
        <w:t>Evaluación Proyectos Priorizados para el Sistema Nacional de Transmisión de Nicaragua</w:t>
      </w:r>
    </w:p>
    <w:p w14:paraId="696CB787" w14:textId="77777777" w:rsidR="00C92C58" w:rsidRPr="00C174D5" w:rsidRDefault="00C92C58" w:rsidP="00C92C58">
      <w:pPr>
        <w:jc w:val="center"/>
        <w:rPr>
          <w:sz w:val="52"/>
          <w:lang w:val="es-ES"/>
        </w:rPr>
      </w:pPr>
      <w:r w:rsidRPr="00C174D5">
        <w:rPr>
          <w:sz w:val="52"/>
          <w:lang w:val="es-ES"/>
        </w:rPr>
        <w:t>(NI-L1094 – Componente de Transmisión)</w:t>
      </w:r>
    </w:p>
    <w:p w14:paraId="0AC9A6AA" w14:textId="77777777" w:rsidR="00C92C58" w:rsidRPr="00C174D5" w:rsidRDefault="00C92C58" w:rsidP="00C92C58">
      <w:pPr>
        <w:jc w:val="center"/>
        <w:rPr>
          <w:lang w:val="es-ES"/>
        </w:rPr>
      </w:pPr>
    </w:p>
    <w:p w14:paraId="750B7B75" w14:textId="77777777" w:rsidR="00C92C58" w:rsidRPr="00C174D5" w:rsidRDefault="00C92C58" w:rsidP="00C92C58">
      <w:pPr>
        <w:jc w:val="center"/>
        <w:rPr>
          <w:sz w:val="32"/>
          <w:lang w:val="es-ES"/>
        </w:rPr>
      </w:pPr>
    </w:p>
    <w:p w14:paraId="548C1E14" w14:textId="77777777" w:rsidR="00C92C58" w:rsidRPr="00C174D5" w:rsidRDefault="00C92C58" w:rsidP="00C92C58">
      <w:pPr>
        <w:jc w:val="center"/>
        <w:rPr>
          <w:sz w:val="36"/>
          <w:lang w:val="es-ES"/>
        </w:rPr>
      </w:pPr>
      <w:r w:rsidRPr="00C174D5">
        <w:rPr>
          <w:sz w:val="36"/>
          <w:lang w:val="es-ES"/>
        </w:rPr>
        <w:t>Análisis Costo Beneficio</w:t>
      </w:r>
    </w:p>
    <w:p w14:paraId="1E6AD8BC" w14:textId="77777777" w:rsidR="00C92C58" w:rsidRPr="00C174D5" w:rsidRDefault="00C92C58" w:rsidP="00C92C58">
      <w:pPr>
        <w:jc w:val="center"/>
        <w:rPr>
          <w:sz w:val="32"/>
          <w:lang w:val="es-ES"/>
        </w:rPr>
      </w:pPr>
      <w:r>
        <w:rPr>
          <w:sz w:val="32"/>
          <w:lang w:val="es-ES"/>
        </w:rPr>
        <w:t>Julio</w:t>
      </w:r>
      <w:r w:rsidRPr="00C174D5">
        <w:rPr>
          <w:sz w:val="32"/>
          <w:lang w:val="es-ES"/>
        </w:rPr>
        <w:t xml:space="preserve"> 2016</w:t>
      </w:r>
    </w:p>
    <w:p w14:paraId="04095441" w14:textId="77777777" w:rsidR="00C92C58" w:rsidRPr="00C174D5" w:rsidRDefault="00C92C58" w:rsidP="00C92C58">
      <w:pPr>
        <w:jc w:val="center"/>
        <w:rPr>
          <w:sz w:val="36"/>
          <w:lang w:val="es-ES"/>
        </w:rPr>
      </w:pPr>
    </w:p>
    <w:p w14:paraId="74F1FEAD" w14:textId="77777777" w:rsidR="00C92C58" w:rsidRPr="00C174D5" w:rsidRDefault="00C92C58" w:rsidP="00C92C58">
      <w:pPr>
        <w:jc w:val="center"/>
        <w:rPr>
          <w:sz w:val="36"/>
          <w:lang w:val="es-ES"/>
        </w:rPr>
      </w:pPr>
    </w:p>
    <w:p w14:paraId="02C4347A" w14:textId="77777777" w:rsidR="00C92C58" w:rsidRPr="00C174D5" w:rsidRDefault="00C92C58" w:rsidP="00C92C58">
      <w:pPr>
        <w:jc w:val="center"/>
        <w:rPr>
          <w:sz w:val="36"/>
          <w:lang w:val="es-ES"/>
        </w:rPr>
      </w:pPr>
      <w:r w:rsidRPr="00C174D5">
        <w:rPr>
          <w:sz w:val="36"/>
          <w:lang w:val="es-ES"/>
        </w:rPr>
        <w:t>Martín Rodríguez Pardina</w:t>
      </w:r>
    </w:p>
    <w:p w14:paraId="3C1DE8F0" w14:textId="77777777" w:rsidR="00C92C58" w:rsidRPr="00C174D5" w:rsidRDefault="00C92C58" w:rsidP="00C92C58">
      <w:pPr>
        <w:rPr>
          <w:sz w:val="24"/>
          <w:lang w:val="es-ES"/>
        </w:rPr>
      </w:pPr>
      <w:r w:rsidRPr="00C174D5">
        <w:rPr>
          <w:sz w:val="24"/>
          <w:lang w:val="es-ES"/>
        </w:rPr>
        <w:br w:type="page"/>
      </w:r>
    </w:p>
    <w:p w14:paraId="627E1701" w14:textId="77777777" w:rsidR="00C92C58" w:rsidRPr="00C174D5" w:rsidRDefault="00C92C58" w:rsidP="00C92C58">
      <w:pPr>
        <w:rPr>
          <w:sz w:val="24"/>
          <w:lang w:val="es-ES"/>
        </w:rPr>
        <w:sectPr w:rsidR="00C92C58" w:rsidRPr="00C174D5" w:rsidSect="002972F2">
          <w:footerReference w:type="default" r:id="rId10"/>
          <w:pgSz w:w="11907" w:h="16839" w:code="9"/>
          <w:pgMar w:top="1417" w:right="1701" w:bottom="1417" w:left="1701" w:header="630" w:footer="708" w:gutter="0"/>
          <w:cols w:space="708"/>
          <w:docGrid w:linePitch="360"/>
        </w:sectPr>
      </w:pPr>
    </w:p>
    <w:sdt>
      <w:sdtPr>
        <w:rPr>
          <w:rFonts w:eastAsiaTheme="minorHAnsi" w:cstheme="minorBidi"/>
          <w:b w:val="0"/>
          <w:bCs w:val="0"/>
          <w:smallCaps w:val="0"/>
          <w:sz w:val="22"/>
          <w:szCs w:val="22"/>
          <w:lang w:val="es-ES" w:bidi="ar-SA"/>
        </w:rPr>
        <w:id w:val="-1454161842"/>
        <w:docPartObj>
          <w:docPartGallery w:val="Table of Contents"/>
          <w:docPartUnique/>
        </w:docPartObj>
      </w:sdtPr>
      <w:sdtEndPr/>
      <w:sdtContent>
        <w:p w14:paraId="1A456DB6" w14:textId="77777777" w:rsidR="00C92C58" w:rsidRPr="00C174D5" w:rsidRDefault="00C92C58" w:rsidP="00C92C58">
          <w:pPr>
            <w:pStyle w:val="TOCHeading"/>
            <w:rPr>
              <w:lang w:val="es-ES"/>
            </w:rPr>
          </w:pPr>
          <w:r w:rsidRPr="00C174D5">
            <w:rPr>
              <w:lang w:val="es-ES"/>
            </w:rPr>
            <w:t>Contenido</w:t>
          </w:r>
        </w:p>
        <w:p w14:paraId="748EAB9E" w14:textId="77777777" w:rsidR="00C92C58" w:rsidRDefault="00C92C58" w:rsidP="00C92C58">
          <w:pPr>
            <w:pStyle w:val="TOC1"/>
            <w:rPr>
              <w:rFonts w:asciiTheme="minorHAnsi" w:hAnsiTheme="minorHAnsi"/>
              <w:b w:val="0"/>
              <w:noProof/>
              <w:lang w:val="es-AR" w:eastAsia="es-AR"/>
            </w:rPr>
          </w:pPr>
          <w:r w:rsidRPr="00C174D5">
            <w:rPr>
              <w:lang w:val="es-ES"/>
            </w:rPr>
            <w:fldChar w:fldCharType="begin"/>
          </w:r>
          <w:r w:rsidRPr="00C174D5">
            <w:rPr>
              <w:lang w:val="es-ES"/>
            </w:rPr>
            <w:instrText xml:space="preserve"> TOC \o "1-3" \h \z \u </w:instrText>
          </w:r>
          <w:r w:rsidRPr="00C174D5">
            <w:rPr>
              <w:lang w:val="es-ES"/>
            </w:rPr>
            <w:fldChar w:fldCharType="separate"/>
          </w:r>
          <w:hyperlink w:anchor="_Toc456353107" w:history="1">
            <w:r w:rsidRPr="00F9268F">
              <w:rPr>
                <w:rStyle w:val="Hyperlink"/>
                <w:noProof/>
                <w:lang w:val="es-ES"/>
              </w:rPr>
              <w:t>Resumen ejecutivo</w:t>
            </w:r>
            <w:r>
              <w:rPr>
                <w:noProof/>
                <w:webHidden/>
              </w:rPr>
              <w:tab/>
            </w:r>
            <w:r>
              <w:rPr>
                <w:noProof/>
                <w:webHidden/>
              </w:rPr>
              <w:fldChar w:fldCharType="begin"/>
            </w:r>
            <w:r>
              <w:rPr>
                <w:noProof/>
                <w:webHidden/>
              </w:rPr>
              <w:instrText xml:space="preserve"> PAGEREF _Toc456353107 \h </w:instrText>
            </w:r>
            <w:r>
              <w:rPr>
                <w:noProof/>
                <w:webHidden/>
              </w:rPr>
            </w:r>
            <w:r>
              <w:rPr>
                <w:noProof/>
                <w:webHidden/>
              </w:rPr>
              <w:fldChar w:fldCharType="separate"/>
            </w:r>
            <w:r>
              <w:rPr>
                <w:noProof/>
                <w:webHidden/>
              </w:rPr>
              <w:t>8</w:t>
            </w:r>
            <w:r>
              <w:rPr>
                <w:noProof/>
                <w:webHidden/>
              </w:rPr>
              <w:fldChar w:fldCharType="end"/>
            </w:r>
          </w:hyperlink>
        </w:p>
        <w:p w14:paraId="205AB7B3" w14:textId="77777777" w:rsidR="00C92C58" w:rsidRDefault="00332BCA" w:rsidP="00C92C58">
          <w:pPr>
            <w:pStyle w:val="TOC1"/>
            <w:rPr>
              <w:rFonts w:asciiTheme="minorHAnsi" w:hAnsiTheme="minorHAnsi"/>
              <w:b w:val="0"/>
              <w:noProof/>
              <w:lang w:val="es-AR" w:eastAsia="es-AR"/>
            </w:rPr>
          </w:pPr>
          <w:hyperlink w:anchor="_Toc456353108" w:history="1">
            <w:r w:rsidR="00C92C58" w:rsidRPr="00F9268F">
              <w:rPr>
                <w:rStyle w:val="Hyperlink"/>
                <w:noProof/>
                <w:lang w:val="es-ES"/>
              </w:rPr>
              <w:t>1.</w:t>
            </w:r>
            <w:r w:rsidR="00C92C58">
              <w:rPr>
                <w:rFonts w:asciiTheme="minorHAnsi" w:hAnsiTheme="minorHAnsi"/>
                <w:b w:val="0"/>
                <w:noProof/>
                <w:lang w:val="es-AR" w:eastAsia="es-AR"/>
              </w:rPr>
              <w:tab/>
            </w:r>
            <w:r w:rsidR="00C92C58" w:rsidRPr="00F9268F">
              <w:rPr>
                <w:rStyle w:val="Hyperlink"/>
                <w:noProof/>
                <w:lang w:val="es-ES"/>
              </w:rPr>
              <w:t>Introducción</w:t>
            </w:r>
            <w:r w:rsidR="00C92C58">
              <w:rPr>
                <w:noProof/>
                <w:webHidden/>
              </w:rPr>
              <w:tab/>
            </w:r>
            <w:r w:rsidR="00C92C58">
              <w:rPr>
                <w:noProof/>
                <w:webHidden/>
              </w:rPr>
              <w:fldChar w:fldCharType="begin"/>
            </w:r>
            <w:r w:rsidR="00C92C58">
              <w:rPr>
                <w:noProof/>
                <w:webHidden/>
              </w:rPr>
              <w:instrText xml:space="preserve"> PAGEREF _Toc456353108 \h </w:instrText>
            </w:r>
            <w:r w:rsidR="00C92C58">
              <w:rPr>
                <w:noProof/>
                <w:webHidden/>
              </w:rPr>
            </w:r>
            <w:r w:rsidR="00C92C58">
              <w:rPr>
                <w:noProof/>
                <w:webHidden/>
              </w:rPr>
              <w:fldChar w:fldCharType="separate"/>
            </w:r>
            <w:r w:rsidR="00C92C58">
              <w:rPr>
                <w:noProof/>
                <w:webHidden/>
              </w:rPr>
              <w:t>1</w:t>
            </w:r>
            <w:r w:rsidR="00C92C58">
              <w:rPr>
                <w:noProof/>
                <w:webHidden/>
              </w:rPr>
              <w:fldChar w:fldCharType="end"/>
            </w:r>
          </w:hyperlink>
        </w:p>
        <w:p w14:paraId="534605B3" w14:textId="77777777" w:rsidR="00C92C58" w:rsidRDefault="00332BCA" w:rsidP="00C92C58">
          <w:pPr>
            <w:pStyle w:val="TOC1"/>
            <w:rPr>
              <w:rFonts w:asciiTheme="minorHAnsi" w:hAnsiTheme="minorHAnsi"/>
              <w:b w:val="0"/>
              <w:noProof/>
              <w:lang w:val="es-AR" w:eastAsia="es-AR"/>
            </w:rPr>
          </w:pPr>
          <w:hyperlink w:anchor="_Toc456353109" w:history="1">
            <w:r w:rsidR="00C92C58" w:rsidRPr="00F9268F">
              <w:rPr>
                <w:rStyle w:val="Hyperlink"/>
                <w:noProof/>
                <w:lang w:val="es-ES"/>
              </w:rPr>
              <w:t>2.</w:t>
            </w:r>
            <w:r w:rsidR="00C92C58">
              <w:rPr>
                <w:rFonts w:asciiTheme="minorHAnsi" w:hAnsiTheme="minorHAnsi"/>
                <w:b w:val="0"/>
                <w:noProof/>
                <w:lang w:val="es-AR" w:eastAsia="es-AR"/>
              </w:rPr>
              <w:tab/>
            </w:r>
            <w:r w:rsidR="00C92C58" w:rsidRPr="00F9268F">
              <w:rPr>
                <w:rStyle w:val="Hyperlink"/>
                <w:noProof/>
                <w:lang w:val="es-ES"/>
              </w:rPr>
              <w:t>Supuestos y Metodología</w:t>
            </w:r>
            <w:r w:rsidR="00C92C58">
              <w:rPr>
                <w:noProof/>
                <w:webHidden/>
              </w:rPr>
              <w:tab/>
            </w:r>
            <w:r w:rsidR="00C92C58">
              <w:rPr>
                <w:noProof/>
                <w:webHidden/>
              </w:rPr>
              <w:fldChar w:fldCharType="begin"/>
            </w:r>
            <w:r w:rsidR="00C92C58">
              <w:rPr>
                <w:noProof/>
                <w:webHidden/>
              </w:rPr>
              <w:instrText xml:space="preserve"> PAGEREF _Toc456353109 \h </w:instrText>
            </w:r>
            <w:r w:rsidR="00C92C58">
              <w:rPr>
                <w:noProof/>
                <w:webHidden/>
              </w:rPr>
            </w:r>
            <w:r w:rsidR="00C92C58">
              <w:rPr>
                <w:noProof/>
                <w:webHidden/>
              </w:rPr>
              <w:fldChar w:fldCharType="separate"/>
            </w:r>
            <w:r w:rsidR="00C92C58">
              <w:rPr>
                <w:noProof/>
                <w:webHidden/>
              </w:rPr>
              <w:t>4</w:t>
            </w:r>
            <w:r w:rsidR="00C92C58">
              <w:rPr>
                <w:noProof/>
                <w:webHidden/>
              </w:rPr>
              <w:fldChar w:fldCharType="end"/>
            </w:r>
          </w:hyperlink>
        </w:p>
        <w:p w14:paraId="40557C4B" w14:textId="77777777" w:rsidR="00C92C58" w:rsidRDefault="00332BCA" w:rsidP="00C92C58">
          <w:pPr>
            <w:pStyle w:val="TOC1"/>
            <w:rPr>
              <w:rFonts w:asciiTheme="minorHAnsi" w:hAnsiTheme="minorHAnsi"/>
              <w:b w:val="0"/>
              <w:noProof/>
              <w:lang w:val="es-AR" w:eastAsia="es-AR"/>
            </w:rPr>
          </w:pPr>
          <w:hyperlink w:anchor="_Toc456353110" w:history="1">
            <w:r w:rsidR="00C92C58" w:rsidRPr="00F9268F">
              <w:rPr>
                <w:rStyle w:val="Hyperlink"/>
                <w:noProof/>
                <w:lang w:val="es-ES"/>
              </w:rPr>
              <w:t>3.</w:t>
            </w:r>
            <w:r w:rsidR="00C92C58">
              <w:rPr>
                <w:rFonts w:asciiTheme="minorHAnsi" w:hAnsiTheme="minorHAnsi"/>
                <w:b w:val="0"/>
                <w:noProof/>
                <w:lang w:val="es-AR" w:eastAsia="es-AR"/>
              </w:rPr>
              <w:tab/>
            </w:r>
            <w:r w:rsidR="00C92C58" w:rsidRPr="00F9268F">
              <w:rPr>
                <w:rStyle w:val="Hyperlink"/>
                <w:noProof/>
                <w:lang w:val="es-ES"/>
              </w:rPr>
              <w:t>Evaluación Económica y financiera - proyectos de refuerzo del sistema nacional</w:t>
            </w:r>
            <w:r w:rsidR="00C92C58">
              <w:rPr>
                <w:noProof/>
                <w:webHidden/>
              </w:rPr>
              <w:tab/>
            </w:r>
            <w:r w:rsidR="00C92C58">
              <w:rPr>
                <w:noProof/>
                <w:webHidden/>
              </w:rPr>
              <w:fldChar w:fldCharType="begin"/>
            </w:r>
            <w:r w:rsidR="00C92C58">
              <w:rPr>
                <w:noProof/>
                <w:webHidden/>
              </w:rPr>
              <w:instrText xml:space="preserve"> PAGEREF _Toc456353110 \h </w:instrText>
            </w:r>
            <w:r w:rsidR="00C92C58">
              <w:rPr>
                <w:noProof/>
                <w:webHidden/>
              </w:rPr>
            </w:r>
            <w:r w:rsidR="00C92C58">
              <w:rPr>
                <w:noProof/>
                <w:webHidden/>
              </w:rPr>
              <w:fldChar w:fldCharType="separate"/>
            </w:r>
            <w:r w:rsidR="00C92C58">
              <w:rPr>
                <w:noProof/>
                <w:webHidden/>
              </w:rPr>
              <w:t>10</w:t>
            </w:r>
            <w:r w:rsidR="00C92C58">
              <w:rPr>
                <w:noProof/>
                <w:webHidden/>
              </w:rPr>
              <w:fldChar w:fldCharType="end"/>
            </w:r>
          </w:hyperlink>
        </w:p>
        <w:p w14:paraId="2A8E220A" w14:textId="77777777" w:rsidR="00C92C58" w:rsidRDefault="00332BCA" w:rsidP="00C92C58">
          <w:pPr>
            <w:pStyle w:val="TOC1"/>
            <w:tabs>
              <w:tab w:val="left" w:pos="639"/>
            </w:tabs>
            <w:rPr>
              <w:rFonts w:asciiTheme="minorHAnsi" w:hAnsiTheme="minorHAnsi"/>
              <w:b w:val="0"/>
              <w:noProof/>
              <w:lang w:val="es-AR" w:eastAsia="es-AR"/>
            </w:rPr>
          </w:pPr>
          <w:hyperlink w:anchor="_Toc456353111" w:history="1">
            <w:r w:rsidR="00C92C58" w:rsidRPr="00F9268F">
              <w:rPr>
                <w:rStyle w:val="Hyperlink"/>
                <w:noProof/>
                <w:lang w:val="es-ES"/>
              </w:rPr>
              <w:t>3.1.</w:t>
            </w:r>
            <w:r w:rsidR="00C92C58">
              <w:rPr>
                <w:rFonts w:asciiTheme="minorHAnsi" w:hAnsiTheme="minorHAnsi"/>
                <w:b w:val="0"/>
                <w:noProof/>
                <w:lang w:val="es-AR" w:eastAsia="es-AR"/>
              </w:rPr>
              <w:tab/>
            </w:r>
            <w:r w:rsidR="00C92C58" w:rsidRPr="00F9268F">
              <w:rPr>
                <w:rStyle w:val="Hyperlink"/>
                <w:noProof/>
                <w:lang w:val="es-ES"/>
              </w:rPr>
              <w:t>LT El Sauce-Villanueva</w:t>
            </w:r>
            <w:r w:rsidR="00C92C58">
              <w:rPr>
                <w:noProof/>
                <w:webHidden/>
              </w:rPr>
              <w:tab/>
            </w:r>
            <w:r w:rsidR="00C92C58">
              <w:rPr>
                <w:noProof/>
                <w:webHidden/>
              </w:rPr>
              <w:fldChar w:fldCharType="begin"/>
            </w:r>
            <w:r w:rsidR="00C92C58">
              <w:rPr>
                <w:noProof/>
                <w:webHidden/>
              </w:rPr>
              <w:instrText xml:space="preserve"> PAGEREF _Toc456353111 \h </w:instrText>
            </w:r>
            <w:r w:rsidR="00C92C58">
              <w:rPr>
                <w:noProof/>
                <w:webHidden/>
              </w:rPr>
            </w:r>
            <w:r w:rsidR="00C92C58">
              <w:rPr>
                <w:noProof/>
                <w:webHidden/>
              </w:rPr>
              <w:fldChar w:fldCharType="separate"/>
            </w:r>
            <w:r w:rsidR="00C92C58">
              <w:rPr>
                <w:noProof/>
                <w:webHidden/>
              </w:rPr>
              <w:t>13</w:t>
            </w:r>
            <w:r w:rsidR="00C92C58">
              <w:rPr>
                <w:noProof/>
                <w:webHidden/>
              </w:rPr>
              <w:fldChar w:fldCharType="end"/>
            </w:r>
          </w:hyperlink>
        </w:p>
        <w:p w14:paraId="29BC967A" w14:textId="77777777" w:rsidR="00C92C58" w:rsidRDefault="00332BCA" w:rsidP="00C92C58">
          <w:pPr>
            <w:pStyle w:val="TOC1"/>
            <w:tabs>
              <w:tab w:val="left" w:pos="849"/>
            </w:tabs>
            <w:rPr>
              <w:rFonts w:asciiTheme="minorHAnsi" w:hAnsiTheme="minorHAnsi"/>
              <w:b w:val="0"/>
              <w:noProof/>
              <w:lang w:val="es-AR" w:eastAsia="es-AR"/>
            </w:rPr>
          </w:pPr>
          <w:hyperlink w:anchor="_Toc456353112" w:history="1">
            <w:r w:rsidR="00C92C58" w:rsidRPr="00F9268F">
              <w:rPr>
                <w:rStyle w:val="Hyperlink"/>
                <w:noProof/>
                <w:lang w:val="es-ES"/>
              </w:rPr>
              <w:t>3.1.1.</w:t>
            </w:r>
            <w:r w:rsidR="00C92C58">
              <w:rPr>
                <w:rFonts w:asciiTheme="minorHAnsi" w:hAnsiTheme="minorHAnsi"/>
                <w:b w:val="0"/>
                <w:noProof/>
                <w:lang w:val="es-AR" w:eastAsia="es-AR"/>
              </w:rPr>
              <w:tab/>
            </w:r>
            <w:r w:rsidR="00C92C58" w:rsidRPr="00F9268F">
              <w:rPr>
                <w:rStyle w:val="Hyperlink"/>
                <w:noProof/>
                <w:lang w:val="es-ES"/>
              </w:rPr>
              <w:t>LT El Sauce-Villanueva - Supuestos</w:t>
            </w:r>
            <w:r w:rsidR="00C92C58">
              <w:rPr>
                <w:noProof/>
                <w:webHidden/>
              </w:rPr>
              <w:tab/>
            </w:r>
            <w:r w:rsidR="00C92C58">
              <w:rPr>
                <w:noProof/>
                <w:webHidden/>
              </w:rPr>
              <w:fldChar w:fldCharType="begin"/>
            </w:r>
            <w:r w:rsidR="00C92C58">
              <w:rPr>
                <w:noProof/>
                <w:webHidden/>
              </w:rPr>
              <w:instrText xml:space="preserve"> PAGEREF _Toc456353112 \h </w:instrText>
            </w:r>
            <w:r w:rsidR="00C92C58">
              <w:rPr>
                <w:noProof/>
                <w:webHidden/>
              </w:rPr>
            </w:r>
            <w:r w:rsidR="00C92C58">
              <w:rPr>
                <w:noProof/>
                <w:webHidden/>
              </w:rPr>
              <w:fldChar w:fldCharType="separate"/>
            </w:r>
            <w:r w:rsidR="00C92C58">
              <w:rPr>
                <w:noProof/>
                <w:webHidden/>
              </w:rPr>
              <w:t>14</w:t>
            </w:r>
            <w:r w:rsidR="00C92C58">
              <w:rPr>
                <w:noProof/>
                <w:webHidden/>
              </w:rPr>
              <w:fldChar w:fldCharType="end"/>
            </w:r>
          </w:hyperlink>
        </w:p>
        <w:p w14:paraId="42E58CAE" w14:textId="77777777" w:rsidR="00C92C58" w:rsidRDefault="00332BCA" w:rsidP="00C92C58">
          <w:pPr>
            <w:pStyle w:val="TOC1"/>
            <w:tabs>
              <w:tab w:val="left" w:pos="849"/>
            </w:tabs>
            <w:rPr>
              <w:rFonts w:asciiTheme="minorHAnsi" w:hAnsiTheme="minorHAnsi"/>
              <w:b w:val="0"/>
              <w:noProof/>
              <w:lang w:val="es-AR" w:eastAsia="es-AR"/>
            </w:rPr>
          </w:pPr>
          <w:hyperlink w:anchor="_Toc456353113" w:history="1">
            <w:r w:rsidR="00C92C58" w:rsidRPr="00F9268F">
              <w:rPr>
                <w:rStyle w:val="Hyperlink"/>
                <w:noProof/>
                <w:lang w:val="es-ES"/>
              </w:rPr>
              <w:t>3.1.2.</w:t>
            </w:r>
            <w:r w:rsidR="00C92C58">
              <w:rPr>
                <w:rFonts w:asciiTheme="minorHAnsi" w:hAnsiTheme="minorHAnsi"/>
                <w:b w:val="0"/>
                <w:noProof/>
                <w:lang w:val="es-AR" w:eastAsia="es-AR"/>
              </w:rPr>
              <w:tab/>
            </w:r>
            <w:r w:rsidR="00C92C58" w:rsidRPr="00F9268F">
              <w:rPr>
                <w:rStyle w:val="Hyperlink"/>
                <w:noProof/>
                <w:lang w:val="es-ES"/>
              </w:rPr>
              <w:t>LT El Sauce-Villanueva - Evaluación</w:t>
            </w:r>
            <w:r w:rsidR="00C92C58">
              <w:rPr>
                <w:noProof/>
                <w:webHidden/>
              </w:rPr>
              <w:tab/>
            </w:r>
            <w:r w:rsidR="00C92C58">
              <w:rPr>
                <w:noProof/>
                <w:webHidden/>
              </w:rPr>
              <w:fldChar w:fldCharType="begin"/>
            </w:r>
            <w:r w:rsidR="00C92C58">
              <w:rPr>
                <w:noProof/>
                <w:webHidden/>
              </w:rPr>
              <w:instrText xml:space="preserve"> PAGEREF _Toc456353113 \h </w:instrText>
            </w:r>
            <w:r w:rsidR="00C92C58">
              <w:rPr>
                <w:noProof/>
                <w:webHidden/>
              </w:rPr>
            </w:r>
            <w:r w:rsidR="00C92C58">
              <w:rPr>
                <w:noProof/>
                <w:webHidden/>
              </w:rPr>
              <w:fldChar w:fldCharType="separate"/>
            </w:r>
            <w:r w:rsidR="00C92C58">
              <w:rPr>
                <w:noProof/>
                <w:webHidden/>
              </w:rPr>
              <w:t>15</w:t>
            </w:r>
            <w:r w:rsidR="00C92C58">
              <w:rPr>
                <w:noProof/>
                <w:webHidden/>
              </w:rPr>
              <w:fldChar w:fldCharType="end"/>
            </w:r>
          </w:hyperlink>
        </w:p>
        <w:p w14:paraId="7B52B830" w14:textId="77777777" w:rsidR="00C92C58" w:rsidRDefault="00332BCA" w:rsidP="00C92C58">
          <w:pPr>
            <w:pStyle w:val="TOC1"/>
            <w:tabs>
              <w:tab w:val="left" w:pos="849"/>
            </w:tabs>
            <w:rPr>
              <w:rFonts w:asciiTheme="minorHAnsi" w:hAnsiTheme="minorHAnsi"/>
              <w:b w:val="0"/>
              <w:noProof/>
              <w:lang w:val="es-AR" w:eastAsia="es-AR"/>
            </w:rPr>
          </w:pPr>
          <w:hyperlink w:anchor="_Toc456353114" w:history="1">
            <w:r w:rsidR="00C92C58" w:rsidRPr="00F9268F">
              <w:rPr>
                <w:rStyle w:val="Hyperlink"/>
                <w:noProof/>
                <w:lang w:val="es-ES"/>
              </w:rPr>
              <w:t>3.1.3.</w:t>
            </w:r>
            <w:r w:rsidR="00C92C58">
              <w:rPr>
                <w:rFonts w:asciiTheme="minorHAnsi" w:hAnsiTheme="minorHAnsi"/>
                <w:b w:val="0"/>
                <w:noProof/>
                <w:lang w:val="es-AR" w:eastAsia="es-AR"/>
              </w:rPr>
              <w:tab/>
            </w:r>
            <w:r w:rsidR="00C92C58" w:rsidRPr="00F9268F">
              <w:rPr>
                <w:rStyle w:val="Hyperlink"/>
                <w:noProof/>
                <w:lang w:val="es-ES"/>
              </w:rPr>
              <w:t>LT El Sauce-Villanueva - Sensibilidades</w:t>
            </w:r>
            <w:r w:rsidR="00C92C58">
              <w:rPr>
                <w:noProof/>
                <w:webHidden/>
              </w:rPr>
              <w:tab/>
            </w:r>
            <w:r w:rsidR="00C92C58">
              <w:rPr>
                <w:noProof/>
                <w:webHidden/>
              </w:rPr>
              <w:fldChar w:fldCharType="begin"/>
            </w:r>
            <w:r w:rsidR="00C92C58">
              <w:rPr>
                <w:noProof/>
                <w:webHidden/>
              </w:rPr>
              <w:instrText xml:space="preserve"> PAGEREF _Toc456353114 \h </w:instrText>
            </w:r>
            <w:r w:rsidR="00C92C58">
              <w:rPr>
                <w:noProof/>
                <w:webHidden/>
              </w:rPr>
            </w:r>
            <w:r w:rsidR="00C92C58">
              <w:rPr>
                <w:noProof/>
                <w:webHidden/>
              </w:rPr>
              <w:fldChar w:fldCharType="separate"/>
            </w:r>
            <w:r w:rsidR="00C92C58">
              <w:rPr>
                <w:noProof/>
                <w:webHidden/>
              </w:rPr>
              <w:t>17</w:t>
            </w:r>
            <w:r w:rsidR="00C92C58">
              <w:rPr>
                <w:noProof/>
                <w:webHidden/>
              </w:rPr>
              <w:fldChar w:fldCharType="end"/>
            </w:r>
          </w:hyperlink>
        </w:p>
        <w:p w14:paraId="2F71067F" w14:textId="77777777" w:rsidR="00C92C58" w:rsidRDefault="00332BCA" w:rsidP="00C92C58">
          <w:pPr>
            <w:pStyle w:val="TOC1"/>
            <w:tabs>
              <w:tab w:val="left" w:pos="639"/>
            </w:tabs>
            <w:rPr>
              <w:rFonts w:asciiTheme="minorHAnsi" w:hAnsiTheme="minorHAnsi"/>
              <w:b w:val="0"/>
              <w:noProof/>
              <w:lang w:val="es-AR" w:eastAsia="es-AR"/>
            </w:rPr>
          </w:pPr>
          <w:hyperlink w:anchor="_Toc456353115" w:history="1">
            <w:r w:rsidR="00C92C58" w:rsidRPr="00F9268F">
              <w:rPr>
                <w:rStyle w:val="Hyperlink"/>
                <w:noProof/>
                <w:lang w:val="es-ES"/>
              </w:rPr>
              <w:t>3.2.</w:t>
            </w:r>
            <w:r w:rsidR="00C92C58">
              <w:rPr>
                <w:rFonts w:asciiTheme="minorHAnsi" w:hAnsiTheme="minorHAnsi"/>
                <w:b w:val="0"/>
                <w:noProof/>
                <w:lang w:val="es-AR" w:eastAsia="es-AR"/>
              </w:rPr>
              <w:tab/>
            </w:r>
            <w:r w:rsidR="00C92C58" w:rsidRPr="00F9268F">
              <w:rPr>
                <w:rStyle w:val="Hyperlink"/>
                <w:noProof/>
                <w:lang w:val="es-ES"/>
              </w:rPr>
              <w:t>SE Sébaco</w:t>
            </w:r>
            <w:r w:rsidR="00C92C58">
              <w:rPr>
                <w:noProof/>
                <w:webHidden/>
              </w:rPr>
              <w:tab/>
            </w:r>
            <w:r w:rsidR="00C92C58">
              <w:rPr>
                <w:noProof/>
                <w:webHidden/>
              </w:rPr>
              <w:fldChar w:fldCharType="begin"/>
            </w:r>
            <w:r w:rsidR="00C92C58">
              <w:rPr>
                <w:noProof/>
                <w:webHidden/>
              </w:rPr>
              <w:instrText xml:space="preserve"> PAGEREF _Toc456353115 \h </w:instrText>
            </w:r>
            <w:r w:rsidR="00C92C58">
              <w:rPr>
                <w:noProof/>
                <w:webHidden/>
              </w:rPr>
            </w:r>
            <w:r w:rsidR="00C92C58">
              <w:rPr>
                <w:noProof/>
                <w:webHidden/>
              </w:rPr>
              <w:fldChar w:fldCharType="separate"/>
            </w:r>
            <w:r w:rsidR="00C92C58">
              <w:rPr>
                <w:noProof/>
                <w:webHidden/>
              </w:rPr>
              <w:t>19</w:t>
            </w:r>
            <w:r w:rsidR="00C92C58">
              <w:rPr>
                <w:noProof/>
                <w:webHidden/>
              </w:rPr>
              <w:fldChar w:fldCharType="end"/>
            </w:r>
          </w:hyperlink>
        </w:p>
        <w:p w14:paraId="1E12EFC2" w14:textId="77777777" w:rsidR="00C92C58" w:rsidRDefault="00332BCA" w:rsidP="00C92C58">
          <w:pPr>
            <w:pStyle w:val="TOC1"/>
            <w:tabs>
              <w:tab w:val="left" w:pos="849"/>
            </w:tabs>
            <w:rPr>
              <w:rFonts w:asciiTheme="minorHAnsi" w:hAnsiTheme="minorHAnsi"/>
              <w:b w:val="0"/>
              <w:noProof/>
              <w:lang w:val="es-AR" w:eastAsia="es-AR"/>
            </w:rPr>
          </w:pPr>
          <w:hyperlink w:anchor="_Toc456353116" w:history="1">
            <w:r w:rsidR="00C92C58" w:rsidRPr="00F9268F">
              <w:rPr>
                <w:rStyle w:val="Hyperlink"/>
                <w:noProof/>
                <w:lang w:val="es-ES"/>
              </w:rPr>
              <w:t>3.2.1.</w:t>
            </w:r>
            <w:r w:rsidR="00C92C58">
              <w:rPr>
                <w:rFonts w:asciiTheme="minorHAnsi" w:hAnsiTheme="minorHAnsi"/>
                <w:b w:val="0"/>
                <w:noProof/>
                <w:lang w:val="es-AR" w:eastAsia="es-AR"/>
              </w:rPr>
              <w:tab/>
            </w:r>
            <w:r w:rsidR="00C92C58" w:rsidRPr="00F9268F">
              <w:rPr>
                <w:rStyle w:val="Hyperlink"/>
                <w:noProof/>
                <w:lang w:val="es-ES"/>
              </w:rPr>
              <w:t>SE Sébaco – Supuestos</w:t>
            </w:r>
            <w:r w:rsidR="00C92C58">
              <w:rPr>
                <w:noProof/>
                <w:webHidden/>
              </w:rPr>
              <w:tab/>
            </w:r>
            <w:r w:rsidR="00C92C58">
              <w:rPr>
                <w:noProof/>
                <w:webHidden/>
              </w:rPr>
              <w:fldChar w:fldCharType="begin"/>
            </w:r>
            <w:r w:rsidR="00C92C58">
              <w:rPr>
                <w:noProof/>
                <w:webHidden/>
              </w:rPr>
              <w:instrText xml:space="preserve"> PAGEREF _Toc456353116 \h </w:instrText>
            </w:r>
            <w:r w:rsidR="00C92C58">
              <w:rPr>
                <w:noProof/>
                <w:webHidden/>
              </w:rPr>
            </w:r>
            <w:r w:rsidR="00C92C58">
              <w:rPr>
                <w:noProof/>
                <w:webHidden/>
              </w:rPr>
              <w:fldChar w:fldCharType="separate"/>
            </w:r>
            <w:r w:rsidR="00C92C58">
              <w:rPr>
                <w:noProof/>
                <w:webHidden/>
              </w:rPr>
              <w:t>20</w:t>
            </w:r>
            <w:r w:rsidR="00C92C58">
              <w:rPr>
                <w:noProof/>
                <w:webHidden/>
              </w:rPr>
              <w:fldChar w:fldCharType="end"/>
            </w:r>
          </w:hyperlink>
        </w:p>
        <w:p w14:paraId="5784B31A" w14:textId="77777777" w:rsidR="00C92C58" w:rsidRDefault="00332BCA" w:rsidP="00C92C58">
          <w:pPr>
            <w:pStyle w:val="TOC1"/>
            <w:tabs>
              <w:tab w:val="left" w:pos="849"/>
            </w:tabs>
            <w:rPr>
              <w:rFonts w:asciiTheme="minorHAnsi" w:hAnsiTheme="minorHAnsi"/>
              <w:b w:val="0"/>
              <w:noProof/>
              <w:lang w:val="es-AR" w:eastAsia="es-AR"/>
            </w:rPr>
          </w:pPr>
          <w:hyperlink w:anchor="_Toc456353117" w:history="1">
            <w:r w:rsidR="00C92C58" w:rsidRPr="00F9268F">
              <w:rPr>
                <w:rStyle w:val="Hyperlink"/>
                <w:noProof/>
                <w:lang w:val="es-ES"/>
              </w:rPr>
              <w:t>3.2.2.</w:t>
            </w:r>
            <w:r w:rsidR="00C92C58">
              <w:rPr>
                <w:rFonts w:asciiTheme="minorHAnsi" w:hAnsiTheme="minorHAnsi"/>
                <w:b w:val="0"/>
                <w:noProof/>
                <w:lang w:val="es-AR" w:eastAsia="es-AR"/>
              </w:rPr>
              <w:tab/>
            </w:r>
            <w:r w:rsidR="00C92C58" w:rsidRPr="00F9268F">
              <w:rPr>
                <w:rStyle w:val="Hyperlink"/>
                <w:noProof/>
                <w:lang w:val="es-ES"/>
              </w:rPr>
              <w:t>SE Sébaco – Evaluación</w:t>
            </w:r>
            <w:r w:rsidR="00C92C58">
              <w:rPr>
                <w:noProof/>
                <w:webHidden/>
              </w:rPr>
              <w:tab/>
            </w:r>
            <w:r w:rsidR="00C92C58">
              <w:rPr>
                <w:noProof/>
                <w:webHidden/>
              </w:rPr>
              <w:fldChar w:fldCharType="begin"/>
            </w:r>
            <w:r w:rsidR="00C92C58">
              <w:rPr>
                <w:noProof/>
                <w:webHidden/>
              </w:rPr>
              <w:instrText xml:space="preserve"> PAGEREF _Toc456353117 \h </w:instrText>
            </w:r>
            <w:r w:rsidR="00C92C58">
              <w:rPr>
                <w:noProof/>
                <w:webHidden/>
              </w:rPr>
            </w:r>
            <w:r w:rsidR="00C92C58">
              <w:rPr>
                <w:noProof/>
                <w:webHidden/>
              </w:rPr>
              <w:fldChar w:fldCharType="separate"/>
            </w:r>
            <w:r w:rsidR="00C92C58">
              <w:rPr>
                <w:noProof/>
                <w:webHidden/>
              </w:rPr>
              <w:t>21</w:t>
            </w:r>
            <w:r w:rsidR="00C92C58">
              <w:rPr>
                <w:noProof/>
                <w:webHidden/>
              </w:rPr>
              <w:fldChar w:fldCharType="end"/>
            </w:r>
          </w:hyperlink>
        </w:p>
        <w:p w14:paraId="18D7CD2E" w14:textId="77777777" w:rsidR="00C92C58" w:rsidRDefault="00332BCA" w:rsidP="00C92C58">
          <w:pPr>
            <w:pStyle w:val="TOC1"/>
            <w:tabs>
              <w:tab w:val="left" w:pos="849"/>
            </w:tabs>
            <w:rPr>
              <w:rFonts w:asciiTheme="minorHAnsi" w:hAnsiTheme="minorHAnsi"/>
              <w:b w:val="0"/>
              <w:noProof/>
              <w:lang w:val="es-AR" w:eastAsia="es-AR"/>
            </w:rPr>
          </w:pPr>
          <w:hyperlink w:anchor="_Toc456353118" w:history="1">
            <w:r w:rsidR="00C92C58" w:rsidRPr="00F9268F">
              <w:rPr>
                <w:rStyle w:val="Hyperlink"/>
                <w:noProof/>
                <w:lang w:val="es-ES"/>
              </w:rPr>
              <w:t>3.2.3.</w:t>
            </w:r>
            <w:r w:rsidR="00C92C58">
              <w:rPr>
                <w:rFonts w:asciiTheme="minorHAnsi" w:hAnsiTheme="minorHAnsi"/>
                <w:b w:val="0"/>
                <w:noProof/>
                <w:lang w:val="es-AR" w:eastAsia="es-AR"/>
              </w:rPr>
              <w:tab/>
            </w:r>
            <w:r w:rsidR="00C92C58" w:rsidRPr="00F9268F">
              <w:rPr>
                <w:rStyle w:val="Hyperlink"/>
                <w:noProof/>
                <w:lang w:val="es-ES"/>
              </w:rPr>
              <w:t>SE Sébaco – Sensibilidades</w:t>
            </w:r>
            <w:r w:rsidR="00C92C58">
              <w:rPr>
                <w:noProof/>
                <w:webHidden/>
              </w:rPr>
              <w:tab/>
            </w:r>
            <w:r w:rsidR="00C92C58">
              <w:rPr>
                <w:noProof/>
                <w:webHidden/>
              </w:rPr>
              <w:fldChar w:fldCharType="begin"/>
            </w:r>
            <w:r w:rsidR="00C92C58">
              <w:rPr>
                <w:noProof/>
                <w:webHidden/>
              </w:rPr>
              <w:instrText xml:space="preserve"> PAGEREF _Toc456353118 \h </w:instrText>
            </w:r>
            <w:r w:rsidR="00C92C58">
              <w:rPr>
                <w:noProof/>
                <w:webHidden/>
              </w:rPr>
            </w:r>
            <w:r w:rsidR="00C92C58">
              <w:rPr>
                <w:noProof/>
                <w:webHidden/>
              </w:rPr>
              <w:fldChar w:fldCharType="separate"/>
            </w:r>
            <w:r w:rsidR="00C92C58">
              <w:rPr>
                <w:noProof/>
                <w:webHidden/>
              </w:rPr>
              <w:t>22</w:t>
            </w:r>
            <w:r w:rsidR="00C92C58">
              <w:rPr>
                <w:noProof/>
                <w:webHidden/>
              </w:rPr>
              <w:fldChar w:fldCharType="end"/>
            </w:r>
          </w:hyperlink>
        </w:p>
        <w:p w14:paraId="29E7244C" w14:textId="77777777" w:rsidR="00C92C58" w:rsidRDefault="00332BCA" w:rsidP="00C92C58">
          <w:pPr>
            <w:pStyle w:val="TOC1"/>
            <w:tabs>
              <w:tab w:val="left" w:pos="639"/>
            </w:tabs>
            <w:rPr>
              <w:rFonts w:asciiTheme="minorHAnsi" w:hAnsiTheme="minorHAnsi"/>
              <w:b w:val="0"/>
              <w:noProof/>
              <w:lang w:val="es-AR" w:eastAsia="es-AR"/>
            </w:rPr>
          </w:pPr>
          <w:hyperlink w:anchor="_Toc456353119" w:history="1">
            <w:r w:rsidR="00C92C58" w:rsidRPr="00F9268F">
              <w:rPr>
                <w:rStyle w:val="Hyperlink"/>
                <w:noProof/>
                <w:lang w:val="es-ES"/>
              </w:rPr>
              <w:t>3.3.</w:t>
            </w:r>
            <w:r w:rsidR="00C92C58">
              <w:rPr>
                <w:rFonts w:asciiTheme="minorHAnsi" w:hAnsiTheme="minorHAnsi"/>
                <w:b w:val="0"/>
                <w:noProof/>
                <w:lang w:val="es-AR" w:eastAsia="es-AR"/>
              </w:rPr>
              <w:tab/>
            </w:r>
            <w:r w:rsidR="00C92C58" w:rsidRPr="00F9268F">
              <w:rPr>
                <w:rStyle w:val="Hyperlink"/>
                <w:noProof/>
                <w:lang w:val="es-ES"/>
              </w:rPr>
              <w:t>Ampliación capacidad 4 SE</w:t>
            </w:r>
            <w:r w:rsidR="00C92C58">
              <w:rPr>
                <w:noProof/>
                <w:webHidden/>
              </w:rPr>
              <w:tab/>
            </w:r>
            <w:r w:rsidR="00C92C58">
              <w:rPr>
                <w:noProof/>
                <w:webHidden/>
              </w:rPr>
              <w:fldChar w:fldCharType="begin"/>
            </w:r>
            <w:r w:rsidR="00C92C58">
              <w:rPr>
                <w:noProof/>
                <w:webHidden/>
              </w:rPr>
              <w:instrText xml:space="preserve"> PAGEREF _Toc456353119 \h </w:instrText>
            </w:r>
            <w:r w:rsidR="00C92C58">
              <w:rPr>
                <w:noProof/>
                <w:webHidden/>
              </w:rPr>
            </w:r>
            <w:r w:rsidR="00C92C58">
              <w:rPr>
                <w:noProof/>
                <w:webHidden/>
              </w:rPr>
              <w:fldChar w:fldCharType="separate"/>
            </w:r>
            <w:r w:rsidR="00C92C58">
              <w:rPr>
                <w:noProof/>
                <w:webHidden/>
              </w:rPr>
              <w:t>24</w:t>
            </w:r>
            <w:r w:rsidR="00C92C58">
              <w:rPr>
                <w:noProof/>
                <w:webHidden/>
              </w:rPr>
              <w:fldChar w:fldCharType="end"/>
            </w:r>
          </w:hyperlink>
        </w:p>
        <w:p w14:paraId="23682F22" w14:textId="77777777" w:rsidR="00C92C58" w:rsidRDefault="00332BCA" w:rsidP="00C92C58">
          <w:pPr>
            <w:pStyle w:val="TOC1"/>
            <w:tabs>
              <w:tab w:val="left" w:pos="849"/>
            </w:tabs>
            <w:rPr>
              <w:rFonts w:asciiTheme="minorHAnsi" w:hAnsiTheme="minorHAnsi"/>
              <w:b w:val="0"/>
              <w:noProof/>
              <w:lang w:val="es-AR" w:eastAsia="es-AR"/>
            </w:rPr>
          </w:pPr>
          <w:hyperlink w:anchor="_Toc456353120" w:history="1">
            <w:r w:rsidR="00C92C58" w:rsidRPr="00F9268F">
              <w:rPr>
                <w:rStyle w:val="Hyperlink"/>
                <w:noProof/>
                <w:lang w:val="es-ES"/>
              </w:rPr>
              <w:t>3.3.1.</w:t>
            </w:r>
            <w:r w:rsidR="00C92C58">
              <w:rPr>
                <w:rFonts w:asciiTheme="minorHAnsi" w:hAnsiTheme="minorHAnsi"/>
                <w:b w:val="0"/>
                <w:noProof/>
                <w:lang w:val="es-AR" w:eastAsia="es-AR"/>
              </w:rPr>
              <w:tab/>
            </w:r>
            <w:r w:rsidR="00C92C58" w:rsidRPr="00F9268F">
              <w:rPr>
                <w:rStyle w:val="Hyperlink"/>
                <w:noProof/>
                <w:lang w:val="es-ES"/>
              </w:rPr>
              <w:t>SE Acahualinca</w:t>
            </w:r>
            <w:r w:rsidR="00C92C58">
              <w:rPr>
                <w:noProof/>
                <w:webHidden/>
              </w:rPr>
              <w:tab/>
            </w:r>
            <w:r w:rsidR="00C92C58">
              <w:rPr>
                <w:noProof/>
                <w:webHidden/>
              </w:rPr>
              <w:fldChar w:fldCharType="begin"/>
            </w:r>
            <w:r w:rsidR="00C92C58">
              <w:rPr>
                <w:noProof/>
                <w:webHidden/>
              </w:rPr>
              <w:instrText xml:space="preserve"> PAGEREF _Toc456353120 \h </w:instrText>
            </w:r>
            <w:r w:rsidR="00C92C58">
              <w:rPr>
                <w:noProof/>
                <w:webHidden/>
              </w:rPr>
            </w:r>
            <w:r w:rsidR="00C92C58">
              <w:rPr>
                <w:noProof/>
                <w:webHidden/>
              </w:rPr>
              <w:fldChar w:fldCharType="separate"/>
            </w:r>
            <w:r w:rsidR="00C92C58">
              <w:rPr>
                <w:noProof/>
                <w:webHidden/>
              </w:rPr>
              <w:t>25</w:t>
            </w:r>
            <w:r w:rsidR="00C92C58">
              <w:rPr>
                <w:noProof/>
                <w:webHidden/>
              </w:rPr>
              <w:fldChar w:fldCharType="end"/>
            </w:r>
          </w:hyperlink>
        </w:p>
        <w:p w14:paraId="6EE4F5AE" w14:textId="77777777" w:rsidR="00C92C58" w:rsidRDefault="00332BCA" w:rsidP="00C92C58">
          <w:pPr>
            <w:pStyle w:val="TOC2"/>
            <w:tabs>
              <w:tab w:val="left" w:pos="1221"/>
              <w:tab w:val="right" w:leader="dot" w:pos="8495"/>
            </w:tabs>
            <w:rPr>
              <w:rFonts w:asciiTheme="minorHAnsi" w:hAnsiTheme="minorHAnsi"/>
              <w:noProof/>
              <w:lang w:val="es-AR" w:eastAsia="es-AR"/>
            </w:rPr>
          </w:pPr>
          <w:hyperlink w:anchor="_Toc456353121" w:history="1">
            <w:r w:rsidR="00C92C58" w:rsidRPr="00F9268F">
              <w:rPr>
                <w:rStyle w:val="Hyperlink"/>
                <w:noProof/>
                <w:lang w:val="es-ES"/>
              </w:rPr>
              <w:t>3.3.1.1.</w:t>
            </w:r>
            <w:r w:rsidR="00C92C58">
              <w:rPr>
                <w:rFonts w:asciiTheme="minorHAnsi" w:hAnsiTheme="minorHAnsi"/>
                <w:noProof/>
                <w:lang w:val="es-AR" w:eastAsia="es-AR"/>
              </w:rPr>
              <w:tab/>
            </w:r>
            <w:r w:rsidR="00C92C58" w:rsidRPr="00F9268F">
              <w:rPr>
                <w:rStyle w:val="Hyperlink"/>
                <w:noProof/>
                <w:lang w:val="es-ES"/>
              </w:rPr>
              <w:t>SE Acahualinca - Supuestos</w:t>
            </w:r>
            <w:r w:rsidR="00C92C58">
              <w:rPr>
                <w:noProof/>
                <w:webHidden/>
              </w:rPr>
              <w:tab/>
            </w:r>
            <w:r w:rsidR="00C92C58">
              <w:rPr>
                <w:noProof/>
                <w:webHidden/>
              </w:rPr>
              <w:fldChar w:fldCharType="begin"/>
            </w:r>
            <w:r w:rsidR="00C92C58">
              <w:rPr>
                <w:noProof/>
                <w:webHidden/>
              </w:rPr>
              <w:instrText xml:space="preserve"> PAGEREF _Toc456353121 \h </w:instrText>
            </w:r>
            <w:r w:rsidR="00C92C58">
              <w:rPr>
                <w:noProof/>
                <w:webHidden/>
              </w:rPr>
            </w:r>
            <w:r w:rsidR="00C92C58">
              <w:rPr>
                <w:noProof/>
                <w:webHidden/>
              </w:rPr>
              <w:fldChar w:fldCharType="separate"/>
            </w:r>
            <w:r w:rsidR="00C92C58">
              <w:rPr>
                <w:noProof/>
                <w:webHidden/>
              </w:rPr>
              <w:t>26</w:t>
            </w:r>
            <w:r w:rsidR="00C92C58">
              <w:rPr>
                <w:noProof/>
                <w:webHidden/>
              </w:rPr>
              <w:fldChar w:fldCharType="end"/>
            </w:r>
          </w:hyperlink>
        </w:p>
        <w:p w14:paraId="60B1F53E" w14:textId="77777777" w:rsidR="00C92C58" w:rsidRDefault="00332BCA" w:rsidP="00C92C58">
          <w:pPr>
            <w:pStyle w:val="TOC2"/>
            <w:tabs>
              <w:tab w:val="left" w:pos="1221"/>
              <w:tab w:val="right" w:leader="dot" w:pos="8495"/>
            </w:tabs>
            <w:rPr>
              <w:rFonts w:asciiTheme="minorHAnsi" w:hAnsiTheme="minorHAnsi"/>
              <w:noProof/>
              <w:lang w:val="es-AR" w:eastAsia="es-AR"/>
            </w:rPr>
          </w:pPr>
          <w:hyperlink w:anchor="_Toc456353122" w:history="1">
            <w:r w:rsidR="00C92C58" w:rsidRPr="00F9268F">
              <w:rPr>
                <w:rStyle w:val="Hyperlink"/>
                <w:noProof/>
                <w:lang w:val="es-ES"/>
              </w:rPr>
              <w:t>3.3.1.2.</w:t>
            </w:r>
            <w:r w:rsidR="00C92C58">
              <w:rPr>
                <w:rFonts w:asciiTheme="minorHAnsi" w:hAnsiTheme="minorHAnsi"/>
                <w:noProof/>
                <w:lang w:val="es-AR" w:eastAsia="es-AR"/>
              </w:rPr>
              <w:tab/>
            </w:r>
            <w:r w:rsidR="00C92C58" w:rsidRPr="00F9268F">
              <w:rPr>
                <w:rStyle w:val="Hyperlink"/>
                <w:noProof/>
                <w:lang w:val="es-ES"/>
              </w:rPr>
              <w:t>SE Acahualinca – Evaluación</w:t>
            </w:r>
            <w:r w:rsidR="00C92C58">
              <w:rPr>
                <w:noProof/>
                <w:webHidden/>
              </w:rPr>
              <w:tab/>
            </w:r>
            <w:r w:rsidR="00C92C58">
              <w:rPr>
                <w:noProof/>
                <w:webHidden/>
              </w:rPr>
              <w:fldChar w:fldCharType="begin"/>
            </w:r>
            <w:r w:rsidR="00C92C58">
              <w:rPr>
                <w:noProof/>
                <w:webHidden/>
              </w:rPr>
              <w:instrText xml:space="preserve"> PAGEREF _Toc456353122 \h </w:instrText>
            </w:r>
            <w:r w:rsidR="00C92C58">
              <w:rPr>
                <w:noProof/>
                <w:webHidden/>
              </w:rPr>
            </w:r>
            <w:r w:rsidR="00C92C58">
              <w:rPr>
                <w:noProof/>
                <w:webHidden/>
              </w:rPr>
              <w:fldChar w:fldCharType="separate"/>
            </w:r>
            <w:r w:rsidR="00C92C58">
              <w:rPr>
                <w:noProof/>
                <w:webHidden/>
              </w:rPr>
              <w:t>26</w:t>
            </w:r>
            <w:r w:rsidR="00C92C58">
              <w:rPr>
                <w:noProof/>
                <w:webHidden/>
              </w:rPr>
              <w:fldChar w:fldCharType="end"/>
            </w:r>
          </w:hyperlink>
        </w:p>
        <w:p w14:paraId="261A2E0E" w14:textId="77777777" w:rsidR="00C92C58" w:rsidRDefault="00332BCA" w:rsidP="00C92C58">
          <w:pPr>
            <w:pStyle w:val="TOC2"/>
            <w:tabs>
              <w:tab w:val="left" w:pos="1221"/>
              <w:tab w:val="right" w:leader="dot" w:pos="8495"/>
            </w:tabs>
            <w:rPr>
              <w:rFonts w:asciiTheme="minorHAnsi" w:hAnsiTheme="minorHAnsi"/>
              <w:noProof/>
              <w:lang w:val="es-AR" w:eastAsia="es-AR"/>
            </w:rPr>
          </w:pPr>
          <w:hyperlink w:anchor="_Toc456353123" w:history="1">
            <w:r w:rsidR="00C92C58" w:rsidRPr="00F9268F">
              <w:rPr>
                <w:rStyle w:val="Hyperlink"/>
                <w:noProof/>
                <w:lang w:val="es-ES"/>
              </w:rPr>
              <w:t>3.3.1.3.</w:t>
            </w:r>
            <w:r w:rsidR="00C92C58">
              <w:rPr>
                <w:rFonts w:asciiTheme="minorHAnsi" w:hAnsiTheme="minorHAnsi"/>
                <w:noProof/>
                <w:lang w:val="es-AR" w:eastAsia="es-AR"/>
              </w:rPr>
              <w:tab/>
            </w:r>
            <w:r w:rsidR="00C92C58" w:rsidRPr="00F9268F">
              <w:rPr>
                <w:rStyle w:val="Hyperlink"/>
                <w:noProof/>
                <w:lang w:val="es-ES"/>
              </w:rPr>
              <w:t>SE Acahualinca - Sensibilidades</w:t>
            </w:r>
            <w:r w:rsidR="00C92C58">
              <w:rPr>
                <w:noProof/>
                <w:webHidden/>
              </w:rPr>
              <w:tab/>
            </w:r>
            <w:r w:rsidR="00C92C58">
              <w:rPr>
                <w:noProof/>
                <w:webHidden/>
              </w:rPr>
              <w:fldChar w:fldCharType="begin"/>
            </w:r>
            <w:r w:rsidR="00C92C58">
              <w:rPr>
                <w:noProof/>
                <w:webHidden/>
              </w:rPr>
              <w:instrText xml:space="preserve"> PAGEREF _Toc456353123 \h </w:instrText>
            </w:r>
            <w:r w:rsidR="00C92C58">
              <w:rPr>
                <w:noProof/>
                <w:webHidden/>
              </w:rPr>
            </w:r>
            <w:r w:rsidR="00C92C58">
              <w:rPr>
                <w:noProof/>
                <w:webHidden/>
              </w:rPr>
              <w:fldChar w:fldCharType="separate"/>
            </w:r>
            <w:r w:rsidR="00C92C58">
              <w:rPr>
                <w:noProof/>
                <w:webHidden/>
              </w:rPr>
              <w:t>27</w:t>
            </w:r>
            <w:r w:rsidR="00C92C58">
              <w:rPr>
                <w:noProof/>
                <w:webHidden/>
              </w:rPr>
              <w:fldChar w:fldCharType="end"/>
            </w:r>
          </w:hyperlink>
        </w:p>
        <w:p w14:paraId="5565A374" w14:textId="77777777" w:rsidR="00C92C58" w:rsidRDefault="00332BCA" w:rsidP="00C92C58">
          <w:pPr>
            <w:pStyle w:val="TOC1"/>
            <w:tabs>
              <w:tab w:val="left" w:pos="849"/>
            </w:tabs>
            <w:rPr>
              <w:rFonts w:asciiTheme="minorHAnsi" w:hAnsiTheme="minorHAnsi"/>
              <w:b w:val="0"/>
              <w:noProof/>
              <w:lang w:val="es-AR" w:eastAsia="es-AR"/>
            </w:rPr>
          </w:pPr>
          <w:hyperlink w:anchor="_Toc456353124" w:history="1">
            <w:r w:rsidR="00C92C58" w:rsidRPr="00F9268F">
              <w:rPr>
                <w:rStyle w:val="Hyperlink"/>
                <w:noProof/>
                <w:lang w:val="es-ES"/>
              </w:rPr>
              <w:t>3.3.2.</w:t>
            </w:r>
            <w:r w:rsidR="00C92C58">
              <w:rPr>
                <w:rFonts w:asciiTheme="minorHAnsi" w:hAnsiTheme="minorHAnsi"/>
                <w:b w:val="0"/>
                <w:noProof/>
                <w:lang w:val="es-AR" w:eastAsia="es-AR"/>
              </w:rPr>
              <w:tab/>
            </w:r>
            <w:r w:rsidR="00C92C58" w:rsidRPr="00F9268F">
              <w:rPr>
                <w:rStyle w:val="Hyperlink"/>
                <w:noProof/>
                <w:lang w:val="es-ES"/>
              </w:rPr>
              <w:t>SE Diriamba</w:t>
            </w:r>
            <w:r w:rsidR="00C92C58">
              <w:rPr>
                <w:noProof/>
                <w:webHidden/>
              </w:rPr>
              <w:tab/>
            </w:r>
            <w:r w:rsidR="00C92C58">
              <w:rPr>
                <w:noProof/>
                <w:webHidden/>
              </w:rPr>
              <w:fldChar w:fldCharType="begin"/>
            </w:r>
            <w:r w:rsidR="00C92C58">
              <w:rPr>
                <w:noProof/>
                <w:webHidden/>
              </w:rPr>
              <w:instrText xml:space="preserve"> PAGEREF _Toc456353124 \h </w:instrText>
            </w:r>
            <w:r w:rsidR="00C92C58">
              <w:rPr>
                <w:noProof/>
                <w:webHidden/>
              </w:rPr>
            </w:r>
            <w:r w:rsidR="00C92C58">
              <w:rPr>
                <w:noProof/>
                <w:webHidden/>
              </w:rPr>
              <w:fldChar w:fldCharType="separate"/>
            </w:r>
            <w:r w:rsidR="00C92C58">
              <w:rPr>
                <w:noProof/>
                <w:webHidden/>
              </w:rPr>
              <w:t>28</w:t>
            </w:r>
            <w:r w:rsidR="00C92C58">
              <w:rPr>
                <w:noProof/>
                <w:webHidden/>
              </w:rPr>
              <w:fldChar w:fldCharType="end"/>
            </w:r>
          </w:hyperlink>
        </w:p>
        <w:p w14:paraId="373C8736" w14:textId="77777777" w:rsidR="00C92C58" w:rsidRDefault="00332BCA" w:rsidP="00C92C58">
          <w:pPr>
            <w:pStyle w:val="TOC2"/>
            <w:tabs>
              <w:tab w:val="left" w:pos="1221"/>
              <w:tab w:val="right" w:leader="dot" w:pos="8495"/>
            </w:tabs>
            <w:rPr>
              <w:rFonts w:asciiTheme="minorHAnsi" w:hAnsiTheme="minorHAnsi"/>
              <w:noProof/>
              <w:lang w:val="es-AR" w:eastAsia="es-AR"/>
            </w:rPr>
          </w:pPr>
          <w:hyperlink w:anchor="_Toc456353126" w:history="1">
            <w:r w:rsidR="00C92C58" w:rsidRPr="00F9268F">
              <w:rPr>
                <w:rStyle w:val="Hyperlink"/>
                <w:noProof/>
                <w:lang w:val="es-ES"/>
              </w:rPr>
              <w:t>3.3.2.1.</w:t>
            </w:r>
            <w:r w:rsidR="00C92C58">
              <w:rPr>
                <w:rFonts w:asciiTheme="minorHAnsi" w:hAnsiTheme="minorHAnsi"/>
                <w:noProof/>
                <w:lang w:val="es-AR" w:eastAsia="es-AR"/>
              </w:rPr>
              <w:tab/>
            </w:r>
            <w:r w:rsidR="00C92C58" w:rsidRPr="00F9268F">
              <w:rPr>
                <w:rStyle w:val="Hyperlink"/>
                <w:noProof/>
                <w:lang w:val="es-ES"/>
              </w:rPr>
              <w:t>SE Diriamba - Supuestos</w:t>
            </w:r>
            <w:r w:rsidR="00C92C58">
              <w:rPr>
                <w:noProof/>
                <w:webHidden/>
              </w:rPr>
              <w:tab/>
            </w:r>
            <w:r w:rsidR="00C92C58">
              <w:rPr>
                <w:noProof/>
                <w:webHidden/>
              </w:rPr>
              <w:fldChar w:fldCharType="begin"/>
            </w:r>
            <w:r w:rsidR="00C92C58">
              <w:rPr>
                <w:noProof/>
                <w:webHidden/>
              </w:rPr>
              <w:instrText xml:space="preserve"> PAGEREF _Toc456353126 \h </w:instrText>
            </w:r>
            <w:r w:rsidR="00C92C58">
              <w:rPr>
                <w:noProof/>
                <w:webHidden/>
              </w:rPr>
            </w:r>
            <w:r w:rsidR="00C92C58">
              <w:rPr>
                <w:noProof/>
                <w:webHidden/>
              </w:rPr>
              <w:fldChar w:fldCharType="separate"/>
            </w:r>
            <w:r w:rsidR="00C92C58">
              <w:rPr>
                <w:noProof/>
                <w:webHidden/>
              </w:rPr>
              <w:t>29</w:t>
            </w:r>
            <w:r w:rsidR="00C92C58">
              <w:rPr>
                <w:noProof/>
                <w:webHidden/>
              </w:rPr>
              <w:fldChar w:fldCharType="end"/>
            </w:r>
          </w:hyperlink>
        </w:p>
        <w:p w14:paraId="281BF5F0" w14:textId="77777777" w:rsidR="00C92C58" w:rsidRDefault="00332BCA" w:rsidP="00C92C58">
          <w:pPr>
            <w:pStyle w:val="TOC2"/>
            <w:tabs>
              <w:tab w:val="left" w:pos="1221"/>
              <w:tab w:val="right" w:leader="dot" w:pos="8495"/>
            </w:tabs>
            <w:rPr>
              <w:rFonts w:asciiTheme="minorHAnsi" w:hAnsiTheme="minorHAnsi"/>
              <w:noProof/>
              <w:lang w:val="es-AR" w:eastAsia="es-AR"/>
            </w:rPr>
          </w:pPr>
          <w:hyperlink w:anchor="_Toc456353127" w:history="1">
            <w:r w:rsidR="00C92C58" w:rsidRPr="00F9268F">
              <w:rPr>
                <w:rStyle w:val="Hyperlink"/>
                <w:noProof/>
                <w:lang w:val="es-ES"/>
              </w:rPr>
              <w:t>3.3.2.2.</w:t>
            </w:r>
            <w:r w:rsidR="00C92C58">
              <w:rPr>
                <w:rFonts w:asciiTheme="minorHAnsi" w:hAnsiTheme="minorHAnsi"/>
                <w:noProof/>
                <w:lang w:val="es-AR" w:eastAsia="es-AR"/>
              </w:rPr>
              <w:tab/>
            </w:r>
            <w:r w:rsidR="00C92C58" w:rsidRPr="00F9268F">
              <w:rPr>
                <w:rStyle w:val="Hyperlink"/>
                <w:noProof/>
                <w:lang w:val="es-ES"/>
              </w:rPr>
              <w:t>SE Diriamba – Evaluación</w:t>
            </w:r>
            <w:r w:rsidR="00C92C58">
              <w:rPr>
                <w:noProof/>
                <w:webHidden/>
              </w:rPr>
              <w:tab/>
            </w:r>
            <w:r w:rsidR="00C92C58">
              <w:rPr>
                <w:noProof/>
                <w:webHidden/>
              </w:rPr>
              <w:fldChar w:fldCharType="begin"/>
            </w:r>
            <w:r w:rsidR="00C92C58">
              <w:rPr>
                <w:noProof/>
                <w:webHidden/>
              </w:rPr>
              <w:instrText xml:space="preserve"> PAGEREF _Toc456353127 \h </w:instrText>
            </w:r>
            <w:r w:rsidR="00C92C58">
              <w:rPr>
                <w:noProof/>
                <w:webHidden/>
              </w:rPr>
            </w:r>
            <w:r w:rsidR="00C92C58">
              <w:rPr>
                <w:noProof/>
                <w:webHidden/>
              </w:rPr>
              <w:fldChar w:fldCharType="separate"/>
            </w:r>
            <w:r w:rsidR="00C92C58">
              <w:rPr>
                <w:noProof/>
                <w:webHidden/>
              </w:rPr>
              <w:t>30</w:t>
            </w:r>
            <w:r w:rsidR="00C92C58">
              <w:rPr>
                <w:noProof/>
                <w:webHidden/>
              </w:rPr>
              <w:fldChar w:fldCharType="end"/>
            </w:r>
          </w:hyperlink>
        </w:p>
        <w:p w14:paraId="53B6D16D" w14:textId="77777777" w:rsidR="00C92C58" w:rsidRDefault="00332BCA" w:rsidP="00C92C58">
          <w:pPr>
            <w:pStyle w:val="TOC2"/>
            <w:tabs>
              <w:tab w:val="left" w:pos="1221"/>
              <w:tab w:val="right" w:leader="dot" w:pos="8495"/>
            </w:tabs>
            <w:rPr>
              <w:rFonts w:asciiTheme="minorHAnsi" w:hAnsiTheme="minorHAnsi"/>
              <w:noProof/>
              <w:lang w:val="es-AR" w:eastAsia="es-AR"/>
            </w:rPr>
          </w:pPr>
          <w:hyperlink w:anchor="_Toc456353128" w:history="1">
            <w:r w:rsidR="00C92C58" w:rsidRPr="00F9268F">
              <w:rPr>
                <w:rStyle w:val="Hyperlink"/>
                <w:noProof/>
                <w:lang w:val="es-ES"/>
              </w:rPr>
              <w:t>3.3.2.3.</w:t>
            </w:r>
            <w:r w:rsidR="00C92C58">
              <w:rPr>
                <w:rFonts w:asciiTheme="minorHAnsi" w:hAnsiTheme="minorHAnsi"/>
                <w:noProof/>
                <w:lang w:val="es-AR" w:eastAsia="es-AR"/>
              </w:rPr>
              <w:tab/>
            </w:r>
            <w:r w:rsidR="00C92C58" w:rsidRPr="00F9268F">
              <w:rPr>
                <w:rStyle w:val="Hyperlink"/>
                <w:noProof/>
                <w:lang w:val="es-ES"/>
              </w:rPr>
              <w:t>SE Diriamba - Sensibilidades</w:t>
            </w:r>
            <w:r w:rsidR="00C92C58">
              <w:rPr>
                <w:noProof/>
                <w:webHidden/>
              </w:rPr>
              <w:tab/>
            </w:r>
            <w:r w:rsidR="00C92C58">
              <w:rPr>
                <w:noProof/>
                <w:webHidden/>
              </w:rPr>
              <w:fldChar w:fldCharType="begin"/>
            </w:r>
            <w:r w:rsidR="00C92C58">
              <w:rPr>
                <w:noProof/>
                <w:webHidden/>
              </w:rPr>
              <w:instrText xml:space="preserve"> PAGEREF _Toc456353128 \h </w:instrText>
            </w:r>
            <w:r w:rsidR="00C92C58">
              <w:rPr>
                <w:noProof/>
                <w:webHidden/>
              </w:rPr>
            </w:r>
            <w:r w:rsidR="00C92C58">
              <w:rPr>
                <w:noProof/>
                <w:webHidden/>
              </w:rPr>
              <w:fldChar w:fldCharType="separate"/>
            </w:r>
            <w:r w:rsidR="00C92C58">
              <w:rPr>
                <w:noProof/>
                <w:webHidden/>
              </w:rPr>
              <w:t>31</w:t>
            </w:r>
            <w:r w:rsidR="00C92C58">
              <w:rPr>
                <w:noProof/>
                <w:webHidden/>
              </w:rPr>
              <w:fldChar w:fldCharType="end"/>
            </w:r>
          </w:hyperlink>
        </w:p>
        <w:p w14:paraId="278D2940" w14:textId="77777777" w:rsidR="00C92C58" w:rsidRDefault="00332BCA" w:rsidP="00C92C58">
          <w:pPr>
            <w:pStyle w:val="TOC1"/>
            <w:tabs>
              <w:tab w:val="left" w:pos="849"/>
            </w:tabs>
            <w:rPr>
              <w:rFonts w:asciiTheme="minorHAnsi" w:hAnsiTheme="minorHAnsi"/>
              <w:b w:val="0"/>
              <w:noProof/>
              <w:lang w:val="es-AR" w:eastAsia="es-AR"/>
            </w:rPr>
          </w:pPr>
          <w:hyperlink w:anchor="_Toc456353129" w:history="1">
            <w:r w:rsidR="00C92C58" w:rsidRPr="00F9268F">
              <w:rPr>
                <w:rStyle w:val="Hyperlink"/>
                <w:noProof/>
                <w:lang w:val="es-ES"/>
              </w:rPr>
              <w:t>3.3.3.</w:t>
            </w:r>
            <w:r w:rsidR="00C92C58">
              <w:rPr>
                <w:rFonts w:asciiTheme="minorHAnsi" w:hAnsiTheme="minorHAnsi"/>
                <w:b w:val="0"/>
                <w:noProof/>
                <w:lang w:val="es-AR" w:eastAsia="es-AR"/>
              </w:rPr>
              <w:tab/>
            </w:r>
            <w:r w:rsidR="00C92C58" w:rsidRPr="00F9268F">
              <w:rPr>
                <w:rStyle w:val="Hyperlink"/>
                <w:noProof/>
                <w:lang w:val="es-ES"/>
              </w:rPr>
              <w:t>SE San Benito</w:t>
            </w:r>
            <w:r w:rsidR="00C92C58">
              <w:rPr>
                <w:noProof/>
                <w:webHidden/>
              </w:rPr>
              <w:tab/>
            </w:r>
            <w:r w:rsidR="00C92C58">
              <w:rPr>
                <w:noProof/>
                <w:webHidden/>
              </w:rPr>
              <w:fldChar w:fldCharType="begin"/>
            </w:r>
            <w:r w:rsidR="00C92C58">
              <w:rPr>
                <w:noProof/>
                <w:webHidden/>
              </w:rPr>
              <w:instrText xml:space="preserve"> PAGEREF _Toc456353129 \h </w:instrText>
            </w:r>
            <w:r w:rsidR="00C92C58">
              <w:rPr>
                <w:noProof/>
                <w:webHidden/>
              </w:rPr>
            </w:r>
            <w:r w:rsidR="00C92C58">
              <w:rPr>
                <w:noProof/>
                <w:webHidden/>
              </w:rPr>
              <w:fldChar w:fldCharType="separate"/>
            </w:r>
            <w:r w:rsidR="00C92C58">
              <w:rPr>
                <w:noProof/>
                <w:webHidden/>
              </w:rPr>
              <w:t>31</w:t>
            </w:r>
            <w:r w:rsidR="00C92C58">
              <w:rPr>
                <w:noProof/>
                <w:webHidden/>
              </w:rPr>
              <w:fldChar w:fldCharType="end"/>
            </w:r>
          </w:hyperlink>
        </w:p>
        <w:p w14:paraId="6D74503E" w14:textId="77777777" w:rsidR="00C92C58" w:rsidRDefault="00332BCA" w:rsidP="00C92C58">
          <w:pPr>
            <w:pStyle w:val="TOC2"/>
            <w:tabs>
              <w:tab w:val="left" w:pos="1221"/>
              <w:tab w:val="right" w:leader="dot" w:pos="8495"/>
            </w:tabs>
            <w:rPr>
              <w:rFonts w:asciiTheme="minorHAnsi" w:hAnsiTheme="minorHAnsi"/>
              <w:noProof/>
              <w:lang w:val="es-AR" w:eastAsia="es-AR"/>
            </w:rPr>
          </w:pPr>
          <w:hyperlink w:anchor="_Toc456353130" w:history="1">
            <w:r w:rsidR="00C92C58" w:rsidRPr="00F9268F">
              <w:rPr>
                <w:rStyle w:val="Hyperlink"/>
                <w:noProof/>
                <w:lang w:val="es-ES"/>
              </w:rPr>
              <w:t>3.3.3.1.</w:t>
            </w:r>
            <w:r w:rsidR="00C92C58">
              <w:rPr>
                <w:rFonts w:asciiTheme="minorHAnsi" w:hAnsiTheme="minorHAnsi"/>
                <w:noProof/>
                <w:lang w:val="es-AR" w:eastAsia="es-AR"/>
              </w:rPr>
              <w:tab/>
            </w:r>
            <w:r w:rsidR="00C92C58" w:rsidRPr="00F9268F">
              <w:rPr>
                <w:rStyle w:val="Hyperlink"/>
                <w:noProof/>
                <w:lang w:val="es-ES"/>
              </w:rPr>
              <w:t>SE San Benito - Supuestos</w:t>
            </w:r>
            <w:r w:rsidR="00C92C58">
              <w:rPr>
                <w:noProof/>
                <w:webHidden/>
              </w:rPr>
              <w:tab/>
            </w:r>
            <w:r w:rsidR="00C92C58">
              <w:rPr>
                <w:noProof/>
                <w:webHidden/>
              </w:rPr>
              <w:fldChar w:fldCharType="begin"/>
            </w:r>
            <w:r w:rsidR="00C92C58">
              <w:rPr>
                <w:noProof/>
                <w:webHidden/>
              </w:rPr>
              <w:instrText xml:space="preserve"> PAGEREF _Toc456353130 \h </w:instrText>
            </w:r>
            <w:r w:rsidR="00C92C58">
              <w:rPr>
                <w:noProof/>
                <w:webHidden/>
              </w:rPr>
            </w:r>
            <w:r w:rsidR="00C92C58">
              <w:rPr>
                <w:noProof/>
                <w:webHidden/>
              </w:rPr>
              <w:fldChar w:fldCharType="separate"/>
            </w:r>
            <w:r w:rsidR="00C92C58">
              <w:rPr>
                <w:noProof/>
                <w:webHidden/>
              </w:rPr>
              <w:t>32</w:t>
            </w:r>
            <w:r w:rsidR="00C92C58">
              <w:rPr>
                <w:noProof/>
                <w:webHidden/>
              </w:rPr>
              <w:fldChar w:fldCharType="end"/>
            </w:r>
          </w:hyperlink>
        </w:p>
        <w:p w14:paraId="22374C1E" w14:textId="77777777" w:rsidR="00C92C58" w:rsidRDefault="00332BCA" w:rsidP="00C92C58">
          <w:pPr>
            <w:pStyle w:val="TOC2"/>
            <w:tabs>
              <w:tab w:val="left" w:pos="1221"/>
              <w:tab w:val="right" w:leader="dot" w:pos="8495"/>
            </w:tabs>
            <w:rPr>
              <w:rFonts w:asciiTheme="minorHAnsi" w:hAnsiTheme="minorHAnsi"/>
              <w:noProof/>
              <w:lang w:val="es-AR" w:eastAsia="es-AR"/>
            </w:rPr>
          </w:pPr>
          <w:hyperlink w:anchor="_Toc456353131" w:history="1">
            <w:r w:rsidR="00C92C58" w:rsidRPr="00F9268F">
              <w:rPr>
                <w:rStyle w:val="Hyperlink"/>
                <w:noProof/>
                <w:lang w:val="es-ES"/>
              </w:rPr>
              <w:t>3.3.3.2.</w:t>
            </w:r>
            <w:r w:rsidR="00C92C58">
              <w:rPr>
                <w:rFonts w:asciiTheme="minorHAnsi" w:hAnsiTheme="minorHAnsi"/>
                <w:noProof/>
                <w:lang w:val="es-AR" w:eastAsia="es-AR"/>
              </w:rPr>
              <w:tab/>
            </w:r>
            <w:r w:rsidR="00C92C58" w:rsidRPr="00F9268F">
              <w:rPr>
                <w:rStyle w:val="Hyperlink"/>
                <w:noProof/>
                <w:lang w:val="es-ES"/>
              </w:rPr>
              <w:t>SE San Benito – Evaluación</w:t>
            </w:r>
            <w:r w:rsidR="00C92C58">
              <w:rPr>
                <w:noProof/>
                <w:webHidden/>
              </w:rPr>
              <w:tab/>
            </w:r>
            <w:r w:rsidR="00C92C58">
              <w:rPr>
                <w:noProof/>
                <w:webHidden/>
              </w:rPr>
              <w:fldChar w:fldCharType="begin"/>
            </w:r>
            <w:r w:rsidR="00C92C58">
              <w:rPr>
                <w:noProof/>
                <w:webHidden/>
              </w:rPr>
              <w:instrText xml:space="preserve"> PAGEREF _Toc456353131 \h </w:instrText>
            </w:r>
            <w:r w:rsidR="00C92C58">
              <w:rPr>
                <w:noProof/>
                <w:webHidden/>
              </w:rPr>
            </w:r>
            <w:r w:rsidR="00C92C58">
              <w:rPr>
                <w:noProof/>
                <w:webHidden/>
              </w:rPr>
              <w:fldChar w:fldCharType="separate"/>
            </w:r>
            <w:r w:rsidR="00C92C58">
              <w:rPr>
                <w:noProof/>
                <w:webHidden/>
              </w:rPr>
              <w:t>33</w:t>
            </w:r>
            <w:r w:rsidR="00C92C58">
              <w:rPr>
                <w:noProof/>
                <w:webHidden/>
              </w:rPr>
              <w:fldChar w:fldCharType="end"/>
            </w:r>
          </w:hyperlink>
        </w:p>
        <w:p w14:paraId="3E6FDC76" w14:textId="77777777" w:rsidR="00C92C58" w:rsidRDefault="00332BCA" w:rsidP="00C92C58">
          <w:pPr>
            <w:pStyle w:val="TOC2"/>
            <w:tabs>
              <w:tab w:val="left" w:pos="1221"/>
              <w:tab w:val="right" w:leader="dot" w:pos="8495"/>
            </w:tabs>
            <w:rPr>
              <w:rFonts w:asciiTheme="minorHAnsi" w:hAnsiTheme="minorHAnsi"/>
              <w:noProof/>
              <w:lang w:val="es-AR" w:eastAsia="es-AR"/>
            </w:rPr>
          </w:pPr>
          <w:hyperlink w:anchor="_Toc456353132" w:history="1">
            <w:r w:rsidR="00C92C58" w:rsidRPr="00F9268F">
              <w:rPr>
                <w:rStyle w:val="Hyperlink"/>
                <w:noProof/>
                <w:lang w:val="es-ES"/>
              </w:rPr>
              <w:t>3.3.3.3.</w:t>
            </w:r>
            <w:r w:rsidR="00C92C58">
              <w:rPr>
                <w:rFonts w:asciiTheme="minorHAnsi" w:hAnsiTheme="minorHAnsi"/>
                <w:noProof/>
                <w:lang w:val="es-AR" w:eastAsia="es-AR"/>
              </w:rPr>
              <w:tab/>
            </w:r>
            <w:r w:rsidR="00C92C58" w:rsidRPr="00F9268F">
              <w:rPr>
                <w:rStyle w:val="Hyperlink"/>
                <w:noProof/>
                <w:lang w:val="es-ES"/>
              </w:rPr>
              <w:t>SE San Benito - Sensibilidades</w:t>
            </w:r>
            <w:r w:rsidR="00C92C58">
              <w:rPr>
                <w:noProof/>
                <w:webHidden/>
              </w:rPr>
              <w:tab/>
            </w:r>
            <w:r w:rsidR="00C92C58">
              <w:rPr>
                <w:noProof/>
                <w:webHidden/>
              </w:rPr>
              <w:fldChar w:fldCharType="begin"/>
            </w:r>
            <w:r w:rsidR="00C92C58">
              <w:rPr>
                <w:noProof/>
                <w:webHidden/>
              </w:rPr>
              <w:instrText xml:space="preserve"> PAGEREF _Toc456353132 \h </w:instrText>
            </w:r>
            <w:r w:rsidR="00C92C58">
              <w:rPr>
                <w:noProof/>
                <w:webHidden/>
              </w:rPr>
            </w:r>
            <w:r w:rsidR="00C92C58">
              <w:rPr>
                <w:noProof/>
                <w:webHidden/>
              </w:rPr>
              <w:fldChar w:fldCharType="separate"/>
            </w:r>
            <w:r w:rsidR="00C92C58">
              <w:rPr>
                <w:noProof/>
                <w:webHidden/>
              </w:rPr>
              <w:t>34</w:t>
            </w:r>
            <w:r w:rsidR="00C92C58">
              <w:rPr>
                <w:noProof/>
                <w:webHidden/>
              </w:rPr>
              <w:fldChar w:fldCharType="end"/>
            </w:r>
          </w:hyperlink>
        </w:p>
        <w:p w14:paraId="6469723B" w14:textId="77777777" w:rsidR="00C92C58" w:rsidRDefault="00332BCA" w:rsidP="00C92C58">
          <w:pPr>
            <w:pStyle w:val="TOC1"/>
            <w:tabs>
              <w:tab w:val="left" w:pos="849"/>
            </w:tabs>
            <w:rPr>
              <w:rFonts w:asciiTheme="minorHAnsi" w:hAnsiTheme="minorHAnsi"/>
              <w:b w:val="0"/>
              <w:noProof/>
              <w:lang w:val="es-AR" w:eastAsia="es-AR"/>
            </w:rPr>
          </w:pPr>
          <w:hyperlink w:anchor="_Toc456353133" w:history="1">
            <w:r w:rsidR="00C92C58" w:rsidRPr="00F9268F">
              <w:rPr>
                <w:rStyle w:val="Hyperlink"/>
                <w:noProof/>
                <w:lang w:val="es-ES"/>
              </w:rPr>
              <w:t>3.3.4.</w:t>
            </w:r>
            <w:r w:rsidR="00C92C58">
              <w:rPr>
                <w:rFonts w:asciiTheme="minorHAnsi" w:hAnsiTheme="minorHAnsi"/>
                <w:b w:val="0"/>
                <w:noProof/>
                <w:lang w:val="es-AR" w:eastAsia="es-AR"/>
              </w:rPr>
              <w:tab/>
            </w:r>
            <w:r w:rsidR="00C92C58" w:rsidRPr="00F9268F">
              <w:rPr>
                <w:rStyle w:val="Hyperlink"/>
                <w:noProof/>
                <w:lang w:val="es-ES"/>
              </w:rPr>
              <w:t>SE Catarina</w:t>
            </w:r>
            <w:r w:rsidR="00C92C58">
              <w:rPr>
                <w:noProof/>
                <w:webHidden/>
              </w:rPr>
              <w:tab/>
            </w:r>
            <w:r w:rsidR="00C92C58">
              <w:rPr>
                <w:noProof/>
                <w:webHidden/>
              </w:rPr>
              <w:fldChar w:fldCharType="begin"/>
            </w:r>
            <w:r w:rsidR="00C92C58">
              <w:rPr>
                <w:noProof/>
                <w:webHidden/>
              </w:rPr>
              <w:instrText xml:space="preserve"> PAGEREF _Toc456353133 \h </w:instrText>
            </w:r>
            <w:r w:rsidR="00C92C58">
              <w:rPr>
                <w:noProof/>
                <w:webHidden/>
              </w:rPr>
            </w:r>
            <w:r w:rsidR="00C92C58">
              <w:rPr>
                <w:noProof/>
                <w:webHidden/>
              </w:rPr>
              <w:fldChar w:fldCharType="separate"/>
            </w:r>
            <w:r w:rsidR="00C92C58">
              <w:rPr>
                <w:noProof/>
                <w:webHidden/>
              </w:rPr>
              <w:t>34</w:t>
            </w:r>
            <w:r w:rsidR="00C92C58">
              <w:rPr>
                <w:noProof/>
                <w:webHidden/>
              </w:rPr>
              <w:fldChar w:fldCharType="end"/>
            </w:r>
          </w:hyperlink>
        </w:p>
        <w:p w14:paraId="3C5039B2" w14:textId="77777777" w:rsidR="00C92C58" w:rsidRDefault="00332BCA" w:rsidP="00C92C58">
          <w:pPr>
            <w:pStyle w:val="TOC2"/>
            <w:tabs>
              <w:tab w:val="left" w:pos="1221"/>
              <w:tab w:val="right" w:leader="dot" w:pos="8495"/>
            </w:tabs>
            <w:rPr>
              <w:rFonts w:asciiTheme="minorHAnsi" w:hAnsiTheme="minorHAnsi"/>
              <w:noProof/>
              <w:lang w:val="es-AR" w:eastAsia="es-AR"/>
            </w:rPr>
          </w:pPr>
          <w:hyperlink w:anchor="_Toc456353134" w:history="1">
            <w:r w:rsidR="00C92C58" w:rsidRPr="00F9268F">
              <w:rPr>
                <w:rStyle w:val="Hyperlink"/>
                <w:noProof/>
                <w:lang w:val="es-ES"/>
              </w:rPr>
              <w:t>3.3.4.1.</w:t>
            </w:r>
            <w:r w:rsidR="00C92C58">
              <w:rPr>
                <w:rFonts w:asciiTheme="minorHAnsi" w:hAnsiTheme="minorHAnsi"/>
                <w:noProof/>
                <w:lang w:val="es-AR" w:eastAsia="es-AR"/>
              </w:rPr>
              <w:tab/>
            </w:r>
            <w:r w:rsidR="00C92C58" w:rsidRPr="00F9268F">
              <w:rPr>
                <w:rStyle w:val="Hyperlink"/>
                <w:noProof/>
                <w:lang w:val="es-ES"/>
              </w:rPr>
              <w:t>SE Catarina - Supuestos</w:t>
            </w:r>
            <w:r w:rsidR="00C92C58">
              <w:rPr>
                <w:noProof/>
                <w:webHidden/>
              </w:rPr>
              <w:tab/>
            </w:r>
            <w:r w:rsidR="00C92C58">
              <w:rPr>
                <w:noProof/>
                <w:webHidden/>
              </w:rPr>
              <w:fldChar w:fldCharType="begin"/>
            </w:r>
            <w:r w:rsidR="00C92C58">
              <w:rPr>
                <w:noProof/>
                <w:webHidden/>
              </w:rPr>
              <w:instrText xml:space="preserve"> PAGEREF _Toc456353134 \h </w:instrText>
            </w:r>
            <w:r w:rsidR="00C92C58">
              <w:rPr>
                <w:noProof/>
                <w:webHidden/>
              </w:rPr>
            </w:r>
            <w:r w:rsidR="00C92C58">
              <w:rPr>
                <w:noProof/>
                <w:webHidden/>
              </w:rPr>
              <w:fldChar w:fldCharType="separate"/>
            </w:r>
            <w:r w:rsidR="00C92C58">
              <w:rPr>
                <w:noProof/>
                <w:webHidden/>
              </w:rPr>
              <w:t>35</w:t>
            </w:r>
            <w:r w:rsidR="00C92C58">
              <w:rPr>
                <w:noProof/>
                <w:webHidden/>
              </w:rPr>
              <w:fldChar w:fldCharType="end"/>
            </w:r>
          </w:hyperlink>
        </w:p>
        <w:p w14:paraId="6CC22998" w14:textId="77777777" w:rsidR="00C92C58" w:rsidRDefault="00332BCA" w:rsidP="00C92C58">
          <w:pPr>
            <w:pStyle w:val="TOC2"/>
            <w:tabs>
              <w:tab w:val="left" w:pos="1221"/>
              <w:tab w:val="right" w:leader="dot" w:pos="8495"/>
            </w:tabs>
            <w:rPr>
              <w:rFonts w:asciiTheme="minorHAnsi" w:hAnsiTheme="minorHAnsi"/>
              <w:noProof/>
              <w:lang w:val="es-AR" w:eastAsia="es-AR"/>
            </w:rPr>
          </w:pPr>
          <w:hyperlink w:anchor="_Toc456353135" w:history="1">
            <w:r w:rsidR="00C92C58" w:rsidRPr="00F9268F">
              <w:rPr>
                <w:rStyle w:val="Hyperlink"/>
                <w:noProof/>
                <w:lang w:val="es-ES"/>
              </w:rPr>
              <w:t>3.3.4.2.</w:t>
            </w:r>
            <w:r w:rsidR="00C92C58">
              <w:rPr>
                <w:rFonts w:asciiTheme="minorHAnsi" w:hAnsiTheme="minorHAnsi"/>
                <w:noProof/>
                <w:lang w:val="es-AR" w:eastAsia="es-AR"/>
              </w:rPr>
              <w:tab/>
            </w:r>
            <w:r w:rsidR="00C92C58" w:rsidRPr="00F9268F">
              <w:rPr>
                <w:rStyle w:val="Hyperlink"/>
                <w:noProof/>
                <w:lang w:val="es-ES"/>
              </w:rPr>
              <w:t>SE Catarina – Evaluación</w:t>
            </w:r>
            <w:r w:rsidR="00C92C58">
              <w:rPr>
                <w:noProof/>
                <w:webHidden/>
              </w:rPr>
              <w:tab/>
            </w:r>
            <w:r w:rsidR="00C92C58">
              <w:rPr>
                <w:noProof/>
                <w:webHidden/>
              </w:rPr>
              <w:fldChar w:fldCharType="begin"/>
            </w:r>
            <w:r w:rsidR="00C92C58">
              <w:rPr>
                <w:noProof/>
                <w:webHidden/>
              </w:rPr>
              <w:instrText xml:space="preserve"> PAGEREF _Toc456353135 \h </w:instrText>
            </w:r>
            <w:r w:rsidR="00C92C58">
              <w:rPr>
                <w:noProof/>
                <w:webHidden/>
              </w:rPr>
            </w:r>
            <w:r w:rsidR="00C92C58">
              <w:rPr>
                <w:noProof/>
                <w:webHidden/>
              </w:rPr>
              <w:fldChar w:fldCharType="separate"/>
            </w:r>
            <w:r w:rsidR="00C92C58">
              <w:rPr>
                <w:noProof/>
                <w:webHidden/>
              </w:rPr>
              <w:t>36</w:t>
            </w:r>
            <w:r w:rsidR="00C92C58">
              <w:rPr>
                <w:noProof/>
                <w:webHidden/>
              </w:rPr>
              <w:fldChar w:fldCharType="end"/>
            </w:r>
          </w:hyperlink>
        </w:p>
        <w:p w14:paraId="6FC29471" w14:textId="77777777" w:rsidR="00C92C58" w:rsidRDefault="00332BCA" w:rsidP="00C92C58">
          <w:pPr>
            <w:pStyle w:val="TOC2"/>
            <w:tabs>
              <w:tab w:val="left" w:pos="1221"/>
              <w:tab w:val="right" w:leader="dot" w:pos="8495"/>
            </w:tabs>
            <w:rPr>
              <w:rFonts w:asciiTheme="minorHAnsi" w:hAnsiTheme="minorHAnsi"/>
              <w:noProof/>
              <w:lang w:val="es-AR" w:eastAsia="es-AR"/>
            </w:rPr>
          </w:pPr>
          <w:hyperlink w:anchor="_Toc456353136" w:history="1">
            <w:r w:rsidR="00C92C58" w:rsidRPr="00F9268F">
              <w:rPr>
                <w:rStyle w:val="Hyperlink"/>
                <w:noProof/>
                <w:lang w:val="es-ES"/>
              </w:rPr>
              <w:t>3.3.4.3.</w:t>
            </w:r>
            <w:r w:rsidR="00C92C58">
              <w:rPr>
                <w:rFonts w:asciiTheme="minorHAnsi" w:hAnsiTheme="minorHAnsi"/>
                <w:noProof/>
                <w:lang w:val="es-AR" w:eastAsia="es-AR"/>
              </w:rPr>
              <w:tab/>
            </w:r>
            <w:r w:rsidR="00C92C58" w:rsidRPr="00F9268F">
              <w:rPr>
                <w:rStyle w:val="Hyperlink"/>
                <w:noProof/>
                <w:lang w:val="es-ES"/>
              </w:rPr>
              <w:t>SE Catarina - Sensibilidades</w:t>
            </w:r>
            <w:r w:rsidR="00C92C58">
              <w:rPr>
                <w:noProof/>
                <w:webHidden/>
              </w:rPr>
              <w:tab/>
            </w:r>
            <w:r w:rsidR="00C92C58">
              <w:rPr>
                <w:noProof/>
                <w:webHidden/>
              </w:rPr>
              <w:fldChar w:fldCharType="begin"/>
            </w:r>
            <w:r w:rsidR="00C92C58">
              <w:rPr>
                <w:noProof/>
                <w:webHidden/>
              </w:rPr>
              <w:instrText xml:space="preserve"> PAGEREF _Toc456353136 \h </w:instrText>
            </w:r>
            <w:r w:rsidR="00C92C58">
              <w:rPr>
                <w:noProof/>
                <w:webHidden/>
              </w:rPr>
            </w:r>
            <w:r w:rsidR="00C92C58">
              <w:rPr>
                <w:noProof/>
                <w:webHidden/>
              </w:rPr>
              <w:fldChar w:fldCharType="separate"/>
            </w:r>
            <w:r w:rsidR="00C92C58">
              <w:rPr>
                <w:noProof/>
                <w:webHidden/>
              </w:rPr>
              <w:t>37</w:t>
            </w:r>
            <w:r w:rsidR="00C92C58">
              <w:rPr>
                <w:noProof/>
                <w:webHidden/>
              </w:rPr>
              <w:fldChar w:fldCharType="end"/>
            </w:r>
          </w:hyperlink>
        </w:p>
        <w:p w14:paraId="16C5A65E" w14:textId="77777777" w:rsidR="00C92C58" w:rsidRDefault="00332BCA" w:rsidP="00C92C58">
          <w:pPr>
            <w:pStyle w:val="TOC1"/>
            <w:tabs>
              <w:tab w:val="left" w:pos="639"/>
            </w:tabs>
            <w:rPr>
              <w:rFonts w:asciiTheme="minorHAnsi" w:hAnsiTheme="minorHAnsi"/>
              <w:b w:val="0"/>
              <w:noProof/>
              <w:lang w:val="es-AR" w:eastAsia="es-AR"/>
            </w:rPr>
          </w:pPr>
          <w:hyperlink w:anchor="_Toc456353137" w:history="1">
            <w:r w:rsidR="00C92C58" w:rsidRPr="00F9268F">
              <w:rPr>
                <w:rStyle w:val="Hyperlink"/>
                <w:noProof/>
                <w:lang w:val="es-ES"/>
              </w:rPr>
              <w:t>3.4.</w:t>
            </w:r>
            <w:r w:rsidR="00C92C58">
              <w:rPr>
                <w:rFonts w:asciiTheme="minorHAnsi" w:hAnsiTheme="minorHAnsi"/>
                <w:b w:val="0"/>
                <w:noProof/>
                <w:lang w:val="es-AR" w:eastAsia="es-AR"/>
              </w:rPr>
              <w:tab/>
            </w:r>
            <w:r w:rsidR="00C92C58" w:rsidRPr="00F9268F">
              <w:rPr>
                <w:rStyle w:val="Hyperlink"/>
                <w:noProof/>
                <w:lang w:val="es-ES"/>
              </w:rPr>
              <w:t>Modernización SE Ticuantepe I y Ampliación SE Ticuantepe II</w:t>
            </w:r>
            <w:r w:rsidR="00C92C58">
              <w:rPr>
                <w:noProof/>
                <w:webHidden/>
              </w:rPr>
              <w:tab/>
            </w:r>
            <w:r w:rsidR="00C92C58">
              <w:rPr>
                <w:noProof/>
                <w:webHidden/>
              </w:rPr>
              <w:fldChar w:fldCharType="begin"/>
            </w:r>
            <w:r w:rsidR="00C92C58">
              <w:rPr>
                <w:noProof/>
                <w:webHidden/>
              </w:rPr>
              <w:instrText xml:space="preserve"> PAGEREF _Toc456353137 \h </w:instrText>
            </w:r>
            <w:r w:rsidR="00C92C58">
              <w:rPr>
                <w:noProof/>
                <w:webHidden/>
              </w:rPr>
            </w:r>
            <w:r w:rsidR="00C92C58">
              <w:rPr>
                <w:noProof/>
                <w:webHidden/>
              </w:rPr>
              <w:fldChar w:fldCharType="separate"/>
            </w:r>
            <w:r w:rsidR="00C92C58">
              <w:rPr>
                <w:noProof/>
                <w:webHidden/>
              </w:rPr>
              <w:t>38</w:t>
            </w:r>
            <w:r w:rsidR="00C92C58">
              <w:rPr>
                <w:noProof/>
                <w:webHidden/>
              </w:rPr>
              <w:fldChar w:fldCharType="end"/>
            </w:r>
          </w:hyperlink>
        </w:p>
        <w:p w14:paraId="378C2C9B" w14:textId="77777777" w:rsidR="00C92C58" w:rsidRDefault="00332BCA" w:rsidP="00C92C58">
          <w:pPr>
            <w:pStyle w:val="TOC1"/>
            <w:tabs>
              <w:tab w:val="left" w:pos="849"/>
            </w:tabs>
            <w:rPr>
              <w:rFonts w:asciiTheme="minorHAnsi" w:hAnsiTheme="minorHAnsi"/>
              <w:b w:val="0"/>
              <w:noProof/>
              <w:lang w:val="es-AR" w:eastAsia="es-AR"/>
            </w:rPr>
          </w:pPr>
          <w:hyperlink w:anchor="_Toc456353138" w:history="1">
            <w:r w:rsidR="00C92C58" w:rsidRPr="00F9268F">
              <w:rPr>
                <w:rStyle w:val="Hyperlink"/>
                <w:noProof/>
                <w:lang w:val="es-ES"/>
              </w:rPr>
              <w:t>3.4.1.</w:t>
            </w:r>
            <w:r w:rsidR="00C92C58">
              <w:rPr>
                <w:rFonts w:asciiTheme="minorHAnsi" w:hAnsiTheme="minorHAnsi"/>
                <w:b w:val="0"/>
                <w:noProof/>
                <w:lang w:val="es-AR" w:eastAsia="es-AR"/>
              </w:rPr>
              <w:tab/>
            </w:r>
            <w:r w:rsidR="00C92C58" w:rsidRPr="00F9268F">
              <w:rPr>
                <w:rStyle w:val="Hyperlink"/>
                <w:noProof/>
                <w:lang w:val="es-ES"/>
              </w:rPr>
              <w:t>Modernización y ampliación SE Ticuantepe I y II – Supuestos</w:t>
            </w:r>
            <w:r w:rsidR="00C92C58">
              <w:rPr>
                <w:noProof/>
                <w:webHidden/>
              </w:rPr>
              <w:tab/>
            </w:r>
            <w:r w:rsidR="00C92C58">
              <w:rPr>
                <w:noProof/>
                <w:webHidden/>
              </w:rPr>
              <w:fldChar w:fldCharType="begin"/>
            </w:r>
            <w:r w:rsidR="00C92C58">
              <w:rPr>
                <w:noProof/>
                <w:webHidden/>
              </w:rPr>
              <w:instrText xml:space="preserve"> PAGEREF _Toc456353138 \h </w:instrText>
            </w:r>
            <w:r w:rsidR="00C92C58">
              <w:rPr>
                <w:noProof/>
                <w:webHidden/>
              </w:rPr>
            </w:r>
            <w:r w:rsidR="00C92C58">
              <w:rPr>
                <w:noProof/>
                <w:webHidden/>
              </w:rPr>
              <w:fldChar w:fldCharType="separate"/>
            </w:r>
            <w:r w:rsidR="00C92C58">
              <w:rPr>
                <w:noProof/>
                <w:webHidden/>
              </w:rPr>
              <w:t>39</w:t>
            </w:r>
            <w:r w:rsidR="00C92C58">
              <w:rPr>
                <w:noProof/>
                <w:webHidden/>
              </w:rPr>
              <w:fldChar w:fldCharType="end"/>
            </w:r>
          </w:hyperlink>
        </w:p>
        <w:p w14:paraId="17980297" w14:textId="77777777" w:rsidR="00C92C58" w:rsidRDefault="00332BCA" w:rsidP="00C92C58">
          <w:pPr>
            <w:pStyle w:val="TOC1"/>
            <w:tabs>
              <w:tab w:val="left" w:pos="849"/>
            </w:tabs>
            <w:rPr>
              <w:rFonts w:asciiTheme="minorHAnsi" w:hAnsiTheme="minorHAnsi"/>
              <w:b w:val="0"/>
              <w:noProof/>
              <w:lang w:val="es-AR" w:eastAsia="es-AR"/>
            </w:rPr>
          </w:pPr>
          <w:hyperlink w:anchor="_Toc456353139" w:history="1">
            <w:r w:rsidR="00C92C58" w:rsidRPr="00F9268F">
              <w:rPr>
                <w:rStyle w:val="Hyperlink"/>
                <w:noProof/>
                <w:lang w:val="es-ES"/>
              </w:rPr>
              <w:t>3.4.2.</w:t>
            </w:r>
            <w:r w:rsidR="00C92C58">
              <w:rPr>
                <w:rFonts w:asciiTheme="minorHAnsi" w:hAnsiTheme="minorHAnsi"/>
                <w:b w:val="0"/>
                <w:noProof/>
                <w:lang w:val="es-AR" w:eastAsia="es-AR"/>
              </w:rPr>
              <w:tab/>
            </w:r>
            <w:r w:rsidR="00C92C58" w:rsidRPr="00F9268F">
              <w:rPr>
                <w:rStyle w:val="Hyperlink"/>
                <w:noProof/>
                <w:lang w:val="es-ES"/>
              </w:rPr>
              <w:t>Modernización y ampliación SE Ticuantepe I y II - Evaluación</w:t>
            </w:r>
            <w:r w:rsidR="00C92C58">
              <w:rPr>
                <w:noProof/>
                <w:webHidden/>
              </w:rPr>
              <w:tab/>
            </w:r>
            <w:r w:rsidR="00C92C58">
              <w:rPr>
                <w:noProof/>
                <w:webHidden/>
              </w:rPr>
              <w:fldChar w:fldCharType="begin"/>
            </w:r>
            <w:r w:rsidR="00C92C58">
              <w:rPr>
                <w:noProof/>
                <w:webHidden/>
              </w:rPr>
              <w:instrText xml:space="preserve"> PAGEREF _Toc456353139 \h </w:instrText>
            </w:r>
            <w:r w:rsidR="00C92C58">
              <w:rPr>
                <w:noProof/>
                <w:webHidden/>
              </w:rPr>
            </w:r>
            <w:r w:rsidR="00C92C58">
              <w:rPr>
                <w:noProof/>
                <w:webHidden/>
              </w:rPr>
              <w:fldChar w:fldCharType="separate"/>
            </w:r>
            <w:r w:rsidR="00C92C58">
              <w:rPr>
                <w:noProof/>
                <w:webHidden/>
              </w:rPr>
              <w:t>40</w:t>
            </w:r>
            <w:r w:rsidR="00C92C58">
              <w:rPr>
                <w:noProof/>
                <w:webHidden/>
              </w:rPr>
              <w:fldChar w:fldCharType="end"/>
            </w:r>
          </w:hyperlink>
        </w:p>
        <w:p w14:paraId="3DA80AE3" w14:textId="77777777" w:rsidR="00C92C58" w:rsidRDefault="00332BCA" w:rsidP="00C92C58">
          <w:pPr>
            <w:pStyle w:val="TOC1"/>
            <w:tabs>
              <w:tab w:val="left" w:pos="849"/>
            </w:tabs>
            <w:rPr>
              <w:rFonts w:asciiTheme="minorHAnsi" w:hAnsiTheme="minorHAnsi"/>
              <w:b w:val="0"/>
              <w:noProof/>
              <w:lang w:val="es-AR" w:eastAsia="es-AR"/>
            </w:rPr>
          </w:pPr>
          <w:hyperlink w:anchor="_Toc456353140" w:history="1">
            <w:r w:rsidR="00C92C58" w:rsidRPr="00F9268F">
              <w:rPr>
                <w:rStyle w:val="Hyperlink"/>
                <w:noProof/>
                <w:lang w:val="es-ES"/>
              </w:rPr>
              <w:t>3.4.3.</w:t>
            </w:r>
            <w:r w:rsidR="00C92C58">
              <w:rPr>
                <w:rFonts w:asciiTheme="minorHAnsi" w:hAnsiTheme="minorHAnsi"/>
                <w:b w:val="0"/>
                <w:noProof/>
                <w:lang w:val="es-AR" w:eastAsia="es-AR"/>
              </w:rPr>
              <w:tab/>
            </w:r>
            <w:r w:rsidR="00C92C58" w:rsidRPr="00F9268F">
              <w:rPr>
                <w:rStyle w:val="Hyperlink"/>
                <w:noProof/>
                <w:lang w:val="es-ES"/>
              </w:rPr>
              <w:t>Modernización y ampliación SE Ticuantepe I y II – Sensibilidades</w:t>
            </w:r>
            <w:r w:rsidR="00C92C58">
              <w:rPr>
                <w:noProof/>
                <w:webHidden/>
              </w:rPr>
              <w:tab/>
            </w:r>
            <w:r w:rsidR="00C92C58">
              <w:rPr>
                <w:noProof/>
                <w:webHidden/>
              </w:rPr>
              <w:fldChar w:fldCharType="begin"/>
            </w:r>
            <w:r w:rsidR="00C92C58">
              <w:rPr>
                <w:noProof/>
                <w:webHidden/>
              </w:rPr>
              <w:instrText xml:space="preserve"> PAGEREF _Toc456353140 \h </w:instrText>
            </w:r>
            <w:r w:rsidR="00C92C58">
              <w:rPr>
                <w:noProof/>
                <w:webHidden/>
              </w:rPr>
            </w:r>
            <w:r w:rsidR="00C92C58">
              <w:rPr>
                <w:noProof/>
                <w:webHidden/>
              </w:rPr>
              <w:fldChar w:fldCharType="separate"/>
            </w:r>
            <w:r w:rsidR="00C92C58">
              <w:rPr>
                <w:noProof/>
                <w:webHidden/>
              </w:rPr>
              <w:t>41</w:t>
            </w:r>
            <w:r w:rsidR="00C92C58">
              <w:rPr>
                <w:noProof/>
                <w:webHidden/>
              </w:rPr>
              <w:fldChar w:fldCharType="end"/>
            </w:r>
          </w:hyperlink>
        </w:p>
        <w:p w14:paraId="72B66A7F" w14:textId="77777777" w:rsidR="00C92C58" w:rsidRDefault="00332BCA" w:rsidP="00C92C58">
          <w:pPr>
            <w:pStyle w:val="TOC1"/>
            <w:tabs>
              <w:tab w:val="left" w:pos="639"/>
            </w:tabs>
            <w:rPr>
              <w:rFonts w:asciiTheme="minorHAnsi" w:hAnsiTheme="minorHAnsi"/>
              <w:b w:val="0"/>
              <w:noProof/>
              <w:lang w:val="es-AR" w:eastAsia="es-AR"/>
            </w:rPr>
          </w:pPr>
          <w:hyperlink w:anchor="_Toc456353141" w:history="1">
            <w:r w:rsidR="00C92C58" w:rsidRPr="00F9268F">
              <w:rPr>
                <w:rStyle w:val="Hyperlink"/>
                <w:noProof/>
                <w:lang w:val="es-ES"/>
              </w:rPr>
              <w:t>3.5.</w:t>
            </w:r>
            <w:r w:rsidR="00C92C58">
              <w:rPr>
                <w:rFonts w:asciiTheme="minorHAnsi" w:hAnsiTheme="minorHAnsi"/>
                <w:b w:val="0"/>
                <w:noProof/>
                <w:lang w:val="es-AR" w:eastAsia="es-AR"/>
              </w:rPr>
              <w:tab/>
            </w:r>
            <w:r w:rsidR="00C92C58" w:rsidRPr="00F9268F">
              <w:rPr>
                <w:rStyle w:val="Hyperlink"/>
                <w:noProof/>
                <w:lang w:val="es-ES"/>
              </w:rPr>
              <w:t>Adquisición de 1 Transformador Móvil</w:t>
            </w:r>
            <w:r w:rsidR="00C92C58">
              <w:rPr>
                <w:noProof/>
                <w:webHidden/>
              </w:rPr>
              <w:tab/>
            </w:r>
            <w:r w:rsidR="00C92C58">
              <w:rPr>
                <w:noProof/>
                <w:webHidden/>
              </w:rPr>
              <w:fldChar w:fldCharType="begin"/>
            </w:r>
            <w:r w:rsidR="00C92C58">
              <w:rPr>
                <w:noProof/>
                <w:webHidden/>
              </w:rPr>
              <w:instrText xml:space="preserve"> PAGEREF _Toc456353141 \h </w:instrText>
            </w:r>
            <w:r w:rsidR="00C92C58">
              <w:rPr>
                <w:noProof/>
                <w:webHidden/>
              </w:rPr>
            </w:r>
            <w:r w:rsidR="00C92C58">
              <w:rPr>
                <w:noProof/>
                <w:webHidden/>
              </w:rPr>
              <w:fldChar w:fldCharType="separate"/>
            </w:r>
            <w:r w:rsidR="00C92C58">
              <w:rPr>
                <w:noProof/>
                <w:webHidden/>
              </w:rPr>
              <w:t>42</w:t>
            </w:r>
            <w:r w:rsidR="00C92C58">
              <w:rPr>
                <w:noProof/>
                <w:webHidden/>
              </w:rPr>
              <w:fldChar w:fldCharType="end"/>
            </w:r>
          </w:hyperlink>
        </w:p>
        <w:p w14:paraId="5B2087A4" w14:textId="77777777" w:rsidR="00C92C58" w:rsidRDefault="00332BCA" w:rsidP="00C92C58">
          <w:pPr>
            <w:pStyle w:val="TOC1"/>
            <w:tabs>
              <w:tab w:val="left" w:pos="849"/>
            </w:tabs>
            <w:rPr>
              <w:rFonts w:asciiTheme="minorHAnsi" w:hAnsiTheme="minorHAnsi"/>
              <w:b w:val="0"/>
              <w:noProof/>
              <w:lang w:val="es-AR" w:eastAsia="es-AR"/>
            </w:rPr>
          </w:pPr>
          <w:hyperlink w:anchor="_Toc456353142" w:history="1">
            <w:r w:rsidR="00C92C58" w:rsidRPr="00F9268F">
              <w:rPr>
                <w:rStyle w:val="Hyperlink"/>
                <w:noProof/>
                <w:lang w:val="es-ES"/>
              </w:rPr>
              <w:t>3.5.1.</w:t>
            </w:r>
            <w:r w:rsidR="00C92C58">
              <w:rPr>
                <w:rFonts w:asciiTheme="minorHAnsi" w:hAnsiTheme="minorHAnsi"/>
                <w:b w:val="0"/>
                <w:noProof/>
                <w:lang w:val="es-AR" w:eastAsia="es-AR"/>
              </w:rPr>
              <w:tab/>
            </w:r>
            <w:r w:rsidR="00C92C58" w:rsidRPr="00F9268F">
              <w:rPr>
                <w:rStyle w:val="Hyperlink"/>
                <w:noProof/>
                <w:lang w:val="es-ES"/>
              </w:rPr>
              <w:t>Adquisición Transformador Móvil – Supuestos</w:t>
            </w:r>
            <w:r w:rsidR="00C92C58">
              <w:rPr>
                <w:noProof/>
                <w:webHidden/>
              </w:rPr>
              <w:tab/>
            </w:r>
            <w:r w:rsidR="00C92C58">
              <w:rPr>
                <w:noProof/>
                <w:webHidden/>
              </w:rPr>
              <w:fldChar w:fldCharType="begin"/>
            </w:r>
            <w:r w:rsidR="00C92C58">
              <w:rPr>
                <w:noProof/>
                <w:webHidden/>
              </w:rPr>
              <w:instrText xml:space="preserve"> PAGEREF _Toc456353142 \h </w:instrText>
            </w:r>
            <w:r w:rsidR="00C92C58">
              <w:rPr>
                <w:noProof/>
                <w:webHidden/>
              </w:rPr>
            </w:r>
            <w:r w:rsidR="00C92C58">
              <w:rPr>
                <w:noProof/>
                <w:webHidden/>
              </w:rPr>
              <w:fldChar w:fldCharType="separate"/>
            </w:r>
            <w:r w:rsidR="00C92C58">
              <w:rPr>
                <w:noProof/>
                <w:webHidden/>
              </w:rPr>
              <w:t>43</w:t>
            </w:r>
            <w:r w:rsidR="00C92C58">
              <w:rPr>
                <w:noProof/>
                <w:webHidden/>
              </w:rPr>
              <w:fldChar w:fldCharType="end"/>
            </w:r>
          </w:hyperlink>
        </w:p>
        <w:p w14:paraId="0A008203" w14:textId="77777777" w:rsidR="00C92C58" w:rsidRDefault="00332BCA" w:rsidP="00C92C58">
          <w:pPr>
            <w:pStyle w:val="TOC1"/>
            <w:tabs>
              <w:tab w:val="left" w:pos="849"/>
            </w:tabs>
            <w:rPr>
              <w:rFonts w:asciiTheme="minorHAnsi" w:hAnsiTheme="minorHAnsi"/>
              <w:b w:val="0"/>
              <w:noProof/>
              <w:lang w:val="es-AR" w:eastAsia="es-AR"/>
            </w:rPr>
          </w:pPr>
          <w:hyperlink w:anchor="_Toc456353143" w:history="1">
            <w:r w:rsidR="00C92C58" w:rsidRPr="00F9268F">
              <w:rPr>
                <w:rStyle w:val="Hyperlink"/>
                <w:noProof/>
                <w:lang w:val="es-ES"/>
              </w:rPr>
              <w:t>3.5.2.</w:t>
            </w:r>
            <w:r w:rsidR="00C92C58">
              <w:rPr>
                <w:rFonts w:asciiTheme="minorHAnsi" w:hAnsiTheme="minorHAnsi"/>
                <w:b w:val="0"/>
                <w:noProof/>
                <w:lang w:val="es-AR" w:eastAsia="es-AR"/>
              </w:rPr>
              <w:tab/>
            </w:r>
            <w:r w:rsidR="00C92C58" w:rsidRPr="00F9268F">
              <w:rPr>
                <w:rStyle w:val="Hyperlink"/>
                <w:noProof/>
                <w:lang w:val="es-ES"/>
              </w:rPr>
              <w:t>Adquisición Transformador Móvil – Evaluación</w:t>
            </w:r>
            <w:r w:rsidR="00C92C58">
              <w:rPr>
                <w:noProof/>
                <w:webHidden/>
              </w:rPr>
              <w:tab/>
            </w:r>
            <w:r w:rsidR="00C92C58">
              <w:rPr>
                <w:noProof/>
                <w:webHidden/>
              </w:rPr>
              <w:fldChar w:fldCharType="begin"/>
            </w:r>
            <w:r w:rsidR="00C92C58">
              <w:rPr>
                <w:noProof/>
                <w:webHidden/>
              </w:rPr>
              <w:instrText xml:space="preserve"> PAGEREF _Toc456353143 \h </w:instrText>
            </w:r>
            <w:r w:rsidR="00C92C58">
              <w:rPr>
                <w:noProof/>
                <w:webHidden/>
              </w:rPr>
            </w:r>
            <w:r w:rsidR="00C92C58">
              <w:rPr>
                <w:noProof/>
                <w:webHidden/>
              </w:rPr>
              <w:fldChar w:fldCharType="separate"/>
            </w:r>
            <w:r w:rsidR="00C92C58">
              <w:rPr>
                <w:noProof/>
                <w:webHidden/>
              </w:rPr>
              <w:t>44</w:t>
            </w:r>
            <w:r w:rsidR="00C92C58">
              <w:rPr>
                <w:noProof/>
                <w:webHidden/>
              </w:rPr>
              <w:fldChar w:fldCharType="end"/>
            </w:r>
          </w:hyperlink>
        </w:p>
        <w:p w14:paraId="508861FD" w14:textId="77777777" w:rsidR="00C92C58" w:rsidRDefault="00332BCA" w:rsidP="00C92C58">
          <w:pPr>
            <w:pStyle w:val="TOC1"/>
            <w:tabs>
              <w:tab w:val="left" w:pos="849"/>
            </w:tabs>
            <w:rPr>
              <w:rFonts w:asciiTheme="minorHAnsi" w:hAnsiTheme="minorHAnsi"/>
              <w:b w:val="0"/>
              <w:noProof/>
              <w:lang w:val="es-AR" w:eastAsia="es-AR"/>
            </w:rPr>
          </w:pPr>
          <w:hyperlink w:anchor="_Toc456353144" w:history="1">
            <w:r w:rsidR="00C92C58" w:rsidRPr="00F9268F">
              <w:rPr>
                <w:rStyle w:val="Hyperlink"/>
                <w:noProof/>
                <w:lang w:val="es-ES"/>
              </w:rPr>
              <w:t>3.5.3.</w:t>
            </w:r>
            <w:r w:rsidR="00C92C58">
              <w:rPr>
                <w:rFonts w:asciiTheme="minorHAnsi" w:hAnsiTheme="minorHAnsi"/>
                <w:b w:val="0"/>
                <w:noProof/>
                <w:lang w:val="es-AR" w:eastAsia="es-AR"/>
              </w:rPr>
              <w:tab/>
            </w:r>
            <w:r w:rsidR="00C92C58" w:rsidRPr="00F9268F">
              <w:rPr>
                <w:rStyle w:val="Hyperlink"/>
                <w:noProof/>
                <w:lang w:val="es-ES"/>
              </w:rPr>
              <w:t>Adquisición Transformador Móvil – Sensibilidades</w:t>
            </w:r>
            <w:r w:rsidR="00C92C58">
              <w:rPr>
                <w:noProof/>
                <w:webHidden/>
              </w:rPr>
              <w:tab/>
            </w:r>
            <w:r w:rsidR="00C92C58">
              <w:rPr>
                <w:noProof/>
                <w:webHidden/>
              </w:rPr>
              <w:fldChar w:fldCharType="begin"/>
            </w:r>
            <w:r w:rsidR="00C92C58">
              <w:rPr>
                <w:noProof/>
                <w:webHidden/>
              </w:rPr>
              <w:instrText xml:space="preserve"> PAGEREF _Toc456353144 \h </w:instrText>
            </w:r>
            <w:r w:rsidR="00C92C58">
              <w:rPr>
                <w:noProof/>
                <w:webHidden/>
              </w:rPr>
            </w:r>
            <w:r w:rsidR="00C92C58">
              <w:rPr>
                <w:noProof/>
                <w:webHidden/>
              </w:rPr>
              <w:fldChar w:fldCharType="separate"/>
            </w:r>
            <w:r w:rsidR="00C92C58">
              <w:rPr>
                <w:noProof/>
                <w:webHidden/>
              </w:rPr>
              <w:t>45</w:t>
            </w:r>
            <w:r w:rsidR="00C92C58">
              <w:rPr>
                <w:noProof/>
                <w:webHidden/>
              </w:rPr>
              <w:fldChar w:fldCharType="end"/>
            </w:r>
          </w:hyperlink>
        </w:p>
        <w:p w14:paraId="1B2409E5" w14:textId="77777777" w:rsidR="00C92C58" w:rsidRDefault="00332BCA" w:rsidP="00C92C58">
          <w:pPr>
            <w:pStyle w:val="TOC1"/>
            <w:rPr>
              <w:rFonts w:asciiTheme="minorHAnsi" w:hAnsiTheme="minorHAnsi"/>
              <w:b w:val="0"/>
              <w:noProof/>
              <w:lang w:val="es-AR" w:eastAsia="es-AR"/>
            </w:rPr>
          </w:pPr>
          <w:hyperlink w:anchor="_Toc456353145" w:history="1">
            <w:r w:rsidR="00C92C58" w:rsidRPr="00F9268F">
              <w:rPr>
                <w:rStyle w:val="Hyperlink"/>
                <w:noProof/>
                <w:lang w:val="es-ES"/>
              </w:rPr>
              <w:t>4.</w:t>
            </w:r>
            <w:r w:rsidR="00C92C58">
              <w:rPr>
                <w:rFonts w:asciiTheme="minorHAnsi" w:hAnsiTheme="minorHAnsi"/>
                <w:b w:val="0"/>
                <w:noProof/>
                <w:lang w:val="es-AR" w:eastAsia="es-AR"/>
              </w:rPr>
              <w:tab/>
            </w:r>
            <w:r w:rsidR="00C92C58" w:rsidRPr="00F9268F">
              <w:rPr>
                <w:rStyle w:val="Hyperlink"/>
                <w:noProof/>
                <w:lang w:val="es-ES"/>
              </w:rPr>
              <w:t>Evaluación Económica y financiera - proyectos de refuerzo del sistema regional</w:t>
            </w:r>
            <w:r w:rsidR="00C92C58">
              <w:rPr>
                <w:noProof/>
                <w:webHidden/>
              </w:rPr>
              <w:tab/>
            </w:r>
            <w:r w:rsidR="00C92C58">
              <w:rPr>
                <w:noProof/>
                <w:webHidden/>
              </w:rPr>
              <w:fldChar w:fldCharType="begin"/>
            </w:r>
            <w:r w:rsidR="00C92C58">
              <w:rPr>
                <w:noProof/>
                <w:webHidden/>
              </w:rPr>
              <w:instrText xml:space="preserve"> PAGEREF _Toc456353145 \h </w:instrText>
            </w:r>
            <w:r w:rsidR="00C92C58">
              <w:rPr>
                <w:noProof/>
                <w:webHidden/>
              </w:rPr>
            </w:r>
            <w:r w:rsidR="00C92C58">
              <w:rPr>
                <w:noProof/>
                <w:webHidden/>
              </w:rPr>
              <w:fldChar w:fldCharType="separate"/>
            </w:r>
            <w:r w:rsidR="00C92C58">
              <w:rPr>
                <w:noProof/>
                <w:webHidden/>
              </w:rPr>
              <w:t>47</w:t>
            </w:r>
            <w:r w:rsidR="00C92C58">
              <w:rPr>
                <w:noProof/>
                <w:webHidden/>
              </w:rPr>
              <w:fldChar w:fldCharType="end"/>
            </w:r>
          </w:hyperlink>
        </w:p>
        <w:p w14:paraId="509C47A5" w14:textId="77777777" w:rsidR="00C92C58" w:rsidRDefault="00332BCA" w:rsidP="00C92C58">
          <w:pPr>
            <w:pStyle w:val="TOC1"/>
            <w:tabs>
              <w:tab w:val="left" w:pos="639"/>
            </w:tabs>
            <w:rPr>
              <w:rFonts w:asciiTheme="minorHAnsi" w:hAnsiTheme="minorHAnsi"/>
              <w:b w:val="0"/>
              <w:noProof/>
              <w:lang w:val="es-AR" w:eastAsia="es-AR"/>
            </w:rPr>
          </w:pPr>
          <w:hyperlink w:anchor="_Toc456353146" w:history="1">
            <w:r w:rsidR="00C92C58" w:rsidRPr="00F9268F">
              <w:rPr>
                <w:rStyle w:val="Hyperlink"/>
                <w:noProof/>
                <w:lang w:val="es-ES"/>
              </w:rPr>
              <w:t>4.1.</w:t>
            </w:r>
            <w:r w:rsidR="00C92C58">
              <w:rPr>
                <w:rFonts w:asciiTheme="minorHAnsi" w:hAnsiTheme="minorHAnsi"/>
                <w:b w:val="0"/>
                <w:noProof/>
                <w:lang w:val="es-AR" w:eastAsia="es-AR"/>
              </w:rPr>
              <w:tab/>
            </w:r>
            <w:r w:rsidR="00C92C58" w:rsidRPr="00F9268F">
              <w:rPr>
                <w:rStyle w:val="Hyperlink"/>
                <w:noProof/>
                <w:lang w:val="es-ES"/>
              </w:rPr>
              <w:t>Análisis regional Aumento capacidad líneas 230kV</w:t>
            </w:r>
            <w:r w:rsidR="00C92C58">
              <w:rPr>
                <w:noProof/>
                <w:webHidden/>
              </w:rPr>
              <w:tab/>
            </w:r>
            <w:r w:rsidR="00C92C58">
              <w:rPr>
                <w:noProof/>
                <w:webHidden/>
              </w:rPr>
              <w:fldChar w:fldCharType="begin"/>
            </w:r>
            <w:r w:rsidR="00C92C58">
              <w:rPr>
                <w:noProof/>
                <w:webHidden/>
              </w:rPr>
              <w:instrText xml:space="preserve"> PAGEREF _Toc456353146 \h </w:instrText>
            </w:r>
            <w:r w:rsidR="00C92C58">
              <w:rPr>
                <w:noProof/>
                <w:webHidden/>
              </w:rPr>
            </w:r>
            <w:r w:rsidR="00C92C58">
              <w:rPr>
                <w:noProof/>
                <w:webHidden/>
              </w:rPr>
              <w:fldChar w:fldCharType="separate"/>
            </w:r>
            <w:r w:rsidR="00C92C58">
              <w:rPr>
                <w:noProof/>
                <w:webHidden/>
              </w:rPr>
              <w:t>48</w:t>
            </w:r>
            <w:r w:rsidR="00C92C58">
              <w:rPr>
                <w:noProof/>
                <w:webHidden/>
              </w:rPr>
              <w:fldChar w:fldCharType="end"/>
            </w:r>
          </w:hyperlink>
        </w:p>
        <w:p w14:paraId="16755A4A" w14:textId="77777777" w:rsidR="00C92C58" w:rsidRDefault="00332BCA" w:rsidP="00C92C58">
          <w:pPr>
            <w:pStyle w:val="TOC1"/>
            <w:tabs>
              <w:tab w:val="left" w:pos="849"/>
            </w:tabs>
            <w:rPr>
              <w:rFonts w:asciiTheme="minorHAnsi" w:hAnsiTheme="minorHAnsi"/>
              <w:b w:val="0"/>
              <w:noProof/>
              <w:lang w:val="es-AR" w:eastAsia="es-AR"/>
            </w:rPr>
          </w:pPr>
          <w:hyperlink w:anchor="_Toc456353147" w:history="1">
            <w:r w:rsidR="00C92C58" w:rsidRPr="00F9268F">
              <w:rPr>
                <w:rStyle w:val="Hyperlink"/>
                <w:noProof/>
                <w:lang w:val="es-ES"/>
              </w:rPr>
              <w:t>4.1.1.</w:t>
            </w:r>
            <w:r w:rsidR="00C92C58">
              <w:rPr>
                <w:rFonts w:asciiTheme="minorHAnsi" w:hAnsiTheme="minorHAnsi"/>
                <w:b w:val="0"/>
                <w:noProof/>
                <w:lang w:val="es-AR" w:eastAsia="es-AR"/>
              </w:rPr>
              <w:tab/>
            </w:r>
            <w:r w:rsidR="00C92C58" w:rsidRPr="00F9268F">
              <w:rPr>
                <w:rStyle w:val="Hyperlink"/>
                <w:noProof/>
                <w:lang w:val="es-ES"/>
              </w:rPr>
              <w:t>Análisis regional Aumento capacidad líneas 230kV – Supuestos</w:t>
            </w:r>
            <w:r w:rsidR="00C92C58">
              <w:rPr>
                <w:noProof/>
                <w:webHidden/>
              </w:rPr>
              <w:tab/>
            </w:r>
            <w:r w:rsidR="00C92C58">
              <w:rPr>
                <w:noProof/>
                <w:webHidden/>
              </w:rPr>
              <w:fldChar w:fldCharType="begin"/>
            </w:r>
            <w:r w:rsidR="00C92C58">
              <w:rPr>
                <w:noProof/>
                <w:webHidden/>
              </w:rPr>
              <w:instrText xml:space="preserve"> PAGEREF _Toc456353147 \h </w:instrText>
            </w:r>
            <w:r w:rsidR="00C92C58">
              <w:rPr>
                <w:noProof/>
                <w:webHidden/>
              </w:rPr>
            </w:r>
            <w:r w:rsidR="00C92C58">
              <w:rPr>
                <w:noProof/>
                <w:webHidden/>
              </w:rPr>
              <w:fldChar w:fldCharType="separate"/>
            </w:r>
            <w:r w:rsidR="00C92C58">
              <w:rPr>
                <w:noProof/>
                <w:webHidden/>
              </w:rPr>
              <w:t>48</w:t>
            </w:r>
            <w:r w:rsidR="00C92C58">
              <w:rPr>
                <w:noProof/>
                <w:webHidden/>
              </w:rPr>
              <w:fldChar w:fldCharType="end"/>
            </w:r>
          </w:hyperlink>
        </w:p>
        <w:p w14:paraId="2F157817" w14:textId="77777777" w:rsidR="00C92C58" w:rsidRDefault="00332BCA" w:rsidP="00C92C58">
          <w:pPr>
            <w:pStyle w:val="TOC1"/>
            <w:tabs>
              <w:tab w:val="left" w:pos="849"/>
            </w:tabs>
            <w:rPr>
              <w:rFonts w:asciiTheme="minorHAnsi" w:hAnsiTheme="minorHAnsi"/>
              <w:b w:val="0"/>
              <w:noProof/>
              <w:lang w:val="es-AR" w:eastAsia="es-AR"/>
            </w:rPr>
          </w:pPr>
          <w:hyperlink w:anchor="_Toc456353148" w:history="1">
            <w:r w:rsidR="00C92C58" w:rsidRPr="00F9268F">
              <w:rPr>
                <w:rStyle w:val="Hyperlink"/>
                <w:noProof/>
                <w:lang w:val="es-ES"/>
              </w:rPr>
              <w:t>4.1.2.</w:t>
            </w:r>
            <w:r w:rsidR="00C92C58">
              <w:rPr>
                <w:rFonts w:asciiTheme="minorHAnsi" w:hAnsiTheme="minorHAnsi"/>
                <w:b w:val="0"/>
                <w:noProof/>
                <w:lang w:val="es-AR" w:eastAsia="es-AR"/>
              </w:rPr>
              <w:tab/>
            </w:r>
            <w:r w:rsidR="00C92C58" w:rsidRPr="00F9268F">
              <w:rPr>
                <w:rStyle w:val="Hyperlink"/>
                <w:noProof/>
                <w:lang w:val="es-ES"/>
              </w:rPr>
              <w:t>Análisis regional Aumento capacidad líneas 230kV – Evaluación</w:t>
            </w:r>
            <w:r w:rsidR="00C92C58">
              <w:rPr>
                <w:noProof/>
                <w:webHidden/>
              </w:rPr>
              <w:tab/>
            </w:r>
            <w:r w:rsidR="00C92C58">
              <w:rPr>
                <w:noProof/>
                <w:webHidden/>
              </w:rPr>
              <w:fldChar w:fldCharType="begin"/>
            </w:r>
            <w:r w:rsidR="00C92C58">
              <w:rPr>
                <w:noProof/>
                <w:webHidden/>
              </w:rPr>
              <w:instrText xml:space="preserve"> PAGEREF _Toc456353148 \h </w:instrText>
            </w:r>
            <w:r w:rsidR="00C92C58">
              <w:rPr>
                <w:noProof/>
                <w:webHidden/>
              </w:rPr>
            </w:r>
            <w:r w:rsidR="00C92C58">
              <w:rPr>
                <w:noProof/>
                <w:webHidden/>
              </w:rPr>
              <w:fldChar w:fldCharType="separate"/>
            </w:r>
            <w:r w:rsidR="00C92C58">
              <w:rPr>
                <w:noProof/>
                <w:webHidden/>
              </w:rPr>
              <w:t>50</w:t>
            </w:r>
            <w:r w:rsidR="00C92C58">
              <w:rPr>
                <w:noProof/>
                <w:webHidden/>
              </w:rPr>
              <w:fldChar w:fldCharType="end"/>
            </w:r>
          </w:hyperlink>
        </w:p>
        <w:p w14:paraId="65ACCE77" w14:textId="77777777" w:rsidR="00C92C58" w:rsidRDefault="00332BCA" w:rsidP="00C92C58">
          <w:pPr>
            <w:pStyle w:val="TOC1"/>
            <w:tabs>
              <w:tab w:val="left" w:pos="849"/>
            </w:tabs>
            <w:rPr>
              <w:rFonts w:asciiTheme="minorHAnsi" w:hAnsiTheme="minorHAnsi"/>
              <w:b w:val="0"/>
              <w:noProof/>
              <w:lang w:val="es-AR" w:eastAsia="es-AR"/>
            </w:rPr>
          </w:pPr>
          <w:hyperlink w:anchor="_Toc456353149" w:history="1">
            <w:r w:rsidR="00C92C58" w:rsidRPr="00F9268F">
              <w:rPr>
                <w:rStyle w:val="Hyperlink"/>
                <w:noProof/>
                <w:lang w:val="es-ES"/>
              </w:rPr>
              <w:t>4.1.3.</w:t>
            </w:r>
            <w:r w:rsidR="00C92C58">
              <w:rPr>
                <w:rFonts w:asciiTheme="minorHAnsi" w:hAnsiTheme="minorHAnsi"/>
                <w:b w:val="0"/>
                <w:noProof/>
                <w:lang w:val="es-AR" w:eastAsia="es-AR"/>
              </w:rPr>
              <w:tab/>
            </w:r>
            <w:r w:rsidR="00C92C58" w:rsidRPr="00F9268F">
              <w:rPr>
                <w:rStyle w:val="Hyperlink"/>
                <w:noProof/>
                <w:lang w:val="es-ES"/>
              </w:rPr>
              <w:t>Análisis regional Aumento capacidad líneas 230kV – Sensibilidades</w:t>
            </w:r>
            <w:r w:rsidR="00C92C58">
              <w:rPr>
                <w:noProof/>
                <w:webHidden/>
              </w:rPr>
              <w:tab/>
            </w:r>
            <w:r w:rsidR="00C92C58">
              <w:rPr>
                <w:noProof/>
                <w:webHidden/>
              </w:rPr>
              <w:fldChar w:fldCharType="begin"/>
            </w:r>
            <w:r w:rsidR="00C92C58">
              <w:rPr>
                <w:noProof/>
                <w:webHidden/>
              </w:rPr>
              <w:instrText xml:space="preserve"> PAGEREF _Toc456353149 \h </w:instrText>
            </w:r>
            <w:r w:rsidR="00C92C58">
              <w:rPr>
                <w:noProof/>
                <w:webHidden/>
              </w:rPr>
            </w:r>
            <w:r w:rsidR="00C92C58">
              <w:rPr>
                <w:noProof/>
                <w:webHidden/>
              </w:rPr>
              <w:fldChar w:fldCharType="separate"/>
            </w:r>
            <w:r w:rsidR="00C92C58">
              <w:rPr>
                <w:noProof/>
                <w:webHidden/>
              </w:rPr>
              <w:t>52</w:t>
            </w:r>
            <w:r w:rsidR="00C92C58">
              <w:rPr>
                <w:noProof/>
                <w:webHidden/>
              </w:rPr>
              <w:fldChar w:fldCharType="end"/>
            </w:r>
          </w:hyperlink>
        </w:p>
        <w:p w14:paraId="31798957" w14:textId="77777777" w:rsidR="00C92C58" w:rsidRDefault="00332BCA" w:rsidP="00C92C58">
          <w:pPr>
            <w:pStyle w:val="TOC1"/>
            <w:tabs>
              <w:tab w:val="left" w:pos="639"/>
            </w:tabs>
            <w:rPr>
              <w:rFonts w:asciiTheme="minorHAnsi" w:hAnsiTheme="minorHAnsi"/>
              <w:b w:val="0"/>
              <w:noProof/>
              <w:lang w:val="es-AR" w:eastAsia="es-AR"/>
            </w:rPr>
          </w:pPr>
          <w:hyperlink w:anchor="_Toc456353150" w:history="1">
            <w:r w:rsidR="00C92C58" w:rsidRPr="00F9268F">
              <w:rPr>
                <w:rStyle w:val="Hyperlink"/>
                <w:noProof/>
                <w:lang w:val="es-ES"/>
              </w:rPr>
              <w:t>4.2.</w:t>
            </w:r>
            <w:r w:rsidR="00C92C58">
              <w:rPr>
                <w:rFonts w:asciiTheme="minorHAnsi" w:hAnsiTheme="minorHAnsi"/>
                <w:b w:val="0"/>
                <w:noProof/>
                <w:lang w:val="es-AR" w:eastAsia="es-AR"/>
              </w:rPr>
              <w:tab/>
            </w:r>
            <w:r w:rsidR="00C92C58" w:rsidRPr="00F9268F">
              <w:rPr>
                <w:rStyle w:val="Hyperlink"/>
                <w:noProof/>
                <w:lang w:val="es-ES"/>
              </w:rPr>
              <w:t>Análisis local Aumento Capacidad Líneas 230kv</w:t>
            </w:r>
            <w:r w:rsidR="00C92C58">
              <w:rPr>
                <w:noProof/>
                <w:webHidden/>
              </w:rPr>
              <w:tab/>
            </w:r>
            <w:r w:rsidR="00C92C58">
              <w:rPr>
                <w:noProof/>
                <w:webHidden/>
              </w:rPr>
              <w:fldChar w:fldCharType="begin"/>
            </w:r>
            <w:r w:rsidR="00C92C58">
              <w:rPr>
                <w:noProof/>
                <w:webHidden/>
              </w:rPr>
              <w:instrText xml:space="preserve"> PAGEREF _Toc456353150 \h </w:instrText>
            </w:r>
            <w:r w:rsidR="00C92C58">
              <w:rPr>
                <w:noProof/>
                <w:webHidden/>
              </w:rPr>
            </w:r>
            <w:r w:rsidR="00C92C58">
              <w:rPr>
                <w:noProof/>
                <w:webHidden/>
              </w:rPr>
              <w:fldChar w:fldCharType="separate"/>
            </w:r>
            <w:r w:rsidR="00C92C58">
              <w:rPr>
                <w:noProof/>
                <w:webHidden/>
              </w:rPr>
              <w:t>53</w:t>
            </w:r>
            <w:r w:rsidR="00C92C58">
              <w:rPr>
                <w:noProof/>
                <w:webHidden/>
              </w:rPr>
              <w:fldChar w:fldCharType="end"/>
            </w:r>
          </w:hyperlink>
        </w:p>
        <w:p w14:paraId="1E96ADD7" w14:textId="77777777" w:rsidR="00C92C58" w:rsidRDefault="00332BCA" w:rsidP="00C92C58">
          <w:pPr>
            <w:pStyle w:val="TOC1"/>
            <w:tabs>
              <w:tab w:val="left" w:pos="849"/>
            </w:tabs>
            <w:rPr>
              <w:rFonts w:asciiTheme="minorHAnsi" w:hAnsiTheme="minorHAnsi"/>
              <w:b w:val="0"/>
              <w:noProof/>
              <w:lang w:val="es-AR" w:eastAsia="es-AR"/>
            </w:rPr>
          </w:pPr>
          <w:hyperlink w:anchor="_Toc456353151" w:history="1">
            <w:r w:rsidR="00C92C58" w:rsidRPr="00F9268F">
              <w:rPr>
                <w:rStyle w:val="Hyperlink"/>
                <w:noProof/>
                <w:lang w:val="es-ES"/>
              </w:rPr>
              <w:t>4.2.1.</w:t>
            </w:r>
            <w:r w:rsidR="00C92C58">
              <w:rPr>
                <w:rFonts w:asciiTheme="minorHAnsi" w:hAnsiTheme="minorHAnsi"/>
                <w:b w:val="0"/>
                <w:noProof/>
                <w:lang w:val="es-AR" w:eastAsia="es-AR"/>
              </w:rPr>
              <w:tab/>
            </w:r>
            <w:r w:rsidR="00C92C58" w:rsidRPr="00F9268F">
              <w:rPr>
                <w:rStyle w:val="Hyperlink"/>
                <w:noProof/>
                <w:lang w:val="es-ES"/>
              </w:rPr>
              <w:t>Análisis local Aumento capacidad líneas 230kV - Supuestos</w:t>
            </w:r>
            <w:r w:rsidR="00C92C58">
              <w:rPr>
                <w:noProof/>
                <w:webHidden/>
              </w:rPr>
              <w:tab/>
            </w:r>
            <w:r w:rsidR="00C92C58">
              <w:rPr>
                <w:noProof/>
                <w:webHidden/>
              </w:rPr>
              <w:fldChar w:fldCharType="begin"/>
            </w:r>
            <w:r w:rsidR="00C92C58">
              <w:rPr>
                <w:noProof/>
                <w:webHidden/>
              </w:rPr>
              <w:instrText xml:space="preserve"> PAGEREF _Toc456353151 \h </w:instrText>
            </w:r>
            <w:r w:rsidR="00C92C58">
              <w:rPr>
                <w:noProof/>
                <w:webHidden/>
              </w:rPr>
            </w:r>
            <w:r w:rsidR="00C92C58">
              <w:rPr>
                <w:noProof/>
                <w:webHidden/>
              </w:rPr>
              <w:fldChar w:fldCharType="separate"/>
            </w:r>
            <w:r w:rsidR="00C92C58">
              <w:rPr>
                <w:noProof/>
                <w:webHidden/>
              </w:rPr>
              <w:t>53</w:t>
            </w:r>
            <w:r w:rsidR="00C92C58">
              <w:rPr>
                <w:noProof/>
                <w:webHidden/>
              </w:rPr>
              <w:fldChar w:fldCharType="end"/>
            </w:r>
          </w:hyperlink>
        </w:p>
        <w:p w14:paraId="1597E5C7" w14:textId="77777777" w:rsidR="00C92C58" w:rsidRDefault="00332BCA" w:rsidP="00C92C58">
          <w:pPr>
            <w:pStyle w:val="TOC1"/>
            <w:tabs>
              <w:tab w:val="left" w:pos="849"/>
            </w:tabs>
            <w:rPr>
              <w:rFonts w:asciiTheme="minorHAnsi" w:hAnsiTheme="minorHAnsi"/>
              <w:b w:val="0"/>
              <w:noProof/>
              <w:lang w:val="es-AR" w:eastAsia="es-AR"/>
            </w:rPr>
          </w:pPr>
          <w:hyperlink w:anchor="_Toc456353152" w:history="1">
            <w:r w:rsidR="00C92C58" w:rsidRPr="00F9268F">
              <w:rPr>
                <w:rStyle w:val="Hyperlink"/>
                <w:noProof/>
                <w:lang w:val="es-ES"/>
              </w:rPr>
              <w:t>4.2.2.</w:t>
            </w:r>
            <w:r w:rsidR="00C92C58">
              <w:rPr>
                <w:rFonts w:asciiTheme="minorHAnsi" w:hAnsiTheme="minorHAnsi"/>
                <w:b w:val="0"/>
                <w:noProof/>
                <w:lang w:val="es-AR" w:eastAsia="es-AR"/>
              </w:rPr>
              <w:tab/>
            </w:r>
            <w:r w:rsidR="00C92C58" w:rsidRPr="00F9268F">
              <w:rPr>
                <w:rStyle w:val="Hyperlink"/>
                <w:noProof/>
                <w:lang w:val="es-ES"/>
              </w:rPr>
              <w:t>Análisis local Aumento capacidad líneas 230kV – Evaluación</w:t>
            </w:r>
            <w:r w:rsidR="00C92C58">
              <w:rPr>
                <w:noProof/>
                <w:webHidden/>
              </w:rPr>
              <w:tab/>
            </w:r>
            <w:r w:rsidR="00C92C58">
              <w:rPr>
                <w:noProof/>
                <w:webHidden/>
              </w:rPr>
              <w:fldChar w:fldCharType="begin"/>
            </w:r>
            <w:r w:rsidR="00C92C58">
              <w:rPr>
                <w:noProof/>
                <w:webHidden/>
              </w:rPr>
              <w:instrText xml:space="preserve"> PAGEREF _Toc456353152 \h </w:instrText>
            </w:r>
            <w:r w:rsidR="00C92C58">
              <w:rPr>
                <w:noProof/>
                <w:webHidden/>
              </w:rPr>
            </w:r>
            <w:r w:rsidR="00C92C58">
              <w:rPr>
                <w:noProof/>
                <w:webHidden/>
              </w:rPr>
              <w:fldChar w:fldCharType="separate"/>
            </w:r>
            <w:r w:rsidR="00C92C58">
              <w:rPr>
                <w:noProof/>
                <w:webHidden/>
              </w:rPr>
              <w:t>54</w:t>
            </w:r>
            <w:r w:rsidR="00C92C58">
              <w:rPr>
                <w:noProof/>
                <w:webHidden/>
              </w:rPr>
              <w:fldChar w:fldCharType="end"/>
            </w:r>
          </w:hyperlink>
        </w:p>
        <w:p w14:paraId="7F56C081" w14:textId="77777777" w:rsidR="00C92C58" w:rsidRDefault="00332BCA" w:rsidP="00C92C58">
          <w:pPr>
            <w:pStyle w:val="TOC1"/>
            <w:tabs>
              <w:tab w:val="left" w:pos="849"/>
            </w:tabs>
            <w:rPr>
              <w:rFonts w:asciiTheme="minorHAnsi" w:hAnsiTheme="minorHAnsi"/>
              <w:b w:val="0"/>
              <w:noProof/>
              <w:lang w:val="es-AR" w:eastAsia="es-AR"/>
            </w:rPr>
          </w:pPr>
          <w:hyperlink w:anchor="_Toc456353153" w:history="1">
            <w:r w:rsidR="00C92C58" w:rsidRPr="00F9268F">
              <w:rPr>
                <w:rStyle w:val="Hyperlink"/>
                <w:noProof/>
                <w:lang w:val="es-ES"/>
              </w:rPr>
              <w:t>4.2.3.</w:t>
            </w:r>
            <w:r w:rsidR="00C92C58">
              <w:rPr>
                <w:rFonts w:asciiTheme="minorHAnsi" w:hAnsiTheme="minorHAnsi"/>
                <w:b w:val="0"/>
                <w:noProof/>
                <w:lang w:val="es-AR" w:eastAsia="es-AR"/>
              </w:rPr>
              <w:tab/>
            </w:r>
            <w:r w:rsidR="00C92C58" w:rsidRPr="00F9268F">
              <w:rPr>
                <w:rStyle w:val="Hyperlink"/>
                <w:noProof/>
                <w:lang w:val="es-ES"/>
              </w:rPr>
              <w:t>Análisis local Aumento capacidad líneas 230kV – Sensibilidades</w:t>
            </w:r>
            <w:r w:rsidR="00C92C58">
              <w:rPr>
                <w:noProof/>
                <w:webHidden/>
              </w:rPr>
              <w:tab/>
            </w:r>
            <w:r w:rsidR="00C92C58">
              <w:rPr>
                <w:noProof/>
                <w:webHidden/>
              </w:rPr>
              <w:fldChar w:fldCharType="begin"/>
            </w:r>
            <w:r w:rsidR="00C92C58">
              <w:rPr>
                <w:noProof/>
                <w:webHidden/>
              </w:rPr>
              <w:instrText xml:space="preserve"> PAGEREF _Toc456353153 \h </w:instrText>
            </w:r>
            <w:r w:rsidR="00C92C58">
              <w:rPr>
                <w:noProof/>
                <w:webHidden/>
              </w:rPr>
            </w:r>
            <w:r w:rsidR="00C92C58">
              <w:rPr>
                <w:noProof/>
                <w:webHidden/>
              </w:rPr>
              <w:fldChar w:fldCharType="separate"/>
            </w:r>
            <w:r w:rsidR="00C92C58">
              <w:rPr>
                <w:noProof/>
                <w:webHidden/>
              </w:rPr>
              <w:t>55</w:t>
            </w:r>
            <w:r w:rsidR="00C92C58">
              <w:rPr>
                <w:noProof/>
                <w:webHidden/>
              </w:rPr>
              <w:fldChar w:fldCharType="end"/>
            </w:r>
          </w:hyperlink>
        </w:p>
        <w:p w14:paraId="3E24246D" w14:textId="77777777" w:rsidR="00C92C58" w:rsidRDefault="00332BCA" w:rsidP="00C92C58">
          <w:pPr>
            <w:pStyle w:val="TOC1"/>
            <w:rPr>
              <w:rFonts w:asciiTheme="minorHAnsi" w:hAnsiTheme="minorHAnsi"/>
              <w:b w:val="0"/>
              <w:noProof/>
              <w:lang w:val="es-AR" w:eastAsia="es-AR"/>
            </w:rPr>
          </w:pPr>
          <w:hyperlink w:anchor="_Toc456353154" w:history="1">
            <w:r w:rsidR="00C92C58" w:rsidRPr="00F9268F">
              <w:rPr>
                <w:rStyle w:val="Hyperlink"/>
                <w:noProof/>
                <w:lang w:val="es-ES"/>
              </w:rPr>
              <w:t>5.</w:t>
            </w:r>
            <w:r w:rsidR="00C92C58">
              <w:rPr>
                <w:rFonts w:asciiTheme="minorHAnsi" w:hAnsiTheme="minorHAnsi"/>
                <w:b w:val="0"/>
                <w:noProof/>
                <w:lang w:val="es-AR" w:eastAsia="es-AR"/>
              </w:rPr>
              <w:tab/>
            </w:r>
            <w:r w:rsidR="00C92C58" w:rsidRPr="00F9268F">
              <w:rPr>
                <w:rStyle w:val="Hyperlink"/>
                <w:noProof/>
                <w:lang w:val="es-ES"/>
              </w:rPr>
              <w:t>Conclusiones</w:t>
            </w:r>
            <w:r w:rsidR="00C92C58">
              <w:rPr>
                <w:noProof/>
                <w:webHidden/>
              </w:rPr>
              <w:tab/>
            </w:r>
            <w:r w:rsidR="00C92C58">
              <w:rPr>
                <w:noProof/>
                <w:webHidden/>
              </w:rPr>
              <w:fldChar w:fldCharType="begin"/>
            </w:r>
            <w:r w:rsidR="00C92C58">
              <w:rPr>
                <w:noProof/>
                <w:webHidden/>
              </w:rPr>
              <w:instrText xml:space="preserve"> PAGEREF _Toc456353154 \h </w:instrText>
            </w:r>
            <w:r w:rsidR="00C92C58">
              <w:rPr>
                <w:noProof/>
                <w:webHidden/>
              </w:rPr>
            </w:r>
            <w:r w:rsidR="00C92C58">
              <w:rPr>
                <w:noProof/>
                <w:webHidden/>
              </w:rPr>
              <w:fldChar w:fldCharType="separate"/>
            </w:r>
            <w:r w:rsidR="00C92C58">
              <w:rPr>
                <w:noProof/>
                <w:webHidden/>
              </w:rPr>
              <w:t>56</w:t>
            </w:r>
            <w:r w:rsidR="00C92C58">
              <w:rPr>
                <w:noProof/>
                <w:webHidden/>
              </w:rPr>
              <w:fldChar w:fldCharType="end"/>
            </w:r>
          </w:hyperlink>
        </w:p>
        <w:p w14:paraId="0B964457" w14:textId="77777777" w:rsidR="00C92C58" w:rsidRDefault="00332BCA" w:rsidP="00C92C58">
          <w:pPr>
            <w:pStyle w:val="TOC1"/>
            <w:rPr>
              <w:rFonts w:asciiTheme="minorHAnsi" w:hAnsiTheme="minorHAnsi"/>
              <w:b w:val="0"/>
              <w:noProof/>
              <w:lang w:val="es-AR" w:eastAsia="es-AR"/>
            </w:rPr>
          </w:pPr>
          <w:hyperlink w:anchor="_Toc456353155" w:history="1">
            <w:r w:rsidR="00C92C58" w:rsidRPr="00F9268F">
              <w:rPr>
                <w:rStyle w:val="Hyperlink"/>
                <w:noProof/>
                <w:lang w:val="es-ES"/>
              </w:rPr>
              <w:t>A.</w:t>
            </w:r>
            <w:r w:rsidR="00C92C58">
              <w:rPr>
                <w:rFonts w:asciiTheme="minorHAnsi" w:hAnsiTheme="minorHAnsi"/>
                <w:b w:val="0"/>
                <w:noProof/>
                <w:lang w:val="es-AR" w:eastAsia="es-AR"/>
              </w:rPr>
              <w:tab/>
            </w:r>
            <w:r w:rsidR="00C92C58" w:rsidRPr="00F9268F">
              <w:rPr>
                <w:rStyle w:val="Hyperlink"/>
                <w:noProof/>
                <w:lang w:val="es-ES"/>
              </w:rPr>
              <w:t>Anexo A – SE Catarina – Aumento de la demanda potencial</w:t>
            </w:r>
            <w:r w:rsidR="00C92C58">
              <w:rPr>
                <w:noProof/>
                <w:webHidden/>
              </w:rPr>
              <w:tab/>
            </w:r>
            <w:r w:rsidR="00C92C58">
              <w:rPr>
                <w:noProof/>
                <w:webHidden/>
              </w:rPr>
              <w:fldChar w:fldCharType="begin"/>
            </w:r>
            <w:r w:rsidR="00C92C58">
              <w:rPr>
                <w:noProof/>
                <w:webHidden/>
              </w:rPr>
              <w:instrText xml:space="preserve"> PAGEREF _Toc456353155 \h </w:instrText>
            </w:r>
            <w:r w:rsidR="00C92C58">
              <w:rPr>
                <w:noProof/>
                <w:webHidden/>
              </w:rPr>
            </w:r>
            <w:r w:rsidR="00C92C58">
              <w:rPr>
                <w:noProof/>
                <w:webHidden/>
              </w:rPr>
              <w:fldChar w:fldCharType="separate"/>
            </w:r>
            <w:r w:rsidR="00C92C58">
              <w:rPr>
                <w:noProof/>
                <w:webHidden/>
              </w:rPr>
              <w:t>58</w:t>
            </w:r>
            <w:r w:rsidR="00C92C58">
              <w:rPr>
                <w:noProof/>
                <w:webHidden/>
              </w:rPr>
              <w:fldChar w:fldCharType="end"/>
            </w:r>
          </w:hyperlink>
        </w:p>
        <w:p w14:paraId="1EC86FCF" w14:textId="77777777" w:rsidR="00C92C58" w:rsidRDefault="00332BCA" w:rsidP="00C92C58">
          <w:pPr>
            <w:pStyle w:val="TOC1"/>
            <w:rPr>
              <w:rFonts w:asciiTheme="minorHAnsi" w:hAnsiTheme="minorHAnsi"/>
              <w:b w:val="0"/>
              <w:noProof/>
              <w:lang w:val="es-AR" w:eastAsia="es-AR"/>
            </w:rPr>
          </w:pPr>
          <w:hyperlink w:anchor="_Toc456353156" w:history="1">
            <w:r w:rsidR="00C92C58" w:rsidRPr="00F9268F">
              <w:rPr>
                <w:rStyle w:val="Hyperlink"/>
                <w:noProof/>
                <w:lang w:val="es-ES"/>
              </w:rPr>
              <w:t>B.</w:t>
            </w:r>
            <w:r w:rsidR="00C92C58">
              <w:rPr>
                <w:rFonts w:asciiTheme="minorHAnsi" w:hAnsiTheme="minorHAnsi"/>
                <w:b w:val="0"/>
                <w:noProof/>
                <w:lang w:val="es-AR" w:eastAsia="es-AR"/>
              </w:rPr>
              <w:tab/>
            </w:r>
            <w:r w:rsidR="00C92C58" w:rsidRPr="00F9268F">
              <w:rPr>
                <w:rStyle w:val="Hyperlink"/>
                <w:noProof/>
                <w:lang w:val="es-ES"/>
              </w:rPr>
              <w:t>Anexo B - Análisis regional – Crecimiento de los beneficios</w:t>
            </w:r>
            <w:r w:rsidR="00C92C58">
              <w:rPr>
                <w:noProof/>
                <w:webHidden/>
              </w:rPr>
              <w:tab/>
            </w:r>
            <w:r w:rsidR="00C92C58">
              <w:rPr>
                <w:noProof/>
                <w:webHidden/>
              </w:rPr>
              <w:fldChar w:fldCharType="begin"/>
            </w:r>
            <w:r w:rsidR="00C92C58">
              <w:rPr>
                <w:noProof/>
                <w:webHidden/>
              </w:rPr>
              <w:instrText xml:space="preserve"> PAGEREF _Toc456353156 \h </w:instrText>
            </w:r>
            <w:r w:rsidR="00C92C58">
              <w:rPr>
                <w:noProof/>
                <w:webHidden/>
              </w:rPr>
            </w:r>
            <w:r w:rsidR="00C92C58">
              <w:rPr>
                <w:noProof/>
                <w:webHidden/>
              </w:rPr>
              <w:fldChar w:fldCharType="separate"/>
            </w:r>
            <w:r w:rsidR="00C92C58">
              <w:rPr>
                <w:noProof/>
                <w:webHidden/>
              </w:rPr>
              <w:t>60</w:t>
            </w:r>
            <w:r w:rsidR="00C92C58">
              <w:rPr>
                <w:noProof/>
                <w:webHidden/>
              </w:rPr>
              <w:fldChar w:fldCharType="end"/>
            </w:r>
          </w:hyperlink>
        </w:p>
        <w:p w14:paraId="0A762681" w14:textId="77777777" w:rsidR="00C92C58" w:rsidRPr="00C174D5" w:rsidRDefault="00C92C58" w:rsidP="00C92C58">
          <w:pPr>
            <w:rPr>
              <w:lang w:val="es-ES"/>
            </w:rPr>
          </w:pPr>
          <w:r w:rsidRPr="00C174D5">
            <w:rPr>
              <w:b/>
              <w:bCs/>
              <w:lang w:val="es-ES"/>
            </w:rPr>
            <w:fldChar w:fldCharType="end"/>
          </w:r>
        </w:p>
      </w:sdtContent>
    </w:sdt>
    <w:p w14:paraId="71AFCF38" w14:textId="77777777" w:rsidR="00C92C58" w:rsidRPr="00C174D5" w:rsidRDefault="00C92C58" w:rsidP="00C92C58">
      <w:pPr>
        <w:rPr>
          <w:rFonts w:eastAsiaTheme="majorEastAsia" w:cstheme="majorBidi"/>
          <w:b/>
          <w:bCs/>
          <w:smallCaps/>
          <w:sz w:val="28"/>
          <w:szCs w:val="28"/>
          <w:lang w:val="es-ES" w:bidi="en-US"/>
        </w:rPr>
      </w:pPr>
      <w:r w:rsidRPr="00C174D5">
        <w:rPr>
          <w:rFonts w:eastAsiaTheme="majorEastAsia" w:cstheme="majorBidi"/>
          <w:b/>
          <w:bCs/>
          <w:smallCaps/>
          <w:sz w:val="28"/>
          <w:szCs w:val="28"/>
          <w:lang w:val="es-ES" w:bidi="en-US"/>
        </w:rPr>
        <w:br w:type="page"/>
      </w:r>
      <w:r w:rsidRPr="00C174D5">
        <w:rPr>
          <w:rFonts w:eastAsiaTheme="majorEastAsia" w:cstheme="majorBidi"/>
          <w:b/>
          <w:bCs/>
          <w:smallCaps/>
          <w:sz w:val="28"/>
          <w:szCs w:val="28"/>
          <w:lang w:val="es-ES" w:bidi="en-US"/>
        </w:rPr>
        <w:lastRenderedPageBreak/>
        <w:t>Índice de tablas</w:t>
      </w:r>
    </w:p>
    <w:p w14:paraId="00AD8591" w14:textId="77777777" w:rsidR="00C92C58" w:rsidRDefault="00C92C58" w:rsidP="00C92C58">
      <w:pPr>
        <w:pStyle w:val="TableofFigures"/>
        <w:tabs>
          <w:tab w:val="right" w:leader="dot" w:pos="8495"/>
        </w:tabs>
        <w:rPr>
          <w:rFonts w:asciiTheme="minorHAnsi" w:eastAsiaTheme="minorEastAsia" w:hAnsiTheme="minorHAnsi"/>
          <w:noProof/>
          <w:lang w:val="es-AR" w:eastAsia="es-AR"/>
        </w:rPr>
      </w:pPr>
      <w:r w:rsidRPr="00C174D5">
        <w:rPr>
          <w:lang w:val="es-ES"/>
        </w:rPr>
        <w:fldChar w:fldCharType="begin"/>
      </w:r>
      <w:r w:rsidRPr="00C174D5">
        <w:rPr>
          <w:lang w:val="es-ES"/>
        </w:rPr>
        <w:instrText xml:space="preserve"> TOC \h \z \c "Tabla" </w:instrText>
      </w:r>
      <w:r w:rsidRPr="00C174D5">
        <w:rPr>
          <w:lang w:val="es-ES"/>
        </w:rPr>
        <w:fldChar w:fldCharType="separate"/>
      </w:r>
      <w:hyperlink w:anchor="_Toc456353157" w:history="1">
        <w:r w:rsidRPr="002241C3">
          <w:rPr>
            <w:rStyle w:val="Hyperlink"/>
            <w:b/>
            <w:noProof/>
            <w:lang w:val="es-ES"/>
          </w:rPr>
          <w:t>Tabla 1: Mejoras en la infraestructura de transmisión eléctrica - Inversión (US$)</w:t>
        </w:r>
        <w:r>
          <w:rPr>
            <w:noProof/>
            <w:webHidden/>
          </w:rPr>
          <w:tab/>
        </w:r>
        <w:r>
          <w:rPr>
            <w:noProof/>
            <w:webHidden/>
          </w:rPr>
          <w:fldChar w:fldCharType="begin"/>
        </w:r>
        <w:r>
          <w:rPr>
            <w:noProof/>
            <w:webHidden/>
          </w:rPr>
          <w:instrText xml:space="preserve"> PAGEREF _Toc456353157 \h </w:instrText>
        </w:r>
        <w:r>
          <w:rPr>
            <w:noProof/>
            <w:webHidden/>
          </w:rPr>
        </w:r>
        <w:r>
          <w:rPr>
            <w:noProof/>
            <w:webHidden/>
          </w:rPr>
          <w:fldChar w:fldCharType="separate"/>
        </w:r>
        <w:r>
          <w:rPr>
            <w:noProof/>
            <w:webHidden/>
          </w:rPr>
          <w:t>1</w:t>
        </w:r>
        <w:r>
          <w:rPr>
            <w:noProof/>
            <w:webHidden/>
          </w:rPr>
          <w:fldChar w:fldCharType="end"/>
        </w:r>
      </w:hyperlink>
    </w:p>
    <w:p w14:paraId="1BE9C6A6"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58" w:history="1">
        <w:r w:rsidR="00C92C58" w:rsidRPr="002241C3">
          <w:rPr>
            <w:rStyle w:val="Hyperlink"/>
            <w:b/>
            <w:noProof/>
            <w:lang w:val="es-ES"/>
          </w:rPr>
          <w:t>Tabla 2: Proyectos evaluados – Principales indicadores</w:t>
        </w:r>
        <w:r w:rsidR="00C92C58">
          <w:rPr>
            <w:noProof/>
            <w:webHidden/>
          </w:rPr>
          <w:tab/>
        </w:r>
        <w:r w:rsidR="00C92C58">
          <w:rPr>
            <w:noProof/>
            <w:webHidden/>
          </w:rPr>
          <w:fldChar w:fldCharType="begin"/>
        </w:r>
        <w:r w:rsidR="00C92C58">
          <w:rPr>
            <w:noProof/>
            <w:webHidden/>
          </w:rPr>
          <w:instrText xml:space="preserve"> PAGEREF _Toc456353158 \h </w:instrText>
        </w:r>
        <w:r w:rsidR="00C92C58">
          <w:rPr>
            <w:noProof/>
            <w:webHidden/>
          </w:rPr>
        </w:r>
        <w:r w:rsidR="00C92C58">
          <w:rPr>
            <w:noProof/>
            <w:webHidden/>
          </w:rPr>
          <w:fldChar w:fldCharType="separate"/>
        </w:r>
        <w:r w:rsidR="00C92C58">
          <w:rPr>
            <w:noProof/>
            <w:webHidden/>
          </w:rPr>
          <w:t>3</w:t>
        </w:r>
        <w:r w:rsidR="00C92C58">
          <w:rPr>
            <w:noProof/>
            <w:webHidden/>
          </w:rPr>
          <w:fldChar w:fldCharType="end"/>
        </w:r>
      </w:hyperlink>
    </w:p>
    <w:p w14:paraId="72767FE8"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59" w:history="1">
        <w:r w:rsidR="00C92C58" w:rsidRPr="002241C3">
          <w:rPr>
            <w:rStyle w:val="Hyperlink"/>
            <w:b/>
            <w:noProof/>
            <w:lang w:val="es-ES"/>
          </w:rPr>
          <w:t>Tabla 3: Factores de Cuenta</w:t>
        </w:r>
        <w:r w:rsidR="00C92C58">
          <w:rPr>
            <w:noProof/>
            <w:webHidden/>
          </w:rPr>
          <w:tab/>
        </w:r>
        <w:r w:rsidR="00C92C58">
          <w:rPr>
            <w:noProof/>
            <w:webHidden/>
          </w:rPr>
          <w:fldChar w:fldCharType="begin"/>
        </w:r>
        <w:r w:rsidR="00C92C58">
          <w:rPr>
            <w:noProof/>
            <w:webHidden/>
          </w:rPr>
          <w:instrText xml:space="preserve"> PAGEREF _Toc456353159 \h </w:instrText>
        </w:r>
        <w:r w:rsidR="00C92C58">
          <w:rPr>
            <w:noProof/>
            <w:webHidden/>
          </w:rPr>
        </w:r>
        <w:r w:rsidR="00C92C58">
          <w:rPr>
            <w:noProof/>
            <w:webHidden/>
          </w:rPr>
          <w:fldChar w:fldCharType="separate"/>
        </w:r>
        <w:r w:rsidR="00C92C58">
          <w:rPr>
            <w:noProof/>
            <w:webHidden/>
          </w:rPr>
          <w:t>5</w:t>
        </w:r>
        <w:r w:rsidR="00C92C58">
          <w:rPr>
            <w:noProof/>
            <w:webHidden/>
          </w:rPr>
          <w:fldChar w:fldCharType="end"/>
        </w:r>
      </w:hyperlink>
    </w:p>
    <w:p w14:paraId="4715D610"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60" w:history="1">
        <w:r w:rsidR="00C92C58" w:rsidRPr="002241C3">
          <w:rPr>
            <w:rStyle w:val="Hyperlink"/>
            <w:b/>
            <w:noProof/>
            <w:lang w:val="es-ES"/>
          </w:rPr>
          <w:t>Tabla 4: Supuestos generales de modelización</w:t>
        </w:r>
        <w:r w:rsidR="00C92C58">
          <w:rPr>
            <w:noProof/>
            <w:webHidden/>
          </w:rPr>
          <w:tab/>
        </w:r>
        <w:r w:rsidR="00C92C58">
          <w:rPr>
            <w:noProof/>
            <w:webHidden/>
          </w:rPr>
          <w:fldChar w:fldCharType="begin"/>
        </w:r>
        <w:r w:rsidR="00C92C58">
          <w:rPr>
            <w:noProof/>
            <w:webHidden/>
          </w:rPr>
          <w:instrText xml:space="preserve"> PAGEREF _Toc456353160 \h </w:instrText>
        </w:r>
        <w:r w:rsidR="00C92C58">
          <w:rPr>
            <w:noProof/>
            <w:webHidden/>
          </w:rPr>
        </w:r>
        <w:r w:rsidR="00C92C58">
          <w:rPr>
            <w:noProof/>
            <w:webHidden/>
          </w:rPr>
          <w:fldChar w:fldCharType="separate"/>
        </w:r>
        <w:r w:rsidR="00C92C58">
          <w:rPr>
            <w:noProof/>
            <w:webHidden/>
          </w:rPr>
          <w:t>7</w:t>
        </w:r>
        <w:r w:rsidR="00C92C58">
          <w:rPr>
            <w:noProof/>
            <w:webHidden/>
          </w:rPr>
          <w:fldChar w:fldCharType="end"/>
        </w:r>
      </w:hyperlink>
    </w:p>
    <w:p w14:paraId="2BC1FFC0"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61" w:history="1">
        <w:r w:rsidR="00C92C58" w:rsidRPr="002241C3">
          <w:rPr>
            <w:rStyle w:val="Hyperlink"/>
            <w:b/>
            <w:noProof/>
            <w:lang w:val="es-ES"/>
          </w:rPr>
          <w:t xml:space="preserve">Tabla 5: </w:t>
        </w:r>
        <w:r w:rsidR="00C92C58" w:rsidRPr="002241C3">
          <w:rPr>
            <w:rStyle w:val="Hyperlink"/>
            <w:b/>
            <w:bCs/>
            <w:noProof/>
            <w:lang w:val="es-ES"/>
          </w:rPr>
          <w:t>Usos energéticos en la situación sin proyecto</w:t>
        </w:r>
        <w:r w:rsidR="00C92C58">
          <w:rPr>
            <w:noProof/>
            <w:webHidden/>
          </w:rPr>
          <w:tab/>
        </w:r>
        <w:r w:rsidR="00C92C58">
          <w:rPr>
            <w:noProof/>
            <w:webHidden/>
          </w:rPr>
          <w:fldChar w:fldCharType="begin"/>
        </w:r>
        <w:r w:rsidR="00C92C58">
          <w:rPr>
            <w:noProof/>
            <w:webHidden/>
          </w:rPr>
          <w:instrText xml:space="preserve"> PAGEREF _Toc456353161 \h </w:instrText>
        </w:r>
        <w:r w:rsidR="00C92C58">
          <w:rPr>
            <w:noProof/>
            <w:webHidden/>
          </w:rPr>
        </w:r>
        <w:r w:rsidR="00C92C58">
          <w:rPr>
            <w:noProof/>
            <w:webHidden/>
          </w:rPr>
          <w:fldChar w:fldCharType="separate"/>
        </w:r>
        <w:r w:rsidR="00C92C58">
          <w:rPr>
            <w:noProof/>
            <w:webHidden/>
          </w:rPr>
          <w:t>8</w:t>
        </w:r>
        <w:r w:rsidR="00C92C58">
          <w:rPr>
            <w:noProof/>
            <w:webHidden/>
          </w:rPr>
          <w:fldChar w:fldCharType="end"/>
        </w:r>
      </w:hyperlink>
    </w:p>
    <w:p w14:paraId="4C7D3DB8"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62" w:history="1">
        <w:r w:rsidR="00C92C58" w:rsidRPr="002241C3">
          <w:rPr>
            <w:rStyle w:val="Hyperlink"/>
            <w:b/>
            <w:noProof/>
            <w:lang w:val="es-ES"/>
          </w:rPr>
          <w:t xml:space="preserve">Tabla 6: </w:t>
        </w:r>
        <w:r w:rsidR="00C92C58" w:rsidRPr="002241C3">
          <w:rPr>
            <w:rStyle w:val="Hyperlink"/>
            <w:b/>
            <w:bCs/>
            <w:noProof/>
            <w:lang w:val="es-ES"/>
          </w:rPr>
          <w:t>Factores de conversión</w:t>
        </w:r>
        <w:r w:rsidR="00C92C58">
          <w:rPr>
            <w:noProof/>
            <w:webHidden/>
          </w:rPr>
          <w:tab/>
        </w:r>
        <w:r w:rsidR="00C92C58">
          <w:rPr>
            <w:noProof/>
            <w:webHidden/>
          </w:rPr>
          <w:fldChar w:fldCharType="begin"/>
        </w:r>
        <w:r w:rsidR="00C92C58">
          <w:rPr>
            <w:noProof/>
            <w:webHidden/>
          </w:rPr>
          <w:instrText xml:space="preserve"> PAGEREF _Toc456353162 \h </w:instrText>
        </w:r>
        <w:r w:rsidR="00C92C58">
          <w:rPr>
            <w:noProof/>
            <w:webHidden/>
          </w:rPr>
        </w:r>
        <w:r w:rsidR="00C92C58">
          <w:rPr>
            <w:noProof/>
            <w:webHidden/>
          </w:rPr>
          <w:fldChar w:fldCharType="separate"/>
        </w:r>
        <w:r w:rsidR="00C92C58">
          <w:rPr>
            <w:noProof/>
            <w:webHidden/>
          </w:rPr>
          <w:t>8</w:t>
        </w:r>
        <w:r w:rsidR="00C92C58">
          <w:rPr>
            <w:noProof/>
            <w:webHidden/>
          </w:rPr>
          <w:fldChar w:fldCharType="end"/>
        </w:r>
      </w:hyperlink>
    </w:p>
    <w:p w14:paraId="7BB594EE"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63" w:history="1">
        <w:r w:rsidR="00C92C58" w:rsidRPr="002241C3">
          <w:rPr>
            <w:rStyle w:val="Hyperlink"/>
            <w:b/>
            <w:noProof/>
            <w:lang w:val="es-ES"/>
          </w:rPr>
          <w:t>Tabla 7: Supuestos de modelización particulares – LT El Sauce – Villanueva</w:t>
        </w:r>
        <w:r w:rsidR="00C92C58">
          <w:rPr>
            <w:noProof/>
            <w:webHidden/>
          </w:rPr>
          <w:tab/>
        </w:r>
        <w:r w:rsidR="00C92C58">
          <w:rPr>
            <w:noProof/>
            <w:webHidden/>
          </w:rPr>
          <w:fldChar w:fldCharType="begin"/>
        </w:r>
        <w:r w:rsidR="00C92C58">
          <w:rPr>
            <w:noProof/>
            <w:webHidden/>
          </w:rPr>
          <w:instrText xml:space="preserve"> PAGEREF _Toc456353163 \h </w:instrText>
        </w:r>
        <w:r w:rsidR="00C92C58">
          <w:rPr>
            <w:noProof/>
            <w:webHidden/>
          </w:rPr>
        </w:r>
        <w:r w:rsidR="00C92C58">
          <w:rPr>
            <w:noProof/>
            <w:webHidden/>
          </w:rPr>
          <w:fldChar w:fldCharType="separate"/>
        </w:r>
        <w:r w:rsidR="00C92C58">
          <w:rPr>
            <w:noProof/>
            <w:webHidden/>
          </w:rPr>
          <w:t>14</w:t>
        </w:r>
        <w:r w:rsidR="00C92C58">
          <w:rPr>
            <w:noProof/>
            <w:webHidden/>
          </w:rPr>
          <w:fldChar w:fldCharType="end"/>
        </w:r>
      </w:hyperlink>
    </w:p>
    <w:p w14:paraId="001F6D8B"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64" w:history="1">
        <w:r w:rsidR="00C92C58" w:rsidRPr="002241C3">
          <w:rPr>
            <w:rStyle w:val="Hyperlink"/>
            <w:b/>
            <w:noProof/>
            <w:lang w:val="es-ES"/>
          </w:rPr>
          <w:t>Tabla 8: Resultados evaluación económica – LT El Sauce-Villanueva</w:t>
        </w:r>
        <w:r w:rsidR="00C92C58">
          <w:rPr>
            <w:noProof/>
            <w:webHidden/>
          </w:rPr>
          <w:tab/>
        </w:r>
        <w:r w:rsidR="00C92C58">
          <w:rPr>
            <w:noProof/>
            <w:webHidden/>
          </w:rPr>
          <w:fldChar w:fldCharType="begin"/>
        </w:r>
        <w:r w:rsidR="00C92C58">
          <w:rPr>
            <w:noProof/>
            <w:webHidden/>
          </w:rPr>
          <w:instrText xml:space="preserve"> PAGEREF _Toc456353164 \h </w:instrText>
        </w:r>
        <w:r w:rsidR="00C92C58">
          <w:rPr>
            <w:noProof/>
            <w:webHidden/>
          </w:rPr>
        </w:r>
        <w:r w:rsidR="00C92C58">
          <w:rPr>
            <w:noProof/>
            <w:webHidden/>
          </w:rPr>
          <w:fldChar w:fldCharType="separate"/>
        </w:r>
        <w:r w:rsidR="00C92C58">
          <w:rPr>
            <w:noProof/>
            <w:webHidden/>
          </w:rPr>
          <w:t>16</w:t>
        </w:r>
        <w:r w:rsidR="00C92C58">
          <w:rPr>
            <w:noProof/>
            <w:webHidden/>
          </w:rPr>
          <w:fldChar w:fldCharType="end"/>
        </w:r>
      </w:hyperlink>
    </w:p>
    <w:p w14:paraId="50BA235E"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65" w:history="1">
        <w:r w:rsidR="00C92C58" w:rsidRPr="002241C3">
          <w:rPr>
            <w:rStyle w:val="Hyperlink"/>
            <w:b/>
            <w:noProof/>
            <w:lang w:val="es-ES"/>
          </w:rPr>
          <w:t>Tabla 9: Resultados evaluación financiera – LT El Sauce-Villanueva</w:t>
        </w:r>
        <w:r w:rsidR="00C92C58">
          <w:rPr>
            <w:noProof/>
            <w:webHidden/>
          </w:rPr>
          <w:tab/>
        </w:r>
        <w:r w:rsidR="00C92C58">
          <w:rPr>
            <w:noProof/>
            <w:webHidden/>
          </w:rPr>
          <w:fldChar w:fldCharType="begin"/>
        </w:r>
        <w:r w:rsidR="00C92C58">
          <w:rPr>
            <w:noProof/>
            <w:webHidden/>
          </w:rPr>
          <w:instrText xml:space="preserve"> PAGEREF _Toc456353165 \h </w:instrText>
        </w:r>
        <w:r w:rsidR="00C92C58">
          <w:rPr>
            <w:noProof/>
            <w:webHidden/>
          </w:rPr>
        </w:r>
        <w:r w:rsidR="00C92C58">
          <w:rPr>
            <w:noProof/>
            <w:webHidden/>
          </w:rPr>
          <w:fldChar w:fldCharType="separate"/>
        </w:r>
        <w:r w:rsidR="00C92C58">
          <w:rPr>
            <w:noProof/>
            <w:webHidden/>
          </w:rPr>
          <w:t>16</w:t>
        </w:r>
        <w:r w:rsidR="00C92C58">
          <w:rPr>
            <w:noProof/>
            <w:webHidden/>
          </w:rPr>
          <w:fldChar w:fldCharType="end"/>
        </w:r>
      </w:hyperlink>
    </w:p>
    <w:p w14:paraId="0FEBBDFF"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66" w:history="1">
        <w:r w:rsidR="00C92C58" w:rsidRPr="002241C3">
          <w:rPr>
            <w:rStyle w:val="Hyperlink"/>
            <w:b/>
            <w:noProof/>
            <w:lang w:val="es-ES"/>
          </w:rPr>
          <w:t>Tabla 10: Análisis de sensibilidad evaluación económica - LT El Sauce-Villanueva</w:t>
        </w:r>
        <w:r w:rsidR="00C92C58">
          <w:rPr>
            <w:noProof/>
            <w:webHidden/>
          </w:rPr>
          <w:tab/>
        </w:r>
        <w:r w:rsidR="00C92C58">
          <w:rPr>
            <w:noProof/>
            <w:webHidden/>
          </w:rPr>
          <w:fldChar w:fldCharType="begin"/>
        </w:r>
        <w:r w:rsidR="00C92C58">
          <w:rPr>
            <w:noProof/>
            <w:webHidden/>
          </w:rPr>
          <w:instrText xml:space="preserve"> PAGEREF _Toc456353166 \h </w:instrText>
        </w:r>
        <w:r w:rsidR="00C92C58">
          <w:rPr>
            <w:noProof/>
            <w:webHidden/>
          </w:rPr>
        </w:r>
        <w:r w:rsidR="00C92C58">
          <w:rPr>
            <w:noProof/>
            <w:webHidden/>
          </w:rPr>
          <w:fldChar w:fldCharType="separate"/>
        </w:r>
        <w:r w:rsidR="00C92C58">
          <w:rPr>
            <w:noProof/>
            <w:webHidden/>
          </w:rPr>
          <w:t>17</w:t>
        </w:r>
        <w:r w:rsidR="00C92C58">
          <w:rPr>
            <w:noProof/>
            <w:webHidden/>
          </w:rPr>
          <w:fldChar w:fldCharType="end"/>
        </w:r>
      </w:hyperlink>
    </w:p>
    <w:p w14:paraId="61E49043"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67" w:history="1">
        <w:r w:rsidR="00C92C58" w:rsidRPr="002241C3">
          <w:rPr>
            <w:rStyle w:val="Hyperlink"/>
            <w:b/>
            <w:noProof/>
            <w:lang w:val="es-ES"/>
          </w:rPr>
          <w:t>Tabla 11: Supuestos de modelización particulares – SE Sébaco</w:t>
        </w:r>
        <w:r w:rsidR="00C92C58">
          <w:rPr>
            <w:noProof/>
            <w:webHidden/>
          </w:rPr>
          <w:tab/>
        </w:r>
        <w:r w:rsidR="00C92C58">
          <w:rPr>
            <w:noProof/>
            <w:webHidden/>
          </w:rPr>
          <w:fldChar w:fldCharType="begin"/>
        </w:r>
        <w:r w:rsidR="00C92C58">
          <w:rPr>
            <w:noProof/>
            <w:webHidden/>
          </w:rPr>
          <w:instrText xml:space="preserve"> PAGEREF _Toc456353167 \h </w:instrText>
        </w:r>
        <w:r w:rsidR="00C92C58">
          <w:rPr>
            <w:noProof/>
            <w:webHidden/>
          </w:rPr>
        </w:r>
        <w:r w:rsidR="00C92C58">
          <w:rPr>
            <w:noProof/>
            <w:webHidden/>
          </w:rPr>
          <w:fldChar w:fldCharType="separate"/>
        </w:r>
        <w:r w:rsidR="00C92C58">
          <w:rPr>
            <w:noProof/>
            <w:webHidden/>
          </w:rPr>
          <w:t>20</w:t>
        </w:r>
        <w:r w:rsidR="00C92C58">
          <w:rPr>
            <w:noProof/>
            <w:webHidden/>
          </w:rPr>
          <w:fldChar w:fldCharType="end"/>
        </w:r>
      </w:hyperlink>
    </w:p>
    <w:p w14:paraId="187F5620"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68" w:history="1">
        <w:r w:rsidR="00C92C58" w:rsidRPr="002241C3">
          <w:rPr>
            <w:rStyle w:val="Hyperlink"/>
            <w:b/>
            <w:noProof/>
            <w:lang w:val="es-ES"/>
          </w:rPr>
          <w:t>Tabla 12: Resultados evaluación económica – SE Sébaco</w:t>
        </w:r>
        <w:r w:rsidR="00C92C58">
          <w:rPr>
            <w:noProof/>
            <w:webHidden/>
          </w:rPr>
          <w:tab/>
        </w:r>
        <w:r w:rsidR="00C92C58">
          <w:rPr>
            <w:noProof/>
            <w:webHidden/>
          </w:rPr>
          <w:fldChar w:fldCharType="begin"/>
        </w:r>
        <w:r w:rsidR="00C92C58">
          <w:rPr>
            <w:noProof/>
            <w:webHidden/>
          </w:rPr>
          <w:instrText xml:space="preserve"> PAGEREF _Toc456353168 \h </w:instrText>
        </w:r>
        <w:r w:rsidR="00C92C58">
          <w:rPr>
            <w:noProof/>
            <w:webHidden/>
          </w:rPr>
        </w:r>
        <w:r w:rsidR="00C92C58">
          <w:rPr>
            <w:noProof/>
            <w:webHidden/>
          </w:rPr>
          <w:fldChar w:fldCharType="separate"/>
        </w:r>
        <w:r w:rsidR="00C92C58">
          <w:rPr>
            <w:noProof/>
            <w:webHidden/>
          </w:rPr>
          <w:t>22</w:t>
        </w:r>
        <w:r w:rsidR="00C92C58">
          <w:rPr>
            <w:noProof/>
            <w:webHidden/>
          </w:rPr>
          <w:fldChar w:fldCharType="end"/>
        </w:r>
      </w:hyperlink>
    </w:p>
    <w:p w14:paraId="6817BFCC"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69" w:history="1">
        <w:r w:rsidR="00C92C58" w:rsidRPr="002241C3">
          <w:rPr>
            <w:rStyle w:val="Hyperlink"/>
            <w:b/>
            <w:noProof/>
            <w:lang w:val="es-ES"/>
          </w:rPr>
          <w:t>Tabla 13: Resultados evaluación financiera – SE Sébaco</w:t>
        </w:r>
        <w:r w:rsidR="00C92C58">
          <w:rPr>
            <w:noProof/>
            <w:webHidden/>
          </w:rPr>
          <w:tab/>
        </w:r>
        <w:r w:rsidR="00C92C58">
          <w:rPr>
            <w:noProof/>
            <w:webHidden/>
          </w:rPr>
          <w:fldChar w:fldCharType="begin"/>
        </w:r>
        <w:r w:rsidR="00C92C58">
          <w:rPr>
            <w:noProof/>
            <w:webHidden/>
          </w:rPr>
          <w:instrText xml:space="preserve"> PAGEREF _Toc456353169 \h </w:instrText>
        </w:r>
        <w:r w:rsidR="00C92C58">
          <w:rPr>
            <w:noProof/>
            <w:webHidden/>
          </w:rPr>
        </w:r>
        <w:r w:rsidR="00C92C58">
          <w:rPr>
            <w:noProof/>
            <w:webHidden/>
          </w:rPr>
          <w:fldChar w:fldCharType="separate"/>
        </w:r>
        <w:r w:rsidR="00C92C58">
          <w:rPr>
            <w:noProof/>
            <w:webHidden/>
          </w:rPr>
          <w:t>22</w:t>
        </w:r>
        <w:r w:rsidR="00C92C58">
          <w:rPr>
            <w:noProof/>
            <w:webHidden/>
          </w:rPr>
          <w:fldChar w:fldCharType="end"/>
        </w:r>
      </w:hyperlink>
    </w:p>
    <w:p w14:paraId="7225DB75"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70" w:history="1">
        <w:r w:rsidR="00C92C58" w:rsidRPr="002241C3">
          <w:rPr>
            <w:rStyle w:val="Hyperlink"/>
            <w:b/>
            <w:noProof/>
            <w:lang w:val="es-ES"/>
          </w:rPr>
          <w:t>Tabla 14: Análisis de sensibilidad evaluación económica – SE Sébaco</w:t>
        </w:r>
        <w:r w:rsidR="00C92C58">
          <w:rPr>
            <w:noProof/>
            <w:webHidden/>
          </w:rPr>
          <w:tab/>
        </w:r>
        <w:r w:rsidR="00C92C58">
          <w:rPr>
            <w:noProof/>
            <w:webHidden/>
          </w:rPr>
          <w:fldChar w:fldCharType="begin"/>
        </w:r>
        <w:r w:rsidR="00C92C58">
          <w:rPr>
            <w:noProof/>
            <w:webHidden/>
          </w:rPr>
          <w:instrText xml:space="preserve"> PAGEREF _Toc456353170 \h </w:instrText>
        </w:r>
        <w:r w:rsidR="00C92C58">
          <w:rPr>
            <w:noProof/>
            <w:webHidden/>
          </w:rPr>
        </w:r>
        <w:r w:rsidR="00C92C58">
          <w:rPr>
            <w:noProof/>
            <w:webHidden/>
          </w:rPr>
          <w:fldChar w:fldCharType="separate"/>
        </w:r>
        <w:r w:rsidR="00C92C58">
          <w:rPr>
            <w:noProof/>
            <w:webHidden/>
          </w:rPr>
          <w:t>23</w:t>
        </w:r>
        <w:r w:rsidR="00C92C58">
          <w:rPr>
            <w:noProof/>
            <w:webHidden/>
          </w:rPr>
          <w:fldChar w:fldCharType="end"/>
        </w:r>
      </w:hyperlink>
    </w:p>
    <w:p w14:paraId="31611C5A"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71" w:history="1">
        <w:r w:rsidR="00C92C58" w:rsidRPr="002241C3">
          <w:rPr>
            <w:rStyle w:val="Hyperlink"/>
            <w:b/>
            <w:noProof/>
            <w:lang w:val="es-ES"/>
          </w:rPr>
          <w:t>Tabla 15: Supuestos de modelización particulares – SE Acahualinca</w:t>
        </w:r>
        <w:r w:rsidR="00C92C58">
          <w:rPr>
            <w:noProof/>
            <w:webHidden/>
          </w:rPr>
          <w:tab/>
        </w:r>
        <w:r w:rsidR="00C92C58">
          <w:rPr>
            <w:noProof/>
            <w:webHidden/>
          </w:rPr>
          <w:fldChar w:fldCharType="begin"/>
        </w:r>
        <w:r w:rsidR="00C92C58">
          <w:rPr>
            <w:noProof/>
            <w:webHidden/>
          </w:rPr>
          <w:instrText xml:space="preserve"> PAGEREF _Toc456353171 \h </w:instrText>
        </w:r>
        <w:r w:rsidR="00C92C58">
          <w:rPr>
            <w:noProof/>
            <w:webHidden/>
          </w:rPr>
        </w:r>
        <w:r w:rsidR="00C92C58">
          <w:rPr>
            <w:noProof/>
            <w:webHidden/>
          </w:rPr>
          <w:fldChar w:fldCharType="separate"/>
        </w:r>
        <w:r w:rsidR="00C92C58">
          <w:rPr>
            <w:noProof/>
            <w:webHidden/>
          </w:rPr>
          <w:t>26</w:t>
        </w:r>
        <w:r w:rsidR="00C92C58">
          <w:rPr>
            <w:noProof/>
            <w:webHidden/>
          </w:rPr>
          <w:fldChar w:fldCharType="end"/>
        </w:r>
      </w:hyperlink>
    </w:p>
    <w:p w14:paraId="7589847B"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72" w:history="1">
        <w:r w:rsidR="00C92C58" w:rsidRPr="002241C3">
          <w:rPr>
            <w:rStyle w:val="Hyperlink"/>
            <w:b/>
            <w:noProof/>
            <w:lang w:val="es-ES"/>
          </w:rPr>
          <w:t>Tabla 16: Resultados evaluación económica – SE Acahualinca</w:t>
        </w:r>
        <w:r w:rsidR="00C92C58">
          <w:rPr>
            <w:noProof/>
            <w:webHidden/>
          </w:rPr>
          <w:tab/>
        </w:r>
        <w:r w:rsidR="00C92C58">
          <w:rPr>
            <w:noProof/>
            <w:webHidden/>
          </w:rPr>
          <w:fldChar w:fldCharType="begin"/>
        </w:r>
        <w:r w:rsidR="00C92C58">
          <w:rPr>
            <w:noProof/>
            <w:webHidden/>
          </w:rPr>
          <w:instrText xml:space="preserve"> PAGEREF _Toc456353172 \h </w:instrText>
        </w:r>
        <w:r w:rsidR="00C92C58">
          <w:rPr>
            <w:noProof/>
            <w:webHidden/>
          </w:rPr>
        </w:r>
        <w:r w:rsidR="00C92C58">
          <w:rPr>
            <w:noProof/>
            <w:webHidden/>
          </w:rPr>
          <w:fldChar w:fldCharType="separate"/>
        </w:r>
        <w:r w:rsidR="00C92C58">
          <w:rPr>
            <w:noProof/>
            <w:webHidden/>
          </w:rPr>
          <w:t>26</w:t>
        </w:r>
        <w:r w:rsidR="00C92C58">
          <w:rPr>
            <w:noProof/>
            <w:webHidden/>
          </w:rPr>
          <w:fldChar w:fldCharType="end"/>
        </w:r>
      </w:hyperlink>
    </w:p>
    <w:p w14:paraId="37AC5014"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73" w:history="1">
        <w:r w:rsidR="00C92C58" w:rsidRPr="002241C3">
          <w:rPr>
            <w:rStyle w:val="Hyperlink"/>
            <w:b/>
            <w:noProof/>
            <w:lang w:val="es-ES"/>
          </w:rPr>
          <w:t>Tabla 17: Resultados evaluación financiera – SE Acahualinca</w:t>
        </w:r>
        <w:r w:rsidR="00C92C58">
          <w:rPr>
            <w:noProof/>
            <w:webHidden/>
          </w:rPr>
          <w:tab/>
        </w:r>
        <w:r w:rsidR="00C92C58">
          <w:rPr>
            <w:noProof/>
            <w:webHidden/>
          </w:rPr>
          <w:fldChar w:fldCharType="begin"/>
        </w:r>
        <w:r w:rsidR="00C92C58">
          <w:rPr>
            <w:noProof/>
            <w:webHidden/>
          </w:rPr>
          <w:instrText xml:space="preserve"> PAGEREF _Toc456353173 \h </w:instrText>
        </w:r>
        <w:r w:rsidR="00C92C58">
          <w:rPr>
            <w:noProof/>
            <w:webHidden/>
          </w:rPr>
        </w:r>
        <w:r w:rsidR="00C92C58">
          <w:rPr>
            <w:noProof/>
            <w:webHidden/>
          </w:rPr>
          <w:fldChar w:fldCharType="separate"/>
        </w:r>
        <w:r w:rsidR="00C92C58">
          <w:rPr>
            <w:noProof/>
            <w:webHidden/>
          </w:rPr>
          <w:t>27</w:t>
        </w:r>
        <w:r w:rsidR="00C92C58">
          <w:rPr>
            <w:noProof/>
            <w:webHidden/>
          </w:rPr>
          <w:fldChar w:fldCharType="end"/>
        </w:r>
      </w:hyperlink>
    </w:p>
    <w:p w14:paraId="6888F098"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74" w:history="1">
        <w:r w:rsidR="00C92C58" w:rsidRPr="002241C3">
          <w:rPr>
            <w:rStyle w:val="Hyperlink"/>
            <w:b/>
            <w:noProof/>
            <w:lang w:val="es-ES"/>
          </w:rPr>
          <w:t>Tabla 18: Análisis de sensibilidad evaluación económica – SE Acahualinca</w:t>
        </w:r>
        <w:r w:rsidR="00C92C58">
          <w:rPr>
            <w:noProof/>
            <w:webHidden/>
          </w:rPr>
          <w:tab/>
        </w:r>
        <w:r w:rsidR="00C92C58">
          <w:rPr>
            <w:noProof/>
            <w:webHidden/>
          </w:rPr>
          <w:fldChar w:fldCharType="begin"/>
        </w:r>
        <w:r w:rsidR="00C92C58">
          <w:rPr>
            <w:noProof/>
            <w:webHidden/>
          </w:rPr>
          <w:instrText xml:space="preserve"> PAGEREF _Toc456353174 \h </w:instrText>
        </w:r>
        <w:r w:rsidR="00C92C58">
          <w:rPr>
            <w:noProof/>
            <w:webHidden/>
          </w:rPr>
        </w:r>
        <w:r w:rsidR="00C92C58">
          <w:rPr>
            <w:noProof/>
            <w:webHidden/>
          </w:rPr>
          <w:fldChar w:fldCharType="separate"/>
        </w:r>
        <w:r w:rsidR="00C92C58">
          <w:rPr>
            <w:noProof/>
            <w:webHidden/>
          </w:rPr>
          <w:t>28</w:t>
        </w:r>
        <w:r w:rsidR="00C92C58">
          <w:rPr>
            <w:noProof/>
            <w:webHidden/>
          </w:rPr>
          <w:fldChar w:fldCharType="end"/>
        </w:r>
      </w:hyperlink>
    </w:p>
    <w:p w14:paraId="6882F58C"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75" w:history="1">
        <w:r w:rsidR="00C92C58" w:rsidRPr="002241C3">
          <w:rPr>
            <w:rStyle w:val="Hyperlink"/>
            <w:b/>
            <w:noProof/>
            <w:lang w:val="es-ES"/>
          </w:rPr>
          <w:t>Tabla 19: Supuestos de modelización particulares – SE Diriamba</w:t>
        </w:r>
        <w:r w:rsidR="00C92C58">
          <w:rPr>
            <w:noProof/>
            <w:webHidden/>
          </w:rPr>
          <w:tab/>
        </w:r>
        <w:r w:rsidR="00C92C58">
          <w:rPr>
            <w:noProof/>
            <w:webHidden/>
          </w:rPr>
          <w:fldChar w:fldCharType="begin"/>
        </w:r>
        <w:r w:rsidR="00C92C58">
          <w:rPr>
            <w:noProof/>
            <w:webHidden/>
          </w:rPr>
          <w:instrText xml:space="preserve"> PAGEREF _Toc456353175 \h </w:instrText>
        </w:r>
        <w:r w:rsidR="00C92C58">
          <w:rPr>
            <w:noProof/>
            <w:webHidden/>
          </w:rPr>
        </w:r>
        <w:r w:rsidR="00C92C58">
          <w:rPr>
            <w:noProof/>
            <w:webHidden/>
          </w:rPr>
          <w:fldChar w:fldCharType="separate"/>
        </w:r>
        <w:r w:rsidR="00C92C58">
          <w:rPr>
            <w:noProof/>
            <w:webHidden/>
          </w:rPr>
          <w:t>29</w:t>
        </w:r>
        <w:r w:rsidR="00C92C58">
          <w:rPr>
            <w:noProof/>
            <w:webHidden/>
          </w:rPr>
          <w:fldChar w:fldCharType="end"/>
        </w:r>
      </w:hyperlink>
    </w:p>
    <w:p w14:paraId="0312DF25"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76" w:history="1">
        <w:r w:rsidR="00C92C58" w:rsidRPr="002241C3">
          <w:rPr>
            <w:rStyle w:val="Hyperlink"/>
            <w:b/>
            <w:noProof/>
            <w:lang w:val="es-ES"/>
          </w:rPr>
          <w:t>Tabla 20: Resultados evaluación económica – SE Diriamba</w:t>
        </w:r>
        <w:r w:rsidR="00C92C58">
          <w:rPr>
            <w:noProof/>
            <w:webHidden/>
          </w:rPr>
          <w:tab/>
        </w:r>
        <w:r w:rsidR="00C92C58">
          <w:rPr>
            <w:noProof/>
            <w:webHidden/>
          </w:rPr>
          <w:fldChar w:fldCharType="begin"/>
        </w:r>
        <w:r w:rsidR="00C92C58">
          <w:rPr>
            <w:noProof/>
            <w:webHidden/>
          </w:rPr>
          <w:instrText xml:space="preserve"> PAGEREF _Toc456353176 \h </w:instrText>
        </w:r>
        <w:r w:rsidR="00C92C58">
          <w:rPr>
            <w:noProof/>
            <w:webHidden/>
          </w:rPr>
        </w:r>
        <w:r w:rsidR="00C92C58">
          <w:rPr>
            <w:noProof/>
            <w:webHidden/>
          </w:rPr>
          <w:fldChar w:fldCharType="separate"/>
        </w:r>
        <w:r w:rsidR="00C92C58">
          <w:rPr>
            <w:noProof/>
            <w:webHidden/>
          </w:rPr>
          <w:t>30</w:t>
        </w:r>
        <w:r w:rsidR="00C92C58">
          <w:rPr>
            <w:noProof/>
            <w:webHidden/>
          </w:rPr>
          <w:fldChar w:fldCharType="end"/>
        </w:r>
      </w:hyperlink>
    </w:p>
    <w:p w14:paraId="06073568"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77" w:history="1">
        <w:r w:rsidR="00C92C58" w:rsidRPr="002241C3">
          <w:rPr>
            <w:rStyle w:val="Hyperlink"/>
            <w:b/>
            <w:noProof/>
            <w:lang w:val="es-ES"/>
          </w:rPr>
          <w:t>Tabla 21: Resultados evaluación financiera – SE Diriamba</w:t>
        </w:r>
        <w:r w:rsidR="00C92C58">
          <w:rPr>
            <w:noProof/>
            <w:webHidden/>
          </w:rPr>
          <w:tab/>
        </w:r>
        <w:r w:rsidR="00C92C58">
          <w:rPr>
            <w:noProof/>
            <w:webHidden/>
          </w:rPr>
          <w:fldChar w:fldCharType="begin"/>
        </w:r>
        <w:r w:rsidR="00C92C58">
          <w:rPr>
            <w:noProof/>
            <w:webHidden/>
          </w:rPr>
          <w:instrText xml:space="preserve"> PAGEREF _Toc456353177 \h </w:instrText>
        </w:r>
        <w:r w:rsidR="00C92C58">
          <w:rPr>
            <w:noProof/>
            <w:webHidden/>
          </w:rPr>
        </w:r>
        <w:r w:rsidR="00C92C58">
          <w:rPr>
            <w:noProof/>
            <w:webHidden/>
          </w:rPr>
          <w:fldChar w:fldCharType="separate"/>
        </w:r>
        <w:r w:rsidR="00C92C58">
          <w:rPr>
            <w:noProof/>
            <w:webHidden/>
          </w:rPr>
          <w:t>30</w:t>
        </w:r>
        <w:r w:rsidR="00C92C58">
          <w:rPr>
            <w:noProof/>
            <w:webHidden/>
          </w:rPr>
          <w:fldChar w:fldCharType="end"/>
        </w:r>
      </w:hyperlink>
    </w:p>
    <w:p w14:paraId="5D989BA4"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78" w:history="1">
        <w:r w:rsidR="00C92C58" w:rsidRPr="002241C3">
          <w:rPr>
            <w:rStyle w:val="Hyperlink"/>
            <w:b/>
            <w:noProof/>
            <w:lang w:val="es-ES"/>
          </w:rPr>
          <w:t>Tabla 22: Análisis de sensibilidad evaluación económica – SE Diriamba</w:t>
        </w:r>
        <w:r w:rsidR="00C92C58">
          <w:rPr>
            <w:noProof/>
            <w:webHidden/>
          </w:rPr>
          <w:tab/>
        </w:r>
        <w:r w:rsidR="00C92C58">
          <w:rPr>
            <w:noProof/>
            <w:webHidden/>
          </w:rPr>
          <w:fldChar w:fldCharType="begin"/>
        </w:r>
        <w:r w:rsidR="00C92C58">
          <w:rPr>
            <w:noProof/>
            <w:webHidden/>
          </w:rPr>
          <w:instrText xml:space="preserve"> PAGEREF _Toc456353178 \h </w:instrText>
        </w:r>
        <w:r w:rsidR="00C92C58">
          <w:rPr>
            <w:noProof/>
            <w:webHidden/>
          </w:rPr>
        </w:r>
        <w:r w:rsidR="00C92C58">
          <w:rPr>
            <w:noProof/>
            <w:webHidden/>
          </w:rPr>
          <w:fldChar w:fldCharType="separate"/>
        </w:r>
        <w:r w:rsidR="00C92C58">
          <w:rPr>
            <w:noProof/>
            <w:webHidden/>
          </w:rPr>
          <w:t>31</w:t>
        </w:r>
        <w:r w:rsidR="00C92C58">
          <w:rPr>
            <w:noProof/>
            <w:webHidden/>
          </w:rPr>
          <w:fldChar w:fldCharType="end"/>
        </w:r>
      </w:hyperlink>
    </w:p>
    <w:p w14:paraId="4297D0A5"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79" w:history="1">
        <w:r w:rsidR="00C92C58" w:rsidRPr="002241C3">
          <w:rPr>
            <w:rStyle w:val="Hyperlink"/>
            <w:b/>
            <w:noProof/>
            <w:lang w:val="es-ES"/>
          </w:rPr>
          <w:t>Tabla 23: Supuestos de modelización particulares – SE San Benito</w:t>
        </w:r>
        <w:r w:rsidR="00C92C58">
          <w:rPr>
            <w:noProof/>
            <w:webHidden/>
          </w:rPr>
          <w:tab/>
        </w:r>
        <w:r w:rsidR="00C92C58">
          <w:rPr>
            <w:noProof/>
            <w:webHidden/>
          </w:rPr>
          <w:fldChar w:fldCharType="begin"/>
        </w:r>
        <w:r w:rsidR="00C92C58">
          <w:rPr>
            <w:noProof/>
            <w:webHidden/>
          </w:rPr>
          <w:instrText xml:space="preserve"> PAGEREF _Toc456353179 \h </w:instrText>
        </w:r>
        <w:r w:rsidR="00C92C58">
          <w:rPr>
            <w:noProof/>
            <w:webHidden/>
          </w:rPr>
        </w:r>
        <w:r w:rsidR="00C92C58">
          <w:rPr>
            <w:noProof/>
            <w:webHidden/>
          </w:rPr>
          <w:fldChar w:fldCharType="separate"/>
        </w:r>
        <w:r w:rsidR="00C92C58">
          <w:rPr>
            <w:noProof/>
            <w:webHidden/>
          </w:rPr>
          <w:t>32</w:t>
        </w:r>
        <w:r w:rsidR="00C92C58">
          <w:rPr>
            <w:noProof/>
            <w:webHidden/>
          </w:rPr>
          <w:fldChar w:fldCharType="end"/>
        </w:r>
      </w:hyperlink>
    </w:p>
    <w:p w14:paraId="552C159E"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80" w:history="1">
        <w:r w:rsidR="00C92C58" w:rsidRPr="002241C3">
          <w:rPr>
            <w:rStyle w:val="Hyperlink"/>
            <w:b/>
            <w:noProof/>
            <w:lang w:val="es-ES"/>
          </w:rPr>
          <w:t>Tabla 24: Resultados evaluación económica – SE San Benito</w:t>
        </w:r>
        <w:r w:rsidR="00C92C58">
          <w:rPr>
            <w:noProof/>
            <w:webHidden/>
          </w:rPr>
          <w:tab/>
        </w:r>
        <w:r w:rsidR="00C92C58">
          <w:rPr>
            <w:noProof/>
            <w:webHidden/>
          </w:rPr>
          <w:fldChar w:fldCharType="begin"/>
        </w:r>
        <w:r w:rsidR="00C92C58">
          <w:rPr>
            <w:noProof/>
            <w:webHidden/>
          </w:rPr>
          <w:instrText xml:space="preserve"> PAGEREF _Toc456353180 \h </w:instrText>
        </w:r>
        <w:r w:rsidR="00C92C58">
          <w:rPr>
            <w:noProof/>
            <w:webHidden/>
          </w:rPr>
        </w:r>
        <w:r w:rsidR="00C92C58">
          <w:rPr>
            <w:noProof/>
            <w:webHidden/>
          </w:rPr>
          <w:fldChar w:fldCharType="separate"/>
        </w:r>
        <w:r w:rsidR="00C92C58">
          <w:rPr>
            <w:noProof/>
            <w:webHidden/>
          </w:rPr>
          <w:t>33</w:t>
        </w:r>
        <w:r w:rsidR="00C92C58">
          <w:rPr>
            <w:noProof/>
            <w:webHidden/>
          </w:rPr>
          <w:fldChar w:fldCharType="end"/>
        </w:r>
      </w:hyperlink>
    </w:p>
    <w:p w14:paraId="174639C6"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81" w:history="1">
        <w:r w:rsidR="00C92C58" w:rsidRPr="002241C3">
          <w:rPr>
            <w:rStyle w:val="Hyperlink"/>
            <w:b/>
            <w:noProof/>
            <w:lang w:val="es-ES"/>
          </w:rPr>
          <w:t>Tabla 25: Resultados evaluación financiera – SE San Benito</w:t>
        </w:r>
        <w:r w:rsidR="00C92C58">
          <w:rPr>
            <w:noProof/>
            <w:webHidden/>
          </w:rPr>
          <w:tab/>
        </w:r>
        <w:r w:rsidR="00C92C58">
          <w:rPr>
            <w:noProof/>
            <w:webHidden/>
          </w:rPr>
          <w:fldChar w:fldCharType="begin"/>
        </w:r>
        <w:r w:rsidR="00C92C58">
          <w:rPr>
            <w:noProof/>
            <w:webHidden/>
          </w:rPr>
          <w:instrText xml:space="preserve"> PAGEREF _Toc456353181 \h </w:instrText>
        </w:r>
        <w:r w:rsidR="00C92C58">
          <w:rPr>
            <w:noProof/>
            <w:webHidden/>
          </w:rPr>
        </w:r>
        <w:r w:rsidR="00C92C58">
          <w:rPr>
            <w:noProof/>
            <w:webHidden/>
          </w:rPr>
          <w:fldChar w:fldCharType="separate"/>
        </w:r>
        <w:r w:rsidR="00C92C58">
          <w:rPr>
            <w:noProof/>
            <w:webHidden/>
          </w:rPr>
          <w:t>33</w:t>
        </w:r>
        <w:r w:rsidR="00C92C58">
          <w:rPr>
            <w:noProof/>
            <w:webHidden/>
          </w:rPr>
          <w:fldChar w:fldCharType="end"/>
        </w:r>
      </w:hyperlink>
    </w:p>
    <w:p w14:paraId="7C231F91"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82" w:history="1">
        <w:r w:rsidR="00C92C58" w:rsidRPr="002241C3">
          <w:rPr>
            <w:rStyle w:val="Hyperlink"/>
            <w:b/>
            <w:noProof/>
            <w:lang w:val="es-ES"/>
          </w:rPr>
          <w:t>Tabla 26: Análisis de sensibilidad evaluación económica – SE San Benito</w:t>
        </w:r>
        <w:r w:rsidR="00C92C58">
          <w:rPr>
            <w:noProof/>
            <w:webHidden/>
          </w:rPr>
          <w:tab/>
        </w:r>
        <w:r w:rsidR="00C92C58">
          <w:rPr>
            <w:noProof/>
            <w:webHidden/>
          </w:rPr>
          <w:fldChar w:fldCharType="begin"/>
        </w:r>
        <w:r w:rsidR="00C92C58">
          <w:rPr>
            <w:noProof/>
            <w:webHidden/>
          </w:rPr>
          <w:instrText xml:space="preserve"> PAGEREF _Toc456353182 \h </w:instrText>
        </w:r>
        <w:r w:rsidR="00C92C58">
          <w:rPr>
            <w:noProof/>
            <w:webHidden/>
          </w:rPr>
        </w:r>
        <w:r w:rsidR="00C92C58">
          <w:rPr>
            <w:noProof/>
            <w:webHidden/>
          </w:rPr>
          <w:fldChar w:fldCharType="separate"/>
        </w:r>
        <w:r w:rsidR="00C92C58">
          <w:rPr>
            <w:noProof/>
            <w:webHidden/>
          </w:rPr>
          <w:t>34</w:t>
        </w:r>
        <w:r w:rsidR="00C92C58">
          <w:rPr>
            <w:noProof/>
            <w:webHidden/>
          </w:rPr>
          <w:fldChar w:fldCharType="end"/>
        </w:r>
      </w:hyperlink>
    </w:p>
    <w:p w14:paraId="6A7EF82E"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83" w:history="1">
        <w:r w:rsidR="00C92C58" w:rsidRPr="002241C3">
          <w:rPr>
            <w:rStyle w:val="Hyperlink"/>
            <w:b/>
            <w:noProof/>
            <w:lang w:val="es-ES"/>
          </w:rPr>
          <w:t xml:space="preserve">Tabla </w:t>
        </w:r>
        <w:r w:rsidR="00C92C58" w:rsidRPr="002241C3">
          <w:rPr>
            <w:rStyle w:val="Hyperlink"/>
            <w:b/>
            <w:i/>
            <w:noProof/>
            <w:lang w:val="es-ES"/>
          </w:rPr>
          <w:t>27</w:t>
        </w:r>
        <w:r w:rsidR="00C92C58" w:rsidRPr="002241C3">
          <w:rPr>
            <w:rStyle w:val="Hyperlink"/>
            <w:b/>
            <w:noProof/>
            <w:lang w:val="es-ES"/>
          </w:rPr>
          <w:t>: Supuestos de modelización particulares – SE Catarina</w:t>
        </w:r>
        <w:r w:rsidR="00C92C58">
          <w:rPr>
            <w:noProof/>
            <w:webHidden/>
          </w:rPr>
          <w:tab/>
        </w:r>
        <w:r w:rsidR="00C92C58">
          <w:rPr>
            <w:noProof/>
            <w:webHidden/>
          </w:rPr>
          <w:fldChar w:fldCharType="begin"/>
        </w:r>
        <w:r w:rsidR="00C92C58">
          <w:rPr>
            <w:noProof/>
            <w:webHidden/>
          </w:rPr>
          <w:instrText xml:space="preserve"> PAGEREF _Toc456353183 \h </w:instrText>
        </w:r>
        <w:r w:rsidR="00C92C58">
          <w:rPr>
            <w:noProof/>
            <w:webHidden/>
          </w:rPr>
        </w:r>
        <w:r w:rsidR="00C92C58">
          <w:rPr>
            <w:noProof/>
            <w:webHidden/>
          </w:rPr>
          <w:fldChar w:fldCharType="separate"/>
        </w:r>
        <w:r w:rsidR="00C92C58">
          <w:rPr>
            <w:noProof/>
            <w:webHidden/>
          </w:rPr>
          <w:t>36</w:t>
        </w:r>
        <w:r w:rsidR="00C92C58">
          <w:rPr>
            <w:noProof/>
            <w:webHidden/>
          </w:rPr>
          <w:fldChar w:fldCharType="end"/>
        </w:r>
      </w:hyperlink>
    </w:p>
    <w:p w14:paraId="2403FC51"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84" w:history="1">
        <w:r w:rsidR="00C92C58" w:rsidRPr="002241C3">
          <w:rPr>
            <w:rStyle w:val="Hyperlink"/>
            <w:b/>
            <w:noProof/>
            <w:lang w:val="es-ES"/>
          </w:rPr>
          <w:t>Tabla 28: Resultados evaluación económica – SE Catarina</w:t>
        </w:r>
        <w:r w:rsidR="00C92C58">
          <w:rPr>
            <w:noProof/>
            <w:webHidden/>
          </w:rPr>
          <w:tab/>
        </w:r>
        <w:r w:rsidR="00C92C58">
          <w:rPr>
            <w:noProof/>
            <w:webHidden/>
          </w:rPr>
          <w:fldChar w:fldCharType="begin"/>
        </w:r>
        <w:r w:rsidR="00C92C58">
          <w:rPr>
            <w:noProof/>
            <w:webHidden/>
          </w:rPr>
          <w:instrText xml:space="preserve"> PAGEREF _Toc456353184 \h </w:instrText>
        </w:r>
        <w:r w:rsidR="00C92C58">
          <w:rPr>
            <w:noProof/>
            <w:webHidden/>
          </w:rPr>
        </w:r>
        <w:r w:rsidR="00C92C58">
          <w:rPr>
            <w:noProof/>
            <w:webHidden/>
          </w:rPr>
          <w:fldChar w:fldCharType="separate"/>
        </w:r>
        <w:r w:rsidR="00C92C58">
          <w:rPr>
            <w:noProof/>
            <w:webHidden/>
          </w:rPr>
          <w:t>36</w:t>
        </w:r>
        <w:r w:rsidR="00C92C58">
          <w:rPr>
            <w:noProof/>
            <w:webHidden/>
          </w:rPr>
          <w:fldChar w:fldCharType="end"/>
        </w:r>
      </w:hyperlink>
    </w:p>
    <w:p w14:paraId="47F36FB7"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85" w:history="1">
        <w:r w:rsidR="00C92C58" w:rsidRPr="002241C3">
          <w:rPr>
            <w:rStyle w:val="Hyperlink"/>
            <w:b/>
            <w:noProof/>
            <w:lang w:val="es-ES"/>
          </w:rPr>
          <w:t>Tabla 29: Resultados evaluación financiera – SE Catarina</w:t>
        </w:r>
        <w:r w:rsidR="00C92C58">
          <w:rPr>
            <w:noProof/>
            <w:webHidden/>
          </w:rPr>
          <w:tab/>
        </w:r>
        <w:r w:rsidR="00C92C58">
          <w:rPr>
            <w:noProof/>
            <w:webHidden/>
          </w:rPr>
          <w:fldChar w:fldCharType="begin"/>
        </w:r>
        <w:r w:rsidR="00C92C58">
          <w:rPr>
            <w:noProof/>
            <w:webHidden/>
          </w:rPr>
          <w:instrText xml:space="preserve"> PAGEREF _Toc456353185 \h </w:instrText>
        </w:r>
        <w:r w:rsidR="00C92C58">
          <w:rPr>
            <w:noProof/>
            <w:webHidden/>
          </w:rPr>
        </w:r>
        <w:r w:rsidR="00C92C58">
          <w:rPr>
            <w:noProof/>
            <w:webHidden/>
          </w:rPr>
          <w:fldChar w:fldCharType="separate"/>
        </w:r>
        <w:r w:rsidR="00C92C58">
          <w:rPr>
            <w:noProof/>
            <w:webHidden/>
          </w:rPr>
          <w:t>37</w:t>
        </w:r>
        <w:r w:rsidR="00C92C58">
          <w:rPr>
            <w:noProof/>
            <w:webHidden/>
          </w:rPr>
          <w:fldChar w:fldCharType="end"/>
        </w:r>
      </w:hyperlink>
    </w:p>
    <w:p w14:paraId="61119379"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86" w:history="1">
        <w:r w:rsidR="00C92C58" w:rsidRPr="002241C3">
          <w:rPr>
            <w:rStyle w:val="Hyperlink"/>
            <w:b/>
            <w:noProof/>
            <w:lang w:val="es-ES"/>
          </w:rPr>
          <w:t>Tabla 30: Análisis de sensibilidad evaluación económica – SE Catarina</w:t>
        </w:r>
        <w:r w:rsidR="00C92C58">
          <w:rPr>
            <w:noProof/>
            <w:webHidden/>
          </w:rPr>
          <w:tab/>
        </w:r>
        <w:r w:rsidR="00C92C58">
          <w:rPr>
            <w:noProof/>
            <w:webHidden/>
          </w:rPr>
          <w:fldChar w:fldCharType="begin"/>
        </w:r>
        <w:r w:rsidR="00C92C58">
          <w:rPr>
            <w:noProof/>
            <w:webHidden/>
          </w:rPr>
          <w:instrText xml:space="preserve"> PAGEREF _Toc456353186 \h </w:instrText>
        </w:r>
        <w:r w:rsidR="00C92C58">
          <w:rPr>
            <w:noProof/>
            <w:webHidden/>
          </w:rPr>
        </w:r>
        <w:r w:rsidR="00C92C58">
          <w:rPr>
            <w:noProof/>
            <w:webHidden/>
          </w:rPr>
          <w:fldChar w:fldCharType="separate"/>
        </w:r>
        <w:r w:rsidR="00C92C58">
          <w:rPr>
            <w:noProof/>
            <w:webHidden/>
          </w:rPr>
          <w:t>37</w:t>
        </w:r>
        <w:r w:rsidR="00C92C58">
          <w:rPr>
            <w:noProof/>
            <w:webHidden/>
          </w:rPr>
          <w:fldChar w:fldCharType="end"/>
        </w:r>
      </w:hyperlink>
    </w:p>
    <w:p w14:paraId="7A537A8C"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87" w:history="1">
        <w:r w:rsidR="00C92C58" w:rsidRPr="002241C3">
          <w:rPr>
            <w:rStyle w:val="Hyperlink"/>
            <w:b/>
            <w:noProof/>
            <w:lang w:val="es-ES"/>
          </w:rPr>
          <w:t>Tabla 31: Supuestos de modelización particulares – Ticuantepe I</w:t>
        </w:r>
        <w:r w:rsidR="00C92C58">
          <w:rPr>
            <w:noProof/>
            <w:webHidden/>
          </w:rPr>
          <w:tab/>
        </w:r>
        <w:r w:rsidR="00C92C58">
          <w:rPr>
            <w:noProof/>
            <w:webHidden/>
          </w:rPr>
          <w:fldChar w:fldCharType="begin"/>
        </w:r>
        <w:r w:rsidR="00C92C58">
          <w:rPr>
            <w:noProof/>
            <w:webHidden/>
          </w:rPr>
          <w:instrText xml:space="preserve"> PAGEREF _Toc456353187 \h </w:instrText>
        </w:r>
        <w:r w:rsidR="00C92C58">
          <w:rPr>
            <w:noProof/>
            <w:webHidden/>
          </w:rPr>
        </w:r>
        <w:r w:rsidR="00C92C58">
          <w:rPr>
            <w:noProof/>
            <w:webHidden/>
          </w:rPr>
          <w:fldChar w:fldCharType="separate"/>
        </w:r>
        <w:r w:rsidR="00C92C58">
          <w:rPr>
            <w:noProof/>
            <w:webHidden/>
          </w:rPr>
          <w:t>39</w:t>
        </w:r>
        <w:r w:rsidR="00C92C58">
          <w:rPr>
            <w:noProof/>
            <w:webHidden/>
          </w:rPr>
          <w:fldChar w:fldCharType="end"/>
        </w:r>
      </w:hyperlink>
    </w:p>
    <w:p w14:paraId="6F9134C8"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88" w:history="1">
        <w:r w:rsidR="00C92C58" w:rsidRPr="002241C3">
          <w:rPr>
            <w:rStyle w:val="Hyperlink"/>
            <w:b/>
            <w:noProof/>
            <w:lang w:val="es-ES"/>
          </w:rPr>
          <w:t>Tabla 32: Resultados evaluación económica –SE Ticuantepe I y II</w:t>
        </w:r>
        <w:r w:rsidR="00C92C58">
          <w:rPr>
            <w:noProof/>
            <w:webHidden/>
          </w:rPr>
          <w:tab/>
        </w:r>
        <w:r w:rsidR="00C92C58">
          <w:rPr>
            <w:noProof/>
            <w:webHidden/>
          </w:rPr>
          <w:fldChar w:fldCharType="begin"/>
        </w:r>
        <w:r w:rsidR="00C92C58">
          <w:rPr>
            <w:noProof/>
            <w:webHidden/>
          </w:rPr>
          <w:instrText xml:space="preserve"> PAGEREF _Toc456353188 \h </w:instrText>
        </w:r>
        <w:r w:rsidR="00C92C58">
          <w:rPr>
            <w:noProof/>
            <w:webHidden/>
          </w:rPr>
        </w:r>
        <w:r w:rsidR="00C92C58">
          <w:rPr>
            <w:noProof/>
            <w:webHidden/>
          </w:rPr>
          <w:fldChar w:fldCharType="separate"/>
        </w:r>
        <w:r w:rsidR="00C92C58">
          <w:rPr>
            <w:noProof/>
            <w:webHidden/>
          </w:rPr>
          <w:t>40</w:t>
        </w:r>
        <w:r w:rsidR="00C92C58">
          <w:rPr>
            <w:noProof/>
            <w:webHidden/>
          </w:rPr>
          <w:fldChar w:fldCharType="end"/>
        </w:r>
      </w:hyperlink>
    </w:p>
    <w:p w14:paraId="30A2DA76"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89" w:history="1">
        <w:r w:rsidR="00C92C58" w:rsidRPr="002241C3">
          <w:rPr>
            <w:rStyle w:val="Hyperlink"/>
            <w:b/>
            <w:noProof/>
            <w:lang w:val="es-ES"/>
          </w:rPr>
          <w:t>Tabla 33: Resultados evaluación financiera – SE Ticuantepe I y II</w:t>
        </w:r>
        <w:r w:rsidR="00C92C58">
          <w:rPr>
            <w:noProof/>
            <w:webHidden/>
          </w:rPr>
          <w:tab/>
        </w:r>
        <w:r w:rsidR="00C92C58">
          <w:rPr>
            <w:noProof/>
            <w:webHidden/>
          </w:rPr>
          <w:fldChar w:fldCharType="begin"/>
        </w:r>
        <w:r w:rsidR="00C92C58">
          <w:rPr>
            <w:noProof/>
            <w:webHidden/>
          </w:rPr>
          <w:instrText xml:space="preserve"> PAGEREF _Toc456353189 \h </w:instrText>
        </w:r>
        <w:r w:rsidR="00C92C58">
          <w:rPr>
            <w:noProof/>
            <w:webHidden/>
          </w:rPr>
        </w:r>
        <w:r w:rsidR="00C92C58">
          <w:rPr>
            <w:noProof/>
            <w:webHidden/>
          </w:rPr>
          <w:fldChar w:fldCharType="separate"/>
        </w:r>
        <w:r w:rsidR="00C92C58">
          <w:rPr>
            <w:noProof/>
            <w:webHidden/>
          </w:rPr>
          <w:t>41</w:t>
        </w:r>
        <w:r w:rsidR="00C92C58">
          <w:rPr>
            <w:noProof/>
            <w:webHidden/>
          </w:rPr>
          <w:fldChar w:fldCharType="end"/>
        </w:r>
      </w:hyperlink>
    </w:p>
    <w:p w14:paraId="72A3B9CE"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90" w:history="1">
        <w:r w:rsidR="00C92C58" w:rsidRPr="002241C3">
          <w:rPr>
            <w:rStyle w:val="Hyperlink"/>
            <w:b/>
            <w:noProof/>
            <w:lang w:val="es-ES"/>
          </w:rPr>
          <w:t>Tabla 34: Análisis de sensibilidad evaluación económica – SE Ticuantepe I y II</w:t>
        </w:r>
        <w:r w:rsidR="00C92C58">
          <w:rPr>
            <w:noProof/>
            <w:webHidden/>
          </w:rPr>
          <w:tab/>
        </w:r>
        <w:r w:rsidR="00C92C58">
          <w:rPr>
            <w:noProof/>
            <w:webHidden/>
          </w:rPr>
          <w:fldChar w:fldCharType="begin"/>
        </w:r>
        <w:r w:rsidR="00C92C58">
          <w:rPr>
            <w:noProof/>
            <w:webHidden/>
          </w:rPr>
          <w:instrText xml:space="preserve"> PAGEREF _Toc456353190 \h </w:instrText>
        </w:r>
        <w:r w:rsidR="00C92C58">
          <w:rPr>
            <w:noProof/>
            <w:webHidden/>
          </w:rPr>
        </w:r>
        <w:r w:rsidR="00C92C58">
          <w:rPr>
            <w:noProof/>
            <w:webHidden/>
          </w:rPr>
          <w:fldChar w:fldCharType="separate"/>
        </w:r>
        <w:r w:rsidR="00C92C58">
          <w:rPr>
            <w:noProof/>
            <w:webHidden/>
          </w:rPr>
          <w:t>42</w:t>
        </w:r>
        <w:r w:rsidR="00C92C58">
          <w:rPr>
            <w:noProof/>
            <w:webHidden/>
          </w:rPr>
          <w:fldChar w:fldCharType="end"/>
        </w:r>
      </w:hyperlink>
    </w:p>
    <w:p w14:paraId="0E1C04FB"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91" w:history="1">
        <w:r w:rsidR="00C92C58" w:rsidRPr="002241C3">
          <w:rPr>
            <w:rStyle w:val="Hyperlink"/>
            <w:b/>
            <w:noProof/>
            <w:lang w:val="es-ES"/>
          </w:rPr>
          <w:t>Tabla 35: Supuestos de modelización particulares – Transformador móvil</w:t>
        </w:r>
        <w:r w:rsidR="00C92C58">
          <w:rPr>
            <w:noProof/>
            <w:webHidden/>
          </w:rPr>
          <w:tab/>
        </w:r>
        <w:r w:rsidR="00C92C58">
          <w:rPr>
            <w:noProof/>
            <w:webHidden/>
          </w:rPr>
          <w:fldChar w:fldCharType="begin"/>
        </w:r>
        <w:r w:rsidR="00C92C58">
          <w:rPr>
            <w:noProof/>
            <w:webHidden/>
          </w:rPr>
          <w:instrText xml:space="preserve"> PAGEREF _Toc456353191 \h </w:instrText>
        </w:r>
        <w:r w:rsidR="00C92C58">
          <w:rPr>
            <w:noProof/>
            <w:webHidden/>
          </w:rPr>
        </w:r>
        <w:r w:rsidR="00C92C58">
          <w:rPr>
            <w:noProof/>
            <w:webHidden/>
          </w:rPr>
          <w:fldChar w:fldCharType="separate"/>
        </w:r>
        <w:r w:rsidR="00C92C58">
          <w:rPr>
            <w:noProof/>
            <w:webHidden/>
          </w:rPr>
          <w:t>43</w:t>
        </w:r>
        <w:r w:rsidR="00C92C58">
          <w:rPr>
            <w:noProof/>
            <w:webHidden/>
          </w:rPr>
          <w:fldChar w:fldCharType="end"/>
        </w:r>
      </w:hyperlink>
    </w:p>
    <w:p w14:paraId="63F7CF4C"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92" w:history="1">
        <w:r w:rsidR="00C92C58" w:rsidRPr="002241C3">
          <w:rPr>
            <w:rStyle w:val="Hyperlink"/>
            <w:b/>
            <w:noProof/>
            <w:lang w:val="es-ES"/>
          </w:rPr>
          <w:t>Tabla 36: Resultados evaluación económica – Transformador móvil</w:t>
        </w:r>
        <w:r w:rsidR="00C92C58">
          <w:rPr>
            <w:noProof/>
            <w:webHidden/>
          </w:rPr>
          <w:tab/>
        </w:r>
        <w:r w:rsidR="00C92C58">
          <w:rPr>
            <w:noProof/>
            <w:webHidden/>
          </w:rPr>
          <w:fldChar w:fldCharType="begin"/>
        </w:r>
        <w:r w:rsidR="00C92C58">
          <w:rPr>
            <w:noProof/>
            <w:webHidden/>
          </w:rPr>
          <w:instrText xml:space="preserve"> PAGEREF _Toc456353192 \h </w:instrText>
        </w:r>
        <w:r w:rsidR="00C92C58">
          <w:rPr>
            <w:noProof/>
            <w:webHidden/>
          </w:rPr>
        </w:r>
        <w:r w:rsidR="00C92C58">
          <w:rPr>
            <w:noProof/>
            <w:webHidden/>
          </w:rPr>
          <w:fldChar w:fldCharType="separate"/>
        </w:r>
        <w:r w:rsidR="00C92C58">
          <w:rPr>
            <w:noProof/>
            <w:webHidden/>
          </w:rPr>
          <w:t>45</w:t>
        </w:r>
        <w:r w:rsidR="00C92C58">
          <w:rPr>
            <w:noProof/>
            <w:webHidden/>
          </w:rPr>
          <w:fldChar w:fldCharType="end"/>
        </w:r>
      </w:hyperlink>
    </w:p>
    <w:p w14:paraId="34D886B4"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93" w:history="1">
        <w:r w:rsidR="00C92C58" w:rsidRPr="002241C3">
          <w:rPr>
            <w:rStyle w:val="Hyperlink"/>
            <w:b/>
            <w:noProof/>
            <w:lang w:val="es-ES"/>
          </w:rPr>
          <w:t>Tabla 37: Resultados evaluación financiera – Transformador móvil</w:t>
        </w:r>
        <w:r w:rsidR="00C92C58">
          <w:rPr>
            <w:noProof/>
            <w:webHidden/>
          </w:rPr>
          <w:tab/>
        </w:r>
        <w:r w:rsidR="00C92C58">
          <w:rPr>
            <w:noProof/>
            <w:webHidden/>
          </w:rPr>
          <w:fldChar w:fldCharType="begin"/>
        </w:r>
        <w:r w:rsidR="00C92C58">
          <w:rPr>
            <w:noProof/>
            <w:webHidden/>
          </w:rPr>
          <w:instrText xml:space="preserve"> PAGEREF _Toc456353193 \h </w:instrText>
        </w:r>
        <w:r w:rsidR="00C92C58">
          <w:rPr>
            <w:noProof/>
            <w:webHidden/>
          </w:rPr>
        </w:r>
        <w:r w:rsidR="00C92C58">
          <w:rPr>
            <w:noProof/>
            <w:webHidden/>
          </w:rPr>
          <w:fldChar w:fldCharType="separate"/>
        </w:r>
        <w:r w:rsidR="00C92C58">
          <w:rPr>
            <w:noProof/>
            <w:webHidden/>
          </w:rPr>
          <w:t>45</w:t>
        </w:r>
        <w:r w:rsidR="00C92C58">
          <w:rPr>
            <w:noProof/>
            <w:webHidden/>
          </w:rPr>
          <w:fldChar w:fldCharType="end"/>
        </w:r>
      </w:hyperlink>
    </w:p>
    <w:p w14:paraId="71B47709"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94" w:history="1">
        <w:r w:rsidR="00C92C58" w:rsidRPr="002241C3">
          <w:rPr>
            <w:rStyle w:val="Hyperlink"/>
            <w:b/>
            <w:noProof/>
            <w:lang w:val="es-ES"/>
          </w:rPr>
          <w:t>Tabla 38: Análisis de sensibilidad evaluación económica – Transformador móvil</w:t>
        </w:r>
        <w:r w:rsidR="00C92C58">
          <w:rPr>
            <w:noProof/>
            <w:webHidden/>
          </w:rPr>
          <w:tab/>
        </w:r>
        <w:r w:rsidR="00C92C58">
          <w:rPr>
            <w:noProof/>
            <w:webHidden/>
          </w:rPr>
          <w:fldChar w:fldCharType="begin"/>
        </w:r>
        <w:r w:rsidR="00C92C58">
          <w:rPr>
            <w:noProof/>
            <w:webHidden/>
          </w:rPr>
          <w:instrText xml:space="preserve"> PAGEREF _Toc456353194 \h </w:instrText>
        </w:r>
        <w:r w:rsidR="00C92C58">
          <w:rPr>
            <w:noProof/>
            <w:webHidden/>
          </w:rPr>
        </w:r>
        <w:r w:rsidR="00C92C58">
          <w:rPr>
            <w:noProof/>
            <w:webHidden/>
          </w:rPr>
          <w:fldChar w:fldCharType="separate"/>
        </w:r>
        <w:r w:rsidR="00C92C58">
          <w:rPr>
            <w:noProof/>
            <w:webHidden/>
          </w:rPr>
          <w:t>46</w:t>
        </w:r>
        <w:r w:rsidR="00C92C58">
          <w:rPr>
            <w:noProof/>
            <w:webHidden/>
          </w:rPr>
          <w:fldChar w:fldCharType="end"/>
        </w:r>
      </w:hyperlink>
    </w:p>
    <w:p w14:paraId="334797B2"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95" w:history="1">
        <w:r w:rsidR="00C92C58" w:rsidRPr="002241C3">
          <w:rPr>
            <w:rStyle w:val="Hyperlink"/>
            <w:b/>
            <w:noProof/>
            <w:lang w:val="es-ES"/>
          </w:rPr>
          <w:t>Tabla 39: Ahorros de Costos de Generación Térmica (MM US$)</w:t>
        </w:r>
        <w:r w:rsidR="00C92C58">
          <w:rPr>
            <w:noProof/>
            <w:webHidden/>
          </w:rPr>
          <w:tab/>
        </w:r>
        <w:r w:rsidR="00C92C58">
          <w:rPr>
            <w:noProof/>
            <w:webHidden/>
          </w:rPr>
          <w:fldChar w:fldCharType="begin"/>
        </w:r>
        <w:r w:rsidR="00C92C58">
          <w:rPr>
            <w:noProof/>
            <w:webHidden/>
          </w:rPr>
          <w:instrText xml:space="preserve"> PAGEREF _Toc456353195 \h </w:instrText>
        </w:r>
        <w:r w:rsidR="00C92C58">
          <w:rPr>
            <w:noProof/>
            <w:webHidden/>
          </w:rPr>
        </w:r>
        <w:r w:rsidR="00C92C58">
          <w:rPr>
            <w:noProof/>
            <w:webHidden/>
          </w:rPr>
          <w:fldChar w:fldCharType="separate"/>
        </w:r>
        <w:r w:rsidR="00C92C58">
          <w:rPr>
            <w:noProof/>
            <w:webHidden/>
          </w:rPr>
          <w:t>49</w:t>
        </w:r>
        <w:r w:rsidR="00C92C58">
          <w:rPr>
            <w:noProof/>
            <w:webHidden/>
          </w:rPr>
          <w:fldChar w:fldCharType="end"/>
        </w:r>
      </w:hyperlink>
    </w:p>
    <w:p w14:paraId="5C935211"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96" w:history="1">
        <w:r w:rsidR="00C92C58" w:rsidRPr="002241C3">
          <w:rPr>
            <w:rStyle w:val="Hyperlink"/>
            <w:b/>
            <w:noProof/>
            <w:lang w:val="es-ES"/>
          </w:rPr>
          <w:t>Tabla 40: Análisis Beneficio Costo Regional: Beneficios Crecientes</w:t>
        </w:r>
        <w:r w:rsidR="00C92C58">
          <w:rPr>
            <w:noProof/>
            <w:webHidden/>
          </w:rPr>
          <w:tab/>
        </w:r>
        <w:r w:rsidR="00C92C58">
          <w:rPr>
            <w:noProof/>
            <w:webHidden/>
          </w:rPr>
          <w:fldChar w:fldCharType="begin"/>
        </w:r>
        <w:r w:rsidR="00C92C58">
          <w:rPr>
            <w:noProof/>
            <w:webHidden/>
          </w:rPr>
          <w:instrText xml:space="preserve"> PAGEREF _Toc456353196 \h </w:instrText>
        </w:r>
        <w:r w:rsidR="00C92C58">
          <w:rPr>
            <w:noProof/>
            <w:webHidden/>
          </w:rPr>
        </w:r>
        <w:r w:rsidR="00C92C58">
          <w:rPr>
            <w:noProof/>
            <w:webHidden/>
          </w:rPr>
          <w:fldChar w:fldCharType="separate"/>
        </w:r>
        <w:r w:rsidR="00C92C58">
          <w:rPr>
            <w:noProof/>
            <w:webHidden/>
          </w:rPr>
          <w:t>50</w:t>
        </w:r>
        <w:r w:rsidR="00C92C58">
          <w:rPr>
            <w:noProof/>
            <w:webHidden/>
          </w:rPr>
          <w:fldChar w:fldCharType="end"/>
        </w:r>
      </w:hyperlink>
    </w:p>
    <w:p w14:paraId="1AC03E2E"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97" w:history="1">
        <w:r w:rsidR="00C92C58" w:rsidRPr="002241C3">
          <w:rPr>
            <w:rStyle w:val="Hyperlink"/>
            <w:b/>
            <w:noProof/>
            <w:lang w:val="es-ES"/>
          </w:rPr>
          <w:t>Tabla 41: Beneficios de Operación y de Integración (MM US$)</w:t>
        </w:r>
        <w:r w:rsidR="00C92C58">
          <w:rPr>
            <w:noProof/>
            <w:webHidden/>
          </w:rPr>
          <w:tab/>
        </w:r>
        <w:r w:rsidR="00C92C58">
          <w:rPr>
            <w:noProof/>
            <w:webHidden/>
          </w:rPr>
          <w:fldChar w:fldCharType="begin"/>
        </w:r>
        <w:r w:rsidR="00C92C58">
          <w:rPr>
            <w:noProof/>
            <w:webHidden/>
          </w:rPr>
          <w:instrText xml:space="preserve"> PAGEREF _Toc456353197 \h </w:instrText>
        </w:r>
        <w:r w:rsidR="00C92C58">
          <w:rPr>
            <w:noProof/>
            <w:webHidden/>
          </w:rPr>
        </w:r>
        <w:r w:rsidR="00C92C58">
          <w:rPr>
            <w:noProof/>
            <w:webHidden/>
          </w:rPr>
          <w:fldChar w:fldCharType="separate"/>
        </w:r>
        <w:r w:rsidR="00C92C58">
          <w:rPr>
            <w:noProof/>
            <w:webHidden/>
          </w:rPr>
          <w:t>51</w:t>
        </w:r>
        <w:r w:rsidR="00C92C58">
          <w:rPr>
            <w:noProof/>
            <w:webHidden/>
          </w:rPr>
          <w:fldChar w:fldCharType="end"/>
        </w:r>
      </w:hyperlink>
    </w:p>
    <w:p w14:paraId="5C1E22AE"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98" w:history="1">
        <w:r w:rsidR="00C92C58" w:rsidRPr="002241C3">
          <w:rPr>
            <w:rStyle w:val="Hyperlink"/>
            <w:b/>
            <w:noProof/>
            <w:lang w:val="es-ES"/>
          </w:rPr>
          <w:t>Tabla 42: Beneficios Económicos de Operación e Integración</w:t>
        </w:r>
        <w:r w:rsidR="00C92C58">
          <w:rPr>
            <w:noProof/>
            <w:webHidden/>
          </w:rPr>
          <w:tab/>
        </w:r>
        <w:r w:rsidR="00C92C58">
          <w:rPr>
            <w:noProof/>
            <w:webHidden/>
          </w:rPr>
          <w:fldChar w:fldCharType="begin"/>
        </w:r>
        <w:r w:rsidR="00C92C58">
          <w:rPr>
            <w:noProof/>
            <w:webHidden/>
          </w:rPr>
          <w:instrText xml:space="preserve"> PAGEREF _Toc456353198 \h </w:instrText>
        </w:r>
        <w:r w:rsidR="00C92C58">
          <w:rPr>
            <w:noProof/>
            <w:webHidden/>
          </w:rPr>
        </w:r>
        <w:r w:rsidR="00C92C58">
          <w:rPr>
            <w:noProof/>
            <w:webHidden/>
          </w:rPr>
          <w:fldChar w:fldCharType="separate"/>
        </w:r>
        <w:r w:rsidR="00C92C58">
          <w:rPr>
            <w:noProof/>
            <w:webHidden/>
          </w:rPr>
          <w:t>51</w:t>
        </w:r>
        <w:r w:rsidR="00C92C58">
          <w:rPr>
            <w:noProof/>
            <w:webHidden/>
          </w:rPr>
          <w:fldChar w:fldCharType="end"/>
        </w:r>
      </w:hyperlink>
    </w:p>
    <w:p w14:paraId="0B25615A"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199" w:history="1">
        <w:r w:rsidR="00C92C58" w:rsidRPr="002241C3">
          <w:rPr>
            <w:rStyle w:val="Hyperlink"/>
            <w:b/>
            <w:noProof/>
            <w:lang w:val="es-ES"/>
          </w:rPr>
          <w:t>Tabla 43: Análisis de sensibilidad evaluación económica – Aumento capacidad LT 230kV</w:t>
        </w:r>
        <w:r w:rsidR="00C92C58">
          <w:rPr>
            <w:noProof/>
            <w:webHidden/>
          </w:rPr>
          <w:tab/>
        </w:r>
        <w:r w:rsidR="00C92C58">
          <w:rPr>
            <w:noProof/>
            <w:webHidden/>
          </w:rPr>
          <w:fldChar w:fldCharType="begin"/>
        </w:r>
        <w:r w:rsidR="00C92C58">
          <w:rPr>
            <w:noProof/>
            <w:webHidden/>
          </w:rPr>
          <w:instrText xml:space="preserve"> PAGEREF _Toc456353199 \h </w:instrText>
        </w:r>
        <w:r w:rsidR="00C92C58">
          <w:rPr>
            <w:noProof/>
            <w:webHidden/>
          </w:rPr>
        </w:r>
        <w:r w:rsidR="00C92C58">
          <w:rPr>
            <w:noProof/>
            <w:webHidden/>
          </w:rPr>
          <w:fldChar w:fldCharType="separate"/>
        </w:r>
        <w:r w:rsidR="00C92C58">
          <w:rPr>
            <w:noProof/>
            <w:webHidden/>
          </w:rPr>
          <w:t>52</w:t>
        </w:r>
        <w:r w:rsidR="00C92C58">
          <w:rPr>
            <w:noProof/>
            <w:webHidden/>
          </w:rPr>
          <w:fldChar w:fldCharType="end"/>
        </w:r>
      </w:hyperlink>
    </w:p>
    <w:p w14:paraId="34148201"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200" w:history="1">
        <w:r w:rsidR="00C92C58" w:rsidRPr="002241C3">
          <w:rPr>
            <w:rStyle w:val="Hyperlink"/>
            <w:b/>
            <w:noProof/>
            <w:lang w:val="es-ES"/>
          </w:rPr>
          <w:t>Tabla 44: Supuestos de modelización particulares – Aumento capacidad líneas 230kV</w:t>
        </w:r>
        <w:r w:rsidR="00C92C58">
          <w:rPr>
            <w:noProof/>
            <w:webHidden/>
          </w:rPr>
          <w:tab/>
        </w:r>
        <w:r w:rsidR="00C92C58">
          <w:rPr>
            <w:noProof/>
            <w:webHidden/>
          </w:rPr>
          <w:fldChar w:fldCharType="begin"/>
        </w:r>
        <w:r w:rsidR="00C92C58">
          <w:rPr>
            <w:noProof/>
            <w:webHidden/>
          </w:rPr>
          <w:instrText xml:space="preserve"> PAGEREF _Toc456353200 \h </w:instrText>
        </w:r>
        <w:r w:rsidR="00C92C58">
          <w:rPr>
            <w:noProof/>
            <w:webHidden/>
          </w:rPr>
        </w:r>
        <w:r w:rsidR="00C92C58">
          <w:rPr>
            <w:noProof/>
            <w:webHidden/>
          </w:rPr>
          <w:fldChar w:fldCharType="separate"/>
        </w:r>
        <w:r w:rsidR="00C92C58">
          <w:rPr>
            <w:noProof/>
            <w:webHidden/>
          </w:rPr>
          <w:t>53</w:t>
        </w:r>
        <w:r w:rsidR="00C92C58">
          <w:rPr>
            <w:noProof/>
            <w:webHidden/>
          </w:rPr>
          <w:fldChar w:fldCharType="end"/>
        </w:r>
      </w:hyperlink>
    </w:p>
    <w:p w14:paraId="11CC1EB5"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201" w:history="1">
        <w:r w:rsidR="00C92C58" w:rsidRPr="002241C3">
          <w:rPr>
            <w:rStyle w:val="Hyperlink"/>
            <w:b/>
            <w:noProof/>
            <w:lang w:val="es-ES"/>
          </w:rPr>
          <w:t>Tabla 45: Resultados evaluación económica – Aumento capacidad líneas 230kV</w:t>
        </w:r>
        <w:r w:rsidR="00C92C58">
          <w:rPr>
            <w:noProof/>
            <w:webHidden/>
          </w:rPr>
          <w:tab/>
        </w:r>
        <w:r w:rsidR="00C92C58">
          <w:rPr>
            <w:noProof/>
            <w:webHidden/>
          </w:rPr>
          <w:fldChar w:fldCharType="begin"/>
        </w:r>
        <w:r w:rsidR="00C92C58">
          <w:rPr>
            <w:noProof/>
            <w:webHidden/>
          </w:rPr>
          <w:instrText xml:space="preserve"> PAGEREF _Toc456353201 \h </w:instrText>
        </w:r>
        <w:r w:rsidR="00C92C58">
          <w:rPr>
            <w:noProof/>
            <w:webHidden/>
          </w:rPr>
        </w:r>
        <w:r w:rsidR="00C92C58">
          <w:rPr>
            <w:noProof/>
            <w:webHidden/>
          </w:rPr>
          <w:fldChar w:fldCharType="separate"/>
        </w:r>
        <w:r w:rsidR="00C92C58">
          <w:rPr>
            <w:noProof/>
            <w:webHidden/>
          </w:rPr>
          <w:t>54</w:t>
        </w:r>
        <w:r w:rsidR="00C92C58">
          <w:rPr>
            <w:noProof/>
            <w:webHidden/>
          </w:rPr>
          <w:fldChar w:fldCharType="end"/>
        </w:r>
      </w:hyperlink>
    </w:p>
    <w:p w14:paraId="5EC2BE06"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202" w:history="1">
        <w:r w:rsidR="00C92C58" w:rsidRPr="002241C3">
          <w:rPr>
            <w:rStyle w:val="Hyperlink"/>
            <w:b/>
            <w:noProof/>
            <w:lang w:val="es-ES"/>
          </w:rPr>
          <w:t>Tabla 46: Resultados evaluación financiera – Aumento capacidad líneas 230kV</w:t>
        </w:r>
        <w:r w:rsidR="00C92C58">
          <w:rPr>
            <w:noProof/>
            <w:webHidden/>
          </w:rPr>
          <w:tab/>
        </w:r>
        <w:r w:rsidR="00C92C58">
          <w:rPr>
            <w:noProof/>
            <w:webHidden/>
          </w:rPr>
          <w:fldChar w:fldCharType="begin"/>
        </w:r>
        <w:r w:rsidR="00C92C58">
          <w:rPr>
            <w:noProof/>
            <w:webHidden/>
          </w:rPr>
          <w:instrText xml:space="preserve"> PAGEREF _Toc456353202 \h </w:instrText>
        </w:r>
        <w:r w:rsidR="00C92C58">
          <w:rPr>
            <w:noProof/>
            <w:webHidden/>
          </w:rPr>
        </w:r>
        <w:r w:rsidR="00C92C58">
          <w:rPr>
            <w:noProof/>
            <w:webHidden/>
          </w:rPr>
          <w:fldChar w:fldCharType="separate"/>
        </w:r>
        <w:r w:rsidR="00C92C58">
          <w:rPr>
            <w:noProof/>
            <w:webHidden/>
          </w:rPr>
          <w:t>54</w:t>
        </w:r>
        <w:r w:rsidR="00C92C58">
          <w:rPr>
            <w:noProof/>
            <w:webHidden/>
          </w:rPr>
          <w:fldChar w:fldCharType="end"/>
        </w:r>
      </w:hyperlink>
    </w:p>
    <w:p w14:paraId="7000D5D3"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203" w:history="1">
        <w:r w:rsidR="00C92C58" w:rsidRPr="002241C3">
          <w:rPr>
            <w:rStyle w:val="Hyperlink"/>
            <w:b/>
            <w:noProof/>
            <w:lang w:val="es-ES"/>
          </w:rPr>
          <w:t>Tabla 47: Análisis de sensibilidad evaluación económica - Aumento capacidad líneas 230kV</w:t>
        </w:r>
        <w:r w:rsidR="00C92C58">
          <w:rPr>
            <w:noProof/>
            <w:webHidden/>
          </w:rPr>
          <w:tab/>
        </w:r>
        <w:r w:rsidR="00C92C58">
          <w:rPr>
            <w:noProof/>
            <w:webHidden/>
          </w:rPr>
          <w:fldChar w:fldCharType="begin"/>
        </w:r>
        <w:r w:rsidR="00C92C58">
          <w:rPr>
            <w:noProof/>
            <w:webHidden/>
          </w:rPr>
          <w:instrText xml:space="preserve"> PAGEREF _Toc456353203 \h </w:instrText>
        </w:r>
        <w:r w:rsidR="00C92C58">
          <w:rPr>
            <w:noProof/>
            <w:webHidden/>
          </w:rPr>
        </w:r>
        <w:r w:rsidR="00C92C58">
          <w:rPr>
            <w:noProof/>
            <w:webHidden/>
          </w:rPr>
          <w:fldChar w:fldCharType="separate"/>
        </w:r>
        <w:r w:rsidR="00C92C58">
          <w:rPr>
            <w:noProof/>
            <w:webHidden/>
          </w:rPr>
          <w:t>55</w:t>
        </w:r>
        <w:r w:rsidR="00C92C58">
          <w:rPr>
            <w:noProof/>
            <w:webHidden/>
          </w:rPr>
          <w:fldChar w:fldCharType="end"/>
        </w:r>
      </w:hyperlink>
    </w:p>
    <w:p w14:paraId="6B180433"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204" w:history="1">
        <w:r w:rsidR="00C92C58" w:rsidRPr="002241C3">
          <w:rPr>
            <w:rStyle w:val="Hyperlink"/>
            <w:b/>
            <w:noProof/>
            <w:lang w:val="es-ES"/>
          </w:rPr>
          <w:t>Tabla 48: Resultados evaluación económica – SE Catarina “nueva corrida”</w:t>
        </w:r>
        <w:r w:rsidR="00C92C58">
          <w:rPr>
            <w:noProof/>
            <w:webHidden/>
          </w:rPr>
          <w:tab/>
        </w:r>
        <w:r w:rsidR="00C92C58">
          <w:rPr>
            <w:noProof/>
            <w:webHidden/>
          </w:rPr>
          <w:fldChar w:fldCharType="begin"/>
        </w:r>
        <w:r w:rsidR="00C92C58">
          <w:rPr>
            <w:noProof/>
            <w:webHidden/>
          </w:rPr>
          <w:instrText xml:space="preserve"> PAGEREF _Toc456353204 \h </w:instrText>
        </w:r>
        <w:r w:rsidR="00C92C58">
          <w:rPr>
            <w:noProof/>
            <w:webHidden/>
          </w:rPr>
        </w:r>
        <w:r w:rsidR="00C92C58">
          <w:rPr>
            <w:noProof/>
            <w:webHidden/>
          </w:rPr>
          <w:fldChar w:fldCharType="separate"/>
        </w:r>
        <w:r w:rsidR="00C92C58">
          <w:rPr>
            <w:noProof/>
            <w:webHidden/>
          </w:rPr>
          <w:t>59</w:t>
        </w:r>
        <w:r w:rsidR="00C92C58">
          <w:rPr>
            <w:noProof/>
            <w:webHidden/>
          </w:rPr>
          <w:fldChar w:fldCharType="end"/>
        </w:r>
      </w:hyperlink>
    </w:p>
    <w:p w14:paraId="1365FECF"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205" w:history="1">
        <w:r w:rsidR="00C92C58" w:rsidRPr="002241C3">
          <w:rPr>
            <w:rStyle w:val="Hyperlink"/>
            <w:b/>
            <w:noProof/>
            <w:lang w:val="es-ES"/>
          </w:rPr>
          <w:t>Tabla 49: Resultados evaluación financiera – SE Catarina “nueva corrida”</w:t>
        </w:r>
        <w:r w:rsidR="00C92C58">
          <w:rPr>
            <w:noProof/>
            <w:webHidden/>
          </w:rPr>
          <w:tab/>
        </w:r>
        <w:r w:rsidR="00C92C58">
          <w:rPr>
            <w:noProof/>
            <w:webHidden/>
          </w:rPr>
          <w:fldChar w:fldCharType="begin"/>
        </w:r>
        <w:r w:rsidR="00C92C58">
          <w:rPr>
            <w:noProof/>
            <w:webHidden/>
          </w:rPr>
          <w:instrText xml:space="preserve"> PAGEREF _Toc456353205 \h </w:instrText>
        </w:r>
        <w:r w:rsidR="00C92C58">
          <w:rPr>
            <w:noProof/>
            <w:webHidden/>
          </w:rPr>
        </w:r>
        <w:r w:rsidR="00C92C58">
          <w:rPr>
            <w:noProof/>
            <w:webHidden/>
          </w:rPr>
          <w:fldChar w:fldCharType="separate"/>
        </w:r>
        <w:r w:rsidR="00C92C58">
          <w:rPr>
            <w:noProof/>
            <w:webHidden/>
          </w:rPr>
          <w:t>59</w:t>
        </w:r>
        <w:r w:rsidR="00C92C58">
          <w:rPr>
            <w:noProof/>
            <w:webHidden/>
          </w:rPr>
          <w:fldChar w:fldCharType="end"/>
        </w:r>
      </w:hyperlink>
    </w:p>
    <w:p w14:paraId="4AECFC6D"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206" w:history="1">
        <w:r w:rsidR="00C92C58" w:rsidRPr="002241C3">
          <w:rPr>
            <w:rStyle w:val="Hyperlink"/>
            <w:b/>
            <w:noProof/>
            <w:lang w:val="es-ES"/>
          </w:rPr>
          <w:t>Tabla 50: Generación térmica MER (GWH)</w:t>
        </w:r>
        <w:r w:rsidR="00C92C58">
          <w:rPr>
            <w:noProof/>
            <w:webHidden/>
          </w:rPr>
          <w:tab/>
        </w:r>
        <w:r w:rsidR="00C92C58">
          <w:rPr>
            <w:noProof/>
            <w:webHidden/>
          </w:rPr>
          <w:fldChar w:fldCharType="begin"/>
        </w:r>
        <w:r w:rsidR="00C92C58">
          <w:rPr>
            <w:noProof/>
            <w:webHidden/>
          </w:rPr>
          <w:instrText xml:space="preserve"> PAGEREF _Toc456353206 \h </w:instrText>
        </w:r>
        <w:r w:rsidR="00C92C58">
          <w:rPr>
            <w:noProof/>
            <w:webHidden/>
          </w:rPr>
        </w:r>
        <w:r w:rsidR="00C92C58">
          <w:rPr>
            <w:noProof/>
            <w:webHidden/>
          </w:rPr>
          <w:fldChar w:fldCharType="separate"/>
        </w:r>
        <w:r w:rsidR="00C92C58">
          <w:rPr>
            <w:noProof/>
            <w:webHidden/>
          </w:rPr>
          <w:t>60</w:t>
        </w:r>
        <w:r w:rsidR="00C92C58">
          <w:rPr>
            <w:noProof/>
            <w:webHidden/>
          </w:rPr>
          <w:fldChar w:fldCharType="end"/>
        </w:r>
      </w:hyperlink>
    </w:p>
    <w:p w14:paraId="009CC867" w14:textId="77777777" w:rsidR="00C92C58" w:rsidRPr="00C174D5" w:rsidRDefault="00C92C58" w:rsidP="00C92C58">
      <w:pPr>
        <w:spacing w:after="0"/>
        <w:rPr>
          <w:lang w:val="es-ES"/>
        </w:rPr>
      </w:pPr>
      <w:r w:rsidRPr="00C174D5">
        <w:rPr>
          <w:lang w:val="es-ES"/>
        </w:rPr>
        <w:fldChar w:fldCharType="end"/>
      </w:r>
    </w:p>
    <w:p w14:paraId="19C0D2FD" w14:textId="77777777" w:rsidR="00C92C58" w:rsidRPr="00C174D5" w:rsidRDefault="00C92C58" w:rsidP="00C92C58">
      <w:pPr>
        <w:pStyle w:val="TableofFigures"/>
        <w:tabs>
          <w:tab w:val="right" w:leader="dot" w:pos="8495"/>
        </w:tabs>
        <w:spacing w:after="0"/>
        <w:rPr>
          <w:rFonts w:eastAsiaTheme="majorEastAsia" w:cstheme="majorBidi"/>
          <w:b/>
          <w:bCs/>
          <w:smallCaps/>
          <w:sz w:val="28"/>
          <w:szCs w:val="28"/>
          <w:lang w:val="es-ES" w:bidi="en-US"/>
        </w:rPr>
      </w:pPr>
      <w:r w:rsidRPr="00C174D5">
        <w:rPr>
          <w:rFonts w:eastAsiaTheme="majorEastAsia" w:cstheme="majorBidi"/>
          <w:b/>
          <w:bCs/>
          <w:smallCaps/>
          <w:sz w:val="28"/>
          <w:szCs w:val="28"/>
          <w:lang w:val="es-ES" w:bidi="en-US"/>
        </w:rPr>
        <w:t>Índice de figuras</w:t>
      </w:r>
    </w:p>
    <w:p w14:paraId="156AF6E6" w14:textId="77777777" w:rsidR="00C92C58" w:rsidRPr="00C174D5" w:rsidRDefault="00C92C58" w:rsidP="00C92C58">
      <w:pPr>
        <w:pStyle w:val="TableofFigures"/>
        <w:tabs>
          <w:tab w:val="right" w:leader="dot" w:pos="8495"/>
        </w:tabs>
        <w:rPr>
          <w:rFonts w:asciiTheme="minorHAnsi" w:eastAsiaTheme="minorEastAsia" w:hAnsiTheme="minorHAnsi"/>
          <w:noProof/>
          <w:lang w:val="es-ES" w:eastAsia="es-AR"/>
        </w:rPr>
      </w:pPr>
      <w:r w:rsidRPr="00C174D5">
        <w:rPr>
          <w:lang w:val="es-ES" w:bidi="en-US"/>
        </w:rPr>
        <w:fldChar w:fldCharType="begin" w:fldLock="1"/>
      </w:r>
      <w:r w:rsidRPr="00C174D5">
        <w:rPr>
          <w:lang w:val="es-ES" w:bidi="en-US"/>
        </w:rPr>
        <w:instrText xml:space="preserve"> TOC \h \z \c "Figura" </w:instrText>
      </w:r>
      <w:r w:rsidRPr="00C174D5">
        <w:rPr>
          <w:lang w:val="es-ES" w:bidi="en-US"/>
        </w:rPr>
        <w:fldChar w:fldCharType="separate"/>
      </w:r>
      <w:hyperlink w:anchor="_Toc447546998" w:history="1">
        <w:r w:rsidRPr="00C174D5">
          <w:rPr>
            <w:rStyle w:val="Hyperlink"/>
            <w:b/>
            <w:noProof/>
            <w:lang w:val="es-ES"/>
          </w:rPr>
          <w:t>Figura 1: Identificación y cuantificación de las mejoras en la calidad de vida</w:t>
        </w:r>
        <w:r w:rsidRPr="00C174D5">
          <w:rPr>
            <w:noProof/>
            <w:webHidden/>
            <w:lang w:val="es-ES"/>
          </w:rPr>
          <w:tab/>
        </w:r>
        <w:r w:rsidRPr="00C174D5">
          <w:rPr>
            <w:noProof/>
            <w:webHidden/>
            <w:lang w:val="es-ES"/>
          </w:rPr>
          <w:fldChar w:fldCharType="begin" w:fldLock="1"/>
        </w:r>
        <w:r w:rsidRPr="00C174D5">
          <w:rPr>
            <w:noProof/>
            <w:webHidden/>
            <w:lang w:val="es-ES"/>
          </w:rPr>
          <w:instrText xml:space="preserve"> PAGEREF _Toc447546998 \h </w:instrText>
        </w:r>
        <w:r w:rsidRPr="00C174D5">
          <w:rPr>
            <w:noProof/>
            <w:webHidden/>
            <w:lang w:val="es-ES"/>
          </w:rPr>
        </w:r>
        <w:r w:rsidRPr="00C174D5">
          <w:rPr>
            <w:noProof/>
            <w:webHidden/>
            <w:lang w:val="es-ES"/>
          </w:rPr>
          <w:fldChar w:fldCharType="separate"/>
        </w:r>
        <w:r w:rsidRPr="00C174D5">
          <w:rPr>
            <w:noProof/>
            <w:webHidden/>
            <w:lang w:val="es-ES"/>
          </w:rPr>
          <w:t>10</w:t>
        </w:r>
        <w:r w:rsidRPr="00C174D5">
          <w:rPr>
            <w:noProof/>
            <w:webHidden/>
            <w:lang w:val="es-ES"/>
          </w:rPr>
          <w:fldChar w:fldCharType="end"/>
        </w:r>
      </w:hyperlink>
    </w:p>
    <w:p w14:paraId="438EA35E" w14:textId="77777777" w:rsidR="00C92C58" w:rsidRPr="00C174D5" w:rsidRDefault="00C92C58" w:rsidP="00C92C58">
      <w:pPr>
        <w:pStyle w:val="TableofFigures"/>
        <w:tabs>
          <w:tab w:val="right" w:leader="dot" w:pos="8495"/>
        </w:tabs>
        <w:spacing w:after="0"/>
        <w:rPr>
          <w:rFonts w:eastAsiaTheme="majorEastAsia" w:cstheme="majorBidi"/>
          <w:b/>
          <w:bCs/>
          <w:smallCaps/>
          <w:sz w:val="28"/>
          <w:szCs w:val="28"/>
          <w:lang w:val="es-ES" w:bidi="en-US"/>
        </w:rPr>
      </w:pPr>
      <w:r w:rsidRPr="00C174D5">
        <w:rPr>
          <w:lang w:val="es-ES" w:bidi="en-US"/>
        </w:rPr>
        <w:fldChar w:fldCharType="end"/>
      </w:r>
      <w:r w:rsidRPr="00C174D5">
        <w:rPr>
          <w:rFonts w:eastAsiaTheme="majorEastAsia" w:cstheme="majorBidi"/>
          <w:b/>
          <w:bCs/>
          <w:smallCaps/>
          <w:sz w:val="28"/>
          <w:szCs w:val="28"/>
          <w:lang w:val="es-ES" w:bidi="en-US"/>
        </w:rPr>
        <w:t>Índice de gráficos</w:t>
      </w:r>
    </w:p>
    <w:p w14:paraId="521E2C1F" w14:textId="77777777" w:rsidR="00C92C58" w:rsidRDefault="00C92C58" w:rsidP="00C92C58">
      <w:pPr>
        <w:pStyle w:val="TableofFigures"/>
        <w:tabs>
          <w:tab w:val="right" w:leader="dot" w:pos="8495"/>
        </w:tabs>
        <w:rPr>
          <w:rFonts w:asciiTheme="minorHAnsi" w:eastAsiaTheme="minorEastAsia" w:hAnsiTheme="minorHAnsi"/>
          <w:noProof/>
          <w:lang w:val="es-AR" w:eastAsia="es-AR"/>
        </w:rPr>
      </w:pPr>
      <w:r w:rsidRPr="00C174D5">
        <w:rPr>
          <w:lang w:val="es-ES" w:bidi="en-US"/>
        </w:rPr>
        <w:fldChar w:fldCharType="begin"/>
      </w:r>
      <w:r w:rsidRPr="00C174D5">
        <w:rPr>
          <w:lang w:val="es-ES" w:bidi="en-US"/>
        </w:rPr>
        <w:instrText xml:space="preserve"> TOC \h \z \c "Gráfico" </w:instrText>
      </w:r>
      <w:r w:rsidRPr="00C174D5">
        <w:rPr>
          <w:lang w:val="es-ES" w:bidi="en-US"/>
        </w:rPr>
        <w:fldChar w:fldCharType="separate"/>
      </w:r>
      <w:hyperlink w:anchor="_Toc456353207" w:history="1">
        <w:r w:rsidRPr="00423705">
          <w:rPr>
            <w:rStyle w:val="Hyperlink"/>
            <w:b/>
            <w:noProof/>
            <w:lang w:val="es-ES"/>
          </w:rPr>
          <w:t>Gráfico 1: Demanda considerada proyecto SE Villanueva (MW)</w:t>
        </w:r>
        <w:r>
          <w:rPr>
            <w:noProof/>
            <w:webHidden/>
          </w:rPr>
          <w:tab/>
        </w:r>
        <w:r>
          <w:rPr>
            <w:noProof/>
            <w:webHidden/>
          </w:rPr>
          <w:fldChar w:fldCharType="begin"/>
        </w:r>
        <w:r>
          <w:rPr>
            <w:noProof/>
            <w:webHidden/>
          </w:rPr>
          <w:instrText xml:space="preserve"> PAGEREF _Toc456353207 \h </w:instrText>
        </w:r>
        <w:r>
          <w:rPr>
            <w:noProof/>
            <w:webHidden/>
          </w:rPr>
        </w:r>
        <w:r>
          <w:rPr>
            <w:noProof/>
            <w:webHidden/>
          </w:rPr>
          <w:fldChar w:fldCharType="separate"/>
        </w:r>
        <w:r>
          <w:rPr>
            <w:noProof/>
            <w:webHidden/>
          </w:rPr>
          <w:t>14</w:t>
        </w:r>
        <w:r>
          <w:rPr>
            <w:noProof/>
            <w:webHidden/>
          </w:rPr>
          <w:fldChar w:fldCharType="end"/>
        </w:r>
      </w:hyperlink>
    </w:p>
    <w:p w14:paraId="6A8F70C2"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208" w:history="1">
        <w:r w:rsidR="00C92C58" w:rsidRPr="00423705">
          <w:rPr>
            <w:rStyle w:val="Hyperlink"/>
            <w:b/>
            <w:noProof/>
            <w:lang w:val="es-ES"/>
          </w:rPr>
          <w:t>Gráfico 2: Demanda considerada proyecto SE Sébaco (MW)</w:t>
        </w:r>
        <w:r w:rsidR="00C92C58">
          <w:rPr>
            <w:noProof/>
            <w:webHidden/>
          </w:rPr>
          <w:tab/>
        </w:r>
        <w:r w:rsidR="00C92C58">
          <w:rPr>
            <w:noProof/>
            <w:webHidden/>
          </w:rPr>
          <w:fldChar w:fldCharType="begin"/>
        </w:r>
        <w:r w:rsidR="00C92C58">
          <w:rPr>
            <w:noProof/>
            <w:webHidden/>
          </w:rPr>
          <w:instrText xml:space="preserve"> PAGEREF _Toc456353208 \h </w:instrText>
        </w:r>
        <w:r w:rsidR="00C92C58">
          <w:rPr>
            <w:noProof/>
            <w:webHidden/>
          </w:rPr>
        </w:r>
        <w:r w:rsidR="00C92C58">
          <w:rPr>
            <w:noProof/>
            <w:webHidden/>
          </w:rPr>
          <w:fldChar w:fldCharType="separate"/>
        </w:r>
        <w:r w:rsidR="00C92C58">
          <w:rPr>
            <w:noProof/>
            <w:webHidden/>
          </w:rPr>
          <w:t>20</w:t>
        </w:r>
        <w:r w:rsidR="00C92C58">
          <w:rPr>
            <w:noProof/>
            <w:webHidden/>
          </w:rPr>
          <w:fldChar w:fldCharType="end"/>
        </w:r>
      </w:hyperlink>
    </w:p>
    <w:p w14:paraId="1BE5B7F7"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209" w:history="1">
        <w:r w:rsidR="00C92C58" w:rsidRPr="00423705">
          <w:rPr>
            <w:rStyle w:val="Hyperlink"/>
            <w:b/>
            <w:noProof/>
            <w:lang w:val="es-ES"/>
          </w:rPr>
          <w:t>Gráfico 3: Demanda considerada proyecto SE Acahualinca (MW)</w:t>
        </w:r>
        <w:r w:rsidR="00C92C58">
          <w:rPr>
            <w:noProof/>
            <w:webHidden/>
          </w:rPr>
          <w:tab/>
        </w:r>
        <w:r w:rsidR="00C92C58">
          <w:rPr>
            <w:noProof/>
            <w:webHidden/>
          </w:rPr>
          <w:fldChar w:fldCharType="begin"/>
        </w:r>
        <w:r w:rsidR="00C92C58">
          <w:rPr>
            <w:noProof/>
            <w:webHidden/>
          </w:rPr>
          <w:instrText xml:space="preserve"> PAGEREF _Toc456353209 \h </w:instrText>
        </w:r>
        <w:r w:rsidR="00C92C58">
          <w:rPr>
            <w:noProof/>
            <w:webHidden/>
          </w:rPr>
        </w:r>
        <w:r w:rsidR="00C92C58">
          <w:rPr>
            <w:noProof/>
            <w:webHidden/>
          </w:rPr>
          <w:fldChar w:fldCharType="separate"/>
        </w:r>
        <w:r w:rsidR="00C92C58">
          <w:rPr>
            <w:noProof/>
            <w:webHidden/>
          </w:rPr>
          <w:t>25</w:t>
        </w:r>
        <w:r w:rsidR="00C92C58">
          <w:rPr>
            <w:noProof/>
            <w:webHidden/>
          </w:rPr>
          <w:fldChar w:fldCharType="end"/>
        </w:r>
      </w:hyperlink>
    </w:p>
    <w:p w14:paraId="56CF5160"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210" w:history="1">
        <w:r w:rsidR="00C92C58" w:rsidRPr="00423705">
          <w:rPr>
            <w:rStyle w:val="Hyperlink"/>
            <w:b/>
            <w:noProof/>
            <w:lang w:val="es-ES"/>
          </w:rPr>
          <w:t>Gráfico 4: Demanda considerada proyecto SE Diriamba (MW)</w:t>
        </w:r>
        <w:r w:rsidR="00C92C58">
          <w:rPr>
            <w:noProof/>
            <w:webHidden/>
          </w:rPr>
          <w:tab/>
        </w:r>
        <w:r w:rsidR="00C92C58">
          <w:rPr>
            <w:noProof/>
            <w:webHidden/>
          </w:rPr>
          <w:fldChar w:fldCharType="begin"/>
        </w:r>
        <w:r w:rsidR="00C92C58">
          <w:rPr>
            <w:noProof/>
            <w:webHidden/>
          </w:rPr>
          <w:instrText xml:space="preserve"> PAGEREF _Toc456353210 \h </w:instrText>
        </w:r>
        <w:r w:rsidR="00C92C58">
          <w:rPr>
            <w:noProof/>
            <w:webHidden/>
          </w:rPr>
        </w:r>
        <w:r w:rsidR="00C92C58">
          <w:rPr>
            <w:noProof/>
            <w:webHidden/>
          </w:rPr>
          <w:fldChar w:fldCharType="separate"/>
        </w:r>
        <w:r w:rsidR="00C92C58">
          <w:rPr>
            <w:noProof/>
            <w:webHidden/>
          </w:rPr>
          <w:t>29</w:t>
        </w:r>
        <w:r w:rsidR="00C92C58">
          <w:rPr>
            <w:noProof/>
            <w:webHidden/>
          </w:rPr>
          <w:fldChar w:fldCharType="end"/>
        </w:r>
      </w:hyperlink>
    </w:p>
    <w:p w14:paraId="6A71B720"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211" w:history="1">
        <w:r w:rsidR="00C92C58" w:rsidRPr="00423705">
          <w:rPr>
            <w:rStyle w:val="Hyperlink"/>
            <w:b/>
            <w:noProof/>
            <w:lang w:val="es-ES"/>
          </w:rPr>
          <w:t>Gráfico 5: Demanda considerada proyecto SE San Benito (MW)</w:t>
        </w:r>
        <w:r w:rsidR="00C92C58">
          <w:rPr>
            <w:noProof/>
            <w:webHidden/>
          </w:rPr>
          <w:tab/>
        </w:r>
        <w:r w:rsidR="00C92C58">
          <w:rPr>
            <w:noProof/>
            <w:webHidden/>
          </w:rPr>
          <w:fldChar w:fldCharType="begin"/>
        </w:r>
        <w:r w:rsidR="00C92C58">
          <w:rPr>
            <w:noProof/>
            <w:webHidden/>
          </w:rPr>
          <w:instrText xml:space="preserve"> PAGEREF _Toc456353211 \h </w:instrText>
        </w:r>
        <w:r w:rsidR="00C92C58">
          <w:rPr>
            <w:noProof/>
            <w:webHidden/>
          </w:rPr>
        </w:r>
        <w:r w:rsidR="00C92C58">
          <w:rPr>
            <w:noProof/>
            <w:webHidden/>
          </w:rPr>
          <w:fldChar w:fldCharType="separate"/>
        </w:r>
        <w:r w:rsidR="00C92C58">
          <w:rPr>
            <w:noProof/>
            <w:webHidden/>
          </w:rPr>
          <w:t>32</w:t>
        </w:r>
        <w:r w:rsidR="00C92C58">
          <w:rPr>
            <w:noProof/>
            <w:webHidden/>
          </w:rPr>
          <w:fldChar w:fldCharType="end"/>
        </w:r>
      </w:hyperlink>
    </w:p>
    <w:p w14:paraId="278B2C01"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212" w:history="1">
        <w:r w:rsidR="00C92C58" w:rsidRPr="00423705">
          <w:rPr>
            <w:rStyle w:val="Hyperlink"/>
            <w:b/>
            <w:noProof/>
            <w:lang w:val="es-ES"/>
          </w:rPr>
          <w:t>Gráfico 6: Demanda considerada proyecto SE Catarina (MW)</w:t>
        </w:r>
        <w:r w:rsidR="00C92C58">
          <w:rPr>
            <w:noProof/>
            <w:webHidden/>
          </w:rPr>
          <w:tab/>
        </w:r>
        <w:r w:rsidR="00C92C58">
          <w:rPr>
            <w:noProof/>
            <w:webHidden/>
          </w:rPr>
          <w:fldChar w:fldCharType="begin"/>
        </w:r>
        <w:r w:rsidR="00C92C58">
          <w:rPr>
            <w:noProof/>
            <w:webHidden/>
          </w:rPr>
          <w:instrText xml:space="preserve"> PAGEREF _Toc456353212 \h </w:instrText>
        </w:r>
        <w:r w:rsidR="00C92C58">
          <w:rPr>
            <w:noProof/>
            <w:webHidden/>
          </w:rPr>
        </w:r>
        <w:r w:rsidR="00C92C58">
          <w:rPr>
            <w:noProof/>
            <w:webHidden/>
          </w:rPr>
          <w:fldChar w:fldCharType="separate"/>
        </w:r>
        <w:r w:rsidR="00C92C58">
          <w:rPr>
            <w:noProof/>
            <w:webHidden/>
          </w:rPr>
          <w:t>35</w:t>
        </w:r>
        <w:r w:rsidR="00C92C58">
          <w:rPr>
            <w:noProof/>
            <w:webHidden/>
          </w:rPr>
          <w:fldChar w:fldCharType="end"/>
        </w:r>
      </w:hyperlink>
    </w:p>
    <w:p w14:paraId="2123F2FD"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213" w:history="1">
        <w:r w:rsidR="00C92C58" w:rsidRPr="00423705">
          <w:rPr>
            <w:rStyle w:val="Hyperlink"/>
            <w:b/>
            <w:noProof/>
            <w:lang w:val="es-ES"/>
          </w:rPr>
          <w:t>Gráfico 7: Demanda considerada proyecto SE Ticuantepe I y II (MW)</w:t>
        </w:r>
        <w:r w:rsidR="00C92C58">
          <w:rPr>
            <w:noProof/>
            <w:webHidden/>
          </w:rPr>
          <w:tab/>
        </w:r>
        <w:r w:rsidR="00C92C58">
          <w:rPr>
            <w:noProof/>
            <w:webHidden/>
          </w:rPr>
          <w:fldChar w:fldCharType="begin"/>
        </w:r>
        <w:r w:rsidR="00C92C58">
          <w:rPr>
            <w:noProof/>
            <w:webHidden/>
          </w:rPr>
          <w:instrText xml:space="preserve"> PAGEREF _Toc456353213 \h </w:instrText>
        </w:r>
        <w:r w:rsidR="00C92C58">
          <w:rPr>
            <w:noProof/>
            <w:webHidden/>
          </w:rPr>
        </w:r>
        <w:r w:rsidR="00C92C58">
          <w:rPr>
            <w:noProof/>
            <w:webHidden/>
          </w:rPr>
          <w:fldChar w:fldCharType="separate"/>
        </w:r>
        <w:r w:rsidR="00C92C58">
          <w:rPr>
            <w:noProof/>
            <w:webHidden/>
          </w:rPr>
          <w:t>39</w:t>
        </w:r>
        <w:r w:rsidR="00C92C58">
          <w:rPr>
            <w:noProof/>
            <w:webHidden/>
          </w:rPr>
          <w:fldChar w:fldCharType="end"/>
        </w:r>
      </w:hyperlink>
    </w:p>
    <w:p w14:paraId="7B2D9877"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214" w:history="1">
        <w:r w:rsidR="00C92C58" w:rsidRPr="00423705">
          <w:rPr>
            <w:rStyle w:val="Hyperlink"/>
            <w:b/>
            <w:noProof/>
            <w:lang w:val="es-ES"/>
          </w:rPr>
          <w:t>Gráfico 8: Demanda considerada proyecto Adquisición transformador móvil (MW)</w:t>
        </w:r>
        <w:r w:rsidR="00C92C58">
          <w:rPr>
            <w:noProof/>
            <w:webHidden/>
          </w:rPr>
          <w:tab/>
        </w:r>
        <w:r w:rsidR="00C92C58">
          <w:rPr>
            <w:noProof/>
            <w:webHidden/>
          </w:rPr>
          <w:fldChar w:fldCharType="begin"/>
        </w:r>
        <w:r w:rsidR="00C92C58">
          <w:rPr>
            <w:noProof/>
            <w:webHidden/>
          </w:rPr>
          <w:instrText xml:space="preserve"> PAGEREF _Toc456353214 \h </w:instrText>
        </w:r>
        <w:r w:rsidR="00C92C58">
          <w:rPr>
            <w:noProof/>
            <w:webHidden/>
          </w:rPr>
        </w:r>
        <w:r w:rsidR="00C92C58">
          <w:rPr>
            <w:noProof/>
            <w:webHidden/>
          </w:rPr>
          <w:fldChar w:fldCharType="separate"/>
        </w:r>
        <w:r w:rsidR="00C92C58">
          <w:rPr>
            <w:noProof/>
            <w:webHidden/>
          </w:rPr>
          <w:t>43</w:t>
        </w:r>
        <w:r w:rsidR="00C92C58">
          <w:rPr>
            <w:noProof/>
            <w:webHidden/>
          </w:rPr>
          <w:fldChar w:fldCharType="end"/>
        </w:r>
      </w:hyperlink>
    </w:p>
    <w:p w14:paraId="1F3F1527"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215" w:history="1">
        <w:r w:rsidR="00C92C58" w:rsidRPr="00423705">
          <w:rPr>
            <w:rStyle w:val="Hyperlink"/>
            <w:b/>
            <w:noProof/>
            <w:lang w:val="es-ES"/>
          </w:rPr>
          <w:t>Gráfico 9: Demanda potencial (MW)</w:t>
        </w:r>
        <w:r w:rsidR="00C92C58">
          <w:rPr>
            <w:noProof/>
            <w:webHidden/>
          </w:rPr>
          <w:tab/>
        </w:r>
        <w:r w:rsidR="00C92C58">
          <w:rPr>
            <w:noProof/>
            <w:webHidden/>
          </w:rPr>
          <w:fldChar w:fldCharType="begin"/>
        </w:r>
        <w:r w:rsidR="00C92C58">
          <w:rPr>
            <w:noProof/>
            <w:webHidden/>
          </w:rPr>
          <w:instrText xml:space="preserve"> PAGEREF _Toc456353215 \h </w:instrText>
        </w:r>
        <w:r w:rsidR="00C92C58">
          <w:rPr>
            <w:noProof/>
            <w:webHidden/>
          </w:rPr>
        </w:r>
        <w:r w:rsidR="00C92C58">
          <w:rPr>
            <w:noProof/>
            <w:webHidden/>
          </w:rPr>
          <w:fldChar w:fldCharType="separate"/>
        </w:r>
        <w:r w:rsidR="00C92C58">
          <w:rPr>
            <w:noProof/>
            <w:webHidden/>
          </w:rPr>
          <w:t>58</w:t>
        </w:r>
        <w:r w:rsidR="00C92C58">
          <w:rPr>
            <w:noProof/>
            <w:webHidden/>
          </w:rPr>
          <w:fldChar w:fldCharType="end"/>
        </w:r>
      </w:hyperlink>
    </w:p>
    <w:p w14:paraId="521B3FAD" w14:textId="77777777" w:rsidR="00C92C58" w:rsidRDefault="00332BCA" w:rsidP="00C92C58">
      <w:pPr>
        <w:pStyle w:val="TableofFigures"/>
        <w:tabs>
          <w:tab w:val="right" w:leader="dot" w:pos="8495"/>
        </w:tabs>
        <w:rPr>
          <w:rFonts w:asciiTheme="minorHAnsi" w:eastAsiaTheme="minorEastAsia" w:hAnsiTheme="minorHAnsi"/>
          <w:noProof/>
          <w:lang w:val="es-AR" w:eastAsia="es-AR"/>
        </w:rPr>
      </w:pPr>
      <w:hyperlink w:anchor="_Toc456353216" w:history="1">
        <w:r w:rsidR="00C92C58" w:rsidRPr="00423705">
          <w:rPr>
            <w:rStyle w:val="Hyperlink"/>
            <w:b/>
            <w:noProof/>
            <w:lang w:val="es-ES"/>
          </w:rPr>
          <w:t>Gráfico 10: Diferencia Generación Térmica (GWh)</w:t>
        </w:r>
        <w:r w:rsidR="00C92C58">
          <w:rPr>
            <w:noProof/>
            <w:webHidden/>
          </w:rPr>
          <w:tab/>
        </w:r>
        <w:r w:rsidR="00C92C58">
          <w:rPr>
            <w:noProof/>
            <w:webHidden/>
          </w:rPr>
          <w:fldChar w:fldCharType="begin"/>
        </w:r>
        <w:r w:rsidR="00C92C58">
          <w:rPr>
            <w:noProof/>
            <w:webHidden/>
          </w:rPr>
          <w:instrText xml:space="preserve"> PAGEREF _Toc456353216 \h </w:instrText>
        </w:r>
        <w:r w:rsidR="00C92C58">
          <w:rPr>
            <w:noProof/>
            <w:webHidden/>
          </w:rPr>
        </w:r>
        <w:r w:rsidR="00C92C58">
          <w:rPr>
            <w:noProof/>
            <w:webHidden/>
          </w:rPr>
          <w:fldChar w:fldCharType="separate"/>
        </w:r>
        <w:r w:rsidR="00C92C58">
          <w:rPr>
            <w:noProof/>
            <w:webHidden/>
          </w:rPr>
          <w:t>61</w:t>
        </w:r>
        <w:r w:rsidR="00C92C58">
          <w:rPr>
            <w:noProof/>
            <w:webHidden/>
          </w:rPr>
          <w:fldChar w:fldCharType="end"/>
        </w:r>
      </w:hyperlink>
    </w:p>
    <w:p w14:paraId="7A66A6C3" w14:textId="77777777" w:rsidR="00C92C58" w:rsidRPr="00C174D5" w:rsidRDefault="00C92C58" w:rsidP="00C92C58">
      <w:pPr>
        <w:rPr>
          <w:lang w:val="es-ES" w:bidi="en-US"/>
        </w:rPr>
      </w:pPr>
      <w:r w:rsidRPr="00C174D5">
        <w:rPr>
          <w:lang w:val="es-ES" w:bidi="en-US"/>
        </w:rPr>
        <w:fldChar w:fldCharType="end"/>
      </w:r>
    </w:p>
    <w:p w14:paraId="4F187BA7" w14:textId="77777777" w:rsidR="00C92C58" w:rsidRPr="00C174D5" w:rsidRDefault="00C92C58" w:rsidP="00C92C58">
      <w:pPr>
        <w:pStyle w:val="TableofFigures"/>
        <w:tabs>
          <w:tab w:val="right" w:leader="dot" w:pos="8495"/>
        </w:tabs>
        <w:rPr>
          <w:lang w:val="es-ES"/>
        </w:rPr>
      </w:pPr>
      <w:r w:rsidRPr="00C174D5">
        <w:rPr>
          <w:lang w:val="es-ES"/>
        </w:rPr>
        <w:br w:type="page"/>
      </w:r>
    </w:p>
    <w:p w14:paraId="794C9666" w14:textId="77777777" w:rsidR="00C92C58" w:rsidRPr="00C174D5" w:rsidRDefault="00C92C58" w:rsidP="00C92C58">
      <w:pPr>
        <w:rPr>
          <w:b/>
          <w:lang w:val="es-ES"/>
        </w:rPr>
      </w:pPr>
      <w:r w:rsidRPr="00C174D5">
        <w:rPr>
          <w:b/>
          <w:lang w:val="es-ES"/>
        </w:rPr>
        <w:lastRenderedPageBreak/>
        <w:t>Listado de abreviaturas</w:t>
      </w:r>
    </w:p>
    <w:p w14:paraId="0A32B401" w14:textId="77777777" w:rsidR="00C92C58" w:rsidRPr="00C174D5" w:rsidRDefault="00C92C58" w:rsidP="00C92C58">
      <w:pPr>
        <w:spacing w:after="120"/>
        <w:rPr>
          <w:lang w:val="es-ES"/>
        </w:rPr>
      </w:pPr>
      <w:r w:rsidRPr="00C174D5">
        <w:rPr>
          <w:lang w:val="es-ES"/>
        </w:rPr>
        <w:t>ACB: Análisis Costo Beneficio</w:t>
      </w:r>
    </w:p>
    <w:p w14:paraId="563041E2" w14:textId="77777777" w:rsidR="00C92C58" w:rsidRPr="00C174D5" w:rsidRDefault="00C92C58" w:rsidP="00C92C58">
      <w:pPr>
        <w:spacing w:after="120"/>
        <w:rPr>
          <w:lang w:val="es-ES"/>
        </w:rPr>
      </w:pPr>
      <w:r w:rsidRPr="00C174D5">
        <w:rPr>
          <w:lang w:val="es-ES"/>
        </w:rPr>
        <w:t>BID: Banco Interamericano de Desarrollo</w:t>
      </w:r>
    </w:p>
    <w:p w14:paraId="145C6BCC" w14:textId="77777777" w:rsidR="00C92C58" w:rsidRPr="00C174D5" w:rsidRDefault="00C92C58" w:rsidP="00C92C58">
      <w:pPr>
        <w:spacing w:after="120"/>
        <w:rPr>
          <w:lang w:val="es-ES"/>
        </w:rPr>
      </w:pPr>
      <w:r w:rsidRPr="00C174D5">
        <w:rPr>
          <w:lang w:val="es-ES"/>
        </w:rPr>
        <w:t>ENATREL: Empresa Nacional de Transmisión Eléctrica</w:t>
      </w:r>
    </w:p>
    <w:p w14:paraId="38A02BC7" w14:textId="77777777" w:rsidR="00C92C58" w:rsidRPr="00C174D5" w:rsidRDefault="00C92C58" w:rsidP="00C92C58">
      <w:pPr>
        <w:spacing w:after="120"/>
        <w:rPr>
          <w:lang w:val="es-ES"/>
        </w:rPr>
      </w:pPr>
      <w:r w:rsidRPr="00C174D5">
        <w:rPr>
          <w:lang w:val="es-ES"/>
        </w:rPr>
        <w:t>FC: Factores de Cuenta</w:t>
      </w:r>
    </w:p>
    <w:p w14:paraId="73BC53BF" w14:textId="77777777" w:rsidR="00C92C58" w:rsidRPr="00C174D5" w:rsidRDefault="00C92C58" w:rsidP="00C92C58">
      <w:pPr>
        <w:spacing w:after="120"/>
        <w:rPr>
          <w:lang w:val="es-ES"/>
        </w:rPr>
      </w:pPr>
      <w:r w:rsidRPr="00C174D5">
        <w:rPr>
          <w:lang w:val="es-ES"/>
        </w:rPr>
        <w:t>MER: Mercado Eléctrico Regional</w:t>
      </w:r>
    </w:p>
    <w:p w14:paraId="1AE5BA27" w14:textId="77777777" w:rsidR="00C92C58" w:rsidRPr="00C174D5" w:rsidRDefault="00C92C58" w:rsidP="00C92C58">
      <w:pPr>
        <w:spacing w:after="120"/>
        <w:rPr>
          <w:lang w:val="es-ES"/>
        </w:rPr>
      </w:pPr>
      <w:r w:rsidRPr="00C174D5">
        <w:rPr>
          <w:lang w:val="es-ES"/>
        </w:rPr>
        <w:t>O&amp;M: Operación y Mantenimiento (costos)</w:t>
      </w:r>
    </w:p>
    <w:p w14:paraId="7A233611" w14:textId="77777777" w:rsidR="00C92C58" w:rsidRPr="00C174D5" w:rsidRDefault="00C92C58" w:rsidP="00C92C58">
      <w:pPr>
        <w:spacing w:after="120"/>
        <w:rPr>
          <w:lang w:val="es-ES"/>
        </w:rPr>
      </w:pPr>
      <w:r w:rsidRPr="00C174D5">
        <w:rPr>
          <w:lang w:val="es-ES"/>
        </w:rPr>
        <w:t>PER: Proyectos de Electrificación Rural</w:t>
      </w:r>
    </w:p>
    <w:p w14:paraId="33DE2A74" w14:textId="77777777" w:rsidR="00C92C58" w:rsidRPr="00C174D5" w:rsidRDefault="00C92C58" w:rsidP="00C92C58">
      <w:pPr>
        <w:spacing w:after="120"/>
        <w:rPr>
          <w:lang w:val="es-ES"/>
        </w:rPr>
      </w:pPr>
      <w:r w:rsidRPr="00C174D5">
        <w:rPr>
          <w:lang w:val="es-ES"/>
        </w:rPr>
        <w:t>PNESER: Programa Nacional de Electrificación Sostenible y Energía Renovable para Nicaragua</w:t>
      </w:r>
    </w:p>
    <w:p w14:paraId="6D0F7CC7" w14:textId="77777777" w:rsidR="00C92C58" w:rsidRPr="00C174D5" w:rsidRDefault="00C92C58" w:rsidP="00C92C58">
      <w:pPr>
        <w:spacing w:after="120"/>
        <w:rPr>
          <w:lang w:val="es-ES"/>
        </w:rPr>
      </w:pPr>
      <w:r w:rsidRPr="00C174D5">
        <w:rPr>
          <w:lang w:val="es-ES"/>
        </w:rPr>
        <w:t>SIEPAC: Sistema de Interconexión Eléctrica de los Países de América Central</w:t>
      </w:r>
    </w:p>
    <w:p w14:paraId="0632D9EE" w14:textId="77777777" w:rsidR="00C92C58" w:rsidRPr="00C174D5" w:rsidRDefault="00C92C58" w:rsidP="00C92C58">
      <w:pPr>
        <w:spacing w:after="120"/>
        <w:rPr>
          <w:lang w:val="es-ES"/>
        </w:rPr>
      </w:pPr>
      <w:r w:rsidRPr="00C174D5">
        <w:rPr>
          <w:lang w:val="es-ES"/>
        </w:rPr>
        <w:t>SIN: Sistema Interconectado Nacional</w:t>
      </w:r>
    </w:p>
    <w:p w14:paraId="67DF27B2" w14:textId="77777777" w:rsidR="00C92C58" w:rsidRPr="00C174D5" w:rsidRDefault="00C92C58" w:rsidP="00C92C58">
      <w:pPr>
        <w:spacing w:after="120"/>
        <w:rPr>
          <w:lang w:val="es-ES"/>
        </w:rPr>
      </w:pPr>
      <w:r w:rsidRPr="00C174D5">
        <w:rPr>
          <w:lang w:val="es-ES"/>
        </w:rPr>
        <w:t>SNIP: Sistema Nacional de Inversiones Públicas</w:t>
      </w:r>
    </w:p>
    <w:p w14:paraId="7702C641" w14:textId="77777777" w:rsidR="00C92C58" w:rsidRPr="00C174D5" w:rsidRDefault="00C92C58" w:rsidP="00C92C58">
      <w:pPr>
        <w:spacing w:after="120"/>
        <w:rPr>
          <w:lang w:val="es-ES"/>
        </w:rPr>
      </w:pPr>
      <w:r w:rsidRPr="00C174D5">
        <w:rPr>
          <w:lang w:val="es-ES"/>
        </w:rPr>
        <w:t>SNT: Sistema Nacional de Transmisión</w:t>
      </w:r>
    </w:p>
    <w:p w14:paraId="407CAFB6" w14:textId="77777777" w:rsidR="00C92C58" w:rsidRPr="00C174D5" w:rsidRDefault="00C92C58" w:rsidP="00C92C58">
      <w:pPr>
        <w:spacing w:after="120"/>
        <w:rPr>
          <w:lang w:val="es-ES"/>
        </w:rPr>
      </w:pPr>
      <w:r w:rsidRPr="00C174D5">
        <w:rPr>
          <w:lang w:val="es-ES"/>
        </w:rPr>
        <w:t>TIR: Tasa Interna de Retorno</w:t>
      </w:r>
    </w:p>
    <w:p w14:paraId="0A6DBBF4" w14:textId="77777777" w:rsidR="00C92C58" w:rsidRPr="00C174D5" w:rsidRDefault="00C92C58" w:rsidP="00C92C58">
      <w:pPr>
        <w:spacing w:after="120"/>
        <w:rPr>
          <w:lang w:val="es-ES"/>
        </w:rPr>
      </w:pPr>
      <w:r w:rsidRPr="00C174D5">
        <w:rPr>
          <w:lang w:val="es-ES"/>
        </w:rPr>
        <w:t>TIRE: Tasa Interna de Retorno Económica</w:t>
      </w:r>
    </w:p>
    <w:p w14:paraId="2ED02328" w14:textId="77777777" w:rsidR="00C92C58" w:rsidRPr="00C174D5" w:rsidRDefault="00C92C58" w:rsidP="00C92C58">
      <w:pPr>
        <w:spacing w:after="120"/>
        <w:rPr>
          <w:lang w:val="es-ES"/>
        </w:rPr>
      </w:pPr>
      <w:r w:rsidRPr="00C174D5">
        <w:rPr>
          <w:lang w:val="es-ES"/>
        </w:rPr>
        <w:t>US$: Dólares estadounidenses</w:t>
      </w:r>
    </w:p>
    <w:p w14:paraId="01E1931F" w14:textId="77777777" w:rsidR="00C92C58" w:rsidRPr="00C174D5" w:rsidRDefault="00C92C58" w:rsidP="00C92C58">
      <w:pPr>
        <w:spacing w:after="120"/>
        <w:rPr>
          <w:lang w:val="es-ES"/>
        </w:rPr>
      </w:pPr>
      <w:r w:rsidRPr="00C174D5">
        <w:rPr>
          <w:lang w:val="es-ES"/>
        </w:rPr>
        <w:t>VP: Valor Presente</w:t>
      </w:r>
    </w:p>
    <w:p w14:paraId="45D5BAB8" w14:textId="77777777" w:rsidR="00C92C58" w:rsidRPr="00C174D5" w:rsidRDefault="00C92C58" w:rsidP="00C92C58">
      <w:pPr>
        <w:spacing w:after="120"/>
        <w:rPr>
          <w:lang w:val="es-ES"/>
        </w:rPr>
      </w:pPr>
      <w:r w:rsidRPr="00C174D5">
        <w:rPr>
          <w:lang w:val="es-ES"/>
        </w:rPr>
        <w:t>VPNE: Valor Presente Neto Económico</w:t>
      </w:r>
    </w:p>
    <w:p w14:paraId="3368F000" w14:textId="77777777" w:rsidR="00C92C58" w:rsidRPr="00C174D5" w:rsidRDefault="00C92C58" w:rsidP="00C92C58">
      <w:pPr>
        <w:spacing w:after="120"/>
        <w:rPr>
          <w:lang w:val="es-ES"/>
        </w:rPr>
      </w:pPr>
      <w:r w:rsidRPr="00C174D5">
        <w:rPr>
          <w:lang w:val="es-ES"/>
        </w:rPr>
        <w:t>VPNF: Valor Presente Neto Financiero</w:t>
      </w:r>
    </w:p>
    <w:p w14:paraId="5BCC0198" w14:textId="77777777" w:rsidR="00C92C58" w:rsidRPr="00C174D5" w:rsidRDefault="00C92C58" w:rsidP="00C92C58">
      <w:pPr>
        <w:spacing w:after="120"/>
        <w:rPr>
          <w:lang w:val="es-ES"/>
        </w:rPr>
      </w:pPr>
      <w:r w:rsidRPr="00C174D5">
        <w:rPr>
          <w:lang w:val="es-ES"/>
        </w:rPr>
        <w:t>Nota: En las variables numéricas “.” es separador de miles y “,” de decimales.</w:t>
      </w:r>
    </w:p>
    <w:p w14:paraId="3C661D01" w14:textId="77777777" w:rsidR="00C92C58" w:rsidRPr="00C174D5" w:rsidRDefault="00C92C58" w:rsidP="00C92C58">
      <w:pPr>
        <w:pStyle w:val="Heading1"/>
        <w:ind w:left="360"/>
        <w:rPr>
          <w:lang w:val="es-ES"/>
        </w:rPr>
      </w:pPr>
      <w:bookmarkStart w:id="0" w:name="_Toc427254734"/>
      <w:bookmarkStart w:id="1" w:name="_Toc447546924"/>
      <w:bookmarkStart w:id="2" w:name="_Toc456353107"/>
      <w:r w:rsidRPr="00C174D5">
        <w:rPr>
          <w:lang w:val="es-ES"/>
        </w:rPr>
        <w:lastRenderedPageBreak/>
        <w:t>Resumen ejecutivo</w:t>
      </w:r>
      <w:bookmarkEnd w:id="0"/>
      <w:bookmarkEnd w:id="1"/>
      <w:bookmarkEnd w:id="2"/>
    </w:p>
    <w:p w14:paraId="347381B6" w14:textId="77777777" w:rsidR="00C92C58" w:rsidRPr="00C174D5" w:rsidRDefault="00C92C58" w:rsidP="00C92C58">
      <w:pPr>
        <w:rPr>
          <w:lang w:val="es-ES"/>
        </w:rPr>
      </w:pPr>
      <w:r w:rsidRPr="00C174D5">
        <w:rPr>
          <w:lang w:val="es-ES"/>
        </w:rPr>
        <w:t>Este documento tiene por finalidad presentar la evaluación costo beneficio de un conjunto de proyectos priorizados para el Sistema Nacional de Transmisión de Nicaragua, a ser financiados por el Banco Interamericano de Desarrollo (BID). El objetivo general de estos proyectos es contribuir en la mejora de las condiciones de operación de la infraestructura de transmisión en el Sistema Interconectado Nacional (SIN), mediante refuerzos en líneas y subestaciones. Los objetivos específicos, por otro lado, incluyen mejorar las condiciones de operación del sistema de transmisión en el SIN mediante refuerzos que permiten atender el crecimiento de la demanda y la conexión de nueva generación; e implementar las mejoras del sistema de transmisión requeridas para su adaptación al Sistema de Interconexión Eléctrica de los Países de América Central (SIEPAC).</w:t>
      </w:r>
    </w:p>
    <w:p w14:paraId="4E43EE7F" w14:textId="77777777" w:rsidR="00C92C58" w:rsidRPr="00C174D5" w:rsidRDefault="00C92C58" w:rsidP="00C92C58">
      <w:pPr>
        <w:pStyle w:val="ListParagraph"/>
        <w:numPr>
          <w:ilvl w:val="0"/>
          <w:numId w:val="45"/>
        </w:numPr>
        <w:rPr>
          <w:u w:val="single"/>
          <w:lang w:val="es-ES"/>
        </w:rPr>
      </w:pPr>
      <w:r w:rsidRPr="00C174D5">
        <w:rPr>
          <w:u w:val="single"/>
          <w:lang w:val="es-ES"/>
        </w:rPr>
        <w:t>Proyectos para atender crecimiento de demanda y conexión nueva generación.</w:t>
      </w:r>
    </w:p>
    <w:p w14:paraId="1F214DA3" w14:textId="77777777" w:rsidR="00C92C58" w:rsidRPr="00C174D5" w:rsidRDefault="00C92C58" w:rsidP="00C92C58">
      <w:pPr>
        <w:rPr>
          <w:lang w:val="es-ES"/>
        </w:rPr>
      </w:pPr>
      <w:r w:rsidRPr="00C174D5">
        <w:rPr>
          <w:lang w:val="es-ES"/>
        </w:rPr>
        <w:t>A continuación se describen los diferentes proyectos que forman parte del primer objetivo del conjunto de proyectos analizado en este informe.</w:t>
      </w:r>
    </w:p>
    <w:p w14:paraId="5BAC3556" w14:textId="77777777" w:rsidR="00C92C58" w:rsidRPr="00C174D5" w:rsidRDefault="00C92C58" w:rsidP="00C92C58">
      <w:pPr>
        <w:rPr>
          <w:b/>
          <w:i/>
          <w:u w:val="single"/>
          <w:lang w:val="es-ES"/>
        </w:rPr>
      </w:pPr>
      <w:r w:rsidRPr="00C174D5">
        <w:rPr>
          <w:b/>
          <w:i/>
          <w:u w:val="single"/>
          <w:lang w:val="es-ES"/>
        </w:rPr>
        <w:t>LT El Sauce - Villanueva</w:t>
      </w:r>
    </w:p>
    <w:p w14:paraId="78871D40" w14:textId="77777777" w:rsidR="00C92C58" w:rsidRPr="00C174D5" w:rsidRDefault="00C92C58" w:rsidP="00C92C58">
      <w:pPr>
        <w:rPr>
          <w:lang w:val="es-ES"/>
        </w:rPr>
      </w:pPr>
      <w:r w:rsidRPr="00C174D5">
        <w:rPr>
          <w:lang w:val="es-ES"/>
        </w:rPr>
        <w:t xml:space="preserve">Este proyecto consiste en la construcción de una línea de transmisión de 138 </w:t>
      </w:r>
      <w:proofErr w:type="spellStart"/>
      <w:r w:rsidRPr="00C174D5">
        <w:rPr>
          <w:lang w:val="es-ES"/>
        </w:rPr>
        <w:t>kV</w:t>
      </w:r>
      <w:proofErr w:type="spellEnd"/>
      <w:r w:rsidRPr="00C174D5">
        <w:rPr>
          <w:lang w:val="es-ES"/>
        </w:rPr>
        <w:t xml:space="preserve"> entre la SE Villa Nueva y la SE El Sauce. Esta línea permitirá suministrar energía confiable y segura a los usuarios actuales y futuros que son alimentados de la Subestación Villanueva, disminuyendo la energía no servida (ENS). Además el proyecto resultará en mejoras en el nivel de voltaje de la SE, en una disminución de las pérdidas del sistema y en una caída en los costos de mantenimiento de la línea. Este proyecto permitirá la mejora del servicio para más de 25.000 usuarios existentes y la conexión de 1.440 nuevos usuarios.</w:t>
      </w:r>
    </w:p>
    <w:p w14:paraId="727A0780" w14:textId="77777777" w:rsidR="00C92C58" w:rsidRPr="00C174D5" w:rsidRDefault="00C92C58" w:rsidP="00C92C58">
      <w:pPr>
        <w:rPr>
          <w:b/>
          <w:i/>
          <w:u w:val="single"/>
          <w:lang w:val="es-ES"/>
        </w:rPr>
      </w:pPr>
      <w:r w:rsidRPr="00C174D5">
        <w:rPr>
          <w:b/>
          <w:i/>
          <w:u w:val="single"/>
          <w:lang w:val="es-ES"/>
        </w:rPr>
        <w:t xml:space="preserve">Subestación </w:t>
      </w:r>
      <w:proofErr w:type="spellStart"/>
      <w:r w:rsidRPr="00C174D5">
        <w:rPr>
          <w:b/>
          <w:i/>
          <w:u w:val="single"/>
          <w:lang w:val="es-ES"/>
        </w:rPr>
        <w:t>Sébaco</w:t>
      </w:r>
      <w:proofErr w:type="spellEnd"/>
    </w:p>
    <w:p w14:paraId="4E7E9EE1" w14:textId="77777777" w:rsidR="00C92C58" w:rsidRPr="00C174D5" w:rsidRDefault="00C92C58" w:rsidP="00C92C58">
      <w:pPr>
        <w:rPr>
          <w:lang w:val="es-ES"/>
        </w:rPr>
      </w:pPr>
      <w:r w:rsidRPr="00C174D5">
        <w:rPr>
          <w:lang w:val="es-ES"/>
        </w:rPr>
        <w:t xml:space="preserve">Este proyecto incluye la adición de una barra en la SE </w:t>
      </w:r>
      <w:proofErr w:type="spellStart"/>
      <w:r w:rsidRPr="00C174D5">
        <w:rPr>
          <w:lang w:val="es-ES"/>
        </w:rPr>
        <w:t>Sébaco</w:t>
      </w:r>
      <w:proofErr w:type="spellEnd"/>
      <w:r w:rsidRPr="00C174D5">
        <w:rPr>
          <w:lang w:val="es-ES"/>
        </w:rPr>
        <w:t xml:space="preserve"> con el objetivo de disminuir la probabilidad de ocurrencia de episodios de discontinuidad del servicio, como por ejemplo a causa de una falla de la barra o de un disyuntor. Estos episodios dejan sin alimentación a 10 SE conectadas a este nodo</w:t>
      </w:r>
      <w:r w:rsidRPr="00C174D5">
        <w:rPr>
          <w:rStyle w:val="FootnoteReference"/>
          <w:lang w:val="es-ES"/>
        </w:rPr>
        <w:footnoteReference w:id="1"/>
      </w:r>
      <w:r w:rsidRPr="00C174D5">
        <w:rPr>
          <w:lang w:val="es-ES"/>
        </w:rPr>
        <w:t>, con una carga de 45 MW aproximadamente y comprometiendo el suministro a 213.000 clientes. Otra consecuencia de la salida de esta SE es la imposibilidad de la Planta Centroamérica y la Planta Santa Bárbara para inyectar toda la energía que generan al sistema.</w:t>
      </w:r>
    </w:p>
    <w:p w14:paraId="6AA1EE6F" w14:textId="77777777" w:rsidR="00C92C58" w:rsidRPr="00C174D5" w:rsidRDefault="00C92C58" w:rsidP="00C92C58">
      <w:pPr>
        <w:rPr>
          <w:b/>
          <w:i/>
          <w:u w:val="single"/>
          <w:lang w:val="es-ES"/>
        </w:rPr>
      </w:pPr>
      <w:r w:rsidRPr="00C174D5">
        <w:rPr>
          <w:b/>
          <w:i/>
          <w:u w:val="single"/>
          <w:lang w:val="es-ES"/>
        </w:rPr>
        <w:t>Ampliación capacidad 4 Subestaciones</w:t>
      </w:r>
    </w:p>
    <w:p w14:paraId="61450A37" w14:textId="77777777" w:rsidR="00C92C58" w:rsidRPr="00C174D5" w:rsidRDefault="00C92C58" w:rsidP="00C92C58">
      <w:pPr>
        <w:rPr>
          <w:lang w:val="es-ES"/>
        </w:rPr>
      </w:pPr>
      <w:r w:rsidRPr="00C174D5">
        <w:rPr>
          <w:lang w:val="es-ES"/>
        </w:rPr>
        <w:lastRenderedPageBreak/>
        <w:t xml:space="preserve">Esta obra consiste en el reemplazo de 4 transformadores en diferentes subestaciones (SE </w:t>
      </w:r>
      <w:proofErr w:type="spellStart"/>
      <w:r w:rsidRPr="00C174D5">
        <w:rPr>
          <w:lang w:val="es-ES"/>
        </w:rPr>
        <w:t>Acahualinca</w:t>
      </w:r>
      <w:proofErr w:type="spellEnd"/>
      <w:r w:rsidRPr="00C174D5">
        <w:rPr>
          <w:lang w:val="es-ES"/>
        </w:rPr>
        <w:t xml:space="preserve">, SE </w:t>
      </w:r>
      <w:proofErr w:type="spellStart"/>
      <w:r w:rsidRPr="00C174D5">
        <w:rPr>
          <w:lang w:val="es-ES"/>
        </w:rPr>
        <w:t>Diriamba</w:t>
      </w:r>
      <w:proofErr w:type="spellEnd"/>
      <w:r w:rsidRPr="00C174D5">
        <w:rPr>
          <w:lang w:val="es-ES"/>
        </w:rPr>
        <w:t>, SE San Benito y SE Catarina) ya que los existentes ha finalizado su vida útil y, además, algunos presentan sobrecarga. El objetivo es aumentar la capacidad de trasformación de estas SE para satisfacer tanto la demanda actual como su crecimiento a largo plazo, en forma confiable. Este subconjunto de proyectos espera beneficiar a más de 150.000 clientes.</w:t>
      </w:r>
    </w:p>
    <w:p w14:paraId="30A5BD6B" w14:textId="77777777" w:rsidR="00C92C58" w:rsidRPr="00C174D5" w:rsidRDefault="00C92C58" w:rsidP="00C92C58">
      <w:pPr>
        <w:rPr>
          <w:b/>
          <w:i/>
          <w:u w:val="single"/>
          <w:lang w:val="es-ES"/>
        </w:rPr>
      </w:pPr>
      <w:r w:rsidRPr="00C174D5">
        <w:rPr>
          <w:b/>
          <w:i/>
          <w:u w:val="single"/>
          <w:lang w:val="es-ES"/>
        </w:rPr>
        <w:t xml:space="preserve">Modernización SE </w:t>
      </w:r>
      <w:proofErr w:type="spellStart"/>
      <w:r w:rsidRPr="00C174D5">
        <w:rPr>
          <w:b/>
          <w:i/>
          <w:u w:val="single"/>
          <w:lang w:val="es-ES"/>
        </w:rPr>
        <w:t>Ticuantepe</w:t>
      </w:r>
      <w:proofErr w:type="spellEnd"/>
      <w:r w:rsidRPr="00C174D5">
        <w:rPr>
          <w:b/>
          <w:i/>
          <w:u w:val="single"/>
          <w:lang w:val="es-ES"/>
        </w:rPr>
        <w:t xml:space="preserve"> I y Ampliación de capacidad de </w:t>
      </w:r>
      <w:proofErr w:type="spellStart"/>
      <w:r w:rsidRPr="00C174D5">
        <w:rPr>
          <w:b/>
          <w:i/>
          <w:u w:val="single"/>
          <w:lang w:val="es-ES"/>
        </w:rPr>
        <w:t>Ticuantepe</w:t>
      </w:r>
      <w:proofErr w:type="spellEnd"/>
      <w:r w:rsidRPr="00C174D5">
        <w:rPr>
          <w:b/>
          <w:i/>
          <w:u w:val="single"/>
          <w:lang w:val="es-ES"/>
        </w:rPr>
        <w:t xml:space="preserve"> II</w:t>
      </w:r>
    </w:p>
    <w:p w14:paraId="616078C0" w14:textId="77777777" w:rsidR="00C92C58" w:rsidRPr="00C174D5" w:rsidRDefault="00C92C58" w:rsidP="00C92C58">
      <w:pPr>
        <w:rPr>
          <w:lang w:val="es-ES"/>
        </w:rPr>
      </w:pPr>
      <w:r w:rsidRPr="00C174D5">
        <w:rPr>
          <w:lang w:val="es-ES"/>
        </w:rPr>
        <w:t xml:space="preserve">Este proyecto consiste en la construcción de una nueva SE en 138kV, que reemplace a la SE </w:t>
      </w:r>
      <w:proofErr w:type="spellStart"/>
      <w:r w:rsidRPr="00C174D5">
        <w:rPr>
          <w:lang w:val="es-ES"/>
        </w:rPr>
        <w:t>Ticuantepe</w:t>
      </w:r>
      <w:proofErr w:type="spellEnd"/>
      <w:r w:rsidRPr="00C174D5">
        <w:rPr>
          <w:lang w:val="es-ES"/>
        </w:rPr>
        <w:t xml:space="preserve"> I actual de 69kV, con el propósito de mejorar la confiabilidad del suministro de esta SE y ampliar la capacidad de transformación para poder abastecer las cargas futuras de la zona. Además, dadas las condiciones de operación de estas SE, se evalúa también la ampliación de la capacidad de la SE </w:t>
      </w:r>
      <w:proofErr w:type="spellStart"/>
      <w:r w:rsidRPr="00C174D5">
        <w:rPr>
          <w:lang w:val="es-ES"/>
        </w:rPr>
        <w:t>Ticuantepe</w:t>
      </w:r>
      <w:proofErr w:type="spellEnd"/>
      <w:r w:rsidRPr="00C174D5">
        <w:rPr>
          <w:lang w:val="es-ES"/>
        </w:rPr>
        <w:t xml:space="preserve"> II.</w:t>
      </w:r>
    </w:p>
    <w:p w14:paraId="4D055782" w14:textId="77777777" w:rsidR="00C92C58" w:rsidRPr="00C174D5" w:rsidRDefault="00C92C58" w:rsidP="00C92C58">
      <w:pPr>
        <w:rPr>
          <w:b/>
          <w:i/>
          <w:u w:val="single"/>
          <w:lang w:val="es-ES"/>
        </w:rPr>
      </w:pPr>
      <w:r w:rsidRPr="00C174D5">
        <w:rPr>
          <w:b/>
          <w:i/>
          <w:u w:val="single"/>
          <w:lang w:val="es-ES"/>
        </w:rPr>
        <w:t>Adquisición Transformador Móvil</w:t>
      </w:r>
    </w:p>
    <w:p w14:paraId="60FAF66F" w14:textId="77777777" w:rsidR="00C92C58" w:rsidRPr="00C174D5" w:rsidRDefault="00C92C58" w:rsidP="00C92C58">
      <w:pPr>
        <w:rPr>
          <w:b/>
          <w:i/>
          <w:u w:val="single"/>
          <w:lang w:val="es-ES"/>
        </w:rPr>
      </w:pPr>
      <w:r w:rsidRPr="00C174D5">
        <w:rPr>
          <w:lang w:val="es-ES"/>
        </w:rPr>
        <w:t xml:space="preserve">Este proyecto consiste en la adquisición de un transformador móvil de 40 MVA con relación de tensión 138/24,9/13.8 </w:t>
      </w:r>
      <w:proofErr w:type="spellStart"/>
      <w:r w:rsidRPr="00C174D5">
        <w:rPr>
          <w:lang w:val="es-ES"/>
        </w:rPr>
        <w:t>kV</w:t>
      </w:r>
      <w:proofErr w:type="spellEnd"/>
      <w:r w:rsidRPr="00C174D5">
        <w:rPr>
          <w:lang w:val="es-ES"/>
        </w:rPr>
        <w:t>, con el objeto de evitar el corte en el suministro en presencia de una falla intempestiva en uno de los transformadores de 40MVA del área de Managua, o en caso que uno de estos transformadores requiera mantenimiento preventivo o correctivo.</w:t>
      </w:r>
    </w:p>
    <w:p w14:paraId="16CCE2DC" w14:textId="77777777" w:rsidR="00C92C58" w:rsidRPr="00C174D5" w:rsidRDefault="00C92C58" w:rsidP="00C92C58">
      <w:pPr>
        <w:rPr>
          <w:lang w:val="es-ES"/>
        </w:rPr>
      </w:pPr>
      <w:r w:rsidRPr="00C174D5">
        <w:rPr>
          <w:lang w:val="es-ES"/>
        </w:rPr>
        <w:t xml:space="preserve">Para este conjunto de proyectos se desarrolló un análisis costo beneficio (ACB). El ACB busca medir el impacto en sentido amplio de los proyectos, esto es desde una óptica financiera y una óptica social o económica. Para esto, se deben valuar tanto los efectos directos como los indirectos, incluyendo en el caso de la evaluación económica las externalidades que eventualmente se generan. Una vez calculados los beneficios y costos, se descuentan para llevarlos a un momento del tiempo común y, así, hacerlos comparables, representando la tasa de descuento el costo de oportunidad del capital. El resumen de los resultados de la evaluación económica de los proyectos se resume en la </w:t>
      </w:r>
      <w:r w:rsidRPr="00C174D5">
        <w:rPr>
          <w:b/>
          <w:lang w:val="es-ES"/>
        </w:rPr>
        <w:t>Tabla 1</w:t>
      </w:r>
      <w:r w:rsidRPr="00C174D5">
        <w:rPr>
          <w:lang w:val="es-ES"/>
        </w:rPr>
        <w:t>.</w:t>
      </w:r>
    </w:p>
    <w:p w14:paraId="4D27BFED" w14:textId="77777777" w:rsidR="00C92C58" w:rsidRPr="00C174D5" w:rsidRDefault="00C92C58" w:rsidP="00C92C58">
      <w:pPr>
        <w:keepNext/>
        <w:keepLines/>
        <w:spacing w:after="120"/>
        <w:jc w:val="center"/>
        <w:rPr>
          <w:b/>
          <w:sz w:val="20"/>
          <w:lang w:val="es-ES"/>
        </w:rPr>
      </w:pPr>
      <w:bookmarkStart w:id="3" w:name="_Toc427254732"/>
      <w:r w:rsidRPr="00C174D5">
        <w:rPr>
          <w:b/>
          <w:sz w:val="20"/>
          <w:lang w:val="es-ES"/>
        </w:rPr>
        <w:t>Tabla 1: Proyectos evaluados</w:t>
      </w:r>
      <w:bookmarkEnd w:id="3"/>
      <w:r w:rsidRPr="00C174D5">
        <w:rPr>
          <w:b/>
          <w:sz w:val="20"/>
          <w:lang w:val="es-ES"/>
        </w:rPr>
        <w:t xml:space="preserve"> – Valuación Doméstica</w:t>
      </w:r>
      <w:r>
        <w:rPr>
          <w:b/>
          <w:sz w:val="20"/>
          <w:lang w:val="es-ES"/>
        </w:rPr>
        <w:t>*</w:t>
      </w:r>
    </w:p>
    <w:tbl>
      <w:tblPr>
        <w:tblW w:w="87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94"/>
        <w:gridCol w:w="1498"/>
        <w:gridCol w:w="1330"/>
        <w:gridCol w:w="1456"/>
        <w:gridCol w:w="1985"/>
        <w:gridCol w:w="958"/>
      </w:tblGrid>
      <w:tr w:rsidR="00C92C58" w:rsidRPr="00C174D5" w14:paraId="15A58964" w14:textId="77777777" w:rsidTr="00B15A9A">
        <w:trPr>
          <w:tblHeader/>
          <w:jc w:val="center"/>
        </w:trPr>
        <w:tc>
          <w:tcPr>
            <w:tcW w:w="1494" w:type="dxa"/>
            <w:tcBorders>
              <w:top w:val="single" w:sz="12" w:space="0" w:color="auto"/>
              <w:bottom w:val="single" w:sz="12" w:space="0" w:color="auto"/>
            </w:tcBorders>
            <w:shd w:val="clear" w:color="auto" w:fill="BFBFBF" w:themeFill="background1" w:themeFillShade="BF"/>
            <w:vAlign w:val="center"/>
          </w:tcPr>
          <w:p w14:paraId="08FAD52C" w14:textId="77777777" w:rsidR="00C92C58" w:rsidRPr="00C174D5" w:rsidRDefault="00C92C58" w:rsidP="00B15A9A">
            <w:pPr>
              <w:spacing w:after="0" w:line="240" w:lineRule="auto"/>
              <w:jc w:val="center"/>
              <w:rPr>
                <w:b/>
                <w:sz w:val="20"/>
                <w:szCs w:val="20"/>
                <w:lang w:val="es-ES"/>
              </w:rPr>
            </w:pPr>
            <w:r w:rsidRPr="00C174D5">
              <w:rPr>
                <w:b/>
                <w:sz w:val="20"/>
                <w:szCs w:val="20"/>
                <w:lang w:val="es-ES"/>
              </w:rPr>
              <w:t>Proyecto</w:t>
            </w:r>
          </w:p>
        </w:tc>
        <w:tc>
          <w:tcPr>
            <w:tcW w:w="1498" w:type="dxa"/>
            <w:tcBorders>
              <w:top w:val="single" w:sz="12" w:space="0" w:color="auto"/>
              <w:bottom w:val="single" w:sz="12" w:space="0" w:color="auto"/>
            </w:tcBorders>
            <w:shd w:val="clear" w:color="auto" w:fill="BFBFBF" w:themeFill="background1" w:themeFillShade="BF"/>
            <w:vAlign w:val="center"/>
          </w:tcPr>
          <w:p w14:paraId="19D0A5F2" w14:textId="77777777" w:rsidR="00C92C58" w:rsidRPr="00C174D5" w:rsidRDefault="00C92C58" w:rsidP="00B15A9A">
            <w:pPr>
              <w:spacing w:after="0" w:line="240" w:lineRule="auto"/>
              <w:jc w:val="center"/>
              <w:rPr>
                <w:b/>
                <w:sz w:val="20"/>
                <w:szCs w:val="20"/>
                <w:lang w:val="es-ES"/>
              </w:rPr>
            </w:pPr>
            <w:r w:rsidRPr="00C174D5">
              <w:rPr>
                <w:b/>
                <w:sz w:val="20"/>
                <w:szCs w:val="20"/>
                <w:lang w:val="es-ES"/>
              </w:rPr>
              <w:t>Clientes involucrados</w:t>
            </w:r>
          </w:p>
        </w:tc>
        <w:tc>
          <w:tcPr>
            <w:tcW w:w="1330" w:type="dxa"/>
            <w:tcBorders>
              <w:top w:val="single" w:sz="12" w:space="0" w:color="auto"/>
              <w:bottom w:val="single" w:sz="12" w:space="0" w:color="auto"/>
            </w:tcBorders>
            <w:shd w:val="clear" w:color="auto" w:fill="BFBFBF" w:themeFill="background1" w:themeFillShade="BF"/>
          </w:tcPr>
          <w:p w14:paraId="747AE7CA" w14:textId="77777777" w:rsidR="00C92C58" w:rsidRPr="00C174D5" w:rsidRDefault="00C92C58" w:rsidP="00B15A9A">
            <w:pPr>
              <w:spacing w:after="0" w:line="240" w:lineRule="auto"/>
              <w:jc w:val="center"/>
              <w:rPr>
                <w:b/>
                <w:sz w:val="20"/>
                <w:szCs w:val="20"/>
                <w:lang w:val="es-ES"/>
              </w:rPr>
            </w:pPr>
            <w:r w:rsidRPr="00C174D5">
              <w:rPr>
                <w:b/>
                <w:sz w:val="20"/>
                <w:szCs w:val="20"/>
                <w:lang w:val="es-ES"/>
              </w:rPr>
              <w:t>VP Inversión Financiera (US$)</w:t>
            </w:r>
          </w:p>
        </w:tc>
        <w:tc>
          <w:tcPr>
            <w:tcW w:w="1456" w:type="dxa"/>
            <w:tcBorders>
              <w:top w:val="single" w:sz="12" w:space="0" w:color="auto"/>
              <w:bottom w:val="single" w:sz="12" w:space="0" w:color="auto"/>
            </w:tcBorders>
            <w:shd w:val="clear" w:color="auto" w:fill="BFBFBF" w:themeFill="background1" w:themeFillShade="BF"/>
            <w:vAlign w:val="center"/>
          </w:tcPr>
          <w:p w14:paraId="2A1B1709" w14:textId="77777777" w:rsidR="00C92C58" w:rsidRPr="00C174D5" w:rsidRDefault="00C92C58" w:rsidP="00B15A9A">
            <w:pPr>
              <w:spacing w:after="0" w:line="240" w:lineRule="auto"/>
              <w:jc w:val="center"/>
              <w:rPr>
                <w:b/>
                <w:sz w:val="20"/>
                <w:szCs w:val="20"/>
                <w:lang w:val="es-ES"/>
              </w:rPr>
            </w:pPr>
            <w:r w:rsidRPr="00C174D5">
              <w:rPr>
                <w:b/>
                <w:sz w:val="20"/>
                <w:szCs w:val="20"/>
                <w:lang w:val="es-ES"/>
              </w:rPr>
              <w:t xml:space="preserve">VP Inversión Económica (US$ </w:t>
            </w:r>
            <w:proofErr w:type="spellStart"/>
            <w:r w:rsidRPr="00C174D5">
              <w:rPr>
                <w:b/>
                <w:sz w:val="20"/>
                <w:szCs w:val="20"/>
                <w:lang w:val="es-ES"/>
              </w:rPr>
              <w:t>Ec</w:t>
            </w:r>
            <w:proofErr w:type="spellEnd"/>
            <w:r w:rsidRPr="00C174D5">
              <w:rPr>
                <w:b/>
                <w:sz w:val="20"/>
                <w:szCs w:val="20"/>
                <w:lang w:val="es-ES"/>
              </w:rPr>
              <w:t>)</w:t>
            </w:r>
          </w:p>
        </w:tc>
        <w:tc>
          <w:tcPr>
            <w:tcW w:w="1985" w:type="dxa"/>
            <w:tcBorders>
              <w:top w:val="single" w:sz="12" w:space="0" w:color="auto"/>
              <w:bottom w:val="single" w:sz="12" w:space="0" w:color="auto"/>
            </w:tcBorders>
            <w:shd w:val="clear" w:color="auto" w:fill="BFBFBF" w:themeFill="background1" w:themeFillShade="BF"/>
            <w:vAlign w:val="center"/>
          </w:tcPr>
          <w:p w14:paraId="6C4F8843" w14:textId="77777777" w:rsidR="00C92C58" w:rsidRPr="00C174D5" w:rsidRDefault="00C92C58" w:rsidP="00B15A9A">
            <w:pPr>
              <w:spacing w:after="0" w:line="240" w:lineRule="auto"/>
              <w:jc w:val="center"/>
              <w:rPr>
                <w:b/>
                <w:sz w:val="20"/>
                <w:szCs w:val="20"/>
                <w:lang w:val="es-ES"/>
              </w:rPr>
            </w:pPr>
            <w:r w:rsidRPr="00C174D5">
              <w:rPr>
                <w:b/>
                <w:sz w:val="20"/>
                <w:szCs w:val="20"/>
                <w:lang w:val="es-ES"/>
              </w:rPr>
              <w:t>VPNE (US$)</w:t>
            </w:r>
          </w:p>
        </w:tc>
        <w:tc>
          <w:tcPr>
            <w:tcW w:w="958" w:type="dxa"/>
            <w:tcBorders>
              <w:top w:val="single" w:sz="12" w:space="0" w:color="auto"/>
              <w:bottom w:val="single" w:sz="12" w:space="0" w:color="auto"/>
            </w:tcBorders>
            <w:shd w:val="clear" w:color="auto" w:fill="BFBFBF" w:themeFill="background1" w:themeFillShade="BF"/>
            <w:vAlign w:val="center"/>
          </w:tcPr>
          <w:p w14:paraId="422B63EE" w14:textId="77777777" w:rsidR="00C92C58" w:rsidRPr="00C174D5" w:rsidRDefault="00C92C58" w:rsidP="00B15A9A">
            <w:pPr>
              <w:spacing w:after="0" w:line="240" w:lineRule="auto"/>
              <w:jc w:val="center"/>
              <w:rPr>
                <w:b/>
                <w:sz w:val="20"/>
                <w:szCs w:val="20"/>
                <w:lang w:val="es-ES"/>
              </w:rPr>
            </w:pPr>
            <w:r w:rsidRPr="00C174D5">
              <w:rPr>
                <w:b/>
                <w:sz w:val="20"/>
                <w:szCs w:val="20"/>
                <w:lang w:val="es-ES"/>
              </w:rPr>
              <w:t>TIRE</w:t>
            </w:r>
          </w:p>
        </w:tc>
      </w:tr>
      <w:tr w:rsidR="00C92C58" w:rsidRPr="00C174D5" w14:paraId="4C930B57" w14:textId="77777777" w:rsidTr="00B15A9A">
        <w:trPr>
          <w:jc w:val="center"/>
        </w:trPr>
        <w:tc>
          <w:tcPr>
            <w:tcW w:w="1494" w:type="dxa"/>
            <w:tcBorders>
              <w:top w:val="single" w:sz="12" w:space="0" w:color="auto"/>
            </w:tcBorders>
            <w:vAlign w:val="bottom"/>
          </w:tcPr>
          <w:p w14:paraId="0A947256" w14:textId="77777777" w:rsidR="00C92C58" w:rsidRPr="00C174D5" w:rsidRDefault="00C92C58" w:rsidP="00B15A9A">
            <w:pPr>
              <w:spacing w:after="0" w:line="240" w:lineRule="auto"/>
              <w:jc w:val="left"/>
              <w:rPr>
                <w:sz w:val="20"/>
                <w:szCs w:val="20"/>
                <w:lang w:val="es-ES"/>
              </w:rPr>
            </w:pPr>
            <w:r w:rsidRPr="00C174D5">
              <w:rPr>
                <w:sz w:val="20"/>
                <w:szCs w:val="20"/>
                <w:lang w:val="es-ES"/>
              </w:rPr>
              <w:t>LT El Sauce-Villanueva</w:t>
            </w:r>
            <w:r>
              <w:rPr>
                <w:sz w:val="20"/>
                <w:szCs w:val="20"/>
                <w:lang w:val="es-ES"/>
              </w:rPr>
              <w:t>*</w:t>
            </w:r>
          </w:p>
        </w:tc>
        <w:tc>
          <w:tcPr>
            <w:tcW w:w="1498" w:type="dxa"/>
            <w:tcBorders>
              <w:top w:val="single" w:sz="12" w:space="0" w:color="auto"/>
            </w:tcBorders>
            <w:vAlign w:val="center"/>
          </w:tcPr>
          <w:p w14:paraId="7BF2F8C6" w14:textId="77777777" w:rsidR="00C92C58" w:rsidRPr="00C174D5" w:rsidRDefault="00C92C58" w:rsidP="00B15A9A">
            <w:pPr>
              <w:spacing w:after="0" w:line="240" w:lineRule="auto"/>
              <w:jc w:val="center"/>
              <w:rPr>
                <w:sz w:val="20"/>
                <w:szCs w:val="20"/>
                <w:lang w:val="es-ES"/>
              </w:rPr>
            </w:pPr>
            <w:r w:rsidRPr="00C174D5">
              <w:rPr>
                <w:sz w:val="20"/>
                <w:szCs w:val="20"/>
                <w:lang w:val="es-ES"/>
              </w:rPr>
              <w:t>26.734</w:t>
            </w:r>
          </w:p>
        </w:tc>
        <w:tc>
          <w:tcPr>
            <w:tcW w:w="1330" w:type="dxa"/>
            <w:tcBorders>
              <w:top w:val="single" w:sz="12" w:space="0" w:color="auto"/>
            </w:tcBorders>
            <w:vAlign w:val="center"/>
          </w:tcPr>
          <w:p w14:paraId="333EB23A" w14:textId="77777777" w:rsidR="00C92C58" w:rsidRPr="00C174D5" w:rsidRDefault="00C92C58" w:rsidP="00B15A9A">
            <w:pPr>
              <w:spacing w:after="0" w:line="240" w:lineRule="auto"/>
              <w:jc w:val="center"/>
              <w:rPr>
                <w:sz w:val="20"/>
                <w:szCs w:val="20"/>
                <w:lang w:val="es-ES"/>
              </w:rPr>
            </w:pPr>
            <w:r w:rsidRPr="00C174D5">
              <w:rPr>
                <w:sz w:val="20"/>
                <w:szCs w:val="20"/>
                <w:lang w:val="es-ES"/>
              </w:rPr>
              <w:t>1</w:t>
            </w:r>
            <w:r>
              <w:rPr>
                <w:sz w:val="20"/>
                <w:szCs w:val="20"/>
                <w:lang w:val="es-ES"/>
              </w:rPr>
              <w:t>6</w:t>
            </w:r>
            <w:r w:rsidRPr="00C174D5">
              <w:rPr>
                <w:sz w:val="20"/>
                <w:szCs w:val="20"/>
                <w:lang w:val="es-ES"/>
              </w:rPr>
              <w:t>.</w:t>
            </w:r>
            <w:r>
              <w:rPr>
                <w:sz w:val="20"/>
                <w:szCs w:val="20"/>
                <w:lang w:val="es-ES"/>
              </w:rPr>
              <w:t>148</w:t>
            </w:r>
            <w:r w:rsidRPr="00C174D5">
              <w:rPr>
                <w:sz w:val="20"/>
                <w:szCs w:val="20"/>
                <w:lang w:val="es-ES"/>
              </w:rPr>
              <w:t>.</w:t>
            </w:r>
            <w:r>
              <w:rPr>
                <w:sz w:val="20"/>
                <w:szCs w:val="20"/>
                <w:lang w:val="es-ES"/>
              </w:rPr>
              <w:t>453</w:t>
            </w:r>
          </w:p>
        </w:tc>
        <w:tc>
          <w:tcPr>
            <w:tcW w:w="1456" w:type="dxa"/>
            <w:tcBorders>
              <w:top w:val="single" w:sz="12" w:space="0" w:color="auto"/>
            </w:tcBorders>
            <w:vAlign w:val="center"/>
          </w:tcPr>
          <w:p w14:paraId="07481CF0" w14:textId="77777777" w:rsidR="00C92C58" w:rsidRPr="00C174D5" w:rsidRDefault="00C92C58" w:rsidP="00B15A9A">
            <w:pPr>
              <w:spacing w:after="0" w:line="240" w:lineRule="auto"/>
              <w:jc w:val="center"/>
              <w:rPr>
                <w:sz w:val="20"/>
                <w:szCs w:val="20"/>
                <w:lang w:val="es-ES"/>
              </w:rPr>
            </w:pPr>
            <w:r w:rsidRPr="00C174D5">
              <w:rPr>
                <w:sz w:val="20"/>
                <w:szCs w:val="20"/>
                <w:lang w:val="es-ES"/>
              </w:rPr>
              <w:t>1</w:t>
            </w:r>
            <w:r>
              <w:rPr>
                <w:sz w:val="20"/>
                <w:szCs w:val="20"/>
                <w:lang w:val="es-ES"/>
              </w:rPr>
              <w:t>5</w:t>
            </w:r>
            <w:r w:rsidRPr="00C174D5">
              <w:rPr>
                <w:sz w:val="20"/>
                <w:szCs w:val="20"/>
                <w:lang w:val="es-ES"/>
              </w:rPr>
              <w:t>.</w:t>
            </w:r>
            <w:r>
              <w:rPr>
                <w:sz w:val="20"/>
                <w:szCs w:val="20"/>
                <w:lang w:val="es-ES"/>
              </w:rPr>
              <w:t>807.983</w:t>
            </w:r>
          </w:p>
        </w:tc>
        <w:tc>
          <w:tcPr>
            <w:tcW w:w="1985" w:type="dxa"/>
            <w:tcBorders>
              <w:top w:val="single" w:sz="12" w:space="0" w:color="auto"/>
            </w:tcBorders>
            <w:vAlign w:val="center"/>
          </w:tcPr>
          <w:p w14:paraId="748AC9B3" w14:textId="77777777" w:rsidR="00C92C58" w:rsidRPr="00C174D5" w:rsidRDefault="00C92C58" w:rsidP="00B15A9A">
            <w:pPr>
              <w:spacing w:after="0" w:line="240" w:lineRule="auto"/>
              <w:jc w:val="center"/>
              <w:rPr>
                <w:sz w:val="20"/>
                <w:szCs w:val="20"/>
                <w:highlight w:val="yellow"/>
                <w:lang w:val="es-ES"/>
              </w:rPr>
            </w:pPr>
            <w:r w:rsidRPr="002A08B2">
              <w:rPr>
                <w:color w:val="000000"/>
                <w:sz w:val="20"/>
                <w:szCs w:val="20"/>
                <w:lang w:val="es-ES"/>
              </w:rPr>
              <w:t>46,488,779</w:t>
            </w:r>
          </w:p>
        </w:tc>
        <w:tc>
          <w:tcPr>
            <w:tcW w:w="958" w:type="dxa"/>
            <w:tcBorders>
              <w:top w:val="single" w:sz="12" w:space="0" w:color="auto"/>
            </w:tcBorders>
            <w:vAlign w:val="center"/>
          </w:tcPr>
          <w:p w14:paraId="0B68BFCE" w14:textId="77777777" w:rsidR="00C92C58" w:rsidRPr="00C174D5" w:rsidRDefault="00C92C58" w:rsidP="00B15A9A">
            <w:pPr>
              <w:spacing w:after="0" w:line="240" w:lineRule="auto"/>
              <w:jc w:val="center"/>
              <w:rPr>
                <w:sz w:val="20"/>
                <w:szCs w:val="20"/>
                <w:highlight w:val="yellow"/>
                <w:lang w:val="es-ES"/>
              </w:rPr>
            </w:pPr>
            <w:r>
              <w:rPr>
                <w:color w:val="000000"/>
                <w:sz w:val="20"/>
                <w:szCs w:val="20"/>
                <w:lang w:val="es-ES"/>
              </w:rPr>
              <w:t>27</w:t>
            </w:r>
            <w:r w:rsidRPr="00C174D5">
              <w:rPr>
                <w:color w:val="000000"/>
                <w:sz w:val="20"/>
                <w:szCs w:val="20"/>
                <w:lang w:val="es-ES"/>
              </w:rPr>
              <w:t>%</w:t>
            </w:r>
          </w:p>
        </w:tc>
      </w:tr>
      <w:tr w:rsidR="00C92C58" w:rsidRPr="00C174D5" w14:paraId="27B2945D" w14:textId="77777777" w:rsidTr="00B15A9A">
        <w:trPr>
          <w:jc w:val="center"/>
        </w:trPr>
        <w:tc>
          <w:tcPr>
            <w:tcW w:w="1494" w:type="dxa"/>
            <w:vAlign w:val="center"/>
          </w:tcPr>
          <w:p w14:paraId="4026E9B6" w14:textId="77777777" w:rsidR="00C92C58" w:rsidRPr="00C174D5" w:rsidRDefault="00C92C58" w:rsidP="00B15A9A">
            <w:pPr>
              <w:spacing w:after="0" w:line="240" w:lineRule="auto"/>
              <w:jc w:val="left"/>
              <w:rPr>
                <w:b/>
                <w:bCs/>
                <w:sz w:val="20"/>
                <w:szCs w:val="20"/>
                <w:lang w:val="es-ES"/>
              </w:rPr>
            </w:pPr>
            <w:r w:rsidRPr="00C174D5">
              <w:rPr>
                <w:sz w:val="20"/>
                <w:szCs w:val="20"/>
                <w:lang w:val="es-ES"/>
              </w:rPr>
              <w:t xml:space="preserve">Subestación </w:t>
            </w:r>
            <w:proofErr w:type="spellStart"/>
            <w:r w:rsidRPr="00C174D5">
              <w:rPr>
                <w:sz w:val="20"/>
                <w:szCs w:val="20"/>
                <w:lang w:val="es-ES"/>
              </w:rPr>
              <w:t>Sébaco</w:t>
            </w:r>
            <w:proofErr w:type="spellEnd"/>
          </w:p>
        </w:tc>
        <w:tc>
          <w:tcPr>
            <w:tcW w:w="1498" w:type="dxa"/>
            <w:vAlign w:val="center"/>
          </w:tcPr>
          <w:p w14:paraId="2FE0D48B" w14:textId="77777777" w:rsidR="00C92C58" w:rsidRPr="00C174D5" w:rsidRDefault="00C92C58" w:rsidP="00B15A9A">
            <w:pPr>
              <w:spacing w:after="0" w:line="240" w:lineRule="auto"/>
              <w:jc w:val="center"/>
              <w:rPr>
                <w:sz w:val="20"/>
                <w:szCs w:val="20"/>
                <w:lang w:val="es-ES"/>
              </w:rPr>
            </w:pPr>
            <w:r w:rsidRPr="00C174D5">
              <w:rPr>
                <w:sz w:val="20"/>
                <w:szCs w:val="20"/>
                <w:lang w:val="es-ES"/>
              </w:rPr>
              <w:t>212.920</w:t>
            </w:r>
          </w:p>
        </w:tc>
        <w:tc>
          <w:tcPr>
            <w:tcW w:w="1330" w:type="dxa"/>
            <w:vAlign w:val="center"/>
          </w:tcPr>
          <w:p w14:paraId="5F46A1C6" w14:textId="77777777" w:rsidR="00C92C58" w:rsidRPr="00C174D5" w:rsidRDefault="00C92C58" w:rsidP="00B15A9A">
            <w:pPr>
              <w:spacing w:after="0" w:line="240" w:lineRule="auto"/>
              <w:jc w:val="center"/>
              <w:rPr>
                <w:sz w:val="20"/>
                <w:lang w:val="es-ES"/>
              </w:rPr>
            </w:pPr>
            <w:r w:rsidRPr="00C174D5">
              <w:rPr>
                <w:sz w:val="20"/>
                <w:szCs w:val="20"/>
                <w:lang w:val="es-ES"/>
              </w:rPr>
              <w:t>9.385.502</w:t>
            </w:r>
          </w:p>
        </w:tc>
        <w:tc>
          <w:tcPr>
            <w:tcW w:w="1456" w:type="dxa"/>
            <w:vAlign w:val="center"/>
          </w:tcPr>
          <w:p w14:paraId="33B91B7F" w14:textId="77777777" w:rsidR="00C92C58" w:rsidRPr="00C174D5" w:rsidRDefault="00C92C58" w:rsidP="00B15A9A">
            <w:pPr>
              <w:spacing w:after="0" w:line="240" w:lineRule="auto"/>
              <w:jc w:val="center"/>
              <w:rPr>
                <w:sz w:val="20"/>
                <w:szCs w:val="20"/>
                <w:lang w:val="es-ES"/>
              </w:rPr>
            </w:pPr>
            <w:r w:rsidRPr="00C174D5">
              <w:rPr>
                <w:sz w:val="20"/>
                <w:lang w:val="es-ES"/>
              </w:rPr>
              <w:t>9.187.621</w:t>
            </w:r>
          </w:p>
        </w:tc>
        <w:tc>
          <w:tcPr>
            <w:tcW w:w="1985" w:type="dxa"/>
            <w:vAlign w:val="center"/>
          </w:tcPr>
          <w:p w14:paraId="5F60A68F" w14:textId="77777777" w:rsidR="00C92C58" w:rsidRPr="00C174D5" w:rsidRDefault="00C92C58" w:rsidP="00B15A9A">
            <w:pPr>
              <w:spacing w:after="0" w:line="240" w:lineRule="auto"/>
              <w:jc w:val="center"/>
              <w:rPr>
                <w:sz w:val="20"/>
                <w:szCs w:val="20"/>
                <w:highlight w:val="yellow"/>
                <w:lang w:val="es-ES"/>
              </w:rPr>
            </w:pPr>
            <w:r w:rsidRPr="002A08B2">
              <w:rPr>
                <w:color w:val="000000"/>
                <w:sz w:val="20"/>
                <w:szCs w:val="20"/>
                <w:lang w:val="es-ES"/>
              </w:rPr>
              <w:t>47,748</w:t>
            </w:r>
          </w:p>
        </w:tc>
        <w:tc>
          <w:tcPr>
            <w:tcW w:w="958" w:type="dxa"/>
            <w:vAlign w:val="center"/>
          </w:tcPr>
          <w:p w14:paraId="19E2AA79" w14:textId="77777777" w:rsidR="00C92C58" w:rsidRPr="00C174D5" w:rsidRDefault="00C92C58" w:rsidP="00B15A9A">
            <w:pPr>
              <w:spacing w:after="0" w:line="240" w:lineRule="auto"/>
              <w:jc w:val="center"/>
              <w:rPr>
                <w:sz w:val="20"/>
                <w:szCs w:val="20"/>
                <w:highlight w:val="yellow"/>
                <w:lang w:val="es-ES"/>
              </w:rPr>
            </w:pPr>
            <w:r>
              <w:rPr>
                <w:color w:val="000000"/>
                <w:sz w:val="20"/>
                <w:szCs w:val="20"/>
                <w:lang w:val="es-ES"/>
              </w:rPr>
              <w:t>12</w:t>
            </w:r>
            <w:r w:rsidRPr="00C174D5">
              <w:rPr>
                <w:color w:val="000000"/>
                <w:sz w:val="20"/>
                <w:szCs w:val="20"/>
                <w:lang w:val="es-ES"/>
              </w:rPr>
              <w:t>%</w:t>
            </w:r>
          </w:p>
        </w:tc>
      </w:tr>
      <w:tr w:rsidR="00C92C58" w:rsidRPr="00C174D5" w14:paraId="314F28AA" w14:textId="77777777" w:rsidTr="00B15A9A">
        <w:trPr>
          <w:jc w:val="center"/>
        </w:trPr>
        <w:tc>
          <w:tcPr>
            <w:tcW w:w="1494" w:type="dxa"/>
            <w:vAlign w:val="center"/>
          </w:tcPr>
          <w:p w14:paraId="08F2744D" w14:textId="77777777" w:rsidR="00C92C58" w:rsidRPr="00C174D5" w:rsidRDefault="00C92C58" w:rsidP="00B15A9A">
            <w:pPr>
              <w:spacing w:after="0" w:line="240" w:lineRule="auto"/>
              <w:jc w:val="left"/>
              <w:rPr>
                <w:sz w:val="20"/>
                <w:szCs w:val="20"/>
                <w:lang w:val="es-ES"/>
              </w:rPr>
            </w:pPr>
            <w:r w:rsidRPr="00C174D5">
              <w:rPr>
                <w:sz w:val="20"/>
                <w:szCs w:val="20"/>
                <w:lang w:val="es-ES"/>
              </w:rPr>
              <w:t>Ampliación capacidad 4 subestaciones</w:t>
            </w:r>
          </w:p>
        </w:tc>
        <w:tc>
          <w:tcPr>
            <w:tcW w:w="1498" w:type="dxa"/>
            <w:vAlign w:val="center"/>
          </w:tcPr>
          <w:p w14:paraId="58647082" w14:textId="77777777" w:rsidR="00C92C58" w:rsidRPr="00C174D5" w:rsidRDefault="00C92C58" w:rsidP="00B15A9A">
            <w:pPr>
              <w:spacing w:after="0" w:line="240" w:lineRule="auto"/>
              <w:jc w:val="center"/>
              <w:rPr>
                <w:sz w:val="20"/>
                <w:szCs w:val="20"/>
                <w:lang w:val="es-ES"/>
              </w:rPr>
            </w:pPr>
            <w:r w:rsidRPr="00C174D5">
              <w:rPr>
                <w:sz w:val="20"/>
                <w:szCs w:val="20"/>
                <w:lang w:val="es-ES"/>
              </w:rPr>
              <w:t>155.474</w:t>
            </w:r>
          </w:p>
        </w:tc>
        <w:tc>
          <w:tcPr>
            <w:tcW w:w="1330" w:type="dxa"/>
            <w:vAlign w:val="center"/>
          </w:tcPr>
          <w:p w14:paraId="203D1075" w14:textId="77777777" w:rsidR="00C92C58" w:rsidRPr="00C174D5" w:rsidRDefault="00C92C58" w:rsidP="00B15A9A">
            <w:pPr>
              <w:spacing w:after="0" w:line="240" w:lineRule="auto"/>
              <w:jc w:val="center"/>
              <w:rPr>
                <w:sz w:val="20"/>
                <w:szCs w:val="20"/>
                <w:lang w:val="es-ES"/>
              </w:rPr>
            </w:pPr>
            <w:r w:rsidRPr="00C174D5">
              <w:rPr>
                <w:sz w:val="20"/>
                <w:szCs w:val="20"/>
                <w:lang w:val="es-ES"/>
              </w:rPr>
              <w:t>8.336.848</w:t>
            </w:r>
          </w:p>
        </w:tc>
        <w:tc>
          <w:tcPr>
            <w:tcW w:w="1456" w:type="dxa"/>
            <w:vAlign w:val="center"/>
          </w:tcPr>
          <w:p w14:paraId="61AD1B30" w14:textId="77777777" w:rsidR="00C92C58" w:rsidRPr="00C174D5" w:rsidRDefault="00C92C58" w:rsidP="00B15A9A">
            <w:pPr>
              <w:spacing w:after="0" w:line="240" w:lineRule="auto"/>
              <w:jc w:val="center"/>
              <w:rPr>
                <w:sz w:val="20"/>
                <w:szCs w:val="20"/>
                <w:lang w:val="es-ES"/>
              </w:rPr>
            </w:pPr>
            <w:r w:rsidRPr="00C174D5">
              <w:rPr>
                <w:sz w:val="20"/>
                <w:szCs w:val="20"/>
                <w:lang w:val="es-ES"/>
              </w:rPr>
              <w:t>8.161.076</w:t>
            </w:r>
          </w:p>
        </w:tc>
        <w:tc>
          <w:tcPr>
            <w:tcW w:w="1985" w:type="dxa"/>
            <w:vAlign w:val="center"/>
          </w:tcPr>
          <w:p w14:paraId="48F8F39A" w14:textId="77777777" w:rsidR="00C92C58" w:rsidRPr="00C174D5" w:rsidRDefault="00C92C58" w:rsidP="00B15A9A">
            <w:pPr>
              <w:spacing w:after="0" w:line="240" w:lineRule="auto"/>
              <w:jc w:val="center"/>
              <w:rPr>
                <w:sz w:val="20"/>
                <w:szCs w:val="20"/>
                <w:highlight w:val="yellow"/>
                <w:lang w:val="es-ES"/>
              </w:rPr>
            </w:pPr>
            <w:r w:rsidRPr="002A08B2">
              <w:rPr>
                <w:sz w:val="20"/>
                <w:szCs w:val="20"/>
                <w:lang w:val="es-ES"/>
              </w:rPr>
              <w:t>478,458,573</w:t>
            </w:r>
          </w:p>
        </w:tc>
        <w:tc>
          <w:tcPr>
            <w:tcW w:w="958" w:type="dxa"/>
            <w:vAlign w:val="center"/>
          </w:tcPr>
          <w:p w14:paraId="11A63BC1" w14:textId="77777777" w:rsidR="00C92C58" w:rsidRPr="00C174D5" w:rsidRDefault="00C92C58" w:rsidP="00B15A9A">
            <w:pPr>
              <w:spacing w:after="0" w:line="240" w:lineRule="auto"/>
              <w:jc w:val="center"/>
              <w:rPr>
                <w:sz w:val="20"/>
                <w:szCs w:val="20"/>
                <w:highlight w:val="yellow"/>
                <w:lang w:val="es-ES"/>
              </w:rPr>
            </w:pPr>
            <w:r w:rsidRPr="00C174D5">
              <w:rPr>
                <w:sz w:val="20"/>
                <w:szCs w:val="20"/>
                <w:lang w:val="es-ES"/>
              </w:rPr>
              <w:t>-</w:t>
            </w:r>
          </w:p>
        </w:tc>
      </w:tr>
      <w:tr w:rsidR="00C92C58" w:rsidRPr="00C174D5" w14:paraId="4EBC0A08" w14:textId="77777777" w:rsidTr="00B15A9A">
        <w:trPr>
          <w:jc w:val="center"/>
        </w:trPr>
        <w:tc>
          <w:tcPr>
            <w:tcW w:w="1494" w:type="dxa"/>
            <w:vAlign w:val="center"/>
          </w:tcPr>
          <w:p w14:paraId="44D7DB86" w14:textId="77777777" w:rsidR="00C92C58" w:rsidRPr="00C174D5" w:rsidRDefault="00C92C58" w:rsidP="00B15A9A">
            <w:pPr>
              <w:spacing w:after="0" w:line="240" w:lineRule="auto"/>
              <w:jc w:val="left"/>
              <w:rPr>
                <w:i/>
                <w:sz w:val="20"/>
                <w:szCs w:val="20"/>
                <w:lang w:val="es-ES"/>
              </w:rPr>
            </w:pPr>
            <w:r w:rsidRPr="00C174D5">
              <w:rPr>
                <w:i/>
                <w:sz w:val="20"/>
                <w:szCs w:val="20"/>
                <w:lang w:val="es-ES"/>
              </w:rPr>
              <w:t xml:space="preserve">SE </w:t>
            </w:r>
            <w:proofErr w:type="spellStart"/>
            <w:r w:rsidRPr="00C174D5">
              <w:rPr>
                <w:i/>
                <w:sz w:val="20"/>
                <w:szCs w:val="20"/>
                <w:lang w:val="es-ES"/>
              </w:rPr>
              <w:t>Acahualinca</w:t>
            </w:r>
            <w:proofErr w:type="spellEnd"/>
          </w:p>
        </w:tc>
        <w:tc>
          <w:tcPr>
            <w:tcW w:w="1498" w:type="dxa"/>
            <w:vMerge w:val="restart"/>
            <w:vAlign w:val="center"/>
          </w:tcPr>
          <w:p w14:paraId="280D6E63" w14:textId="77777777" w:rsidR="00C92C58" w:rsidRPr="00C174D5" w:rsidRDefault="00C92C58" w:rsidP="00B15A9A">
            <w:pPr>
              <w:spacing w:after="0" w:line="240" w:lineRule="auto"/>
              <w:jc w:val="center"/>
              <w:rPr>
                <w:i/>
                <w:sz w:val="20"/>
                <w:szCs w:val="20"/>
                <w:lang w:val="es-ES"/>
              </w:rPr>
            </w:pPr>
            <w:r w:rsidRPr="00C174D5">
              <w:rPr>
                <w:i/>
                <w:sz w:val="20"/>
                <w:szCs w:val="20"/>
                <w:lang w:val="es-ES"/>
              </w:rPr>
              <w:t>-</w:t>
            </w:r>
          </w:p>
        </w:tc>
        <w:tc>
          <w:tcPr>
            <w:tcW w:w="1330" w:type="dxa"/>
            <w:vAlign w:val="center"/>
          </w:tcPr>
          <w:p w14:paraId="2650831D" w14:textId="77777777" w:rsidR="00C92C58" w:rsidRPr="00C174D5" w:rsidRDefault="00C92C58" w:rsidP="00B15A9A">
            <w:pPr>
              <w:spacing w:after="0" w:line="240" w:lineRule="auto"/>
              <w:jc w:val="center"/>
              <w:rPr>
                <w:i/>
                <w:sz w:val="20"/>
                <w:szCs w:val="20"/>
                <w:lang w:val="es-ES"/>
              </w:rPr>
            </w:pPr>
            <w:r w:rsidRPr="00C174D5">
              <w:rPr>
                <w:i/>
                <w:sz w:val="20"/>
                <w:szCs w:val="20"/>
                <w:lang w:val="es-ES"/>
              </w:rPr>
              <w:t>2.584.875</w:t>
            </w:r>
          </w:p>
        </w:tc>
        <w:tc>
          <w:tcPr>
            <w:tcW w:w="1456" w:type="dxa"/>
            <w:vAlign w:val="center"/>
          </w:tcPr>
          <w:p w14:paraId="79C2BD62" w14:textId="77777777" w:rsidR="00C92C58" w:rsidRPr="00C174D5" w:rsidRDefault="00C92C58" w:rsidP="00B15A9A">
            <w:pPr>
              <w:spacing w:after="0" w:line="240" w:lineRule="auto"/>
              <w:jc w:val="center"/>
              <w:rPr>
                <w:i/>
                <w:sz w:val="20"/>
                <w:szCs w:val="20"/>
                <w:lang w:val="es-ES"/>
              </w:rPr>
            </w:pPr>
            <w:r w:rsidRPr="00C174D5">
              <w:rPr>
                <w:i/>
                <w:sz w:val="20"/>
                <w:szCs w:val="20"/>
                <w:lang w:val="es-ES"/>
              </w:rPr>
              <w:t>2.530.376</w:t>
            </w:r>
          </w:p>
        </w:tc>
        <w:tc>
          <w:tcPr>
            <w:tcW w:w="1985" w:type="dxa"/>
            <w:vAlign w:val="center"/>
          </w:tcPr>
          <w:p w14:paraId="3EE84E3D" w14:textId="77777777" w:rsidR="00C92C58" w:rsidRPr="00C174D5" w:rsidRDefault="00C92C58" w:rsidP="00B15A9A">
            <w:pPr>
              <w:spacing w:after="0" w:line="240" w:lineRule="auto"/>
              <w:jc w:val="center"/>
              <w:rPr>
                <w:i/>
                <w:sz w:val="20"/>
                <w:szCs w:val="20"/>
                <w:highlight w:val="yellow"/>
                <w:lang w:val="es-ES"/>
              </w:rPr>
            </w:pPr>
            <w:r w:rsidRPr="002A08B2">
              <w:rPr>
                <w:i/>
                <w:sz w:val="20"/>
                <w:szCs w:val="20"/>
                <w:lang w:val="es-ES"/>
              </w:rPr>
              <w:t>156,716,608</w:t>
            </w:r>
          </w:p>
        </w:tc>
        <w:tc>
          <w:tcPr>
            <w:tcW w:w="958" w:type="dxa"/>
            <w:vAlign w:val="center"/>
          </w:tcPr>
          <w:p w14:paraId="710E5ABD" w14:textId="77777777" w:rsidR="00C92C58" w:rsidRPr="00C174D5" w:rsidRDefault="00C92C58" w:rsidP="00B15A9A">
            <w:pPr>
              <w:spacing w:after="0" w:line="240" w:lineRule="auto"/>
              <w:jc w:val="center"/>
              <w:rPr>
                <w:i/>
                <w:sz w:val="20"/>
                <w:szCs w:val="20"/>
                <w:highlight w:val="yellow"/>
                <w:lang w:val="es-ES"/>
              </w:rPr>
            </w:pPr>
            <w:r>
              <w:rPr>
                <w:i/>
                <w:sz w:val="20"/>
                <w:szCs w:val="20"/>
                <w:lang w:val="es-ES"/>
              </w:rPr>
              <w:t>63</w:t>
            </w:r>
            <w:r w:rsidRPr="00C174D5">
              <w:rPr>
                <w:i/>
                <w:sz w:val="20"/>
                <w:szCs w:val="20"/>
                <w:lang w:val="es-ES"/>
              </w:rPr>
              <w:t>%</w:t>
            </w:r>
          </w:p>
        </w:tc>
      </w:tr>
      <w:tr w:rsidR="00C92C58" w:rsidRPr="00C174D5" w14:paraId="6396623A" w14:textId="77777777" w:rsidTr="00B15A9A">
        <w:trPr>
          <w:jc w:val="center"/>
        </w:trPr>
        <w:tc>
          <w:tcPr>
            <w:tcW w:w="1494" w:type="dxa"/>
            <w:vAlign w:val="center"/>
          </w:tcPr>
          <w:p w14:paraId="1ED9BB09" w14:textId="77777777" w:rsidR="00C92C58" w:rsidRPr="00C174D5" w:rsidRDefault="00C92C58" w:rsidP="00B15A9A">
            <w:pPr>
              <w:spacing w:after="0" w:line="240" w:lineRule="auto"/>
              <w:jc w:val="left"/>
              <w:rPr>
                <w:i/>
                <w:sz w:val="20"/>
                <w:szCs w:val="20"/>
                <w:lang w:val="es-ES"/>
              </w:rPr>
            </w:pPr>
            <w:r w:rsidRPr="00C174D5">
              <w:rPr>
                <w:i/>
                <w:sz w:val="20"/>
                <w:szCs w:val="20"/>
                <w:lang w:val="es-ES"/>
              </w:rPr>
              <w:t xml:space="preserve">SE </w:t>
            </w:r>
            <w:proofErr w:type="spellStart"/>
            <w:r w:rsidRPr="00C174D5">
              <w:rPr>
                <w:i/>
                <w:sz w:val="20"/>
                <w:szCs w:val="20"/>
                <w:lang w:val="es-ES"/>
              </w:rPr>
              <w:t>Diriamba</w:t>
            </w:r>
            <w:proofErr w:type="spellEnd"/>
          </w:p>
        </w:tc>
        <w:tc>
          <w:tcPr>
            <w:tcW w:w="1498" w:type="dxa"/>
            <w:vMerge/>
            <w:vAlign w:val="center"/>
          </w:tcPr>
          <w:p w14:paraId="21E911DA" w14:textId="77777777" w:rsidR="00C92C58" w:rsidRPr="00C174D5" w:rsidRDefault="00C92C58" w:rsidP="00B15A9A">
            <w:pPr>
              <w:spacing w:after="0" w:line="240" w:lineRule="auto"/>
              <w:jc w:val="center"/>
              <w:rPr>
                <w:i/>
                <w:sz w:val="20"/>
                <w:szCs w:val="20"/>
                <w:lang w:val="es-ES"/>
              </w:rPr>
            </w:pPr>
          </w:p>
        </w:tc>
        <w:tc>
          <w:tcPr>
            <w:tcW w:w="1330" w:type="dxa"/>
            <w:vAlign w:val="center"/>
          </w:tcPr>
          <w:p w14:paraId="055E99E9" w14:textId="77777777" w:rsidR="00C92C58" w:rsidRPr="00C174D5" w:rsidRDefault="00C92C58" w:rsidP="00B15A9A">
            <w:pPr>
              <w:spacing w:after="0" w:line="240" w:lineRule="auto"/>
              <w:jc w:val="center"/>
              <w:rPr>
                <w:i/>
                <w:sz w:val="20"/>
                <w:szCs w:val="20"/>
                <w:lang w:val="es-ES"/>
              </w:rPr>
            </w:pPr>
            <w:r w:rsidRPr="00C174D5">
              <w:rPr>
                <w:i/>
                <w:sz w:val="20"/>
                <w:szCs w:val="20"/>
                <w:lang w:val="es-ES"/>
              </w:rPr>
              <w:t>1.258.801</w:t>
            </w:r>
          </w:p>
        </w:tc>
        <w:tc>
          <w:tcPr>
            <w:tcW w:w="1456" w:type="dxa"/>
            <w:vAlign w:val="center"/>
          </w:tcPr>
          <w:p w14:paraId="19433E96" w14:textId="77777777" w:rsidR="00C92C58" w:rsidRPr="00C174D5" w:rsidRDefault="00C92C58" w:rsidP="00B15A9A">
            <w:pPr>
              <w:spacing w:after="0" w:line="240" w:lineRule="auto"/>
              <w:jc w:val="center"/>
              <w:rPr>
                <w:i/>
                <w:sz w:val="20"/>
                <w:szCs w:val="20"/>
                <w:lang w:val="es-ES"/>
              </w:rPr>
            </w:pPr>
            <w:r w:rsidRPr="00C174D5">
              <w:rPr>
                <w:i/>
                <w:sz w:val="20"/>
                <w:szCs w:val="20"/>
                <w:lang w:val="es-ES"/>
              </w:rPr>
              <w:t>1.232.261</w:t>
            </w:r>
          </w:p>
        </w:tc>
        <w:tc>
          <w:tcPr>
            <w:tcW w:w="1985" w:type="dxa"/>
            <w:vAlign w:val="center"/>
          </w:tcPr>
          <w:p w14:paraId="43C4CA26" w14:textId="77777777" w:rsidR="00C92C58" w:rsidRPr="00C174D5" w:rsidRDefault="00C92C58" w:rsidP="00B15A9A">
            <w:pPr>
              <w:spacing w:after="0" w:line="240" w:lineRule="auto"/>
              <w:jc w:val="center"/>
              <w:rPr>
                <w:i/>
                <w:sz w:val="20"/>
                <w:szCs w:val="20"/>
                <w:highlight w:val="yellow"/>
                <w:lang w:val="es-ES"/>
              </w:rPr>
            </w:pPr>
            <w:r w:rsidRPr="002A08B2">
              <w:rPr>
                <w:i/>
                <w:sz w:val="20"/>
                <w:szCs w:val="20"/>
                <w:lang w:val="es-ES"/>
              </w:rPr>
              <w:t>80,987,378</w:t>
            </w:r>
          </w:p>
        </w:tc>
        <w:tc>
          <w:tcPr>
            <w:tcW w:w="958" w:type="dxa"/>
            <w:vAlign w:val="center"/>
          </w:tcPr>
          <w:p w14:paraId="6F8BDC7C" w14:textId="77777777" w:rsidR="00C92C58" w:rsidRPr="00C174D5" w:rsidRDefault="00C92C58" w:rsidP="00B15A9A">
            <w:pPr>
              <w:spacing w:after="0" w:line="240" w:lineRule="auto"/>
              <w:jc w:val="center"/>
              <w:rPr>
                <w:i/>
                <w:sz w:val="20"/>
                <w:szCs w:val="20"/>
                <w:highlight w:val="yellow"/>
                <w:lang w:val="es-ES"/>
              </w:rPr>
            </w:pPr>
            <w:r>
              <w:rPr>
                <w:i/>
                <w:sz w:val="20"/>
                <w:szCs w:val="20"/>
                <w:lang w:val="es-ES"/>
              </w:rPr>
              <w:t>69</w:t>
            </w:r>
            <w:r w:rsidRPr="00C174D5">
              <w:rPr>
                <w:i/>
                <w:sz w:val="20"/>
                <w:szCs w:val="20"/>
                <w:lang w:val="es-ES"/>
              </w:rPr>
              <w:t>%</w:t>
            </w:r>
          </w:p>
        </w:tc>
      </w:tr>
      <w:tr w:rsidR="00C92C58" w:rsidRPr="00C174D5" w14:paraId="60795BBD" w14:textId="77777777" w:rsidTr="00B15A9A">
        <w:trPr>
          <w:jc w:val="center"/>
        </w:trPr>
        <w:tc>
          <w:tcPr>
            <w:tcW w:w="1494" w:type="dxa"/>
            <w:vAlign w:val="center"/>
          </w:tcPr>
          <w:p w14:paraId="1B433B8A" w14:textId="77777777" w:rsidR="00C92C58" w:rsidRPr="00C174D5" w:rsidRDefault="00C92C58" w:rsidP="00B15A9A">
            <w:pPr>
              <w:spacing w:after="0" w:line="240" w:lineRule="auto"/>
              <w:jc w:val="left"/>
              <w:rPr>
                <w:i/>
                <w:sz w:val="20"/>
                <w:szCs w:val="20"/>
                <w:lang w:val="es-ES"/>
              </w:rPr>
            </w:pPr>
            <w:r w:rsidRPr="00C174D5">
              <w:rPr>
                <w:i/>
                <w:sz w:val="20"/>
                <w:szCs w:val="20"/>
                <w:lang w:val="es-ES"/>
              </w:rPr>
              <w:lastRenderedPageBreak/>
              <w:t>SE San Benito</w:t>
            </w:r>
          </w:p>
        </w:tc>
        <w:tc>
          <w:tcPr>
            <w:tcW w:w="1498" w:type="dxa"/>
            <w:vMerge/>
            <w:vAlign w:val="center"/>
          </w:tcPr>
          <w:p w14:paraId="7D4FE942" w14:textId="77777777" w:rsidR="00C92C58" w:rsidRPr="00C174D5" w:rsidRDefault="00C92C58" w:rsidP="00B15A9A">
            <w:pPr>
              <w:spacing w:after="0" w:line="240" w:lineRule="auto"/>
              <w:jc w:val="center"/>
              <w:rPr>
                <w:i/>
                <w:sz w:val="20"/>
                <w:szCs w:val="20"/>
                <w:lang w:val="es-ES"/>
              </w:rPr>
            </w:pPr>
          </w:p>
        </w:tc>
        <w:tc>
          <w:tcPr>
            <w:tcW w:w="1330" w:type="dxa"/>
            <w:vAlign w:val="center"/>
          </w:tcPr>
          <w:p w14:paraId="7DB477CB" w14:textId="77777777" w:rsidR="00C92C58" w:rsidRPr="00C174D5" w:rsidRDefault="00C92C58" w:rsidP="00B15A9A">
            <w:pPr>
              <w:spacing w:after="0" w:line="240" w:lineRule="auto"/>
              <w:jc w:val="center"/>
              <w:rPr>
                <w:i/>
                <w:sz w:val="20"/>
                <w:szCs w:val="20"/>
                <w:lang w:val="es-ES"/>
              </w:rPr>
            </w:pPr>
            <w:r w:rsidRPr="00C174D5">
              <w:rPr>
                <w:i/>
                <w:sz w:val="20"/>
                <w:szCs w:val="20"/>
                <w:lang w:val="es-ES"/>
              </w:rPr>
              <w:t>2.675.239</w:t>
            </w:r>
          </w:p>
        </w:tc>
        <w:tc>
          <w:tcPr>
            <w:tcW w:w="1456" w:type="dxa"/>
            <w:vAlign w:val="center"/>
          </w:tcPr>
          <w:p w14:paraId="0F649977" w14:textId="77777777" w:rsidR="00C92C58" w:rsidRPr="00C174D5" w:rsidRDefault="00C92C58" w:rsidP="00B15A9A">
            <w:pPr>
              <w:spacing w:after="0" w:line="240" w:lineRule="auto"/>
              <w:jc w:val="center"/>
              <w:rPr>
                <w:i/>
                <w:sz w:val="20"/>
                <w:szCs w:val="20"/>
                <w:lang w:val="es-ES"/>
              </w:rPr>
            </w:pPr>
            <w:r w:rsidRPr="00C174D5">
              <w:rPr>
                <w:i/>
                <w:sz w:val="20"/>
                <w:szCs w:val="20"/>
                <w:lang w:val="es-ES"/>
              </w:rPr>
              <w:t>2.618.835</w:t>
            </w:r>
          </w:p>
        </w:tc>
        <w:tc>
          <w:tcPr>
            <w:tcW w:w="1985" w:type="dxa"/>
            <w:vAlign w:val="center"/>
          </w:tcPr>
          <w:p w14:paraId="2160214E" w14:textId="77777777" w:rsidR="00C92C58" w:rsidRPr="00C174D5" w:rsidRDefault="00C92C58" w:rsidP="00B15A9A">
            <w:pPr>
              <w:spacing w:after="0" w:line="240" w:lineRule="auto"/>
              <w:jc w:val="center"/>
              <w:rPr>
                <w:i/>
                <w:sz w:val="20"/>
                <w:szCs w:val="20"/>
                <w:highlight w:val="yellow"/>
                <w:lang w:val="es-ES"/>
              </w:rPr>
            </w:pPr>
            <w:r w:rsidRPr="002A08B2">
              <w:rPr>
                <w:i/>
                <w:sz w:val="20"/>
                <w:szCs w:val="20"/>
                <w:lang w:val="es-ES"/>
              </w:rPr>
              <w:t>61,017,456</w:t>
            </w:r>
          </w:p>
        </w:tc>
        <w:tc>
          <w:tcPr>
            <w:tcW w:w="958" w:type="dxa"/>
            <w:vAlign w:val="center"/>
          </w:tcPr>
          <w:p w14:paraId="7FEA7437" w14:textId="77777777" w:rsidR="00C92C58" w:rsidRPr="00C174D5" w:rsidRDefault="00C92C58" w:rsidP="00B15A9A">
            <w:pPr>
              <w:spacing w:after="0" w:line="240" w:lineRule="auto"/>
              <w:jc w:val="center"/>
              <w:rPr>
                <w:i/>
                <w:sz w:val="20"/>
                <w:szCs w:val="20"/>
                <w:highlight w:val="yellow"/>
                <w:lang w:val="es-ES"/>
              </w:rPr>
            </w:pPr>
            <w:r>
              <w:rPr>
                <w:i/>
                <w:sz w:val="20"/>
                <w:szCs w:val="20"/>
                <w:lang w:val="es-ES"/>
              </w:rPr>
              <w:t>49</w:t>
            </w:r>
            <w:r w:rsidRPr="00C174D5">
              <w:rPr>
                <w:i/>
                <w:sz w:val="20"/>
                <w:szCs w:val="20"/>
                <w:lang w:val="es-ES"/>
              </w:rPr>
              <w:t>%</w:t>
            </w:r>
          </w:p>
        </w:tc>
      </w:tr>
      <w:tr w:rsidR="00C92C58" w:rsidRPr="00C174D5" w14:paraId="1D3A313F" w14:textId="77777777" w:rsidTr="00B15A9A">
        <w:trPr>
          <w:jc w:val="center"/>
        </w:trPr>
        <w:tc>
          <w:tcPr>
            <w:tcW w:w="1494" w:type="dxa"/>
            <w:tcBorders>
              <w:bottom w:val="single" w:sz="4" w:space="0" w:color="auto"/>
            </w:tcBorders>
            <w:vAlign w:val="center"/>
          </w:tcPr>
          <w:p w14:paraId="2AC141F2" w14:textId="77777777" w:rsidR="00C92C58" w:rsidRPr="00D07EB8" w:rsidRDefault="00C92C58" w:rsidP="00B15A9A">
            <w:pPr>
              <w:spacing w:after="0" w:line="240" w:lineRule="auto"/>
              <w:jc w:val="left"/>
              <w:rPr>
                <w:i/>
                <w:sz w:val="20"/>
                <w:szCs w:val="20"/>
                <w:lang w:val="es-AR"/>
              </w:rPr>
            </w:pPr>
            <w:r w:rsidRPr="00C174D5">
              <w:rPr>
                <w:i/>
                <w:sz w:val="20"/>
                <w:szCs w:val="20"/>
                <w:lang w:val="es-ES"/>
              </w:rPr>
              <w:t>SE Catarina</w:t>
            </w:r>
          </w:p>
        </w:tc>
        <w:tc>
          <w:tcPr>
            <w:tcW w:w="1498" w:type="dxa"/>
            <w:vMerge/>
            <w:tcBorders>
              <w:bottom w:val="single" w:sz="4" w:space="0" w:color="auto"/>
            </w:tcBorders>
            <w:vAlign w:val="center"/>
          </w:tcPr>
          <w:p w14:paraId="530BA40D" w14:textId="77777777" w:rsidR="00C92C58" w:rsidRPr="00C174D5" w:rsidRDefault="00C92C58" w:rsidP="00B15A9A">
            <w:pPr>
              <w:spacing w:after="0" w:line="240" w:lineRule="auto"/>
              <w:jc w:val="center"/>
              <w:rPr>
                <w:i/>
                <w:sz w:val="20"/>
                <w:szCs w:val="20"/>
                <w:lang w:val="es-ES"/>
              </w:rPr>
            </w:pPr>
          </w:p>
        </w:tc>
        <w:tc>
          <w:tcPr>
            <w:tcW w:w="1330" w:type="dxa"/>
            <w:tcBorders>
              <w:bottom w:val="single" w:sz="4" w:space="0" w:color="auto"/>
            </w:tcBorders>
            <w:vAlign w:val="center"/>
          </w:tcPr>
          <w:p w14:paraId="00A156FA" w14:textId="77777777" w:rsidR="00C92C58" w:rsidRPr="00C174D5" w:rsidRDefault="00C92C58" w:rsidP="00B15A9A">
            <w:pPr>
              <w:spacing w:after="0" w:line="240" w:lineRule="auto"/>
              <w:jc w:val="center"/>
              <w:rPr>
                <w:i/>
                <w:sz w:val="20"/>
                <w:szCs w:val="20"/>
                <w:lang w:val="es-ES"/>
              </w:rPr>
            </w:pPr>
            <w:r w:rsidRPr="00C174D5">
              <w:rPr>
                <w:i/>
                <w:sz w:val="20"/>
                <w:szCs w:val="20"/>
                <w:lang w:val="es-ES"/>
              </w:rPr>
              <w:t>1.817.933</w:t>
            </w:r>
          </w:p>
        </w:tc>
        <w:tc>
          <w:tcPr>
            <w:tcW w:w="1456" w:type="dxa"/>
            <w:tcBorders>
              <w:bottom w:val="single" w:sz="4" w:space="0" w:color="auto"/>
            </w:tcBorders>
            <w:vAlign w:val="center"/>
          </w:tcPr>
          <w:p w14:paraId="4892568A" w14:textId="77777777" w:rsidR="00C92C58" w:rsidRPr="00C174D5" w:rsidRDefault="00C92C58" w:rsidP="00B15A9A">
            <w:pPr>
              <w:spacing w:after="0" w:line="240" w:lineRule="auto"/>
              <w:jc w:val="center"/>
              <w:rPr>
                <w:i/>
                <w:sz w:val="20"/>
                <w:szCs w:val="20"/>
                <w:lang w:val="es-ES"/>
              </w:rPr>
            </w:pPr>
            <w:r w:rsidRPr="00C174D5">
              <w:rPr>
                <w:i/>
                <w:sz w:val="20"/>
                <w:szCs w:val="20"/>
                <w:lang w:val="es-ES"/>
              </w:rPr>
              <w:t>1.779.604</w:t>
            </w:r>
          </w:p>
        </w:tc>
        <w:tc>
          <w:tcPr>
            <w:tcW w:w="1985" w:type="dxa"/>
            <w:tcBorders>
              <w:bottom w:val="single" w:sz="4" w:space="0" w:color="auto"/>
            </w:tcBorders>
            <w:vAlign w:val="center"/>
          </w:tcPr>
          <w:p w14:paraId="310EBBEF" w14:textId="77777777" w:rsidR="00C92C58" w:rsidRPr="00C174D5" w:rsidRDefault="00C92C58" w:rsidP="00B15A9A">
            <w:pPr>
              <w:spacing w:after="0" w:line="240" w:lineRule="auto"/>
              <w:jc w:val="center"/>
              <w:rPr>
                <w:i/>
                <w:sz w:val="20"/>
                <w:szCs w:val="20"/>
                <w:highlight w:val="yellow"/>
                <w:lang w:val="es-ES"/>
              </w:rPr>
            </w:pPr>
            <w:r w:rsidRPr="002A08B2">
              <w:rPr>
                <w:i/>
                <w:sz w:val="20"/>
                <w:szCs w:val="20"/>
                <w:lang w:val="es-ES"/>
              </w:rPr>
              <w:t>179,737,130</w:t>
            </w:r>
          </w:p>
        </w:tc>
        <w:tc>
          <w:tcPr>
            <w:tcW w:w="958" w:type="dxa"/>
            <w:tcBorders>
              <w:bottom w:val="single" w:sz="4" w:space="0" w:color="auto"/>
            </w:tcBorders>
            <w:vAlign w:val="center"/>
          </w:tcPr>
          <w:p w14:paraId="1D4C8FED" w14:textId="77777777" w:rsidR="00C92C58" w:rsidRPr="00C174D5" w:rsidRDefault="00C92C58" w:rsidP="00B15A9A">
            <w:pPr>
              <w:spacing w:after="0" w:line="240" w:lineRule="auto"/>
              <w:jc w:val="center"/>
              <w:rPr>
                <w:i/>
                <w:sz w:val="20"/>
                <w:szCs w:val="20"/>
                <w:highlight w:val="yellow"/>
                <w:lang w:val="es-ES"/>
              </w:rPr>
            </w:pPr>
            <w:r w:rsidRPr="00C174D5">
              <w:rPr>
                <w:i/>
                <w:sz w:val="20"/>
                <w:szCs w:val="20"/>
                <w:lang w:val="es-ES"/>
              </w:rPr>
              <w:t>5</w:t>
            </w:r>
            <w:r>
              <w:rPr>
                <w:i/>
                <w:sz w:val="20"/>
                <w:szCs w:val="20"/>
                <w:lang w:val="es-ES"/>
              </w:rPr>
              <w:t>4</w:t>
            </w:r>
            <w:r w:rsidRPr="00C174D5">
              <w:rPr>
                <w:i/>
                <w:sz w:val="20"/>
                <w:szCs w:val="20"/>
                <w:lang w:val="es-ES"/>
              </w:rPr>
              <w:t>%</w:t>
            </w:r>
          </w:p>
        </w:tc>
      </w:tr>
      <w:tr w:rsidR="00C92C58" w:rsidRPr="00C174D5" w14:paraId="1FCC269F" w14:textId="77777777" w:rsidTr="00B15A9A">
        <w:trPr>
          <w:jc w:val="center"/>
        </w:trPr>
        <w:tc>
          <w:tcPr>
            <w:tcW w:w="1494" w:type="dxa"/>
            <w:tcBorders>
              <w:top w:val="single" w:sz="4" w:space="0" w:color="auto"/>
              <w:left w:val="single" w:sz="12" w:space="0" w:color="auto"/>
              <w:bottom w:val="single" w:sz="4" w:space="0" w:color="auto"/>
              <w:right w:val="single" w:sz="6" w:space="0" w:color="auto"/>
            </w:tcBorders>
            <w:vAlign w:val="center"/>
          </w:tcPr>
          <w:p w14:paraId="5C7FEF90" w14:textId="77777777" w:rsidR="00C92C58" w:rsidRPr="00C174D5" w:rsidRDefault="00C92C58" w:rsidP="00B15A9A">
            <w:pPr>
              <w:spacing w:after="0" w:line="240" w:lineRule="auto"/>
              <w:jc w:val="left"/>
              <w:rPr>
                <w:sz w:val="20"/>
                <w:szCs w:val="20"/>
                <w:lang w:val="es-ES"/>
              </w:rPr>
            </w:pPr>
            <w:r w:rsidRPr="00C174D5">
              <w:rPr>
                <w:sz w:val="20"/>
                <w:szCs w:val="20"/>
                <w:lang w:val="es-ES"/>
              </w:rPr>
              <w:t xml:space="preserve">Modernización SE </w:t>
            </w:r>
            <w:proofErr w:type="spellStart"/>
            <w:r w:rsidRPr="00C174D5">
              <w:rPr>
                <w:sz w:val="20"/>
                <w:szCs w:val="20"/>
                <w:lang w:val="es-ES"/>
              </w:rPr>
              <w:t>Ticuantepe</w:t>
            </w:r>
            <w:proofErr w:type="spellEnd"/>
            <w:r w:rsidRPr="00C174D5">
              <w:rPr>
                <w:sz w:val="20"/>
                <w:szCs w:val="20"/>
                <w:lang w:val="es-ES"/>
              </w:rPr>
              <w:t xml:space="preserve"> I y Ampliación capacidad </w:t>
            </w:r>
            <w:proofErr w:type="spellStart"/>
            <w:r w:rsidRPr="00C174D5">
              <w:rPr>
                <w:sz w:val="20"/>
                <w:szCs w:val="20"/>
                <w:lang w:val="es-ES"/>
              </w:rPr>
              <w:t>Ticuantepe</w:t>
            </w:r>
            <w:proofErr w:type="spellEnd"/>
            <w:r w:rsidRPr="00C174D5">
              <w:rPr>
                <w:sz w:val="20"/>
                <w:szCs w:val="20"/>
                <w:lang w:val="es-ES"/>
              </w:rPr>
              <w:t xml:space="preserve"> II</w:t>
            </w:r>
          </w:p>
        </w:tc>
        <w:tc>
          <w:tcPr>
            <w:tcW w:w="1498" w:type="dxa"/>
            <w:tcBorders>
              <w:top w:val="single" w:sz="4" w:space="0" w:color="auto"/>
              <w:bottom w:val="single" w:sz="4" w:space="0" w:color="auto"/>
            </w:tcBorders>
            <w:vAlign w:val="center"/>
          </w:tcPr>
          <w:p w14:paraId="33165190" w14:textId="77777777" w:rsidR="00C92C58" w:rsidRPr="00C174D5" w:rsidRDefault="00C92C58" w:rsidP="00B15A9A">
            <w:pPr>
              <w:spacing w:after="0" w:line="240" w:lineRule="auto"/>
              <w:jc w:val="center"/>
              <w:rPr>
                <w:sz w:val="20"/>
                <w:szCs w:val="20"/>
                <w:lang w:val="es-ES"/>
              </w:rPr>
            </w:pPr>
            <w:r w:rsidRPr="00C174D5">
              <w:rPr>
                <w:sz w:val="20"/>
                <w:szCs w:val="20"/>
                <w:lang w:val="es-ES"/>
              </w:rPr>
              <w:t>17.393</w:t>
            </w:r>
          </w:p>
        </w:tc>
        <w:tc>
          <w:tcPr>
            <w:tcW w:w="1330" w:type="dxa"/>
            <w:tcBorders>
              <w:top w:val="single" w:sz="4" w:space="0" w:color="auto"/>
              <w:bottom w:val="single" w:sz="4" w:space="0" w:color="auto"/>
            </w:tcBorders>
            <w:vAlign w:val="center"/>
          </w:tcPr>
          <w:p w14:paraId="7A43CA84" w14:textId="77777777" w:rsidR="00C92C58" w:rsidRPr="00C174D5" w:rsidRDefault="00C92C58" w:rsidP="00B15A9A">
            <w:pPr>
              <w:spacing w:after="0" w:line="240" w:lineRule="auto"/>
              <w:jc w:val="center"/>
              <w:rPr>
                <w:sz w:val="20"/>
                <w:szCs w:val="20"/>
                <w:lang w:val="es-ES"/>
              </w:rPr>
            </w:pPr>
            <w:r w:rsidRPr="00C174D5">
              <w:rPr>
                <w:sz w:val="20"/>
                <w:szCs w:val="20"/>
                <w:lang w:val="es-ES"/>
              </w:rPr>
              <w:t>7.804.288</w:t>
            </w:r>
          </w:p>
        </w:tc>
        <w:tc>
          <w:tcPr>
            <w:tcW w:w="1456" w:type="dxa"/>
            <w:tcBorders>
              <w:top w:val="single" w:sz="4" w:space="0" w:color="auto"/>
              <w:left w:val="single" w:sz="6" w:space="0" w:color="auto"/>
              <w:bottom w:val="single" w:sz="4" w:space="0" w:color="auto"/>
              <w:right w:val="single" w:sz="6" w:space="0" w:color="auto"/>
            </w:tcBorders>
            <w:vAlign w:val="center"/>
          </w:tcPr>
          <w:p w14:paraId="15BD158E" w14:textId="77777777" w:rsidR="00C92C58" w:rsidRPr="00C174D5" w:rsidRDefault="00C92C58" w:rsidP="00B15A9A">
            <w:pPr>
              <w:spacing w:after="0" w:line="240" w:lineRule="auto"/>
              <w:jc w:val="center"/>
              <w:rPr>
                <w:sz w:val="20"/>
                <w:szCs w:val="20"/>
                <w:lang w:val="es-ES"/>
              </w:rPr>
            </w:pPr>
            <w:r w:rsidRPr="00C174D5">
              <w:rPr>
                <w:sz w:val="20"/>
                <w:szCs w:val="20"/>
                <w:lang w:val="es-ES"/>
              </w:rPr>
              <w:t>7.639.744</w:t>
            </w:r>
          </w:p>
        </w:tc>
        <w:tc>
          <w:tcPr>
            <w:tcW w:w="1985" w:type="dxa"/>
            <w:tcBorders>
              <w:top w:val="single" w:sz="4" w:space="0" w:color="auto"/>
              <w:left w:val="single" w:sz="6" w:space="0" w:color="auto"/>
              <w:bottom w:val="single" w:sz="4" w:space="0" w:color="auto"/>
              <w:right w:val="single" w:sz="6" w:space="0" w:color="auto"/>
            </w:tcBorders>
            <w:vAlign w:val="center"/>
          </w:tcPr>
          <w:p w14:paraId="11F095C5" w14:textId="77777777" w:rsidR="00C92C58" w:rsidRPr="00C174D5" w:rsidRDefault="00C92C58" w:rsidP="00B15A9A">
            <w:pPr>
              <w:spacing w:after="0" w:line="240" w:lineRule="auto"/>
              <w:jc w:val="center"/>
              <w:rPr>
                <w:sz w:val="20"/>
                <w:szCs w:val="20"/>
                <w:lang w:val="es-ES"/>
              </w:rPr>
            </w:pPr>
            <w:r w:rsidRPr="002A08B2">
              <w:rPr>
                <w:sz w:val="20"/>
                <w:szCs w:val="20"/>
                <w:lang w:val="es-ES"/>
              </w:rPr>
              <w:t>168,709,764</w:t>
            </w:r>
          </w:p>
        </w:tc>
        <w:tc>
          <w:tcPr>
            <w:tcW w:w="958" w:type="dxa"/>
            <w:tcBorders>
              <w:top w:val="single" w:sz="4" w:space="0" w:color="auto"/>
              <w:left w:val="single" w:sz="6" w:space="0" w:color="auto"/>
              <w:bottom w:val="single" w:sz="4" w:space="0" w:color="auto"/>
              <w:right w:val="single" w:sz="12" w:space="0" w:color="auto"/>
            </w:tcBorders>
            <w:vAlign w:val="center"/>
          </w:tcPr>
          <w:p w14:paraId="55AE6E59" w14:textId="77777777" w:rsidR="00C92C58" w:rsidRPr="00C174D5" w:rsidRDefault="00C92C58" w:rsidP="00B15A9A">
            <w:pPr>
              <w:spacing w:after="0" w:line="240" w:lineRule="auto"/>
              <w:jc w:val="center"/>
              <w:rPr>
                <w:sz w:val="20"/>
                <w:szCs w:val="20"/>
                <w:lang w:val="es-ES"/>
              </w:rPr>
            </w:pPr>
            <w:r>
              <w:rPr>
                <w:sz w:val="20"/>
                <w:szCs w:val="20"/>
                <w:lang w:val="es-ES"/>
              </w:rPr>
              <w:t>48</w:t>
            </w:r>
          </w:p>
        </w:tc>
      </w:tr>
      <w:tr w:rsidR="00C92C58" w:rsidRPr="00C174D5" w14:paraId="63C21833" w14:textId="77777777" w:rsidTr="00B15A9A">
        <w:trPr>
          <w:jc w:val="center"/>
        </w:trPr>
        <w:tc>
          <w:tcPr>
            <w:tcW w:w="1494" w:type="dxa"/>
            <w:tcBorders>
              <w:top w:val="single" w:sz="4" w:space="0" w:color="auto"/>
              <w:left w:val="single" w:sz="12" w:space="0" w:color="auto"/>
              <w:bottom w:val="single" w:sz="12" w:space="0" w:color="auto"/>
              <w:right w:val="single" w:sz="6" w:space="0" w:color="auto"/>
            </w:tcBorders>
            <w:vAlign w:val="center"/>
          </w:tcPr>
          <w:p w14:paraId="75F276E1" w14:textId="77777777" w:rsidR="00C92C58" w:rsidRPr="00C174D5" w:rsidRDefault="00C92C58" w:rsidP="00B15A9A">
            <w:pPr>
              <w:spacing w:after="0" w:line="240" w:lineRule="auto"/>
              <w:jc w:val="left"/>
              <w:rPr>
                <w:sz w:val="20"/>
                <w:szCs w:val="20"/>
                <w:lang w:val="es-ES"/>
              </w:rPr>
            </w:pPr>
            <w:r w:rsidRPr="00C174D5">
              <w:rPr>
                <w:sz w:val="20"/>
                <w:szCs w:val="20"/>
                <w:lang w:val="es-ES"/>
              </w:rPr>
              <w:t>Adquisición transformador móvil</w:t>
            </w:r>
          </w:p>
        </w:tc>
        <w:tc>
          <w:tcPr>
            <w:tcW w:w="1498" w:type="dxa"/>
            <w:tcBorders>
              <w:top w:val="single" w:sz="4" w:space="0" w:color="auto"/>
              <w:bottom w:val="single" w:sz="12" w:space="0" w:color="auto"/>
            </w:tcBorders>
            <w:vAlign w:val="center"/>
          </w:tcPr>
          <w:p w14:paraId="71C77CC3" w14:textId="77777777" w:rsidR="00C92C58" w:rsidRPr="00C174D5" w:rsidRDefault="00C92C58" w:rsidP="00B15A9A">
            <w:pPr>
              <w:spacing w:after="0" w:line="240" w:lineRule="auto"/>
              <w:jc w:val="center"/>
              <w:rPr>
                <w:sz w:val="20"/>
                <w:szCs w:val="20"/>
                <w:lang w:val="es-ES"/>
              </w:rPr>
            </w:pPr>
            <w:r w:rsidRPr="00C174D5">
              <w:rPr>
                <w:sz w:val="20"/>
                <w:szCs w:val="20"/>
                <w:lang w:val="es-ES"/>
              </w:rPr>
              <w:t>-</w:t>
            </w:r>
          </w:p>
        </w:tc>
        <w:tc>
          <w:tcPr>
            <w:tcW w:w="1330" w:type="dxa"/>
            <w:tcBorders>
              <w:top w:val="single" w:sz="4" w:space="0" w:color="auto"/>
              <w:bottom w:val="single" w:sz="12" w:space="0" w:color="auto"/>
            </w:tcBorders>
            <w:vAlign w:val="center"/>
          </w:tcPr>
          <w:p w14:paraId="0D0A3BC1" w14:textId="77777777" w:rsidR="00C92C58" w:rsidRPr="00C174D5" w:rsidRDefault="00C92C58" w:rsidP="00B15A9A">
            <w:pPr>
              <w:spacing w:after="0" w:line="240" w:lineRule="auto"/>
              <w:jc w:val="center"/>
              <w:rPr>
                <w:sz w:val="20"/>
                <w:szCs w:val="20"/>
                <w:lang w:val="es-ES"/>
              </w:rPr>
            </w:pPr>
            <w:r w:rsidRPr="00C174D5">
              <w:rPr>
                <w:sz w:val="20"/>
                <w:szCs w:val="20"/>
                <w:lang w:val="es-ES"/>
              </w:rPr>
              <w:t>1.131.513</w:t>
            </w:r>
          </w:p>
        </w:tc>
        <w:tc>
          <w:tcPr>
            <w:tcW w:w="1456" w:type="dxa"/>
            <w:tcBorders>
              <w:top w:val="single" w:sz="4" w:space="0" w:color="auto"/>
              <w:left w:val="single" w:sz="6" w:space="0" w:color="auto"/>
              <w:bottom w:val="single" w:sz="12" w:space="0" w:color="auto"/>
              <w:right w:val="single" w:sz="6" w:space="0" w:color="auto"/>
            </w:tcBorders>
            <w:vAlign w:val="center"/>
          </w:tcPr>
          <w:p w14:paraId="5CA318C7" w14:textId="77777777" w:rsidR="00C92C58" w:rsidRPr="00C174D5" w:rsidRDefault="00C92C58" w:rsidP="00B15A9A">
            <w:pPr>
              <w:spacing w:after="0" w:line="240" w:lineRule="auto"/>
              <w:jc w:val="center"/>
              <w:rPr>
                <w:sz w:val="20"/>
                <w:szCs w:val="20"/>
                <w:lang w:val="es-ES"/>
              </w:rPr>
            </w:pPr>
            <w:r w:rsidRPr="00C174D5">
              <w:rPr>
                <w:sz w:val="20"/>
                <w:szCs w:val="20"/>
                <w:lang w:val="es-ES"/>
              </w:rPr>
              <w:t>1.107.657</w:t>
            </w:r>
          </w:p>
        </w:tc>
        <w:tc>
          <w:tcPr>
            <w:tcW w:w="1985" w:type="dxa"/>
            <w:tcBorders>
              <w:top w:val="single" w:sz="4" w:space="0" w:color="auto"/>
              <w:left w:val="single" w:sz="6" w:space="0" w:color="auto"/>
              <w:bottom w:val="single" w:sz="12" w:space="0" w:color="auto"/>
              <w:right w:val="single" w:sz="6" w:space="0" w:color="auto"/>
            </w:tcBorders>
            <w:vAlign w:val="center"/>
          </w:tcPr>
          <w:p w14:paraId="77FA76F0" w14:textId="77777777" w:rsidR="00C92C58" w:rsidRPr="00C174D5" w:rsidRDefault="00C92C58" w:rsidP="00B15A9A">
            <w:pPr>
              <w:spacing w:after="0" w:line="240" w:lineRule="auto"/>
              <w:jc w:val="center"/>
              <w:rPr>
                <w:sz w:val="20"/>
                <w:szCs w:val="20"/>
                <w:lang w:val="es-ES"/>
              </w:rPr>
            </w:pPr>
            <w:r w:rsidRPr="002A08B2">
              <w:rPr>
                <w:sz w:val="20"/>
                <w:szCs w:val="20"/>
                <w:lang w:val="es-ES"/>
              </w:rPr>
              <w:t>2,995,778</w:t>
            </w:r>
          </w:p>
        </w:tc>
        <w:tc>
          <w:tcPr>
            <w:tcW w:w="958" w:type="dxa"/>
            <w:tcBorders>
              <w:top w:val="single" w:sz="4" w:space="0" w:color="auto"/>
              <w:left w:val="single" w:sz="6" w:space="0" w:color="auto"/>
              <w:bottom w:val="single" w:sz="12" w:space="0" w:color="auto"/>
              <w:right w:val="single" w:sz="12" w:space="0" w:color="auto"/>
            </w:tcBorders>
            <w:vAlign w:val="center"/>
          </w:tcPr>
          <w:p w14:paraId="5EB1BD90" w14:textId="77777777" w:rsidR="00C92C58" w:rsidRPr="00C174D5" w:rsidRDefault="00C92C58" w:rsidP="00B15A9A">
            <w:pPr>
              <w:spacing w:after="0" w:line="240" w:lineRule="auto"/>
              <w:jc w:val="center"/>
              <w:rPr>
                <w:sz w:val="20"/>
                <w:szCs w:val="20"/>
                <w:lang w:val="es-ES"/>
              </w:rPr>
            </w:pPr>
            <w:r w:rsidRPr="00C174D5">
              <w:rPr>
                <w:sz w:val="20"/>
                <w:szCs w:val="20"/>
                <w:lang w:val="es-ES"/>
              </w:rPr>
              <w:t>5</w:t>
            </w:r>
            <w:r>
              <w:rPr>
                <w:sz w:val="20"/>
                <w:szCs w:val="20"/>
                <w:lang w:val="es-ES"/>
              </w:rPr>
              <w:t>1</w:t>
            </w:r>
            <w:r w:rsidRPr="00C174D5">
              <w:rPr>
                <w:sz w:val="20"/>
                <w:szCs w:val="20"/>
                <w:lang w:val="es-ES"/>
              </w:rPr>
              <w:t>%</w:t>
            </w:r>
          </w:p>
        </w:tc>
      </w:tr>
      <w:tr w:rsidR="00C92C58" w:rsidRPr="00C174D5" w14:paraId="5ECF09D3" w14:textId="77777777" w:rsidTr="00B15A9A">
        <w:trPr>
          <w:jc w:val="center"/>
        </w:trPr>
        <w:tc>
          <w:tcPr>
            <w:tcW w:w="1494" w:type="dxa"/>
            <w:tcBorders>
              <w:top w:val="single" w:sz="12" w:space="0" w:color="auto"/>
              <w:left w:val="single" w:sz="12" w:space="0" w:color="auto"/>
              <w:bottom w:val="single" w:sz="12" w:space="0" w:color="auto"/>
              <w:right w:val="single" w:sz="6" w:space="0" w:color="auto"/>
            </w:tcBorders>
            <w:vAlign w:val="center"/>
          </w:tcPr>
          <w:p w14:paraId="28274308" w14:textId="77777777" w:rsidR="00C92C58" w:rsidRPr="00C174D5" w:rsidRDefault="00C92C58" w:rsidP="00B15A9A">
            <w:pPr>
              <w:spacing w:after="0" w:line="240" w:lineRule="auto"/>
              <w:jc w:val="left"/>
              <w:rPr>
                <w:b/>
                <w:i/>
                <w:sz w:val="20"/>
                <w:szCs w:val="20"/>
                <w:lang w:val="es-ES"/>
              </w:rPr>
            </w:pPr>
            <w:r w:rsidRPr="00C174D5">
              <w:rPr>
                <w:b/>
                <w:i/>
                <w:sz w:val="20"/>
                <w:szCs w:val="20"/>
                <w:lang w:val="es-ES"/>
              </w:rPr>
              <w:t>Total Local</w:t>
            </w:r>
          </w:p>
        </w:tc>
        <w:tc>
          <w:tcPr>
            <w:tcW w:w="1498" w:type="dxa"/>
            <w:tcBorders>
              <w:top w:val="single" w:sz="12" w:space="0" w:color="auto"/>
              <w:bottom w:val="single" w:sz="12" w:space="0" w:color="auto"/>
            </w:tcBorders>
            <w:vAlign w:val="center"/>
          </w:tcPr>
          <w:p w14:paraId="05434FF8" w14:textId="77777777" w:rsidR="00C92C58" w:rsidRPr="00C174D5" w:rsidRDefault="00C92C58" w:rsidP="00B15A9A">
            <w:pPr>
              <w:spacing w:after="0" w:line="240" w:lineRule="auto"/>
              <w:jc w:val="center"/>
              <w:rPr>
                <w:b/>
                <w:i/>
                <w:sz w:val="20"/>
                <w:szCs w:val="20"/>
                <w:lang w:val="es-ES"/>
              </w:rPr>
            </w:pPr>
            <w:r w:rsidRPr="00C174D5">
              <w:rPr>
                <w:b/>
                <w:i/>
                <w:sz w:val="20"/>
                <w:szCs w:val="20"/>
                <w:lang w:val="es-ES"/>
              </w:rPr>
              <w:t>412.521</w:t>
            </w:r>
          </w:p>
        </w:tc>
        <w:tc>
          <w:tcPr>
            <w:tcW w:w="1330" w:type="dxa"/>
            <w:tcBorders>
              <w:top w:val="single" w:sz="12" w:space="0" w:color="auto"/>
              <w:bottom w:val="single" w:sz="12" w:space="0" w:color="auto"/>
            </w:tcBorders>
            <w:vAlign w:val="center"/>
          </w:tcPr>
          <w:p w14:paraId="025F8A34" w14:textId="77777777" w:rsidR="00C92C58" w:rsidRPr="00C174D5" w:rsidRDefault="00C92C58" w:rsidP="00B15A9A">
            <w:pPr>
              <w:spacing w:after="0" w:line="240" w:lineRule="auto"/>
              <w:jc w:val="center"/>
              <w:rPr>
                <w:b/>
                <w:i/>
                <w:sz w:val="20"/>
                <w:szCs w:val="20"/>
                <w:lang w:val="es-ES"/>
              </w:rPr>
            </w:pPr>
            <w:r w:rsidRPr="00C174D5">
              <w:rPr>
                <w:b/>
                <w:bCs/>
                <w:i/>
                <w:sz w:val="20"/>
                <w:szCs w:val="20"/>
                <w:lang w:val="es-ES"/>
              </w:rPr>
              <w:t>4</w:t>
            </w:r>
            <w:r>
              <w:rPr>
                <w:b/>
                <w:bCs/>
                <w:i/>
                <w:sz w:val="20"/>
                <w:szCs w:val="20"/>
                <w:lang w:val="es-ES"/>
              </w:rPr>
              <w:t>2</w:t>
            </w:r>
            <w:r w:rsidRPr="00C174D5">
              <w:rPr>
                <w:b/>
                <w:bCs/>
                <w:i/>
                <w:sz w:val="20"/>
                <w:szCs w:val="20"/>
                <w:lang w:val="es-ES"/>
              </w:rPr>
              <w:t>.806.604</w:t>
            </w:r>
          </w:p>
        </w:tc>
        <w:tc>
          <w:tcPr>
            <w:tcW w:w="1456" w:type="dxa"/>
            <w:tcBorders>
              <w:top w:val="single" w:sz="12" w:space="0" w:color="auto"/>
              <w:left w:val="single" w:sz="6" w:space="0" w:color="auto"/>
              <w:bottom w:val="single" w:sz="12" w:space="0" w:color="auto"/>
              <w:right w:val="single" w:sz="6" w:space="0" w:color="auto"/>
            </w:tcBorders>
            <w:vAlign w:val="center"/>
          </w:tcPr>
          <w:p w14:paraId="2645ADB5" w14:textId="77777777" w:rsidR="00C92C58" w:rsidRPr="00C174D5" w:rsidRDefault="00C92C58" w:rsidP="00B15A9A">
            <w:pPr>
              <w:spacing w:after="0" w:line="240" w:lineRule="auto"/>
              <w:jc w:val="center"/>
              <w:rPr>
                <w:b/>
                <w:i/>
                <w:sz w:val="20"/>
                <w:szCs w:val="20"/>
                <w:highlight w:val="yellow"/>
                <w:lang w:val="es-ES"/>
              </w:rPr>
            </w:pPr>
            <w:r w:rsidRPr="00C174D5">
              <w:rPr>
                <w:b/>
                <w:i/>
                <w:sz w:val="20"/>
                <w:szCs w:val="20"/>
                <w:lang w:val="es-ES"/>
              </w:rPr>
              <w:t>4</w:t>
            </w:r>
            <w:r>
              <w:rPr>
                <w:b/>
                <w:i/>
                <w:sz w:val="20"/>
                <w:szCs w:val="20"/>
                <w:lang w:val="es-ES"/>
              </w:rPr>
              <w:t>1</w:t>
            </w:r>
            <w:r w:rsidRPr="00C174D5">
              <w:rPr>
                <w:b/>
                <w:i/>
                <w:sz w:val="20"/>
                <w:szCs w:val="20"/>
                <w:lang w:val="es-ES"/>
              </w:rPr>
              <w:t>.</w:t>
            </w:r>
            <w:r>
              <w:rPr>
                <w:b/>
                <w:i/>
                <w:sz w:val="20"/>
                <w:szCs w:val="20"/>
                <w:lang w:val="es-ES"/>
              </w:rPr>
              <w:t>904</w:t>
            </w:r>
            <w:r w:rsidRPr="00C174D5">
              <w:rPr>
                <w:b/>
                <w:i/>
                <w:sz w:val="20"/>
                <w:szCs w:val="20"/>
                <w:lang w:val="es-ES"/>
              </w:rPr>
              <w:t>.</w:t>
            </w:r>
            <w:r>
              <w:rPr>
                <w:b/>
                <w:i/>
                <w:sz w:val="20"/>
                <w:szCs w:val="20"/>
                <w:lang w:val="es-ES"/>
              </w:rPr>
              <w:t>080</w:t>
            </w:r>
          </w:p>
        </w:tc>
        <w:tc>
          <w:tcPr>
            <w:tcW w:w="1985" w:type="dxa"/>
            <w:tcBorders>
              <w:top w:val="single" w:sz="12" w:space="0" w:color="auto"/>
              <w:left w:val="single" w:sz="6" w:space="0" w:color="auto"/>
              <w:bottom w:val="single" w:sz="12" w:space="0" w:color="auto"/>
              <w:right w:val="single" w:sz="6" w:space="0" w:color="auto"/>
            </w:tcBorders>
            <w:vAlign w:val="center"/>
          </w:tcPr>
          <w:p w14:paraId="5A25B0CD" w14:textId="77777777" w:rsidR="00C92C58" w:rsidRPr="00C174D5" w:rsidRDefault="00C92C58" w:rsidP="00B15A9A">
            <w:pPr>
              <w:spacing w:after="0" w:line="240" w:lineRule="auto"/>
              <w:jc w:val="center"/>
              <w:rPr>
                <w:b/>
                <w:i/>
                <w:sz w:val="20"/>
                <w:szCs w:val="20"/>
                <w:lang w:val="es-ES"/>
              </w:rPr>
            </w:pPr>
            <w:r w:rsidRPr="002A08B2">
              <w:rPr>
                <w:b/>
                <w:i/>
                <w:sz w:val="20"/>
                <w:szCs w:val="20"/>
                <w:lang w:val="es-ES"/>
              </w:rPr>
              <w:t>696,700,643</w:t>
            </w:r>
          </w:p>
        </w:tc>
        <w:tc>
          <w:tcPr>
            <w:tcW w:w="958" w:type="dxa"/>
            <w:tcBorders>
              <w:top w:val="single" w:sz="12" w:space="0" w:color="auto"/>
              <w:left w:val="single" w:sz="6" w:space="0" w:color="auto"/>
              <w:bottom w:val="single" w:sz="12" w:space="0" w:color="auto"/>
              <w:right w:val="single" w:sz="12" w:space="0" w:color="auto"/>
            </w:tcBorders>
            <w:vAlign w:val="center"/>
          </w:tcPr>
          <w:p w14:paraId="72FC9437" w14:textId="77777777" w:rsidR="00C92C58" w:rsidRPr="00C174D5" w:rsidRDefault="00C92C58" w:rsidP="00B15A9A">
            <w:pPr>
              <w:spacing w:after="0" w:line="240" w:lineRule="auto"/>
              <w:jc w:val="center"/>
              <w:rPr>
                <w:b/>
                <w:i/>
                <w:sz w:val="20"/>
                <w:szCs w:val="20"/>
                <w:lang w:val="es-ES"/>
              </w:rPr>
            </w:pPr>
            <w:r>
              <w:rPr>
                <w:b/>
                <w:i/>
                <w:sz w:val="20"/>
                <w:szCs w:val="20"/>
                <w:lang w:val="es-ES"/>
              </w:rPr>
              <w:t>42%</w:t>
            </w:r>
          </w:p>
        </w:tc>
      </w:tr>
    </w:tbl>
    <w:p w14:paraId="47B8C9A1" w14:textId="77777777" w:rsidR="00C92C58" w:rsidRPr="00C174D5" w:rsidRDefault="00C92C58" w:rsidP="00C92C58">
      <w:pPr>
        <w:keepLines/>
        <w:spacing w:after="120"/>
        <w:jc w:val="center"/>
        <w:rPr>
          <w:sz w:val="18"/>
          <w:lang w:val="es-ES"/>
        </w:rPr>
      </w:pPr>
      <w:r w:rsidRPr="00C174D5">
        <w:rPr>
          <w:sz w:val="18"/>
          <w:lang w:val="es-ES"/>
        </w:rPr>
        <w:t>Fuente: Elaboración propia en base a información de ENATREL provista por el BID</w:t>
      </w:r>
    </w:p>
    <w:p w14:paraId="171C077F" w14:textId="77777777" w:rsidR="00C92C58" w:rsidRPr="006E0C9E" w:rsidRDefault="00C92C58" w:rsidP="00C92C58">
      <w:pPr>
        <w:rPr>
          <w:sz w:val="18"/>
          <w:lang w:val="es-ES"/>
        </w:rPr>
      </w:pPr>
      <w:r w:rsidRPr="006E0C9E">
        <w:rPr>
          <w:sz w:val="18"/>
          <w:lang w:val="es-ES"/>
        </w:rPr>
        <w:t>*</w:t>
      </w:r>
      <w:r>
        <w:rPr>
          <w:sz w:val="18"/>
          <w:lang w:val="es-ES"/>
        </w:rPr>
        <w:t>V</w:t>
      </w:r>
      <w:r w:rsidRPr="007933A9">
        <w:rPr>
          <w:sz w:val="18"/>
          <w:lang w:val="es-ES"/>
        </w:rPr>
        <w:t>alores de 201</w:t>
      </w:r>
      <w:r>
        <w:rPr>
          <w:sz w:val="18"/>
          <w:lang w:val="es-ES"/>
        </w:rPr>
        <w:t>7.</w:t>
      </w:r>
    </w:p>
    <w:p w14:paraId="29585D18" w14:textId="77777777" w:rsidR="00C92C58" w:rsidRPr="00C174D5" w:rsidRDefault="00C92C58" w:rsidP="00C92C58">
      <w:pPr>
        <w:rPr>
          <w:lang w:val="es-ES"/>
        </w:rPr>
      </w:pPr>
      <w:r w:rsidRPr="00C174D5">
        <w:rPr>
          <w:lang w:val="es-ES"/>
        </w:rPr>
        <w:t xml:space="preserve">Todos los proyectos locales evaluados conllevan un Valor Presente Neto Económico (VPNE) positivo. </w:t>
      </w:r>
      <w:r>
        <w:rPr>
          <w:lang w:val="es-ES"/>
        </w:rPr>
        <w:t>Bajo el supuesto de que todos los proyectos son independientes, se ha</w:t>
      </w:r>
      <w:r w:rsidRPr="00C174D5">
        <w:rPr>
          <w:lang w:val="es-ES"/>
        </w:rPr>
        <w:t xml:space="preserve"> </w:t>
      </w:r>
      <w:r>
        <w:rPr>
          <w:lang w:val="es-ES"/>
        </w:rPr>
        <w:t xml:space="preserve">calculado también la TIRE de todos ellos considerados en conjunto. Para esto se ha considerado un monto de inversión económica total de 41.904.080 US$ </w:t>
      </w:r>
      <w:proofErr w:type="spellStart"/>
      <w:r>
        <w:rPr>
          <w:lang w:val="es-ES"/>
        </w:rPr>
        <w:t>Ec</w:t>
      </w:r>
      <w:proofErr w:type="spellEnd"/>
      <w:r>
        <w:rPr>
          <w:lang w:val="es-ES"/>
        </w:rPr>
        <w:t>, distribuida a lo largo de dos años, y las corrientes de beneficios y costos correspondientes a cada uno de los proyectos. El resultado de este ejercicio es una TIRE de 42%.</w:t>
      </w:r>
      <w:r>
        <w:rPr>
          <w:rStyle w:val="FootnoteReference"/>
          <w:lang w:val="es-ES"/>
        </w:rPr>
        <w:footnoteReference w:id="2"/>
      </w:r>
      <w:r>
        <w:rPr>
          <w:lang w:val="es-ES"/>
        </w:rPr>
        <w:t xml:space="preserve"> </w:t>
      </w:r>
      <w:r w:rsidRPr="00C174D5">
        <w:rPr>
          <w:lang w:val="es-ES"/>
        </w:rPr>
        <w:t>Además los resultados son, en general, robustos a variaciones en los supuestos de modelación. En términos de usuarios, los proyectos considerados</w:t>
      </w:r>
      <w:r w:rsidRPr="00C174D5">
        <w:rPr>
          <w:rStyle w:val="FootnoteReference"/>
          <w:lang w:val="es-ES"/>
        </w:rPr>
        <w:footnoteReference w:id="3"/>
      </w:r>
      <w:r w:rsidRPr="00C174D5">
        <w:rPr>
          <w:lang w:val="es-ES"/>
        </w:rPr>
        <w:t xml:space="preserve"> conllevan beneficios económicos promedio del orden de los </w:t>
      </w:r>
      <w:r>
        <w:rPr>
          <w:lang w:val="es-ES"/>
        </w:rPr>
        <w:t>2</w:t>
      </w:r>
      <w:r w:rsidRPr="00C174D5">
        <w:rPr>
          <w:lang w:val="es-ES"/>
        </w:rPr>
        <w:t>.</w:t>
      </w:r>
      <w:r>
        <w:rPr>
          <w:lang w:val="es-ES"/>
        </w:rPr>
        <w:t>269</w:t>
      </w:r>
      <w:r w:rsidRPr="00C174D5">
        <w:rPr>
          <w:lang w:val="es-ES"/>
        </w:rPr>
        <w:t xml:space="preserve"> US$ por cliente. </w:t>
      </w:r>
      <w:r>
        <w:rPr>
          <w:lang w:val="es-ES"/>
        </w:rPr>
        <w:t xml:space="preserve">Si bien ciertos proyectos no son atractivos desde la óptica privada </w:t>
      </w:r>
      <w:r w:rsidRPr="00C174D5">
        <w:rPr>
          <w:lang w:val="es-ES"/>
        </w:rPr>
        <w:t>(VAN positivo)</w:t>
      </w:r>
      <w:r>
        <w:rPr>
          <w:lang w:val="es-ES"/>
        </w:rPr>
        <w:t xml:space="preserve">, </w:t>
      </w:r>
      <w:r w:rsidRPr="00C174D5">
        <w:rPr>
          <w:lang w:val="es-ES"/>
        </w:rPr>
        <w:t xml:space="preserve">la evaluación financiera no es necesariamente relevante por cuanto </w:t>
      </w:r>
      <w:r>
        <w:rPr>
          <w:lang w:val="es-ES"/>
        </w:rPr>
        <w:t xml:space="preserve">cada proyecto </w:t>
      </w:r>
      <w:r w:rsidRPr="00C174D5">
        <w:rPr>
          <w:lang w:val="es-ES"/>
        </w:rPr>
        <w:t xml:space="preserve">forma parte de la red de transmisión de ENATREL cuyas tarifas se determinan en función de costos medios. Que la tarifa no cubra el costo de </w:t>
      </w:r>
      <w:r>
        <w:rPr>
          <w:lang w:val="es-ES"/>
        </w:rPr>
        <w:t>un</w:t>
      </w:r>
      <w:r w:rsidRPr="00C174D5">
        <w:rPr>
          <w:lang w:val="es-ES"/>
        </w:rPr>
        <w:t xml:space="preserve"> proyecto no implica necesariamente que la situación financiera de la empresa se vea comprometida por el mismo. </w:t>
      </w:r>
    </w:p>
    <w:p w14:paraId="3DF81FE9" w14:textId="77777777" w:rsidR="00C92C58" w:rsidRPr="00C174D5" w:rsidRDefault="00C92C58" w:rsidP="00C92C58">
      <w:pPr>
        <w:rPr>
          <w:lang w:val="es-ES"/>
        </w:rPr>
      </w:pPr>
      <w:r w:rsidRPr="00C174D5">
        <w:rPr>
          <w:lang w:val="es-ES"/>
        </w:rPr>
        <w:t>En términos agregados, el programa analizado incluye una inversión económica (ajustada por factores de cuenta) local total de</w:t>
      </w:r>
      <w:r>
        <w:rPr>
          <w:lang w:val="es-ES"/>
        </w:rPr>
        <w:t xml:space="preserve"> más de </w:t>
      </w:r>
      <w:r w:rsidRPr="00C174D5">
        <w:rPr>
          <w:lang w:val="es-ES"/>
        </w:rPr>
        <w:t>4</w:t>
      </w:r>
      <w:r>
        <w:rPr>
          <w:lang w:val="es-ES"/>
        </w:rPr>
        <w:t>0</w:t>
      </w:r>
      <w:r w:rsidRPr="00C174D5">
        <w:rPr>
          <w:lang w:val="es-ES"/>
        </w:rPr>
        <w:t>.</w:t>
      </w:r>
      <w:r>
        <w:rPr>
          <w:lang w:val="es-ES"/>
        </w:rPr>
        <w:t>000</w:t>
      </w:r>
      <w:r w:rsidRPr="00C174D5">
        <w:rPr>
          <w:lang w:val="es-ES"/>
        </w:rPr>
        <w:t>.0</w:t>
      </w:r>
      <w:r>
        <w:rPr>
          <w:lang w:val="es-ES"/>
        </w:rPr>
        <w:t>0</w:t>
      </w:r>
      <w:r w:rsidRPr="00C174D5">
        <w:rPr>
          <w:lang w:val="es-ES"/>
        </w:rPr>
        <w:t xml:space="preserve">0 US$ que generan un beneficio económico </w:t>
      </w:r>
      <w:r>
        <w:rPr>
          <w:lang w:val="es-ES"/>
        </w:rPr>
        <w:t xml:space="preserve">neto </w:t>
      </w:r>
      <w:r w:rsidRPr="00C174D5">
        <w:rPr>
          <w:lang w:val="es-ES"/>
        </w:rPr>
        <w:t xml:space="preserve">de </w:t>
      </w:r>
      <w:r>
        <w:rPr>
          <w:lang w:val="es-ES"/>
        </w:rPr>
        <w:t>cerca de 700</w:t>
      </w:r>
      <w:r w:rsidRPr="00C174D5">
        <w:rPr>
          <w:lang w:val="es-ES"/>
        </w:rPr>
        <w:t xml:space="preserve">.000.000 US$. La distribución porcentual de la inversión y los beneficios entre los proyectos evaluados se muestra en el </w:t>
      </w:r>
      <w:r w:rsidRPr="00C174D5">
        <w:rPr>
          <w:b/>
          <w:lang w:val="es-ES"/>
        </w:rPr>
        <w:t>Gráfico 2</w:t>
      </w:r>
      <w:r w:rsidRPr="00C174D5">
        <w:rPr>
          <w:lang w:val="es-ES"/>
        </w:rPr>
        <w:t>.</w:t>
      </w:r>
    </w:p>
    <w:p w14:paraId="72ECFE57" w14:textId="77777777" w:rsidR="00C92C58" w:rsidRDefault="00C92C58" w:rsidP="00C92C58">
      <w:pPr>
        <w:pStyle w:val="Caption"/>
        <w:keepNext/>
        <w:keepLines/>
        <w:spacing w:after="120"/>
        <w:jc w:val="center"/>
        <w:rPr>
          <w:lang w:val="es-ES"/>
        </w:rPr>
      </w:pPr>
      <w:r w:rsidRPr="00C174D5">
        <w:rPr>
          <w:lang w:val="es-ES"/>
        </w:rPr>
        <w:lastRenderedPageBreak/>
        <w:t>Gráfico 2:– Distribución de Inversión y Beneficios Económicos por proyecto</w:t>
      </w:r>
    </w:p>
    <w:p w14:paraId="08E64180" w14:textId="77777777" w:rsidR="00C92C58" w:rsidRPr="007933A9" w:rsidRDefault="00C92C58" w:rsidP="00C92C58">
      <w:pPr>
        <w:spacing w:after="0"/>
        <w:rPr>
          <w:noProof/>
          <w:lang w:val="es-AR" w:eastAsia="es-AR"/>
        </w:rPr>
      </w:pPr>
      <w:r>
        <w:rPr>
          <w:noProof/>
          <w:lang w:val="es-CO" w:eastAsia="es-CO"/>
        </w:rPr>
        <w:drawing>
          <wp:inline distT="0" distB="0" distL="0" distR="0" wp14:anchorId="2A6E3247" wp14:editId="608BAA1A">
            <wp:extent cx="5400000" cy="196534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0" cy="1965343"/>
                    </a:xfrm>
                    <a:prstGeom prst="rect">
                      <a:avLst/>
                    </a:prstGeom>
                    <a:noFill/>
                  </pic:spPr>
                </pic:pic>
              </a:graphicData>
            </a:graphic>
          </wp:inline>
        </w:drawing>
      </w:r>
    </w:p>
    <w:p w14:paraId="046B8294" w14:textId="77777777" w:rsidR="00C92C58" w:rsidRPr="00C174D5" w:rsidRDefault="00C92C58" w:rsidP="00C92C58">
      <w:pPr>
        <w:keepLines/>
        <w:spacing w:after="120"/>
        <w:jc w:val="center"/>
        <w:rPr>
          <w:sz w:val="18"/>
          <w:lang w:val="es-ES"/>
        </w:rPr>
      </w:pPr>
      <w:r w:rsidRPr="00C174D5">
        <w:rPr>
          <w:sz w:val="18"/>
          <w:lang w:val="es-ES"/>
        </w:rPr>
        <w:t>Fuente: Elaboración propia en base a información de ENATREL provista por el BID</w:t>
      </w:r>
    </w:p>
    <w:p w14:paraId="2B7D0849" w14:textId="77777777" w:rsidR="00C92C58" w:rsidRPr="00C174D5" w:rsidRDefault="00C92C58" w:rsidP="00C92C58">
      <w:pPr>
        <w:rPr>
          <w:lang w:val="es-ES"/>
        </w:rPr>
      </w:pPr>
      <w:r w:rsidRPr="00C174D5">
        <w:rPr>
          <w:lang w:val="es-ES"/>
        </w:rPr>
        <w:t xml:space="preserve">Esta inversión beneficia a más de 410.000 clientes (más de 2.000.000 personas), generando un valor económico anual de, aproximadamente, </w:t>
      </w:r>
      <w:r>
        <w:rPr>
          <w:lang w:val="es-ES"/>
        </w:rPr>
        <w:t>240</w:t>
      </w:r>
      <w:r w:rsidRPr="00C174D5">
        <w:rPr>
          <w:lang w:val="es-ES"/>
        </w:rPr>
        <w:t xml:space="preserve"> US$/cliente. </w:t>
      </w:r>
    </w:p>
    <w:p w14:paraId="76B3ABE9" w14:textId="77777777" w:rsidR="00C92C58" w:rsidRPr="00C174D5" w:rsidRDefault="00C92C58" w:rsidP="00C92C58">
      <w:pPr>
        <w:pStyle w:val="ListParagraph"/>
        <w:numPr>
          <w:ilvl w:val="0"/>
          <w:numId w:val="45"/>
        </w:numPr>
        <w:rPr>
          <w:u w:val="single"/>
          <w:lang w:val="es-ES"/>
        </w:rPr>
      </w:pPr>
      <w:r w:rsidRPr="00C174D5">
        <w:rPr>
          <w:u w:val="single"/>
          <w:lang w:val="es-ES"/>
        </w:rPr>
        <w:t>Proyecto de aumento de capacidad en el Sistema Regional</w:t>
      </w:r>
    </w:p>
    <w:p w14:paraId="65D71037" w14:textId="77777777" w:rsidR="00C92C58" w:rsidRPr="00C174D5" w:rsidRDefault="00C92C58" w:rsidP="00C92C58">
      <w:pPr>
        <w:rPr>
          <w:i/>
          <w:lang w:val="es-ES"/>
        </w:rPr>
      </w:pPr>
      <w:r w:rsidRPr="00C174D5">
        <w:rPr>
          <w:i/>
          <w:lang w:val="es-ES"/>
        </w:rPr>
        <w:t xml:space="preserve">Aumento capacidad líneas 230 </w:t>
      </w:r>
      <w:proofErr w:type="spellStart"/>
      <w:r w:rsidRPr="00C174D5">
        <w:rPr>
          <w:i/>
          <w:lang w:val="es-ES"/>
        </w:rPr>
        <w:t>kV</w:t>
      </w:r>
      <w:proofErr w:type="spellEnd"/>
    </w:p>
    <w:p w14:paraId="0695F084" w14:textId="77777777" w:rsidR="00C92C58" w:rsidRPr="00C174D5" w:rsidRDefault="00C92C58" w:rsidP="00C92C58">
      <w:pPr>
        <w:rPr>
          <w:lang w:val="es-ES"/>
        </w:rPr>
      </w:pPr>
      <w:r w:rsidRPr="00C174D5">
        <w:rPr>
          <w:lang w:val="es-ES"/>
        </w:rPr>
        <w:t xml:space="preserve">Esta obra consta del aumento de capacidad de las líneas de 230kV existentes en los tramos Sandino-León-Frontera Honduras y </w:t>
      </w:r>
      <w:proofErr w:type="spellStart"/>
      <w:r w:rsidRPr="00C174D5">
        <w:rPr>
          <w:lang w:val="es-ES"/>
        </w:rPr>
        <w:t>Amayo</w:t>
      </w:r>
      <w:proofErr w:type="spellEnd"/>
      <w:r w:rsidRPr="00C174D5">
        <w:rPr>
          <w:lang w:val="es-ES"/>
        </w:rPr>
        <w:t>-Liberia (y de las interconexiones), para garantizar la transferencia de 300 MW de energía de norte a sur del país y viceversa.</w:t>
      </w:r>
    </w:p>
    <w:p w14:paraId="4138A5F6" w14:textId="77777777" w:rsidR="00C92C58" w:rsidRPr="00C174D5" w:rsidRDefault="00C92C58" w:rsidP="00C92C58">
      <w:pPr>
        <w:rPr>
          <w:lang w:val="es-ES"/>
        </w:rPr>
      </w:pPr>
      <w:r w:rsidRPr="00C174D5">
        <w:rPr>
          <w:lang w:val="es-ES"/>
        </w:rPr>
        <w:t>Por tratarse de un proyecto con beneficios regionales, su análisis se realiza desde dos ópticas: 1. Una óptica regional, contemplando tanto inversiones como beneficios regionales (de todos los países pertenecientes al SIEPAC). Este proyecto conlleva una inversión regional de 66.151.800 US$ y, de acuerdo con los supuestos postulados, posee una TIRE levemente por debajo de la tasa social de descuento de 12% (11,2%); y 2. Una óptica local, en la cual el proyecto se analiza en forma similar a los proyectos del primer grupo, considerando solo la inversión de Nicaragua, y los beneficios para el país por evitarse las fallas en el SIN. En este caso la inversión asciende a 13.096.758 US$.</w:t>
      </w:r>
    </w:p>
    <w:p w14:paraId="35439613" w14:textId="77777777" w:rsidR="00C92C58" w:rsidRPr="00C174D5" w:rsidRDefault="00C92C58" w:rsidP="00C92C58">
      <w:pPr>
        <w:rPr>
          <w:lang w:val="es-ES"/>
        </w:rPr>
      </w:pPr>
      <w:r w:rsidRPr="00C174D5">
        <w:rPr>
          <w:lang w:val="es-ES"/>
        </w:rPr>
        <w:t>En lo que hace a la evaluación regional, los principales indicadores se presentan en la Tabla 2.</w:t>
      </w:r>
    </w:p>
    <w:p w14:paraId="7CE12A38" w14:textId="77777777" w:rsidR="00C92C58" w:rsidRPr="00C174D5" w:rsidRDefault="00C92C58" w:rsidP="00C92C58">
      <w:pPr>
        <w:keepNext/>
        <w:keepLines/>
        <w:spacing w:after="120"/>
        <w:jc w:val="center"/>
        <w:rPr>
          <w:b/>
          <w:sz w:val="20"/>
          <w:lang w:val="es-ES"/>
        </w:rPr>
      </w:pPr>
      <w:r w:rsidRPr="00C174D5">
        <w:rPr>
          <w:b/>
          <w:sz w:val="20"/>
          <w:lang w:val="es-ES"/>
        </w:rPr>
        <w:t>Tabla 2: Valuación Económica Regional – Resumen</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78"/>
        <w:gridCol w:w="1980"/>
      </w:tblGrid>
      <w:tr w:rsidR="00C92C58" w:rsidRPr="00C174D5" w14:paraId="2A553D8B" w14:textId="77777777" w:rsidTr="00B15A9A">
        <w:trPr>
          <w:jc w:val="center"/>
        </w:trPr>
        <w:tc>
          <w:tcPr>
            <w:tcW w:w="3978" w:type="dxa"/>
          </w:tcPr>
          <w:p w14:paraId="651DA5F2" w14:textId="77777777" w:rsidR="00C92C58" w:rsidRPr="00C174D5" w:rsidRDefault="00C92C58" w:rsidP="00B15A9A">
            <w:pPr>
              <w:jc w:val="left"/>
              <w:rPr>
                <w:sz w:val="20"/>
                <w:szCs w:val="20"/>
                <w:lang w:val="es-ES"/>
              </w:rPr>
            </w:pPr>
            <w:r w:rsidRPr="00C174D5">
              <w:rPr>
                <w:sz w:val="20"/>
                <w:szCs w:val="20"/>
                <w:lang w:val="es-ES"/>
              </w:rPr>
              <w:t>VP Inversión Económica (US$)</w:t>
            </w:r>
          </w:p>
        </w:tc>
        <w:tc>
          <w:tcPr>
            <w:tcW w:w="1980" w:type="dxa"/>
          </w:tcPr>
          <w:p w14:paraId="3D741BA4" w14:textId="77777777" w:rsidR="00C92C58" w:rsidRPr="00C174D5" w:rsidRDefault="00C92C58" w:rsidP="00B15A9A">
            <w:pPr>
              <w:jc w:val="center"/>
              <w:rPr>
                <w:sz w:val="20"/>
                <w:szCs w:val="20"/>
                <w:lang w:val="es-ES"/>
              </w:rPr>
            </w:pPr>
            <w:r w:rsidRPr="00C174D5">
              <w:rPr>
                <w:sz w:val="20"/>
                <w:szCs w:val="20"/>
                <w:lang w:val="es-ES"/>
              </w:rPr>
              <w:t>64.757.072</w:t>
            </w:r>
          </w:p>
        </w:tc>
      </w:tr>
      <w:tr w:rsidR="00C92C58" w:rsidRPr="00C174D5" w14:paraId="42B4B4BB" w14:textId="77777777" w:rsidTr="00B15A9A">
        <w:trPr>
          <w:jc w:val="center"/>
        </w:trPr>
        <w:tc>
          <w:tcPr>
            <w:tcW w:w="3978" w:type="dxa"/>
          </w:tcPr>
          <w:p w14:paraId="2326C49B" w14:textId="77777777" w:rsidR="00C92C58" w:rsidRPr="00C174D5" w:rsidRDefault="00C92C58" w:rsidP="00B15A9A">
            <w:pPr>
              <w:jc w:val="left"/>
              <w:rPr>
                <w:sz w:val="20"/>
                <w:szCs w:val="20"/>
                <w:lang w:val="es-ES"/>
              </w:rPr>
            </w:pPr>
            <w:r w:rsidRPr="00C174D5">
              <w:rPr>
                <w:sz w:val="20"/>
                <w:szCs w:val="20"/>
                <w:lang w:val="es-ES"/>
              </w:rPr>
              <w:t>VPNE (US$) – Beneficios Operación</w:t>
            </w:r>
          </w:p>
        </w:tc>
        <w:tc>
          <w:tcPr>
            <w:tcW w:w="1980" w:type="dxa"/>
          </w:tcPr>
          <w:p w14:paraId="2151303F" w14:textId="77777777" w:rsidR="00C92C58" w:rsidRPr="00C174D5" w:rsidRDefault="00C92C58" w:rsidP="00B15A9A">
            <w:pPr>
              <w:jc w:val="center"/>
              <w:rPr>
                <w:sz w:val="20"/>
                <w:szCs w:val="20"/>
                <w:lang w:val="es-ES"/>
              </w:rPr>
            </w:pPr>
            <w:r w:rsidRPr="00C174D5">
              <w:rPr>
                <w:sz w:val="20"/>
                <w:szCs w:val="20"/>
                <w:lang w:val="es-ES"/>
              </w:rPr>
              <w:t>- 3.334.253</w:t>
            </w:r>
          </w:p>
        </w:tc>
      </w:tr>
      <w:tr w:rsidR="00C92C58" w:rsidRPr="00C174D5" w14:paraId="6D0B2102" w14:textId="77777777" w:rsidTr="00B15A9A">
        <w:trPr>
          <w:jc w:val="center"/>
        </w:trPr>
        <w:tc>
          <w:tcPr>
            <w:tcW w:w="3978" w:type="dxa"/>
          </w:tcPr>
          <w:p w14:paraId="29864D97" w14:textId="77777777" w:rsidR="00C92C58" w:rsidRPr="00C174D5" w:rsidRDefault="00C92C58" w:rsidP="00B15A9A">
            <w:pPr>
              <w:jc w:val="left"/>
              <w:rPr>
                <w:sz w:val="20"/>
                <w:szCs w:val="20"/>
                <w:lang w:val="es-ES"/>
              </w:rPr>
            </w:pPr>
            <w:r w:rsidRPr="00C174D5">
              <w:rPr>
                <w:sz w:val="20"/>
                <w:szCs w:val="20"/>
                <w:lang w:val="es-ES"/>
              </w:rPr>
              <w:t>VPNE (US$) – Operación e integración</w:t>
            </w:r>
          </w:p>
        </w:tc>
        <w:tc>
          <w:tcPr>
            <w:tcW w:w="1980" w:type="dxa"/>
          </w:tcPr>
          <w:p w14:paraId="205B63A9" w14:textId="77777777" w:rsidR="00C92C58" w:rsidRPr="00C174D5" w:rsidRDefault="00C92C58" w:rsidP="00B15A9A">
            <w:pPr>
              <w:jc w:val="center"/>
              <w:rPr>
                <w:sz w:val="20"/>
                <w:szCs w:val="20"/>
                <w:lang w:val="es-ES"/>
              </w:rPr>
            </w:pPr>
            <w:r w:rsidRPr="00C174D5">
              <w:rPr>
                <w:sz w:val="20"/>
                <w:szCs w:val="20"/>
                <w:lang w:val="es-ES"/>
              </w:rPr>
              <w:t>94.739.530</w:t>
            </w:r>
          </w:p>
        </w:tc>
      </w:tr>
      <w:tr w:rsidR="00C92C58" w:rsidRPr="00C174D5" w14:paraId="4B5937EC" w14:textId="77777777" w:rsidTr="00B15A9A">
        <w:trPr>
          <w:jc w:val="center"/>
        </w:trPr>
        <w:tc>
          <w:tcPr>
            <w:tcW w:w="3978" w:type="dxa"/>
          </w:tcPr>
          <w:p w14:paraId="5EFE4907" w14:textId="77777777" w:rsidR="00C92C58" w:rsidRPr="00C174D5" w:rsidRDefault="00C92C58" w:rsidP="00B15A9A">
            <w:pPr>
              <w:jc w:val="left"/>
              <w:rPr>
                <w:sz w:val="20"/>
                <w:szCs w:val="20"/>
                <w:lang w:val="es-ES"/>
              </w:rPr>
            </w:pPr>
            <w:r w:rsidRPr="00C174D5">
              <w:rPr>
                <w:sz w:val="20"/>
                <w:szCs w:val="20"/>
                <w:lang w:val="es-ES"/>
              </w:rPr>
              <w:t>TIRE – Beneficios Operación</w:t>
            </w:r>
          </w:p>
        </w:tc>
        <w:tc>
          <w:tcPr>
            <w:tcW w:w="1980" w:type="dxa"/>
          </w:tcPr>
          <w:p w14:paraId="5C4482C2" w14:textId="77777777" w:rsidR="00C92C58" w:rsidRPr="00C174D5" w:rsidRDefault="00C92C58" w:rsidP="00B15A9A">
            <w:pPr>
              <w:jc w:val="center"/>
              <w:rPr>
                <w:sz w:val="20"/>
                <w:szCs w:val="20"/>
                <w:lang w:val="es-ES"/>
              </w:rPr>
            </w:pPr>
            <w:r w:rsidRPr="00C174D5">
              <w:rPr>
                <w:sz w:val="20"/>
                <w:szCs w:val="20"/>
                <w:lang w:val="es-ES"/>
              </w:rPr>
              <w:t>11,5%</w:t>
            </w:r>
          </w:p>
        </w:tc>
      </w:tr>
      <w:tr w:rsidR="00C92C58" w:rsidRPr="00C174D5" w14:paraId="5CAAE2D5" w14:textId="77777777" w:rsidTr="00B15A9A">
        <w:trPr>
          <w:jc w:val="center"/>
        </w:trPr>
        <w:tc>
          <w:tcPr>
            <w:tcW w:w="3978" w:type="dxa"/>
          </w:tcPr>
          <w:p w14:paraId="38C344B5" w14:textId="77777777" w:rsidR="00C92C58" w:rsidRPr="00C174D5" w:rsidRDefault="00C92C58" w:rsidP="00B15A9A">
            <w:pPr>
              <w:keepNext/>
              <w:jc w:val="left"/>
              <w:rPr>
                <w:sz w:val="20"/>
                <w:szCs w:val="20"/>
                <w:lang w:val="es-ES"/>
              </w:rPr>
            </w:pPr>
            <w:r w:rsidRPr="00C174D5">
              <w:rPr>
                <w:sz w:val="20"/>
                <w:szCs w:val="20"/>
                <w:lang w:val="es-ES"/>
              </w:rPr>
              <w:t>TIRE – Operación e integración</w:t>
            </w:r>
          </w:p>
        </w:tc>
        <w:tc>
          <w:tcPr>
            <w:tcW w:w="1980" w:type="dxa"/>
          </w:tcPr>
          <w:p w14:paraId="362FA3C7" w14:textId="77777777" w:rsidR="00C92C58" w:rsidRPr="00C174D5" w:rsidRDefault="00C92C58" w:rsidP="00B15A9A">
            <w:pPr>
              <w:keepNext/>
              <w:jc w:val="center"/>
              <w:rPr>
                <w:sz w:val="20"/>
                <w:szCs w:val="20"/>
                <w:lang w:val="es-ES"/>
              </w:rPr>
            </w:pPr>
            <w:r w:rsidRPr="00C174D5">
              <w:rPr>
                <w:sz w:val="20"/>
                <w:szCs w:val="20"/>
                <w:lang w:val="es-ES"/>
              </w:rPr>
              <w:t>23%</w:t>
            </w:r>
          </w:p>
        </w:tc>
      </w:tr>
    </w:tbl>
    <w:p w14:paraId="22CCE18B" w14:textId="77777777" w:rsidR="00C92C58" w:rsidRPr="00C174D5" w:rsidRDefault="00C92C58" w:rsidP="00C92C58">
      <w:pPr>
        <w:keepLines/>
        <w:tabs>
          <w:tab w:val="left" w:pos="8222"/>
        </w:tabs>
        <w:spacing w:after="120"/>
        <w:ind w:left="709" w:right="708"/>
        <w:jc w:val="center"/>
        <w:rPr>
          <w:sz w:val="18"/>
          <w:lang w:val="es-ES"/>
        </w:rPr>
      </w:pPr>
      <w:r w:rsidRPr="00C174D5">
        <w:rPr>
          <w:sz w:val="18"/>
          <w:lang w:val="es-ES"/>
        </w:rPr>
        <w:t>Fuente: Elaboración propia en base a información de EOR provista por el BID</w:t>
      </w:r>
    </w:p>
    <w:p w14:paraId="28F55502" w14:textId="77777777" w:rsidR="00C92C58" w:rsidRPr="00C174D5" w:rsidRDefault="00C92C58" w:rsidP="00C92C58">
      <w:pPr>
        <w:rPr>
          <w:lang w:val="es-ES"/>
        </w:rPr>
      </w:pPr>
      <w:r w:rsidRPr="00C174D5">
        <w:rPr>
          <w:lang w:val="es-ES"/>
        </w:rPr>
        <w:lastRenderedPageBreak/>
        <w:t>En el caso de los refuerzos regionales, dentro de los cuales se inscriben los refuerzos de la red de transmisión en Nicaragua, la inversión económica regional es de 64.757.072 y, los beneficios responden tanto a las mejoras en la operación conjunta del sistema como a las potenciales ganancias derivadas de la coordinación de decisiones de inversión en la regional. A nivel regional, si bien las ganancias operativas son levemente inferiores a las necesarias para justificar la inversión, si se consideran los potenciales beneficios de la coordinación de inversión el proyecto resulta rentable desde una perspectiva económica.</w:t>
      </w:r>
    </w:p>
    <w:p w14:paraId="66CAFA73" w14:textId="77777777" w:rsidR="00C92C58" w:rsidRDefault="00C92C58" w:rsidP="00C92C58">
      <w:pPr>
        <w:rPr>
          <w:lang w:val="es-ES"/>
        </w:rPr>
      </w:pPr>
      <w:r w:rsidRPr="00C174D5">
        <w:rPr>
          <w:lang w:val="es-ES"/>
        </w:rPr>
        <w:t xml:space="preserve">En lo que hace a la evaluación local, el proyecto conlleva una inversión económica de 12.820.629 US$ </w:t>
      </w:r>
      <w:proofErr w:type="spellStart"/>
      <w:r w:rsidRPr="00C174D5">
        <w:rPr>
          <w:lang w:val="es-ES"/>
        </w:rPr>
        <w:t>Ec</w:t>
      </w:r>
      <w:proofErr w:type="spellEnd"/>
      <w:r w:rsidRPr="00C174D5">
        <w:rPr>
          <w:lang w:val="es-ES"/>
        </w:rPr>
        <w:t>., generando un valor neto económico de 1.</w:t>
      </w:r>
      <w:r>
        <w:rPr>
          <w:lang w:val="es-ES"/>
        </w:rPr>
        <w:t>775</w:t>
      </w:r>
      <w:r w:rsidRPr="00C174D5">
        <w:rPr>
          <w:lang w:val="es-ES"/>
        </w:rPr>
        <w:t>.2</w:t>
      </w:r>
      <w:r>
        <w:rPr>
          <w:lang w:val="es-ES"/>
        </w:rPr>
        <w:t>9</w:t>
      </w:r>
      <w:r w:rsidRPr="00C174D5">
        <w:rPr>
          <w:lang w:val="es-ES"/>
        </w:rPr>
        <w:t>4.</w:t>
      </w:r>
      <w:r>
        <w:rPr>
          <w:lang w:val="es-ES"/>
        </w:rPr>
        <w:t>543</w:t>
      </w:r>
      <w:r w:rsidRPr="00C174D5">
        <w:rPr>
          <w:lang w:val="es-ES"/>
        </w:rPr>
        <w:t xml:space="preserve"> US$ </w:t>
      </w:r>
      <w:proofErr w:type="spellStart"/>
      <w:r w:rsidRPr="00C174D5">
        <w:rPr>
          <w:lang w:val="es-ES"/>
        </w:rPr>
        <w:t>Ec</w:t>
      </w:r>
      <w:proofErr w:type="spellEnd"/>
      <w:r w:rsidRPr="00C174D5">
        <w:rPr>
          <w:lang w:val="es-ES"/>
        </w:rPr>
        <w:t>. Desde esta perspectiva local, los beneficios de este refuerzo están dados por un ahorro de costos. Estos costos son los que tendría Nicaragua si cumpliese los compromisos regionales pero sin hacer la inversión en aumento de capacidad necesaria para acomodar los 300 MW que se espera se transmitan a lo largo de las líneas.</w:t>
      </w:r>
    </w:p>
    <w:p w14:paraId="27F7B0F8" w14:textId="77777777" w:rsidR="00E67BF2" w:rsidRDefault="00E67BF2" w:rsidP="00C92C58">
      <w:pPr>
        <w:rPr>
          <w:lang w:val="es-ES"/>
        </w:rPr>
      </w:pPr>
    </w:p>
    <w:p w14:paraId="72F85A61" w14:textId="77777777" w:rsidR="00E67BF2" w:rsidRDefault="00E67BF2" w:rsidP="00E67BF2">
      <w:pPr>
        <w:rPr>
          <w:lang w:val="es-ES"/>
        </w:rPr>
      </w:pPr>
      <w:r>
        <w:rPr>
          <w:lang w:val="es-ES"/>
        </w:rPr>
        <w:t>Hojas de Cálculo empeladas para el análisis económico:</w:t>
      </w:r>
    </w:p>
    <w:p w14:paraId="3CB02BDB" w14:textId="77777777" w:rsidR="00E67BF2" w:rsidRPr="0052554E" w:rsidRDefault="00E67BF2" w:rsidP="00E67BF2">
      <w:pPr>
        <w:pStyle w:val="ListParagraph"/>
        <w:numPr>
          <w:ilvl w:val="0"/>
          <w:numId w:val="48"/>
        </w:numPr>
        <w:rPr>
          <w:lang w:val="es-ES"/>
        </w:rPr>
      </w:pPr>
      <w:hyperlink r:id="rId12" w:history="1">
        <w:r w:rsidRPr="001F0BA7">
          <w:rPr>
            <w:rStyle w:val="Hyperlink"/>
            <w:lang w:val="es-ES"/>
          </w:rPr>
          <w:t>Evaluación LT El Sauce - Villanueva</w:t>
        </w:r>
      </w:hyperlink>
      <w:r w:rsidRPr="0052554E">
        <w:rPr>
          <w:lang w:val="es-ES"/>
        </w:rPr>
        <w:t xml:space="preserve"> </w:t>
      </w:r>
    </w:p>
    <w:p w14:paraId="4D8F4AB2" w14:textId="77777777" w:rsidR="00E67BF2" w:rsidRPr="0052554E" w:rsidRDefault="00E67BF2" w:rsidP="00E67BF2">
      <w:pPr>
        <w:pStyle w:val="ListParagraph"/>
        <w:numPr>
          <w:ilvl w:val="0"/>
          <w:numId w:val="48"/>
        </w:numPr>
        <w:rPr>
          <w:lang w:val="es-ES"/>
        </w:rPr>
      </w:pPr>
      <w:hyperlink r:id="rId13" w:history="1">
        <w:r w:rsidRPr="001F0BA7">
          <w:rPr>
            <w:rStyle w:val="Hyperlink"/>
            <w:lang w:val="es-ES"/>
          </w:rPr>
          <w:t>Evaluación Local LT230KV</w:t>
        </w:r>
      </w:hyperlink>
      <w:r w:rsidRPr="0052554E">
        <w:rPr>
          <w:lang w:val="es-ES"/>
        </w:rPr>
        <w:t xml:space="preserve"> </w:t>
      </w:r>
    </w:p>
    <w:p w14:paraId="0D317C36" w14:textId="77777777" w:rsidR="00E67BF2" w:rsidRPr="0052554E" w:rsidRDefault="00E67BF2" w:rsidP="00E67BF2">
      <w:pPr>
        <w:pStyle w:val="ListParagraph"/>
        <w:numPr>
          <w:ilvl w:val="0"/>
          <w:numId w:val="48"/>
        </w:numPr>
        <w:rPr>
          <w:lang w:val="es-ES"/>
        </w:rPr>
      </w:pPr>
      <w:hyperlink r:id="rId14" w:history="1">
        <w:r w:rsidRPr="001F0BA7">
          <w:rPr>
            <w:rStyle w:val="Hyperlink"/>
            <w:lang w:val="es-ES"/>
          </w:rPr>
          <w:t>Evaluación Regional LT230KV</w:t>
        </w:r>
      </w:hyperlink>
      <w:r w:rsidRPr="0052554E">
        <w:rPr>
          <w:lang w:val="es-ES"/>
        </w:rPr>
        <w:t xml:space="preserve"> </w:t>
      </w:r>
    </w:p>
    <w:p w14:paraId="3E76EC86" w14:textId="77777777" w:rsidR="00E67BF2" w:rsidRPr="0052554E" w:rsidRDefault="00E67BF2" w:rsidP="00E67BF2">
      <w:pPr>
        <w:pStyle w:val="ListParagraph"/>
        <w:numPr>
          <w:ilvl w:val="0"/>
          <w:numId w:val="48"/>
        </w:numPr>
        <w:rPr>
          <w:lang w:val="es-ES"/>
        </w:rPr>
      </w:pPr>
      <w:hyperlink r:id="rId15" w:history="1">
        <w:r w:rsidRPr="001F0BA7">
          <w:rPr>
            <w:rStyle w:val="Hyperlink"/>
            <w:lang w:val="es-ES"/>
          </w:rPr>
          <w:t xml:space="preserve">Evaluación SE </w:t>
        </w:r>
        <w:proofErr w:type="spellStart"/>
        <w:r w:rsidRPr="001F0BA7">
          <w:rPr>
            <w:rStyle w:val="Hyperlink"/>
            <w:lang w:val="es-ES"/>
          </w:rPr>
          <w:t>Sébaco</w:t>
        </w:r>
        <w:proofErr w:type="spellEnd"/>
        <w:r w:rsidRPr="001F0BA7">
          <w:rPr>
            <w:rStyle w:val="Hyperlink"/>
            <w:lang w:val="es-ES"/>
          </w:rPr>
          <w:t xml:space="preserve"> - V1</w:t>
        </w:r>
      </w:hyperlink>
      <w:r w:rsidRPr="0052554E">
        <w:rPr>
          <w:lang w:val="es-ES"/>
        </w:rPr>
        <w:t xml:space="preserve"> </w:t>
      </w:r>
    </w:p>
    <w:p w14:paraId="735CA067" w14:textId="77777777" w:rsidR="00E67BF2" w:rsidRPr="0052554E" w:rsidRDefault="00E67BF2" w:rsidP="00E67BF2">
      <w:pPr>
        <w:pStyle w:val="ListParagraph"/>
        <w:numPr>
          <w:ilvl w:val="0"/>
          <w:numId w:val="48"/>
        </w:numPr>
        <w:rPr>
          <w:lang w:val="es-ES"/>
        </w:rPr>
      </w:pPr>
      <w:hyperlink r:id="rId16" w:history="1">
        <w:r w:rsidRPr="001F0BA7">
          <w:rPr>
            <w:rStyle w:val="Hyperlink"/>
            <w:lang w:val="es-ES"/>
          </w:rPr>
          <w:t xml:space="preserve">Evaluación SE </w:t>
        </w:r>
        <w:proofErr w:type="spellStart"/>
        <w:r w:rsidRPr="001F0BA7">
          <w:rPr>
            <w:rStyle w:val="Hyperlink"/>
            <w:lang w:val="es-ES"/>
          </w:rPr>
          <w:t>Acahualinca</w:t>
        </w:r>
        <w:proofErr w:type="spellEnd"/>
      </w:hyperlink>
      <w:r w:rsidRPr="0052554E">
        <w:rPr>
          <w:lang w:val="es-ES"/>
        </w:rPr>
        <w:t xml:space="preserve"> </w:t>
      </w:r>
    </w:p>
    <w:p w14:paraId="43827373" w14:textId="77777777" w:rsidR="00E67BF2" w:rsidRPr="0052554E" w:rsidRDefault="00E67BF2" w:rsidP="00E67BF2">
      <w:pPr>
        <w:pStyle w:val="ListParagraph"/>
        <w:numPr>
          <w:ilvl w:val="0"/>
          <w:numId w:val="48"/>
        </w:numPr>
        <w:rPr>
          <w:lang w:val="es-ES"/>
        </w:rPr>
      </w:pPr>
      <w:hyperlink r:id="rId17" w:history="1">
        <w:r>
          <w:rPr>
            <w:rStyle w:val="Hyperlink"/>
            <w:lang w:val="es-ES"/>
          </w:rPr>
          <w:t>Evaluación SE Catarina</w:t>
        </w:r>
      </w:hyperlink>
      <w:r w:rsidRPr="0052554E">
        <w:rPr>
          <w:lang w:val="es-ES"/>
        </w:rPr>
        <w:t xml:space="preserve"> </w:t>
      </w:r>
    </w:p>
    <w:p w14:paraId="7E93C922" w14:textId="77777777" w:rsidR="00E67BF2" w:rsidRPr="0052554E" w:rsidRDefault="00E67BF2" w:rsidP="00E67BF2">
      <w:pPr>
        <w:pStyle w:val="ListParagraph"/>
        <w:numPr>
          <w:ilvl w:val="0"/>
          <w:numId w:val="48"/>
        </w:numPr>
        <w:rPr>
          <w:lang w:val="es-ES"/>
        </w:rPr>
      </w:pPr>
      <w:hyperlink r:id="rId18" w:history="1">
        <w:r>
          <w:rPr>
            <w:rStyle w:val="Hyperlink"/>
            <w:lang w:val="es-ES"/>
          </w:rPr>
          <w:t xml:space="preserve">Evaluación SE </w:t>
        </w:r>
        <w:proofErr w:type="spellStart"/>
        <w:r>
          <w:rPr>
            <w:rStyle w:val="Hyperlink"/>
            <w:lang w:val="es-ES"/>
          </w:rPr>
          <w:t>Diriamba</w:t>
        </w:r>
        <w:proofErr w:type="spellEnd"/>
      </w:hyperlink>
      <w:r w:rsidRPr="0052554E">
        <w:rPr>
          <w:lang w:val="es-ES"/>
        </w:rPr>
        <w:t xml:space="preserve"> </w:t>
      </w:r>
    </w:p>
    <w:p w14:paraId="06980CB3" w14:textId="77777777" w:rsidR="00E67BF2" w:rsidRPr="00332BCA" w:rsidRDefault="00E67BF2" w:rsidP="00E67BF2">
      <w:pPr>
        <w:pStyle w:val="ListParagraph"/>
        <w:numPr>
          <w:ilvl w:val="0"/>
          <w:numId w:val="48"/>
        </w:numPr>
        <w:rPr>
          <w:rStyle w:val="Hyperlink"/>
          <w:color w:val="auto"/>
          <w:u w:val="none"/>
          <w:lang w:val="es-ES"/>
        </w:rPr>
      </w:pPr>
      <w:hyperlink r:id="rId19" w:history="1">
        <w:r w:rsidRPr="001F0BA7">
          <w:rPr>
            <w:rStyle w:val="Hyperlink"/>
            <w:lang w:val="es-ES"/>
          </w:rPr>
          <w:t>Evaluación SE San Benito</w:t>
        </w:r>
      </w:hyperlink>
    </w:p>
    <w:p w14:paraId="61C2705B" w14:textId="4C666FCE" w:rsidR="00332BCA" w:rsidRPr="00332BCA" w:rsidRDefault="00332BCA" w:rsidP="00332BCA">
      <w:pPr>
        <w:pStyle w:val="ListParagraph"/>
        <w:numPr>
          <w:ilvl w:val="0"/>
          <w:numId w:val="48"/>
        </w:numPr>
        <w:rPr>
          <w:rStyle w:val="Hyperlink"/>
          <w:color w:val="auto"/>
          <w:u w:val="none"/>
          <w:lang w:val="es-ES"/>
        </w:rPr>
      </w:pPr>
      <w:hyperlink r:id="rId20" w:history="1">
        <w:r>
          <w:rPr>
            <w:rStyle w:val="Hyperlink"/>
            <w:lang w:val="es-ES"/>
          </w:rPr>
          <w:t xml:space="preserve">Evaluación </w:t>
        </w:r>
        <w:proofErr w:type="spellStart"/>
        <w:r>
          <w:rPr>
            <w:rStyle w:val="Hyperlink"/>
            <w:lang w:val="es-ES"/>
          </w:rPr>
          <w:t>Ticuantepe</w:t>
        </w:r>
        <w:proofErr w:type="spellEnd"/>
      </w:hyperlink>
    </w:p>
    <w:p w14:paraId="3086CB85" w14:textId="344D6081" w:rsidR="00332BCA" w:rsidRPr="00332BCA" w:rsidRDefault="00332BCA" w:rsidP="00E67BF2">
      <w:pPr>
        <w:pStyle w:val="ListParagraph"/>
        <w:numPr>
          <w:ilvl w:val="0"/>
          <w:numId w:val="48"/>
        </w:numPr>
        <w:rPr>
          <w:lang w:val="es-ES"/>
        </w:rPr>
      </w:pPr>
      <w:hyperlink r:id="rId21" w:history="1">
        <w:r w:rsidRPr="00332BCA">
          <w:rPr>
            <w:rStyle w:val="Hyperlink"/>
            <w:lang w:val="es-ES"/>
          </w:rPr>
          <w:t>Evaluación Transformador Móvil</w:t>
        </w:r>
      </w:hyperlink>
    </w:p>
    <w:p w14:paraId="644CD79C" w14:textId="77777777" w:rsidR="00E67BF2" w:rsidRPr="00C174D5" w:rsidRDefault="00E67BF2" w:rsidP="00C92C58">
      <w:pPr>
        <w:rPr>
          <w:lang w:val="es-ES"/>
        </w:rPr>
      </w:pPr>
    </w:p>
    <w:p w14:paraId="13F70DFC" w14:textId="77777777" w:rsidR="00C92C58" w:rsidRPr="00C174D5" w:rsidRDefault="00C92C58" w:rsidP="00C92C58">
      <w:pPr>
        <w:rPr>
          <w:lang w:val="es-ES"/>
        </w:rPr>
        <w:sectPr w:rsidR="00C92C58" w:rsidRPr="00C174D5" w:rsidSect="002972F2">
          <w:headerReference w:type="default" r:id="rId22"/>
          <w:pgSz w:w="11907" w:h="16839" w:code="9"/>
          <w:pgMar w:top="1417" w:right="1701" w:bottom="1417" w:left="1701" w:header="630" w:footer="708" w:gutter="0"/>
          <w:cols w:space="708"/>
          <w:docGrid w:linePitch="360"/>
        </w:sectPr>
      </w:pPr>
      <w:bookmarkStart w:id="4" w:name="_GoBack"/>
      <w:bookmarkEnd w:id="4"/>
    </w:p>
    <w:p w14:paraId="07E027DC" w14:textId="77777777" w:rsidR="00C92C58" w:rsidRPr="00C174D5" w:rsidRDefault="00C92C58" w:rsidP="00C92C58">
      <w:pPr>
        <w:pStyle w:val="Heading1"/>
        <w:numPr>
          <w:ilvl w:val="0"/>
          <w:numId w:val="9"/>
        </w:numPr>
        <w:rPr>
          <w:lang w:val="es-ES"/>
        </w:rPr>
      </w:pPr>
      <w:bookmarkStart w:id="5" w:name="_Toc447546925"/>
      <w:bookmarkStart w:id="6" w:name="_Toc456353108"/>
      <w:r w:rsidRPr="00C174D5">
        <w:rPr>
          <w:lang w:val="es-ES"/>
        </w:rPr>
        <w:lastRenderedPageBreak/>
        <w:t>Introducción</w:t>
      </w:r>
      <w:bookmarkEnd w:id="5"/>
      <w:bookmarkEnd w:id="6"/>
    </w:p>
    <w:p w14:paraId="3D65D5F3" w14:textId="77777777" w:rsidR="00C92C58" w:rsidRPr="00C174D5" w:rsidRDefault="00C92C58" w:rsidP="00C92C58">
      <w:pPr>
        <w:rPr>
          <w:lang w:val="es-ES"/>
        </w:rPr>
      </w:pPr>
      <w:r w:rsidRPr="00C174D5">
        <w:rPr>
          <w:lang w:val="es-ES"/>
        </w:rPr>
        <w:t>El presente documento tiene por finalidad presentar la evaluación costo beneficio de un conjunto de proyectos para mejorar la infraestructura de transmisión eléctrica en Nicaragua, a ser financiados parcialmente por el Banco Interamericano de Desarrollo (BID). El objetivo general de este programa es contribuir a la mejora de las condiciones de operación de la infraestructura del Sistema Interconectado Nacional (SIN), mediante el reforzamiento de la infraestructura de transmisión, particularmente de líneas y subestaciones. Los objetivos específicos, por otro lado, incluyen mejorar las condiciones de operación del sistema de transmisión en el SIN mediante refuerzos que permiten atender el crecimiento de la demanda y la conexión de nueva generación e implementar las mejoras del sistema de transmisión requeridas para su adaptación al SIEPAC.</w:t>
      </w:r>
    </w:p>
    <w:p w14:paraId="06CD9982" w14:textId="77777777" w:rsidR="00C92C58" w:rsidRPr="00C174D5" w:rsidRDefault="00C92C58" w:rsidP="00C92C58">
      <w:pPr>
        <w:rPr>
          <w:lang w:val="es-ES"/>
        </w:rPr>
      </w:pPr>
      <w:r w:rsidRPr="00C174D5">
        <w:rPr>
          <w:lang w:val="es-ES"/>
        </w:rPr>
        <w:t xml:space="preserve">Para atender los objetivos mencionados, bajo este componente de transmisión de la operación NI-L1094, se han propuesto los proyectos de enumerados en la </w:t>
      </w:r>
      <w:r w:rsidRPr="00C174D5">
        <w:rPr>
          <w:lang w:val="es-ES"/>
        </w:rPr>
        <w:fldChar w:fldCharType="begin"/>
      </w:r>
      <w:r w:rsidRPr="00C174D5">
        <w:rPr>
          <w:lang w:val="es-ES"/>
        </w:rPr>
        <w:instrText xml:space="preserve"> REF _Ref450036288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1</w:t>
      </w:r>
      <w:r w:rsidRPr="00C174D5">
        <w:rPr>
          <w:lang w:val="es-ES"/>
        </w:rPr>
        <w:fldChar w:fldCharType="end"/>
      </w:r>
      <w:r w:rsidRPr="00C174D5">
        <w:rPr>
          <w:lang w:val="es-ES"/>
        </w:rPr>
        <w:t xml:space="preserve"> y objeto de análisis en el presente documento.</w:t>
      </w:r>
    </w:p>
    <w:p w14:paraId="1886B59E" w14:textId="77777777" w:rsidR="00C92C58" w:rsidRPr="00C174D5" w:rsidRDefault="00C92C58" w:rsidP="00C92C58">
      <w:pPr>
        <w:keepNext/>
        <w:keepLines/>
        <w:spacing w:after="120"/>
        <w:jc w:val="center"/>
        <w:rPr>
          <w:b/>
          <w:sz w:val="20"/>
          <w:lang w:val="es-ES"/>
        </w:rPr>
      </w:pPr>
      <w:bookmarkStart w:id="7" w:name="_Ref450036288"/>
      <w:bookmarkStart w:id="8" w:name="_Toc424725845"/>
      <w:bookmarkStart w:id="9" w:name="_Toc447546960"/>
      <w:bookmarkStart w:id="10" w:name="_Toc456353157"/>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1</w:t>
      </w:r>
      <w:r w:rsidRPr="00C174D5">
        <w:rPr>
          <w:b/>
          <w:sz w:val="20"/>
          <w:lang w:val="es-ES"/>
        </w:rPr>
        <w:fldChar w:fldCharType="end"/>
      </w:r>
      <w:bookmarkEnd w:id="7"/>
      <w:r w:rsidRPr="00C174D5">
        <w:rPr>
          <w:b/>
          <w:sz w:val="20"/>
          <w:lang w:val="es-ES"/>
        </w:rPr>
        <w:t>: Mejoras en la infraestructura de transmisión eléctrica - Inversión (US$)</w:t>
      </w:r>
      <w:bookmarkEnd w:id="8"/>
      <w:bookmarkEnd w:id="9"/>
      <w:bookmarkEnd w:id="10"/>
    </w:p>
    <w:tbl>
      <w:tblPr>
        <w:tblW w:w="83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61"/>
        <w:gridCol w:w="1418"/>
      </w:tblGrid>
      <w:tr w:rsidR="00C92C58" w:rsidRPr="00C174D5" w14:paraId="6B04C7FF" w14:textId="77777777" w:rsidTr="00B15A9A">
        <w:trPr>
          <w:trHeight w:val="270"/>
          <w:tblHeader/>
          <w:jc w:val="center"/>
        </w:trPr>
        <w:tc>
          <w:tcPr>
            <w:tcW w:w="6961" w:type="dxa"/>
            <w:tcBorders>
              <w:top w:val="single" w:sz="12" w:space="0" w:color="auto"/>
              <w:bottom w:val="single" w:sz="12" w:space="0" w:color="auto"/>
            </w:tcBorders>
            <w:shd w:val="clear" w:color="auto" w:fill="D9D9D9"/>
            <w:vAlign w:val="center"/>
            <w:hideMark/>
          </w:tcPr>
          <w:p w14:paraId="02F23A61" w14:textId="77777777" w:rsidR="00C92C58" w:rsidRPr="00C174D5" w:rsidRDefault="00C92C58" w:rsidP="00B15A9A">
            <w:pPr>
              <w:spacing w:after="0" w:line="240" w:lineRule="auto"/>
              <w:jc w:val="left"/>
              <w:rPr>
                <w:b/>
                <w:bCs/>
                <w:sz w:val="20"/>
                <w:szCs w:val="20"/>
                <w:lang w:val="es-ES"/>
              </w:rPr>
            </w:pPr>
            <w:r w:rsidRPr="00C174D5">
              <w:rPr>
                <w:b/>
                <w:bCs/>
                <w:sz w:val="20"/>
                <w:szCs w:val="20"/>
                <w:lang w:val="es-ES"/>
              </w:rPr>
              <w:t>Proyecto</w:t>
            </w:r>
          </w:p>
        </w:tc>
        <w:tc>
          <w:tcPr>
            <w:tcW w:w="1418" w:type="dxa"/>
            <w:tcBorders>
              <w:top w:val="single" w:sz="12" w:space="0" w:color="auto"/>
              <w:bottom w:val="single" w:sz="12" w:space="0" w:color="auto"/>
            </w:tcBorders>
            <w:shd w:val="clear" w:color="auto" w:fill="D9D9D9"/>
            <w:noWrap/>
            <w:vAlign w:val="center"/>
            <w:hideMark/>
          </w:tcPr>
          <w:p w14:paraId="21B655C2" w14:textId="77777777" w:rsidR="00C92C58" w:rsidRPr="00C174D5" w:rsidRDefault="00C92C58" w:rsidP="00B15A9A">
            <w:pPr>
              <w:spacing w:after="0" w:line="240" w:lineRule="auto"/>
              <w:jc w:val="center"/>
              <w:rPr>
                <w:b/>
                <w:bCs/>
                <w:sz w:val="20"/>
                <w:szCs w:val="20"/>
                <w:lang w:val="es-ES"/>
              </w:rPr>
            </w:pPr>
            <w:r w:rsidRPr="00C174D5">
              <w:rPr>
                <w:b/>
                <w:bCs/>
                <w:sz w:val="20"/>
                <w:szCs w:val="20"/>
                <w:lang w:val="es-ES"/>
              </w:rPr>
              <w:t>Inversión</w:t>
            </w:r>
            <w:r w:rsidRPr="00C174D5">
              <w:rPr>
                <w:rStyle w:val="FootnoteReference"/>
                <w:b/>
                <w:bCs/>
                <w:sz w:val="20"/>
                <w:szCs w:val="20"/>
                <w:lang w:val="es-ES"/>
              </w:rPr>
              <w:footnoteReference w:id="4"/>
            </w:r>
          </w:p>
        </w:tc>
      </w:tr>
      <w:tr w:rsidR="00C92C58" w:rsidRPr="00C174D5" w14:paraId="07B64439" w14:textId="77777777" w:rsidTr="00B15A9A">
        <w:trPr>
          <w:trHeight w:val="270"/>
          <w:jc w:val="center"/>
        </w:trPr>
        <w:tc>
          <w:tcPr>
            <w:tcW w:w="6961" w:type="dxa"/>
            <w:tcBorders>
              <w:top w:val="single" w:sz="12" w:space="0" w:color="auto"/>
            </w:tcBorders>
            <w:noWrap/>
            <w:vAlign w:val="bottom"/>
          </w:tcPr>
          <w:p w14:paraId="31796E49" w14:textId="77777777" w:rsidR="00C92C58" w:rsidRPr="00C174D5" w:rsidRDefault="00C92C58" w:rsidP="00B15A9A">
            <w:pPr>
              <w:spacing w:after="0" w:line="240" w:lineRule="auto"/>
              <w:jc w:val="left"/>
              <w:rPr>
                <w:sz w:val="20"/>
                <w:szCs w:val="20"/>
                <w:lang w:val="es-ES"/>
              </w:rPr>
            </w:pPr>
            <w:r w:rsidRPr="00C174D5">
              <w:rPr>
                <w:sz w:val="20"/>
                <w:szCs w:val="20"/>
                <w:lang w:val="es-ES"/>
              </w:rPr>
              <w:t xml:space="preserve">Línea de transmisión 138 </w:t>
            </w:r>
            <w:proofErr w:type="spellStart"/>
            <w:r w:rsidRPr="00C174D5">
              <w:rPr>
                <w:sz w:val="20"/>
                <w:szCs w:val="20"/>
                <w:lang w:val="es-ES"/>
              </w:rPr>
              <w:t>kV</w:t>
            </w:r>
            <w:proofErr w:type="spellEnd"/>
            <w:r w:rsidRPr="00C174D5">
              <w:rPr>
                <w:sz w:val="20"/>
                <w:szCs w:val="20"/>
                <w:lang w:val="es-ES"/>
              </w:rPr>
              <w:t xml:space="preserve"> El Sauce - Villanueva </w:t>
            </w:r>
          </w:p>
        </w:tc>
        <w:tc>
          <w:tcPr>
            <w:tcW w:w="1418" w:type="dxa"/>
            <w:tcBorders>
              <w:top w:val="single" w:sz="12" w:space="0" w:color="auto"/>
            </w:tcBorders>
            <w:vAlign w:val="center"/>
          </w:tcPr>
          <w:p w14:paraId="1A88A889" w14:textId="77777777" w:rsidR="00C92C58" w:rsidRPr="00C174D5" w:rsidRDefault="00C92C58" w:rsidP="00B15A9A">
            <w:pPr>
              <w:spacing w:after="0" w:line="240" w:lineRule="auto"/>
              <w:jc w:val="center"/>
              <w:rPr>
                <w:sz w:val="20"/>
                <w:szCs w:val="20"/>
                <w:lang w:val="es-ES"/>
              </w:rPr>
            </w:pPr>
            <w:r w:rsidRPr="00C174D5">
              <w:rPr>
                <w:sz w:val="20"/>
                <w:szCs w:val="20"/>
                <w:lang w:val="es-ES"/>
              </w:rPr>
              <w:t>16.148.453</w:t>
            </w:r>
          </w:p>
        </w:tc>
      </w:tr>
      <w:tr w:rsidR="00C92C58" w:rsidRPr="00C174D5" w14:paraId="6D12D677" w14:textId="77777777" w:rsidTr="00B15A9A">
        <w:trPr>
          <w:trHeight w:val="255"/>
          <w:jc w:val="center"/>
        </w:trPr>
        <w:tc>
          <w:tcPr>
            <w:tcW w:w="6961" w:type="dxa"/>
            <w:vAlign w:val="center"/>
          </w:tcPr>
          <w:p w14:paraId="7663F7E0" w14:textId="77777777" w:rsidR="00C92C58" w:rsidRPr="00C174D5" w:rsidRDefault="00C92C58" w:rsidP="00B15A9A">
            <w:pPr>
              <w:spacing w:after="0" w:line="240" w:lineRule="auto"/>
              <w:jc w:val="left"/>
              <w:rPr>
                <w:sz w:val="20"/>
                <w:szCs w:val="20"/>
                <w:lang w:val="es-ES"/>
              </w:rPr>
            </w:pPr>
            <w:r w:rsidRPr="00C174D5">
              <w:rPr>
                <w:sz w:val="20"/>
                <w:szCs w:val="20"/>
                <w:lang w:val="es-ES"/>
              </w:rPr>
              <w:t xml:space="preserve">Ampliación de la Subestación </w:t>
            </w:r>
            <w:proofErr w:type="spellStart"/>
            <w:r w:rsidRPr="00C174D5">
              <w:rPr>
                <w:sz w:val="20"/>
                <w:szCs w:val="20"/>
                <w:lang w:val="es-ES"/>
              </w:rPr>
              <w:t>Sébaco</w:t>
            </w:r>
            <w:proofErr w:type="spellEnd"/>
          </w:p>
        </w:tc>
        <w:tc>
          <w:tcPr>
            <w:tcW w:w="1418" w:type="dxa"/>
            <w:vAlign w:val="center"/>
          </w:tcPr>
          <w:p w14:paraId="74293CEA" w14:textId="77777777" w:rsidR="00C92C58" w:rsidRPr="00C174D5" w:rsidRDefault="00C92C58" w:rsidP="00B15A9A">
            <w:pPr>
              <w:spacing w:after="0" w:line="240" w:lineRule="auto"/>
              <w:jc w:val="center"/>
              <w:rPr>
                <w:sz w:val="20"/>
                <w:szCs w:val="20"/>
                <w:lang w:val="es-ES"/>
              </w:rPr>
            </w:pPr>
            <w:r w:rsidRPr="00C174D5">
              <w:rPr>
                <w:sz w:val="20"/>
                <w:szCs w:val="20"/>
                <w:lang w:val="es-ES"/>
              </w:rPr>
              <w:t>9.385.502</w:t>
            </w:r>
          </w:p>
        </w:tc>
      </w:tr>
      <w:tr w:rsidR="00C92C58" w:rsidRPr="00C174D5" w14:paraId="5554D52B" w14:textId="77777777" w:rsidTr="00B15A9A">
        <w:trPr>
          <w:trHeight w:val="255"/>
          <w:jc w:val="center"/>
        </w:trPr>
        <w:tc>
          <w:tcPr>
            <w:tcW w:w="6961" w:type="dxa"/>
            <w:vAlign w:val="center"/>
          </w:tcPr>
          <w:p w14:paraId="06BA7E02" w14:textId="77777777" w:rsidR="00C92C58" w:rsidRPr="00C174D5" w:rsidRDefault="00C92C58" w:rsidP="00B15A9A">
            <w:pPr>
              <w:spacing w:after="0" w:line="240" w:lineRule="auto"/>
              <w:jc w:val="left"/>
              <w:rPr>
                <w:sz w:val="20"/>
                <w:szCs w:val="20"/>
                <w:lang w:val="es-ES"/>
              </w:rPr>
            </w:pPr>
            <w:r w:rsidRPr="00C174D5">
              <w:rPr>
                <w:sz w:val="20"/>
                <w:szCs w:val="20"/>
                <w:lang w:val="es-ES"/>
              </w:rPr>
              <w:t xml:space="preserve">Ampliación de la capacidad de transmisión de 4 Subestaciones (sustitución de transformadores) </w:t>
            </w:r>
          </w:p>
        </w:tc>
        <w:tc>
          <w:tcPr>
            <w:tcW w:w="1418" w:type="dxa"/>
            <w:vAlign w:val="center"/>
          </w:tcPr>
          <w:p w14:paraId="3B80C00F" w14:textId="77777777" w:rsidR="00C92C58" w:rsidRPr="00C174D5" w:rsidRDefault="00C92C58" w:rsidP="00B15A9A">
            <w:pPr>
              <w:spacing w:after="0" w:line="240" w:lineRule="auto"/>
              <w:jc w:val="center"/>
              <w:rPr>
                <w:sz w:val="20"/>
                <w:szCs w:val="20"/>
                <w:lang w:val="es-ES"/>
              </w:rPr>
            </w:pPr>
            <w:r w:rsidRPr="00C174D5">
              <w:rPr>
                <w:sz w:val="20"/>
                <w:szCs w:val="20"/>
                <w:lang w:val="es-ES"/>
              </w:rPr>
              <w:t>8.336.848</w:t>
            </w:r>
          </w:p>
        </w:tc>
      </w:tr>
      <w:tr w:rsidR="00C92C58" w:rsidRPr="00C174D5" w14:paraId="25300EE5" w14:textId="77777777" w:rsidTr="00B15A9A">
        <w:trPr>
          <w:trHeight w:val="255"/>
          <w:jc w:val="center"/>
        </w:trPr>
        <w:tc>
          <w:tcPr>
            <w:tcW w:w="6961" w:type="dxa"/>
            <w:tcBorders>
              <w:top w:val="single" w:sz="6" w:space="0" w:color="auto"/>
              <w:left w:val="single" w:sz="12" w:space="0" w:color="auto"/>
              <w:bottom w:val="single" w:sz="4" w:space="0" w:color="auto"/>
              <w:right w:val="single" w:sz="6" w:space="0" w:color="auto"/>
            </w:tcBorders>
            <w:shd w:val="clear" w:color="auto" w:fill="auto"/>
            <w:vAlign w:val="center"/>
          </w:tcPr>
          <w:p w14:paraId="3282A4AB" w14:textId="77777777" w:rsidR="00C92C58" w:rsidRPr="00C174D5" w:rsidRDefault="00C92C58" w:rsidP="00B15A9A">
            <w:pPr>
              <w:spacing w:after="0" w:line="240" w:lineRule="auto"/>
              <w:jc w:val="left"/>
              <w:rPr>
                <w:sz w:val="20"/>
                <w:szCs w:val="20"/>
                <w:lang w:val="es-ES"/>
              </w:rPr>
            </w:pPr>
            <w:r w:rsidRPr="00C174D5">
              <w:rPr>
                <w:sz w:val="20"/>
                <w:szCs w:val="20"/>
                <w:lang w:val="es-ES"/>
              </w:rPr>
              <w:t xml:space="preserve">Modernización SE </w:t>
            </w:r>
            <w:proofErr w:type="spellStart"/>
            <w:r w:rsidRPr="00C174D5">
              <w:rPr>
                <w:sz w:val="20"/>
                <w:szCs w:val="20"/>
                <w:lang w:val="es-ES"/>
              </w:rPr>
              <w:t>Ticuantepe</w:t>
            </w:r>
            <w:proofErr w:type="spellEnd"/>
            <w:r w:rsidRPr="00C174D5">
              <w:rPr>
                <w:sz w:val="20"/>
                <w:szCs w:val="20"/>
                <w:lang w:val="es-ES"/>
              </w:rPr>
              <w:t xml:space="preserve"> I y Ampliación SE </w:t>
            </w:r>
            <w:proofErr w:type="spellStart"/>
            <w:r w:rsidRPr="00C174D5">
              <w:rPr>
                <w:sz w:val="20"/>
                <w:szCs w:val="20"/>
                <w:lang w:val="es-ES"/>
              </w:rPr>
              <w:t>Ticuantepe</w:t>
            </w:r>
            <w:proofErr w:type="spellEnd"/>
            <w:r w:rsidRPr="00C174D5">
              <w:rPr>
                <w:sz w:val="20"/>
                <w:szCs w:val="20"/>
                <w:lang w:val="es-ES"/>
              </w:rPr>
              <w:t xml:space="preserve"> II</w:t>
            </w:r>
          </w:p>
        </w:tc>
        <w:tc>
          <w:tcPr>
            <w:tcW w:w="1418" w:type="dxa"/>
            <w:tcBorders>
              <w:top w:val="single" w:sz="6" w:space="0" w:color="auto"/>
              <w:left w:val="single" w:sz="6" w:space="0" w:color="auto"/>
              <w:bottom w:val="single" w:sz="4" w:space="0" w:color="auto"/>
              <w:right w:val="single" w:sz="12" w:space="0" w:color="auto"/>
            </w:tcBorders>
            <w:shd w:val="clear" w:color="auto" w:fill="auto"/>
            <w:vAlign w:val="center"/>
          </w:tcPr>
          <w:p w14:paraId="58F409FD" w14:textId="77777777" w:rsidR="00C92C58" w:rsidRPr="00C174D5" w:rsidRDefault="00C92C58" w:rsidP="00B15A9A">
            <w:pPr>
              <w:spacing w:after="0" w:line="240" w:lineRule="auto"/>
              <w:jc w:val="center"/>
              <w:rPr>
                <w:sz w:val="20"/>
                <w:szCs w:val="20"/>
                <w:lang w:val="es-ES"/>
              </w:rPr>
            </w:pPr>
            <w:r w:rsidRPr="00C174D5">
              <w:rPr>
                <w:sz w:val="20"/>
                <w:szCs w:val="20"/>
                <w:lang w:val="es-ES"/>
              </w:rPr>
              <w:t>7.804.288</w:t>
            </w:r>
          </w:p>
        </w:tc>
      </w:tr>
      <w:tr w:rsidR="00C92C58" w:rsidRPr="00C174D5" w14:paraId="5BA517FA" w14:textId="77777777" w:rsidTr="00B15A9A">
        <w:trPr>
          <w:trHeight w:val="255"/>
          <w:jc w:val="center"/>
        </w:trPr>
        <w:tc>
          <w:tcPr>
            <w:tcW w:w="6961" w:type="dxa"/>
            <w:tcBorders>
              <w:top w:val="single" w:sz="6" w:space="0" w:color="auto"/>
              <w:left w:val="single" w:sz="12" w:space="0" w:color="auto"/>
              <w:bottom w:val="single" w:sz="4" w:space="0" w:color="auto"/>
              <w:right w:val="single" w:sz="6" w:space="0" w:color="auto"/>
            </w:tcBorders>
            <w:shd w:val="clear" w:color="auto" w:fill="auto"/>
            <w:vAlign w:val="center"/>
          </w:tcPr>
          <w:p w14:paraId="3FB834D1" w14:textId="77777777" w:rsidR="00C92C58" w:rsidRPr="00C174D5" w:rsidRDefault="00C92C58" w:rsidP="00B15A9A">
            <w:pPr>
              <w:spacing w:after="0" w:line="240" w:lineRule="auto"/>
              <w:jc w:val="left"/>
              <w:rPr>
                <w:sz w:val="20"/>
                <w:szCs w:val="20"/>
                <w:lang w:val="es-ES"/>
              </w:rPr>
            </w:pPr>
            <w:r w:rsidRPr="00C174D5">
              <w:rPr>
                <w:sz w:val="20"/>
                <w:szCs w:val="20"/>
                <w:lang w:val="es-ES"/>
              </w:rPr>
              <w:t>Adquisición Transformador Móvil</w:t>
            </w:r>
          </w:p>
        </w:tc>
        <w:tc>
          <w:tcPr>
            <w:tcW w:w="1418" w:type="dxa"/>
            <w:tcBorders>
              <w:top w:val="single" w:sz="6" w:space="0" w:color="auto"/>
              <w:left w:val="single" w:sz="6" w:space="0" w:color="auto"/>
              <w:bottom w:val="single" w:sz="4" w:space="0" w:color="auto"/>
              <w:right w:val="single" w:sz="12" w:space="0" w:color="auto"/>
            </w:tcBorders>
            <w:shd w:val="clear" w:color="auto" w:fill="auto"/>
            <w:vAlign w:val="center"/>
          </w:tcPr>
          <w:p w14:paraId="18CF16A9" w14:textId="77777777" w:rsidR="00C92C58" w:rsidRPr="00C174D5" w:rsidRDefault="00C92C58" w:rsidP="00B15A9A">
            <w:pPr>
              <w:spacing w:after="0" w:line="240" w:lineRule="auto"/>
              <w:jc w:val="center"/>
              <w:rPr>
                <w:sz w:val="20"/>
                <w:szCs w:val="20"/>
                <w:lang w:val="es-ES"/>
              </w:rPr>
            </w:pPr>
            <w:r w:rsidRPr="00C174D5">
              <w:rPr>
                <w:sz w:val="20"/>
                <w:szCs w:val="20"/>
                <w:lang w:val="es-ES"/>
              </w:rPr>
              <w:t>1.131.513</w:t>
            </w:r>
          </w:p>
        </w:tc>
      </w:tr>
      <w:tr w:rsidR="00C92C58" w:rsidRPr="00C174D5" w14:paraId="4D056FA9" w14:textId="77777777" w:rsidTr="00B15A9A">
        <w:trPr>
          <w:trHeight w:val="255"/>
          <w:jc w:val="center"/>
        </w:trPr>
        <w:tc>
          <w:tcPr>
            <w:tcW w:w="6961" w:type="dxa"/>
            <w:tcBorders>
              <w:top w:val="single" w:sz="4" w:space="0" w:color="auto"/>
              <w:left w:val="single" w:sz="12" w:space="0" w:color="auto"/>
              <w:bottom w:val="single" w:sz="12" w:space="0" w:color="auto"/>
              <w:right w:val="single" w:sz="6" w:space="0" w:color="auto"/>
            </w:tcBorders>
            <w:shd w:val="clear" w:color="auto" w:fill="auto"/>
            <w:vAlign w:val="center"/>
          </w:tcPr>
          <w:p w14:paraId="6795AFB4" w14:textId="77777777" w:rsidR="00C92C58" w:rsidRPr="00C174D5" w:rsidRDefault="00C92C58" w:rsidP="00B15A9A">
            <w:pPr>
              <w:spacing w:after="0" w:line="240" w:lineRule="auto"/>
              <w:jc w:val="left"/>
              <w:rPr>
                <w:sz w:val="20"/>
                <w:szCs w:val="20"/>
                <w:lang w:val="es-ES"/>
              </w:rPr>
            </w:pPr>
            <w:r w:rsidRPr="00C174D5">
              <w:rPr>
                <w:sz w:val="20"/>
                <w:szCs w:val="20"/>
                <w:lang w:val="es-ES"/>
              </w:rPr>
              <w:t>Inversión en Nicaragua de líneas 230k</w:t>
            </w:r>
            <w:r w:rsidRPr="00C174D5">
              <w:rPr>
                <w:rStyle w:val="FootnoteReference"/>
                <w:sz w:val="20"/>
                <w:szCs w:val="20"/>
                <w:lang w:val="es-ES"/>
              </w:rPr>
              <w:footnoteReference w:id="5"/>
            </w:r>
          </w:p>
        </w:tc>
        <w:tc>
          <w:tcPr>
            <w:tcW w:w="1418" w:type="dxa"/>
            <w:tcBorders>
              <w:top w:val="single" w:sz="4" w:space="0" w:color="auto"/>
              <w:left w:val="single" w:sz="6" w:space="0" w:color="auto"/>
              <w:bottom w:val="single" w:sz="12" w:space="0" w:color="auto"/>
              <w:right w:val="single" w:sz="12" w:space="0" w:color="auto"/>
            </w:tcBorders>
            <w:shd w:val="clear" w:color="auto" w:fill="auto"/>
            <w:vAlign w:val="center"/>
          </w:tcPr>
          <w:p w14:paraId="74827D14" w14:textId="77777777" w:rsidR="00C92C58" w:rsidRPr="00C174D5" w:rsidRDefault="00C92C58" w:rsidP="00B15A9A">
            <w:pPr>
              <w:spacing w:after="0" w:line="240" w:lineRule="auto"/>
              <w:jc w:val="center"/>
              <w:rPr>
                <w:sz w:val="20"/>
                <w:szCs w:val="20"/>
                <w:lang w:val="es-ES"/>
              </w:rPr>
            </w:pPr>
            <w:r w:rsidRPr="00C174D5">
              <w:rPr>
                <w:sz w:val="20"/>
                <w:szCs w:val="20"/>
                <w:lang w:val="es-ES"/>
              </w:rPr>
              <w:t>13.096.758</w:t>
            </w:r>
          </w:p>
        </w:tc>
      </w:tr>
      <w:tr w:rsidR="00C92C58" w:rsidRPr="00C174D5" w14:paraId="76B2834C" w14:textId="77777777" w:rsidTr="00B15A9A">
        <w:trPr>
          <w:trHeight w:val="255"/>
          <w:jc w:val="center"/>
        </w:trPr>
        <w:tc>
          <w:tcPr>
            <w:tcW w:w="6961"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649988EC" w14:textId="77777777" w:rsidR="00C92C58" w:rsidRPr="00C174D5" w:rsidRDefault="00C92C58" w:rsidP="00B15A9A">
            <w:pPr>
              <w:keepNext/>
              <w:keepLines/>
              <w:spacing w:after="0" w:line="240" w:lineRule="auto"/>
              <w:jc w:val="left"/>
              <w:rPr>
                <w:b/>
                <w:sz w:val="20"/>
                <w:szCs w:val="20"/>
                <w:lang w:val="es-ES"/>
              </w:rPr>
            </w:pPr>
            <w:r w:rsidRPr="00C174D5">
              <w:rPr>
                <w:b/>
                <w:sz w:val="20"/>
                <w:szCs w:val="20"/>
                <w:lang w:val="es-ES"/>
              </w:rPr>
              <w:t>TOTAL Nicaragua (para refuerzo doméstico y Regional)</w:t>
            </w:r>
          </w:p>
        </w:tc>
        <w:tc>
          <w:tcPr>
            <w:tcW w:w="1418"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7126C077" w14:textId="77777777" w:rsidR="00C92C58" w:rsidRPr="00C174D5" w:rsidRDefault="00C92C58" w:rsidP="00B15A9A">
            <w:pPr>
              <w:keepNext/>
              <w:keepLines/>
              <w:spacing w:after="0" w:line="240" w:lineRule="auto"/>
              <w:jc w:val="center"/>
              <w:rPr>
                <w:b/>
                <w:sz w:val="20"/>
                <w:szCs w:val="20"/>
                <w:lang w:val="es-ES"/>
              </w:rPr>
            </w:pPr>
            <w:r w:rsidRPr="00C174D5">
              <w:rPr>
                <w:b/>
                <w:sz w:val="20"/>
                <w:szCs w:val="20"/>
                <w:lang w:val="es-ES"/>
              </w:rPr>
              <w:t>55.903.362</w:t>
            </w:r>
          </w:p>
        </w:tc>
      </w:tr>
    </w:tbl>
    <w:p w14:paraId="3963F45E" w14:textId="77777777" w:rsidR="00C92C58" w:rsidRPr="00C174D5" w:rsidRDefault="00C92C58" w:rsidP="00C92C58">
      <w:pPr>
        <w:ind w:left="851" w:right="850"/>
        <w:jc w:val="center"/>
        <w:rPr>
          <w:sz w:val="18"/>
          <w:lang w:val="es-ES"/>
        </w:rPr>
      </w:pPr>
      <w:r w:rsidRPr="00C174D5">
        <w:rPr>
          <w:sz w:val="18"/>
          <w:lang w:val="es-ES"/>
        </w:rPr>
        <w:t>Fuente: Elaboración propia en base a información de ENATREL provista por el BID</w:t>
      </w:r>
    </w:p>
    <w:p w14:paraId="4AA29A6E" w14:textId="77777777" w:rsidR="00C92C58" w:rsidRPr="00C174D5" w:rsidRDefault="00C92C58" w:rsidP="00C92C58">
      <w:pPr>
        <w:tabs>
          <w:tab w:val="left" w:pos="2505"/>
        </w:tabs>
        <w:rPr>
          <w:lang w:val="es-ES"/>
        </w:rPr>
      </w:pPr>
      <w:r w:rsidRPr="00C174D5">
        <w:rPr>
          <w:lang w:val="es-ES"/>
        </w:rPr>
        <w:t xml:space="preserve">A continuación se realiza una breve descripción de estos cuatro proyectos. </w:t>
      </w:r>
    </w:p>
    <w:p w14:paraId="5B0B5775" w14:textId="77777777" w:rsidR="00C92C58" w:rsidRPr="00C174D5" w:rsidRDefault="00C92C58" w:rsidP="00C92C58">
      <w:pPr>
        <w:rPr>
          <w:lang w:val="es-ES"/>
        </w:rPr>
      </w:pPr>
      <w:r w:rsidRPr="00C174D5">
        <w:rPr>
          <w:lang w:val="es-ES"/>
        </w:rPr>
        <w:t xml:space="preserve">El primer proyecto analizado consiste en la construcción de una línea de transmisión de 138 </w:t>
      </w:r>
      <w:proofErr w:type="spellStart"/>
      <w:r w:rsidRPr="00C174D5">
        <w:rPr>
          <w:lang w:val="es-ES"/>
        </w:rPr>
        <w:t>kV</w:t>
      </w:r>
      <w:proofErr w:type="spellEnd"/>
      <w:r w:rsidRPr="00C174D5">
        <w:rPr>
          <w:lang w:val="es-ES"/>
        </w:rPr>
        <w:t xml:space="preserve"> que conecta la SE Villanueva (VNA) con la SE El Sauce. Este proyecto permitirá suministrar energía confiable y segura a los usuarios (tanto actuales como potenciales) conectados a la SE Villanueva, mejorando la calidad de vida de 26.734 clientes. </w:t>
      </w:r>
    </w:p>
    <w:p w14:paraId="5D271A1D" w14:textId="77777777" w:rsidR="00C92C58" w:rsidRPr="00C174D5" w:rsidRDefault="00C92C58" w:rsidP="00C92C58">
      <w:pPr>
        <w:rPr>
          <w:lang w:val="es-ES"/>
        </w:rPr>
      </w:pPr>
      <w:r w:rsidRPr="00C174D5">
        <w:rPr>
          <w:lang w:val="es-ES"/>
        </w:rPr>
        <w:t xml:space="preserve">El proyecto de ampliación de la SE </w:t>
      </w:r>
      <w:proofErr w:type="spellStart"/>
      <w:r w:rsidRPr="00C174D5">
        <w:rPr>
          <w:lang w:val="es-ES"/>
        </w:rPr>
        <w:t>Sébaco</w:t>
      </w:r>
      <w:proofErr w:type="spellEnd"/>
      <w:r w:rsidRPr="00C174D5">
        <w:rPr>
          <w:lang w:val="es-ES"/>
        </w:rPr>
        <w:t xml:space="preserve"> consiste en instalar una segunda barra en la SE, lo que permitirá incrementar la confiabilidad y la seguridad de la operación de la misma. En relación a la confiabilidad, se pretende con este proyecto reducir la </w:t>
      </w:r>
      <w:r w:rsidRPr="00C174D5">
        <w:rPr>
          <w:lang w:val="es-ES"/>
        </w:rPr>
        <w:lastRenderedPageBreak/>
        <w:t>discontinuidad del servicio que actualmente se verifica cuando hay una falla de la barra o de un disyuntor. En relación a la seguridad en la operación de la SE, con una segunda barra será posible realizar tareas de mantenimiento de manera más segura, evitando la operación “en caliente”.</w:t>
      </w:r>
    </w:p>
    <w:p w14:paraId="4021B8FB" w14:textId="77777777" w:rsidR="00C92C58" w:rsidRPr="00C174D5" w:rsidRDefault="00C92C58" w:rsidP="00C92C58">
      <w:pPr>
        <w:rPr>
          <w:lang w:val="es-ES"/>
        </w:rPr>
      </w:pPr>
      <w:r w:rsidRPr="00C174D5">
        <w:rPr>
          <w:lang w:val="es-ES"/>
        </w:rPr>
        <w:t>El tercer proyecto se trata de la ampliación de la capacidad de transmisión del sistema, lo que se pretende realizar mediante el reemplazo de transformadores. Esta sustitución de transformadores obsoletos, que presentan riesgo de sobrecarga e inestabilidad, tiene como objetivo último satisfacer la demanda actual y potencial de electricidad de forma confiable.</w:t>
      </w:r>
    </w:p>
    <w:p w14:paraId="68C244FB" w14:textId="77777777" w:rsidR="00C92C58" w:rsidRPr="00C174D5" w:rsidRDefault="00C92C58" w:rsidP="00C92C58">
      <w:pPr>
        <w:rPr>
          <w:lang w:val="es-ES"/>
        </w:rPr>
      </w:pPr>
      <w:r w:rsidRPr="00C174D5">
        <w:rPr>
          <w:lang w:val="es-ES"/>
        </w:rPr>
        <w:t xml:space="preserve">El cuarto proyecto consiste en la modernización de la SE </w:t>
      </w:r>
      <w:proofErr w:type="spellStart"/>
      <w:r w:rsidRPr="00C174D5">
        <w:rPr>
          <w:lang w:val="es-ES"/>
        </w:rPr>
        <w:t>Ticuantepe</w:t>
      </w:r>
      <w:proofErr w:type="spellEnd"/>
      <w:r w:rsidRPr="00C174D5">
        <w:rPr>
          <w:lang w:val="es-ES"/>
        </w:rPr>
        <w:t xml:space="preserve"> I, con el objeto de mejorar la confiabilidad de suministro y ampliar la capacidad de transformación para poder abastecer las cargas futuras de la zona.</w:t>
      </w:r>
    </w:p>
    <w:p w14:paraId="7FDD3C2D" w14:textId="77777777" w:rsidR="00C92C58" w:rsidRPr="00C174D5" w:rsidRDefault="00C92C58" w:rsidP="00C92C58">
      <w:pPr>
        <w:rPr>
          <w:lang w:val="es-ES"/>
        </w:rPr>
      </w:pPr>
      <w:r w:rsidRPr="00C174D5">
        <w:rPr>
          <w:lang w:val="es-ES"/>
        </w:rPr>
        <w:t>El quinto proyecto, la adquisición de un transformador móvil, tiene como objetivo mejorar la confiabilidad del sistema en el área de Managua, garantizando las condiciones para la realización de mantenimiento preventivo a los transformadores de 40MVA y respaldando la demanda ante cualquier emergencia o salida de un transformador de potencia.</w:t>
      </w:r>
    </w:p>
    <w:p w14:paraId="655A993C" w14:textId="77777777" w:rsidR="00C92C58" w:rsidRPr="00C174D5" w:rsidRDefault="00C92C58" w:rsidP="00C92C58">
      <w:pPr>
        <w:rPr>
          <w:lang w:val="es-ES"/>
        </w:rPr>
      </w:pPr>
      <w:r w:rsidRPr="00C174D5">
        <w:rPr>
          <w:lang w:val="es-ES"/>
        </w:rPr>
        <w:t xml:space="preserve">El último proyecto radica en el aumento de la capacidad de transmisión de líneas de 230 </w:t>
      </w:r>
      <w:proofErr w:type="spellStart"/>
      <w:r w:rsidRPr="00C174D5">
        <w:rPr>
          <w:lang w:val="es-ES"/>
        </w:rPr>
        <w:t>kV</w:t>
      </w:r>
      <w:proofErr w:type="spellEnd"/>
      <w:r w:rsidRPr="00C174D5">
        <w:rPr>
          <w:lang w:val="es-ES"/>
        </w:rPr>
        <w:t xml:space="preserve"> existentes. Este aumento es necesario para garantizar la transferencia de los 300 MW esperados con la operación del primer circuito del proyecto SIEPAC.</w:t>
      </w:r>
    </w:p>
    <w:p w14:paraId="5FB57B9F" w14:textId="77777777" w:rsidR="00C92C58" w:rsidRPr="00C174D5" w:rsidRDefault="00C92C58" w:rsidP="00C92C58">
      <w:pPr>
        <w:rPr>
          <w:lang w:val="es-ES"/>
        </w:rPr>
      </w:pPr>
      <w:r w:rsidRPr="00C174D5">
        <w:rPr>
          <w:lang w:val="es-ES"/>
        </w:rPr>
        <w:t xml:space="preserve">Un resumen de las características principales de cada uno de estos proyectos de transmisión se muestra en la </w:t>
      </w:r>
      <w:r w:rsidRPr="00C174D5">
        <w:rPr>
          <w:lang w:val="es-ES"/>
        </w:rPr>
        <w:fldChar w:fldCharType="begin"/>
      </w:r>
      <w:r w:rsidRPr="00C174D5">
        <w:rPr>
          <w:lang w:val="es-ES"/>
        </w:rPr>
        <w:instrText xml:space="preserve"> REF _Ref450036274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2</w:t>
      </w:r>
      <w:r w:rsidRPr="00C174D5">
        <w:rPr>
          <w:lang w:val="es-ES"/>
        </w:rPr>
        <w:fldChar w:fldCharType="end"/>
      </w:r>
      <w:r w:rsidRPr="00C174D5">
        <w:rPr>
          <w:lang w:val="es-ES"/>
        </w:rPr>
        <w:t>.</w:t>
      </w:r>
    </w:p>
    <w:p w14:paraId="50546105" w14:textId="77777777" w:rsidR="00C92C58" w:rsidRPr="00C174D5" w:rsidRDefault="00C92C58" w:rsidP="00C92C58">
      <w:pPr>
        <w:keepNext/>
        <w:keepLines/>
        <w:spacing w:after="120"/>
        <w:jc w:val="center"/>
        <w:rPr>
          <w:b/>
          <w:sz w:val="20"/>
          <w:lang w:val="es-ES"/>
        </w:rPr>
      </w:pPr>
      <w:bookmarkStart w:id="11" w:name="_Ref450036274"/>
      <w:bookmarkStart w:id="12" w:name="_Toc424725848"/>
      <w:bookmarkStart w:id="13" w:name="_Toc447546961"/>
      <w:bookmarkStart w:id="14" w:name="_Toc456353158"/>
      <w:r w:rsidRPr="00C174D5">
        <w:rPr>
          <w:b/>
          <w:sz w:val="20"/>
          <w:lang w:val="es-ES"/>
        </w:rPr>
        <w:lastRenderedPageBreak/>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2</w:t>
      </w:r>
      <w:r w:rsidRPr="00C174D5">
        <w:rPr>
          <w:b/>
          <w:sz w:val="20"/>
          <w:lang w:val="es-ES"/>
        </w:rPr>
        <w:fldChar w:fldCharType="end"/>
      </w:r>
      <w:bookmarkEnd w:id="11"/>
      <w:r w:rsidRPr="00C174D5">
        <w:rPr>
          <w:b/>
          <w:sz w:val="20"/>
          <w:lang w:val="es-ES"/>
        </w:rPr>
        <w:t>: Proyectos evaluados</w:t>
      </w:r>
      <w:bookmarkEnd w:id="12"/>
      <w:r w:rsidRPr="00C174D5">
        <w:rPr>
          <w:b/>
          <w:sz w:val="20"/>
          <w:lang w:val="es-ES"/>
        </w:rPr>
        <w:t xml:space="preserve"> – Principales indicadores</w:t>
      </w:r>
      <w:bookmarkEnd w:id="13"/>
      <w:bookmarkEnd w:id="14"/>
    </w:p>
    <w:tbl>
      <w:tblPr>
        <w:tblW w:w="85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34"/>
        <w:gridCol w:w="1155"/>
        <w:gridCol w:w="1396"/>
        <w:gridCol w:w="905"/>
        <w:gridCol w:w="851"/>
        <w:gridCol w:w="850"/>
        <w:gridCol w:w="801"/>
        <w:gridCol w:w="992"/>
      </w:tblGrid>
      <w:tr w:rsidR="00C92C58" w:rsidRPr="00C174D5" w14:paraId="7D5D6C1F" w14:textId="77777777" w:rsidTr="00B15A9A">
        <w:trPr>
          <w:trHeight w:val="280"/>
          <w:tblHeader/>
          <w:jc w:val="center"/>
        </w:trPr>
        <w:tc>
          <w:tcPr>
            <w:tcW w:w="1634" w:type="dxa"/>
            <w:vMerge w:val="restart"/>
            <w:tcBorders>
              <w:top w:val="single" w:sz="12" w:space="0" w:color="auto"/>
              <w:bottom w:val="single" w:sz="12" w:space="0" w:color="000000"/>
            </w:tcBorders>
            <w:shd w:val="clear" w:color="auto" w:fill="BFBFBF" w:themeFill="background1" w:themeFillShade="BF"/>
            <w:vAlign w:val="center"/>
            <w:hideMark/>
          </w:tcPr>
          <w:p w14:paraId="501AE9FC" w14:textId="77777777" w:rsidR="00C92C58" w:rsidRPr="00C174D5" w:rsidRDefault="00C92C58" w:rsidP="00B15A9A">
            <w:pPr>
              <w:keepNext/>
              <w:keepLines/>
              <w:spacing w:after="0" w:line="240" w:lineRule="auto"/>
              <w:jc w:val="center"/>
              <w:rPr>
                <w:rFonts w:eastAsia="Times New Roman" w:cs="Times New Roman"/>
                <w:b/>
                <w:bCs/>
                <w:sz w:val="18"/>
                <w:szCs w:val="24"/>
                <w:lang w:val="es-ES" w:eastAsia="es-AR"/>
              </w:rPr>
            </w:pPr>
            <w:r w:rsidRPr="00C174D5">
              <w:rPr>
                <w:rFonts w:eastAsia="Times New Roman" w:cs="Times New Roman"/>
                <w:b/>
                <w:bCs/>
                <w:sz w:val="18"/>
                <w:szCs w:val="24"/>
                <w:lang w:val="es-ES" w:eastAsia="es-AR"/>
              </w:rPr>
              <w:t>Proyecto</w:t>
            </w:r>
          </w:p>
        </w:tc>
        <w:tc>
          <w:tcPr>
            <w:tcW w:w="1155" w:type="dxa"/>
            <w:vMerge w:val="restart"/>
            <w:shd w:val="clear" w:color="auto" w:fill="BFBFBF" w:themeFill="background1" w:themeFillShade="BF"/>
            <w:vAlign w:val="center"/>
          </w:tcPr>
          <w:p w14:paraId="338F5B57" w14:textId="77777777" w:rsidR="00C92C58" w:rsidRPr="00C174D5" w:rsidRDefault="00C92C58" w:rsidP="00B15A9A">
            <w:pPr>
              <w:keepNext/>
              <w:keepLines/>
              <w:spacing w:after="0" w:line="240" w:lineRule="auto"/>
              <w:jc w:val="center"/>
              <w:rPr>
                <w:rFonts w:eastAsia="Times New Roman" w:cs="Times New Roman"/>
                <w:b/>
                <w:bCs/>
                <w:sz w:val="18"/>
                <w:szCs w:val="24"/>
                <w:lang w:val="es-ES" w:eastAsia="es-AR"/>
              </w:rPr>
            </w:pPr>
            <w:r w:rsidRPr="00C174D5">
              <w:rPr>
                <w:rFonts w:eastAsia="Times New Roman" w:cs="Times New Roman"/>
                <w:b/>
                <w:bCs/>
                <w:sz w:val="18"/>
                <w:szCs w:val="24"/>
                <w:lang w:val="es-ES" w:eastAsia="es-AR"/>
              </w:rPr>
              <w:t>Inversión</w:t>
            </w:r>
          </w:p>
          <w:p w14:paraId="1DAFD693" w14:textId="77777777" w:rsidR="00C92C58" w:rsidRPr="00C174D5" w:rsidRDefault="00C92C58" w:rsidP="00B15A9A">
            <w:pPr>
              <w:keepNext/>
              <w:keepLines/>
              <w:spacing w:after="0" w:line="240" w:lineRule="auto"/>
              <w:jc w:val="center"/>
              <w:rPr>
                <w:rFonts w:eastAsia="Times New Roman" w:cs="Times New Roman"/>
                <w:b/>
                <w:bCs/>
                <w:sz w:val="18"/>
                <w:szCs w:val="24"/>
                <w:lang w:val="es-ES" w:eastAsia="es-AR"/>
              </w:rPr>
            </w:pPr>
            <w:r w:rsidRPr="00C174D5">
              <w:rPr>
                <w:rFonts w:eastAsia="Times New Roman" w:cs="Times New Roman"/>
                <w:b/>
                <w:bCs/>
                <w:sz w:val="18"/>
                <w:szCs w:val="24"/>
                <w:lang w:val="es-ES" w:eastAsia="es-AR"/>
              </w:rPr>
              <w:t>US$</w:t>
            </w:r>
          </w:p>
        </w:tc>
        <w:tc>
          <w:tcPr>
            <w:tcW w:w="1396" w:type="dxa"/>
            <w:vMerge w:val="restart"/>
            <w:shd w:val="clear" w:color="auto" w:fill="BFBFBF" w:themeFill="background1" w:themeFillShade="BF"/>
            <w:vAlign w:val="center"/>
          </w:tcPr>
          <w:p w14:paraId="7DC78131" w14:textId="77777777" w:rsidR="00C92C58" w:rsidRPr="00C174D5" w:rsidRDefault="00C92C58" w:rsidP="00B15A9A">
            <w:pPr>
              <w:keepNext/>
              <w:keepLines/>
              <w:spacing w:after="0" w:line="240" w:lineRule="auto"/>
              <w:jc w:val="center"/>
              <w:rPr>
                <w:rFonts w:eastAsia="Times New Roman" w:cs="Times New Roman"/>
                <w:b/>
                <w:bCs/>
                <w:sz w:val="18"/>
                <w:szCs w:val="24"/>
                <w:lang w:val="es-ES" w:eastAsia="es-AR"/>
              </w:rPr>
            </w:pPr>
            <w:proofErr w:type="spellStart"/>
            <w:r w:rsidRPr="00C174D5">
              <w:rPr>
                <w:rFonts w:eastAsia="Times New Roman" w:cs="Times New Roman"/>
                <w:b/>
                <w:bCs/>
                <w:sz w:val="18"/>
                <w:szCs w:val="24"/>
                <w:lang w:val="es-ES" w:eastAsia="es-AR"/>
              </w:rPr>
              <w:t>Transfor</w:t>
            </w:r>
            <w:proofErr w:type="spellEnd"/>
            <w:r w:rsidRPr="00C174D5">
              <w:rPr>
                <w:rFonts w:eastAsia="Times New Roman" w:cs="Times New Roman"/>
                <w:b/>
                <w:bCs/>
                <w:sz w:val="18"/>
                <w:szCs w:val="24"/>
                <w:lang w:val="es-ES" w:eastAsia="es-AR"/>
              </w:rPr>
              <w:t xml:space="preserve">- </w:t>
            </w:r>
            <w:proofErr w:type="spellStart"/>
            <w:r w:rsidRPr="00C174D5">
              <w:rPr>
                <w:rFonts w:eastAsia="Times New Roman" w:cs="Times New Roman"/>
                <w:b/>
                <w:bCs/>
                <w:sz w:val="18"/>
                <w:szCs w:val="24"/>
                <w:lang w:val="es-ES" w:eastAsia="es-AR"/>
              </w:rPr>
              <w:t>mación</w:t>
            </w:r>
            <w:proofErr w:type="spellEnd"/>
          </w:p>
        </w:tc>
        <w:tc>
          <w:tcPr>
            <w:tcW w:w="905" w:type="dxa"/>
            <w:vMerge w:val="restart"/>
            <w:shd w:val="clear" w:color="auto" w:fill="BFBFBF" w:themeFill="background1" w:themeFillShade="BF"/>
            <w:vAlign w:val="center"/>
          </w:tcPr>
          <w:p w14:paraId="69B4330E" w14:textId="77777777" w:rsidR="00C92C58" w:rsidRPr="00C174D5" w:rsidRDefault="00C92C58" w:rsidP="00B15A9A">
            <w:pPr>
              <w:keepNext/>
              <w:keepLines/>
              <w:spacing w:after="0" w:line="240" w:lineRule="auto"/>
              <w:jc w:val="center"/>
              <w:rPr>
                <w:rFonts w:eastAsia="Times New Roman" w:cs="Times New Roman"/>
                <w:b/>
                <w:bCs/>
                <w:sz w:val="18"/>
                <w:szCs w:val="24"/>
                <w:lang w:val="es-ES" w:eastAsia="es-AR"/>
              </w:rPr>
            </w:pPr>
            <w:r w:rsidRPr="00C174D5">
              <w:rPr>
                <w:rFonts w:eastAsia="Times New Roman" w:cs="Times New Roman"/>
                <w:b/>
                <w:bCs/>
                <w:sz w:val="18"/>
                <w:szCs w:val="24"/>
                <w:lang w:val="es-ES" w:eastAsia="es-AR"/>
              </w:rPr>
              <w:t xml:space="preserve">Km líneas </w:t>
            </w:r>
            <w:proofErr w:type="spellStart"/>
            <w:r w:rsidRPr="00C174D5">
              <w:rPr>
                <w:rFonts w:eastAsia="Times New Roman" w:cs="Times New Roman"/>
                <w:b/>
                <w:bCs/>
                <w:sz w:val="18"/>
                <w:szCs w:val="24"/>
                <w:lang w:val="es-ES" w:eastAsia="es-AR"/>
              </w:rPr>
              <w:t>transmi-sión</w:t>
            </w:r>
            <w:proofErr w:type="spellEnd"/>
          </w:p>
        </w:tc>
        <w:tc>
          <w:tcPr>
            <w:tcW w:w="1701" w:type="dxa"/>
            <w:gridSpan w:val="2"/>
            <w:tcBorders>
              <w:bottom w:val="single" w:sz="6" w:space="0" w:color="auto"/>
            </w:tcBorders>
            <w:shd w:val="clear" w:color="auto" w:fill="BFBFBF" w:themeFill="background1" w:themeFillShade="BF"/>
            <w:vAlign w:val="center"/>
            <w:hideMark/>
          </w:tcPr>
          <w:p w14:paraId="41177C79" w14:textId="77777777" w:rsidR="00C92C58" w:rsidRPr="00C174D5" w:rsidRDefault="00C92C58" w:rsidP="00B15A9A">
            <w:pPr>
              <w:keepNext/>
              <w:keepLines/>
              <w:spacing w:after="0" w:line="240" w:lineRule="auto"/>
              <w:jc w:val="center"/>
              <w:rPr>
                <w:rFonts w:eastAsia="Times New Roman" w:cs="Times New Roman"/>
                <w:b/>
                <w:bCs/>
                <w:sz w:val="18"/>
                <w:szCs w:val="24"/>
                <w:lang w:val="es-ES" w:eastAsia="es-AR"/>
              </w:rPr>
            </w:pPr>
            <w:r w:rsidRPr="00C174D5">
              <w:rPr>
                <w:rFonts w:eastAsia="Times New Roman" w:cs="Times New Roman"/>
                <w:b/>
                <w:bCs/>
                <w:sz w:val="18"/>
                <w:szCs w:val="24"/>
                <w:lang w:val="es-ES" w:eastAsia="es-AR"/>
              </w:rPr>
              <w:t>Clientes involucrados</w:t>
            </w:r>
          </w:p>
        </w:tc>
        <w:tc>
          <w:tcPr>
            <w:tcW w:w="801" w:type="dxa"/>
            <w:vMerge w:val="restart"/>
            <w:shd w:val="clear" w:color="auto" w:fill="BFBFBF" w:themeFill="background1" w:themeFillShade="BF"/>
            <w:vAlign w:val="center"/>
          </w:tcPr>
          <w:p w14:paraId="3D0F065F" w14:textId="77777777" w:rsidR="00C92C58" w:rsidRPr="00C174D5" w:rsidRDefault="00C92C58" w:rsidP="00B15A9A">
            <w:pPr>
              <w:keepNext/>
              <w:keepLines/>
              <w:spacing w:after="0" w:line="240" w:lineRule="auto"/>
              <w:jc w:val="center"/>
              <w:rPr>
                <w:rFonts w:eastAsia="Times New Roman" w:cs="Times New Roman"/>
                <w:b/>
                <w:bCs/>
                <w:sz w:val="18"/>
                <w:szCs w:val="24"/>
                <w:lang w:val="es-ES" w:eastAsia="es-AR"/>
              </w:rPr>
            </w:pPr>
            <w:proofErr w:type="spellStart"/>
            <w:r w:rsidRPr="00C174D5">
              <w:rPr>
                <w:rFonts w:eastAsia="Times New Roman" w:cs="Times New Roman"/>
                <w:b/>
                <w:bCs/>
                <w:sz w:val="18"/>
                <w:szCs w:val="24"/>
                <w:lang w:val="es-ES" w:eastAsia="es-AR"/>
              </w:rPr>
              <w:t>Capaci</w:t>
            </w:r>
            <w:proofErr w:type="spellEnd"/>
            <w:r w:rsidRPr="00C174D5">
              <w:rPr>
                <w:rFonts w:eastAsia="Times New Roman" w:cs="Times New Roman"/>
                <w:b/>
                <w:bCs/>
                <w:sz w:val="18"/>
                <w:szCs w:val="24"/>
                <w:lang w:val="es-ES" w:eastAsia="es-AR"/>
              </w:rPr>
              <w:t>-dad líneas</w:t>
            </w:r>
          </w:p>
        </w:tc>
        <w:tc>
          <w:tcPr>
            <w:tcW w:w="992" w:type="dxa"/>
            <w:vMerge w:val="restart"/>
            <w:tcBorders>
              <w:top w:val="single" w:sz="12" w:space="0" w:color="auto"/>
            </w:tcBorders>
            <w:shd w:val="clear" w:color="auto" w:fill="BFBFBF" w:themeFill="background1" w:themeFillShade="BF"/>
            <w:vAlign w:val="center"/>
          </w:tcPr>
          <w:p w14:paraId="0474513E" w14:textId="77777777" w:rsidR="00C92C58" w:rsidRPr="00C174D5" w:rsidRDefault="00C92C58" w:rsidP="00B15A9A">
            <w:pPr>
              <w:keepNext/>
              <w:keepLines/>
              <w:spacing w:after="0" w:line="240" w:lineRule="auto"/>
              <w:jc w:val="center"/>
              <w:rPr>
                <w:rFonts w:eastAsia="Times New Roman" w:cs="Times New Roman"/>
                <w:b/>
                <w:bCs/>
                <w:sz w:val="18"/>
                <w:szCs w:val="24"/>
                <w:lang w:val="es-ES" w:eastAsia="es-AR"/>
              </w:rPr>
            </w:pPr>
            <w:r w:rsidRPr="00C174D5">
              <w:rPr>
                <w:rFonts w:eastAsia="Times New Roman" w:cs="Times New Roman"/>
                <w:b/>
                <w:bCs/>
                <w:sz w:val="18"/>
                <w:szCs w:val="24"/>
                <w:lang w:val="es-ES" w:eastAsia="es-AR"/>
              </w:rPr>
              <w:t>Genera-</w:t>
            </w:r>
            <w:proofErr w:type="spellStart"/>
            <w:r w:rsidRPr="00C174D5">
              <w:rPr>
                <w:rFonts w:eastAsia="Times New Roman" w:cs="Times New Roman"/>
                <w:b/>
                <w:bCs/>
                <w:sz w:val="18"/>
                <w:szCs w:val="24"/>
                <w:lang w:val="es-ES" w:eastAsia="es-AR"/>
              </w:rPr>
              <w:t>ción</w:t>
            </w:r>
            <w:proofErr w:type="spellEnd"/>
            <w:r w:rsidRPr="00C174D5">
              <w:rPr>
                <w:rFonts w:eastAsia="Times New Roman" w:cs="Times New Roman"/>
                <w:b/>
                <w:bCs/>
                <w:sz w:val="18"/>
                <w:szCs w:val="24"/>
                <w:lang w:val="es-ES" w:eastAsia="es-AR"/>
              </w:rPr>
              <w:t xml:space="preserve"> adicional</w:t>
            </w:r>
          </w:p>
        </w:tc>
      </w:tr>
      <w:tr w:rsidR="00C92C58" w:rsidRPr="00C174D5" w14:paraId="1DA6B408" w14:textId="77777777" w:rsidTr="00B15A9A">
        <w:trPr>
          <w:trHeight w:val="191"/>
          <w:jc w:val="center"/>
        </w:trPr>
        <w:tc>
          <w:tcPr>
            <w:tcW w:w="1634" w:type="dxa"/>
            <w:vMerge/>
            <w:tcBorders>
              <w:top w:val="single" w:sz="6" w:space="0" w:color="auto"/>
              <w:bottom w:val="single" w:sz="12" w:space="0" w:color="000000"/>
            </w:tcBorders>
            <w:shd w:val="clear" w:color="auto" w:fill="BFBFBF" w:themeFill="background1" w:themeFillShade="BF"/>
            <w:vAlign w:val="center"/>
          </w:tcPr>
          <w:p w14:paraId="0409CEBC" w14:textId="77777777" w:rsidR="00C92C58" w:rsidRPr="00C174D5" w:rsidRDefault="00C92C58" w:rsidP="00B15A9A">
            <w:pPr>
              <w:keepNext/>
              <w:keepLines/>
              <w:spacing w:after="0" w:line="240" w:lineRule="auto"/>
              <w:jc w:val="center"/>
              <w:rPr>
                <w:rFonts w:eastAsia="Times New Roman" w:cs="Times New Roman"/>
                <w:b/>
                <w:bCs/>
                <w:sz w:val="20"/>
                <w:szCs w:val="24"/>
                <w:lang w:val="es-ES" w:eastAsia="es-AR"/>
              </w:rPr>
            </w:pPr>
          </w:p>
        </w:tc>
        <w:tc>
          <w:tcPr>
            <w:tcW w:w="1155" w:type="dxa"/>
            <w:vMerge/>
            <w:tcBorders>
              <w:bottom w:val="single" w:sz="12" w:space="0" w:color="000000"/>
            </w:tcBorders>
            <w:shd w:val="clear" w:color="auto" w:fill="BFBFBF" w:themeFill="background1" w:themeFillShade="BF"/>
            <w:vAlign w:val="center"/>
          </w:tcPr>
          <w:p w14:paraId="074CC450" w14:textId="77777777" w:rsidR="00C92C58" w:rsidRPr="00C174D5" w:rsidRDefault="00C92C58" w:rsidP="00B15A9A">
            <w:pPr>
              <w:keepNext/>
              <w:keepLines/>
              <w:spacing w:after="0" w:line="240" w:lineRule="auto"/>
              <w:jc w:val="center"/>
              <w:rPr>
                <w:rFonts w:eastAsia="Times New Roman" w:cs="Times New Roman"/>
                <w:b/>
                <w:bCs/>
                <w:sz w:val="20"/>
                <w:szCs w:val="24"/>
                <w:lang w:val="es-ES" w:eastAsia="es-AR"/>
              </w:rPr>
            </w:pPr>
          </w:p>
        </w:tc>
        <w:tc>
          <w:tcPr>
            <w:tcW w:w="1396" w:type="dxa"/>
            <w:vMerge/>
            <w:tcBorders>
              <w:bottom w:val="single" w:sz="12" w:space="0" w:color="000000"/>
            </w:tcBorders>
            <w:shd w:val="clear" w:color="auto" w:fill="BFBFBF" w:themeFill="background1" w:themeFillShade="BF"/>
          </w:tcPr>
          <w:p w14:paraId="2713E584" w14:textId="77777777" w:rsidR="00C92C58" w:rsidRPr="00C174D5" w:rsidRDefault="00C92C58" w:rsidP="00B15A9A">
            <w:pPr>
              <w:keepNext/>
              <w:keepLines/>
              <w:spacing w:after="0" w:line="240" w:lineRule="auto"/>
              <w:jc w:val="center"/>
              <w:rPr>
                <w:rFonts w:eastAsia="Times New Roman" w:cs="Times New Roman"/>
                <w:b/>
                <w:bCs/>
                <w:sz w:val="20"/>
                <w:szCs w:val="24"/>
                <w:lang w:val="es-ES" w:eastAsia="es-AR"/>
              </w:rPr>
            </w:pPr>
          </w:p>
        </w:tc>
        <w:tc>
          <w:tcPr>
            <w:tcW w:w="905" w:type="dxa"/>
            <w:vMerge/>
            <w:tcBorders>
              <w:bottom w:val="single" w:sz="12" w:space="0" w:color="000000"/>
            </w:tcBorders>
            <w:shd w:val="clear" w:color="auto" w:fill="BFBFBF" w:themeFill="background1" w:themeFillShade="BF"/>
            <w:vAlign w:val="center"/>
          </w:tcPr>
          <w:p w14:paraId="4158B220" w14:textId="77777777" w:rsidR="00C92C58" w:rsidRPr="00C174D5" w:rsidRDefault="00C92C58" w:rsidP="00B15A9A">
            <w:pPr>
              <w:keepNext/>
              <w:keepLines/>
              <w:spacing w:after="0" w:line="240" w:lineRule="auto"/>
              <w:jc w:val="center"/>
              <w:rPr>
                <w:rFonts w:eastAsia="Times New Roman" w:cs="Times New Roman"/>
                <w:b/>
                <w:bCs/>
                <w:sz w:val="20"/>
                <w:szCs w:val="24"/>
                <w:lang w:val="es-ES" w:eastAsia="es-AR"/>
              </w:rPr>
            </w:pPr>
          </w:p>
        </w:tc>
        <w:tc>
          <w:tcPr>
            <w:tcW w:w="851" w:type="dxa"/>
            <w:tcBorders>
              <w:top w:val="single" w:sz="6" w:space="0" w:color="auto"/>
              <w:bottom w:val="single" w:sz="12" w:space="0" w:color="000000"/>
            </w:tcBorders>
            <w:shd w:val="clear" w:color="auto" w:fill="BFBFBF" w:themeFill="background1" w:themeFillShade="BF"/>
            <w:vAlign w:val="center"/>
          </w:tcPr>
          <w:p w14:paraId="02B63FCF" w14:textId="77777777" w:rsidR="00C92C58" w:rsidRPr="00C174D5" w:rsidRDefault="00C92C58" w:rsidP="00B15A9A">
            <w:pPr>
              <w:keepNext/>
              <w:keepLines/>
              <w:spacing w:after="0" w:line="240" w:lineRule="auto"/>
              <w:jc w:val="center"/>
              <w:rPr>
                <w:rFonts w:eastAsia="Times New Roman" w:cs="Times New Roman"/>
                <w:b/>
                <w:bCs/>
                <w:sz w:val="18"/>
                <w:szCs w:val="24"/>
                <w:lang w:val="es-ES" w:eastAsia="es-AR"/>
              </w:rPr>
            </w:pPr>
            <w:r w:rsidRPr="00C174D5">
              <w:rPr>
                <w:rFonts w:eastAsia="Times New Roman" w:cs="Times New Roman"/>
                <w:b/>
                <w:bCs/>
                <w:sz w:val="18"/>
                <w:szCs w:val="24"/>
                <w:lang w:val="es-ES" w:eastAsia="es-AR"/>
              </w:rPr>
              <w:t>Actual</w:t>
            </w:r>
          </w:p>
        </w:tc>
        <w:tc>
          <w:tcPr>
            <w:tcW w:w="850" w:type="dxa"/>
            <w:tcBorders>
              <w:top w:val="single" w:sz="6" w:space="0" w:color="auto"/>
              <w:bottom w:val="single" w:sz="12" w:space="0" w:color="000000"/>
            </w:tcBorders>
            <w:shd w:val="clear" w:color="auto" w:fill="BFBFBF" w:themeFill="background1" w:themeFillShade="BF"/>
            <w:vAlign w:val="center"/>
          </w:tcPr>
          <w:p w14:paraId="24BA94EF" w14:textId="77777777" w:rsidR="00C92C58" w:rsidRPr="00C174D5" w:rsidRDefault="00C92C58" w:rsidP="00B15A9A">
            <w:pPr>
              <w:keepNext/>
              <w:keepLines/>
              <w:spacing w:after="0" w:line="240" w:lineRule="auto"/>
              <w:jc w:val="center"/>
              <w:rPr>
                <w:rFonts w:eastAsia="Times New Roman" w:cs="Times New Roman"/>
                <w:b/>
                <w:bCs/>
                <w:sz w:val="18"/>
                <w:szCs w:val="24"/>
                <w:lang w:val="es-ES" w:eastAsia="es-AR"/>
              </w:rPr>
            </w:pPr>
            <w:r w:rsidRPr="00C174D5">
              <w:rPr>
                <w:rFonts w:eastAsia="Times New Roman" w:cs="Times New Roman"/>
                <w:b/>
                <w:bCs/>
                <w:sz w:val="18"/>
                <w:szCs w:val="24"/>
                <w:lang w:val="es-ES" w:eastAsia="es-AR"/>
              </w:rPr>
              <w:t>Nuevo</w:t>
            </w:r>
          </w:p>
        </w:tc>
        <w:tc>
          <w:tcPr>
            <w:tcW w:w="801" w:type="dxa"/>
            <w:vMerge/>
            <w:tcBorders>
              <w:bottom w:val="single" w:sz="12" w:space="0" w:color="000000"/>
            </w:tcBorders>
            <w:shd w:val="clear" w:color="auto" w:fill="BFBFBF" w:themeFill="background1" w:themeFillShade="BF"/>
          </w:tcPr>
          <w:p w14:paraId="24F0592A" w14:textId="77777777" w:rsidR="00C92C58" w:rsidRPr="00C174D5" w:rsidRDefault="00C92C58" w:rsidP="00B15A9A">
            <w:pPr>
              <w:keepNext/>
              <w:keepLines/>
              <w:spacing w:after="0" w:line="240" w:lineRule="auto"/>
              <w:rPr>
                <w:rFonts w:eastAsia="Times New Roman" w:cs="Times New Roman"/>
                <w:b/>
                <w:bCs/>
                <w:sz w:val="20"/>
                <w:szCs w:val="24"/>
                <w:lang w:val="es-ES" w:eastAsia="es-AR"/>
              </w:rPr>
            </w:pPr>
          </w:p>
        </w:tc>
        <w:tc>
          <w:tcPr>
            <w:tcW w:w="992" w:type="dxa"/>
            <w:vMerge/>
            <w:tcBorders>
              <w:bottom w:val="single" w:sz="12" w:space="0" w:color="000000"/>
            </w:tcBorders>
            <w:shd w:val="clear" w:color="auto" w:fill="BFBFBF" w:themeFill="background1" w:themeFillShade="BF"/>
          </w:tcPr>
          <w:p w14:paraId="33995D8D" w14:textId="77777777" w:rsidR="00C92C58" w:rsidRPr="00C174D5" w:rsidRDefault="00C92C58" w:rsidP="00B15A9A">
            <w:pPr>
              <w:keepNext/>
              <w:keepLines/>
              <w:spacing w:after="0" w:line="240" w:lineRule="auto"/>
              <w:rPr>
                <w:rFonts w:eastAsia="Times New Roman" w:cs="Times New Roman"/>
                <w:b/>
                <w:bCs/>
                <w:sz w:val="20"/>
                <w:szCs w:val="24"/>
                <w:lang w:val="es-ES" w:eastAsia="es-AR"/>
              </w:rPr>
            </w:pPr>
          </w:p>
        </w:tc>
      </w:tr>
      <w:tr w:rsidR="00C92C58" w:rsidRPr="00C174D5" w14:paraId="66B87E15" w14:textId="77777777" w:rsidTr="00B15A9A">
        <w:trPr>
          <w:trHeight w:val="376"/>
          <w:jc w:val="center"/>
        </w:trPr>
        <w:tc>
          <w:tcPr>
            <w:tcW w:w="1634" w:type="dxa"/>
            <w:tcBorders>
              <w:top w:val="single" w:sz="12" w:space="0" w:color="000000"/>
            </w:tcBorders>
            <w:shd w:val="clear" w:color="auto" w:fill="auto"/>
            <w:vAlign w:val="bottom"/>
            <w:hideMark/>
          </w:tcPr>
          <w:p w14:paraId="1F55472A" w14:textId="77777777" w:rsidR="00C92C58" w:rsidRPr="00C174D5" w:rsidRDefault="00C92C58" w:rsidP="00B15A9A">
            <w:pPr>
              <w:keepNext/>
              <w:keepLines/>
              <w:spacing w:after="0" w:line="240" w:lineRule="auto"/>
              <w:jc w:val="left"/>
              <w:rPr>
                <w:sz w:val="18"/>
                <w:szCs w:val="20"/>
                <w:lang w:val="es-ES"/>
              </w:rPr>
            </w:pPr>
            <w:r w:rsidRPr="00C174D5">
              <w:rPr>
                <w:sz w:val="18"/>
                <w:szCs w:val="20"/>
                <w:lang w:val="es-ES"/>
              </w:rPr>
              <w:t xml:space="preserve">Línea de transmisión 138 </w:t>
            </w:r>
            <w:proofErr w:type="spellStart"/>
            <w:r w:rsidRPr="00C174D5">
              <w:rPr>
                <w:sz w:val="18"/>
                <w:szCs w:val="20"/>
                <w:lang w:val="es-ES"/>
              </w:rPr>
              <w:t>kV</w:t>
            </w:r>
            <w:proofErr w:type="spellEnd"/>
            <w:r w:rsidRPr="00C174D5">
              <w:rPr>
                <w:sz w:val="18"/>
                <w:szCs w:val="20"/>
                <w:lang w:val="es-ES"/>
              </w:rPr>
              <w:t xml:space="preserve"> El Sauce - Villanueva </w:t>
            </w:r>
          </w:p>
        </w:tc>
        <w:tc>
          <w:tcPr>
            <w:tcW w:w="1155" w:type="dxa"/>
            <w:tcBorders>
              <w:top w:val="single" w:sz="12" w:space="0" w:color="000000"/>
            </w:tcBorders>
            <w:vAlign w:val="center"/>
          </w:tcPr>
          <w:p w14:paraId="2597C8D6"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16.148.453</w:t>
            </w:r>
          </w:p>
        </w:tc>
        <w:tc>
          <w:tcPr>
            <w:tcW w:w="1396" w:type="dxa"/>
            <w:tcBorders>
              <w:top w:val="single" w:sz="12" w:space="0" w:color="000000"/>
            </w:tcBorders>
            <w:vAlign w:val="center"/>
          </w:tcPr>
          <w:p w14:paraId="4B008485"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15/20 MVA</w:t>
            </w:r>
          </w:p>
          <w:p w14:paraId="6DE8C6CB"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25 MVA</w:t>
            </w:r>
          </w:p>
        </w:tc>
        <w:tc>
          <w:tcPr>
            <w:tcW w:w="905" w:type="dxa"/>
            <w:tcBorders>
              <w:top w:val="single" w:sz="12" w:space="0" w:color="000000"/>
            </w:tcBorders>
            <w:vAlign w:val="center"/>
          </w:tcPr>
          <w:p w14:paraId="161F49D7" w14:textId="77777777" w:rsidR="00C92C58" w:rsidRPr="00C174D5" w:rsidRDefault="00C92C58" w:rsidP="00B15A9A">
            <w:pPr>
              <w:keepNext/>
              <w:keepLines/>
              <w:spacing w:after="0" w:line="240" w:lineRule="auto"/>
              <w:jc w:val="center"/>
              <w:rPr>
                <w:rFonts w:eastAsia="Times New Roman" w:cs="Times New Roman"/>
                <w:sz w:val="18"/>
                <w:szCs w:val="24"/>
                <w:lang w:val="es-ES" w:eastAsia="es-AR"/>
              </w:rPr>
            </w:pPr>
            <w:r w:rsidRPr="00C174D5">
              <w:rPr>
                <w:sz w:val="18"/>
                <w:szCs w:val="20"/>
                <w:lang w:val="es-ES"/>
              </w:rPr>
              <w:t>37,2</w:t>
            </w:r>
          </w:p>
        </w:tc>
        <w:tc>
          <w:tcPr>
            <w:tcW w:w="851" w:type="dxa"/>
            <w:tcBorders>
              <w:top w:val="single" w:sz="12" w:space="0" w:color="000000"/>
            </w:tcBorders>
            <w:shd w:val="clear" w:color="auto" w:fill="auto"/>
            <w:vAlign w:val="center"/>
          </w:tcPr>
          <w:p w14:paraId="49608CC1" w14:textId="77777777" w:rsidR="00C92C58" w:rsidRPr="00C174D5" w:rsidRDefault="00C92C58" w:rsidP="00B15A9A">
            <w:pPr>
              <w:keepNext/>
              <w:keepLines/>
              <w:spacing w:after="0" w:line="240" w:lineRule="auto"/>
              <w:jc w:val="center"/>
              <w:rPr>
                <w:rFonts w:eastAsia="Times New Roman" w:cs="Times New Roman"/>
                <w:sz w:val="18"/>
                <w:szCs w:val="24"/>
                <w:lang w:val="es-ES" w:eastAsia="es-AR"/>
              </w:rPr>
            </w:pPr>
            <w:r w:rsidRPr="00C174D5">
              <w:rPr>
                <w:rFonts w:eastAsia="Times New Roman" w:cs="Times New Roman"/>
                <w:sz w:val="18"/>
                <w:szCs w:val="24"/>
                <w:lang w:val="es-ES" w:eastAsia="es-AR"/>
              </w:rPr>
              <w:t>25.294</w:t>
            </w:r>
          </w:p>
        </w:tc>
        <w:tc>
          <w:tcPr>
            <w:tcW w:w="850" w:type="dxa"/>
            <w:tcBorders>
              <w:top w:val="single" w:sz="12" w:space="0" w:color="000000"/>
            </w:tcBorders>
            <w:shd w:val="clear" w:color="auto" w:fill="auto"/>
            <w:vAlign w:val="center"/>
          </w:tcPr>
          <w:p w14:paraId="1804A52D"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1.440</w:t>
            </w:r>
          </w:p>
        </w:tc>
        <w:tc>
          <w:tcPr>
            <w:tcW w:w="801" w:type="dxa"/>
            <w:tcBorders>
              <w:top w:val="single" w:sz="12" w:space="0" w:color="000000"/>
            </w:tcBorders>
            <w:vAlign w:val="center"/>
          </w:tcPr>
          <w:p w14:paraId="054179C1"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w:t>
            </w:r>
          </w:p>
        </w:tc>
        <w:tc>
          <w:tcPr>
            <w:tcW w:w="992" w:type="dxa"/>
            <w:tcBorders>
              <w:top w:val="single" w:sz="12" w:space="0" w:color="000000"/>
            </w:tcBorders>
            <w:vAlign w:val="center"/>
          </w:tcPr>
          <w:p w14:paraId="3BE8A2C0"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w:t>
            </w:r>
          </w:p>
        </w:tc>
      </w:tr>
      <w:tr w:rsidR="00C92C58" w:rsidRPr="00C174D5" w14:paraId="4FA447EE" w14:textId="77777777" w:rsidTr="00B15A9A">
        <w:trPr>
          <w:trHeight w:val="900"/>
          <w:jc w:val="center"/>
        </w:trPr>
        <w:tc>
          <w:tcPr>
            <w:tcW w:w="1634" w:type="dxa"/>
            <w:shd w:val="clear" w:color="auto" w:fill="auto"/>
            <w:vAlign w:val="center"/>
            <w:hideMark/>
          </w:tcPr>
          <w:p w14:paraId="4EC9DFC4" w14:textId="77777777" w:rsidR="00C92C58" w:rsidRPr="00C174D5" w:rsidRDefault="00C92C58" w:rsidP="00B15A9A">
            <w:pPr>
              <w:keepNext/>
              <w:keepLines/>
              <w:spacing w:after="0" w:line="240" w:lineRule="auto"/>
              <w:jc w:val="left"/>
              <w:rPr>
                <w:sz w:val="18"/>
                <w:szCs w:val="20"/>
                <w:lang w:val="es-ES"/>
              </w:rPr>
            </w:pPr>
            <w:r w:rsidRPr="00C174D5">
              <w:rPr>
                <w:sz w:val="18"/>
                <w:szCs w:val="20"/>
                <w:lang w:val="es-ES"/>
              </w:rPr>
              <w:t xml:space="preserve">Ampliación de la Subestación </w:t>
            </w:r>
            <w:proofErr w:type="spellStart"/>
            <w:r w:rsidRPr="00C174D5">
              <w:rPr>
                <w:sz w:val="18"/>
                <w:szCs w:val="20"/>
                <w:lang w:val="es-ES"/>
              </w:rPr>
              <w:t>Sébaco</w:t>
            </w:r>
            <w:proofErr w:type="spellEnd"/>
          </w:p>
        </w:tc>
        <w:tc>
          <w:tcPr>
            <w:tcW w:w="1155" w:type="dxa"/>
            <w:vAlign w:val="center"/>
          </w:tcPr>
          <w:p w14:paraId="319A50E0"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9.385.502</w:t>
            </w:r>
          </w:p>
        </w:tc>
        <w:tc>
          <w:tcPr>
            <w:tcW w:w="1396" w:type="dxa"/>
            <w:vAlign w:val="center"/>
          </w:tcPr>
          <w:p w14:paraId="081D5FB8" w14:textId="77777777" w:rsidR="00C92C58" w:rsidRPr="00C174D5" w:rsidDel="00B333B7" w:rsidRDefault="00C92C58" w:rsidP="00B15A9A">
            <w:pPr>
              <w:keepNext/>
              <w:keepLines/>
              <w:spacing w:after="0" w:line="240" w:lineRule="auto"/>
              <w:jc w:val="center"/>
              <w:rPr>
                <w:sz w:val="18"/>
                <w:szCs w:val="20"/>
                <w:lang w:val="es-ES"/>
              </w:rPr>
            </w:pPr>
            <w:r w:rsidRPr="00C174D5">
              <w:rPr>
                <w:sz w:val="18"/>
                <w:szCs w:val="20"/>
                <w:lang w:val="es-ES"/>
              </w:rPr>
              <w:t>-</w:t>
            </w:r>
          </w:p>
        </w:tc>
        <w:tc>
          <w:tcPr>
            <w:tcW w:w="905" w:type="dxa"/>
            <w:vAlign w:val="center"/>
          </w:tcPr>
          <w:p w14:paraId="69EDCE1D" w14:textId="77777777" w:rsidR="00C92C58" w:rsidRPr="00C174D5" w:rsidRDefault="00C92C58" w:rsidP="00B15A9A">
            <w:pPr>
              <w:keepNext/>
              <w:keepLines/>
              <w:spacing w:after="0" w:line="240" w:lineRule="auto"/>
              <w:jc w:val="center"/>
              <w:rPr>
                <w:rFonts w:eastAsia="Times New Roman" w:cs="Times New Roman"/>
                <w:sz w:val="18"/>
                <w:szCs w:val="24"/>
                <w:lang w:val="es-ES" w:eastAsia="es-AR"/>
              </w:rPr>
            </w:pPr>
            <w:r w:rsidRPr="00C174D5">
              <w:rPr>
                <w:rFonts w:eastAsia="Times New Roman" w:cs="Times New Roman"/>
                <w:sz w:val="18"/>
                <w:szCs w:val="24"/>
                <w:lang w:val="es-ES" w:eastAsia="es-AR"/>
              </w:rPr>
              <w:t>-</w:t>
            </w:r>
          </w:p>
        </w:tc>
        <w:tc>
          <w:tcPr>
            <w:tcW w:w="851" w:type="dxa"/>
            <w:shd w:val="clear" w:color="auto" w:fill="auto"/>
            <w:vAlign w:val="center"/>
          </w:tcPr>
          <w:p w14:paraId="6309182F" w14:textId="77777777" w:rsidR="00C92C58" w:rsidRPr="00C174D5" w:rsidRDefault="00C92C58" w:rsidP="00B15A9A">
            <w:pPr>
              <w:keepNext/>
              <w:keepLines/>
              <w:spacing w:after="0" w:line="240" w:lineRule="auto"/>
              <w:jc w:val="center"/>
              <w:rPr>
                <w:rFonts w:eastAsia="Times New Roman" w:cs="Times New Roman"/>
                <w:sz w:val="18"/>
                <w:szCs w:val="24"/>
                <w:lang w:val="es-ES" w:eastAsia="es-AR"/>
              </w:rPr>
            </w:pPr>
            <w:r w:rsidRPr="00C174D5">
              <w:rPr>
                <w:rFonts w:eastAsia="Times New Roman" w:cs="Times New Roman"/>
                <w:sz w:val="18"/>
                <w:szCs w:val="24"/>
                <w:lang w:val="es-ES" w:eastAsia="es-AR"/>
              </w:rPr>
              <w:t>212.920</w:t>
            </w:r>
          </w:p>
        </w:tc>
        <w:tc>
          <w:tcPr>
            <w:tcW w:w="850" w:type="dxa"/>
            <w:shd w:val="clear" w:color="auto" w:fill="auto"/>
            <w:vAlign w:val="center"/>
          </w:tcPr>
          <w:p w14:paraId="6EF1A142"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w:t>
            </w:r>
          </w:p>
        </w:tc>
        <w:tc>
          <w:tcPr>
            <w:tcW w:w="801" w:type="dxa"/>
            <w:vAlign w:val="center"/>
          </w:tcPr>
          <w:p w14:paraId="46C4472E"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w:t>
            </w:r>
          </w:p>
        </w:tc>
        <w:tc>
          <w:tcPr>
            <w:tcW w:w="992" w:type="dxa"/>
            <w:vAlign w:val="center"/>
          </w:tcPr>
          <w:p w14:paraId="72EB8042" w14:textId="77777777" w:rsidR="00C92C58" w:rsidRPr="00C174D5" w:rsidRDefault="00C92C58" w:rsidP="00B15A9A">
            <w:pPr>
              <w:keepNext/>
              <w:keepLines/>
              <w:spacing w:after="0" w:line="240" w:lineRule="auto"/>
              <w:jc w:val="center"/>
              <w:rPr>
                <w:sz w:val="18"/>
                <w:szCs w:val="20"/>
                <w:lang w:val="es-ES"/>
              </w:rPr>
            </w:pPr>
          </w:p>
        </w:tc>
      </w:tr>
      <w:tr w:rsidR="00C92C58" w:rsidRPr="00C174D5" w14:paraId="333B08BF" w14:textId="77777777" w:rsidTr="00B15A9A">
        <w:trPr>
          <w:trHeight w:val="615"/>
          <w:jc w:val="center"/>
        </w:trPr>
        <w:tc>
          <w:tcPr>
            <w:tcW w:w="1634" w:type="dxa"/>
            <w:shd w:val="clear" w:color="auto" w:fill="auto"/>
            <w:vAlign w:val="center"/>
            <w:hideMark/>
          </w:tcPr>
          <w:p w14:paraId="6C685B23" w14:textId="77777777" w:rsidR="00C92C58" w:rsidRPr="00C174D5" w:rsidRDefault="00C92C58" w:rsidP="00B15A9A">
            <w:pPr>
              <w:keepNext/>
              <w:keepLines/>
              <w:spacing w:after="0" w:line="240" w:lineRule="auto"/>
              <w:jc w:val="left"/>
              <w:rPr>
                <w:sz w:val="18"/>
                <w:szCs w:val="20"/>
                <w:lang w:val="es-ES"/>
              </w:rPr>
            </w:pPr>
            <w:r w:rsidRPr="00C174D5">
              <w:rPr>
                <w:sz w:val="18"/>
                <w:szCs w:val="20"/>
                <w:lang w:val="es-ES"/>
              </w:rPr>
              <w:t>Ampliación de la capacidad de transmisión de 4 Subestaciones</w:t>
            </w:r>
          </w:p>
        </w:tc>
        <w:tc>
          <w:tcPr>
            <w:tcW w:w="1155" w:type="dxa"/>
            <w:vAlign w:val="center"/>
          </w:tcPr>
          <w:p w14:paraId="7A7D3A35"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8.336.848</w:t>
            </w:r>
          </w:p>
        </w:tc>
        <w:tc>
          <w:tcPr>
            <w:tcW w:w="1396" w:type="dxa"/>
            <w:vAlign w:val="center"/>
          </w:tcPr>
          <w:p w14:paraId="312F040F" w14:textId="77777777" w:rsidR="00C92C58" w:rsidRPr="00C174D5" w:rsidRDefault="00C92C58" w:rsidP="00B15A9A">
            <w:pPr>
              <w:keepNext/>
              <w:keepLines/>
              <w:spacing w:after="0" w:line="240" w:lineRule="auto"/>
              <w:jc w:val="center"/>
              <w:rPr>
                <w:rFonts w:eastAsia="Times New Roman" w:cs="Times New Roman"/>
                <w:sz w:val="18"/>
                <w:szCs w:val="24"/>
                <w:lang w:val="es-ES" w:eastAsia="es-AR"/>
              </w:rPr>
            </w:pPr>
            <w:r w:rsidRPr="00C174D5">
              <w:rPr>
                <w:rFonts w:eastAsia="Times New Roman" w:cs="Times New Roman"/>
                <w:sz w:val="18"/>
                <w:szCs w:val="24"/>
                <w:lang w:val="es-ES" w:eastAsia="es-AR"/>
              </w:rPr>
              <w:t>4 x 40 MVA</w:t>
            </w:r>
          </w:p>
          <w:p w14:paraId="73BB7037" w14:textId="77777777" w:rsidR="00C92C58" w:rsidRPr="00C174D5" w:rsidDel="00B333B7" w:rsidRDefault="00C92C58" w:rsidP="00B15A9A">
            <w:pPr>
              <w:keepNext/>
              <w:keepLines/>
              <w:spacing w:after="0" w:line="240" w:lineRule="auto"/>
              <w:jc w:val="center"/>
              <w:rPr>
                <w:rFonts w:eastAsia="Times New Roman" w:cs="Times New Roman"/>
                <w:sz w:val="18"/>
                <w:szCs w:val="24"/>
                <w:lang w:val="es-ES" w:eastAsia="es-AR"/>
              </w:rPr>
            </w:pPr>
            <w:r w:rsidRPr="00C174D5">
              <w:rPr>
                <w:rFonts w:eastAsia="Times New Roman" w:cs="Times New Roman"/>
                <w:sz w:val="18"/>
                <w:szCs w:val="24"/>
                <w:lang w:val="es-ES" w:eastAsia="es-AR"/>
              </w:rPr>
              <w:t xml:space="preserve">138/13,8 </w:t>
            </w:r>
            <w:proofErr w:type="spellStart"/>
            <w:r w:rsidRPr="00C174D5">
              <w:rPr>
                <w:rFonts w:eastAsia="Times New Roman" w:cs="Times New Roman"/>
                <w:sz w:val="18"/>
                <w:szCs w:val="24"/>
                <w:lang w:val="es-ES" w:eastAsia="es-AR"/>
              </w:rPr>
              <w:t>kV</w:t>
            </w:r>
            <w:proofErr w:type="spellEnd"/>
          </w:p>
        </w:tc>
        <w:tc>
          <w:tcPr>
            <w:tcW w:w="905" w:type="dxa"/>
            <w:vAlign w:val="center"/>
          </w:tcPr>
          <w:p w14:paraId="78CCD3BB" w14:textId="77777777" w:rsidR="00C92C58" w:rsidRPr="00C174D5" w:rsidRDefault="00C92C58" w:rsidP="00B15A9A">
            <w:pPr>
              <w:keepNext/>
              <w:keepLines/>
              <w:spacing w:after="0" w:line="240" w:lineRule="auto"/>
              <w:jc w:val="center"/>
              <w:rPr>
                <w:rFonts w:eastAsia="Times New Roman" w:cs="Times New Roman"/>
                <w:sz w:val="18"/>
                <w:szCs w:val="24"/>
                <w:lang w:val="es-ES" w:eastAsia="es-AR"/>
              </w:rPr>
            </w:pPr>
            <w:r w:rsidRPr="00C174D5">
              <w:rPr>
                <w:rFonts w:eastAsia="Times New Roman" w:cs="Times New Roman"/>
                <w:sz w:val="18"/>
                <w:szCs w:val="24"/>
                <w:lang w:val="es-ES" w:eastAsia="es-AR"/>
              </w:rPr>
              <w:t>-</w:t>
            </w:r>
          </w:p>
        </w:tc>
        <w:tc>
          <w:tcPr>
            <w:tcW w:w="851" w:type="dxa"/>
            <w:shd w:val="clear" w:color="auto" w:fill="auto"/>
            <w:vAlign w:val="center"/>
          </w:tcPr>
          <w:p w14:paraId="64E3A065" w14:textId="77777777" w:rsidR="00C92C58" w:rsidRPr="00C174D5" w:rsidRDefault="00C92C58" w:rsidP="00B15A9A">
            <w:pPr>
              <w:keepNext/>
              <w:keepLines/>
              <w:spacing w:after="0" w:line="240" w:lineRule="auto"/>
              <w:jc w:val="center"/>
              <w:rPr>
                <w:rFonts w:eastAsia="Times New Roman" w:cs="Times New Roman"/>
                <w:sz w:val="18"/>
                <w:szCs w:val="24"/>
                <w:lang w:val="es-ES" w:eastAsia="es-AR"/>
              </w:rPr>
            </w:pPr>
            <w:r w:rsidRPr="00C174D5">
              <w:rPr>
                <w:rFonts w:eastAsia="Times New Roman" w:cs="Times New Roman"/>
                <w:sz w:val="18"/>
                <w:szCs w:val="24"/>
                <w:lang w:val="es-ES" w:eastAsia="es-AR"/>
              </w:rPr>
              <w:t>153.540</w:t>
            </w:r>
          </w:p>
        </w:tc>
        <w:tc>
          <w:tcPr>
            <w:tcW w:w="850" w:type="dxa"/>
            <w:shd w:val="clear" w:color="auto" w:fill="auto"/>
            <w:vAlign w:val="center"/>
          </w:tcPr>
          <w:p w14:paraId="0B8D3F73"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1.934</w:t>
            </w:r>
          </w:p>
        </w:tc>
        <w:tc>
          <w:tcPr>
            <w:tcW w:w="801" w:type="dxa"/>
            <w:vAlign w:val="center"/>
          </w:tcPr>
          <w:p w14:paraId="44C7E2D0"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w:t>
            </w:r>
          </w:p>
        </w:tc>
        <w:tc>
          <w:tcPr>
            <w:tcW w:w="992" w:type="dxa"/>
            <w:vAlign w:val="center"/>
          </w:tcPr>
          <w:p w14:paraId="43551CB4" w14:textId="77777777" w:rsidR="00C92C58" w:rsidRPr="00C174D5" w:rsidRDefault="00C92C58" w:rsidP="00B15A9A">
            <w:pPr>
              <w:keepNext/>
              <w:keepLines/>
              <w:spacing w:after="0" w:line="240" w:lineRule="auto"/>
              <w:jc w:val="center"/>
              <w:rPr>
                <w:rFonts w:eastAsia="Times New Roman" w:cs="Times New Roman"/>
                <w:sz w:val="18"/>
                <w:szCs w:val="24"/>
                <w:lang w:val="es-ES" w:eastAsia="es-AR"/>
              </w:rPr>
            </w:pPr>
            <w:r w:rsidRPr="00C174D5">
              <w:rPr>
                <w:rFonts w:eastAsia="Times New Roman" w:cs="Times New Roman"/>
                <w:sz w:val="18"/>
                <w:szCs w:val="24"/>
                <w:lang w:val="es-ES" w:eastAsia="es-AR"/>
              </w:rPr>
              <w:t>-</w:t>
            </w:r>
          </w:p>
        </w:tc>
      </w:tr>
      <w:tr w:rsidR="00C92C58" w:rsidRPr="00C174D5" w14:paraId="22F07F2C" w14:textId="77777777" w:rsidTr="00B15A9A">
        <w:trPr>
          <w:trHeight w:val="615"/>
          <w:jc w:val="center"/>
        </w:trPr>
        <w:tc>
          <w:tcPr>
            <w:tcW w:w="1634" w:type="dxa"/>
            <w:tcBorders>
              <w:top w:val="single" w:sz="6" w:space="0" w:color="auto"/>
              <w:left w:val="single" w:sz="12" w:space="0" w:color="auto"/>
              <w:bottom w:val="single" w:sz="4" w:space="0" w:color="auto"/>
              <w:right w:val="single" w:sz="6" w:space="0" w:color="auto"/>
            </w:tcBorders>
            <w:shd w:val="clear" w:color="auto" w:fill="auto"/>
          </w:tcPr>
          <w:p w14:paraId="7ACB5BAE" w14:textId="77777777" w:rsidR="00C92C58" w:rsidRPr="00C174D5" w:rsidRDefault="00C92C58" w:rsidP="00B15A9A">
            <w:pPr>
              <w:keepNext/>
              <w:keepLines/>
              <w:spacing w:after="0" w:line="240" w:lineRule="auto"/>
              <w:jc w:val="left"/>
              <w:rPr>
                <w:sz w:val="18"/>
                <w:szCs w:val="20"/>
                <w:lang w:val="es-ES"/>
              </w:rPr>
            </w:pPr>
            <w:r w:rsidRPr="00C174D5">
              <w:rPr>
                <w:sz w:val="18"/>
                <w:szCs w:val="20"/>
                <w:lang w:val="es-ES"/>
              </w:rPr>
              <w:t xml:space="preserve">Modernización SE </w:t>
            </w:r>
            <w:proofErr w:type="spellStart"/>
            <w:r w:rsidRPr="00C174D5">
              <w:rPr>
                <w:sz w:val="18"/>
                <w:szCs w:val="20"/>
                <w:lang w:val="es-ES"/>
              </w:rPr>
              <w:t>Ticuantepe</w:t>
            </w:r>
            <w:proofErr w:type="spellEnd"/>
            <w:r w:rsidRPr="00C174D5">
              <w:rPr>
                <w:sz w:val="18"/>
                <w:szCs w:val="20"/>
                <w:lang w:val="es-ES"/>
              </w:rPr>
              <w:t xml:space="preserve"> I y Ampliación SE </w:t>
            </w:r>
            <w:proofErr w:type="spellStart"/>
            <w:r w:rsidRPr="00C174D5">
              <w:rPr>
                <w:sz w:val="18"/>
                <w:szCs w:val="20"/>
                <w:lang w:val="es-ES"/>
              </w:rPr>
              <w:t>Ticuantepe</w:t>
            </w:r>
            <w:proofErr w:type="spellEnd"/>
            <w:r w:rsidRPr="00C174D5">
              <w:rPr>
                <w:sz w:val="18"/>
                <w:szCs w:val="20"/>
                <w:lang w:val="es-ES"/>
              </w:rPr>
              <w:t xml:space="preserve"> II</w:t>
            </w:r>
          </w:p>
        </w:tc>
        <w:tc>
          <w:tcPr>
            <w:tcW w:w="1155" w:type="dxa"/>
            <w:tcBorders>
              <w:top w:val="single" w:sz="6" w:space="0" w:color="auto"/>
              <w:left w:val="single" w:sz="6" w:space="0" w:color="auto"/>
              <w:bottom w:val="single" w:sz="4" w:space="0" w:color="auto"/>
              <w:right w:val="single" w:sz="6" w:space="0" w:color="auto"/>
            </w:tcBorders>
            <w:vAlign w:val="center"/>
          </w:tcPr>
          <w:p w14:paraId="6689094F"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7.804.288</w:t>
            </w:r>
          </w:p>
        </w:tc>
        <w:tc>
          <w:tcPr>
            <w:tcW w:w="1396" w:type="dxa"/>
            <w:tcBorders>
              <w:top w:val="single" w:sz="6" w:space="0" w:color="auto"/>
              <w:left w:val="single" w:sz="6" w:space="0" w:color="auto"/>
              <w:bottom w:val="single" w:sz="4" w:space="0" w:color="auto"/>
              <w:right w:val="single" w:sz="6" w:space="0" w:color="auto"/>
            </w:tcBorders>
            <w:vAlign w:val="center"/>
          </w:tcPr>
          <w:p w14:paraId="32371981" w14:textId="77777777" w:rsidR="00C92C58" w:rsidRPr="00C03193" w:rsidRDefault="00C92C58" w:rsidP="00B15A9A">
            <w:pPr>
              <w:keepNext/>
              <w:keepLines/>
              <w:spacing w:after="0" w:line="240" w:lineRule="auto"/>
              <w:jc w:val="center"/>
              <w:rPr>
                <w:rFonts w:eastAsia="Times New Roman" w:cs="Times New Roman"/>
                <w:sz w:val="18"/>
                <w:szCs w:val="24"/>
                <w:lang w:val="pt-BR" w:eastAsia="es-AR"/>
              </w:rPr>
            </w:pPr>
            <w:proofErr w:type="gramStart"/>
            <w:r w:rsidRPr="00C03193">
              <w:rPr>
                <w:rFonts w:eastAsia="Times New Roman" w:cs="Times New Roman"/>
                <w:sz w:val="18"/>
                <w:szCs w:val="24"/>
                <w:lang w:val="pt-BR" w:eastAsia="es-AR"/>
              </w:rPr>
              <w:t>1</w:t>
            </w:r>
            <w:proofErr w:type="gramEnd"/>
            <w:r w:rsidRPr="00C03193">
              <w:rPr>
                <w:rFonts w:eastAsia="Times New Roman" w:cs="Times New Roman"/>
                <w:sz w:val="18"/>
                <w:szCs w:val="24"/>
                <w:lang w:val="pt-BR" w:eastAsia="es-AR"/>
              </w:rPr>
              <w:t xml:space="preserve"> x 40 MVA</w:t>
            </w:r>
          </w:p>
          <w:p w14:paraId="06DA42BB" w14:textId="77777777" w:rsidR="00C92C58" w:rsidRPr="00C03193" w:rsidRDefault="00C92C58" w:rsidP="00B15A9A">
            <w:pPr>
              <w:keepNext/>
              <w:keepLines/>
              <w:spacing w:after="0" w:line="240" w:lineRule="auto"/>
              <w:jc w:val="center"/>
              <w:rPr>
                <w:rFonts w:eastAsia="Times New Roman" w:cs="Times New Roman"/>
                <w:sz w:val="18"/>
                <w:szCs w:val="24"/>
                <w:lang w:val="pt-BR" w:eastAsia="es-AR"/>
              </w:rPr>
            </w:pPr>
            <w:proofErr w:type="gramStart"/>
            <w:r w:rsidRPr="00C03193">
              <w:rPr>
                <w:rFonts w:eastAsia="Times New Roman" w:cs="Times New Roman"/>
                <w:sz w:val="18"/>
                <w:szCs w:val="24"/>
                <w:lang w:val="pt-BR" w:eastAsia="es-AR"/>
              </w:rPr>
              <w:t>138/13,</w:t>
            </w:r>
            <w:proofErr w:type="gramEnd"/>
            <w:r w:rsidRPr="00C03193">
              <w:rPr>
                <w:rFonts w:eastAsia="Times New Roman" w:cs="Times New Roman"/>
                <w:sz w:val="18"/>
                <w:szCs w:val="24"/>
                <w:lang w:val="pt-BR" w:eastAsia="es-AR"/>
              </w:rPr>
              <w:t>8 kV + 1 x 30/40 MVA</w:t>
            </w:r>
          </w:p>
          <w:p w14:paraId="7E3EC3BD" w14:textId="77777777" w:rsidR="00C92C58" w:rsidRPr="00C03193" w:rsidRDefault="00C92C58" w:rsidP="00B15A9A">
            <w:pPr>
              <w:keepNext/>
              <w:keepLines/>
              <w:spacing w:after="0" w:line="240" w:lineRule="auto"/>
              <w:jc w:val="left"/>
              <w:rPr>
                <w:sz w:val="18"/>
                <w:szCs w:val="20"/>
                <w:lang w:val="pt-BR"/>
              </w:rPr>
            </w:pPr>
            <w:proofErr w:type="gramStart"/>
            <w:r w:rsidRPr="00C03193">
              <w:rPr>
                <w:rFonts w:eastAsia="Times New Roman" w:cs="Times New Roman"/>
                <w:sz w:val="18"/>
                <w:szCs w:val="24"/>
                <w:lang w:val="pt-BR" w:eastAsia="es-AR"/>
              </w:rPr>
              <w:t>138/13,</w:t>
            </w:r>
            <w:proofErr w:type="gramEnd"/>
            <w:r w:rsidRPr="00C03193">
              <w:rPr>
                <w:rFonts w:eastAsia="Times New Roman" w:cs="Times New Roman"/>
                <w:sz w:val="18"/>
                <w:szCs w:val="24"/>
                <w:lang w:val="pt-BR" w:eastAsia="es-AR"/>
              </w:rPr>
              <w:t>8 kV</w:t>
            </w:r>
          </w:p>
        </w:tc>
        <w:tc>
          <w:tcPr>
            <w:tcW w:w="905" w:type="dxa"/>
            <w:tcBorders>
              <w:top w:val="single" w:sz="6" w:space="0" w:color="auto"/>
              <w:left w:val="single" w:sz="6" w:space="0" w:color="auto"/>
              <w:bottom w:val="single" w:sz="4" w:space="0" w:color="auto"/>
              <w:right w:val="single" w:sz="6" w:space="0" w:color="auto"/>
            </w:tcBorders>
            <w:vAlign w:val="center"/>
          </w:tcPr>
          <w:p w14:paraId="48E838A0"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2</w:t>
            </w: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14:paraId="0FD11B7C" w14:textId="77777777" w:rsidR="00C92C58" w:rsidRPr="00C174D5" w:rsidRDefault="00C92C58" w:rsidP="00B15A9A">
            <w:pPr>
              <w:keepNext/>
              <w:keepLines/>
              <w:spacing w:after="0" w:line="240" w:lineRule="auto"/>
              <w:jc w:val="center"/>
              <w:rPr>
                <w:rFonts w:eastAsia="Times New Roman" w:cs="Times New Roman"/>
                <w:sz w:val="18"/>
                <w:szCs w:val="24"/>
                <w:lang w:val="es-ES" w:eastAsia="es-AR"/>
              </w:rPr>
            </w:pPr>
            <w:r w:rsidRPr="00C174D5">
              <w:rPr>
                <w:rFonts w:eastAsia="Times New Roman" w:cs="Times New Roman"/>
                <w:sz w:val="18"/>
                <w:szCs w:val="24"/>
                <w:lang w:val="es-ES" w:eastAsia="es-AR"/>
              </w:rPr>
              <w:t>17.393</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14:paraId="641810DA" w14:textId="77777777" w:rsidR="00C92C58" w:rsidRPr="00C174D5" w:rsidRDefault="00C92C58" w:rsidP="00B15A9A">
            <w:pPr>
              <w:keepNext/>
              <w:keepLines/>
              <w:spacing w:after="0" w:line="240" w:lineRule="auto"/>
              <w:jc w:val="center"/>
              <w:rPr>
                <w:rFonts w:eastAsia="Times New Roman" w:cs="Times New Roman"/>
                <w:sz w:val="18"/>
                <w:szCs w:val="24"/>
                <w:lang w:val="es-ES" w:eastAsia="es-AR"/>
              </w:rPr>
            </w:pPr>
            <w:r w:rsidRPr="00C174D5">
              <w:rPr>
                <w:rFonts w:eastAsia="Times New Roman" w:cs="Times New Roman"/>
                <w:sz w:val="18"/>
                <w:szCs w:val="24"/>
                <w:lang w:val="es-ES" w:eastAsia="es-AR"/>
              </w:rPr>
              <w:t>-</w:t>
            </w:r>
          </w:p>
        </w:tc>
        <w:tc>
          <w:tcPr>
            <w:tcW w:w="801" w:type="dxa"/>
            <w:tcBorders>
              <w:top w:val="single" w:sz="6" w:space="0" w:color="auto"/>
              <w:left w:val="single" w:sz="6" w:space="0" w:color="auto"/>
              <w:bottom w:val="single" w:sz="4" w:space="0" w:color="auto"/>
              <w:right w:val="single" w:sz="6" w:space="0" w:color="auto"/>
            </w:tcBorders>
            <w:vAlign w:val="center"/>
          </w:tcPr>
          <w:p w14:paraId="0A4B6CDD"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w:t>
            </w:r>
          </w:p>
        </w:tc>
        <w:tc>
          <w:tcPr>
            <w:tcW w:w="992" w:type="dxa"/>
            <w:tcBorders>
              <w:top w:val="single" w:sz="6" w:space="0" w:color="auto"/>
              <w:left w:val="single" w:sz="6" w:space="0" w:color="auto"/>
              <w:bottom w:val="single" w:sz="4" w:space="0" w:color="auto"/>
              <w:right w:val="single" w:sz="12" w:space="0" w:color="auto"/>
            </w:tcBorders>
            <w:vAlign w:val="center"/>
          </w:tcPr>
          <w:p w14:paraId="0A9C22D2"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w:t>
            </w:r>
          </w:p>
        </w:tc>
      </w:tr>
      <w:tr w:rsidR="00C92C58" w:rsidRPr="00C174D5" w14:paraId="5A0C48AF" w14:textId="77777777" w:rsidTr="00B15A9A">
        <w:trPr>
          <w:trHeight w:val="615"/>
          <w:jc w:val="center"/>
        </w:trPr>
        <w:tc>
          <w:tcPr>
            <w:tcW w:w="1634" w:type="dxa"/>
            <w:tcBorders>
              <w:top w:val="single" w:sz="4" w:space="0" w:color="auto"/>
              <w:left w:val="single" w:sz="12" w:space="0" w:color="auto"/>
              <w:bottom w:val="single" w:sz="4" w:space="0" w:color="auto"/>
              <w:right w:val="single" w:sz="6" w:space="0" w:color="auto"/>
            </w:tcBorders>
            <w:shd w:val="clear" w:color="auto" w:fill="auto"/>
          </w:tcPr>
          <w:p w14:paraId="7F4B8D41" w14:textId="77777777" w:rsidR="00C92C58" w:rsidRPr="00C174D5" w:rsidRDefault="00C92C58" w:rsidP="00B15A9A">
            <w:pPr>
              <w:keepNext/>
              <w:keepLines/>
              <w:spacing w:after="0" w:line="240" w:lineRule="auto"/>
              <w:jc w:val="left"/>
              <w:rPr>
                <w:sz w:val="18"/>
                <w:szCs w:val="20"/>
                <w:lang w:val="es-ES"/>
              </w:rPr>
            </w:pPr>
            <w:r w:rsidRPr="00C174D5">
              <w:rPr>
                <w:sz w:val="18"/>
                <w:szCs w:val="20"/>
                <w:lang w:val="es-ES"/>
              </w:rPr>
              <w:t>Adquisición Transformador Móvil</w:t>
            </w:r>
          </w:p>
        </w:tc>
        <w:tc>
          <w:tcPr>
            <w:tcW w:w="1155" w:type="dxa"/>
            <w:tcBorders>
              <w:top w:val="single" w:sz="4" w:space="0" w:color="auto"/>
              <w:left w:val="single" w:sz="6" w:space="0" w:color="auto"/>
              <w:bottom w:val="single" w:sz="4" w:space="0" w:color="auto"/>
              <w:right w:val="single" w:sz="6" w:space="0" w:color="auto"/>
            </w:tcBorders>
            <w:vAlign w:val="center"/>
          </w:tcPr>
          <w:p w14:paraId="1076E164"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1.131.513</w:t>
            </w:r>
          </w:p>
        </w:tc>
        <w:tc>
          <w:tcPr>
            <w:tcW w:w="1396" w:type="dxa"/>
            <w:tcBorders>
              <w:top w:val="single" w:sz="4" w:space="0" w:color="auto"/>
              <w:left w:val="single" w:sz="6" w:space="0" w:color="auto"/>
              <w:bottom w:val="single" w:sz="4" w:space="0" w:color="auto"/>
              <w:right w:val="single" w:sz="6" w:space="0" w:color="auto"/>
            </w:tcBorders>
            <w:vAlign w:val="center"/>
          </w:tcPr>
          <w:p w14:paraId="3BB166A9"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40 MVA</w:t>
            </w:r>
          </w:p>
          <w:p w14:paraId="1FBC371D"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138/24,9/13,8vV</w:t>
            </w:r>
          </w:p>
        </w:tc>
        <w:tc>
          <w:tcPr>
            <w:tcW w:w="905" w:type="dxa"/>
            <w:tcBorders>
              <w:top w:val="single" w:sz="4" w:space="0" w:color="auto"/>
              <w:left w:val="single" w:sz="6" w:space="0" w:color="auto"/>
              <w:bottom w:val="single" w:sz="4" w:space="0" w:color="auto"/>
              <w:right w:val="single" w:sz="6" w:space="0" w:color="auto"/>
            </w:tcBorders>
            <w:vAlign w:val="center"/>
          </w:tcPr>
          <w:p w14:paraId="129B2596"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14:paraId="64FD9AFF"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14:paraId="7030089E"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w:t>
            </w:r>
          </w:p>
        </w:tc>
        <w:tc>
          <w:tcPr>
            <w:tcW w:w="801" w:type="dxa"/>
            <w:tcBorders>
              <w:top w:val="single" w:sz="4" w:space="0" w:color="auto"/>
              <w:left w:val="single" w:sz="6" w:space="0" w:color="auto"/>
              <w:bottom w:val="single" w:sz="4" w:space="0" w:color="auto"/>
              <w:right w:val="single" w:sz="6" w:space="0" w:color="auto"/>
            </w:tcBorders>
            <w:vAlign w:val="center"/>
          </w:tcPr>
          <w:p w14:paraId="7DC78962"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w:t>
            </w:r>
          </w:p>
        </w:tc>
        <w:tc>
          <w:tcPr>
            <w:tcW w:w="992" w:type="dxa"/>
            <w:tcBorders>
              <w:top w:val="single" w:sz="4" w:space="0" w:color="auto"/>
              <w:left w:val="single" w:sz="6" w:space="0" w:color="auto"/>
              <w:bottom w:val="single" w:sz="4" w:space="0" w:color="auto"/>
              <w:right w:val="single" w:sz="12" w:space="0" w:color="auto"/>
            </w:tcBorders>
            <w:vAlign w:val="center"/>
          </w:tcPr>
          <w:p w14:paraId="6AEE7BB2"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w:t>
            </w:r>
          </w:p>
        </w:tc>
      </w:tr>
      <w:tr w:rsidR="00C92C58" w:rsidRPr="00C174D5" w14:paraId="2820A406" w14:textId="77777777" w:rsidTr="00B15A9A">
        <w:trPr>
          <w:trHeight w:val="615"/>
          <w:jc w:val="center"/>
        </w:trPr>
        <w:tc>
          <w:tcPr>
            <w:tcW w:w="1634" w:type="dxa"/>
            <w:tcBorders>
              <w:top w:val="single" w:sz="4" w:space="0" w:color="auto"/>
              <w:left w:val="single" w:sz="12" w:space="0" w:color="auto"/>
              <w:bottom w:val="single" w:sz="12" w:space="0" w:color="auto"/>
              <w:right w:val="single" w:sz="6" w:space="0" w:color="auto"/>
            </w:tcBorders>
            <w:shd w:val="clear" w:color="auto" w:fill="auto"/>
            <w:vAlign w:val="center"/>
            <w:hideMark/>
          </w:tcPr>
          <w:p w14:paraId="244D4681" w14:textId="77777777" w:rsidR="00C92C58" w:rsidRPr="00C174D5" w:rsidRDefault="00C92C58" w:rsidP="00B15A9A">
            <w:pPr>
              <w:keepNext/>
              <w:keepLines/>
              <w:spacing w:after="0" w:line="240" w:lineRule="auto"/>
              <w:jc w:val="left"/>
              <w:rPr>
                <w:sz w:val="18"/>
                <w:szCs w:val="20"/>
                <w:lang w:val="es-ES"/>
              </w:rPr>
            </w:pPr>
            <w:r w:rsidRPr="00C174D5">
              <w:rPr>
                <w:sz w:val="18"/>
                <w:szCs w:val="20"/>
                <w:lang w:val="es-ES"/>
              </w:rPr>
              <w:t>Aumento de la capacidad de transmisión de líneas 230kV</w:t>
            </w:r>
          </w:p>
        </w:tc>
        <w:tc>
          <w:tcPr>
            <w:tcW w:w="1155" w:type="dxa"/>
            <w:tcBorders>
              <w:top w:val="single" w:sz="4" w:space="0" w:color="auto"/>
              <w:left w:val="single" w:sz="6" w:space="0" w:color="auto"/>
              <w:bottom w:val="single" w:sz="12" w:space="0" w:color="auto"/>
              <w:right w:val="single" w:sz="6" w:space="0" w:color="auto"/>
            </w:tcBorders>
            <w:vAlign w:val="center"/>
          </w:tcPr>
          <w:p w14:paraId="4396900A"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13.096.758</w:t>
            </w:r>
            <w:r w:rsidRPr="00C174D5">
              <w:rPr>
                <w:rStyle w:val="FootnoteReference"/>
                <w:sz w:val="18"/>
                <w:szCs w:val="20"/>
                <w:lang w:val="es-ES"/>
              </w:rPr>
              <w:footnoteReference w:id="6"/>
            </w:r>
          </w:p>
          <w:p w14:paraId="0220ACEC"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(Nicaragua)</w:t>
            </w:r>
          </w:p>
        </w:tc>
        <w:tc>
          <w:tcPr>
            <w:tcW w:w="1396" w:type="dxa"/>
            <w:tcBorders>
              <w:top w:val="single" w:sz="4" w:space="0" w:color="auto"/>
              <w:left w:val="single" w:sz="6" w:space="0" w:color="auto"/>
              <w:bottom w:val="single" w:sz="12" w:space="0" w:color="auto"/>
              <w:right w:val="single" w:sz="6" w:space="0" w:color="auto"/>
            </w:tcBorders>
            <w:vAlign w:val="center"/>
          </w:tcPr>
          <w:p w14:paraId="3A9692AE" w14:textId="77777777" w:rsidR="00C92C58" w:rsidRPr="00C174D5" w:rsidRDefault="00C92C58" w:rsidP="00B15A9A">
            <w:pPr>
              <w:keepNext/>
              <w:keepLines/>
              <w:spacing w:after="0" w:line="240" w:lineRule="auto"/>
              <w:jc w:val="center"/>
              <w:rPr>
                <w:rFonts w:eastAsia="Times New Roman" w:cs="Times New Roman"/>
                <w:sz w:val="18"/>
                <w:szCs w:val="24"/>
                <w:lang w:val="es-ES" w:eastAsia="es-AR"/>
              </w:rPr>
            </w:pPr>
            <w:r w:rsidRPr="00C174D5">
              <w:rPr>
                <w:rFonts w:eastAsia="Times New Roman" w:cs="Times New Roman"/>
                <w:sz w:val="18"/>
                <w:szCs w:val="24"/>
                <w:lang w:val="es-ES" w:eastAsia="es-AR"/>
              </w:rPr>
              <w:t>-</w:t>
            </w:r>
          </w:p>
        </w:tc>
        <w:tc>
          <w:tcPr>
            <w:tcW w:w="905" w:type="dxa"/>
            <w:tcBorders>
              <w:top w:val="single" w:sz="4" w:space="0" w:color="auto"/>
              <w:left w:val="single" w:sz="6" w:space="0" w:color="auto"/>
              <w:bottom w:val="single" w:sz="12" w:space="0" w:color="auto"/>
              <w:right w:val="single" w:sz="6" w:space="0" w:color="auto"/>
            </w:tcBorders>
            <w:vAlign w:val="center"/>
          </w:tcPr>
          <w:p w14:paraId="3D85F8DA" w14:textId="77777777" w:rsidR="00C92C58" w:rsidRPr="00C174D5" w:rsidRDefault="00C92C58" w:rsidP="00B15A9A">
            <w:pPr>
              <w:keepNext/>
              <w:keepLines/>
              <w:spacing w:after="0" w:line="240" w:lineRule="auto"/>
              <w:jc w:val="center"/>
              <w:rPr>
                <w:rFonts w:eastAsia="Times New Roman" w:cs="Times New Roman"/>
                <w:sz w:val="18"/>
                <w:szCs w:val="24"/>
                <w:lang w:val="es-ES" w:eastAsia="es-AR"/>
              </w:rPr>
            </w:pPr>
            <w:r w:rsidRPr="00C174D5">
              <w:rPr>
                <w:rFonts w:eastAsia="Times New Roman" w:cs="Times New Roman"/>
                <w:sz w:val="18"/>
                <w:szCs w:val="24"/>
                <w:lang w:val="es-ES" w:eastAsia="es-AR"/>
              </w:rPr>
              <w:t>620</w:t>
            </w:r>
          </w:p>
        </w:tc>
        <w:tc>
          <w:tcPr>
            <w:tcW w:w="851" w:type="dxa"/>
            <w:tcBorders>
              <w:top w:val="single" w:sz="4" w:space="0" w:color="auto"/>
              <w:left w:val="single" w:sz="6" w:space="0" w:color="auto"/>
              <w:bottom w:val="single" w:sz="12" w:space="0" w:color="auto"/>
              <w:right w:val="single" w:sz="6" w:space="0" w:color="auto"/>
            </w:tcBorders>
            <w:shd w:val="clear" w:color="auto" w:fill="auto"/>
            <w:vAlign w:val="center"/>
          </w:tcPr>
          <w:p w14:paraId="57A8934B" w14:textId="77777777" w:rsidR="00C92C58" w:rsidRPr="00C174D5" w:rsidRDefault="00C92C58" w:rsidP="00B15A9A">
            <w:pPr>
              <w:keepNext/>
              <w:keepLines/>
              <w:spacing w:after="0" w:line="240" w:lineRule="auto"/>
              <w:jc w:val="center"/>
              <w:rPr>
                <w:rFonts w:eastAsia="Times New Roman" w:cs="Times New Roman"/>
                <w:sz w:val="18"/>
                <w:szCs w:val="24"/>
                <w:lang w:val="es-ES" w:eastAsia="es-AR"/>
              </w:rPr>
            </w:pPr>
            <w:r w:rsidRPr="00C174D5">
              <w:rPr>
                <w:rFonts w:eastAsia="Times New Roman" w:cs="Times New Roman"/>
                <w:sz w:val="18"/>
                <w:szCs w:val="24"/>
                <w:lang w:val="es-ES" w:eastAsia="es-AR"/>
              </w:rPr>
              <w:t>-</w:t>
            </w:r>
          </w:p>
        </w:tc>
        <w:tc>
          <w:tcPr>
            <w:tcW w:w="850" w:type="dxa"/>
            <w:tcBorders>
              <w:top w:val="single" w:sz="4" w:space="0" w:color="auto"/>
              <w:left w:val="single" w:sz="6" w:space="0" w:color="auto"/>
              <w:bottom w:val="single" w:sz="12" w:space="0" w:color="auto"/>
              <w:right w:val="single" w:sz="6" w:space="0" w:color="auto"/>
            </w:tcBorders>
            <w:shd w:val="clear" w:color="auto" w:fill="auto"/>
            <w:vAlign w:val="center"/>
          </w:tcPr>
          <w:p w14:paraId="792784C0"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w:t>
            </w:r>
          </w:p>
        </w:tc>
        <w:tc>
          <w:tcPr>
            <w:tcW w:w="801" w:type="dxa"/>
            <w:tcBorders>
              <w:top w:val="single" w:sz="4" w:space="0" w:color="auto"/>
              <w:left w:val="single" w:sz="6" w:space="0" w:color="auto"/>
              <w:bottom w:val="single" w:sz="12" w:space="0" w:color="auto"/>
              <w:right w:val="single" w:sz="6" w:space="0" w:color="auto"/>
            </w:tcBorders>
            <w:vAlign w:val="center"/>
          </w:tcPr>
          <w:p w14:paraId="7C1CB827" w14:textId="77777777" w:rsidR="00C92C58" w:rsidRPr="00C174D5" w:rsidRDefault="00C92C58" w:rsidP="00B15A9A">
            <w:pPr>
              <w:keepNext/>
              <w:keepLines/>
              <w:spacing w:after="0" w:line="240" w:lineRule="auto"/>
              <w:jc w:val="center"/>
              <w:rPr>
                <w:sz w:val="18"/>
                <w:szCs w:val="20"/>
                <w:lang w:val="es-ES"/>
              </w:rPr>
            </w:pPr>
            <w:r w:rsidRPr="00C174D5">
              <w:rPr>
                <w:sz w:val="18"/>
                <w:szCs w:val="20"/>
                <w:lang w:val="es-ES"/>
              </w:rPr>
              <w:t>340 MVA</w:t>
            </w:r>
          </w:p>
        </w:tc>
        <w:tc>
          <w:tcPr>
            <w:tcW w:w="992" w:type="dxa"/>
            <w:tcBorders>
              <w:top w:val="single" w:sz="4" w:space="0" w:color="auto"/>
              <w:left w:val="single" w:sz="6" w:space="0" w:color="auto"/>
              <w:bottom w:val="single" w:sz="12" w:space="0" w:color="auto"/>
              <w:right w:val="single" w:sz="12" w:space="0" w:color="auto"/>
            </w:tcBorders>
            <w:vAlign w:val="center"/>
          </w:tcPr>
          <w:p w14:paraId="74D19A7D" w14:textId="77777777" w:rsidR="00C92C58" w:rsidRPr="00C174D5" w:rsidRDefault="00C92C58" w:rsidP="00B15A9A">
            <w:pPr>
              <w:keepNext/>
              <w:keepLines/>
              <w:spacing w:after="0" w:line="240" w:lineRule="auto"/>
              <w:jc w:val="center"/>
              <w:rPr>
                <w:rFonts w:eastAsia="Times New Roman" w:cs="Times New Roman"/>
                <w:sz w:val="18"/>
                <w:szCs w:val="24"/>
                <w:lang w:val="es-ES" w:eastAsia="es-AR"/>
              </w:rPr>
            </w:pPr>
            <w:r w:rsidRPr="00C174D5">
              <w:rPr>
                <w:rFonts w:eastAsia="Times New Roman" w:cs="Times New Roman"/>
                <w:sz w:val="18"/>
                <w:szCs w:val="24"/>
                <w:lang w:val="es-ES" w:eastAsia="es-AR"/>
              </w:rPr>
              <w:t>-</w:t>
            </w:r>
          </w:p>
        </w:tc>
      </w:tr>
    </w:tbl>
    <w:p w14:paraId="07414257" w14:textId="77777777" w:rsidR="00C92C58" w:rsidRPr="00C174D5" w:rsidRDefault="00C92C58" w:rsidP="00C92C58">
      <w:pPr>
        <w:jc w:val="center"/>
        <w:rPr>
          <w:sz w:val="18"/>
          <w:lang w:val="es-ES"/>
        </w:rPr>
      </w:pPr>
      <w:r w:rsidRPr="00C174D5">
        <w:rPr>
          <w:sz w:val="18"/>
          <w:lang w:val="es-ES"/>
        </w:rPr>
        <w:t>Fuente: Elaboración propia en base a información de ENATREL provista por el BID</w:t>
      </w:r>
    </w:p>
    <w:p w14:paraId="6D9AB402" w14:textId="77777777" w:rsidR="00C92C58" w:rsidRPr="00C174D5" w:rsidRDefault="00C92C58" w:rsidP="00C92C58">
      <w:pPr>
        <w:rPr>
          <w:lang w:val="es-ES"/>
        </w:rPr>
      </w:pPr>
      <w:r w:rsidRPr="00C174D5">
        <w:rPr>
          <w:lang w:val="es-ES"/>
        </w:rPr>
        <w:t>El análisis costo beneficio que se desarrolla en este informe se realiza a nivel de cada proyecto individual y se basa en información generada por la Empresa Nacional de Transmisión Eléctrica (ENATREL) y provista por el BID.</w:t>
      </w:r>
      <w:r w:rsidRPr="00C174D5">
        <w:rPr>
          <w:rStyle w:val="FootnoteReference"/>
          <w:lang w:val="es-ES"/>
        </w:rPr>
        <w:footnoteReference w:id="7"/>
      </w:r>
    </w:p>
    <w:p w14:paraId="62F8979A" w14:textId="77777777" w:rsidR="00C92C58" w:rsidRPr="00C174D5" w:rsidRDefault="00C92C58" w:rsidP="00C92C58">
      <w:pPr>
        <w:pStyle w:val="Heading1"/>
        <w:numPr>
          <w:ilvl w:val="0"/>
          <w:numId w:val="9"/>
        </w:numPr>
        <w:rPr>
          <w:lang w:val="es-ES"/>
        </w:rPr>
      </w:pPr>
      <w:bookmarkStart w:id="15" w:name="_Ref359339002"/>
      <w:bookmarkStart w:id="16" w:name="_Toc447546926"/>
      <w:bookmarkStart w:id="17" w:name="_Toc456353109"/>
      <w:r w:rsidRPr="00C174D5">
        <w:rPr>
          <w:lang w:val="es-ES"/>
        </w:rPr>
        <w:lastRenderedPageBreak/>
        <w:t>Supuestos y Metodología</w:t>
      </w:r>
      <w:bookmarkEnd w:id="15"/>
      <w:bookmarkEnd w:id="16"/>
      <w:bookmarkEnd w:id="17"/>
    </w:p>
    <w:p w14:paraId="75DCD7EB" w14:textId="77777777" w:rsidR="00C92C58" w:rsidRPr="00C174D5" w:rsidRDefault="00C92C58" w:rsidP="00C92C58">
      <w:pPr>
        <w:rPr>
          <w:lang w:val="es-ES"/>
        </w:rPr>
      </w:pPr>
      <w:r w:rsidRPr="00C174D5">
        <w:rPr>
          <w:lang w:val="es-ES"/>
        </w:rPr>
        <w:t>El Banco Interamericano de Desarrollo (BID) propone dos metodologías alternativas para la evaluación de proyectos financiados por la institución. El análisis costo efectividad y el análisis costo beneficio. En el análisis costo efectividad, básicamente, se comparan alternativas mutuamente excluyentes en términos de su costo por un efecto dado. El Análisis Costo Beneficio (ACB) busca calcular los beneficios sociales netos de una intervención dada, valorada en unidades monetarias (en términos de un numerario, en este caso la divisa). La metodología utilizada para evaluar los proyectos es el ACB, por lo que se ahondará en la descripción de esta técnica.</w:t>
      </w:r>
    </w:p>
    <w:p w14:paraId="34543E92" w14:textId="77777777" w:rsidR="00C92C58" w:rsidRPr="00C174D5" w:rsidRDefault="00C92C58" w:rsidP="00C92C58">
      <w:pPr>
        <w:rPr>
          <w:lang w:val="es-ES"/>
        </w:rPr>
      </w:pPr>
      <w:r w:rsidRPr="00C174D5">
        <w:rPr>
          <w:lang w:val="es-ES"/>
        </w:rPr>
        <w:t>El ACB busca medir el impacto en sentido amplio de los proyectos, esto es desde una óptica financiera y una óptica social o económica. Para esto, se deben valuar tanto los efectos directos como los indirectos, incluyendo en el caso de la evaluación económica las externalidades que eventualmente se generan. Las externalidades constituyen efectos de los procesos de producción o consumo que recaen sobre agentes distintos de los que toman la decisión de producción o consumo. Entonces, en el contexto de un ACB, para poder computar los costos y beneficios de los proyectos, es necesario hacer un número considerable de supuestos de modelación que dependerán del tipo de proyecto particular de que se trate y estarán relacionados principalmente con la necesidad de la cuantificación de estos efectos externos (que pueden ser tanto positivos como negativos). Una vez calculados los beneficios y costos, se descuentan para llevarlos a un momento del tiempo común y, así, hacerlos comparables, representando la tasa de descuento el costo de oportunidad del capital.</w:t>
      </w:r>
    </w:p>
    <w:p w14:paraId="1EF1259B" w14:textId="77777777" w:rsidR="00C92C58" w:rsidRPr="00C174D5" w:rsidRDefault="00C92C58" w:rsidP="00C92C58">
      <w:pPr>
        <w:rPr>
          <w:lang w:val="es-ES"/>
        </w:rPr>
      </w:pPr>
      <w:r w:rsidRPr="00C174D5">
        <w:rPr>
          <w:lang w:val="es-ES"/>
        </w:rPr>
        <w:t xml:space="preserve">En este contexto, una evaluación financiera cubre costos y beneficios desde una perspectiva privada (llamados beneficios y costos </w:t>
      </w:r>
      <w:r w:rsidRPr="00C174D5">
        <w:rPr>
          <w:i/>
          <w:lang w:val="es-ES"/>
        </w:rPr>
        <w:t>financieros</w:t>
      </w:r>
      <w:r w:rsidRPr="00C174D5">
        <w:rPr>
          <w:lang w:val="es-ES"/>
        </w:rPr>
        <w:t xml:space="preserve">), por lo que se usan precios de mercado; mientras que la económica lo hace desde una perspectiva social (beneficios y costos </w:t>
      </w:r>
      <w:r w:rsidRPr="00C174D5">
        <w:rPr>
          <w:i/>
          <w:lang w:val="es-ES"/>
        </w:rPr>
        <w:t>económicos</w:t>
      </w:r>
      <w:r w:rsidRPr="00C174D5">
        <w:rPr>
          <w:lang w:val="es-ES"/>
        </w:rPr>
        <w:t>), utilizando para esto precios sombra, incluyendo las externalidades.</w:t>
      </w:r>
    </w:p>
    <w:p w14:paraId="243C787D" w14:textId="77777777" w:rsidR="00C92C58" w:rsidRPr="00C174D5" w:rsidRDefault="00C92C58" w:rsidP="00C92C58">
      <w:pPr>
        <w:rPr>
          <w:lang w:val="es-ES"/>
        </w:rPr>
      </w:pPr>
      <w:r w:rsidRPr="00C174D5">
        <w:rPr>
          <w:lang w:val="es-ES"/>
        </w:rPr>
        <w:t>Para el análisis económico, el numerario o unidad de cuenta utilizada para estimar todos los beneficios y costos económicos de los proyectos es el numerario de frontera que valora por la unidad, a una divisa libre en manos del Estado</w:t>
      </w:r>
      <w:r w:rsidRPr="00C174D5">
        <w:rPr>
          <w:rStyle w:val="FootnoteReference"/>
          <w:lang w:val="es-ES"/>
        </w:rPr>
        <w:footnoteReference w:id="8"/>
      </w:r>
      <w:r w:rsidRPr="00C174D5">
        <w:rPr>
          <w:lang w:val="es-ES"/>
        </w:rPr>
        <w:t xml:space="preserve">. Así, para el caso de Nicaragua se tienen los factores de cuenta (FC) de la </w:t>
      </w:r>
      <w:r w:rsidRPr="00C174D5">
        <w:rPr>
          <w:lang w:val="es-ES"/>
        </w:rPr>
        <w:fldChar w:fldCharType="begin"/>
      </w:r>
      <w:r w:rsidRPr="00C174D5">
        <w:rPr>
          <w:lang w:val="es-ES"/>
        </w:rPr>
        <w:instrText xml:space="preserve"> REF _Ref450036258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3</w:t>
      </w:r>
      <w:r w:rsidRPr="00C174D5">
        <w:rPr>
          <w:lang w:val="es-ES"/>
        </w:rPr>
        <w:fldChar w:fldCharType="end"/>
      </w:r>
      <w:r w:rsidRPr="00C174D5">
        <w:rPr>
          <w:lang w:val="es-ES"/>
        </w:rPr>
        <w:t>.</w:t>
      </w:r>
    </w:p>
    <w:p w14:paraId="3EE70A55" w14:textId="77777777" w:rsidR="00C92C58" w:rsidRPr="00C174D5" w:rsidRDefault="00C92C58" w:rsidP="00C92C58">
      <w:pPr>
        <w:keepNext/>
        <w:keepLines/>
        <w:spacing w:after="120"/>
        <w:jc w:val="center"/>
        <w:rPr>
          <w:b/>
          <w:sz w:val="20"/>
          <w:lang w:val="es-ES"/>
        </w:rPr>
      </w:pPr>
      <w:bookmarkStart w:id="18" w:name="_Ref450036258"/>
      <w:bookmarkStart w:id="19" w:name="_Toc447546962"/>
      <w:bookmarkStart w:id="20" w:name="_Toc456353159"/>
      <w:r w:rsidRPr="00C174D5">
        <w:rPr>
          <w:b/>
          <w:sz w:val="20"/>
          <w:lang w:val="es-ES"/>
        </w:rPr>
        <w:lastRenderedPageBreak/>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3</w:t>
      </w:r>
      <w:r w:rsidRPr="00C174D5">
        <w:rPr>
          <w:b/>
          <w:sz w:val="20"/>
          <w:lang w:val="es-ES"/>
        </w:rPr>
        <w:fldChar w:fldCharType="end"/>
      </w:r>
      <w:bookmarkEnd w:id="18"/>
      <w:r w:rsidRPr="00C174D5">
        <w:rPr>
          <w:b/>
          <w:sz w:val="20"/>
          <w:lang w:val="es-ES"/>
        </w:rPr>
        <w:t>: Factores de Cuenta</w:t>
      </w:r>
      <w:bookmarkEnd w:id="19"/>
      <w:bookmarkEnd w:id="20"/>
    </w:p>
    <w:tbl>
      <w:tblPr>
        <w:tblW w:w="6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14"/>
        <w:gridCol w:w="1352"/>
      </w:tblGrid>
      <w:tr w:rsidR="00C92C58" w:rsidRPr="00C174D5" w14:paraId="76E11F5C" w14:textId="77777777" w:rsidTr="00B15A9A">
        <w:trPr>
          <w:trHeight w:val="270"/>
          <w:tblHeader/>
          <w:jc w:val="center"/>
        </w:trPr>
        <w:tc>
          <w:tcPr>
            <w:tcW w:w="5414" w:type="dxa"/>
            <w:tcBorders>
              <w:top w:val="single" w:sz="12" w:space="0" w:color="auto"/>
              <w:bottom w:val="single" w:sz="12" w:space="0" w:color="auto"/>
            </w:tcBorders>
            <w:shd w:val="clear" w:color="auto" w:fill="D9D9D9"/>
            <w:vAlign w:val="center"/>
            <w:hideMark/>
          </w:tcPr>
          <w:p w14:paraId="40843E30" w14:textId="77777777" w:rsidR="00C92C58" w:rsidRPr="00C174D5" w:rsidRDefault="00C92C58" w:rsidP="00B15A9A">
            <w:pPr>
              <w:spacing w:after="0" w:line="240" w:lineRule="auto"/>
              <w:rPr>
                <w:b/>
                <w:bCs/>
                <w:sz w:val="20"/>
                <w:szCs w:val="20"/>
                <w:lang w:val="es-ES"/>
              </w:rPr>
            </w:pPr>
            <w:r w:rsidRPr="00C174D5">
              <w:rPr>
                <w:b/>
                <w:bCs/>
                <w:sz w:val="20"/>
                <w:szCs w:val="20"/>
                <w:lang w:val="es-ES"/>
              </w:rPr>
              <w:t>Factores de Cuenta</w:t>
            </w:r>
          </w:p>
        </w:tc>
        <w:tc>
          <w:tcPr>
            <w:tcW w:w="1352" w:type="dxa"/>
            <w:tcBorders>
              <w:top w:val="single" w:sz="12" w:space="0" w:color="auto"/>
              <w:bottom w:val="single" w:sz="12" w:space="0" w:color="auto"/>
            </w:tcBorders>
            <w:shd w:val="clear" w:color="auto" w:fill="D9D9D9"/>
            <w:noWrap/>
            <w:vAlign w:val="center"/>
            <w:hideMark/>
          </w:tcPr>
          <w:p w14:paraId="2C529314" w14:textId="77777777" w:rsidR="00C92C58" w:rsidRPr="00C174D5" w:rsidRDefault="00C92C58" w:rsidP="00B15A9A">
            <w:pPr>
              <w:spacing w:after="0" w:line="240" w:lineRule="auto"/>
              <w:rPr>
                <w:b/>
                <w:bCs/>
                <w:sz w:val="20"/>
                <w:szCs w:val="20"/>
                <w:lang w:val="es-ES"/>
              </w:rPr>
            </w:pPr>
            <w:r w:rsidRPr="00C174D5">
              <w:rPr>
                <w:b/>
                <w:bCs/>
                <w:sz w:val="20"/>
                <w:szCs w:val="20"/>
                <w:lang w:val="es-ES"/>
              </w:rPr>
              <w:t>Valor</w:t>
            </w:r>
          </w:p>
        </w:tc>
      </w:tr>
      <w:tr w:rsidR="00C92C58" w:rsidRPr="00C174D5" w14:paraId="1BA78B64" w14:textId="77777777" w:rsidTr="00B15A9A">
        <w:trPr>
          <w:trHeight w:val="255"/>
          <w:jc w:val="center"/>
        </w:trPr>
        <w:tc>
          <w:tcPr>
            <w:tcW w:w="5414" w:type="dxa"/>
            <w:vAlign w:val="center"/>
          </w:tcPr>
          <w:p w14:paraId="357CF5FF" w14:textId="77777777" w:rsidR="00C92C58" w:rsidRPr="00C174D5" w:rsidRDefault="00C92C58" w:rsidP="00B15A9A">
            <w:pPr>
              <w:spacing w:after="0" w:line="240" w:lineRule="auto"/>
              <w:jc w:val="left"/>
              <w:rPr>
                <w:sz w:val="20"/>
                <w:szCs w:val="20"/>
                <w:lang w:val="es-ES"/>
              </w:rPr>
            </w:pPr>
            <w:r w:rsidRPr="00C174D5">
              <w:rPr>
                <w:sz w:val="20"/>
                <w:szCs w:val="20"/>
                <w:lang w:val="es-ES"/>
              </w:rPr>
              <w:t>Bienes no comercializables</w:t>
            </w:r>
          </w:p>
        </w:tc>
        <w:tc>
          <w:tcPr>
            <w:tcW w:w="1352" w:type="dxa"/>
            <w:vAlign w:val="center"/>
          </w:tcPr>
          <w:p w14:paraId="15F60EEE" w14:textId="77777777" w:rsidR="00C92C58" w:rsidRPr="00C174D5" w:rsidRDefault="00C92C58" w:rsidP="00B15A9A">
            <w:pPr>
              <w:spacing w:after="0" w:line="240" w:lineRule="auto"/>
              <w:jc w:val="center"/>
              <w:rPr>
                <w:sz w:val="20"/>
                <w:szCs w:val="20"/>
                <w:lang w:val="es-ES"/>
              </w:rPr>
            </w:pPr>
            <w:r w:rsidRPr="00C174D5">
              <w:rPr>
                <w:sz w:val="20"/>
                <w:szCs w:val="20"/>
                <w:lang w:val="es-ES"/>
              </w:rPr>
              <w:t>0,9852</w:t>
            </w:r>
          </w:p>
        </w:tc>
      </w:tr>
      <w:tr w:rsidR="00C92C58" w:rsidRPr="00C174D5" w14:paraId="0A240EC2" w14:textId="77777777" w:rsidTr="00B15A9A">
        <w:trPr>
          <w:trHeight w:val="255"/>
          <w:jc w:val="center"/>
        </w:trPr>
        <w:tc>
          <w:tcPr>
            <w:tcW w:w="5414" w:type="dxa"/>
            <w:vAlign w:val="center"/>
          </w:tcPr>
          <w:p w14:paraId="059B4762" w14:textId="77777777" w:rsidR="00C92C58" w:rsidRPr="00C174D5" w:rsidRDefault="00C92C58" w:rsidP="00B15A9A">
            <w:pPr>
              <w:spacing w:after="0" w:line="240" w:lineRule="auto"/>
              <w:jc w:val="left"/>
              <w:rPr>
                <w:sz w:val="20"/>
                <w:szCs w:val="20"/>
                <w:lang w:val="es-ES"/>
              </w:rPr>
            </w:pPr>
            <w:r w:rsidRPr="00C174D5">
              <w:rPr>
                <w:sz w:val="20"/>
                <w:szCs w:val="20"/>
                <w:lang w:val="es-ES"/>
              </w:rPr>
              <w:t>Mano de obra calificada</w:t>
            </w:r>
          </w:p>
        </w:tc>
        <w:tc>
          <w:tcPr>
            <w:tcW w:w="1352" w:type="dxa"/>
            <w:vAlign w:val="center"/>
          </w:tcPr>
          <w:p w14:paraId="310E3C17" w14:textId="77777777" w:rsidR="00C92C58" w:rsidRPr="00C174D5" w:rsidRDefault="00C92C58" w:rsidP="00B15A9A">
            <w:pPr>
              <w:spacing w:after="0" w:line="240" w:lineRule="auto"/>
              <w:jc w:val="center"/>
              <w:rPr>
                <w:sz w:val="20"/>
                <w:szCs w:val="20"/>
                <w:lang w:val="es-ES"/>
              </w:rPr>
            </w:pPr>
            <w:r w:rsidRPr="00C174D5">
              <w:rPr>
                <w:sz w:val="20"/>
                <w:szCs w:val="20"/>
                <w:lang w:val="es-ES"/>
              </w:rPr>
              <w:t>0,9852</w:t>
            </w:r>
          </w:p>
        </w:tc>
      </w:tr>
      <w:tr w:rsidR="00C92C58" w:rsidRPr="00C174D5" w14:paraId="656F4B07" w14:textId="77777777" w:rsidTr="00B15A9A">
        <w:trPr>
          <w:trHeight w:val="255"/>
          <w:jc w:val="center"/>
        </w:trPr>
        <w:tc>
          <w:tcPr>
            <w:tcW w:w="5414" w:type="dxa"/>
            <w:vAlign w:val="center"/>
          </w:tcPr>
          <w:p w14:paraId="2456D822" w14:textId="77777777" w:rsidR="00C92C58" w:rsidRPr="00C174D5" w:rsidRDefault="00C92C58" w:rsidP="00B15A9A">
            <w:pPr>
              <w:spacing w:after="0" w:line="240" w:lineRule="auto"/>
              <w:jc w:val="left"/>
              <w:rPr>
                <w:sz w:val="20"/>
                <w:szCs w:val="20"/>
                <w:lang w:val="es-ES"/>
              </w:rPr>
            </w:pPr>
            <w:r w:rsidRPr="00C174D5">
              <w:rPr>
                <w:sz w:val="20"/>
                <w:szCs w:val="20"/>
                <w:lang w:val="es-ES"/>
              </w:rPr>
              <w:t>Mano de obra no calificada</w:t>
            </w:r>
          </w:p>
        </w:tc>
        <w:tc>
          <w:tcPr>
            <w:tcW w:w="1352" w:type="dxa"/>
            <w:vAlign w:val="center"/>
          </w:tcPr>
          <w:p w14:paraId="32AE57E9" w14:textId="77777777" w:rsidR="00C92C58" w:rsidRPr="00C174D5" w:rsidRDefault="00C92C58" w:rsidP="00B15A9A">
            <w:pPr>
              <w:spacing w:after="0" w:line="240" w:lineRule="auto"/>
              <w:jc w:val="center"/>
              <w:rPr>
                <w:sz w:val="20"/>
                <w:szCs w:val="20"/>
                <w:lang w:val="es-ES"/>
              </w:rPr>
            </w:pPr>
            <w:r w:rsidRPr="00C174D5">
              <w:rPr>
                <w:sz w:val="20"/>
                <w:szCs w:val="20"/>
                <w:lang w:val="es-ES"/>
              </w:rPr>
              <w:t>0,5320</w:t>
            </w:r>
          </w:p>
        </w:tc>
      </w:tr>
      <w:tr w:rsidR="00C92C58" w:rsidRPr="00C174D5" w14:paraId="52C571AA" w14:textId="77777777" w:rsidTr="00B15A9A">
        <w:trPr>
          <w:trHeight w:val="255"/>
          <w:jc w:val="center"/>
        </w:trPr>
        <w:tc>
          <w:tcPr>
            <w:tcW w:w="5414" w:type="dxa"/>
            <w:vAlign w:val="center"/>
          </w:tcPr>
          <w:p w14:paraId="799E2D06" w14:textId="77777777" w:rsidR="00C92C58" w:rsidRPr="00C174D5" w:rsidRDefault="00C92C58" w:rsidP="00B15A9A">
            <w:pPr>
              <w:spacing w:after="0" w:line="240" w:lineRule="auto"/>
              <w:jc w:val="left"/>
              <w:rPr>
                <w:sz w:val="20"/>
                <w:szCs w:val="20"/>
                <w:lang w:val="es-ES"/>
              </w:rPr>
            </w:pPr>
            <w:r w:rsidRPr="00C174D5">
              <w:rPr>
                <w:sz w:val="20"/>
                <w:szCs w:val="20"/>
                <w:lang w:val="es-ES"/>
              </w:rPr>
              <w:t>Costos de generación (inversión)</w:t>
            </w:r>
          </w:p>
        </w:tc>
        <w:tc>
          <w:tcPr>
            <w:tcW w:w="1352" w:type="dxa"/>
          </w:tcPr>
          <w:p w14:paraId="44322515" w14:textId="77777777" w:rsidR="00C92C58" w:rsidRPr="00C174D5" w:rsidRDefault="00C92C58" w:rsidP="00B15A9A">
            <w:pPr>
              <w:spacing w:after="0" w:line="240" w:lineRule="auto"/>
              <w:jc w:val="center"/>
              <w:rPr>
                <w:sz w:val="20"/>
                <w:szCs w:val="20"/>
                <w:lang w:val="es-ES"/>
              </w:rPr>
            </w:pPr>
            <w:r w:rsidRPr="00C174D5">
              <w:rPr>
                <w:sz w:val="20"/>
                <w:szCs w:val="20"/>
                <w:lang w:val="es-ES"/>
              </w:rPr>
              <w:t>0,9842</w:t>
            </w:r>
          </w:p>
        </w:tc>
      </w:tr>
      <w:tr w:rsidR="00C92C58" w:rsidRPr="00C174D5" w14:paraId="3B933144" w14:textId="77777777" w:rsidTr="00B15A9A">
        <w:trPr>
          <w:trHeight w:val="255"/>
          <w:jc w:val="center"/>
        </w:trPr>
        <w:tc>
          <w:tcPr>
            <w:tcW w:w="5414" w:type="dxa"/>
            <w:vAlign w:val="center"/>
          </w:tcPr>
          <w:p w14:paraId="7BA67B31" w14:textId="77777777" w:rsidR="00C92C58" w:rsidRPr="00C174D5" w:rsidRDefault="00C92C58" w:rsidP="00B15A9A">
            <w:pPr>
              <w:spacing w:after="0" w:line="240" w:lineRule="auto"/>
              <w:jc w:val="left"/>
              <w:rPr>
                <w:sz w:val="20"/>
                <w:szCs w:val="20"/>
                <w:lang w:val="es-ES"/>
              </w:rPr>
            </w:pPr>
            <w:r w:rsidRPr="00C174D5">
              <w:rPr>
                <w:sz w:val="20"/>
                <w:szCs w:val="20"/>
                <w:lang w:val="es-ES"/>
              </w:rPr>
              <w:t>Costos de transmisión (inversión)</w:t>
            </w:r>
          </w:p>
        </w:tc>
        <w:tc>
          <w:tcPr>
            <w:tcW w:w="1352" w:type="dxa"/>
          </w:tcPr>
          <w:p w14:paraId="3CD11158" w14:textId="77777777" w:rsidR="00C92C58" w:rsidRPr="00C174D5" w:rsidRDefault="00C92C58" w:rsidP="00B15A9A">
            <w:pPr>
              <w:spacing w:after="0" w:line="240" w:lineRule="auto"/>
              <w:jc w:val="center"/>
              <w:rPr>
                <w:sz w:val="20"/>
                <w:szCs w:val="20"/>
                <w:lang w:val="es-ES"/>
              </w:rPr>
            </w:pPr>
            <w:r w:rsidRPr="00C174D5">
              <w:rPr>
                <w:sz w:val="20"/>
                <w:szCs w:val="20"/>
                <w:lang w:val="es-ES"/>
              </w:rPr>
              <w:t>0,9789</w:t>
            </w:r>
          </w:p>
        </w:tc>
      </w:tr>
      <w:tr w:rsidR="00C92C58" w:rsidRPr="00C174D5" w14:paraId="6F6CD6A3" w14:textId="77777777" w:rsidTr="00B15A9A">
        <w:trPr>
          <w:trHeight w:val="255"/>
          <w:jc w:val="center"/>
        </w:trPr>
        <w:tc>
          <w:tcPr>
            <w:tcW w:w="5414" w:type="dxa"/>
            <w:vAlign w:val="center"/>
          </w:tcPr>
          <w:p w14:paraId="18D5BE72" w14:textId="77777777" w:rsidR="00C92C58" w:rsidRPr="00C174D5" w:rsidRDefault="00C92C58" w:rsidP="00B15A9A">
            <w:pPr>
              <w:spacing w:after="0" w:line="240" w:lineRule="auto"/>
              <w:jc w:val="left"/>
              <w:rPr>
                <w:sz w:val="20"/>
                <w:szCs w:val="20"/>
                <w:lang w:val="es-ES"/>
              </w:rPr>
            </w:pPr>
            <w:r w:rsidRPr="00C174D5">
              <w:rPr>
                <w:sz w:val="20"/>
                <w:szCs w:val="20"/>
                <w:lang w:val="es-ES"/>
              </w:rPr>
              <w:t>Costos de distribución (inversión)</w:t>
            </w:r>
          </w:p>
        </w:tc>
        <w:tc>
          <w:tcPr>
            <w:tcW w:w="1352" w:type="dxa"/>
          </w:tcPr>
          <w:p w14:paraId="5AF7CC7E" w14:textId="77777777" w:rsidR="00C92C58" w:rsidRPr="00C174D5" w:rsidRDefault="00C92C58" w:rsidP="00B15A9A">
            <w:pPr>
              <w:spacing w:after="0" w:line="240" w:lineRule="auto"/>
              <w:jc w:val="center"/>
              <w:rPr>
                <w:sz w:val="20"/>
                <w:szCs w:val="20"/>
                <w:lang w:val="es-ES"/>
              </w:rPr>
            </w:pPr>
            <w:r w:rsidRPr="00C174D5">
              <w:rPr>
                <w:sz w:val="20"/>
                <w:szCs w:val="20"/>
                <w:lang w:val="es-ES"/>
              </w:rPr>
              <w:t>0,9736</w:t>
            </w:r>
          </w:p>
        </w:tc>
      </w:tr>
      <w:tr w:rsidR="00C92C58" w:rsidRPr="00C174D5" w14:paraId="7349E6E6" w14:textId="77777777" w:rsidTr="00B15A9A">
        <w:trPr>
          <w:trHeight w:val="255"/>
          <w:jc w:val="center"/>
        </w:trPr>
        <w:tc>
          <w:tcPr>
            <w:tcW w:w="5414" w:type="dxa"/>
            <w:vAlign w:val="center"/>
          </w:tcPr>
          <w:p w14:paraId="3D731564" w14:textId="77777777" w:rsidR="00C92C58" w:rsidRPr="00C174D5" w:rsidRDefault="00C92C58" w:rsidP="00B15A9A">
            <w:pPr>
              <w:spacing w:after="0" w:line="240" w:lineRule="auto"/>
              <w:jc w:val="left"/>
              <w:rPr>
                <w:sz w:val="20"/>
                <w:szCs w:val="20"/>
                <w:lang w:val="es-ES"/>
              </w:rPr>
            </w:pPr>
            <w:r w:rsidRPr="00C174D5">
              <w:rPr>
                <w:sz w:val="20"/>
                <w:szCs w:val="20"/>
                <w:lang w:val="es-ES"/>
              </w:rPr>
              <w:t>Costos de O&amp;M en generación</w:t>
            </w:r>
          </w:p>
        </w:tc>
        <w:tc>
          <w:tcPr>
            <w:tcW w:w="1352" w:type="dxa"/>
          </w:tcPr>
          <w:p w14:paraId="03085FA5" w14:textId="77777777" w:rsidR="00C92C58" w:rsidRPr="00C174D5" w:rsidRDefault="00C92C58" w:rsidP="00B15A9A">
            <w:pPr>
              <w:spacing w:after="0" w:line="240" w:lineRule="auto"/>
              <w:jc w:val="center"/>
              <w:rPr>
                <w:sz w:val="20"/>
                <w:szCs w:val="20"/>
                <w:lang w:val="es-ES"/>
              </w:rPr>
            </w:pPr>
            <w:r w:rsidRPr="00C174D5">
              <w:rPr>
                <w:sz w:val="20"/>
                <w:szCs w:val="20"/>
                <w:lang w:val="es-ES"/>
              </w:rPr>
              <w:t>0,9813</w:t>
            </w:r>
          </w:p>
        </w:tc>
      </w:tr>
      <w:tr w:rsidR="00C92C58" w:rsidRPr="00C174D5" w14:paraId="673A344F" w14:textId="77777777" w:rsidTr="00B15A9A">
        <w:trPr>
          <w:trHeight w:val="255"/>
          <w:jc w:val="center"/>
        </w:trPr>
        <w:tc>
          <w:tcPr>
            <w:tcW w:w="5414" w:type="dxa"/>
            <w:vAlign w:val="center"/>
          </w:tcPr>
          <w:p w14:paraId="752BFAF7" w14:textId="77777777" w:rsidR="00C92C58" w:rsidRPr="00C174D5" w:rsidRDefault="00C92C58" w:rsidP="00B15A9A">
            <w:pPr>
              <w:spacing w:after="0" w:line="240" w:lineRule="auto"/>
              <w:jc w:val="left"/>
              <w:rPr>
                <w:sz w:val="20"/>
                <w:szCs w:val="20"/>
                <w:lang w:val="es-ES"/>
              </w:rPr>
            </w:pPr>
            <w:r w:rsidRPr="00C174D5">
              <w:rPr>
                <w:sz w:val="20"/>
                <w:szCs w:val="20"/>
                <w:lang w:val="es-ES"/>
              </w:rPr>
              <w:t>Costos de O&amp;M en transmisión</w:t>
            </w:r>
          </w:p>
        </w:tc>
        <w:tc>
          <w:tcPr>
            <w:tcW w:w="1352" w:type="dxa"/>
          </w:tcPr>
          <w:p w14:paraId="3347DEC7" w14:textId="77777777" w:rsidR="00C92C58" w:rsidRPr="00C174D5" w:rsidRDefault="00C92C58" w:rsidP="00B15A9A">
            <w:pPr>
              <w:spacing w:after="0" w:line="240" w:lineRule="auto"/>
              <w:jc w:val="center"/>
              <w:rPr>
                <w:sz w:val="20"/>
                <w:szCs w:val="20"/>
                <w:lang w:val="es-ES"/>
              </w:rPr>
            </w:pPr>
            <w:r w:rsidRPr="00C174D5">
              <w:rPr>
                <w:sz w:val="20"/>
                <w:szCs w:val="20"/>
                <w:lang w:val="es-ES"/>
              </w:rPr>
              <w:t>0,9584</w:t>
            </w:r>
          </w:p>
        </w:tc>
      </w:tr>
      <w:tr w:rsidR="00C92C58" w:rsidRPr="00C174D5" w14:paraId="13DCB591" w14:textId="77777777" w:rsidTr="00B15A9A">
        <w:trPr>
          <w:trHeight w:val="255"/>
          <w:jc w:val="center"/>
        </w:trPr>
        <w:tc>
          <w:tcPr>
            <w:tcW w:w="5414" w:type="dxa"/>
            <w:vAlign w:val="center"/>
          </w:tcPr>
          <w:p w14:paraId="3EF5A77F" w14:textId="77777777" w:rsidR="00C92C58" w:rsidRPr="00C174D5" w:rsidRDefault="00C92C58" w:rsidP="00B15A9A">
            <w:pPr>
              <w:spacing w:after="0" w:line="240" w:lineRule="auto"/>
              <w:jc w:val="left"/>
              <w:rPr>
                <w:sz w:val="20"/>
                <w:szCs w:val="20"/>
                <w:lang w:val="es-ES"/>
              </w:rPr>
            </w:pPr>
            <w:r w:rsidRPr="00C174D5">
              <w:rPr>
                <w:sz w:val="20"/>
                <w:szCs w:val="20"/>
                <w:lang w:val="es-ES"/>
              </w:rPr>
              <w:t>Costos de O&amp;M en distribución</w:t>
            </w:r>
          </w:p>
        </w:tc>
        <w:tc>
          <w:tcPr>
            <w:tcW w:w="1352" w:type="dxa"/>
          </w:tcPr>
          <w:p w14:paraId="71278315" w14:textId="77777777" w:rsidR="00C92C58" w:rsidRPr="00C174D5" w:rsidRDefault="00C92C58" w:rsidP="00B15A9A">
            <w:pPr>
              <w:spacing w:after="0" w:line="240" w:lineRule="auto"/>
              <w:jc w:val="center"/>
              <w:rPr>
                <w:sz w:val="20"/>
                <w:szCs w:val="20"/>
                <w:lang w:val="es-ES"/>
              </w:rPr>
            </w:pPr>
            <w:r w:rsidRPr="00C174D5">
              <w:rPr>
                <w:sz w:val="20"/>
                <w:szCs w:val="20"/>
                <w:lang w:val="es-ES"/>
              </w:rPr>
              <w:t>0,9353</w:t>
            </w:r>
          </w:p>
        </w:tc>
      </w:tr>
    </w:tbl>
    <w:p w14:paraId="152E3599" w14:textId="77777777" w:rsidR="00C92C58" w:rsidRPr="00C174D5" w:rsidRDefault="00C92C58" w:rsidP="00C92C58">
      <w:pPr>
        <w:ind w:left="851" w:right="850"/>
        <w:jc w:val="center"/>
        <w:rPr>
          <w:sz w:val="18"/>
          <w:lang w:val="es-ES"/>
        </w:rPr>
      </w:pPr>
      <w:r w:rsidRPr="00C174D5">
        <w:rPr>
          <w:sz w:val="18"/>
          <w:lang w:val="es-ES"/>
        </w:rPr>
        <w:t>Fuente: Información de ENATREL provista por el BID.</w:t>
      </w:r>
    </w:p>
    <w:p w14:paraId="28CAF1B8" w14:textId="77777777" w:rsidR="00C92C58" w:rsidRPr="00C174D5" w:rsidRDefault="00C92C58" w:rsidP="00C92C58">
      <w:pPr>
        <w:rPr>
          <w:lang w:val="es-ES"/>
        </w:rPr>
      </w:pPr>
      <w:r w:rsidRPr="00C174D5">
        <w:rPr>
          <w:lang w:val="es-ES"/>
        </w:rPr>
        <w:t>El ACB es una herramienta fundamental para la toma de decisiones ya que no sólo permite la evaluación aislada de los proyectos, sino que también provee la información necesaria para compararlos y establecer un orden de prioridades. Así, es posible identificar aquellos proyectos que son deseables desde el punto de vista social, esto es, aquellos cuyos beneficios económicos, en valor presente, superan a sus costos económicos (también en valor presente). Esto equivale a decir que el valor presente neto económico de los proyectos es positivo.</w:t>
      </w:r>
    </w:p>
    <w:p w14:paraId="0CA7F018" w14:textId="77777777" w:rsidR="00C92C58" w:rsidRPr="00C174D5" w:rsidRDefault="00C92C58" w:rsidP="00C92C58">
      <w:pPr>
        <w:rPr>
          <w:lang w:val="es-ES"/>
        </w:rPr>
      </w:pPr>
      <w:r w:rsidRPr="00C174D5">
        <w:rPr>
          <w:lang w:val="es-ES"/>
        </w:rPr>
        <w:t>Otra forma alternativa, pero equivalente, de evaluar la deseabilidad de un proyecto es comparando su tasa interna de retorno con el costo del capital. La tasa interna de retorno, o TIR, de un proyecto es aquella que hace que el valor presente de los flujos (descontados a dicha tasa) sea igual a la inversión o, lo que es lo mismo, que el valor presente neto sea nulo. Si la tasa interna de retorno es mayor al costo del capital, entonces el proyecto es deseable; caso contrario, no lo es. Así, habrá una TIRE o tasa interna de retorno económica en el análisis económico, que deberá compararse con la tasa social de descuento, y una tasa interna de retorno financiera (simplemente TIR) que deberá ser comparada con la tasa privada de descuento.</w:t>
      </w:r>
      <w:r w:rsidRPr="00C174D5">
        <w:rPr>
          <w:rStyle w:val="FootnoteReference"/>
          <w:lang w:val="es-ES"/>
        </w:rPr>
        <w:footnoteReference w:id="9"/>
      </w:r>
    </w:p>
    <w:p w14:paraId="21B290CD" w14:textId="77777777" w:rsidR="00C92C58" w:rsidRPr="00C174D5" w:rsidRDefault="00C92C58" w:rsidP="00C92C58">
      <w:pPr>
        <w:rPr>
          <w:lang w:val="es-ES"/>
        </w:rPr>
      </w:pPr>
      <w:r w:rsidRPr="00C174D5">
        <w:rPr>
          <w:lang w:val="es-ES"/>
        </w:rPr>
        <w:t xml:space="preserve">Que un proyecto sea deseable desde un punto de vista económico (es decir con valor presente neto económico positivo) no necesariamente implica que el mismo sea viable desde un punto de vista financiero. Es decir, pueden existir proyectos con altos beneficios económicos pero que no generan ingresos suficientes como para cubrir sus costos (inversión y operación y mantenimiento). Incluso, proyectos socialmente deseables pueden ser no sostenibles desde el punto de vista financiero. </w:t>
      </w:r>
    </w:p>
    <w:p w14:paraId="5A69D845" w14:textId="77777777" w:rsidR="00C92C58" w:rsidRPr="00C174D5" w:rsidRDefault="00C92C58" w:rsidP="00C92C58">
      <w:pPr>
        <w:rPr>
          <w:lang w:val="es-ES"/>
        </w:rPr>
      </w:pPr>
      <w:r w:rsidRPr="00C174D5">
        <w:rPr>
          <w:lang w:val="es-ES"/>
        </w:rPr>
        <w:t xml:space="preserve">Sin embargo, se considera pertinente hacer una salvedad que tiene que ver con la relevancia del análisis financiero en el contexto de esta evaluación. En el caso de </w:t>
      </w:r>
      <w:r w:rsidRPr="00C174D5">
        <w:rPr>
          <w:lang w:val="es-ES"/>
        </w:rPr>
        <w:lastRenderedPageBreak/>
        <w:t>evaluación financiera de proyectos en sectores regulados, como es el presente, las tarifas (que determinan en gran medida el ingreso a obtener) pueden ser endógenas respecto de los proyectos a evaluar (dependiendo del tipo de regulación), ajustándose entonces de manera de cubrir los costos de toda la cartera de proyectos. Por otro lado, en general la regulación determina una tarifa media que permite la sostenibilidad de la empresa en su conjunto es decir que cubre los costos medios. Al evaluar un proyecto individual - que como en este caso forma parte de la red de transmisión operada por la empresa - no necesariamente existe una relación directa entre los costos (específicos del proyecto) y los ingresos (que dependen de la tarifa media). Por ello las evaluaciones financieras de proyectos individuales que forman parte de una empresa deben ser consideradas con sumo cuidado ya que un valor negativo o positivo no necesariamente es significativo desde el punto de vista financiero. En estos casos, el énfasis del análisis financiero debe ser sobre la empresa en su conjunto y no sobre el resultado de cada proyecto individual.</w:t>
      </w:r>
    </w:p>
    <w:p w14:paraId="299ABA11" w14:textId="77777777" w:rsidR="00C92C58" w:rsidRPr="00C174D5" w:rsidRDefault="00C92C58" w:rsidP="00C92C58">
      <w:pPr>
        <w:rPr>
          <w:lang w:val="es-ES"/>
        </w:rPr>
      </w:pPr>
      <w:r w:rsidRPr="00C174D5">
        <w:rPr>
          <w:lang w:val="es-ES"/>
        </w:rPr>
        <w:t>Por sostenibilidad se entiende que el valor presente de los ingresos operativos supera al de los costos operativos o, lo que es lo mismo, que el valor presente de los ingresos operativos netos sea positivo. De no cumplirse esta condición para proyectos económicamente deseables, éstos requerirían de un apoyo financiero permanente para cubrir sus costos de operación. Si, por otro lado, el valor presente de los ingresos operativos netos es positivo (aunque sin llegar a cubrir la inversión que requieren) entonces puede ser socialmente eficiente subvencionar el componente de inversión de estos proyectos</w:t>
      </w:r>
      <w:r w:rsidRPr="00C174D5">
        <w:rPr>
          <w:rStyle w:val="FootnoteReference"/>
          <w:lang w:val="es-ES"/>
        </w:rPr>
        <w:footnoteReference w:id="10"/>
      </w:r>
      <w:r w:rsidRPr="00C174D5">
        <w:rPr>
          <w:lang w:val="es-ES"/>
        </w:rPr>
        <w:t xml:space="preserve">. </w:t>
      </w:r>
    </w:p>
    <w:p w14:paraId="2FE0E057" w14:textId="77777777" w:rsidR="00C92C58" w:rsidRPr="00C174D5" w:rsidRDefault="00C92C58" w:rsidP="00C92C58">
      <w:pPr>
        <w:rPr>
          <w:lang w:val="es-ES"/>
        </w:rPr>
      </w:pPr>
      <w:r w:rsidRPr="00C174D5">
        <w:rPr>
          <w:lang w:val="es-ES"/>
        </w:rPr>
        <w:t xml:space="preserve">En la evaluación de estos proyectos se han considerado una serie de supuestos y parámetros generales (transversales a todos los proyectos) y supuestos y parámetros particulares (específicos a ciertos proyectos). En la </w:t>
      </w:r>
      <w:r w:rsidRPr="00C174D5">
        <w:rPr>
          <w:lang w:val="es-ES"/>
        </w:rPr>
        <w:fldChar w:fldCharType="begin"/>
      </w:r>
      <w:r w:rsidRPr="00C174D5">
        <w:rPr>
          <w:lang w:val="es-ES"/>
        </w:rPr>
        <w:instrText xml:space="preserve"> REF _Ref450036242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4</w:t>
      </w:r>
      <w:r w:rsidRPr="00C174D5">
        <w:rPr>
          <w:lang w:val="es-ES"/>
        </w:rPr>
        <w:fldChar w:fldCharType="end"/>
      </w:r>
      <w:r w:rsidRPr="00C174D5">
        <w:rPr>
          <w:lang w:val="es-ES"/>
        </w:rPr>
        <w:t xml:space="preserve"> se especifican los supuestos y parámetros generales y luego, en las respectivas secciones, se detallan los supuestos específicos utilizados para la evaluación de cada uno de los proyectos.</w:t>
      </w:r>
    </w:p>
    <w:p w14:paraId="610B2BFE" w14:textId="77777777" w:rsidR="00C92C58" w:rsidRPr="00C174D5" w:rsidRDefault="00C92C58" w:rsidP="00C92C58">
      <w:pPr>
        <w:keepNext/>
        <w:keepLines/>
        <w:spacing w:after="120"/>
        <w:jc w:val="center"/>
        <w:rPr>
          <w:b/>
          <w:sz w:val="20"/>
          <w:lang w:val="es-ES"/>
        </w:rPr>
      </w:pPr>
      <w:bookmarkStart w:id="21" w:name="_Ref450036242"/>
      <w:bookmarkStart w:id="22" w:name="_Toc447546963"/>
      <w:bookmarkStart w:id="23" w:name="_Toc456353160"/>
      <w:r w:rsidRPr="00C174D5">
        <w:rPr>
          <w:b/>
          <w:sz w:val="20"/>
          <w:lang w:val="es-ES"/>
        </w:rPr>
        <w:lastRenderedPageBreak/>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4</w:t>
      </w:r>
      <w:r w:rsidRPr="00C174D5">
        <w:rPr>
          <w:b/>
          <w:sz w:val="20"/>
          <w:lang w:val="es-ES"/>
        </w:rPr>
        <w:fldChar w:fldCharType="end"/>
      </w:r>
      <w:bookmarkEnd w:id="21"/>
      <w:r w:rsidRPr="00C174D5">
        <w:rPr>
          <w:b/>
          <w:sz w:val="20"/>
          <w:lang w:val="es-ES"/>
        </w:rPr>
        <w:t>: Supuestos generales de modelización</w:t>
      </w:r>
      <w:bookmarkEnd w:id="22"/>
      <w:bookmarkEnd w:id="23"/>
    </w:p>
    <w:tbl>
      <w:tblPr>
        <w:tblW w:w="6836" w:type="dxa"/>
        <w:jc w:val="center"/>
        <w:tblInd w:w="-25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600" w:firstRow="0" w:lastRow="0" w:firstColumn="0" w:lastColumn="0" w:noHBand="1" w:noVBand="1"/>
      </w:tblPr>
      <w:tblGrid>
        <w:gridCol w:w="5316"/>
        <w:gridCol w:w="1520"/>
      </w:tblGrid>
      <w:tr w:rsidR="00C92C58" w:rsidRPr="00C174D5" w14:paraId="106E339B" w14:textId="77777777" w:rsidTr="00B15A9A">
        <w:trPr>
          <w:trHeight w:val="120"/>
          <w:jc w:val="center"/>
        </w:trPr>
        <w:tc>
          <w:tcPr>
            <w:tcW w:w="6836" w:type="dxa"/>
            <w:gridSpan w:val="2"/>
            <w:tcBorders>
              <w:top w:val="single" w:sz="12" w:space="0" w:color="000000"/>
              <w:bottom w:val="single" w:sz="12" w:space="0" w:color="000000"/>
            </w:tcBorders>
            <w:shd w:val="clear" w:color="auto" w:fill="BFBFBF" w:themeFill="background1" w:themeFillShade="BF"/>
            <w:tcMar>
              <w:top w:w="15" w:type="dxa"/>
              <w:left w:w="15" w:type="dxa"/>
              <w:bottom w:w="0" w:type="dxa"/>
              <w:right w:w="15" w:type="dxa"/>
            </w:tcMar>
            <w:vAlign w:val="bottom"/>
          </w:tcPr>
          <w:p w14:paraId="04A38692" w14:textId="77777777" w:rsidR="00C92C58" w:rsidRPr="00C174D5" w:rsidRDefault="00C92C58" w:rsidP="00B15A9A">
            <w:pPr>
              <w:keepNext/>
              <w:keepLines/>
              <w:spacing w:after="0"/>
              <w:rPr>
                <w:b/>
                <w:bCs/>
                <w:sz w:val="20"/>
                <w:lang w:val="es-ES"/>
              </w:rPr>
            </w:pPr>
            <w:r w:rsidRPr="00C174D5">
              <w:rPr>
                <w:b/>
                <w:bCs/>
                <w:sz w:val="20"/>
                <w:lang w:val="es-ES"/>
              </w:rPr>
              <w:t>Parámetros</w:t>
            </w:r>
          </w:p>
        </w:tc>
      </w:tr>
      <w:tr w:rsidR="00C92C58" w:rsidRPr="00C174D5" w14:paraId="1F41EA46" w14:textId="77777777" w:rsidTr="00B15A9A">
        <w:trPr>
          <w:trHeight w:val="120"/>
          <w:jc w:val="center"/>
        </w:trPr>
        <w:tc>
          <w:tcPr>
            <w:tcW w:w="6836" w:type="dxa"/>
            <w:gridSpan w:val="2"/>
            <w:tcBorders>
              <w:top w:val="single" w:sz="12" w:space="0" w:color="000000"/>
            </w:tcBorders>
            <w:shd w:val="clear" w:color="auto" w:fill="FFFFFF" w:themeFill="background1"/>
            <w:tcMar>
              <w:top w:w="15" w:type="dxa"/>
              <w:left w:w="15" w:type="dxa"/>
              <w:bottom w:w="0" w:type="dxa"/>
              <w:right w:w="15" w:type="dxa"/>
            </w:tcMar>
            <w:vAlign w:val="bottom"/>
            <w:hideMark/>
          </w:tcPr>
          <w:p w14:paraId="6EBE8D5C" w14:textId="77777777" w:rsidR="00C92C58" w:rsidRPr="00C174D5" w:rsidRDefault="00C92C58" w:rsidP="00B15A9A">
            <w:pPr>
              <w:keepNext/>
              <w:keepLines/>
              <w:spacing w:after="0"/>
              <w:jc w:val="center"/>
              <w:rPr>
                <w:b/>
                <w:sz w:val="20"/>
                <w:lang w:val="es-ES"/>
              </w:rPr>
            </w:pPr>
            <w:r w:rsidRPr="00C174D5">
              <w:rPr>
                <w:b/>
                <w:bCs/>
                <w:sz w:val="20"/>
                <w:lang w:val="es-ES"/>
              </w:rPr>
              <w:t>Económicos</w:t>
            </w:r>
          </w:p>
        </w:tc>
      </w:tr>
      <w:tr w:rsidR="00C92C58" w:rsidRPr="00C174D5" w14:paraId="7E8276D3" w14:textId="77777777" w:rsidTr="00B15A9A">
        <w:trPr>
          <w:trHeight w:val="120"/>
          <w:jc w:val="center"/>
        </w:trPr>
        <w:tc>
          <w:tcPr>
            <w:tcW w:w="5316" w:type="dxa"/>
            <w:shd w:val="clear" w:color="auto" w:fill="auto"/>
            <w:tcMar>
              <w:top w:w="15" w:type="dxa"/>
              <w:left w:w="15" w:type="dxa"/>
              <w:bottom w:w="0" w:type="dxa"/>
              <w:right w:w="15" w:type="dxa"/>
            </w:tcMar>
            <w:vAlign w:val="bottom"/>
            <w:hideMark/>
          </w:tcPr>
          <w:p w14:paraId="3EC54FD4" w14:textId="77777777" w:rsidR="00C92C58" w:rsidRPr="00C174D5" w:rsidRDefault="00C92C58" w:rsidP="00B15A9A">
            <w:pPr>
              <w:keepNext/>
              <w:keepLines/>
              <w:spacing w:after="0"/>
              <w:rPr>
                <w:sz w:val="20"/>
                <w:lang w:val="es-ES"/>
              </w:rPr>
            </w:pPr>
            <w:r w:rsidRPr="00C174D5">
              <w:rPr>
                <w:sz w:val="20"/>
                <w:lang w:val="es-ES"/>
              </w:rPr>
              <w:t>Tasa de descuento social</w:t>
            </w:r>
          </w:p>
        </w:tc>
        <w:tc>
          <w:tcPr>
            <w:tcW w:w="1520" w:type="dxa"/>
            <w:shd w:val="clear" w:color="auto" w:fill="auto"/>
            <w:tcMar>
              <w:top w:w="15" w:type="dxa"/>
              <w:left w:w="15" w:type="dxa"/>
              <w:bottom w:w="0" w:type="dxa"/>
              <w:right w:w="15" w:type="dxa"/>
            </w:tcMar>
            <w:vAlign w:val="bottom"/>
            <w:hideMark/>
          </w:tcPr>
          <w:p w14:paraId="32944E09" w14:textId="77777777" w:rsidR="00C92C58" w:rsidRPr="00C174D5" w:rsidRDefault="00C92C58" w:rsidP="00B15A9A">
            <w:pPr>
              <w:keepNext/>
              <w:keepLines/>
              <w:spacing w:after="0"/>
              <w:jc w:val="center"/>
              <w:rPr>
                <w:sz w:val="20"/>
                <w:lang w:val="es-ES"/>
              </w:rPr>
            </w:pPr>
            <w:r w:rsidRPr="00C174D5">
              <w:rPr>
                <w:sz w:val="20"/>
                <w:lang w:val="es-ES"/>
              </w:rPr>
              <w:t>12%</w:t>
            </w:r>
          </w:p>
        </w:tc>
      </w:tr>
      <w:tr w:rsidR="00C92C58" w:rsidRPr="00C174D5" w14:paraId="772F57BE" w14:textId="77777777" w:rsidTr="00B15A9A">
        <w:trPr>
          <w:trHeight w:val="120"/>
          <w:jc w:val="center"/>
        </w:trPr>
        <w:tc>
          <w:tcPr>
            <w:tcW w:w="5316" w:type="dxa"/>
            <w:shd w:val="clear" w:color="auto" w:fill="auto"/>
            <w:tcMar>
              <w:top w:w="15" w:type="dxa"/>
              <w:left w:w="15" w:type="dxa"/>
              <w:bottom w:w="0" w:type="dxa"/>
              <w:right w:w="15" w:type="dxa"/>
            </w:tcMar>
            <w:vAlign w:val="bottom"/>
            <w:hideMark/>
          </w:tcPr>
          <w:p w14:paraId="6E156866" w14:textId="77777777" w:rsidR="00C92C58" w:rsidRPr="00C174D5" w:rsidRDefault="00C92C58" w:rsidP="00B15A9A">
            <w:pPr>
              <w:keepNext/>
              <w:keepLines/>
              <w:spacing w:after="0"/>
              <w:rPr>
                <w:sz w:val="20"/>
                <w:lang w:val="es-ES"/>
              </w:rPr>
            </w:pPr>
            <w:r w:rsidRPr="00C174D5">
              <w:rPr>
                <w:sz w:val="20"/>
                <w:lang w:val="es-ES"/>
              </w:rPr>
              <w:t>Tasa de descuento privada</w:t>
            </w:r>
          </w:p>
        </w:tc>
        <w:tc>
          <w:tcPr>
            <w:tcW w:w="1520" w:type="dxa"/>
            <w:shd w:val="clear" w:color="auto" w:fill="auto"/>
            <w:tcMar>
              <w:top w:w="15" w:type="dxa"/>
              <w:left w:w="15" w:type="dxa"/>
              <w:bottom w:w="0" w:type="dxa"/>
              <w:right w:w="15" w:type="dxa"/>
            </w:tcMar>
            <w:vAlign w:val="bottom"/>
            <w:hideMark/>
          </w:tcPr>
          <w:p w14:paraId="4652F289" w14:textId="77777777" w:rsidR="00C92C58" w:rsidRPr="00C174D5" w:rsidRDefault="00C92C58" w:rsidP="00B15A9A">
            <w:pPr>
              <w:keepNext/>
              <w:keepLines/>
              <w:spacing w:after="0"/>
              <w:jc w:val="center"/>
              <w:rPr>
                <w:sz w:val="20"/>
                <w:lang w:val="es-ES"/>
              </w:rPr>
            </w:pPr>
            <w:r w:rsidRPr="00C174D5">
              <w:rPr>
                <w:sz w:val="20"/>
                <w:lang w:val="es-ES"/>
              </w:rPr>
              <w:t>8%</w:t>
            </w:r>
          </w:p>
        </w:tc>
      </w:tr>
      <w:tr w:rsidR="00C92C58" w:rsidRPr="00C174D5" w14:paraId="550A5692" w14:textId="77777777" w:rsidTr="00B15A9A">
        <w:trPr>
          <w:trHeight w:val="120"/>
          <w:jc w:val="center"/>
        </w:trPr>
        <w:tc>
          <w:tcPr>
            <w:tcW w:w="5316" w:type="dxa"/>
            <w:shd w:val="clear" w:color="auto" w:fill="auto"/>
            <w:tcMar>
              <w:top w:w="15" w:type="dxa"/>
              <w:left w:w="15" w:type="dxa"/>
              <w:bottom w:w="0" w:type="dxa"/>
              <w:right w:w="15" w:type="dxa"/>
            </w:tcMar>
            <w:vAlign w:val="bottom"/>
            <w:hideMark/>
          </w:tcPr>
          <w:p w14:paraId="6E461C64" w14:textId="77777777" w:rsidR="00C92C58" w:rsidRPr="00C174D5" w:rsidRDefault="00C92C58" w:rsidP="00B15A9A">
            <w:pPr>
              <w:keepNext/>
              <w:keepLines/>
              <w:spacing w:after="0"/>
              <w:rPr>
                <w:sz w:val="20"/>
                <w:lang w:val="es-ES"/>
              </w:rPr>
            </w:pPr>
            <w:r w:rsidRPr="00C174D5">
              <w:rPr>
                <w:sz w:val="20"/>
                <w:lang w:val="es-ES"/>
              </w:rPr>
              <w:t>Tipo de cambio ($/US$)</w:t>
            </w:r>
          </w:p>
        </w:tc>
        <w:tc>
          <w:tcPr>
            <w:tcW w:w="1520" w:type="dxa"/>
            <w:shd w:val="clear" w:color="auto" w:fill="auto"/>
            <w:tcMar>
              <w:top w:w="15" w:type="dxa"/>
              <w:left w:w="15" w:type="dxa"/>
              <w:bottom w:w="0" w:type="dxa"/>
              <w:right w:w="15" w:type="dxa"/>
            </w:tcMar>
            <w:vAlign w:val="bottom"/>
            <w:hideMark/>
          </w:tcPr>
          <w:p w14:paraId="12BC18A6" w14:textId="77777777" w:rsidR="00C92C58" w:rsidRPr="00C174D5" w:rsidRDefault="00C92C58" w:rsidP="00B15A9A">
            <w:pPr>
              <w:keepNext/>
              <w:keepLines/>
              <w:spacing w:after="0"/>
              <w:jc w:val="center"/>
              <w:rPr>
                <w:sz w:val="20"/>
                <w:lang w:val="es-ES"/>
              </w:rPr>
            </w:pPr>
            <w:r w:rsidRPr="00C174D5">
              <w:rPr>
                <w:sz w:val="20"/>
                <w:lang w:val="es-ES"/>
              </w:rPr>
              <w:t>28,7576</w:t>
            </w:r>
          </w:p>
        </w:tc>
      </w:tr>
      <w:tr w:rsidR="00C92C58" w:rsidRPr="00C174D5" w14:paraId="3B5A13B5" w14:textId="77777777" w:rsidTr="00B15A9A">
        <w:trPr>
          <w:trHeight w:val="120"/>
          <w:jc w:val="center"/>
        </w:trPr>
        <w:tc>
          <w:tcPr>
            <w:tcW w:w="5316" w:type="dxa"/>
            <w:shd w:val="clear" w:color="auto" w:fill="auto"/>
            <w:tcMar>
              <w:top w:w="15" w:type="dxa"/>
              <w:left w:w="15" w:type="dxa"/>
              <w:bottom w:w="0" w:type="dxa"/>
              <w:right w:w="15" w:type="dxa"/>
            </w:tcMar>
            <w:vAlign w:val="center"/>
            <w:hideMark/>
          </w:tcPr>
          <w:p w14:paraId="08A7F6B5" w14:textId="77777777" w:rsidR="00C92C58" w:rsidRPr="00C174D5" w:rsidRDefault="00C92C58" w:rsidP="00B15A9A">
            <w:pPr>
              <w:keepNext/>
              <w:keepLines/>
              <w:spacing w:after="0"/>
              <w:rPr>
                <w:sz w:val="20"/>
                <w:lang w:val="es-ES"/>
              </w:rPr>
            </w:pPr>
            <w:r w:rsidRPr="00C174D5">
              <w:rPr>
                <w:sz w:val="20"/>
                <w:lang w:val="es-ES"/>
              </w:rPr>
              <w:t>Costo de Energía No Servida (US$/</w:t>
            </w:r>
            <w:proofErr w:type="spellStart"/>
            <w:r w:rsidRPr="00C174D5">
              <w:rPr>
                <w:sz w:val="20"/>
                <w:lang w:val="es-ES"/>
              </w:rPr>
              <w:t>MWh</w:t>
            </w:r>
            <w:proofErr w:type="spellEnd"/>
            <w:r w:rsidRPr="00C174D5">
              <w:rPr>
                <w:sz w:val="20"/>
                <w:lang w:val="es-ES"/>
              </w:rPr>
              <w:t>)</w:t>
            </w:r>
          </w:p>
        </w:tc>
        <w:tc>
          <w:tcPr>
            <w:tcW w:w="1520" w:type="dxa"/>
            <w:shd w:val="clear" w:color="auto" w:fill="auto"/>
            <w:tcMar>
              <w:top w:w="15" w:type="dxa"/>
              <w:left w:w="15" w:type="dxa"/>
              <w:bottom w:w="0" w:type="dxa"/>
              <w:right w:w="15" w:type="dxa"/>
            </w:tcMar>
            <w:vAlign w:val="bottom"/>
            <w:hideMark/>
          </w:tcPr>
          <w:p w14:paraId="2EB04529" w14:textId="77777777" w:rsidR="00C92C58" w:rsidRPr="00C174D5" w:rsidRDefault="00C92C58" w:rsidP="00B15A9A">
            <w:pPr>
              <w:keepNext/>
              <w:keepLines/>
              <w:spacing w:after="0"/>
              <w:jc w:val="center"/>
              <w:rPr>
                <w:sz w:val="20"/>
                <w:lang w:val="es-ES"/>
              </w:rPr>
            </w:pPr>
            <w:r w:rsidRPr="00C174D5">
              <w:rPr>
                <w:sz w:val="20"/>
                <w:lang w:val="es-ES"/>
              </w:rPr>
              <w:t>1.500</w:t>
            </w:r>
          </w:p>
        </w:tc>
      </w:tr>
      <w:tr w:rsidR="00C92C58" w:rsidRPr="00C174D5" w14:paraId="51FB0505" w14:textId="77777777" w:rsidTr="00B15A9A">
        <w:trPr>
          <w:trHeight w:val="120"/>
          <w:jc w:val="center"/>
        </w:trPr>
        <w:tc>
          <w:tcPr>
            <w:tcW w:w="5316" w:type="dxa"/>
            <w:shd w:val="clear" w:color="auto" w:fill="auto"/>
            <w:tcMar>
              <w:top w:w="15" w:type="dxa"/>
              <w:left w:w="15" w:type="dxa"/>
              <w:bottom w:w="0" w:type="dxa"/>
              <w:right w:w="15" w:type="dxa"/>
            </w:tcMar>
            <w:vAlign w:val="bottom"/>
            <w:hideMark/>
          </w:tcPr>
          <w:p w14:paraId="09B2CA1E" w14:textId="77777777" w:rsidR="00C92C58" w:rsidRPr="00C174D5" w:rsidRDefault="00C92C58" w:rsidP="00B15A9A">
            <w:pPr>
              <w:keepNext/>
              <w:keepLines/>
              <w:spacing w:after="0"/>
              <w:rPr>
                <w:sz w:val="20"/>
                <w:lang w:val="es-ES"/>
              </w:rPr>
            </w:pPr>
            <w:r w:rsidRPr="00C174D5">
              <w:rPr>
                <w:sz w:val="20"/>
                <w:lang w:val="es-ES"/>
              </w:rPr>
              <w:t>Costos de O&amp;M (% Inversión)</w:t>
            </w:r>
          </w:p>
        </w:tc>
        <w:tc>
          <w:tcPr>
            <w:tcW w:w="1520" w:type="dxa"/>
            <w:shd w:val="clear" w:color="auto" w:fill="auto"/>
            <w:tcMar>
              <w:top w:w="15" w:type="dxa"/>
              <w:left w:w="15" w:type="dxa"/>
              <w:bottom w:w="0" w:type="dxa"/>
              <w:right w:w="15" w:type="dxa"/>
            </w:tcMar>
            <w:vAlign w:val="bottom"/>
            <w:hideMark/>
          </w:tcPr>
          <w:p w14:paraId="2B009FB1" w14:textId="77777777" w:rsidR="00C92C58" w:rsidRPr="00C174D5" w:rsidRDefault="00C92C58" w:rsidP="00B15A9A">
            <w:pPr>
              <w:keepNext/>
              <w:keepLines/>
              <w:spacing w:after="0"/>
              <w:jc w:val="center"/>
              <w:rPr>
                <w:sz w:val="20"/>
                <w:lang w:val="es-ES"/>
              </w:rPr>
            </w:pPr>
            <w:r w:rsidRPr="00C174D5">
              <w:rPr>
                <w:sz w:val="20"/>
                <w:lang w:val="es-ES"/>
              </w:rPr>
              <w:t>2,50%</w:t>
            </w:r>
          </w:p>
        </w:tc>
      </w:tr>
      <w:tr w:rsidR="00C92C58" w:rsidRPr="00C174D5" w14:paraId="1C5F19CB" w14:textId="77777777" w:rsidTr="00B15A9A">
        <w:trPr>
          <w:trHeight w:val="120"/>
          <w:jc w:val="center"/>
        </w:trPr>
        <w:tc>
          <w:tcPr>
            <w:tcW w:w="5316" w:type="dxa"/>
            <w:shd w:val="clear" w:color="auto" w:fill="auto"/>
            <w:tcMar>
              <w:top w:w="15" w:type="dxa"/>
              <w:left w:w="15" w:type="dxa"/>
              <w:bottom w:w="0" w:type="dxa"/>
              <w:right w:w="15" w:type="dxa"/>
            </w:tcMar>
            <w:vAlign w:val="bottom"/>
            <w:hideMark/>
          </w:tcPr>
          <w:p w14:paraId="25FC61BE" w14:textId="77777777" w:rsidR="00C92C58" w:rsidRPr="00C174D5" w:rsidRDefault="00C92C58" w:rsidP="00B15A9A">
            <w:pPr>
              <w:keepNext/>
              <w:keepLines/>
              <w:spacing w:after="0"/>
              <w:rPr>
                <w:sz w:val="20"/>
                <w:lang w:val="es-ES"/>
              </w:rPr>
            </w:pPr>
            <w:r w:rsidRPr="00C174D5">
              <w:rPr>
                <w:sz w:val="20"/>
                <w:lang w:val="es-ES"/>
              </w:rPr>
              <w:t>Costo Generación (US$/</w:t>
            </w:r>
            <w:proofErr w:type="spellStart"/>
            <w:r w:rsidRPr="00C174D5">
              <w:rPr>
                <w:sz w:val="20"/>
                <w:lang w:val="es-ES"/>
              </w:rPr>
              <w:t>MWh</w:t>
            </w:r>
            <w:proofErr w:type="spellEnd"/>
            <w:r w:rsidRPr="00C174D5">
              <w:rPr>
                <w:sz w:val="20"/>
                <w:lang w:val="es-ES"/>
              </w:rPr>
              <w:t>)</w:t>
            </w:r>
          </w:p>
        </w:tc>
        <w:tc>
          <w:tcPr>
            <w:tcW w:w="1520" w:type="dxa"/>
            <w:shd w:val="clear" w:color="auto" w:fill="auto"/>
            <w:tcMar>
              <w:top w:w="15" w:type="dxa"/>
              <w:left w:w="15" w:type="dxa"/>
              <w:bottom w:w="0" w:type="dxa"/>
              <w:right w:w="15" w:type="dxa"/>
            </w:tcMar>
            <w:vAlign w:val="bottom"/>
            <w:hideMark/>
          </w:tcPr>
          <w:p w14:paraId="5E3E7017" w14:textId="77777777" w:rsidR="00C92C58" w:rsidRPr="00C174D5" w:rsidRDefault="00C92C58" w:rsidP="00B15A9A">
            <w:pPr>
              <w:keepNext/>
              <w:keepLines/>
              <w:spacing w:after="0"/>
              <w:jc w:val="center"/>
              <w:rPr>
                <w:sz w:val="20"/>
                <w:lang w:val="es-ES"/>
              </w:rPr>
            </w:pPr>
            <w:r w:rsidRPr="00C174D5">
              <w:rPr>
                <w:sz w:val="20"/>
                <w:lang w:val="es-ES"/>
              </w:rPr>
              <w:t>116</w:t>
            </w:r>
          </w:p>
        </w:tc>
      </w:tr>
      <w:tr w:rsidR="00C92C58" w:rsidRPr="00C174D5" w14:paraId="6504F8AB" w14:textId="77777777" w:rsidTr="00B15A9A">
        <w:trPr>
          <w:trHeight w:val="120"/>
          <w:jc w:val="center"/>
        </w:trPr>
        <w:tc>
          <w:tcPr>
            <w:tcW w:w="5316" w:type="dxa"/>
            <w:shd w:val="clear" w:color="auto" w:fill="auto"/>
            <w:tcMar>
              <w:top w:w="15" w:type="dxa"/>
              <w:left w:w="15" w:type="dxa"/>
              <w:bottom w:w="0" w:type="dxa"/>
              <w:right w:w="15" w:type="dxa"/>
            </w:tcMar>
            <w:vAlign w:val="bottom"/>
            <w:hideMark/>
          </w:tcPr>
          <w:p w14:paraId="076D48C2" w14:textId="77777777" w:rsidR="00C92C58" w:rsidRPr="00C174D5" w:rsidRDefault="00C92C58" w:rsidP="00B15A9A">
            <w:pPr>
              <w:keepNext/>
              <w:keepLines/>
              <w:spacing w:after="0"/>
              <w:rPr>
                <w:sz w:val="20"/>
                <w:lang w:val="es-ES"/>
              </w:rPr>
            </w:pPr>
            <w:r w:rsidRPr="00C174D5">
              <w:rPr>
                <w:sz w:val="20"/>
                <w:lang w:val="es-ES"/>
              </w:rPr>
              <w:t>Costo Transmisión (US$/</w:t>
            </w:r>
            <w:proofErr w:type="spellStart"/>
            <w:r w:rsidRPr="00C174D5">
              <w:rPr>
                <w:sz w:val="20"/>
                <w:lang w:val="es-ES"/>
              </w:rPr>
              <w:t>MWh</w:t>
            </w:r>
            <w:proofErr w:type="spellEnd"/>
            <w:r w:rsidRPr="00C174D5">
              <w:rPr>
                <w:sz w:val="20"/>
                <w:lang w:val="es-ES"/>
              </w:rPr>
              <w:t>)</w:t>
            </w:r>
          </w:p>
        </w:tc>
        <w:tc>
          <w:tcPr>
            <w:tcW w:w="1520" w:type="dxa"/>
            <w:shd w:val="clear" w:color="auto" w:fill="auto"/>
            <w:tcMar>
              <w:top w:w="15" w:type="dxa"/>
              <w:left w:w="15" w:type="dxa"/>
              <w:bottom w:w="0" w:type="dxa"/>
              <w:right w:w="15" w:type="dxa"/>
            </w:tcMar>
            <w:vAlign w:val="bottom"/>
            <w:hideMark/>
          </w:tcPr>
          <w:p w14:paraId="068CDCF3" w14:textId="77777777" w:rsidR="00C92C58" w:rsidRPr="00C174D5" w:rsidRDefault="00C92C58" w:rsidP="00B15A9A">
            <w:pPr>
              <w:keepNext/>
              <w:keepLines/>
              <w:spacing w:after="0"/>
              <w:jc w:val="center"/>
              <w:rPr>
                <w:sz w:val="20"/>
                <w:lang w:val="es-ES"/>
              </w:rPr>
            </w:pPr>
            <w:r w:rsidRPr="00C174D5">
              <w:rPr>
                <w:sz w:val="20"/>
                <w:lang w:val="es-ES"/>
              </w:rPr>
              <w:t>8,55</w:t>
            </w:r>
          </w:p>
        </w:tc>
      </w:tr>
      <w:tr w:rsidR="00C92C58" w:rsidRPr="00C174D5" w14:paraId="6500C623" w14:textId="77777777" w:rsidTr="00B15A9A">
        <w:trPr>
          <w:trHeight w:val="120"/>
          <w:jc w:val="center"/>
        </w:trPr>
        <w:tc>
          <w:tcPr>
            <w:tcW w:w="5316" w:type="dxa"/>
            <w:shd w:val="clear" w:color="auto" w:fill="auto"/>
            <w:tcMar>
              <w:top w:w="15" w:type="dxa"/>
              <w:left w:w="15" w:type="dxa"/>
              <w:bottom w:w="0" w:type="dxa"/>
              <w:right w:w="15" w:type="dxa"/>
            </w:tcMar>
            <w:vAlign w:val="bottom"/>
            <w:hideMark/>
          </w:tcPr>
          <w:p w14:paraId="0AC4A046" w14:textId="77777777" w:rsidR="00C92C58" w:rsidRPr="00C174D5" w:rsidRDefault="00C92C58" w:rsidP="00B15A9A">
            <w:pPr>
              <w:keepNext/>
              <w:keepLines/>
              <w:spacing w:after="0"/>
              <w:rPr>
                <w:sz w:val="20"/>
                <w:lang w:val="es-ES"/>
              </w:rPr>
            </w:pPr>
            <w:r w:rsidRPr="00C174D5">
              <w:rPr>
                <w:sz w:val="20"/>
                <w:lang w:val="es-ES"/>
              </w:rPr>
              <w:t>Costo Distribución (US$/</w:t>
            </w:r>
            <w:proofErr w:type="spellStart"/>
            <w:r w:rsidRPr="00C174D5">
              <w:rPr>
                <w:sz w:val="20"/>
                <w:lang w:val="es-ES"/>
              </w:rPr>
              <w:t>MWh</w:t>
            </w:r>
            <w:proofErr w:type="spellEnd"/>
            <w:r w:rsidRPr="00C174D5">
              <w:rPr>
                <w:sz w:val="20"/>
                <w:lang w:val="es-ES"/>
              </w:rPr>
              <w:t>)</w:t>
            </w:r>
          </w:p>
        </w:tc>
        <w:tc>
          <w:tcPr>
            <w:tcW w:w="1520" w:type="dxa"/>
            <w:shd w:val="clear" w:color="auto" w:fill="auto"/>
            <w:tcMar>
              <w:top w:w="15" w:type="dxa"/>
              <w:left w:w="15" w:type="dxa"/>
              <w:bottom w:w="0" w:type="dxa"/>
              <w:right w:w="15" w:type="dxa"/>
            </w:tcMar>
            <w:vAlign w:val="bottom"/>
            <w:hideMark/>
          </w:tcPr>
          <w:p w14:paraId="34456357" w14:textId="77777777" w:rsidR="00C92C58" w:rsidRPr="00C174D5" w:rsidRDefault="00C92C58" w:rsidP="00B15A9A">
            <w:pPr>
              <w:keepNext/>
              <w:keepLines/>
              <w:spacing w:after="0"/>
              <w:jc w:val="center"/>
              <w:rPr>
                <w:sz w:val="20"/>
                <w:lang w:val="es-ES"/>
              </w:rPr>
            </w:pPr>
            <w:r w:rsidRPr="00C174D5">
              <w:rPr>
                <w:sz w:val="20"/>
                <w:lang w:val="es-ES"/>
              </w:rPr>
              <w:t>54,77</w:t>
            </w:r>
          </w:p>
        </w:tc>
      </w:tr>
      <w:tr w:rsidR="00C92C58" w:rsidRPr="00C174D5" w14:paraId="6007A8E0" w14:textId="77777777" w:rsidTr="00B15A9A">
        <w:trPr>
          <w:trHeight w:val="120"/>
          <w:jc w:val="center"/>
        </w:trPr>
        <w:tc>
          <w:tcPr>
            <w:tcW w:w="5316" w:type="dxa"/>
            <w:shd w:val="clear" w:color="auto" w:fill="auto"/>
            <w:tcMar>
              <w:top w:w="15" w:type="dxa"/>
              <w:left w:w="15" w:type="dxa"/>
              <w:bottom w:w="0" w:type="dxa"/>
              <w:right w:w="15" w:type="dxa"/>
            </w:tcMar>
            <w:vAlign w:val="bottom"/>
            <w:hideMark/>
          </w:tcPr>
          <w:p w14:paraId="69BE1C22" w14:textId="77777777" w:rsidR="00C92C58" w:rsidRPr="00C174D5" w:rsidRDefault="00C92C58" w:rsidP="00B15A9A">
            <w:pPr>
              <w:keepNext/>
              <w:keepLines/>
              <w:spacing w:after="0"/>
              <w:rPr>
                <w:sz w:val="20"/>
                <w:lang w:val="es-ES"/>
              </w:rPr>
            </w:pPr>
            <w:r w:rsidRPr="00C174D5">
              <w:rPr>
                <w:sz w:val="20"/>
                <w:lang w:val="es-ES"/>
              </w:rPr>
              <w:t>Tarifa (US$/</w:t>
            </w:r>
            <w:proofErr w:type="spellStart"/>
            <w:r w:rsidRPr="00C174D5">
              <w:rPr>
                <w:sz w:val="20"/>
                <w:lang w:val="es-ES"/>
              </w:rPr>
              <w:t>MWh</w:t>
            </w:r>
            <w:proofErr w:type="spellEnd"/>
            <w:r w:rsidRPr="00C174D5">
              <w:rPr>
                <w:sz w:val="20"/>
                <w:lang w:val="es-ES"/>
              </w:rPr>
              <w:t>)</w:t>
            </w:r>
          </w:p>
        </w:tc>
        <w:tc>
          <w:tcPr>
            <w:tcW w:w="1520" w:type="dxa"/>
            <w:shd w:val="clear" w:color="auto" w:fill="auto"/>
            <w:tcMar>
              <w:top w:w="15" w:type="dxa"/>
              <w:left w:w="15" w:type="dxa"/>
              <w:bottom w:w="0" w:type="dxa"/>
              <w:right w:w="15" w:type="dxa"/>
            </w:tcMar>
            <w:vAlign w:val="bottom"/>
            <w:hideMark/>
          </w:tcPr>
          <w:p w14:paraId="3D4A2203" w14:textId="77777777" w:rsidR="00C92C58" w:rsidRPr="00C174D5" w:rsidRDefault="00C92C58" w:rsidP="00B15A9A">
            <w:pPr>
              <w:keepNext/>
              <w:keepLines/>
              <w:spacing w:after="0"/>
              <w:jc w:val="center"/>
              <w:rPr>
                <w:sz w:val="20"/>
                <w:lang w:val="es-ES"/>
              </w:rPr>
            </w:pPr>
            <w:r w:rsidRPr="00C174D5">
              <w:rPr>
                <w:sz w:val="20"/>
                <w:lang w:val="es-ES"/>
              </w:rPr>
              <w:t>179,32</w:t>
            </w:r>
          </w:p>
        </w:tc>
      </w:tr>
      <w:tr w:rsidR="00C92C58" w:rsidRPr="00C174D5" w14:paraId="44A79385" w14:textId="77777777" w:rsidTr="00B15A9A">
        <w:trPr>
          <w:trHeight w:val="290"/>
          <w:jc w:val="center"/>
        </w:trPr>
        <w:tc>
          <w:tcPr>
            <w:tcW w:w="5316" w:type="dxa"/>
            <w:shd w:val="clear" w:color="auto" w:fill="auto"/>
            <w:tcMar>
              <w:top w:w="15" w:type="dxa"/>
              <w:left w:w="15" w:type="dxa"/>
              <w:bottom w:w="0" w:type="dxa"/>
              <w:right w:w="15" w:type="dxa"/>
            </w:tcMar>
            <w:vAlign w:val="bottom"/>
          </w:tcPr>
          <w:p w14:paraId="20E686C6" w14:textId="77777777" w:rsidR="00C92C58" w:rsidRPr="00C174D5" w:rsidRDefault="00C92C58" w:rsidP="00B15A9A">
            <w:pPr>
              <w:keepNext/>
              <w:keepLines/>
              <w:spacing w:after="0"/>
              <w:rPr>
                <w:sz w:val="20"/>
                <w:lang w:val="es-ES"/>
              </w:rPr>
            </w:pPr>
            <w:r w:rsidRPr="00C174D5">
              <w:rPr>
                <w:sz w:val="20"/>
                <w:lang w:val="es-ES"/>
              </w:rPr>
              <w:t>Crecimiento anual real peaje transmisión</w:t>
            </w:r>
          </w:p>
        </w:tc>
        <w:tc>
          <w:tcPr>
            <w:tcW w:w="1520" w:type="dxa"/>
            <w:shd w:val="clear" w:color="auto" w:fill="auto"/>
            <w:tcMar>
              <w:top w:w="15" w:type="dxa"/>
              <w:left w:w="15" w:type="dxa"/>
              <w:bottom w:w="0" w:type="dxa"/>
              <w:right w:w="15" w:type="dxa"/>
            </w:tcMar>
            <w:vAlign w:val="bottom"/>
          </w:tcPr>
          <w:p w14:paraId="46CD14E6" w14:textId="77777777" w:rsidR="00C92C58" w:rsidRPr="00C174D5" w:rsidRDefault="00C92C58" w:rsidP="00B15A9A">
            <w:pPr>
              <w:keepNext/>
              <w:keepLines/>
              <w:spacing w:after="0"/>
              <w:jc w:val="center"/>
              <w:rPr>
                <w:sz w:val="20"/>
                <w:lang w:val="es-ES"/>
              </w:rPr>
            </w:pPr>
            <w:r w:rsidRPr="00C174D5">
              <w:rPr>
                <w:sz w:val="20"/>
                <w:lang w:val="es-ES"/>
              </w:rPr>
              <w:t>2%</w:t>
            </w:r>
            <w:r w:rsidRPr="00C174D5">
              <w:rPr>
                <w:rStyle w:val="FootnoteReference"/>
                <w:sz w:val="20"/>
                <w:lang w:val="es-ES"/>
              </w:rPr>
              <w:footnoteReference w:id="11"/>
            </w:r>
          </w:p>
        </w:tc>
      </w:tr>
      <w:tr w:rsidR="00C92C58" w:rsidRPr="00C174D5" w14:paraId="25F53981" w14:textId="77777777" w:rsidTr="00B15A9A">
        <w:trPr>
          <w:trHeight w:val="300"/>
          <w:jc w:val="center"/>
        </w:trPr>
        <w:tc>
          <w:tcPr>
            <w:tcW w:w="5316" w:type="dxa"/>
            <w:shd w:val="clear" w:color="auto" w:fill="auto"/>
            <w:tcMar>
              <w:top w:w="15" w:type="dxa"/>
              <w:left w:w="15" w:type="dxa"/>
              <w:bottom w:w="0" w:type="dxa"/>
              <w:right w:w="15" w:type="dxa"/>
            </w:tcMar>
            <w:vAlign w:val="bottom"/>
            <w:hideMark/>
          </w:tcPr>
          <w:p w14:paraId="6BD33898" w14:textId="77777777" w:rsidR="00C92C58" w:rsidRPr="00C174D5" w:rsidRDefault="00C92C58" w:rsidP="00B15A9A">
            <w:pPr>
              <w:keepNext/>
              <w:keepLines/>
              <w:spacing w:after="0"/>
              <w:rPr>
                <w:sz w:val="20"/>
                <w:lang w:val="es-ES"/>
              </w:rPr>
            </w:pPr>
            <w:r w:rsidRPr="00C174D5">
              <w:rPr>
                <w:sz w:val="20"/>
                <w:lang w:val="es-ES"/>
              </w:rPr>
              <w:t>Costos económicos (ajustados por factores de cuenta)</w:t>
            </w:r>
          </w:p>
        </w:tc>
        <w:tc>
          <w:tcPr>
            <w:tcW w:w="1520" w:type="dxa"/>
            <w:shd w:val="clear" w:color="auto" w:fill="auto"/>
            <w:tcMar>
              <w:top w:w="15" w:type="dxa"/>
              <w:left w:w="15" w:type="dxa"/>
              <w:bottom w:w="0" w:type="dxa"/>
              <w:right w:w="15" w:type="dxa"/>
            </w:tcMar>
            <w:vAlign w:val="bottom"/>
            <w:hideMark/>
          </w:tcPr>
          <w:p w14:paraId="212F12E9" w14:textId="77777777" w:rsidR="00C92C58" w:rsidRPr="00C174D5" w:rsidRDefault="00C92C58" w:rsidP="00B15A9A">
            <w:pPr>
              <w:keepNext/>
              <w:keepLines/>
              <w:spacing w:after="0"/>
              <w:jc w:val="center"/>
              <w:rPr>
                <w:sz w:val="20"/>
                <w:lang w:val="es-ES"/>
              </w:rPr>
            </w:pPr>
          </w:p>
        </w:tc>
      </w:tr>
      <w:tr w:rsidR="00C92C58" w:rsidRPr="00C174D5" w14:paraId="1E04EB40" w14:textId="77777777" w:rsidTr="00B15A9A">
        <w:trPr>
          <w:trHeight w:val="290"/>
          <w:jc w:val="center"/>
        </w:trPr>
        <w:tc>
          <w:tcPr>
            <w:tcW w:w="5316" w:type="dxa"/>
            <w:shd w:val="clear" w:color="auto" w:fill="auto"/>
            <w:tcMar>
              <w:top w:w="15" w:type="dxa"/>
              <w:left w:w="15" w:type="dxa"/>
              <w:bottom w:w="0" w:type="dxa"/>
              <w:right w:w="15" w:type="dxa"/>
            </w:tcMar>
            <w:vAlign w:val="bottom"/>
            <w:hideMark/>
          </w:tcPr>
          <w:p w14:paraId="4BABE0EE" w14:textId="77777777" w:rsidR="00C92C58" w:rsidRPr="00C174D5" w:rsidRDefault="00C92C58" w:rsidP="00B15A9A">
            <w:pPr>
              <w:keepNext/>
              <w:keepLines/>
              <w:spacing w:after="0"/>
              <w:jc w:val="right"/>
              <w:rPr>
                <w:sz w:val="20"/>
                <w:lang w:val="es-ES"/>
              </w:rPr>
            </w:pPr>
            <w:r w:rsidRPr="00C174D5">
              <w:rPr>
                <w:sz w:val="20"/>
                <w:lang w:val="es-ES"/>
              </w:rPr>
              <w:t>Generación (</w:t>
            </w:r>
            <w:proofErr w:type="spellStart"/>
            <w:r w:rsidRPr="00C174D5">
              <w:rPr>
                <w:sz w:val="20"/>
                <w:lang w:val="es-ES"/>
              </w:rPr>
              <w:t>US$Ec</w:t>
            </w:r>
            <w:proofErr w:type="spellEnd"/>
            <w:r w:rsidRPr="00C174D5">
              <w:rPr>
                <w:sz w:val="20"/>
                <w:lang w:val="es-ES"/>
              </w:rPr>
              <w:t>/</w:t>
            </w:r>
            <w:proofErr w:type="spellStart"/>
            <w:r w:rsidRPr="00C174D5">
              <w:rPr>
                <w:sz w:val="20"/>
                <w:lang w:val="es-ES"/>
              </w:rPr>
              <w:t>MWh</w:t>
            </w:r>
            <w:proofErr w:type="spellEnd"/>
            <w:r w:rsidRPr="00C174D5">
              <w:rPr>
                <w:sz w:val="20"/>
                <w:lang w:val="es-ES"/>
              </w:rPr>
              <w:t>)</w:t>
            </w:r>
          </w:p>
        </w:tc>
        <w:tc>
          <w:tcPr>
            <w:tcW w:w="1520" w:type="dxa"/>
            <w:shd w:val="clear" w:color="auto" w:fill="auto"/>
            <w:tcMar>
              <w:top w:w="15" w:type="dxa"/>
              <w:left w:w="15" w:type="dxa"/>
              <w:bottom w:w="0" w:type="dxa"/>
              <w:right w:w="15" w:type="dxa"/>
            </w:tcMar>
            <w:hideMark/>
          </w:tcPr>
          <w:p w14:paraId="1BE0E6DA" w14:textId="77777777" w:rsidR="00C92C58" w:rsidRPr="00C174D5" w:rsidRDefault="00C92C58" w:rsidP="00B15A9A">
            <w:pPr>
              <w:keepNext/>
              <w:keepLines/>
              <w:spacing w:after="0"/>
              <w:jc w:val="center"/>
              <w:rPr>
                <w:sz w:val="20"/>
                <w:lang w:val="es-ES"/>
              </w:rPr>
            </w:pPr>
            <w:r w:rsidRPr="00C174D5">
              <w:rPr>
                <w:lang w:val="es-ES"/>
              </w:rPr>
              <w:t>114,00</w:t>
            </w:r>
          </w:p>
        </w:tc>
      </w:tr>
      <w:tr w:rsidR="00C92C58" w:rsidRPr="00C174D5" w14:paraId="2846471C" w14:textId="77777777" w:rsidTr="00B15A9A">
        <w:trPr>
          <w:trHeight w:val="290"/>
          <w:jc w:val="center"/>
        </w:trPr>
        <w:tc>
          <w:tcPr>
            <w:tcW w:w="5316" w:type="dxa"/>
            <w:shd w:val="clear" w:color="auto" w:fill="auto"/>
            <w:tcMar>
              <w:top w:w="15" w:type="dxa"/>
              <w:left w:w="15" w:type="dxa"/>
              <w:bottom w:w="0" w:type="dxa"/>
              <w:right w:w="15" w:type="dxa"/>
            </w:tcMar>
            <w:vAlign w:val="bottom"/>
            <w:hideMark/>
          </w:tcPr>
          <w:p w14:paraId="3DC1B69D" w14:textId="77777777" w:rsidR="00C92C58" w:rsidRPr="00C174D5" w:rsidRDefault="00C92C58" w:rsidP="00B15A9A">
            <w:pPr>
              <w:keepNext/>
              <w:keepLines/>
              <w:spacing w:after="0"/>
              <w:jc w:val="right"/>
              <w:rPr>
                <w:sz w:val="20"/>
                <w:lang w:val="es-ES"/>
              </w:rPr>
            </w:pPr>
            <w:r w:rsidRPr="00C174D5">
              <w:rPr>
                <w:sz w:val="20"/>
                <w:lang w:val="es-ES"/>
              </w:rPr>
              <w:t>Transmisión (</w:t>
            </w:r>
            <w:proofErr w:type="spellStart"/>
            <w:r w:rsidRPr="00C174D5">
              <w:rPr>
                <w:sz w:val="20"/>
                <w:lang w:val="es-ES"/>
              </w:rPr>
              <w:t>US$Ec</w:t>
            </w:r>
            <w:proofErr w:type="spellEnd"/>
            <w:r w:rsidRPr="00C174D5">
              <w:rPr>
                <w:sz w:val="20"/>
                <w:lang w:val="es-ES"/>
              </w:rPr>
              <w:t>/</w:t>
            </w:r>
            <w:proofErr w:type="spellStart"/>
            <w:r w:rsidRPr="00C174D5">
              <w:rPr>
                <w:sz w:val="20"/>
                <w:lang w:val="es-ES"/>
              </w:rPr>
              <w:t>MWh</w:t>
            </w:r>
            <w:proofErr w:type="spellEnd"/>
            <w:r w:rsidRPr="00C174D5">
              <w:rPr>
                <w:sz w:val="20"/>
                <w:lang w:val="es-ES"/>
              </w:rPr>
              <w:t>)</w:t>
            </w:r>
          </w:p>
        </w:tc>
        <w:tc>
          <w:tcPr>
            <w:tcW w:w="1520" w:type="dxa"/>
            <w:shd w:val="clear" w:color="auto" w:fill="auto"/>
            <w:tcMar>
              <w:top w:w="15" w:type="dxa"/>
              <w:left w:w="15" w:type="dxa"/>
              <w:bottom w:w="0" w:type="dxa"/>
              <w:right w:w="15" w:type="dxa"/>
            </w:tcMar>
            <w:hideMark/>
          </w:tcPr>
          <w:p w14:paraId="4B877FFF" w14:textId="77777777" w:rsidR="00C92C58" w:rsidRPr="00C174D5" w:rsidRDefault="00C92C58" w:rsidP="00B15A9A">
            <w:pPr>
              <w:keepNext/>
              <w:keepLines/>
              <w:spacing w:after="0"/>
              <w:jc w:val="center"/>
              <w:rPr>
                <w:sz w:val="20"/>
                <w:lang w:val="es-ES"/>
              </w:rPr>
            </w:pPr>
            <w:r w:rsidRPr="00C174D5">
              <w:rPr>
                <w:lang w:val="es-ES"/>
              </w:rPr>
              <w:t>8,28</w:t>
            </w:r>
          </w:p>
        </w:tc>
      </w:tr>
      <w:tr w:rsidR="00C92C58" w:rsidRPr="00C174D5" w14:paraId="7D6BA21B" w14:textId="77777777" w:rsidTr="00B15A9A">
        <w:trPr>
          <w:trHeight w:val="290"/>
          <w:jc w:val="center"/>
        </w:trPr>
        <w:tc>
          <w:tcPr>
            <w:tcW w:w="5316" w:type="dxa"/>
            <w:shd w:val="clear" w:color="auto" w:fill="auto"/>
            <w:tcMar>
              <w:top w:w="15" w:type="dxa"/>
              <w:left w:w="15" w:type="dxa"/>
              <w:bottom w:w="0" w:type="dxa"/>
              <w:right w:w="15" w:type="dxa"/>
            </w:tcMar>
            <w:vAlign w:val="bottom"/>
            <w:hideMark/>
          </w:tcPr>
          <w:p w14:paraId="2B22BF1C" w14:textId="77777777" w:rsidR="00C92C58" w:rsidRPr="00C174D5" w:rsidRDefault="00C92C58" w:rsidP="00B15A9A">
            <w:pPr>
              <w:keepNext/>
              <w:keepLines/>
              <w:spacing w:after="0"/>
              <w:jc w:val="right"/>
              <w:rPr>
                <w:sz w:val="20"/>
                <w:lang w:val="es-ES"/>
              </w:rPr>
            </w:pPr>
            <w:r w:rsidRPr="00C174D5">
              <w:rPr>
                <w:sz w:val="20"/>
                <w:lang w:val="es-ES"/>
              </w:rPr>
              <w:t>Distribución (</w:t>
            </w:r>
            <w:proofErr w:type="spellStart"/>
            <w:r w:rsidRPr="00C174D5">
              <w:rPr>
                <w:sz w:val="20"/>
                <w:lang w:val="es-ES"/>
              </w:rPr>
              <w:t>US$Ec</w:t>
            </w:r>
            <w:proofErr w:type="spellEnd"/>
            <w:r w:rsidRPr="00C174D5">
              <w:rPr>
                <w:sz w:val="20"/>
                <w:lang w:val="es-ES"/>
              </w:rPr>
              <w:t>/</w:t>
            </w:r>
            <w:proofErr w:type="spellStart"/>
            <w:r w:rsidRPr="00C174D5">
              <w:rPr>
                <w:sz w:val="20"/>
                <w:lang w:val="es-ES"/>
              </w:rPr>
              <w:t>MWh</w:t>
            </w:r>
            <w:proofErr w:type="spellEnd"/>
            <w:r w:rsidRPr="00C174D5">
              <w:rPr>
                <w:sz w:val="20"/>
                <w:lang w:val="es-ES"/>
              </w:rPr>
              <w:t>)</w:t>
            </w:r>
          </w:p>
        </w:tc>
        <w:tc>
          <w:tcPr>
            <w:tcW w:w="1520" w:type="dxa"/>
            <w:shd w:val="clear" w:color="auto" w:fill="auto"/>
            <w:tcMar>
              <w:top w:w="15" w:type="dxa"/>
              <w:left w:w="15" w:type="dxa"/>
              <w:bottom w:w="0" w:type="dxa"/>
              <w:right w:w="15" w:type="dxa"/>
            </w:tcMar>
            <w:hideMark/>
          </w:tcPr>
          <w:p w14:paraId="6F0A6904" w14:textId="77777777" w:rsidR="00C92C58" w:rsidRPr="00C174D5" w:rsidRDefault="00C92C58" w:rsidP="00B15A9A">
            <w:pPr>
              <w:keepNext/>
              <w:keepLines/>
              <w:spacing w:after="0"/>
              <w:jc w:val="center"/>
              <w:rPr>
                <w:sz w:val="20"/>
                <w:lang w:val="es-ES"/>
              </w:rPr>
            </w:pPr>
            <w:r w:rsidRPr="00C174D5">
              <w:rPr>
                <w:lang w:val="es-ES"/>
              </w:rPr>
              <w:t>52,27</w:t>
            </w:r>
          </w:p>
        </w:tc>
      </w:tr>
      <w:tr w:rsidR="00C92C58" w:rsidRPr="00C174D5" w14:paraId="43BBAE83" w14:textId="77777777" w:rsidTr="00B15A9A">
        <w:trPr>
          <w:trHeight w:val="265"/>
          <w:jc w:val="center"/>
        </w:trPr>
        <w:tc>
          <w:tcPr>
            <w:tcW w:w="6836" w:type="dxa"/>
            <w:gridSpan w:val="2"/>
            <w:shd w:val="clear" w:color="auto" w:fill="FFFFFF" w:themeFill="background1"/>
            <w:tcMar>
              <w:top w:w="15" w:type="dxa"/>
              <w:left w:w="15" w:type="dxa"/>
              <w:bottom w:w="0" w:type="dxa"/>
              <w:right w:w="15" w:type="dxa"/>
            </w:tcMar>
            <w:vAlign w:val="bottom"/>
            <w:hideMark/>
          </w:tcPr>
          <w:p w14:paraId="2536D5FA" w14:textId="77777777" w:rsidR="00C92C58" w:rsidRPr="00C174D5" w:rsidRDefault="00C92C58" w:rsidP="00B15A9A">
            <w:pPr>
              <w:keepNext/>
              <w:keepLines/>
              <w:spacing w:after="0"/>
              <w:jc w:val="center"/>
              <w:rPr>
                <w:b/>
                <w:sz w:val="20"/>
                <w:lang w:val="es-ES"/>
              </w:rPr>
            </w:pPr>
            <w:r w:rsidRPr="00C174D5">
              <w:rPr>
                <w:b/>
                <w:bCs/>
                <w:sz w:val="20"/>
                <w:lang w:val="es-ES"/>
              </w:rPr>
              <w:t>Técnicos</w:t>
            </w:r>
          </w:p>
        </w:tc>
      </w:tr>
      <w:tr w:rsidR="00C92C58" w:rsidRPr="00C174D5" w14:paraId="1B699363" w14:textId="77777777" w:rsidTr="00B15A9A">
        <w:trPr>
          <w:trHeight w:val="120"/>
          <w:jc w:val="center"/>
        </w:trPr>
        <w:tc>
          <w:tcPr>
            <w:tcW w:w="5316" w:type="dxa"/>
            <w:shd w:val="clear" w:color="auto" w:fill="auto"/>
            <w:tcMar>
              <w:top w:w="15" w:type="dxa"/>
              <w:left w:w="15" w:type="dxa"/>
              <w:bottom w:w="0" w:type="dxa"/>
              <w:right w:w="15" w:type="dxa"/>
            </w:tcMar>
            <w:vAlign w:val="center"/>
            <w:hideMark/>
          </w:tcPr>
          <w:p w14:paraId="1222B780" w14:textId="77777777" w:rsidR="00C92C58" w:rsidRPr="00C174D5" w:rsidRDefault="00C92C58" w:rsidP="00B15A9A">
            <w:pPr>
              <w:keepNext/>
              <w:keepLines/>
              <w:spacing w:after="0"/>
              <w:jc w:val="left"/>
              <w:rPr>
                <w:sz w:val="20"/>
                <w:lang w:val="es-ES"/>
              </w:rPr>
            </w:pPr>
            <w:r w:rsidRPr="00C174D5">
              <w:rPr>
                <w:sz w:val="20"/>
                <w:lang w:val="es-ES"/>
              </w:rPr>
              <w:t xml:space="preserve">Pérdidas transmisión 138 y 230 </w:t>
            </w:r>
            <w:proofErr w:type="spellStart"/>
            <w:r w:rsidRPr="00C174D5">
              <w:rPr>
                <w:sz w:val="20"/>
                <w:lang w:val="es-ES"/>
              </w:rPr>
              <w:t>kV</w:t>
            </w:r>
            <w:proofErr w:type="spellEnd"/>
          </w:p>
        </w:tc>
        <w:tc>
          <w:tcPr>
            <w:tcW w:w="1520" w:type="dxa"/>
            <w:shd w:val="clear" w:color="auto" w:fill="auto"/>
            <w:tcMar>
              <w:top w:w="15" w:type="dxa"/>
              <w:left w:w="15" w:type="dxa"/>
              <w:bottom w:w="0" w:type="dxa"/>
              <w:right w:w="15" w:type="dxa"/>
            </w:tcMar>
            <w:vAlign w:val="bottom"/>
            <w:hideMark/>
          </w:tcPr>
          <w:p w14:paraId="58E67028" w14:textId="77777777" w:rsidR="00C92C58" w:rsidRPr="00C174D5" w:rsidRDefault="00C92C58" w:rsidP="00B15A9A">
            <w:pPr>
              <w:keepNext/>
              <w:keepLines/>
              <w:spacing w:after="0"/>
              <w:jc w:val="center"/>
              <w:rPr>
                <w:sz w:val="20"/>
                <w:lang w:val="es-ES"/>
              </w:rPr>
            </w:pPr>
            <w:r w:rsidRPr="00C174D5">
              <w:rPr>
                <w:sz w:val="20"/>
                <w:lang w:val="es-ES"/>
              </w:rPr>
              <w:t>2,43%</w:t>
            </w:r>
            <w:r w:rsidRPr="00C174D5">
              <w:rPr>
                <w:rStyle w:val="FootnoteReference"/>
                <w:sz w:val="20"/>
                <w:lang w:val="es-ES"/>
              </w:rPr>
              <w:footnoteReference w:id="12"/>
            </w:r>
          </w:p>
        </w:tc>
      </w:tr>
      <w:tr w:rsidR="00C92C58" w:rsidRPr="00C174D5" w14:paraId="10E62B44" w14:textId="77777777" w:rsidTr="00B15A9A">
        <w:trPr>
          <w:trHeight w:val="120"/>
          <w:jc w:val="center"/>
        </w:trPr>
        <w:tc>
          <w:tcPr>
            <w:tcW w:w="5316" w:type="dxa"/>
            <w:shd w:val="clear" w:color="auto" w:fill="auto"/>
            <w:tcMar>
              <w:top w:w="15" w:type="dxa"/>
              <w:left w:w="15" w:type="dxa"/>
              <w:bottom w:w="0" w:type="dxa"/>
              <w:right w:w="15" w:type="dxa"/>
            </w:tcMar>
            <w:vAlign w:val="bottom"/>
            <w:hideMark/>
          </w:tcPr>
          <w:p w14:paraId="3C48032C" w14:textId="77777777" w:rsidR="00C92C58" w:rsidRPr="00C174D5" w:rsidRDefault="00C92C58" w:rsidP="00B15A9A">
            <w:pPr>
              <w:keepNext/>
              <w:keepLines/>
              <w:spacing w:after="0"/>
              <w:jc w:val="left"/>
              <w:rPr>
                <w:sz w:val="20"/>
                <w:lang w:val="es-ES"/>
              </w:rPr>
            </w:pPr>
            <w:r w:rsidRPr="00C174D5">
              <w:rPr>
                <w:sz w:val="20"/>
                <w:lang w:val="es-ES"/>
              </w:rPr>
              <w:t xml:space="preserve">Pérdidas en la red de 24.9 </w:t>
            </w:r>
            <w:proofErr w:type="spellStart"/>
            <w:r w:rsidRPr="00C174D5">
              <w:rPr>
                <w:sz w:val="20"/>
                <w:lang w:val="es-ES"/>
              </w:rPr>
              <w:t>kV</w:t>
            </w:r>
            <w:proofErr w:type="spellEnd"/>
            <w:r w:rsidRPr="00C174D5">
              <w:rPr>
                <w:sz w:val="20"/>
                <w:lang w:val="es-ES"/>
              </w:rPr>
              <w:t xml:space="preserve"> (MT)</w:t>
            </w:r>
          </w:p>
        </w:tc>
        <w:tc>
          <w:tcPr>
            <w:tcW w:w="1520" w:type="dxa"/>
            <w:shd w:val="clear" w:color="auto" w:fill="auto"/>
            <w:tcMar>
              <w:top w:w="15" w:type="dxa"/>
              <w:left w:w="15" w:type="dxa"/>
              <w:bottom w:w="0" w:type="dxa"/>
              <w:right w:w="15" w:type="dxa"/>
            </w:tcMar>
            <w:vAlign w:val="bottom"/>
            <w:hideMark/>
          </w:tcPr>
          <w:p w14:paraId="31AE9064" w14:textId="77777777" w:rsidR="00C92C58" w:rsidRPr="00C174D5" w:rsidRDefault="00C92C58" w:rsidP="00B15A9A">
            <w:pPr>
              <w:keepNext/>
              <w:keepLines/>
              <w:spacing w:after="0"/>
              <w:jc w:val="center"/>
              <w:rPr>
                <w:sz w:val="20"/>
                <w:lang w:val="es-ES"/>
              </w:rPr>
            </w:pPr>
            <w:r w:rsidRPr="00C174D5">
              <w:rPr>
                <w:sz w:val="20"/>
                <w:lang w:val="es-ES"/>
              </w:rPr>
              <w:t>6,58%</w:t>
            </w:r>
          </w:p>
        </w:tc>
      </w:tr>
      <w:tr w:rsidR="00C92C58" w:rsidRPr="00C174D5" w14:paraId="5233E03A" w14:textId="77777777" w:rsidTr="00B15A9A">
        <w:trPr>
          <w:trHeight w:val="120"/>
          <w:jc w:val="center"/>
        </w:trPr>
        <w:tc>
          <w:tcPr>
            <w:tcW w:w="5316" w:type="dxa"/>
            <w:shd w:val="clear" w:color="auto" w:fill="auto"/>
            <w:tcMar>
              <w:top w:w="15" w:type="dxa"/>
              <w:left w:w="15" w:type="dxa"/>
              <w:bottom w:w="0" w:type="dxa"/>
              <w:right w:w="15" w:type="dxa"/>
            </w:tcMar>
            <w:vAlign w:val="center"/>
            <w:hideMark/>
          </w:tcPr>
          <w:p w14:paraId="6916887F" w14:textId="77777777" w:rsidR="00C92C58" w:rsidRPr="00C174D5" w:rsidRDefault="00C92C58" w:rsidP="00B15A9A">
            <w:pPr>
              <w:keepNext/>
              <w:keepLines/>
              <w:spacing w:after="0"/>
              <w:jc w:val="left"/>
              <w:rPr>
                <w:sz w:val="20"/>
                <w:lang w:val="es-ES"/>
              </w:rPr>
            </w:pPr>
            <w:r w:rsidRPr="00C174D5">
              <w:rPr>
                <w:sz w:val="20"/>
                <w:lang w:val="es-ES"/>
              </w:rPr>
              <w:t>Pérdidas en red de BT</w:t>
            </w:r>
          </w:p>
        </w:tc>
        <w:tc>
          <w:tcPr>
            <w:tcW w:w="1520" w:type="dxa"/>
            <w:shd w:val="clear" w:color="auto" w:fill="auto"/>
            <w:tcMar>
              <w:top w:w="15" w:type="dxa"/>
              <w:left w:w="15" w:type="dxa"/>
              <w:bottom w:w="0" w:type="dxa"/>
              <w:right w:w="15" w:type="dxa"/>
            </w:tcMar>
            <w:vAlign w:val="bottom"/>
            <w:hideMark/>
          </w:tcPr>
          <w:p w14:paraId="207F6434" w14:textId="77777777" w:rsidR="00C92C58" w:rsidRPr="00C174D5" w:rsidRDefault="00C92C58" w:rsidP="00B15A9A">
            <w:pPr>
              <w:keepNext/>
              <w:keepLines/>
              <w:spacing w:after="0"/>
              <w:jc w:val="center"/>
              <w:rPr>
                <w:sz w:val="20"/>
                <w:lang w:val="es-ES"/>
              </w:rPr>
            </w:pPr>
            <w:r w:rsidRPr="00C174D5">
              <w:rPr>
                <w:sz w:val="20"/>
                <w:lang w:val="es-ES"/>
              </w:rPr>
              <w:t>5%</w:t>
            </w:r>
          </w:p>
        </w:tc>
      </w:tr>
      <w:tr w:rsidR="00C92C58" w:rsidRPr="00C174D5" w14:paraId="1DD8A474" w14:textId="77777777" w:rsidTr="00B15A9A">
        <w:trPr>
          <w:trHeight w:val="120"/>
          <w:jc w:val="center"/>
        </w:trPr>
        <w:tc>
          <w:tcPr>
            <w:tcW w:w="6836" w:type="dxa"/>
            <w:gridSpan w:val="2"/>
            <w:shd w:val="clear" w:color="auto" w:fill="FFFFFF" w:themeFill="background1"/>
            <w:tcMar>
              <w:top w:w="15" w:type="dxa"/>
              <w:left w:w="15" w:type="dxa"/>
              <w:bottom w:w="0" w:type="dxa"/>
              <w:right w:w="15" w:type="dxa"/>
            </w:tcMar>
            <w:vAlign w:val="center"/>
            <w:hideMark/>
          </w:tcPr>
          <w:p w14:paraId="2B2DF9E6" w14:textId="77777777" w:rsidR="00C92C58" w:rsidRPr="00C174D5" w:rsidRDefault="00C92C58" w:rsidP="00B15A9A">
            <w:pPr>
              <w:keepNext/>
              <w:keepLines/>
              <w:spacing w:after="0"/>
              <w:jc w:val="center"/>
              <w:rPr>
                <w:b/>
                <w:sz w:val="20"/>
                <w:lang w:val="es-ES"/>
              </w:rPr>
            </w:pPr>
            <w:r w:rsidRPr="00C174D5">
              <w:rPr>
                <w:b/>
                <w:bCs/>
                <w:sz w:val="20"/>
                <w:lang w:val="es-ES"/>
              </w:rPr>
              <w:t>De mercado</w:t>
            </w:r>
          </w:p>
        </w:tc>
      </w:tr>
      <w:tr w:rsidR="00C92C58" w:rsidRPr="00C174D5" w14:paraId="319D17B9" w14:textId="77777777" w:rsidTr="00B15A9A">
        <w:trPr>
          <w:trHeight w:val="120"/>
          <w:jc w:val="center"/>
        </w:trPr>
        <w:tc>
          <w:tcPr>
            <w:tcW w:w="5316" w:type="dxa"/>
            <w:shd w:val="clear" w:color="auto" w:fill="auto"/>
            <w:tcMar>
              <w:top w:w="15" w:type="dxa"/>
              <w:left w:w="15" w:type="dxa"/>
              <w:bottom w:w="0" w:type="dxa"/>
              <w:right w:w="15" w:type="dxa"/>
            </w:tcMar>
            <w:vAlign w:val="bottom"/>
          </w:tcPr>
          <w:p w14:paraId="1B29BCF3" w14:textId="77777777" w:rsidR="00C92C58" w:rsidRPr="00C174D5" w:rsidRDefault="00C92C58" w:rsidP="00B15A9A">
            <w:pPr>
              <w:keepNext/>
              <w:keepLines/>
              <w:spacing w:after="0"/>
              <w:jc w:val="left"/>
              <w:rPr>
                <w:sz w:val="20"/>
                <w:lang w:val="es-ES"/>
              </w:rPr>
            </w:pPr>
            <w:r>
              <w:rPr>
                <w:sz w:val="20"/>
                <w:lang w:val="es-ES"/>
              </w:rPr>
              <w:t>Tasa anual de crecimiento de demanda</w:t>
            </w:r>
          </w:p>
        </w:tc>
        <w:tc>
          <w:tcPr>
            <w:tcW w:w="1520" w:type="dxa"/>
            <w:shd w:val="clear" w:color="auto" w:fill="auto"/>
            <w:tcMar>
              <w:top w:w="15" w:type="dxa"/>
              <w:left w:w="15" w:type="dxa"/>
              <w:bottom w:w="0" w:type="dxa"/>
              <w:right w:w="15" w:type="dxa"/>
            </w:tcMar>
            <w:vAlign w:val="bottom"/>
          </w:tcPr>
          <w:p w14:paraId="2B4282B5" w14:textId="77777777" w:rsidR="00C92C58" w:rsidRPr="00C174D5" w:rsidRDefault="00C92C58" w:rsidP="00B15A9A">
            <w:pPr>
              <w:keepNext/>
              <w:keepLines/>
              <w:spacing w:after="0"/>
              <w:jc w:val="center"/>
              <w:rPr>
                <w:sz w:val="20"/>
                <w:lang w:val="es-ES"/>
              </w:rPr>
            </w:pPr>
            <w:r>
              <w:rPr>
                <w:sz w:val="20"/>
                <w:lang w:val="es-ES"/>
              </w:rPr>
              <w:t>3,6%</w:t>
            </w:r>
            <w:r>
              <w:rPr>
                <w:rStyle w:val="FootnoteReference"/>
                <w:sz w:val="20"/>
                <w:lang w:val="es-ES"/>
              </w:rPr>
              <w:footnoteReference w:id="13"/>
            </w:r>
          </w:p>
        </w:tc>
      </w:tr>
      <w:tr w:rsidR="00C92C58" w:rsidRPr="00C174D5" w14:paraId="79F17236" w14:textId="77777777" w:rsidTr="00B15A9A">
        <w:trPr>
          <w:trHeight w:val="120"/>
          <w:jc w:val="center"/>
        </w:trPr>
        <w:tc>
          <w:tcPr>
            <w:tcW w:w="5316" w:type="dxa"/>
            <w:shd w:val="clear" w:color="auto" w:fill="auto"/>
            <w:tcMar>
              <w:top w:w="15" w:type="dxa"/>
              <w:left w:w="15" w:type="dxa"/>
              <w:bottom w:w="0" w:type="dxa"/>
              <w:right w:w="15" w:type="dxa"/>
            </w:tcMar>
            <w:vAlign w:val="bottom"/>
            <w:hideMark/>
          </w:tcPr>
          <w:p w14:paraId="72A3CFFF" w14:textId="77777777" w:rsidR="00C92C58" w:rsidRPr="00C174D5" w:rsidRDefault="00C92C58" w:rsidP="00B15A9A">
            <w:pPr>
              <w:keepNext/>
              <w:keepLines/>
              <w:spacing w:after="0"/>
              <w:jc w:val="left"/>
              <w:rPr>
                <w:sz w:val="20"/>
                <w:lang w:val="es-ES"/>
              </w:rPr>
            </w:pPr>
            <w:r w:rsidRPr="00C174D5">
              <w:rPr>
                <w:sz w:val="20"/>
                <w:lang w:val="es-ES"/>
              </w:rPr>
              <w:t>Consumo actual equivalente clientes rurales (</w:t>
            </w:r>
            <w:proofErr w:type="spellStart"/>
            <w:r w:rsidRPr="00C174D5">
              <w:rPr>
                <w:sz w:val="20"/>
                <w:lang w:val="es-ES"/>
              </w:rPr>
              <w:t>kWh</w:t>
            </w:r>
            <w:proofErr w:type="spellEnd"/>
            <w:r w:rsidRPr="00C174D5">
              <w:rPr>
                <w:sz w:val="20"/>
                <w:lang w:val="es-ES"/>
              </w:rPr>
              <w:t>/mes)</w:t>
            </w:r>
            <w:r w:rsidRPr="00C174D5">
              <w:rPr>
                <w:rStyle w:val="FootnoteReference"/>
                <w:sz w:val="20"/>
                <w:lang w:val="es-ES"/>
              </w:rPr>
              <w:footnoteReference w:id="14"/>
            </w:r>
          </w:p>
        </w:tc>
        <w:tc>
          <w:tcPr>
            <w:tcW w:w="1520" w:type="dxa"/>
            <w:shd w:val="clear" w:color="auto" w:fill="auto"/>
            <w:tcMar>
              <w:top w:w="15" w:type="dxa"/>
              <w:left w:w="15" w:type="dxa"/>
              <w:bottom w:w="0" w:type="dxa"/>
              <w:right w:w="15" w:type="dxa"/>
            </w:tcMar>
            <w:vAlign w:val="bottom"/>
            <w:hideMark/>
          </w:tcPr>
          <w:p w14:paraId="116F67E5" w14:textId="77777777" w:rsidR="00C92C58" w:rsidRPr="00C174D5" w:rsidRDefault="00C92C58" w:rsidP="00B15A9A">
            <w:pPr>
              <w:keepNext/>
              <w:keepLines/>
              <w:spacing w:after="0"/>
              <w:jc w:val="center"/>
              <w:rPr>
                <w:sz w:val="20"/>
                <w:lang w:val="es-ES"/>
              </w:rPr>
            </w:pPr>
            <w:r w:rsidRPr="00C174D5">
              <w:rPr>
                <w:sz w:val="20"/>
                <w:lang w:val="es-ES"/>
              </w:rPr>
              <w:t>12,75</w:t>
            </w:r>
          </w:p>
        </w:tc>
      </w:tr>
      <w:tr w:rsidR="00C92C58" w:rsidRPr="00C174D5" w14:paraId="5535A8D5" w14:textId="77777777" w:rsidTr="00B15A9A">
        <w:trPr>
          <w:trHeight w:val="120"/>
          <w:jc w:val="center"/>
        </w:trPr>
        <w:tc>
          <w:tcPr>
            <w:tcW w:w="5316" w:type="dxa"/>
            <w:shd w:val="clear" w:color="auto" w:fill="auto"/>
            <w:tcMar>
              <w:top w:w="15" w:type="dxa"/>
              <w:left w:w="15" w:type="dxa"/>
              <w:bottom w:w="0" w:type="dxa"/>
              <w:right w:w="15" w:type="dxa"/>
            </w:tcMar>
            <w:vAlign w:val="bottom"/>
            <w:hideMark/>
          </w:tcPr>
          <w:p w14:paraId="3EB78065" w14:textId="77777777" w:rsidR="00C92C58" w:rsidRPr="00C174D5" w:rsidRDefault="00C92C58" w:rsidP="00B15A9A">
            <w:pPr>
              <w:keepNext/>
              <w:keepLines/>
              <w:spacing w:after="0"/>
              <w:jc w:val="left"/>
              <w:rPr>
                <w:sz w:val="20"/>
                <w:lang w:val="es-ES"/>
              </w:rPr>
            </w:pPr>
            <w:r w:rsidRPr="00C174D5">
              <w:rPr>
                <w:sz w:val="20"/>
                <w:lang w:val="es-ES"/>
              </w:rPr>
              <w:t>Precio unitario sustitutos clientes rurales (US$/</w:t>
            </w:r>
            <w:proofErr w:type="spellStart"/>
            <w:r w:rsidRPr="00C174D5">
              <w:rPr>
                <w:sz w:val="20"/>
                <w:lang w:val="es-ES"/>
              </w:rPr>
              <w:t>kWh</w:t>
            </w:r>
            <w:proofErr w:type="spellEnd"/>
            <w:r w:rsidRPr="00C174D5">
              <w:rPr>
                <w:sz w:val="20"/>
                <w:lang w:val="es-ES"/>
              </w:rPr>
              <w:t>)</w:t>
            </w:r>
          </w:p>
        </w:tc>
        <w:tc>
          <w:tcPr>
            <w:tcW w:w="1520" w:type="dxa"/>
            <w:shd w:val="clear" w:color="auto" w:fill="auto"/>
            <w:tcMar>
              <w:top w:w="15" w:type="dxa"/>
              <w:left w:w="15" w:type="dxa"/>
              <w:bottom w:w="0" w:type="dxa"/>
              <w:right w:w="15" w:type="dxa"/>
            </w:tcMar>
            <w:vAlign w:val="bottom"/>
            <w:hideMark/>
          </w:tcPr>
          <w:p w14:paraId="20C5896C" w14:textId="77777777" w:rsidR="00C92C58" w:rsidRPr="00C174D5" w:rsidRDefault="00C92C58" w:rsidP="00B15A9A">
            <w:pPr>
              <w:keepNext/>
              <w:keepLines/>
              <w:spacing w:after="0"/>
              <w:jc w:val="center"/>
              <w:rPr>
                <w:sz w:val="20"/>
                <w:lang w:val="es-ES"/>
              </w:rPr>
            </w:pPr>
            <w:r w:rsidRPr="00C174D5">
              <w:rPr>
                <w:sz w:val="20"/>
                <w:lang w:val="es-ES"/>
              </w:rPr>
              <w:t>1,285</w:t>
            </w:r>
          </w:p>
        </w:tc>
      </w:tr>
      <w:tr w:rsidR="00C92C58" w:rsidRPr="00C174D5" w14:paraId="5FBA6532" w14:textId="77777777" w:rsidTr="00B15A9A">
        <w:trPr>
          <w:trHeight w:val="120"/>
          <w:jc w:val="center"/>
        </w:trPr>
        <w:tc>
          <w:tcPr>
            <w:tcW w:w="5316" w:type="dxa"/>
            <w:shd w:val="clear" w:color="auto" w:fill="auto"/>
            <w:tcMar>
              <w:top w:w="15" w:type="dxa"/>
              <w:left w:w="15" w:type="dxa"/>
              <w:bottom w:w="0" w:type="dxa"/>
              <w:right w:w="15" w:type="dxa"/>
            </w:tcMar>
            <w:vAlign w:val="bottom"/>
            <w:hideMark/>
          </w:tcPr>
          <w:p w14:paraId="069AE0DA" w14:textId="77777777" w:rsidR="00C92C58" w:rsidRPr="00C174D5" w:rsidRDefault="00C92C58" w:rsidP="00B15A9A">
            <w:pPr>
              <w:keepNext/>
              <w:keepLines/>
              <w:spacing w:after="0"/>
              <w:jc w:val="left"/>
              <w:rPr>
                <w:sz w:val="20"/>
                <w:lang w:val="es-ES"/>
              </w:rPr>
            </w:pPr>
            <w:r w:rsidRPr="00C174D5">
              <w:rPr>
                <w:sz w:val="20"/>
                <w:lang w:val="es-ES"/>
              </w:rPr>
              <w:t>Costo mensual sustitutos (US$/mes)</w:t>
            </w:r>
          </w:p>
        </w:tc>
        <w:tc>
          <w:tcPr>
            <w:tcW w:w="1520" w:type="dxa"/>
            <w:shd w:val="clear" w:color="auto" w:fill="auto"/>
            <w:tcMar>
              <w:top w:w="15" w:type="dxa"/>
              <w:left w:w="15" w:type="dxa"/>
              <w:bottom w:w="0" w:type="dxa"/>
              <w:right w:w="15" w:type="dxa"/>
            </w:tcMar>
            <w:vAlign w:val="bottom"/>
            <w:hideMark/>
          </w:tcPr>
          <w:p w14:paraId="7EB0CD21" w14:textId="77777777" w:rsidR="00C92C58" w:rsidRPr="00C174D5" w:rsidRDefault="00C92C58" w:rsidP="00B15A9A">
            <w:pPr>
              <w:keepNext/>
              <w:keepLines/>
              <w:spacing w:after="0"/>
              <w:jc w:val="center"/>
              <w:rPr>
                <w:sz w:val="20"/>
                <w:lang w:val="es-ES"/>
              </w:rPr>
            </w:pPr>
            <w:r w:rsidRPr="00C174D5">
              <w:rPr>
                <w:sz w:val="20"/>
                <w:lang w:val="es-ES"/>
              </w:rPr>
              <w:t>16,36</w:t>
            </w:r>
          </w:p>
        </w:tc>
      </w:tr>
      <w:tr w:rsidR="00C92C58" w:rsidRPr="00C174D5" w14:paraId="645FF53A" w14:textId="77777777" w:rsidTr="00B15A9A">
        <w:trPr>
          <w:trHeight w:val="120"/>
          <w:jc w:val="center"/>
        </w:trPr>
        <w:tc>
          <w:tcPr>
            <w:tcW w:w="5316" w:type="dxa"/>
            <w:shd w:val="clear" w:color="auto" w:fill="auto"/>
            <w:tcMar>
              <w:top w:w="15" w:type="dxa"/>
              <w:left w:w="15" w:type="dxa"/>
              <w:bottom w:w="0" w:type="dxa"/>
              <w:right w:w="15" w:type="dxa"/>
            </w:tcMar>
            <w:vAlign w:val="bottom"/>
            <w:hideMark/>
          </w:tcPr>
          <w:p w14:paraId="0CC912E6" w14:textId="77777777" w:rsidR="00C92C58" w:rsidRPr="00C174D5" w:rsidRDefault="00C92C58" w:rsidP="00B15A9A">
            <w:pPr>
              <w:keepNext/>
              <w:keepLines/>
              <w:spacing w:after="0"/>
              <w:jc w:val="left"/>
              <w:rPr>
                <w:sz w:val="20"/>
                <w:lang w:val="es-ES"/>
              </w:rPr>
            </w:pPr>
            <w:r w:rsidRPr="00C174D5">
              <w:rPr>
                <w:sz w:val="20"/>
                <w:lang w:val="es-ES"/>
              </w:rPr>
              <w:t>Potencia clientes rurales (MW/año)</w:t>
            </w:r>
          </w:p>
        </w:tc>
        <w:tc>
          <w:tcPr>
            <w:tcW w:w="1520" w:type="dxa"/>
            <w:shd w:val="clear" w:color="auto" w:fill="auto"/>
            <w:tcMar>
              <w:top w:w="15" w:type="dxa"/>
              <w:left w:w="15" w:type="dxa"/>
              <w:bottom w:w="0" w:type="dxa"/>
              <w:right w:w="15" w:type="dxa"/>
            </w:tcMar>
            <w:vAlign w:val="bottom"/>
            <w:hideMark/>
          </w:tcPr>
          <w:p w14:paraId="18E6ABF8" w14:textId="77777777" w:rsidR="00C92C58" w:rsidRPr="00C174D5" w:rsidRDefault="00C92C58" w:rsidP="00B15A9A">
            <w:pPr>
              <w:keepNext/>
              <w:keepLines/>
              <w:spacing w:after="0"/>
              <w:jc w:val="center"/>
              <w:rPr>
                <w:sz w:val="20"/>
                <w:lang w:val="es-ES"/>
              </w:rPr>
            </w:pPr>
            <w:r w:rsidRPr="00C174D5">
              <w:rPr>
                <w:sz w:val="20"/>
                <w:lang w:val="es-ES"/>
              </w:rPr>
              <w:t>0,00029</w:t>
            </w:r>
          </w:p>
        </w:tc>
      </w:tr>
      <w:tr w:rsidR="00C92C58" w:rsidRPr="00C174D5" w14:paraId="0A7E8696" w14:textId="77777777" w:rsidTr="00B15A9A">
        <w:trPr>
          <w:trHeight w:val="120"/>
          <w:jc w:val="center"/>
        </w:trPr>
        <w:tc>
          <w:tcPr>
            <w:tcW w:w="5316" w:type="dxa"/>
            <w:shd w:val="clear" w:color="auto" w:fill="auto"/>
            <w:tcMar>
              <w:top w:w="15" w:type="dxa"/>
              <w:left w:w="15" w:type="dxa"/>
              <w:bottom w:w="0" w:type="dxa"/>
              <w:right w:w="15" w:type="dxa"/>
            </w:tcMar>
            <w:vAlign w:val="bottom"/>
            <w:hideMark/>
          </w:tcPr>
          <w:p w14:paraId="504F8B62" w14:textId="77777777" w:rsidR="00C92C58" w:rsidRPr="00C03193" w:rsidRDefault="00C92C58" w:rsidP="00B15A9A">
            <w:pPr>
              <w:keepNext/>
              <w:keepLines/>
              <w:spacing w:after="0"/>
              <w:jc w:val="left"/>
              <w:rPr>
                <w:sz w:val="20"/>
                <w:lang w:val="pt-BR"/>
              </w:rPr>
            </w:pPr>
            <w:proofErr w:type="spellStart"/>
            <w:r w:rsidRPr="00C03193">
              <w:rPr>
                <w:sz w:val="20"/>
                <w:lang w:val="pt-BR"/>
              </w:rPr>
              <w:t>Factor</w:t>
            </w:r>
            <w:proofErr w:type="spellEnd"/>
            <w:r w:rsidRPr="00C03193">
              <w:rPr>
                <w:sz w:val="20"/>
                <w:lang w:val="pt-BR"/>
              </w:rPr>
              <w:t xml:space="preserve"> de </w:t>
            </w:r>
            <w:proofErr w:type="spellStart"/>
            <w:r w:rsidRPr="00C03193">
              <w:rPr>
                <w:sz w:val="20"/>
                <w:lang w:val="pt-BR"/>
              </w:rPr>
              <w:t>coincidencia</w:t>
            </w:r>
            <w:proofErr w:type="spellEnd"/>
            <w:r w:rsidRPr="00C03193">
              <w:rPr>
                <w:sz w:val="20"/>
                <w:lang w:val="pt-BR"/>
              </w:rPr>
              <w:t xml:space="preserve"> Rural (PER)</w:t>
            </w:r>
          </w:p>
        </w:tc>
        <w:tc>
          <w:tcPr>
            <w:tcW w:w="1520" w:type="dxa"/>
            <w:shd w:val="clear" w:color="auto" w:fill="auto"/>
            <w:tcMar>
              <w:top w:w="15" w:type="dxa"/>
              <w:left w:w="15" w:type="dxa"/>
              <w:bottom w:w="0" w:type="dxa"/>
              <w:right w:w="15" w:type="dxa"/>
            </w:tcMar>
            <w:vAlign w:val="bottom"/>
            <w:hideMark/>
          </w:tcPr>
          <w:p w14:paraId="16A31C39" w14:textId="77777777" w:rsidR="00C92C58" w:rsidRPr="00C174D5" w:rsidRDefault="00C92C58" w:rsidP="00B15A9A">
            <w:pPr>
              <w:keepNext/>
              <w:keepLines/>
              <w:spacing w:after="0"/>
              <w:jc w:val="center"/>
              <w:rPr>
                <w:sz w:val="20"/>
                <w:lang w:val="es-ES"/>
              </w:rPr>
            </w:pPr>
            <w:r w:rsidRPr="00C174D5">
              <w:rPr>
                <w:sz w:val="20"/>
                <w:lang w:val="es-ES"/>
              </w:rPr>
              <w:t>92%</w:t>
            </w:r>
          </w:p>
        </w:tc>
      </w:tr>
    </w:tbl>
    <w:p w14:paraId="32FDCDBC" w14:textId="77777777" w:rsidR="00C92C58" w:rsidRPr="00C174D5" w:rsidRDefault="00C92C58" w:rsidP="00C92C58">
      <w:pPr>
        <w:jc w:val="center"/>
        <w:rPr>
          <w:sz w:val="18"/>
          <w:lang w:val="es-ES"/>
        </w:rPr>
      </w:pPr>
      <w:r w:rsidRPr="00C174D5">
        <w:rPr>
          <w:sz w:val="18"/>
          <w:lang w:val="es-ES"/>
        </w:rPr>
        <w:t>Fuente: Elaboración propia en base a información de ENATREL provista por el BID</w:t>
      </w:r>
    </w:p>
    <w:p w14:paraId="4DCA6356" w14:textId="77777777" w:rsidR="00C92C58" w:rsidRPr="00C174D5" w:rsidRDefault="00C92C58" w:rsidP="00C92C58">
      <w:pPr>
        <w:rPr>
          <w:lang w:val="es-ES"/>
        </w:rPr>
      </w:pPr>
      <w:r w:rsidRPr="00C174D5">
        <w:rPr>
          <w:lang w:val="es-ES"/>
        </w:rPr>
        <w:t>Cabe aclarar que los costos de generación, transmisión y distribución utilizados son los correspondientes al año 2016 (contenida en el archivo “</w:t>
      </w:r>
      <w:proofErr w:type="spellStart"/>
      <w:r w:rsidRPr="00C174D5">
        <w:rPr>
          <w:lang w:val="es-ES"/>
        </w:rPr>
        <w:t>Informacion</w:t>
      </w:r>
      <w:proofErr w:type="spellEnd"/>
      <w:r w:rsidRPr="00C174D5">
        <w:rPr>
          <w:lang w:val="es-ES"/>
        </w:rPr>
        <w:t xml:space="preserve"> ENATREL-BID-</w:t>
      </w:r>
      <w:r w:rsidRPr="00C174D5">
        <w:rPr>
          <w:lang w:val="es-ES"/>
        </w:rPr>
        <w:lastRenderedPageBreak/>
        <w:t>v2.xlsx” y se suponen iguales a los costos incrementales de largo plazo para cada actividad en el sector (generación, transmisión y distribución).</w:t>
      </w:r>
      <w:r w:rsidRPr="00C174D5">
        <w:rPr>
          <w:rStyle w:val="FootnoteReference"/>
          <w:lang w:val="es-ES"/>
        </w:rPr>
        <w:footnoteReference w:id="15"/>
      </w:r>
    </w:p>
    <w:p w14:paraId="6851C35D" w14:textId="77777777" w:rsidR="00C92C58" w:rsidRPr="00C174D5" w:rsidRDefault="00C92C58" w:rsidP="00C92C58">
      <w:pPr>
        <w:rPr>
          <w:lang w:val="es-ES"/>
        </w:rPr>
      </w:pPr>
      <w:r w:rsidRPr="00C174D5">
        <w:rPr>
          <w:lang w:val="es-ES"/>
        </w:rPr>
        <w:t>Algunos de estos proyectos involucra</w:t>
      </w:r>
      <w:r>
        <w:rPr>
          <w:lang w:val="es-ES"/>
        </w:rPr>
        <w:t>n</w:t>
      </w:r>
      <w:r w:rsidRPr="00C174D5">
        <w:rPr>
          <w:lang w:val="es-ES"/>
        </w:rPr>
        <w:t xml:space="preserve"> la provisión de electricidad a nuevos clientes (PER o Proyectos de Electrificación Rural). Para evaluar correctamente los beneficios que supone la consecución de los mismos, entonces, se debe contar con una estimación de los recursos que actualmente están destinando estas familias para acceder a fuentes alternativas de energía (estos recursos serán </w:t>
      </w:r>
      <w:r w:rsidRPr="00C174D5">
        <w:rPr>
          <w:i/>
          <w:lang w:val="es-ES"/>
        </w:rPr>
        <w:t>liberados</w:t>
      </w:r>
      <w:r w:rsidRPr="00C174D5">
        <w:rPr>
          <w:lang w:val="es-ES"/>
        </w:rPr>
        <w:t xml:space="preserve"> en presencia del proyecto). Para el cálculo de los recursos liberados, se supone que la población utiliza actualmente velas, kerosene, carbón y pilas de acuerdo a la </w:t>
      </w:r>
      <w:r w:rsidRPr="00C174D5">
        <w:rPr>
          <w:lang w:val="es-ES"/>
        </w:rPr>
        <w:fldChar w:fldCharType="begin"/>
      </w:r>
      <w:r w:rsidRPr="00C174D5">
        <w:rPr>
          <w:lang w:val="es-ES"/>
        </w:rPr>
        <w:instrText xml:space="preserve"> REF _Ref450036198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5</w:t>
      </w:r>
      <w:r w:rsidRPr="00C174D5">
        <w:rPr>
          <w:lang w:val="es-ES"/>
        </w:rPr>
        <w:fldChar w:fldCharType="end"/>
      </w:r>
      <w:r w:rsidRPr="00C174D5">
        <w:rPr>
          <w:lang w:val="es-ES"/>
        </w:rPr>
        <w:t>.</w:t>
      </w:r>
    </w:p>
    <w:p w14:paraId="23C0C0EC" w14:textId="77777777" w:rsidR="00C92C58" w:rsidRPr="00C174D5" w:rsidRDefault="00C92C58" w:rsidP="00C92C58">
      <w:pPr>
        <w:keepNext/>
        <w:keepLines/>
        <w:spacing w:after="120"/>
        <w:jc w:val="center"/>
        <w:rPr>
          <w:b/>
          <w:sz w:val="20"/>
          <w:lang w:val="es-ES"/>
        </w:rPr>
      </w:pPr>
      <w:bookmarkStart w:id="24" w:name="_Ref450036198"/>
      <w:bookmarkStart w:id="25" w:name="_Toc427684479"/>
      <w:bookmarkStart w:id="26" w:name="_Toc447546964"/>
      <w:bookmarkStart w:id="27" w:name="_Toc456353161"/>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5</w:t>
      </w:r>
      <w:r w:rsidRPr="00C174D5">
        <w:rPr>
          <w:b/>
          <w:sz w:val="20"/>
          <w:lang w:val="es-ES"/>
        </w:rPr>
        <w:fldChar w:fldCharType="end"/>
      </w:r>
      <w:bookmarkEnd w:id="24"/>
      <w:r w:rsidRPr="00C174D5">
        <w:rPr>
          <w:b/>
          <w:sz w:val="20"/>
          <w:lang w:val="es-ES"/>
        </w:rPr>
        <w:t xml:space="preserve">: </w:t>
      </w:r>
      <w:r w:rsidRPr="00C174D5">
        <w:rPr>
          <w:b/>
          <w:bCs/>
          <w:sz w:val="20"/>
          <w:lang w:val="es-ES"/>
        </w:rPr>
        <w:t>Usos energéticos en la situación sin proyecto</w:t>
      </w:r>
      <w:bookmarkEnd w:id="25"/>
      <w:bookmarkEnd w:id="26"/>
      <w:bookmarkEnd w:id="27"/>
    </w:p>
    <w:tbl>
      <w:tblPr>
        <w:tblW w:w="75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22"/>
        <w:gridCol w:w="2718"/>
        <w:gridCol w:w="965"/>
        <w:gridCol w:w="829"/>
        <w:gridCol w:w="898"/>
        <w:gridCol w:w="908"/>
      </w:tblGrid>
      <w:tr w:rsidR="00C92C58" w:rsidRPr="00C174D5" w14:paraId="1D8FE61C" w14:textId="77777777" w:rsidTr="00B15A9A">
        <w:trPr>
          <w:trHeight w:val="632"/>
          <w:jc w:val="center"/>
        </w:trPr>
        <w:tc>
          <w:tcPr>
            <w:tcW w:w="1322" w:type="dxa"/>
            <w:tcBorders>
              <w:top w:val="single" w:sz="12" w:space="0" w:color="auto"/>
              <w:bottom w:val="single" w:sz="12" w:space="0" w:color="auto"/>
            </w:tcBorders>
            <w:shd w:val="clear" w:color="auto" w:fill="BFBFBF" w:themeFill="background1" w:themeFillShade="BF"/>
            <w:noWrap/>
            <w:tcMar>
              <w:top w:w="0" w:type="dxa"/>
              <w:left w:w="70" w:type="dxa"/>
              <w:bottom w:w="0" w:type="dxa"/>
              <w:right w:w="70" w:type="dxa"/>
            </w:tcMar>
            <w:vAlign w:val="center"/>
            <w:hideMark/>
          </w:tcPr>
          <w:p w14:paraId="34B5D40F" w14:textId="77777777" w:rsidR="00C92C58" w:rsidRPr="00C174D5" w:rsidRDefault="00C92C58" w:rsidP="00B15A9A">
            <w:pPr>
              <w:keepNext/>
              <w:keepLines/>
              <w:spacing w:after="0" w:line="240" w:lineRule="auto"/>
              <w:jc w:val="center"/>
              <w:rPr>
                <w:rFonts w:eastAsia="Calibri" w:cs="Arial"/>
                <w:b/>
                <w:sz w:val="20"/>
                <w:szCs w:val="20"/>
                <w:lang w:val="es-ES"/>
              </w:rPr>
            </w:pPr>
            <w:r w:rsidRPr="00C174D5">
              <w:rPr>
                <w:rFonts w:eastAsia="Calibri" w:cs="Arial"/>
                <w:b/>
                <w:bCs/>
                <w:sz w:val="20"/>
                <w:szCs w:val="20"/>
                <w:lang w:val="es-ES"/>
              </w:rPr>
              <w:t>Energético</w:t>
            </w:r>
          </w:p>
        </w:tc>
        <w:tc>
          <w:tcPr>
            <w:tcW w:w="2718" w:type="dxa"/>
            <w:tcBorders>
              <w:top w:val="single" w:sz="12" w:space="0" w:color="auto"/>
              <w:bottom w:val="single" w:sz="12" w:space="0" w:color="auto"/>
            </w:tcBorders>
            <w:shd w:val="clear" w:color="auto" w:fill="BFBFBF" w:themeFill="background1" w:themeFillShade="BF"/>
            <w:noWrap/>
            <w:tcMar>
              <w:top w:w="0" w:type="dxa"/>
              <w:left w:w="70" w:type="dxa"/>
              <w:bottom w:w="0" w:type="dxa"/>
              <w:right w:w="70" w:type="dxa"/>
            </w:tcMar>
            <w:vAlign w:val="center"/>
            <w:hideMark/>
          </w:tcPr>
          <w:p w14:paraId="3E951160" w14:textId="77777777" w:rsidR="00C92C58" w:rsidRPr="00C174D5" w:rsidRDefault="00C92C58" w:rsidP="00B15A9A">
            <w:pPr>
              <w:keepNext/>
              <w:keepLines/>
              <w:spacing w:after="0" w:line="240" w:lineRule="auto"/>
              <w:jc w:val="center"/>
              <w:rPr>
                <w:rFonts w:eastAsia="Calibri" w:cs="Arial"/>
                <w:b/>
                <w:sz w:val="20"/>
                <w:szCs w:val="20"/>
                <w:lang w:val="es-ES"/>
              </w:rPr>
            </w:pPr>
            <w:r w:rsidRPr="00C174D5">
              <w:rPr>
                <w:rFonts w:eastAsia="Calibri" w:cs="Arial"/>
                <w:b/>
                <w:bCs/>
                <w:sz w:val="20"/>
                <w:szCs w:val="20"/>
                <w:lang w:val="es-ES"/>
              </w:rPr>
              <w:t>Uso</w:t>
            </w:r>
          </w:p>
        </w:tc>
        <w:tc>
          <w:tcPr>
            <w:tcW w:w="838" w:type="dxa"/>
            <w:tcBorders>
              <w:top w:val="single" w:sz="12" w:space="0" w:color="auto"/>
              <w:bottom w:val="single" w:sz="12" w:space="0" w:color="auto"/>
            </w:tcBorders>
            <w:shd w:val="clear" w:color="auto" w:fill="BFBFBF" w:themeFill="background1" w:themeFillShade="BF"/>
            <w:noWrap/>
            <w:tcMar>
              <w:top w:w="0" w:type="dxa"/>
              <w:left w:w="70" w:type="dxa"/>
              <w:bottom w:w="0" w:type="dxa"/>
              <w:right w:w="70" w:type="dxa"/>
            </w:tcMar>
            <w:vAlign w:val="center"/>
            <w:hideMark/>
          </w:tcPr>
          <w:p w14:paraId="77C8661D" w14:textId="77777777" w:rsidR="00C92C58" w:rsidRPr="00C174D5" w:rsidRDefault="00C92C58" w:rsidP="00B15A9A">
            <w:pPr>
              <w:keepNext/>
              <w:keepLines/>
              <w:spacing w:after="0" w:line="240" w:lineRule="auto"/>
              <w:jc w:val="center"/>
              <w:rPr>
                <w:rFonts w:eastAsia="Calibri" w:cs="Arial"/>
                <w:b/>
                <w:sz w:val="20"/>
                <w:szCs w:val="20"/>
                <w:lang w:val="es-ES"/>
              </w:rPr>
            </w:pPr>
            <w:r w:rsidRPr="00C174D5">
              <w:rPr>
                <w:rFonts w:eastAsia="Calibri" w:cs="Arial"/>
                <w:b/>
                <w:bCs/>
                <w:sz w:val="20"/>
                <w:szCs w:val="20"/>
                <w:lang w:val="es-ES"/>
              </w:rPr>
              <w:t>Cantidad</w:t>
            </w:r>
          </w:p>
          <w:p w14:paraId="5E02695C" w14:textId="77777777" w:rsidR="00C92C58" w:rsidRPr="00C174D5" w:rsidRDefault="00C92C58" w:rsidP="00B15A9A">
            <w:pPr>
              <w:keepNext/>
              <w:keepLines/>
              <w:spacing w:after="0" w:line="240" w:lineRule="auto"/>
              <w:jc w:val="center"/>
              <w:rPr>
                <w:rFonts w:eastAsia="Calibri" w:cs="Arial"/>
                <w:b/>
                <w:sz w:val="20"/>
                <w:szCs w:val="20"/>
                <w:lang w:val="es-ES"/>
              </w:rPr>
            </w:pPr>
            <w:r w:rsidRPr="00C174D5">
              <w:rPr>
                <w:rFonts w:eastAsia="Calibri" w:cs="Arial"/>
                <w:b/>
                <w:sz w:val="20"/>
                <w:szCs w:val="20"/>
                <w:lang w:val="es-ES"/>
              </w:rPr>
              <w:t>Mensual</w:t>
            </w:r>
          </w:p>
        </w:tc>
        <w:tc>
          <w:tcPr>
            <w:tcW w:w="829" w:type="dxa"/>
            <w:tcBorders>
              <w:top w:val="single" w:sz="12" w:space="0" w:color="auto"/>
              <w:bottom w:val="single" w:sz="12" w:space="0" w:color="auto"/>
            </w:tcBorders>
            <w:shd w:val="clear" w:color="auto" w:fill="BFBFBF" w:themeFill="background1" w:themeFillShade="BF"/>
            <w:vAlign w:val="center"/>
          </w:tcPr>
          <w:p w14:paraId="1D90CDCF" w14:textId="77777777" w:rsidR="00C92C58" w:rsidRPr="00C174D5" w:rsidRDefault="00C92C58" w:rsidP="00B15A9A">
            <w:pPr>
              <w:keepNext/>
              <w:keepLines/>
              <w:spacing w:after="0" w:line="240" w:lineRule="auto"/>
              <w:jc w:val="center"/>
              <w:rPr>
                <w:rFonts w:eastAsia="Calibri" w:cs="Arial"/>
                <w:b/>
                <w:bCs/>
                <w:sz w:val="20"/>
                <w:szCs w:val="20"/>
                <w:lang w:val="es-ES"/>
              </w:rPr>
            </w:pPr>
            <w:r w:rsidRPr="00C174D5">
              <w:rPr>
                <w:rFonts w:eastAsia="Calibri" w:cs="Arial"/>
                <w:b/>
                <w:bCs/>
                <w:sz w:val="20"/>
                <w:szCs w:val="20"/>
                <w:lang w:val="es-ES"/>
              </w:rPr>
              <w:t>Unidad</w:t>
            </w:r>
          </w:p>
        </w:tc>
        <w:tc>
          <w:tcPr>
            <w:tcW w:w="898" w:type="dxa"/>
            <w:tcBorders>
              <w:top w:val="single" w:sz="12" w:space="0" w:color="auto"/>
              <w:bottom w:val="single" w:sz="12" w:space="0" w:color="auto"/>
            </w:tcBorders>
            <w:shd w:val="clear" w:color="auto" w:fill="BFBFBF" w:themeFill="background1" w:themeFillShade="BF"/>
            <w:noWrap/>
            <w:tcMar>
              <w:top w:w="0" w:type="dxa"/>
              <w:left w:w="70" w:type="dxa"/>
              <w:bottom w:w="0" w:type="dxa"/>
              <w:right w:w="70" w:type="dxa"/>
            </w:tcMar>
            <w:vAlign w:val="center"/>
            <w:hideMark/>
          </w:tcPr>
          <w:p w14:paraId="57343A71" w14:textId="77777777" w:rsidR="00C92C58" w:rsidRPr="00C174D5" w:rsidRDefault="00C92C58" w:rsidP="00B15A9A">
            <w:pPr>
              <w:keepNext/>
              <w:keepLines/>
              <w:spacing w:after="0" w:line="240" w:lineRule="auto"/>
              <w:jc w:val="center"/>
              <w:rPr>
                <w:rFonts w:eastAsia="Calibri" w:cs="Arial"/>
                <w:b/>
                <w:sz w:val="20"/>
                <w:szCs w:val="20"/>
                <w:lang w:val="es-ES"/>
              </w:rPr>
            </w:pPr>
            <w:r w:rsidRPr="00C174D5">
              <w:rPr>
                <w:rFonts w:eastAsia="Calibri" w:cs="Arial"/>
                <w:b/>
                <w:bCs/>
                <w:sz w:val="20"/>
                <w:szCs w:val="20"/>
                <w:lang w:val="es-ES"/>
              </w:rPr>
              <w:t>Costo</w:t>
            </w:r>
          </w:p>
          <w:p w14:paraId="09B2DC64" w14:textId="77777777" w:rsidR="00C92C58" w:rsidRPr="00C174D5" w:rsidRDefault="00C92C58" w:rsidP="00B15A9A">
            <w:pPr>
              <w:keepNext/>
              <w:keepLines/>
              <w:spacing w:after="0" w:line="240" w:lineRule="auto"/>
              <w:jc w:val="center"/>
              <w:rPr>
                <w:rFonts w:eastAsia="Calibri" w:cs="Arial"/>
                <w:b/>
                <w:sz w:val="20"/>
                <w:szCs w:val="20"/>
                <w:lang w:val="es-ES"/>
              </w:rPr>
            </w:pPr>
            <w:r w:rsidRPr="00C174D5">
              <w:rPr>
                <w:rFonts w:eastAsia="Calibri" w:cs="Arial"/>
                <w:b/>
                <w:sz w:val="20"/>
                <w:szCs w:val="20"/>
                <w:lang w:val="es-ES"/>
              </w:rPr>
              <w:t>Unitario (US$)</w:t>
            </w:r>
          </w:p>
        </w:tc>
        <w:tc>
          <w:tcPr>
            <w:tcW w:w="908" w:type="dxa"/>
            <w:tcBorders>
              <w:top w:val="single" w:sz="12" w:space="0" w:color="auto"/>
              <w:bottom w:val="single" w:sz="12" w:space="0" w:color="auto"/>
            </w:tcBorders>
            <w:shd w:val="clear" w:color="auto" w:fill="BFBFBF" w:themeFill="background1" w:themeFillShade="BF"/>
            <w:noWrap/>
            <w:tcMar>
              <w:top w:w="0" w:type="dxa"/>
              <w:left w:w="70" w:type="dxa"/>
              <w:bottom w:w="0" w:type="dxa"/>
              <w:right w:w="70" w:type="dxa"/>
            </w:tcMar>
            <w:vAlign w:val="center"/>
            <w:hideMark/>
          </w:tcPr>
          <w:p w14:paraId="2DBDABEA" w14:textId="77777777" w:rsidR="00C92C58" w:rsidRPr="00C174D5" w:rsidRDefault="00C92C58" w:rsidP="00B15A9A">
            <w:pPr>
              <w:keepNext/>
              <w:keepLines/>
              <w:spacing w:after="0" w:line="240" w:lineRule="auto"/>
              <w:jc w:val="center"/>
              <w:rPr>
                <w:rFonts w:eastAsia="Calibri" w:cs="Arial"/>
                <w:b/>
                <w:sz w:val="20"/>
                <w:szCs w:val="20"/>
                <w:lang w:val="es-ES"/>
              </w:rPr>
            </w:pPr>
            <w:r w:rsidRPr="00C174D5">
              <w:rPr>
                <w:rFonts w:eastAsia="Calibri" w:cs="Arial"/>
                <w:b/>
                <w:bCs/>
                <w:sz w:val="20"/>
                <w:szCs w:val="20"/>
                <w:lang w:val="es-ES"/>
              </w:rPr>
              <w:t>Costo</w:t>
            </w:r>
          </w:p>
          <w:p w14:paraId="607903B3" w14:textId="77777777" w:rsidR="00C92C58" w:rsidRPr="00C174D5" w:rsidRDefault="00C92C58" w:rsidP="00B15A9A">
            <w:pPr>
              <w:keepNext/>
              <w:keepLines/>
              <w:spacing w:after="0" w:line="240" w:lineRule="auto"/>
              <w:jc w:val="center"/>
              <w:rPr>
                <w:rFonts w:eastAsia="Calibri" w:cs="Arial"/>
                <w:b/>
                <w:sz w:val="20"/>
                <w:szCs w:val="20"/>
                <w:lang w:val="es-ES"/>
              </w:rPr>
            </w:pPr>
            <w:r w:rsidRPr="00C174D5">
              <w:rPr>
                <w:rFonts w:eastAsia="Calibri" w:cs="Arial"/>
                <w:b/>
                <w:sz w:val="20"/>
                <w:szCs w:val="20"/>
                <w:lang w:val="es-ES"/>
              </w:rPr>
              <w:t>Total</w:t>
            </w:r>
          </w:p>
        </w:tc>
      </w:tr>
      <w:tr w:rsidR="00C92C58" w:rsidRPr="00C174D5" w14:paraId="2028727A" w14:textId="77777777" w:rsidTr="00B15A9A">
        <w:trPr>
          <w:trHeight w:val="315"/>
          <w:jc w:val="center"/>
        </w:trPr>
        <w:tc>
          <w:tcPr>
            <w:tcW w:w="1322" w:type="dxa"/>
            <w:tcBorders>
              <w:top w:val="single" w:sz="12" w:space="0" w:color="auto"/>
            </w:tcBorders>
            <w:noWrap/>
            <w:tcMar>
              <w:top w:w="0" w:type="dxa"/>
              <w:left w:w="70" w:type="dxa"/>
              <w:bottom w:w="0" w:type="dxa"/>
              <w:right w:w="70" w:type="dxa"/>
            </w:tcMar>
            <w:vAlign w:val="center"/>
            <w:hideMark/>
          </w:tcPr>
          <w:p w14:paraId="347B9238" w14:textId="77777777" w:rsidR="00C92C58" w:rsidRPr="00C174D5" w:rsidRDefault="00C92C58" w:rsidP="00B15A9A">
            <w:pPr>
              <w:keepNext/>
              <w:keepLines/>
              <w:spacing w:after="0" w:line="240" w:lineRule="auto"/>
              <w:jc w:val="left"/>
              <w:rPr>
                <w:rFonts w:eastAsia="Calibri" w:cs="Arial"/>
                <w:sz w:val="20"/>
                <w:szCs w:val="20"/>
                <w:lang w:val="es-ES"/>
              </w:rPr>
            </w:pPr>
            <w:r w:rsidRPr="00C174D5">
              <w:rPr>
                <w:rFonts w:eastAsia="Calibri" w:cs="Arial"/>
                <w:sz w:val="20"/>
                <w:szCs w:val="20"/>
                <w:lang w:val="es-ES"/>
              </w:rPr>
              <w:t>Velas</w:t>
            </w:r>
          </w:p>
        </w:tc>
        <w:tc>
          <w:tcPr>
            <w:tcW w:w="2718" w:type="dxa"/>
            <w:tcBorders>
              <w:top w:val="single" w:sz="12" w:space="0" w:color="auto"/>
            </w:tcBorders>
            <w:tcMar>
              <w:top w:w="0" w:type="dxa"/>
              <w:left w:w="70" w:type="dxa"/>
              <w:bottom w:w="0" w:type="dxa"/>
              <w:right w:w="70" w:type="dxa"/>
            </w:tcMar>
            <w:vAlign w:val="center"/>
            <w:hideMark/>
          </w:tcPr>
          <w:p w14:paraId="03A54437" w14:textId="77777777" w:rsidR="00C92C58" w:rsidRPr="00C174D5" w:rsidRDefault="00C92C58" w:rsidP="00B15A9A">
            <w:pPr>
              <w:keepNext/>
              <w:keepLines/>
              <w:spacing w:after="0" w:line="240" w:lineRule="auto"/>
              <w:jc w:val="left"/>
              <w:rPr>
                <w:rFonts w:eastAsia="Calibri" w:cs="Arial"/>
                <w:sz w:val="20"/>
                <w:szCs w:val="20"/>
                <w:lang w:val="es-ES"/>
              </w:rPr>
            </w:pPr>
            <w:r w:rsidRPr="00C174D5">
              <w:rPr>
                <w:rFonts w:eastAsia="Calibri" w:cs="Arial"/>
                <w:sz w:val="20"/>
                <w:szCs w:val="20"/>
                <w:lang w:val="es-ES"/>
              </w:rPr>
              <w:t>Iluminación</w:t>
            </w:r>
          </w:p>
        </w:tc>
        <w:tc>
          <w:tcPr>
            <w:tcW w:w="838" w:type="dxa"/>
            <w:tcBorders>
              <w:top w:val="single" w:sz="12" w:space="0" w:color="auto"/>
            </w:tcBorders>
            <w:noWrap/>
            <w:tcMar>
              <w:top w:w="0" w:type="dxa"/>
              <w:left w:w="70" w:type="dxa"/>
              <w:bottom w:w="0" w:type="dxa"/>
              <w:right w:w="70" w:type="dxa"/>
            </w:tcMar>
            <w:vAlign w:val="center"/>
            <w:hideMark/>
          </w:tcPr>
          <w:p w14:paraId="7636AB99" w14:textId="77777777" w:rsidR="00C92C58" w:rsidRPr="00C174D5" w:rsidRDefault="00C92C58" w:rsidP="00B15A9A">
            <w:pPr>
              <w:keepNext/>
              <w:keepLines/>
              <w:spacing w:after="0" w:line="240" w:lineRule="auto"/>
              <w:jc w:val="center"/>
              <w:rPr>
                <w:rFonts w:eastAsia="Calibri" w:cs="Arial"/>
                <w:sz w:val="20"/>
                <w:szCs w:val="20"/>
                <w:lang w:val="es-ES"/>
              </w:rPr>
            </w:pPr>
            <w:r w:rsidRPr="00C174D5">
              <w:rPr>
                <w:rFonts w:eastAsia="Calibri" w:cs="Arial"/>
                <w:sz w:val="20"/>
                <w:szCs w:val="20"/>
                <w:lang w:val="es-ES"/>
              </w:rPr>
              <w:t>20</w:t>
            </w:r>
          </w:p>
        </w:tc>
        <w:tc>
          <w:tcPr>
            <w:tcW w:w="829" w:type="dxa"/>
            <w:tcBorders>
              <w:top w:val="single" w:sz="12" w:space="0" w:color="auto"/>
            </w:tcBorders>
            <w:vAlign w:val="center"/>
          </w:tcPr>
          <w:p w14:paraId="2A620093" w14:textId="77777777" w:rsidR="00C92C58" w:rsidRPr="00C174D5" w:rsidRDefault="00C92C58" w:rsidP="00B15A9A">
            <w:pPr>
              <w:keepNext/>
              <w:keepLines/>
              <w:spacing w:after="0" w:line="240" w:lineRule="auto"/>
              <w:jc w:val="center"/>
              <w:rPr>
                <w:rFonts w:eastAsia="Calibri" w:cs="Arial"/>
                <w:sz w:val="20"/>
                <w:szCs w:val="20"/>
                <w:lang w:val="es-ES"/>
              </w:rPr>
            </w:pPr>
            <w:r w:rsidRPr="00C174D5">
              <w:rPr>
                <w:rFonts w:eastAsia="Calibri" w:cs="Arial"/>
                <w:sz w:val="20"/>
                <w:szCs w:val="20"/>
                <w:lang w:val="es-ES"/>
              </w:rPr>
              <w:t>Unidades</w:t>
            </w:r>
          </w:p>
        </w:tc>
        <w:tc>
          <w:tcPr>
            <w:tcW w:w="898" w:type="dxa"/>
            <w:tcBorders>
              <w:top w:val="single" w:sz="12" w:space="0" w:color="auto"/>
            </w:tcBorders>
            <w:noWrap/>
            <w:tcMar>
              <w:top w:w="0" w:type="dxa"/>
              <w:left w:w="70" w:type="dxa"/>
              <w:bottom w:w="0" w:type="dxa"/>
              <w:right w:w="70" w:type="dxa"/>
            </w:tcMar>
            <w:vAlign w:val="center"/>
          </w:tcPr>
          <w:p w14:paraId="0CBCC1C6" w14:textId="77777777" w:rsidR="00C92C58" w:rsidRPr="00C174D5" w:rsidRDefault="00C92C58" w:rsidP="00B15A9A">
            <w:pPr>
              <w:keepNext/>
              <w:keepLines/>
              <w:spacing w:after="0" w:line="240" w:lineRule="auto"/>
              <w:jc w:val="center"/>
              <w:rPr>
                <w:rFonts w:eastAsia="Calibri" w:cs="Arial"/>
                <w:sz w:val="20"/>
                <w:szCs w:val="20"/>
                <w:lang w:val="es-ES"/>
              </w:rPr>
            </w:pPr>
            <w:r w:rsidRPr="00C174D5">
              <w:rPr>
                <w:rFonts w:eastAsia="Calibri" w:cs="Arial"/>
                <w:sz w:val="20"/>
                <w:szCs w:val="20"/>
                <w:lang w:val="es-ES"/>
              </w:rPr>
              <w:t>0,11</w:t>
            </w:r>
          </w:p>
        </w:tc>
        <w:tc>
          <w:tcPr>
            <w:tcW w:w="908" w:type="dxa"/>
            <w:tcBorders>
              <w:top w:val="single" w:sz="12" w:space="0" w:color="auto"/>
            </w:tcBorders>
            <w:noWrap/>
            <w:tcMar>
              <w:top w:w="0" w:type="dxa"/>
              <w:left w:w="70" w:type="dxa"/>
              <w:bottom w:w="0" w:type="dxa"/>
              <w:right w:w="70" w:type="dxa"/>
            </w:tcMar>
            <w:vAlign w:val="center"/>
          </w:tcPr>
          <w:p w14:paraId="40628F83" w14:textId="77777777" w:rsidR="00C92C58" w:rsidRPr="00C174D5" w:rsidRDefault="00C92C58" w:rsidP="00B15A9A">
            <w:pPr>
              <w:keepNext/>
              <w:keepLines/>
              <w:spacing w:after="0" w:line="240" w:lineRule="auto"/>
              <w:jc w:val="center"/>
              <w:rPr>
                <w:rFonts w:eastAsia="Calibri" w:cs="Arial"/>
                <w:sz w:val="20"/>
                <w:szCs w:val="20"/>
                <w:lang w:val="es-ES"/>
              </w:rPr>
            </w:pPr>
            <w:r w:rsidRPr="00C174D5">
              <w:rPr>
                <w:rFonts w:eastAsia="Calibri" w:cs="Arial"/>
                <w:sz w:val="20"/>
                <w:szCs w:val="20"/>
                <w:lang w:val="es-ES"/>
              </w:rPr>
              <w:t>2,19</w:t>
            </w:r>
          </w:p>
        </w:tc>
      </w:tr>
      <w:tr w:rsidR="00C92C58" w:rsidRPr="00C174D5" w14:paraId="0FEA122C" w14:textId="77777777" w:rsidTr="00B15A9A">
        <w:trPr>
          <w:trHeight w:val="315"/>
          <w:jc w:val="center"/>
        </w:trPr>
        <w:tc>
          <w:tcPr>
            <w:tcW w:w="1322" w:type="dxa"/>
            <w:noWrap/>
            <w:tcMar>
              <w:top w:w="0" w:type="dxa"/>
              <w:left w:w="70" w:type="dxa"/>
              <w:bottom w:w="0" w:type="dxa"/>
              <w:right w:w="70" w:type="dxa"/>
            </w:tcMar>
            <w:vAlign w:val="center"/>
          </w:tcPr>
          <w:p w14:paraId="4ABC7CA6" w14:textId="77777777" w:rsidR="00C92C58" w:rsidRPr="00C174D5" w:rsidRDefault="00C92C58" w:rsidP="00B15A9A">
            <w:pPr>
              <w:keepNext/>
              <w:keepLines/>
              <w:spacing w:after="0" w:line="240" w:lineRule="auto"/>
              <w:jc w:val="left"/>
              <w:rPr>
                <w:rFonts w:eastAsia="Calibri" w:cs="Arial"/>
                <w:sz w:val="20"/>
                <w:szCs w:val="20"/>
                <w:lang w:val="es-ES"/>
              </w:rPr>
            </w:pPr>
            <w:r w:rsidRPr="00C174D5">
              <w:rPr>
                <w:rFonts w:eastAsia="Calibri" w:cs="Arial"/>
                <w:sz w:val="20"/>
                <w:szCs w:val="20"/>
                <w:lang w:val="es-ES"/>
              </w:rPr>
              <w:t>Kerosene</w:t>
            </w:r>
          </w:p>
        </w:tc>
        <w:tc>
          <w:tcPr>
            <w:tcW w:w="2718" w:type="dxa"/>
            <w:tcMar>
              <w:top w:w="0" w:type="dxa"/>
              <w:left w:w="70" w:type="dxa"/>
              <w:bottom w:w="0" w:type="dxa"/>
              <w:right w:w="70" w:type="dxa"/>
            </w:tcMar>
            <w:vAlign w:val="center"/>
          </w:tcPr>
          <w:p w14:paraId="3C06CD56" w14:textId="77777777" w:rsidR="00C92C58" w:rsidRPr="00C174D5" w:rsidRDefault="00C92C58" w:rsidP="00B15A9A">
            <w:pPr>
              <w:keepNext/>
              <w:keepLines/>
              <w:spacing w:after="0" w:line="240" w:lineRule="auto"/>
              <w:jc w:val="left"/>
              <w:rPr>
                <w:rFonts w:eastAsia="Calibri" w:cs="Arial"/>
                <w:sz w:val="20"/>
                <w:szCs w:val="20"/>
                <w:lang w:val="es-ES"/>
              </w:rPr>
            </w:pPr>
            <w:r w:rsidRPr="00C174D5">
              <w:rPr>
                <w:rFonts w:eastAsia="Calibri" w:cs="Arial"/>
                <w:sz w:val="20"/>
                <w:szCs w:val="20"/>
                <w:lang w:val="es-ES"/>
              </w:rPr>
              <w:t>Iluminación / calefacción</w:t>
            </w:r>
          </w:p>
        </w:tc>
        <w:tc>
          <w:tcPr>
            <w:tcW w:w="838" w:type="dxa"/>
            <w:noWrap/>
            <w:tcMar>
              <w:top w:w="0" w:type="dxa"/>
              <w:left w:w="70" w:type="dxa"/>
              <w:bottom w:w="0" w:type="dxa"/>
              <w:right w:w="70" w:type="dxa"/>
            </w:tcMar>
            <w:vAlign w:val="center"/>
          </w:tcPr>
          <w:p w14:paraId="6C003EB2" w14:textId="77777777" w:rsidR="00C92C58" w:rsidRPr="00C174D5" w:rsidRDefault="00C92C58" w:rsidP="00B15A9A">
            <w:pPr>
              <w:keepNext/>
              <w:keepLines/>
              <w:spacing w:after="0" w:line="240" w:lineRule="auto"/>
              <w:jc w:val="center"/>
              <w:rPr>
                <w:rFonts w:eastAsia="Calibri" w:cs="Arial"/>
                <w:sz w:val="20"/>
                <w:szCs w:val="20"/>
                <w:lang w:val="es-ES"/>
              </w:rPr>
            </w:pPr>
            <w:r w:rsidRPr="00C174D5">
              <w:rPr>
                <w:rFonts w:eastAsia="Calibri" w:cs="Arial"/>
                <w:sz w:val="20"/>
                <w:szCs w:val="20"/>
                <w:lang w:val="es-ES"/>
              </w:rPr>
              <w:t>10</w:t>
            </w:r>
          </w:p>
        </w:tc>
        <w:tc>
          <w:tcPr>
            <w:tcW w:w="829" w:type="dxa"/>
            <w:vAlign w:val="center"/>
          </w:tcPr>
          <w:p w14:paraId="6072266D" w14:textId="77777777" w:rsidR="00C92C58" w:rsidRPr="00C174D5" w:rsidRDefault="00C92C58" w:rsidP="00B15A9A">
            <w:pPr>
              <w:keepNext/>
              <w:keepLines/>
              <w:spacing w:after="0" w:line="240" w:lineRule="auto"/>
              <w:jc w:val="center"/>
              <w:rPr>
                <w:rFonts w:eastAsia="Calibri" w:cs="Arial"/>
                <w:sz w:val="20"/>
                <w:szCs w:val="20"/>
                <w:lang w:val="es-ES"/>
              </w:rPr>
            </w:pPr>
            <w:r w:rsidRPr="00C174D5">
              <w:rPr>
                <w:rFonts w:eastAsia="Calibri" w:cs="Arial"/>
                <w:sz w:val="20"/>
                <w:szCs w:val="20"/>
                <w:lang w:val="es-ES"/>
              </w:rPr>
              <w:t>Litros</w:t>
            </w:r>
          </w:p>
        </w:tc>
        <w:tc>
          <w:tcPr>
            <w:tcW w:w="898" w:type="dxa"/>
            <w:noWrap/>
            <w:tcMar>
              <w:top w:w="0" w:type="dxa"/>
              <w:left w:w="70" w:type="dxa"/>
              <w:bottom w:w="0" w:type="dxa"/>
              <w:right w:w="70" w:type="dxa"/>
            </w:tcMar>
            <w:vAlign w:val="center"/>
          </w:tcPr>
          <w:p w14:paraId="163915DE" w14:textId="77777777" w:rsidR="00C92C58" w:rsidRPr="00C174D5" w:rsidRDefault="00C92C58" w:rsidP="00B15A9A">
            <w:pPr>
              <w:keepNext/>
              <w:keepLines/>
              <w:spacing w:after="0" w:line="240" w:lineRule="auto"/>
              <w:jc w:val="center"/>
              <w:rPr>
                <w:rFonts w:eastAsia="Calibri" w:cs="Arial"/>
                <w:sz w:val="20"/>
                <w:szCs w:val="20"/>
                <w:lang w:val="es-ES"/>
              </w:rPr>
            </w:pPr>
            <w:r w:rsidRPr="00C174D5">
              <w:rPr>
                <w:rFonts w:eastAsia="Calibri" w:cs="Arial"/>
                <w:sz w:val="20"/>
                <w:szCs w:val="20"/>
                <w:lang w:val="es-ES"/>
              </w:rPr>
              <w:t>0,84</w:t>
            </w:r>
          </w:p>
        </w:tc>
        <w:tc>
          <w:tcPr>
            <w:tcW w:w="908" w:type="dxa"/>
            <w:noWrap/>
            <w:tcMar>
              <w:top w:w="0" w:type="dxa"/>
              <w:left w:w="70" w:type="dxa"/>
              <w:bottom w:w="0" w:type="dxa"/>
              <w:right w:w="70" w:type="dxa"/>
            </w:tcMar>
            <w:vAlign w:val="center"/>
          </w:tcPr>
          <w:p w14:paraId="27089933" w14:textId="77777777" w:rsidR="00C92C58" w:rsidRPr="00C174D5" w:rsidRDefault="00C92C58" w:rsidP="00B15A9A">
            <w:pPr>
              <w:keepNext/>
              <w:keepLines/>
              <w:spacing w:after="0" w:line="240" w:lineRule="auto"/>
              <w:jc w:val="center"/>
              <w:rPr>
                <w:rFonts w:eastAsia="Calibri" w:cs="Arial"/>
                <w:sz w:val="20"/>
                <w:szCs w:val="20"/>
                <w:lang w:val="es-ES"/>
              </w:rPr>
            </w:pPr>
            <w:r w:rsidRPr="00C174D5">
              <w:rPr>
                <w:rFonts w:eastAsia="Calibri" w:cs="Arial"/>
                <w:sz w:val="20"/>
                <w:szCs w:val="20"/>
                <w:lang w:val="es-ES"/>
              </w:rPr>
              <w:t>8,40</w:t>
            </w:r>
          </w:p>
        </w:tc>
      </w:tr>
      <w:tr w:rsidR="00C92C58" w:rsidRPr="00C174D5" w14:paraId="7022F758" w14:textId="77777777" w:rsidTr="00B15A9A">
        <w:trPr>
          <w:trHeight w:val="315"/>
          <w:jc w:val="center"/>
        </w:trPr>
        <w:tc>
          <w:tcPr>
            <w:tcW w:w="1322" w:type="dxa"/>
            <w:noWrap/>
            <w:tcMar>
              <w:top w:w="0" w:type="dxa"/>
              <w:left w:w="70" w:type="dxa"/>
              <w:bottom w:w="0" w:type="dxa"/>
              <w:right w:w="70" w:type="dxa"/>
            </w:tcMar>
            <w:vAlign w:val="center"/>
          </w:tcPr>
          <w:p w14:paraId="21C7D0E4" w14:textId="77777777" w:rsidR="00C92C58" w:rsidRPr="00C174D5" w:rsidRDefault="00C92C58" w:rsidP="00B15A9A">
            <w:pPr>
              <w:keepNext/>
              <w:keepLines/>
              <w:spacing w:after="0" w:line="240" w:lineRule="auto"/>
              <w:jc w:val="left"/>
              <w:rPr>
                <w:rFonts w:eastAsia="Calibri" w:cs="Arial"/>
                <w:sz w:val="20"/>
                <w:szCs w:val="20"/>
                <w:lang w:val="es-ES"/>
              </w:rPr>
            </w:pPr>
            <w:r w:rsidRPr="00C174D5">
              <w:rPr>
                <w:rFonts w:eastAsia="Calibri" w:cs="Arial"/>
                <w:sz w:val="20"/>
                <w:szCs w:val="20"/>
                <w:lang w:val="es-ES"/>
              </w:rPr>
              <w:t>Carbón</w:t>
            </w:r>
          </w:p>
        </w:tc>
        <w:tc>
          <w:tcPr>
            <w:tcW w:w="2718" w:type="dxa"/>
            <w:tcMar>
              <w:top w:w="0" w:type="dxa"/>
              <w:left w:w="70" w:type="dxa"/>
              <w:bottom w:w="0" w:type="dxa"/>
              <w:right w:w="70" w:type="dxa"/>
            </w:tcMar>
            <w:vAlign w:val="center"/>
          </w:tcPr>
          <w:p w14:paraId="09A5896E" w14:textId="77777777" w:rsidR="00C92C58" w:rsidRPr="00C174D5" w:rsidRDefault="00C92C58" w:rsidP="00B15A9A">
            <w:pPr>
              <w:keepNext/>
              <w:keepLines/>
              <w:spacing w:after="0" w:line="240" w:lineRule="auto"/>
              <w:jc w:val="left"/>
              <w:rPr>
                <w:rFonts w:eastAsia="Calibri" w:cs="Arial"/>
                <w:sz w:val="20"/>
                <w:szCs w:val="20"/>
                <w:lang w:val="es-ES"/>
              </w:rPr>
            </w:pPr>
            <w:r w:rsidRPr="00C174D5">
              <w:rPr>
                <w:rFonts w:eastAsia="Calibri" w:cs="Arial"/>
                <w:sz w:val="20"/>
                <w:szCs w:val="20"/>
                <w:lang w:val="es-ES"/>
              </w:rPr>
              <w:t>Planchas</w:t>
            </w:r>
          </w:p>
        </w:tc>
        <w:tc>
          <w:tcPr>
            <w:tcW w:w="838" w:type="dxa"/>
            <w:noWrap/>
            <w:tcMar>
              <w:top w:w="0" w:type="dxa"/>
              <w:left w:w="70" w:type="dxa"/>
              <w:bottom w:w="0" w:type="dxa"/>
              <w:right w:w="70" w:type="dxa"/>
            </w:tcMar>
            <w:vAlign w:val="center"/>
          </w:tcPr>
          <w:p w14:paraId="2E960931" w14:textId="77777777" w:rsidR="00C92C58" w:rsidRPr="00C174D5" w:rsidRDefault="00C92C58" w:rsidP="00B15A9A">
            <w:pPr>
              <w:keepNext/>
              <w:keepLines/>
              <w:spacing w:after="0" w:line="240" w:lineRule="auto"/>
              <w:jc w:val="center"/>
              <w:rPr>
                <w:rFonts w:eastAsia="Calibri" w:cs="Arial"/>
                <w:sz w:val="20"/>
                <w:szCs w:val="20"/>
                <w:lang w:val="es-ES"/>
              </w:rPr>
            </w:pPr>
            <w:r w:rsidRPr="00C174D5">
              <w:rPr>
                <w:rFonts w:eastAsia="Calibri" w:cs="Arial"/>
                <w:sz w:val="20"/>
                <w:szCs w:val="20"/>
                <w:lang w:val="es-ES"/>
              </w:rPr>
              <w:t>4</w:t>
            </w:r>
          </w:p>
        </w:tc>
        <w:tc>
          <w:tcPr>
            <w:tcW w:w="829" w:type="dxa"/>
            <w:vAlign w:val="center"/>
          </w:tcPr>
          <w:p w14:paraId="4CEB7A89" w14:textId="77777777" w:rsidR="00C92C58" w:rsidRPr="00C174D5" w:rsidRDefault="00C92C58" w:rsidP="00B15A9A">
            <w:pPr>
              <w:keepNext/>
              <w:keepLines/>
              <w:spacing w:after="0" w:line="240" w:lineRule="auto"/>
              <w:jc w:val="center"/>
              <w:rPr>
                <w:rFonts w:eastAsia="Calibri" w:cs="Arial"/>
                <w:sz w:val="20"/>
                <w:szCs w:val="20"/>
                <w:lang w:val="es-ES"/>
              </w:rPr>
            </w:pPr>
            <w:r w:rsidRPr="00C174D5">
              <w:rPr>
                <w:rFonts w:eastAsia="Calibri" w:cs="Arial"/>
                <w:sz w:val="20"/>
                <w:szCs w:val="20"/>
                <w:lang w:val="es-ES"/>
              </w:rPr>
              <w:t>Libras</w:t>
            </w:r>
          </w:p>
        </w:tc>
        <w:tc>
          <w:tcPr>
            <w:tcW w:w="898" w:type="dxa"/>
            <w:noWrap/>
            <w:tcMar>
              <w:top w:w="0" w:type="dxa"/>
              <w:left w:w="70" w:type="dxa"/>
              <w:bottom w:w="0" w:type="dxa"/>
              <w:right w:w="70" w:type="dxa"/>
            </w:tcMar>
            <w:vAlign w:val="center"/>
          </w:tcPr>
          <w:p w14:paraId="00C8BC87" w14:textId="77777777" w:rsidR="00C92C58" w:rsidRPr="00C174D5" w:rsidRDefault="00C92C58" w:rsidP="00B15A9A">
            <w:pPr>
              <w:keepNext/>
              <w:keepLines/>
              <w:spacing w:after="0" w:line="240" w:lineRule="auto"/>
              <w:jc w:val="center"/>
              <w:rPr>
                <w:rFonts w:eastAsia="Calibri" w:cs="Arial"/>
                <w:sz w:val="20"/>
                <w:szCs w:val="20"/>
                <w:lang w:val="es-ES"/>
              </w:rPr>
            </w:pPr>
            <w:r w:rsidRPr="00C174D5">
              <w:rPr>
                <w:rFonts w:eastAsia="Calibri" w:cs="Arial"/>
                <w:sz w:val="20"/>
                <w:szCs w:val="20"/>
                <w:lang w:val="es-ES"/>
              </w:rPr>
              <w:t>0,73</w:t>
            </w:r>
          </w:p>
        </w:tc>
        <w:tc>
          <w:tcPr>
            <w:tcW w:w="908" w:type="dxa"/>
            <w:noWrap/>
            <w:tcMar>
              <w:top w:w="0" w:type="dxa"/>
              <w:left w:w="70" w:type="dxa"/>
              <w:bottom w:w="0" w:type="dxa"/>
              <w:right w:w="70" w:type="dxa"/>
            </w:tcMar>
            <w:vAlign w:val="center"/>
          </w:tcPr>
          <w:p w14:paraId="2FF549F5" w14:textId="77777777" w:rsidR="00C92C58" w:rsidRPr="00C174D5" w:rsidRDefault="00C92C58" w:rsidP="00B15A9A">
            <w:pPr>
              <w:keepNext/>
              <w:keepLines/>
              <w:spacing w:after="0" w:line="240" w:lineRule="auto"/>
              <w:jc w:val="center"/>
              <w:rPr>
                <w:rFonts w:eastAsia="Calibri" w:cs="Arial"/>
                <w:sz w:val="20"/>
                <w:szCs w:val="20"/>
                <w:lang w:val="es-ES"/>
              </w:rPr>
            </w:pPr>
            <w:r w:rsidRPr="00C174D5">
              <w:rPr>
                <w:rFonts w:eastAsia="Calibri" w:cs="Arial"/>
                <w:sz w:val="20"/>
                <w:szCs w:val="20"/>
                <w:lang w:val="es-ES"/>
              </w:rPr>
              <w:t>2,92</w:t>
            </w:r>
          </w:p>
        </w:tc>
      </w:tr>
      <w:tr w:rsidR="00C92C58" w:rsidRPr="00C174D5" w14:paraId="25A73492" w14:textId="77777777" w:rsidTr="00B15A9A">
        <w:trPr>
          <w:trHeight w:val="315"/>
          <w:jc w:val="center"/>
        </w:trPr>
        <w:tc>
          <w:tcPr>
            <w:tcW w:w="1322" w:type="dxa"/>
            <w:noWrap/>
            <w:tcMar>
              <w:top w:w="0" w:type="dxa"/>
              <w:left w:w="70" w:type="dxa"/>
              <w:bottom w:w="0" w:type="dxa"/>
              <w:right w:w="70" w:type="dxa"/>
            </w:tcMar>
            <w:vAlign w:val="center"/>
            <w:hideMark/>
          </w:tcPr>
          <w:p w14:paraId="0877F148" w14:textId="77777777" w:rsidR="00C92C58" w:rsidRPr="00C174D5" w:rsidRDefault="00C92C58" w:rsidP="00B15A9A">
            <w:pPr>
              <w:keepNext/>
              <w:keepLines/>
              <w:spacing w:after="0" w:line="240" w:lineRule="auto"/>
              <w:jc w:val="left"/>
              <w:rPr>
                <w:rFonts w:eastAsia="Calibri" w:cs="Arial"/>
                <w:sz w:val="20"/>
                <w:szCs w:val="20"/>
                <w:lang w:val="es-ES"/>
              </w:rPr>
            </w:pPr>
            <w:r w:rsidRPr="00C174D5">
              <w:rPr>
                <w:rFonts w:eastAsia="Calibri" w:cs="Arial"/>
                <w:sz w:val="20"/>
                <w:szCs w:val="20"/>
                <w:lang w:val="es-ES"/>
              </w:rPr>
              <w:t>Pilas tamaño grande</w:t>
            </w:r>
          </w:p>
        </w:tc>
        <w:tc>
          <w:tcPr>
            <w:tcW w:w="2718" w:type="dxa"/>
            <w:tcMar>
              <w:top w:w="0" w:type="dxa"/>
              <w:left w:w="70" w:type="dxa"/>
              <w:bottom w:w="0" w:type="dxa"/>
              <w:right w:w="70" w:type="dxa"/>
            </w:tcMar>
            <w:vAlign w:val="center"/>
            <w:hideMark/>
          </w:tcPr>
          <w:p w14:paraId="7C700E13" w14:textId="77777777" w:rsidR="00C92C58" w:rsidRPr="00C174D5" w:rsidRDefault="00C92C58" w:rsidP="00B15A9A">
            <w:pPr>
              <w:keepNext/>
              <w:keepLines/>
              <w:spacing w:after="0" w:line="240" w:lineRule="auto"/>
              <w:jc w:val="left"/>
              <w:rPr>
                <w:rFonts w:eastAsia="Calibri" w:cs="Arial"/>
                <w:sz w:val="20"/>
                <w:szCs w:val="20"/>
                <w:lang w:val="es-ES"/>
              </w:rPr>
            </w:pPr>
            <w:r w:rsidRPr="00C174D5">
              <w:rPr>
                <w:rFonts w:eastAsia="Calibri" w:cs="Arial"/>
                <w:sz w:val="20"/>
                <w:szCs w:val="20"/>
                <w:lang w:val="es-ES"/>
              </w:rPr>
              <w:t>Iluminación / comunicación / entretenimiento</w:t>
            </w:r>
          </w:p>
        </w:tc>
        <w:tc>
          <w:tcPr>
            <w:tcW w:w="838" w:type="dxa"/>
            <w:noWrap/>
            <w:tcMar>
              <w:top w:w="0" w:type="dxa"/>
              <w:left w:w="70" w:type="dxa"/>
              <w:bottom w:w="0" w:type="dxa"/>
              <w:right w:w="70" w:type="dxa"/>
            </w:tcMar>
            <w:vAlign w:val="center"/>
            <w:hideMark/>
          </w:tcPr>
          <w:p w14:paraId="71D8F492" w14:textId="77777777" w:rsidR="00C92C58" w:rsidRPr="00C174D5" w:rsidRDefault="00C92C58" w:rsidP="00B15A9A">
            <w:pPr>
              <w:keepNext/>
              <w:keepLines/>
              <w:spacing w:after="0" w:line="240" w:lineRule="auto"/>
              <w:jc w:val="center"/>
              <w:rPr>
                <w:rFonts w:eastAsia="Calibri" w:cs="Arial"/>
                <w:sz w:val="20"/>
                <w:szCs w:val="20"/>
                <w:lang w:val="es-ES"/>
              </w:rPr>
            </w:pPr>
            <w:r w:rsidRPr="00C174D5">
              <w:rPr>
                <w:rFonts w:eastAsia="Calibri" w:cs="Arial"/>
                <w:sz w:val="20"/>
                <w:szCs w:val="20"/>
                <w:lang w:val="es-ES"/>
              </w:rPr>
              <w:t>4</w:t>
            </w:r>
          </w:p>
        </w:tc>
        <w:tc>
          <w:tcPr>
            <w:tcW w:w="829" w:type="dxa"/>
            <w:vAlign w:val="center"/>
          </w:tcPr>
          <w:p w14:paraId="2B2B870B" w14:textId="77777777" w:rsidR="00C92C58" w:rsidRPr="00C174D5" w:rsidRDefault="00C92C58" w:rsidP="00B15A9A">
            <w:pPr>
              <w:keepNext/>
              <w:keepLines/>
              <w:spacing w:after="0" w:line="240" w:lineRule="auto"/>
              <w:jc w:val="center"/>
              <w:rPr>
                <w:rFonts w:eastAsia="Calibri" w:cs="Arial"/>
                <w:sz w:val="20"/>
                <w:szCs w:val="20"/>
                <w:lang w:val="es-ES"/>
              </w:rPr>
            </w:pPr>
            <w:r w:rsidRPr="00C174D5">
              <w:rPr>
                <w:rFonts w:eastAsia="Calibri" w:cs="Arial"/>
                <w:sz w:val="20"/>
                <w:szCs w:val="20"/>
                <w:lang w:val="es-ES"/>
              </w:rPr>
              <w:t>Unidades</w:t>
            </w:r>
          </w:p>
        </w:tc>
        <w:tc>
          <w:tcPr>
            <w:tcW w:w="898" w:type="dxa"/>
            <w:noWrap/>
            <w:tcMar>
              <w:top w:w="0" w:type="dxa"/>
              <w:left w:w="70" w:type="dxa"/>
              <w:bottom w:w="0" w:type="dxa"/>
              <w:right w:w="70" w:type="dxa"/>
            </w:tcMar>
            <w:vAlign w:val="center"/>
          </w:tcPr>
          <w:p w14:paraId="3FE86A2B" w14:textId="77777777" w:rsidR="00C92C58" w:rsidRPr="00C174D5" w:rsidRDefault="00C92C58" w:rsidP="00B15A9A">
            <w:pPr>
              <w:keepNext/>
              <w:keepLines/>
              <w:spacing w:after="0" w:line="240" w:lineRule="auto"/>
              <w:jc w:val="center"/>
              <w:rPr>
                <w:rFonts w:eastAsia="Calibri" w:cs="Arial"/>
                <w:sz w:val="20"/>
                <w:szCs w:val="20"/>
                <w:lang w:val="es-ES"/>
              </w:rPr>
            </w:pPr>
            <w:r w:rsidRPr="00C174D5">
              <w:rPr>
                <w:rFonts w:eastAsia="Calibri" w:cs="Arial"/>
                <w:sz w:val="20"/>
                <w:szCs w:val="20"/>
                <w:lang w:val="es-ES"/>
              </w:rPr>
              <w:t>0,91</w:t>
            </w:r>
          </w:p>
        </w:tc>
        <w:tc>
          <w:tcPr>
            <w:tcW w:w="908" w:type="dxa"/>
            <w:noWrap/>
            <w:tcMar>
              <w:top w:w="0" w:type="dxa"/>
              <w:left w:w="70" w:type="dxa"/>
              <w:bottom w:w="0" w:type="dxa"/>
              <w:right w:w="70" w:type="dxa"/>
            </w:tcMar>
            <w:vAlign w:val="center"/>
          </w:tcPr>
          <w:p w14:paraId="523DBDCD" w14:textId="77777777" w:rsidR="00C92C58" w:rsidRPr="00C174D5" w:rsidRDefault="00C92C58" w:rsidP="00B15A9A">
            <w:pPr>
              <w:keepNext/>
              <w:keepLines/>
              <w:spacing w:after="0" w:line="240" w:lineRule="auto"/>
              <w:jc w:val="center"/>
              <w:rPr>
                <w:rFonts w:eastAsia="Calibri" w:cs="Arial"/>
                <w:sz w:val="20"/>
                <w:szCs w:val="20"/>
                <w:lang w:val="es-ES"/>
              </w:rPr>
            </w:pPr>
            <w:r w:rsidRPr="00C174D5">
              <w:rPr>
                <w:rFonts w:eastAsia="Calibri" w:cs="Arial"/>
                <w:sz w:val="20"/>
                <w:szCs w:val="20"/>
                <w:lang w:val="es-ES"/>
              </w:rPr>
              <w:t>3,65</w:t>
            </w:r>
          </w:p>
        </w:tc>
      </w:tr>
      <w:tr w:rsidR="00C92C58" w:rsidRPr="00C174D5" w14:paraId="32E3B1EA" w14:textId="77777777" w:rsidTr="00B15A9A">
        <w:trPr>
          <w:trHeight w:val="315"/>
          <w:jc w:val="center"/>
        </w:trPr>
        <w:tc>
          <w:tcPr>
            <w:tcW w:w="6605" w:type="dxa"/>
            <w:gridSpan w:val="5"/>
            <w:noWrap/>
            <w:tcMar>
              <w:top w:w="0" w:type="dxa"/>
              <w:left w:w="70" w:type="dxa"/>
              <w:bottom w:w="0" w:type="dxa"/>
              <w:right w:w="70" w:type="dxa"/>
            </w:tcMar>
            <w:vAlign w:val="center"/>
            <w:hideMark/>
          </w:tcPr>
          <w:p w14:paraId="1A988960" w14:textId="77777777" w:rsidR="00C92C58" w:rsidRPr="00C174D5" w:rsidRDefault="00C92C58" w:rsidP="00B15A9A">
            <w:pPr>
              <w:keepNext/>
              <w:keepLines/>
              <w:spacing w:after="0" w:line="240" w:lineRule="auto"/>
              <w:jc w:val="left"/>
              <w:rPr>
                <w:rFonts w:eastAsia="Calibri" w:cs="Arial"/>
                <w:sz w:val="20"/>
                <w:szCs w:val="20"/>
                <w:lang w:val="es-ES"/>
              </w:rPr>
            </w:pPr>
            <w:r w:rsidRPr="00C174D5">
              <w:rPr>
                <w:rFonts w:eastAsia="Calibri" w:cs="Arial"/>
                <w:b/>
                <w:bCs/>
                <w:sz w:val="20"/>
                <w:szCs w:val="20"/>
                <w:lang w:val="es-ES"/>
              </w:rPr>
              <w:t>Total Gasto (US$/mes)</w:t>
            </w:r>
          </w:p>
        </w:tc>
        <w:tc>
          <w:tcPr>
            <w:tcW w:w="908" w:type="dxa"/>
            <w:noWrap/>
            <w:tcMar>
              <w:top w:w="0" w:type="dxa"/>
              <w:left w:w="70" w:type="dxa"/>
              <w:bottom w:w="0" w:type="dxa"/>
              <w:right w:w="70" w:type="dxa"/>
            </w:tcMar>
            <w:vAlign w:val="center"/>
            <w:hideMark/>
          </w:tcPr>
          <w:p w14:paraId="68DAF486" w14:textId="77777777" w:rsidR="00C92C58" w:rsidRPr="00C174D5" w:rsidRDefault="00C92C58" w:rsidP="00B15A9A">
            <w:pPr>
              <w:keepNext/>
              <w:keepLines/>
              <w:spacing w:after="0" w:line="240" w:lineRule="auto"/>
              <w:jc w:val="center"/>
              <w:rPr>
                <w:rFonts w:eastAsia="Calibri" w:cs="Arial"/>
                <w:sz w:val="20"/>
                <w:szCs w:val="20"/>
                <w:lang w:val="es-ES"/>
              </w:rPr>
            </w:pPr>
            <w:r w:rsidRPr="00C174D5">
              <w:rPr>
                <w:rFonts w:eastAsia="Calibri" w:cs="Arial"/>
                <w:b/>
                <w:bCs/>
                <w:sz w:val="20"/>
                <w:szCs w:val="20"/>
                <w:lang w:val="es-ES"/>
              </w:rPr>
              <w:t>17,15</w:t>
            </w:r>
          </w:p>
        </w:tc>
      </w:tr>
    </w:tbl>
    <w:p w14:paraId="642D33CC" w14:textId="77777777" w:rsidR="00C92C58" w:rsidRPr="00C174D5" w:rsidRDefault="00C92C58" w:rsidP="00C92C58">
      <w:pPr>
        <w:keepNext/>
        <w:keepLines/>
        <w:spacing w:after="120"/>
        <w:jc w:val="center"/>
        <w:rPr>
          <w:sz w:val="18"/>
          <w:lang w:val="es-ES"/>
        </w:rPr>
      </w:pPr>
      <w:r w:rsidRPr="00C174D5">
        <w:rPr>
          <w:sz w:val="18"/>
          <w:lang w:val="es-ES"/>
        </w:rPr>
        <w:t>Fuente: Elaboración propia en base a información de ENATREL provista por el BID</w:t>
      </w:r>
    </w:p>
    <w:p w14:paraId="3529187D" w14:textId="77777777" w:rsidR="00C92C58" w:rsidRPr="00C174D5" w:rsidRDefault="00C92C58" w:rsidP="00C92C58">
      <w:pPr>
        <w:rPr>
          <w:lang w:val="es-ES"/>
        </w:rPr>
      </w:pPr>
      <w:r w:rsidRPr="00C174D5">
        <w:rPr>
          <w:lang w:val="es-ES"/>
        </w:rPr>
        <w:t xml:space="preserve">Este patrón de consumo tiene implícito un consumo promedio equivalente de 12,75 </w:t>
      </w:r>
      <w:proofErr w:type="spellStart"/>
      <w:r w:rsidRPr="00C174D5">
        <w:rPr>
          <w:lang w:val="es-ES"/>
        </w:rPr>
        <w:t>kWh</w:t>
      </w:r>
      <w:proofErr w:type="spellEnd"/>
      <w:r w:rsidRPr="00C174D5">
        <w:rPr>
          <w:lang w:val="es-ES"/>
        </w:rPr>
        <w:t>/mes, a un costo promedio de 1,35 US$/</w:t>
      </w:r>
      <w:proofErr w:type="spellStart"/>
      <w:r w:rsidRPr="00C174D5">
        <w:rPr>
          <w:lang w:val="es-ES"/>
        </w:rPr>
        <w:t>kWh</w:t>
      </w:r>
      <w:proofErr w:type="spellEnd"/>
      <w:r w:rsidRPr="00C174D5">
        <w:rPr>
          <w:lang w:val="es-ES"/>
        </w:rPr>
        <w:t xml:space="preserve"> (lo que equivale a un gasto mensual de 17,15 US$), de acuerdo a los factores de conversión en la </w:t>
      </w:r>
      <w:r w:rsidRPr="00C174D5">
        <w:rPr>
          <w:lang w:val="es-ES"/>
        </w:rPr>
        <w:fldChar w:fldCharType="begin" w:fldLock="1"/>
      </w:r>
      <w:r w:rsidRPr="00C174D5">
        <w:rPr>
          <w:lang w:val="es-ES"/>
        </w:rPr>
        <w:instrText xml:space="preserve"> REF _Ref421894669 \h  \* MERGEFORMAT </w:instrText>
      </w:r>
      <w:r w:rsidRPr="00C174D5">
        <w:rPr>
          <w:lang w:val="es-ES"/>
        </w:rPr>
      </w:r>
      <w:r w:rsidRPr="00C174D5">
        <w:rPr>
          <w:lang w:val="es-ES"/>
        </w:rPr>
        <w:fldChar w:fldCharType="separate"/>
      </w:r>
      <w:r w:rsidRPr="00C174D5">
        <w:rPr>
          <w:b/>
          <w:lang w:val="es-ES"/>
        </w:rPr>
        <w:fldChar w:fldCharType="begin"/>
      </w:r>
      <w:r w:rsidRPr="00C174D5">
        <w:rPr>
          <w:lang w:val="es-ES"/>
        </w:rPr>
        <w:instrText xml:space="preserve"> REF _Ref450036185 \h </w:instrText>
      </w:r>
      <w:r w:rsidRPr="00C174D5">
        <w:rPr>
          <w:b/>
          <w:lang w:val="es-ES"/>
        </w:rPr>
      </w:r>
      <w:r w:rsidRPr="00C174D5">
        <w:rPr>
          <w:b/>
          <w:lang w:val="es-ES"/>
        </w:rPr>
        <w:fldChar w:fldCharType="separate"/>
      </w:r>
      <w:r w:rsidRPr="00C174D5">
        <w:rPr>
          <w:b/>
          <w:sz w:val="20"/>
          <w:lang w:val="es-ES"/>
        </w:rPr>
        <w:t xml:space="preserve">Tabla </w:t>
      </w:r>
      <w:r>
        <w:rPr>
          <w:b/>
          <w:noProof/>
          <w:sz w:val="20"/>
          <w:lang w:val="es-ES"/>
        </w:rPr>
        <w:t>6</w:t>
      </w:r>
      <w:r w:rsidRPr="00C174D5">
        <w:rPr>
          <w:b/>
          <w:lang w:val="es-ES"/>
        </w:rPr>
        <w:fldChar w:fldCharType="end"/>
      </w:r>
      <w:r w:rsidRPr="00C174D5">
        <w:rPr>
          <w:lang w:val="es-ES"/>
        </w:rPr>
        <w:fldChar w:fldCharType="end"/>
      </w:r>
      <w:r w:rsidRPr="00C174D5">
        <w:rPr>
          <w:lang w:val="es-ES"/>
        </w:rPr>
        <w:t>.</w:t>
      </w:r>
    </w:p>
    <w:p w14:paraId="049D4529" w14:textId="77777777" w:rsidR="00C92C58" w:rsidRPr="00C174D5" w:rsidRDefault="00C92C58" w:rsidP="00C92C58">
      <w:pPr>
        <w:keepNext/>
        <w:keepLines/>
        <w:spacing w:after="120"/>
        <w:jc w:val="center"/>
        <w:rPr>
          <w:b/>
          <w:sz w:val="20"/>
          <w:lang w:val="es-ES"/>
        </w:rPr>
      </w:pPr>
      <w:bookmarkStart w:id="28" w:name="_Ref450036185"/>
      <w:bookmarkStart w:id="29" w:name="_Toc427684480"/>
      <w:bookmarkStart w:id="30" w:name="_Toc447546965"/>
      <w:bookmarkStart w:id="31" w:name="_Toc456353162"/>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6</w:t>
      </w:r>
      <w:r w:rsidRPr="00C174D5">
        <w:rPr>
          <w:b/>
          <w:sz w:val="20"/>
          <w:lang w:val="es-ES"/>
        </w:rPr>
        <w:fldChar w:fldCharType="end"/>
      </w:r>
      <w:bookmarkEnd w:id="28"/>
      <w:r w:rsidRPr="00C174D5">
        <w:rPr>
          <w:b/>
          <w:sz w:val="20"/>
          <w:lang w:val="es-ES"/>
        </w:rPr>
        <w:t xml:space="preserve">: </w:t>
      </w:r>
      <w:r w:rsidRPr="00C174D5">
        <w:rPr>
          <w:b/>
          <w:bCs/>
          <w:sz w:val="20"/>
          <w:lang w:val="es-ES"/>
        </w:rPr>
        <w:t>Factores de conversión</w:t>
      </w:r>
      <w:bookmarkEnd w:id="29"/>
      <w:bookmarkEnd w:id="30"/>
      <w:bookmarkEnd w:id="31"/>
    </w:p>
    <w:tbl>
      <w:tblPr>
        <w:tblW w:w="83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870"/>
        <w:gridCol w:w="746"/>
        <w:gridCol w:w="1437"/>
        <w:gridCol w:w="1345"/>
      </w:tblGrid>
      <w:tr w:rsidR="00C92C58" w:rsidRPr="00C174D5" w14:paraId="2AFA4419" w14:textId="77777777" w:rsidTr="00B15A9A">
        <w:trPr>
          <w:trHeight w:val="360"/>
          <w:jc w:val="center"/>
        </w:trPr>
        <w:tc>
          <w:tcPr>
            <w:tcW w:w="4870" w:type="dxa"/>
            <w:tcBorders>
              <w:top w:val="single" w:sz="12" w:space="0" w:color="auto"/>
              <w:bottom w:val="single" w:sz="12" w:space="0" w:color="auto"/>
            </w:tcBorders>
            <w:shd w:val="clear" w:color="auto" w:fill="BFBFBF" w:themeFill="background1" w:themeFillShade="BF"/>
            <w:noWrap/>
            <w:vAlign w:val="center"/>
            <w:hideMark/>
          </w:tcPr>
          <w:p w14:paraId="2072EFE4" w14:textId="77777777" w:rsidR="00C92C58" w:rsidRPr="00C174D5" w:rsidRDefault="00C92C58" w:rsidP="00B15A9A">
            <w:pPr>
              <w:spacing w:after="0" w:line="240" w:lineRule="auto"/>
              <w:jc w:val="center"/>
              <w:rPr>
                <w:rFonts w:eastAsia="Times New Roman" w:cs="Arial"/>
                <w:b/>
                <w:sz w:val="20"/>
                <w:szCs w:val="20"/>
                <w:lang w:val="es-ES" w:eastAsia="es-AR"/>
              </w:rPr>
            </w:pPr>
            <w:r w:rsidRPr="00C174D5">
              <w:rPr>
                <w:rFonts w:eastAsia="Times New Roman" w:cs="Arial"/>
                <w:b/>
                <w:sz w:val="20"/>
                <w:szCs w:val="20"/>
                <w:lang w:val="es-ES" w:eastAsia="es-AR"/>
              </w:rPr>
              <w:t>Bien</w:t>
            </w:r>
          </w:p>
        </w:tc>
        <w:tc>
          <w:tcPr>
            <w:tcW w:w="2183" w:type="dxa"/>
            <w:gridSpan w:val="2"/>
            <w:tcBorders>
              <w:top w:val="single" w:sz="12" w:space="0" w:color="auto"/>
              <w:bottom w:val="single" w:sz="12" w:space="0" w:color="auto"/>
            </w:tcBorders>
            <w:shd w:val="clear" w:color="auto" w:fill="BFBFBF" w:themeFill="background1" w:themeFillShade="BF"/>
            <w:noWrap/>
            <w:vAlign w:val="center"/>
            <w:hideMark/>
          </w:tcPr>
          <w:p w14:paraId="7469C7EE" w14:textId="77777777" w:rsidR="00C92C58" w:rsidRPr="00C174D5" w:rsidRDefault="00C92C58" w:rsidP="00B15A9A">
            <w:pPr>
              <w:spacing w:after="0" w:line="240" w:lineRule="auto"/>
              <w:jc w:val="center"/>
              <w:rPr>
                <w:rFonts w:eastAsia="Times New Roman" w:cs="Arial"/>
                <w:b/>
                <w:sz w:val="20"/>
                <w:szCs w:val="20"/>
                <w:lang w:val="es-ES" w:eastAsia="es-AR"/>
              </w:rPr>
            </w:pPr>
            <w:r w:rsidRPr="00C174D5">
              <w:rPr>
                <w:rFonts w:eastAsia="Times New Roman" w:cs="Arial"/>
                <w:b/>
                <w:sz w:val="20"/>
                <w:szCs w:val="20"/>
                <w:lang w:val="es-ES" w:eastAsia="es-AR"/>
              </w:rPr>
              <w:t>Factor de conversión</w:t>
            </w:r>
          </w:p>
        </w:tc>
        <w:tc>
          <w:tcPr>
            <w:tcW w:w="1345" w:type="dxa"/>
            <w:tcBorders>
              <w:top w:val="single" w:sz="12" w:space="0" w:color="auto"/>
              <w:bottom w:val="single" w:sz="12" w:space="0" w:color="auto"/>
            </w:tcBorders>
            <w:shd w:val="clear" w:color="auto" w:fill="BFBFBF" w:themeFill="background1" w:themeFillShade="BF"/>
          </w:tcPr>
          <w:p w14:paraId="1927E7F4" w14:textId="77777777" w:rsidR="00C92C58" w:rsidRPr="00C174D5" w:rsidRDefault="00C92C58" w:rsidP="00B15A9A">
            <w:pPr>
              <w:spacing w:after="0" w:line="240" w:lineRule="auto"/>
              <w:jc w:val="center"/>
              <w:rPr>
                <w:rFonts w:eastAsia="Times New Roman" w:cs="Arial"/>
                <w:b/>
                <w:sz w:val="20"/>
                <w:szCs w:val="20"/>
                <w:lang w:val="es-ES" w:eastAsia="es-AR"/>
              </w:rPr>
            </w:pPr>
            <w:r w:rsidRPr="00C174D5">
              <w:rPr>
                <w:rFonts w:eastAsia="Times New Roman" w:cs="Arial"/>
                <w:b/>
                <w:sz w:val="20"/>
                <w:szCs w:val="20"/>
                <w:lang w:val="es-ES" w:eastAsia="es-AR"/>
              </w:rPr>
              <w:t>Costo US$/</w:t>
            </w:r>
            <w:proofErr w:type="spellStart"/>
            <w:r w:rsidRPr="00C174D5">
              <w:rPr>
                <w:rFonts w:eastAsia="Times New Roman" w:cs="Arial"/>
                <w:b/>
                <w:sz w:val="20"/>
                <w:szCs w:val="20"/>
                <w:lang w:val="es-ES" w:eastAsia="es-AR"/>
              </w:rPr>
              <w:t>kWh</w:t>
            </w:r>
            <w:proofErr w:type="spellEnd"/>
            <w:r w:rsidRPr="00C174D5">
              <w:rPr>
                <w:rFonts w:eastAsia="Times New Roman" w:cs="Arial"/>
                <w:b/>
                <w:sz w:val="20"/>
                <w:szCs w:val="20"/>
                <w:lang w:val="es-ES" w:eastAsia="es-AR"/>
              </w:rPr>
              <w:t xml:space="preserve"> equivalente</w:t>
            </w:r>
          </w:p>
        </w:tc>
      </w:tr>
      <w:tr w:rsidR="00C92C58" w:rsidRPr="00C174D5" w14:paraId="35D0C9A8" w14:textId="77777777" w:rsidTr="00B15A9A">
        <w:trPr>
          <w:trHeight w:val="360"/>
          <w:jc w:val="center"/>
        </w:trPr>
        <w:tc>
          <w:tcPr>
            <w:tcW w:w="4870" w:type="dxa"/>
            <w:tcBorders>
              <w:top w:val="single" w:sz="12" w:space="0" w:color="auto"/>
            </w:tcBorders>
            <w:shd w:val="clear" w:color="auto" w:fill="auto"/>
            <w:noWrap/>
            <w:vAlign w:val="center"/>
            <w:hideMark/>
          </w:tcPr>
          <w:p w14:paraId="5E133F5C" w14:textId="77777777" w:rsidR="00C92C58" w:rsidRPr="00C174D5" w:rsidRDefault="00C92C58" w:rsidP="00B15A9A">
            <w:pPr>
              <w:spacing w:after="0" w:line="240" w:lineRule="auto"/>
              <w:jc w:val="left"/>
              <w:rPr>
                <w:rFonts w:eastAsia="Times New Roman" w:cs="Arial"/>
                <w:sz w:val="20"/>
                <w:szCs w:val="20"/>
                <w:lang w:val="es-ES" w:eastAsia="es-AR"/>
              </w:rPr>
            </w:pPr>
            <w:r w:rsidRPr="00C174D5">
              <w:rPr>
                <w:rFonts w:eastAsia="Times New Roman" w:cs="Arial"/>
                <w:sz w:val="20"/>
                <w:szCs w:val="20"/>
                <w:lang w:val="es-ES" w:eastAsia="es-AR"/>
              </w:rPr>
              <w:t>Velas: Capacidad 18W Duración 0,5 horas</w:t>
            </w:r>
          </w:p>
        </w:tc>
        <w:tc>
          <w:tcPr>
            <w:tcW w:w="746" w:type="dxa"/>
            <w:tcBorders>
              <w:top w:val="single" w:sz="12" w:space="0" w:color="auto"/>
            </w:tcBorders>
            <w:shd w:val="clear" w:color="auto" w:fill="auto"/>
            <w:noWrap/>
            <w:vAlign w:val="center"/>
            <w:hideMark/>
          </w:tcPr>
          <w:p w14:paraId="237282D1" w14:textId="77777777" w:rsidR="00C92C58" w:rsidRPr="00C174D5" w:rsidRDefault="00C92C58" w:rsidP="00B15A9A">
            <w:pPr>
              <w:spacing w:after="0" w:line="240" w:lineRule="auto"/>
              <w:jc w:val="center"/>
              <w:rPr>
                <w:rFonts w:eastAsia="Times New Roman" w:cs="Arial"/>
                <w:sz w:val="20"/>
                <w:szCs w:val="20"/>
                <w:lang w:val="es-ES" w:eastAsia="es-AR"/>
              </w:rPr>
            </w:pPr>
            <w:r w:rsidRPr="00C174D5">
              <w:rPr>
                <w:rFonts w:eastAsia="Times New Roman" w:cs="Arial"/>
                <w:sz w:val="20"/>
                <w:szCs w:val="20"/>
                <w:lang w:val="es-ES" w:eastAsia="es-AR"/>
              </w:rPr>
              <w:t>0,045</w:t>
            </w:r>
          </w:p>
        </w:tc>
        <w:tc>
          <w:tcPr>
            <w:tcW w:w="1437" w:type="dxa"/>
            <w:tcBorders>
              <w:top w:val="single" w:sz="12" w:space="0" w:color="auto"/>
            </w:tcBorders>
            <w:shd w:val="clear" w:color="auto" w:fill="auto"/>
            <w:noWrap/>
            <w:vAlign w:val="center"/>
            <w:hideMark/>
          </w:tcPr>
          <w:p w14:paraId="7B114FF5" w14:textId="77777777" w:rsidR="00C92C58" w:rsidRPr="00C174D5" w:rsidRDefault="00C92C58" w:rsidP="00B15A9A">
            <w:pPr>
              <w:spacing w:after="0" w:line="240" w:lineRule="auto"/>
              <w:jc w:val="center"/>
              <w:rPr>
                <w:rFonts w:eastAsia="Times New Roman" w:cs="Arial"/>
                <w:sz w:val="20"/>
                <w:szCs w:val="20"/>
                <w:lang w:val="es-ES" w:eastAsia="es-AR"/>
              </w:rPr>
            </w:pPr>
            <w:proofErr w:type="spellStart"/>
            <w:r w:rsidRPr="00C174D5">
              <w:rPr>
                <w:rFonts w:eastAsia="Times New Roman" w:cs="Arial"/>
                <w:sz w:val="20"/>
                <w:szCs w:val="20"/>
                <w:lang w:val="es-ES" w:eastAsia="es-AR"/>
              </w:rPr>
              <w:t>kWh</w:t>
            </w:r>
            <w:proofErr w:type="spellEnd"/>
            <w:r w:rsidRPr="00C174D5">
              <w:rPr>
                <w:rFonts w:eastAsia="Times New Roman" w:cs="Arial"/>
                <w:sz w:val="20"/>
                <w:szCs w:val="20"/>
                <w:lang w:val="es-ES" w:eastAsia="es-AR"/>
              </w:rPr>
              <w:t>/Candela</w:t>
            </w:r>
          </w:p>
        </w:tc>
        <w:tc>
          <w:tcPr>
            <w:tcW w:w="1345" w:type="dxa"/>
            <w:tcBorders>
              <w:top w:val="single" w:sz="12" w:space="0" w:color="auto"/>
            </w:tcBorders>
            <w:vAlign w:val="center"/>
          </w:tcPr>
          <w:p w14:paraId="62356782" w14:textId="77777777" w:rsidR="00C92C58" w:rsidRPr="00C174D5" w:rsidRDefault="00C92C58" w:rsidP="00B15A9A">
            <w:pPr>
              <w:spacing w:after="0" w:line="240" w:lineRule="auto"/>
              <w:jc w:val="center"/>
              <w:rPr>
                <w:rFonts w:eastAsia="Times New Roman" w:cs="Arial"/>
                <w:sz w:val="20"/>
                <w:szCs w:val="20"/>
                <w:lang w:val="es-ES" w:eastAsia="es-AR"/>
              </w:rPr>
            </w:pPr>
            <w:r w:rsidRPr="00C174D5">
              <w:rPr>
                <w:sz w:val="20"/>
                <w:lang w:val="es-ES"/>
              </w:rPr>
              <w:t>2,43</w:t>
            </w:r>
          </w:p>
        </w:tc>
      </w:tr>
      <w:tr w:rsidR="00C92C58" w:rsidRPr="00C174D5" w14:paraId="0C59B4C5" w14:textId="77777777" w:rsidTr="00B15A9A">
        <w:trPr>
          <w:trHeight w:val="360"/>
          <w:jc w:val="center"/>
        </w:trPr>
        <w:tc>
          <w:tcPr>
            <w:tcW w:w="4870" w:type="dxa"/>
            <w:shd w:val="clear" w:color="auto" w:fill="auto"/>
            <w:noWrap/>
            <w:vAlign w:val="center"/>
            <w:hideMark/>
          </w:tcPr>
          <w:p w14:paraId="25D50D4C" w14:textId="77777777" w:rsidR="00C92C58" w:rsidRPr="00C174D5" w:rsidRDefault="00C92C58" w:rsidP="00B15A9A">
            <w:pPr>
              <w:spacing w:after="0" w:line="240" w:lineRule="auto"/>
              <w:jc w:val="left"/>
              <w:rPr>
                <w:rFonts w:eastAsia="Times New Roman" w:cs="Arial"/>
                <w:sz w:val="20"/>
                <w:szCs w:val="20"/>
                <w:lang w:val="es-ES" w:eastAsia="es-AR"/>
              </w:rPr>
            </w:pPr>
            <w:r w:rsidRPr="00C174D5">
              <w:rPr>
                <w:rFonts w:eastAsia="Times New Roman" w:cs="Arial"/>
                <w:sz w:val="20"/>
                <w:szCs w:val="20"/>
                <w:lang w:val="es-ES" w:eastAsia="es-AR"/>
              </w:rPr>
              <w:t xml:space="preserve">Kerosene: Lámparas consumen 0,5 </w:t>
            </w:r>
            <w:proofErr w:type="spellStart"/>
            <w:r w:rsidRPr="00C174D5">
              <w:rPr>
                <w:rFonts w:eastAsia="Times New Roman" w:cs="Arial"/>
                <w:sz w:val="20"/>
                <w:szCs w:val="20"/>
                <w:lang w:val="es-ES" w:eastAsia="es-AR"/>
              </w:rPr>
              <w:t>lts</w:t>
            </w:r>
            <w:proofErr w:type="spellEnd"/>
            <w:r w:rsidRPr="00C174D5">
              <w:rPr>
                <w:rFonts w:eastAsia="Times New Roman" w:cs="Arial"/>
                <w:sz w:val="20"/>
                <w:szCs w:val="20"/>
                <w:lang w:val="es-ES" w:eastAsia="es-AR"/>
              </w:rPr>
              <w:t xml:space="preserve"> cada 4 horas, capacidad lumínica de 100 watts.</w:t>
            </w:r>
          </w:p>
        </w:tc>
        <w:tc>
          <w:tcPr>
            <w:tcW w:w="746" w:type="dxa"/>
            <w:shd w:val="clear" w:color="auto" w:fill="auto"/>
            <w:noWrap/>
            <w:vAlign w:val="center"/>
            <w:hideMark/>
          </w:tcPr>
          <w:p w14:paraId="796BD939" w14:textId="77777777" w:rsidR="00C92C58" w:rsidRPr="00C174D5" w:rsidRDefault="00C92C58" w:rsidP="00B15A9A">
            <w:pPr>
              <w:spacing w:after="0" w:line="240" w:lineRule="auto"/>
              <w:jc w:val="center"/>
              <w:rPr>
                <w:rFonts w:eastAsia="Times New Roman" w:cs="Arial"/>
                <w:sz w:val="20"/>
                <w:szCs w:val="20"/>
                <w:lang w:val="es-ES" w:eastAsia="es-AR"/>
              </w:rPr>
            </w:pPr>
            <w:r w:rsidRPr="00C174D5">
              <w:rPr>
                <w:rFonts w:eastAsia="Times New Roman" w:cs="Arial"/>
                <w:sz w:val="20"/>
                <w:szCs w:val="20"/>
                <w:lang w:val="es-ES" w:eastAsia="es-AR"/>
              </w:rPr>
              <w:t>0,8</w:t>
            </w:r>
          </w:p>
        </w:tc>
        <w:tc>
          <w:tcPr>
            <w:tcW w:w="1437" w:type="dxa"/>
            <w:shd w:val="clear" w:color="auto" w:fill="auto"/>
            <w:noWrap/>
            <w:vAlign w:val="center"/>
            <w:hideMark/>
          </w:tcPr>
          <w:p w14:paraId="39795DE3" w14:textId="77777777" w:rsidR="00C92C58" w:rsidRPr="00C174D5" w:rsidRDefault="00C92C58" w:rsidP="00B15A9A">
            <w:pPr>
              <w:spacing w:after="0" w:line="240" w:lineRule="auto"/>
              <w:jc w:val="center"/>
              <w:rPr>
                <w:rFonts w:eastAsia="Times New Roman" w:cs="Arial"/>
                <w:sz w:val="20"/>
                <w:szCs w:val="20"/>
                <w:lang w:val="es-ES" w:eastAsia="es-AR"/>
              </w:rPr>
            </w:pPr>
            <w:proofErr w:type="spellStart"/>
            <w:r w:rsidRPr="00C174D5">
              <w:rPr>
                <w:rFonts w:eastAsia="Times New Roman" w:cs="Arial"/>
                <w:sz w:val="20"/>
                <w:szCs w:val="20"/>
                <w:lang w:val="es-ES" w:eastAsia="es-AR"/>
              </w:rPr>
              <w:t>kWh</w:t>
            </w:r>
            <w:proofErr w:type="spellEnd"/>
            <w:r w:rsidRPr="00C174D5">
              <w:rPr>
                <w:rFonts w:eastAsia="Times New Roman" w:cs="Arial"/>
                <w:sz w:val="20"/>
                <w:szCs w:val="20"/>
                <w:lang w:val="es-ES" w:eastAsia="es-AR"/>
              </w:rPr>
              <w:t>/litro</w:t>
            </w:r>
          </w:p>
        </w:tc>
        <w:tc>
          <w:tcPr>
            <w:tcW w:w="1345" w:type="dxa"/>
            <w:vAlign w:val="center"/>
          </w:tcPr>
          <w:p w14:paraId="0013A2D0" w14:textId="77777777" w:rsidR="00C92C58" w:rsidRPr="00C174D5" w:rsidRDefault="00C92C58" w:rsidP="00B15A9A">
            <w:pPr>
              <w:spacing w:after="0" w:line="240" w:lineRule="auto"/>
              <w:jc w:val="center"/>
              <w:rPr>
                <w:rFonts w:eastAsia="Times New Roman" w:cs="Arial"/>
                <w:sz w:val="20"/>
                <w:szCs w:val="20"/>
                <w:lang w:val="es-ES" w:eastAsia="es-AR"/>
              </w:rPr>
            </w:pPr>
            <w:r w:rsidRPr="00C174D5">
              <w:rPr>
                <w:sz w:val="20"/>
                <w:lang w:val="es-ES"/>
              </w:rPr>
              <w:t>1,05</w:t>
            </w:r>
          </w:p>
        </w:tc>
      </w:tr>
      <w:tr w:rsidR="00C92C58" w:rsidRPr="00C174D5" w14:paraId="3DD93427" w14:textId="77777777" w:rsidTr="00B15A9A">
        <w:trPr>
          <w:trHeight w:val="360"/>
          <w:jc w:val="center"/>
        </w:trPr>
        <w:tc>
          <w:tcPr>
            <w:tcW w:w="4870" w:type="dxa"/>
            <w:shd w:val="clear" w:color="auto" w:fill="auto"/>
            <w:noWrap/>
            <w:vAlign w:val="center"/>
          </w:tcPr>
          <w:p w14:paraId="6878ADAD" w14:textId="77777777" w:rsidR="00C92C58" w:rsidRPr="00C174D5" w:rsidRDefault="00C92C58" w:rsidP="00B15A9A">
            <w:pPr>
              <w:spacing w:after="0" w:line="240" w:lineRule="auto"/>
              <w:jc w:val="left"/>
              <w:rPr>
                <w:rFonts w:eastAsia="Times New Roman" w:cs="Arial"/>
                <w:sz w:val="20"/>
                <w:szCs w:val="20"/>
                <w:lang w:val="es-ES" w:eastAsia="es-AR"/>
              </w:rPr>
            </w:pPr>
            <w:r w:rsidRPr="00C174D5">
              <w:rPr>
                <w:rFonts w:eastAsia="Times New Roman" w:cs="Arial"/>
                <w:sz w:val="20"/>
                <w:szCs w:val="20"/>
                <w:lang w:val="es-ES" w:eastAsia="es-AR"/>
              </w:rPr>
              <w:t>Carbón: calidad promedio rendimiento de 35%</w:t>
            </w:r>
          </w:p>
        </w:tc>
        <w:tc>
          <w:tcPr>
            <w:tcW w:w="746" w:type="dxa"/>
            <w:shd w:val="clear" w:color="auto" w:fill="auto"/>
            <w:noWrap/>
            <w:vAlign w:val="center"/>
          </w:tcPr>
          <w:p w14:paraId="78ABB19C" w14:textId="77777777" w:rsidR="00C92C58" w:rsidRPr="00C174D5" w:rsidRDefault="00C92C58" w:rsidP="00B15A9A">
            <w:pPr>
              <w:spacing w:after="0" w:line="240" w:lineRule="auto"/>
              <w:jc w:val="center"/>
              <w:rPr>
                <w:rFonts w:eastAsia="Times New Roman" w:cs="Arial"/>
                <w:sz w:val="20"/>
                <w:szCs w:val="20"/>
                <w:lang w:val="es-ES" w:eastAsia="es-AR"/>
              </w:rPr>
            </w:pPr>
            <w:r w:rsidRPr="00C174D5">
              <w:rPr>
                <w:rFonts w:eastAsia="Times New Roman" w:cs="Arial"/>
                <w:sz w:val="20"/>
                <w:szCs w:val="20"/>
                <w:lang w:val="es-ES" w:eastAsia="es-AR"/>
              </w:rPr>
              <w:t>2</w:t>
            </w:r>
          </w:p>
        </w:tc>
        <w:tc>
          <w:tcPr>
            <w:tcW w:w="1437" w:type="dxa"/>
            <w:shd w:val="clear" w:color="auto" w:fill="auto"/>
            <w:noWrap/>
            <w:vAlign w:val="center"/>
          </w:tcPr>
          <w:p w14:paraId="6DC9ADA6" w14:textId="77777777" w:rsidR="00C92C58" w:rsidRPr="00C174D5" w:rsidRDefault="00C92C58" w:rsidP="00B15A9A">
            <w:pPr>
              <w:spacing w:after="0" w:line="240" w:lineRule="auto"/>
              <w:jc w:val="center"/>
              <w:rPr>
                <w:rFonts w:eastAsia="Times New Roman" w:cs="Arial"/>
                <w:sz w:val="20"/>
                <w:szCs w:val="20"/>
                <w:lang w:val="es-ES" w:eastAsia="es-AR"/>
              </w:rPr>
            </w:pPr>
            <w:proofErr w:type="spellStart"/>
            <w:r w:rsidRPr="00C174D5">
              <w:rPr>
                <w:rFonts w:eastAsia="Times New Roman" w:cs="Arial"/>
                <w:sz w:val="20"/>
                <w:szCs w:val="20"/>
                <w:lang w:val="es-ES" w:eastAsia="es-AR"/>
              </w:rPr>
              <w:t>kWh</w:t>
            </w:r>
            <w:proofErr w:type="spellEnd"/>
            <w:r w:rsidRPr="00C174D5">
              <w:rPr>
                <w:rFonts w:eastAsia="Times New Roman" w:cs="Arial"/>
                <w:sz w:val="20"/>
                <w:szCs w:val="20"/>
                <w:lang w:val="es-ES" w:eastAsia="es-AR"/>
              </w:rPr>
              <w:t>/kg</w:t>
            </w:r>
          </w:p>
        </w:tc>
        <w:tc>
          <w:tcPr>
            <w:tcW w:w="1345" w:type="dxa"/>
            <w:vAlign w:val="center"/>
          </w:tcPr>
          <w:p w14:paraId="6D179C6F" w14:textId="77777777" w:rsidR="00C92C58" w:rsidRPr="00C174D5" w:rsidRDefault="00C92C58" w:rsidP="00B15A9A">
            <w:pPr>
              <w:spacing w:after="0" w:line="240" w:lineRule="auto"/>
              <w:jc w:val="center"/>
              <w:rPr>
                <w:rFonts w:eastAsia="Times New Roman" w:cs="Arial"/>
                <w:sz w:val="20"/>
                <w:szCs w:val="20"/>
                <w:lang w:val="es-ES" w:eastAsia="es-AR"/>
              </w:rPr>
            </w:pPr>
            <w:r w:rsidRPr="00C174D5">
              <w:rPr>
                <w:sz w:val="20"/>
                <w:lang w:val="es-ES"/>
              </w:rPr>
              <w:t>0,80</w:t>
            </w:r>
          </w:p>
        </w:tc>
      </w:tr>
      <w:tr w:rsidR="00C92C58" w:rsidRPr="00C174D5" w14:paraId="55FE8428" w14:textId="77777777" w:rsidTr="00B15A9A">
        <w:trPr>
          <w:trHeight w:val="360"/>
          <w:jc w:val="center"/>
        </w:trPr>
        <w:tc>
          <w:tcPr>
            <w:tcW w:w="4870" w:type="dxa"/>
            <w:shd w:val="clear" w:color="auto" w:fill="auto"/>
            <w:noWrap/>
            <w:vAlign w:val="center"/>
            <w:hideMark/>
          </w:tcPr>
          <w:p w14:paraId="50B29050" w14:textId="77777777" w:rsidR="00C92C58" w:rsidRPr="00C174D5" w:rsidRDefault="00C92C58" w:rsidP="00B15A9A">
            <w:pPr>
              <w:spacing w:after="0" w:line="240" w:lineRule="auto"/>
              <w:jc w:val="left"/>
              <w:rPr>
                <w:rFonts w:eastAsia="Times New Roman" w:cs="Arial"/>
                <w:sz w:val="20"/>
                <w:szCs w:val="20"/>
                <w:lang w:val="es-ES" w:eastAsia="es-AR"/>
              </w:rPr>
            </w:pPr>
            <w:r w:rsidRPr="00C174D5">
              <w:rPr>
                <w:rFonts w:eastAsia="Times New Roman" w:cs="Arial"/>
                <w:sz w:val="20"/>
                <w:szCs w:val="20"/>
                <w:lang w:val="es-ES" w:eastAsia="es-AR"/>
              </w:rPr>
              <w:t>Pilas: Aparato de 3W, 4 Pilas Duración 5 horas</w:t>
            </w:r>
          </w:p>
        </w:tc>
        <w:tc>
          <w:tcPr>
            <w:tcW w:w="746" w:type="dxa"/>
            <w:shd w:val="clear" w:color="auto" w:fill="auto"/>
            <w:noWrap/>
            <w:vAlign w:val="center"/>
            <w:hideMark/>
          </w:tcPr>
          <w:p w14:paraId="6D57263A" w14:textId="77777777" w:rsidR="00C92C58" w:rsidRPr="00C174D5" w:rsidRDefault="00C92C58" w:rsidP="00B15A9A">
            <w:pPr>
              <w:spacing w:after="0" w:line="240" w:lineRule="auto"/>
              <w:jc w:val="center"/>
              <w:rPr>
                <w:rFonts w:eastAsia="Times New Roman" w:cs="Arial"/>
                <w:sz w:val="20"/>
                <w:szCs w:val="20"/>
                <w:lang w:val="es-ES" w:eastAsia="es-AR"/>
              </w:rPr>
            </w:pPr>
            <w:r w:rsidRPr="00C174D5">
              <w:rPr>
                <w:rFonts w:eastAsia="Times New Roman" w:cs="Arial"/>
                <w:sz w:val="20"/>
                <w:szCs w:val="20"/>
                <w:lang w:val="es-ES" w:eastAsia="es-AR"/>
              </w:rPr>
              <w:t>0,056</w:t>
            </w:r>
          </w:p>
        </w:tc>
        <w:tc>
          <w:tcPr>
            <w:tcW w:w="1437" w:type="dxa"/>
            <w:shd w:val="clear" w:color="auto" w:fill="auto"/>
            <w:noWrap/>
            <w:vAlign w:val="center"/>
            <w:hideMark/>
          </w:tcPr>
          <w:p w14:paraId="43625EC1" w14:textId="77777777" w:rsidR="00C92C58" w:rsidRPr="00C174D5" w:rsidRDefault="00C92C58" w:rsidP="00B15A9A">
            <w:pPr>
              <w:spacing w:after="0" w:line="240" w:lineRule="auto"/>
              <w:jc w:val="center"/>
              <w:rPr>
                <w:rFonts w:eastAsia="Times New Roman" w:cs="Arial"/>
                <w:sz w:val="20"/>
                <w:szCs w:val="20"/>
                <w:lang w:val="es-ES" w:eastAsia="es-AR"/>
              </w:rPr>
            </w:pPr>
            <w:proofErr w:type="spellStart"/>
            <w:r w:rsidRPr="00C174D5">
              <w:rPr>
                <w:rFonts w:eastAsia="Times New Roman" w:cs="Arial"/>
                <w:sz w:val="20"/>
                <w:szCs w:val="20"/>
                <w:lang w:val="es-ES" w:eastAsia="es-AR"/>
              </w:rPr>
              <w:t>kWh</w:t>
            </w:r>
            <w:proofErr w:type="spellEnd"/>
            <w:r w:rsidRPr="00C174D5">
              <w:rPr>
                <w:rFonts w:eastAsia="Times New Roman" w:cs="Arial"/>
                <w:sz w:val="20"/>
                <w:szCs w:val="20"/>
                <w:lang w:val="es-ES" w:eastAsia="es-AR"/>
              </w:rPr>
              <w:t>/pila</w:t>
            </w:r>
          </w:p>
        </w:tc>
        <w:tc>
          <w:tcPr>
            <w:tcW w:w="1345" w:type="dxa"/>
            <w:vAlign w:val="center"/>
          </w:tcPr>
          <w:p w14:paraId="2FD9EA4E" w14:textId="77777777" w:rsidR="00C92C58" w:rsidRPr="00C174D5" w:rsidRDefault="00C92C58" w:rsidP="00B15A9A">
            <w:pPr>
              <w:spacing w:after="0" w:line="240" w:lineRule="auto"/>
              <w:jc w:val="center"/>
              <w:rPr>
                <w:rFonts w:eastAsia="Times New Roman" w:cs="Arial"/>
                <w:sz w:val="20"/>
                <w:szCs w:val="20"/>
                <w:lang w:val="es-ES" w:eastAsia="es-AR"/>
              </w:rPr>
            </w:pPr>
            <w:r w:rsidRPr="00C174D5">
              <w:rPr>
                <w:sz w:val="20"/>
                <w:lang w:val="es-ES"/>
              </w:rPr>
              <w:t>16,28</w:t>
            </w:r>
          </w:p>
        </w:tc>
      </w:tr>
    </w:tbl>
    <w:p w14:paraId="2020D9DC" w14:textId="77777777" w:rsidR="00C92C58" w:rsidRPr="00C174D5" w:rsidRDefault="00C92C58" w:rsidP="00C92C58">
      <w:pPr>
        <w:keepNext/>
        <w:keepLines/>
        <w:spacing w:after="120"/>
        <w:jc w:val="center"/>
        <w:rPr>
          <w:sz w:val="18"/>
          <w:lang w:val="es-ES"/>
        </w:rPr>
      </w:pPr>
      <w:r w:rsidRPr="00C174D5">
        <w:rPr>
          <w:sz w:val="18"/>
          <w:lang w:val="es-ES"/>
        </w:rPr>
        <w:t>Fuente: Elaboración propia en base a información del consultor e información de ENATREL provista por el BID</w:t>
      </w:r>
    </w:p>
    <w:p w14:paraId="275292E8" w14:textId="77777777" w:rsidR="00C92C58" w:rsidRPr="00C174D5" w:rsidRDefault="00C92C58" w:rsidP="00C92C58">
      <w:pPr>
        <w:rPr>
          <w:lang w:val="es-ES"/>
        </w:rPr>
      </w:pPr>
      <w:r w:rsidRPr="00C174D5">
        <w:rPr>
          <w:lang w:val="es-ES"/>
        </w:rPr>
        <w:t xml:space="preserve">Estos consumos serán sustituidos en presencia del proyecto, de ahí la liberación de recursos. Cabe destacar que el costo por </w:t>
      </w:r>
      <w:proofErr w:type="spellStart"/>
      <w:r w:rsidRPr="00C174D5">
        <w:rPr>
          <w:lang w:val="es-ES"/>
        </w:rPr>
        <w:t>kWh</w:t>
      </w:r>
      <w:proofErr w:type="spellEnd"/>
      <w:r w:rsidRPr="00C174D5">
        <w:rPr>
          <w:lang w:val="es-ES"/>
        </w:rPr>
        <w:t xml:space="preserve"> equivalente de los sustitutos utilizados supera en algunos casos (i.e. velas y pilas) el costo de falla por </w:t>
      </w:r>
      <w:proofErr w:type="spellStart"/>
      <w:r w:rsidRPr="00C174D5">
        <w:rPr>
          <w:lang w:val="es-ES"/>
        </w:rPr>
        <w:t>kWh</w:t>
      </w:r>
      <w:proofErr w:type="spellEnd"/>
      <w:r w:rsidRPr="00C174D5">
        <w:rPr>
          <w:lang w:val="es-ES"/>
        </w:rPr>
        <w:t xml:space="preserve"> y es, en todos los </w:t>
      </w:r>
      <w:r w:rsidRPr="00C174D5">
        <w:rPr>
          <w:lang w:val="es-ES"/>
        </w:rPr>
        <w:lastRenderedPageBreak/>
        <w:t>casos, mayor a la tarifa que enfrenta el usuario final. El que el costo de los sustitutos sea mayor que el costo de falla indica en cierta medida que el valor considerado para éste puede ser tomado como conservador. Dada la importancia de este valor en la determinación de los beneficios (como veremos un 82% de los beneficios surgen de la eliminación de fallas) el adoptar un valor conservador brinda mayor confianza en</w:t>
      </w:r>
      <w:r>
        <w:rPr>
          <w:lang w:val="es-ES"/>
        </w:rPr>
        <w:t xml:space="preserve"> la robustez de los resultados.</w:t>
      </w:r>
    </w:p>
    <w:p w14:paraId="25DA9AC9" w14:textId="77777777" w:rsidR="00C92C58" w:rsidRPr="00C174D5" w:rsidRDefault="00C92C58" w:rsidP="00C92C58">
      <w:pPr>
        <w:rPr>
          <w:lang w:val="es-ES"/>
        </w:rPr>
      </w:pPr>
      <w:r w:rsidRPr="00C174D5">
        <w:rPr>
          <w:lang w:val="es-ES"/>
        </w:rPr>
        <w:t xml:space="preserve">Finalmente, cabe hacer una aclaración especial en cuanto a la metodología de evaluación. En la mayoría de los casos (específicamente en todos los proyectos menos uno, el aumento de capacidad de las líneas de 230kV), el análisis se realiza desde una óptica local. Esto es, se evalúan costos y beneficios, económicos y financieros, para la sociedad nicaragüense. En el proyecto aumento de capacidad de las líneas de 230kV, por la propia naturaleza del mismo, el análisis de costos y beneficios se realiza desde una óptica regional. Al corresponder las </w:t>
      </w:r>
      <w:r w:rsidRPr="00C174D5">
        <w:rPr>
          <w:color w:val="000000"/>
          <w:lang w:val="es-ES"/>
        </w:rPr>
        <w:t xml:space="preserve">inversiones en las líneas de transmisión a 230 </w:t>
      </w:r>
      <w:proofErr w:type="spellStart"/>
      <w:r w:rsidRPr="00C174D5">
        <w:rPr>
          <w:color w:val="000000"/>
          <w:lang w:val="es-ES"/>
        </w:rPr>
        <w:t>kV</w:t>
      </w:r>
      <w:proofErr w:type="spellEnd"/>
      <w:r w:rsidRPr="00C174D5">
        <w:rPr>
          <w:color w:val="000000"/>
          <w:lang w:val="es-ES"/>
        </w:rPr>
        <w:t xml:space="preserve"> en las fronteras con Honduras y Costa Rica corresponden a compromisos de Nicaragua con el plan regional de refuerzo de la transmisión para alcanzar la capacidad operativa de 300 MW entre los países del Mercado Eléctrico Regional, la justificación de esta inversión debe hacerse en el marco de un análisis regional. Además, cabe destacar la existencia de un mandato que obliga a Nicaragua a cumplir con 300 MW de capacidad de transferencia con el SIEPAC, nivel de intercambio que se espera con la primera etapa del proyecto de integración.</w:t>
      </w:r>
    </w:p>
    <w:p w14:paraId="4E70D5F4" w14:textId="77777777" w:rsidR="00C92C58" w:rsidRPr="00C174D5" w:rsidRDefault="00C92C58" w:rsidP="00C92C58">
      <w:pPr>
        <w:pStyle w:val="Heading1"/>
        <w:numPr>
          <w:ilvl w:val="0"/>
          <w:numId w:val="9"/>
        </w:numPr>
        <w:rPr>
          <w:lang w:val="es-ES"/>
        </w:rPr>
      </w:pPr>
      <w:bookmarkStart w:id="32" w:name="_Toc447546927"/>
      <w:bookmarkStart w:id="33" w:name="_Toc456353110"/>
      <w:bookmarkStart w:id="34" w:name="_Ref418870125"/>
      <w:r w:rsidRPr="00C174D5">
        <w:rPr>
          <w:lang w:val="es-ES"/>
        </w:rPr>
        <w:lastRenderedPageBreak/>
        <w:t>Evaluación Económica y financiera - proyectos</w:t>
      </w:r>
      <w:bookmarkEnd w:id="32"/>
      <w:r w:rsidRPr="00C174D5">
        <w:rPr>
          <w:lang w:val="es-ES"/>
        </w:rPr>
        <w:t xml:space="preserve"> de refuerzo del sistema nacional</w:t>
      </w:r>
      <w:bookmarkEnd w:id="33"/>
    </w:p>
    <w:p w14:paraId="59CCCFAD" w14:textId="77777777" w:rsidR="00C92C58" w:rsidRPr="00C174D5" w:rsidRDefault="00C92C58" w:rsidP="00C92C58">
      <w:pPr>
        <w:rPr>
          <w:lang w:val="es-ES"/>
        </w:rPr>
      </w:pPr>
      <w:r w:rsidRPr="00C174D5">
        <w:rPr>
          <w:lang w:val="es-ES"/>
        </w:rPr>
        <w:t xml:space="preserve">Como se mencionó anteriormente, el objeto de este informe es realizar la evaluación económica y financiera de una serie de proyectos de mejora de la infraestructura de transmisión de electricidad, a ser financiados por el BID. </w:t>
      </w:r>
    </w:p>
    <w:p w14:paraId="2147F81E" w14:textId="77777777" w:rsidR="00C92C58" w:rsidRPr="00C174D5" w:rsidRDefault="00C92C58" w:rsidP="00C92C58">
      <w:pPr>
        <w:rPr>
          <w:lang w:val="es-ES"/>
        </w:rPr>
      </w:pPr>
      <w:r w:rsidRPr="00C174D5">
        <w:rPr>
          <w:lang w:val="es-ES"/>
        </w:rPr>
        <w:t>En términos de inversión (financiera</w:t>
      </w:r>
      <w:r w:rsidRPr="00C174D5">
        <w:rPr>
          <w:rStyle w:val="FootnoteReference"/>
          <w:lang w:val="es-ES"/>
        </w:rPr>
        <w:footnoteReference w:id="16"/>
      </w:r>
      <w:r w:rsidRPr="00C174D5">
        <w:rPr>
          <w:lang w:val="es-ES"/>
        </w:rPr>
        <w:t xml:space="preserve">), estos proyectos conllevan una erogación de cerca de </w:t>
      </w:r>
      <w:r>
        <w:rPr>
          <w:lang w:val="es-ES"/>
        </w:rPr>
        <w:t>42</w:t>
      </w:r>
      <w:r w:rsidRPr="00C174D5">
        <w:rPr>
          <w:lang w:val="es-ES"/>
        </w:rPr>
        <w:t>.8</w:t>
      </w:r>
      <w:r>
        <w:rPr>
          <w:lang w:val="es-ES"/>
        </w:rPr>
        <w:t>06</w:t>
      </w:r>
      <w:r w:rsidRPr="00C174D5">
        <w:rPr>
          <w:lang w:val="es-ES"/>
        </w:rPr>
        <w:t>.</w:t>
      </w:r>
      <w:r>
        <w:rPr>
          <w:lang w:val="es-ES"/>
        </w:rPr>
        <w:t>604</w:t>
      </w:r>
      <w:r w:rsidRPr="00C174D5">
        <w:rPr>
          <w:lang w:val="es-ES"/>
        </w:rPr>
        <w:t xml:space="preserve"> US$, mejorando la calidad de vida a </w:t>
      </w:r>
      <w:r>
        <w:rPr>
          <w:lang w:val="es-ES"/>
        </w:rPr>
        <w:t>412</w:t>
      </w:r>
      <w:r w:rsidRPr="00C174D5">
        <w:rPr>
          <w:lang w:val="es-ES"/>
        </w:rPr>
        <w:t>.000 clientes (cerca de 2.000.000</w:t>
      </w:r>
      <w:r>
        <w:rPr>
          <w:lang w:val="es-ES"/>
        </w:rPr>
        <w:t xml:space="preserve"> de</w:t>
      </w:r>
      <w:r w:rsidRPr="00C174D5">
        <w:rPr>
          <w:lang w:val="es-ES"/>
        </w:rPr>
        <w:t xml:space="preserve"> personas), entre clientes existentes y nuevos clientes.</w:t>
      </w:r>
    </w:p>
    <w:p w14:paraId="61064953" w14:textId="77777777" w:rsidR="00C92C58" w:rsidRPr="00C174D5" w:rsidRDefault="00C92C58" w:rsidP="00C92C58">
      <w:pPr>
        <w:rPr>
          <w:lang w:val="es-ES"/>
        </w:rPr>
      </w:pPr>
      <w:r w:rsidRPr="00C174D5">
        <w:rPr>
          <w:lang w:val="es-ES"/>
        </w:rPr>
        <w:t>En lo que sigue se presenta la evaluación de cada uno de los proyectos considerados. Como metodología general, se miden los flujos de beneficios y de costos (tanto financieros como económicos) diferenciales, entre la situación en presencia y en ausencia de proyecto (situación “con” y “sin” proyecto, respectivamente). Con proyecto, en general, es posible servir a una mayor población (mediante proyectos de electrificación rural – PER) y/o servir la totalidad de la demanda potencial por parte de los clientes existentes.</w:t>
      </w:r>
    </w:p>
    <w:p w14:paraId="4937D85B" w14:textId="77777777" w:rsidR="00C92C58" w:rsidRPr="00C174D5" w:rsidRDefault="00C92C58" w:rsidP="00C92C58">
      <w:pPr>
        <w:rPr>
          <w:lang w:val="es-ES"/>
        </w:rPr>
      </w:pPr>
      <w:r w:rsidRPr="00C174D5">
        <w:rPr>
          <w:lang w:val="es-ES"/>
        </w:rPr>
        <w:t>A grandes rasgos, entonces, los beneficios económicos derivados de estos proyectos están relacionados principalmente con el acceso al servicio de electricidad, en el caso de viviendas sin servicio (clientes nuevos), y a la mejora del servicio prestado, en el caso de clientes existentes. El impacto económico es, en general, altamente positivo y se relaciona con los beneficios sociales y las externalidades que reciben los usuarios y la población en general, asociadas a la iluminación del hogar, la producción, la salud, el tiempo ahorrado en tareas del hogar (en la búsqueda de combustibles y otros sustitutos de la electricidad), las comunicaciones y el entretenimiento y la educación.</w:t>
      </w:r>
      <w:r w:rsidRPr="00C174D5">
        <w:rPr>
          <w:vertAlign w:val="superscript"/>
          <w:lang w:val="es-ES"/>
        </w:rPr>
        <w:footnoteReference w:id="17"/>
      </w:r>
      <w:r w:rsidRPr="00C174D5">
        <w:rPr>
          <w:lang w:val="es-ES"/>
        </w:rPr>
        <w:t xml:space="preserve"> Como una aproximación a la cuantificación de las mejoras en la calidad de vida que supone la disponibilidad del servicio eléctrico, se podrían tomar los valores presentados en el informe “PROGRAMA DE ELECTRIFICACION RURAL Y URBANO-MARGINAL DEL ECUADOR - Proyecto: EC-L1087 – Evaluación - Informe Final”, realizado por el Ingeniero Ignacio Coral, que se reproducen en la </w:t>
      </w:r>
      <w:r w:rsidRPr="00C174D5">
        <w:rPr>
          <w:lang w:val="es-ES"/>
        </w:rPr>
        <w:fldChar w:fldCharType="begin" w:fldLock="1"/>
      </w:r>
      <w:r w:rsidRPr="00C174D5">
        <w:rPr>
          <w:lang w:val="es-ES"/>
        </w:rPr>
        <w:instrText xml:space="preserve"> REF _Ref429579099 \h  \* MERGEFORMAT </w:instrText>
      </w:r>
      <w:r w:rsidRPr="00C174D5">
        <w:rPr>
          <w:lang w:val="es-ES"/>
        </w:rPr>
      </w:r>
      <w:r w:rsidRPr="00C174D5">
        <w:rPr>
          <w:lang w:val="es-ES"/>
        </w:rPr>
        <w:fldChar w:fldCharType="separate"/>
      </w:r>
      <w:r w:rsidRPr="00C174D5">
        <w:rPr>
          <w:b/>
          <w:lang w:val="es-ES"/>
        </w:rPr>
        <w:t>Figura 1</w:t>
      </w:r>
      <w:r w:rsidRPr="00C174D5">
        <w:rPr>
          <w:lang w:val="es-ES"/>
        </w:rPr>
        <w:fldChar w:fldCharType="end"/>
      </w:r>
      <w:r w:rsidRPr="00C174D5">
        <w:rPr>
          <w:lang w:val="es-ES"/>
        </w:rPr>
        <w:t>.</w:t>
      </w:r>
    </w:p>
    <w:p w14:paraId="7E7407C7" w14:textId="77777777" w:rsidR="00C92C58" w:rsidRPr="00C174D5" w:rsidRDefault="00C92C58" w:rsidP="00C92C58">
      <w:pPr>
        <w:keepNext/>
        <w:keepLines/>
        <w:spacing w:after="120"/>
        <w:jc w:val="center"/>
        <w:rPr>
          <w:b/>
          <w:sz w:val="20"/>
          <w:lang w:val="es-ES"/>
        </w:rPr>
      </w:pPr>
      <w:bookmarkStart w:id="35" w:name="_Ref429579099"/>
      <w:bookmarkStart w:id="36" w:name="_Toc447546998"/>
      <w:r w:rsidRPr="00C174D5">
        <w:rPr>
          <w:b/>
          <w:sz w:val="20"/>
          <w:lang w:val="es-ES"/>
        </w:rPr>
        <w:lastRenderedPageBreak/>
        <w:t xml:space="preserve">Figura </w:t>
      </w:r>
      <w:r w:rsidRPr="00C174D5">
        <w:rPr>
          <w:b/>
          <w:sz w:val="20"/>
          <w:lang w:val="es-ES"/>
        </w:rPr>
        <w:fldChar w:fldCharType="begin" w:fldLock="1"/>
      </w:r>
      <w:r w:rsidRPr="00C174D5">
        <w:rPr>
          <w:b/>
          <w:sz w:val="20"/>
          <w:lang w:val="es-ES"/>
        </w:rPr>
        <w:instrText xml:space="preserve"> SEQ Figura \* ARABIC </w:instrText>
      </w:r>
      <w:r w:rsidRPr="00C174D5">
        <w:rPr>
          <w:b/>
          <w:sz w:val="20"/>
          <w:lang w:val="es-ES"/>
        </w:rPr>
        <w:fldChar w:fldCharType="separate"/>
      </w:r>
      <w:r w:rsidRPr="00C174D5">
        <w:rPr>
          <w:b/>
          <w:noProof/>
          <w:sz w:val="20"/>
          <w:lang w:val="es-ES"/>
        </w:rPr>
        <w:t>1</w:t>
      </w:r>
      <w:r w:rsidRPr="00C174D5">
        <w:rPr>
          <w:b/>
          <w:sz w:val="20"/>
          <w:lang w:val="es-ES"/>
        </w:rPr>
        <w:fldChar w:fldCharType="end"/>
      </w:r>
      <w:bookmarkEnd w:id="35"/>
      <w:r w:rsidRPr="00C174D5">
        <w:rPr>
          <w:b/>
          <w:sz w:val="20"/>
          <w:lang w:val="es-ES"/>
        </w:rPr>
        <w:t>: Identificación y cuantificación de las mejoras en la calidad de vida</w:t>
      </w:r>
      <w:bookmarkEnd w:id="36"/>
    </w:p>
    <w:p w14:paraId="445B4CA3" w14:textId="77777777" w:rsidR="00C92C58" w:rsidRPr="00C174D5" w:rsidRDefault="00C92C58" w:rsidP="00C92C58">
      <w:pPr>
        <w:keepLines/>
        <w:spacing w:after="0"/>
        <w:jc w:val="center"/>
        <w:rPr>
          <w:lang w:val="es-ES"/>
        </w:rPr>
      </w:pPr>
      <w:r w:rsidRPr="00C174D5">
        <w:rPr>
          <w:noProof/>
          <w:lang w:val="es-CO" w:eastAsia="es-CO"/>
        </w:rPr>
        <w:drawing>
          <wp:inline distT="0" distB="0" distL="0" distR="0" wp14:anchorId="69099F41" wp14:editId="312F6B76">
            <wp:extent cx="4742180" cy="3013075"/>
            <wp:effectExtent l="19050" t="0" r="127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4742180" cy="3013075"/>
                    </a:xfrm>
                    <a:prstGeom prst="rect">
                      <a:avLst/>
                    </a:prstGeom>
                    <a:noFill/>
                    <a:ln w="9525">
                      <a:noFill/>
                      <a:miter lim="800000"/>
                      <a:headEnd/>
                      <a:tailEnd/>
                    </a:ln>
                  </pic:spPr>
                </pic:pic>
              </a:graphicData>
            </a:graphic>
          </wp:inline>
        </w:drawing>
      </w:r>
    </w:p>
    <w:p w14:paraId="7D97DFE7" w14:textId="77777777" w:rsidR="00C92C58" w:rsidRPr="00C174D5" w:rsidRDefault="00C92C58" w:rsidP="00C92C58">
      <w:pPr>
        <w:keepLines/>
        <w:ind w:left="567" w:right="567"/>
        <w:jc w:val="center"/>
        <w:rPr>
          <w:sz w:val="18"/>
          <w:lang w:val="es-ES"/>
        </w:rPr>
      </w:pPr>
      <w:r w:rsidRPr="00C174D5">
        <w:rPr>
          <w:sz w:val="18"/>
          <w:lang w:val="es-ES"/>
        </w:rPr>
        <w:t>Fuente: PROGRAMA DE ELECTRIFICACION RURAL Y URBANO-MARGINAL DEL ECUADOR - Proyecto: EC-L1087 – Evaluación - Informe Final, Cuadro No. VI-1 - Beneficios por Mejoras en la Calidad de Vida</w:t>
      </w:r>
    </w:p>
    <w:p w14:paraId="4675A730" w14:textId="77777777" w:rsidR="00C92C58" w:rsidRPr="00C174D5" w:rsidRDefault="00C92C58" w:rsidP="00C92C58">
      <w:pPr>
        <w:rPr>
          <w:lang w:val="es-ES"/>
        </w:rPr>
      </w:pPr>
      <w:r w:rsidRPr="00C174D5">
        <w:rPr>
          <w:lang w:val="es-ES"/>
        </w:rPr>
        <w:t xml:space="preserve">La cuantificación de la totalidad de los beneficios económicos, en la presente evaluación, está dada por la liberación neta de recursos por parte de los nuevos clientes servidos, al sustituir otras fuentes de energía alternativas por electricidad, y la disminución en la energía de falla en la situación con proyecto (en relación a la situación sin proyecto). Cabe aclarar que esta energía de falla corresponde a toda la demanda potencial insatisfecha en la situación sin proyecto (tanto de clientes existentes, como de nuevos clientes). </w:t>
      </w:r>
    </w:p>
    <w:p w14:paraId="2A9BC976" w14:textId="77777777" w:rsidR="00C92C58" w:rsidRPr="00C174D5" w:rsidRDefault="00C92C58" w:rsidP="00C92C58">
      <w:pPr>
        <w:rPr>
          <w:lang w:val="es-ES"/>
        </w:rPr>
      </w:pPr>
      <w:r w:rsidRPr="00C174D5">
        <w:rPr>
          <w:lang w:val="es-ES"/>
        </w:rPr>
        <w:t xml:space="preserve">En qué medida el costo de falla recoge estos efectos de las mejoras en la calidad de vida de los usuarios, que constituyen externalidades para el resto de la sociedad, depende de la forma en que se defina y mida dicho costo de falla. Si éste es definido en base a encuestas de disposición a pagar, por ejemplo, las externalidades asociados al consumo eléctrico no estarían reflejadas en su valor ya que los usuarios no internalizan estos efectos sobre terceros y por ende no estarían dispuestos a pagar por ellos. Por el contrario, si el valor del costo de falla se estima en base a un modelo de producción macroeconómico, por ejemplo como el cociente entre PBI y energía total consumida, los efectos de las eventuales externalidades estarían incluidos en la medida que éstos afectan al PBI. </w:t>
      </w:r>
    </w:p>
    <w:p w14:paraId="358C725C" w14:textId="77777777" w:rsidR="00C92C58" w:rsidRPr="00C174D5" w:rsidRDefault="00C92C58" w:rsidP="00C92C58">
      <w:pPr>
        <w:rPr>
          <w:lang w:val="es-ES"/>
        </w:rPr>
      </w:pPr>
      <w:r w:rsidRPr="00C174D5">
        <w:rPr>
          <w:lang w:val="es-ES"/>
        </w:rPr>
        <w:t>Como se discutió más arriba, en el análisis consideramos un costo de falla de 1.500 US$/</w:t>
      </w:r>
      <w:proofErr w:type="spellStart"/>
      <w:r w:rsidRPr="00C174D5">
        <w:rPr>
          <w:lang w:val="es-ES"/>
        </w:rPr>
        <w:t>MWh</w:t>
      </w:r>
      <w:proofErr w:type="spellEnd"/>
      <w:r w:rsidRPr="00C174D5">
        <w:rPr>
          <w:lang w:val="es-ES"/>
        </w:rPr>
        <w:t xml:space="preserve"> que se corresponde con el valor utilizado por ENATREL, y que puede ser considerado un valor conservador. De hecho, el valor que resulta de considerar el </w:t>
      </w:r>
      <w:r w:rsidRPr="00C174D5">
        <w:rPr>
          <w:lang w:val="es-ES"/>
        </w:rPr>
        <w:lastRenderedPageBreak/>
        <w:t>ratio entre PBI y energía consumida es de 2.940 US$/</w:t>
      </w:r>
      <w:proofErr w:type="spellStart"/>
      <w:r w:rsidRPr="00C174D5">
        <w:rPr>
          <w:lang w:val="es-ES"/>
        </w:rPr>
        <w:t>MWh</w:t>
      </w:r>
      <w:proofErr w:type="spellEnd"/>
      <w:r w:rsidRPr="00C174D5">
        <w:rPr>
          <w:lang w:val="es-ES"/>
        </w:rPr>
        <w:t>, o sea casi un 100% mayor.</w:t>
      </w:r>
      <w:r w:rsidRPr="00C174D5">
        <w:rPr>
          <w:rStyle w:val="FootnoteReference"/>
          <w:lang w:val="es-ES"/>
        </w:rPr>
        <w:footnoteReference w:id="18"/>
      </w:r>
      <w:r w:rsidRPr="00C174D5">
        <w:rPr>
          <w:lang w:val="es-ES"/>
        </w:rPr>
        <w:t xml:space="preserve"> Sin embargo, en el análisis no hemos incluido estas externalidades en forma separada por dos razones. En primer lugar, no existen valores disponibles para Nicaragua que permitan una cuantificación robusta. En segundo lugar, los proyectos resultan en valores económicos fuertemente positivos aun sin incorporar estos efectos asociados a externalidades por lo que su omisión no cambia en forma alguna las conclusiones del estudio. </w:t>
      </w:r>
    </w:p>
    <w:p w14:paraId="680BF9A1" w14:textId="77777777" w:rsidR="00C92C58" w:rsidRPr="00C174D5" w:rsidRDefault="00C92C58" w:rsidP="00C92C58">
      <w:pPr>
        <w:rPr>
          <w:lang w:val="es-ES"/>
        </w:rPr>
      </w:pPr>
      <w:r w:rsidRPr="00C174D5">
        <w:rPr>
          <w:lang w:val="es-ES"/>
        </w:rPr>
        <w:t>Dentro de los costos económicos, se tiene la inversión y los costos de operación y mantenimiento asociados, ambos ajustados por su respectivo factor de cuenta (FC). Por otro lado se tiene también como costo económico el aumento de pérdidas que se verifica al aumentar la demanda servida en el escenario con proyecto (esto es, las pérdidas por nivel de tensión, valuadas según nivel de tensión ajustando por FC).</w:t>
      </w:r>
    </w:p>
    <w:p w14:paraId="2E7476E5" w14:textId="77777777" w:rsidR="00C92C58" w:rsidRPr="00C174D5" w:rsidRDefault="00C92C58" w:rsidP="00C92C58">
      <w:pPr>
        <w:rPr>
          <w:lang w:val="es-ES"/>
        </w:rPr>
      </w:pPr>
      <w:r w:rsidRPr="00C174D5">
        <w:rPr>
          <w:lang w:val="es-ES"/>
        </w:rPr>
        <w:t>En el análisis privado, por su parte, se tiene como ingreso al flujo diferencial de ingresos generados por la energía adicional que es posible transmitir en presencia de los proyectos, valuada en función de las tarifas de transmisión vigentes. Esta energía adicional corresponde a la energía generada para satisfacer la demanda potencial de todos los usuarios de la zona (tanto existentes como nuevos). Los costos privados son los de inversión y de operación y mantenimiento.</w:t>
      </w:r>
    </w:p>
    <w:p w14:paraId="45020E20" w14:textId="77777777" w:rsidR="00C92C58" w:rsidRPr="00C174D5" w:rsidRDefault="00C92C58" w:rsidP="00C92C58">
      <w:pPr>
        <w:rPr>
          <w:lang w:val="es-ES"/>
        </w:rPr>
      </w:pPr>
      <w:r w:rsidRPr="00C174D5">
        <w:rPr>
          <w:lang w:val="es-ES"/>
        </w:rPr>
        <w:t>Para enriquecer la evaluación se realizan análisis de sensibilidad teniendo en cuenta cuatro variables:</w:t>
      </w:r>
    </w:p>
    <w:p w14:paraId="7AE4C0C8" w14:textId="77777777" w:rsidR="00C92C58" w:rsidRPr="00C174D5" w:rsidRDefault="00C92C58" w:rsidP="00C92C58">
      <w:pPr>
        <w:pStyle w:val="ListParagraph"/>
        <w:numPr>
          <w:ilvl w:val="0"/>
          <w:numId w:val="28"/>
        </w:numPr>
        <w:rPr>
          <w:lang w:val="es-ES"/>
        </w:rPr>
      </w:pPr>
      <w:r w:rsidRPr="00C174D5">
        <w:rPr>
          <w:lang w:val="es-ES"/>
        </w:rPr>
        <w:t>La tasa de descuento</w:t>
      </w:r>
    </w:p>
    <w:p w14:paraId="34C4ACB9" w14:textId="77777777" w:rsidR="00C92C58" w:rsidRPr="00C174D5" w:rsidRDefault="00C92C58" w:rsidP="00C92C58">
      <w:pPr>
        <w:pStyle w:val="ListParagraph"/>
        <w:numPr>
          <w:ilvl w:val="0"/>
          <w:numId w:val="28"/>
        </w:numPr>
        <w:rPr>
          <w:lang w:val="es-ES"/>
        </w:rPr>
      </w:pPr>
      <w:r w:rsidRPr="00C174D5">
        <w:rPr>
          <w:lang w:val="es-ES"/>
        </w:rPr>
        <w:t>La tasa de crecimiento de la demanda</w:t>
      </w:r>
    </w:p>
    <w:p w14:paraId="7822F69E" w14:textId="77777777" w:rsidR="00C92C58" w:rsidRPr="00C174D5" w:rsidRDefault="00C92C58" w:rsidP="00C92C58">
      <w:pPr>
        <w:pStyle w:val="ListParagraph"/>
        <w:numPr>
          <w:ilvl w:val="0"/>
          <w:numId w:val="28"/>
        </w:numPr>
        <w:rPr>
          <w:lang w:val="es-ES"/>
        </w:rPr>
      </w:pPr>
      <w:r w:rsidRPr="00C174D5">
        <w:rPr>
          <w:lang w:val="es-ES"/>
        </w:rPr>
        <w:t>El costo de falla</w:t>
      </w:r>
    </w:p>
    <w:p w14:paraId="705BFB30" w14:textId="77777777" w:rsidR="00C92C58" w:rsidRPr="00C174D5" w:rsidRDefault="00C92C58" w:rsidP="00C92C58">
      <w:pPr>
        <w:pStyle w:val="ListParagraph"/>
        <w:numPr>
          <w:ilvl w:val="0"/>
          <w:numId w:val="28"/>
        </w:numPr>
        <w:rPr>
          <w:lang w:val="es-ES"/>
        </w:rPr>
      </w:pPr>
      <w:r w:rsidRPr="00C174D5">
        <w:rPr>
          <w:lang w:val="es-ES"/>
        </w:rPr>
        <w:t>El costo de inversión</w:t>
      </w:r>
    </w:p>
    <w:p w14:paraId="13C060F1" w14:textId="77777777" w:rsidR="00C92C58" w:rsidRPr="00C174D5" w:rsidRDefault="00C92C58" w:rsidP="00C92C58">
      <w:pPr>
        <w:rPr>
          <w:lang w:val="es-ES"/>
        </w:rPr>
      </w:pPr>
      <w:r w:rsidRPr="00C174D5">
        <w:rPr>
          <w:lang w:val="es-ES"/>
        </w:rPr>
        <w:t>Respecto a la tasa social de descuento (para la cual se toma un valor del 12% definido por el BID), se evalúan también los proyectos suponiendo un valor del 8%, que es el actualmente utilizado por el Sistema Nacional de Inversiones Públicas (SNIP) de Nicaragua. En relación al crecimiento de la demanda se analizan variaciones (positivas y negativas) a las proyecciones recibidas. En el caso del costo de falla, se estima además el valor del mismo que hace que el VPNE de los proyectos sea nulo (o levemente menor que cero). Finalmente, en relación a la inversión, se analiza cómo varía el proyecto si el costo de la misma crece en un 15% y en un 30%.</w:t>
      </w:r>
    </w:p>
    <w:p w14:paraId="5653C4CE" w14:textId="77777777" w:rsidR="00C92C58" w:rsidRPr="00C174D5" w:rsidRDefault="00C92C58" w:rsidP="00C92C58">
      <w:pPr>
        <w:rPr>
          <w:lang w:val="es-ES"/>
        </w:rPr>
      </w:pPr>
      <w:r w:rsidRPr="00C174D5">
        <w:rPr>
          <w:lang w:val="es-ES"/>
        </w:rPr>
        <w:t>En las secciones que siguen se presentan los resultados de la evaluación de estos proyectos.</w:t>
      </w:r>
    </w:p>
    <w:p w14:paraId="66B20912" w14:textId="77777777" w:rsidR="00C92C58" w:rsidRPr="00C174D5" w:rsidRDefault="00C92C58" w:rsidP="00C92C58">
      <w:pPr>
        <w:pStyle w:val="Heading1"/>
        <w:numPr>
          <w:ilvl w:val="1"/>
          <w:numId w:val="9"/>
        </w:numPr>
        <w:rPr>
          <w:lang w:val="es-ES"/>
        </w:rPr>
      </w:pPr>
      <w:bookmarkStart w:id="37" w:name="_Toc447546928"/>
      <w:bookmarkStart w:id="38" w:name="_Toc456353111"/>
      <w:r w:rsidRPr="00C174D5">
        <w:rPr>
          <w:lang w:val="es-ES"/>
        </w:rPr>
        <w:lastRenderedPageBreak/>
        <w:t>LT El Sauce-Villanueva</w:t>
      </w:r>
      <w:bookmarkEnd w:id="37"/>
      <w:bookmarkEnd w:id="38"/>
    </w:p>
    <w:p w14:paraId="5712E981" w14:textId="77777777" w:rsidR="00C92C58" w:rsidRPr="00C174D5" w:rsidRDefault="00C92C58" w:rsidP="00C92C58">
      <w:pPr>
        <w:rPr>
          <w:lang w:val="es-ES"/>
        </w:rPr>
      </w:pPr>
      <w:r w:rsidRPr="00C174D5">
        <w:rPr>
          <w:lang w:val="es-ES"/>
        </w:rPr>
        <w:t xml:space="preserve">De acuerdo con el documento de ENATREL “Proyectos Priorizados para el Sistema Nacional de Transmisión” (octubre de 2015), actualmente, más de la mitad de las líneas de transmisión de 69 </w:t>
      </w:r>
      <w:proofErr w:type="spellStart"/>
      <w:r w:rsidRPr="00C174D5">
        <w:rPr>
          <w:lang w:val="es-ES"/>
        </w:rPr>
        <w:t>kV</w:t>
      </w:r>
      <w:proofErr w:type="spellEnd"/>
      <w:r w:rsidRPr="00C174D5">
        <w:rPr>
          <w:lang w:val="es-ES"/>
        </w:rPr>
        <w:t xml:space="preserve"> en el Sistema Nacional de Transmisión han sido construidas en estructuras de madera y poseen más de 20 años de servicio. Este es el caso de la línea de 69 </w:t>
      </w:r>
      <w:proofErr w:type="spellStart"/>
      <w:r w:rsidRPr="00C174D5">
        <w:rPr>
          <w:lang w:val="es-ES"/>
        </w:rPr>
        <w:t>kV</w:t>
      </w:r>
      <w:proofErr w:type="spellEnd"/>
      <w:r w:rsidRPr="00C174D5">
        <w:rPr>
          <w:lang w:val="es-ES"/>
        </w:rPr>
        <w:t xml:space="preserve"> (L6100), proveniente de la SE El Viejo, que alimenta la SE Villanueva. Ambos factores, el material y la antigüedad de las torres, provocan salidas intempestivas de la línea, con la consecuente interrupción del servicio a los usuarios.</w:t>
      </w:r>
    </w:p>
    <w:p w14:paraId="0B94DE45" w14:textId="77777777" w:rsidR="00C92C58" w:rsidRPr="00C174D5" w:rsidRDefault="00C92C58" w:rsidP="00C92C58">
      <w:pPr>
        <w:rPr>
          <w:lang w:val="es-ES"/>
        </w:rPr>
      </w:pPr>
      <w:r w:rsidRPr="00C174D5">
        <w:rPr>
          <w:lang w:val="es-ES"/>
        </w:rPr>
        <w:t xml:space="preserve">Para paliar esta situación se presenta este proyecto que consiste, básicamente, en la construcción de una línea de transmisión de 138 </w:t>
      </w:r>
      <w:proofErr w:type="spellStart"/>
      <w:r w:rsidRPr="00C174D5">
        <w:rPr>
          <w:lang w:val="es-ES"/>
        </w:rPr>
        <w:t>kV</w:t>
      </w:r>
      <w:proofErr w:type="spellEnd"/>
      <w:r w:rsidRPr="00C174D5">
        <w:rPr>
          <w:lang w:val="es-ES"/>
        </w:rPr>
        <w:t xml:space="preserve"> entre la SE Villa Nueva y la SE El Sauce. Esta línea permitirá suministrar energía confiable y segura a los usuarios actuales y futuros que son alimentados de la Subestación Villanueva, disminuyendo la energía no servida (ENS). Además el proyecto resultará en mejoras en el nivel de voltaje de la SE, en una disminución de las pérdidas del sistema y en una caída en los costos de mantenimiento de la línea. </w:t>
      </w:r>
    </w:p>
    <w:p w14:paraId="691FBFD3" w14:textId="77777777" w:rsidR="00C92C58" w:rsidRDefault="00C92C58" w:rsidP="00C92C58">
      <w:pPr>
        <w:rPr>
          <w:lang w:val="es-ES"/>
        </w:rPr>
      </w:pPr>
      <w:r w:rsidRPr="00C174D5">
        <w:rPr>
          <w:lang w:val="es-ES"/>
        </w:rPr>
        <w:t xml:space="preserve">La valuación de beneficio costo surge de comparar dos escenarios. Uno con proyecto, en el cual se continúa sirviendo a los 25.294 usuarios existentes y se prosigue con la consecución de los objetivos del PNSER, incorporando los nuevos 1.440 usuarios rurales (PER), y otro sin proyecto en el cual no sólo no es posible la incorporación de nuevos usuarios, sino que tampoco es posible abastecer el incremento de la demanda de los usuarios existentes </w:t>
      </w:r>
      <w:r>
        <w:rPr>
          <w:lang w:val="es-ES"/>
        </w:rPr>
        <w:t>al ritmo del escenario base. L</w:t>
      </w:r>
      <w:r w:rsidRPr="00C174D5">
        <w:rPr>
          <w:lang w:val="es-ES"/>
        </w:rPr>
        <w:t xml:space="preserve">a demanda abastecida de estos usuarios </w:t>
      </w:r>
      <w:r>
        <w:rPr>
          <w:lang w:val="es-ES"/>
        </w:rPr>
        <w:t xml:space="preserve">crece a tasa decreciente hasta permanecer constante </w:t>
      </w:r>
      <w:r w:rsidRPr="00C174D5">
        <w:rPr>
          <w:lang w:val="es-ES"/>
        </w:rPr>
        <w:t>a niveles del 20</w:t>
      </w:r>
      <w:r>
        <w:rPr>
          <w:lang w:val="es-ES"/>
        </w:rPr>
        <w:t>28</w:t>
      </w:r>
      <w:r w:rsidRPr="00C174D5">
        <w:rPr>
          <w:lang w:val="es-ES"/>
        </w:rPr>
        <w:t xml:space="preserve">. Adicionalmente, este escenario sin proyecto supone un aumento sustancial de los costos de operación y mantenimiento. </w:t>
      </w:r>
    </w:p>
    <w:p w14:paraId="020EFBCA" w14:textId="77777777" w:rsidR="00C92C58" w:rsidRDefault="00C92C58" w:rsidP="00C92C58">
      <w:pPr>
        <w:rPr>
          <w:lang w:val="es-ES"/>
        </w:rPr>
      </w:pPr>
      <w:r>
        <w:rPr>
          <w:lang w:val="es-ES"/>
        </w:rPr>
        <w:t>La demanda de clientes existentes considerada es aquella correspondiente a mina</w:t>
      </w:r>
      <w:r w:rsidRPr="00C61882">
        <w:rPr>
          <w:lang w:val="es-ES"/>
        </w:rPr>
        <w:t xml:space="preserve"> L</w:t>
      </w:r>
      <w:r>
        <w:rPr>
          <w:lang w:val="es-ES"/>
        </w:rPr>
        <w:t xml:space="preserve">imón, a minera </w:t>
      </w:r>
      <w:r w:rsidRPr="00C61882">
        <w:rPr>
          <w:lang w:val="es-ES"/>
        </w:rPr>
        <w:t>T</w:t>
      </w:r>
      <w:r>
        <w:rPr>
          <w:lang w:val="es-ES"/>
        </w:rPr>
        <w:t xml:space="preserve">ritón y a la SE Villanueva. Esta demanda potencial (la que se abastece en presencia de proyecto) es, al año 2019, de 16 MW, alcanzando los 25 MW al final del período de evaluación. </w:t>
      </w:r>
    </w:p>
    <w:p w14:paraId="13DE2AB5" w14:textId="77777777" w:rsidR="00C92C58" w:rsidRDefault="00C92C58" w:rsidP="00C92C58">
      <w:pPr>
        <w:keepNext/>
        <w:keepLines/>
        <w:spacing w:after="120"/>
        <w:jc w:val="center"/>
        <w:rPr>
          <w:b/>
          <w:sz w:val="20"/>
          <w:lang w:val="es-ES"/>
        </w:rPr>
      </w:pPr>
      <w:bookmarkStart w:id="39" w:name="_Toc456353207"/>
      <w:r w:rsidRPr="00C174D5">
        <w:rPr>
          <w:b/>
          <w:sz w:val="20"/>
          <w:lang w:val="es-ES"/>
        </w:rPr>
        <w:lastRenderedPageBreak/>
        <w:t xml:space="preserve">Gráfico </w:t>
      </w:r>
      <w:r w:rsidRPr="00C174D5">
        <w:rPr>
          <w:b/>
          <w:sz w:val="20"/>
          <w:lang w:val="es-ES"/>
        </w:rPr>
        <w:fldChar w:fldCharType="begin"/>
      </w:r>
      <w:r w:rsidRPr="00C174D5">
        <w:rPr>
          <w:b/>
          <w:sz w:val="20"/>
          <w:lang w:val="es-ES"/>
        </w:rPr>
        <w:instrText xml:space="preserve"> SEQ Gráfico \* ARABIC </w:instrText>
      </w:r>
      <w:r w:rsidRPr="00C174D5">
        <w:rPr>
          <w:b/>
          <w:sz w:val="20"/>
          <w:lang w:val="es-ES"/>
        </w:rPr>
        <w:fldChar w:fldCharType="separate"/>
      </w:r>
      <w:r>
        <w:rPr>
          <w:b/>
          <w:noProof/>
          <w:sz w:val="20"/>
          <w:lang w:val="es-ES"/>
        </w:rPr>
        <w:t>1</w:t>
      </w:r>
      <w:r w:rsidRPr="00C174D5">
        <w:rPr>
          <w:b/>
          <w:sz w:val="20"/>
          <w:lang w:val="es-ES"/>
        </w:rPr>
        <w:fldChar w:fldCharType="end"/>
      </w:r>
      <w:r w:rsidRPr="00C174D5">
        <w:rPr>
          <w:b/>
          <w:sz w:val="20"/>
          <w:lang w:val="es-ES"/>
        </w:rPr>
        <w:t xml:space="preserve">: Demanda </w:t>
      </w:r>
      <w:r>
        <w:rPr>
          <w:b/>
          <w:sz w:val="20"/>
          <w:lang w:val="es-ES"/>
        </w:rPr>
        <w:t>considerada proyecto</w:t>
      </w:r>
      <w:r w:rsidRPr="00C174D5">
        <w:rPr>
          <w:b/>
          <w:sz w:val="20"/>
          <w:lang w:val="es-ES"/>
        </w:rPr>
        <w:t xml:space="preserve"> </w:t>
      </w:r>
      <w:r>
        <w:rPr>
          <w:b/>
          <w:sz w:val="20"/>
          <w:lang w:val="es-ES"/>
        </w:rPr>
        <w:t xml:space="preserve">SE Villanueva </w:t>
      </w:r>
      <w:r w:rsidRPr="00C174D5">
        <w:rPr>
          <w:b/>
          <w:sz w:val="20"/>
          <w:lang w:val="es-ES"/>
        </w:rPr>
        <w:t>(MW)</w:t>
      </w:r>
      <w:bookmarkEnd w:id="39"/>
    </w:p>
    <w:p w14:paraId="4D192FAE" w14:textId="77777777" w:rsidR="00C92C58" w:rsidRPr="00E73DA6" w:rsidRDefault="00C92C58" w:rsidP="00C92C58">
      <w:pPr>
        <w:spacing w:after="0"/>
        <w:jc w:val="center"/>
        <w:rPr>
          <w:noProof/>
          <w:lang w:val="es-AR" w:eastAsia="es-AR"/>
        </w:rPr>
      </w:pPr>
      <w:r w:rsidRPr="00E73DA6">
        <w:rPr>
          <w:noProof/>
          <w:lang w:val="es-CO" w:eastAsia="es-CO"/>
        </w:rPr>
        <w:drawing>
          <wp:inline distT="0" distB="0" distL="0" distR="0" wp14:anchorId="033A6876" wp14:editId="72C61B21">
            <wp:extent cx="3600000" cy="2537899"/>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00000" cy="2537899"/>
                    </a:xfrm>
                    <a:prstGeom prst="rect">
                      <a:avLst/>
                    </a:prstGeom>
                    <a:noFill/>
                  </pic:spPr>
                </pic:pic>
              </a:graphicData>
            </a:graphic>
          </wp:inline>
        </w:drawing>
      </w:r>
    </w:p>
    <w:p w14:paraId="5A471375" w14:textId="77777777" w:rsidR="00C92C58" w:rsidRPr="00BA436C" w:rsidRDefault="00C92C58" w:rsidP="00C92C58">
      <w:pPr>
        <w:ind w:left="1134" w:right="1134"/>
        <w:jc w:val="center"/>
        <w:rPr>
          <w:sz w:val="18"/>
          <w:lang w:val="es-ES"/>
        </w:rPr>
      </w:pPr>
      <w:r w:rsidRPr="00C174D5">
        <w:rPr>
          <w:sz w:val="18"/>
          <w:lang w:val="es-ES"/>
        </w:rPr>
        <w:t>Fuente: Elaboración propia en base a información</w:t>
      </w:r>
      <w:r>
        <w:rPr>
          <w:sz w:val="18"/>
          <w:lang w:val="es-ES"/>
        </w:rPr>
        <w:t xml:space="preserve"> de ENATREL provista por el BID (archivo </w:t>
      </w:r>
      <w:r w:rsidRPr="00BA436C">
        <w:rPr>
          <w:sz w:val="18"/>
          <w:lang w:val="es-ES"/>
        </w:rPr>
        <w:t>FLUJOS DE ENERGÍA_SE VILLANUEVA_v3_210416.xlsx</w:t>
      </w:r>
      <w:r>
        <w:rPr>
          <w:sz w:val="18"/>
          <w:lang w:val="es-ES"/>
        </w:rPr>
        <w:t>)</w:t>
      </w:r>
    </w:p>
    <w:p w14:paraId="73C242E5" w14:textId="77777777" w:rsidR="00C92C58" w:rsidRPr="00C174D5" w:rsidRDefault="00C92C58" w:rsidP="00C92C58">
      <w:pPr>
        <w:rPr>
          <w:lang w:val="es-ES"/>
        </w:rPr>
      </w:pPr>
      <w:r>
        <w:rPr>
          <w:lang w:val="es-ES"/>
        </w:rPr>
        <w:t xml:space="preserve">También se considera demanda proveniente de proyectos de energización rural en la SE Villanueva (alrededor de 0,5 MW anuales). </w:t>
      </w:r>
    </w:p>
    <w:p w14:paraId="7E8D51C2" w14:textId="77777777" w:rsidR="00C92C58" w:rsidRPr="00C174D5" w:rsidRDefault="00C92C58" w:rsidP="00C92C58">
      <w:pPr>
        <w:pStyle w:val="Heading1"/>
        <w:pageBreakBefore w:val="0"/>
        <w:numPr>
          <w:ilvl w:val="2"/>
          <w:numId w:val="9"/>
        </w:numPr>
        <w:ind w:left="1225" w:hanging="505"/>
        <w:rPr>
          <w:lang w:val="es-ES"/>
        </w:rPr>
      </w:pPr>
      <w:bookmarkStart w:id="40" w:name="_Toc447546929"/>
      <w:bookmarkStart w:id="41" w:name="_Toc456353112"/>
      <w:r w:rsidRPr="00C174D5">
        <w:rPr>
          <w:lang w:val="es-ES"/>
        </w:rPr>
        <w:t>LT El Sauce-Villanueva - Supuestos</w:t>
      </w:r>
      <w:bookmarkEnd w:id="40"/>
      <w:bookmarkEnd w:id="41"/>
    </w:p>
    <w:p w14:paraId="0E868860" w14:textId="77777777" w:rsidR="00C92C58" w:rsidRPr="00C174D5" w:rsidRDefault="00C92C58" w:rsidP="00C92C58">
      <w:pPr>
        <w:rPr>
          <w:lang w:val="es-ES"/>
        </w:rPr>
      </w:pPr>
      <w:r w:rsidRPr="00C174D5">
        <w:rPr>
          <w:lang w:val="es-ES"/>
        </w:rPr>
        <w:t xml:space="preserve">Los supuestos utilizados en la valuación de este proyecto, además de los detallados en la </w:t>
      </w:r>
      <w:r w:rsidRPr="00C174D5">
        <w:rPr>
          <w:lang w:val="es-ES"/>
        </w:rPr>
        <w:fldChar w:fldCharType="begin"/>
      </w:r>
      <w:r w:rsidRPr="00C174D5">
        <w:rPr>
          <w:lang w:val="es-ES"/>
        </w:rPr>
        <w:instrText xml:space="preserve"> REF _Ref450036258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3</w:t>
      </w:r>
      <w:r w:rsidRPr="00C174D5">
        <w:rPr>
          <w:lang w:val="es-ES"/>
        </w:rPr>
        <w:fldChar w:fldCharType="end"/>
      </w:r>
      <w:r w:rsidRPr="00C174D5">
        <w:rPr>
          <w:lang w:val="es-ES"/>
        </w:rPr>
        <w:t xml:space="preserve"> y la </w:t>
      </w:r>
      <w:r w:rsidRPr="00C174D5">
        <w:rPr>
          <w:lang w:val="es-ES"/>
        </w:rPr>
        <w:fldChar w:fldCharType="begin"/>
      </w:r>
      <w:r w:rsidRPr="00C174D5">
        <w:rPr>
          <w:lang w:val="es-ES"/>
        </w:rPr>
        <w:instrText xml:space="preserve"> REF _Ref450036242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4</w:t>
      </w:r>
      <w:r w:rsidRPr="00C174D5">
        <w:rPr>
          <w:lang w:val="es-ES"/>
        </w:rPr>
        <w:fldChar w:fldCharType="end"/>
      </w:r>
      <w:r w:rsidRPr="00C174D5">
        <w:rPr>
          <w:lang w:val="es-ES"/>
        </w:rPr>
        <w:t xml:space="preserve">, son los descriptos en la </w:t>
      </w:r>
      <w:r w:rsidRPr="00C174D5">
        <w:rPr>
          <w:lang w:val="es-ES"/>
        </w:rPr>
        <w:fldChar w:fldCharType="begin"/>
      </w:r>
      <w:r w:rsidRPr="00C174D5">
        <w:rPr>
          <w:lang w:val="es-ES"/>
        </w:rPr>
        <w:instrText xml:space="preserve"> REF _Ref450036157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7</w:t>
      </w:r>
      <w:r w:rsidRPr="00C174D5">
        <w:rPr>
          <w:lang w:val="es-ES"/>
        </w:rPr>
        <w:fldChar w:fldCharType="end"/>
      </w:r>
      <w:r w:rsidRPr="00C174D5">
        <w:rPr>
          <w:lang w:val="es-ES"/>
        </w:rPr>
        <w:t>.</w:t>
      </w:r>
    </w:p>
    <w:p w14:paraId="5A2A78F4" w14:textId="77777777" w:rsidR="00C92C58" w:rsidRPr="00C174D5" w:rsidRDefault="00C92C58" w:rsidP="00C92C58">
      <w:pPr>
        <w:keepNext/>
        <w:keepLines/>
        <w:spacing w:after="120"/>
        <w:jc w:val="center"/>
        <w:rPr>
          <w:b/>
          <w:sz w:val="20"/>
          <w:lang w:val="es-ES"/>
        </w:rPr>
      </w:pPr>
      <w:bookmarkStart w:id="42" w:name="_Ref450036157"/>
      <w:bookmarkStart w:id="43" w:name="_Toc424725849"/>
      <w:bookmarkStart w:id="44" w:name="_Toc447546966"/>
      <w:bookmarkStart w:id="45" w:name="_Toc456353163"/>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7</w:t>
      </w:r>
      <w:r w:rsidRPr="00C174D5">
        <w:rPr>
          <w:b/>
          <w:sz w:val="20"/>
          <w:lang w:val="es-ES"/>
        </w:rPr>
        <w:fldChar w:fldCharType="end"/>
      </w:r>
      <w:bookmarkEnd w:id="42"/>
      <w:r w:rsidRPr="00C174D5">
        <w:rPr>
          <w:b/>
          <w:sz w:val="20"/>
          <w:lang w:val="es-ES"/>
        </w:rPr>
        <w:t xml:space="preserve">: Supuestos de modelización particulares – </w:t>
      </w:r>
      <w:bookmarkEnd w:id="43"/>
      <w:r w:rsidRPr="00C174D5">
        <w:rPr>
          <w:b/>
          <w:sz w:val="20"/>
          <w:lang w:val="es-ES"/>
        </w:rPr>
        <w:t>LT El Sauce – Villanueva</w:t>
      </w:r>
      <w:bookmarkEnd w:id="44"/>
      <w:bookmarkEnd w:id="45"/>
    </w:p>
    <w:tbl>
      <w:tblPr>
        <w:tblW w:w="0" w:type="auto"/>
        <w:jc w:val="center"/>
        <w:tblInd w:w="-7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21"/>
        <w:gridCol w:w="1339"/>
      </w:tblGrid>
      <w:tr w:rsidR="00C92C58" w:rsidRPr="00C174D5" w14:paraId="3A6F74C2" w14:textId="77777777" w:rsidTr="00B15A9A">
        <w:trPr>
          <w:tblHeader/>
          <w:jc w:val="center"/>
        </w:trPr>
        <w:tc>
          <w:tcPr>
            <w:tcW w:w="4921" w:type="dxa"/>
            <w:tcBorders>
              <w:top w:val="single" w:sz="12" w:space="0" w:color="auto"/>
              <w:bottom w:val="single" w:sz="12" w:space="0" w:color="auto"/>
            </w:tcBorders>
            <w:shd w:val="clear" w:color="auto" w:fill="BFBFBF" w:themeFill="background1" w:themeFillShade="BF"/>
            <w:vAlign w:val="center"/>
          </w:tcPr>
          <w:p w14:paraId="2A6F1DAE" w14:textId="77777777" w:rsidR="00C92C58" w:rsidRPr="00C174D5" w:rsidRDefault="00C92C58" w:rsidP="00B15A9A">
            <w:pPr>
              <w:spacing w:after="0" w:line="240" w:lineRule="auto"/>
              <w:rPr>
                <w:b/>
                <w:sz w:val="20"/>
                <w:szCs w:val="20"/>
                <w:lang w:val="es-ES"/>
              </w:rPr>
            </w:pPr>
            <w:r w:rsidRPr="00C174D5">
              <w:rPr>
                <w:b/>
                <w:sz w:val="20"/>
                <w:szCs w:val="20"/>
                <w:lang w:val="es-ES"/>
              </w:rPr>
              <w:t>Parámetros</w:t>
            </w:r>
          </w:p>
        </w:tc>
        <w:tc>
          <w:tcPr>
            <w:tcW w:w="1339" w:type="dxa"/>
            <w:tcBorders>
              <w:top w:val="single" w:sz="12" w:space="0" w:color="auto"/>
              <w:bottom w:val="single" w:sz="12" w:space="0" w:color="auto"/>
            </w:tcBorders>
            <w:shd w:val="clear" w:color="auto" w:fill="BFBFBF" w:themeFill="background1" w:themeFillShade="BF"/>
            <w:vAlign w:val="center"/>
          </w:tcPr>
          <w:p w14:paraId="03D26B6A" w14:textId="77777777" w:rsidR="00C92C58" w:rsidRPr="00C174D5" w:rsidRDefault="00C92C58" w:rsidP="00B15A9A">
            <w:pPr>
              <w:spacing w:after="0" w:line="240" w:lineRule="auto"/>
              <w:rPr>
                <w:b/>
                <w:sz w:val="20"/>
                <w:szCs w:val="20"/>
                <w:lang w:val="es-ES"/>
              </w:rPr>
            </w:pPr>
            <w:r w:rsidRPr="00C174D5">
              <w:rPr>
                <w:b/>
                <w:sz w:val="20"/>
                <w:szCs w:val="20"/>
                <w:lang w:val="es-ES"/>
              </w:rPr>
              <w:t>Valor</w:t>
            </w:r>
          </w:p>
        </w:tc>
      </w:tr>
      <w:tr w:rsidR="00C92C58" w:rsidRPr="00C174D5" w14:paraId="69E6350F" w14:textId="77777777" w:rsidTr="00B15A9A">
        <w:trPr>
          <w:jc w:val="center"/>
        </w:trPr>
        <w:tc>
          <w:tcPr>
            <w:tcW w:w="6260" w:type="dxa"/>
            <w:gridSpan w:val="2"/>
            <w:tcBorders>
              <w:top w:val="single" w:sz="12" w:space="0" w:color="auto"/>
            </w:tcBorders>
            <w:shd w:val="clear" w:color="auto" w:fill="auto"/>
            <w:vAlign w:val="center"/>
          </w:tcPr>
          <w:p w14:paraId="60DF199B" w14:textId="77777777" w:rsidR="00C92C58" w:rsidRPr="00C174D5" w:rsidRDefault="00C92C58" w:rsidP="00B15A9A">
            <w:pPr>
              <w:spacing w:after="0" w:line="240" w:lineRule="auto"/>
              <w:jc w:val="center"/>
              <w:rPr>
                <w:sz w:val="20"/>
                <w:szCs w:val="20"/>
                <w:lang w:val="es-ES"/>
              </w:rPr>
            </w:pPr>
            <w:r w:rsidRPr="00C174D5">
              <w:rPr>
                <w:b/>
                <w:sz w:val="20"/>
                <w:szCs w:val="20"/>
                <w:lang w:val="es-ES"/>
              </w:rPr>
              <w:t>Económicos</w:t>
            </w:r>
          </w:p>
        </w:tc>
      </w:tr>
      <w:tr w:rsidR="00C92C58" w:rsidRPr="00C174D5" w14:paraId="76898994" w14:textId="77777777" w:rsidTr="00B15A9A">
        <w:trPr>
          <w:jc w:val="center"/>
        </w:trPr>
        <w:tc>
          <w:tcPr>
            <w:tcW w:w="4921" w:type="dxa"/>
            <w:shd w:val="clear" w:color="auto" w:fill="auto"/>
            <w:vAlign w:val="center"/>
          </w:tcPr>
          <w:p w14:paraId="3F8E73EA" w14:textId="77777777" w:rsidR="00C92C58" w:rsidRPr="00C174D5" w:rsidRDefault="00C92C58" w:rsidP="00B15A9A">
            <w:pPr>
              <w:spacing w:after="0" w:line="240" w:lineRule="auto"/>
              <w:jc w:val="left"/>
              <w:rPr>
                <w:sz w:val="20"/>
                <w:szCs w:val="20"/>
                <w:lang w:val="es-ES"/>
              </w:rPr>
            </w:pPr>
            <w:r w:rsidRPr="00C174D5">
              <w:rPr>
                <w:sz w:val="20"/>
                <w:szCs w:val="20"/>
                <w:lang w:val="es-ES"/>
              </w:rPr>
              <w:t>Inversión</w:t>
            </w:r>
          </w:p>
        </w:tc>
        <w:tc>
          <w:tcPr>
            <w:tcW w:w="1339" w:type="dxa"/>
            <w:shd w:val="clear" w:color="auto" w:fill="auto"/>
            <w:vAlign w:val="center"/>
          </w:tcPr>
          <w:p w14:paraId="5701AE53" w14:textId="77777777" w:rsidR="00C92C58" w:rsidRPr="00C174D5" w:rsidRDefault="00C92C58" w:rsidP="00B15A9A">
            <w:pPr>
              <w:spacing w:after="0" w:line="240" w:lineRule="auto"/>
              <w:jc w:val="center"/>
              <w:rPr>
                <w:sz w:val="20"/>
                <w:szCs w:val="20"/>
                <w:lang w:val="es-ES"/>
              </w:rPr>
            </w:pPr>
            <w:r w:rsidRPr="00C174D5">
              <w:rPr>
                <w:sz w:val="20"/>
                <w:szCs w:val="20"/>
                <w:lang w:val="es-ES"/>
              </w:rPr>
              <w:t>16.148.453</w:t>
            </w:r>
            <w:r w:rsidRPr="00C174D5">
              <w:rPr>
                <w:rStyle w:val="FootnoteReference"/>
                <w:sz w:val="20"/>
                <w:szCs w:val="20"/>
                <w:lang w:val="es-ES"/>
              </w:rPr>
              <w:footnoteReference w:id="19"/>
            </w:r>
          </w:p>
        </w:tc>
      </w:tr>
      <w:tr w:rsidR="00C92C58" w:rsidRPr="00C174D5" w14:paraId="1F5D4584" w14:textId="77777777" w:rsidTr="00B15A9A">
        <w:trPr>
          <w:jc w:val="center"/>
        </w:trPr>
        <w:tc>
          <w:tcPr>
            <w:tcW w:w="4921" w:type="dxa"/>
            <w:shd w:val="clear" w:color="auto" w:fill="auto"/>
            <w:vAlign w:val="center"/>
          </w:tcPr>
          <w:p w14:paraId="156FF465" w14:textId="77777777" w:rsidR="00C92C58" w:rsidRPr="00C174D5" w:rsidRDefault="00C92C58" w:rsidP="00B15A9A">
            <w:pPr>
              <w:spacing w:after="0" w:line="240" w:lineRule="auto"/>
              <w:jc w:val="left"/>
              <w:rPr>
                <w:sz w:val="20"/>
                <w:szCs w:val="20"/>
                <w:lang w:val="es-ES"/>
              </w:rPr>
            </w:pPr>
            <w:r w:rsidRPr="00C174D5">
              <w:rPr>
                <w:rFonts w:eastAsia="Times New Roman" w:cs="Times New Roman"/>
                <w:sz w:val="20"/>
                <w:szCs w:val="20"/>
                <w:lang w:val="es-ES" w:eastAsia="es-AR"/>
              </w:rPr>
              <w:t>O&amp;M mantenimiento sin proyecto (% inversión)</w:t>
            </w:r>
          </w:p>
        </w:tc>
        <w:tc>
          <w:tcPr>
            <w:tcW w:w="1339" w:type="dxa"/>
            <w:shd w:val="clear" w:color="auto" w:fill="auto"/>
            <w:vAlign w:val="center"/>
          </w:tcPr>
          <w:p w14:paraId="02FF8350" w14:textId="77777777" w:rsidR="00C92C58" w:rsidRPr="00C174D5" w:rsidRDefault="00C92C58" w:rsidP="00B15A9A">
            <w:pPr>
              <w:spacing w:after="0" w:line="240" w:lineRule="auto"/>
              <w:jc w:val="center"/>
              <w:rPr>
                <w:sz w:val="20"/>
                <w:szCs w:val="20"/>
                <w:lang w:val="es-ES"/>
              </w:rPr>
            </w:pPr>
            <w:r w:rsidRPr="00C174D5">
              <w:rPr>
                <w:sz w:val="20"/>
                <w:szCs w:val="20"/>
                <w:lang w:val="es-ES"/>
              </w:rPr>
              <w:t>10%</w:t>
            </w:r>
          </w:p>
        </w:tc>
      </w:tr>
      <w:tr w:rsidR="00C92C58" w:rsidRPr="00C174D5" w14:paraId="446B862E" w14:textId="77777777" w:rsidTr="00B15A9A">
        <w:trPr>
          <w:jc w:val="center"/>
        </w:trPr>
        <w:tc>
          <w:tcPr>
            <w:tcW w:w="6260" w:type="dxa"/>
            <w:gridSpan w:val="2"/>
            <w:shd w:val="clear" w:color="auto" w:fill="auto"/>
            <w:vAlign w:val="center"/>
          </w:tcPr>
          <w:p w14:paraId="5840AE4C" w14:textId="77777777" w:rsidR="00C92C58" w:rsidRPr="00C174D5" w:rsidRDefault="00C92C58" w:rsidP="00B15A9A">
            <w:pPr>
              <w:spacing w:after="0" w:line="240" w:lineRule="auto"/>
              <w:jc w:val="center"/>
              <w:rPr>
                <w:sz w:val="20"/>
                <w:szCs w:val="20"/>
                <w:lang w:val="es-ES"/>
              </w:rPr>
            </w:pPr>
            <w:r w:rsidRPr="00C174D5">
              <w:rPr>
                <w:b/>
                <w:sz w:val="20"/>
                <w:szCs w:val="20"/>
                <w:lang w:val="es-ES"/>
              </w:rPr>
              <w:t>De mercado</w:t>
            </w:r>
          </w:p>
        </w:tc>
      </w:tr>
      <w:tr w:rsidR="00C92C58" w:rsidRPr="00C174D5" w14:paraId="62C7A79C" w14:textId="77777777" w:rsidTr="00B15A9A">
        <w:trPr>
          <w:jc w:val="center"/>
        </w:trPr>
        <w:tc>
          <w:tcPr>
            <w:tcW w:w="4921" w:type="dxa"/>
            <w:shd w:val="clear" w:color="auto" w:fill="auto"/>
            <w:vAlign w:val="bottom"/>
          </w:tcPr>
          <w:p w14:paraId="6C07741E" w14:textId="77777777" w:rsidR="00C92C58" w:rsidRPr="00C174D5" w:rsidRDefault="00C92C58" w:rsidP="00B15A9A">
            <w:pPr>
              <w:spacing w:after="0" w:line="240" w:lineRule="auto"/>
              <w:jc w:val="left"/>
              <w:rPr>
                <w:sz w:val="20"/>
                <w:szCs w:val="20"/>
                <w:lang w:val="es-ES"/>
              </w:rPr>
            </w:pPr>
            <w:r w:rsidRPr="00C174D5">
              <w:rPr>
                <w:sz w:val="20"/>
                <w:szCs w:val="20"/>
                <w:lang w:val="es-ES"/>
              </w:rPr>
              <w:t>Nuevos clientes rurales (PER)</w:t>
            </w:r>
          </w:p>
        </w:tc>
        <w:tc>
          <w:tcPr>
            <w:tcW w:w="1339" w:type="dxa"/>
            <w:shd w:val="clear" w:color="auto" w:fill="auto"/>
            <w:vAlign w:val="center"/>
          </w:tcPr>
          <w:p w14:paraId="74FE81D4" w14:textId="77777777" w:rsidR="00C92C58" w:rsidRPr="00C174D5" w:rsidRDefault="00C92C58" w:rsidP="00B15A9A">
            <w:pPr>
              <w:spacing w:after="0" w:line="240" w:lineRule="auto"/>
              <w:jc w:val="center"/>
              <w:rPr>
                <w:sz w:val="20"/>
                <w:szCs w:val="20"/>
                <w:lang w:val="es-ES"/>
              </w:rPr>
            </w:pPr>
            <w:r w:rsidRPr="00C174D5">
              <w:rPr>
                <w:sz w:val="20"/>
                <w:szCs w:val="20"/>
                <w:lang w:val="es-ES"/>
              </w:rPr>
              <w:t>1.440</w:t>
            </w:r>
          </w:p>
        </w:tc>
      </w:tr>
      <w:tr w:rsidR="00C92C58" w:rsidRPr="00C174D5" w14:paraId="6AB41F2E" w14:textId="77777777" w:rsidTr="00B15A9A">
        <w:trPr>
          <w:trHeight w:val="222"/>
          <w:jc w:val="center"/>
        </w:trPr>
        <w:tc>
          <w:tcPr>
            <w:tcW w:w="4921" w:type="dxa"/>
            <w:shd w:val="clear" w:color="auto" w:fill="auto"/>
            <w:vAlign w:val="bottom"/>
          </w:tcPr>
          <w:p w14:paraId="207606C8" w14:textId="77777777" w:rsidR="00C92C58" w:rsidRPr="00C174D5" w:rsidRDefault="00C92C58" w:rsidP="00B15A9A">
            <w:pPr>
              <w:spacing w:after="0" w:line="240" w:lineRule="auto"/>
              <w:jc w:val="left"/>
              <w:rPr>
                <w:sz w:val="20"/>
                <w:szCs w:val="20"/>
                <w:lang w:val="es-ES"/>
              </w:rPr>
            </w:pPr>
            <w:r w:rsidRPr="00C174D5">
              <w:rPr>
                <w:sz w:val="20"/>
                <w:szCs w:val="20"/>
                <w:lang w:val="es-ES"/>
              </w:rPr>
              <w:t>Clientes existentes</w:t>
            </w:r>
          </w:p>
        </w:tc>
        <w:tc>
          <w:tcPr>
            <w:tcW w:w="1339" w:type="dxa"/>
            <w:shd w:val="clear" w:color="auto" w:fill="auto"/>
            <w:vAlign w:val="center"/>
          </w:tcPr>
          <w:p w14:paraId="6AEEEAD7" w14:textId="77777777" w:rsidR="00C92C58" w:rsidRPr="00C174D5" w:rsidRDefault="00C92C58" w:rsidP="00B15A9A">
            <w:pPr>
              <w:spacing w:after="0" w:line="240" w:lineRule="auto"/>
              <w:jc w:val="center"/>
              <w:rPr>
                <w:sz w:val="20"/>
                <w:szCs w:val="20"/>
                <w:lang w:val="es-ES"/>
              </w:rPr>
            </w:pPr>
            <w:r w:rsidRPr="00C174D5">
              <w:rPr>
                <w:sz w:val="20"/>
                <w:szCs w:val="20"/>
                <w:lang w:val="es-ES"/>
              </w:rPr>
              <w:t>25.294</w:t>
            </w:r>
          </w:p>
        </w:tc>
      </w:tr>
      <w:tr w:rsidR="00C92C58" w:rsidRPr="00C174D5" w14:paraId="40BA17A2" w14:textId="77777777" w:rsidTr="00B15A9A">
        <w:trPr>
          <w:trHeight w:val="222"/>
          <w:jc w:val="center"/>
        </w:trPr>
        <w:tc>
          <w:tcPr>
            <w:tcW w:w="4921" w:type="dxa"/>
            <w:shd w:val="clear" w:color="auto" w:fill="auto"/>
            <w:vAlign w:val="bottom"/>
          </w:tcPr>
          <w:p w14:paraId="1B1D2944" w14:textId="77777777" w:rsidR="00C92C58" w:rsidRPr="00C174D5" w:rsidRDefault="00C92C58" w:rsidP="00B15A9A">
            <w:pPr>
              <w:spacing w:after="0" w:line="240" w:lineRule="auto"/>
              <w:jc w:val="left"/>
              <w:rPr>
                <w:sz w:val="20"/>
                <w:szCs w:val="20"/>
                <w:lang w:val="es-ES"/>
              </w:rPr>
            </w:pPr>
            <w:r w:rsidRPr="00C174D5">
              <w:rPr>
                <w:sz w:val="20"/>
                <w:szCs w:val="20"/>
                <w:lang w:val="es-ES"/>
              </w:rPr>
              <w:t>Tasa crecimiento anual potencia rural</w:t>
            </w:r>
          </w:p>
        </w:tc>
        <w:tc>
          <w:tcPr>
            <w:tcW w:w="1339" w:type="dxa"/>
            <w:shd w:val="clear" w:color="auto" w:fill="auto"/>
            <w:vAlign w:val="center"/>
          </w:tcPr>
          <w:p w14:paraId="48C4CB5A" w14:textId="77777777" w:rsidR="00C92C58" w:rsidRPr="00C174D5" w:rsidRDefault="00C92C58" w:rsidP="00B15A9A">
            <w:pPr>
              <w:spacing w:after="0" w:line="240" w:lineRule="auto"/>
              <w:jc w:val="center"/>
              <w:rPr>
                <w:sz w:val="20"/>
                <w:szCs w:val="20"/>
                <w:lang w:val="es-ES"/>
              </w:rPr>
            </w:pPr>
            <w:r w:rsidRPr="00C174D5">
              <w:rPr>
                <w:sz w:val="20"/>
                <w:szCs w:val="20"/>
                <w:lang w:val="es-ES"/>
              </w:rPr>
              <w:t>1,40%</w:t>
            </w:r>
          </w:p>
        </w:tc>
      </w:tr>
      <w:tr w:rsidR="00C92C58" w:rsidRPr="00E67BF2" w14:paraId="02E674F5" w14:textId="77777777" w:rsidTr="00B15A9A">
        <w:trPr>
          <w:trHeight w:val="222"/>
          <w:jc w:val="center"/>
        </w:trPr>
        <w:tc>
          <w:tcPr>
            <w:tcW w:w="4921" w:type="dxa"/>
            <w:shd w:val="clear" w:color="auto" w:fill="auto"/>
            <w:vAlign w:val="center"/>
          </w:tcPr>
          <w:p w14:paraId="3E2976D2" w14:textId="77777777" w:rsidR="00C92C58" w:rsidRPr="00C174D5" w:rsidRDefault="00C92C58" w:rsidP="00B15A9A">
            <w:pPr>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Participación en ventas de BT %</w:t>
            </w:r>
          </w:p>
        </w:tc>
        <w:tc>
          <w:tcPr>
            <w:tcW w:w="1339" w:type="dxa"/>
            <w:shd w:val="clear" w:color="auto" w:fill="auto"/>
            <w:vAlign w:val="bottom"/>
          </w:tcPr>
          <w:p w14:paraId="57C02F61" w14:textId="77777777" w:rsidR="00C92C58" w:rsidRPr="00C174D5" w:rsidRDefault="00C92C58" w:rsidP="00B15A9A">
            <w:pPr>
              <w:spacing w:after="0" w:line="240" w:lineRule="auto"/>
              <w:jc w:val="center"/>
              <w:rPr>
                <w:rFonts w:eastAsia="Times New Roman" w:cs="Times New Roman"/>
                <w:sz w:val="20"/>
                <w:szCs w:val="20"/>
                <w:lang w:val="es-ES" w:eastAsia="es-AR"/>
              </w:rPr>
            </w:pPr>
          </w:p>
        </w:tc>
      </w:tr>
      <w:tr w:rsidR="00C92C58" w:rsidRPr="00C174D5" w14:paraId="01F08DF5" w14:textId="77777777" w:rsidTr="00B15A9A">
        <w:trPr>
          <w:trHeight w:val="222"/>
          <w:jc w:val="center"/>
        </w:trPr>
        <w:tc>
          <w:tcPr>
            <w:tcW w:w="4921" w:type="dxa"/>
            <w:shd w:val="clear" w:color="auto" w:fill="auto"/>
            <w:vAlign w:val="bottom"/>
          </w:tcPr>
          <w:p w14:paraId="5E2190E0" w14:textId="77777777" w:rsidR="00C92C58" w:rsidRPr="00C174D5" w:rsidRDefault="00C92C58" w:rsidP="00B15A9A">
            <w:pPr>
              <w:spacing w:after="0" w:line="240" w:lineRule="auto"/>
              <w:jc w:val="right"/>
              <w:rPr>
                <w:rFonts w:eastAsia="Times New Roman" w:cs="Times New Roman"/>
                <w:sz w:val="20"/>
                <w:szCs w:val="20"/>
                <w:lang w:val="es-ES" w:eastAsia="es-AR"/>
              </w:rPr>
            </w:pPr>
            <w:r w:rsidRPr="00C174D5">
              <w:rPr>
                <w:rFonts w:eastAsia="Times New Roman" w:cs="Times New Roman"/>
                <w:sz w:val="20"/>
                <w:szCs w:val="20"/>
                <w:lang w:val="es-ES" w:eastAsia="es-AR"/>
              </w:rPr>
              <w:t>Residencial</w:t>
            </w:r>
          </w:p>
        </w:tc>
        <w:tc>
          <w:tcPr>
            <w:tcW w:w="1339" w:type="dxa"/>
            <w:shd w:val="clear" w:color="auto" w:fill="auto"/>
            <w:vAlign w:val="center"/>
          </w:tcPr>
          <w:p w14:paraId="48BFD238" w14:textId="77777777" w:rsidR="00C92C58" w:rsidRPr="00C174D5" w:rsidRDefault="00C92C58" w:rsidP="00B15A9A">
            <w:pPr>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94</w:t>
            </w:r>
            <w:r>
              <w:rPr>
                <w:rFonts w:eastAsia="Times New Roman" w:cs="Times New Roman"/>
                <w:sz w:val="20"/>
                <w:szCs w:val="20"/>
                <w:lang w:val="es-ES" w:eastAsia="es-AR"/>
              </w:rPr>
              <w:t>,</w:t>
            </w:r>
            <w:r w:rsidRPr="00C174D5">
              <w:rPr>
                <w:rFonts w:eastAsia="Times New Roman" w:cs="Times New Roman"/>
                <w:sz w:val="20"/>
                <w:szCs w:val="20"/>
                <w:lang w:val="es-ES" w:eastAsia="es-AR"/>
              </w:rPr>
              <w:t>10%</w:t>
            </w:r>
          </w:p>
        </w:tc>
      </w:tr>
      <w:tr w:rsidR="00C92C58" w:rsidRPr="00C174D5" w14:paraId="3AF5D321" w14:textId="77777777" w:rsidTr="00B15A9A">
        <w:trPr>
          <w:trHeight w:val="222"/>
          <w:jc w:val="center"/>
        </w:trPr>
        <w:tc>
          <w:tcPr>
            <w:tcW w:w="4921" w:type="dxa"/>
            <w:shd w:val="clear" w:color="auto" w:fill="auto"/>
            <w:vAlign w:val="center"/>
          </w:tcPr>
          <w:p w14:paraId="04829ACB" w14:textId="77777777" w:rsidR="00C92C58" w:rsidRPr="00C174D5" w:rsidRDefault="00C92C58" w:rsidP="00B15A9A">
            <w:pPr>
              <w:spacing w:after="0" w:line="240" w:lineRule="auto"/>
              <w:jc w:val="right"/>
              <w:rPr>
                <w:rFonts w:eastAsia="Times New Roman" w:cs="Times New Roman"/>
                <w:sz w:val="20"/>
                <w:szCs w:val="20"/>
                <w:lang w:val="es-ES" w:eastAsia="es-AR"/>
              </w:rPr>
            </w:pPr>
            <w:r w:rsidRPr="00C174D5">
              <w:rPr>
                <w:rFonts w:eastAsia="Times New Roman" w:cs="Times New Roman"/>
                <w:sz w:val="20"/>
                <w:szCs w:val="20"/>
                <w:lang w:val="es-ES" w:eastAsia="es-AR"/>
              </w:rPr>
              <w:t>Comercial</w:t>
            </w:r>
          </w:p>
        </w:tc>
        <w:tc>
          <w:tcPr>
            <w:tcW w:w="1339" w:type="dxa"/>
            <w:shd w:val="clear" w:color="auto" w:fill="auto"/>
            <w:vAlign w:val="center"/>
          </w:tcPr>
          <w:p w14:paraId="2179065D" w14:textId="77777777" w:rsidR="00C92C58" w:rsidRPr="00C174D5" w:rsidRDefault="00C92C58" w:rsidP="00B15A9A">
            <w:pPr>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3</w:t>
            </w:r>
            <w:r>
              <w:rPr>
                <w:rFonts w:eastAsia="Times New Roman" w:cs="Times New Roman"/>
                <w:sz w:val="20"/>
                <w:szCs w:val="20"/>
                <w:lang w:val="es-ES" w:eastAsia="es-AR"/>
              </w:rPr>
              <w:t>,</w:t>
            </w:r>
            <w:r w:rsidRPr="00C174D5">
              <w:rPr>
                <w:rFonts w:eastAsia="Times New Roman" w:cs="Times New Roman"/>
                <w:sz w:val="20"/>
                <w:szCs w:val="20"/>
                <w:lang w:val="es-ES" w:eastAsia="es-AR"/>
              </w:rPr>
              <w:t>50%</w:t>
            </w:r>
          </w:p>
        </w:tc>
      </w:tr>
      <w:tr w:rsidR="00C92C58" w:rsidRPr="00C174D5" w14:paraId="7C41861B" w14:textId="77777777" w:rsidTr="00B15A9A">
        <w:trPr>
          <w:trHeight w:val="222"/>
          <w:jc w:val="center"/>
        </w:trPr>
        <w:tc>
          <w:tcPr>
            <w:tcW w:w="4921" w:type="dxa"/>
            <w:shd w:val="clear" w:color="auto" w:fill="auto"/>
            <w:vAlign w:val="center"/>
          </w:tcPr>
          <w:p w14:paraId="03B177C7" w14:textId="77777777" w:rsidR="00C92C58" w:rsidRPr="00C174D5" w:rsidRDefault="00C92C58" w:rsidP="00B15A9A">
            <w:pPr>
              <w:spacing w:after="0" w:line="240" w:lineRule="auto"/>
              <w:jc w:val="right"/>
              <w:rPr>
                <w:rFonts w:eastAsia="Times New Roman" w:cs="Times New Roman"/>
                <w:sz w:val="20"/>
                <w:szCs w:val="20"/>
                <w:lang w:val="es-ES" w:eastAsia="es-AR"/>
              </w:rPr>
            </w:pPr>
            <w:r w:rsidRPr="00C174D5">
              <w:rPr>
                <w:rFonts w:eastAsia="Times New Roman" w:cs="Times New Roman"/>
                <w:sz w:val="20"/>
                <w:szCs w:val="20"/>
                <w:lang w:val="es-ES" w:eastAsia="es-AR"/>
              </w:rPr>
              <w:t>Otros</w:t>
            </w:r>
          </w:p>
        </w:tc>
        <w:tc>
          <w:tcPr>
            <w:tcW w:w="1339" w:type="dxa"/>
            <w:shd w:val="clear" w:color="auto" w:fill="auto"/>
            <w:vAlign w:val="center"/>
          </w:tcPr>
          <w:p w14:paraId="4A4CB827" w14:textId="77777777" w:rsidR="00C92C58" w:rsidRPr="00C174D5" w:rsidRDefault="00C92C58" w:rsidP="00B15A9A">
            <w:pPr>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2</w:t>
            </w:r>
            <w:r>
              <w:rPr>
                <w:rFonts w:eastAsia="Times New Roman" w:cs="Times New Roman"/>
                <w:sz w:val="20"/>
                <w:szCs w:val="20"/>
                <w:lang w:val="es-ES" w:eastAsia="es-AR"/>
              </w:rPr>
              <w:t>,</w:t>
            </w:r>
            <w:r w:rsidRPr="00C174D5">
              <w:rPr>
                <w:rFonts w:eastAsia="Times New Roman" w:cs="Times New Roman"/>
                <w:sz w:val="20"/>
                <w:szCs w:val="20"/>
                <w:lang w:val="es-ES" w:eastAsia="es-AR"/>
              </w:rPr>
              <w:t>40%</w:t>
            </w:r>
          </w:p>
        </w:tc>
      </w:tr>
      <w:tr w:rsidR="00C92C58" w:rsidRPr="00C174D5" w14:paraId="236C332C" w14:textId="77777777" w:rsidTr="00B15A9A">
        <w:trPr>
          <w:trHeight w:val="222"/>
          <w:jc w:val="center"/>
        </w:trPr>
        <w:tc>
          <w:tcPr>
            <w:tcW w:w="4921" w:type="dxa"/>
            <w:shd w:val="clear" w:color="auto" w:fill="auto"/>
            <w:vAlign w:val="bottom"/>
          </w:tcPr>
          <w:p w14:paraId="78C2C71F" w14:textId="77777777" w:rsidR="00C92C58" w:rsidRPr="00C03193" w:rsidRDefault="00C92C58" w:rsidP="00B15A9A">
            <w:pPr>
              <w:spacing w:after="0" w:line="240" w:lineRule="auto"/>
              <w:jc w:val="left"/>
              <w:rPr>
                <w:sz w:val="20"/>
                <w:szCs w:val="20"/>
                <w:lang w:val="pt-BR"/>
              </w:rPr>
            </w:pPr>
            <w:proofErr w:type="spellStart"/>
            <w:r w:rsidRPr="00C03193">
              <w:rPr>
                <w:sz w:val="20"/>
                <w:szCs w:val="20"/>
                <w:lang w:val="pt-BR"/>
              </w:rPr>
              <w:t>Factor</w:t>
            </w:r>
            <w:proofErr w:type="spellEnd"/>
            <w:r w:rsidRPr="00C03193">
              <w:rPr>
                <w:sz w:val="20"/>
                <w:szCs w:val="20"/>
                <w:lang w:val="pt-BR"/>
              </w:rPr>
              <w:t xml:space="preserve"> de carga </w:t>
            </w:r>
            <w:proofErr w:type="spellStart"/>
            <w:r w:rsidRPr="00C03193">
              <w:rPr>
                <w:sz w:val="20"/>
                <w:szCs w:val="20"/>
                <w:lang w:val="pt-BR"/>
              </w:rPr>
              <w:t>promedio</w:t>
            </w:r>
            <w:proofErr w:type="spellEnd"/>
            <w:r w:rsidRPr="00C03193">
              <w:rPr>
                <w:sz w:val="20"/>
                <w:szCs w:val="20"/>
                <w:lang w:val="pt-BR"/>
              </w:rPr>
              <w:t xml:space="preserve"> anual Rural (PER)</w:t>
            </w:r>
          </w:p>
        </w:tc>
        <w:tc>
          <w:tcPr>
            <w:tcW w:w="1339" w:type="dxa"/>
            <w:shd w:val="clear" w:color="auto" w:fill="auto"/>
            <w:vAlign w:val="center"/>
          </w:tcPr>
          <w:p w14:paraId="635DE021" w14:textId="77777777" w:rsidR="00C92C58" w:rsidRPr="00C174D5" w:rsidRDefault="00C92C58" w:rsidP="00B15A9A">
            <w:pPr>
              <w:spacing w:after="0" w:line="240" w:lineRule="auto"/>
              <w:jc w:val="center"/>
              <w:rPr>
                <w:sz w:val="20"/>
                <w:szCs w:val="20"/>
                <w:lang w:val="es-ES"/>
              </w:rPr>
            </w:pPr>
            <w:r w:rsidRPr="00C174D5">
              <w:rPr>
                <w:sz w:val="20"/>
                <w:szCs w:val="20"/>
                <w:lang w:val="es-ES"/>
              </w:rPr>
              <w:t>24,00%</w:t>
            </w:r>
          </w:p>
        </w:tc>
      </w:tr>
      <w:tr w:rsidR="00C92C58" w:rsidRPr="00C174D5" w14:paraId="5C7A6A9C" w14:textId="77777777" w:rsidTr="00B15A9A">
        <w:trPr>
          <w:trHeight w:val="222"/>
          <w:jc w:val="center"/>
        </w:trPr>
        <w:tc>
          <w:tcPr>
            <w:tcW w:w="4921" w:type="dxa"/>
            <w:shd w:val="clear" w:color="auto" w:fill="auto"/>
            <w:vAlign w:val="bottom"/>
          </w:tcPr>
          <w:p w14:paraId="08F3E904" w14:textId="77777777" w:rsidR="00C92C58" w:rsidRPr="00C174D5" w:rsidRDefault="00C92C58" w:rsidP="00B15A9A">
            <w:pPr>
              <w:spacing w:after="0" w:line="240" w:lineRule="auto"/>
              <w:jc w:val="left"/>
              <w:rPr>
                <w:sz w:val="20"/>
                <w:szCs w:val="20"/>
                <w:lang w:val="es-ES"/>
              </w:rPr>
            </w:pPr>
            <w:r w:rsidRPr="00C174D5">
              <w:rPr>
                <w:sz w:val="20"/>
                <w:szCs w:val="20"/>
                <w:lang w:val="es-ES"/>
              </w:rPr>
              <w:t>Factor de carga promedio anual Existente promedio</w:t>
            </w:r>
          </w:p>
        </w:tc>
        <w:tc>
          <w:tcPr>
            <w:tcW w:w="1339" w:type="dxa"/>
            <w:shd w:val="clear" w:color="auto" w:fill="auto"/>
            <w:vAlign w:val="center"/>
          </w:tcPr>
          <w:p w14:paraId="103F039D" w14:textId="77777777" w:rsidR="00C92C58" w:rsidRPr="00C174D5" w:rsidRDefault="00C92C58" w:rsidP="00B15A9A">
            <w:pPr>
              <w:spacing w:after="0" w:line="240" w:lineRule="auto"/>
              <w:jc w:val="center"/>
              <w:rPr>
                <w:sz w:val="20"/>
                <w:szCs w:val="20"/>
                <w:lang w:val="es-ES"/>
              </w:rPr>
            </w:pPr>
            <w:r w:rsidRPr="00C174D5">
              <w:rPr>
                <w:sz w:val="20"/>
                <w:szCs w:val="20"/>
                <w:lang w:val="es-ES"/>
              </w:rPr>
              <w:t>60,77%</w:t>
            </w:r>
          </w:p>
        </w:tc>
      </w:tr>
      <w:tr w:rsidR="00C92C58" w:rsidRPr="00C174D5" w14:paraId="58151F16" w14:textId="77777777" w:rsidTr="00B15A9A">
        <w:trPr>
          <w:trHeight w:val="222"/>
          <w:jc w:val="center"/>
        </w:trPr>
        <w:tc>
          <w:tcPr>
            <w:tcW w:w="4921" w:type="dxa"/>
            <w:shd w:val="clear" w:color="auto" w:fill="auto"/>
            <w:vAlign w:val="bottom"/>
          </w:tcPr>
          <w:p w14:paraId="5F58D4F0" w14:textId="77777777" w:rsidR="00C92C58" w:rsidRPr="00C174D5" w:rsidRDefault="00C92C58" w:rsidP="00B15A9A">
            <w:pPr>
              <w:spacing w:after="0" w:line="240" w:lineRule="auto"/>
              <w:jc w:val="right"/>
              <w:rPr>
                <w:sz w:val="20"/>
                <w:szCs w:val="20"/>
                <w:lang w:val="es-ES"/>
              </w:rPr>
            </w:pPr>
            <w:r w:rsidRPr="00C174D5">
              <w:rPr>
                <w:color w:val="000000"/>
                <w:sz w:val="20"/>
                <w:szCs w:val="20"/>
                <w:lang w:val="es-ES"/>
              </w:rPr>
              <w:t>Villanueva</w:t>
            </w:r>
          </w:p>
        </w:tc>
        <w:tc>
          <w:tcPr>
            <w:tcW w:w="1339" w:type="dxa"/>
            <w:shd w:val="clear" w:color="auto" w:fill="auto"/>
            <w:vAlign w:val="center"/>
          </w:tcPr>
          <w:p w14:paraId="6DEDD519" w14:textId="77777777" w:rsidR="00C92C58" w:rsidRPr="00C174D5" w:rsidRDefault="00C92C58" w:rsidP="00B15A9A">
            <w:pPr>
              <w:spacing w:after="0" w:line="240" w:lineRule="auto"/>
              <w:jc w:val="center"/>
              <w:rPr>
                <w:sz w:val="20"/>
                <w:szCs w:val="20"/>
                <w:lang w:val="es-ES"/>
              </w:rPr>
            </w:pPr>
            <w:r w:rsidRPr="00C174D5">
              <w:rPr>
                <w:sz w:val="20"/>
                <w:szCs w:val="20"/>
                <w:lang w:val="es-ES"/>
              </w:rPr>
              <w:t>53,68%</w:t>
            </w:r>
          </w:p>
        </w:tc>
      </w:tr>
      <w:tr w:rsidR="00C92C58" w:rsidRPr="00C174D5" w14:paraId="517C4BAC" w14:textId="77777777" w:rsidTr="00B15A9A">
        <w:trPr>
          <w:trHeight w:val="222"/>
          <w:jc w:val="center"/>
        </w:trPr>
        <w:tc>
          <w:tcPr>
            <w:tcW w:w="4921" w:type="dxa"/>
            <w:shd w:val="clear" w:color="auto" w:fill="auto"/>
            <w:vAlign w:val="bottom"/>
          </w:tcPr>
          <w:p w14:paraId="3D566456" w14:textId="77777777" w:rsidR="00C92C58" w:rsidRPr="00C174D5" w:rsidRDefault="00C92C58" w:rsidP="00B15A9A">
            <w:pPr>
              <w:spacing w:after="0" w:line="240" w:lineRule="auto"/>
              <w:jc w:val="right"/>
              <w:rPr>
                <w:sz w:val="20"/>
                <w:szCs w:val="20"/>
                <w:lang w:val="es-ES"/>
              </w:rPr>
            </w:pPr>
            <w:r w:rsidRPr="00C174D5">
              <w:rPr>
                <w:color w:val="000000"/>
                <w:sz w:val="20"/>
                <w:szCs w:val="20"/>
                <w:lang w:val="es-ES"/>
              </w:rPr>
              <w:lastRenderedPageBreak/>
              <w:t>Tritón Minera</w:t>
            </w:r>
          </w:p>
        </w:tc>
        <w:tc>
          <w:tcPr>
            <w:tcW w:w="1339" w:type="dxa"/>
            <w:shd w:val="clear" w:color="auto" w:fill="auto"/>
            <w:vAlign w:val="center"/>
          </w:tcPr>
          <w:p w14:paraId="36540CD0" w14:textId="77777777" w:rsidR="00C92C58" w:rsidRPr="00C174D5" w:rsidRDefault="00C92C58" w:rsidP="00B15A9A">
            <w:pPr>
              <w:spacing w:after="0" w:line="240" w:lineRule="auto"/>
              <w:jc w:val="center"/>
              <w:rPr>
                <w:sz w:val="20"/>
                <w:szCs w:val="20"/>
                <w:lang w:val="es-ES"/>
              </w:rPr>
            </w:pPr>
            <w:r w:rsidRPr="00C174D5">
              <w:rPr>
                <w:sz w:val="20"/>
                <w:szCs w:val="20"/>
                <w:lang w:val="es-ES"/>
              </w:rPr>
              <w:t>85,50%</w:t>
            </w:r>
          </w:p>
        </w:tc>
      </w:tr>
      <w:tr w:rsidR="00C92C58" w:rsidRPr="00C174D5" w14:paraId="7925BFCE" w14:textId="77777777" w:rsidTr="00B15A9A">
        <w:trPr>
          <w:trHeight w:val="222"/>
          <w:jc w:val="center"/>
        </w:trPr>
        <w:tc>
          <w:tcPr>
            <w:tcW w:w="4921" w:type="dxa"/>
            <w:shd w:val="clear" w:color="auto" w:fill="auto"/>
            <w:vAlign w:val="bottom"/>
          </w:tcPr>
          <w:p w14:paraId="286FE399" w14:textId="77777777" w:rsidR="00C92C58" w:rsidRPr="00C174D5" w:rsidRDefault="00C92C58" w:rsidP="00B15A9A">
            <w:pPr>
              <w:spacing w:after="0" w:line="240" w:lineRule="auto"/>
              <w:jc w:val="right"/>
              <w:rPr>
                <w:sz w:val="20"/>
                <w:szCs w:val="20"/>
                <w:lang w:val="es-ES"/>
              </w:rPr>
            </w:pPr>
            <w:r w:rsidRPr="00C174D5">
              <w:rPr>
                <w:color w:val="000000"/>
                <w:sz w:val="20"/>
                <w:szCs w:val="20"/>
                <w:lang w:val="es-ES"/>
              </w:rPr>
              <w:t>Mina Limón</w:t>
            </w:r>
          </w:p>
        </w:tc>
        <w:tc>
          <w:tcPr>
            <w:tcW w:w="1339" w:type="dxa"/>
            <w:shd w:val="clear" w:color="auto" w:fill="auto"/>
            <w:vAlign w:val="center"/>
          </w:tcPr>
          <w:p w14:paraId="677B1D73" w14:textId="77777777" w:rsidR="00C92C58" w:rsidRPr="00C174D5" w:rsidRDefault="00C92C58" w:rsidP="00B15A9A">
            <w:pPr>
              <w:spacing w:after="0" w:line="240" w:lineRule="auto"/>
              <w:jc w:val="center"/>
              <w:rPr>
                <w:sz w:val="20"/>
                <w:szCs w:val="20"/>
                <w:lang w:val="es-ES"/>
              </w:rPr>
            </w:pPr>
            <w:r w:rsidRPr="00C174D5">
              <w:rPr>
                <w:sz w:val="20"/>
                <w:szCs w:val="20"/>
                <w:lang w:val="es-ES"/>
              </w:rPr>
              <w:t>43,12%</w:t>
            </w:r>
          </w:p>
        </w:tc>
      </w:tr>
    </w:tbl>
    <w:p w14:paraId="383C4BC8" w14:textId="77777777" w:rsidR="00C92C58" w:rsidRPr="00C174D5" w:rsidRDefault="00C92C58" w:rsidP="00C92C58">
      <w:pPr>
        <w:ind w:left="1560" w:right="1559"/>
        <w:jc w:val="center"/>
        <w:rPr>
          <w:sz w:val="18"/>
          <w:lang w:val="es-ES"/>
        </w:rPr>
      </w:pPr>
      <w:r w:rsidRPr="00C174D5">
        <w:rPr>
          <w:sz w:val="18"/>
          <w:lang w:val="es-ES"/>
        </w:rPr>
        <w:t>Fuente: Elaboración propia en base a información de ENATREL provista por el BID</w:t>
      </w:r>
    </w:p>
    <w:p w14:paraId="7C33FA90" w14:textId="77777777" w:rsidR="00C92C58" w:rsidRPr="00C174D5" w:rsidRDefault="00C92C58" w:rsidP="00C92C58">
      <w:pPr>
        <w:rPr>
          <w:lang w:val="es-ES"/>
        </w:rPr>
      </w:pPr>
      <w:r w:rsidRPr="00C174D5">
        <w:rPr>
          <w:lang w:val="es-ES"/>
        </w:rPr>
        <w:t xml:space="preserve">En la sección </w:t>
      </w:r>
      <w:r w:rsidRPr="00C174D5">
        <w:rPr>
          <w:lang w:val="es-ES"/>
        </w:rPr>
        <w:fldChar w:fldCharType="begin" w:fldLock="1"/>
      </w:r>
      <w:r w:rsidRPr="00C174D5">
        <w:rPr>
          <w:lang w:val="es-ES"/>
        </w:rPr>
        <w:instrText xml:space="preserve"> REF _Ref429153589 \r \h  \* MERGEFORMAT </w:instrText>
      </w:r>
      <w:r w:rsidRPr="00C174D5">
        <w:rPr>
          <w:lang w:val="es-ES"/>
        </w:rPr>
      </w:r>
      <w:r w:rsidRPr="00C174D5">
        <w:rPr>
          <w:lang w:val="es-ES"/>
        </w:rPr>
        <w:fldChar w:fldCharType="separate"/>
      </w:r>
      <w:r w:rsidRPr="00C174D5">
        <w:rPr>
          <w:lang w:val="es-ES"/>
        </w:rPr>
        <w:t>3.1.2</w:t>
      </w:r>
      <w:r w:rsidRPr="00C174D5">
        <w:rPr>
          <w:lang w:val="es-ES"/>
        </w:rPr>
        <w:fldChar w:fldCharType="end"/>
      </w:r>
      <w:r w:rsidRPr="00C174D5">
        <w:rPr>
          <w:lang w:val="es-ES"/>
        </w:rPr>
        <w:t xml:space="preserve"> se presentan los resultados de la evaluación económica y de la evaluación financiera de la construcción de la LT El Sauce-Villanueva y las obras conexas.</w:t>
      </w:r>
    </w:p>
    <w:p w14:paraId="71206E61" w14:textId="77777777" w:rsidR="00C92C58" w:rsidRPr="00C174D5" w:rsidRDefault="00C92C58" w:rsidP="00C92C58">
      <w:pPr>
        <w:pStyle w:val="Heading1"/>
        <w:pageBreakBefore w:val="0"/>
        <w:numPr>
          <w:ilvl w:val="2"/>
          <w:numId w:val="9"/>
        </w:numPr>
        <w:rPr>
          <w:lang w:val="es-ES"/>
        </w:rPr>
      </w:pPr>
      <w:bookmarkStart w:id="46" w:name="_Ref429153589"/>
      <w:bookmarkStart w:id="47" w:name="_Toc447546930"/>
      <w:bookmarkStart w:id="48" w:name="_Toc456353113"/>
      <w:r w:rsidRPr="00C174D5">
        <w:rPr>
          <w:lang w:val="es-ES"/>
        </w:rPr>
        <w:t>LT El Sauce-Villanueva - Evaluación</w:t>
      </w:r>
      <w:bookmarkEnd w:id="46"/>
      <w:bookmarkEnd w:id="47"/>
      <w:bookmarkEnd w:id="48"/>
    </w:p>
    <w:p w14:paraId="04377A0D" w14:textId="77777777" w:rsidR="00C92C58" w:rsidRPr="00C174D5" w:rsidRDefault="00C92C58" w:rsidP="00C92C58">
      <w:pPr>
        <w:rPr>
          <w:lang w:val="es-ES"/>
        </w:rPr>
      </w:pPr>
      <w:r w:rsidRPr="00C174D5">
        <w:rPr>
          <w:lang w:val="es-ES"/>
        </w:rPr>
        <w:t xml:space="preserve">Los beneficios económicos relacionados con este proyecto están dados, por un lado, por la cantidad adicional de electricidad que es posible suministrar en presencia del proyecto (tanto a clientes existentes como a nuevos). Este beneficio, que representa más del 99% de los beneficios totales, se mide como una reducción en la energía de falla en presencia del proyecto; esto es, como el diferencial de energía servida con y sin proyecto, valuada al costo de falla, neto del costo económico de provisión de electricidad. Para obtener el costo económico de proveer electricidad, se ajustan los costos de generación, transmisión y distribución por los FC pertinentes. Por otro lado se tiene la liberación neta de recursos por parte de los nuevos clientes servidos, al sustituir otras fuentes de energía alternativas por electricidad. Estos recursos liberados son </w:t>
      </w:r>
      <w:r w:rsidRPr="00C174D5">
        <w:rPr>
          <w:i/>
          <w:lang w:val="es-ES"/>
        </w:rPr>
        <w:t xml:space="preserve">netos </w:t>
      </w:r>
      <w:r w:rsidRPr="00C174D5">
        <w:rPr>
          <w:lang w:val="es-ES"/>
        </w:rPr>
        <w:t>porque al ahorro en el gasto en sustitutos energéticos se le sustrae el gasto en electricidad.</w:t>
      </w:r>
    </w:p>
    <w:p w14:paraId="5F51ED1C" w14:textId="77777777" w:rsidR="00C92C58" w:rsidRPr="00C174D5" w:rsidRDefault="00C92C58" w:rsidP="00C92C58">
      <w:pPr>
        <w:rPr>
          <w:lang w:val="es-ES"/>
        </w:rPr>
      </w:pPr>
      <w:r w:rsidRPr="00C174D5">
        <w:rPr>
          <w:lang w:val="es-ES"/>
        </w:rPr>
        <w:t>En relación a los costos económicos, se tienen los costos de inversión y de operación y mantenimiento, ambos ajustados por su respectivo FC. En el caso de los costos de operación y mantenimiento, se tiene un diferencial entre las situaciones “con” y “sin” proyecto, siendo estos últimos mayores ya que se supone que se requiere un porcentaje mayor de la inversión (específicamente un 10% versus un 2,5%) para mantener la capacidad actual de la línea. Además se tienen como costo las pérdidas adicionales asociadas a la situación con proyecto (asociadas a la mayor provisión de electricidad), valuadas según nivel de tensión. Las pérdidas de transmisión se valúan al costo incremental de generación y transmisión, y las de distribución, al costo incremental de generación, transmisión y distribución (todos ajustados por sus respectivos FC).</w:t>
      </w:r>
    </w:p>
    <w:p w14:paraId="65022156" w14:textId="77777777" w:rsidR="00C92C58" w:rsidRPr="00C174D5" w:rsidRDefault="00C92C58" w:rsidP="00C92C58">
      <w:pPr>
        <w:rPr>
          <w:lang w:val="es-ES"/>
        </w:rPr>
      </w:pPr>
      <w:r w:rsidRPr="00C174D5">
        <w:rPr>
          <w:lang w:val="es-ES"/>
        </w:rPr>
        <w:t xml:space="preserve">El resultado de la evaluación económica se presenta en la </w:t>
      </w:r>
      <w:r w:rsidRPr="00C174D5">
        <w:rPr>
          <w:lang w:val="es-ES"/>
        </w:rPr>
        <w:fldChar w:fldCharType="begin"/>
      </w:r>
      <w:r w:rsidRPr="00C174D5">
        <w:rPr>
          <w:lang w:val="es-ES"/>
        </w:rPr>
        <w:instrText xml:space="preserve"> REF _Ref450036141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8</w:t>
      </w:r>
      <w:r w:rsidRPr="00C174D5">
        <w:rPr>
          <w:lang w:val="es-ES"/>
        </w:rPr>
        <w:fldChar w:fldCharType="end"/>
      </w:r>
      <w:r w:rsidRPr="00C174D5">
        <w:rPr>
          <w:lang w:val="es-ES"/>
        </w:rPr>
        <w:t>.</w:t>
      </w:r>
    </w:p>
    <w:p w14:paraId="1DC5DC1A" w14:textId="77777777" w:rsidR="00C92C58" w:rsidRPr="00C174D5" w:rsidRDefault="00C92C58" w:rsidP="00C92C58">
      <w:pPr>
        <w:keepNext/>
        <w:keepLines/>
        <w:spacing w:after="120"/>
        <w:jc w:val="center"/>
        <w:rPr>
          <w:b/>
          <w:sz w:val="20"/>
          <w:lang w:val="es-ES"/>
        </w:rPr>
      </w:pPr>
      <w:bookmarkStart w:id="49" w:name="_Ref450036141"/>
      <w:bookmarkStart w:id="50" w:name="_Toc447546967"/>
      <w:bookmarkStart w:id="51" w:name="_Toc456353164"/>
      <w:r w:rsidRPr="00C174D5">
        <w:rPr>
          <w:b/>
          <w:sz w:val="20"/>
          <w:lang w:val="es-ES"/>
        </w:rPr>
        <w:lastRenderedPageBreak/>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8</w:t>
      </w:r>
      <w:r w:rsidRPr="00C174D5">
        <w:rPr>
          <w:b/>
          <w:sz w:val="20"/>
          <w:lang w:val="es-ES"/>
        </w:rPr>
        <w:fldChar w:fldCharType="end"/>
      </w:r>
      <w:bookmarkEnd w:id="49"/>
      <w:r w:rsidRPr="00C174D5">
        <w:rPr>
          <w:b/>
          <w:sz w:val="20"/>
          <w:lang w:val="es-ES"/>
        </w:rPr>
        <w:t>: Resultados evaluación económica – LT El Sauce-Villanueva</w:t>
      </w:r>
      <w:bookmarkEnd w:id="50"/>
      <w:bookmarkEnd w:id="51"/>
    </w:p>
    <w:tbl>
      <w:tblPr>
        <w:tblW w:w="872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376"/>
        <w:gridCol w:w="1276"/>
        <w:gridCol w:w="1559"/>
        <w:gridCol w:w="1560"/>
        <w:gridCol w:w="1240"/>
        <w:gridCol w:w="710"/>
      </w:tblGrid>
      <w:tr w:rsidR="00C92C58" w:rsidRPr="00C174D5" w14:paraId="54E1AE38" w14:textId="77777777" w:rsidTr="00B15A9A">
        <w:trPr>
          <w:trHeight w:val="35"/>
          <w:jc w:val="center"/>
        </w:trPr>
        <w:tc>
          <w:tcPr>
            <w:tcW w:w="237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4A998E96" w14:textId="77777777" w:rsidR="00C92C58" w:rsidRPr="00C174D5" w:rsidRDefault="00C92C58" w:rsidP="00B15A9A">
            <w:pPr>
              <w:keepNext/>
              <w:keepLines/>
              <w:spacing w:after="0"/>
              <w:jc w:val="center"/>
              <w:rPr>
                <w:b/>
                <w:sz w:val="20"/>
                <w:lang w:val="es-ES"/>
              </w:rPr>
            </w:pPr>
          </w:p>
        </w:tc>
        <w:tc>
          <w:tcPr>
            <w:tcW w:w="127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7FFFF2B8" w14:textId="77777777" w:rsidR="00C92C58" w:rsidRPr="00C174D5" w:rsidRDefault="00C92C58" w:rsidP="00B15A9A">
            <w:pPr>
              <w:keepNext/>
              <w:keepLines/>
              <w:spacing w:after="0"/>
              <w:jc w:val="center"/>
              <w:rPr>
                <w:b/>
                <w:sz w:val="20"/>
                <w:lang w:val="es-ES"/>
              </w:rPr>
            </w:pPr>
            <w:r w:rsidRPr="00C174D5">
              <w:rPr>
                <w:b/>
                <w:bCs/>
                <w:sz w:val="20"/>
                <w:lang w:val="es-ES"/>
              </w:rPr>
              <w:t xml:space="preserve">VP Inversión </w:t>
            </w:r>
            <w:proofErr w:type="spellStart"/>
            <w:r w:rsidRPr="00C174D5">
              <w:rPr>
                <w:b/>
                <w:bCs/>
                <w:sz w:val="20"/>
                <w:lang w:val="es-ES"/>
              </w:rPr>
              <w:t>ec</w:t>
            </w:r>
            <w:proofErr w:type="spellEnd"/>
            <w:r w:rsidRPr="00C174D5">
              <w:rPr>
                <w:b/>
                <w:bCs/>
                <w:sz w:val="20"/>
                <w:lang w:val="es-ES"/>
              </w:rPr>
              <w:t>. (US$)</w:t>
            </w:r>
          </w:p>
        </w:tc>
        <w:tc>
          <w:tcPr>
            <w:tcW w:w="1559"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190F8212" w14:textId="77777777" w:rsidR="00C92C58" w:rsidRPr="00C174D5" w:rsidRDefault="00C92C58" w:rsidP="00B15A9A">
            <w:pPr>
              <w:keepNext/>
              <w:keepLines/>
              <w:spacing w:after="0"/>
              <w:jc w:val="center"/>
              <w:rPr>
                <w:b/>
                <w:sz w:val="20"/>
                <w:lang w:val="es-ES"/>
              </w:rPr>
            </w:pPr>
            <w:r w:rsidRPr="00C174D5">
              <w:rPr>
                <w:b/>
                <w:bCs/>
                <w:sz w:val="20"/>
                <w:lang w:val="es-ES"/>
              </w:rPr>
              <w:t xml:space="preserve">VP Costos </w:t>
            </w:r>
            <w:proofErr w:type="spellStart"/>
            <w:r w:rsidRPr="00C174D5">
              <w:rPr>
                <w:b/>
                <w:bCs/>
                <w:sz w:val="20"/>
                <w:lang w:val="es-ES"/>
              </w:rPr>
              <w:t>ec</w:t>
            </w:r>
            <w:proofErr w:type="spellEnd"/>
            <w:r w:rsidRPr="00C174D5">
              <w:rPr>
                <w:b/>
                <w:bCs/>
                <w:sz w:val="20"/>
                <w:lang w:val="es-ES"/>
              </w:rPr>
              <w:t>. (US$)</w:t>
            </w:r>
          </w:p>
        </w:tc>
        <w:tc>
          <w:tcPr>
            <w:tcW w:w="1560"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02FD9E5F" w14:textId="77777777" w:rsidR="00C92C58" w:rsidRPr="00C174D5" w:rsidRDefault="00C92C58" w:rsidP="00B15A9A">
            <w:pPr>
              <w:keepNext/>
              <w:keepLines/>
              <w:spacing w:after="0"/>
              <w:jc w:val="center"/>
              <w:rPr>
                <w:b/>
                <w:sz w:val="20"/>
                <w:lang w:val="es-ES"/>
              </w:rPr>
            </w:pPr>
            <w:r w:rsidRPr="00C174D5">
              <w:rPr>
                <w:b/>
                <w:bCs/>
                <w:sz w:val="20"/>
                <w:lang w:val="es-ES"/>
              </w:rPr>
              <w:t xml:space="preserve">VP Beneficios </w:t>
            </w:r>
            <w:proofErr w:type="spellStart"/>
            <w:r w:rsidRPr="00C174D5">
              <w:rPr>
                <w:b/>
                <w:bCs/>
                <w:sz w:val="20"/>
                <w:lang w:val="es-ES"/>
              </w:rPr>
              <w:t>ec</w:t>
            </w:r>
            <w:proofErr w:type="spellEnd"/>
            <w:r w:rsidRPr="00C174D5">
              <w:rPr>
                <w:b/>
                <w:bCs/>
                <w:sz w:val="20"/>
                <w:lang w:val="es-ES"/>
              </w:rPr>
              <w:t>. (US$)</w:t>
            </w:r>
          </w:p>
        </w:tc>
        <w:tc>
          <w:tcPr>
            <w:tcW w:w="1240"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56B14DF8" w14:textId="77777777" w:rsidR="00C92C58" w:rsidRPr="00C174D5" w:rsidRDefault="00C92C58" w:rsidP="00B15A9A">
            <w:pPr>
              <w:keepNext/>
              <w:keepLines/>
              <w:spacing w:after="0"/>
              <w:jc w:val="center"/>
              <w:rPr>
                <w:b/>
                <w:sz w:val="20"/>
                <w:lang w:val="es-ES"/>
              </w:rPr>
            </w:pPr>
            <w:r w:rsidRPr="00C174D5">
              <w:rPr>
                <w:b/>
                <w:bCs/>
                <w:sz w:val="20"/>
                <w:lang w:val="es-ES"/>
              </w:rPr>
              <w:t>VPNE (US$)</w:t>
            </w:r>
          </w:p>
        </w:tc>
        <w:tc>
          <w:tcPr>
            <w:tcW w:w="710"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6B090A6B" w14:textId="77777777" w:rsidR="00C92C58" w:rsidRPr="00C174D5" w:rsidRDefault="00C92C58" w:rsidP="00B15A9A">
            <w:pPr>
              <w:keepNext/>
              <w:keepLines/>
              <w:spacing w:after="0"/>
              <w:jc w:val="center"/>
              <w:rPr>
                <w:b/>
                <w:sz w:val="20"/>
                <w:lang w:val="es-ES"/>
              </w:rPr>
            </w:pPr>
            <w:r w:rsidRPr="00C174D5">
              <w:rPr>
                <w:b/>
                <w:bCs/>
                <w:sz w:val="20"/>
                <w:lang w:val="es-ES"/>
              </w:rPr>
              <w:t>TIRE</w:t>
            </w:r>
          </w:p>
        </w:tc>
      </w:tr>
      <w:tr w:rsidR="00C92C58" w:rsidRPr="00C174D5" w14:paraId="7B5F96B7" w14:textId="77777777" w:rsidTr="00B15A9A">
        <w:trPr>
          <w:trHeight w:val="1105"/>
          <w:jc w:val="center"/>
        </w:trPr>
        <w:tc>
          <w:tcPr>
            <w:tcW w:w="2376" w:type="dxa"/>
            <w:tcBorders>
              <w:top w:val="single" w:sz="12" w:space="0" w:color="000000"/>
            </w:tcBorders>
            <w:shd w:val="clear" w:color="auto" w:fill="auto"/>
            <w:tcMar>
              <w:top w:w="15" w:type="dxa"/>
              <w:left w:w="108" w:type="dxa"/>
              <w:bottom w:w="0" w:type="dxa"/>
              <w:right w:w="108" w:type="dxa"/>
            </w:tcMar>
            <w:vAlign w:val="center"/>
            <w:hideMark/>
          </w:tcPr>
          <w:p w14:paraId="70E58437" w14:textId="77777777" w:rsidR="00C92C58" w:rsidRPr="00C174D5" w:rsidRDefault="00C92C58" w:rsidP="00B15A9A">
            <w:pPr>
              <w:keepNext/>
              <w:keepLines/>
              <w:spacing w:after="0"/>
              <w:jc w:val="center"/>
              <w:rPr>
                <w:sz w:val="20"/>
                <w:lang w:val="es-ES"/>
              </w:rPr>
            </w:pPr>
            <w:r w:rsidRPr="00C174D5">
              <w:rPr>
                <w:bCs/>
                <w:sz w:val="20"/>
                <w:lang w:val="es-ES"/>
              </w:rPr>
              <w:t>Situación Con Proyecto</w:t>
            </w:r>
          </w:p>
          <w:p w14:paraId="300E2512" w14:textId="77777777" w:rsidR="00C92C58" w:rsidRPr="00C174D5" w:rsidRDefault="00C92C58" w:rsidP="00B15A9A">
            <w:pPr>
              <w:keepNext/>
              <w:keepLines/>
              <w:spacing w:after="0"/>
              <w:jc w:val="center"/>
              <w:rPr>
                <w:sz w:val="20"/>
                <w:lang w:val="es-ES"/>
              </w:rPr>
            </w:pPr>
            <w:r w:rsidRPr="00C174D5">
              <w:rPr>
                <w:bCs/>
                <w:sz w:val="20"/>
                <w:lang w:val="es-ES"/>
              </w:rPr>
              <w:t>-</w:t>
            </w:r>
          </w:p>
          <w:p w14:paraId="29B0FD61" w14:textId="77777777" w:rsidR="00C92C58" w:rsidRPr="00C174D5" w:rsidRDefault="00C92C58" w:rsidP="00B15A9A">
            <w:pPr>
              <w:keepNext/>
              <w:keepLines/>
              <w:spacing w:after="0"/>
              <w:jc w:val="center"/>
              <w:rPr>
                <w:sz w:val="20"/>
                <w:lang w:val="es-ES"/>
              </w:rPr>
            </w:pPr>
            <w:r w:rsidRPr="00C174D5">
              <w:rPr>
                <w:bCs/>
                <w:sz w:val="20"/>
                <w:lang w:val="es-ES"/>
              </w:rPr>
              <w:t>Situación sin proyecto</w:t>
            </w:r>
          </w:p>
        </w:tc>
        <w:tc>
          <w:tcPr>
            <w:tcW w:w="1276" w:type="dxa"/>
            <w:tcBorders>
              <w:top w:val="single" w:sz="12" w:space="0" w:color="000000"/>
            </w:tcBorders>
            <w:shd w:val="clear" w:color="auto" w:fill="auto"/>
            <w:tcMar>
              <w:top w:w="15" w:type="dxa"/>
              <w:left w:w="108" w:type="dxa"/>
              <w:bottom w:w="0" w:type="dxa"/>
              <w:right w:w="108" w:type="dxa"/>
            </w:tcMar>
            <w:vAlign w:val="center"/>
          </w:tcPr>
          <w:p w14:paraId="05F543EA" w14:textId="77777777" w:rsidR="00C92C58" w:rsidRPr="00C174D5" w:rsidRDefault="00C92C58" w:rsidP="00B15A9A">
            <w:pPr>
              <w:keepNext/>
              <w:keepLines/>
              <w:spacing w:after="0"/>
              <w:jc w:val="center"/>
              <w:rPr>
                <w:sz w:val="20"/>
                <w:lang w:val="es-ES"/>
              </w:rPr>
            </w:pPr>
            <w:r w:rsidRPr="00C174D5">
              <w:rPr>
                <w:sz w:val="20"/>
                <w:lang w:val="es-ES"/>
              </w:rPr>
              <w:t>15.807.983</w:t>
            </w:r>
          </w:p>
        </w:tc>
        <w:tc>
          <w:tcPr>
            <w:tcW w:w="1559" w:type="dxa"/>
            <w:tcBorders>
              <w:top w:val="single" w:sz="12" w:space="0" w:color="000000"/>
            </w:tcBorders>
            <w:shd w:val="clear" w:color="auto" w:fill="auto"/>
            <w:tcMar>
              <w:top w:w="15" w:type="dxa"/>
              <w:left w:w="108" w:type="dxa"/>
              <w:bottom w:w="0" w:type="dxa"/>
              <w:right w:w="108" w:type="dxa"/>
            </w:tcMar>
            <w:vAlign w:val="center"/>
          </w:tcPr>
          <w:p w14:paraId="2D3B1B09" w14:textId="77777777" w:rsidR="00C92C58" w:rsidRPr="00C174D5" w:rsidRDefault="00C92C58" w:rsidP="00B15A9A">
            <w:pPr>
              <w:keepNext/>
              <w:keepLines/>
              <w:spacing w:after="0"/>
              <w:jc w:val="center"/>
              <w:rPr>
                <w:sz w:val="20"/>
                <w:lang w:val="es-ES"/>
              </w:rPr>
            </w:pPr>
            <w:r w:rsidRPr="00C174D5">
              <w:rPr>
                <w:sz w:val="20"/>
                <w:lang w:val="es-ES"/>
              </w:rPr>
              <w:t>-</w:t>
            </w:r>
            <w:r>
              <w:rPr>
                <w:sz w:val="20"/>
                <w:lang w:val="es-ES"/>
              </w:rPr>
              <w:t>7</w:t>
            </w:r>
            <w:r w:rsidRPr="00C174D5">
              <w:rPr>
                <w:sz w:val="20"/>
                <w:lang w:val="es-ES"/>
              </w:rPr>
              <w:t>.</w:t>
            </w:r>
            <w:r>
              <w:rPr>
                <w:sz w:val="20"/>
                <w:lang w:val="es-ES"/>
              </w:rPr>
              <w:t>505</w:t>
            </w:r>
            <w:r w:rsidRPr="00C174D5">
              <w:rPr>
                <w:sz w:val="20"/>
                <w:lang w:val="es-ES"/>
              </w:rPr>
              <w:t>.</w:t>
            </w:r>
            <w:r>
              <w:rPr>
                <w:sz w:val="20"/>
                <w:lang w:val="es-ES"/>
              </w:rPr>
              <w:t>057</w:t>
            </w:r>
          </w:p>
        </w:tc>
        <w:tc>
          <w:tcPr>
            <w:tcW w:w="1560" w:type="dxa"/>
            <w:tcBorders>
              <w:top w:val="single" w:sz="12" w:space="0" w:color="000000"/>
            </w:tcBorders>
            <w:shd w:val="clear" w:color="auto" w:fill="auto"/>
            <w:tcMar>
              <w:top w:w="15" w:type="dxa"/>
              <w:left w:w="108" w:type="dxa"/>
              <w:bottom w:w="0" w:type="dxa"/>
              <w:right w:w="108" w:type="dxa"/>
            </w:tcMar>
            <w:vAlign w:val="center"/>
          </w:tcPr>
          <w:p w14:paraId="4F88F67E" w14:textId="77777777" w:rsidR="00C92C58" w:rsidRPr="00C174D5" w:rsidRDefault="00C92C58" w:rsidP="00B15A9A">
            <w:pPr>
              <w:keepNext/>
              <w:keepLines/>
              <w:spacing w:after="0"/>
              <w:jc w:val="center"/>
              <w:rPr>
                <w:sz w:val="20"/>
                <w:lang w:val="es-ES"/>
              </w:rPr>
            </w:pPr>
            <w:r w:rsidRPr="00EE465A">
              <w:rPr>
                <w:sz w:val="20"/>
                <w:lang w:val="es-ES"/>
              </w:rPr>
              <w:t>54</w:t>
            </w:r>
            <w:r>
              <w:rPr>
                <w:sz w:val="20"/>
                <w:lang w:val="es-ES"/>
              </w:rPr>
              <w:t>.791.</w:t>
            </w:r>
            <w:r w:rsidRPr="00EE465A">
              <w:rPr>
                <w:sz w:val="20"/>
                <w:lang w:val="es-ES"/>
              </w:rPr>
              <w:t>704</w:t>
            </w:r>
          </w:p>
        </w:tc>
        <w:tc>
          <w:tcPr>
            <w:tcW w:w="1240" w:type="dxa"/>
            <w:tcBorders>
              <w:top w:val="single" w:sz="12" w:space="0" w:color="000000"/>
            </w:tcBorders>
            <w:shd w:val="clear" w:color="auto" w:fill="auto"/>
            <w:tcMar>
              <w:top w:w="15" w:type="dxa"/>
              <w:left w:w="108" w:type="dxa"/>
              <w:bottom w:w="0" w:type="dxa"/>
              <w:right w:w="108" w:type="dxa"/>
            </w:tcMar>
            <w:vAlign w:val="center"/>
          </w:tcPr>
          <w:p w14:paraId="546531E3" w14:textId="77777777" w:rsidR="00C92C58" w:rsidRPr="00C174D5" w:rsidRDefault="00C92C58" w:rsidP="00B15A9A">
            <w:pPr>
              <w:keepNext/>
              <w:keepLines/>
              <w:spacing w:after="0"/>
              <w:jc w:val="center"/>
              <w:rPr>
                <w:sz w:val="20"/>
                <w:lang w:val="es-ES"/>
              </w:rPr>
            </w:pPr>
            <w:r>
              <w:rPr>
                <w:sz w:val="20"/>
                <w:lang w:val="es-ES"/>
              </w:rPr>
              <w:t>46.</w:t>
            </w:r>
            <w:r w:rsidRPr="00EE465A">
              <w:rPr>
                <w:sz w:val="20"/>
                <w:lang w:val="es-ES"/>
              </w:rPr>
              <w:t>488</w:t>
            </w:r>
            <w:r>
              <w:rPr>
                <w:sz w:val="20"/>
                <w:lang w:val="es-ES"/>
              </w:rPr>
              <w:t>.</w:t>
            </w:r>
            <w:r w:rsidRPr="00EE465A">
              <w:rPr>
                <w:sz w:val="20"/>
                <w:lang w:val="es-ES"/>
              </w:rPr>
              <w:t>779</w:t>
            </w:r>
          </w:p>
        </w:tc>
        <w:tc>
          <w:tcPr>
            <w:tcW w:w="710" w:type="dxa"/>
            <w:tcBorders>
              <w:top w:val="single" w:sz="12" w:space="0" w:color="000000"/>
            </w:tcBorders>
            <w:shd w:val="clear" w:color="auto" w:fill="auto"/>
            <w:tcMar>
              <w:top w:w="15" w:type="dxa"/>
              <w:left w:w="108" w:type="dxa"/>
              <w:bottom w:w="0" w:type="dxa"/>
              <w:right w:w="108" w:type="dxa"/>
            </w:tcMar>
            <w:vAlign w:val="center"/>
          </w:tcPr>
          <w:p w14:paraId="4937C3CE" w14:textId="77777777" w:rsidR="00C92C58" w:rsidRPr="00C174D5" w:rsidRDefault="00C92C58" w:rsidP="00B15A9A">
            <w:pPr>
              <w:keepNext/>
              <w:keepLines/>
              <w:spacing w:after="0"/>
              <w:jc w:val="center"/>
              <w:rPr>
                <w:sz w:val="20"/>
                <w:lang w:val="es-ES"/>
              </w:rPr>
            </w:pPr>
            <w:r>
              <w:rPr>
                <w:sz w:val="20"/>
                <w:lang w:val="es-ES"/>
              </w:rPr>
              <w:t>27</w:t>
            </w:r>
            <w:r w:rsidRPr="00C174D5">
              <w:rPr>
                <w:sz w:val="20"/>
                <w:lang w:val="es-ES"/>
              </w:rPr>
              <w:t>%</w:t>
            </w:r>
          </w:p>
        </w:tc>
      </w:tr>
    </w:tbl>
    <w:p w14:paraId="1D25E55E" w14:textId="77777777" w:rsidR="00C92C58" w:rsidRPr="00C174D5" w:rsidRDefault="00C92C58" w:rsidP="00C92C58">
      <w:pPr>
        <w:jc w:val="center"/>
        <w:rPr>
          <w:sz w:val="18"/>
          <w:lang w:val="es-ES"/>
        </w:rPr>
      </w:pPr>
      <w:r w:rsidRPr="00C174D5">
        <w:rPr>
          <w:sz w:val="18"/>
          <w:lang w:val="es-ES"/>
        </w:rPr>
        <w:t>Fuente: Elaboración propia en base a información de ENATREL provista por el BID</w:t>
      </w:r>
    </w:p>
    <w:p w14:paraId="51DCF66D" w14:textId="77777777" w:rsidR="00C92C58" w:rsidRPr="00C174D5" w:rsidRDefault="00C92C58" w:rsidP="00C92C58">
      <w:pPr>
        <w:rPr>
          <w:lang w:val="es-ES"/>
        </w:rPr>
      </w:pPr>
      <w:r w:rsidRPr="00C174D5">
        <w:rPr>
          <w:lang w:val="es-ES"/>
        </w:rPr>
        <w:t xml:space="preserve">Como puede observarse, el proyecto es económicamente deseable, generando un VPNE de </w:t>
      </w:r>
      <w:r>
        <w:rPr>
          <w:lang w:val="es-ES"/>
        </w:rPr>
        <w:t xml:space="preserve">más de </w:t>
      </w:r>
      <w:r w:rsidRPr="00C174D5">
        <w:rPr>
          <w:lang w:val="es-ES"/>
        </w:rPr>
        <w:t xml:space="preserve">US$ </w:t>
      </w:r>
      <w:r>
        <w:rPr>
          <w:lang w:val="es-ES"/>
        </w:rPr>
        <w:t>4</w:t>
      </w:r>
      <w:r w:rsidRPr="00C174D5">
        <w:rPr>
          <w:lang w:val="es-ES"/>
        </w:rPr>
        <w:t>6.000.000. Los beneficios del proyecto son, en su gran mayoría, para los clientes existentes (</w:t>
      </w:r>
      <w:r>
        <w:rPr>
          <w:lang w:val="es-ES"/>
        </w:rPr>
        <w:t>87</w:t>
      </w:r>
      <w:r w:rsidRPr="00C174D5">
        <w:rPr>
          <w:lang w:val="es-ES"/>
        </w:rPr>
        <w:t xml:space="preserve">%). Esto implica, aproximadamente, un beneficio anual por cliente existente de </w:t>
      </w:r>
      <w:r>
        <w:rPr>
          <w:lang w:val="es-ES"/>
        </w:rPr>
        <w:t>285</w:t>
      </w:r>
      <w:r w:rsidRPr="00C174D5">
        <w:rPr>
          <w:lang w:val="es-ES"/>
        </w:rPr>
        <w:t xml:space="preserve"> US$ y, por nuevo cliente de 7</w:t>
      </w:r>
      <w:r>
        <w:rPr>
          <w:lang w:val="es-ES"/>
        </w:rPr>
        <w:t>80</w:t>
      </w:r>
      <w:r w:rsidRPr="00C174D5">
        <w:rPr>
          <w:lang w:val="es-ES"/>
        </w:rPr>
        <w:t xml:space="preserve"> US$. </w:t>
      </w:r>
    </w:p>
    <w:p w14:paraId="24E6A50B" w14:textId="77777777" w:rsidR="00C92C58" w:rsidRPr="00C174D5" w:rsidRDefault="00C92C58" w:rsidP="00C92C58">
      <w:pPr>
        <w:rPr>
          <w:lang w:val="es-ES"/>
        </w:rPr>
      </w:pPr>
      <w:r w:rsidRPr="00C174D5">
        <w:rPr>
          <w:lang w:val="es-ES"/>
        </w:rPr>
        <w:t>Desde la óptica privada, los beneficios están dados por los ingresos del proyecto y están representados por el valor unitario del peaje de transmisión (US$/</w:t>
      </w:r>
      <w:proofErr w:type="spellStart"/>
      <w:r w:rsidRPr="00C174D5">
        <w:rPr>
          <w:lang w:val="es-ES"/>
        </w:rPr>
        <w:t>MWh</w:t>
      </w:r>
      <w:proofErr w:type="spellEnd"/>
      <w:r w:rsidRPr="00C174D5">
        <w:rPr>
          <w:lang w:val="es-ES"/>
        </w:rPr>
        <w:t xml:space="preserve">) multiplicado por la energía adicional en la situación con proyecto, la cual corresponde a la generada para satisfacer la demanda potencial de todos los usuarios de la zona (tanto existentes como nuevos). Los costos privados son los de inversión y operación y mantenimiento. El resultado de la evaluación financiera se muestra en la </w:t>
      </w:r>
      <w:r w:rsidRPr="00C174D5">
        <w:rPr>
          <w:lang w:val="es-ES"/>
        </w:rPr>
        <w:fldChar w:fldCharType="begin"/>
      </w:r>
      <w:r w:rsidRPr="00C174D5">
        <w:rPr>
          <w:lang w:val="es-ES"/>
        </w:rPr>
        <w:instrText xml:space="preserve"> REF _Ref450036127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9</w:t>
      </w:r>
      <w:r w:rsidRPr="00C174D5">
        <w:rPr>
          <w:lang w:val="es-ES"/>
        </w:rPr>
        <w:fldChar w:fldCharType="end"/>
      </w:r>
      <w:r w:rsidRPr="00C174D5">
        <w:rPr>
          <w:lang w:val="es-ES"/>
        </w:rPr>
        <w:t>.</w:t>
      </w:r>
    </w:p>
    <w:p w14:paraId="3F564A9F" w14:textId="77777777" w:rsidR="00C92C58" w:rsidRPr="00C174D5" w:rsidRDefault="00C92C58" w:rsidP="00C92C58">
      <w:pPr>
        <w:keepNext/>
        <w:keepLines/>
        <w:spacing w:after="120"/>
        <w:jc w:val="center"/>
        <w:rPr>
          <w:b/>
          <w:sz w:val="20"/>
          <w:lang w:val="es-ES"/>
        </w:rPr>
      </w:pPr>
      <w:bookmarkStart w:id="52" w:name="_Ref450036127"/>
      <w:bookmarkStart w:id="53" w:name="_Toc447546968"/>
      <w:bookmarkStart w:id="54" w:name="_Toc456353165"/>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9</w:t>
      </w:r>
      <w:r w:rsidRPr="00C174D5">
        <w:rPr>
          <w:b/>
          <w:sz w:val="20"/>
          <w:lang w:val="es-ES"/>
        </w:rPr>
        <w:fldChar w:fldCharType="end"/>
      </w:r>
      <w:bookmarkEnd w:id="52"/>
      <w:r w:rsidRPr="00C174D5">
        <w:rPr>
          <w:b/>
          <w:sz w:val="20"/>
          <w:lang w:val="es-ES"/>
        </w:rPr>
        <w:t>: Resultados evaluación financiera – LT El Sauce-Villanueva</w:t>
      </w:r>
      <w:bookmarkEnd w:id="53"/>
      <w:bookmarkEnd w:id="54"/>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376"/>
        <w:gridCol w:w="1276"/>
        <w:gridCol w:w="1559"/>
        <w:gridCol w:w="1560"/>
        <w:gridCol w:w="1246"/>
        <w:gridCol w:w="704"/>
      </w:tblGrid>
      <w:tr w:rsidR="00C92C58" w:rsidRPr="00C174D5" w14:paraId="6742B16A" w14:textId="77777777" w:rsidTr="00B15A9A">
        <w:trPr>
          <w:trHeight w:val="35"/>
          <w:jc w:val="center"/>
        </w:trPr>
        <w:tc>
          <w:tcPr>
            <w:tcW w:w="237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6C79955E" w14:textId="77777777" w:rsidR="00C92C58" w:rsidRPr="00C174D5" w:rsidRDefault="00C92C58" w:rsidP="00B15A9A">
            <w:pPr>
              <w:keepNext/>
              <w:keepLines/>
              <w:spacing w:after="0"/>
              <w:jc w:val="center"/>
              <w:rPr>
                <w:b/>
                <w:sz w:val="20"/>
                <w:lang w:val="es-ES"/>
              </w:rPr>
            </w:pPr>
          </w:p>
        </w:tc>
        <w:tc>
          <w:tcPr>
            <w:tcW w:w="127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0F642EAA" w14:textId="77777777" w:rsidR="00C92C58" w:rsidRPr="00C174D5" w:rsidRDefault="00C92C58" w:rsidP="00B15A9A">
            <w:pPr>
              <w:keepNext/>
              <w:keepLines/>
              <w:spacing w:after="0"/>
              <w:jc w:val="center"/>
              <w:rPr>
                <w:b/>
                <w:sz w:val="20"/>
                <w:lang w:val="es-ES"/>
              </w:rPr>
            </w:pPr>
            <w:r w:rsidRPr="00C174D5">
              <w:rPr>
                <w:b/>
                <w:bCs/>
                <w:sz w:val="20"/>
                <w:lang w:val="es-ES"/>
              </w:rPr>
              <w:t>VP Inversión fin. (US$)</w:t>
            </w:r>
          </w:p>
        </w:tc>
        <w:tc>
          <w:tcPr>
            <w:tcW w:w="1559"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115ED872" w14:textId="77777777" w:rsidR="00C92C58" w:rsidRPr="00C174D5" w:rsidRDefault="00C92C58" w:rsidP="00B15A9A">
            <w:pPr>
              <w:keepNext/>
              <w:keepLines/>
              <w:spacing w:after="0"/>
              <w:jc w:val="center"/>
              <w:rPr>
                <w:b/>
                <w:sz w:val="20"/>
                <w:lang w:val="es-ES"/>
              </w:rPr>
            </w:pPr>
            <w:r w:rsidRPr="00C174D5">
              <w:rPr>
                <w:b/>
                <w:bCs/>
                <w:sz w:val="20"/>
                <w:lang w:val="es-ES"/>
              </w:rPr>
              <w:t>VP Costos fin. (US$)</w:t>
            </w:r>
          </w:p>
        </w:tc>
        <w:tc>
          <w:tcPr>
            <w:tcW w:w="1560"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7EA25917" w14:textId="77777777" w:rsidR="00C92C58" w:rsidRPr="00C174D5" w:rsidRDefault="00C92C58" w:rsidP="00B15A9A">
            <w:pPr>
              <w:keepNext/>
              <w:keepLines/>
              <w:spacing w:after="0"/>
              <w:jc w:val="center"/>
              <w:rPr>
                <w:b/>
                <w:sz w:val="20"/>
                <w:lang w:val="es-ES"/>
              </w:rPr>
            </w:pPr>
            <w:r w:rsidRPr="00C174D5">
              <w:rPr>
                <w:b/>
                <w:bCs/>
                <w:sz w:val="20"/>
                <w:lang w:val="es-ES"/>
              </w:rPr>
              <w:t>VP Ingresos. (US$)</w:t>
            </w:r>
          </w:p>
        </w:tc>
        <w:tc>
          <w:tcPr>
            <w:tcW w:w="124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3540B2BB" w14:textId="77777777" w:rsidR="00C92C58" w:rsidRPr="00C174D5" w:rsidRDefault="00C92C58" w:rsidP="00B15A9A">
            <w:pPr>
              <w:keepNext/>
              <w:keepLines/>
              <w:spacing w:after="0"/>
              <w:jc w:val="center"/>
              <w:rPr>
                <w:b/>
                <w:sz w:val="20"/>
                <w:lang w:val="es-ES"/>
              </w:rPr>
            </w:pPr>
            <w:r w:rsidRPr="00C174D5">
              <w:rPr>
                <w:b/>
                <w:bCs/>
                <w:sz w:val="20"/>
                <w:lang w:val="es-ES"/>
              </w:rPr>
              <w:t>VPN (US$)</w:t>
            </w:r>
          </w:p>
        </w:tc>
        <w:tc>
          <w:tcPr>
            <w:tcW w:w="704"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0E156EA7" w14:textId="77777777" w:rsidR="00C92C58" w:rsidRPr="00C174D5" w:rsidRDefault="00C92C58" w:rsidP="00B15A9A">
            <w:pPr>
              <w:keepNext/>
              <w:keepLines/>
              <w:spacing w:after="0"/>
              <w:jc w:val="center"/>
              <w:rPr>
                <w:b/>
                <w:sz w:val="20"/>
                <w:lang w:val="es-ES"/>
              </w:rPr>
            </w:pPr>
            <w:r w:rsidRPr="00C174D5">
              <w:rPr>
                <w:b/>
                <w:bCs/>
                <w:sz w:val="20"/>
                <w:lang w:val="es-ES"/>
              </w:rPr>
              <w:t>TIR</w:t>
            </w:r>
          </w:p>
        </w:tc>
      </w:tr>
      <w:tr w:rsidR="00C92C58" w:rsidRPr="00C174D5" w14:paraId="7E33E2D2" w14:textId="77777777" w:rsidTr="00B15A9A">
        <w:trPr>
          <w:trHeight w:val="1105"/>
          <w:jc w:val="center"/>
        </w:trPr>
        <w:tc>
          <w:tcPr>
            <w:tcW w:w="2376" w:type="dxa"/>
            <w:tcBorders>
              <w:top w:val="single" w:sz="12" w:space="0" w:color="000000"/>
            </w:tcBorders>
            <w:shd w:val="clear" w:color="auto" w:fill="auto"/>
            <w:tcMar>
              <w:top w:w="15" w:type="dxa"/>
              <w:left w:w="108" w:type="dxa"/>
              <w:bottom w:w="0" w:type="dxa"/>
              <w:right w:w="108" w:type="dxa"/>
            </w:tcMar>
            <w:vAlign w:val="center"/>
            <w:hideMark/>
          </w:tcPr>
          <w:p w14:paraId="049D2AEB" w14:textId="77777777" w:rsidR="00C92C58" w:rsidRPr="00C174D5" w:rsidRDefault="00C92C58" w:rsidP="00B15A9A">
            <w:pPr>
              <w:keepNext/>
              <w:keepLines/>
              <w:spacing w:after="0"/>
              <w:jc w:val="center"/>
              <w:rPr>
                <w:sz w:val="20"/>
                <w:lang w:val="es-ES"/>
              </w:rPr>
            </w:pPr>
            <w:r w:rsidRPr="00C174D5">
              <w:rPr>
                <w:bCs/>
                <w:sz w:val="20"/>
                <w:lang w:val="es-ES"/>
              </w:rPr>
              <w:t>Situación Con Proyecto</w:t>
            </w:r>
          </w:p>
          <w:p w14:paraId="1C843312" w14:textId="77777777" w:rsidR="00C92C58" w:rsidRPr="00C174D5" w:rsidRDefault="00C92C58" w:rsidP="00B15A9A">
            <w:pPr>
              <w:keepNext/>
              <w:keepLines/>
              <w:spacing w:after="0"/>
              <w:jc w:val="center"/>
              <w:rPr>
                <w:sz w:val="20"/>
                <w:lang w:val="es-ES"/>
              </w:rPr>
            </w:pPr>
            <w:r w:rsidRPr="00C174D5">
              <w:rPr>
                <w:bCs/>
                <w:sz w:val="20"/>
                <w:lang w:val="es-ES"/>
              </w:rPr>
              <w:t>-</w:t>
            </w:r>
          </w:p>
          <w:p w14:paraId="16A7E7C6" w14:textId="77777777" w:rsidR="00C92C58" w:rsidRPr="00C174D5" w:rsidRDefault="00C92C58" w:rsidP="00B15A9A">
            <w:pPr>
              <w:keepNext/>
              <w:keepLines/>
              <w:spacing w:after="0"/>
              <w:jc w:val="center"/>
              <w:rPr>
                <w:sz w:val="20"/>
                <w:lang w:val="es-ES"/>
              </w:rPr>
            </w:pPr>
            <w:r w:rsidRPr="00C174D5">
              <w:rPr>
                <w:bCs/>
                <w:sz w:val="20"/>
                <w:lang w:val="es-ES"/>
              </w:rPr>
              <w:t>Situación sin proyecto</w:t>
            </w:r>
          </w:p>
        </w:tc>
        <w:tc>
          <w:tcPr>
            <w:tcW w:w="1276" w:type="dxa"/>
            <w:tcBorders>
              <w:top w:val="single" w:sz="12" w:space="0" w:color="000000"/>
            </w:tcBorders>
            <w:shd w:val="clear" w:color="auto" w:fill="auto"/>
            <w:tcMar>
              <w:top w:w="15" w:type="dxa"/>
              <w:left w:w="108" w:type="dxa"/>
              <w:bottom w:w="0" w:type="dxa"/>
              <w:right w:w="108" w:type="dxa"/>
            </w:tcMar>
            <w:vAlign w:val="center"/>
          </w:tcPr>
          <w:p w14:paraId="42734D2E" w14:textId="77777777" w:rsidR="00C92C58" w:rsidRPr="00C174D5" w:rsidRDefault="00C92C58" w:rsidP="00B15A9A">
            <w:pPr>
              <w:keepNext/>
              <w:keepLines/>
              <w:spacing w:after="0"/>
              <w:jc w:val="center"/>
              <w:rPr>
                <w:sz w:val="20"/>
                <w:lang w:val="es-ES"/>
              </w:rPr>
            </w:pPr>
            <w:r w:rsidRPr="00C174D5">
              <w:rPr>
                <w:sz w:val="20"/>
                <w:lang w:val="es-ES"/>
              </w:rPr>
              <w:t>16.148.453</w:t>
            </w:r>
          </w:p>
        </w:tc>
        <w:tc>
          <w:tcPr>
            <w:tcW w:w="1559" w:type="dxa"/>
            <w:tcBorders>
              <w:top w:val="single" w:sz="12" w:space="0" w:color="000000"/>
            </w:tcBorders>
            <w:shd w:val="clear" w:color="auto" w:fill="auto"/>
            <w:tcMar>
              <w:top w:w="15" w:type="dxa"/>
              <w:left w:w="108" w:type="dxa"/>
              <w:bottom w:w="0" w:type="dxa"/>
              <w:right w:w="108" w:type="dxa"/>
            </w:tcMar>
            <w:vAlign w:val="center"/>
          </w:tcPr>
          <w:p w14:paraId="5C64A4AB" w14:textId="77777777" w:rsidR="00C92C58" w:rsidRPr="00C174D5" w:rsidRDefault="00C92C58" w:rsidP="00B15A9A">
            <w:pPr>
              <w:keepNext/>
              <w:keepLines/>
              <w:spacing w:after="0"/>
              <w:jc w:val="center"/>
              <w:rPr>
                <w:sz w:val="20"/>
                <w:lang w:val="es-ES"/>
              </w:rPr>
            </w:pPr>
            <w:r w:rsidRPr="00C174D5">
              <w:rPr>
                <w:sz w:val="20"/>
                <w:lang w:val="es-ES"/>
              </w:rPr>
              <w:t>-11.891.092</w:t>
            </w:r>
          </w:p>
        </w:tc>
        <w:tc>
          <w:tcPr>
            <w:tcW w:w="1560" w:type="dxa"/>
            <w:tcBorders>
              <w:top w:val="single" w:sz="12" w:space="0" w:color="000000"/>
            </w:tcBorders>
            <w:shd w:val="clear" w:color="auto" w:fill="auto"/>
            <w:tcMar>
              <w:top w:w="15" w:type="dxa"/>
              <w:left w:w="108" w:type="dxa"/>
              <w:bottom w:w="0" w:type="dxa"/>
              <w:right w:w="108" w:type="dxa"/>
            </w:tcMar>
            <w:vAlign w:val="center"/>
          </w:tcPr>
          <w:p w14:paraId="1C0E0E7D" w14:textId="77777777" w:rsidR="00C92C58" w:rsidRPr="00C174D5" w:rsidRDefault="00C92C58" w:rsidP="00B15A9A">
            <w:pPr>
              <w:keepNext/>
              <w:keepLines/>
              <w:spacing w:after="0"/>
              <w:jc w:val="center"/>
              <w:rPr>
                <w:sz w:val="20"/>
                <w:lang w:val="es-ES"/>
              </w:rPr>
            </w:pPr>
            <w:r>
              <w:rPr>
                <w:sz w:val="20"/>
                <w:lang w:val="es-ES"/>
              </w:rPr>
              <w:t>936</w:t>
            </w:r>
            <w:r w:rsidRPr="00C174D5">
              <w:rPr>
                <w:sz w:val="20"/>
                <w:lang w:val="es-ES"/>
              </w:rPr>
              <w:t>.</w:t>
            </w:r>
            <w:r>
              <w:rPr>
                <w:sz w:val="20"/>
                <w:lang w:val="es-ES"/>
              </w:rPr>
              <w:t>310</w:t>
            </w:r>
          </w:p>
        </w:tc>
        <w:tc>
          <w:tcPr>
            <w:tcW w:w="1246" w:type="dxa"/>
            <w:tcBorders>
              <w:top w:val="single" w:sz="12" w:space="0" w:color="000000"/>
            </w:tcBorders>
            <w:shd w:val="clear" w:color="auto" w:fill="auto"/>
            <w:tcMar>
              <w:top w:w="15" w:type="dxa"/>
              <w:left w:w="108" w:type="dxa"/>
              <w:bottom w:w="0" w:type="dxa"/>
              <w:right w:w="108" w:type="dxa"/>
            </w:tcMar>
            <w:vAlign w:val="center"/>
          </w:tcPr>
          <w:p w14:paraId="624E8722" w14:textId="77777777" w:rsidR="00C92C58" w:rsidRPr="00C174D5" w:rsidRDefault="00C92C58" w:rsidP="00B15A9A">
            <w:pPr>
              <w:keepNext/>
              <w:keepLines/>
              <w:spacing w:after="0"/>
              <w:jc w:val="center"/>
              <w:rPr>
                <w:sz w:val="20"/>
                <w:lang w:val="es-ES"/>
              </w:rPr>
            </w:pPr>
            <w:r w:rsidRPr="00C174D5">
              <w:rPr>
                <w:sz w:val="20"/>
                <w:lang w:val="es-ES"/>
              </w:rPr>
              <w:t>-</w:t>
            </w:r>
            <w:r>
              <w:rPr>
                <w:sz w:val="20"/>
                <w:lang w:val="es-ES"/>
              </w:rPr>
              <w:t>3</w:t>
            </w:r>
            <w:r w:rsidRPr="00C174D5">
              <w:rPr>
                <w:sz w:val="20"/>
                <w:lang w:val="es-ES"/>
              </w:rPr>
              <w:t>.</w:t>
            </w:r>
            <w:r>
              <w:rPr>
                <w:sz w:val="20"/>
                <w:lang w:val="es-ES"/>
              </w:rPr>
              <w:t>321</w:t>
            </w:r>
            <w:r w:rsidRPr="00C174D5">
              <w:rPr>
                <w:sz w:val="20"/>
                <w:lang w:val="es-ES"/>
              </w:rPr>
              <w:t>.</w:t>
            </w:r>
            <w:r>
              <w:rPr>
                <w:sz w:val="20"/>
                <w:lang w:val="es-ES"/>
              </w:rPr>
              <w:t>051</w:t>
            </w:r>
          </w:p>
        </w:tc>
        <w:tc>
          <w:tcPr>
            <w:tcW w:w="704" w:type="dxa"/>
            <w:tcBorders>
              <w:top w:val="single" w:sz="12" w:space="0" w:color="000000"/>
            </w:tcBorders>
            <w:shd w:val="clear" w:color="auto" w:fill="auto"/>
            <w:tcMar>
              <w:top w:w="15" w:type="dxa"/>
              <w:left w:w="108" w:type="dxa"/>
              <w:bottom w:w="0" w:type="dxa"/>
              <w:right w:w="108" w:type="dxa"/>
            </w:tcMar>
            <w:vAlign w:val="center"/>
          </w:tcPr>
          <w:p w14:paraId="79A30641" w14:textId="77777777" w:rsidR="00C92C58" w:rsidRPr="00C174D5" w:rsidRDefault="00C92C58" w:rsidP="00B15A9A">
            <w:pPr>
              <w:keepNext/>
              <w:keepLines/>
              <w:spacing w:after="0"/>
              <w:jc w:val="center"/>
              <w:rPr>
                <w:sz w:val="20"/>
                <w:lang w:val="es-ES"/>
              </w:rPr>
            </w:pPr>
            <w:r>
              <w:rPr>
                <w:sz w:val="20"/>
                <w:lang w:val="es-ES"/>
              </w:rPr>
              <w:t>5%</w:t>
            </w:r>
          </w:p>
        </w:tc>
      </w:tr>
    </w:tbl>
    <w:p w14:paraId="27919232" w14:textId="77777777" w:rsidR="00C92C58" w:rsidRPr="00C174D5" w:rsidRDefault="00C92C58" w:rsidP="00C92C58">
      <w:pPr>
        <w:jc w:val="center"/>
        <w:rPr>
          <w:sz w:val="18"/>
          <w:lang w:val="es-ES"/>
        </w:rPr>
      </w:pPr>
      <w:r w:rsidRPr="00C174D5">
        <w:rPr>
          <w:sz w:val="18"/>
          <w:lang w:val="es-ES"/>
        </w:rPr>
        <w:t>Fuente: Elaboración propia en base a información de ENATREL provista por el BID</w:t>
      </w:r>
    </w:p>
    <w:p w14:paraId="16A23E0A" w14:textId="77777777" w:rsidR="00C92C58" w:rsidRPr="00C174D5" w:rsidRDefault="00C92C58" w:rsidP="00C92C58">
      <w:pPr>
        <w:rPr>
          <w:lang w:val="es-ES"/>
        </w:rPr>
      </w:pPr>
      <w:r w:rsidRPr="00C174D5">
        <w:rPr>
          <w:lang w:val="es-ES"/>
        </w:rPr>
        <w:t xml:space="preserve">Del análisis se desprende que el proyecto no es rentable desde el punto de vista privado, aunque sí es sostenible. En la evaluación financiera, bajo los supuestos adoptados, también se verifica un ahorro en los costos de operación y mantenimiento en presencia de proyecto (lo que representa, en realidad, un beneficio) ya que sin proyecto los mismos son un 10% de la inversión mientras que con proyecto son un 2,5% de la misma. Cabe destacar que, como se discutió más arriba, la evaluación financiera en este caso no es necesariamente relevante por cuanto el proyecto forma parte de la red de transmisión de ENATREL cuyas tarifas se determinan en función de costos medios. Que la tarifa no cubra el costo de este proyecto no implica directamente que la situación financiera de la empresa se vea comprometida por el mismo. </w:t>
      </w:r>
    </w:p>
    <w:p w14:paraId="6932D01C" w14:textId="77777777" w:rsidR="00C92C58" w:rsidRPr="00C174D5" w:rsidRDefault="00C92C58" w:rsidP="00C92C58">
      <w:pPr>
        <w:rPr>
          <w:lang w:val="es-ES"/>
        </w:rPr>
      </w:pPr>
      <w:r w:rsidRPr="00C174D5">
        <w:rPr>
          <w:lang w:val="es-ES"/>
        </w:rPr>
        <w:lastRenderedPageBreak/>
        <w:t xml:space="preserve">En lo que sigue (sección </w:t>
      </w:r>
      <w:r w:rsidRPr="00C174D5">
        <w:rPr>
          <w:lang w:val="es-ES"/>
        </w:rPr>
        <w:fldChar w:fldCharType="begin" w:fldLock="1"/>
      </w:r>
      <w:r w:rsidRPr="00C174D5">
        <w:rPr>
          <w:lang w:val="es-ES"/>
        </w:rPr>
        <w:instrText xml:space="preserve"> REF _Ref429393627 \r \h  \* MERGEFORMAT </w:instrText>
      </w:r>
      <w:r w:rsidRPr="00C174D5">
        <w:rPr>
          <w:lang w:val="es-ES"/>
        </w:rPr>
      </w:r>
      <w:r w:rsidRPr="00C174D5">
        <w:rPr>
          <w:lang w:val="es-ES"/>
        </w:rPr>
        <w:fldChar w:fldCharType="separate"/>
      </w:r>
      <w:r w:rsidRPr="00C174D5">
        <w:rPr>
          <w:lang w:val="es-ES"/>
        </w:rPr>
        <w:t>3.1.3</w:t>
      </w:r>
      <w:r w:rsidRPr="00C174D5">
        <w:rPr>
          <w:lang w:val="es-ES"/>
        </w:rPr>
        <w:fldChar w:fldCharType="end"/>
      </w:r>
      <w:r w:rsidRPr="00C174D5">
        <w:rPr>
          <w:lang w:val="es-ES"/>
        </w:rPr>
        <w:t>) se realiza un análisis de sensibilidad para evaluar la robustez de estos resultados.</w:t>
      </w:r>
    </w:p>
    <w:p w14:paraId="5D66B124" w14:textId="77777777" w:rsidR="00C92C58" w:rsidRPr="00C174D5" w:rsidRDefault="00C92C58" w:rsidP="00C92C58">
      <w:pPr>
        <w:pStyle w:val="Heading1"/>
        <w:pageBreakBefore w:val="0"/>
        <w:numPr>
          <w:ilvl w:val="2"/>
          <w:numId w:val="9"/>
        </w:numPr>
        <w:rPr>
          <w:lang w:val="es-ES"/>
        </w:rPr>
      </w:pPr>
      <w:bookmarkStart w:id="55" w:name="_Ref429393627"/>
      <w:bookmarkStart w:id="56" w:name="_Toc447546931"/>
      <w:bookmarkStart w:id="57" w:name="_Toc456353114"/>
      <w:r w:rsidRPr="00C174D5">
        <w:rPr>
          <w:lang w:val="es-ES"/>
        </w:rPr>
        <w:t>LT El Sauce-Villanueva - Sensibilidades</w:t>
      </w:r>
      <w:bookmarkEnd w:id="55"/>
      <w:bookmarkEnd w:id="56"/>
      <w:bookmarkEnd w:id="57"/>
    </w:p>
    <w:p w14:paraId="47A68C4B" w14:textId="77777777" w:rsidR="00C92C58" w:rsidRPr="00C174D5" w:rsidRDefault="00C92C58" w:rsidP="00C92C58">
      <w:pPr>
        <w:rPr>
          <w:lang w:val="es-ES"/>
        </w:rPr>
      </w:pPr>
      <w:r w:rsidRPr="00C174D5">
        <w:rPr>
          <w:lang w:val="es-ES"/>
        </w:rPr>
        <w:t xml:space="preserve">Como se mencionó con anterioridad, se realizan en esta sección sensibilidades a la tasa social de descuento, al crecimiento en la demanda de clientes existentes, al costo de falla y al costo de inversión. Respecto a la tasa social de descuento, se analiza la deseabilidad de los proyectos en presencia de una tasa social del 8%, que es la actualmente utilizada por el Sistema Nacional de Inversiones Públicas (SNIP) de Nicaragua. Las otras sensibilidades se hacen a partir de una variación porcentual dada del valor tomado como supuesto de base. </w:t>
      </w:r>
    </w:p>
    <w:p w14:paraId="5B60E765" w14:textId="77777777" w:rsidR="00C92C58" w:rsidRPr="00C174D5" w:rsidRDefault="00C92C58" w:rsidP="00C92C58">
      <w:pPr>
        <w:jc w:val="center"/>
        <w:rPr>
          <w:b/>
          <w:sz w:val="20"/>
          <w:lang w:val="es-ES"/>
        </w:rPr>
      </w:pPr>
      <w:bookmarkStart w:id="58" w:name="_Ref450036111"/>
      <w:bookmarkStart w:id="59" w:name="_Toc427684518"/>
      <w:bookmarkStart w:id="60" w:name="_Toc447546969"/>
      <w:bookmarkStart w:id="61" w:name="_Toc456353166"/>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10</w:t>
      </w:r>
      <w:r w:rsidRPr="00C174D5">
        <w:rPr>
          <w:b/>
          <w:sz w:val="20"/>
          <w:lang w:val="es-ES"/>
        </w:rPr>
        <w:fldChar w:fldCharType="end"/>
      </w:r>
      <w:bookmarkEnd w:id="58"/>
      <w:r w:rsidRPr="00C174D5">
        <w:rPr>
          <w:b/>
          <w:sz w:val="20"/>
          <w:lang w:val="es-ES"/>
        </w:rPr>
        <w:t>: Análisis de sensibilidad</w:t>
      </w:r>
      <w:bookmarkEnd w:id="59"/>
      <w:r w:rsidRPr="00C174D5">
        <w:rPr>
          <w:b/>
          <w:sz w:val="20"/>
          <w:lang w:val="es-ES"/>
        </w:rPr>
        <w:t xml:space="preserve"> evaluación económica - LT El Sauce-Villanueva</w:t>
      </w:r>
      <w:bookmarkEnd w:id="60"/>
      <w:bookmarkEnd w:id="61"/>
    </w:p>
    <w:tbl>
      <w:tblPr>
        <w:tblW w:w="81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701"/>
        <w:gridCol w:w="2409"/>
        <w:gridCol w:w="2217"/>
        <w:gridCol w:w="1142"/>
        <w:gridCol w:w="680"/>
      </w:tblGrid>
      <w:tr w:rsidR="00C92C58" w:rsidRPr="00C174D5" w14:paraId="30056019" w14:textId="77777777" w:rsidTr="00B15A9A">
        <w:trPr>
          <w:trHeight w:val="300"/>
          <w:jc w:val="center"/>
        </w:trPr>
        <w:tc>
          <w:tcPr>
            <w:tcW w:w="4110" w:type="dxa"/>
            <w:gridSpan w:val="2"/>
            <w:tcBorders>
              <w:top w:val="single" w:sz="12" w:space="0" w:color="auto"/>
              <w:bottom w:val="single" w:sz="12" w:space="0" w:color="auto"/>
            </w:tcBorders>
            <w:shd w:val="clear" w:color="auto" w:fill="BFBFBF" w:themeFill="background1" w:themeFillShade="BF"/>
            <w:noWrap/>
            <w:vAlign w:val="center"/>
          </w:tcPr>
          <w:p w14:paraId="2F99F8D7" w14:textId="77777777" w:rsidR="00C92C58" w:rsidRPr="00C174D5" w:rsidRDefault="00C92C58" w:rsidP="00B15A9A">
            <w:pPr>
              <w:keepNext/>
              <w:keepLines/>
              <w:spacing w:after="0" w:line="240" w:lineRule="auto"/>
              <w:jc w:val="left"/>
              <w:rPr>
                <w:rFonts w:eastAsia="Times New Roman" w:cs="Times New Roman"/>
                <w:b/>
                <w:sz w:val="20"/>
                <w:szCs w:val="20"/>
                <w:lang w:val="es-ES" w:eastAsia="es-AR"/>
              </w:rPr>
            </w:pPr>
            <w:r w:rsidRPr="00C174D5">
              <w:rPr>
                <w:rFonts w:eastAsia="Times New Roman" w:cs="Arial"/>
                <w:b/>
                <w:sz w:val="20"/>
                <w:szCs w:val="20"/>
                <w:lang w:val="es-ES" w:eastAsia="es-AR"/>
              </w:rPr>
              <w:t>LT El Sauce-Villanueva</w:t>
            </w:r>
          </w:p>
        </w:tc>
        <w:tc>
          <w:tcPr>
            <w:tcW w:w="3359" w:type="dxa"/>
            <w:gridSpan w:val="2"/>
            <w:tcBorders>
              <w:top w:val="single" w:sz="12" w:space="0" w:color="auto"/>
              <w:bottom w:val="single" w:sz="12" w:space="0" w:color="auto"/>
            </w:tcBorders>
            <w:shd w:val="clear" w:color="auto" w:fill="BFBFBF" w:themeFill="background1" w:themeFillShade="BF"/>
            <w:vAlign w:val="center"/>
          </w:tcPr>
          <w:p w14:paraId="40EC2034" w14:textId="77777777" w:rsidR="00C92C58" w:rsidRPr="00C174D5" w:rsidRDefault="00C92C58" w:rsidP="00B15A9A">
            <w:pPr>
              <w:keepNext/>
              <w:keepLines/>
              <w:spacing w:after="0" w:line="240" w:lineRule="auto"/>
              <w:jc w:val="center"/>
              <w:rPr>
                <w:rFonts w:eastAsia="Times New Roman" w:cs="Times New Roman"/>
                <w:b/>
                <w:sz w:val="20"/>
                <w:szCs w:val="20"/>
                <w:lang w:val="es-ES" w:eastAsia="es-AR"/>
              </w:rPr>
            </w:pPr>
            <w:r w:rsidRPr="00C174D5">
              <w:rPr>
                <w:rFonts w:eastAsia="Times New Roman" w:cs="Arial"/>
                <w:b/>
                <w:sz w:val="20"/>
                <w:szCs w:val="20"/>
                <w:lang w:val="es-ES" w:eastAsia="es-AR"/>
              </w:rPr>
              <w:t>VPNE (US$)</w:t>
            </w:r>
          </w:p>
        </w:tc>
        <w:tc>
          <w:tcPr>
            <w:tcW w:w="680" w:type="dxa"/>
            <w:tcBorders>
              <w:top w:val="single" w:sz="12" w:space="0" w:color="auto"/>
              <w:bottom w:val="single" w:sz="12" w:space="0" w:color="auto"/>
            </w:tcBorders>
            <w:shd w:val="clear" w:color="auto" w:fill="BFBFBF" w:themeFill="background1" w:themeFillShade="BF"/>
            <w:vAlign w:val="center"/>
          </w:tcPr>
          <w:p w14:paraId="3D9C4B66" w14:textId="77777777" w:rsidR="00C92C58" w:rsidRPr="00C174D5" w:rsidRDefault="00C92C58" w:rsidP="00B15A9A">
            <w:pPr>
              <w:keepNext/>
              <w:keepLines/>
              <w:spacing w:after="0" w:line="240" w:lineRule="auto"/>
              <w:jc w:val="center"/>
              <w:rPr>
                <w:rFonts w:eastAsia="Times New Roman" w:cs="Arial"/>
                <w:b/>
                <w:sz w:val="20"/>
                <w:szCs w:val="20"/>
                <w:lang w:val="es-ES" w:eastAsia="es-AR"/>
              </w:rPr>
            </w:pPr>
            <w:r w:rsidRPr="00C174D5">
              <w:rPr>
                <w:rFonts w:eastAsia="Times New Roman" w:cs="Arial"/>
                <w:b/>
                <w:sz w:val="20"/>
                <w:szCs w:val="20"/>
                <w:lang w:val="es-ES" w:eastAsia="es-AR"/>
              </w:rPr>
              <w:t>TIRE (%)</w:t>
            </w:r>
          </w:p>
        </w:tc>
      </w:tr>
      <w:tr w:rsidR="00C92C58" w:rsidRPr="00C174D5" w14:paraId="07282CCE" w14:textId="77777777" w:rsidTr="00B15A9A">
        <w:trPr>
          <w:trHeight w:val="300"/>
          <w:jc w:val="center"/>
        </w:trPr>
        <w:tc>
          <w:tcPr>
            <w:tcW w:w="4110" w:type="dxa"/>
            <w:gridSpan w:val="2"/>
            <w:tcBorders>
              <w:top w:val="single" w:sz="12" w:space="0" w:color="auto"/>
              <w:bottom w:val="single" w:sz="2" w:space="0" w:color="auto"/>
            </w:tcBorders>
            <w:shd w:val="clear" w:color="auto" w:fill="auto"/>
            <w:noWrap/>
            <w:vAlign w:val="center"/>
          </w:tcPr>
          <w:p w14:paraId="594462F7" w14:textId="77777777" w:rsidR="00C92C58" w:rsidRPr="00C174D5" w:rsidRDefault="00C92C58" w:rsidP="00B15A9A">
            <w:pPr>
              <w:keepNext/>
              <w:keepLines/>
              <w:spacing w:after="0" w:line="240" w:lineRule="auto"/>
              <w:jc w:val="left"/>
              <w:rPr>
                <w:rFonts w:eastAsia="Times New Roman" w:cs="Times New Roman"/>
                <w:i/>
                <w:sz w:val="20"/>
                <w:szCs w:val="20"/>
                <w:lang w:val="es-ES" w:eastAsia="es-AR"/>
              </w:rPr>
            </w:pPr>
            <w:r w:rsidRPr="00C174D5">
              <w:rPr>
                <w:rFonts w:eastAsia="Times New Roman" w:cs="Times New Roman"/>
                <w:i/>
                <w:sz w:val="20"/>
                <w:szCs w:val="20"/>
                <w:lang w:val="es-ES" w:eastAsia="es-AR"/>
              </w:rPr>
              <w:t xml:space="preserve">Caso Base </w:t>
            </w:r>
          </w:p>
        </w:tc>
        <w:tc>
          <w:tcPr>
            <w:tcW w:w="3359" w:type="dxa"/>
            <w:gridSpan w:val="2"/>
            <w:tcBorders>
              <w:top w:val="single" w:sz="12" w:space="0" w:color="auto"/>
              <w:bottom w:val="single" w:sz="2" w:space="0" w:color="auto"/>
            </w:tcBorders>
            <w:vAlign w:val="center"/>
          </w:tcPr>
          <w:p w14:paraId="2F958D4D" w14:textId="77777777" w:rsidR="00C92C58" w:rsidRPr="00C174D5" w:rsidRDefault="00C92C58" w:rsidP="00B15A9A">
            <w:pPr>
              <w:keepNext/>
              <w:keepLines/>
              <w:spacing w:after="0" w:line="240" w:lineRule="auto"/>
              <w:jc w:val="center"/>
              <w:rPr>
                <w:rFonts w:eastAsia="Times New Roman" w:cs="Times New Roman"/>
                <w:i/>
                <w:sz w:val="20"/>
                <w:szCs w:val="20"/>
                <w:lang w:val="es-ES" w:eastAsia="es-AR"/>
              </w:rPr>
            </w:pPr>
            <w:r w:rsidRPr="00EE465A">
              <w:rPr>
                <w:rFonts w:eastAsia="Times New Roman" w:cs="Times New Roman"/>
                <w:i/>
                <w:sz w:val="20"/>
                <w:szCs w:val="20"/>
                <w:lang w:val="es-ES" w:eastAsia="es-AR"/>
              </w:rPr>
              <w:t>46.488.779</w:t>
            </w:r>
          </w:p>
        </w:tc>
        <w:tc>
          <w:tcPr>
            <w:tcW w:w="680" w:type="dxa"/>
            <w:tcBorders>
              <w:top w:val="single" w:sz="12" w:space="0" w:color="auto"/>
              <w:bottom w:val="single" w:sz="2" w:space="0" w:color="auto"/>
            </w:tcBorders>
            <w:vAlign w:val="center"/>
          </w:tcPr>
          <w:p w14:paraId="175A8836" w14:textId="77777777" w:rsidR="00C92C58" w:rsidRPr="00C174D5" w:rsidRDefault="00C92C58" w:rsidP="00B15A9A">
            <w:pPr>
              <w:keepNext/>
              <w:keepLines/>
              <w:spacing w:after="0" w:line="240" w:lineRule="auto"/>
              <w:jc w:val="center"/>
              <w:rPr>
                <w:rFonts w:eastAsia="Times New Roman" w:cs="Times New Roman"/>
                <w:i/>
                <w:sz w:val="20"/>
                <w:szCs w:val="20"/>
                <w:lang w:val="es-ES" w:eastAsia="es-AR"/>
              </w:rPr>
            </w:pPr>
            <w:r>
              <w:rPr>
                <w:rFonts w:eastAsia="Times New Roman" w:cs="Times New Roman"/>
                <w:i/>
                <w:sz w:val="20"/>
                <w:szCs w:val="20"/>
                <w:lang w:val="es-ES" w:eastAsia="es-AR"/>
              </w:rPr>
              <w:t>27</w:t>
            </w:r>
            <w:r w:rsidRPr="00C174D5">
              <w:rPr>
                <w:rFonts w:eastAsia="Times New Roman" w:cs="Times New Roman"/>
                <w:i/>
                <w:sz w:val="20"/>
                <w:szCs w:val="20"/>
                <w:lang w:val="es-ES" w:eastAsia="es-AR"/>
              </w:rPr>
              <w:t>%</w:t>
            </w:r>
          </w:p>
        </w:tc>
      </w:tr>
      <w:tr w:rsidR="00C92C58" w:rsidRPr="00C174D5" w14:paraId="13DAEE16" w14:textId="77777777" w:rsidTr="00B15A9A">
        <w:trPr>
          <w:trHeight w:val="300"/>
          <w:jc w:val="center"/>
        </w:trPr>
        <w:tc>
          <w:tcPr>
            <w:tcW w:w="4110" w:type="dxa"/>
            <w:gridSpan w:val="2"/>
            <w:tcBorders>
              <w:top w:val="single" w:sz="2" w:space="0" w:color="auto"/>
            </w:tcBorders>
            <w:shd w:val="clear" w:color="auto" w:fill="auto"/>
            <w:noWrap/>
            <w:vAlign w:val="center"/>
          </w:tcPr>
          <w:p w14:paraId="2B4B7C41"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Tasa social de descuento(base 12%): 8%</w:t>
            </w:r>
          </w:p>
        </w:tc>
        <w:tc>
          <w:tcPr>
            <w:tcW w:w="2217" w:type="dxa"/>
            <w:tcBorders>
              <w:top w:val="single" w:sz="2" w:space="0" w:color="auto"/>
            </w:tcBorders>
            <w:vAlign w:val="center"/>
          </w:tcPr>
          <w:p w14:paraId="09EAA3E8"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EE465A">
              <w:rPr>
                <w:rFonts w:eastAsia="Times New Roman" w:cs="Times New Roman"/>
                <w:sz w:val="20"/>
                <w:szCs w:val="20"/>
                <w:lang w:val="es-ES" w:eastAsia="es-AR"/>
              </w:rPr>
              <w:t>84</w:t>
            </w:r>
            <w:r>
              <w:rPr>
                <w:rFonts w:eastAsia="Times New Roman" w:cs="Times New Roman"/>
                <w:sz w:val="20"/>
                <w:szCs w:val="20"/>
                <w:lang w:val="es-ES" w:eastAsia="es-AR"/>
              </w:rPr>
              <w:t>.865.</w:t>
            </w:r>
            <w:r w:rsidRPr="00EE465A">
              <w:rPr>
                <w:rFonts w:eastAsia="Times New Roman" w:cs="Times New Roman"/>
                <w:sz w:val="20"/>
                <w:szCs w:val="20"/>
                <w:lang w:val="es-ES" w:eastAsia="es-AR"/>
              </w:rPr>
              <w:t>837</w:t>
            </w:r>
          </w:p>
        </w:tc>
        <w:tc>
          <w:tcPr>
            <w:tcW w:w="1142" w:type="dxa"/>
            <w:tcBorders>
              <w:top w:val="single" w:sz="2" w:space="0" w:color="auto"/>
            </w:tcBorders>
            <w:vAlign w:val="center"/>
          </w:tcPr>
          <w:p w14:paraId="099EAA0A"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w:t>
            </w:r>
            <w:r>
              <w:rPr>
                <w:rFonts w:eastAsia="Times New Roman" w:cs="Times New Roman"/>
                <w:sz w:val="20"/>
                <w:szCs w:val="20"/>
                <w:lang w:val="es-ES" w:eastAsia="es-AR"/>
              </w:rPr>
              <w:t>82,6</w:t>
            </w:r>
            <w:r w:rsidRPr="00C174D5">
              <w:rPr>
                <w:rFonts w:eastAsia="Times New Roman" w:cs="Times New Roman"/>
                <w:sz w:val="20"/>
                <w:szCs w:val="20"/>
                <w:lang w:val="es-ES" w:eastAsia="es-AR"/>
              </w:rPr>
              <w:t>%</w:t>
            </w:r>
          </w:p>
        </w:tc>
        <w:tc>
          <w:tcPr>
            <w:tcW w:w="680" w:type="dxa"/>
            <w:tcBorders>
              <w:top w:val="single" w:sz="2" w:space="0" w:color="auto"/>
            </w:tcBorders>
            <w:vAlign w:val="center"/>
          </w:tcPr>
          <w:p w14:paraId="26EE024C"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27</w:t>
            </w:r>
            <w:r w:rsidRPr="00C174D5">
              <w:rPr>
                <w:rFonts w:eastAsia="Times New Roman" w:cs="Times New Roman"/>
                <w:sz w:val="20"/>
                <w:szCs w:val="20"/>
                <w:lang w:val="es-ES" w:eastAsia="es-AR"/>
              </w:rPr>
              <w:t>%</w:t>
            </w:r>
          </w:p>
        </w:tc>
      </w:tr>
      <w:tr w:rsidR="00C92C58" w:rsidRPr="00E67BF2" w14:paraId="1ADC08D6" w14:textId="77777777" w:rsidTr="00B15A9A">
        <w:trPr>
          <w:trHeight w:val="300"/>
          <w:jc w:val="center"/>
        </w:trPr>
        <w:tc>
          <w:tcPr>
            <w:tcW w:w="8149" w:type="dxa"/>
            <w:gridSpan w:val="5"/>
            <w:tcBorders>
              <w:top w:val="single" w:sz="2" w:space="0" w:color="auto"/>
            </w:tcBorders>
            <w:shd w:val="clear" w:color="auto" w:fill="auto"/>
            <w:noWrap/>
            <w:vAlign w:val="center"/>
          </w:tcPr>
          <w:p w14:paraId="50EC789D"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 xml:space="preserve">Tasa de crecimiento promedio de la demanda existente (base </w:t>
            </w:r>
            <w:r>
              <w:rPr>
                <w:rFonts w:eastAsia="Times New Roman" w:cs="Times New Roman"/>
                <w:sz w:val="20"/>
                <w:szCs w:val="20"/>
                <w:lang w:val="es-ES" w:eastAsia="es-AR"/>
              </w:rPr>
              <w:t>3</w:t>
            </w:r>
            <w:r w:rsidRPr="00C174D5">
              <w:rPr>
                <w:rFonts w:eastAsia="Times New Roman" w:cs="Times New Roman"/>
                <w:sz w:val="20"/>
                <w:szCs w:val="20"/>
                <w:lang w:val="es-ES" w:eastAsia="es-AR"/>
              </w:rPr>
              <w:t>,</w:t>
            </w:r>
            <w:r>
              <w:rPr>
                <w:rFonts w:eastAsia="Times New Roman" w:cs="Times New Roman"/>
                <w:sz w:val="20"/>
                <w:szCs w:val="20"/>
                <w:lang w:val="es-ES" w:eastAsia="es-AR"/>
              </w:rPr>
              <w:t>6</w:t>
            </w:r>
            <w:r w:rsidRPr="00C174D5">
              <w:rPr>
                <w:rFonts w:eastAsia="Times New Roman" w:cs="Times New Roman"/>
                <w:sz w:val="20"/>
                <w:szCs w:val="20"/>
                <w:lang w:val="es-ES" w:eastAsia="es-AR"/>
              </w:rPr>
              <w:t>0%)</w:t>
            </w:r>
          </w:p>
        </w:tc>
      </w:tr>
      <w:tr w:rsidR="00C92C58" w:rsidRPr="00C174D5" w14:paraId="3A283705" w14:textId="77777777" w:rsidTr="00B15A9A">
        <w:trPr>
          <w:trHeight w:val="300"/>
          <w:jc w:val="center"/>
        </w:trPr>
        <w:tc>
          <w:tcPr>
            <w:tcW w:w="1701" w:type="dxa"/>
            <w:tcBorders>
              <w:top w:val="single" w:sz="2" w:space="0" w:color="auto"/>
            </w:tcBorders>
            <w:shd w:val="clear" w:color="auto" w:fill="auto"/>
            <w:noWrap/>
            <w:vAlign w:val="center"/>
          </w:tcPr>
          <w:p w14:paraId="064BBF81"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22FE6F76"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3,</w:t>
            </w:r>
            <w:r>
              <w:rPr>
                <w:rFonts w:eastAsia="Times New Roman" w:cs="Times New Roman"/>
                <w:sz w:val="20"/>
                <w:szCs w:val="20"/>
                <w:lang w:val="es-ES" w:eastAsia="es-AR"/>
              </w:rPr>
              <w:t>0</w:t>
            </w:r>
            <w:r w:rsidRPr="00C174D5">
              <w:rPr>
                <w:rFonts w:eastAsia="Times New Roman" w:cs="Times New Roman"/>
                <w:sz w:val="20"/>
                <w:szCs w:val="20"/>
                <w:lang w:val="es-ES" w:eastAsia="es-AR"/>
              </w:rPr>
              <w:t>6% (- 15%)</w:t>
            </w:r>
          </w:p>
        </w:tc>
        <w:tc>
          <w:tcPr>
            <w:tcW w:w="2217" w:type="dxa"/>
            <w:tcBorders>
              <w:top w:val="single" w:sz="2" w:space="0" w:color="auto"/>
            </w:tcBorders>
            <w:vAlign w:val="center"/>
          </w:tcPr>
          <w:p w14:paraId="1606D32B"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36.</w:t>
            </w:r>
            <w:r w:rsidRPr="00B36014">
              <w:rPr>
                <w:rFonts w:eastAsia="Times New Roman" w:cs="Times New Roman"/>
                <w:sz w:val="20"/>
                <w:szCs w:val="20"/>
                <w:lang w:val="es-ES" w:eastAsia="es-AR"/>
              </w:rPr>
              <w:t>870</w:t>
            </w:r>
            <w:r>
              <w:rPr>
                <w:rFonts w:eastAsia="Times New Roman" w:cs="Times New Roman"/>
                <w:sz w:val="20"/>
                <w:szCs w:val="20"/>
                <w:lang w:val="es-ES" w:eastAsia="es-AR"/>
              </w:rPr>
              <w:t>.</w:t>
            </w:r>
            <w:r w:rsidRPr="00B36014">
              <w:rPr>
                <w:rFonts w:eastAsia="Times New Roman" w:cs="Times New Roman"/>
                <w:sz w:val="20"/>
                <w:szCs w:val="20"/>
                <w:lang w:val="es-ES" w:eastAsia="es-AR"/>
              </w:rPr>
              <w:t>728</w:t>
            </w:r>
          </w:p>
        </w:tc>
        <w:tc>
          <w:tcPr>
            <w:tcW w:w="1142" w:type="dxa"/>
            <w:tcBorders>
              <w:top w:val="single" w:sz="2" w:space="0" w:color="auto"/>
            </w:tcBorders>
            <w:vAlign w:val="center"/>
          </w:tcPr>
          <w:p w14:paraId="1EDFCF2C"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-20</w:t>
            </w:r>
            <w:r>
              <w:rPr>
                <w:rFonts w:eastAsia="Times New Roman" w:cs="Times New Roman"/>
                <w:sz w:val="20"/>
                <w:szCs w:val="20"/>
                <w:lang w:val="es-ES" w:eastAsia="es-AR"/>
              </w:rPr>
              <w:t>,7</w:t>
            </w:r>
            <w:r w:rsidRPr="00C174D5">
              <w:rPr>
                <w:rFonts w:eastAsia="Times New Roman" w:cs="Times New Roman"/>
                <w:sz w:val="20"/>
                <w:szCs w:val="20"/>
                <w:lang w:val="es-ES" w:eastAsia="es-AR"/>
              </w:rPr>
              <w:t>%</w:t>
            </w:r>
          </w:p>
        </w:tc>
        <w:tc>
          <w:tcPr>
            <w:tcW w:w="680" w:type="dxa"/>
            <w:tcBorders>
              <w:top w:val="single" w:sz="2" w:space="0" w:color="auto"/>
            </w:tcBorders>
            <w:vAlign w:val="center"/>
          </w:tcPr>
          <w:p w14:paraId="0B1B8774"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25</w:t>
            </w:r>
            <w:r w:rsidRPr="00C174D5">
              <w:rPr>
                <w:rFonts w:eastAsia="Times New Roman" w:cs="Times New Roman"/>
                <w:sz w:val="20"/>
                <w:szCs w:val="20"/>
                <w:lang w:val="es-ES" w:eastAsia="es-AR"/>
              </w:rPr>
              <w:t>%</w:t>
            </w:r>
          </w:p>
        </w:tc>
      </w:tr>
      <w:tr w:rsidR="00C92C58" w:rsidRPr="00C174D5" w14:paraId="0F9105DC" w14:textId="77777777" w:rsidTr="00B15A9A">
        <w:trPr>
          <w:trHeight w:val="300"/>
          <w:jc w:val="center"/>
        </w:trPr>
        <w:tc>
          <w:tcPr>
            <w:tcW w:w="1701" w:type="dxa"/>
            <w:tcBorders>
              <w:top w:val="single" w:sz="2" w:space="0" w:color="auto"/>
            </w:tcBorders>
            <w:shd w:val="clear" w:color="auto" w:fill="auto"/>
            <w:noWrap/>
            <w:vAlign w:val="center"/>
          </w:tcPr>
          <w:p w14:paraId="33D39867"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578A7C3C"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Pr>
                <w:rFonts w:eastAsia="Times New Roman" w:cs="Times New Roman"/>
                <w:sz w:val="20"/>
                <w:szCs w:val="20"/>
                <w:lang w:val="es-ES" w:eastAsia="es-AR"/>
              </w:rPr>
              <w:t>2</w:t>
            </w:r>
            <w:r w:rsidRPr="00C174D5">
              <w:rPr>
                <w:rFonts w:eastAsia="Times New Roman" w:cs="Times New Roman"/>
                <w:sz w:val="20"/>
                <w:szCs w:val="20"/>
                <w:lang w:val="es-ES" w:eastAsia="es-AR"/>
              </w:rPr>
              <w:t>,</w:t>
            </w:r>
            <w:r>
              <w:rPr>
                <w:rFonts w:eastAsia="Times New Roman" w:cs="Times New Roman"/>
                <w:sz w:val="20"/>
                <w:szCs w:val="20"/>
                <w:lang w:val="es-ES" w:eastAsia="es-AR"/>
              </w:rPr>
              <w:t>52</w:t>
            </w:r>
            <w:r w:rsidRPr="00C174D5">
              <w:rPr>
                <w:rFonts w:eastAsia="Times New Roman" w:cs="Times New Roman"/>
                <w:sz w:val="20"/>
                <w:szCs w:val="20"/>
                <w:lang w:val="es-ES" w:eastAsia="es-AR"/>
              </w:rPr>
              <w:t>% (- 30%)</w:t>
            </w:r>
          </w:p>
        </w:tc>
        <w:tc>
          <w:tcPr>
            <w:tcW w:w="2217" w:type="dxa"/>
            <w:tcBorders>
              <w:top w:val="single" w:sz="2" w:space="0" w:color="auto"/>
            </w:tcBorders>
            <w:vAlign w:val="center"/>
          </w:tcPr>
          <w:p w14:paraId="76CCFB4F"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28.</w:t>
            </w:r>
            <w:r w:rsidRPr="00B36014">
              <w:rPr>
                <w:rFonts w:eastAsia="Times New Roman" w:cs="Times New Roman"/>
                <w:sz w:val="20"/>
                <w:szCs w:val="20"/>
                <w:lang w:val="es-ES" w:eastAsia="es-AR"/>
              </w:rPr>
              <w:t>337</w:t>
            </w:r>
            <w:r>
              <w:rPr>
                <w:rFonts w:eastAsia="Times New Roman" w:cs="Times New Roman"/>
                <w:sz w:val="20"/>
                <w:szCs w:val="20"/>
                <w:lang w:val="es-ES" w:eastAsia="es-AR"/>
              </w:rPr>
              <w:t>.</w:t>
            </w:r>
            <w:r w:rsidRPr="00B36014">
              <w:rPr>
                <w:rFonts w:eastAsia="Times New Roman" w:cs="Times New Roman"/>
                <w:sz w:val="20"/>
                <w:szCs w:val="20"/>
                <w:lang w:val="es-ES" w:eastAsia="es-AR"/>
              </w:rPr>
              <w:t>564</w:t>
            </w:r>
          </w:p>
        </w:tc>
        <w:tc>
          <w:tcPr>
            <w:tcW w:w="1142" w:type="dxa"/>
            <w:tcBorders>
              <w:top w:val="single" w:sz="2" w:space="0" w:color="auto"/>
            </w:tcBorders>
            <w:vAlign w:val="center"/>
          </w:tcPr>
          <w:p w14:paraId="30D20D05"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-3</w:t>
            </w:r>
            <w:r>
              <w:rPr>
                <w:rFonts w:eastAsia="Times New Roman" w:cs="Times New Roman"/>
                <w:sz w:val="20"/>
                <w:szCs w:val="20"/>
                <w:lang w:val="es-ES" w:eastAsia="es-AR"/>
              </w:rPr>
              <w:t>9</w:t>
            </w:r>
            <w:r w:rsidRPr="00C174D5">
              <w:rPr>
                <w:rFonts w:eastAsia="Times New Roman" w:cs="Times New Roman"/>
                <w:sz w:val="20"/>
                <w:szCs w:val="20"/>
                <w:lang w:val="es-ES" w:eastAsia="es-AR"/>
              </w:rPr>
              <w:t>%</w:t>
            </w:r>
          </w:p>
        </w:tc>
        <w:tc>
          <w:tcPr>
            <w:tcW w:w="680" w:type="dxa"/>
            <w:tcBorders>
              <w:top w:val="single" w:sz="2" w:space="0" w:color="auto"/>
            </w:tcBorders>
            <w:vAlign w:val="center"/>
          </w:tcPr>
          <w:p w14:paraId="054A544F"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24</w:t>
            </w:r>
            <w:r w:rsidRPr="00C174D5">
              <w:rPr>
                <w:rFonts w:eastAsia="Times New Roman" w:cs="Times New Roman"/>
                <w:sz w:val="20"/>
                <w:szCs w:val="20"/>
                <w:lang w:val="es-ES" w:eastAsia="es-AR"/>
              </w:rPr>
              <w:t>%</w:t>
            </w:r>
          </w:p>
        </w:tc>
      </w:tr>
      <w:tr w:rsidR="00C92C58" w:rsidRPr="00E67BF2" w14:paraId="4A3AFD58" w14:textId="77777777" w:rsidTr="00B15A9A">
        <w:trPr>
          <w:trHeight w:val="300"/>
          <w:jc w:val="center"/>
        </w:trPr>
        <w:tc>
          <w:tcPr>
            <w:tcW w:w="8149" w:type="dxa"/>
            <w:gridSpan w:val="5"/>
            <w:tcBorders>
              <w:top w:val="single" w:sz="2" w:space="0" w:color="auto"/>
              <w:bottom w:val="single" w:sz="2" w:space="0" w:color="auto"/>
            </w:tcBorders>
            <w:shd w:val="clear" w:color="auto" w:fill="auto"/>
            <w:noWrap/>
            <w:vAlign w:val="center"/>
          </w:tcPr>
          <w:p w14:paraId="499A9460"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Costo de falla (base 1.500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xml:space="preserve">) </w:t>
            </w:r>
          </w:p>
        </w:tc>
      </w:tr>
      <w:tr w:rsidR="00C92C58" w:rsidRPr="00C174D5" w14:paraId="6C98032A" w14:textId="77777777" w:rsidTr="00B15A9A">
        <w:trPr>
          <w:trHeight w:val="300"/>
          <w:jc w:val="center"/>
        </w:trPr>
        <w:tc>
          <w:tcPr>
            <w:tcW w:w="1701" w:type="dxa"/>
            <w:tcBorders>
              <w:top w:val="single" w:sz="2" w:space="0" w:color="auto"/>
            </w:tcBorders>
            <w:shd w:val="clear" w:color="auto" w:fill="auto"/>
            <w:noWrap/>
            <w:vAlign w:val="center"/>
          </w:tcPr>
          <w:p w14:paraId="5415E3F9"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66D79A7A"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1.725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xml:space="preserve"> (+ 15%)</w:t>
            </w:r>
          </w:p>
        </w:tc>
        <w:tc>
          <w:tcPr>
            <w:tcW w:w="2217" w:type="dxa"/>
            <w:tcBorders>
              <w:top w:val="single" w:sz="2" w:space="0" w:color="auto"/>
            </w:tcBorders>
            <w:vAlign w:val="center"/>
          </w:tcPr>
          <w:p w14:paraId="784E1E0C"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B36014">
              <w:rPr>
                <w:rFonts w:eastAsia="Times New Roman" w:cs="Times New Roman"/>
                <w:sz w:val="20"/>
                <w:szCs w:val="20"/>
                <w:lang w:val="es-ES" w:eastAsia="es-AR"/>
              </w:rPr>
              <w:t>55</w:t>
            </w:r>
            <w:r>
              <w:rPr>
                <w:rFonts w:eastAsia="Times New Roman" w:cs="Times New Roman"/>
                <w:sz w:val="20"/>
                <w:szCs w:val="20"/>
                <w:lang w:val="es-ES" w:eastAsia="es-AR"/>
              </w:rPr>
              <w:t>.</w:t>
            </w:r>
            <w:r w:rsidRPr="00B36014">
              <w:rPr>
                <w:rFonts w:eastAsia="Times New Roman" w:cs="Times New Roman"/>
                <w:sz w:val="20"/>
                <w:szCs w:val="20"/>
                <w:lang w:val="es-ES" w:eastAsia="es-AR"/>
              </w:rPr>
              <w:t>593</w:t>
            </w:r>
            <w:r>
              <w:rPr>
                <w:rFonts w:eastAsia="Times New Roman" w:cs="Times New Roman"/>
                <w:sz w:val="20"/>
                <w:szCs w:val="20"/>
                <w:lang w:val="es-ES" w:eastAsia="es-AR"/>
              </w:rPr>
              <w:t>.</w:t>
            </w:r>
            <w:r w:rsidRPr="00B36014">
              <w:rPr>
                <w:rFonts w:eastAsia="Times New Roman" w:cs="Times New Roman"/>
                <w:sz w:val="20"/>
                <w:szCs w:val="20"/>
                <w:lang w:val="es-ES" w:eastAsia="es-AR"/>
              </w:rPr>
              <w:t>809</w:t>
            </w:r>
          </w:p>
        </w:tc>
        <w:tc>
          <w:tcPr>
            <w:tcW w:w="1142" w:type="dxa"/>
            <w:tcBorders>
              <w:top w:val="single" w:sz="2" w:space="0" w:color="auto"/>
            </w:tcBorders>
            <w:vAlign w:val="center"/>
          </w:tcPr>
          <w:p w14:paraId="67E3A97E"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w:t>
            </w:r>
            <w:r>
              <w:rPr>
                <w:rFonts w:eastAsia="Times New Roman" w:cs="Times New Roman"/>
                <w:sz w:val="20"/>
                <w:szCs w:val="20"/>
                <w:lang w:val="es-ES" w:eastAsia="es-AR"/>
              </w:rPr>
              <w:t>9</w:t>
            </w:r>
            <w:r w:rsidRPr="00C174D5">
              <w:rPr>
                <w:rFonts w:eastAsia="Times New Roman" w:cs="Times New Roman"/>
                <w:sz w:val="20"/>
                <w:szCs w:val="20"/>
                <w:lang w:val="es-ES" w:eastAsia="es-AR"/>
              </w:rPr>
              <w:t>,</w:t>
            </w:r>
            <w:r>
              <w:rPr>
                <w:rFonts w:eastAsia="Times New Roman" w:cs="Times New Roman"/>
                <w:sz w:val="20"/>
                <w:szCs w:val="20"/>
                <w:lang w:val="es-ES" w:eastAsia="es-AR"/>
              </w:rPr>
              <w:t>6</w:t>
            </w:r>
            <w:r w:rsidRPr="00C174D5">
              <w:rPr>
                <w:rFonts w:eastAsia="Times New Roman" w:cs="Times New Roman"/>
                <w:sz w:val="20"/>
                <w:szCs w:val="20"/>
                <w:lang w:val="es-ES" w:eastAsia="es-AR"/>
              </w:rPr>
              <w:t>%</w:t>
            </w:r>
          </w:p>
        </w:tc>
        <w:tc>
          <w:tcPr>
            <w:tcW w:w="680" w:type="dxa"/>
            <w:tcBorders>
              <w:top w:val="single" w:sz="2" w:space="0" w:color="auto"/>
            </w:tcBorders>
            <w:vAlign w:val="center"/>
          </w:tcPr>
          <w:p w14:paraId="23EA3FA3"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29</w:t>
            </w:r>
            <w:r w:rsidRPr="00C174D5">
              <w:rPr>
                <w:rFonts w:eastAsia="Times New Roman" w:cs="Times New Roman"/>
                <w:sz w:val="20"/>
                <w:szCs w:val="20"/>
                <w:lang w:val="es-ES" w:eastAsia="es-AR"/>
              </w:rPr>
              <w:t>%</w:t>
            </w:r>
          </w:p>
        </w:tc>
      </w:tr>
      <w:tr w:rsidR="00C92C58" w:rsidRPr="00B36014" w14:paraId="69B2AAB0" w14:textId="77777777" w:rsidTr="00B15A9A">
        <w:trPr>
          <w:trHeight w:val="300"/>
          <w:jc w:val="center"/>
        </w:trPr>
        <w:tc>
          <w:tcPr>
            <w:tcW w:w="1701" w:type="dxa"/>
            <w:tcBorders>
              <w:top w:val="single" w:sz="2" w:space="0" w:color="auto"/>
              <w:bottom w:val="single" w:sz="2" w:space="0" w:color="auto"/>
            </w:tcBorders>
            <w:shd w:val="clear" w:color="auto" w:fill="auto"/>
            <w:noWrap/>
            <w:vAlign w:val="center"/>
          </w:tcPr>
          <w:p w14:paraId="1EBE4FE1"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bottom w:val="single" w:sz="2" w:space="0" w:color="auto"/>
            </w:tcBorders>
            <w:shd w:val="clear" w:color="auto" w:fill="auto"/>
            <w:vAlign w:val="center"/>
          </w:tcPr>
          <w:p w14:paraId="060B3AB1"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1.275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xml:space="preserve"> (- 15%)</w:t>
            </w:r>
          </w:p>
        </w:tc>
        <w:tc>
          <w:tcPr>
            <w:tcW w:w="2217" w:type="dxa"/>
            <w:tcBorders>
              <w:top w:val="single" w:sz="2" w:space="0" w:color="auto"/>
              <w:bottom w:val="single" w:sz="2" w:space="0" w:color="auto"/>
            </w:tcBorders>
            <w:vAlign w:val="center"/>
          </w:tcPr>
          <w:p w14:paraId="77D74481"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B36014">
              <w:rPr>
                <w:rFonts w:eastAsia="Times New Roman" w:cs="Times New Roman"/>
                <w:sz w:val="20"/>
                <w:szCs w:val="20"/>
                <w:lang w:val="es-ES" w:eastAsia="es-AR"/>
              </w:rPr>
              <w:t>37</w:t>
            </w:r>
            <w:r>
              <w:rPr>
                <w:rFonts w:eastAsia="Times New Roman" w:cs="Times New Roman"/>
                <w:sz w:val="20"/>
                <w:szCs w:val="20"/>
                <w:lang w:val="es-ES" w:eastAsia="es-AR"/>
              </w:rPr>
              <w:t>.</w:t>
            </w:r>
            <w:r w:rsidRPr="00B36014">
              <w:rPr>
                <w:rFonts w:eastAsia="Times New Roman" w:cs="Times New Roman"/>
                <w:sz w:val="20"/>
                <w:szCs w:val="20"/>
                <w:lang w:val="es-ES" w:eastAsia="es-AR"/>
              </w:rPr>
              <w:t>383</w:t>
            </w:r>
            <w:r>
              <w:rPr>
                <w:rFonts w:eastAsia="Times New Roman" w:cs="Times New Roman"/>
                <w:sz w:val="20"/>
                <w:szCs w:val="20"/>
                <w:lang w:val="es-ES" w:eastAsia="es-AR"/>
              </w:rPr>
              <w:t>.</w:t>
            </w:r>
            <w:r w:rsidRPr="00B36014">
              <w:rPr>
                <w:rFonts w:eastAsia="Times New Roman" w:cs="Times New Roman"/>
                <w:sz w:val="20"/>
                <w:szCs w:val="20"/>
                <w:lang w:val="es-ES" w:eastAsia="es-AR"/>
              </w:rPr>
              <w:t>749</w:t>
            </w:r>
          </w:p>
        </w:tc>
        <w:tc>
          <w:tcPr>
            <w:tcW w:w="1142" w:type="dxa"/>
            <w:tcBorders>
              <w:top w:val="single" w:sz="2" w:space="0" w:color="auto"/>
              <w:bottom w:val="single" w:sz="2" w:space="0" w:color="auto"/>
            </w:tcBorders>
            <w:vAlign w:val="center"/>
          </w:tcPr>
          <w:p w14:paraId="186C0F83"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w:t>
            </w:r>
            <w:r>
              <w:rPr>
                <w:rFonts w:eastAsia="Times New Roman" w:cs="Times New Roman"/>
                <w:sz w:val="20"/>
                <w:szCs w:val="20"/>
                <w:lang w:val="es-ES" w:eastAsia="es-AR"/>
              </w:rPr>
              <w:t>9</w:t>
            </w:r>
            <w:r w:rsidRPr="00C174D5">
              <w:rPr>
                <w:rFonts w:eastAsia="Times New Roman" w:cs="Times New Roman"/>
                <w:sz w:val="20"/>
                <w:szCs w:val="20"/>
                <w:lang w:val="es-ES" w:eastAsia="es-AR"/>
              </w:rPr>
              <w:t>,</w:t>
            </w:r>
            <w:r>
              <w:rPr>
                <w:rFonts w:eastAsia="Times New Roman" w:cs="Times New Roman"/>
                <w:sz w:val="20"/>
                <w:szCs w:val="20"/>
                <w:lang w:val="es-ES" w:eastAsia="es-AR"/>
              </w:rPr>
              <w:t>6</w:t>
            </w:r>
            <w:r w:rsidRPr="00C174D5">
              <w:rPr>
                <w:rFonts w:eastAsia="Times New Roman" w:cs="Times New Roman"/>
                <w:sz w:val="20"/>
                <w:szCs w:val="20"/>
                <w:lang w:val="es-ES" w:eastAsia="es-AR"/>
              </w:rPr>
              <w:t>%</w:t>
            </w:r>
          </w:p>
        </w:tc>
        <w:tc>
          <w:tcPr>
            <w:tcW w:w="680" w:type="dxa"/>
            <w:tcBorders>
              <w:top w:val="single" w:sz="2" w:space="0" w:color="auto"/>
              <w:bottom w:val="single" w:sz="2" w:space="0" w:color="auto"/>
            </w:tcBorders>
            <w:vAlign w:val="center"/>
          </w:tcPr>
          <w:p w14:paraId="049BD7CE"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25</w:t>
            </w:r>
            <w:r w:rsidRPr="00C174D5">
              <w:rPr>
                <w:rFonts w:eastAsia="Times New Roman" w:cs="Times New Roman"/>
                <w:sz w:val="20"/>
                <w:szCs w:val="20"/>
                <w:lang w:val="es-ES" w:eastAsia="es-AR"/>
              </w:rPr>
              <w:t>%</w:t>
            </w:r>
          </w:p>
        </w:tc>
      </w:tr>
      <w:tr w:rsidR="00C92C58" w:rsidRPr="00B36014" w14:paraId="21D0AFA7" w14:textId="77777777" w:rsidTr="00B15A9A">
        <w:trPr>
          <w:trHeight w:val="300"/>
          <w:jc w:val="center"/>
        </w:trPr>
        <w:tc>
          <w:tcPr>
            <w:tcW w:w="1701" w:type="dxa"/>
            <w:tcBorders>
              <w:top w:val="single" w:sz="2" w:space="0" w:color="auto"/>
              <w:bottom w:val="single" w:sz="2" w:space="0" w:color="auto"/>
            </w:tcBorders>
            <w:shd w:val="clear" w:color="auto" w:fill="auto"/>
            <w:noWrap/>
            <w:vAlign w:val="center"/>
          </w:tcPr>
          <w:p w14:paraId="064B0C44"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bottom w:val="single" w:sz="2" w:space="0" w:color="auto"/>
            </w:tcBorders>
            <w:shd w:val="clear" w:color="auto" w:fill="auto"/>
            <w:vAlign w:val="center"/>
          </w:tcPr>
          <w:p w14:paraId="08223684"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Pr>
                <w:rFonts w:eastAsia="Times New Roman" w:cs="Times New Roman"/>
                <w:sz w:val="20"/>
                <w:szCs w:val="20"/>
                <w:lang w:val="es-ES" w:eastAsia="es-AR"/>
              </w:rPr>
              <w:t>351</w:t>
            </w:r>
            <w:r w:rsidRPr="00C174D5">
              <w:rPr>
                <w:rFonts w:eastAsia="Times New Roman" w:cs="Times New Roman"/>
                <w:sz w:val="20"/>
                <w:szCs w:val="20"/>
                <w:lang w:val="es-ES" w:eastAsia="es-AR"/>
              </w:rPr>
              <w:t xml:space="preserve">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xml:space="preserve"> (- 82%)</w:t>
            </w:r>
          </w:p>
        </w:tc>
        <w:tc>
          <w:tcPr>
            <w:tcW w:w="2217" w:type="dxa"/>
            <w:tcBorders>
              <w:top w:val="single" w:sz="2" w:space="0" w:color="auto"/>
              <w:bottom w:val="single" w:sz="2" w:space="0" w:color="auto"/>
            </w:tcBorders>
            <w:vAlign w:val="center"/>
          </w:tcPr>
          <w:p w14:paraId="23922711"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0</w:t>
            </w:r>
          </w:p>
        </w:tc>
        <w:tc>
          <w:tcPr>
            <w:tcW w:w="1142" w:type="dxa"/>
            <w:tcBorders>
              <w:top w:val="single" w:sz="2" w:space="0" w:color="auto"/>
              <w:bottom w:val="single" w:sz="2" w:space="0" w:color="auto"/>
            </w:tcBorders>
            <w:vAlign w:val="center"/>
          </w:tcPr>
          <w:p w14:paraId="38F18B19"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w:t>
            </w:r>
          </w:p>
        </w:tc>
        <w:tc>
          <w:tcPr>
            <w:tcW w:w="680" w:type="dxa"/>
            <w:tcBorders>
              <w:top w:val="single" w:sz="2" w:space="0" w:color="auto"/>
              <w:bottom w:val="single" w:sz="2" w:space="0" w:color="auto"/>
            </w:tcBorders>
            <w:vAlign w:val="center"/>
          </w:tcPr>
          <w:p w14:paraId="25720258"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12%</w:t>
            </w:r>
          </w:p>
        </w:tc>
      </w:tr>
      <w:tr w:rsidR="00C92C58" w:rsidRPr="00B36014" w14:paraId="45C1D8D0" w14:textId="77777777" w:rsidTr="00B15A9A">
        <w:trPr>
          <w:trHeight w:val="300"/>
          <w:jc w:val="center"/>
        </w:trPr>
        <w:tc>
          <w:tcPr>
            <w:tcW w:w="8149" w:type="dxa"/>
            <w:gridSpan w:val="5"/>
            <w:tcBorders>
              <w:top w:val="single" w:sz="2" w:space="0" w:color="auto"/>
              <w:bottom w:val="single" w:sz="2" w:space="0" w:color="auto"/>
            </w:tcBorders>
            <w:shd w:val="clear" w:color="auto" w:fill="auto"/>
            <w:noWrap/>
            <w:vAlign w:val="center"/>
          </w:tcPr>
          <w:p w14:paraId="5DEF70A9"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Costo de inversión</w:t>
            </w:r>
            <w:r w:rsidRPr="00C174D5">
              <w:rPr>
                <w:rStyle w:val="FootnoteReference"/>
                <w:rFonts w:eastAsia="Times New Roman" w:cs="Times New Roman"/>
                <w:sz w:val="20"/>
                <w:szCs w:val="20"/>
                <w:lang w:val="es-ES" w:eastAsia="es-AR"/>
              </w:rPr>
              <w:footnoteReference w:id="20"/>
            </w:r>
            <w:r w:rsidRPr="00C174D5">
              <w:rPr>
                <w:rFonts w:eastAsia="Times New Roman" w:cs="Times New Roman"/>
                <w:sz w:val="20"/>
                <w:szCs w:val="20"/>
                <w:lang w:val="es-ES" w:eastAsia="es-AR"/>
              </w:rPr>
              <w:t xml:space="preserve"> (base 15.807.983)</w:t>
            </w:r>
          </w:p>
        </w:tc>
      </w:tr>
      <w:tr w:rsidR="00C92C58" w:rsidRPr="00C174D5" w14:paraId="61E61A11" w14:textId="77777777" w:rsidTr="00B15A9A">
        <w:trPr>
          <w:trHeight w:val="300"/>
          <w:jc w:val="center"/>
        </w:trPr>
        <w:tc>
          <w:tcPr>
            <w:tcW w:w="1701" w:type="dxa"/>
            <w:tcBorders>
              <w:top w:val="single" w:sz="2" w:space="0" w:color="auto"/>
            </w:tcBorders>
            <w:shd w:val="clear" w:color="auto" w:fill="auto"/>
            <w:noWrap/>
            <w:vAlign w:val="center"/>
          </w:tcPr>
          <w:p w14:paraId="38A7801A"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0CEA2570"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18.179.181 (+15%)</w:t>
            </w:r>
          </w:p>
        </w:tc>
        <w:tc>
          <w:tcPr>
            <w:tcW w:w="2217" w:type="dxa"/>
            <w:tcBorders>
              <w:top w:val="single" w:sz="2" w:space="0" w:color="auto"/>
            </w:tcBorders>
            <w:vAlign w:val="center"/>
          </w:tcPr>
          <w:p w14:paraId="0DAAF1D0"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45.</w:t>
            </w:r>
            <w:r w:rsidRPr="00B36014">
              <w:rPr>
                <w:rFonts w:eastAsia="Times New Roman" w:cs="Times New Roman"/>
                <w:sz w:val="20"/>
                <w:szCs w:val="20"/>
                <w:lang w:val="es-ES" w:eastAsia="es-AR"/>
              </w:rPr>
              <w:t>418</w:t>
            </w:r>
            <w:r>
              <w:rPr>
                <w:rFonts w:eastAsia="Times New Roman" w:cs="Times New Roman"/>
                <w:sz w:val="20"/>
                <w:szCs w:val="20"/>
                <w:lang w:val="es-ES" w:eastAsia="es-AR"/>
              </w:rPr>
              <w:t>.</w:t>
            </w:r>
            <w:r w:rsidRPr="00B36014">
              <w:rPr>
                <w:rFonts w:eastAsia="Times New Roman" w:cs="Times New Roman"/>
                <w:sz w:val="20"/>
                <w:szCs w:val="20"/>
                <w:lang w:val="es-ES" w:eastAsia="es-AR"/>
              </w:rPr>
              <w:t>071</w:t>
            </w:r>
          </w:p>
        </w:tc>
        <w:tc>
          <w:tcPr>
            <w:tcW w:w="1142" w:type="dxa"/>
            <w:tcBorders>
              <w:top w:val="single" w:sz="2" w:space="0" w:color="auto"/>
            </w:tcBorders>
            <w:vAlign w:val="center"/>
          </w:tcPr>
          <w:p w14:paraId="720B6DE9"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w:t>
            </w:r>
            <w:r>
              <w:rPr>
                <w:rFonts w:eastAsia="Times New Roman" w:cs="Times New Roman"/>
                <w:sz w:val="20"/>
                <w:szCs w:val="20"/>
                <w:lang w:val="es-ES" w:eastAsia="es-AR"/>
              </w:rPr>
              <w:t>2</w:t>
            </w:r>
            <w:r w:rsidRPr="00C174D5">
              <w:rPr>
                <w:rFonts w:eastAsia="Times New Roman" w:cs="Times New Roman"/>
                <w:sz w:val="20"/>
                <w:szCs w:val="20"/>
                <w:lang w:val="es-ES" w:eastAsia="es-AR"/>
              </w:rPr>
              <w:t>,</w:t>
            </w:r>
            <w:r>
              <w:rPr>
                <w:rFonts w:eastAsia="Times New Roman" w:cs="Times New Roman"/>
                <w:sz w:val="20"/>
                <w:szCs w:val="20"/>
                <w:lang w:val="es-ES" w:eastAsia="es-AR"/>
              </w:rPr>
              <w:t>3</w:t>
            </w:r>
            <w:r w:rsidRPr="00C174D5">
              <w:rPr>
                <w:rFonts w:eastAsia="Times New Roman" w:cs="Times New Roman"/>
                <w:sz w:val="20"/>
                <w:szCs w:val="20"/>
                <w:lang w:val="es-ES" w:eastAsia="es-AR"/>
              </w:rPr>
              <w:t>%</w:t>
            </w:r>
          </w:p>
        </w:tc>
        <w:tc>
          <w:tcPr>
            <w:tcW w:w="680" w:type="dxa"/>
            <w:tcBorders>
              <w:top w:val="single" w:sz="2" w:space="0" w:color="auto"/>
            </w:tcBorders>
            <w:vAlign w:val="center"/>
          </w:tcPr>
          <w:p w14:paraId="3B846A12"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26</w:t>
            </w:r>
            <w:r w:rsidRPr="00C174D5">
              <w:rPr>
                <w:rFonts w:eastAsia="Times New Roman" w:cs="Times New Roman"/>
                <w:sz w:val="20"/>
                <w:szCs w:val="20"/>
                <w:lang w:val="es-ES" w:eastAsia="es-AR"/>
              </w:rPr>
              <w:t>%</w:t>
            </w:r>
          </w:p>
        </w:tc>
      </w:tr>
      <w:tr w:rsidR="00C92C58" w:rsidRPr="00C174D5" w14:paraId="6C0357D0" w14:textId="77777777" w:rsidTr="00B15A9A">
        <w:trPr>
          <w:trHeight w:val="300"/>
          <w:jc w:val="center"/>
        </w:trPr>
        <w:tc>
          <w:tcPr>
            <w:tcW w:w="1701" w:type="dxa"/>
            <w:tcBorders>
              <w:top w:val="single" w:sz="2" w:space="0" w:color="auto"/>
            </w:tcBorders>
            <w:shd w:val="clear" w:color="auto" w:fill="auto"/>
            <w:noWrap/>
            <w:vAlign w:val="center"/>
          </w:tcPr>
          <w:p w14:paraId="5382DCBC"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5E5AFAFA"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20.550.378 (+30%)</w:t>
            </w:r>
          </w:p>
        </w:tc>
        <w:tc>
          <w:tcPr>
            <w:tcW w:w="2217" w:type="dxa"/>
            <w:tcBorders>
              <w:top w:val="single" w:sz="2" w:space="0" w:color="auto"/>
            </w:tcBorders>
            <w:vAlign w:val="center"/>
          </w:tcPr>
          <w:p w14:paraId="635B2B20"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44.</w:t>
            </w:r>
            <w:r w:rsidRPr="00B36014">
              <w:rPr>
                <w:rFonts w:eastAsia="Times New Roman" w:cs="Times New Roman"/>
                <w:sz w:val="20"/>
                <w:szCs w:val="20"/>
                <w:lang w:val="es-ES" w:eastAsia="es-AR"/>
              </w:rPr>
              <w:t>347</w:t>
            </w:r>
            <w:r>
              <w:rPr>
                <w:rFonts w:eastAsia="Times New Roman" w:cs="Times New Roman"/>
                <w:sz w:val="20"/>
                <w:szCs w:val="20"/>
                <w:lang w:val="es-ES" w:eastAsia="es-AR"/>
              </w:rPr>
              <w:t>.</w:t>
            </w:r>
            <w:r w:rsidRPr="00B36014">
              <w:rPr>
                <w:rFonts w:eastAsia="Times New Roman" w:cs="Times New Roman"/>
                <w:sz w:val="20"/>
                <w:szCs w:val="20"/>
                <w:lang w:val="es-ES" w:eastAsia="es-AR"/>
              </w:rPr>
              <w:t>363</w:t>
            </w:r>
          </w:p>
        </w:tc>
        <w:tc>
          <w:tcPr>
            <w:tcW w:w="1142" w:type="dxa"/>
            <w:tcBorders>
              <w:top w:val="single" w:sz="2" w:space="0" w:color="auto"/>
            </w:tcBorders>
            <w:vAlign w:val="center"/>
          </w:tcPr>
          <w:p w14:paraId="3B925074"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w:t>
            </w:r>
            <w:r>
              <w:rPr>
                <w:rFonts w:eastAsia="Times New Roman" w:cs="Times New Roman"/>
                <w:sz w:val="20"/>
                <w:szCs w:val="20"/>
                <w:lang w:val="es-ES" w:eastAsia="es-AR"/>
              </w:rPr>
              <w:t>4</w:t>
            </w:r>
            <w:r w:rsidRPr="00C174D5">
              <w:rPr>
                <w:rFonts w:eastAsia="Times New Roman" w:cs="Times New Roman"/>
                <w:sz w:val="20"/>
                <w:szCs w:val="20"/>
                <w:lang w:val="es-ES" w:eastAsia="es-AR"/>
              </w:rPr>
              <w:t>,</w:t>
            </w:r>
            <w:r>
              <w:rPr>
                <w:rFonts w:eastAsia="Times New Roman" w:cs="Times New Roman"/>
                <w:sz w:val="20"/>
                <w:szCs w:val="20"/>
                <w:lang w:val="es-ES" w:eastAsia="es-AR"/>
              </w:rPr>
              <w:t>6</w:t>
            </w:r>
            <w:r w:rsidRPr="00C174D5">
              <w:rPr>
                <w:rFonts w:eastAsia="Times New Roman" w:cs="Times New Roman"/>
                <w:sz w:val="20"/>
                <w:szCs w:val="20"/>
                <w:lang w:val="es-ES" w:eastAsia="es-AR"/>
              </w:rPr>
              <w:t>%</w:t>
            </w:r>
          </w:p>
        </w:tc>
        <w:tc>
          <w:tcPr>
            <w:tcW w:w="680" w:type="dxa"/>
            <w:tcBorders>
              <w:top w:val="single" w:sz="2" w:space="0" w:color="auto"/>
            </w:tcBorders>
            <w:vAlign w:val="center"/>
          </w:tcPr>
          <w:p w14:paraId="77254635"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24</w:t>
            </w:r>
            <w:r w:rsidRPr="00C174D5">
              <w:rPr>
                <w:rFonts w:eastAsia="Times New Roman" w:cs="Times New Roman"/>
                <w:sz w:val="20"/>
                <w:szCs w:val="20"/>
                <w:lang w:val="es-ES" w:eastAsia="es-AR"/>
              </w:rPr>
              <w:t>%</w:t>
            </w:r>
          </w:p>
        </w:tc>
      </w:tr>
    </w:tbl>
    <w:p w14:paraId="574CAA71" w14:textId="77777777" w:rsidR="00C92C58" w:rsidRPr="00C174D5" w:rsidRDefault="00C92C58" w:rsidP="00C92C58">
      <w:pPr>
        <w:ind w:left="1134" w:right="1134"/>
        <w:rPr>
          <w:sz w:val="18"/>
          <w:lang w:val="es-ES"/>
        </w:rPr>
      </w:pPr>
      <w:r w:rsidRPr="00C174D5">
        <w:rPr>
          <w:sz w:val="18"/>
          <w:lang w:val="es-ES"/>
        </w:rPr>
        <w:t>Fuente: Elaboración propia en base a información de ENATREL provista por el BID</w:t>
      </w:r>
    </w:p>
    <w:p w14:paraId="33338FD6" w14:textId="77777777" w:rsidR="00C92C58" w:rsidRPr="00C174D5" w:rsidRDefault="00C92C58" w:rsidP="00C92C58">
      <w:pPr>
        <w:rPr>
          <w:lang w:val="es-ES"/>
        </w:rPr>
      </w:pPr>
      <w:r w:rsidRPr="00C174D5">
        <w:rPr>
          <w:lang w:val="es-ES"/>
        </w:rPr>
        <w:t xml:space="preserve">Como se desprende de la </w:t>
      </w:r>
      <w:r w:rsidRPr="00C174D5">
        <w:rPr>
          <w:lang w:val="es-ES"/>
        </w:rPr>
        <w:fldChar w:fldCharType="begin"/>
      </w:r>
      <w:r w:rsidRPr="00C174D5">
        <w:rPr>
          <w:lang w:val="es-ES"/>
        </w:rPr>
        <w:instrText xml:space="preserve"> REF _Ref450036111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10</w:t>
      </w:r>
      <w:r w:rsidRPr="00C174D5">
        <w:rPr>
          <w:lang w:val="es-ES"/>
        </w:rPr>
        <w:fldChar w:fldCharType="end"/>
      </w:r>
      <w:r w:rsidRPr="00C174D5">
        <w:rPr>
          <w:lang w:val="es-ES"/>
        </w:rPr>
        <w:t xml:space="preserve">, el resultado es robusto a las sensibilidades realizadas. Como un análisis de sensibilidad adicional se analiza cuál debería ser el costo de falla para que este proyecto no fuera deseable (VPNE menor a cero), este valor es cercano a </w:t>
      </w:r>
      <w:r>
        <w:rPr>
          <w:lang w:val="es-ES"/>
        </w:rPr>
        <w:t>35</w:t>
      </w:r>
      <w:r w:rsidRPr="00C174D5">
        <w:rPr>
          <w:lang w:val="es-ES"/>
        </w:rPr>
        <w:t>1 US$/</w:t>
      </w:r>
      <w:proofErr w:type="spellStart"/>
      <w:r w:rsidRPr="00C174D5">
        <w:rPr>
          <w:lang w:val="es-ES"/>
        </w:rPr>
        <w:t>MWh</w:t>
      </w:r>
      <w:proofErr w:type="spellEnd"/>
      <w:r w:rsidRPr="00C174D5">
        <w:rPr>
          <w:lang w:val="es-ES"/>
        </w:rPr>
        <w:t xml:space="preserve"> (un </w:t>
      </w:r>
      <w:r>
        <w:rPr>
          <w:lang w:val="es-ES"/>
        </w:rPr>
        <w:t>77</w:t>
      </w:r>
      <w:r w:rsidRPr="00C174D5">
        <w:rPr>
          <w:lang w:val="es-ES"/>
        </w:rPr>
        <w:t>% menor al utilizado en la evaluación).</w:t>
      </w:r>
    </w:p>
    <w:p w14:paraId="5C21D5F7" w14:textId="77777777" w:rsidR="00C92C58" w:rsidRPr="00C174D5" w:rsidRDefault="00C92C58" w:rsidP="00C92C58">
      <w:pPr>
        <w:rPr>
          <w:lang w:val="es-ES"/>
        </w:rPr>
      </w:pPr>
      <w:r w:rsidRPr="00C174D5">
        <w:rPr>
          <w:lang w:val="es-ES"/>
        </w:rPr>
        <w:t xml:space="preserve">En términos de la evaluación financiera, es pertinente preguntarse cuál debería ser el crecimiento real del valor del peaje para que el proyecto sea rentable. En este caso, para que el proyecto tenga un VAN nulo (o una TIR igual al costo del capital) el </w:t>
      </w:r>
      <w:r w:rsidRPr="00C174D5">
        <w:rPr>
          <w:lang w:val="es-ES"/>
        </w:rPr>
        <w:lastRenderedPageBreak/>
        <w:t xml:space="preserve">peaje debería crecer anualmente, en términos reales, un </w:t>
      </w:r>
      <w:r>
        <w:rPr>
          <w:lang w:val="es-ES"/>
        </w:rPr>
        <w:t>15</w:t>
      </w:r>
      <w:r w:rsidRPr="00C174D5">
        <w:rPr>
          <w:lang w:val="es-ES"/>
        </w:rPr>
        <w:t>,</w:t>
      </w:r>
      <w:r>
        <w:rPr>
          <w:lang w:val="es-ES"/>
        </w:rPr>
        <w:t>7</w:t>
      </w:r>
      <w:r w:rsidRPr="00C174D5">
        <w:rPr>
          <w:lang w:val="es-ES"/>
        </w:rPr>
        <w:t>% (versus el 2% que se supone en la evaluación).</w:t>
      </w:r>
    </w:p>
    <w:p w14:paraId="191A3AAD" w14:textId="77777777" w:rsidR="00C92C58" w:rsidRPr="00C174D5" w:rsidRDefault="00C92C58" w:rsidP="00C92C58">
      <w:pPr>
        <w:pStyle w:val="Heading1"/>
        <w:numPr>
          <w:ilvl w:val="1"/>
          <w:numId w:val="9"/>
        </w:numPr>
        <w:rPr>
          <w:lang w:val="es-ES"/>
        </w:rPr>
      </w:pPr>
      <w:bookmarkStart w:id="62" w:name="_Toc447546932"/>
      <w:bookmarkStart w:id="63" w:name="_Toc456353115"/>
      <w:r w:rsidRPr="00C174D5">
        <w:rPr>
          <w:lang w:val="es-ES"/>
        </w:rPr>
        <w:lastRenderedPageBreak/>
        <w:t xml:space="preserve">SE </w:t>
      </w:r>
      <w:proofErr w:type="spellStart"/>
      <w:r w:rsidRPr="00C174D5">
        <w:rPr>
          <w:lang w:val="es-ES"/>
        </w:rPr>
        <w:t>Sébaco</w:t>
      </w:r>
      <w:bookmarkEnd w:id="62"/>
      <w:bookmarkEnd w:id="63"/>
      <w:proofErr w:type="spellEnd"/>
    </w:p>
    <w:p w14:paraId="1E49BF70" w14:textId="77777777" w:rsidR="00C92C58" w:rsidRPr="00C174D5" w:rsidRDefault="00C92C58" w:rsidP="00C92C58">
      <w:pPr>
        <w:rPr>
          <w:lang w:val="es-ES"/>
        </w:rPr>
      </w:pPr>
      <w:r w:rsidRPr="00C174D5">
        <w:rPr>
          <w:lang w:val="es-ES"/>
        </w:rPr>
        <w:t xml:space="preserve">La SE </w:t>
      </w:r>
      <w:proofErr w:type="spellStart"/>
      <w:r w:rsidRPr="00C174D5">
        <w:rPr>
          <w:lang w:val="es-ES"/>
        </w:rPr>
        <w:t>Sébaco</w:t>
      </w:r>
      <w:proofErr w:type="spellEnd"/>
      <w:r w:rsidRPr="00C174D5">
        <w:rPr>
          <w:lang w:val="es-ES"/>
        </w:rPr>
        <w:t xml:space="preserve"> posee una gran importancia puesto que es el punto de convergencia de un total de seis líneas de 138 </w:t>
      </w:r>
      <w:proofErr w:type="spellStart"/>
      <w:r w:rsidRPr="00C174D5">
        <w:rPr>
          <w:lang w:val="es-ES"/>
        </w:rPr>
        <w:t>kV</w:t>
      </w:r>
      <w:proofErr w:type="spellEnd"/>
      <w:r w:rsidRPr="00C174D5">
        <w:rPr>
          <w:lang w:val="es-ES"/>
        </w:rPr>
        <w:t xml:space="preserve">: Línea </w:t>
      </w:r>
      <w:proofErr w:type="spellStart"/>
      <w:r w:rsidRPr="00C174D5">
        <w:rPr>
          <w:lang w:val="es-ES"/>
        </w:rPr>
        <w:t>Sébaco</w:t>
      </w:r>
      <w:proofErr w:type="spellEnd"/>
      <w:r w:rsidRPr="00C174D5">
        <w:rPr>
          <w:lang w:val="es-ES"/>
        </w:rPr>
        <w:t xml:space="preserve"> – Carlos Fonseca, línea </w:t>
      </w:r>
      <w:proofErr w:type="spellStart"/>
      <w:r w:rsidRPr="00C174D5">
        <w:rPr>
          <w:lang w:val="es-ES"/>
        </w:rPr>
        <w:t>Sébaco</w:t>
      </w:r>
      <w:proofErr w:type="spellEnd"/>
      <w:r w:rsidRPr="00C174D5">
        <w:rPr>
          <w:lang w:val="es-ES"/>
        </w:rPr>
        <w:t xml:space="preserve"> - </w:t>
      </w:r>
      <w:proofErr w:type="spellStart"/>
      <w:r w:rsidRPr="00C174D5">
        <w:rPr>
          <w:lang w:val="es-ES"/>
        </w:rPr>
        <w:t>Tipitapa</w:t>
      </w:r>
      <w:proofErr w:type="spellEnd"/>
      <w:r w:rsidRPr="00C174D5">
        <w:rPr>
          <w:lang w:val="es-ES"/>
        </w:rPr>
        <w:t xml:space="preserve">, línea </w:t>
      </w:r>
      <w:proofErr w:type="spellStart"/>
      <w:r w:rsidRPr="00C174D5">
        <w:rPr>
          <w:lang w:val="es-ES"/>
        </w:rPr>
        <w:t>Sébaco</w:t>
      </w:r>
      <w:proofErr w:type="spellEnd"/>
      <w:r w:rsidRPr="00C174D5">
        <w:rPr>
          <w:lang w:val="es-ES"/>
        </w:rPr>
        <w:t xml:space="preserve"> - Estelí, línea </w:t>
      </w:r>
      <w:proofErr w:type="spellStart"/>
      <w:r w:rsidRPr="00C174D5">
        <w:rPr>
          <w:lang w:val="es-ES"/>
        </w:rPr>
        <w:t>Sébaco</w:t>
      </w:r>
      <w:proofErr w:type="spellEnd"/>
      <w:r w:rsidRPr="00C174D5">
        <w:rPr>
          <w:lang w:val="es-ES"/>
        </w:rPr>
        <w:t>-San Ramón y dos líneas hacia la planta Centroamérica.</w:t>
      </w:r>
    </w:p>
    <w:p w14:paraId="0E41F532" w14:textId="77777777" w:rsidR="00C92C58" w:rsidRPr="00C174D5" w:rsidRDefault="00C92C58" w:rsidP="00C92C58">
      <w:pPr>
        <w:rPr>
          <w:lang w:val="es-ES"/>
        </w:rPr>
      </w:pPr>
      <w:r w:rsidRPr="00C174D5">
        <w:rPr>
          <w:lang w:val="es-ES"/>
        </w:rPr>
        <w:t xml:space="preserve">Esta subestación, que entró en operación hace más de 50 años y alimenta los municipios de Ciudad Darío, San Isidro, La Trinidad, </w:t>
      </w:r>
      <w:proofErr w:type="spellStart"/>
      <w:r w:rsidRPr="00C174D5">
        <w:rPr>
          <w:lang w:val="es-ES"/>
        </w:rPr>
        <w:t>Sébaco</w:t>
      </w:r>
      <w:proofErr w:type="spellEnd"/>
      <w:r w:rsidRPr="00C174D5">
        <w:rPr>
          <w:lang w:val="es-ES"/>
        </w:rPr>
        <w:t>, Santa Rosa del Peñón y zonas aledañas, posee un esquema de barra simple. Esta característica, la dependencia de una barra, hace más probable la ocurrencia de episodios de discontinuidad del servicio, como por ejemplo a causa de una falla de la barra o de un disyuntor. Estos episodios dejan sin alimentación a 10 SSEE conectadas a este nodo</w:t>
      </w:r>
      <w:r w:rsidRPr="00C174D5">
        <w:rPr>
          <w:rStyle w:val="FootnoteReference"/>
          <w:lang w:val="es-ES"/>
        </w:rPr>
        <w:footnoteReference w:id="21"/>
      </w:r>
      <w:r w:rsidRPr="00C174D5">
        <w:rPr>
          <w:lang w:val="es-ES"/>
        </w:rPr>
        <w:t xml:space="preserve">, con una carga de 45 MW aproximadamente. Otra consecuencia de la salida de esta SE es la imposibilidad de la Planta Centroamérica y la Planta Santa Bárbara para inyectar toda la energía que generan al sistema. En caso de que este suministro de energía sea sustituido por generación distinta a la hidroeléctrica, esta restricción generará un cambio en el costo marginal de generación de equilibrio en el mercado. </w:t>
      </w:r>
    </w:p>
    <w:p w14:paraId="136839E9" w14:textId="77777777" w:rsidR="00C92C58" w:rsidRDefault="00C92C58" w:rsidP="00C92C58">
      <w:pPr>
        <w:rPr>
          <w:lang w:val="es-ES"/>
        </w:rPr>
      </w:pPr>
      <w:r w:rsidRPr="00C174D5">
        <w:rPr>
          <w:lang w:val="es-ES"/>
        </w:rPr>
        <w:t>Tal como en los casos anteriores, se evalúa el impacto de este proyecto mediante una comparación de dos escenarios alternativos: uno “con” y otro “sin” proyecto. En ambos escenarios (“con” y “sin” proyecto) es posible servir la demanda potencial de los usuarios existentes, sin embargo, en ausencia de proyecto las fallas son mayores.</w:t>
      </w:r>
      <w:r w:rsidRPr="00C174D5">
        <w:rPr>
          <w:rStyle w:val="FootnoteReference"/>
          <w:lang w:val="es-ES"/>
        </w:rPr>
        <w:footnoteReference w:id="22"/>
      </w:r>
      <w:r w:rsidRPr="00C174D5">
        <w:rPr>
          <w:lang w:val="es-ES"/>
        </w:rPr>
        <w:t xml:space="preserve"> Además, en el escenario “sin” proyecto, se tiene que la generación térmica es mayor, puesto que, como se mencionó, la salida de la SE </w:t>
      </w:r>
      <w:proofErr w:type="spellStart"/>
      <w:r w:rsidRPr="00C174D5">
        <w:rPr>
          <w:lang w:val="es-ES"/>
        </w:rPr>
        <w:t>Sébaco</w:t>
      </w:r>
      <w:proofErr w:type="spellEnd"/>
      <w:r w:rsidRPr="00C174D5">
        <w:rPr>
          <w:lang w:val="es-ES"/>
        </w:rPr>
        <w:t xml:space="preserve"> imposibilita la inyección al sistema de energía hidráulica proveniente de la Planta Centroamérica y la Planta Santa Bárbara. </w:t>
      </w:r>
    </w:p>
    <w:p w14:paraId="208262B5" w14:textId="77777777" w:rsidR="00C92C58" w:rsidRDefault="00C92C58" w:rsidP="00C92C58">
      <w:pPr>
        <w:rPr>
          <w:lang w:val="es-ES"/>
        </w:rPr>
      </w:pPr>
      <w:r>
        <w:rPr>
          <w:lang w:val="es-ES"/>
        </w:rPr>
        <w:t>En este caso la demanda considerada está conformada totalmente por clientes pre-existentes, partiendo de 88 MW en 2017 y llegando a 179 MW en 2037.</w:t>
      </w:r>
    </w:p>
    <w:p w14:paraId="45118309" w14:textId="77777777" w:rsidR="00C92C58" w:rsidRDefault="00C92C58" w:rsidP="00C92C58">
      <w:pPr>
        <w:keepNext/>
        <w:keepLines/>
        <w:spacing w:after="120"/>
        <w:jc w:val="center"/>
        <w:rPr>
          <w:b/>
          <w:sz w:val="20"/>
          <w:lang w:val="es-ES"/>
        </w:rPr>
      </w:pPr>
      <w:bookmarkStart w:id="64" w:name="_Ref455057135"/>
      <w:bookmarkStart w:id="65" w:name="_Toc456353208"/>
      <w:r w:rsidRPr="00C174D5">
        <w:rPr>
          <w:b/>
          <w:sz w:val="20"/>
          <w:lang w:val="es-ES"/>
        </w:rPr>
        <w:lastRenderedPageBreak/>
        <w:t xml:space="preserve">Gráfico </w:t>
      </w:r>
      <w:r w:rsidRPr="00C174D5">
        <w:rPr>
          <w:b/>
          <w:sz w:val="20"/>
          <w:lang w:val="es-ES"/>
        </w:rPr>
        <w:fldChar w:fldCharType="begin"/>
      </w:r>
      <w:r w:rsidRPr="00C174D5">
        <w:rPr>
          <w:b/>
          <w:sz w:val="20"/>
          <w:lang w:val="es-ES"/>
        </w:rPr>
        <w:instrText xml:space="preserve"> SEQ Gráfico \* ARABIC </w:instrText>
      </w:r>
      <w:r w:rsidRPr="00C174D5">
        <w:rPr>
          <w:b/>
          <w:sz w:val="20"/>
          <w:lang w:val="es-ES"/>
        </w:rPr>
        <w:fldChar w:fldCharType="separate"/>
      </w:r>
      <w:r>
        <w:rPr>
          <w:b/>
          <w:noProof/>
          <w:sz w:val="20"/>
          <w:lang w:val="es-ES"/>
        </w:rPr>
        <w:t>2</w:t>
      </w:r>
      <w:r w:rsidRPr="00C174D5">
        <w:rPr>
          <w:b/>
          <w:sz w:val="20"/>
          <w:lang w:val="es-ES"/>
        </w:rPr>
        <w:fldChar w:fldCharType="end"/>
      </w:r>
      <w:bookmarkEnd w:id="64"/>
      <w:r w:rsidRPr="00C174D5">
        <w:rPr>
          <w:b/>
          <w:sz w:val="20"/>
          <w:lang w:val="es-ES"/>
        </w:rPr>
        <w:t xml:space="preserve">: Demanda </w:t>
      </w:r>
      <w:r>
        <w:rPr>
          <w:b/>
          <w:sz w:val="20"/>
          <w:lang w:val="es-ES"/>
        </w:rPr>
        <w:t>considerada proyecto</w:t>
      </w:r>
      <w:r w:rsidRPr="00C174D5">
        <w:rPr>
          <w:b/>
          <w:sz w:val="20"/>
          <w:lang w:val="es-ES"/>
        </w:rPr>
        <w:t xml:space="preserve"> </w:t>
      </w:r>
      <w:r>
        <w:rPr>
          <w:b/>
          <w:sz w:val="20"/>
          <w:lang w:val="es-ES"/>
        </w:rPr>
        <w:t xml:space="preserve">SE </w:t>
      </w:r>
      <w:proofErr w:type="spellStart"/>
      <w:r>
        <w:rPr>
          <w:b/>
          <w:sz w:val="20"/>
          <w:lang w:val="es-ES"/>
        </w:rPr>
        <w:t>Sébaco</w:t>
      </w:r>
      <w:proofErr w:type="spellEnd"/>
      <w:r>
        <w:rPr>
          <w:b/>
          <w:sz w:val="20"/>
          <w:lang w:val="es-ES"/>
        </w:rPr>
        <w:t xml:space="preserve"> </w:t>
      </w:r>
      <w:r w:rsidRPr="00C174D5">
        <w:rPr>
          <w:b/>
          <w:sz w:val="20"/>
          <w:lang w:val="es-ES"/>
        </w:rPr>
        <w:t>(MW)</w:t>
      </w:r>
      <w:bookmarkEnd w:id="65"/>
    </w:p>
    <w:p w14:paraId="4BDCBC79" w14:textId="77777777" w:rsidR="00C92C58" w:rsidRPr="00E73DA6" w:rsidRDefault="00C92C58" w:rsidP="00C92C58">
      <w:pPr>
        <w:spacing w:after="0"/>
        <w:jc w:val="center"/>
        <w:rPr>
          <w:noProof/>
          <w:lang w:val="es-AR" w:eastAsia="es-AR"/>
        </w:rPr>
      </w:pPr>
      <w:r w:rsidRPr="00E73DA6">
        <w:rPr>
          <w:noProof/>
          <w:lang w:val="es-CO" w:eastAsia="es-CO"/>
        </w:rPr>
        <w:drawing>
          <wp:inline distT="0" distB="0" distL="0" distR="0" wp14:anchorId="350BBDE6" wp14:editId="1E80E32B">
            <wp:extent cx="4320000" cy="3051318"/>
            <wp:effectExtent l="0" t="0" r="444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20000" cy="3051318"/>
                    </a:xfrm>
                    <a:prstGeom prst="rect">
                      <a:avLst/>
                    </a:prstGeom>
                    <a:noFill/>
                  </pic:spPr>
                </pic:pic>
              </a:graphicData>
            </a:graphic>
          </wp:inline>
        </w:drawing>
      </w:r>
    </w:p>
    <w:p w14:paraId="6E373D61" w14:textId="77777777" w:rsidR="00C92C58" w:rsidRPr="00BA436C" w:rsidRDefault="00C92C58" w:rsidP="00C92C58">
      <w:pPr>
        <w:ind w:left="1134" w:right="1134"/>
        <w:jc w:val="center"/>
        <w:rPr>
          <w:sz w:val="18"/>
          <w:lang w:val="es-ES"/>
        </w:rPr>
      </w:pPr>
      <w:r w:rsidRPr="00C174D5">
        <w:rPr>
          <w:sz w:val="18"/>
          <w:lang w:val="es-ES"/>
        </w:rPr>
        <w:t>Fuente: Elaboración propia en base a información</w:t>
      </w:r>
      <w:r>
        <w:rPr>
          <w:sz w:val="18"/>
          <w:lang w:val="es-ES"/>
        </w:rPr>
        <w:t xml:space="preserve"> de ENATREL provista por el BID (archivo </w:t>
      </w:r>
      <w:r w:rsidRPr="00C035EE">
        <w:rPr>
          <w:sz w:val="18"/>
          <w:lang w:val="es-ES"/>
        </w:rPr>
        <w:t>FLUJOS DE ENERGÍA_SE SEBACO_210416</w:t>
      </w:r>
      <w:r w:rsidRPr="00BA436C">
        <w:rPr>
          <w:sz w:val="18"/>
          <w:lang w:val="es-ES"/>
        </w:rPr>
        <w:t>.xlsx</w:t>
      </w:r>
      <w:r>
        <w:rPr>
          <w:sz w:val="18"/>
          <w:lang w:val="es-ES"/>
        </w:rPr>
        <w:t>)</w:t>
      </w:r>
    </w:p>
    <w:p w14:paraId="583AA0C2" w14:textId="77777777" w:rsidR="00C92C58" w:rsidRPr="00C174D5" w:rsidRDefault="00C92C58" w:rsidP="00C92C58">
      <w:pPr>
        <w:rPr>
          <w:lang w:val="es-ES"/>
        </w:rPr>
      </w:pPr>
      <w:r>
        <w:rPr>
          <w:lang w:val="es-ES"/>
        </w:rPr>
        <w:t xml:space="preserve">Como se observa en el </w:t>
      </w:r>
      <w:r>
        <w:rPr>
          <w:lang w:val="es-ES"/>
        </w:rPr>
        <w:fldChar w:fldCharType="begin"/>
      </w:r>
      <w:r>
        <w:rPr>
          <w:lang w:val="es-ES"/>
        </w:rPr>
        <w:instrText xml:space="preserve"> REF _Ref455057135 \h </w:instrText>
      </w:r>
      <w:r>
        <w:rPr>
          <w:lang w:val="es-ES"/>
        </w:rPr>
      </w:r>
      <w:r>
        <w:rPr>
          <w:lang w:val="es-ES"/>
        </w:rPr>
        <w:fldChar w:fldCharType="separate"/>
      </w:r>
      <w:r w:rsidRPr="00C174D5">
        <w:rPr>
          <w:b/>
          <w:sz w:val="20"/>
          <w:lang w:val="es-ES"/>
        </w:rPr>
        <w:t xml:space="preserve">Gráfico </w:t>
      </w:r>
      <w:r>
        <w:rPr>
          <w:b/>
          <w:noProof/>
          <w:sz w:val="20"/>
          <w:lang w:val="es-ES"/>
        </w:rPr>
        <w:t>2</w:t>
      </w:r>
      <w:r>
        <w:rPr>
          <w:lang w:val="es-ES"/>
        </w:rPr>
        <w:fldChar w:fldCharType="end"/>
      </w:r>
      <w:r>
        <w:rPr>
          <w:lang w:val="es-ES"/>
        </w:rPr>
        <w:t>, la demanda considerada en la evaluación de este proyecto es la correspondiente a 15 subestaciones diferentes, siendo las demandas individuales de todas ellas crecientes a lo largo del período de análisis. Esta demanda potencial es la que es posible abastecer en presencia de proyecto.</w:t>
      </w:r>
    </w:p>
    <w:p w14:paraId="5C360951" w14:textId="77777777" w:rsidR="00C92C58" w:rsidRPr="00C174D5" w:rsidRDefault="00C92C58" w:rsidP="00C92C58">
      <w:pPr>
        <w:pStyle w:val="Heading1"/>
        <w:pageBreakBefore w:val="0"/>
        <w:numPr>
          <w:ilvl w:val="2"/>
          <w:numId w:val="9"/>
        </w:numPr>
        <w:ind w:left="1225" w:hanging="505"/>
        <w:rPr>
          <w:lang w:val="es-ES"/>
        </w:rPr>
      </w:pPr>
      <w:bookmarkStart w:id="66" w:name="_Toc447546933"/>
      <w:bookmarkStart w:id="67" w:name="_Toc456353116"/>
      <w:bookmarkStart w:id="68" w:name="_Ref422407721"/>
      <w:r w:rsidRPr="00C174D5">
        <w:rPr>
          <w:lang w:val="es-ES"/>
        </w:rPr>
        <w:t xml:space="preserve">SE </w:t>
      </w:r>
      <w:proofErr w:type="spellStart"/>
      <w:r w:rsidRPr="00C174D5">
        <w:rPr>
          <w:lang w:val="es-ES"/>
        </w:rPr>
        <w:t>Sébaco</w:t>
      </w:r>
      <w:proofErr w:type="spellEnd"/>
      <w:r w:rsidRPr="00C174D5">
        <w:rPr>
          <w:lang w:val="es-ES"/>
        </w:rPr>
        <w:t xml:space="preserve"> – Supuestos</w:t>
      </w:r>
      <w:bookmarkEnd w:id="66"/>
      <w:bookmarkEnd w:id="67"/>
    </w:p>
    <w:p w14:paraId="20105646" w14:textId="77777777" w:rsidR="00C92C58" w:rsidRPr="00C174D5" w:rsidRDefault="00C92C58" w:rsidP="00C92C58">
      <w:pPr>
        <w:tabs>
          <w:tab w:val="left" w:pos="1275"/>
        </w:tabs>
        <w:rPr>
          <w:lang w:val="es-ES"/>
        </w:rPr>
      </w:pPr>
      <w:r w:rsidRPr="00C174D5">
        <w:rPr>
          <w:lang w:val="es-ES"/>
        </w:rPr>
        <w:t xml:space="preserve">En la </w:t>
      </w:r>
      <w:r w:rsidRPr="00C174D5">
        <w:rPr>
          <w:lang w:val="es-ES"/>
        </w:rPr>
        <w:fldChar w:fldCharType="begin"/>
      </w:r>
      <w:r w:rsidRPr="00C174D5">
        <w:rPr>
          <w:lang w:val="es-ES"/>
        </w:rPr>
        <w:instrText xml:space="preserve"> REF _Ref450036095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11</w:t>
      </w:r>
      <w:r w:rsidRPr="00C174D5">
        <w:rPr>
          <w:lang w:val="es-ES"/>
        </w:rPr>
        <w:fldChar w:fldCharType="end"/>
      </w:r>
      <w:r w:rsidRPr="00C174D5">
        <w:rPr>
          <w:lang w:val="es-ES"/>
        </w:rPr>
        <w:t xml:space="preserve"> se detallan los supuestos utilizados para la evaluación de este proyecto (además de los detallados en la </w:t>
      </w:r>
      <w:r w:rsidRPr="00C174D5">
        <w:rPr>
          <w:lang w:val="es-ES"/>
        </w:rPr>
        <w:fldChar w:fldCharType="begin"/>
      </w:r>
      <w:r w:rsidRPr="00C174D5">
        <w:rPr>
          <w:lang w:val="es-ES"/>
        </w:rPr>
        <w:instrText xml:space="preserve"> REF _Ref450036258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3</w:t>
      </w:r>
      <w:r w:rsidRPr="00C174D5">
        <w:rPr>
          <w:lang w:val="es-ES"/>
        </w:rPr>
        <w:fldChar w:fldCharType="end"/>
      </w:r>
      <w:r w:rsidRPr="00C174D5">
        <w:rPr>
          <w:lang w:val="es-ES"/>
        </w:rPr>
        <w:fldChar w:fldCharType="begin" w:fldLock="1"/>
      </w:r>
      <w:r w:rsidRPr="00C174D5">
        <w:rPr>
          <w:lang w:val="es-ES"/>
        </w:rPr>
        <w:instrText xml:space="preserve"> REF _Ref424915492 \h  \* MERGEFORMAT </w:instrText>
      </w:r>
      <w:r w:rsidRPr="00C174D5">
        <w:rPr>
          <w:lang w:val="es-ES"/>
        </w:rPr>
      </w:r>
      <w:r w:rsidRPr="00C174D5">
        <w:rPr>
          <w:lang w:val="es-ES"/>
        </w:rPr>
        <w:fldChar w:fldCharType="end"/>
      </w:r>
      <w:r w:rsidRPr="00C174D5">
        <w:rPr>
          <w:lang w:val="es-ES"/>
        </w:rPr>
        <w:t xml:space="preserve"> y la </w:t>
      </w:r>
      <w:r w:rsidRPr="00C174D5">
        <w:rPr>
          <w:lang w:val="es-ES"/>
        </w:rPr>
        <w:fldChar w:fldCharType="begin"/>
      </w:r>
      <w:r w:rsidRPr="00C174D5">
        <w:rPr>
          <w:lang w:val="es-ES"/>
        </w:rPr>
        <w:instrText xml:space="preserve"> REF _Ref450036242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4</w:t>
      </w:r>
      <w:r w:rsidRPr="00C174D5">
        <w:rPr>
          <w:lang w:val="es-ES"/>
        </w:rPr>
        <w:fldChar w:fldCharType="end"/>
      </w:r>
      <w:r w:rsidRPr="00C174D5">
        <w:rPr>
          <w:lang w:val="es-ES"/>
        </w:rPr>
        <w:t>).</w:t>
      </w:r>
    </w:p>
    <w:p w14:paraId="2DCA79D9" w14:textId="77777777" w:rsidR="00C92C58" w:rsidRPr="00C174D5" w:rsidRDefault="00C92C58" w:rsidP="00C92C58">
      <w:pPr>
        <w:tabs>
          <w:tab w:val="left" w:pos="1275"/>
        </w:tabs>
        <w:rPr>
          <w:lang w:val="es-ES"/>
        </w:rPr>
      </w:pPr>
    </w:p>
    <w:p w14:paraId="4BB13912" w14:textId="77777777" w:rsidR="00C92C58" w:rsidRPr="00C174D5" w:rsidRDefault="00C92C58" w:rsidP="00C92C58">
      <w:pPr>
        <w:keepNext/>
        <w:keepLines/>
        <w:spacing w:after="120"/>
        <w:jc w:val="center"/>
        <w:rPr>
          <w:b/>
          <w:sz w:val="20"/>
          <w:lang w:val="es-ES"/>
        </w:rPr>
      </w:pPr>
      <w:bookmarkStart w:id="69" w:name="_Ref450036095"/>
      <w:bookmarkStart w:id="70" w:name="_Toc447546970"/>
      <w:bookmarkStart w:id="71" w:name="_Toc456353167"/>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11</w:t>
      </w:r>
      <w:r w:rsidRPr="00C174D5">
        <w:rPr>
          <w:b/>
          <w:sz w:val="20"/>
          <w:lang w:val="es-ES"/>
        </w:rPr>
        <w:fldChar w:fldCharType="end"/>
      </w:r>
      <w:bookmarkEnd w:id="69"/>
      <w:r w:rsidRPr="00C174D5">
        <w:rPr>
          <w:b/>
          <w:sz w:val="20"/>
          <w:lang w:val="es-ES"/>
        </w:rPr>
        <w:t xml:space="preserve">: Supuestos de modelización particulares – SE </w:t>
      </w:r>
      <w:proofErr w:type="spellStart"/>
      <w:r w:rsidRPr="00C174D5">
        <w:rPr>
          <w:b/>
          <w:sz w:val="20"/>
          <w:lang w:val="es-ES"/>
        </w:rPr>
        <w:t>Sébaco</w:t>
      </w:r>
      <w:bookmarkEnd w:id="70"/>
      <w:bookmarkEnd w:id="71"/>
      <w:proofErr w:type="spellEnd"/>
    </w:p>
    <w:tbl>
      <w:tblPr>
        <w:tblW w:w="0" w:type="auto"/>
        <w:jc w:val="center"/>
        <w:tblInd w:w="-8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74"/>
        <w:gridCol w:w="1634"/>
      </w:tblGrid>
      <w:tr w:rsidR="00C92C58" w:rsidRPr="00C174D5" w14:paraId="4DF305FA" w14:textId="77777777" w:rsidTr="00B15A9A">
        <w:trPr>
          <w:tblHeader/>
          <w:jc w:val="center"/>
        </w:trPr>
        <w:tc>
          <w:tcPr>
            <w:tcW w:w="4974" w:type="dxa"/>
            <w:tcBorders>
              <w:top w:val="single" w:sz="12" w:space="0" w:color="auto"/>
              <w:bottom w:val="single" w:sz="12" w:space="0" w:color="auto"/>
            </w:tcBorders>
            <w:shd w:val="clear" w:color="auto" w:fill="BFBFBF" w:themeFill="background1" w:themeFillShade="BF"/>
            <w:vAlign w:val="center"/>
          </w:tcPr>
          <w:p w14:paraId="68E74D11" w14:textId="77777777" w:rsidR="00C92C58" w:rsidRPr="00C174D5" w:rsidRDefault="00C92C58" w:rsidP="00B15A9A">
            <w:pPr>
              <w:spacing w:after="0" w:line="240" w:lineRule="auto"/>
              <w:jc w:val="center"/>
              <w:rPr>
                <w:b/>
                <w:sz w:val="20"/>
                <w:szCs w:val="20"/>
                <w:lang w:val="es-ES"/>
              </w:rPr>
            </w:pPr>
            <w:r w:rsidRPr="00C174D5">
              <w:rPr>
                <w:b/>
                <w:sz w:val="20"/>
                <w:szCs w:val="20"/>
                <w:lang w:val="es-ES"/>
              </w:rPr>
              <w:t>Parámetros</w:t>
            </w:r>
          </w:p>
        </w:tc>
        <w:tc>
          <w:tcPr>
            <w:tcW w:w="1634" w:type="dxa"/>
            <w:tcBorders>
              <w:top w:val="single" w:sz="12" w:space="0" w:color="auto"/>
              <w:bottom w:val="single" w:sz="12" w:space="0" w:color="auto"/>
            </w:tcBorders>
            <w:shd w:val="clear" w:color="auto" w:fill="BFBFBF" w:themeFill="background1" w:themeFillShade="BF"/>
            <w:vAlign w:val="center"/>
          </w:tcPr>
          <w:p w14:paraId="0C8463BD" w14:textId="77777777" w:rsidR="00C92C58" w:rsidRPr="00C174D5" w:rsidRDefault="00C92C58" w:rsidP="00B15A9A">
            <w:pPr>
              <w:spacing w:after="0" w:line="240" w:lineRule="auto"/>
              <w:jc w:val="center"/>
              <w:rPr>
                <w:b/>
                <w:sz w:val="20"/>
                <w:szCs w:val="20"/>
                <w:lang w:val="es-ES"/>
              </w:rPr>
            </w:pPr>
            <w:r w:rsidRPr="00C174D5">
              <w:rPr>
                <w:b/>
                <w:sz w:val="20"/>
                <w:szCs w:val="20"/>
                <w:lang w:val="es-ES"/>
              </w:rPr>
              <w:t>Valor</w:t>
            </w:r>
          </w:p>
        </w:tc>
      </w:tr>
      <w:tr w:rsidR="00C92C58" w:rsidRPr="00C174D5" w14:paraId="4F11F374" w14:textId="77777777" w:rsidTr="00B15A9A">
        <w:trPr>
          <w:jc w:val="center"/>
        </w:trPr>
        <w:tc>
          <w:tcPr>
            <w:tcW w:w="6608" w:type="dxa"/>
            <w:gridSpan w:val="2"/>
            <w:tcBorders>
              <w:top w:val="single" w:sz="12" w:space="0" w:color="auto"/>
            </w:tcBorders>
            <w:shd w:val="clear" w:color="auto" w:fill="auto"/>
            <w:vAlign w:val="center"/>
          </w:tcPr>
          <w:p w14:paraId="7F392A1F" w14:textId="77777777" w:rsidR="00C92C58" w:rsidRPr="00C174D5" w:rsidRDefault="00C92C58" w:rsidP="00B15A9A">
            <w:pPr>
              <w:spacing w:after="0" w:line="240" w:lineRule="auto"/>
              <w:jc w:val="center"/>
              <w:rPr>
                <w:sz w:val="20"/>
                <w:szCs w:val="20"/>
                <w:lang w:val="es-ES"/>
              </w:rPr>
            </w:pPr>
            <w:r w:rsidRPr="00C174D5">
              <w:rPr>
                <w:b/>
                <w:sz w:val="20"/>
                <w:szCs w:val="20"/>
                <w:lang w:val="es-ES"/>
              </w:rPr>
              <w:t>Económicos</w:t>
            </w:r>
          </w:p>
        </w:tc>
      </w:tr>
      <w:tr w:rsidR="00C92C58" w:rsidRPr="00C174D5" w14:paraId="37694342" w14:textId="77777777" w:rsidTr="00B15A9A">
        <w:trPr>
          <w:jc w:val="center"/>
        </w:trPr>
        <w:tc>
          <w:tcPr>
            <w:tcW w:w="4974" w:type="dxa"/>
            <w:shd w:val="clear" w:color="auto" w:fill="auto"/>
            <w:vAlign w:val="center"/>
          </w:tcPr>
          <w:p w14:paraId="7EB57D48" w14:textId="77777777" w:rsidR="00C92C58" w:rsidRPr="00C174D5" w:rsidRDefault="00C92C58" w:rsidP="00B15A9A">
            <w:pPr>
              <w:spacing w:after="0" w:line="240" w:lineRule="auto"/>
              <w:rPr>
                <w:sz w:val="20"/>
                <w:szCs w:val="20"/>
                <w:lang w:val="es-ES"/>
              </w:rPr>
            </w:pPr>
            <w:r w:rsidRPr="00C174D5">
              <w:rPr>
                <w:sz w:val="20"/>
                <w:szCs w:val="20"/>
                <w:lang w:val="es-ES"/>
              </w:rPr>
              <w:t>Inversión</w:t>
            </w:r>
          </w:p>
        </w:tc>
        <w:tc>
          <w:tcPr>
            <w:tcW w:w="1634" w:type="dxa"/>
            <w:shd w:val="clear" w:color="auto" w:fill="auto"/>
            <w:vAlign w:val="center"/>
          </w:tcPr>
          <w:p w14:paraId="139432B0" w14:textId="77777777" w:rsidR="00C92C58" w:rsidRPr="00C174D5" w:rsidRDefault="00C92C58" w:rsidP="00B15A9A">
            <w:pPr>
              <w:spacing w:after="0" w:line="240" w:lineRule="auto"/>
              <w:jc w:val="center"/>
              <w:rPr>
                <w:sz w:val="20"/>
                <w:szCs w:val="20"/>
                <w:lang w:val="es-ES"/>
              </w:rPr>
            </w:pPr>
            <w:r w:rsidRPr="00C174D5">
              <w:rPr>
                <w:sz w:val="20"/>
                <w:szCs w:val="20"/>
                <w:lang w:val="es-ES"/>
              </w:rPr>
              <w:t>9.385.502</w:t>
            </w:r>
            <w:r w:rsidRPr="00C174D5">
              <w:rPr>
                <w:rStyle w:val="FootnoteReference"/>
                <w:sz w:val="20"/>
                <w:szCs w:val="20"/>
                <w:lang w:val="es-ES"/>
              </w:rPr>
              <w:footnoteReference w:id="23"/>
            </w:r>
          </w:p>
        </w:tc>
      </w:tr>
      <w:tr w:rsidR="00C92C58" w:rsidRPr="00C174D5" w14:paraId="07574A93" w14:textId="77777777" w:rsidTr="00B15A9A">
        <w:trPr>
          <w:jc w:val="center"/>
        </w:trPr>
        <w:tc>
          <w:tcPr>
            <w:tcW w:w="6608" w:type="dxa"/>
            <w:gridSpan w:val="2"/>
            <w:shd w:val="clear" w:color="auto" w:fill="auto"/>
            <w:vAlign w:val="bottom"/>
          </w:tcPr>
          <w:p w14:paraId="5C461317" w14:textId="77777777" w:rsidR="00C92C58" w:rsidRPr="00C174D5" w:rsidRDefault="00C92C58" w:rsidP="00B15A9A">
            <w:pPr>
              <w:spacing w:after="0" w:line="240" w:lineRule="auto"/>
              <w:jc w:val="center"/>
              <w:rPr>
                <w:b/>
                <w:sz w:val="20"/>
                <w:szCs w:val="20"/>
                <w:lang w:val="es-ES"/>
              </w:rPr>
            </w:pPr>
            <w:r w:rsidRPr="00C174D5">
              <w:rPr>
                <w:b/>
                <w:sz w:val="20"/>
                <w:szCs w:val="20"/>
                <w:lang w:val="es-ES"/>
              </w:rPr>
              <w:t>Técnicos</w:t>
            </w:r>
          </w:p>
        </w:tc>
      </w:tr>
      <w:tr w:rsidR="00C92C58" w:rsidRPr="00C174D5" w14:paraId="2A180AD7" w14:textId="77777777" w:rsidTr="00B15A9A">
        <w:trPr>
          <w:jc w:val="center"/>
        </w:trPr>
        <w:tc>
          <w:tcPr>
            <w:tcW w:w="4974" w:type="dxa"/>
            <w:shd w:val="clear" w:color="auto" w:fill="auto"/>
            <w:vAlign w:val="bottom"/>
          </w:tcPr>
          <w:p w14:paraId="3AD4AE7D" w14:textId="77777777" w:rsidR="00C92C58" w:rsidRPr="00E34F14" w:rsidRDefault="00C92C58" w:rsidP="00B15A9A">
            <w:pPr>
              <w:spacing w:after="0" w:line="240" w:lineRule="auto"/>
              <w:rPr>
                <w:sz w:val="20"/>
                <w:szCs w:val="20"/>
                <w:lang w:val="es-ES"/>
              </w:rPr>
            </w:pPr>
            <w:r w:rsidRPr="00E34F14">
              <w:rPr>
                <w:sz w:val="20"/>
                <w:szCs w:val="20"/>
                <w:lang w:val="es-ES"/>
              </w:rPr>
              <w:t>Índice promedio falla LT fuente repentina</w:t>
            </w:r>
          </w:p>
        </w:tc>
        <w:tc>
          <w:tcPr>
            <w:tcW w:w="1634" w:type="dxa"/>
            <w:shd w:val="clear" w:color="auto" w:fill="auto"/>
            <w:vAlign w:val="center"/>
          </w:tcPr>
          <w:p w14:paraId="0C36B706" w14:textId="77777777" w:rsidR="00C92C58" w:rsidRPr="00C174D5" w:rsidRDefault="00C92C58" w:rsidP="00B15A9A">
            <w:pPr>
              <w:spacing w:after="0" w:line="240" w:lineRule="auto"/>
              <w:jc w:val="center"/>
              <w:rPr>
                <w:sz w:val="20"/>
                <w:szCs w:val="20"/>
                <w:lang w:val="es-ES"/>
              </w:rPr>
            </w:pPr>
            <w:r w:rsidRPr="00C174D5">
              <w:rPr>
                <w:sz w:val="20"/>
                <w:szCs w:val="20"/>
                <w:lang w:val="es-ES"/>
              </w:rPr>
              <w:t>0,000010467</w:t>
            </w:r>
          </w:p>
        </w:tc>
      </w:tr>
      <w:tr w:rsidR="00C92C58" w:rsidRPr="00C174D5" w14:paraId="2F33D852" w14:textId="77777777" w:rsidTr="00B15A9A">
        <w:trPr>
          <w:jc w:val="center"/>
        </w:trPr>
        <w:tc>
          <w:tcPr>
            <w:tcW w:w="4974" w:type="dxa"/>
            <w:shd w:val="clear" w:color="auto" w:fill="auto"/>
            <w:vAlign w:val="bottom"/>
          </w:tcPr>
          <w:p w14:paraId="7764B3A4" w14:textId="77777777" w:rsidR="00C92C58" w:rsidRPr="00E34F14" w:rsidRDefault="00C92C58" w:rsidP="00B15A9A">
            <w:pPr>
              <w:spacing w:after="0" w:line="240" w:lineRule="auto"/>
              <w:rPr>
                <w:sz w:val="20"/>
                <w:szCs w:val="20"/>
                <w:lang w:val="es-ES"/>
              </w:rPr>
            </w:pPr>
            <w:r w:rsidRPr="00E34F14">
              <w:rPr>
                <w:sz w:val="20"/>
                <w:szCs w:val="20"/>
                <w:lang w:val="es-ES"/>
              </w:rPr>
              <w:t>Índice promedio falla transformador</w:t>
            </w:r>
          </w:p>
        </w:tc>
        <w:tc>
          <w:tcPr>
            <w:tcW w:w="1634" w:type="dxa"/>
            <w:shd w:val="clear" w:color="auto" w:fill="auto"/>
            <w:vAlign w:val="center"/>
          </w:tcPr>
          <w:p w14:paraId="6D4C9D1A" w14:textId="77777777" w:rsidR="00C92C58" w:rsidRPr="00C174D5" w:rsidRDefault="00C92C58" w:rsidP="00B15A9A">
            <w:pPr>
              <w:spacing w:after="0" w:line="240" w:lineRule="auto"/>
              <w:jc w:val="center"/>
              <w:rPr>
                <w:sz w:val="20"/>
                <w:szCs w:val="20"/>
                <w:lang w:val="es-ES"/>
              </w:rPr>
            </w:pPr>
            <w:r w:rsidRPr="00C174D5">
              <w:rPr>
                <w:sz w:val="20"/>
                <w:szCs w:val="20"/>
                <w:lang w:val="es-ES"/>
              </w:rPr>
              <w:t>0,000112581</w:t>
            </w:r>
          </w:p>
        </w:tc>
      </w:tr>
      <w:tr w:rsidR="00C92C58" w:rsidRPr="00C174D5" w14:paraId="66E5A24E" w14:textId="77777777" w:rsidTr="00B15A9A">
        <w:trPr>
          <w:jc w:val="center"/>
        </w:trPr>
        <w:tc>
          <w:tcPr>
            <w:tcW w:w="4974" w:type="dxa"/>
            <w:shd w:val="clear" w:color="auto" w:fill="auto"/>
            <w:vAlign w:val="center"/>
          </w:tcPr>
          <w:p w14:paraId="72FE8E96" w14:textId="77777777" w:rsidR="00C92C58" w:rsidRPr="00E34F14" w:rsidRDefault="00C92C58" w:rsidP="00B15A9A">
            <w:pPr>
              <w:spacing w:after="0" w:line="240" w:lineRule="auto"/>
              <w:rPr>
                <w:sz w:val="20"/>
                <w:szCs w:val="20"/>
                <w:lang w:val="es-AR"/>
              </w:rPr>
            </w:pPr>
            <w:r w:rsidRPr="00E34F14">
              <w:rPr>
                <w:sz w:val="20"/>
                <w:szCs w:val="20"/>
                <w:lang w:val="es-AR"/>
              </w:rPr>
              <w:t>Índice promedio falla LT y conductores (2010-201</w:t>
            </w:r>
            <w:r>
              <w:rPr>
                <w:sz w:val="20"/>
                <w:szCs w:val="20"/>
                <w:lang w:val="es-AR"/>
              </w:rPr>
              <w:t>5</w:t>
            </w:r>
            <w:r w:rsidRPr="00E34F14">
              <w:rPr>
                <w:sz w:val="20"/>
                <w:szCs w:val="20"/>
                <w:lang w:val="es-AR"/>
              </w:rPr>
              <w:t>)</w:t>
            </w:r>
            <w:r>
              <w:rPr>
                <w:rStyle w:val="FootnoteReference"/>
                <w:sz w:val="20"/>
                <w:szCs w:val="20"/>
                <w:lang w:val="es-AR"/>
              </w:rPr>
              <w:footnoteReference w:id="24"/>
            </w:r>
          </w:p>
        </w:tc>
        <w:tc>
          <w:tcPr>
            <w:tcW w:w="1634" w:type="dxa"/>
            <w:shd w:val="clear" w:color="auto" w:fill="auto"/>
            <w:vAlign w:val="bottom"/>
          </w:tcPr>
          <w:p w14:paraId="2AB117AA" w14:textId="77777777" w:rsidR="00C92C58" w:rsidRPr="007D4199" w:rsidRDefault="00C92C58" w:rsidP="00B15A9A">
            <w:pPr>
              <w:spacing w:after="0" w:line="240" w:lineRule="auto"/>
              <w:jc w:val="center"/>
              <w:rPr>
                <w:color w:val="000000"/>
                <w:sz w:val="20"/>
                <w:szCs w:val="20"/>
              </w:rPr>
            </w:pPr>
            <w:r w:rsidRPr="007D4199">
              <w:rPr>
                <w:sz w:val="20"/>
                <w:szCs w:val="20"/>
                <w:lang w:val="es-ES"/>
              </w:rPr>
              <w:t>0,007455645</w:t>
            </w:r>
          </w:p>
        </w:tc>
      </w:tr>
      <w:tr w:rsidR="00C92C58" w:rsidRPr="00C174D5" w14:paraId="4E1CC1EF" w14:textId="77777777" w:rsidTr="00B15A9A">
        <w:trPr>
          <w:jc w:val="center"/>
        </w:trPr>
        <w:tc>
          <w:tcPr>
            <w:tcW w:w="6608" w:type="dxa"/>
            <w:gridSpan w:val="2"/>
            <w:shd w:val="clear" w:color="auto" w:fill="auto"/>
            <w:vAlign w:val="bottom"/>
          </w:tcPr>
          <w:p w14:paraId="12908A77" w14:textId="77777777" w:rsidR="00C92C58" w:rsidRPr="00C174D5" w:rsidRDefault="00C92C58" w:rsidP="00B15A9A">
            <w:pPr>
              <w:spacing w:after="0" w:line="240" w:lineRule="auto"/>
              <w:jc w:val="center"/>
              <w:rPr>
                <w:sz w:val="20"/>
                <w:szCs w:val="20"/>
                <w:lang w:val="es-ES"/>
              </w:rPr>
            </w:pPr>
            <w:r w:rsidRPr="00C174D5">
              <w:rPr>
                <w:b/>
                <w:sz w:val="20"/>
                <w:szCs w:val="20"/>
                <w:lang w:val="es-ES"/>
              </w:rPr>
              <w:lastRenderedPageBreak/>
              <w:t>De mercado</w:t>
            </w:r>
          </w:p>
        </w:tc>
      </w:tr>
      <w:tr w:rsidR="00C92C58" w:rsidRPr="00C174D5" w14:paraId="6FB217FE" w14:textId="77777777" w:rsidTr="00B15A9A">
        <w:trPr>
          <w:trHeight w:val="222"/>
          <w:jc w:val="center"/>
        </w:trPr>
        <w:tc>
          <w:tcPr>
            <w:tcW w:w="4974" w:type="dxa"/>
            <w:shd w:val="clear" w:color="auto" w:fill="auto"/>
          </w:tcPr>
          <w:p w14:paraId="4048CB56" w14:textId="77777777" w:rsidR="00C92C58" w:rsidRPr="00C174D5" w:rsidRDefault="00C92C58" w:rsidP="00B15A9A">
            <w:pPr>
              <w:keepNext/>
              <w:keepLines/>
              <w:spacing w:after="0" w:line="240" w:lineRule="auto"/>
              <w:jc w:val="left"/>
              <w:rPr>
                <w:sz w:val="20"/>
                <w:szCs w:val="20"/>
                <w:lang w:val="es-ES"/>
              </w:rPr>
            </w:pPr>
            <w:r w:rsidRPr="00C174D5">
              <w:rPr>
                <w:lang w:val="es-ES"/>
              </w:rPr>
              <w:t>Factor de carga promedio anual existente</w:t>
            </w:r>
          </w:p>
        </w:tc>
        <w:tc>
          <w:tcPr>
            <w:tcW w:w="1634" w:type="dxa"/>
            <w:shd w:val="clear" w:color="auto" w:fill="auto"/>
          </w:tcPr>
          <w:p w14:paraId="43AD7018" w14:textId="77777777" w:rsidR="00C92C58" w:rsidRPr="00C174D5" w:rsidRDefault="00C92C58" w:rsidP="00B15A9A">
            <w:pPr>
              <w:keepNext/>
              <w:keepLines/>
              <w:spacing w:after="0" w:line="240" w:lineRule="auto"/>
              <w:jc w:val="center"/>
              <w:rPr>
                <w:sz w:val="20"/>
                <w:szCs w:val="20"/>
                <w:highlight w:val="yellow"/>
                <w:lang w:val="es-ES"/>
              </w:rPr>
            </w:pPr>
            <w:r w:rsidRPr="00C174D5">
              <w:rPr>
                <w:lang w:val="es-ES"/>
              </w:rPr>
              <w:t>45,17%</w:t>
            </w:r>
          </w:p>
        </w:tc>
      </w:tr>
      <w:tr w:rsidR="00C92C58" w:rsidRPr="00C174D5" w14:paraId="0E7F53AD" w14:textId="77777777" w:rsidTr="00B15A9A">
        <w:trPr>
          <w:trHeight w:val="222"/>
          <w:jc w:val="center"/>
        </w:trPr>
        <w:tc>
          <w:tcPr>
            <w:tcW w:w="4974" w:type="dxa"/>
            <w:shd w:val="clear" w:color="auto" w:fill="auto"/>
          </w:tcPr>
          <w:p w14:paraId="1E4F4BDC" w14:textId="77777777" w:rsidR="00C92C58" w:rsidRPr="00C174D5" w:rsidRDefault="00C92C58" w:rsidP="00B15A9A">
            <w:pPr>
              <w:keepNext/>
              <w:keepLines/>
              <w:spacing w:after="0" w:line="240" w:lineRule="auto"/>
              <w:jc w:val="right"/>
              <w:rPr>
                <w:sz w:val="20"/>
                <w:szCs w:val="20"/>
                <w:lang w:val="es-ES"/>
              </w:rPr>
            </w:pPr>
            <w:r w:rsidRPr="00C174D5">
              <w:rPr>
                <w:lang w:val="es-ES"/>
              </w:rPr>
              <w:t xml:space="preserve"> SE </w:t>
            </w:r>
            <w:proofErr w:type="spellStart"/>
            <w:r w:rsidRPr="00C174D5">
              <w:rPr>
                <w:lang w:val="es-ES"/>
              </w:rPr>
              <w:t>Sébaco</w:t>
            </w:r>
            <w:proofErr w:type="spellEnd"/>
            <w:r w:rsidRPr="00C174D5">
              <w:rPr>
                <w:lang w:val="es-ES"/>
              </w:rPr>
              <w:t xml:space="preserve"> </w:t>
            </w:r>
          </w:p>
        </w:tc>
        <w:tc>
          <w:tcPr>
            <w:tcW w:w="1634" w:type="dxa"/>
            <w:shd w:val="clear" w:color="auto" w:fill="auto"/>
          </w:tcPr>
          <w:p w14:paraId="631DEFA4" w14:textId="77777777" w:rsidR="00C92C58" w:rsidRPr="00C174D5" w:rsidRDefault="00C92C58" w:rsidP="00B15A9A">
            <w:pPr>
              <w:keepNext/>
              <w:keepLines/>
              <w:spacing w:after="0" w:line="240" w:lineRule="auto"/>
              <w:jc w:val="center"/>
              <w:rPr>
                <w:sz w:val="20"/>
                <w:szCs w:val="20"/>
                <w:highlight w:val="yellow"/>
                <w:lang w:val="es-ES"/>
              </w:rPr>
            </w:pPr>
            <w:r w:rsidRPr="00C174D5">
              <w:rPr>
                <w:lang w:val="es-ES"/>
              </w:rPr>
              <w:t>64,00%</w:t>
            </w:r>
          </w:p>
        </w:tc>
      </w:tr>
      <w:tr w:rsidR="00C92C58" w:rsidRPr="00C174D5" w14:paraId="74CA99CC" w14:textId="77777777" w:rsidTr="00B15A9A">
        <w:trPr>
          <w:trHeight w:val="222"/>
          <w:jc w:val="center"/>
        </w:trPr>
        <w:tc>
          <w:tcPr>
            <w:tcW w:w="4974" w:type="dxa"/>
            <w:shd w:val="clear" w:color="auto" w:fill="auto"/>
          </w:tcPr>
          <w:p w14:paraId="45B9D94E" w14:textId="77777777" w:rsidR="00C92C58" w:rsidRPr="00C174D5" w:rsidRDefault="00C92C58" w:rsidP="00B15A9A">
            <w:pPr>
              <w:keepNext/>
              <w:keepLines/>
              <w:spacing w:after="0" w:line="240" w:lineRule="auto"/>
              <w:jc w:val="right"/>
              <w:rPr>
                <w:sz w:val="20"/>
                <w:szCs w:val="20"/>
                <w:lang w:val="es-ES"/>
              </w:rPr>
            </w:pPr>
            <w:r w:rsidRPr="00C174D5">
              <w:rPr>
                <w:lang w:val="es-ES"/>
              </w:rPr>
              <w:t xml:space="preserve"> SE Estelí </w:t>
            </w:r>
          </w:p>
        </w:tc>
        <w:tc>
          <w:tcPr>
            <w:tcW w:w="1634" w:type="dxa"/>
            <w:shd w:val="clear" w:color="auto" w:fill="auto"/>
          </w:tcPr>
          <w:p w14:paraId="05D26DCA" w14:textId="77777777" w:rsidR="00C92C58" w:rsidRPr="00C174D5" w:rsidRDefault="00C92C58" w:rsidP="00B15A9A">
            <w:pPr>
              <w:keepNext/>
              <w:keepLines/>
              <w:spacing w:after="0" w:line="240" w:lineRule="auto"/>
              <w:jc w:val="center"/>
              <w:rPr>
                <w:sz w:val="20"/>
                <w:szCs w:val="20"/>
                <w:highlight w:val="yellow"/>
                <w:lang w:val="es-ES"/>
              </w:rPr>
            </w:pPr>
            <w:r w:rsidRPr="00C174D5">
              <w:rPr>
                <w:lang w:val="es-ES"/>
              </w:rPr>
              <w:t>61,02%</w:t>
            </w:r>
          </w:p>
        </w:tc>
      </w:tr>
      <w:tr w:rsidR="00C92C58" w:rsidRPr="00C174D5" w14:paraId="46032A64" w14:textId="77777777" w:rsidTr="00B15A9A">
        <w:trPr>
          <w:trHeight w:val="222"/>
          <w:jc w:val="center"/>
        </w:trPr>
        <w:tc>
          <w:tcPr>
            <w:tcW w:w="4974" w:type="dxa"/>
            <w:shd w:val="clear" w:color="auto" w:fill="auto"/>
          </w:tcPr>
          <w:p w14:paraId="1B7B28E3" w14:textId="77777777" w:rsidR="00C92C58" w:rsidRPr="00C174D5" w:rsidRDefault="00C92C58" w:rsidP="00B15A9A">
            <w:pPr>
              <w:keepNext/>
              <w:keepLines/>
              <w:spacing w:after="0" w:line="240" w:lineRule="auto"/>
              <w:jc w:val="right"/>
              <w:rPr>
                <w:sz w:val="20"/>
                <w:szCs w:val="20"/>
                <w:lang w:val="es-ES"/>
              </w:rPr>
            </w:pPr>
            <w:r w:rsidRPr="00C174D5">
              <w:rPr>
                <w:lang w:val="es-ES"/>
              </w:rPr>
              <w:t xml:space="preserve"> SE </w:t>
            </w:r>
            <w:proofErr w:type="spellStart"/>
            <w:r w:rsidRPr="00C174D5">
              <w:rPr>
                <w:lang w:val="es-ES"/>
              </w:rPr>
              <w:t>Yalagüina</w:t>
            </w:r>
            <w:proofErr w:type="spellEnd"/>
            <w:r w:rsidRPr="00C174D5">
              <w:rPr>
                <w:lang w:val="es-ES"/>
              </w:rPr>
              <w:t xml:space="preserve"> </w:t>
            </w:r>
          </w:p>
        </w:tc>
        <w:tc>
          <w:tcPr>
            <w:tcW w:w="1634" w:type="dxa"/>
            <w:shd w:val="clear" w:color="auto" w:fill="auto"/>
          </w:tcPr>
          <w:p w14:paraId="5EDC5704" w14:textId="77777777" w:rsidR="00C92C58" w:rsidRPr="00C174D5" w:rsidRDefault="00C92C58" w:rsidP="00B15A9A">
            <w:pPr>
              <w:keepNext/>
              <w:keepLines/>
              <w:spacing w:after="0" w:line="240" w:lineRule="auto"/>
              <w:jc w:val="center"/>
              <w:rPr>
                <w:sz w:val="20"/>
                <w:szCs w:val="20"/>
                <w:highlight w:val="yellow"/>
                <w:lang w:val="es-ES"/>
              </w:rPr>
            </w:pPr>
            <w:r w:rsidRPr="00C174D5">
              <w:rPr>
                <w:lang w:val="es-ES"/>
              </w:rPr>
              <w:t>47,75%</w:t>
            </w:r>
          </w:p>
        </w:tc>
      </w:tr>
      <w:tr w:rsidR="00C92C58" w:rsidRPr="00C174D5" w14:paraId="3801971B" w14:textId="77777777" w:rsidTr="00B15A9A">
        <w:trPr>
          <w:trHeight w:val="222"/>
          <w:jc w:val="center"/>
        </w:trPr>
        <w:tc>
          <w:tcPr>
            <w:tcW w:w="4974" w:type="dxa"/>
            <w:shd w:val="clear" w:color="auto" w:fill="auto"/>
          </w:tcPr>
          <w:p w14:paraId="027E146D" w14:textId="77777777" w:rsidR="00C92C58" w:rsidRPr="00C174D5" w:rsidRDefault="00C92C58" w:rsidP="00B15A9A">
            <w:pPr>
              <w:keepNext/>
              <w:keepLines/>
              <w:spacing w:after="0" w:line="240" w:lineRule="auto"/>
              <w:jc w:val="right"/>
              <w:rPr>
                <w:sz w:val="20"/>
                <w:szCs w:val="20"/>
                <w:lang w:val="es-ES"/>
              </w:rPr>
            </w:pPr>
            <w:r w:rsidRPr="00C174D5">
              <w:rPr>
                <w:lang w:val="es-ES"/>
              </w:rPr>
              <w:t xml:space="preserve"> SE </w:t>
            </w:r>
            <w:proofErr w:type="spellStart"/>
            <w:r w:rsidRPr="00C174D5">
              <w:rPr>
                <w:lang w:val="es-ES"/>
              </w:rPr>
              <w:t>Yali</w:t>
            </w:r>
            <w:proofErr w:type="spellEnd"/>
            <w:r w:rsidRPr="00C174D5">
              <w:rPr>
                <w:lang w:val="es-ES"/>
              </w:rPr>
              <w:t xml:space="preserve"> </w:t>
            </w:r>
          </w:p>
        </w:tc>
        <w:tc>
          <w:tcPr>
            <w:tcW w:w="1634" w:type="dxa"/>
            <w:shd w:val="clear" w:color="auto" w:fill="auto"/>
          </w:tcPr>
          <w:p w14:paraId="39E241C3" w14:textId="77777777" w:rsidR="00C92C58" w:rsidRPr="00C174D5" w:rsidRDefault="00C92C58" w:rsidP="00B15A9A">
            <w:pPr>
              <w:keepNext/>
              <w:keepLines/>
              <w:spacing w:after="0" w:line="240" w:lineRule="auto"/>
              <w:jc w:val="center"/>
              <w:rPr>
                <w:sz w:val="20"/>
                <w:szCs w:val="20"/>
                <w:highlight w:val="yellow"/>
                <w:lang w:val="es-ES"/>
              </w:rPr>
            </w:pPr>
            <w:r w:rsidRPr="00C174D5">
              <w:rPr>
                <w:lang w:val="es-ES"/>
              </w:rPr>
              <w:t>47,35%</w:t>
            </w:r>
          </w:p>
        </w:tc>
      </w:tr>
      <w:tr w:rsidR="00C92C58" w:rsidRPr="00C174D5" w14:paraId="3889D3ED" w14:textId="77777777" w:rsidTr="00B15A9A">
        <w:trPr>
          <w:trHeight w:val="222"/>
          <w:jc w:val="center"/>
        </w:trPr>
        <w:tc>
          <w:tcPr>
            <w:tcW w:w="4974" w:type="dxa"/>
            <w:shd w:val="clear" w:color="auto" w:fill="auto"/>
          </w:tcPr>
          <w:p w14:paraId="300EB94E" w14:textId="77777777" w:rsidR="00C92C58" w:rsidRPr="00C174D5" w:rsidRDefault="00C92C58" w:rsidP="00B15A9A">
            <w:pPr>
              <w:keepNext/>
              <w:keepLines/>
              <w:spacing w:after="0" w:line="240" w:lineRule="auto"/>
              <w:jc w:val="right"/>
              <w:rPr>
                <w:sz w:val="20"/>
                <w:szCs w:val="20"/>
                <w:lang w:val="es-ES"/>
              </w:rPr>
            </w:pPr>
            <w:r w:rsidRPr="00C174D5">
              <w:rPr>
                <w:lang w:val="es-ES"/>
              </w:rPr>
              <w:t xml:space="preserve"> SE Santa Clara </w:t>
            </w:r>
          </w:p>
        </w:tc>
        <w:tc>
          <w:tcPr>
            <w:tcW w:w="1634" w:type="dxa"/>
            <w:shd w:val="clear" w:color="auto" w:fill="auto"/>
          </w:tcPr>
          <w:p w14:paraId="3FE7BEA7" w14:textId="77777777" w:rsidR="00C92C58" w:rsidRPr="00C174D5" w:rsidRDefault="00C92C58" w:rsidP="00B15A9A">
            <w:pPr>
              <w:keepNext/>
              <w:keepLines/>
              <w:spacing w:after="0" w:line="240" w:lineRule="auto"/>
              <w:jc w:val="center"/>
              <w:rPr>
                <w:sz w:val="20"/>
                <w:szCs w:val="20"/>
                <w:highlight w:val="yellow"/>
                <w:lang w:val="es-ES"/>
              </w:rPr>
            </w:pPr>
            <w:r w:rsidRPr="00C174D5">
              <w:rPr>
                <w:lang w:val="es-ES"/>
              </w:rPr>
              <w:t>41,77%</w:t>
            </w:r>
          </w:p>
        </w:tc>
      </w:tr>
      <w:tr w:rsidR="00C92C58" w:rsidRPr="00C174D5" w14:paraId="102C99DB" w14:textId="77777777" w:rsidTr="00B15A9A">
        <w:trPr>
          <w:trHeight w:val="222"/>
          <w:jc w:val="center"/>
        </w:trPr>
        <w:tc>
          <w:tcPr>
            <w:tcW w:w="4974" w:type="dxa"/>
            <w:shd w:val="clear" w:color="auto" w:fill="auto"/>
          </w:tcPr>
          <w:p w14:paraId="1A93FAF9" w14:textId="77777777" w:rsidR="00C92C58" w:rsidRPr="00C174D5" w:rsidRDefault="00C92C58" w:rsidP="00B15A9A">
            <w:pPr>
              <w:keepNext/>
              <w:keepLines/>
              <w:spacing w:after="0" w:line="240" w:lineRule="auto"/>
              <w:jc w:val="right"/>
              <w:rPr>
                <w:sz w:val="20"/>
                <w:szCs w:val="20"/>
                <w:lang w:val="es-ES"/>
              </w:rPr>
            </w:pPr>
            <w:r w:rsidRPr="00C174D5">
              <w:rPr>
                <w:lang w:val="es-ES"/>
              </w:rPr>
              <w:t xml:space="preserve"> SE Matagalpa </w:t>
            </w:r>
          </w:p>
        </w:tc>
        <w:tc>
          <w:tcPr>
            <w:tcW w:w="1634" w:type="dxa"/>
            <w:shd w:val="clear" w:color="auto" w:fill="auto"/>
          </w:tcPr>
          <w:p w14:paraId="3A0FEE0F" w14:textId="77777777" w:rsidR="00C92C58" w:rsidRPr="00C174D5" w:rsidRDefault="00C92C58" w:rsidP="00B15A9A">
            <w:pPr>
              <w:keepNext/>
              <w:keepLines/>
              <w:spacing w:after="0" w:line="240" w:lineRule="auto"/>
              <w:jc w:val="center"/>
              <w:rPr>
                <w:sz w:val="20"/>
                <w:szCs w:val="20"/>
                <w:highlight w:val="yellow"/>
                <w:lang w:val="es-ES"/>
              </w:rPr>
            </w:pPr>
            <w:r w:rsidRPr="00C174D5">
              <w:rPr>
                <w:lang w:val="es-ES"/>
              </w:rPr>
              <w:t>56,17%</w:t>
            </w:r>
          </w:p>
        </w:tc>
      </w:tr>
      <w:tr w:rsidR="00C92C58" w:rsidRPr="00C174D5" w14:paraId="5A0404A2" w14:textId="77777777" w:rsidTr="00B15A9A">
        <w:trPr>
          <w:trHeight w:val="222"/>
          <w:jc w:val="center"/>
        </w:trPr>
        <w:tc>
          <w:tcPr>
            <w:tcW w:w="4974" w:type="dxa"/>
            <w:shd w:val="clear" w:color="auto" w:fill="auto"/>
          </w:tcPr>
          <w:p w14:paraId="1A172953" w14:textId="77777777" w:rsidR="00C92C58" w:rsidRPr="00C174D5" w:rsidRDefault="00C92C58" w:rsidP="00B15A9A">
            <w:pPr>
              <w:keepNext/>
              <w:keepLines/>
              <w:spacing w:after="0" w:line="240" w:lineRule="auto"/>
              <w:jc w:val="right"/>
              <w:rPr>
                <w:sz w:val="20"/>
                <w:szCs w:val="20"/>
                <w:lang w:val="es-ES"/>
              </w:rPr>
            </w:pPr>
            <w:r w:rsidRPr="00C174D5">
              <w:rPr>
                <w:lang w:val="es-ES"/>
              </w:rPr>
              <w:t xml:space="preserve"> SE San Ramón </w:t>
            </w:r>
          </w:p>
        </w:tc>
        <w:tc>
          <w:tcPr>
            <w:tcW w:w="1634" w:type="dxa"/>
            <w:shd w:val="clear" w:color="auto" w:fill="auto"/>
          </w:tcPr>
          <w:p w14:paraId="05990290" w14:textId="77777777" w:rsidR="00C92C58" w:rsidRPr="00C174D5" w:rsidRDefault="00C92C58" w:rsidP="00B15A9A">
            <w:pPr>
              <w:keepNext/>
              <w:keepLines/>
              <w:spacing w:after="0" w:line="240" w:lineRule="auto"/>
              <w:jc w:val="center"/>
              <w:rPr>
                <w:sz w:val="20"/>
                <w:szCs w:val="20"/>
                <w:highlight w:val="yellow"/>
                <w:lang w:val="es-ES"/>
              </w:rPr>
            </w:pPr>
            <w:r w:rsidRPr="00C174D5">
              <w:rPr>
                <w:lang w:val="es-ES"/>
              </w:rPr>
              <w:t>37,51%</w:t>
            </w:r>
          </w:p>
        </w:tc>
      </w:tr>
      <w:tr w:rsidR="00C92C58" w:rsidRPr="00C174D5" w14:paraId="2878FC41" w14:textId="77777777" w:rsidTr="00B15A9A">
        <w:trPr>
          <w:trHeight w:val="222"/>
          <w:jc w:val="center"/>
        </w:trPr>
        <w:tc>
          <w:tcPr>
            <w:tcW w:w="4974" w:type="dxa"/>
            <w:shd w:val="clear" w:color="auto" w:fill="auto"/>
          </w:tcPr>
          <w:p w14:paraId="6732AF23" w14:textId="77777777" w:rsidR="00C92C58" w:rsidRPr="00C174D5" w:rsidRDefault="00C92C58" w:rsidP="00B15A9A">
            <w:pPr>
              <w:keepNext/>
              <w:keepLines/>
              <w:spacing w:after="0" w:line="240" w:lineRule="auto"/>
              <w:jc w:val="right"/>
              <w:rPr>
                <w:sz w:val="20"/>
                <w:szCs w:val="20"/>
                <w:lang w:val="es-ES"/>
              </w:rPr>
            </w:pPr>
            <w:r w:rsidRPr="00C174D5">
              <w:rPr>
                <w:lang w:val="es-ES"/>
              </w:rPr>
              <w:t xml:space="preserve"> SE </w:t>
            </w:r>
            <w:proofErr w:type="spellStart"/>
            <w:r w:rsidRPr="00C174D5">
              <w:rPr>
                <w:lang w:val="es-ES"/>
              </w:rPr>
              <w:t>Matiguas</w:t>
            </w:r>
            <w:proofErr w:type="spellEnd"/>
            <w:r w:rsidRPr="00C174D5">
              <w:rPr>
                <w:lang w:val="es-ES"/>
              </w:rPr>
              <w:t xml:space="preserve"> </w:t>
            </w:r>
          </w:p>
        </w:tc>
        <w:tc>
          <w:tcPr>
            <w:tcW w:w="1634" w:type="dxa"/>
            <w:shd w:val="clear" w:color="auto" w:fill="auto"/>
          </w:tcPr>
          <w:p w14:paraId="1E75CE53" w14:textId="77777777" w:rsidR="00C92C58" w:rsidRPr="00C174D5" w:rsidRDefault="00C92C58" w:rsidP="00B15A9A">
            <w:pPr>
              <w:keepNext/>
              <w:keepLines/>
              <w:spacing w:after="0" w:line="240" w:lineRule="auto"/>
              <w:jc w:val="center"/>
              <w:rPr>
                <w:sz w:val="20"/>
                <w:szCs w:val="20"/>
                <w:highlight w:val="yellow"/>
                <w:lang w:val="es-ES"/>
              </w:rPr>
            </w:pPr>
            <w:r w:rsidRPr="00C174D5">
              <w:rPr>
                <w:lang w:val="es-ES"/>
              </w:rPr>
              <w:t>51,33%</w:t>
            </w:r>
          </w:p>
        </w:tc>
      </w:tr>
      <w:tr w:rsidR="00C92C58" w:rsidRPr="00C174D5" w14:paraId="62B1DAD7" w14:textId="77777777" w:rsidTr="00B15A9A">
        <w:trPr>
          <w:trHeight w:val="222"/>
          <w:jc w:val="center"/>
        </w:trPr>
        <w:tc>
          <w:tcPr>
            <w:tcW w:w="4974" w:type="dxa"/>
            <w:shd w:val="clear" w:color="auto" w:fill="auto"/>
          </w:tcPr>
          <w:p w14:paraId="447202A2" w14:textId="77777777" w:rsidR="00C92C58" w:rsidRPr="00C174D5" w:rsidRDefault="00C92C58" w:rsidP="00B15A9A">
            <w:pPr>
              <w:keepNext/>
              <w:keepLines/>
              <w:spacing w:after="0" w:line="240" w:lineRule="auto"/>
              <w:jc w:val="right"/>
              <w:rPr>
                <w:sz w:val="20"/>
                <w:szCs w:val="20"/>
                <w:lang w:val="es-ES"/>
              </w:rPr>
            </w:pPr>
            <w:r w:rsidRPr="00C174D5">
              <w:rPr>
                <w:lang w:val="es-ES"/>
              </w:rPr>
              <w:t xml:space="preserve"> SE El Tuma </w:t>
            </w:r>
          </w:p>
        </w:tc>
        <w:tc>
          <w:tcPr>
            <w:tcW w:w="1634" w:type="dxa"/>
            <w:shd w:val="clear" w:color="auto" w:fill="auto"/>
          </w:tcPr>
          <w:p w14:paraId="64DBE375" w14:textId="77777777" w:rsidR="00C92C58" w:rsidRPr="00C174D5" w:rsidRDefault="00C92C58" w:rsidP="00B15A9A">
            <w:pPr>
              <w:keepNext/>
              <w:keepLines/>
              <w:spacing w:after="0" w:line="240" w:lineRule="auto"/>
              <w:jc w:val="center"/>
              <w:rPr>
                <w:sz w:val="20"/>
                <w:szCs w:val="20"/>
                <w:highlight w:val="yellow"/>
                <w:lang w:val="es-ES"/>
              </w:rPr>
            </w:pPr>
            <w:r w:rsidRPr="00C174D5">
              <w:rPr>
                <w:lang w:val="es-ES"/>
              </w:rPr>
              <w:t>25,26%</w:t>
            </w:r>
          </w:p>
        </w:tc>
      </w:tr>
      <w:tr w:rsidR="00C92C58" w:rsidRPr="00C174D5" w14:paraId="3AF17E60" w14:textId="77777777" w:rsidTr="00B15A9A">
        <w:trPr>
          <w:trHeight w:val="222"/>
          <w:jc w:val="center"/>
        </w:trPr>
        <w:tc>
          <w:tcPr>
            <w:tcW w:w="4974" w:type="dxa"/>
            <w:shd w:val="clear" w:color="auto" w:fill="auto"/>
          </w:tcPr>
          <w:p w14:paraId="5C25540D" w14:textId="77777777" w:rsidR="00C92C58" w:rsidRPr="00C174D5" w:rsidRDefault="00C92C58" w:rsidP="00B15A9A">
            <w:pPr>
              <w:keepNext/>
              <w:keepLines/>
              <w:spacing w:after="0" w:line="240" w:lineRule="auto"/>
              <w:jc w:val="right"/>
              <w:rPr>
                <w:sz w:val="20"/>
                <w:szCs w:val="20"/>
                <w:lang w:val="es-ES"/>
              </w:rPr>
            </w:pPr>
            <w:r w:rsidRPr="00C174D5">
              <w:rPr>
                <w:lang w:val="es-ES"/>
              </w:rPr>
              <w:t xml:space="preserve"> SE </w:t>
            </w:r>
            <w:proofErr w:type="spellStart"/>
            <w:r w:rsidRPr="00C174D5">
              <w:rPr>
                <w:lang w:val="es-ES"/>
              </w:rPr>
              <w:t>Mulukuku</w:t>
            </w:r>
            <w:proofErr w:type="spellEnd"/>
            <w:r w:rsidRPr="00C174D5">
              <w:rPr>
                <w:lang w:val="es-ES"/>
              </w:rPr>
              <w:t xml:space="preserve"> </w:t>
            </w:r>
          </w:p>
        </w:tc>
        <w:tc>
          <w:tcPr>
            <w:tcW w:w="1634" w:type="dxa"/>
            <w:shd w:val="clear" w:color="auto" w:fill="auto"/>
          </w:tcPr>
          <w:p w14:paraId="1F1670C8" w14:textId="77777777" w:rsidR="00C92C58" w:rsidRPr="00C174D5" w:rsidRDefault="00C92C58" w:rsidP="00B15A9A">
            <w:pPr>
              <w:keepNext/>
              <w:keepLines/>
              <w:spacing w:after="0" w:line="240" w:lineRule="auto"/>
              <w:jc w:val="center"/>
              <w:rPr>
                <w:sz w:val="20"/>
                <w:szCs w:val="20"/>
                <w:highlight w:val="yellow"/>
                <w:lang w:val="es-ES"/>
              </w:rPr>
            </w:pPr>
            <w:r w:rsidRPr="00C174D5">
              <w:rPr>
                <w:lang w:val="es-ES"/>
              </w:rPr>
              <w:t>29,86%</w:t>
            </w:r>
          </w:p>
        </w:tc>
      </w:tr>
      <w:tr w:rsidR="00C92C58" w:rsidRPr="00C174D5" w14:paraId="781FC4ED" w14:textId="77777777" w:rsidTr="00B15A9A">
        <w:trPr>
          <w:trHeight w:val="222"/>
          <w:jc w:val="center"/>
        </w:trPr>
        <w:tc>
          <w:tcPr>
            <w:tcW w:w="4974" w:type="dxa"/>
            <w:shd w:val="clear" w:color="auto" w:fill="auto"/>
          </w:tcPr>
          <w:p w14:paraId="5D89FAEC" w14:textId="77777777" w:rsidR="00C92C58" w:rsidRPr="00C174D5" w:rsidRDefault="00C92C58" w:rsidP="00B15A9A">
            <w:pPr>
              <w:keepNext/>
              <w:keepLines/>
              <w:spacing w:after="0" w:line="240" w:lineRule="auto"/>
              <w:jc w:val="right"/>
              <w:rPr>
                <w:sz w:val="20"/>
                <w:szCs w:val="20"/>
                <w:lang w:val="es-ES"/>
              </w:rPr>
            </w:pPr>
            <w:r w:rsidRPr="00C174D5">
              <w:rPr>
                <w:lang w:val="es-ES"/>
              </w:rPr>
              <w:t xml:space="preserve"> SE </w:t>
            </w:r>
            <w:proofErr w:type="spellStart"/>
            <w:r w:rsidRPr="00C174D5">
              <w:rPr>
                <w:lang w:val="es-ES"/>
              </w:rPr>
              <w:t>Siuna</w:t>
            </w:r>
            <w:proofErr w:type="spellEnd"/>
            <w:r w:rsidRPr="00C174D5">
              <w:rPr>
                <w:lang w:val="es-ES"/>
              </w:rPr>
              <w:t xml:space="preserve"> </w:t>
            </w:r>
          </w:p>
        </w:tc>
        <w:tc>
          <w:tcPr>
            <w:tcW w:w="1634" w:type="dxa"/>
            <w:shd w:val="clear" w:color="auto" w:fill="auto"/>
          </w:tcPr>
          <w:p w14:paraId="116C059B" w14:textId="77777777" w:rsidR="00C92C58" w:rsidRPr="00C174D5" w:rsidRDefault="00C92C58" w:rsidP="00B15A9A">
            <w:pPr>
              <w:keepNext/>
              <w:keepLines/>
              <w:spacing w:after="0" w:line="240" w:lineRule="auto"/>
              <w:jc w:val="center"/>
              <w:rPr>
                <w:sz w:val="20"/>
                <w:szCs w:val="20"/>
                <w:highlight w:val="yellow"/>
                <w:lang w:val="es-ES"/>
              </w:rPr>
            </w:pPr>
            <w:r w:rsidRPr="00C174D5">
              <w:rPr>
                <w:lang w:val="es-ES"/>
              </w:rPr>
              <w:t>43,68%</w:t>
            </w:r>
          </w:p>
        </w:tc>
      </w:tr>
      <w:tr w:rsidR="00C92C58" w:rsidRPr="00C174D5" w14:paraId="35F5AE3B" w14:textId="77777777" w:rsidTr="00B15A9A">
        <w:trPr>
          <w:trHeight w:val="222"/>
          <w:jc w:val="center"/>
        </w:trPr>
        <w:tc>
          <w:tcPr>
            <w:tcW w:w="4974" w:type="dxa"/>
            <w:shd w:val="clear" w:color="auto" w:fill="auto"/>
          </w:tcPr>
          <w:p w14:paraId="75D2AC15" w14:textId="77777777" w:rsidR="00C92C58" w:rsidRPr="00C174D5" w:rsidRDefault="00C92C58" w:rsidP="00B15A9A">
            <w:pPr>
              <w:keepNext/>
              <w:keepLines/>
              <w:spacing w:after="0" w:line="240" w:lineRule="auto"/>
              <w:jc w:val="right"/>
              <w:rPr>
                <w:sz w:val="20"/>
                <w:szCs w:val="20"/>
                <w:lang w:val="es-ES"/>
              </w:rPr>
            </w:pPr>
            <w:r w:rsidRPr="00C174D5">
              <w:rPr>
                <w:lang w:val="es-ES"/>
              </w:rPr>
              <w:t xml:space="preserve"> SE Centroamérica </w:t>
            </w:r>
          </w:p>
        </w:tc>
        <w:tc>
          <w:tcPr>
            <w:tcW w:w="1634" w:type="dxa"/>
            <w:shd w:val="clear" w:color="auto" w:fill="auto"/>
          </w:tcPr>
          <w:p w14:paraId="2E20A8BA" w14:textId="77777777" w:rsidR="00C92C58" w:rsidRPr="00C174D5" w:rsidRDefault="00C92C58" w:rsidP="00B15A9A">
            <w:pPr>
              <w:keepNext/>
              <w:keepLines/>
              <w:spacing w:after="0" w:line="240" w:lineRule="auto"/>
              <w:jc w:val="center"/>
              <w:rPr>
                <w:sz w:val="20"/>
                <w:szCs w:val="20"/>
                <w:highlight w:val="yellow"/>
                <w:lang w:val="es-ES"/>
              </w:rPr>
            </w:pPr>
            <w:r w:rsidRPr="00C174D5">
              <w:rPr>
                <w:lang w:val="es-ES"/>
              </w:rPr>
              <w:t>46,94%</w:t>
            </w:r>
          </w:p>
        </w:tc>
      </w:tr>
      <w:tr w:rsidR="00C92C58" w:rsidRPr="00C174D5" w14:paraId="6C4ED6BE" w14:textId="77777777" w:rsidTr="00B15A9A">
        <w:trPr>
          <w:trHeight w:val="222"/>
          <w:jc w:val="center"/>
        </w:trPr>
        <w:tc>
          <w:tcPr>
            <w:tcW w:w="4974" w:type="dxa"/>
            <w:shd w:val="clear" w:color="auto" w:fill="auto"/>
          </w:tcPr>
          <w:p w14:paraId="2D29CBED" w14:textId="77777777" w:rsidR="00C92C58" w:rsidRPr="00C174D5" w:rsidRDefault="00C92C58" w:rsidP="00B15A9A">
            <w:pPr>
              <w:keepNext/>
              <w:keepLines/>
              <w:spacing w:after="0" w:line="240" w:lineRule="auto"/>
              <w:jc w:val="right"/>
              <w:rPr>
                <w:sz w:val="20"/>
                <w:szCs w:val="20"/>
                <w:lang w:val="es-ES"/>
              </w:rPr>
            </w:pPr>
            <w:r w:rsidRPr="00C174D5">
              <w:rPr>
                <w:lang w:val="es-ES"/>
              </w:rPr>
              <w:t xml:space="preserve"> SE Rosita </w:t>
            </w:r>
          </w:p>
        </w:tc>
        <w:tc>
          <w:tcPr>
            <w:tcW w:w="1634" w:type="dxa"/>
            <w:shd w:val="clear" w:color="auto" w:fill="auto"/>
          </w:tcPr>
          <w:p w14:paraId="3781094E" w14:textId="77777777" w:rsidR="00C92C58" w:rsidRPr="00C174D5" w:rsidRDefault="00C92C58" w:rsidP="00B15A9A">
            <w:pPr>
              <w:keepNext/>
              <w:keepLines/>
              <w:spacing w:after="0" w:line="240" w:lineRule="auto"/>
              <w:jc w:val="center"/>
              <w:rPr>
                <w:sz w:val="20"/>
                <w:szCs w:val="20"/>
                <w:highlight w:val="yellow"/>
                <w:lang w:val="es-ES"/>
              </w:rPr>
            </w:pPr>
            <w:r w:rsidRPr="00C174D5">
              <w:rPr>
                <w:lang w:val="es-ES"/>
              </w:rPr>
              <w:t>43,68%</w:t>
            </w:r>
          </w:p>
        </w:tc>
      </w:tr>
      <w:tr w:rsidR="00C92C58" w:rsidRPr="00C174D5" w14:paraId="30C7F3D5" w14:textId="77777777" w:rsidTr="00B15A9A">
        <w:trPr>
          <w:trHeight w:val="222"/>
          <w:jc w:val="center"/>
        </w:trPr>
        <w:tc>
          <w:tcPr>
            <w:tcW w:w="4974" w:type="dxa"/>
            <w:shd w:val="clear" w:color="auto" w:fill="auto"/>
          </w:tcPr>
          <w:p w14:paraId="279115F6" w14:textId="77777777" w:rsidR="00C92C58" w:rsidRPr="00C174D5" w:rsidRDefault="00C92C58" w:rsidP="00B15A9A">
            <w:pPr>
              <w:keepNext/>
              <w:keepLines/>
              <w:spacing w:after="0" w:line="240" w:lineRule="auto"/>
              <w:jc w:val="right"/>
              <w:rPr>
                <w:sz w:val="20"/>
                <w:szCs w:val="20"/>
                <w:lang w:val="es-ES"/>
              </w:rPr>
            </w:pPr>
            <w:r w:rsidRPr="00C174D5">
              <w:rPr>
                <w:lang w:val="es-ES"/>
              </w:rPr>
              <w:t xml:space="preserve"> SE </w:t>
            </w:r>
            <w:proofErr w:type="spellStart"/>
            <w:r w:rsidRPr="00C174D5">
              <w:rPr>
                <w:lang w:val="es-ES"/>
              </w:rPr>
              <w:t>Bilwi</w:t>
            </w:r>
            <w:proofErr w:type="spellEnd"/>
            <w:r w:rsidRPr="00C174D5">
              <w:rPr>
                <w:lang w:val="es-ES"/>
              </w:rPr>
              <w:t xml:space="preserve"> </w:t>
            </w:r>
          </w:p>
        </w:tc>
        <w:tc>
          <w:tcPr>
            <w:tcW w:w="1634" w:type="dxa"/>
            <w:shd w:val="clear" w:color="auto" w:fill="auto"/>
          </w:tcPr>
          <w:p w14:paraId="0404373E" w14:textId="77777777" w:rsidR="00C92C58" w:rsidRPr="00C174D5" w:rsidRDefault="00C92C58" w:rsidP="00B15A9A">
            <w:pPr>
              <w:keepNext/>
              <w:keepLines/>
              <w:spacing w:after="0" w:line="240" w:lineRule="auto"/>
              <w:jc w:val="center"/>
              <w:rPr>
                <w:sz w:val="20"/>
                <w:szCs w:val="20"/>
                <w:highlight w:val="yellow"/>
                <w:lang w:val="es-ES"/>
              </w:rPr>
            </w:pPr>
            <w:r w:rsidRPr="00C174D5">
              <w:rPr>
                <w:lang w:val="es-ES"/>
              </w:rPr>
              <w:t>43,68%</w:t>
            </w:r>
          </w:p>
        </w:tc>
      </w:tr>
      <w:tr w:rsidR="00C92C58" w:rsidRPr="00C174D5" w14:paraId="5C0B7A9C" w14:textId="77777777" w:rsidTr="00B15A9A">
        <w:trPr>
          <w:trHeight w:val="222"/>
          <w:jc w:val="center"/>
        </w:trPr>
        <w:tc>
          <w:tcPr>
            <w:tcW w:w="4974" w:type="dxa"/>
            <w:shd w:val="clear" w:color="auto" w:fill="auto"/>
          </w:tcPr>
          <w:p w14:paraId="01E1EF99" w14:textId="77777777" w:rsidR="00C92C58" w:rsidRPr="00C174D5" w:rsidRDefault="00C92C58" w:rsidP="00B15A9A">
            <w:pPr>
              <w:keepNext/>
              <w:keepLines/>
              <w:spacing w:after="0" w:line="240" w:lineRule="auto"/>
              <w:jc w:val="right"/>
              <w:rPr>
                <w:sz w:val="20"/>
                <w:szCs w:val="20"/>
                <w:lang w:val="es-ES"/>
              </w:rPr>
            </w:pPr>
            <w:r w:rsidRPr="00C174D5">
              <w:rPr>
                <w:lang w:val="es-ES"/>
              </w:rPr>
              <w:t xml:space="preserve"> SE El Jobo </w:t>
            </w:r>
          </w:p>
        </w:tc>
        <w:tc>
          <w:tcPr>
            <w:tcW w:w="1634" w:type="dxa"/>
            <w:shd w:val="clear" w:color="auto" w:fill="auto"/>
          </w:tcPr>
          <w:p w14:paraId="53B1836B" w14:textId="77777777" w:rsidR="00C92C58" w:rsidRPr="00C174D5" w:rsidRDefault="00C92C58" w:rsidP="00B15A9A">
            <w:pPr>
              <w:keepNext/>
              <w:keepLines/>
              <w:spacing w:after="0" w:line="240" w:lineRule="auto"/>
              <w:jc w:val="center"/>
              <w:rPr>
                <w:sz w:val="20"/>
                <w:szCs w:val="20"/>
                <w:lang w:val="es-ES"/>
              </w:rPr>
            </w:pPr>
            <w:r w:rsidRPr="00C174D5">
              <w:rPr>
                <w:lang w:val="es-ES"/>
              </w:rPr>
              <w:t>37,51%</w:t>
            </w:r>
          </w:p>
        </w:tc>
      </w:tr>
    </w:tbl>
    <w:p w14:paraId="3F6BA23E" w14:textId="77777777" w:rsidR="00C92C58" w:rsidRPr="00C174D5" w:rsidRDefault="00C92C58" w:rsidP="00C92C58">
      <w:pPr>
        <w:ind w:left="1560" w:right="1559"/>
        <w:jc w:val="center"/>
        <w:rPr>
          <w:sz w:val="18"/>
          <w:lang w:val="es-ES"/>
        </w:rPr>
      </w:pPr>
      <w:r w:rsidRPr="00C174D5">
        <w:rPr>
          <w:sz w:val="18"/>
          <w:lang w:val="es-ES"/>
        </w:rPr>
        <w:t>Fuente: Elaboración propia en base a información de ENATREL provista por el BID</w:t>
      </w:r>
    </w:p>
    <w:p w14:paraId="1F3BE9C2" w14:textId="77777777" w:rsidR="00C92C58" w:rsidRPr="00C174D5" w:rsidRDefault="00C92C58" w:rsidP="00C92C58">
      <w:pPr>
        <w:tabs>
          <w:tab w:val="left" w:pos="1275"/>
        </w:tabs>
        <w:rPr>
          <w:lang w:val="es-ES"/>
        </w:rPr>
      </w:pPr>
      <w:r w:rsidRPr="00C174D5">
        <w:rPr>
          <w:lang w:val="es-ES"/>
        </w:rPr>
        <w:t>A continuación se presentan el análisis económico y el análisis financiero de este proyecto.</w:t>
      </w:r>
    </w:p>
    <w:p w14:paraId="58838B05" w14:textId="77777777" w:rsidR="00C92C58" w:rsidRPr="00C174D5" w:rsidRDefault="00C92C58" w:rsidP="00C92C58">
      <w:pPr>
        <w:pStyle w:val="Heading1"/>
        <w:pageBreakBefore w:val="0"/>
        <w:numPr>
          <w:ilvl w:val="2"/>
          <w:numId w:val="9"/>
        </w:numPr>
        <w:ind w:left="1225" w:hanging="505"/>
        <w:rPr>
          <w:lang w:val="es-ES"/>
        </w:rPr>
      </w:pPr>
      <w:bookmarkStart w:id="72" w:name="_Toc447546934"/>
      <w:bookmarkStart w:id="73" w:name="_Toc456353117"/>
      <w:bookmarkEnd w:id="68"/>
      <w:r w:rsidRPr="00C174D5">
        <w:rPr>
          <w:lang w:val="es-ES"/>
        </w:rPr>
        <w:t xml:space="preserve">SE </w:t>
      </w:r>
      <w:proofErr w:type="spellStart"/>
      <w:r w:rsidRPr="00C174D5">
        <w:rPr>
          <w:lang w:val="es-ES"/>
        </w:rPr>
        <w:t>Sébaco</w:t>
      </w:r>
      <w:proofErr w:type="spellEnd"/>
      <w:r w:rsidRPr="00C174D5">
        <w:rPr>
          <w:lang w:val="es-ES"/>
        </w:rPr>
        <w:t xml:space="preserve"> – Evaluación</w:t>
      </w:r>
      <w:bookmarkEnd w:id="72"/>
      <w:bookmarkEnd w:id="73"/>
    </w:p>
    <w:p w14:paraId="49792CF6" w14:textId="77777777" w:rsidR="00C92C58" w:rsidRPr="00C174D5" w:rsidRDefault="00C92C58" w:rsidP="00C92C58">
      <w:pPr>
        <w:rPr>
          <w:lang w:val="es-ES"/>
        </w:rPr>
      </w:pPr>
      <w:r w:rsidRPr="00C174D5">
        <w:rPr>
          <w:lang w:val="es-ES"/>
        </w:rPr>
        <w:t>Los beneficios económicos de este proyecto están compuestos por la variación de la energía de falla, valuada al costo de falla (neto de los costos económicos de provisión de electricidad) y por el ahorro en los costos de operación térmica (ajustados éstos por el factor de cuenta).</w:t>
      </w:r>
      <w:r w:rsidRPr="00C174D5">
        <w:rPr>
          <w:rStyle w:val="FootnoteReference"/>
          <w:lang w:val="es-ES"/>
        </w:rPr>
        <w:footnoteReference w:id="25"/>
      </w:r>
      <w:r w:rsidRPr="00C174D5">
        <w:rPr>
          <w:lang w:val="es-ES"/>
        </w:rPr>
        <w:t xml:space="preserve"> Los costos económicos están dados por la inversión y los costos de operación y mantenimiento (ajustados por el FC) y las pérdidas que se generan en presencia del proyecto, valuadas según nivel de tensión y ajustado por FC.</w:t>
      </w:r>
      <w:r w:rsidRPr="00C174D5">
        <w:rPr>
          <w:rStyle w:val="FootnoteReference"/>
          <w:lang w:val="es-ES"/>
        </w:rPr>
        <w:footnoteReference w:id="26"/>
      </w:r>
    </w:p>
    <w:p w14:paraId="48BEB3A8" w14:textId="77777777" w:rsidR="00C92C58" w:rsidRPr="00C174D5" w:rsidRDefault="00C92C58" w:rsidP="00C92C58">
      <w:pPr>
        <w:rPr>
          <w:lang w:val="es-ES"/>
        </w:rPr>
      </w:pPr>
      <w:r w:rsidRPr="00C174D5">
        <w:rPr>
          <w:lang w:val="es-ES"/>
        </w:rPr>
        <w:t xml:space="preserve">Los resultados dela evaluación económica son los de la </w:t>
      </w:r>
      <w:r w:rsidRPr="00C174D5">
        <w:rPr>
          <w:lang w:val="es-ES"/>
        </w:rPr>
        <w:fldChar w:fldCharType="begin"/>
      </w:r>
      <w:r w:rsidRPr="00C174D5">
        <w:rPr>
          <w:lang w:val="es-ES"/>
        </w:rPr>
        <w:instrText xml:space="preserve"> REF _Ref450036069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12</w:t>
      </w:r>
      <w:r w:rsidRPr="00C174D5">
        <w:rPr>
          <w:lang w:val="es-ES"/>
        </w:rPr>
        <w:fldChar w:fldCharType="end"/>
      </w:r>
      <w:r w:rsidRPr="00C174D5">
        <w:rPr>
          <w:lang w:val="es-ES"/>
        </w:rPr>
        <w:t>.</w:t>
      </w:r>
    </w:p>
    <w:p w14:paraId="56FF0926" w14:textId="77777777" w:rsidR="00C92C58" w:rsidRPr="00C174D5" w:rsidRDefault="00C92C58" w:rsidP="00C92C58">
      <w:pPr>
        <w:keepNext/>
        <w:keepLines/>
        <w:spacing w:after="120"/>
        <w:jc w:val="center"/>
        <w:rPr>
          <w:b/>
          <w:sz w:val="20"/>
          <w:lang w:val="es-ES"/>
        </w:rPr>
      </w:pPr>
      <w:bookmarkStart w:id="74" w:name="_Ref450036069"/>
      <w:bookmarkStart w:id="75" w:name="_Toc447546971"/>
      <w:bookmarkStart w:id="76" w:name="_Toc456353168"/>
      <w:r w:rsidRPr="00C174D5">
        <w:rPr>
          <w:b/>
          <w:sz w:val="20"/>
          <w:lang w:val="es-ES"/>
        </w:rPr>
        <w:lastRenderedPageBreak/>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12</w:t>
      </w:r>
      <w:r w:rsidRPr="00C174D5">
        <w:rPr>
          <w:b/>
          <w:sz w:val="20"/>
          <w:lang w:val="es-ES"/>
        </w:rPr>
        <w:fldChar w:fldCharType="end"/>
      </w:r>
      <w:bookmarkEnd w:id="74"/>
      <w:r w:rsidRPr="00C174D5">
        <w:rPr>
          <w:b/>
          <w:sz w:val="20"/>
          <w:lang w:val="es-ES"/>
        </w:rPr>
        <w:t xml:space="preserve">: Resultados evaluación económica – SE </w:t>
      </w:r>
      <w:proofErr w:type="spellStart"/>
      <w:r w:rsidRPr="00C174D5">
        <w:rPr>
          <w:b/>
          <w:sz w:val="20"/>
          <w:lang w:val="es-ES"/>
        </w:rPr>
        <w:t>Sébaco</w:t>
      </w:r>
      <w:bookmarkEnd w:id="75"/>
      <w:bookmarkEnd w:id="76"/>
      <w:proofErr w:type="spellEnd"/>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048"/>
        <w:gridCol w:w="1462"/>
        <w:gridCol w:w="1276"/>
        <w:gridCol w:w="1709"/>
        <w:gridCol w:w="1307"/>
        <w:gridCol w:w="919"/>
      </w:tblGrid>
      <w:tr w:rsidR="00C92C58" w:rsidRPr="00C174D5" w14:paraId="1E39900E" w14:textId="77777777" w:rsidTr="00B15A9A">
        <w:trPr>
          <w:trHeight w:val="35"/>
          <w:jc w:val="center"/>
        </w:trPr>
        <w:tc>
          <w:tcPr>
            <w:tcW w:w="2048"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110EDDD6" w14:textId="77777777" w:rsidR="00C92C58" w:rsidRPr="00C174D5" w:rsidRDefault="00C92C58" w:rsidP="00B15A9A">
            <w:pPr>
              <w:keepNext/>
              <w:keepLines/>
              <w:spacing w:after="0"/>
              <w:jc w:val="center"/>
              <w:rPr>
                <w:b/>
                <w:sz w:val="20"/>
                <w:lang w:val="es-ES"/>
              </w:rPr>
            </w:pPr>
          </w:p>
        </w:tc>
        <w:tc>
          <w:tcPr>
            <w:tcW w:w="1462"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026104DB" w14:textId="77777777" w:rsidR="00C92C58" w:rsidRPr="00C174D5" w:rsidRDefault="00C92C58" w:rsidP="00B15A9A">
            <w:pPr>
              <w:keepNext/>
              <w:keepLines/>
              <w:spacing w:after="0"/>
              <w:jc w:val="center"/>
              <w:rPr>
                <w:b/>
                <w:sz w:val="20"/>
                <w:lang w:val="es-ES"/>
              </w:rPr>
            </w:pPr>
            <w:r w:rsidRPr="00C174D5">
              <w:rPr>
                <w:b/>
                <w:bCs/>
                <w:sz w:val="20"/>
                <w:lang w:val="es-ES"/>
              </w:rPr>
              <w:t xml:space="preserve">VP Inversión </w:t>
            </w:r>
            <w:proofErr w:type="spellStart"/>
            <w:r w:rsidRPr="00C174D5">
              <w:rPr>
                <w:b/>
                <w:bCs/>
                <w:sz w:val="20"/>
                <w:lang w:val="es-ES"/>
              </w:rPr>
              <w:t>ec</w:t>
            </w:r>
            <w:proofErr w:type="spellEnd"/>
            <w:r w:rsidRPr="00C174D5">
              <w:rPr>
                <w:b/>
                <w:bCs/>
                <w:sz w:val="20"/>
                <w:lang w:val="es-ES"/>
              </w:rPr>
              <w:t>. (US$)</w:t>
            </w:r>
          </w:p>
        </w:tc>
        <w:tc>
          <w:tcPr>
            <w:tcW w:w="127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5F03FC2E" w14:textId="77777777" w:rsidR="00C92C58" w:rsidRPr="00C174D5" w:rsidRDefault="00C92C58" w:rsidP="00B15A9A">
            <w:pPr>
              <w:keepNext/>
              <w:keepLines/>
              <w:spacing w:after="0"/>
              <w:jc w:val="center"/>
              <w:rPr>
                <w:b/>
                <w:sz w:val="20"/>
                <w:lang w:val="es-ES"/>
              </w:rPr>
            </w:pPr>
            <w:r w:rsidRPr="00C174D5">
              <w:rPr>
                <w:b/>
                <w:bCs/>
                <w:sz w:val="20"/>
                <w:lang w:val="es-ES"/>
              </w:rPr>
              <w:t xml:space="preserve">VP Costos </w:t>
            </w:r>
            <w:proofErr w:type="spellStart"/>
            <w:r w:rsidRPr="00C174D5">
              <w:rPr>
                <w:b/>
                <w:bCs/>
                <w:sz w:val="20"/>
                <w:lang w:val="es-ES"/>
              </w:rPr>
              <w:t>ec</w:t>
            </w:r>
            <w:proofErr w:type="spellEnd"/>
            <w:r w:rsidRPr="00C174D5">
              <w:rPr>
                <w:b/>
                <w:bCs/>
                <w:sz w:val="20"/>
                <w:lang w:val="es-ES"/>
              </w:rPr>
              <w:t>. (US$)</w:t>
            </w:r>
          </w:p>
        </w:tc>
        <w:tc>
          <w:tcPr>
            <w:tcW w:w="1709"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36EE5A83" w14:textId="77777777" w:rsidR="00C92C58" w:rsidRPr="00C174D5" w:rsidRDefault="00C92C58" w:rsidP="00B15A9A">
            <w:pPr>
              <w:keepNext/>
              <w:keepLines/>
              <w:spacing w:after="0"/>
              <w:jc w:val="center"/>
              <w:rPr>
                <w:b/>
                <w:sz w:val="20"/>
                <w:lang w:val="es-ES"/>
              </w:rPr>
            </w:pPr>
            <w:r w:rsidRPr="00C174D5">
              <w:rPr>
                <w:b/>
                <w:bCs/>
                <w:sz w:val="20"/>
                <w:lang w:val="es-ES"/>
              </w:rPr>
              <w:t xml:space="preserve">VP Beneficios </w:t>
            </w:r>
            <w:proofErr w:type="spellStart"/>
            <w:r w:rsidRPr="00C174D5">
              <w:rPr>
                <w:b/>
                <w:bCs/>
                <w:sz w:val="20"/>
                <w:lang w:val="es-ES"/>
              </w:rPr>
              <w:t>ec</w:t>
            </w:r>
            <w:proofErr w:type="spellEnd"/>
            <w:r w:rsidRPr="00C174D5">
              <w:rPr>
                <w:b/>
                <w:bCs/>
                <w:sz w:val="20"/>
                <w:lang w:val="es-ES"/>
              </w:rPr>
              <w:t>. (US$)</w:t>
            </w:r>
          </w:p>
        </w:tc>
        <w:tc>
          <w:tcPr>
            <w:tcW w:w="1307"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71133059" w14:textId="77777777" w:rsidR="00C92C58" w:rsidRPr="00C174D5" w:rsidRDefault="00C92C58" w:rsidP="00B15A9A">
            <w:pPr>
              <w:keepNext/>
              <w:keepLines/>
              <w:spacing w:after="0"/>
              <w:jc w:val="center"/>
              <w:rPr>
                <w:b/>
                <w:sz w:val="20"/>
                <w:lang w:val="es-ES"/>
              </w:rPr>
            </w:pPr>
            <w:r w:rsidRPr="00C174D5">
              <w:rPr>
                <w:b/>
                <w:bCs/>
                <w:sz w:val="20"/>
                <w:lang w:val="es-ES"/>
              </w:rPr>
              <w:t>VPNE (US$)</w:t>
            </w:r>
          </w:p>
        </w:tc>
        <w:tc>
          <w:tcPr>
            <w:tcW w:w="919"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0832C198" w14:textId="77777777" w:rsidR="00C92C58" w:rsidRPr="00C174D5" w:rsidRDefault="00C92C58" w:rsidP="00B15A9A">
            <w:pPr>
              <w:keepNext/>
              <w:keepLines/>
              <w:spacing w:after="0"/>
              <w:jc w:val="center"/>
              <w:rPr>
                <w:b/>
                <w:sz w:val="20"/>
                <w:lang w:val="es-ES"/>
              </w:rPr>
            </w:pPr>
            <w:r w:rsidRPr="00C174D5">
              <w:rPr>
                <w:b/>
                <w:bCs/>
                <w:sz w:val="20"/>
                <w:lang w:val="es-ES"/>
              </w:rPr>
              <w:t>TIRE</w:t>
            </w:r>
          </w:p>
        </w:tc>
      </w:tr>
      <w:tr w:rsidR="00C92C58" w:rsidRPr="00C174D5" w14:paraId="4B827577" w14:textId="77777777" w:rsidTr="00B15A9A">
        <w:trPr>
          <w:trHeight w:val="1105"/>
          <w:jc w:val="center"/>
        </w:trPr>
        <w:tc>
          <w:tcPr>
            <w:tcW w:w="2048" w:type="dxa"/>
            <w:tcBorders>
              <w:top w:val="single" w:sz="12" w:space="0" w:color="000000"/>
            </w:tcBorders>
            <w:shd w:val="clear" w:color="auto" w:fill="auto"/>
            <w:tcMar>
              <w:top w:w="15" w:type="dxa"/>
              <w:left w:w="108" w:type="dxa"/>
              <w:bottom w:w="0" w:type="dxa"/>
              <w:right w:w="108" w:type="dxa"/>
            </w:tcMar>
            <w:vAlign w:val="center"/>
            <w:hideMark/>
          </w:tcPr>
          <w:p w14:paraId="21582688" w14:textId="77777777" w:rsidR="00C92C58" w:rsidRPr="00C174D5" w:rsidRDefault="00C92C58" w:rsidP="00B15A9A">
            <w:pPr>
              <w:keepNext/>
              <w:keepLines/>
              <w:spacing w:after="0"/>
              <w:jc w:val="center"/>
              <w:rPr>
                <w:sz w:val="20"/>
                <w:lang w:val="es-ES"/>
              </w:rPr>
            </w:pPr>
            <w:r w:rsidRPr="00C174D5">
              <w:rPr>
                <w:bCs/>
                <w:sz w:val="20"/>
                <w:lang w:val="es-ES"/>
              </w:rPr>
              <w:t>Situación Con Proyecto</w:t>
            </w:r>
          </w:p>
          <w:p w14:paraId="4DCAE0C9" w14:textId="77777777" w:rsidR="00C92C58" w:rsidRPr="00C174D5" w:rsidRDefault="00C92C58" w:rsidP="00B15A9A">
            <w:pPr>
              <w:keepNext/>
              <w:keepLines/>
              <w:spacing w:after="0"/>
              <w:jc w:val="center"/>
              <w:rPr>
                <w:sz w:val="20"/>
                <w:lang w:val="es-ES"/>
              </w:rPr>
            </w:pPr>
            <w:r w:rsidRPr="00C174D5">
              <w:rPr>
                <w:bCs/>
                <w:sz w:val="20"/>
                <w:lang w:val="es-ES"/>
              </w:rPr>
              <w:t>-</w:t>
            </w:r>
          </w:p>
          <w:p w14:paraId="7B1E4D64" w14:textId="77777777" w:rsidR="00C92C58" w:rsidRPr="00C174D5" w:rsidRDefault="00C92C58" w:rsidP="00B15A9A">
            <w:pPr>
              <w:keepNext/>
              <w:keepLines/>
              <w:spacing w:after="0"/>
              <w:jc w:val="center"/>
              <w:rPr>
                <w:sz w:val="20"/>
                <w:lang w:val="es-ES"/>
              </w:rPr>
            </w:pPr>
            <w:r w:rsidRPr="00C174D5">
              <w:rPr>
                <w:bCs/>
                <w:sz w:val="20"/>
                <w:lang w:val="es-ES"/>
              </w:rPr>
              <w:t>Situación sin proyecto</w:t>
            </w:r>
          </w:p>
        </w:tc>
        <w:tc>
          <w:tcPr>
            <w:tcW w:w="1462" w:type="dxa"/>
            <w:tcBorders>
              <w:top w:val="single" w:sz="12" w:space="0" w:color="000000"/>
            </w:tcBorders>
            <w:shd w:val="clear" w:color="auto" w:fill="auto"/>
            <w:tcMar>
              <w:top w:w="15" w:type="dxa"/>
              <w:left w:w="108" w:type="dxa"/>
              <w:bottom w:w="0" w:type="dxa"/>
              <w:right w:w="108" w:type="dxa"/>
            </w:tcMar>
            <w:vAlign w:val="center"/>
          </w:tcPr>
          <w:p w14:paraId="548BF561" w14:textId="77777777" w:rsidR="00C92C58" w:rsidRPr="00C174D5" w:rsidRDefault="00C92C58" w:rsidP="00B15A9A">
            <w:pPr>
              <w:keepNext/>
              <w:keepLines/>
              <w:spacing w:after="0"/>
              <w:jc w:val="center"/>
              <w:rPr>
                <w:sz w:val="20"/>
                <w:lang w:val="es-ES"/>
              </w:rPr>
            </w:pPr>
            <w:r w:rsidRPr="00C174D5">
              <w:rPr>
                <w:sz w:val="20"/>
                <w:lang w:val="es-ES"/>
              </w:rPr>
              <w:t>9.187.621</w:t>
            </w:r>
          </w:p>
        </w:tc>
        <w:tc>
          <w:tcPr>
            <w:tcW w:w="1276" w:type="dxa"/>
            <w:tcBorders>
              <w:top w:val="single" w:sz="12" w:space="0" w:color="000000"/>
            </w:tcBorders>
            <w:shd w:val="clear" w:color="auto" w:fill="auto"/>
            <w:tcMar>
              <w:top w:w="15" w:type="dxa"/>
              <w:left w:w="108" w:type="dxa"/>
              <w:bottom w:w="0" w:type="dxa"/>
              <w:right w:w="108" w:type="dxa"/>
            </w:tcMar>
            <w:vAlign w:val="center"/>
          </w:tcPr>
          <w:p w14:paraId="1851746A" w14:textId="77777777" w:rsidR="00C92C58" w:rsidRPr="00C174D5" w:rsidRDefault="00C92C58" w:rsidP="00B15A9A">
            <w:pPr>
              <w:keepNext/>
              <w:keepLines/>
              <w:spacing w:after="0"/>
              <w:jc w:val="center"/>
              <w:rPr>
                <w:sz w:val="20"/>
                <w:lang w:val="es-ES"/>
              </w:rPr>
            </w:pPr>
            <w:r w:rsidRPr="00C174D5">
              <w:rPr>
                <w:sz w:val="20"/>
                <w:lang w:val="es-ES"/>
              </w:rPr>
              <w:t>1.8</w:t>
            </w:r>
            <w:r>
              <w:rPr>
                <w:sz w:val="20"/>
                <w:lang w:val="es-ES"/>
              </w:rPr>
              <w:t>65</w:t>
            </w:r>
            <w:r w:rsidRPr="00C174D5">
              <w:rPr>
                <w:sz w:val="20"/>
                <w:lang w:val="es-ES"/>
              </w:rPr>
              <w:t>.</w:t>
            </w:r>
            <w:r>
              <w:rPr>
                <w:sz w:val="20"/>
                <w:lang w:val="es-ES"/>
              </w:rPr>
              <w:t>3</w:t>
            </w:r>
            <w:r w:rsidRPr="00C174D5">
              <w:rPr>
                <w:sz w:val="20"/>
                <w:lang w:val="es-ES"/>
              </w:rPr>
              <w:t>2</w:t>
            </w:r>
            <w:r>
              <w:rPr>
                <w:sz w:val="20"/>
                <w:lang w:val="es-ES"/>
              </w:rPr>
              <w:t>0</w:t>
            </w:r>
          </w:p>
        </w:tc>
        <w:tc>
          <w:tcPr>
            <w:tcW w:w="1709" w:type="dxa"/>
            <w:tcBorders>
              <w:top w:val="single" w:sz="12" w:space="0" w:color="000000"/>
            </w:tcBorders>
            <w:shd w:val="clear" w:color="auto" w:fill="auto"/>
            <w:tcMar>
              <w:top w:w="15" w:type="dxa"/>
              <w:left w:w="108" w:type="dxa"/>
              <w:bottom w:w="0" w:type="dxa"/>
              <w:right w:w="108" w:type="dxa"/>
            </w:tcMar>
            <w:vAlign w:val="center"/>
          </w:tcPr>
          <w:p w14:paraId="07EBC8C0" w14:textId="77777777" w:rsidR="00C92C58" w:rsidRPr="00C174D5" w:rsidRDefault="00C92C58" w:rsidP="00B15A9A">
            <w:pPr>
              <w:keepNext/>
              <w:keepLines/>
              <w:spacing w:after="0"/>
              <w:jc w:val="center"/>
              <w:rPr>
                <w:sz w:val="20"/>
                <w:lang w:val="es-ES"/>
              </w:rPr>
            </w:pPr>
            <w:r>
              <w:rPr>
                <w:sz w:val="20"/>
                <w:lang w:val="es-ES"/>
              </w:rPr>
              <w:t>11.100.689</w:t>
            </w:r>
          </w:p>
        </w:tc>
        <w:tc>
          <w:tcPr>
            <w:tcW w:w="1307" w:type="dxa"/>
            <w:tcBorders>
              <w:top w:val="single" w:sz="12" w:space="0" w:color="000000"/>
            </w:tcBorders>
            <w:shd w:val="clear" w:color="auto" w:fill="auto"/>
            <w:tcMar>
              <w:top w:w="15" w:type="dxa"/>
              <w:left w:w="108" w:type="dxa"/>
              <w:bottom w:w="0" w:type="dxa"/>
              <w:right w:w="108" w:type="dxa"/>
            </w:tcMar>
            <w:vAlign w:val="center"/>
          </w:tcPr>
          <w:p w14:paraId="7B8110BD" w14:textId="77777777" w:rsidR="00C92C58" w:rsidRPr="00C174D5" w:rsidRDefault="00C92C58" w:rsidP="00B15A9A">
            <w:pPr>
              <w:keepNext/>
              <w:keepLines/>
              <w:spacing w:after="0"/>
              <w:jc w:val="center"/>
              <w:rPr>
                <w:sz w:val="20"/>
                <w:lang w:val="es-ES"/>
              </w:rPr>
            </w:pPr>
            <w:r>
              <w:rPr>
                <w:sz w:val="20"/>
                <w:lang w:val="es-ES"/>
              </w:rPr>
              <w:t>47.748</w:t>
            </w:r>
          </w:p>
        </w:tc>
        <w:tc>
          <w:tcPr>
            <w:tcW w:w="919" w:type="dxa"/>
            <w:tcBorders>
              <w:top w:val="single" w:sz="12" w:space="0" w:color="000000"/>
            </w:tcBorders>
            <w:shd w:val="clear" w:color="auto" w:fill="auto"/>
            <w:tcMar>
              <w:top w:w="15" w:type="dxa"/>
              <w:left w:w="108" w:type="dxa"/>
              <w:bottom w:w="0" w:type="dxa"/>
              <w:right w:w="108" w:type="dxa"/>
            </w:tcMar>
            <w:vAlign w:val="center"/>
          </w:tcPr>
          <w:p w14:paraId="216C1C32" w14:textId="77777777" w:rsidR="00C92C58" w:rsidRPr="00C174D5" w:rsidRDefault="00C92C58" w:rsidP="00B15A9A">
            <w:pPr>
              <w:keepNext/>
              <w:keepLines/>
              <w:spacing w:after="0"/>
              <w:jc w:val="center"/>
              <w:rPr>
                <w:sz w:val="20"/>
                <w:lang w:val="es-ES"/>
              </w:rPr>
            </w:pPr>
            <w:r>
              <w:rPr>
                <w:sz w:val="20"/>
                <w:lang w:val="es-ES"/>
              </w:rPr>
              <w:t>12</w:t>
            </w:r>
            <w:r w:rsidRPr="00C174D5">
              <w:rPr>
                <w:sz w:val="20"/>
                <w:lang w:val="es-ES"/>
              </w:rPr>
              <w:t>%</w:t>
            </w:r>
          </w:p>
        </w:tc>
      </w:tr>
    </w:tbl>
    <w:p w14:paraId="66E1451F" w14:textId="77777777" w:rsidR="00C92C58" w:rsidRPr="00C174D5" w:rsidRDefault="00C92C58" w:rsidP="00C92C58">
      <w:pPr>
        <w:jc w:val="center"/>
        <w:rPr>
          <w:sz w:val="18"/>
          <w:lang w:val="es-ES"/>
        </w:rPr>
      </w:pPr>
      <w:r w:rsidRPr="00C174D5">
        <w:rPr>
          <w:sz w:val="18"/>
          <w:lang w:val="es-ES"/>
        </w:rPr>
        <w:t>Fuente: Elaboración propia en base a información de ENATREL provista por el BID</w:t>
      </w:r>
    </w:p>
    <w:p w14:paraId="6B25AFDE" w14:textId="77777777" w:rsidR="00C92C58" w:rsidRPr="00C174D5" w:rsidRDefault="00C92C58" w:rsidP="00C92C58">
      <w:pPr>
        <w:rPr>
          <w:lang w:val="es-ES"/>
        </w:rPr>
      </w:pPr>
      <w:r w:rsidRPr="00C174D5">
        <w:rPr>
          <w:lang w:val="es-ES"/>
        </w:rPr>
        <w:t xml:space="preserve">La ampliación de la SE </w:t>
      </w:r>
      <w:proofErr w:type="spellStart"/>
      <w:r w:rsidRPr="00C174D5">
        <w:rPr>
          <w:lang w:val="es-ES"/>
        </w:rPr>
        <w:t>Sébaco</w:t>
      </w:r>
      <w:proofErr w:type="spellEnd"/>
      <w:r w:rsidRPr="00C174D5">
        <w:rPr>
          <w:lang w:val="es-ES"/>
        </w:rPr>
        <w:t xml:space="preserve"> posee un VPNE </w:t>
      </w:r>
      <w:r>
        <w:rPr>
          <w:lang w:val="es-ES"/>
        </w:rPr>
        <w:t>positivo</w:t>
      </w:r>
      <w:r w:rsidRPr="00C174D5">
        <w:rPr>
          <w:lang w:val="es-ES"/>
        </w:rPr>
        <w:t xml:space="preserve">, con una TIRE </w:t>
      </w:r>
      <w:r>
        <w:rPr>
          <w:lang w:val="es-ES"/>
        </w:rPr>
        <w:t xml:space="preserve">igual a </w:t>
      </w:r>
      <w:r w:rsidRPr="00C174D5">
        <w:rPr>
          <w:lang w:val="es-ES"/>
        </w:rPr>
        <w:t>la tasa social de descuento.</w:t>
      </w:r>
    </w:p>
    <w:p w14:paraId="1FD8D049" w14:textId="77777777" w:rsidR="00C92C58" w:rsidRPr="00C174D5" w:rsidRDefault="00C92C58" w:rsidP="00C92C58">
      <w:pPr>
        <w:rPr>
          <w:lang w:val="es-ES"/>
        </w:rPr>
      </w:pPr>
      <w:r w:rsidRPr="00C174D5">
        <w:rPr>
          <w:lang w:val="es-ES"/>
        </w:rPr>
        <w:t xml:space="preserve">En términos privados el proyecto </w:t>
      </w:r>
      <w:r>
        <w:rPr>
          <w:lang w:val="es-ES"/>
        </w:rPr>
        <w:t>no</w:t>
      </w:r>
      <w:r w:rsidRPr="00C174D5">
        <w:rPr>
          <w:lang w:val="es-ES"/>
        </w:rPr>
        <w:t xml:space="preserve"> resulta rentable, tal como se observa en la </w:t>
      </w:r>
      <w:r w:rsidRPr="00C174D5">
        <w:rPr>
          <w:lang w:val="es-ES"/>
        </w:rPr>
        <w:fldChar w:fldCharType="begin"/>
      </w:r>
      <w:r w:rsidRPr="00C174D5">
        <w:rPr>
          <w:lang w:val="es-ES"/>
        </w:rPr>
        <w:instrText xml:space="preserve"> REF _Ref450036057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13</w:t>
      </w:r>
      <w:r w:rsidRPr="00C174D5">
        <w:rPr>
          <w:lang w:val="es-ES"/>
        </w:rPr>
        <w:fldChar w:fldCharType="end"/>
      </w:r>
      <w:r w:rsidRPr="00C174D5">
        <w:rPr>
          <w:lang w:val="es-ES"/>
        </w:rPr>
        <w:t>.</w:t>
      </w:r>
    </w:p>
    <w:p w14:paraId="5BBB44ED" w14:textId="77777777" w:rsidR="00C92C58" w:rsidRPr="00C174D5" w:rsidRDefault="00C92C58" w:rsidP="00C92C58">
      <w:pPr>
        <w:keepNext/>
        <w:keepLines/>
        <w:spacing w:after="120"/>
        <w:jc w:val="center"/>
        <w:rPr>
          <w:b/>
          <w:sz w:val="20"/>
          <w:lang w:val="es-ES"/>
        </w:rPr>
      </w:pPr>
      <w:bookmarkStart w:id="77" w:name="_Ref450036057"/>
      <w:bookmarkStart w:id="78" w:name="_Toc447546972"/>
      <w:bookmarkStart w:id="79" w:name="_Toc456353169"/>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13</w:t>
      </w:r>
      <w:r w:rsidRPr="00C174D5">
        <w:rPr>
          <w:b/>
          <w:sz w:val="20"/>
          <w:lang w:val="es-ES"/>
        </w:rPr>
        <w:fldChar w:fldCharType="end"/>
      </w:r>
      <w:bookmarkEnd w:id="77"/>
      <w:r w:rsidRPr="00C174D5">
        <w:rPr>
          <w:b/>
          <w:sz w:val="20"/>
          <w:lang w:val="es-ES"/>
        </w:rPr>
        <w:t xml:space="preserve">: Resultados evaluación financiera – SE </w:t>
      </w:r>
      <w:proofErr w:type="spellStart"/>
      <w:r w:rsidRPr="00C174D5">
        <w:rPr>
          <w:b/>
          <w:sz w:val="20"/>
          <w:lang w:val="es-ES"/>
        </w:rPr>
        <w:t>Sébaco</w:t>
      </w:r>
      <w:bookmarkEnd w:id="78"/>
      <w:bookmarkEnd w:id="79"/>
      <w:proofErr w:type="spellEnd"/>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302"/>
        <w:gridCol w:w="1301"/>
        <w:gridCol w:w="1211"/>
        <w:gridCol w:w="1531"/>
        <w:gridCol w:w="1390"/>
        <w:gridCol w:w="986"/>
      </w:tblGrid>
      <w:tr w:rsidR="00C92C58" w:rsidRPr="00C174D5" w14:paraId="3FADCAF2" w14:textId="77777777" w:rsidTr="00B15A9A">
        <w:trPr>
          <w:trHeight w:val="35"/>
          <w:jc w:val="center"/>
        </w:trPr>
        <w:tc>
          <w:tcPr>
            <w:tcW w:w="2302"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3A503215" w14:textId="77777777" w:rsidR="00C92C58" w:rsidRPr="00C174D5" w:rsidRDefault="00C92C58" w:rsidP="00B15A9A">
            <w:pPr>
              <w:keepNext/>
              <w:keepLines/>
              <w:spacing w:after="0"/>
              <w:jc w:val="center"/>
              <w:rPr>
                <w:b/>
                <w:sz w:val="20"/>
                <w:lang w:val="es-ES"/>
              </w:rPr>
            </w:pPr>
          </w:p>
        </w:tc>
        <w:tc>
          <w:tcPr>
            <w:tcW w:w="130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319E1E61" w14:textId="77777777" w:rsidR="00C92C58" w:rsidRPr="00C174D5" w:rsidRDefault="00C92C58" w:rsidP="00B15A9A">
            <w:pPr>
              <w:keepNext/>
              <w:keepLines/>
              <w:spacing w:after="0"/>
              <w:jc w:val="center"/>
              <w:rPr>
                <w:b/>
                <w:sz w:val="20"/>
                <w:lang w:val="es-ES"/>
              </w:rPr>
            </w:pPr>
            <w:r w:rsidRPr="00C174D5">
              <w:rPr>
                <w:b/>
                <w:bCs/>
                <w:sz w:val="20"/>
                <w:lang w:val="es-ES"/>
              </w:rPr>
              <w:t>VP Inversión fin. (US$)</w:t>
            </w:r>
          </w:p>
        </w:tc>
        <w:tc>
          <w:tcPr>
            <w:tcW w:w="121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1A004569" w14:textId="77777777" w:rsidR="00C92C58" w:rsidRPr="00C174D5" w:rsidRDefault="00C92C58" w:rsidP="00B15A9A">
            <w:pPr>
              <w:keepNext/>
              <w:keepLines/>
              <w:spacing w:after="0"/>
              <w:jc w:val="center"/>
              <w:rPr>
                <w:b/>
                <w:sz w:val="20"/>
                <w:lang w:val="es-ES"/>
              </w:rPr>
            </w:pPr>
            <w:r w:rsidRPr="00C174D5">
              <w:rPr>
                <w:b/>
                <w:bCs/>
                <w:sz w:val="20"/>
                <w:lang w:val="es-ES"/>
              </w:rPr>
              <w:t>VP Costos fin. (US$)</w:t>
            </w:r>
          </w:p>
        </w:tc>
        <w:tc>
          <w:tcPr>
            <w:tcW w:w="153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17737C47" w14:textId="77777777" w:rsidR="00C92C58" w:rsidRPr="00C174D5" w:rsidRDefault="00C92C58" w:rsidP="00B15A9A">
            <w:pPr>
              <w:keepNext/>
              <w:keepLines/>
              <w:spacing w:after="0"/>
              <w:jc w:val="center"/>
              <w:rPr>
                <w:b/>
                <w:sz w:val="20"/>
                <w:lang w:val="es-ES"/>
              </w:rPr>
            </w:pPr>
            <w:r w:rsidRPr="00C174D5">
              <w:rPr>
                <w:b/>
                <w:bCs/>
                <w:sz w:val="20"/>
                <w:lang w:val="es-ES"/>
              </w:rPr>
              <w:t>VP Ingresos. (US$)</w:t>
            </w:r>
          </w:p>
        </w:tc>
        <w:tc>
          <w:tcPr>
            <w:tcW w:w="1390"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44736CEF" w14:textId="77777777" w:rsidR="00C92C58" w:rsidRPr="00C174D5" w:rsidRDefault="00C92C58" w:rsidP="00B15A9A">
            <w:pPr>
              <w:keepNext/>
              <w:keepLines/>
              <w:spacing w:after="0"/>
              <w:jc w:val="center"/>
              <w:rPr>
                <w:b/>
                <w:sz w:val="20"/>
                <w:lang w:val="es-ES"/>
              </w:rPr>
            </w:pPr>
            <w:r w:rsidRPr="00C174D5">
              <w:rPr>
                <w:b/>
                <w:bCs/>
                <w:sz w:val="20"/>
                <w:lang w:val="es-ES"/>
              </w:rPr>
              <w:t>VAN (US$)</w:t>
            </w:r>
          </w:p>
        </w:tc>
        <w:tc>
          <w:tcPr>
            <w:tcW w:w="98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1B26EF0F" w14:textId="77777777" w:rsidR="00C92C58" w:rsidRPr="00C174D5" w:rsidRDefault="00C92C58" w:rsidP="00B15A9A">
            <w:pPr>
              <w:keepNext/>
              <w:keepLines/>
              <w:spacing w:after="0"/>
              <w:jc w:val="center"/>
              <w:rPr>
                <w:b/>
                <w:sz w:val="20"/>
                <w:lang w:val="es-ES"/>
              </w:rPr>
            </w:pPr>
            <w:r w:rsidRPr="00C174D5">
              <w:rPr>
                <w:b/>
                <w:bCs/>
                <w:sz w:val="20"/>
                <w:lang w:val="es-ES"/>
              </w:rPr>
              <w:t>TIR</w:t>
            </w:r>
          </w:p>
        </w:tc>
      </w:tr>
      <w:tr w:rsidR="00C92C58" w:rsidRPr="00C174D5" w14:paraId="0DF51520" w14:textId="77777777" w:rsidTr="00B15A9A">
        <w:trPr>
          <w:trHeight w:val="1105"/>
          <w:jc w:val="center"/>
        </w:trPr>
        <w:tc>
          <w:tcPr>
            <w:tcW w:w="2302" w:type="dxa"/>
            <w:tcBorders>
              <w:top w:val="single" w:sz="12" w:space="0" w:color="000000"/>
            </w:tcBorders>
            <w:shd w:val="clear" w:color="auto" w:fill="auto"/>
            <w:tcMar>
              <w:top w:w="15" w:type="dxa"/>
              <w:left w:w="108" w:type="dxa"/>
              <w:bottom w:w="0" w:type="dxa"/>
              <w:right w:w="108" w:type="dxa"/>
            </w:tcMar>
            <w:vAlign w:val="center"/>
            <w:hideMark/>
          </w:tcPr>
          <w:p w14:paraId="094F7E1C" w14:textId="77777777" w:rsidR="00C92C58" w:rsidRPr="00C174D5" w:rsidRDefault="00C92C58" w:rsidP="00B15A9A">
            <w:pPr>
              <w:keepNext/>
              <w:keepLines/>
              <w:spacing w:after="0"/>
              <w:jc w:val="center"/>
              <w:rPr>
                <w:sz w:val="20"/>
                <w:lang w:val="es-ES"/>
              </w:rPr>
            </w:pPr>
            <w:r w:rsidRPr="00C174D5">
              <w:rPr>
                <w:bCs/>
                <w:sz w:val="20"/>
                <w:lang w:val="es-ES"/>
              </w:rPr>
              <w:t>Situación Con Proyecto</w:t>
            </w:r>
          </w:p>
          <w:p w14:paraId="49A5A3A1" w14:textId="77777777" w:rsidR="00C92C58" w:rsidRPr="00C174D5" w:rsidRDefault="00C92C58" w:rsidP="00B15A9A">
            <w:pPr>
              <w:keepNext/>
              <w:keepLines/>
              <w:spacing w:after="0"/>
              <w:jc w:val="center"/>
              <w:rPr>
                <w:sz w:val="20"/>
                <w:lang w:val="es-ES"/>
              </w:rPr>
            </w:pPr>
            <w:r w:rsidRPr="00C174D5">
              <w:rPr>
                <w:bCs/>
                <w:sz w:val="20"/>
                <w:lang w:val="es-ES"/>
              </w:rPr>
              <w:t>-</w:t>
            </w:r>
          </w:p>
          <w:p w14:paraId="72833ED0" w14:textId="77777777" w:rsidR="00C92C58" w:rsidRPr="00C174D5" w:rsidRDefault="00C92C58" w:rsidP="00B15A9A">
            <w:pPr>
              <w:keepNext/>
              <w:keepLines/>
              <w:spacing w:after="0"/>
              <w:jc w:val="center"/>
              <w:rPr>
                <w:sz w:val="20"/>
                <w:lang w:val="es-ES"/>
              </w:rPr>
            </w:pPr>
            <w:r w:rsidRPr="00C174D5">
              <w:rPr>
                <w:bCs/>
                <w:sz w:val="20"/>
                <w:lang w:val="es-ES"/>
              </w:rPr>
              <w:t>Situación sin proyecto</w:t>
            </w:r>
          </w:p>
        </w:tc>
        <w:tc>
          <w:tcPr>
            <w:tcW w:w="1301" w:type="dxa"/>
            <w:tcBorders>
              <w:top w:val="single" w:sz="12" w:space="0" w:color="000000"/>
            </w:tcBorders>
            <w:shd w:val="clear" w:color="auto" w:fill="auto"/>
            <w:tcMar>
              <w:top w:w="15" w:type="dxa"/>
              <w:left w:w="108" w:type="dxa"/>
              <w:bottom w:w="0" w:type="dxa"/>
              <w:right w:w="108" w:type="dxa"/>
            </w:tcMar>
            <w:vAlign w:val="center"/>
            <w:hideMark/>
          </w:tcPr>
          <w:p w14:paraId="300D9DE9" w14:textId="77777777" w:rsidR="00C92C58" w:rsidRPr="00C174D5" w:rsidRDefault="00C92C58" w:rsidP="00B15A9A">
            <w:pPr>
              <w:keepNext/>
              <w:keepLines/>
              <w:spacing w:after="0"/>
              <w:jc w:val="center"/>
              <w:rPr>
                <w:sz w:val="20"/>
                <w:lang w:val="es-ES"/>
              </w:rPr>
            </w:pPr>
            <w:r w:rsidRPr="00C174D5">
              <w:rPr>
                <w:sz w:val="20"/>
                <w:szCs w:val="20"/>
                <w:lang w:val="es-ES"/>
              </w:rPr>
              <w:t>9.385.502</w:t>
            </w:r>
          </w:p>
        </w:tc>
        <w:tc>
          <w:tcPr>
            <w:tcW w:w="1211" w:type="dxa"/>
            <w:tcBorders>
              <w:top w:val="single" w:sz="12" w:space="0" w:color="000000"/>
            </w:tcBorders>
            <w:shd w:val="clear" w:color="auto" w:fill="auto"/>
            <w:tcMar>
              <w:top w:w="15" w:type="dxa"/>
              <w:left w:w="108" w:type="dxa"/>
              <w:bottom w:w="0" w:type="dxa"/>
              <w:right w:w="108" w:type="dxa"/>
            </w:tcMar>
            <w:vAlign w:val="center"/>
            <w:hideMark/>
          </w:tcPr>
          <w:p w14:paraId="156FC026" w14:textId="77777777" w:rsidR="00C92C58" w:rsidRPr="00C174D5" w:rsidRDefault="00C92C58" w:rsidP="00B15A9A">
            <w:pPr>
              <w:keepNext/>
              <w:keepLines/>
              <w:spacing w:after="0"/>
              <w:jc w:val="center"/>
              <w:rPr>
                <w:sz w:val="20"/>
                <w:lang w:val="es-ES"/>
              </w:rPr>
            </w:pPr>
            <w:r w:rsidRPr="00C174D5">
              <w:rPr>
                <w:sz w:val="20"/>
                <w:lang w:val="es-ES"/>
              </w:rPr>
              <w:t>2.350.318</w:t>
            </w:r>
          </w:p>
        </w:tc>
        <w:tc>
          <w:tcPr>
            <w:tcW w:w="1531" w:type="dxa"/>
            <w:tcBorders>
              <w:top w:val="single" w:sz="12" w:space="0" w:color="000000"/>
            </w:tcBorders>
            <w:shd w:val="clear" w:color="auto" w:fill="auto"/>
            <w:tcMar>
              <w:top w:w="15" w:type="dxa"/>
              <w:left w:w="108" w:type="dxa"/>
              <w:bottom w:w="0" w:type="dxa"/>
              <w:right w:w="108" w:type="dxa"/>
            </w:tcMar>
            <w:vAlign w:val="center"/>
            <w:hideMark/>
          </w:tcPr>
          <w:p w14:paraId="7B2B36BC" w14:textId="77777777" w:rsidR="00C92C58" w:rsidRPr="00C174D5" w:rsidRDefault="00C92C58" w:rsidP="00B15A9A">
            <w:pPr>
              <w:keepNext/>
              <w:keepLines/>
              <w:spacing w:after="0"/>
              <w:jc w:val="center"/>
              <w:rPr>
                <w:sz w:val="20"/>
                <w:lang w:val="es-ES"/>
              </w:rPr>
            </w:pPr>
            <w:r w:rsidRPr="00C174D5">
              <w:rPr>
                <w:sz w:val="20"/>
                <w:lang w:val="es-ES"/>
              </w:rPr>
              <w:t>1</w:t>
            </w:r>
            <w:r>
              <w:rPr>
                <w:sz w:val="20"/>
                <w:lang w:val="es-ES"/>
              </w:rPr>
              <w:t>1</w:t>
            </w:r>
            <w:r w:rsidRPr="00C174D5">
              <w:rPr>
                <w:sz w:val="20"/>
                <w:lang w:val="es-ES"/>
              </w:rPr>
              <w:t>.</w:t>
            </w:r>
            <w:r>
              <w:rPr>
                <w:sz w:val="20"/>
                <w:lang w:val="es-ES"/>
              </w:rPr>
              <w:t>446</w:t>
            </w:r>
          </w:p>
        </w:tc>
        <w:tc>
          <w:tcPr>
            <w:tcW w:w="1390" w:type="dxa"/>
            <w:tcBorders>
              <w:top w:val="single" w:sz="12" w:space="0" w:color="000000"/>
            </w:tcBorders>
            <w:shd w:val="clear" w:color="auto" w:fill="auto"/>
            <w:tcMar>
              <w:top w:w="15" w:type="dxa"/>
              <w:left w:w="108" w:type="dxa"/>
              <w:bottom w:w="0" w:type="dxa"/>
              <w:right w:w="108" w:type="dxa"/>
            </w:tcMar>
            <w:vAlign w:val="center"/>
            <w:hideMark/>
          </w:tcPr>
          <w:p w14:paraId="43DFCEB2" w14:textId="77777777" w:rsidR="00C92C58" w:rsidRPr="00C174D5" w:rsidRDefault="00C92C58" w:rsidP="00B15A9A">
            <w:pPr>
              <w:keepNext/>
              <w:keepLines/>
              <w:spacing w:after="0"/>
              <w:jc w:val="center"/>
              <w:rPr>
                <w:sz w:val="20"/>
                <w:lang w:val="es-ES"/>
              </w:rPr>
            </w:pPr>
            <w:r w:rsidRPr="00C174D5">
              <w:rPr>
                <w:sz w:val="20"/>
                <w:lang w:val="es-ES"/>
              </w:rPr>
              <w:t>-11.72</w:t>
            </w:r>
            <w:r>
              <w:rPr>
                <w:sz w:val="20"/>
                <w:lang w:val="es-ES"/>
              </w:rPr>
              <w:t>4</w:t>
            </w:r>
            <w:r w:rsidRPr="00C174D5">
              <w:rPr>
                <w:sz w:val="20"/>
                <w:lang w:val="es-ES"/>
              </w:rPr>
              <w:t>.</w:t>
            </w:r>
            <w:r>
              <w:rPr>
                <w:sz w:val="20"/>
                <w:lang w:val="es-ES"/>
              </w:rPr>
              <w:t>374</w:t>
            </w:r>
          </w:p>
        </w:tc>
        <w:tc>
          <w:tcPr>
            <w:tcW w:w="986" w:type="dxa"/>
            <w:tcBorders>
              <w:top w:val="single" w:sz="12" w:space="0" w:color="000000"/>
            </w:tcBorders>
            <w:shd w:val="clear" w:color="auto" w:fill="auto"/>
            <w:tcMar>
              <w:top w:w="15" w:type="dxa"/>
              <w:left w:w="108" w:type="dxa"/>
              <w:bottom w:w="0" w:type="dxa"/>
              <w:right w:w="108" w:type="dxa"/>
            </w:tcMar>
            <w:vAlign w:val="center"/>
            <w:hideMark/>
          </w:tcPr>
          <w:p w14:paraId="7C095B00" w14:textId="77777777" w:rsidR="00C92C58" w:rsidRPr="00C174D5" w:rsidRDefault="00C92C58" w:rsidP="00B15A9A">
            <w:pPr>
              <w:keepNext/>
              <w:keepLines/>
              <w:spacing w:after="0"/>
              <w:jc w:val="center"/>
              <w:rPr>
                <w:sz w:val="20"/>
                <w:lang w:val="es-ES"/>
              </w:rPr>
            </w:pPr>
            <w:r w:rsidRPr="00C174D5">
              <w:rPr>
                <w:sz w:val="20"/>
                <w:lang w:val="es-ES"/>
              </w:rPr>
              <w:t>-</w:t>
            </w:r>
          </w:p>
        </w:tc>
      </w:tr>
    </w:tbl>
    <w:p w14:paraId="0E382559" w14:textId="77777777" w:rsidR="00C92C58" w:rsidRPr="00C174D5" w:rsidRDefault="00C92C58" w:rsidP="00C92C58">
      <w:pPr>
        <w:jc w:val="center"/>
        <w:rPr>
          <w:sz w:val="18"/>
          <w:lang w:val="es-ES"/>
        </w:rPr>
      </w:pPr>
      <w:r w:rsidRPr="00C174D5">
        <w:rPr>
          <w:sz w:val="18"/>
          <w:lang w:val="es-ES"/>
        </w:rPr>
        <w:t>Fuente: Elaboración propia en base a información de ENATREL provista por el BID</w:t>
      </w:r>
    </w:p>
    <w:p w14:paraId="1AFD8E11" w14:textId="77777777" w:rsidR="00C92C58" w:rsidRPr="00C174D5" w:rsidRDefault="00C92C58" w:rsidP="00C92C58">
      <w:pPr>
        <w:rPr>
          <w:lang w:val="es-ES"/>
        </w:rPr>
      </w:pPr>
      <w:r w:rsidRPr="00C174D5">
        <w:rPr>
          <w:lang w:val="es-ES"/>
        </w:rPr>
        <w:t>En este caso los ingresos operativos no llegan a cubrir siquiera los costos operativos por lo que el proyecto no es rentable ni sostenible. Tal como en los casos anteriores, se debe señalar que la evaluación financiera en este caso no es necesariamente relevante por cuanto el proyecto forma parte de la red de transmisión de ENATREL cuyas tarifas se determinan en función de costos medios. Que la tarifa no cubra el costo de este proyecto no implica necesariamente que la situación financiera de la empresa se vea comprometida por el mismo.</w:t>
      </w:r>
    </w:p>
    <w:p w14:paraId="0C3FE7A3" w14:textId="77777777" w:rsidR="00C92C58" w:rsidRPr="00C174D5" w:rsidRDefault="00C92C58" w:rsidP="00C92C58">
      <w:pPr>
        <w:pStyle w:val="Heading1"/>
        <w:pageBreakBefore w:val="0"/>
        <w:numPr>
          <w:ilvl w:val="2"/>
          <w:numId w:val="9"/>
        </w:numPr>
        <w:rPr>
          <w:lang w:val="es-ES"/>
        </w:rPr>
      </w:pPr>
      <w:bookmarkStart w:id="80" w:name="_Toc447546935"/>
      <w:bookmarkStart w:id="81" w:name="_Toc456353118"/>
      <w:r w:rsidRPr="00C174D5">
        <w:rPr>
          <w:lang w:val="es-ES"/>
        </w:rPr>
        <w:t xml:space="preserve">SE </w:t>
      </w:r>
      <w:proofErr w:type="spellStart"/>
      <w:r w:rsidRPr="00C174D5">
        <w:rPr>
          <w:lang w:val="es-ES"/>
        </w:rPr>
        <w:t>Sébaco</w:t>
      </w:r>
      <w:proofErr w:type="spellEnd"/>
      <w:r w:rsidRPr="00C174D5">
        <w:rPr>
          <w:lang w:val="es-ES"/>
        </w:rPr>
        <w:t xml:space="preserve"> – Sensibilidades</w:t>
      </w:r>
      <w:bookmarkEnd w:id="80"/>
      <w:bookmarkEnd w:id="81"/>
    </w:p>
    <w:p w14:paraId="0AA61A4E" w14:textId="77777777" w:rsidR="00C92C58" w:rsidRPr="00C174D5" w:rsidRDefault="00C92C58" w:rsidP="00C92C58">
      <w:pPr>
        <w:rPr>
          <w:lang w:val="es-ES"/>
        </w:rPr>
      </w:pPr>
      <w:r w:rsidRPr="00C174D5">
        <w:rPr>
          <w:lang w:val="es-ES"/>
        </w:rPr>
        <w:t xml:space="preserve">A continuación, en la </w:t>
      </w:r>
      <w:r w:rsidRPr="00C174D5">
        <w:rPr>
          <w:lang w:val="es-ES"/>
        </w:rPr>
        <w:fldChar w:fldCharType="begin"/>
      </w:r>
      <w:r w:rsidRPr="00C174D5">
        <w:rPr>
          <w:lang w:val="es-ES"/>
        </w:rPr>
        <w:instrText xml:space="preserve"> REF _Ref450036041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14</w:t>
      </w:r>
      <w:r w:rsidRPr="00C174D5">
        <w:rPr>
          <w:lang w:val="es-ES"/>
        </w:rPr>
        <w:fldChar w:fldCharType="end"/>
      </w:r>
      <w:r w:rsidRPr="00C174D5">
        <w:rPr>
          <w:lang w:val="es-ES"/>
        </w:rPr>
        <w:t xml:space="preserve">, se muestran los resultados de las diferentes sensibilidades efectuadas; éstas son, al igual que en los casos anteriores, respecto a la tasa social de descuento, al crecimiento en la demanda, al costo de falla y al monto de inversión. En este caso también se analiza </w:t>
      </w:r>
      <w:r>
        <w:rPr>
          <w:lang w:val="es-ES"/>
        </w:rPr>
        <w:t xml:space="preserve">el </w:t>
      </w:r>
      <w:r w:rsidRPr="007D4199">
        <w:rPr>
          <w:lang w:val="es-AR"/>
        </w:rPr>
        <w:t xml:space="preserve">promedio falla </w:t>
      </w:r>
      <w:r>
        <w:rPr>
          <w:lang w:val="es-AR"/>
        </w:rPr>
        <w:t xml:space="preserve">de las líneas y </w:t>
      </w:r>
      <w:proofErr w:type="spellStart"/>
      <w:r w:rsidRPr="007D4199">
        <w:rPr>
          <w:lang w:val="es-AR"/>
        </w:rPr>
        <w:t>y</w:t>
      </w:r>
      <w:proofErr w:type="spellEnd"/>
      <w:r w:rsidRPr="007D4199">
        <w:rPr>
          <w:lang w:val="es-AR"/>
        </w:rPr>
        <w:t xml:space="preserve"> conductores</w:t>
      </w:r>
      <w:r>
        <w:rPr>
          <w:lang w:val="es-AR"/>
        </w:rPr>
        <w:t xml:space="preserve"> (tomando en cuenta el valor que surgiría para el año 2016, de mantenerse la tendencia verificada en los años anteriores)</w:t>
      </w:r>
      <w:r w:rsidRPr="00C174D5">
        <w:rPr>
          <w:lang w:val="es-ES"/>
        </w:rPr>
        <w:t>.</w:t>
      </w:r>
    </w:p>
    <w:p w14:paraId="214BDDC2" w14:textId="77777777" w:rsidR="00C92C58" w:rsidRPr="00C174D5" w:rsidRDefault="00C92C58" w:rsidP="00C92C58">
      <w:pPr>
        <w:keepNext/>
        <w:keepLines/>
        <w:spacing w:after="120"/>
        <w:jc w:val="center"/>
        <w:rPr>
          <w:b/>
          <w:sz w:val="20"/>
          <w:lang w:val="es-ES"/>
        </w:rPr>
      </w:pPr>
      <w:bookmarkStart w:id="82" w:name="_Ref450036041"/>
      <w:bookmarkStart w:id="83" w:name="_Toc447546973"/>
      <w:bookmarkStart w:id="84" w:name="_Toc456353170"/>
      <w:r w:rsidRPr="00C174D5">
        <w:rPr>
          <w:b/>
          <w:sz w:val="20"/>
          <w:lang w:val="es-ES"/>
        </w:rPr>
        <w:lastRenderedPageBreak/>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14</w:t>
      </w:r>
      <w:r w:rsidRPr="00C174D5">
        <w:rPr>
          <w:b/>
          <w:sz w:val="20"/>
          <w:lang w:val="es-ES"/>
        </w:rPr>
        <w:fldChar w:fldCharType="end"/>
      </w:r>
      <w:bookmarkEnd w:id="82"/>
      <w:r w:rsidRPr="00C174D5">
        <w:rPr>
          <w:b/>
          <w:sz w:val="20"/>
          <w:lang w:val="es-ES"/>
        </w:rPr>
        <w:t xml:space="preserve">: Análisis de sensibilidad evaluación económica – SE </w:t>
      </w:r>
      <w:proofErr w:type="spellStart"/>
      <w:r w:rsidRPr="00C174D5">
        <w:rPr>
          <w:b/>
          <w:sz w:val="20"/>
          <w:lang w:val="es-ES"/>
        </w:rPr>
        <w:t>Sébaco</w:t>
      </w:r>
      <w:bookmarkEnd w:id="83"/>
      <w:bookmarkEnd w:id="84"/>
      <w:proofErr w:type="spellEnd"/>
    </w:p>
    <w:tbl>
      <w:tblPr>
        <w:tblW w:w="73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701"/>
        <w:gridCol w:w="2409"/>
        <w:gridCol w:w="1411"/>
        <w:gridCol w:w="963"/>
        <w:gridCol w:w="819"/>
      </w:tblGrid>
      <w:tr w:rsidR="00C92C58" w:rsidRPr="00C174D5" w14:paraId="32E09A7F" w14:textId="77777777" w:rsidTr="00B15A9A">
        <w:trPr>
          <w:trHeight w:val="300"/>
          <w:jc w:val="center"/>
        </w:trPr>
        <w:tc>
          <w:tcPr>
            <w:tcW w:w="4110" w:type="dxa"/>
            <w:gridSpan w:val="2"/>
            <w:tcBorders>
              <w:top w:val="single" w:sz="12" w:space="0" w:color="auto"/>
              <w:bottom w:val="single" w:sz="12" w:space="0" w:color="auto"/>
            </w:tcBorders>
            <w:shd w:val="clear" w:color="auto" w:fill="BFBFBF" w:themeFill="background1" w:themeFillShade="BF"/>
            <w:noWrap/>
            <w:vAlign w:val="center"/>
          </w:tcPr>
          <w:p w14:paraId="76871086" w14:textId="77777777" w:rsidR="00C92C58" w:rsidRPr="00C174D5" w:rsidRDefault="00C92C58" w:rsidP="00B15A9A">
            <w:pPr>
              <w:keepNext/>
              <w:keepLines/>
              <w:spacing w:after="0" w:line="240" w:lineRule="auto"/>
              <w:jc w:val="left"/>
              <w:rPr>
                <w:rFonts w:eastAsia="Times New Roman" w:cs="Times New Roman"/>
                <w:b/>
                <w:sz w:val="20"/>
                <w:szCs w:val="20"/>
                <w:lang w:val="es-ES" w:eastAsia="es-AR"/>
              </w:rPr>
            </w:pPr>
            <w:r w:rsidRPr="00C174D5">
              <w:rPr>
                <w:rFonts w:eastAsia="Times New Roman" w:cs="Arial"/>
                <w:b/>
                <w:sz w:val="20"/>
                <w:szCs w:val="20"/>
                <w:lang w:val="es-ES" w:eastAsia="es-AR"/>
              </w:rPr>
              <w:t xml:space="preserve">SE </w:t>
            </w:r>
            <w:proofErr w:type="spellStart"/>
            <w:r w:rsidRPr="00C174D5">
              <w:rPr>
                <w:rFonts w:eastAsia="Times New Roman" w:cs="Arial"/>
                <w:b/>
                <w:sz w:val="20"/>
                <w:szCs w:val="20"/>
                <w:lang w:val="es-ES" w:eastAsia="es-AR"/>
              </w:rPr>
              <w:t>Sébaco</w:t>
            </w:r>
            <w:proofErr w:type="spellEnd"/>
          </w:p>
        </w:tc>
        <w:tc>
          <w:tcPr>
            <w:tcW w:w="2269" w:type="dxa"/>
            <w:gridSpan w:val="2"/>
            <w:tcBorders>
              <w:top w:val="single" w:sz="12" w:space="0" w:color="auto"/>
              <w:bottom w:val="single" w:sz="12" w:space="0" w:color="auto"/>
            </w:tcBorders>
            <w:shd w:val="clear" w:color="auto" w:fill="BFBFBF" w:themeFill="background1" w:themeFillShade="BF"/>
            <w:vAlign w:val="center"/>
          </w:tcPr>
          <w:p w14:paraId="3691D599" w14:textId="77777777" w:rsidR="00C92C58" w:rsidRPr="00C174D5" w:rsidRDefault="00C92C58" w:rsidP="00B15A9A">
            <w:pPr>
              <w:keepNext/>
              <w:keepLines/>
              <w:spacing w:after="0" w:line="240" w:lineRule="auto"/>
              <w:jc w:val="center"/>
              <w:rPr>
                <w:rFonts w:eastAsia="Times New Roman" w:cs="Times New Roman"/>
                <w:b/>
                <w:sz w:val="20"/>
                <w:szCs w:val="20"/>
                <w:lang w:val="es-ES" w:eastAsia="es-AR"/>
              </w:rPr>
            </w:pPr>
            <w:r w:rsidRPr="00C174D5">
              <w:rPr>
                <w:rFonts w:eastAsia="Times New Roman" w:cs="Arial"/>
                <w:b/>
                <w:sz w:val="20"/>
                <w:szCs w:val="20"/>
                <w:lang w:val="es-ES" w:eastAsia="es-AR"/>
              </w:rPr>
              <w:t>VPNE (US$)</w:t>
            </w:r>
          </w:p>
        </w:tc>
        <w:tc>
          <w:tcPr>
            <w:tcW w:w="924" w:type="dxa"/>
            <w:tcBorders>
              <w:top w:val="single" w:sz="12" w:space="0" w:color="auto"/>
              <w:bottom w:val="single" w:sz="12" w:space="0" w:color="auto"/>
            </w:tcBorders>
            <w:shd w:val="clear" w:color="auto" w:fill="BFBFBF" w:themeFill="background1" w:themeFillShade="BF"/>
            <w:vAlign w:val="center"/>
          </w:tcPr>
          <w:p w14:paraId="13BC1E3C" w14:textId="77777777" w:rsidR="00C92C58" w:rsidRPr="00C174D5" w:rsidRDefault="00C92C58" w:rsidP="00B15A9A">
            <w:pPr>
              <w:keepNext/>
              <w:keepLines/>
              <w:spacing w:after="0" w:line="240" w:lineRule="auto"/>
              <w:jc w:val="center"/>
              <w:rPr>
                <w:rFonts w:eastAsia="Times New Roman" w:cs="Arial"/>
                <w:b/>
                <w:sz w:val="20"/>
                <w:szCs w:val="20"/>
                <w:lang w:val="es-ES" w:eastAsia="es-AR"/>
              </w:rPr>
            </w:pPr>
            <w:r w:rsidRPr="00C174D5">
              <w:rPr>
                <w:rFonts w:eastAsia="Times New Roman" w:cs="Arial"/>
                <w:b/>
                <w:sz w:val="20"/>
                <w:szCs w:val="20"/>
                <w:lang w:val="es-ES" w:eastAsia="es-AR"/>
              </w:rPr>
              <w:t>TIRE (%)</w:t>
            </w:r>
          </w:p>
        </w:tc>
      </w:tr>
      <w:tr w:rsidR="00C92C58" w:rsidRPr="00C174D5" w14:paraId="3F5125B7" w14:textId="77777777" w:rsidTr="00B15A9A">
        <w:trPr>
          <w:trHeight w:val="300"/>
          <w:jc w:val="center"/>
        </w:trPr>
        <w:tc>
          <w:tcPr>
            <w:tcW w:w="4110" w:type="dxa"/>
            <w:gridSpan w:val="2"/>
            <w:tcBorders>
              <w:top w:val="single" w:sz="12" w:space="0" w:color="auto"/>
              <w:bottom w:val="single" w:sz="2" w:space="0" w:color="auto"/>
            </w:tcBorders>
            <w:shd w:val="clear" w:color="auto" w:fill="auto"/>
            <w:noWrap/>
            <w:vAlign w:val="center"/>
          </w:tcPr>
          <w:p w14:paraId="6D93C48A" w14:textId="77777777" w:rsidR="00C92C58" w:rsidRPr="00C174D5" w:rsidRDefault="00C92C58" w:rsidP="00B15A9A">
            <w:pPr>
              <w:keepNext/>
              <w:keepLines/>
              <w:spacing w:after="0" w:line="240" w:lineRule="auto"/>
              <w:rPr>
                <w:rFonts w:eastAsia="Times New Roman" w:cs="Times New Roman"/>
                <w:i/>
                <w:sz w:val="20"/>
                <w:szCs w:val="20"/>
                <w:lang w:val="es-ES" w:eastAsia="es-AR"/>
              </w:rPr>
            </w:pPr>
            <w:r w:rsidRPr="00C174D5">
              <w:rPr>
                <w:rFonts w:eastAsia="Times New Roman" w:cs="Times New Roman"/>
                <w:i/>
                <w:sz w:val="20"/>
                <w:szCs w:val="20"/>
                <w:lang w:val="es-ES" w:eastAsia="es-AR"/>
              </w:rPr>
              <w:t xml:space="preserve">Caso Base </w:t>
            </w:r>
          </w:p>
        </w:tc>
        <w:tc>
          <w:tcPr>
            <w:tcW w:w="2269" w:type="dxa"/>
            <w:gridSpan w:val="2"/>
            <w:tcBorders>
              <w:top w:val="single" w:sz="12" w:space="0" w:color="auto"/>
              <w:bottom w:val="single" w:sz="2" w:space="0" w:color="auto"/>
            </w:tcBorders>
            <w:vAlign w:val="center"/>
          </w:tcPr>
          <w:p w14:paraId="58E7CA22" w14:textId="77777777" w:rsidR="00C92C58" w:rsidRPr="00C174D5" w:rsidRDefault="00C92C58" w:rsidP="00B15A9A">
            <w:pPr>
              <w:keepNext/>
              <w:keepLines/>
              <w:spacing w:after="0" w:line="240" w:lineRule="auto"/>
              <w:jc w:val="center"/>
              <w:rPr>
                <w:rFonts w:eastAsia="Times New Roman" w:cs="Times New Roman"/>
                <w:i/>
                <w:sz w:val="20"/>
                <w:szCs w:val="20"/>
                <w:lang w:val="es-ES" w:eastAsia="es-AR"/>
              </w:rPr>
            </w:pPr>
            <w:r>
              <w:rPr>
                <w:i/>
                <w:sz w:val="20"/>
                <w:lang w:val="es-ES"/>
              </w:rPr>
              <w:t>47.748</w:t>
            </w:r>
          </w:p>
        </w:tc>
        <w:tc>
          <w:tcPr>
            <w:tcW w:w="924" w:type="dxa"/>
            <w:tcBorders>
              <w:top w:val="single" w:sz="12" w:space="0" w:color="auto"/>
              <w:bottom w:val="single" w:sz="2" w:space="0" w:color="auto"/>
            </w:tcBorders>
            <w:vAlign w:val="center"/>
          </w:tcPr>
          <w:p w14:paraId="4F4258B0" w14:textId="77777777" w:rsidR="00C92C58" w:rsidRPr="00C174D5" w:rsidRDefault="00C92C58" w:rsidP="00B15A9A">
            <w:pPr>
              <w:keepNext/>
              <w:keepLines/>
              <w:spacing w:after="0" w:line="240" w:lineRule="auto"/>
              <w:jc w:val="center"/>
              <w:rPr>
                <w:rFonts w:eastAsia="Times New Roman" w:cs="Times New Roman"/>
                <w:i/>
                <w:sz w:val="20"/>
                <w:szCs w:val="20"/>
                <w:lang w:val="es-ES" w:eastAsia="es-AR"/>
              </w:rPr>
            </w:pPr>
            <w:r>
              <w:rPr>
                <w:rFonts w:eastAsia="Times New Roman" w:cs="Times New Roman"/>
                <w:i/>
                <w:sz w:val="20"/>
                <w:szCs w:val="20"/>
                <w:lang w:val="es-ES" w:eastAsia="es-AR"/>
              </w:rPr>
              <w:t>12</w:t>
            </w:r>
            <w:r w:rsidRPr="00C174D5">
              <w:rPr>
                <w:rFonts w:eastAsia="Times New Roman" w:cs="Times New Roman"/>
                <w:i/>
                <w:sz w:val="20"/>
                <w:szCs w:val="20"/>
                <w:lang w:val="es-ES" w:eastAsia="es-AR"/>
              </w:rPr>
              <w:t>%</w:t>
            </w:r>
          </w:p>
        </w:tc>
      </w:tr>
      <w:tr w:rsidR="00C92C58" w:rsidRPr="00C174D5" w14:paraId="70071A4C" w14:textId="77777777" w:rsidTr="00B15A9A">
        <w:trPr>
          <w:trHeight w:val="300"/>
          <w:jc w:val="center"/>
        </w:trPr>
        <w:tc>
          <w:tcPr>
            <w:tcW w:w="4110" w:type="dxa"/>
            <w:gridSpan w:val="2"/>
            <w:tcBorders>
              <w:top w:val="single" w:sz="2" w:space="0" w:color="auto"/>
            </w:tcBorders>
            <w:shd w:val="clear" w:color="auto" w:fill="auto"/>
            <w:noWrap/>
            <w:vAlign w:val="center"/>
          </w:tcPr>
          <w:p w14:paraId="2720A5CA"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Tasa social de descuento(base 12%): 8%</w:t>
            </w:r>
          </w:p>
        </w:tc>
        <w:tc>
          <w:tcPr>
            <w:tcW w:w="1411" w:type="dxa"/>
            <w:tcBorders>
              <w:top w:val="single" w:sz="2" w:space="0" w:color="auto"/>
            </w:tcBorders>
            <w:vAlign w:val="center"/>
          </w:tcPr>
          <w:p w14:paraId="2A84F4BA"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3.</w:t>
            </w:r>
            <w:r w:rsidRPr="00426101">
              <w:rPr>
                <w:rFonts w:eastAsia="Times New Roman" w:cs="Times New Roman"/>
                <w:sz w:val="20"/>
                <w:szCs w:val="20"/>
                <w:lang w:val="es-ES" w:eastAsia="es-AR"/>
              </w:rPr>
              <w:t>487</w:t>
            </w:r>
            <w:r>
              <w:rPr>
                <w:rFonts w:eastAsia="Times New Roman" w:cs="Times New Roman"/>
                <w:sz w:val="20"/>
                <w:szCs w:val="20"/>
                <w:lang w:val="es-ES" w:eastAsia="es-AR"/>
              </w:rPr>
              <w:t>.</w:t>
            </w:r>
            <w:r w:rsidRPr="00426101">
              <w:rPr>
                <w:rFonts w:eastAsia="Times New Roman" w:cs="Times New Roman"/>
                <w:sz w:val="20"/>
                <w:szCs w:val="20"/>
                <w:lang w:val="es-ES" w:eastAsia="es-AR"/>
              </w:rPr>
              <w:t>016</w:t>
            </w:r>
          </w:p>
        </w:tc>
        <w:tc>
          <w:tcPr>
            <w:tcW w:w="858" w:type="dxa"/>
            <w:tcBorders>
              <w:top w:val="single" w:sz="2" w:space="0" w:color="auto"/>
            </w:tcBorders>
            <w:vAlign w:val="center"/>
          </w:tcPr>
          <w:p w14:paraId="49AD3BD7"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7200%</w:t>
            </w:r>
          </w:p>
        </w:tc>
        <w:tc>
          <w:tcPr>
            <w:tcW w:w="924" w:type="dxa"/>
            <w:tcBorders>
              <w:top w:val="single" w:sz="2" w:space="0" w:color="auto"/>
            </w:tcBorders>
            <w:vAlign w:val="center"/>
          </w:tcPr>
          <w:p w14:paraId="15DD90C2"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12</w:t>
            </w:r>
            <w:r w:rsidRPr="00C174D5">
              <w:rPr>
                <w:rFonts w:eastAsia="Times New Roman" w:cs="Times New Roman"/>
                <w:sz w:val="20"/>
                <w:szCs w:val="20"/>
                <w:lang w:val="es-ES" w:eastAsia="es-AR"/>
              </w:rPr>
              <w:t>%</w:t>
            </w:r>
          </w:p>
        </w:tc>
      </w:tr>
      <w:tr w:rsidR="00C92C58" w:rsidRPr="00E67BF2" w14:paraId="2799EB1D" w14:textId="77777777" w:rsidTr="00B15A9A">
        <w:trPr>
          <w:trHeight w:val="300"/>
          <w:jc w:val="center"/>
        </w:trPr>
        <w:tc>
          <w:tcPr>
            <w:tcW w:w="7303" w:type="dxa"/>
            <w:gridSpan w:val="5"/>
            <w:tcBorders>
              <w:top w:val="single" w:sz="2" w:space="0" w:color="auto"/>
            </w:tcBorders>
            <w:shd w:val="clear" w:color="auto" w:fill="auto"/>
            <w:noWrap/>
            <w:vAlign w:val="center"/>
          </w:tcPr>
          <w:p w14:paraId="5B88BBCF"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 xml:space="preserve">Tasa de crecimiento promedio de la demanda existente (base </w:t>
            </w:r>
            <w:r>
              <w:rPr>
                <w:rFonts w:eastAsia="Times New Roman" w:cs="Times New Roman"/>
                <w:sz w:val="20"/>
                <w:szCs w:val="20"/>
                <w:lang w:val="es-ES" w:eastAsia="es-AR"/>
              </w:rPr>
              <w:t>3</w:t>
            </w:r>
            <w:r w:rsidRPr="00C174D5">
              <w:rPr>
                <w:rFonts w:eastAsia="Times New Roman" w:cs="Times New Roman"/>
                <w:sz w:val="20"/>
                <w:szCs w:val="20"/>
                <w:lang w:val="es-ES" w:eastAsia="es-AR"/>
              </w:rPr>
              <w:t>,</w:t>
            </w:r>
            <w:r>
              <w:rPr>
                <w:rFonts w:eastAsia="Times New Roman" w:cs="Times New Roman"/>
                <w:sz w:val="20"/>
                <w:szCs w:val="20"/>
                <w:lang w:val="es-ES" w:eastAsia="es-AR"/>
              </w:rPr>
              <w:t>6%</w:t>
            </w:r>
            <w:r w:rsidRPr="00C174D5">
              <w:rPr>
                <w:rFonts w:eastAsia="Times New Roman" w:cs="Times New Roman"/>
                <w:sz w:val="20"/>
                <w:szCs w:val="20"/>
                <w:lang w:val="es-ES" w:eastAsia="es-AR"/>
              </w:rPr>
              <w:t>)</w:t>
            </w:r>
          </w:p>
        </w:tc>
      </w:tr>
      <w:tr w:rsidR="00C92C58" w:rsidRPr="00C174D5" w14:paraId="0FE58328" w14:textId="77777777" w:rsidTr="00B15A9A">
        <w:trPr>
          <w:trHeight w:val="300"/>
          <w:jc w:val="center"/>
        </w:trPr>
        <w:tc>
          <w:tcPr>
            <w:tcW w:w="1701" w:type="dxa"/>
            <w:tcBorders>
              <w:top w:val="single" w:sz="2" w:space="0" w:color="auto"/>
            </w:tcBorders>
            <w:shd w:val="clear" w:color="auto" w:fill="auto"/>
            <w:noWrap/>
            <w:vAlign w:val="center"/>
          </w:tcPr>
          <w:p w14:paraId="56DD7520" w14:textId="77777777" w:rsidR="00C92C58" w:rsidRPr="00C174D5" w:rsidRDefault="00C92C58" w:rsidP="00B15A9A">
            <w:pPr>
              <w:keepNext/>
              <w:keepLines/>
              <w:spacing w:after="0" w:line="240" w:lineRule="auto"/>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08E3324E"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4,</w:t>
            </w:r>
            <w:r>
              <w:rPr>
                <w:rFonts w:eastAsia="Times New Roman" w:cs="Times New Roman"/>
                <w:sz w:val="20"/>
                <w:szCs w:val="20"/>
                <w:lang w:val="es-ES" w:eastAsia="es-AR"/>
              </w:rPr>
              <w:t>14</w:t>
            </w:r>
            <w:r w:rsidRPr="00C174D5">
              <w:rPr>
                <w:rFonts w:eastAsia="Times New Roman" w:cs="Times New Roman"/>
                <w:sz w:val="20"/>
                <w:szCs w:val="20"/>
                <w:lang w:val="es-ES" w:eastAsia="es-AR"/>
              </w:rPr>
              <w:t>% (+ 15%)</w:t>
            </w:r>
          </w:p>
        </w:tc>
        <w:tc>
          <w:tcPr>
            <w:tcW w:w="1411" w:type="dxa"/>
            <w:tcBorders>
              <w:top w:val="single" w:sz="2" w:space="0" w:color="auto"/>
            </w:tcBorders>
            <w:vAlign w:val="center"/>
          </w:tcPr>
          <w:p w14:paraId="0F0DA079"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426101">
              <w:rPr>
                <w:rFonts w:eastAsia="Times New Roman" w:cs="Times New Roman"/>
                <w:sz w:val="20"/>
                <w:szCs w:val="20"/>
                <w:lang w:val="es-ES" w:eastAsia="es-AR"/>
              </w:rPr>
              <w:t>488</w:t>
            </w:r>
            <w:r>
              <w:rPr>
                <w:rFonts w:eastAsia="Times New Roman" w:cs="Times New Roman"/>
                <w:sz w:val="20"/>
                <w:szCs w:val="20"/>
                <w:lang w:val="es-ES" w:eastAsia="es-AR"/>
              </w:rPr>
              <w:t>.</w:t>
            </w:r>
            <w:r w:rsidRPr="00426101">
              <w:rPr>
                <w:rFonts w:eastAsia="Times New Roman" w:cs="Times New Roman"/>
                <w:sz w:val="20"/>
                <w:szCs w:val="20"/>
                <w:lang w:val="es-ES" w:eastAsia="es-AR"/>
              </w:rPr>
              <w:t>313</w:t>
            </w:r>
          </w:p>
        </w:tc>
        <w:tc>
          <w:tcPr>
            <w:tcW w:w="858" w:type="dxa"/>
            <w:tcBorders>
              <w:top w:val="single" w:sz="2" w:space="0" w:color="auto"/>
            </w:tcBorders>
            <w:vAlign w:val="center"/>
          </w:tcPr>
          <w:p w14:paraId="18D1F609"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922,69</w:t>
            </w:r>
            <w:r w:rsidRPr="00277035">
              <w:rPr>
                <w:rFonts w:eastAsia="Times New Roman" w:cs="Times New Roman"/>
                <w:sz w:val="20"/>
                <w:szCs w:val="20"/>
                <w:lang w:val="es-ES" w:eastAsia="es-AR"/>
              </w:rPr>
              <w:t>%</w:t>
            </w:r>
            <w:r w:rsidRPr="00277035" w:rsidDel="007D4199">
              <w:rPr>
                <w:rFonts w:eastAsia="Times New Roman" w:cs="Times New Roman"/>
                <w:sz w:val="20"/>
                <w:szCs w:val="20"/>
                <w:lang w:val="es-ES" w:eastAsia="es-AR"/>
              </w:rPr>
              <w:t xml:space="preserve"> </w:t>
            </w:r>
          </w:p>
        </w:tc>
        <w:tc>
          <w:tcPr>
            <w:tcW w:w="924" w:type="dxa"/>
            <w:tcBorders>
              <w:top w:val="single" w:sz="2" w:space="0" w:color="auto"/>
            </w:tcBorders>
            <w:vAlign w:val="center"/>
          </w:tcPr>
          <w:p w14:paraId="49D873F6"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13%</w:t>
            </w:r>
          </w:p>
        </w:tc>
      </w:tr>
      <w:tr w:rsidR="00C92C58" w:rsidRPr="00C174D5" w14:paraId="3BF645E5" w14:textId="77777777" w:rsidTr="00B15A9A">
        <w:trPr>
          <w:trHeight w:val="300"/>
          <w:jc w:val="center"/>
        </w:trPr>
        <w:tc>
          <w:tcPr>
            <w:tcW w:w="1701" w:type="dxa"/>
            <w:tcBorders>
              <w:top w:val="single" w:sz="2" w:space="0" w:color="auto"/>
            </w:tcBorders>
            <w:shd w:val="clear" w:color="auto" w:fill="auto"/>
            <w:noWrap/>
            <w:vAlign w:val="center"/>
          </w:tcPr>
          <w:p w14:paraId="72E54063" w14:textId="77777777" w:rsidR="00C92C58" w:rsidRPr="00C174D5" w:rsidRDefault="00C92C58" w:rsidP="00B15A9A">
            <w:pPr>
              <w:keepNext/>
              <w:keepLines/>
              <w:spacing w:after="0" w:line="240" w:lineRule="auto"/>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5FE41245"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Pr>
                <w:rFonts w:eastAsia="Times New Roman" w:cs="Times New Roman"/>
                <w:sz w:val="20"/>
                <w:szCs w:val="20"/>
                <w:lang w:val="es-ES" w:eastAsia="es-AR"/>
              </w:rPr>
              <w:t>3,06</w:t>
            </w:r>
            <w:r w:rsidRPr="00C174D5">
              <w:rPr>
                <w:rFonts w:eastAsia="Times New Roman" w:cs="Times New Roman"/>
                <w:sz w:val="20"/>
                <w:szCs w:val="20"/>
                <w:lang w:val="es-ES" w:eastAsia="es-AR"/>
              </w:rPr>
              <w:t>% (</w:t>
            </w:r>
            <w:r>
              <w:rPr>
                <w:rFonts w:eastAsia="Times New Roman" w:cs="Times New Roman"/>
                <w:sz w:val="20"/>
                <w:szCs w:val="20"/>
                <w:lang w:val="es-ES" w:eastAsia="es-AR"/>
              </w:rPr>
              <w:t>-</w:t>
            </w:r>
            <w:r w:rsidRPr="00C174D5">
              <w:rPr>
                <w:rFonts w:eastAsia="Times New Roman" w:cs="Times New Roman"/>
                <w:sz w:val="20"/>
                <w:szCs w:val="20"/>
                <w:lang w:val="es-ES" w:eastAsia="es-AR"/>
              </w:rPr>
              <w:t xml:space="preserve"> </w:t>
            </w:r>
            <w:r>
              <w:rPr>
                <w:rFonts w:eastAsia="Times New Roman" w:cs="Times New Roman"/>
                <w:sz w:val="20"/>
                <w:szCs w:val="20"/>
                <w:lang w:val="es-ES" w:eastAsia="es-AR"/>
              </w:rPr>
              <w:t>15</w:t>
            </w:r>
            <w:r w:rsidRPr="00C174D5">
              <w:rPr>
                <w:rFonts w:eastAsia="Times New Roman" w:cs="Times New Roman"/>
                <w:sz w:val="20"/>
                <w:szCs w:val="20"/>
                <w:lang w:val="es-ES" w:eastAsia="es-AR"/>
              </w:rPr>
              <w:t>%)</w:t>
            </w:r>
          </w:p>
        </w:tc>
        <w:tc>
          <w:tcPr>
            <w:tcW w:w="1411" w:type="dxa"/>
            <w:tcBorders>
              <w:top w:val="single" w:sz="2" w:space="0" w:color="auto"/>
            </w:tcBorders>
            <w:vAlign w:val="center"/>
          </w:tcPr>
          <w:p w14:paraId="4B9DC818"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-365.</w:t>
            </w:r>
            <w:r w:rsidRPr="00426101">
              <w:rPr>
                <w:rFonts w:eastAsia="Times New Roman" w:cs="Times New Roman"/>
                <w:sz w:val="20"/>
                <w:szCs w:val="20"/>
                <w:lang w:val="es-ES" w:eastAsia="es-AR"/>
              </w:rPr>
              <w:t>191</w:t>
            </w:r>
          </w:p>
        </w:tc>
        <w:tc>
          <w:tcPr>
            <w:tcW w:w="858" w:type="dxa"/>
            <w:tcBorders>
              <w:top w:val="single" w:sz="2" w:space="0" w:color="auto"/>
            </w:tcBorders>
            <w:vAlign w:val="center"/>
          </w:tcPr>
          <w:p w14:paraId="7F121130"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277035">
              <w:rPr>
                <w:rFonts w:eastAsia="Times New Roman" w:cs="Times New Roman"/>
                <w:sz w:val="20"/>
                <w:szCs w:val="20"/>
                <w:lang w:val="es-ES" w:eastAsia="es-AR"/>
              </w:rPr>
              <w:t>-</w:t>
            </w:r>
            <w:r>
              <w:rPr>
                <w:rFonts w:eastAsia="Times New Roman" w:cs="Times New Roman"/>
                <w:sz w:val="20"/>
                <w:szCs w:val="20"/>
                <w:lang w:val="es-ES" w:eastAsia="es-AR"/>
              </w:rPr>
              <w:t>864,83</w:t>
            </w:r>
            <w:r w:rsidRPr="00277035">
              <w:rPr>
                <w:rFonts w:eastAsia="Times New Roman" w:cs="Times New Roman"/>
                <w:sz w:val="20"/>
                <w:szCs w:val="20"/>
                <w:lang w:val="es-ES" w:eastAsia="es-AR"/>
              </w:rPr>
              <w:t>%</w:t>
            </w:r>
            <w:r w:rsidRPr="00277035" w:rsidDel="007D4199">
              <w:rPr>
                <w:rFonts w:eastAsia="Times New Roman" w:cs="Times New Roman"/>
                <w:sz w:val="20"/>
                <w:szCs w:val="20"/>
                <w:lang w:val="es-ES" w:eastAsia="es-AR"/>
              </w:rPr>
              <w:t xml:space="preserve"> </w:t>
            </w:r>
          </w:p>
        </w:tc>
        <w:tc>
          <w:tcPr>
            <w:tcW w:w="924" w:type="dxa"/>
            <w:tcBorders>
              <w:top w:val="single" w:sz="2" w:space="0" w:color="auto"/>
            </w:tcBorders>
            <w:vAlign w:val="center"/>
          </w:tcPr>
          <w:p w14:paraId="732A61C9"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11%</w:t>
            </w:r>
          </w:p>
        </w:tc>
      </w:tr>
      <w:tr w:rsidR="00C92C58" w:rsidRPr="00E67BF2" w14:paraId="59EBA714" w14:textId="77777777" w:rsidTr="00B15A9A">
        <w:trPr>
          <w:trHeight w:val="300"/>
          <w:jc w:val="center"/>
        </w:trPr>
        <w:tc>
          <w:tcPr>
            <w:tcW w:w="7303" w:type="dxa"/>
            <w:gridSpan w:val="5"/>
            <w:tcBorders>
              <w:top w:val="single" w:sz="2" w:space="0" w:color="auto"/>
              <w:bottom w:val="single" w:sz="2" w:space="0" w:color="auto"/>
            </w:tcBorders>
            <w:shd w:val="clear" w:color="auto" w:fill="auto"/>
            <w:noWrap/>
            <w:vAlign w:val="center"/>
          </w:tcPr>
          <w:p w14:paraId="71E42EFD"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Costo de falla (base 1.500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xml:space="preserve">) </w:t>
            </w:r>
          </w:p>
        </w:tc>
      </w:tr>
      <w:tr w:rsidR="00C92C58" w:rsidRPr="00C174D5" w14:paraId="55CE7355" w14:textId="77777777" w:rsidTr="00B15A9A">
        <w:trPr>
          <w:trHeight w:val="300"/>
          <w:jc w:val="center"/>
        </w:trPr>
        <w:tc>
          <w:tcPr>
            <w:tcW w:w="1701" w:type="dxa"/>
            <w:tcBorders>
              <w:top w:val="single" w:sz="2" w:space="0" w:color="auto"/>
            </w:tcBorders>
            <w:shd w:val="clear" w:color="auto" w:fill="auto"/>
            <w:noWrap/>
            <w:vAlign w:val="center"/>
          </w:tcPr>
          <w:p w14:paraId="40759E2E" w14:textId="77777777" w:rsidR="00C92C58" w:rsidRPr="00C174D5" w:rsidRDefault="00C92C58" w:rsidP="00B15A9A">
            <w:pPr>
              <w:keepNext/>
              <w:keepLines/>
              <w:spacing w:after="0" w:line="240" w:lineRule="auto"/>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7B422479"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1.725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xml:space="preserve"> (+ 15%)</w:t>
            </w:r>
          </w:p>
        </w:tc>
        <w:tc>
          <w:tcPr>
            <w:tcW w:w="1411" w:type="dxa"/>
            <w:tcBorders>
              <w:top w:val="single" w:sz="2" w:space="0" w:color="auto"/>
            </w:tcBorders>
            <w:vAlign w:val="center"/>
          </w:tcPr>
          <w:p w14:paraId="337E2706"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426101">
              <w:rPr>
                <w:rFonts w:eastAsia="Times New Roman" w:cs="Times New Roman"/>
                <w:sz w:val="20"/>
                <w:szCs w:val="20"/>
                <w:lang w:val="es-ES" w:eastAsia="es-AR"/>
              </w:rPr>
              <w:t>1</w:t>
            </w:r>
            <w:r>
              <w:rPr>
                <w:rFonts w:eastAsia="Times New Roman" w:cs="Times New Roman"/>
                <w:sz w:val="20"/>
                <w:szCs w:val="20"/>
                <w:lang w:val="es-ES" w:eastAsia="es-AR"/>
              </w:rPr>
              <w:t>.</w:t>
            </w:r>
            <w:r w:rsidRPr="00426101">
              <w:rPr>
                <w:rFonts w:eastAsia="Times New Roman" w:cs="Times New Roman"/>
                <w:sz w:val="20"/>
                <w:szCs w:val="20"/>
                <w:lang w:val="es-ES" w:eastAsia="es-AR"/>
              </w:rPr>
              <w:t>429</w:t>
            </w:r>
            <w:r>
              <w:rPr>
                <w:rFonts w:eastAsia="Times New Roman" w:cs="Times New Roman"/>
                <w:sz w:val="20"/>
                <w:szCs w:val="20"/>
                <w:lang w:val="es-ES" w:eastAsia="es-AR"/>
              </w:rPr>
              <w:t>.</w:t>
            </w:r>
            <w:r w:rsidRPr="00426101">
              <w:rPr>
                <w:rFonts w:eastAsia="Times New Roman" w:cs="Times New Roman"/>
                <w:sz w:val="20"/>
                <w:szCs w:val="20"/>
                <w:lang w:val="es-ES" w:eastAsia="es-AR"/>
              </w:rPr>
              <w:t>664</w:t>
            </w:r>
          </w:p>
        </w:tc>
        <w:tc>
          <w:tcPr>
            <w:tcW w:w="858" w:type="dxa"/>
            <w:tcBorders>
              <w:top w:val="single" w:sz="2" w:space="0" w:color="auto"/>
            </w:tcBorders>
            <w:vAlign w:val="center"/>
          </w:tcPr>
          <w:p w14:paraId="09ABEEC5"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277035">
              <w:rPr>
                <w:rFonts w:eastAsia="Times New Roman" w:cs="Times New Roman"/>
                <w:sz w:val="20"/>
                <w:szCs w:val="20"/>
                <w:lang w:val="es-ES" w:eastAsia="es-AR"/>
              </w:rPr>
              <w:t>2</w:t>
            </w:r>
            <w:r>
              <w:rPr>
                <w:rFonts w:eastAsia="Times New Roman" w:cs="Times New Roman"/>
                <w:sz w:val="20"/>
                <w:szCs w:val="20"/>
                <w:lang w:val="es-ES" w:eastAsia="es-AR"/>
              </w:rPr>
              <w:t>8</w:t>
            </w:r>
            <w:r w:rsidRPr="00277035">
              <w:rPr>
                <w:rFonts w:eastAsia="Times New Roman" w:cs="Times New Roman"/>
                <w:sz w:val="20"/>
                <w:szCs w:val="20"/>
                <w:lang w:val="es-ES" w:eastAsia="es-AR"/>
              </w:rPr>
              <w:t>9</w:t>
            </w:r>
            <w:r>
              <w:rPr>
                <w:rFonts w:eastAsia="Times New Roman" w:cs="Times New Roman"/>
                <w:sz w:val="20"/>
                <w:szCs w:val="20"/>
                <w:lang w:val="es-ES" w:eastAsia="es-AR"/>
              </w:rPr>
              <w:t>4,18</w:t>
            </w:r>
            <w:r w:rsidRPr="00277035">
              <w:rPr>
                <w:rFonts w:eastAsia="Times New Roman" w:cs="Times New Roman"/>
                <w:sz w:val="20"/>
                <w:szCs w:val="20"/>
                <w:lang w:val="es-ES" w:eastAsia="es-AR"/>
              </w:rPr>
              <w:t>%</w:t>
            </w:r>
            <w:r w:rsidRPr="00277035" w:rsidDel="007D4199">
              <w:rPr>
                <w:rFonts w:eastAsia="Times New Roman" w:cs="Times New Roman"/>
                <w:sz w:val="20"/>
                <w:szCs w:val="20"/>
                <w:lang w:val="es-ES" w:eastAsia="es-AR"/>
              </w:rPr>
              <w:t xml:space="preserve"> </w:t>
            </w:r>
          </w:p>
        </w:tc>
        <w:tc>
          <w:tcPr>
            <w:tcW w:w="924" w:type="dxa"/>
            <w:tcBorders>
              <w:top w:val="single" w:sz="2" w:space="0" w:color="auto"/>
            </w:tcBorders>
            <w:vAlign w:val="center"/>
          </w:tcPr>
          <w:p w14:paraId="23F3AA06"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14%</w:t>
            </w:r>
          </w:p>
        </w:tc>
      </w:tr>
      <w:tr w:rsidR="00C92C58" w:rsidRPr="00C174D5" w14:paraId="26A3FCBD" w14:textId="77777777" w:rsidTr="00B15A9A">
        <w:trPr>
          <w:trHeight w:val="300"/>
          <w:jc w:val="center"/>
        </w:trPr>
        <w:tc>
          <w:tcPr>
            <w:tcW w:w="1701" w:type="dxa"/>
            <w:tcBorders>
              <w:top w:val="single" w:sz="2" w:space="0" w:color="auto"/>
              <w:bottom w:val="single" w:sz="2" w:space="0" w:color="auto"/>
            </w:tcBorders>
            <w:shd w:val="clear" w:color="auto" w:fill="auto"/>
            <w:noWrap/>
            <w:vAlign w:val="center"/>
          </w:tcPr>
          <w:p w14:paraId="6C2B64D5" w14:textId="77777777" w:rsidR="00C92C58" w:rsidRPr="00C174D5" w:rsidRDefault="00C92C58" w:rsidP="00B15A9A">
            <w:pPr>
              <w:keepNext/>
              <w:keepLines/>
              <w:spacing w:after="0" w:line="240" w:lineRule="auto"/>
              <w:rPr>
                <w:rFonts w:eastAsia="Times New Roman" w:cs="Times New Roman"/>
                <w:sz w:val="20"/>
                <w:szCs w:val="20"/>
                <w:lang w:val="es-ES" w:eastAsia="es-AR"/>
              </w:rPr>
            </w:pPr>
          </w:p>
        </w:tc>
        <w:tc>
          <w:tcPr>
            <w:tcW w:w="2409" w:type="dxa"/>
            <w:tcBorders>
              <w:top w:val="single" w:sz="2" w:space="0" w:color="auto"/>
              <w:bottom w:val="single" w:sz="2" w:space="0" w:color="auto"/>
            </w:tcBorders>
            <w:shd w:val="clear" w:color="auto" w:fill="auto"/>
            <w:vAlign w:val="center"/>
          </w:tcPr>
          <w:p w14:paraId="57C8413A"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1.275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xml:space="preserve"> (- 15%)</w:t>
            </w:r>
          </w:p>
        </w:tc>
        <w:tc>
          <w:tcPr>
            <w:tcW w:w="1411" w:type="dxa"/>
            <w:tcBorders>
              <w:top w:val="single" w:sz="2" w:space="0" w:color="auto"/>
              <w:bottom w:val="single" w:sz="2" w:space="0" w:color="auto"/>
            </w:tcBorders>
            <w:vAlign w:val="center"/>
          </w:tcPr>
          <w:p w14:paraId="387B4608"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-1.334.</w:t>
            </w:r>
            <w:r w:rsidRPr="00426101">
              <w:rPr>
                <w:rFonts w:eastAsia="Times New Roman" w:cs="Times New Roman"/>
                <w:sz w:val="20"/>
                <w:szCs w:val="20"/>
                <w:lang w:val="es-ES" w:eastAsia="es-AR"/>
              </w:rPr>
              <w:t>168</w:t>
            </w:r>
          </w:p>
        </w:tc>
        <w:tc>
          <w:tcPr>
            <w:tcW w:w="858" w:type="dxa"/>
            <w:tcBorders>
              <w:top w:val="single" w:sz="2" w:space="0" w:color="auto"/>
              <w:bottom w:val="single" w:sz="2" w:space="0" w:color="auto"/>
            </w:tcBorders>
            <w:vAlign w:val="center"/>
          </w:tcPr>
          <w:p w14:paraId="6C3A7353"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277035">
              <w:rPr>
                <w:rFonts w:eastAsia="Times New Roman" w:cs="Times New Roman"/>
                <w:sz w:val="20"/>
                <w:szCs w:val="20"/>
                <w:lang w:val="es-ES" w:eastAsia="es-AR"/>
              </w:rPr>
              <w:t>-2</w:t>
            </w:r>
            <w:r>
              <w:rPr>
                <w:rFonts w:eastAsia="Times New Roman" w:cs="Times New Roman"/>
                <w:sz w:val="20"/>
                <w:szCs w:val="20"/>
                <w:lang w:val="es-ES" w:eastAsia="es-AR"/>
              </w:rPr>
              <w:t>8</w:t>
            </w:r>
            <w:r w:rsidRPr="00277035">
              <w:rPr>
                <w:rFonts w:eastAsia="Times New Roman" w:cs="Times New Roman"/>
                <w:sz w:val="20"/>
                <w:szCs w:val="20"/>
                <w:lang w:val="es-ES" w:eastAsia="es-AR"/>
              </w:rPr>
              <w:t>9</w:t>
            </w:r>
            <w:r>
              <w:rPr>
                <w:rFonts w:eastAsia="Times New Roman" w:cs="Times New Roman"/>
                <w:sz w:val="20"/>
                <w:szCs w:val="20"/>
                <w:lang w:val="es-ES" w:eastAsia="es-AR"/>
              </w:rPr>
              <w:t>4,18</w:t>
            </w:r>
            <w:r w:rsidRPr="00277035">
              <w:rPr>
                <w:rFonts w:eastAsia="Times New Roman" w:cs="Times New Roman"/>
                <w:sz w:val="20"/>
                <w:szCs w:val="20"/>
                <w:lang w:val="es-ES" w:eastAsia="es-AR"/>
              </w:rPr>
              <w:t>%</w:t>
            </w:r>
          </w:p>
        </w:tc>
        <w:tc>
          <w:tcPr>
            <w:tcW w:w="924" w:type="dxa"/>
            <w:tcBorders>
              <w:top w:val="single" w:sz="2" w:space="0" w:color="auto"/>
              <w:bottom w:val="single" w:sz="2" w:space="0" w:color="auto"/>
            </w:tcBorders>
            <w:vAlign w:val="center"/>
          </w:tcPr>
          <w:p w14:paraId="19672FDD"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10%</w:t>
            </w:r>
          </w:p>
        </w:tc>
      </w:tr>
      <w:tr w:rsidR="00C92C58" w:rsidRPr="00C174D5" w14:paraId="00E87DFF" w14:textId="77777777" w:rsidTr="00B15A9A">
        <w:trPr>
          <w:trHeight w:val="300"/>
          <w:jc w:val="center"/>
        </w:trPr>
        <w:tc>
          <w:tcPr>
            <w:tcW w:w="7303" w:type="dxa"/>
            <w:gridSpan w:val="5"/>
            <w:tcBorders>
              <w:top w:val="single" w:sz="2" w:space="0" w:color="auto"/>
              <w:bottom w:val="single" w:sz="2" w:space="0" w:color="auto"/>
            </w:tcBorders>
            <w:shd w:val="clear" w:color="auto" w:fill="auto"/>
            <w:noWrap/>
            <w:vAlign w:val="center"/>
          </w:tcPr>
          <w:p w14:paraId="7C23B520"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Costo de inversión</w:t>
            </w:r>
            <w:r w:rsidRPr="00C174D5">
              <w:rPr>
                <w:rStyle w:val="FootnoteReference"/>
                <w:rFonts w:eastAsia="Times New Roman" w:cs="Times New Roman"/>
                <w:sz w:val="20"/>
                <w:szCs w:val="20"/>
                <w:lang w:val="es-ES" w:eastAsia="es-AR"/>
              </w:rPr>
              <w:footnoteReference w:id="27"/>
            </w:r>
            <w:r w:rsidRPr="00C174D5">
              <w:rPr>
                <w:rFonts w:eastAsia="Times New Roman" w:cs="Times New Roman"/>
                <w:sz w:val="20"/>
                <w:szCs w:val="20"/>
                <w:lang w:val="es-ES" w:eastAsia="es-AR"/>
              </w:rPr>
              <w:t xml:space="preserve"> (base 9.1</w:t>
            </w:r>
            <w:r>
              <w:rPr>
                <w:rFonts w:eastAsia="Times New Roman" w:cs="Times New Roman"/>
                <w:sz w:val="20"/>
                <w:szCs w:val="20"/>
                <w:lang w:val="es-ES" w:eastAsia="es-AR"/>
              </w:rPr>
              <w:t>87</w:t>
            </w:r>
            <w:r w:rsidRPr="00C174D5">
              <w:rPr>
                <w:rFonts w:eastAsia="Times New Roman" w:cs="Times New Roman"/>
                <w:sz w:val="20"/>
                <w:szCs w:val="20"/>
                <w:lang w:val="es-ES" w:eastAsia="es-AR"/>
              </w:rPr>
              <w:t>.6</w:t>
            </w:r>
            <w:r>
              <w:rPr>
                <w:rFonts w:eastAsia="Times New Roman" w:cs="Times New Roman"/>
                <w:sz w:val="20"/>
                <w:szCs w:val="20"/>
                <w:lang w:val="es-ES" w:eastAsia="es-AR"/>
              </w:rPr>
              <w:t>21</w:t>
            </w:r>
            <w:r w:rsidRPr="00C174D5">
              <w:rPr>
                <w:rFonts w:eastAsia="Times New Roman" w:cs="Times New Roman"/>
                <w:sz w:val="20"/>
                <w:szCs w:val="20"/>
                <w:lang w:val="es-ES" w:eastAsia="es-AR"/>
              </w:rPr>
              <w:t>)</w:t>
            </w:r>
          </w:p>
        </w:tc>
      </w:tr>
      <w:tr w:rsidR="00C92C58" w:rsidRPr="00C174D5" w14:paraId="615AEC7F" w14:textId="77777777" w:rsidTr="00B15A9A">
        <w:trPr>
          <w:trHeight w:val="300"/>
          <w:jc w:val="center"/>
        </w:trPr>
        <w:tc>
          <w:tcPr>
            <w:tcW w:w="1701" w:type="dxa"/>
            <w:tcBorders>
              <w:top w:val="single" w:sz="2" w:space="0" w:color="auto"/>
            </w:tcBorders>
            <w:shd w:val="clear" w:color="auto" w:fill="auto"/>
            <w:noWrap/>
            <w:vAlign w:val="center"/>
          </w:tcPr>
          <w:p w14:paraId="72364C5E" w14:textId="77777777" w:rsidR="00C92C58" w:rsidRPr="00C174D5" w:rsidRDefault="00C92C58" w:rsidP="00B15A9A">
            <w:pPr>
              <w:keepNext/>
              <w:keepLines/>
              <w:spacing w:after="0" w:line="240" w:lineRule="auto"/>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281C9CD9"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7.809.478 (-</w:t>
            </w:r>
            <w:r>
              <w:rPr>
                <w:rFonts w:eastAsia="Times New Roman" w:cs="Times New Roman"/>
                <w:sz w:val="20"/>
                <w:szCs w:val="20"/>
                <w:lang w:val="es-ES" w:eastAsia="es-AR"/>
              </w:rPr>
              <w:t xml:space="preserve"> </w:t>
            </w:r>
            <w:r w:rsidRPr="00C174D5">
              <w:rPr>
                <w:rFonts w:eastAsia="Times New Roman" w:cs="Times New Roman"/>
                <w:sz w:val="20"/>
                <w:szCs w:val="20"/>
                <w:lang w:val="es-ES" w:eastAsia="es-AR"/>
              </w:rPr>
              <w:t>15%)</w:t>
            </w:r>
          </w:p>
        </w:tc>
        <w:tc>
          <w:tcPr>
            <w:tcW w:w="1411" w:type="dxa"/>
            <w:tcBorders>
              <w:top w:val="single" w:sz="2" w:space="0" w:color="auto"/>
            </w:tcBorders>
            <w:vAlign w:val="center"/>
          </w:tcPr>
          <w:p w14:paraId="6CBA0905"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1.</w:t>
            </w:r>
            <w:r w:rsidRPr="00426101">
              <w:rPr>
                <w:rFonts w:eastAsia="Times New Roman" w:cs="Times New Roman"/>
                <w:sz w:val="20"/>
                <w:szCs w:val="20"/>
                <w:lang w:val="es-ES" w:eastAsia="es-AR"/>
              </w:rPr>
              <w:t>680</w:t>
            </w:r>
            <w:r>
              <w:rPr>
                <w:rFonts w:eastAsia="Times New Roman" w:cs="Times New Roman"/>
                <w:sz w:val="20"/>
                <w:szCs w:val="20"/>
                <w:lang w:val="es-ES" w:eastAsia="es-AR"/>
              </w:rPr>
              <w:t>.</w:t>
            </w:r>
            <w:r w:rsidRPr="00426101">
              <w:rPr>
                <w:rFonts w:eastAsia="Times New Roman" w:cs="Times New Roman"/>
                <w:sz w:val="20"/>
                <w:szCs w:val="20"/>
                <w:lang w:val="es-ES" w:eastAsia="es-AR"/>
              </w:rPr>
              <w:t>962</w:t>
            </w:r>
          </w:p>
        </w:tc>
        <w:tc>
          <w:tcPr>
            <w:tcW w:w="858" w:type="dxa"/>
            <w:tcBorders>
              <w:top w:val="single" w:sz="2" w:space="0" w:color="auto"/>
            </w:tcBorders>
            <w:vAlign w:val="center"/>
          </w:tcPr>
          <w:p w14:paraId="37F8FD01"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277035">
              <w:rPr>
                <w:rFonts w:eastAsia="Times New Roman" w:cs="Times New Roman"/>
                <w:sz w:val="20"/>
                <w:szCs w:val="20"/>
                <w:lang w:val="es-ES" w:eastAsia="es-AR"/>
              </w:rPr>
              <w:t>3</w:t>
            </w:r>
            <w:r>
              <w:rPr>
                <w:rFonts w:eastAsia="Times New Roman" w:cs="Times New Roman"/>
                <w:sz w:val="20"/>
                <w:szCs w:val="20"/>
                <w:lang w:val="es-ES" w:eastAsia="es-AR"/>
              </w:rPr>
              <w:t>4</w:t>
            </w:r>
            <w:r w:rsidRPr="00277035">
              <w:rPr>
                <w:rFonts w:eastAsia="Times New Roman" w:cs="Times New Roman"/>
                <w:sz w:val="20"/>
                <w:szCs w:val="20"/>
                <w:lang w:val="es-ES" w:eastAsia="es-AR"/>
              </w:rPr>
              <w:t>2</w:t>
            </w:r>
            <w:r>
              <w:rPr>
                <w:rFonts w:eastAsia="Times New Roman" w:cs="Times New Roman"/>
                <w:sz w:val="20"/>
                <w:szCs w:val="20"/>
                <w:lang w:val="es-ES" w:eastAsia="es-AR"/>
              </w:rPr>
              <w:t>0,48</w:t>
            </w:r>
            <w:r w:rsidRPr="00277035">
              <w:rPr>
                <w:rFonts w:eastAsia="Times New Roman" w:cs="Times New Roman"/>
                <w:sz w:val="20"/>
                <w:szCs w:val="20"/>
                <w:lang w:val="es-ES" w:eastAsia="es-AR"/>
              </w:rPr>
              <w:t>%</w:t>
            </w:r>
            <w:r w:rsidRPr="00277035" w:rsidDel="007D4199">
              <w:rPr>
                <w:rFonts w:eastAsia="Times New Roman" w:cs="Times New Roman"/>
                <w:sz w:val="20"/>
                <w:szCs w:val="20"/>
                <w:lang w:val="es-ES" w:eastAsia="es-AR"/>
              </w:rPr>
              <w:t xml:space="preserve"> </w:t>
            </w:r>
          </w:p>
        </w:tc>
        <w:tc>
          <w:tcPr>
            <w:tcW w:w="924" w:type="dxa"/>
            <w:tcBorders>
              <w:top w:val="single" w:sz="2" w:space="0" w:color="auto"/>
            </w:tcBorders>
            <w:vAlign w:val="center"/>
          </w:tcPr>
          <w:p w14:paraId="660ED053"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15%</w:t>
            </w:r>
          </w:p>
        </w:tc>
      </w:tr>
      <w:tr w:rsidR="00C92C58" w:rsidRPr="00C174D5" w14:paraId="68CC1833" w14:textId="77777777" w:rsidTr="00B15A9A">
        <w:trPr>
          <w:trHeight w:val="300"/>
          <w:jc w:val="center"/>
        </w:trPr>
        <w:tc>
          <w:tcPr>
            <w:tcW w:w="1701" w:type="dxa"/>
            <w:tcBorders>
              <w:top w:val="single" w:sz="2" w:space="0" w:color="auto"/>
              <w:bottom w:val="single" w:sz="2" w:space="0" w:color="auto"/>
            </w:tcBorders>
            <w:shd w:val="clear" w:color="auto" w:fill="auto"/>
            <w:noWrap/>
            <w:vAlign w:val="center"/>
          </w:tcPr>
          <w:p w14:paraId="782FB700" w14:textId="77777777" w:rsidR="00C92C58" w:rsidRPr="00C174D5" w:rsidRDefault="00C92C58" w:rsidP="00B15A9A">
            <w:pPr>
              <w:keepNext/>
              <w:keepLines/>
              <w:spacing w:after="0" w:line="240" w:lineRule="auto"/>
              <w:rPr>
                <w:rFonts w:eastAsia="Times New Roman" w:cs="Times New Roman"/>
                <w:sz w:val="20"/>
                <w:szCs w:val="20"/>
                <w:lang w:val="es-ES" w:eastAsia="es-AR"/>
              </w:rPr>
            </w:pPr>
          </w:p>
        </w:tc>
        <w:tc>
          <w:tcPr>
            <w:tcW w:w="2409" w:type="dxa"/>
            <w:tcBorders>
              <w:top w:val="single" w:sz="2" w:space="0" w:color="auto"/>
              <w:bottom w:val="single" w:sz="2" w:space="0" w:color="auto"/>
            </w:tcBorders>
            <w:shd w:val="clear" w:color="auto" w:fill="auto"/>
            <w:vAlign w:val="center"/>
          </w:tcPr>
          <w:p w14:paraId="598C664C"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7D4199">
              <w:rPr>
                <w:rFonts w:eastAsia="Times New Roman" w:cs="Times New Roman"/>
                <w:sz w:val="20"/>
                <w:szCs w:val="20"/>
                <w:lang w:val="es-ES" w:eastAsia="es-AR"/>
              </w:rPr>
              <w:t>10</w:t>
            </w:r>
            <w:r>
              <w:rPr>
                <w:rFonts w:eastAsia="Times New Roman" w:cs="Times New Roman"/>
                <w:sz w:val="20"/>
                <w:szCs w:val="20"/>
                <w:lang w:val="es-ES" w:eastAsia="es-AR"/>
              </w:rPr>
              <w:t>.</w:t>
            </w:r>
            <w:r w:rsidRPr="007D4199">
              <w:rPr>
                <w:rFonts w:eastAsia="Times New Roman" w:cs="Times New Roman"/>
                <w:sz w:val="20"/>
                <w:szCs w:val="20"/>
                <w:lang w:val="es-ES" w:eastAsia="es-AR"/>
              </w:rPr>
              <w:t>565</w:t>
            </w:r>
            <w:r>
              <w:rPr>
                <w:rFonts w:eastAsia="Times New Roman" w:cs="Times New Roman"/>
                <w:sz w:val="20"/>
                <w:szCs w:val="20"/>
                <w:lang w:val="es-ES" w:eastAsia="es-AR"/>
              </w:rPr>
              <w:t>.</w:t>
            </w:r>
            <w:r w:rsidRPr="007D4199">
              <w:rPr>
                <w:rFonts w:eastAsia="Times New Roman" w:cs="Times New Roman"/>
                <w:sz w:val="20"/>
                <w:szCs w:val="20"/>
                <w:lang w:val="es-ES" w:eastAsia="es-AR"/>
              </w:rPr>
              <w:t xml:space="preserve">764 </w:t>
            </w:r>
            <w:r w:rsidRPr="00C174D5">
              <w:rPr>
                <w:rFonts w:eastAsia="Times New Roman" w:cs="Times New Roman"/>
                <w:sz w:val="20"/>
                <w:szCs w:val="20"/>
                <w:lang w:val="es-ES" w:eastAsia="es-AR"/>
              </w:rPr>
              <w:t>(</w:t>
            </w:r>
            <w:r>
              <w:rPr>
                <w:rFonts w:eastAsia="Times New Roman" w:cs="Times New Roman"/>
                <w:sz w:val="20"/>
                <w:szCs w:val="20"/>
                <w:lang w:val="es-ES" w:eastAsia="es-AR"/>
              </w:rPr>
              <w:t>+ 15</w:t>
            </w:r>
            <w:r w:rsidRPr="00C174D5">
              <w:rPr>
                <w:rFonts w:eastAsia="Times New Roman" w:cs="Times New Roman"/>
                <w:sz w:val="20"/>
                <w:szCs w:val="20"/>
                <w:lang w:val="es-ES" w:eastAsia="es-AR"/>
              </w:rPr>
              <w:t>%)</w:t>
            </w:r>
          </w:p>
        </w:tc>
        <w:tc>
          <w:tcPr>
            <w:tcW w:w="1411" w:type="dxa"/>
            <w:tcBorders>
              <w:top w:val="single" w:sz="2" w:space="0" w:color="auto"/>
              <w:bottom w:val="single" w:sz="2" w:space="0" w:color="auto"/>
            </w:tcBorders>
            <w:vAlign w:val="center"/>
          </w:tcPr>
          <w:p w14:paraId="7A3D4FA4"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426101">
              <w:rPr>
                <w:rFonts w:eastAsia="Times New Roman" w:cs="Times New Roman"/>
                <w:sz w:val="20"/>
                <w:szCs w:val="20"/>
                <w:lang w:val="es-ES" w:eastAsia="es-AR"/>
              </w:rPr>
              <w:t>-1</w:t>
            </w:r>
            <w:r>
              <w:rPr>
                <w:rFonts w:eastAsia="Times New Roman" w:cs="Times New Roman"/>
                <w:sz w:val="20"/>
                <w:szCs w:val="20"/>
                <w:lang w:val="es-ES" w:eastAsia="es-AR"/>
              </w:rPr>
              <w:t>.585.</w:t>
            </w:r>
            <w:r w:rsidRPr="00426101">
              <w:rPr>
                <w:rFonts w:eastAsia="Times New Roman" w:cs="Times New Roman"/>
                <w:sz w:val="20"/>
                <w:szCs w:val="20"/>
                <w:lang w:val="es-ES" w:eastAsia="es-AR"/>
              </w:rPr>
              <w:t>466</w:t>
            </w:r>
          </w:p>
        </w:tc>
        <w:tc>
          <w:tcPr>
            <w:tcW w:w="858" w:type="dxa"/>
            <w:tcBorders>
              <w:top w:val="single" w:sz="2" w:space="0" w:color="auto"/>
              <w:bottom w:val="single" w:sz="2" w:space="0" w:color="auto"/>
            </w:tcBorders>
            <w:vAlign w:val="center"/>
          </w:tcPr>
          <w:p w14:paraId="1D254536"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w:t>
            </w:r>
            <w:r w:rsidRPr="00277035">
              <w:rPr>
                <w:rFonts w:eastAsia="Times New Roman" w:cs="Times New Roman"/>
                <w:sz w:val="20"/>
                <w:szCs w:val="20"/>
                <w:lang w:val="es-ES" w:eastAsia="es-AR"/>
              </w:rPr>
              <w:t>3</w:t>
            </w:r>
            <w:r>
              <w:rPr>
                <w:rFonts w:eastAsia="Times New Roman" w:cs="Times New Roman"/>
                <w:sz w:val="20"/>
                <w:szCs w:val="20"/>
                <w:lang w:val="es-ES" w:eastAsia="es-AR"/>
              </w:rPr>
              <w:t>4</w:t>
            </w:r>
            <w:r w:rsidRPr="00277035">
              <w:rPr>
                <w:rFonts w:eastAsia="Times New Roman" w:cs="Times New Roman"/>
                <w:sz w:val="20"/>
                <w:szCs w:val="20"/>
                <w:lang w:val="es-ES" w:eastAsia="es-AR"/>
              </w:rPr>
              <w:t>2</w:t>
            </w:r>
            <w:r>
              <w:rPr>
                <w:rFonts w:eastAsia="Times New Roman" w:cs="Times New Roman"/>
                <w:sz w:val="20"/>
                <w:szCs w:val="20"/>
                <w:lang w:val="es-ES" w:eastAsia="es-AR"/>
              </w:rPr>
              <w:t>0,48</w:t>
            </w:r>
            <w:r w:rsidRPr="00277035">
              <w:rPr>
                <w:rFonts w:eastAsia="Times New Roman" w:cs="Times New Roman"/>
                <w:sz w:val="20"/>
                <w:szCs w:val="20"/>
                <w:lang w:val="es-ES" w:eastAsia="es-AR"/>
              </w:rPr>
              <w:t>%</w:t>
            </w:r>
          </w:p>
        </w:tc>
        <w:tc>
          <w:tcPr>
            <w:tcW w:w="924" w:type="dxa"/>
            <w:tcBorders>
              <w:top w:val="single" w:sz="2" w:space="0" w:color="auto"/>
              <w:bottom w:val="single" w:sz="2" w:space="0" w:color="auto"/>
            </w:tcBorders>
            <w:vAlign w:val="center"/>
          </w:tcPr>
          <w:p w14:paraId="39DCDB0B"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10%</w:t>
            </w:r>
          </w:p>
        </w:tc>
      </w:tr>
      <w:tr w:rsidR="00C92C58" w:rsidRPr="00C174D5" w14:paraId="5D0BE53B" w14:textId="77777777" w:rsidTr="00B15A9A">
        <w:trPr>
          <w:trHeight w:val="300"/>
          <w:jc w:val="center"/>
        </w:trPr>
        <w:tc>
          <w:tcPr>
            <w:tcW w:w="7303" w:type="dxa"/>
            <w:gridSpan w:val="5"/>
            <w:tcBorders>
              <w:top w:val="single" w:sz="2" w:space="0" w:color="auto"/>
            </w:tcBorders>
            <w:shd w:val="clear" w:color="auto" w:fill="auto"/>
            <w:noWrap/>
            <w:vAlign w:val="center"/>
          </w:tcPr>
          <w:p w14:paraId="78C9493F"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Pr>
                <w:rFonts w:eastAsia="Times New Roman" w:cs="Times New Roman"/>
                <w:sz w:val="20"/>
                <w:szCs w:val="20"/>
                <w:lang w:val="es-ES" w:eastAsia="es-AR"/>
              </w:rPr>
              <w:t xml:space="preserve">Índice de falla </w:t>
            </w:r>
            <w:r w:rsidRPr="00277035">
              <w:rPr>
                <w:rFonts w:eastAsia="Times New Roman" w:cs="Times New Roman"/>
                <w:sz w:val="20"/>
                <w:szCs w:val="20"/>
                <w:lang w:val="es-ES" w:eastAsia="es-AR"/>
              </w:rPr>
              <w:t>0</w:t>
            </w:r>
            <w:r>
              <w:rPr>
                <w:rFonts w:eastAsia="Times New Roman" w:cs="Times New Roman"/>
                <w:sz w:val="20"/>
                <w:szCs w:val="20"/>
                <w:lang w:val="es-ES" w:eastAsia="es-AR"/>
              </w:rPr>
              <w:t>,</w:t>
            </w:r>
            <w:r w:rsidRPr="00277035">
              <w:rPr>
                <w:rFonts w:eastAsia="Times New Roman" w:cs="Times New Roman"/>
                <w:sz w:val="20"/>
                <w:szCs w:val="20"/>
                <w:lang w:val="es-ES" w:eastAsia="es-AR"/>
              </w:rPr>
              <w:t>007455645</w:t>
            </w:r>
          </w:p>
        </w:tc>
      </w:tr>
      <w:tr w:rsidR="00C92C58" w:rsidRPr="00C174D5" w14:paraId="7AA6F4BB" w14:textId="77777777" w:rsidTr="00B15A9A">
        <w:trPr>
          <w:trHeight w:val="300"/>
          <w:jc w:val="center"/>
        </w:trPr>
        <w:tc>
          <w:tcPr>
            <w:tcW w:w="1701" w:type="dxa"/>
            <w:tcBorders>
              <w:top w:val="single" w:sz="2" w:space="0" w:color="auto"/>
              <w:bottom w:val="single" w:sz="2" w:space="0" w:color="auto"/>
            </w:tcBorders>
            <w:shd w:val="clear" w:color="auto" w:fill="auto"/>
            <w:noWrap/>
            <w:vAlign w:val="center"/>
          </w:tcPr>
          <w:p w14:paraId="2C65DF21"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p>
        </w:tc>
        <w:tc>
          <w:tcPr>
            <w:tcW w:w="2409" w:type="dxa"/>
            <w:tcBorders>
              <w:top w:val="single" w:sz="2" w:space="0" w:color="auto"/>
              <w:bottom w:val="single" w:sz="2" w:space="0" w:color="auto"/>
            </w:tcBorders>
            <w:shd w:val="clear" w:color="auto" w:fill="auto"/>
            <w:vAlign w:val="center"/>
          </w:tcPr>
          <w:p w14:paraId="5B2DAE88"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FB7D73">
              <w:rPr>
                <w:rFonts w:eastAsia="Times New Roman" w:cs="Times New Roman"/>
                <w:sz w:val="20"/>
                <w:szCs w:val="20"/>
                <w:lang w:val="es-ES" w:eastAsia="es-AR"/>
              </w:rPr>
              <w:t>0</w:t>
            </w:r>
            <w:r>
              <w:rPr>
                <w:rFonts w:eastAsia="Times New Roman" w:cs="Times New Roman"/>
                <w:sz w:val="20"/>
                <w:szCs w:val="20"/>
                <w:lang w:val="es-ES" w:eastAsia="es-AR"/>
              </w:rPr>
              <w:t>,</w:t>
            </w:r>
            <w:r w:rsidRPr="00FB7D73">
              <w:rPr>
                <w:rFonts w:eastAsia="Times New Roman" w:cs="Times New Roman"/>
                <w:sz w:val="20"/>
                <w:szCs w:val="20"/>
                <w:lang w:val="es-ES" w:eastAsia="es-AR"/>
              </w:rPr>
              <w:t>015432763</w:t>
            </w:r>
            <w:r w:rsidRPr="00FB7D73" w:rsidDel="00FB7D73">
              <w:rPr>
                <w:rFonts w:eastAsia="Times New Roman" w:cs="Times New Roman"/>
                <w:sz w:val="20"/>
                <w:szCs w:val="20"/>
                <w:lang w:val="es-ES" w:eastAsia="es-AR"/>
              </w:rPr>
              <w:t xml:space="preserve"> </w:t>
            </w:r>
            <w:r w:rsidRPr="00C174D5">
              <w:rPr>
                <w:rFonts w:eastAsia="Times New Roman" w:cs="Times New Roman"/>
                <w:sz w:val="20"/>
                <w:szCs w:val="20"/>
                <w:lang w:val="es-ES" w:eastAsia="es-AR"/>
              </w:rPr>
              <w:t>(+</w:t>
            </w:r>
            <w:r>
              <w:rPr>
                <w:rFonts w:eastAsia="Times New Roman" w:cs="Times New Roman"/>
                <w:sz w:val="20"/>
                <w:szCs w:val="20"/>
                <w:lang w:val="es-ES" w:eastAsia="es-AR"/>
              </w:rPr>
              <w:t>107</w:t>
            </w:r>
            <w:r w:rsidRPr="00C174D5">
              <w:rPr>
                <w:rFonts w:eastAsia="Times New Roman" w:cs="Times New Roman"/>
                <w:sz w:val="20"/>
                <w:szCs w:val="20"/>
                <w:lang w:val="es-ES" w:eastAsia="es-AR"/>
              </w:rPr>
              <w:t>%)</w:t>
            </w:r>
          </w:p>
        </w:tc>
        <w:tc>
          <w:tcPr>
            <w:tcW w:w="1411" w:type="dxa"/>
            <w:tcBorders>
              <w:top w:val="single" w:sz="2" w:space="0" w:color="auto"/>
              <w:bottom w:val="single" w:sz="2" w:space="0" w:color="auto"/>
            </w:tcBorders>
            <w:vAlign w:val="center"/>
          </w:tcPr>
          <w:p w14:paraId="028D846E"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FB7D73">
              <w:rPr>
                <w:rFonts w:eastAsia="Times New Roman" w:cs="Times New Roman"/>
                <w:sz w:val="20"/>
                <w:szCs w:val="20"/>
                <w:lang w:val="es-ES" w:eastAsia="es-AR"/>
              </w:rPr>
              <w:t>3,725,</w:t>
            </w:r>
            <w:r>
              <w:rPr>
                <w:rFonts w:eastAsia="Times New Roman" w:cs="Times New Roman"/>
                <w:sz w:val="20"/>
                <w:szCs w:val="20"/>
                <w:lang w:val="es-ES" w:eastAsia="es-AR"/>
              </w:rPr>
              <w:t>630</w:t>
            </w:r>
          </w:p>
        </w:tc>
        <w:tc>
          <w:tcPr>
            <w:tcW w:w="858" w:type="dxa"/>
            <w:tcBorders>
              <w:top w:val="single" w:sz="2" w:space="0" w:color="auto"/>
              <w:bottom w:val="single" w:sz="2" w:space="0" w:color="auto"/>
            </w:tcBorders>
            <w:vAlign w:val="center"/>
          </w:tcPr>
          <w:p w14:paraId="0A1E2E74"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FB7D73">
              <w:rPr>
                <w:rFonts w:eastAsia="Times New Roman" w:cs="Times New Roman"/>
                <w:sz w:val="20"/>
                <w:szCs w:val="20"/>
                <w:lang w:val="es-ES" w:eastAsia="es-AR"/>
              </w:rPr>
              <w:t>6</w:t>
            </w:r>
            <w:r>
              <w:rPr>
                <w:rFonts w:eastAsia="Times New Roman" w:cs="Times New Roman"/>
                <w:sz w:val="20"/>
                <w:szCs w:val="20"/>
                <w:lang w:val="es-ES" w:eastAsia="es-AR"/>
              </w:rPr>
              <w:t>760,24</w:t>
            </w:r>
            <w:r w:rsidRPr="00FB7D73">
              <w:rPr>
                <w:rFonts w:eastAsia="Times New Roman" w:cs="Times New Roman"/>
                <w:sz w:val="20"/>
                <w:szCs w:val="20"/>
                <w:lang w:val="es-ES" w:eastAsia="es-AR"/>
              </w:rPr>
              <w:t>%</w:t>
            </w:r>
          </w:p>
        </w:tc>
        <w:tc>
          <w:tcPr>
            <w:tcW w:w="924" w:type="dxa"/>
            <w:tcBorders>
              <w:top w:val="single" w:sz="2" w:space="0" w:color="auto"/>
              <w:bottom w:val="single" w:sz="2" w:space="0" w:color="auto"/>
            </w:tcBorders>
            <w:vAlign w:val="center"/>
          </w:tcPr>
          <w:p w14:paraId="42E8DE5A"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w:t>
            </w:r>
            <w:r>
              <w:rPr>
                <w:rFonts w:eastAsia="Times New Roman" w:cs="Times New Roman"/>
                <w:sz w:val="20"/>
                <w:szCs w:val="20"/>
                <w:lang w:val="es-ES" w:eastAsia="es-AR"/>
              </w:rPr>
              <w:t>7</w:t>
            </w:r>
            <w:r w:rsidRPr="00C174D5">
              <w:rPr>
                <w:rFonts w:eastAsia="Times New Roman" w:cs="Times New Roman"/>
                <w:sz w:val="20"/>
                <w:szCs w:val="20"/>
                <w:lang w:val="es-ES" w:eastAsia="es-AR"/>
              </w:rPr>
              <w:t>%</w:t>
            </w:r>
          </w:p>
        </w:tc>
      </w:tr>
      <w:tr w:rsidR="00C92C58" w:rsidRPr="00C174D5" w14:paraId="6AD350A7" w14:textId="77777777" w:rsidTr="00B15A9A">
        <w:trPr>
          <w:trHeight w:val="300"/>
          <w:jc w:val="center"/>
        </w:trPr>
        <w:tc>
          <w:tcPr>
            <w:tcW w:w="1701" w:type="dxa"/>
            <w:tcBorders>
              <w:top w:val="single" w:sz="2" w:space="0" w:color="auto"/>
            </w:tcBorders>
            <w:shd w:val="clear" w:color="auto" w:fill="auto"/>
            <w:noWrap/>
            <w:vAlign w:val="center"/>
          </w:tcPr>
          <w:p w14:paraId="720796E0"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283413A0" w14:textId="77777777" w:rsidR="00C92C58" w:rsidRPr="00FB7D73" w:rsidRDefault="00C92C58" w:rsidP="00B15A9A">
            <w:pPr>
              <w:keepNext/>
              <w:keepLines/>
              <w:spacing w:after="0" w:line="240" w:lineRule="auto"/>
              <w:jc w:val="left"/>
              <w:rPr>
                <w:rFonts w:eastAsia="Times New Roman" w:cs="Times New Roman"/>
                <w:sz w:val="20"/>
                <w:szCs w:val="20"/>
                <w:lang w:val="es-ES" w:eastAsia="es-AR"/>
              </w:rPr>
            </w:pPr>
            <w:r w:rsidRPr="003473C0">
              <w:rPr>
                <w:rFonts w:eastAsia="Times New Roman" w:cs="Times New Roman"/>
                <w:sz w:val="20"/>
                <w:szCs w:val="20"/>
                <w:lang w:val="es-ES" w:eastAsia="es-AR"/>
              </w:rPr>
              <w:t>0</w:t>
            </w:r>
            <w:r>
              <w:rPr>
                <w:rFonts w:eastAsia="Times New Roman" w:cs="Times New Roman"/>
                <w:sz w:val="20"/>
                <w:szCs w:val="20"/>
                <w:lang w:val="es-ES" w:eastAsia="es-AR"/>
              </w:rPr>
              <w:t>,</w:t>
            </w:r>
            <w:r w:rsidRPr="00853AF1">
              <w:rPr>
                <w:rFonts w:eastAsia="Times New Roman" w:cs="Times New Roman"/>
                <w:sz w:val="20"/>
                <w:szCs w:val="20"/>
                <w:lang w:val="es-ES" w:eastAsia="es-AR"/>
              </w:rPr>
              <w:t>007337644</w:t>
            </w:r>
            <w:r w:rsidRPr="00853AF1" w:rsidDel="00853AF1">
              <w:rPr>
                <w:rFonts w:eastAsia="Times New Roman" w:cs="Times New Roman"/>
                <w:sz w:val="20"/>
                <w:szCs w:val="20"/>
                <w:lang w:val="es-ES" w:eastAsia="es-AR"/>
              </w:rPr>
              <w:t xml:space="preserve"> </w:t>
            </w:r>
            <w:r>
              <w:rPr>
                <w:rFonts w:eastAsia="Times New Roman" w:cs="Times New Roman"/>
                <w:sz w:val="20"/>
                <w:szCs w:val="20"/>
                <w:lang w:val="es-ES" w:eastAsia="es-AR"/>
              </w:rPr>
              <w:t>(- 1,6%)</w:t>
            </w:r>
          </w:p>
        </w:tc>
        <w:tc>
          <w:tcPr>
            <w:tcW w:w="1411" w:type="dxa"/>
            <w:tcBorders>
              <w:top w:val="single" w:sz="2" w:space="0" w:color="auto"/>
            </w:tcBorders>
            <w:vAlign w:val="center"/>
          </w:tcPr>
          <w:p w14:paraId="70E1AB87" w14:textId="77777777" w:rsidR="00C92C58" w:rsidRPr="00FB7D73"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0</w:t>
            </w:r>
          </w:p>
        </w:tc>
        <w:tc>
          <w:tcPr>
            <w:tcW w:w="858" w:type="dxa"/>
            <w:tcBorders>
              <w:top w:val="single" w:sz="2" w:space="0" w:color="auto"/>
            </w:tcBorders>
            <w:vAlign w:val="center"/>
          </w:tcPr>
          <w:p w14:paraId="1C7E420C" w14:textId="77777777" w:rsidR="00C92C58" w:rsidRPr="00FB7D73"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w:t>
            </w:r>
          </w:p>
        </w:tc>
        <w:tc>
          <w:tcPr>
            <w:tcW w:w="924" w:type="dxa"/>
            <w:tcBorders>
              <w:top w:val="single" w:sz="2" w:space="0" w:color="auto"/>
            </w:tcBorders>
            <w:vAlign w:val="center"/>
          </w:tcPr>
          <w:p w14:paraId="32B87E55" w14:textId="77777777" w:rsidR="00C92C58" w:rsidRPr="00C174D5" w:rsidDel="00FB7D73"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12%</w:t>
            </w:r>
          </w:p>
        </w:tc>
      </w:tr>
    </w:tbl>
    <w:p w14:paraId="47CA0556" w14:textId="77777777" w:rsidR="00C92C58" w:rsidRPr="00C174D5" w:rsidRDefault="00C92C58" w:rsidP="00C92C58">
      <w:pPr>
        <w:ind w:left="1134" w:right="1134"/>
        <w:jc w:val="center"/>
        <w:rPr>
          <w:sz w:val="18"/>
          <w:lang w:val="es-ES"/>
        </w:rPr>
      </w:pPr>
      <w:r w:rsidRPr="00C174D5">
        <w:rPr>
          <w:sz w:val="18"/>
          <w:lang w:val="es-ES"/>
        </w:rPr>
        <w:t>Fuente: Elaboración propia en base a información de ENATREL provista por el BID</w:t>
      </w:r>
    </w:p>
    <w:p w14:paraId="2C3B9906" w14:textId="77777777" w:rsidR="00C92C58" w:rsidRPr="00C174D5" w:rsidRDefault="00C92C58" w:rsidP="00C92C58">
      <w:pPr>
        <w:rPr>
          <w:lang w:val="es-ES"/>
        </w:rPr>
      </w:pPr>
      <w:r w:rsidRPr="00C174D5">
        <w:rPr>
          <w:lang w:val="es-ES"/>
        </w:rPr>
        <w:t>En este caso</w:t>
      </w:r>
      <w:r>
        <w:rPr>
          <w:lang w:val="es-ES"/>
        </w:rPr>
        <w:t>, si bien</w:t>
      </w:r>
      <w:r w:rsidRPr="00C174D5">
        <w:rPr>
          <w:lang w:val="es-ES"/>
        </w:rPr>
        <w:t xml:space="preserve"> los resultados </w:t>
      </w:r>
      <w:r>
        <w:rPr>
          <w:lang w:val="es-ES"/>
        </w:rPr>
        <w:t>no son robustos a las sensibilidades efectuadas, los valores se encuentran en el límite. Si, en vez del supuesto conservador de un índice de falla igual al promedio registrado entre 2010 y 2015, se considera uno más en línea con la tendencia verificada en ese período de tiempo, la TIRE del proyecto aumenta al 17%.</w:t>
      </w:r>
    </w:p>
    <w:p w14:paraId="056A3A6C" w14:textId="77777777" w:rsidR="00C92C58" w:rsidRPr="00C174D5" w:rsidRDefault="00C92C58" w:rsidP="00C92C58">
      <w:pPr>
        <w:rPr>
          <w:lang w:val="es-ES"/>
        </w:rPr>
      </w:pPr>
      <w:r w:rsidRPr="00C174D5">
        <w:rPr>
          <w:lang w:val="es-ES"/>
        </w:rPr>
        <w:t>Finalmente, en relación al análisis financiero, el crecimiento anual real del valor del peaje para que el proyecto sea rentable es de más de 6</w:t>
      </w:r>
      <w:r>
        <w:rPr>
          <w:lang w:val="es-ES"/>
        </w:rPr>
        <w:t>1</w:t>
      </w:r>
      <w:r w:rsidRPr="00C174D5">
        <w:rPr>
          <w:lang w:val="es-ES"/>
        </w:rPr>
        <w:t xml:space="preserve">% (versus el 2% que se supone en la evaluación). </w:t>
      </w:r>
    </w:p>
    <w:p w14:paraId="57500066" w14:textId="77777777" w:rsidR="00C92C58" w:rsidRPr="00C174D5" w:rsidRDefault="00C92C58" w:rsidP="00C92C58">
      <w:pPr>
        <w:pStyle w:val="Heading1"/>
        <w:numPr>
          <w:ilvl w:val="1"/>
          <w:numId w:val="9"/>
        </w:numPr>
        <w:rPr>
          <w:lang w:val="es-ES"/>
        </w:rPr>
      </w:pPr>
      <w:bookmarkStart w:id="85" w:name="_Toc447546936"/>
      <w:bookmarkStart w:id="86" w:name="_Toc456353119"/>
      <w:bookmarkEnd w:id="34"/>
      <w:r w:rsidRPr="00C174D5">
        <w:rPr>
          <w:lang w:val="es-ES"/>
        </w:rPr>
        <w:lastRenderedPageBreak/>
        <w:t>Ampliación capacidad 4 SE</w:t>
      </w:r>
      <w:bookmarkEnd w:id="85"/>
      <w:r w:rsidRPr="00C174D5">
        <w:rPr>
          <w:rStyle w:val="FootnoteReference"/>
          <w:lang w:val="es-ES"/>
        </w:rPr>
        <w:footnoteReference w:id="28"/>
      </w:r>
      <w:bookmarkEnd w:id="86"/>
    </w:p>
    <w:p w14:paraId="332C279E" w14:textId="77777777" w:rsidR="00C92C58" w:rsidRPr="00C174D5" w:rsidRDefault="00C92C58" w:rsidP="00C92C58">
      <w:pPr>
        <w:rPr>
          <w:lang w:val="es-ES"/>
        </w:rPr>
      </w:pPr>
      <w:r w:rsidRPr="00C174D5">
        <w:rPr>
          <w:lang w:val="es-ES"/>
        </w:rPr>
        <w:t xml:space="preserve">Según el documento de ENATREL “Proyectos Priorizados para el Sistema Nacional de Transmisión”, de octubre de 2015, como consecuencia de fallas ocurridas en algunos transformadores del sistema de transmisión, ENATREL realizó un análisis de riesgo en los Transformadores instalados en el mismo. Este análisis consistió en la realización de diferentes pruebas, como mediciones en la parte activa del equipo, mediciones </w:t>
      </w:r>
      <w:proofErr w:type="spellStart"/>
      <w:r w:rsidRPr="00C174D5">
        <w:rPr>
          <w:lang w:val="es-ES"/>
        </w:rPr>
        <w:t>termográficas</w:t>
      </w:r>
      <w:proofErr w:type="spellEnd"/>
      <w:r w:rsidRPr="00C174D5">
        <w:rPr>
          <w:lang w:val="es-ES"/>
        </w:rPr>
        <w:t>, mediciones de la resistencia de aislamiento, mediciones en el aceite dieléctrico, concentración de gases disueltos, entre otras. Como resultado del análisis se concluyó que existen 23 transformadores en condición riesgosa de operación, siendo uno de los factores los años de uso que tienen estos equipos</w:t>
      </w:r>
      <w:r w:rsidRPr="00C174D5">
        <w:rPr>
          <w:rStyle w:val="FootnoteReference"/>
          <w:lang w:val="es-ES"/>
        </w:rPr>
        <w:footnoteReference w:id="29"/>
      </w:r>
      <w:r w:rsidRPr="00C174D5">
        <w:rPr>
          <w:lang w:val="es-ES"/>
        </w:rPr>
        <w:t>. La antigüedad de estos equipos dificulta la disponibilidad y adquisición de repuestos para su reparación, ya que en muchos casos los modelos han sido descontinuados por los fabricantes.</w:t>
      </w:r>
    </w:p>
    <w:p w14:paraId="3FF894B7" w14:textId="77777777" w:rsidR="00C92C58" w:rsidRPr="00C174D5" w:rsidRDefault="00C92C58" w:rsidP="00C92C58">
      <w:pPr>
        <w:rPr>
          <w:lang w:val="es-ES"/>
        </w:rPr>
      </w:pPr>
      <w:r w:rsidRPr="00C174D5">
        <w:rPr>
          <w:lang w:val="es-ES"/>
        </w:rPr>
        <w:t xml:space="preserve">Algunos transformadores (como por ejemplo los de Catarina y </w:t>
      </w:r>
      <w:proofErr w:type="spellStart"/>
      <w:r w:rsidRPr="00C174D5">
        <w:rPr>
          <w:lang w:val="es-ES"/>
        </w:rPr>
        <w:t>Diriamba</w:t>
      </w:r>
      <w:proofErr w:type="spellEnd"/>
      <w:r w:rsidRPr="00C174D5">
        <w:rPr>
          <w:lang w:val="es-ES"/>
        </w:rPr>
        <w:t xml:space="preserve"> presentan, además, sobrecarga (se encuentran cargados a más del 90% de su capacidad nominal), provocando esto considerables pérdidas de transformación y disminuyendo la eficiencia de estos equipos.</w:t>
      </w:r>
    </w:p>
    <w:p w14:paraId="3E6E12C9" w14:textId="77777777" w:rsidR="00C92C58" w:rsidRPr="00C174D5" w:rsidRDefault="00C92C58" w:rsidP="00C92C58">
      <w:pPr>
        <w:rPr>
          <w:lang w:val="es-ES"/>
        </w:rPr>
      </w:pPr>
      <w:r w:rsidRPr="00C174D5">
        <w:rPr>
          <w:lang w:val="es-ES"/>
        </w:rPr>
        <w:t xml:space="preserve">Dada esta situación, el proyecto analizado en esta sección trata del reemplazo de 4 equipos en las subestaciones que tienen transformadores en riesgo de sobrecarga e inestabilidad por obsoletos, para satisfacer la demanda de electricidad y su crecimiento en el largo plazo de forma confiable. Específicamente, los objetivos son mejorar la confiabilidad y calidad del suministro de energía a los consumidores de las subestaciones de </w:t>
      </w:r>
      <w:proofErr w:type="spellStart"/>
      <w:r w:rsidRPr="00C174D5">
        <w:rPr>
          <w:lang w:val="es-ES"/>
        </w:rPr>
        <w:t>Acahualinca</w:t>
      </w:r>
      <w:proofErr w:type="spellEnd"/>
      <w:r w:rsidRPr="00C174D5">
        <w:rPr>
          <w:lang w:val="es-ES"/>
        </w:rPr>
        <w:t xml:space="preserve">, Catarina, </w:t>
      </w:r>
      <w:proofErr w:type="spellStart"/>
      <w:r w:rsidRPr="00C174D5">
        <w:rPr>
          <w:lang w:val="es-ES"/>
        </w:rPr>
        <w:t>Diriamba</w:t>
      </w:r>
      <w:proofErr w:type="spellEnd"/>
      <w:r w:rsidRPr="00C174D5">
        <w:rPr>
          <w:lang w:val="es-ES"/>
        </w:rPr>
        <w:t xml:space="preserve"> y San Benito; crear la infraestructura necesaria para satisfacer el aumento de la demanda en la zona y para brindar un servicio confiable y de calidad a los futuros usuarios; y reducir las pérdidas de transmisión en el sistema de transmisión.</w:t>
      </w:r>
    </w:p>
    <w:p w14:paraId="1FD38ED9" w14:textId="77777777" w:rsidR="00C92C58" w:rsidRPr="00C174D5" w:rsidRDefault="00C92C58" w:rsidP="00C92C58">
      <w:pPr>
        <w:rPr>
          <w:lang w:val="es-ES"/>
        </w:rPr>
      </w:pPr>
      <w:r w:rsidRPr="00C174D5">
        <w:rPr>
          <w:lang w:val="es-ES"/>
        </w:rPr>
        <w:t xml:space="preserve">Si bien el análisis de la ampliación de estas 4 SE </w:t>
      </w:r>
      <w:proofErr w:type="spellStart"/>
      <w:r w:rsidRPr="00C174D5">
        <w:rPr>
          <w:lang w:val="es-ES"/>
        </w:rPr>
        <w:t>se</w:t>
      </w:r>
      <w:proofErr w:type="spellEnd"/>
      <w:r w:rsidRPr="00C174D5">
        <w:rPr>
          <w:lang w:val="es-ES"/>
        </w:rPr>
        <w:t xml:space="preserve"> realizará de forma separada, existen rasgos comunes a todos los proyectos. Nuevamente, en todos se plantean dos escenarios. Uno “con” proyecto, en el cual es posible abastecer a la demanda. Esta demanda puede consistir en la demanda existente (y su crecimiento), como en el caso de la SE San Benito y SE </w:t>
      </w:r>
      <w:proofErr w:type="spellStart"/>
      <w:r w:rsidRPr="00C174D5">
        <w:rPr>
          <w:lang w:val="es-ES"/>
        </w:rPr>
        <w:t>Acahualinca</w:t>
      </w:r>
      <w:proofErr w:type="spellEnd"/>
      <w:r w:rsidRPr="00C174D5">
        <w:rPr>
          <w:lang w:val="es-ES"/>
        </w:rPr>
        <w:t xml:space="preserve">, o también puede incluir PER, como en el caso de la SE </w:t>
      </w:r>
      <w:proofErr w:type="spellStart"/>
      <w:r w:rsidRPr="00C174D5">
        <w:rPr>
          <w:lang w:val="es-ES"/>
        </w:rPr>
        <w:t>Diriamba</w:t>
      </w:r>
      <w:proofErr w:type="spellEnd"/>
      <w:r w:rsidRPr="00C174D5">
        <w:rPr>
          <w:lang w:val="es-ES"/>
        </w:rPr>
        <w:t xml:space="preserve"> o la SE Catarina. El escenario “sin” proyecto, por su parte, </w:t>
      </w:r>
      <w:r>
        <w:rPr>
          <w:lang w:val="es-ES"/>
        </w:rPr>
        <w:lastRenderedPageBreak/>
        <w:t xml:space="preserve">implica </w:t>
      </w:r>
      <w:r w:rsidRPr="00C174D5">
        <w:rPr>
          <w:lang w:val="es-ES"/>
        </w:rPr>
        <w:t xml:space="preserve">que sólo es posible abastecer </w:t>
      </w:r>
      <w:r>
        <w:rPr>
          <w:lang w:val="es-ES"/>
        </w:rPr>
        <w:t xml:space="preserve">parte de </w:t>
      </w:r>
      <w:r w:rsidRPr="00C174D5">
        <w:rPr>
          <w:lang w:val="es-ES"/>
        </w:rPr>
        <w:t>la demanda de clientes existentes</w:t>
      </w:r>
      <w:r>
        <w:rPr>
          <w:lang w:val="es-ES"/>
        </w:rPr>
        <w:t>. A</w:t>
      </w:r>
      <w:r w:rsidRPr="00C174D5">
        <w:rPr>
          <w:lang w:val="es-ES"/>
        </w:rPr>
        <w:t xml:space="preserve">demás, se puede tener el escenario en el que no es posible incorporar los PER (SE </w:t>
      </w:r>
      <w:proofErr w:type="spellStart"/>
      <w:r w:rsidRPr="00C174D5">
        <w:rPr>
          <w:lang w:val="es-ES"/>
        </w:rPr>
        <w:t>Acahualinca</w:t>
      </w:r>
      <w:proofErr w:type="spellEnd"/>
      <w:r w:rsidRPr="00C174D5">
        <w:rPr>
          <w:lang w:val="es-ES"/>
        </w:rPr>
        <w:t xml:space="preserve">, la SE </w:t>
      </w:r>
      <w:proofErr w:type="spellStart"/>
      <w:r w:rsidRPr="00C174D5">
        <w:rPr>
          <w:lang w:val="es-ES"/>
        </w:rPr>
        <w:t>Diriamba</w:t>
      </w:r>
      <w:proofErr w:type="spellEnd"/>
      <w:r w:rsidRPr="00C174D5">
        <w:rPr>
          <w:lang w:val="es-ES"/>
        </w:rPr>
        <w:t xml:space="preserve">) o que pueden incorporarse pero no es posible abastecer el crecimiento en la demanda de estos nuevos clientes (SE Catarina). </w:t>
      </w:r>
    </w:p>
    <w:p w14:paraId="121BEEE8" w14:textId="77777777" w:rsidR="00C92C58" w:rsidRPr="00C174D5" w:rsidRDefault="00C92C58" w:rsidP="00C92C58">
      <w:pPr>
        <w:pStyle w:val="Heading1"/>
        <w:pageBreakBefore w:val="0"/>
        <w:numPr>
          <w:ilvl w:val="2"/>
          <w:numId w:val="9"/>
        </w:numPr>
        <w:ind w:left="1225" w:hanging="505"/>
        <w:rPr>
          <w:lang w:val="es-ES"/>
        </w:rPr>
      </w:pPr>
      <w:bookmarkStart w:id="87" w:name="_Toc447546937"/>
      <w:bookmarkStart w:id="88" w:name="_Toc456353120"/>
      <w:r w:rsidRPr="00C174D5">
        <w:rPr>
          <w:lang w:val="es-ES"/>
        </w:rPr>
        <w:t xml:space="preserve">SE </w:t>
      </w:r>
      <w:proofErr w:type="spellStart"/>
      <w:r w:rsidRPr="00C174D5">
        <w:rPr>
          <w:lang w:val="es-ES"/>
        </w:rPr>
        <w:t>Acahualinca</w:t>
      </w:r>
      <w:bookmarkEnd w:id="87"/>
      <w:bookmarkEnd w:id="88"/>
      <w:proofErr w:type="spellEnd"/>
    </w:p>
    <w:p w14:paraId="54A8E61D" w14:textId="77777777" w:rsidR="00C92C58" w:rsidRPr="00C174D5" w:rsidRDefault="00C92C58" w:rsidP="00C92C58">
      <w:pPr>
        <w:rPr>
          <w:lang w:val="es-ES"/>
        </w:rPr>
      </w:pPr>
      <w:r w:rsidRPr="00C174D5">
        <w:rPr>
          <w:lang w:val="es-ES"/>
        </w:rPr>
        <w:t xml:space="preserve">Este proyecto consiste en la instalación de un transformador de 40 MVA de una Bahía de transformación 138/13.8 KV (doble barra), de 7 celdas </w:t>
      </w:r>
      <w:proofErr w:type="spellStart"/>
      <w:r w:rsidRPr="00C174D5">
        <w:rPr>
          <w:lang w:val="es-ES"/>
        </w:rPr>
        <w:t>Metaclad</w:t>
      </w:r>
      <w:proofErr w:type="spellEnd"/>
      <w:r w:rsidRPr="00C174D5">
        <w:rPr>
          <w:lang w:val="es-ES"/>
        </w:rPr>
        <w:t xml:space="preserve"> (que incluye 4 salidas de distribución con sus interruptores, la celda de entrada del transformador de potencia con su interruptor, la celda para equipos de medición y la celda para el transformador de servicios propios); además de todas las obras grises de las nuevas obras (Movimiento de Tierra, Calles, andenes, Fundaciones de Equipos, Bordillos, drenajes y capa de piedrín en la nueva bahía de transformación).</w:t>
      </w:r>
    </w:p>
    <w:p w14:paraId="6E90CA56" w14:textId="77777777" w:rsidR="00C92C58" w:rsidRDefault="00C92C58" w:rsidP="00C92C58">
      <w:pPr>
        <w:rPr>
          <w:lang w:val="es-ES"/>
        </w:rPr>
      </w:pPr>
      <w:r w:rsidRPr="00C174D5">
        <w:rPr>
          <w:lang w:val="es-ES"/>
        </w:rPr>
        <w:t xml:space="preserve">Para el análisis de la SE </w:t>
      </w:r>
      <w:proofErr w:type="spellStart"/>
      <w:r w:rsidRPr="00C174D5">
        <w:rPr>
          <w:lang w:val="es-ES"/>
        </w:rPr>
        <w:t>Acahualinca</w:t>
      </w:r>
      <w:proofErr w:type="spellEnd"/>
      <w:r w:rsidRPr="00C174D5">
        <w:rPr>
          <w:lang w:val="es-ES"/>
        </w:rPr>
        <w:t xml:space="preserve">, en el escenario “sin” proyecto se supone que </w:t>
      </w:r>
      <w:r>
        <w:rPr>
          <w:lang w:val="es-ES"/>
        </w:rPr>
        <w:t>la demanda de clientes existentes que es posible abastecer crece a una tasa menor a la verificada en presencia de proyecto durante los primeros 10 años del mismo y luego permanece constante en niveles de 2027</w:t>
      </w:r>
      <w:r w:rsidRPr="00C174D5">
        <w:rPr>
          <w:lang w:val="es-ES"/>
        </w:rPr>
        <w:t xml:space="preserve"> (2</w:t>
      </w:r>
      <w:r>
        <w:rPr>
          <w:lang w:val="es-ES"/>
        </w:rPr>
        <w:t>8</w:t>
      </w:r>
      <w:r w:rsidRPr="00C174D5">
        <w:rPr>
          <w:lang w:val="es-ES"/>
        </w:rPr>
        <w:t xml:space="preserve"> MW), mientras que en el escenario “con” proyecto sí es posible abastecerlo. </w:t>
      </w:r>
    </w:p>
    <w:p w14:paraId="43AF4359" w14:textId="77777777" w:rsidR="00C92C58" w:rsidRDefault="00C92C58" w:rsidP="00C92C58">
      <w:pPr>
        <w:rPr>
          <w:lang w:val="es-ES"/>
        </w:rPr>
      </w:pPr>
      <w:r>
        <w:rPr>
          <w:lang w:val="es-ES"/>
        </w:rPr>
        <w:t>De acuerdo con las proyecciones provistas por ENATREL, y la tasa de crecimiento considerada del 3,6% anual, la demanda potencial (la cual es completamente abastecida en presencia de proyecto) en esta SE parte de un valor de 26 MW en 2017 llegando a cerca de 53 MW 20 años después.</w:t>
      </w:r>
    </w:p>
    <w:p w14:paraId="35B77BC8" w14:textId="77777777" w:rsidR="00C92C58" w:rsidRDefault="00C92C58" w:rsidP="00C92C58">
      <w:pPr>
        <w:keepNext/>
        <w:keepLines/>
        <w:spacing w:after="120"/>
        <w:jc w:val="center"/>
        <w:rPr>
          <w:b/>
          <w:sz w:val="20"/>
          <w:lang w:val="es-ES"/>
        </w:rPr>
      </w:pPr>
      <w:bookmarkStart w:id="89" w:name="_Toc456353209"/>
      <w:r w:rsidRPr="00C174D5">
        <w:rPr>
          <w:b/>
          <w:sz w:val="20"/>
          <w:lang w:val="es-ES"/>
        </w:rPr>
        <w:t xml:space="preserve">Gráfico </w:t>
      </w:r>
      <w:r w:rsidRPr="00C174D5">
        <w:rPr>
          <w:b/>
          <w:sz w:val="20"/>
          <w:lang w:val="es-ES"/>
        </w:rPr>
        <w:fldChar w:fldCharType="begin"/>
      </w:r>
      <w:r w:rsidRPr="00C174D5">
        <w:rPr>
          <w:b/>
          <w:sz w:val="20"/>
          <w:lang w:val="es-ES"/>
        </w:rPr>
        <w:instrText xml:space="preserve"> SEQ Gráfico \* ARABIC </w:instrText>
      </w:r>
      <w:r w:rsidRPr="00C174D5">
        <w:rPr>
          <w:b/>
          <w:sz w:val="20"/>
          <w:lang w:val="es-ES"/>
        </w:rPr>
        <w:fldChar w:fldCharType="separate"/>
      </w:r>
      <w:r>
        <w:rPr>
          <w:b/>
          <w:noProof/>
          <w:sz w:val="20"/>
          <w:lang w:val="es-ES"/>
        </w:rPr>
        <w:t>3</w:t>
      </w:r>
      <w:r w:rsidRPr="00C174D5">
        <w:rPr>
          <w:b/>
          <w:sz w:val="20"/>
          <w:lang w:val="es-ES"/>
        </w:rPr>
        <w:fldChar w:fldCharType="end"/>
      </w:r>
      <w:r w:rsidRPr="00C174D5">
        <w:rPr>
          <w:b/>
          <w:sz w:val="20"/>
          <w:lang w:val="es-ES"/>
        </w:rPr>
        <w:t xml:space="preserve">: Demanda </w:t>
      </w:r>
      <w:r>
        <w:rPr>
          <w:b/>
          <w:sz w:val="20"/>
          <w:lang w:val="es-ES"/>
        </w:rPr>
        <w:t>considerada proyecto</w:t>
      </w:r>
      <w:r w:rsidRPr="00C174D5">
        <w:rPr>
          <w:b/>
          <w:sz w:val="20"/>
          <w:lang w:val="es-ES"/>
        </w:rPr>
        <w:t xml:space="preserve"> </w:t>
      </w:r>
      <w:r>
        <w:rPr>
          <w:b/>
          <w:sz w:val="20"/>
          <w:lang w:val="es-ES"/>
        </w:rPr>
        <w:t xml:space="preserve">SE </w:t>
      </w:r>
      <w:proofErr w:type="spellStart"/>
      <w:r>
        <w:rPr>
          <w:b/>
          <w:sz w:val="20"/>
          <w:lang w:val="es-ES"/>
        </w:rPr>
        <w:t>Acahualinca</w:t>
      </w:r>
      <w:proofErr w:type="spellEnd"/>
      <w:r>
        <w:rPr>
          <w:b/>
          <w:sz w:val="20"/>
          <w:lang w:val="es-ES"/>
        </w:rPr>
        <w:t xml:space="preserve"> </w:t>
      </w:r>
      <w:r w:rsidRPr="00C174D5">
        <w:rPr>
          <w:b/>
          <w:sz w:val="20"/>
          <w:lang w:val="es-ES"/>
        </w:rPr>
        <w:t>(MW)</w:t>
      </w:r>
      <w:bookmarkEnd w:id="89"/>
    </w:p>
    <w:p w14:paraId="5B148850" w14:textId="77777777" w:rsidR="00C92C58" w:rsidRPr="00E73DA6" w:rsidRDefault="00C92C58" w:rsidP="00C92C58">
      <w:pPr>
        <w:spacing w:after="0"/>
        <w:jc w:val="center"/>
        <w:rPr>
          <w:noProof/>
          <w:lang w:val="es-AR" w:eastAsia="es-AR"/>
        </w:rPr>
      </w:pPr>
      <w:r w:rsidRPr="00E73DA6">
        <w:rPr>
          <w:noProof/>
          <w:lang w:val="es-CO" w:eastAsia="es-CO"/>
        </w:rPr>
        <w:drawing>
          <wp:inline distT="0" distB="0" distL="0" distR="0" wp14:anchorId="5197AE74" wp14:editId="430C7D12">
            <wp:extent cx="3600000" cy="2410799"/>
            <wp:effectExtent l="0" t="0" r="63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00000" cy="2410799"/>
                    </a:xfrm>
                    <a:prstGeom prst="rect">
                      <a:avLst/>
                    </a:prstGeom>
                    <a:noFill/>
                  </pic:spPr>
                </pic:pic>
              </a:graphicData>
            </a:graphic>
          </wp:inline>
        </w:drawing>
      </w:r>
    </w:p>
    <w:p w14:paraId="3DBE4B0A" w14:textId="77777777" w:rsidR="00C92C58" w:rsidRDefault="00C92C58" w:rsidP="00C92C58">
      <w:pPr>
        <w:ind w:left="1134" w:right="1134"/>
        <w:jc w:val="center"/>
        <w:rPr>
          <w:sz w:val="18"/>
          <w:lang w:val="es-ES"/>
        </w:rPr>
      </w:pPr>
      <w:r w:rsidRPr="00C174D5">
        <w:rPr>
          <w:sz w:val="18"/>
          <w:lang w:val="es-ES"/>
        </w:rPr>
        <w:t>Fuente: Elaboración propia en base a información</w:t>
      </w:r>
      <w:r>
        <w:rPr>
          <w:sz w:val="18"/>
          <w:lang w:val="es-ES"/>
        </w:rPr>
        <w:t xml:space="preserve"> de ENATREL provista por el BID (archivo </w:t>
      </w:r>
      <w:r w:rsidRPr="00ED6F00">
        <w:rPr>
          <w:sz w:val="18"/>
          <w:lang w:val="es-ES"/>
        </w:rPr>
        <w:t>FLUJOS DE ENERGÍA_SE ACAHUALINCA</w:t>
      </w:r>
      <w:r w:rsidRPr="00BA436C">
        <w:rPr>
          <w:sz w:val="18"/>
          <w:lang w:val="es-ES"/>
        </w:rPr>
        <w:t>.xlsx</w:t>
      </w:r>
      <w:r>
        <w:rPr>
          <w:sz w:val="18"/>
          <w:lang w:val="es-ES"/>
        </w:rPr>
        <w:t>)</w:t>
      </w:r>
    </w:p>
    <w:p w14:paraId="4851A0A4" w14:textId="77777777" w:rsidR="00C92C58" w:rsidRPr="00ED6F00" w:rsidRDefault="00C92C58" w:rsidP="00C92C58">
      <w:pPr>
        <w:rPr>
          <w:lang w:val="es-ES"/>
        </w:rPr>
      </w:pPr>
      <w:r w:rsidRPr="00ED6F00">
        <w:rPr>
          <w:lang w:val="es-ES"/>
        </w:rPr>
        <w:t>Esta demanda está compuesta totalmente por clientes existentes, puesto que en este proyecto no se contemplan proyectos de energización rural.</w:t>
      </w:r>
    </w:p>
    <w:p w14:paraId="7E8C7D87" w14:textId="77777777" w:rsidR="00C92C58" w:rsidRPr="00C174D5" w:rsidRDefault="00C92C58" w:rsidP="00C92C58">
      <w:pPr>
        <w:pStyle w:val="Heading2"/>
        <w:rPr>
          <w:lang w:val="es-ES"/>
        </w:rPr>
      </w:pPr>
      <w:bookmarkStart w:id="90" w:name="_Toc447546938"/>
      <w:bookmarkStart w:id="91" w:name="_Toc456353121"/>
      <w:r w:rsidRPr="00C174D5">
        <w:rPr>
          <w:lang w:val="es-ES"/>
        </w:rPr>
        <w:lastRenderedPageBreak/>
        <w:t xml:space="preserve">SE </w:t>
      </w:r>
      <w:proofErr w:type="spellStart"/>
      <w:r w:rsidRPr="00C174D5">
        <w:rPr>
          <w:lang w:val="es-ES"/>
        </w:rPr>
        <w:t>Acahualinca</w:t>
      </w:r>
      <w:proofErr w:type="spellEnd"/>
      <w:r w:rsidRPr="00C174D5">
        <w:rPr>
          <w:lang w:val="es-ES"/>
        </w:rPr>
        <w:t xml:space="preserve"> - Supuestos</w:t>
      </w:r>
      <w:bookmarkEnd w:id="90"/>
      <w:bookmarkEnd w:id="91"/>
    </w:p>
    <w:p w14:paraId="6EB8AEF5" w14:textId="77777777" w:rsidR="00C92C58" w:rsidRPr="00C174D5" w:rsidRDefault="00C92C58" w:rsidP="00C92C58">
      <w:pPr>
        <w:rPr>
          <w:lang w:val="es-ES"/>
        </w:rPr>
      </w:pPr>
      <w:r w:rsidRPr="00C174D5">
        <w:rPr>
          <w:lang w:val="es-ES"/>
        </w:rPr>
        <w:t xml:space="preserve">En la evaluación de este proyecto de ampliación de capacidad se han utilizado los supuestos de la </w:t>
      </w:r>
      <w:r w:rsidRPr="00C174D5">
        <w:rPr>
          <w:lang w:val="es-ES"/>
        </w:rPr>
        <w:fldChar w:fldCharType="begin"/>
      </w:r>
      <w:r w:rsidRPr="00C174D5">
        <w:rPr>
          <w:lang w:val="es-ES"/>
        </w:rPr>
        <w:instrText xml:space="preserve"> REF _Ref450035984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15</w:t>
      </w:r>
      <w:r w:rsidRPr="00C174D5">
        <w:rPr>
          <w:lang w:val="es-ES"/>
        </w:rPr>
        <w:fldChar w:fldCharType="end"/>
      </w:r>
      <w:r w:rsidRPr="00C174D5">
        <w:rPr>
          <w:lang w:val="es-ES"/>
        </w:rPr>
        <w:t xml:space="preserve"> (además de los detallados en la </w:t>
      </w:r>
      <w:r w:rsidRPr="00C174D5">
        <w:rPr>
          <w:lang w:val="es-ES"/>
        </w:rPr>
        <w:fldChar w:fldCharType="begin"/>
      </w:r>
      <w:r w:rsidRPr="00C174D5">
        <w:rPr>
          <w:lang w:val="es-ES"/>
        </w:rPr>
        <w:instrText xml:space="preserve"> REF _Ref450036258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3</w:t>
      </w:r>
      <w:r w:rsidRPr="00C174D5">
        <w:rPr>
          <w:lang w:val="es-ES"/>
        </w:rPr>
        <w:fldChar w:fldCharType="end"/>
      </w:r>
      <w:r w:rsidRPr="00C174D5">
        <w:rPr>
          <w:lang w:val="es-ES"/>
        </w:rPr>
        <w:t xml:space="preserve"> y la </w:t>
      </w:r>
      <w:r w:rsidRPr="00C174D5">
        <w:rPr>
          <w:lang w:val="es-ES"/>
        </w:rPr>
        <w:fldChar w:fldCharType="begin"/>
      </w:r>
      <w:r w:rsidRPr="00C174D5">
        <w:rPr>
          <w:lang w:val="es-ES"/>
        </w:rPr>
        <w:instrText xml:space="preserve"> REF _Ref450036242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4</w:t>
      </w:r>
      <w:r w:rsidRPr="00C174D5">
        <w:rPr>
          <w:lang w:val="es-ES"/>
        </w:rPr>
        <w:fldChar w:fldCharType="end"/>
      </w:r>
      <w:r w:rsidRPr="00C174D5">
        <w:rPr>
          <w:lang w:val="es-ES"/>
        </w:rPr>
        <w:t>).</w:t>
      </w:r>
    </w:p>
    <w:p w14:paraId="3E1CE411" w14:textId="77777777" w:rsidR="00C92C58" w:rsidRPr="00C174D5" w:rsidRDefault="00C92C58" w:rsidP="00C92C58">
      <w:pPr>
        <w:keepNext/>
        <w:keepLines/>
        <w:spacing w:after="120"/>
        <w:jc w:val="center"/>
        <w:rPr>
          <w:b/>
          <w:sz w:val="20"/>
          <w:lang w:val="es-ES"/>
        </w:rPr>
      </w:pPr>
      <w:bookmarkStart w:id="92" w:name="_Ref450035984"/>
      <w:bookmarkStart w:id="93" w:name="_Toc447546974"/>
      <w:bookmarkStart w:id="94" w:name="_Toc456353171"/>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15</w:t>
      </w:r>
      <w:r w:rsidRPr="00C174D5">
        <w:rPr>
          <w:b/>
          <w:sz w:val="20"/>
          <w:lang w:val="es-ES"/>
        </w:rPr>
        <w:fldChar w:fldCharType="end"/>
      </w:r>
      <w:bookmarkEnd w:id="92"/>
      <w:r w:rsidRPr="00C174D5">
        <w:rPr>
          <w:b/>
          <w:sz w:val="20"/>
          <w:lang w:val="es-ES"/>
        </w:rPr>
        <w:t xml:space="preserve">: Supuestos de modelización particulares – SE </w:t>
      </w:r>
      <w:proofErr w:type="spellStart"/>
      <w:r w:rsidRPr="00C174D5">
        <w:rPr>
          <w:b/>
          <w:sz w:val="20"/>
          <w:lang w:val="es-ES"/>
        </w:rPr>
        <w:t>Acahualinca</w:t>
      </w:r>
      <w:bookmarkEnd w:id="93"/>
      <w:bookmarkEnd w:id="94"/>
      <w:proofErr w:type="spellEnd"/>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52"/>
        <w:gridCol w:w="1249"/>
      </w:tblGrid>
      <w:tr w:rsidR="00C92C58" w:rsidRPr="00C174D5" w14:paraId="00A676CB" w14:textId="77777777" w:rsidTr="00B15A9A">
        <w:trPr>
          <w:tblHeader/>
          <w:jc w:val="center"/>
        </w:trPr>
        <w:tc>
          <w:tcPr>
            <w:tcW w:w="4152" w:type="dxa"/>
            <w:tcBorders>
              <w:top w:val="single" w:sz="12" w:space="0" w:color="auto"/>
              <w:bottom w:val="single" w:sz="12" w:space="0" w:color="auto"/>
            </w:tcBorders>
            <w:shd w:val="clear" w:color="auto" w:fill="BFBFBF" w:themeFill="background1" w:themeFillShade="BF"/>
            <w:vAlign w:val="center"/>
          </w:tcPr>
          <w:p w14:paraId="75662BC7" w14:textId="77777777" w:rsidR="00C92C58" w:rsidRPr="00C174D5" w:rsidRDefault="00C92C58" w:rsidP="00B15A9A">
            <w:pPr>
              <w:spacing w:after="0" w:line="240" w:lineRule="auto"/>
              <w:jc w:val="center"/>
              <w:rPr>
                <w:b/>
                <w:sz w:val="20"/>
                <w:szCs w:val="20"/>
                <w:lang w:val="es-ES"/>
              </w:rPr>
            </w:pPr>
            <w:r w:rsidRPr="00C174D5">
              <w:rPr>
                <w:b/>
                <w:sz w:val="20"/>
                <w:szCs w:val="20"/>
                <w:lang w:val="es-ES"/>
              </w:rPr>
              <w:t>Parámetros</w:t>
            </w:r>
          </w:p>
        </w:tc>
        <w:tc>
          <w:tcPr>
            <w:tcW w:w="1249" w:type="dxa"/>
            <w:tcBorders>
              <w:top w:val="single" w:sz="12" w:space="0" w:color="auto"/>
              <w:bottom w:val="single" w:sz="12" w:space="0" w:color="auto"/>
            </w:tcBorders>
            <w:shd w:val="clear" w:color="auto" w:fill="BFBFBF" w:themeFill="background1" w:themeFillShade="BF"/>
            <w:vAlign w:val="center"/>
          </w:tcPr>
          <w:p w14:paraId="6BAA55B2" w14:textId="77777777" w:rsidR="00C92C58" w:rsidRPr="00C174D5" w:rsidRDefault="00C92C58" w:rsidP="00B15A9A">
            <w:pPr>
              <w:spacing w:after="0" w:line="240" w:lineRule="auto"/>
              <w:jc w:val="center"/>
              <w:rPr>
                <w:b/>
                <w:sz w:val="20"/>
                <w:szCs w:val="20"/>
                <w:lang w:val="es-ES"/>
              </w:rPr>
            </w:pPr>
            <w:r w:rsidRPr="00C174D5">
              <w:rPr>
                <w:b/>
                <w:sz w:val="20"/>
                <w:szCs w:val="20"/>
                <w:lang w:val="es-ES"/>
              </w:rPr>
              <w:t>Valor</w:t>
            </w:r>
          </w:p>
        </w:tc>
      </w:tr>
      <w:tr w:rsidR="00C92C58" w:rsidRPr="00C174D5" w14:paraId="51444FBA" w14:textId="77777777" w:rsidTr="00B15A9A">
        <w:trPr>
          <w:jc w:val="center"/>
        </w:trPr>
        <w:tc>
          <w:tcPr>
            <w:tcW w:w="5401" w:type="dxa"/>
            <w:gridSpan w:val="2"/>
            <w:tcBorders>
              <w:top w:val="single" w:sz="12" w:space="0" w:color="auto"/>
            </w:tcBorders>
            <w:shd w:val="clear" w:color="auto" w:fill="auto"/>
            <w:vAlign w:val="center"/>
          </w:tcPr>
          <w:p w14:paraId="0D27F73B" w14:textId="77777777" w:rsidR="00C92C58" w:rsidRPr="00C174D5" w:rsidRDefault="00C92C58" w:rsidP="00B15A9A">
            <w:pPr>
              <w:spacing w:after="0" w:line="240" w:lineRule="auto"/>
              <w:jc w:val="center"/>
              <w:rPr>
                <w:sz w:val="20"/>
                <w:szCs w:val="20"/>
                <w:lang w:val="es-ES"/>
              </w:rPr>
            </w:pPr>
            <w:r w:rsidRPr="00C174D5">
              <w:rPr>
                <w:b/>
                <w:sz w:val="20"/>
                <w:szCs w:val="20"/>
                <w:lang w:val="es-ES"/>
              </w:rPr>
              <w:t>Económicos</w:t>
            </w:r>
          </w:p>
        </w:tc>
      </w:tr>
      <w:tr w:rsidR="00C92C58" w:rsidRPr="00C174D5" w14:paraId="1D7299DE" w14:textId="77777777" w:rsidTr="00B15A9A">
        <w:trPr>
          <w:jc w:val="center"/>
        </w:trPr>
        <w:tc>
          <w:tcPr>
            <w:tcW w:w="4152" w:type="dxa"/>
            <w:shd w:val="clear" w:color="auto" w:fill="auto"/>
            <w:vAlign w:val="center"/>
          </w:tcPr>
          <w:p w14:paraId="44B367E0" w14:textId="77777777" w:rsidR="00C92C58" w:rsidRPr="00C174D5" w:rsidRDefault="00C92C58" w:rsidP="00B15A9A">
            <w:pPr>
              <w:spacing w:after="0" w:line="240" w:lineRule="auto"/>
              <w:jc w:val="left"/>
              <w:rPr>
                <w:sz w:val="20"/>
                <w:szCs w:val="20"/>
                <w:lang w:val="es-ES"/>
              </w:rPr>
            </w:pPr>
            <w:r w:rsidRPr="00C174D5">
              <w:rPr>
                <w:sz w:val="20"/>
                <w:szCs w:val="20"/>
                <w:lang w:val="es-ES"/>
              </w:rPr>
              <w:t>Inversión</w:t>
            </w:r>
          </w:p>
        </w:tc>
        <w:tc>
          <w:tcPr>
            <w:tcW w:w="1249" w:type="dxa"/>
            <w:shd w:val="clear" w:color="auto" w:fill="auto"/>
            <w:vAlign w:val="center"/>
          </w:tcPr>
          <w:p w14:paraId="31A4E1AE" w14:textId="77777777" w:rsidR="00C92C58" w:rsidRPr="00C174D5" w:rsidRDefault="00C92C58" w:rsidP="00B15A9A">
            <w:pPr>
              <w:spacing w:after="0" w:line="240" w:lineRule="auto"/>
              <w:jc w:val="center"/>
              <w:rPr>
                <w:sz w:val="20"/>
                <w:szCs w:val="20"/>
                <w:lang w:val="es-ES"/>
              </w:rPr>
            </w:pPr>
            <w:r w:rsidRPr="00C174D5">
              <w:rPr>
                <w:sz w:val="20"/>
                <w:szCs w:val="20"/>
                <w:lang w:val="es-ES"/>
              </w:rPr>
              <w:t>2.584.875</w:t>
            </w:r>
            <w:r w:rsidRPr="00C174D5">
              <w:rPr>
                <w:rStyle w:val="FootnoteReference"/>
                <w:sz w:val="20"/>
                <w:szCs w:val="20"/>
                <w:lang w:val="es-ES"/>
              </w:rPr>
              <w:footnoteReference w:id="30"/>
            </w:r>
          </w:p>
        </w:tc>
      </w:tr>
      <w:tr w:rsidR="00C92C58" w:rsidRPr="00C174D5" w14:paraId="31B151B3" w14:textId="77777777" w:rsidTr="00B15A9A">
        <w:trPr>
          <w:trHeight w:val="222"/>
          <w:jc w:val="center"/>
        </w:trPr>
        <w:tc>
          <w:tcPr>
            <w:tcW w:w="5401" w:type="dxa"/>
            <w:gridSpan w:val="2"/>
            <w:shd w:val="clear" w:color="auto" w:fill="auto"/>
          </w:tcPr>
          <w:p w14:paraId="5085A254" w14:textId="77777777" w:rsidR="00C92C58" w:rsidRPr="00C174D5" w:rsidRDefault="00C92C58" w:rsidP="00B15A9A">
            <w:pPr>
              <w:spacing w:after="0" w:line="240" w:lineRule="auto"/>
              <w:jc w:val="center"/>
              <w:rPr>
                <w:b/>
                <w:sz w:val="20"/>
                <w:szCs w:val="20"/>
                <w:lang w:val="es-ES"/>
              </w:rPr>
            </w:pPr>
            <w:r w:rsidRPr="00C174D5">
              <w:rPr>
                <w:b/>
                <w:sz w:val="20"/>
                <w:szCs w:val="20"/>
                <w:lang w:val="es-ES"/>
              </w:rPr>
              <w:t>De mercado</w:t>
            </w:r>
          </w:p>
        </w:tc>
      </w:tr>
      <w:tr w:rsidR="00C92C58" w:rsidRPr="00C174D5" w14:paraId="20F27B53" w14:textId="77777777" w:rsidTr="00B15A9A">
        <w:trPr>
          <w:trHeight w:val="222"/>
          <w:jc w:val="center"/>
        </w:trPr>
        <w:tc>
          <w:tcPr>
            <w:tcW w:w="4152" w:type="dxa"/>
            <w:shd w:val="clear" w:color="auto" w:fill="auto"/>
          </w:tcPr>
          <w:p w14:paraId="7A980A0E" w14:textId="77777777" w:rsidR="00C92C58" w:rsidRPr="00C174D5" w:rsidRDefault="00C92C58" w:rsidP="00B15A9A">
            <w:pPr>
              <w:spacing w:after="0" w:line="240" w:lineRule="auto"/>
              <w:jc w:val="left"/>
              <w:rPr>
                <w:sz w:val="20"/>
                <w:szCs w:val="20"/>
                <w:lang w:val="es-ES"/>
              </w:rPr>
            </w:pPr>
            <w:r w:rsidRPr="00C174D5">
              <w:rPr>
                <w:sz w:val="20"/>
                <w:szCs w:val="20"/>
                <w:lang w:val="es-ES"/>
              </w:rPr>
              <w:t>Factor de carga promedio anual</w:t>
            </w:r>
          </w:p>
        </w:tc>
        <w:tc>
          <w:tcPr>
            <w:tcW w:w="1249" w:type="dxa"/>
            <w:shd w:val="clear" w:color="auto" w:fill="auto"/>
          </w:tcPr>
          <w:p w14:paraId="35C6A69C" w14:textId="77777777" w:rsidR="00C92C58" w:rsidRPr="00C174D5" w:rsidRDefault="00C92C58" w:rsidP="00B15A9A">
            <w:pPr>
              <w:spacing w:after="0" w:line="240" w:lineRule="auto"/>
              <w:jc w:val="center"/>
              <w:rPr>
                <w:sz w:val="20"/>
                <w:szCs w:val="20"/>
                <w:lang w:val="es-ES"/>
              </w:rPr>
            </w:pPr>
            <w:r w:rsidRPr="00C174D5">
              <w:rPr>
                <w:sz w:val="20"/>
                <w:szCs w:val="20"/>
                <w:lang w:val="es-ES"/>
              </w:rPr>
              <w:t>60,00%</w:t>
            </w:r>
          </w:p>
        </w:tc>
      </w:tr>
    </w:tbl>
    <w:p w14:paraId="1171F207" w14:textId="77777777" w:rsidR="00C92C58" w:rsidRPr="00C174D5" w:rsidRDefault="00C92C58" w:rsidP="00C92C58">
      <w:pPr>
        <w:ind w:left="1560" w:right="1559"/>
        <w:jc w:val="center"/>
        <w:rPr>
          <w:sz w:val="18"/>
          <w:lang w:val="es-ES"/>
        </w:rPr>
      </w:pPr>
      <w:r w:rsidRPr="00C174D5">
        <w:rPr>
          <w:sz w:val="18"/>
          <w:lang w:val="es-ES"/>
        </w:rPr>
        <w:t>Fuente: Elaboración propia en base a información de ENATREL provista por el BID</w:t>
      </w:r>
    </w:p>
    <w:p w14:paraId="5B5EA5F9" w14:textId="77777777" w:rsidR="00C92C58" w:rsidRPr="00C174D5" w:rsidRDefault="00C92C58" w:rsidP="00C92C58">
      <w:pPr>
        <w:rPr>
          <w:lang w:val="es-ES"/>
        </w:rPr>
      </w:pPr>
      <w:r w:rsidRPr="00C174D5">
        <w:rPr>
          <w:lang w:val="es-ES"/>
        </w:rPr>
        <w:t xml:space="preserve">En la sección </w:t>
      </w:r>
      <w:r w:rsidRPr="00C174D5">
        <w:rPr>
          <w:lang w:val="es-ES"/>
        </w:rPr>
        <w:fldChar w:fldCharType="begin" w:fldLock="1"/>
      </w:r>
      <w:r w:rsidRPr="00C174D5">
        <w:rPr>
          <w:lang w:val="es-ES"/>
        </w:rPr>
        <w:instrText xml:space="preserve"> REF _Ref429385834 \r \h  \* MERGEFORMAT </w:instrText>
      </w:r>
      <w:r w:rsidRPr="00C174D5">
        <w:rPr>
          <w:lang w:val="es-ES"/>
        </w:rPr>
      </w:r>
      <w:r w:rsidRPr="00C174D5">
        <w:rPr>
          <w:lang w:val="es-ES"/>
        </w:rPr>
        <w:fldChar w:fldCharType="separate"/>
      </w:r>
      <w:r w:rsidRPr="00C174D5">
        <w:rPr>
          <w:lang w:val="es-ES"/>
        </w:rPr>
        <w:t>3.3.1.2</w:t>
      </w:r>
      <w:r w:rsidRPr="00C174D5">
        <w:rPr>
          <w:lang w:val="es-ES"/>
        </w:rPr>
        <w:fldChar w:fldCharType="end"/>
      </w:r>
      <w:r w:rsidRPr="00C174D5">
        <w:rPr>
          <w:lang w:val="es-ES"/>
        </w:rPr>
        <w:t xml:space="preserve"> se presentan los resultados del análisis económico y financiero del proyecto.</w:t>
      </w:r>
    </w:p>
    <w:p w14:paraId="59121A78" w14:textId="77777777" w:rsidR="00C92C58" w:rsidRPr="00C174D5" w:rsidRDefault="00C92C58" w:rsidP="00C92C58">
      <w:pPr>
        <w:pStyle w:val="Heading2"/>
        <w:rPr>
          <w:lang w:val="es-ES"/>
        </w:rPr>
      </w:pPr>
      <w:bookmarkStart w:id="95" w:name="_Ref429385834"/>
      <w:bookmarkStart w:id="96" w:name="_Toc447546939"/>
      <w:bookmarkStart w:id="97" w:name="_Toc456353122"/>
      <w:r w:rsidRPr="00C174D5">
        <w:rPr>
          <w:lang w:val="es-ES"/>
        </w:rPr>
        <w:t xml:space="preserve">SE </w:t>
      </w:r>
      <w:proofErr w:type="spellStart"/>
      <w:r w:rsidRPr="00C174D5">
        <w:rPr>
          <w:lang w:val="es-ES"/>
        </w:rPr>
        <w:t>Acahualinca</w:t>
      </w:r>
      <w:proofErr w:type="spellEnd"/>
      <w:r w:rsidRPr="00C174D5">
        <w:rPr>
          <w:lang w:val="es-ES"/>
        </w:rPr>
        <w:t xml:space="preserve"> – Evaluación</w:t>
      </w:r>
      <w:bookmarkEnd w:id="95"/>
      <w:bookmarkEnd w:id="96"/>
      <w:bookmarkEnd w:id="97"/>
    </w:p>
    <w:p w14:paraId="268E65B5" w14:textId="77777777" w:rsidR="00C92C58" w:rsidRPr="00C174D5" w:rsidRDefault="00C92C58" w:rsidP="00C92C58">
      <w:pPr>
        <w:rPr>
          <w:lang w:val="es-ES"/>
        </w:rPr>
      </w:pPr>
      <w:r w:rsidRPr="00C174D5">
        <w:rPr>
          <w:lang w:val="es-ES"/>
        </w:rPr>
        <w:t>Los beneficios económicos de este proyecto están dados por la reducción de la energía no suministrada (ENS), valuada al costo de falla neto (de costos de generación, transmisión y distribución, ajustados por sus respectivos FC); mientras que los costos económicos están dados por la inversión y el costo de operación y mantenimiento asociado a la misma (ambos ajustados por los FC pertinentes), más el aumento de las pérdidas asociadas a la mayor energía suministrada en la situación con proyecto, valuadas según nivel de tensión y ajustando por los FC.</w:t>
      </w:r>
      <w:r w:rsidRPr="00C174D5">
        <w:rPr>
          <w:rStyle w:val="FootnoteReference"/>
          <w:lang w:val="es-ES"/>
        </w:rPr>
        <w:footnoteReference w:id="31"/>
      </w:r>
      <w:r w:rsidRPr="00C174D5">
        <w:rPr>
          <w:lang w:val="es-ES"/>
        </w:rPr>
        <w:t xml:space="preserve"> Estos valores, junto con el VPNE del proyecto, se presentan en la </w:t>
      </w:r>
      <w:r w:rsidRPr="00C174D5">
        <w:rPr>
          <w:lang w:val="es-ES"/>
        </w:rPr>
        <w:fldChar w:fldCharType="begin"/>
      </w:r>
      <w:r w:rsidRPr="00C174D5">
        <w:rPr>
          <w:lang w:val="es-ES"/>
        </w:rPr>
        <w:instrText xml:space="preserve"> REF _Ref450035999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16</w:t>
      </w:r>
      <w:r w:rsidRPr="00C174D5">
        <w:rPr>
          <w:lang w:val="es-ES"/>
        </w:rPr>
        <w:fldChar w:fldCharType="end"/>
      </w:r>
      <w:r w:rsidRPr="00C174D5">
        <w:rPr>
          <w:lang w:val="es-ES"/>
        </w:rPr>
        <w:t>.</w:t>
      </w:r>
    </w:p>
    <w:p w14:paraId="3FE08AC0" w14:textId="77777777" w:rsidR="00C92C58" w:rsidRPr="00C174D5" w:rsidRDefault="00C92C58" w:rsidP="00C92C58">
      <w:pPr>
        <w:keepNext/>
        <w:keepLines/>
        <w:spacing w:after="120"/>
        <w:jc w:val="center"/>
        <w:rPr>
          <w:b/>
          <w:sz w:val="20"/>
          <w:lang w:val="es-ES"/>
        </w:rPr>
      </w:pPr>
      <w:bookmarkStart w:id="98" w:name="_Ref450035999"/>
      <w:bookmarkStart w:id="99" w:name="_Toc447546975"/>
      <w:bookmarkStart w:id="100" w:name="_Toc456353172"/>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16</w:t>
      </w:r>
      <w:r w:rsidRPr="00C174D5">
        <w:rPr>
          <w:b/>
          <w:sz w:val="20"/>
          <w:lang w:val="es-ES"/>
        </w:rPr>
        <w:fldChar w:fldCharType="end"/>
      </w:r>
      <w:bookmarkEnd w:id="98"/>
      <w:r w:rsidRPr="00C174D5">
        <w:rPr>
          <w:b/>
          <w:sz w:val="20"/>
          <w:lang w:val="es-ES"/>
        </w:rPr>
        <w:t xml:space="preserve">: Resultados evaluación económica – SE </w:t>
      </w:r>
      <w:proofErr w:type="spellStart"/>
      <w:r w:rsidRPr="00C174D5">
        <w:rPr>
          <w:b/>
          <w:sz w:val="20"/>
          <w:lang w:val="es-ES"/>
        </w:rPr>
        <w:t>Acahualinca</w:t>
      </w:r>
      <w:bookmarkEnd w:id="99"/>
      <w:bookmarkEnd w:id="100"/>
      <w:proofErr w:type="spellEnd"/>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376"/>
        <w:gridCol w:w="1276"/>
        <w:gridCol w:w="1418"/>
        <w:gridCol w:w="1559"/>
        <w:gridCol w:w="1318"/>
        <w:gridCol w:w="774"/>
      </w:tblGrid>
      <w:tr w:rsidR="00C92C58" w:rsidRPr="00C174D5" w14:paraId="72FCFF8E" w14:textId="77777777" w:rsidTr="00B15A9A">
        <w:trPr>
          <w:trHeight w:val="35"/>
          <w:jc w:val="center"/>
        </w:trPr>
        <w:tc>
          <w:tcPr>
            <w:tcW w:w="237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2437B1DB" w14:textId="77777777" w:rsidR="00C92C58" w:rsidRPr="00C174D5" w:rsidRDefault="00C92C58" w:rsidP="00B15A9A">
            <w:pPr>
              <w:keepNext/>
              <w:keepLines/>
              <w:spacing w:after="0"/>
              <w:jc w:val="center"/>
              <w:rPr>
                <w:b/>
                <w:sz w:val="20"/>
                <w:lang w:val="es-ES"/>
              </w:rPr>
            </w:pPr>
          </w:p>
        </w:tc>
        <w:tc>
          <w:tcPr>
            <w:tcW w:w="127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07AEEAB1" w14:textId="77777777" w:rsidR="00C92C58" w:rsidRPr="00C174D5" w:rsidRDefault="00C92C58" w:rsidP="00B15A9A">
            <w:pPr>
              <w:keepNext/>
              <w:keepLines/>
              <w:spacing w:after="0"/>
              <w:jc w:val="center"/>
              <w:rPr>
                <w:b/>
                <w:sz w:val="20"/>
                <w:lang w:val="es-ES"/>
              </w:rPr>
            </w:pPr>
            <w:r w:rsidRPr="00C174D5">
              <w:rPr>
                <w:b/>
                <w:bCs/>
                <w:sz w:val="20"/>
                <w:lang w:val="es-ES"/>
              </w:rPr>
              <w:t xml:space="preserve">VP Inversión </w:t>
            </w:r>
            <w:proofErr w:type="spellStart"/>
            <w:r w:rsidRPr="00C174D5">
              <w:rPr>
                <w:b/>
                <w:bCs/>
                <w:sz w:val="20"/>
                <w:lang w:val="es-ES"/>
              </w:rPr>
              <w:t>ec</w:t>
            </w:r>
            <w:proofErr w:type="spellEnd"/>
            <w:r w:rsidRPr="00C174D5">
              <w:rPr>
                <w:b/>
                <w:bCs/>
                <w:sz w:val="20"/>
                <w:lang w:val="es-ES"/>
              </w:rPr>
              <w:t>. (US$)</w:t>
            </w:r>
          </w:p>
        </w:tc>
        <w:tc>
          <w:tcPr>
            <w:tcW w:w="1418"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5C6E2A64" w14:textId="77777777" w:rsidR="00C92C58" w:rsidRPr="00C174D5" w:rsidRDefault="00C92C58" w:rsidP="00B15A9A">
            <w:pPr>
              <w:keepNext/>
              <w:keepLines/>
              <w:spacing w:after="0"/>
              <w:jc w:val="center"/>
              <w:rPr>
                <w:b/>
                <w:sz w:val="20"/>
                <w:lang w:val="es-ES"/>
              </w:rPr>
            </w:pPr>
            <w:r w:rsidRPr="00C174D5">
              <w:rPr>
                <w:b/>
                <w:bCs/>
                <w:sz w:val="20"/>
                <w:lang w:val="es-ES"/>
              </w:rPr>
              <w:t xml:space="preserve">VP Costos </w:t>
            </w:r>
            <w:proofErr w:type="spellStart"/>
            <w:r w:rsidRPr="00C174D5">
              <w:rPr>
                <w:b/>
                <w:bCs/>
                <w:sz w:val="20"/>
                <w:lang w:val="es-ES"/>
              </w:rPr>
              <w:t>ec</w:t>
            </w:r>
            <w:proofErr w:type="spellEnd"/>
            <w:r w:rsidRPr="00C174D5">
              <w:rPr>
                <w:b/>
                <w:bCs/>
                <w:sz w:val="20"/>
                <w:lang w:val="es-ES"/>
              </w:rPr>
              <w:t>. (US$)</w:t>
            </w:r>
          </w:p>
        </w:tc>
        <w:tc>
          <w:tcPr>
            <w:tcW w:w="1559"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095D30F9" w14:textId="77777777" w:rsidR="00C92C58" w:rsidRPr="00C174D5" w:rsidRDefault="00C92C58" w:rsidP="00B15A9A">
            <w:pPr>
              <w:keepNext/>
              <w:keepLines/>
              <w:spacing w:after="0"/>
              <w:jc w:val="center"/>
              <w:rPr>
                <w:b/>
                <w:sz w:val="20"/>
                <w:lang w:val="es-ES"/>
              </w:rPr>
            </w:pPr>
            <w:r w:rsidRPr="00C174D5">
              <w:rPr>
                <w:b/>
                <w:bCs/>
                <w:sz w:val="20"/>
                <w:lang w:val="es-ES"/>
              </w:rPr>
              <w:t xml:space="preserve">VP Beneficios </w:t>
            </w:r>
            <w:proofErr w:type="spellStart"/>
            <w:r w:rsidRPr="00C174D5">
              <w:rPr>
                <w:b/>
                <w:bCs/>
                <w:sz w:val="20"/>
                <w:lang w:val="es-ES"/>
              </w:rPr>
              <w:t>ec</w:t>
            </w:r>
            <w:proofErr w:type="spellEnd"/>
            <w:r w:rsidRPr="00C174D5">
              <w:rPr>
                <w:b/>
                <w:bCs/>
                <w:sz w:val="20"/>
                <w:lang w:val="es-ES"/>
              </w:rPr>
              <w:t>. (US$)</w:t>
            </w:r>
          </w:p>
        </w:tc>
        <w:tc>
          <w:tcPr>
            <w:tcW w:w="1318"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572C707C" w14:textId="77777777" w:rsidR="00C92C58" w:rsidRPr="00C174D5" w:rsidRDefault="00C92C58" w:rsidP="00B15A9A">
            <w:pPr>
              <w:keepNext/>
              <w:keepLines/>
              <w:spacing w:after="0"/>
              <w:jc w:val="center"/>
              <w:rPr>
                <w:b/>
                <w:sz w:val="20"/>
                <w:lang w:val="es-ES"/>
              </w:rPr>
            </w:pPr>
            <w:r w:rsidRPr="00C174D5">
              <w:rPr>
                <w:b/>
                <w:bCs/>
                <w:sz w:val="20"/>
                <w:lang w:val="es-ES"/>
              </w:rPr>
              <w:t>VPNE (US$)</w:t>
            </w:r>
          </w:p>
        </w:tc>
        <w:tc>
          <w:tcPr>
            <w:tcW w:w="774"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5EE42F72" w14:textId="77777777" w:rsidR="00C92C58" w:rsidRPr="00C174D5" w:rsidRDefault="00C92C58" w:rsidP="00B15A9A">
            <w:pPr>
              <w:keepNext/>
              <w:keepLines/>
              <w:spacing w:after="0"/>
              <w:jc w:val="center"/>
              <w:rPr>
                <w:b/>
                <w:sz w:val="20"/>
                <w:lang w:val="es-ES"/>
              </w:rPr>
            </w:pPr>
            <w:r w:rsidRPr="00C174D5">
              <w:rPr>
                <w:b/>
                <w:bCs/>
                <w:sz w:val="20"/>
                <w:lang w:val="es-ES"/>
              </w:rPr>
              <w:t>TIRE</w:t>
            </w:r>
          </w:p>
        </w:tc>
      </w:tr>
      <w:tr w:rsidR="00C92C58" w:rsidRPr="00232C12" w14:paraId="3FB60574" w14:textId="77777777" w:rsidTr="00B15A9A">
        <w:trPr>
          <w:trHeight w:val="1105"/>
          <w:jc w:val="center"/>
        </w:trPr>
        <w:tc>
          <w:tcPr>
            <w:tcW w:w="2376" w:type="dxa"/>
            <w:tcBorders>
              <w:top w:val="single" w:sz="12" w:space="0" w:color="000000"/>
            </w:tcBorders>
            <w:shd w:val="clear" w:color="auto" w:fill="auto"/>
            <w:tcMar>
              <w:top w:w="15" w:type="dxa"/>
              <w:left w:w="108" w:type="dxa"/>
              <w:bottom w:w="0" w:type="dxa"/>
              <w:right w:w="108" w:type="dxa"/>
            </w:tcMar>
            <w:vAlign w:val="center"/>
            <w:hideMark/>
          </w:tcPr>
          <w:p w14:paraId="6EE4CDF0" w14:textId="77777777" w:rsidR="00C92C58" w:rsidRPr="00C174D5" w:rsidRDefault="00C92C58" w:rsidP="00B15A9A">
            <w:pPr>
              <w:keepNext/>
              <w:keepLines/>
              <w:spacing w:after="0"/>
              <w:jc w:val="center"/>
              <w:rPr>
                <w:sz w:val="20"/>
                <w:lang w:val="es-ES"/>
              </w:rPr>
            </w:pPr>
            <w:r w:rsidRPr="00C174D5">
              <w:rPr>
                <w:bCs/>
                <w:sz w:val="20"/>
                <w:lang w:val="es-ES"/>
              </w:rPr>
              <w:t>Situación Con Proyecto</w:t>
            </w:r>
          </w:p>
          <w:p w14:paraId="5ABD6AD8" w14:textId="77777777" w:rsidR="00C92C58" w:rsidRPr="00C174D5" w:rsidRDefault="00C92C58" w:rsidP="00B15A9A">
            <w:pPr>
              <w:keepNext/>
              <w:keepLines/>
              <w:spacing w:after="0"/>
              <w:jc w:val="center"/>
              <w:rPr>
                <w:sz w:val="20"/>
                <w:lang w:val="es-ES"/>
              </w:rPr>
            </w:pPr>
            <w:r w:rsidRPr="00C174D5">
              <w:rPr>
                <w:bCs/>
                <w:sz w:val="20"/>
                <w:lang w:val="es-ES"/>
              </w:rPr>
              <w:t>-</w:t>
            </w:r>
          </w:p>
          <w:p w14:paraId="2FB8C7A5" w14:textId="77777777" w:rsidR="00C92C58" w:rsidRPr="00C174D5" w:rsidRDefault="00C92C58" w:rsidP="00B15A9A">
            <w:pPr>
              <w:keepNext/>
              <w:keepLines/>
              <w:spacing w:after="0"/>
              <w:jc w:val="center"/>
              <w:rPr>
                <w:sz w:val="20"/>
                <w:lang w:val="es-ES"/>
              </w:rPr>
            </w:pPr>
            <w:r w:rsidRPr="00C174D5">
              <w:rPr>
                <w:bCs/>
                <w:sz w:val="20"/>
                <w:lang w:val="es-ES"/>
              </w:rPr>
              <w:t>Situación sin proyecto</w:t>
            </w:r>
          </w:p>
        </w:tc>
        <w:tc>
          <w:tcPr>
            <w:tcW w:w="1276" w:type="dxa"/>
            <w:tcBorders>
              <w:top w:val="single" w:sz="12" w:space="0" w:color="000000"/>
            </w:tcBorders>
            <w:shd w:val="clear" w:color="auto" w:fill="auto"/>
            <w:tcMar>
              <w:top w:w="15" w:type="dxa"/>
              <w:left w:w="108" w:type="dxa"/>
              <w:bottom w:w="0" w:type="dxa"/>
              <w:right w:w="108" w:type="dxa"/>
            </w:tcMar>
            <w:vAlign w:val="center"/>
          </w:tcPr>
          <w:p w14:paraId="5ECFE359" w14:textId="77777777" w:rsidR="00C92C58" w:rsidRPr="00C174D5" w:rsidRDefault="00C92C58" w:rsidP="00B15A9A">
            <w:pPr>
              <w:keepNext/>
              <w:keepLines/>
              <w:spacing w:after="0"/>
              <w:jc w:val="center"/>
              <w:rPr>
                <w:sz w:val="20"/>
                <w:lang w:val="es-ES"/>
              </w:rPr>
            </w:pPr>
            <w:r w:rsidRPr="00C174D5">
              <w:rPr>
                <w:sz w:val="20"/>
                <w:lang w:val="es-ES"/>
              </w:rPr>
              <w:t>2.530.376</w:t>
            </w:r>
          </w:p>
        </w:tc>
        <w:tc>
          <w:tcPr>
            <w:tcW w:w="1418" w:type="dxa"/>
            <w:tcBorders>
              <w:top w:val="single" w:sz="12" w:space="0" w:color="000000"/>
            </w:tcBorders>
            <w:shd w:val="clear" w:color="auto" w:fill="auto"/>
            <w:tcMar>
              <w:top w:w="15" w:type="dxa"/>
              <w:left w:w="108" w:type="dxa"/>
              <w:bottom w:w="0" w:type="dxa"/>
              <w:right w:w="108" w:type="dxa"/>
            </w:tcMar>
            <w:vAlign w:val="center"/>
          </w:tcPr>
          <w:p w14:paraId="6851C870" w14:textId="77777777" w:rsidR="00C92C58" w:rsidRPr="00C174D5" w:rsidRDefault="00C92C58" w:rsidP="00B15A9A">
            <w:pPr>
              <w:keepNext/>
              <w:keepLines/>
              <w:spacing w:after="0"/>
              <w:jc w:val="center"/>
              <w:rPr>
                <w:sz w:val="20"/>
                <w:lang w:val="es-ES"/>
              </w:rPr>
            </w:pPr>
            <w:r w:rsidRPr="00232C12">
              <w:rPr>
                <w:sz w:val="20"/>
                <w:lang w:val="es-ES"/>
              </w:rPr>
              <w:t>3</w:t>
            </w:r>
            <w:r>
              <w:rPr>
                <w:sz w:val="20"/>
                <w:lang w:val="es-ES"/>
              </w:rPr>
              <w:t>.</w:t>
            </w:r>
            <w:r w:rsidRPr="00232C12">
              <w:rPr>
                <w:sz w:val="20"/>
                <w:lang w:val="es-ES"/>
              </w:rPr>
              <w:t>950</w:t>
            </w:r>
            <w:r>
              <w:rPr>
                <w:sz w:val="20"/>
                <w:lang w:val="es-ES"/>
              </w:rPr>
              <w:t>.</w:t>
            </w:r>
            <w:r w:rsidRPr="00232C12">
              <w:rPr>
                <w:sz w:val="20"/>
                <w:lang w:val="es-ES"/>
              </w:rPr>
              <w:t>127</w:t>
            </w:r>
          </w:p>
        </w:tc>
        <w:tc>
          <w:tcPr>
            <w:tcW w:w="1559" w:type="dxa"/>
            <w:tcBorders>
              <w:top w:val="single" w:sz="12" w:space="0" w:color="000000"/>
            </w:tcBorders>
            <w:shd w:val="clear" w:color="auto" w:fill="auto"/>
            <w:tcMar>
              <w:top w:w="15" w:type="dxa"/>
              <w:left w:w="108" w:type="dxa"/>
              <w:bottom w:w="0" w:type="dxa"/>
              <w:right w:w="108" w:type="dxa"/>
            </w:tcMar>
            <w:vAlign w:val="center"/>
          </w:tcPr>
          <w:p w14:paraId="24835B3D" w14:textId="77777777" w:rsidR="00C92C58" w:rsidRPr="00C174D5" w:rsidRDefault="00C92C58" w:rsidP="00B15A9A">
            <w:pPr>
              <w:keepNext/>
              <w:keepLines/>
              <w:spacing w:after="0"/>
              <w:jc w:val="center"/>
              <w:rPr>
                <w:sz w:val="20"/>
                <w:lang w:val="es-ES"/>
              </w:rPr>
            </w:pPr>
            <w:r w:rsidRPr="00232C12">
              <w:rPr>
                <w:sz w:val="20"/>
                <w:lang w:val="es-ES"/>
              </w:rPr>
              <w:t>163</w:t>
            </w:r>
            <w:r>
              <w:rPr>
                <w:sz w:val="20"/>
                <w:lang w:val="es-ES"/>
              </w:rPr>
              <w:t>.</w:t>
            </w:r>
            <w:r w:rsidRPr="00232C12">
              <w:rPr>
                <w:sz w:val="20"/>
                <w:lang w:val="es-ES"/>
              </w:rPr>
              <w:t>197</w:t>
            </w:r>
            <w:r>
              <w:rPr>
                <w:sz w:val="20"/>
                <w:lang w:val="es-ES"/>
              </w:rPr>
              <w:t>.</w:t>
            </w:r>
            <w:r w:rsidRPr="00232C12">
              <w:rPr>
                <w:sz w:val="20"/>
                <w:lang w:val="es-ES"/>
              </w:rPr>
              <w:t>111</w:t>
            </w:r>
          </w:p>
        </w:tc>
        <w:tc>
          <w:tcPr>
            <w:tcW w:w="1318" w:type="dxa"/>
            <w:tcBorders>
              <w:top w:val="single" w:sz="12" w:space="0" w:color="000000"/>
            </w:tcBorders>
            <w:shd w:val="clear" w:color="auto" w:fill="auto"/>
            <w:tcMar>
              <w:top w:w="15" w:type="dxa"/>
              <w:left w:w="108" w:type="dxa"/>
              <w:bottom w:w="0" w:type="dxa"/>
              <w:right w:w="108" w:type="dxa"/>
            </w:tcMar>
            <w:vAlign w:val="center"/>
          </w:tcPr>
          <w:p w14:paraId="5E4FF1E0" w14:textId="77777777" w:rsidR="00C92C58" w:rsidRPr="00C174D5" w:rsidRDefault="00C92C58" w:rsidP="00B15A9A">
            <w:pPr>
              <w:keepNext/>
              <w:keepLines/>
              <w:spacing w:after="0"/>
              <w:jc w:val="center"/>
              <w:rPr>
                <w:sz w:val="20"/>
                <w:lang w:val="es-ES"/>
              </w:rPr>
            </w:pPr>
            <w:r>
              <w:rPr>
                <w:sz w:val="20"/>
                <w:lang w:val="es-ES"/>
              </w:rPr>
              <w:t>156.</w:t>
            </w:r>
            <w:r w:rsidRPr="00232C12">
              <w:rPr>
                <w:sz w:val="20"/>
                <w:lang w:val="es-ES"/>
              </w:rPr>
              <w:t>716</w:t>
            </w:r>
            <w:r>
              <w:rPr>
                <w:sz w:val="20"/>
                <w:lang w:val="es-ES"/>
              </w:rPr>
              <w:t>.</w:t>
            </w:r>
            <w:r w:rsidRPr="00232C12">
              <w:rPr>
                <w:sz w:val="20"/>
                <w:lang w:val="es-ES"/>
              </w:rPr>
              <w:t>608</w:t>
            </w:r>
          </w:p>
        </w:tc>
        <w:tc>
          <w:tcPr>
            <w:tcW w:w="774" w:type="dxa"/>
            <w:tcBorders>
              <w:top w:val="single" w:sz="12" w:space="0" w:color="000000"/>
            </w:tcBorders>
            <w:shd w:val="clear" w:color="auto" w:fill="auto"/>
            <w:tcMar>
              <w:top w:w="15" w:type="dxa"/>
              <w:left w:w="108" w:type="dxa"/>
              <w:bottom w:w="0" w:type="dxa"/>
              <w:right w:w="108" w:type="dxa"/>
            </w:tcMar>
            <w:vAlign w:val="center"/>
          </w:tcPr>
          <w:p w14:paraId="3BFEF97D" w14:textId="77777777" w:rsidR="00C92C58" w:rsidRPr="00C174D5" w:rsidRDefault="00C92C58" w:rsidP="00B15A9A">
            <w:pPr>
              <w:keepNext/>
              <w:keepLines/>
              <w:spacing w:after="0"/>
              <w:jc w:val="center"/>
              <w:rPr>
                <w:sz w:val="20"/>
                <w:lang w:val="es-ES"/>
              </w:rPr>
            </w:pPr>
            <w:r>
              <w:rPr>
                <w:sz w:val="20"/>
                <w:lang w:val="es-ES"/>
              </w:rPr>
              <w:t>63</w:t>
            </w:r>
            <w:r w:rsidRPr="00C174D5">
              <w:rPr>
                <w:sz w:val="20"/>
                <w:lang w:val="es-ES"/>
              </w:rPr>
              <w:t>%</w:t>
            </w:r>
          </w:p>
        </w:tc>
      </w:tr>
    </w:tbl>
    <w:p w14:paraId="44FC1333" w14:textId="77777777" w:rsidR="00C92C58" w:rsidRPr="00C174D5" w:rsidRDefault="00C92C58" w:rsidP="00C92C58">
      <w:pPr>
        <w:jc w:val="center"/>
        <w:rPr>
          <w:sz w:val="18"/>
          <w:lang w:val="es-ES"/>
        </w:rPr>
      </w:pPr>
      <w:r w:rsidRPr="00C174D5">
        <w:rPr>
          <w:sz w:val="18"/>
          <w:lang w:val="es-ES"/>
        </w:rPr>
        <w:t>Fuente: Elaboración propia en base a información de ENATREL provista por el BID</w:t>
      </w:r>
    </w:p>
    <w:p w14:paraId="15796020" w14:textId="77777777" w:rsidR="00C92C58" w:rsidRPr="00C174D5" w:rsidRDefault="00C92C58" w:rsidP="00C92C58">
      <w:pPr>
        <w:rPr>
          <w:lang w:val="es-ES"/>
        </w:rPr>
      </w:pPr>
      <w:r w:rsidRPr="00C174D5">
        <w:rPr>
          <w:lang w:val="es-ES"/>
        </w:rPr>
        <w:t xml:space="preserve">El proyecto es deseable desde una óptica económica o social, </w:t>
      </w:r>
      <w:r>
        <w:rPr>
          <w:lang w:val="es-ES"/>
        </w:rPr>
        <w:t>aunque no</w:t>
      </w:r>
      <w:r w:rsidRPr="00C174D5">
        <w:rPr>
          <w:lang w:val="es-ES"/>
        </w:rPr>
        <w:t xml:space="preserve"> desde la financiera o privada (</w:t>
      </w:r>
      <w:r w:rsidRPr="00C174D5">
        <w:rPr>
          <w:lang w:val="es-ES"/>
        </w:rPr>
        <w:fldChar w:fldCharType="begin"/>
      </w:r>
      <w:r w:rsidRPr="00C174D5">
        <w:rPr>
          <w:lang w:val="es-ES"/>
        </w:rPr>
        <w:instrText xml:space="preserve"> REF _Ref450036016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17</w:t>
      </w:r>
      <w:r w:rsidRPr="00C174D5">
        <w:rPr>
          <w:lang w:val="es-ES"/>
        </w:rPr>
        <w:fldChar w:fldCharType="end"/>
      </w:r>
      <w:r w:rsidRPr="00C174D5">
        <w:rPr>
          <w:lang w:val="es-ES"/>
        </w:rPr>
        <w:t xml:space="preserve">). </w:t>
      </w:r>
    </w:p>
    <w:p w14:paraId="6C6961DF" w14:textId="77777777" w:rsidR="00C92C58" w:rsidRPr="00C174D5" w:rsidRDefault="00C92C58" w:rsidP="00C92C58">
      <w:pPr>
        <w:keepNext/>
        <w:keepLines/>
        <w:spacing w:after="120"/>
        <w:jc w:val="center"/>
        <w:rPr>
          <w:b/>
          <w:sz w:val="20"/>
          <w:lang w:val="es-ES"/>
        </w:rPr>
      </w:pPr>
      <w:bookmarkStart w:id="101" w:name="_Ref450036016"/>
      <w:bookmarkStart w:id="102" w:name="_Toc447546976"/>
      <w:bookmarkStart w:id="103" w:name="_Toc456353173"/>
      <w:r w:rsidRPr="00C174D5">
        <w:rPr>
          <w:b/>
          <w:sz w:val="20"/>
          <w:lang w:val="es-ES"/>
        </w:rPr>
        <w:lastRenderedPageBreak/>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17</w:t>
      </w:r>
      <w:r w:rsidRPr="00C174D5">
        <w:rPr>
          <w:b/>
          <w:sz w:val="20"/>
          <w:lang w:val="es-ES"/>
        </w:rPr>
        <w:fldChar w:fldCharType="end"/>
      </w:r>
      <w:bookmarkEnd w:id="101"/>
      <w:r w:rsidRPr="00C174D5">
        <w:rPr>
          <w:b/>
          <w:sz w:val="20"/>
          <w:lang w:val="es-ES"/>
        </w:rPr>
        <w:t xml:space="preserve">: Resultados evaluación financiera – SE </w:t>
      </w:r>
      <w:proofErr w:type="spellStart"/>
      <w:r w:rsidRPr="00C174D5">
        <w:rPr>
          <w:b/>
          <w:sz w:val="20"/>
          <w:lang w:val="es-ES"/>
        </w:rPr>
        <w:t>Acahualinca</w:t>
      </w:r>
      <w:bookmarkEnd w:id="102"/>
      <w:bookmarkEnd w:id="103"/>
      <w:proofErr w:type="spellEnd"/>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376"/>
        <w:gridCol w:w="1274"/>
        <w:gridCol w:w="1414"/>
        <w:gridCol w:w="1565"/>
        <w:gridCol w:w="1304"/>
        <w:gridCol w:w="788"/>
      </w:tblGrid>
      <w:tr w:rsidR="00C92C58" w:rsidRPr="00C174D5" w14:paraId="1B98419A" w14:textId="77777777" w:rsidTr="00B15A9A">
        <w:trPr>
          <w:trHeight w:val="35"/>
          <w:jc w:val="center"/>
        </w:trPr>
        <w:tc>
          <w:tcPr>
            <w:tcW w:w="237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21DC9556" w14:textId="77777777" w:rsidR="00C92C58" w:rsidRPr="00C174D5" w:rsidRDefault="00C92C58" w:rsidP="00B15A9A">
            <w:pPr>
              <w:keepNext/>
              <w:keepLines/>
              <w:spacing w:after="0"/>
              <w:jc w:val="center"/>
              <w:rPr>
                <w:b/>
                <w:sz w:val="20"/>
                <w:lang w:val="es-ES"/>
              </w:rPr>
            </w:pPr>
          </w:p>
        </w:tc>
        <w:tc>
          <w:tcPr>
            <w:tcW w:w="1274"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2659B852" w14:textId="77777777" w:rsidR="00C92C58" w:rsidRPr="00C174D5" w:rsidRDefault="00C92C58" w:rsidP="00B15A9A">
            <w:pPr>
              <w:keepNext/>
              <w:keepLines/>
              <w:spacing w:after="0"/>
              <w:jc w:val="center"/>
              <w:rPr>
                <w:b/>
                <w:sz w:val="20"/>
                <w:lang w:val="es-ES"/>
              </w:rPr>
            </w:pPr>
            <w:r w:rsidRPr="00C174D5">
              <w:rPr>
                <w:b/>
                <w:bCs/>
                <w:sz w:val="20"/>
                <w:lang w:val="es-ES"/>
              </w:rPr>
              <w:t>VP Inversión fin. (US$)</w:t>
            </w:r>
          </w:p>
        </w:tc>
        <w:tc>
          <w:tcPr>
            <w:tcW w:w="1414"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5B00DE7B" w14:textId="77777777" w:rsidR="00C92C58" w:rsidRPr="00C174D5" w:rsidRDefault="00C92C58" w:rsidP="00B15A9A">
            <w:pPr>
              <w:keepNext/>
              <w:keepLines/>
              <w:spacing w:after="0"/>
              <w:jc w:val="center"/>
              <w:rPr>
                <w:b/>
                <w:sz w:val="20"/>
                <w:lang w:val="es-ES"/>
              </w:rPr>
            </w:pPr>
            <w:r w:rsidRPr="00C174D5">
              <w:rPr>
                <w:b/>
                <w:bCs/>
                <w:sz w:val="20"/>
                <w:lang w:val="es-ES"/>
              </w:rPr>
              <w:t>VP Costos fin. (US$)</w:t>
            </w:r>
          </w:p>
        </w:tc>
        <w:tc>
          <w:tcPr>
            <w:tcW w:w="1565"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4B63F378" w14:textId="77777777" w:rsidR="00C92C58" w:rsidRPr="00C174D5" w:rsidRDefault="00C92C58" w:rsidP="00B15A9A">
            <w:pPr>
              <w:keepNext/>
              <w:keepLines/>
              <w:spacing w:after="0"/>
              <w:jc w:val="center"/>
              <w:rPr>
                <w:b/>
                <w:sz w:val="20"/>
                <w:lang w:val="es-ES"/>
              </w:rPr>
            </w:pPr>
            <w:r w:rsidRPr="00C174D5">
              <w:rPr>
                <w:b/>
                <w:bCs/>
                <w:sz w:val="20"/>
                <w:lang w:val="es-ES"/>
              </w:rPr>
              <w:t>VP Ingresos (US$)</w:t>
            </w:r>
          </w:p>
        </w:tc>
        <w:tc>
          <w:tcPr>
            <w:tcW w:w="1304"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548013D1" w14:textId="77777777" w:rsidR="00C92C58" w:rsidRPr="00C174D5" w:rsidRDefault="00C92C58" w:rsidP="00B15A9A">
            <w:pPr>
              <w:keepNext/>
              <w:keepLines/>
              <w:spacing w:after="0"/>
              <w:jc w:val="center"/>
              <w:rPr>
                <w:b/>
                <w:sz w:val="20"/>
                <w:lang w:val="es-ES"/>
              </w:rPr>
            </w:pPr>
            <w:r w:rsidRPr="00C174D5">
              <w:rPr>
                <w:b/>
                <w:bCs/>
                <w:sz w:val="20"/>
                <w:lang w:val="es-ES"/>
              </w:rPr>
              <w:t>VPN (US$)</w:t>
            </w:r>
          </w:p>
        </w:tc>
        <w:tc>
          <w:tcPr>
            <w:tcW w:w="788"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50850EDE" w14:textId="77777777" w:rsidR="00C92C58" w:rsidRPr="00C174D5" w:rsidRDefault="00C92C58" w:rsidP="00B15A9A">
            <w:pPr>
              <w:keepNext/>
              <w:keepLines/>
              <w:spacing w:after="0"/>
              <w:jc w:val="center"/>
              <w:rPr>
                <w:b/>
                <w:sz w:val="20"/>
                <w:lang w:val="es-ES"/>
              </w:rPr>
            </w:pPr>
            <w:r w:rsidRPr="00C174D5">
              <w:rPr>
                <w:b/>
                <w:bCs/>
                <w:sz w:val="20"/>
                <w:lang w:val="es-ES"/>
              </w:rPr>
              <w:t>TIR</w:t>
            </w:r>
          </w:p>
        </w:tc>
      </w:tr>
      <w:tr w:rsidR="00C92C58" w:rsidRPr="00C174D5" w14:paraId="0146451D" w14:textId="77777777" w:rsidTr="00B15A9A">
        <w:trPr>
          <w:trHeight w:val="1105"/>
          <w:jc w:val="center"/>
        </w:trPr>
        <w:tc>
          <w:tcPr>
            <w:tcW w:w="2376" w:type="dxa"/>
            <w:tcBorders>
              <w:top w:val="single" w:sz="12" w:space="0" w:color="000000"/>
            </w:tcBorders>
            <w:shd w:val="clear" w:color="auto" w:fill="auto"/>
            <w:tcMar>
              <w:top w:w="15" w:type="dxa"/>
              <w:left w:w="108" w:type="dxa"/>
              <w:bottom w:w="0" w:type="dxa"/>
              <w:right w:w="108" w:type="dxa"/>
            </w:tcMar>
            <w:vAlign w:val="center"/>
            <w:hideMark/>
          </w:tcPr>
          <w:p w14:paraId="3B197A73" w14:textId="77777777" w:rsidR="00C92C58" w:rsidRPr="00C174D5" w:rsidRDefault="00C92C58" w:rsidP="00B15A9A">
            <w:pPr>
              <w:keepNext/>
              <w:keepLines/>
              <w:spacing w:after="0"/>
              <w:jc w:val="center"/>
              <w:rPr>
                <w:sz w:val="20"/>
                <w:lang w:val="es-ES"/>
              </w:rPr>
            </w:pPr>
            <w:r w:rsidRPr="00C174D5">
              <w:rPr>
                <w:bCs/>
                <w:sz w:val="20"/>
                <w:lang w:val="es-ES"/>
              </w:rPr>
              <w:t>Situación Con Proyecto</w:t>
            </w:r>
          </w:p>
          <w:p w14:paraId="5B7B6EE2" w14:textId="77777777" w:rsidR="00C92C58" w:rsidRPr="00C174D5" w:rsidRDefault="00C92C58" w:rsidP="00B15A9A">
            <w:pPr>
              <w:keepNext/>
              <w:keepLines/>
              <w:spacing w:after="0"/>
              <w:jc w:val="center"/>
              <w:rPr>
                <w:sz w:val="20"/>
                <w:lang w:val="es-ES"/>
              </w:rPr>
            </w:pPr>
            <w:r w:rsidRPr="00C174D5">
              <w:rPr>
                <w:bCs/>
                <w:sz w:val="20"/>
                <w:lang w:val="es-ES"/>
              </w:rPr>
              <w:t>-</w:t>
            </w:r>
          </w:p>
          <w:p w14:paraId="2959BD87" w14:textId="77777777" w:rsidR="00C92C58" w:rsidRPr="00C174D5" w:rsidRDefault="00C92C58" w:rsidP="00B15A9A">
            <w:pPr>
              <w:keepNext/>
              <w:keepLines/>
              <w:spacing w:after="0"/>
              <w:jc w:val="center"/>
              <w:rPr>
                <w:sz w:val="20"/>
                <w:lang w:val="es-ES"/>
              </w:rPr>
            </w:pPr>
            <w:r w:rsidRPr="00C174D5">
              <w:rPr>
                <w:bCs/>
                <w:sz w:val="20"/>
                <w:lang w:val="es-ES"/>
              </w:rPr>
              <w:t>Situación sin proyecto</w:t>
            </w:r>
          </w:p>
        </w:tc>
        <w:tc>
          <w:tcPr>
            <w:tcW w:w="1274" w:type="dxa"/>
            <w:tcBorders>
              <w:top w:val="single" w:sz="12" w:space="0" w:color="000000"/>
            </w:tcBorders>
            <w:shd w:val="clear" w:color="auto" w:fill="auto"/>
            <w:tcMar>
              <w:top w:w="15" w:type="dxa"/>
              <w:left w:w="108" w:type="dxa"/>
              <w:bottom w:w="0" w:type="dxa"/>
              <w:right w:w="108" w:type="dxa"/>
            </w:tcMar>
            <w:vAlign w:val="center"/>
          </w:tcPr>
          <w:p w14:paraId="72C8AD52" w14:textId="77777777" w:rsidR="00C92C58" w:rsidRPr="00C174D5" w:rsidRDefault="00C92C58" w:rsidP="00B15A9A">
            <w:pPr>
              <w:keepNext/>
              <w:keepLines/>
              <w:spacing w:after="0"/>
              <w:jc w:val="center"/>
              <w:rPr>
                <w:sz w:val="20"/>
                <w:lang w:val="es-ES"/>
              </w:rPr>
            </w:pPr>
            <w:r w:rsidRPr="00C174D5">
              <w:rPr>
                <w:sz w:val="20"/>
                <w:lang w:val="es-ES"/>
              </w:rPr>
              <w:t>2.584.875</w:t>
            </w:r>
          </w:p>
        </w:tc>
        <w:tc>
          <w:tcPr>
            <w:tcW w:w="1414" w:type="dxa"/>
            <w:tcBorders>
              <w:top w:val="single" w:sz="12" w:space="0" w:color="000000"/>
            </w:tcBorders>
            <w:shd w:val="clear" w:color="auto" w:fill="auto"/>
            <w:tcMar>
              <w:top w:w="15" w:type="dxa"/>
              <w:left w:w="108" w:type="dxa"/>
              <w:bottom w:w="0" w:type="dxa"/>
              <w:right w:w="108" w:type="dxa"/>
            </w:tcMar>
            <w:vAlign w:val="center"/>
          </w:tcPr>
          <w:p w14:paraId="17AE155B" w14:textId="77777777" w:rsidR="00C92C58" w:rsidRPr="00C174D5" w:rsidRDefault="00C92C58" w:rsidP="00B15A9A">
            <w:pPr>
              <w:keepNext/>
              <w:keepLines/>
              <w:spacing w:after="0"/>
              <w:jc w:val="center"/>
              <w:rPr>
                <w:sz w:val="20"/>
                <w:lang w:val="es-ES"/>
              </w:rPr>
            </w:pPr>
            <w:r w:rsidRPr="00C174D5">
              <w:rPr>
                <w:sz w:val="20"/>
                <w:lang w:val="es-ES"/>
              </w:rPr>
              <w:t>647.305</w:t>
            </w:r>
          </w:p>
        </w:tc>
        <w:tc>
          <w:tcPr>
            <w:tcW w:w="1565" w:type="dxa"/>
            <w:tcBorders>
              <w:top w:val="single" w:sz="12" w:space="0" w:color="000000"/>
            </w:tcBorders>
            <w:shd w:val="clear" w:color="auto" w:fill="auto"/>
            <w:tcMar>
              <w:top w:w="15" w:type="dxa"/>
              <w:left w:w="108" w:type="dxa"/>
              <w:bottom w:w="0" w:type="dxa"/>
              <w:right w:w="108" w:type="dxa"/>
            </w:tcMar>
            <w:vAlign w:val="center"/>
          </w:tcPr>
          <w:p w14:paraId="0C761390" w14:textId="77777777" w:rsidR="00C92C58" w:rsidRPr="00C174D5" w:rsidRDefault="00C92C58" w:rsidP="00B15A9A">
            <w:pPr>
              <w:keepNext/>
              <w:keepLines/>
              <w:spacing w:after="0"/>
              <w:jc w:val="center"/>
              <w:rPr>
                <w:sz w:val="20"/>
                <w:lang w:val="es-ES"/>
              </w:rPr>
            </w:pPr>
            <w:r>
              <w:rPr>
                <w:sz w:val="20"/>
                <w:lang w:val="es-ES"/>
              </w:rPr>
              <w:t>2.</w:t>
            </w:r>
            <w:r w:rsidRPr="00232C12">
              <w:rPr>
                <w:sz w:val="20"/>
                <w:lang w:val="es-ES"/>
              </w:rPr>
              <w:t>852</w:t>
            </w:r>
            <w:r>
              <w:rPr>
                <w:sz w:val="20"/>
                <w:lang w:val="es-ES"/>
              </w:rPr>
              <w:t>.</w:t>
            </w:r>
            <w:r w:rsidRPr="00232C12">
              <w:rPr>
                <w:sz w:val="20"/>
                <w:lang w:val="es-ES"/>
              </w:rPr>
              <w:t>466</w:t>
            </w:r>
          </w:p>
        </w:tc>
        <w:tc>
          <w:tcPr>
            <w:tcW w:w="1304" w:type="dxa"/>
            <w:tcBorders>
              <w:top w:val="single" w:sz="12" w:space="0" w:color="000000"/>
            </w:tcBorders>
            <w:shd w:val="clear" w:color="auto" w:fill="auto"/>
            <w:tcMar>
              <w:top w:w="15" w:type="dxa"/>
              <w:left w:w="108" w:type="dxa"/>
              <w:bottom w:w="0" w:type="dxa"/>
              <w:right w:w="108" w:type="dxa"/>
            </w:tcMar>
            <w:vAlign w:val="center"/>
          </w:tcPr>
          <w:p w14:paraId="28D92413" w14:textId="77777777" w:rsidR="00C92C58" w:rsidRPr="00C174D5" w:rsidRDefault="00C92C58" w:rsidP="00B15A9A">
            <w:pPr>
              <w:keepNext/>
              <w:keepLines/>
              <w:spacing w:after="0"/>
              <w:jc w:val="center"/>
              <w:rPr>
                <w:sz w:val="20"/>
                <w:lang w:val="es-ES"/>
              </w:rPr>
            </w:pPr>
            <w:r w:rsidRPr="00232C12">
              <w:rPr>
                <w:sz w:val="20"/>
                <w:lang w:val="es-ES"/>
              </w:rPr>
              <w:t>-379</w:t>
            </w:r>
            <w:r>
              <w:rPr>
                <w:sz w:val="20"/>
                <w:lang w:val="es-ES"/>
              </w:rPr>
              <w:t>.</w:t>
            </w:r>
            <w:r w:rsidRPr="00232C12">
              <w:rPr>
                <w:sz w:val="20"/>
                <w:lang w:val="es-ES"/>
              </w:rPr>
              <w:t>713</w:t>
            </w:r>
          </w:p>
        </w:tc>
        <w:tc>
          <w:tcPr>
            <w:tcW w:w="788" w:type="dxa"/>
            <w:tcBorders>
              <w:top w:val="single" w:sz="12" w:space="0" w:color="000000"/>
            </w:tcBorders>
            <w:shd w:val="clear" w:color="auto" w:fill="auto"/>
            <w:tcMar>
              <w:top w:w="15" w:type="dxa"/>
              <w:left w:w="108" w:type="dxa"/>
              <w:bottom w:w="0" w:type="dxa"/>
              <w:right w:w="108" w:type="dxa"/>
            </w:tcMar>
            <w:vAlign w:val="center"/>
            <w:hideMark/>
          </w:tcPr>
          <w:p w14:paraId="2D49BF8D" w14:textId="77777777" w:rsidR="00C92C58" w:rsidRPr="00C174D5" w:rsidRDefault="00C92C58" w:rsidP="00B15A9A">
            <w:pPr>
              <w:keepNext/>
              <w:keepLines/>
              <w:spacing w:after="0"/>
              <w:jc w:val="center"/>
              <w:rPr>
                <w:sz w:val="20"/>
                <w:lang w:val="es-ES"/>
              </w:rPr>
            </w:pPr>
            <w:r>
              <w:rPr>
                <w:sz w:val="20"/>
                <w:lang w:val="es-ES"/>
              </w:rPr>
              <w:t>6</w:t>
            </w:r>
            <w:r w:rsidRPr="00C174D5">
              <w:rPr>
                <w:sz w:val="20"/>
                <w:lang w:val="es-ES"/>
              </w:rPr>
              <w:t>%</w:t>
            </w:r>
          </w:p>
        </w:tc>
      </w:tr>
    </w:tbl>
    <w:p w14:paraId="7FD6288C" w14:textId="77777777" w:rsidR="00C92C58" w:rsidRPr="00C174D5" w:rsidRDefault="00C92C58" w:rsidP="00C92C58">
      <w:pPr>
        <w:jc w:val="center"/>
        <w:rPr>
          <w:sz w:val="18"/>
          <w:lang w:val="es-ES"/>
        </w:rPr>
      </w:pPr>
      <w:r w:rsidRPr="00C174D5">
        <w:rPr>
          <w:sz w:val="18"/>
          <w:lang w:val="es-ES"/>
        </w:rPr>
        <w:t>Fuente: Elaboración propia en base a información de ENATREL provista por el BID</w:t>
      </w:r>
    </w:p>
    <w:p w14:paraId="55DE79D8" w14:textId="77777777" w:rsidR="00C92C58" w:rsidRPr="00C174D5" w:rsidRDefault="00C92C58" w:rsidP="00C92C58">
      <w:pPr>
        <w:rPr>
          <w:lang w:val="es-ES"/>
        </w:rPr>
      </w:pPr>
      <w:r w:rsidRPr="00C174D5">
        <w:rPr>
          <w:lang w:val="es-ES"/>
        </w:rPr>
        <w:t xml:space="preserve">En este caso, el proyecto </w:t>
      </w:r>
      <w:r>
        <w:rPr>
          <w:lang w:val="es-ES"/>
        </w:rPr>
        <w:t xml:space="preserve">no </w:t>
      </w:r>
      <w:r w:rsidRPr="00C174D5">
        <w:rPr>
          <w:lang w:val="es-ES"/>
        </w:rPr>
        <w:t>es rentable desde el punto de vista privado</w:t>
      </w:r>
      <w:r>
        <w:rPr>
          <w:lang w:val="es-ES"/>
        </w:rPr>
        <w:t>, aunque sí sostenible</w:t>
      </w:r>
      <w:r w:rsidRPr="00C174D5">
        <w:rPr>
          <w:lang w:val="es-ES"/>
        </w:rPr>
        <w:t>. Como en otros casos, los ingresos operativos están dados por el aumento de los ingresos por transmisión en presencia de proyecto, mientras que los costos son los asociados a la inversión y los costos de operación y mantenimiento.</w:t>
      </w:r>
      <w:r>
        <w:rPr>
          <w:lang w:val="es-ES"/>
        </w:rPr>
        <w:t xml:space="preserve"> Caben en ese caso también las aclaraciones respecto a la limitada relevancia del análisis privado de cada proyecto, siendo que las tarifas reguladas se ajustan para asegurar la sostenibilidad de la empresa.</w:t>
      </w:r>
    </w:p>
    <w:p w14:paraId="52F549EE" w14:textId="77777777" w:rsidR="00C92C58" w:rsidRPr="00C174D5" w:rsidRDefault="00C92C58" w:rsidP="00C92C58">
      <w:pPr>
        <w:rPr>
          <w:lang w:val="es-ES"/>
        </w:rPr>
      </w:pPr>
      <w:r w:rsidRPr="00C174D5">
        <w:rPr>
          <w:lang w:val="es-ES"/>
        </w:rPr>
        <w:t>A continuación se realiza un análisis de sensibilidad sobre estos resultados.</w:t>
      </w:r>
    </w:p>
    <w:p w14:paraId="27220FF8" w14:textId="77777777" w:rsidR="00C92C58" w:rsidRPr="00C174D5" w:rsidRDefault="00C92C58" w:rsidP="00C92C58">
      <w:pPr>
        <w:pStyle w:val="Heading2"/>
        <w:rPr>
          <w:lang w:val="es-ES"/>
        </w:rPr>
      </w:pPr>
      <w:bookmarkStart w:id="104" w:name="_Toc447546940"/>
      <w:bookmarkStart w:id="105" w:name="_Toc456353123"/>
      <w:r w:rsidRPr="00C174D5">
        <w:rPr>
          <w:lang w:val="es-ES"/>
        </w:rPr>
        <w:t xml:space="preserve">SE </w:t>
      </w:r>
      <w:proofErr w:type="spellStart"/>
      <w:r w:rsidRPr="00C174D5">
        <w:rPr>
          <w:lang w:val="es-ES"/>
        </w:rPr>
        <w:t>Acahualinca</w:t>
      </w:r>
      <w:proofErr w:type="spellEnd"/>
      <w:r w:rsidRPr="00C174D5">
        <w:rPr>
          <w:lang w:val="es-ES"/>
        </w:rPr>
        <w:t xml:space="preserve"> - Sensibilidades</w:t>
      </w:r>
      <w:bookmarkEnd w:id="104"/>
      <w:bookmarkEnd w:id="105"/>
    </w:p>
    <w:p w14:paraId="60CB7522" w14:textId="77777777" w:rsidR="00C92C58" w:rsidRPr="00C174D5" w:rsidRDefault="00C92C58" w:rsidP="00C92C58">
      <w:pPr>
        <w:rPr>
          <w:lang w:val="es-ES"/>
        </w:rPr>
      </w:pPr>
      <w:r w:rsidRPr="00C174D5">
        <w:rPr>
          <w:lang w:val="es-ES"/>
        </w:rPr>
        <w:t>Las sensibilidades efectuadas en este proyecto son, al igual que en los anteriores, en relación a la tasa de descuento, a la tasa de crecimiento promedio de la demanda, al costo de energía de falla y al valor de la inversión.</w:t>
      </w:r>
    </w:p>
    <w:p w14:paraId="78598399" w14:textId="77777777" w:rsidR="00C92C58" w:rsidRPr="00C174D5" w:rsidRDefault="00C92C58" w:rsidP="00C92C58">
      <w:pPr>
        <w:keepNext/>
        <w:keepLines/>
        <w:spacing w:after="120"/>
        <w:jc w:val="center"/>
        <w:rPr>
          <w:b/>
          <w:sz w:val="20"/>
          <w:lang w:val="es-ES"/>
        </w:rPr>
      </w:pPr>
      <w:bookmarkStart w:id="106" w:name="_Toc447546977"/>
      <w:bookmarkStart w:id="107" w:name="_Toc456353174"/>
      <w:r w:rsidRPr="00C174D5">
        <w:rPr>
          <w:b/>
          <w:sz w:val="20"/>
          <w:lang w:val="es-ES"/>
        </w:rPr>
        <w:lastRenderedPageBreak/>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18</w:t>
      </w:r>
      <w:r w:rsidRPr="00C174D5">
        <w:rPr>
          <w:b/>
          <w:sz w:val="20"/>
          <w:lang w:val="es-ES"/>
        </w:rPr>
        <w:fldChar w:fldCharType="end"/>
      </w:r>
      <w:r w:rsidRPr="00C174D5">
        <w:rPr>
          <w:b/>
          <w:sz w:val="20"/>
          <w:lang w:val="es-ES"/>
        </w:rPr>
        <w:t xml:space="preserve">: Análisis de sensibilidad evaluación económica – SE </w:t>
      </w:r>
      <w:proofErr w:type="spellStart"/>
      <w:r w:rsidRPr="00C174D5">
        <w:rPr>
          <w:b/>
          <w:sz w:val="20"/>
          <w:lang w:val="es-ES"/>
        </w:rPr>
        <w:t>Acahualinca</w:t>
      </w:r>
      <w:bookmarkEnd w:id="106"/>
      <w:bookmarkEnd w:id="107"/>
      <w:proofErr w:type="spellEnd"/>
    </w:p>
    <w:tbl>
      <w:tblPr>
        <w:tblW w:w="73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701"/>
        <w:gridCol w:w="2409"/>
        <w:gridCol w:w="1418"/>
        <w:gridCol w:w="851"/>
        <w:gridCol w:w="932"/>
      </w:tblGrid>
      <w:tr w:rsidR="00C92C58" w:rsidRPr="00C174D5" w14:paraId="0F32B868" w14:textId="77777777" w:rsidTr="00B15A9A">
        <w:trPr>
          <w:trHeight w:val="300"/>
          <w:jc w:val="center"/>
        </w:trPr>
        <w:tc>
          <w:tcPr>
            <w:tcW w:w="4110" w:type="dxa"/>
            <w:gridSpan w:val="2"/>
            <w:tcBorders>
              <w:top w:val="single" w:sz="12" w:space="0" w:color="auto"/>
              <w:bottom w:val="single" w:sz="12" w:space="0" w:color="auto"/>
            </w:tcBorders>
            <w:shd w:val="clear" w:color="auto" w:fill="BFBFBF" w:themeFill="background1" w:themeFillShade="BF"/>
            <w:noWrap/>
            <w:vAlign w:val="center"/>
          </w:tcPr>
          <w:p w14:paraId="1D1A7427" w14:textId="77777777" w:rsidR="00C92C58" w:rsidRPr="00C174D5" w:rsidRDefault="00C92C58" w:rsidP="00B15A9A">
            <w:pPr>
              <w:keepNext/>
              <w:keepLines/>
              <w:spacing w:after="0" w:line="240" w:lineRule="auto"/>
              <w:jc w:val="left"/>
              <w:rPr>
                <w:rFonts w:eastAsia="Times New Roman" w:cs="Times New Roman"/>
                <w:b/>
                <w:sz w:val="20"/>
                <w:szCs w:val="20"/>
                <w:lang w:val="es-ES" w:eastAsia="es-AR"/>
              </w:rPr>
            </w:pPr>
            <w:r w:rsidRPr="00C174D5">
              <w:rPr>
                <w:b/>
                <w:sz w:val="20"/>
                <w:lang w:val="es-ES"/>
              </w:rPr>
              <w:t xml:space="preserve">SE </w:t>
            </w:r>
            <w:proofErr w:type="spellStart"/>
            <w:r w:rsidRPr="00C174D5">
              <w:rPr>
                <w:b/>
                <w:sz w:val="20"/>
                <w:lang w:val="es-ES"/>
              </w:rPr>
              <w:t>Acahualinca</w:t>
            </w:r>
            <w:proofErr w:type="spellEnd"/>
          </w:p>
        </w:tc>
        <w:tc>
          <w:tcPr>
            <w:tcW w:w="2269" w:type="dxa"/>
            <w:gridSpan w:val="2"/>
            <w:tcBorders>
              <w:top w:val="single" w:sz="12" w:space="0" w:color="auto"/>
              <w:bottom w:val="single" w:sz="12" w:space="0" w:color="auto"/>
            </w:tcBorders>
            <w:shd w:val="clear" w:color="auto" w:fill="BFBFBF" w:themeFill="background1" w:themeFillShade="BF"/>
            <w:vAlign w:val="center"/>
          </w:tcPr>
          <w:p w14:paraId="1AE6C17B" w14:textId="77777777" w:rsidR="00C92C58" w:rsidRPr="00C174D5" w:rsidRDefault="00C92C58" w:rsidP="00B15A9A">
            <w:pPr>
              <w:keepNext/>
              <w:keepLines/>
              <w:spacing w:after="0" w:line="240" w:lineRule="auto"/>
              <w:jc w:val="center"/>
              <w:rPr>
                <w:rFonts w:eastAsia="Times New Roman" w:cs="Times New Roman"/>
                <w:b/>
                <w:sz w:val="20"/>
                <w:szCs w:val="20"/>
                <w:lang w:val="es-ES" w:eastAsia="es-AR"/>
              </w:rPr>
            </w:pPr>
            <w:r w:rsidRPr="00C174D5">
              <w:rPr>
                <w:rFonts w:eastAsia="Times New Roman" w:cs="Arial"/>
                <w:b/>
                <w:sz w:val="20"/>
                <w:szCs w:val="20"/>
                <w:lang w:val="es-ES" w:eastAsia="es-AR"/>
              </w:rPr>
              <w:t>VPNE (US$)</w:t>
            </w:r>
          </w:p>
        </w:tc>
        <w:tc>
          <w:tcPr>
            <w:tcW w:w="932" w:type="dxa"/>
            <w:tcBorders>
              <w:top w:val="single" w:sz="12" w:space="0" w:color="auto"/>
              <w:bottom w:val="single" w:sz="12" w:space="0" w:color="auto"/>
            </w:tcBorders>
            <w:shd w:val="clear" w:color="auto" w:fill="BFBFBF" w:themeFill="background1" w:themeFillShade="BF"/>
            <w:vAlign w:val="center"/>
          </w:tcPr>
          <w:p w14:paraId="21993FD6" w14:textId="77777777" w:rsidR="00C92C58" w:rsidRPr="00C174D5" w:rsidRDefault="00C92C58" w:rsidP="00B15A9A">
            <w:pPr>
              <w:keepNext/>
              <w:keepLines/>
              <w:spacing w:after="0" w:line="240" w:lineRule="auto"/>
              <w:jc w:val="center"/>
              <w:rPr>
                <w:rFonts w:eastAsia="Times New Roman" w:cs="Arial"/>
                <w:b/>
                <w:sz w:val="20"/>
                <w:szCs w:val="20"/>
                <w:lang w:val="es-ES" w:eastAsia="es-AR"/>
              </w:rPr>
            </w:pPr>
            <w:r w:rsidRPr="00C174D5">
              <w:rPr>
                <w:rFonts w:eastAsia="Times New Roman" w:cs="Arial"/>
                <w:b/>
                <w:sz w:val="20"/>
                <w:szCs w:val="20"/>
                <w:lang w:val="es-ES" w:eastAsia="es-AR"/>
              </w:rPr>
              <w:t>TIRE (%)</w:t>
            </w:r>
          </w:p>
        </w:tc>
      </w:tr>
      <w:tr w:rsidR="00C92C58" w:rsidRPr="00C174D5" w14:paraId="6513E41E" w14:textId="77777777" w:rsidTr="00B15A9A">
        <w:trPr>
          <w:trHeight w:val="300"/>
          <w:jc w:val="center"/>
        </w:trPr>
        <w:tc>
          <w:tcPr>
            <w:tcW w:w="4110" w:type="dxa"/>
            <w:gridSpan w:val="2"/>
            <w:tcBorders>
              <w:top w:val="single" w:sz="12" w:space="0" w:color="auto"/>
              <w:bottom w:val="single" w:sz="2" w:space="0" w:color="auto"/>
            </w:tcBorders>
            <w:shd w:val="clear" w:color="auto" w:fill="auto"/>
            <w:noWrap/>
            <w:vAlign w:val="center"/>
          </w:tcPr>
          <w:p w14:paraId="27D92215" w14:textId="77777777" w:rsidR="00C92C58" w:rsidRPr="00C174D5" w:rsidRDefault="00C92C58" w:rsidP="00B15A9A">
            <w:pPr>
              <w:keepNext/>
              <w:keepLines/>
              <w:spacing w:after="0" w:line="240" w:lineRule="auto"/>
              <w:rPr>
                <w:rFonts w:eastAsia="Times New Roman" w:cs="Times New Roman"/>
                <w:i/>
                <w:sz w:val="20"/>
                <w:szCs w:val="20"/>
                <w:lang w:val="es-ES" w:eastAsia="es-AR"/>
              </w:rPr>
            </w:pPr>
            <w:r w:rsidRPr="00C174D5">
              <w:rPr>
                <w:rFonts w:eastAsia="Times New Roman" w:cs="Times New Roman"/>
                <w:i/>
                <w:sz w:val="20"/>
                <w:szCs w:val="20"/>
                <w:lang w:val="es-ES" w:eastAsia="es-AR"/>
              </w:rPr>
              <w:t xml:space="preserve">Caso Base </w:t>
            </w:r>
          </w:p>
        </w:tc>
        <w:tc>
          <w:tcPr>
            <w:tcW w:w="2269" w:type="dxa"/>
            <w:gridSpan w:val="2"/>
            <w:tcBorders>
              <w:top w:val="single" w:sz="12" w:space="0" w:color="auto"/>
              <w:bottom w:val="single" w:sz="2" w:space="0" w:color="auto"/>
            </w:tcBorders>
            <w:vAlign w:val="center"/>
          </w:tcPr>
          <w:p w14:paraId="4FFD513A" w14:textId="77777777" w:rsidR="00C92C58" w:rsidRPr="00C174D5" w:rsidRDefault="00C92C58" w:rsidP="00B15A9A">
            <w:pPr>
              <w:keepNext/>
              <w:keepLines/>
              <w:spacing w:after="0" w:line="240" w:lineRule="auto"/>
              <w:jc w:val="center"/>
              <w:rPr>
                <w:rFonts w:eastAsia="Times New Roman" w:cs="Times New Roman"/>
                <w:i/>
                <w:sz w:val="20"/>
                <w:szCs w:val="20"/>
                <w:lang w:val="es-ES" w:eastAsia="es-AR"/>
              </w:rPr>
            </w:pPr>
            <w:r w:rsidRPr="00232C12">
              <w:rPr>
                <w:rFonts w:eastAsia="Times New Roman" w:cs="Times New Roman"/>
                <w:i/>
                <w:sz w:val="20"/>
                <w:szCs w:val="20"/>
                <w:lang w:val="es-ES" w:eastAsia="es-AR"/>
              </w:rPr>
              <w:t>156.716.608</w:t>
            </w:r>
          </w:p>
        </w:tc>
        <w:tc>
          <w:tcPr>
            <w:tcW w:w="932" w:type="dxa"/>
            <w:tcBorders>
              <w:top w:val="single" w:sz="12" w:space="0" w:color="auto"/>
              <w:bottom w:val="single" w:sz="2" w:space="0" w:color="auto"/>
            </w:tcBorders>
            <w:vAlign w:val="center"/>
          </w:tcPr>
          <w:p w14:paraId="4421F07E" w14:textId="77777777" w:rsidR="00C92C58" w:rsidRPr="00C174D5" w:rsidRDefault="00C92C58" w:rsidP="00B15A9A">
            <w:pPr>
              <w:keepNext/>
              <w:keepLines/>
              <w:spacing w:after="0" w:line="240" w:lineRule="auto"/>
              <w:jc w:val="center"/>
              <w:rPr>
                <w:rFonts w:eastAsia="Times New Roman" w:cs="Times New Roman"/>
                <w:i/>
                <w:sz w:val="20"/>
                <w:szCs w:val="20"/>
                <w:lang w:val="es-ES" w:eastAsia="es-AR"/>
              </w:rPr>
            </w:pPr>
            <w:r>
              <w:rPr>
                <w:rFonts w:eastAsia="Times New Roman" w:cs="Times New Roman"/>
                <w:i/>
                <w:sz w:val="20"/>
                <w:szCs w:val="20"/>
                <w:lang w:val="es-ES" w:eastAsia="es-AR"/>
              </w:rPr>
              <w:t>63</w:t>
            </w:r>
            <w:r w:rsidRPr="00C174D5">
              <w:rPr>
                <w:rFonts w:eastAsia="Times New Roman" w:cs="Times New Roman"/>
                <w:i/>
                <w:sz w:val="20"/>
                <w:szCs w:val="20"/>
                <w:lang w:val="es-ES" w:eastAsia="es-AR"/>
              </w:rPr>
              <w:t>%</w:t>
            </w:r>
          </w:p>
        </w:tc>
      </w:tr>
      <w:tr w:rsidR="00C92C58" w:rsidRPr="00C174D5" w14:paraId="4B983EB5" w14:textId="77777777" w:rsidTr="00B15A9A">
        <w:trPr>
          <w:trHeight w:val="300"/>
          <w:jc w:val="center"/>
        </w:trPr>
        <w:tc>
          <w:tcPr>
            <w:tcW w:w="4110" w:type="dxa"/>
            <w:gridSpan w:val="2"/>
            <w:tcBorders>
              <w:top w:val="single" w:sz="2" w:space="0" w:color="auto"/>
            </w:tcBorders>
            <w:shd w:val="clear" w:color="auto" w:fill="auto"/>
            <w:noWrap/>
            <w:vAlign w:val="center"/>
          </w:tcPr>
          <w:p w14:paraId="472344A4"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Tasa social de descuento(base 12%): 8%</w:t>
            </w:r>
          </w:p>
        </w:tc>
        <w:tc>
          <w:tcPr>
            <w:tcW w:w="1418" w:type="dxa"/>
            <w:tcBorders>
              <w:top w:val="single" w:sz="2" w:space="0" w:color="auto"/>
            </w:tcBorders>
            <w:vAlign w:val="center"/>
          </w:tcPr>
          <w:p w14:paraId="2F0D1714"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232C12">
              <w:rPr>
                <w:rFonts w:eastAsia="Times New Roman" w:cs="Times New Roman"/>
                <w:sz w:val="20"/>
                <w:szCs w:val="20"/>
                <w:lang w:val="es-ES" w:eastAsia="es-AR"/>
              </w:rPr>
              <w:t>271</w:t>
            </w:r>
            <w:r>
              <w:rPr>
                <w:rFonts w:eastAsia="Times New Roman" w:cs="Times New Roman"/>
                <w:sz w:val="20"/>
                <w:szCs w:val="20"/>
                <w:lang w:val="es-ES" w:eastAsia="es-AR"/>
              </w:rPr>
              <w:t>.</w:t>
            </w:r>
            <w:r w:rsidRPr="00232C12">
              <w:rPr>
                <w:rFonts w:eastAsia="Times New Roman" w:cs="Times New Roman"/>
                <w:sz w:val="20"/>
                <w:szCs w:val="20"/>
                <w:lang w:val="es-ES" w:eastAsia="es-AR"/>
              </w:rPr>
              <w:t>092</w:t>
            </w:r>
            <w:r>
              <w:rPr>
                <w:rFonts w:eastAsia="Times New Roman" w:cs="Times New Roman"/>
                <w:sz w:val="20"/>
                <w:szCs w:val="20"/>
                <w:lang w:val="es-ES" w:eastAsia="es-AR"/>
              </w:rPr>
              <w:t>.</w:t>
            </w:r>
            <w:r w:rsidRPr="00232C12">
              <w:rPr>
                <w:rFonts w:eastAsia="Times New Roman" w:cs="Times New Roman"/>
                <w:sz w:val="20"/>
                <w:szCs w:val="20"/>
                <w:lang w:val="es-ES" w:eastAsia="es-AR"/>
              </w:rPr>
              <w:t>289</w:t>
            </w:r>
          </w:p>
        </w:tc>
        <w:tc>
          <w:tcPr>
            <w:tcW w:w="851" w:type="dxa"/>
            <w:tcBorders>
              <w:top w:val="single" w:sz="2" w:space="0" w:color="auto"/>
            </w:tcBorders>
            <w:vAlign w:val="center"/>
          </w:tcPr>
          <w:p w14:paraId="243B2964"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w:t>
            </w:r>
            <w:r>
              <w:rPr>
                <w:rFonts w:eastAsia="Times New Roman" w:cs="Times New Roman"/>
                <w:sz w:val="20"/>
                <w:szCs w:val="20"/>
                <w:lang w:val="es-ES" w:eastAsia="es-AR"/>
              </w:rPr>
              <w:t>73</w:t>
            </w:r>
            <w:r w:rsidRPr="00C174D5">
              <w:rPr>
                <w:rFonts w:eastAsia="Times New Roman" w:cs="Times New Roman"/>
                <w:sz w:val="20"/>
                <w:szCs w:val="20"/>
                <w:lang w:val="es-ES" w:eastAsia="es-AR"/>
              </w:rPr>
              <w:t>%</w:t>
            </w:r>
          </w:p>
        </w:tc>
        <w:tc>
          <w:tcPr>
            <w:tcW w:w="932" w:type="dxa"/>
            <w:tcBorders>
              <w:top w:val="single" w:sz="2" w:space="0" w:color="auto"/>
            </w:tcBorders>
            <w:vAlign w:val="center"/>
          </w:tcPr>
          <w:p w14:paraId="0CAFB3FA"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63</w:t>
            </w:r>
            <w:r w:rsidRPr="00C174D5">
              <w:rPr>
                <w:rFonts w:eastAsia="Times New Roman" w:cs="Times New Roman"/>
                <w:sz w:val="20"/>
                <w:szCs w:val="20"/>
                <w:lang w:val="es-ES" w:eastAsia="es-AR"/>
              </w:rPr>
              <w:t>%</w:t>
            </w:r>
          </w:p>
        </w:tc>
      </w:tr>
      <w:tr w:rsidR="00C92C58" w:rsidRPr="00E67BF2" w14:paraId="6BA867F9" w14:textId="77777777" w:rsidTr="00B15A9A">
        <w:trPr>
          <w:trHeight w:val="300"/>
          <w:jc w:val="center"/>
        </w:trPr>
        <w:tc>
          <w:tcPr>
            <w:tcW w:w="7311" w:type="dxa"/>
            <w:gridSpan w:val="5"/>
            <w:tcBorders>
              <w:top w:val="single" w:sz="2" w:space="0" w:color="auto"/>
            </w:tcBorders>
            <w:shd w:val="clear" w:color="auto" w:fill="auto"/>
            <w:noWrap/>
            <w:vAlign w:val="center"/>
          </w:tcPr>
          <w:p w14:paraId="2AAA8B22"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 xml:space="preserve">Tasa de crecimiento promedio de la demanda existente (base </w:t>
            </w:r>
            <w:r>
              <w:rPr>
                <w:rFonts w:eastAsia="Times New Roman" w:cs="Times New Roman"/>
                <w:sz w:val="20"/>
                <w:szCs w:val="20"/>
                <w:lang w:val="es-ES" w:eastAsia="es-AR"/>
              </w:rPr>
              <w:t>3</w:t>
            </w:r>
            <w:r w:rsidRPr="00C174D5">
              <w:rPr>
                <w:rFonts w:eastAsia="Times New Roman" w:cs="Times New Roman"/>
                <w:sz w:val="20"/>
                <w:szCs w:val="20"/>
                <w:lang w:val="es-ES" w:eastAsia="es-AR"/>
              </w:rPr>
              <w:t>,</w:t>
            </w:r>
            <w:r>
              <w:rPr>
                <w:rFonts w:eastAsia="Times New Roman" w:cs="Times New Roman"/>
                <w:sz w:val="20"/>
                <w:szCs w:val="20"/>
                <w:lang w:val="es-ES" w:eastAsia="es-AR"/>
              </w:rPr>
              <w:t>6</w:t>
            </w:r>
            <w:r w:rsidRPr="00C174D5">
              <w:rPr>
                <w:rFonts w:eastAsia="Times New Roman" w:cs="Times New Roman"/>
                <w:sz w:val="20"/>
                <w:szCs w:val="20"/>
                <w:lang w:val="es-ES" w:eastAsia="es-AR"/>
              </w:rPr>
              <w:t>%)</w:t>
            </w:r>
          </w:p>
        </w:tc>
      </w:tr>
      <w:tr w:rsidR="00C92C58" w:rsidRPr="00C174D5" w14:paraId="495B6A67" w14:textId="77777777" w:rsidTr="00B15A9A">
        <w:trPr>
          <w:trHeight w:val="300"/>
          <w:jc w:val="center"/>
        </w:trPr>
        <w:tc>
          <w:tcPr>
            <w:tcW w:w="1701" w:type="dxa"/>
            <w:tcBorders>
              <w:top w:val="single" w:sz="2" w:space="0" w:color="auto"/>
            </w:tcBorders>
            <w:shd w:val="clear" w:color="auto" w:fill="auto"/>
            <w:noWrap/>
            <w:vAlign w:val="center"/>
          </w:tcPr>
          <w:p w14:paraId="36A9A661"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2560B8DF"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3,</w:t>
            </w:r>
            <w:r>
              <w:rPr>
                <w:rFonts w:eastAsia="Times New Roman" w:cs="Times New Roman"/>
                <w:sz w:val="20"/>
                <w:szCs w:val="20"/>
                <w:lang w:val="es-ES" w:eastAsia="es-AR"/>
              </w:rPr>
              <w:t>06</w:t>
            </w:r>
            <w:r w:rsidRPr="00C174D5">
              <w:rPr>
                <w:rFonts w:eastAsia="Times New Roman" w:cs="Times New Roman"/>
                <w:sz w:val="20"/>
                <w:szCs w:val="20"/>
                <w:lang w:val="es-ES" w:eastAsia="es-AR"/>
              </w:rPr>
              <w:t>% (- 15%)</w:t>
            </w:r>
          </w:p>
        </w:tc>
        <w:tc>
          <w:tcPr>
            <w:tcW w:w="1418" w:type="dxa"/>
            <w:tcBorders>
              <w:top w:val="single" w:sz="2" w:space="0" w:color="auto"/>
            </w:tcBorders>
            <w:vAlign w:val="center"/>
          </w:tcPr>
          <w:p w14:paraId="0AA1107E"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D41D46">
              <w:rPr>
                <w:rFonts w:eastAsia="Times New Roman" w:cs="Times New Roman"/>
                <w:sz w:val="20"/>
                <w:szCs w:val="20"/>
                <w:lang w:val="es-ES" w:eastAsia="es-AR"/>
              </w:rPr>
              <w:t>124</w:t>
            </w:r>
            <w:r>
              <w:rPr>
                <w:rFonts w:eastAsia="Times New Roman" w:cs="Times New Roman"/>
                <w:sz w:val="20"/>
                <w:szCs w:val="20"/>
                <w:lang w:val="es-ES" w:eastAsia="es-AR"/>
              </w:rPr>
              <w:t>.</w:t>
            </w:r>
            <w:r w:rsidRPr="00D41D46">
              <w:rPr>
                <w:rFonts w:eastAsia="Times New Roman" w:cs="Times New Roman"/>
                <w:sz w:val="20"/>
                <w:szCs w:val="20"/>
                <w:lang w:val="es-ES" w:eastAsia="es-AR"/>
              </w:rPr>
              <w:t>450</w:t>
            </w:r>
            <w:r>
              <w:rPr>
                <w:rFonts w:eastAsia="Times New Roman" w:cs="Times New Roman"/>
                <w:sz w:val="20"/>
                <w:szCs w:val="20"/>
                <w:lang w:val="es-ES" w:eastAsia="es-AR"/>
              </w:rPr>
              <w:t>.</w:t>
            </w:r>
            <w:r w:rsidRPr="00D41D46">
              <w:rPr>
                <w:rFonts w:eastAsia="Times New Roman" w:cs="Times New Roman"/>
                <w:sz w:val="20"/>
                <w:szCs w:val="20"/>
                <w:lang w:val="es-ES" w:eastAsia="es-AR"/>
              </w:rPr>
              <w:t xml:space="preserve">963 </w:t>
            </w:r>
          </w:p>
        </w:tc>
        <w:tc>
          <w:tcPr>
            <w:tcW w:w="851" w:type="dxa"/>
            <w:tcBorders>
              <w:top w:val="single" w:sz="2" w:space="0" w:color="auto"/>
            </w:tcBorders>
            <w:vAlign w:val="center"/>
          </w:tcPr>
          <w:p w14:paraId="60025E34"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w:t>
            </w:r>
            <w:r>
              <w:rPr>
                <w:rFonts w:eastAsia="Times New Roman" w:cs="Times New Roman"/>
                <w:sz w:val="20"/>
                <w:szCs w:val="20"/>
                <w:lang w:val="es-ES" w:eastAsia="es-AR"/>
              </w:rPr>
              <w:t>20</w:t>
            </w:r>
            <w:r w:rsidRPr="00C174D5">
              <w:rPr>
                <w:rFonts w:eastAsia="Times New Roman" w:cs="Times New Roman"/>
                <w:sz w:val="20"/>
                <w:szCs w:val="20"/>
                <w:lang w:val="es-ES" w:eastAsia="es-AR"/>
              </w:rPr>
              <w:t>,</w:t>
            </w:r>
            <w:r>
              <w:rPr>
                <w:rFonts w:eastAsia="Times New Roman" w:cs="Times New Roman"/>
                <w:sz w:val="20"/>
                <w:szCs w:val="20"/>
                <w:lang w:val="es-ES" w:eastAsia="es-AR"/>
              </w:rPr>
              <w:t>6</w:t>
            </w:r>
            <w:r w:rsidRPr="00C174D5">
              <w:rPr>
                <w:rFonts w:eastAsia="Times New Roman" w:cs="Times New Roman"/>
                <w:sz w:val="20"/>
                <w:szCs w:val="20"/>
                <w:lang w:val="es-ES" w:eastAsia="es-AR"/>
              </w:rPr>
              <w:t>%</w:t>
            </w:r>
          </w:p>
        </w:tc>
        <w:tc>
          <w:tcPr>
            <w:tcW w:w="932" w:type="dxa"/>
            <w:tcBorders>
              <w:top w:val="single" w:sz="2" w:space="0" w:color="auto"/>
            </w:tcBorders>
            <w:vAlign w:val="center"/>
          </w:tcPr>
          <w:p w14:paraId="55E4E614"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59</w:t>
            </w:r>
            <w:r w:rsidRPr="00C174D5">
              <w:rPr>
                <w:rFonts w:eastAsia="Times New Roman" w:cs="Times New Roman"/>
                <w:sz w:val="20"/>
                <w:szCs w:val="20"/>
                <w:lang w:val="es-ES" w:eastAsia="es-AR"/>
              </w:rPr>
              <w:t>%</w:t>
            </w:r>
          </w:p>
        </w:tc>
      </w:tr>
      <w:tr w:rsidR="00C92C58" w:rsidRPr="00C174D5" w14:paraId="5620F08C" w14:textId="77777777" w:rsidTr="00B15A9A">
        <w:trPr>
          <w:trHeight w:val="300"/>
          <w:jc w:val="center"/>
        </w:trPr>
        <w:tc>
          <w:tcPr>
            <w:tcW w:w="1701" w:type="dxa"/>
            <w:tcBorders>
              <w:top w:val="single" w:sz="2" w:space="0" w:color="auto"/>
            </w:tcBorders>
            <w:shd w:val="clear" w:color="auto" w:fill="auto"/>
            <w:noWrap/>
            <w:vAlign w:val="center"/>
          </w:tcPr>
          <w:p w14:paraId="530DC2CA"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51F6A343"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Pr>
                <w:rFonts w:eastAsia="Times New Roman" w:cs="Times New Roman"/>
                <w:sz w:val="20"/>
                <w:szCs w:val="20"/>
                <w:lang w:val="es-ES" w:eastAsia="es-AR"/>
              </w:rPr>
              <w:t>2</w:t>
            </w:r>
            <w:r w:rsidRPr="00C174D5">
              <w:rPr>
                <w:rFonts w:eastAsia="Times New Roman" w:cs="Times New Roman"/>
                <w:sz w:val="20"/>
                <w:szCs w:val="20"/>
                <w:lang w:val="es-ES" w:eastAsia="es-AR"/>
              </w:rPr>
              <w:t>,</w:t>
            </w:r>
            <w:r>
              <w:rPr>
                <w:rFonts w:eastAsia="Times New Roman" w:cs="Times New Roman"/>
                <w:sz w:val="20"/>
                <w:szCs w:val="20"/>
                <w:lang w:val="es-ES" w:eastAsia="es-AR"/>
              </w:rPr>
              <w:t>52</w:t>
            </w:r>
            <w:r w:rsidRPr="00C174D5">
              <w:rPr>
                <w:rFonts w:eastAsia="Times New Roman" w:cs="Times New Roman"/>
                <w:sz w:val="20"/>
                <w:szCs w:val="20"/>
                <w:lang w:val="es-ES" w:eastAsia="es-AR"/>
              </w:rPr>
              <w:t>% (- 30%)</w:t>
            </w:r>
          </w:p>
        </w:tc>
        <w:tc>
          <w:tcPr>
            <w:tcW w:w="1418" w:type="dxa"/>
            <w:tcBorders>
              <w:top w:val="single" w:sz="2" w:space="0" w:color="auto"/>
            </w:tcBorders>
            <w:vAlign w:val="center"/>
          </w:tcPr>
          <w:p w14:paraId="7DE2200C"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D41D46">
              <w:rPr>
                <w:rFonts w:eastAsia="Times New Roman" w:cs="Times New Roman"/>
                <w:sz w:val="20"/>
                <w:szCs w:val="20"/>
                <w:lang w:val="es-ES" w:eastAsia="es-AR"/>
              </w:rPr>
              <w:t>95</w:t>
            </w:r>
            <w:r>
              <w:rPr>
                <w:rFonts w:eastAsia="Times New Roman" w:cs="Times New Roman"/>
                <w:sz w:val="20"/>
                <w:szCs w:val="20"/>
                <w:lang w:val="es-ES" w:eastAsia="es-AR"/>
              </w:rPr>
              <w:t>.</w:t>
            </w:r>
            <w:r w:rsidRPr="00D41D46">
              <w:rPr>
                <w:rFonts w:eastAsia="Times New Roman" w:cs="Times New Roman"/>
                <w:sz w:val="20"/>
                <w:szCs w:val="20"/>
                <w:lang w:val="es-ES" w:eastAsia="es-AR"/>
              </w:rPr>
              <w:t>527</w:t>
            </w:r>
            <w:r>
              <w:rPr>
                <w:rFonts w:eastAsia="Times New Roman" w:cs="Times New Roman"/>
                <w:sz w:val="20"/>
                <w:szCs w:val="20"/>
                <w:lang w:val="es-ES" w:eastAsia="es-AR"/>
              </w:rPr>
              <w:t>.</w:t>
            </w:r>
            <w:r w:rsidRPr="00D41D46">
              <w:rPr>
                <w:rFonts w:eastAsia="Times New Roman" w:cs="Times New Roman"/>
                <w:sz w:val="20"/>
                <w:szCs w:val="20"/>
                <w:lang w:val="es-ES" w:eastAsia="es-AR"/>
              </w:rPr>
              <w:t xml:space="preserve">415 </w:t>
            </w:r>
          </w:p>
        </w:tc>
        <w:tc>
          <w:tcPr>
            <w:tcW w:w="851" w:type="dxa"/>
            <w:tcBorders>
              <w:top w:val="single" w:sz="2" w:space="0" w:color="auto"/>
            </w:tcBorders>
            <w:vAlign w:val="center"/>
          </w:tcPr>
          <w:p w14:paraId="66F45CF9"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-3</w:t>
            </w:r>
            <w:r>
              <w:rPr>
                <w:rFonts w:eastAsia="Times New Roman" w:cs="Times New Roman"/>
                <w:sz w:val="20"/>
                <w:szCs w:val="20"/>
                <w:lang w:val="es-ES" w:eastAsia="es-AR"/>
              </w:rPr>
              <w:t>9</w:t>
            </w:r>
            <w:r w:rsidRPr="00C174D5">
              <w:rPr>
                <w:rFonts w:eastAsia="Times New Roman" w:cs="Times New Roman"/>
                <w:sz w:val="20"/>
                <w:szCs w:val="20"/>
                <w:lang w:val="es-ES" w:eastAsia="es-AR"/>
              </w:rPr>
              <w:t>%</w:t>
            </w:r>
          </w:p>
        </w:tc>
        <w:tc>
          <w:tcPr>
            <w:tcW w:w="932" w:type="dxa"/>
            <w:tcBorders>
              <w:top w:val="single" w:sz="2" w:space="0" w:color="auto"/>
            </w:tcBorders>
            <w:vAlign w:val="center"/>
          </w:tcPr>
          <w:p w14:paraId="479FBCF5"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54</w:t>
            </w:r>
            <w:r w:rsidRPr="00C174D5">
              <w:rPr>
                <w:rFonts w:eastAsia="Times New Roman" w:cs="Times New Roman"/>
                <w:sz w:val="20"/>
                <w:szCs w:val="20"/>
                <w:lang w:val="es-ES" w:eastAsia="es-AR"/>
              </w:rPr>
              <w:t>%</w:t>
            </w:r>
          </w:p>
        </w:tc>
      </w:tr>
      <w:tr w:rsidR="00C92C58" w:rsidRPr="00E67BF2" w14:paraId="002C33B7" w14:textId="77777777" w:rsidTr="00B15A9A">
        <w:trPr>
          <w:trHeight w:val="300"/>
          <w:jc w:val="center"/>
        </w:trPr>
        <w:tc>
          <w:tcPr>
            <w:tcW w:w="7311" w:type="dxa"/>
            <w:gridSpan w:val="5"/>
            <w:tcBorders>
              <w:top w:val="single" w:sz="2" w:space="0" w:color="auto"/>
              <w:bottom w:val="single" w:sz="2" w:space="0" w:color="auto"/>
            </w:tcBorders>
            <w:shd w:val="clear" w:color="auto" w:fill="auto"/>
            <w:noWrap/>
            <w:vAlign w:val="center"/>
          </w:tcPr>
          <w:p w14:paraId="48B91A21"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Costo de falla (base 1.500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w:t>
            </w:r>
          </w:p>
        </w:tc>
      </w:tr>
      <w:tr w:rsidR="00C92C58" w:rsidRPr="00C174D5" w14:paraId="42D02407" w14:textId="77777777" w:rsidTr="00B15A9A">
        <w:trPr>
          <w:trHeight w:val="300"/>
          <w:jc w:val="center"/>
        </w:trPr>
        <w:tc>
          <w:tcPr>
            <w:tcW w:w="1701" w:type="dxa"/>
            <w:tcBorders>
              <w:top w:val="single" w:sz="2" w:space="0" w:color="auto"/>
            </w:tcBorders>
            <w:shd w:val="clear" w:color="auto" w:fill="auto"/>
            <w:noWrap/>
            <w:vAlign w:val="center"/>
          </w:tcPr>
          <w:p w14:paraId="3AC8B126"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4040C517"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1.725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xml:space="preserve"> (+ 15%)</w:t>
            </w:r>
          </w:p>
        </w:tc>
        <w:tc>
          <w:tcPr>
            <w:tcW w:w="1418" w:type="dxa"/>
            <w:tcBorders>
              <w:top w:val="single" w:sz="2" w:space="0" w:color="auto"/>
            </w:tcBorders>
            <w:vAlign w:val="center"/>
          </w:tcPr>
          <w:p w14:paraId="0FD5D3C2"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184.</w:t>
            </w:r>
            <w:r w:rsidRPr="00D41D46">
              <w:rPr>
                <w:rFonts w:eastAsia="Times New Roman" w:cs="Times New Roman"/>
                <w:sz w:val="20"/>
                <w:szCs w:val="20"/>
                <w:lang w:val="es-ES" w:eastAsia="es-AR"/>
              </w:rPr>
              <w:t>642</w:t>
            </w:r>
            <w:r>
              <w:rPr>
                <w:rFonts w:eastAsia="Times New Roman" w:cs="Times New Roman"/>
                <w:sz w:val="20"/>
                <w:szCs w:val="20"/>
                <w:lang w:val="es-ES" w:eastAsia="es-AR"/>
              </w:rPr>
              <w:t>.</w:t>
            </w:r>
            <w:r w:rsidRPr="00D41D46">
              <w:rPr>
                <w:rFonts w:eastAsia="Times New Roman" w:cs="Times New Roman"/>
                <w:sz w:val="20"/>
                <w:szCs w:val="20"/>
                <w:lang w:val="es-ES" w:eastAsia="es-AR"/>
              </w:rPr>
              <w:t>416</w:t>
            </w:r>
          </w:p>
        </w:tc>
        <w:tc>
          <w:tcPr>
            <w:tcW w:w="851" w:type="dxa"/>
            <w:tcBorders>
              <w:top w:val="single" w:sz="2" w:space="0" w:color="auto"/>
            </w:tcBorders>
            <w:vAlign w:val="center"/>
          </w:tcPr>
          <w:p w14:paraId="19296922"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+17,</w:t>
            </w:r>
            <w:r>
              <w:rPr>
                <w:rFonts w:eastAsia="Times New Roman" w:cs="Times New Roman"/>
                <w:sz w:val="20"/>
                <w:szCs w:val="20"/>
                <w:lang w:val="es-ES" w:eastAsia="es-AR"/>
              </w:rPr>
              <w:t>8</w:t>
            </w:r>
            <w:r w:rsidRPr="00C174D5">
              <w:rPr>
                <w:rFonts w:eastAsia="Times New Roman" w:cs="Times New Roman"/>
                <w:sz w:val="20"/>
                <w:szCs w:val="20"/>
                <w:lang w:val="es-ES" w:eastAsia="es-AR"/>
              </w:rPr>
              <w:t>%</w:t>
            </w:r>
          </w:p>
        </w:tc>
        <w:tc>
          <w:tcPr>
            <w:tcW w:w="932" w:type="dxa"/>
            <w:tcBorders>
              <w:top w:val="single" w:sz="2" w:space="0" w:color="auto"/>
            </w:tcBorders>
            <w:vAlign w:val="center"/>
          </w:tcPr>
          <w:p w14:paraId="64B304E8"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66</w:t>
            </w:r>
            <w:r w:rsidRPr="00C174D5">
              <w:rPr>
                <w:rFonts w:eastAsia="Times New Roman" w:cs="Times New Roman"/>
                <w:sz w:val="20"/>
                <w:szCs w:val="20"/>
                <w:lang w:val="es-ES" w:eastAsia="es-AR"/>
              </w:rPr>
              <w:t>%</w:t>
            </w:r>
          </w:p>
        </w:tc>
      </w:tr>
      <w:tr w:rsidR="00C92C58" w:rsidRPr="00C174D5" w14:paraId="359ECC14" w14:textId="77777777" w:rsidTr="00B15A9A">
        <w:trPr>
          <w:trHeight w:val="300"/>
          <w:jc w:val="center"/>
        </w:trPr>
        <w:tc>
          <w:tcPr>
            <w:tcW w:w="1701" w:type="dxa"/>
            <w:tcBorders>
              <w:top w:val="single" w:sz="2" w:space="0" w:color="auto"/>
              <w:bottom w:val="single" w:sz="2" w:space="0" w:color="auto"/>
            </w:tcBorders>
            <w:shd w:val="clear" w:color="auto" w:fill="auto"/>
            <w:noWrap/>
            <w:vAlign w:val="center"/>
          </w:tcPr>
          <w:p w14:paraId="46030206"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bottom w:val="single" w:sz="2" w:space="0" w:color="auto"/>
            </w:tcBorders>
            <w:shd w:val="clear" w:color="auto" w:fill="auto"/>
            <w:vAlign w:val="center"/>
          </w:tcPr>
          <w:p w14:paraId="7C718614"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1.275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xml:space="preserve"> (- 15%)</w:t>
            </w:r>
          </w:p>
        </w:tc>
        <w:tc>
          <w:tcPr>
            <w:tcW w:w="1418" w:type="dxa"/>
            <w:tcBorders>
              <w:top w:val="single" w:sz="2" w:space="0" w:color="auto"/>
              <w:bottom w:val="single" w:sz="2" w:space="0" w:color="auto"/>
            </w:tcBorders>
            <w:vAlign w:val="center"/>
          </w:tcPr>
          <w:p w14:paraId="2A31AEAB"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128.790.</w:t>
            </w:r>
            <w:r w:rsidRPr="00D41D46">
              <w:rPr>
                <w:rFonts w:eastAsia="Times New Roman" w:cs="Times New Roman"/>
                <w:sz w:val="20"/>
                <w:szCs w:val="20"/>
                <w:lang w:val="es-ES" w:eastAsia="es-AR"/>
              </w:rPr>
              <w:t>800</w:t>
            </w:r>
          </w:p>
        </w:tc>
        <w:tc>
          <w:tcPr>
            <w:tcW w:w="851" w:type="dxa"/>
            <w:tcBorders>
              <w:top w:val="single" w:sz="2" w:space="0" w:color="auto"/>
              <w:bottom w:val="single" w:sz="2" w:space="0" w:color="auto"/>
            </w:tcBorders>
            <w:vAlign w:val="center"/>
          </w:tcPr>
          <w:p w14:paraId="4F06A445"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-17,</w:t>
            </w:r>
            <w:r>
              <w:rPr>
                <w:rFonts w:eastAsia="Times New Roman" w:cs="Times New Roman"/>
                <w:sz w:val="20"/>
                <w:szCs w:val="20"/>
                <w:lang w:val="es-ES" w:eastAsia="es-AR"/>
              </w:rPr>
              <w:t>8</w:t>
            </w:r>
            <w:r w:rsidRPr="00C174D5">
              <w:rPr>
                <w:rFonts w:eastAsia="Times New Roman" w:cs="Times New Roman"/>
                <w:sz w:val="20"/>
                <w:szCs w:val="20"/>
                <w:lang w:val="es-ES" w:eastAsia="es-AR"/>
              </w:rPr>
              <w:t>%</w:t>
            </w:r>
          </w:p>
        </w:tc>
        <w:tc>
          <w:tcPr>
            <w:tcW w:w="932" w:type="dxa"/>
            <w:tcBorders>
              <w:top w:val="single" w:sz="2" w:space="0" w:color="auto"/>
              <w:bottom w:val="single" w:sz="2" w:space="0" w:color="auto"/>
            </w:tcBorders>
            <w:vAlign w:val="center"/>
          </w:tcPr>
          <w:p w14:paraId="4CD8D637"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59</w:t>
            </w:r>
            <w:r w:rsidRPr="00C174D5">
              <w:rPr>
                <w:rFonts w:eastAsia="Times New Roman" w:cs="Times New Roman"/>
                <w:sz w:val="20"/>
                <w:szCs w:val="20"/>
                <w:lang w:val="es-ES" w:eastAsia="es-AR"/>
              </w:rPr>
              <w:t>%</w:t>
            </w:r>
          </w:p>
        </w:tc>
      </w:tr>
      <w:tr w:rsidR="00C92C58" w:rsidRPr="00C174D5" w14:paraId="63A0F5AC" w14:textId="77777777" w:rsidTr="00B15A9A">
        <w:trPr>
          <w:trHeight w:val="300"/>
          <w:jc w:val="center"/>
        </w:trPr>
        <w:tc>
          <w:tcPr>
            <w:tcW w:w="1701" w:type="dxa"/>
            <w:tcBorders>
              <w:top w:val="single" w:sz="2" w:space="0" w:color="auto"/>
            </w:tcBorders>
            <w:shd w:val="clear" w:color="auto" w:fill="auto"/>
            <w:noWrap/>
            <w:vAlign w:val="center"/>
          </w:tcPr>
          <w:p w14:paraId="2807FBC6"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5552B2F8"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2</w:t>
            </w:r>
            <w:r>
              <w:rPr>
                <w:rFonts w:eastAsia="Times New Roman" w:cs="Times New Roman"/>
                <w:sz w:val="20"/>
                <w:szCs w:val="20"/>
                <w:lang w:val="es-ES" w:eastAsia="es-AR"/>
              </w:rPr>
              <w:t>37</w:t>
            </w:r>
            <w:r w:rsidRPr="00C174D5">
              <w:rPr>
                <w:rFonts w:eastAsia="Times New Roman" w:cs="Times New Roman"/>
                <w:sz w:val="20"/>
                <w:szCs w:val="20"/>
                <w:lang w:val="es-ES" w:eastAsia="es-AR"/>
              </w:rPr>
              <w:t xml:space="preserve"> US$ (</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(-8</w:t>
            </w:r>
            <w:r>
              <w:rPr>
                <w:rFonts w:eastAsia="Times New Roman" w:cs="Times New Roman"/>
                <w:sz w:val="20"/>
                <w:szCs w:val="20"/>
                <w:lang w:val="es-ES" w:eastAsia="es-AR"/>
              </w:rPr>
              <w:t>4</w:t>
            </w:r>
            <w:r w:rsidRPr="00C174D5">
              <w:rPr>
                <w:rFonts w:eastAsia="Times New Roman" w:cs="Times New Roman"/>
                <w:sz w:val="20"/>
                <w:szCs w:val="20"/>
                <w:lang w:val="es-ES" w:eastAsia="es-AR"/>
              </w:rPr>
              <w:t xml:space="preserve"> %)</w:t>
            </w:r>
          </w:p>
        </w:tc>
        <w:tc>
          <w:tcPr>
            <w:tcW w:w="1418" w:type="dxa"/>
            <w:tcBorders>
              <w:top w:val="single" w:sz="2" w:space="0" w:color="auto"/>
            </w:tcBorders>
            <w:vAlign w:val="center"/>
          </w:tcPr>
          <w:p w14:paraId="60A8BE57"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0</w:t>
            </w:r>
          </w:p>
        </w:tc>
        <w:tc>
          <w:tcPr>
            <w:tcW w:w="851" w:type="dxa"/>
            <w:tcBorders>
              <w:top w:val="single" w:sz="2" w:space="0" w:color="auto"/>
            </w:tcBorders>
            <w:vAlign w:val="center"/>
          </w:tcPr>
          <w:p w14:paraId="449AFF2C"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w:t>
            </w:r>
          </w:p>
        </w:tc>
        <w:tc>
          <w:tcPr>
            <w:tcW w:w="932" w:type="dxa"/>
            <w:tcBorders>
              <w:top w:val="single" w:sz="2" w:space="0" w:color="auto"/>
            </w:tcBorders>
            <w:vAlign w:val="center"/>
          </w:tcPr>
          <w:p w14:paraId="093C2696"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12%</w:t>
            </w:r>
          </w:p>
        </w:tc>
      </w:tr>
      <w:tr w:rsidR="00C92C58" w:rsidRPr="00C174D5" w14:paraId="102DBBC8" w14:textId="77777777" w:rsidTr="00B15A9A">
        <w:trPr>
          <w:trHeight w:val="300"/>
          <w:jc w:val="center"/>
        </w:trPr>
        <w:tc>
          <w:tcPr>
            <w:tcW w:w="7311" w:type="dxa"/>
            <w:gridSpan w:val="5"/>
            <w:tcBorders>
              <w:top w:val="single" w:sz="2" w:space="0" w:color="auto"/>
              <w:bottom w:val="single" w:sz="2" w:space="0" w:color="auto"/>
            </w:tcBorders>
            <w:shd w:val="clear" w:color="auto" w:fill="auto"/>
            <w:noWrap/>
            <w:vAlign w:val="center"/>
          </w:tcPr>
          <w:p w14:paraId="30FDB5A1"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Costo de inversión</w:t>
            </w:r>
            <w:r w:rsidRPr="00C174D5">
              <w:rPr>
                <w:rStyle w:val="FootnoteReference"/>
                <w:rFonts w:eastAsia="Times New Roman" w:cs="Times New Roman"/>
                <w:sz w:val="20"/>
                <w:szCs w:val="20"/>
                <w:lang w:val="es-ES" w:eastAsia="es-AR"/>
              </w:rPr>
              <w:footnoteReference w:id="32"/>
            </w:r>
            <w:r w:rsidRPr="00C174D5">
              <w:rPr>
                <w:rFonts w:eastAsia="Times New Roman" w:cs="Times New Roman"/>
                <w:sz w:val="20"/>
                <w:szCs w:val="20"/>
                <w:lang w:val="es-ES" w:eastAsia="es-AR"/>
              </w:rPr>
              <w:t xml:space="preserve"> (base 2.530.376)</w:t>
            </w:r>
          </w:p>
        </w:tc>
      </w:tr>
      <w:tr w:rsidR="00C92C58" w:rsidRPr="00C174D5" w14:paraId="0D9F1461" w14:textId="77777777" w:rsidTr="00B15A9A">
        <w:trPr>
          <w:trHeight w:val="300"/>
          <w:jc w:val="center"/>
        </w:trPr>
        <w:tc>
          <w:tcPr>
            <w:tcW w:w="1701" w:type="dxa"/>
            <w:tcBorders>
              <w:top w:val="single" w:sz="2" w:space="0" w:color="auto"/>
            </w:tcBorders>
            <w:shd w:val="clear" w:color="auto" w:fill="auto"/>
            <w:noWrap/>
            <w:vAlign w:val="center"/>
          </w:tcPr>
          <w:p w14:paraId="45899669"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4A5C212C"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2.909.932 (+15%)</w:t>
            </w:r>
          </w:p>
        </w:tc>
        <w:tc>
          <w:tcPr>
            <w:tcW w:w="1418" w:type="dxa"/>
            <w:tcBorders>
              <w:top w:val="single" w:sz="2" w:space="0" w:color="auto"/>
            </w:tcBorders>
            <w:vAlign w:val="center"/>
          </w:tcPr>
          <w:p w14:paraId="4B716575"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156.</w:t>
            </w:r>
            <w:r w:rsidRPr="00D41D46">
              <w:rPr>
                <w:rFonts w:eastAsia="Times New Roman" w:cs="Times New Roman"/>
                <w:sz w:val="20"/>
                <w:szCs w:val="20"/>
                <w:lang w:val="es-ES" w:eastAsia="es-AR"/>
              </w:rPr>
              <w:t>266</w:t>
            </w:r>
            <w:r>
              <w:rPr>
                <w:rFonts w:eastAsia="Times New Roman" w:cs="Times New Roman"/>
                <w:sz w:val="20"/>
                <w:szCs w:val="20"/>
                <w:lang w:val="es-ES" w:eastAsia="es-AR"/>
              </w:rPr>
              <w:t>.</w:t>
            </w:r>
            <w:r w:rsidRPr="00D41D46">
              <w:rPr>
                <w:rFonts w:eastAsia="Times New Roman" w:cs="Times New Roman"/>
                <w:sz w:val="20"/>
                <w:szCs w:val="20"/>
                <w:lang w:val="es-ES" w:eastAsia="es-AR"/>
              </w:rPr>
              <w:t>802</w:t>
            </w:r>
          </w:p>
        </w:tc>
        <w:tc>
          <w:tcPr>
            <w:tcW w:w="851" w:type="dxa"/>
            <w:tcBorders>
              <w:top w:val="single" w:sz="2" w:space="0" w:color="auto"/>
            </w:tcBorders>
            <w:vAlign w:val="center"/>
          </w:tcPr>
          <w:p w14:paraId="584E167D"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-0,</w:t>
            </w:r>
            <w:r>
              <w:rPr>
                <w:rFonts w:eastAsia="Times New Roman" w:cs="Times New Roman"/>
                <w:sz w:val="20"/>
                <w:szCs w:val="20"/>
                <w:lang w:val="es-ES" w:eastAsia="es-AR"/>
              </w:rPr>
              <w:t>2</w:t>
            </w:r>
            <w:r w:rsidRPr="00C174D5">
              <w:rPr>
                <w:rFonts w:eastAsia="Times New Roman" w:cs="Times New Roman"/>
                <w:sz w:val="20"/>
                <w:szCs w:val="20"/>
                <w:lang w:val="es-ES" w:eastAsia="es-AR"/>
              </w:rPr>
              <w:t>9%</w:t>
            </w:r>
          </w:p>
        </w:tc>
        <w:tc>
          <w:tcPr>
            <w:tcW w:w="932" w:type="dxa"/>
            <w:tcBorders>
              <w:top w:val="single" w:sz="2" w:space="0" w:color="auto"/>
            </w:tcBorders>
            <w:vAlign w:val="center"/>
          </w:tcPr>
          <w:p w14:paraId="46C1A335"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60</w:t>
            </w:r>
            <w:r w:rsidRPr="00C174D5">
              <w:rPr>
                <w:rFonts w:eastAsia="Times New Roman" w:cs="Times New Roman"/>
                <w:sz w:val="20"/>
                <w:szCs w:val="20"/>
                <w:lang w:val="es-ES" w:eastAsia="es-AR"/>
              </w:rPr>
              <w:t>%</w:t>
            </w:r>
          </w:p>
        </w:tc>
      </w:tr>
      <w:tr w:rsidR="00C92C58" w:rsidRPr="00D41D46" w14:paraId="384CE247" w14:textId="77777777" w:rsidTr="00B15A9A">
        <w:trPr>
          <w:trHeight w:val="300"/>
          <w:jc w:val="center"/>
        </w:trPr>
        <w:tc>
          <w:tcPr>
            <w:tcW w:w="1701" w:type="dxa"/>
            <w:tcBorders>
              <w:top w:val="single" w:sz="2" w:space="0" w:color="auto"/>
            </w:tcBorders>
            <w:shd w:val="clear" w:color="auto" w:fill="auto"/>
            <w:noWrap/>
            <w:vAlign w:val="center"/>
          </w:tcPr>
          <w:p w14:paraId="2ADD84D6"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0F3DD70B"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3.289.489 (+30%)</w:t>
            </w:r>
          </w:p>
        </w:tc>
        <w:tc>
          <w:tcPr>
            <w:tcW w:w="1418" w:type="dxa"/>
            <w:tcBorders>
              <w:top w:val="single" w:sz="2" w:space="0" w:color="auto"/>
            </w:tcBorders>
            <w:vAlign w:val="center"/>
          </w:tcPr>
          <w:p w14:paraId="526F778B"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D41D46">
              <w:rPr>
                <w:rFonts w:eastAsia="Times New Roman" w:cs="Times New Roman"/>
                <w:sz w:val="20"/>
                <w:szCs w:val="20"/>
                <w:lang w:val="es-ES" w:eastAsia="es-AR"/>
              </w:rPr>
              <w:t>155</w:t>
            </w:r>
            <w:r>
              <w:rPr>
                <w:rFonts w:eastAsia="Times New Roman" w:cs="Times New Roman"/>
                <w:sz w:val="20"/>
                <w:szCs w:val="20"/>
                <w:lang w:val="es-ES" w:eastAsia="es-AR"/>
              </w:rPr>
              <w:t>.</w:t>
            </w:r>
            <w:r w:rsidRPr="00D41D46">
              <w:rPr>
                <w:rFonts w:eastAsia="Times New Roman" w:cs="Times New Roman"/>
                <w:sz w:val="20"/>
                <w:szCs w:val="20"/>
                <w:lang w:val="es-ES" w:eastAsia="es-AR"/>
              </w:rPr>
              <w:t>816</w:t>
            </w:r>
            <w:r>
              <w:rPr>
                <w:rFonts w:eastAsia="Times New Roman" w:cs="Times New Roman"/>
                <w:sz w:val="20"/>
                <w:szCs w:val="20"/>
                <w:lang w:val="es-ES" w:eastAsia="es-AR"/>
              </w:rPr>
              <w:t>.</w:t>
            </w:r>
            <w:r w:rsidRPr="00D41D46">
              <w:rPr>
                <w:rFonts w:eastAsia="Times New Roman" w:cs="Times New Roman"/>
                <w:sz w:val="20"/>
                <w:szCs w:val="20"/>
                <w:lang w:val="es-ES" w:eastAsia="es-AR"/>
              </w:rPr>
              <w:t>996</w:t>
            </w:r>
          </w:p>
        </w:tc>
        <w:tc>
          <w:tcPr>
            <w:tcW w:w="851" w:type="dxa"/>
            <w:tcBorders>
              <w:top w:val="single" w:sz="2" w:space="0" w:color="auto"/>
            </w:tcBorders>
            <w:vAlign w:val="center"/>
          </w:tcPr>
          <w:p w14:paraId="1949F254"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-0,</w:t>
            </w:r>
            <w:r>
              <w:rPr>
                <w:rFonts w:eastAsia="Times New Roman" w:cs="Times New Roman"/>
                <w:sz w:val="20"/>
                <w:szCs w:val="20"/>
                <w:lang w:val="es-ES" w:eastAsia="es-AR"/>
              </w:rPr>
              <w:t>57</w:t>
            </w:r>
            <w:r w:rsidRPr="00C174D5">
              <w:rPr>
                <w:rFonts w:eastAsia="Times New Roman" w:cs="Times New Roman"/>
                <w:sz w:val="20"/>
                <w:szCs w:val="20"/>
                <w:lang w:val="es-ES" w:eastAsia="es-AR"/>
              </w:rPr>
              <w:t>%</w:t>
            </w:r>
          </w:p>
        </w:tc>
        <w:tc>
          <w:tcPr>
            <w:tcW w:w="932" w:type="dxa"/>
            <w:tcBorders>
              <w:top w:val="single" w:sz="2" w:space="0" w:color="auto"/>
            </w:tcBorders>
            <w:vAlign w:val="center"/>
          </w:tcPr>
          <w:p w14:paraId="44E24A65"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58</w:t>
            </w:r>
            <w:r w:rsidRPr="00C174D5">
              <w:rPr>
                <w:rFonts w:eastAsia="Times New Roman" w:cs="Times New Roman"/>
                <w:sz w:val="20"/>
                <w:szCs w:val="20"/>
                <w:lang w:val="es-ES" w:eastAsia="es-AR"/>
              </w:rPr>
              <w:t>%</w:t>
            </w:r>
          </w:p>
        </w:tc>
      </w:tr>
    </w:tbl>
    <w:p w14:paraId="7891929C" w14:textId="77777777" w:rsidR="00C92C58" w:rsidRPr="00C174D5" w:rsidRDefault="00C92C58" w:rsidP="00C92C58">
      <w:pPr>
        <w:ind w:left="1134" w:right="1134"/>
        <w:rPr>
          <w:sz w:val="18"/>
          <w:lang w:val="es-ES"/>
        </w:rPr>
      </w:pPr>
      <w:r w:rsidRPr="00C174D5">
        <w:rPr>
          <w:sz w:val="18"/>
          <w:lang w:val="es-ES"/>
        </w:rPr>
        <w:t>Fuente: Elaboración propia en base a información de ENATREL provista por el BID</w:t>
      </w:r>
    </w:p>
    <w:p w14:paraId="03B25C31" w14:textId="77777777" w:rsidR="00C92C58" w:rsidRPr="00C174D5" w:rsidRDefault="00C92C58" w:rsidP="00C92C58">
      <w:pPr>
        <w:rPr>
          <w:lang w:val="es-ES"/>
        </w:rPr>
      </w:pPr>
      <w:r w:rsidRPr="00C174D5">
        <w:rPr>
          <w:lang w:val="es-ES"/>
        </w:rPr>
        <w:t>También en este caso los resultados de la evaluación económica son robustos a las sensibilidades efectuadas. Cabe mencionar que para que el VPNE de este proyecto sea nulo, el costo de falla debe ser un 8</w:t>
      </w:r>
      <w:r>
        <w:rPr>
          <w:lang w:val="es-ES"/>
        </w:rPr>
        <w:t>4</w:t>
      </w:r>
      <w:r w:rsidRPr="00C174D5">
        <w:rPr>
          <w:lang w:val="es-ES"/>
        </w:rPr>
        <w:t>% menor al utilizado en la evaluación, cerca de 2</w:t>
      </w:r>
      <w:r>
        <w:rPr>
          <w:lang w:val="es-ES"/>
        </w:rPr>
        <w:t>37</w:t>
      </w:r>
      <w:r w:rsidRPr="00C174D5">
        <w:rPr>
          <w:lang w:val="es-ES"/>
        </w:rPr>
        <w:t xml:space="preserve"> US$/</w:t>
      </w:r>
      <w:proofErr w:type="spellStart"/>
      <w:r w:rsidRPr="00C174D5">
        <w:rPr>
          <w:lang w:val="es-ES"/>
        </w:rPr>
        <w:t>MWh</w:t>
      </w:r>
      <w:proofErr w:type="spellEnd"/>
      <w:r w:rsidRPr="00C174D5">
        <w:rPr>
          <w:lang w:val="es-ES"/>
        </w:rPr>
        <w:t>.</w:t>
      </w:r>
    </w:p>
    <w:p w14:paraId="6C877E78" w14:textId="77777777" w:rsidR="00C92C58" w:rsidRPr="00C174D5" w:rsidRDefault="00C92C58" w:rsidP="00C92C58">
      <w:pPr>
        <w:pStyle w:val="Heading1"/>
        <w:pageBreakBefore w:val="0"/>
        <w:numPr>
          <w:ilvl w:val="2"/>
          <w:numId w:val="9"/>
        </w:numPr>
        <w:rPr>
          <w:lang w:val="es-ES"/>
        </w:rPr>
      </w:pPr>
      <w:bookmarkStart w:id="108" w:name="_Toc447546941"/>
      <w:bookmarkStart w:id="109" w:name="_Toc456353124"/>
      <w:r w:rsidRPr="00C174D5">
        <w:rPr>
          <w:lang w:val="es-ES"/>
        </w:rPr>
        <w:t xml:space="preserve">SE </w:t>
      </w:r>
      <w:proofErr w:type="spellStart"/>
      <w:r w:rsidRPr="00C174D5">
        <w:rPr>
          <w:lang w:val="es-ES"/>
        </w:rPr>
        <w:t>Diriamba</w:t>
      </w:r>
      <w:bookmarkEnd w:id="108"/>
      <w:bookmarkEnd w:id="109"/>
      <w:proofErr w:type="spellEnd"/>
    </w:p>
    <w:p w14:paraId="250BA40D" w14:textId="77777777" w:rsidR="00C92C58" w:rsidRPr="00C174D5" w:rsidRDefault="00C92C58" w:rsidP="00C92C58">
      <w:pPr>
        <w:rPr>
          <w:lang w:val="es-ES"/>
        </w:rPr>
      </w:pPr>
      <w:r w:rsidRPr="00C174D5">
        <w:rPr>
          <w:lang w:val="es-ES"/>
        </w:rPr>
        <w:t xml:space="preserve">La ampliación de la SE </w:t>
      </w:r>
      <w:proofErr w:type="spellStart"/>
      <w:r w:rsidRPr="00C174D5">
        <w:rPr>
          <w:lang w:val="es-ES"/>
        </w:rPr>
        <w:t>Diriamba</w:t>
      </w:r>
      <w:proofErr w:type="spellEnd"/>
      <w:r w:rsidRPr="00C174D5">
        <w:rPr>
          <w:lang w:val="es-ES"/>
        </w:rPr>
        <w:t xml:space="preserve"> consiste en la adición de un transformador de 40 MVA con una bahía de transformación 138/13,8 </w:t>
      </w:r>
      <w:proofErr w:type="spellStart"/>
      <w:r w:rsidRPr="00C174D5">
        <w:rPr>
          <w:lang w:val="es-ES"/>
        </w:rPr>
        <w:t>kV</w:t>
      </w:r>
      <w:proofErr w:type="spellEnd"/>
      <w:r w:rsidRPr="00C174D5">
        <w:rPr>
          <w:lang w:val="es-ES"/>
        </w:rPr>
        <w:t>.</w:t>
      </w:r>
    </w:p>
    <w:p w14:paraId="4AA15420" w14:textId="77777777" w:rsidR="00C92C58" w:rsidRDefault="00C92C58" w:rsidP="00C92C58">
      <w:pPr>
        <w:rPr>
          <w:lang w:val="es-ES"/>
        </w:rPr>
      </w:pPr>
      <w:r w:rsidRPr="00C174D5">
        <w:rPr>
          <w:lang w:val="es-ES"/>
        </w:rPr>
        <w:t>En este caso</w:t>
      </w:r>
      <w:r>
        <w:rPr>
          <w:lang w:val="es-ES"/>
        </w:rPr>
        <w:t>, al igual que en el anterior,</w:t>
      </w:r>
      <w:r w:rsidRPr="00C174D5">
        <w:rPr>
          <w:lang w:val="es-ES"/>
        </w:rPr>
        <w:t xml:space="preserve"> en el escenario “sin” proyecto se supone que se puede abastecer </w:t>
      </w:r>
      <w:r>
        <w:rPr>
          <w:lang w:val="es-ES"/>
        </w:rPr>
        <w:t>un</w:t>
      </w:r>
      <w:r w:rsidRPr="00C174D5">
        <w:rPr>
          <w:lang w:val="es-ES"/>
        </w:rPr>
        <w:t xml:space="preserve"> crecimiento </w:t>
      </w:r>
      <w:r>
        <w:rPr>
          <w:lang w:val="es-ES"/>
        </w:rPr>
        <w:t xml:space="preserve">más moderado </w:t>
      </w:r>
      <w:r w:rsidRPr="00C174D5">
        <w:rPr>
          <w:lang w:val="es-ES"/>
        </w:rPr>
        <w:t>de la demanda</w:t>
      </w:r>
      <w:r>
        <w:rPr>
          <w:lang w:val="es-ES"/>
        </w:rPr>
        <w:t xml:space="preserve"> por un período de 10 años y que luego la demanda abastecida de clientes existentes permanece constante. También se supone que no </w:t>
      </w:r>
      <w:r w:rsidRPr="00C174D5">
        <w:rPr>
          <w:lang w:val="es-ES"/>
        </w:rPr>
        <w:t xml:space="preserve">es posible abastecer a los PER. La ampliación de la SE, es decir el escenario “con” proyecto, permite abastecer tanto a los clientes existentes (considerando el crecimiento en su demanda) como a 500 nuevos clientes. </w:t>
      </w:r>
    </w:p>
    <w:p w14:paraId="2A251B74" w14:textId="77777777" w:rsidR="00C92C58" w:rsidRDefault="00C92C58" w:rsidP="00C92C58">
      <w:pPr>
        <w:rPr>
          <w:lang w:val="es-ES"/>
        </w:rPr>
      </w:pPr>
      <w:r>
        <w:rPr>
          <w:lang w:val="es-ES"/>
        </w:rPr>
        <w:t>La demanda considerada para este proyecto está compuesta en su gran mayoría por clientes existentes, aunque se prevén también proyectos de electrificación rural.</w:t>
      </w:r>
    </w:p>
    <w:p w14:paraId="6C9B0415" w14:textId="77777777" w:rsidR="00C92C58" w:rsidRDefault="00C92C58" w:rsidP="00C92C58">
      <w:pPr>
        <w:keepNext/>
        <w:keepLines/>
        <w:spacing w:after="120"/>
        <w:jc w:val="center"/>
        <w:rPr>
          <w:b/>
          <w:sz w:val="20"/>
          <w:lang w:val="es-ES"/>
        </w:rPr>
      </w:pPr>
      <w:bookmarkStart w:id="110" w:name="_Toc456353210"/>
      <w:r w:rsidRPr="00C174D5">
        <w:rPr>
          <w:b/>
          <w:sz w:val="20"/>
          <w:lang w:val="es-ES"/>
        </w:rPr>
        <w:lastRenderedPageBreak/>
        <w:t xml:space="preserve">Gráfico </w:t>
      </w:r>
      <w:r w:rsidRPr="00C174D5">
        <w:rPr>
          <w:b/>
          <w:sz w:val="20"/>
          <w:lang w:val="es-ES"/>
        </w:rPr>
        <w:fldChar w:fldCharType="begin"/>
      </w:r>
      <w:r w:rsidRPr="00C174D5">
        <w:rPr>
          <w:b/>
          <w:sz w:val="20"/>
          <w:lang w:val="es-ES"/>
        </w:rPr>
        <w:instrText xml:space="preserve"> SEQ Gráfico \* ARABIC </w:instrText>
      </w:r>
      <w:r w:rsidRPr="00C174D5">
        <w:rPr>
          <w:b/>
          <w:sz w:val="20"/>
          <w:lang w:val="es-ES"/>
        </w:rPr>
        <w:fldChar w:fldCharType="separate"/>
      </w:r>
      <w:r>
        <w:rPr>
          <w:b/>
          <w:noProof/>
          <w:sz w:val="20"/>
          <w:lang w:val="es-ES"/>
        </w:rPr>
        <w:t>4</w:t>
      </w:r>
      <w:r w:rsidRPr="00C174D5">
        <w:rPr>
          <w:b/>
          <w:sz w:val="20"/>
          <w:lang w:val="es-ES"/>
        </w:rPr>
        <w:fldChar w:fldCharType="end"/>
      </w:r>
      <w:r w:rsidRPr="00C174D5">
        <w:rPr>
          <w:b/>
          <w:sz w:val="20"/>
          <w:lang w:val="es-ES"/>
        </w:rPr>
        <w:t xml:space="preserve">: Demanda </w:t>
      </w:r>
      <w:r>
        <w:rPr>
          <w:b/>
          <w:sz w:val="20"/>
          <w:lang w:val="es-ES"/>
        </w:rPr>
        <w:t>considerada proyecto</w:t>
      </w:r>
      <w:r w:rsidRPr="00C174D5">
        <w:rPr>
          <w:b/>
          <w:sz w:val="20"/>
          <w:lang w:val="es-ES"/>
        </w:rPr>
        <w:t xml:space="preserve"> </w:t>
      </w:r>
      <w:r>
        <w:rPr>
          <w:b/>
          <w:sz w:val="20"/>
          <w:lang w:val="es-ES"/>
        </w:rPr>
        <w:t xml:space="preserve">SE </w:t>
      </w:r>
      <w:proofErr w:type="spellStart"/>
      <w:r>
        <w:rPr>
          <w:b/>
          <w:sz w:val="20"/>
          <w:lang w:val="es-ES"/>
        </w:rPr>
        <w:t>Diriamba</w:t>
      </w:r>
      <w:proofErr w:type="spellEnd"/>
      <w:r>
        <w:rPr>
          <w:b/>
          <w:sz w:val="20"/>
          <w:lang w:val="es-ES"/>
        </w:rPr>
        <w:t xml:space="preserve"> </w:t>
      </w:r>
      <w:r w:rsidRPr="00C174D5">
        <w:rPr>
          <w:b/>
          <w:sz w:val="20"/>
          <w:lang w:val="es-ES"/>
        </w:rPr>
        <w:t>(MW)</w:t>
      </w:r>
      <w:bookmarkEnd w:id="110"/>
    </w:p>
    <w:p w14:paraId="11F89CC2" w14:textId="77777777" w:rsidR="00C92C58" w:rsidRPr="00E73DA6" w:rsidRDefault="00C92C58" w:rsidP="00C92C58">
      <w:pPr>
        <w:spacing w:after="0"/>
        <w:jc w:val="center"/>
        <w:rPr>
          <w:noProof/>
          <w:lang w:val="es-AR" w:eastAsia="es-AR"/>
        </w:rPr>
      </w:pPr>
      <w:r>
        <w:rPr>
          <w:noProof/>
          <w:lang w:val="es-CO" w:eastAsia="es-CO"/>
        </w:rPr>
        <w:drawing>
          <wp:inline distT="0" distB="0" distL="0" distR="0" wp14:anchorId="5126E8B7" wp14:editId="5CBA91C4">
            <wp:extent cx="3600000" cy="2545407"/>
            <wp:effectExtent l="0" t="0" r="635"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00000" cy="2545407"/>
                    </a:xfrm>
                    <a:prstGeom prst="rect">
                      <a:avLst/>
                    </a:prstGeom>
                    <a:noFill/>
                  </pic:spPr>
                </pic:pic>
              </a:graphicData>
            </a:graphic>
          </wp:inline>
        </w:drawing>
      </w:r>
    </w:p>
    <w:p w14:paraId="09A26D03" w14:textId="77777777" w:rsidR="00C92C58" w:rsidRDefault="00C92C58" w:rsidP="00C92C58">
      <w:pPr>
        <w:ind w:left="1134" w:right="1134"/>
        <w:jc w:val="center"/>
        <w:rPr>
          <w:sz w:val="18"/>
          <w:lang w:val="es-ES"/>
        </w:rPr>
      </w:pPr>
      <w:r w:rsidRPr="00C174D5">
        <w:rPr>
          <w:sz w:val="18"/>
          <w:lang w:val="es-ES"/>
        </w:rPr>
        <w:t>Fuente: Elaboración propia en base a información</w:t>
      </w:r>
      <w:r>
        <w:rPr>
          <w:sz w:val="18"/>
          <w:lang w:val="es-ES"/>
        </w:rPr>
        <w:t xml:space="preserve"> de ENATREL provista por el BID (archivo </w:t>
      </w:r>
      <w:r w:rsidRPr="00961CCE">
        <w:rPr>
          <w:sz w:val="18"/>
          <w:lang w:val="es-ES"/>
        </w:rPr>
        <w:t>FLUJOS DE ENERGÍA_SE DIRIAMBA</w:t>
      </w:r>
      <w:r w:rsidRPr="00BA436C">
        <w:rPr>
          <w:sz w:val="18"/>
          <w:lang w:val="es-ES"/>
        </w:rPr>
        <w:t>.xlsx</w:t>
      </w:r>
      <w:r>
        <w:rPr>
          <w:sz w:val="18"/>
          <w:lang w:val="es-ES"/>
        </w:rPr>
        <w:t>)</w:t>
      </w:r>
    </w:p>
    <w:p w14:paraId="373CB7D9" w14:textId="77777777" w:rsidR="00C92C58" w:rsidRPr="00961CCE" w:rsidRDefault="00C92C58" w:rsidP="00C92C58">
      <w:pPr>
        <w:rPr>
          <w:lang w:val="es-ES"/>
        </w:rPr>
      </w:pPr>
      <w:r w:rsidRPr="00961CCE">
        <w:rPr>
          <w:lang w:val="es-ES"/>
        </w:rPr>
        <w:t>La demanda</w:t>
      </w:r>
      <w:r>
        <w:rPr>
          <w:lang w:val="es-ES"/>
        </w:rPr>
        <w:t xml:space="preserve"> de clientes existentes crece constantemente durante todo el período a una tasa de 3,6% anual, pasando de 15 a 31 MW anuales al final del análisis. Los clientes rurales, por su parte, se incorporan en el año 2018 con una demanda de 0,15 MW anual y en el año 2037 su demanda es de 0,17 MW. El proyecto analizado permite abastecer esta demanda potencial.</w:t>
      </w:r>
    </w:p>
    <w:p w14:paraId="2F65DCAB" w14:textId="77777777" w:rsidR="00C92C58" w:rsidRPr="00C174D5" w:rsidRDefault="00C92C58" w:rsidP="00C92C58">
      <w:pPr>
        <w:pStyle w:val="Heading2"/>
        <w:rPr>
          <w:lang w:val="es-ES"/>
        </w:rPr>
      </w:pPr>
      <w:bookmarkStart w:id="111" w:name="_Toc456353125"/>
      <w:bookmarkStart w:id="112" w:name="_Toc447546942"/>
      <w:bookmarkStart w:id="113" w:name="_Toc456353126"/>
      <w:bookmarkEnd w:id="111"/>
      <w:r w:rsidRPr="00C174D5">
        <w:rPr>
          <w:lang w:val="es-ES"/>
        </w:rPr>
        <w:t xml:space="preserve">SE </w:t>
      </w:r>
      <w:proofErr w:type="spellStart"/>
      <w:r w:rsidRPr="00C174D5">
        <w:rPr>
          <w:lang w:val="es-ES"/>
        </w:rPr>
        <w:t>Diriamba</w:t>
      </w:r>
      <w:proofErr w:type="spellEnd"/>
      <w:r w:rsidRPr="00C174D5">
        <w:rPr>
          <w:lang w:val="es-ES"/>
        </w:rPr>
        <w:t xml:space="preserve"> - Supuestos</w:t>
      </w:r>
      <w:bookmarkEnd w:id="112"/>
      <w:bookmarkEnd w:id="113"/>
    </w:p>
    <w:p w14:paraId="71CF67FB" w14:textId="77777777" w:rsidR="00C92C58" w:rsidRPr="00C174D5" w:rsidRDefault="00C92C58" w:rsidP="00C92C58">
      <w:pPr>
        <w:rPr>
          <w:lang w:val="es-ES"/>
        </w:rPr>
      </w:pPr>
      <w:r w:rsidRPr="00C174D5">
        <w:rPr>
          <w:lang w:val="es-ES"/>
        </w:rPr>
        <w:t xml:space="preserve">En la evaluación de este proyecto de ampliación de capacidad se han utilizado los supuestos de la </w:t>
      </w:r>
      <w:r w:rsidRPr="00C174D5">
        <w:rPr>
          <w:lang w:val="es-ES"/>
        </w:rPr>
        <w:fldChar w:fldCharType="begin"/>
      </w:r>
      <w:r w:rsidRPr="00C174D5">
        <w:rPr>
          <w:lang w:val="es-ES"/>
        </w:rPr>
        <w:instrText xml:space="preserve"> REF _Ref450035756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19</w:t>
      </w:r>
      <w:r w:rsidRPr="00C174D5">
        <w:rPr>
          <w:lang w:val="es-ES"/>
        </w:rPr>
        <w:fldChar w:fldCharType="end"/>
      </w:r>
      <w:r w:rsidRPr="00C174D5">
        <w:rPr>
          <w:lang w:val="es-ES"/>
        </w:rPr>
        <w:t xml:space="preserve"> (además de los detallados en la </w:t>
      </w:r>
      <w:r w:rsidRPr="00C174D5">
        <w:rPr>
          <w:lang w:val="es-ES"/>
        </w:rPr>
        <w:fldChar w:fldCharType="begin"/>
      </w:r>
      <w:r w:rsidRPr="00C174D5">
        <w:rPr>
          <w:lang w:val="es-ES"/>
        </w:rPr>
        <w:instrText xml:space="preserve"> REF _Ref450036258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3</w:t>
      </w:r>
      <w:r w:rsidRPr="00C174D5">
        <w:rPr>
          <w:lang w:val="es-ES"/>
        </w:rPr>
        <w:fldChar w:fldCharType="end"/>
      </w:r>
      <w:r w:rsidRPr="00C174D5">
        <w:rPr>
          <w:lang w:val="es-ES"/>
        </w:rPr>
        <w:t xml:space="preserve"> y la </w:t>
      </w:r>
      <w:r w:rsidRPr="00C174D5">
        <w:rPr>
          <w:lang w:val="es-ES"/>
        </w:rPr>
        <w:fldChar w:fldCharType="begin"/>
      </w:r>
      <w:r w:rsidRPr="00C174D5">
        <w:rPr>
          <w:lang w:val="es-ES"/>
        </w:rPr>
        <w:instrText xml:space="preserve"> REF _Ref450036242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4</w:t>
      </w:r>
      <w:r w:rsidRPr="00C174D5">
        <w:rPr>
          <w:lang w:val="es-ES"/>
        </w:rPr>
        <w:fldChar w:fldCharType="end"/>
      </w:r>
      <w:r w:rsidRPr="00C174D5">
        <w:rPr>
          <w:lang w:val="es-ES"/>
        </w:rPr>
        <w:t>).</w:t>
      </w:r>
    </w:p>
    <w:p w14:paraId="3CD4FC8C" w14:textId="77777777" w:rsidR="00C92C58" w:rsidRPr="00C174D5" w:rsidRDefault="00C92C58" w:rsidP="00C92C58">
      <w:pPr>
        <w:rPr>
          <w:lang w:val="es-ES"/>
        </w:rPr>
      </w:pPr>
    </w:p>
    <w:p w14:paraId="51E96425" w14:textId="77777777" w:rsidR="00C92C58" w:rsidRPr="00C174D5" w:rsidRDefault="00C92C58" w:rsidP="00C92C58">
      <w:pPr>
        <w:keepNext/>
        <w:keepLines/>
        <w:spacing w:after="120"/>
        <w:jc w:val="center"/>
        <w:rPr>
          <w:b/>
          <w:sz w:val="20"/>
          <w:lang w:val="es-ES"/>
        </w:rPr>
      </w:pPr>
      <w:bookmarkStart w:id="114" w:name="_Ref450035756"/>
      <w:bookmarkStart w:id="115" w:name="_Toc447546978"/>
      <w:bookmarkStart w:id="116" w:name="_Toc456353175"/>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19</w:t>
      </w:r>
      <w:r w:rsidRPr="00C174D5">
        <w:rPr>
          <w:b/>
          <w:sz w:val="20"/>
          <w:lang w:val="es-ES"/>
        </w:rPr>
        <w:fldChar w:fldCharType="end"/>
      </w:r>
      <w:bookmarkEnd w:id="114"/>
      <w:r w:rsidRPr="00C174D5">
        <w:rPr>
          <w:b/>
          <w:sz w:val="20"/>
          <w:lang w:val="es-ES"/>
        </w:rPr>
        <w:t xml:space="preserve">: Supuestos de modelización particulares – SE </w:t>
      </w:r>
      <w:proofErr w:type="spellStart"/>
      <w:r w:rsidRPr="00C174D5">
        <w:rPr>
          <w:b/>
          <w:sz w:val="20"/>
          <w:lang w:val="es-ES"/>
        </w:rPr>
        <w:t>Diriamba</w:t>
      </w:r>
      <w:bookmarkEnd w:id="115"/>
      <w:bookmarkEnd w:id="116"/>
      <w:proofErr w:type="spellEnd"/>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52"/>
        <w:gridCol w:w="1249"/>
      </w:tblGrid>
      <w:tr w:rsidR="00C92C58" w:rsidRPr="00C174D5" w14:paraId="7287606C" w14:textId="77777777" w:rsidTr="00B15A9A">
        <w:trPr>
          <w:tblHeader/>
          <w:jc w:val="center"/>
        </w:trPr>
        <w:tc>
          <w:tcPr>
            <w:tcW w:w="4152" w:type="dxa"/>
            <w:tcBorders>
              <w:top w:val="single" w:sz="12" w:space="0" w:color="auto"/>
              <w:bottom w:val="single" w:sz="12" w:space="0" w:color="auto"/>
            </w:tcBorders>
            <w:shd w:val="clear" w:color="auto" w:fill="BFBFBF" w:themeFill="background1" w:themeFillShade="BF"/>
            <w:vAlign w:val="center"/>
          </w:tcPr>
          <w:p w14:paraId="01B3BEC1" w14:textId="77777777" w:rsidR="00C92C58" w:rsidRPr="00C174D5" w:rsidRDefault="00C92C58" w:rsidP="00B15A9A">
            <w:pPr>
              <w:spacing w:after="0" w:line="240" w:lineRule="auto"/>
              <w:jc w:val="center"/>
              <w:rPr>
                <w:b/>
                <w:sz w:val="20"/>
                <w:szCs w:val="20"/>
                <w:lang w:val="es-ES"/>
              </w:rPr>
            </w:pPr>
            <w:r w:rsidRPr="00C174D5">
              <w:rPr>
                <w:b/>
                <w:sz w:val="20"/>
                <w:szCs w:val="20"/>
                <w:lang w:val="es-ES"/>
              </w:rPr>
              <w:t>Parámetros</w:t>
            </w:r>
          </w:p>
        </w:tc>
        <w:tc>
          <w:tcPr>
            <w:tcW w:w="1249" w:type="dxa"/>
            <w:tcBorders>
              <w:top w:val="single" w:sz="12" w:space="0" w:color="auto"/>
              <w:bottom w:val="single" w:sz="12" w:space="0" w:color="auto"/>
            </w:tcBorders>
            <w:shd w:val="clear" w:color="auto" w:fill="BFBFBF" w:themeFill="background1" w:themeFillShade="BF"/>
            <w:vAlign w:val="center"/>
          </w:tcPr>
          <w:p w14:paraId="67A9A763" w14:textId="77777777" w:rsidR="00C92C58" w:rsidRPr="00C174D5" w:rsidRDefault="00C92C58" w:rsidP="00B15A9A">
            <w:pPr>
              <w:spacing w:after="0" w:line="240" w:lineRule="auto"/>
              <w:jc w:val="center"/>
              <w:rPr>
                <w:b/>
                <w:sz w:val="20"/>
                <w:szCs w:val="20"/>
                <w:lang w:val="es-ES"/>
              </w:rPr>
            </w:pPr>
            <w:r w:rsidRPr="00C174D5">
              <w:rPr>
                <w:b/>
                <w:sz w:val="20"/>
                <w:szCs w:val="20"/>
                <w:lang w:val="es-ES"/>
              </w:rPr>
              <w:t>Valor</w:t>
            </w:r>
          </w:p>
        </w:tc>
      </w:tr>
      <w:tr w:rsidR="00C92C58" w:rsidRPr="00C174D5" w14:paraId="47EA6CB6" w14:textId="77777777" w:rsidTr="00B15A9A">
        <w:trPr>
          <w:jc w:val="center"/>
        </w:trPr>
        <w:tc>
          <w:tcPr>
            <w:tcW w:w="5401" w:type="dxa"/>
            <w:gridSpan w:val="2"/>
            <w:tcBorders>
              <w:top w:val="single" w:sz="12" w:space="0" w:color="auto"/>
            </w:tcBorders>
            <w:shd w:val="clear" w:color="auto" w:fill="auto"/>
            <w:vAlign w:val="center"/>
          </w:tcPr>
          <w:p w14:paraId="4E8B0FD0" w14:textId="77777777" w:rsidR="00C92C58" w:rsidRPr="00C174D5" w:rsidRDefault="00C92C58" w:rsidP="00B15A9A">
            <w:pPr>
              <w:spacing w:after="0" w:line="240" w:lineRule="auto"/>
              <w:jc w:val="center"/>
              <w:rPr>
                <w:sz w:val="20"/>
                <w:szCs w:val="20"/>
                <w:lang w:val="es-ES"/>
              </w:rPr>
            </w:pPr>
            <w:r w:rsidRPr="00C174D5">
              <w:rPr>
                <w:b/>
                <w:sz w:val="20"/>
                <w:szCs w:val="20"/>
                <w:lang w:val="es-ES"/>
              </w:rPr>
              <w:t>Económicos</w:t>
            </w:r>
          </w:p>
        </w:tc>
      </w:tr>
      <w:tr w:rsidR="00C92C58" w:rsidRPr="00C174D5" w14:paraId="7A362DFA" w14:textId="77777777" w:rsidTr="00B15A9A">
        <w:trPr>
          <w:jc w:val="center"/>
        </w:trPr>
        <w:tc>
          <w:tcPr>
            <w:tcW w:w="4152" w:type="dxa"/>
            <w:shd w:val="clear" w:color="auto" w:fill="auto"/>
            <w:vAlign w:val="center"/>
          </w:tcPr>
          <w:p w14:paraId="07596D45" w14:textId="77777777" w:rsidR="00C92C58" w:rsidRPr="00C174D5" w:rsidRDefault="00C92C58" w:rsidP="00B15A9A">
            <w:pPr>
              <w:spacing w:after="0" w:line="240" w:lineRule="auto"/>
              <w:jc w:val="left"/>
              <w:rPr>
                <w:sz w:val="20"/>
                <w:szCs w:val="20"/>
                <w:lang w:val="es-ES"/>
              </w:rPr>
            </w:pPr>
            <w:r w:rsidRPr="00C174D5">
              <w:rPr>
                <w:sz w:val="20"/>
                <w:szCs w:val="20"/>
                <w:lang w:val="es-ES"/>
              </w:rPr>
              <w:t>Inversión</w:t>
            </w:r>
          </w:p>
        </w:tc>
        <w:tc>
          <w:tcPr>
            <w:tcW w:w="1249" w:type="dxa"/>
            <w:shd w:val="clear" w:color="auto" w:fill="auto"/>
            <w:vAlign w:val="center"/>
          </w:tcPr>
          <w:p w14:paraId="0CC199CE" w14:textId="77777777" w:rsidR="00C92C58" w:rsidRPr="00C174D5" w:rsidRDefault="00C92C58" w:rsidP="00B15A9A">
            <w:pPr>
              <w:spacing w:after="0" w:line="240" w:lineRule="auto"/>
              <w:jc w:val="center"/>
              <w:rPr>
                <w:sz w:val="20"/>
                <w:szCs w:val="20"/>
                <w:lang w:val="es-ES"/>
              </w:rPr>
            </w:pPr>
            <w:r w:rsidRPr="00C174D5">
              <w:rPr>
                <w:sz w:val="20"/>
                <w:szCs w:val="20"/>
                <w:lang w:val="es-ES"/>
              </w:rPr>
              <w:t>1.258.801</w:t>
            </w:r>
            <w:r w:rsidRPr="00C174D5">
              <w:rPr>
                <w:rStyle w:val="FootnoteReference"/>
                <w:sz w:val="20"/>
                <w:szCs w:val="20"/>
                <w:lang w:val="es-ES"/>
              </w:rPr>
              <w:footnoteReference w:id="33"/>
            </w:r>
          </w:p>
        </w:tc>
      </w:tr>
      <w:tr w:rsidR="00C92C58" w:rsidRPr="00C174D5" w14:paraId="008A4B09" w14:textId="77777777" w:rsidTr="00B15A9A">
        <w:trPr>
          <w:trHeight w:val="222"/>
          <w:jc w:val="center"/>
        </w:trPr>
        <w:tc>
          <w:tcPr>
            <w:tcW w:w="5401" w:type="dxa"/>
            <w:gridSpan w:val="2"/>
            <w:shd w:val="clear" w:color="auto" w:fill="auto"/>
          </w:tcPr>
          <w:p w14:paraId="0B8ECE3A" w14:textId="77777777" w:rsidR="00C92C58" w:rsidRPr="00C174D5" w:rsidRDefault="00C92C58" w:rsidP="00B15A9A">
            <w:pPr>
              <w:spacing w:after="0" w:line="240" w:lineRule="auto"/>
              <w:jc w:val="center"/>
              <w:rPr>
                <w:b/>
                <w:sz w:val="20"/>
                <w:szCs w:val="20"/>
                <w:lang w:val="es-ES"/>
              </w:rPr>
            </w:pPr>
            <w:r w:rsidRPr="00C174D5">
              <w:rPr>
                <w:b/>
                <w:sz w:val="20"/>
                <w:szCs w:val="20"/>
                <w:lang w:val="es-ES"/>
              </w:rPr>
              <w:t>De mercado</w:t>
            </w:r>
          </w:p>
        </w:tc>
      </w:tr>
      <w:tr w:rsidR="00C92C58" w:rsidRPr="00C174D5" w14:paraId="7D96B867" w14:textId="77777777" w:rsidTr="00B15A9A">
        <w:trPr>
          <w:trHeight w:val="222"/>
          <w:jc w:val="center"/>
        </w:trPr>
        <w:tc>
          <w:tcPr>
            <w:tcW w:w="4152" w:type="dxa"/>
            <w:shd w:val="clear" w:color="auto" w:fill="auto"/>
          </w:tcPr>
          <w:p w14:paraId="546D4214" w14:textId="77777777" w:rsidR="00C92C58" w:rsidRPr="00C174D5" w:rsidRDefault="00C92C58" w:rsidP="00B15A9A">
            <w:pPr>
              <w:spacing w:after="0" w:line="240" w:lineRule="auto"/>
              <w:jc w:val="left"/>
              <w:rPr>
                <w:sz w:val="20"/>
                <w:szCs w:val="20"/>
                <w:lang w:val="es-ES"/>
              </w:rPr>
            </w:pPr>
            <w:r w:rsidRPr="00C174D5">
              <w:rPr>
                <w:sz w:val="20"/>
                <w:szCs w:val="20"/>
                <w:lang w:val="es-ES"/>
              </w:rPr>
              <w:t>Factor de carga promedio anual</w:t>
            </w:r>
          </w:p>
        </w:tc>
        <w:tc>
          <w:tcPr>
            <w:tcW w:w="1249" w:type="dxa"/>
            <w:shd w:val="clear" w:color="auto" w:fill="auto"/>
          </w:tcPr>
          <w:p w14:paraId="7E8CE0BD" w14:textId="77777777" w:rsidR="00C92C58" w:rsidRPr="00C174D5" w:rsidRDefault="00C92C58" w:rsidP="00B15A9A">
            <w:pPr>
              <w:spacing w:after="0" w:line="240" w:lineRule="auto"/>
              <w:jc w:val="center"/>
              <w:rPr>
                <w:sz w:val="20"/>
                <w:szCs w:val="20"/>
                <w:lang w:val="es-ES"/>
              </w:rPr>
            </w:pPr>
            <w:r w:rsidRPr="00C174D5">
              <w:rPr>
                <w:sz w:val="20"/>
                <w:szCs w:val="20"/>
                <w:lang w:val="es-ES"/>
              </w:rPr>
              <w:t>51,70%</w:t>
            </w:r>
          </w:p>
        </w:tc>
      </w:tr>
      <w:tr w:rsidR="00C92C58" w:rsidRPr="00C174D5" w14:paraId="305ADAAF" w14:textId="77777777" w:rsidTr="00B15A9A">
        <w:trPr>
          <w:trHeight w:val="222"/>
          <w:jc w:val="center"/>
        </w:trPr>
        <w:tc>
          <w:tcPr>
            <w:tcW w:w="4152" w:type="dxa"/>
            <w:shd w:val="clear" w:color="auto" w:fill="auto"/>
          </w:tcPr>
          <w:p w14:paraId="1A2D5077" w14:textId="77777777" w:rsidR="00C92C58" w:rsidRPr="00C03193" w:rsidRDefault="00C92C58" w:rsidP="00B15A9A">
            <w:pPr>
              <w:spacing w:after="0" w:line="240" w:lineRule="auto"/>
              <w:jc w:val="left"/>
              <w:rPr>
                <w:sz w:val="20"/>
                <w:szCs w:val="20"/>
                <w:lang w:val="pt-BR"/>
              </w:rPr>
            </w:pPr>
            <w:proofErr w:type="spellStart"/>
            <w:r w:rsidRPr="00C03193">
              <w:rPr>
                <w:sz w:val="20"/>
                <w:szCs w:val="20"/>
                <w:lang w:val="pt-BR"/>
              </w:rPr>
              <w:t>Factor</w:t>
            </w:r>
            <w:proofErr w:type="spellEnd"/>
            <w:r w:rsidRPr="00C03193">
              <w:rPr>
                <w:sz w:val="20"/>
                <w:szCs w:val="20"/>
                <w:lang w:val="pt-BR"/>
              </w:rPr>
              <w:t xml:space="preserve"> de carga </w:t>
            </w:r>
            <w:proofErr w:type="spellStart"/>
            <w:r w:rsidRPr="00C03193">
              <w:rPr>
                <w:sz w:val="20"/>
                <w:szCs w:val="20"/>
                <w:lang w:val="pt-BR"/>
              </w:rPr>
              <w:t>promedio</w:t>
            </w:r>
            <w:proofErr w:type="spellEnd"/>
            <w:r w:rsidRPr="00C03193">
              <w:rPr>
                <w:sz w:val="20"/>
                <w:szCs w:val="20"/>
                <w:lang w:val="pt-BR"/>
              </w:rPr>
              <w:t xml:space="preserve"> anual rural</w:t>
            </w:r>
          </w:p>
        </w:tc>
        <w:tc>
          <w:tcPr>
            <w:tcW w:w="1249" w:type="dxa"/>
            <w:shd w:val="clear" w:color="auto" w:fill="auto"/>
          </w:tcPr>
          <w:p w14:paraId="5774A13F" w14:textId="77777777" w:rsidR="00C92C58" w:rsidRPr="00C174D5" w:rsidRDefault="00C92C58" w:rsidP="00B15A9A">
            <w:pPr>
              <w:spacing w:after="0" w:line="240" w:lineRule="auto"/>
              <w:jc w:val="center"/>
              <w:rPr>
                <w:sz w:val="20"/>
                <w:szCs w:val="20"/>
                <w:lang w:val="es-ES"/>
              </w:rPr>
            </w:pPr>
            <w:r w:rsidRPr="00C174D5">
              <w:rPr>
                <w:sz w:val="20"/>
                <w:szCs w:val="20"/>
                <w:lang w:val="es-ES"/>
              </w:rPr>
              <w:t>24,00%</w:t>
            </w:r>
          </w:p>
        </w:tc>
      </w:tr>
      <w:tr w:rsidR="00C92C58" w:rsidRPr="00C174D5" w14:paraId="4CB5B588" w14:textId="77777777" w:rsidTr="00B15A9A">
        <w:trPr>
          <w:trHeight w:val="222"/>
          <w:jc w:val="center"/>
        </w:trPr>
        <w:tc>
          <w:tcPr>
            <w:tcW w:w="4152" w:type="dxa"/>
            <w:shd w:val="clear" w:color="auto" w:fill="auto"/>
          </w:tcPr>
          <w:p w14:paraId="28843B86" w14:textId="77777777" w:rsidR="00C92C58" w:rsidRPr="00C174D5" w:rsidRDefault="00C92C58" w:rsidP="00B15A9A">
            <w:pPr>
              <w:spacing w:after="0" w:line="240" w:lineRule="auto"/>
              <w:jc w:val="left"/>
              <w:rPr>
                <w:sz w:val="20"/>
                <w:szCs w:val="20"/>
                <w:lang w:val="es-ES"/>
              </w:rPr>
            </w:pPr>
            <w:r w:rsidRPr="00C174D5">
              <w:rPr>
                <w:sz w:val="20"/>
                <w:szCs w:val="20"/>
                <w:lang w:val="es-ES"/>
              </w:rPr>
              <w:t>Nuevos clientes rurales</w:t>
            </w:r>
          </w:p>
        </w:tc>
        <w:tc>
          <w:tcPr>
            <w:tcW w:w="1249" w:type="dxa"/>
            <w:shd w:val="clear" w:color="auto" w:fill="auto"/>
          </w:tcPr>
          <w:p w14:paraId="73EC563F" w14:textId="77777777" w:rsidR="00C92C58" w:rsidRPr="00C174D5" w:rsidRDefault="00C92C58" w:rsidP="00B15A9A">
            <w:pPr>
              <w:spacing w:after="0" w:line="240" w:lineRule="auto"/>
              <w:jc w:val="center"/>
              <w:rPr>
                <w:sz w:val="20"/>
                <w:szCs w:val="20"/>
                <w:lang w:val="es-ES"/>
              </w:rPr>
            </w:pPr>
            <w:r w:rsidRPr="00C174D5">
              <w:rPr>
                <w:sz w:val="20"/>
                <w:szCs w:val="20"/>
                <w:lang w:val="es-ES"/>
              </w:rPr>
              <w:t>500</w:t>
            </w:r>
          </w:p>
        </w:tc>
      </w:tr>
    </w:tbl>
    <w:p w14:paraId="72020BFA" w14:textId="77777777" w:rsidR="00C92C58" w:rsidRPr="00C174D5" w:rsidRDefault="00C92C58" w:rsidP="00C92C58">
      <w:pPr>
        <w:ind w:left="1560" w:right="1559"/>
        <w:jc w:val="center"/>
        <w:rPr>
          <w:sz w:val="18"/>
          <w:lang w:val="es-ES"/>
        </w:rPr>
      </w:pPr>
      <w:r w:rsidRPr="00C174D5">
        <w:rPr>
          <w:sz w:val="18"/>
          <w:lang w:val="es-ES"/>
        </w:rPr>
        <w:t>Fuente: Elaboración propia en base a información de ENATREL provista por el BID</w:t>
      </w:r>
    </w:p>
    <w:p w14:paraId="53927366" w14:textId="77777777" w:rsidR="00C92C58" w:rsidRPr="00C174D5" w:rsidRDefault="00C92C58" w:rsidP="00C92C58">
      <w:pPr>
        <w:rPr>
          <w:lang w:val="es-ES"/>
        </w:rPr>
      </w:pPr>
      <w:r w:rsidRPr="00C174D5">
        <w:rPr>
          <w:lang w:val="es-ES"/>
        </w:rPr>
        <w:t xml:space="preserve">En la sección </w:t>
      </w:r>
      <w:r w:rsidRPr="00C174D5">
        <w:rPr>
          <w:lang w:val="es-ES"/>
        </w:rPr>
        <w:fldChar w:fldCharType="begin" w:fldLock="1"/>
      </w:r>
      <w:r w:rsidRPr="00C174D5">
        <w:rPr>
          <w:lang w:val="es-ES"/>
        </w:rPr>
        <w:instrText xml:space="preserve"> REF _Ref445798718 \r \h  \* MERGEFORMAT </w:instrText>
      </w:r>
      <w:r w:rsidRPr="00C174D5">
        <w:rPr>
          <w:lang w:val="es-ES"/>
        </w:rPr>
      </w:r>
      <w:r w:rsidRPr="00C174D5">
        <w:rPr>
          <w:lang w:val="es-ES"/>
        </w:rPr>
        <w:fldChar w:fldCharType="separate"/>
      </w:r>
      <w:r w:rsidRPr="00C174D5">
        <w:rPr>
          <w:lang w:val="es-ES"/>
        </w:rPr>
        <w:t>3.3.2.2</w:t>
      </w:r>
      <w:r w:rsidRPr="00C174D5">
        <w:rPr>
          <w:lang w:val="es-ES"/>
        </w:rPr>
        <w:fldChar w:fldCharType="end"/>
      </w:r>
      <w:r w:rsidRPr="00C174D5">
        <w:rPr>
          <w:lang w:val="es-ES"/>
        </w:rPr>
        <w:t xml:space="preserve"> se presentan los resultados del análisis económico y financiero del proyecto.</w:t>
      </w:r>
    </w:p>
    <w:p w14:paraId="3461FA61" w14:textId="77777777" w:rsidR="00C92C58" w:rsidRPr="00C174D5" w:rsidRDefault="00C92C58" w:rsidP="00C92C58">
      <w:pPr>
        <w:pStyle w:val="Heading2"/>
        <w:rPr>
          <w:lang w:val="es-ES"/>
        </w:rPr>
      </w:pPr>
      <w:bookmarkStart w:id="117" w:name="_Ref445798718"/>
      <w:bookmarkStart w:id="118" w:name="_Toc447546943"/>
      <w:bookmarkStart w:id="119" w:name="_Toc456353127"/>
      <w:r w:rsidRPr="00C174D5">
        <w:rPr>
          <w:lang w:val="es-ES"/>
        </w:rPr>
        <w:lastRenderedPageBreak/>
        <w:t xml:space="preserve">SE </w:t>
      </w:r>
      <w:proofErr w:type="spellStart"/>
      <w:r w:rsidRPr="00C174D5">
        <w:rPr>
          <w:lang w:val="es-ES"/>
        </w:rPr>
        <w:t>Diriamba</w:t>
      </w:r>
      <w:proofErr w:type="spellEnd"/>
      <w:r w:rsidRPr="00C174D5">
        <w:rPr>
          <w:lang w:val="es-ES"/>
        </w:rPr>
        <w:t xml:space="preserve"> – Evaluación</w:t>
      </w:r>
      <w:bookmarkEnd w:id="117"/>
      <w:bookmarkEnd w:id="118"/>
      <w:bookmarkEnd w:id="119"/>
    </w:p>
    <w:p w14:paraId="2DCF2B6A" w14:textId="77777777" w:rsidR="00C92C58" w:rsidRPr="00C174D5" w:rsidRDefault="00C92C58" w:rsidP="00C92C58">
      <w:pPr>
        <w:rPr>
          <w:lang w:val="es-ES"/>
        </w:rPr>
      </w:pPr>
      <w:r w:rsidRPr="00C174D5">
        <w:rPr>
          <w:lang w:val="es-ES"/>
        </w:rPr>
        <w:t xml:space="preserve">En este caso, los beneficios económicos del proyecto están dados por la disminución de la energía no suministrada (neta de costos) y los recursos liberados por los nuevos clientes servidos (producto de los PER). Nuevamente, estos recursos liberados son </w:t>
      </w:r>
      <w:r w:rsidRPr="00C174D5">
        <w:rPr>
          <w:i/>
          <w:lang w:val="es-ES"/>
        </w:rPr>
        <w:t xml:space="preserve">netos </w:t>
      </w:r>
      <w:r w:rsidRPr="00C174D5">
        <w:rPr>
          <w:lang w:val="es-ES"/>
        </w:rPr>
        <w:t>porque al ahorro en el gasto en sustitutos energéticos se le sustrae el gasto en electricidad. Los costos económicos son la inversión y los costos de operación y mantenimiento asociados a la misma y las pérdidas adicionales asociadas a la situación con proyecto (por la mayor provisión de electricidad), valuadas según nivel de tensión</w:t>
      </w:r>
      <w:r w:rsidRPr="00C174D5">
        <w:rPr>
          <w:rStyle w:val="FootnoteReference"/>
          <w:lang w:val="es-ES"/>
        </w:rPr>
        <w:footnoteReference w:id="34"/>
      </w:r>
      <w:r w:rsidRPr="00C174D5">
        <w:rPr>
          <w:lang w:val="es-ES"/>
        </w:rPr>
        <w:t xml:space="preserve">; todos ajustados por los respectivos FC. Estos valores, junto con el VPNE del proyecto, se presentan en la </w:t>
      </w:r>
      <w:r w:rsidRPr="00C174D5">
        <w:rPr>
          <w:lang w:val="es-ES"/>
        </w:rPr>
        <w:fldChar w:fldCharType="begin"/>
      </w:r>
      <w:r w:rsidRPr="00C174D5">
        <w:rPr>
          <w:lang w:val="es-ES"/>
        </w:rPr>
        <w:instrText xml:space="preserve"> REF _Ref450035757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20</w:t>
      </w:r>
      <w:r w:rsidRPr="00C174D5">
        <w:rPr>
          <w:lang w:val="es-ES"/>
        </w:rPr>
        <w:fldChar w:fldCharType="end"/>
      </w:r>
      <w:r w:rsidRPr="00C174D5">
        <w:rPr>
          <w:lang w:val="es-ES"/>
        </w:rPr>
        <w:t>.</w:t>
      </w:r>
    </w:p>
    <w:p w14:paraId="7FC1429E" w14:textId="77777777" w:rsidR="00C92C58" w:rsidRPr="00C174D5" w:rsidRDefault="00C92C58" w:rsidP="00C92C58">
      <w:pPr>
        <w:keepNext/>
        <w:keepLines/>
        <w:spacing w:after="120"/>
        <w:jc w:val="center"/>
        <w:rPr>
          <w:b/>
          <w:sz w:val="20"/>
          <w:lang w:val="es-ES"/>
        </w:rPr>
      </w:pPr>
      <w:bookmarkStart w:id="120" w:name="_Ref450035757"/>
      <w:bookmarkStart w:id="121" w:name="_Toc447546979"/>
      <w:bookmarkStart w:id="122" w:name="_Toc456353176"/>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20</w:t>
      </w:r>
      <w:r w:rsidRPr="00C174D5">
        <w:rPr>
          <w:b/>
          <w:sz w:val="20"/>
          <w:lang w:val="es-ES"/>
        </w:rPr>
        <w:fldChar w:fldCharType="end"/>
      </w:r>
      <w:bookmarkEnd w:id="120"/>
      <w:r w:rsidRPr="00C174D5">
        <w:rPr>
          <w:b/>
          <w:sz w:val="20"/>
          <w:lang w:val="es-ES"/>
        </w:rPr>
        <w:t xml:space="preserve">: Resultados evaluación económica – SE </w:t>
      </w:r>
      <w:proofErr w:type="spellStart"/>
      <w:r w:rsidRPr="00C174D5">
        <w:rPr>
          <w:b/>
          <w:sz w:val="20"/>
          <w:lang w:val="es-ES"/>
        </w:rPr>
        <w:t>Diriamba</w:t>
      </w:r>
      <w:bookmarkEnd w:id="121"/>
      <w:bookmarkEnd w:id="122"/>
      <w:proofErr w:type="spellEnd"/>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518"/>
        <w:gridCol w:w="1418"/>
        <w:gridCol w:w="1275"/>
        <w:gridCol w:w="1560"/>
        <w:gridCol w:w="1243"/>
        <w:gridCol w:w="707"/>
      </w:tblGrid>
      <w:tr w:rsidR="00C92C58" w:rsidRPr="00C174D5" w14:paraId="2B483A29" w14:textId="77777777" w:rsidTr="00B15A9A">
        <w:trPr>
          <w:trHeight w:val="35"/>
          <w:jc w:val="center"/>
        </w:trPr>
        <w:tc>
          <w:tcPr>
            <w:tcW w:w="2518"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3425A1AF" w14:textId="77777777" w:rsidR="00C92C58" w:rsidRPr="00C174D5" w:rsidRDefault="00C92C58" w:rsidP="00B15A9A">
            <w:pPr>
              <w:keepNext/>
              <w:keepLines/>
              <w:spacing w:after="0"/>
              <w:jc w:val="center"/>
              <w:rPr>
                <w:b/>
                <w:sz w:val="20"/>
                <w:lang w:val="es-ES"/>
              </w:rPr>
            </w:pPr>
          </w:p>
        </w:tc>
        <w:tc>
          <w:tcPr>
            <w:tcW w:w="1418"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22B87AD6" w14:textId="77777777" w:rsidR="00C92C58" w:rsidRPr="00C174D5" w:rsidRDefault="00C92C58" w:rsidP="00B15A9A">
            <w:pPr>
              <w:keepNext/>
              <w:keepLines/>
              <w:spacing w:after="0"/>
              <w:jc w:val="center"/>
              <w:rPr>
                <w:b/>
                <w:sz w:val="20"/>
                <w:lang w:val="es-ES"/>
              </w:rPr>
            </w:pPr>
            <w:r w:rsidRPr="00C174D5">
              <w:rPr>
                <w:b/>
                <w:bCs/>
                <w:sz w:val="20"/>
                <w:lang w:val="es-ES"/>
              </w:rPr>
              <w:t xml:space="preserve">VP Inversión </w:t>
            </w:r>
            <w:proofErr w:type="spellStart"/>
            <w:r w:rsidRPr="00C174D5">
              <w:rPr>
                <w:b/>
                <w:bCs/>
                <w:sz w:val="20"/>
                <w:lang w:val="es-ES"/>
              </w:rPr>
              <w:t>ec</w:t>
            </w:r>
            <w:proofErr w:type="spellEnd"/>
            <w:r w:rsidRPr="00C174D5">
              <w:rPr>
                <w:b/>
                <w:bCs/>
                <w:sz w:val="20"/>
                <w:lang w:val="es-ES"/>
              </w:rPr>
              <w:t>. (US$)</w:t>
            </w:r>
          </w:p>
        </w:tc>
        <w:tc>
          <w:tcPr>
            <w:tcW w:w="1275"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1A4D296E" w14:textId="77777777" w:rsidR="00C92C58" w:rsidRPr="00C174D5" w:rsidRDefault="00C92C58" w:rsidP="00B15A9A">
            <w:pPr>
              <w:keepNext/>
              <w:keepLines/>
              <w:spacing w:after="0"/>
              <w:jc w:val="center"/>
              <w:rPr>
                <w:b/>
                <w:sz w:val="20"/>
                <w:lang w:val="es-ES"/>
              </w:rPr>
            </w:pPr>
            <w:r w:rsidRPr="00C174D5">
              <w:rPr>
                <w:b/>
                <w:bCs/>
                <w:sz w:val="20"/>
                <w:lang w:val="es-ES"/>
              </w:rPr>
              <w:t xml:space="preserve">VP Costos </w:t>
            </w:r>
            <w:proofErr w:type="spellStart"/>
            <w:r w:rsidRPr="00C174D5">
              <w:rPr>
                <w:b/>
                <w:bCs/>
                <w:sz w:val="20"/>
                <w:lang w:val="es-ES"/>
              </w:rPr>
              <w:t>ec</w:t>
            </w:r>
            <w:proofErr w:type="spellEnd"/>
            <w:r w:rsidRPr="00C174D5">
              <w:rPr>
                <w:b/>
                <w:bCs/>
                <w:sz w:val="20"/>
                <w:lang w:val="es-ES"/>
              </w:rPr>
              <w:t>. (US$)</w:t>
            </w:r>
          </w:p>
        </w:tc>
        <w:tc>
          <w:tcPr>
            <w:tcW w:w="1560"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1D3B1198" w14:textId="77777777" w:rsidR="00C92C58" w:rsidRPr="00C174D5" w:rsidRDefault="00C92C58" w:rsidP="00B15A9A">
            <w:pPr>
              <w:keepNext/>
              <w:keepLines/>
              <w:spacing w:after="0"/>
              <w:jc w:val="center"/>
              <w:rPr>
                <w:b/>
                <w:sz w:val="20"/>
                <w:lang w:val="es-ES"/>
              </w:rPr>
            </w:pPr>
            <w:r w:rsidRPr="00C174D5">
              <w:rPr>
                <w:b/>
                <w:bCs/>
                <w:sz w:val="20"/>
                <w:lang w:val="es-ES"/>
              </w:rPr>
              <w:t xml:space="preserve">VP Beneficios </w:t>
            </w:r>
            <w:proofErr w:type="spellStart"/>
            <w:r w:rsidRPr="00C174D5">
              <w:rPr>
                <w:b/>
                <w:bCs/>
                <w:sz w:val="20"/>
                <w:lang w:val="es-ES"/>
              </w:rPr>
              <w:t>ec</w:t>
            </w:r>
            <w:proofErr w:type="spellEnd"/>
            <w:r w:rsidRPr="00C174D5">
              <w:rPr>
                <w:b/>
                <w:bCs/>
                <w:sz w:val="20"/>
                <w:lang w:val="es-ES"/>
              </w:rPr>
              <w:t>. (US$)</w:t>
            </w:r>
          </w:p>
        </w:tc>
        <w:tc>
          <w:tcPr>
            <w:tcW w:w="1243"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7E1EA345" w14:textId="77777777" w:rsidR="00C92C58" w:rsidRPr="00C174D5" w:rsidRDefault="00C92C58" w:rsidP="00B15A9A">
            <w:pPr>
              <w:keepNext/>
              <w:keepLines/>
              <w:spacing w:after="0"/>
              <w:jc w:val="center"/>
              <w:rPr>
                <w:b/>
                <w:sz w:val="20"/>
                <w:lang w:val="es-ES"/>
              </w:rPr>
            </w:pPr>
            <w:r w:rsidRPr="00C174D5">
              <w:rPr>
                <w:b/>
                <w:bCs/>
                <w:sz w:val="20"/>
                <w:lang w:val="es-ES"/>
              </w:rPr>
              <w:t>VPNE (US$)</w:t>
            </w:r>
          </w:p>
        </w:tc>
        <w:tc>
          <w:tcPr>
            <w:tcW w:w="707"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786A90F7" w14:textId="77777777" w:rsidR="00C92C58" w:rsidRPr="00C174D5" w:rsidRDefault="00C92C58" w:rsidP="00B15A9A">
            <w:pPr>
              <w:keepNext/>
              <w:keepLines/>
              <w:spacing w:after="0"/>
              <w:jc w:val="center"/>
              <w:rPr>
                <w:b/>
                <w:sz w:val="20"/>
                <w:lang w:val="es-ES"/>
              </w:rPr>
            </w:pPr>
            <w:r w:rsidRPr="00C174D5">
              <w:rPr>
                <w:b/>
                <w:bCs/>
                <w:sz w:val="20"/>
                <w:lang w:val="es-ES"/>
              </w:rPr>
              <w:t>TIRE</w:t>
            </w:r>
          </w:p>
        </w:tc>
      </w:tr>
      <w:tr w:rsidR="00C92C58" w:rsidRPr="00C174D5" w14:paraId="70CC5AA1" w14:textId="77777777" w:rsidTr="00B15A9A">
        <w:trPr>
          <w:trHeight w:val="1105"/>
          <w:jc w:val="center"/>
        </w:trPr>
        <w:tc>
          <w:tcPr>
            <w:tcW w:w="2518" w:type="dxa"/>
            <w:tcBorders>
              <w:top w:val="single" w:sz="12" w:space="0" w:color="000000"/>
            </w:tcBorders>
            <w:shd w:val="clear" w:color="auto" w:fill="auto"/>
            <w:tcMar>
              <w:top w:w="15" w:type="dxa"/>
              <w:left w:w="108" w:type="dxa"/>
              <w:bottom w:w="0" w:type="dxa"/>
              <w:right w:w="108" w:type="dxa"/>
            </w:tcMar>
            <w:vAlign w:val="center"/>
            <w:hideMark/>
          </w:tcPr>
          <w:p w14:paraId="0CEBF610" w14:textId="77777777" w:rsidR="00C92C58" w:rsidRPr="00C174D5" w:rsidRDefault="00C92C58" w:rsidP="00B15A9A">
            <w:pPr>
              <w:keepNext/>
              <w:keepLines/>
              <w:spacing w:after="0"/>
              <w:jc w:val="center"/>
              <w:rPr>
                <w:sz w:val="20"/>
                <w:lang w:val="es-ES"/>
              </w:rPr>
            </w:pPr>
            <w:r w:rsidRPr="00C174D5">
              <w:rPr>
                <w:bCs/>
                <w:sz w:val="20"/>
                <w:lang w:val="es-ES"/>
              </w:rPr>
              <w:t>Situación Con Proyecto</w:t>
            </w:r>
          </w:p>
          <w:p w14:paraId="534B7C02" w14:textId="77777777" w:rsidR="00C92C58" w:rsidRPr="00C174D5" w:rsidRDefault="00C92C58" w:rsidP="00B15A9A">
            <w:pPr>
              <w:keepNext/>
              <w:keepLines/>
              <w:spacing w:after="0"/>
              <w:jc w:val="center"/>
              <w:rPr>
                <w:sz w:val="20"/>
                <w:lang w:val="es-ES"/>
              </w:rPr>
            </w:pPr>
            <w:r w:rsidRPr="00C174D5">
              <w:rPr>
                <w:bCs/>
                <w:sz w:val="20"/>
                <w:lang w:val="es-ES"/>
              </w:rPr>
              <w:t>-</w:t>
            </w:r>
          </w:p>
          <w:p w14:paraId="11E13B69" w14:textId="77777777" w:rsidR="00C92C58" w:rsidRPr="00C174D5" w:rsidRDefault="00C92C58" w:rsidP="00B15A9A">
            <w:pPr>
              <w:keepNext/>
              <w:keepLines/>
              <w:spacing w:after="0"/>
              <w:jc w:val="center"/>
              <w:rPr>
                <w:sz w:val="20"/>
                <w:lang w:val="es-ES"/>
              </w:rPr>
            </w:pPr>
            <w:r w:rsidRPr="00C174D5">
              <w:rPr>
                <w:bCs/>
                <w:sz w:val="20"/>
                <w:lang w:val="es-ES"/>
              </w:rPr>
              <w:t>Situación sin proyecto</w:t>
            </w:r>
          </w:p>
        </w:tc>
        <w:tc>
          <w:tcPr>
            <w:tcW w:w="1418" w:type="dxa"/>
            <w:tcBorders>
              <w:top w:val="single" w:sz="12" w:space="0" w:color="000000"/>
            </w:tcBorders>
            <w:shd w:val="clear" w:color="auto" w:fill="auto"/>
            <w:tcMar>
              <w:top w:w="15" w:type="dxa"/>
              <w:left w:w="108" w:type="dxa"/>
              <w:bottom w:w="0" w:type="dxa"/>
              <w:right w:w="108" w:type="dxa"/>
            </w:tcMar>
            <w:vAlign w:val="center"/>
          </w:tcPr>
          <w:p w14:paraId="08B0E717" w14:textId="77777777" w:rsidR="00C92C58" w:rsidRPr="00C174D5" w:rsidRDefault="00C92C58" w:rsidP="00B15A9A">
            <w:pPr>
              <w:keepNext/>
              <w:keepLines/>
              <w:spacing w:after="0"/>
              <w:jc w:val="center"/>
              <w:rPr>
                <w:sz w:val="20"/>
                <w:lang w:val="es-ES"/>
              </w:rPr>
            </w:pPr>
            <w:r w:rsidRPr="00C174D5">
              <w:rPr>
                <w:sz w:val="20"/>
                <w:lang w:val="es-ES"/>
              </w:rPr>
              <w:t>1.232.261</w:t>
            </w:r>
          </w:p>
        </w:tc>
        <w:tc>
          <w:tcPr>
            <w:tcW w:w="1275" w:type="dxa"/>
            <w:tcBorders>
              <w:top w:val="single" w:sz="12" w:space="0" w:color="000000"/>
            </w:tcBorders>
            <w:shd w:val="clear" w:color="auto" w:fill="auto"/>
            <w:tcMar>
              <w:top w:w="15" w:type="dxa"/>
              <w:left w:w="108" w:type="dxa"/>
              <w:bottom w:w="0" w:type="dxa"/>
              <w:right w:w="108" w:type="dxa"/>
            </w:tcMar>
            <w:vAlign w:val="center"/>
          </w:tcPr>
          <w:p w14:paraId="059E1CD3" w14:textId="77777777" w:rsidR="00C92C58" w:rsidRPr="00C174D5" w:rsidRDefault="00C92C58" w:rsidP="00B15A9A">
            <w:pPr>
              <w:keepNext/>
              <w:keepLines/>
              <w:spacing w:after="0"/>
              <w:jc w:val="center"/>
              <w:rPr>
                <w:sz w:val="20"/>
                <w:lang w:val="es-ES"/>
              </w:rPr>
            </w:pPr>
            <w:r w:rsidRPr="0033242E">
              <w:rPr>
                <w:sz w:val="20"/>
                <w:lang w:val="es-ES"/>
              </w:rPr>
              <w:t>1</w:t>
            </w:r>
            <w:r>
              <w:rPr>
                <w:sz w:val="20"/>
                <w:lang w:val="es-ES"/>
              </w:rPr>
              <w:t>.</w:t>
            </w:r>
            <w:r w:rsidRPr="0033242E">
              <w:rPr>
                <w:sz w:val="20"/>
                <w:lang w:val="es-ES"/>
              </w:rPr>
              <w:t>967</w:t>
            </w:r>
            <w:r>
              <w:rPr>
                <w:sz w:val="20"/>
                <w:lang w:val="es-ES"/>
              </w:rPr>
              <w:t>.</w:t>
            </w:r>
            <w:r w:rsidRPr="0033242E">
              <w:rPr>
                <w:sz w:val="20"/>
                <w:lang w:val="es-ES"/>
              </w:rPr>
              <w:t>890</w:t>
            </w:r>
          </w:p>
        </w:tc>
        <w:tc>
          <w:tcPr>
            <w:tcW w:w="1560" w:type="dxa"/>
            <w:tcBorders>
              <w:top w:val="single" w:sz="12" w:space="0" w:color="000000"/>
            </w:tcBorders>
            <w:shd w:val="clear" w:color="auto" w:fill="auto"/>
            <w:tcMar>
              <w:top w:w="15" w:type="dxa"/>
              <w:left w:w="108" w:type="dxa"/>
              <w:bottom w:w="0" w:type="dxa"/>
              <w:right w:w="108" w:type="dxa"/>
            </w:tcMar>
            <w:vAlign w:val="center"/>
          </w:tcPr>
          <w:p w14:paraId="1DC4785C" w14:textId="77777777" w:rsidR="00C92C58" w:rsidRPr="00C174D5" w:rsidRDefault="00C92C58" w:rsidP="00B15A9A">
            <w:pPr>
              <w:keepNext/>
              <w:keepLines/>
              <w:spacing w:after="0"/>
              <w:jc w:val="center"/>
              <w:rPr>
                <w:sz w:val="20"/>
                <w:lang w:val="es-ES"/>
              </w:rPr>
            </w:pPr>
            <w:r w:rsidRPr="0033242E">
              <w:rPr>
                <w:sz w:val="20"/>
                <w:lang w:val="es-ES"/>
              </w:rPr>
              <w:t>84</w:t>
            </w:r>
            <w:r>
              <w:rPr>
                <w:sz w:val="20"/>
                <w:lang w:val="es-ES"/>
              </w:rPr>
              <w:t>.</w:t>
            </w:r>
            <w:r w:rsidRPr="0033242E">
              <w:rPr>
                <w:sz w:val="20"/>
                <w:lang w:val="es-ES"/>
              </w:rPr>
              <w:t>187</w:t>
            </w:r>
            <w:r>
              <w:rPr>
                <w:sz w:val="20"/>
                <w:lang w:val="es-ES"/>
              </w:rPr>
              <w:t>.</w:t>
            </w:r>
            <w:r w:rsidRPr="0033242E">
              <w:rPr>
                <w:sz w:val="20"/>
                <w:lang w:val="es-ES"/>
              </w:rPr>
              <w:t>530</w:t>
            </w:r>
          </w:p>
        </w:tc>
        <w:tc>
          <w:tcPr>
            <w:tcW w:w="1243" w:type="dxa"/>
            <w:tcBorders>
              <w:top w:val="single" w:sz="12" w:space="0" w:color="000000"/>
            </w:tcBorders>
            <w:shd w:val="clear" w:color="auto" w:fill="auto"/>
            <w:tcMar>
              <w:top w:w="15" w:type="dxa"/>
              <w:left w:w="108" w:type="dxa"/>
              <w:bottom w:w="0" w:type="dxa"/>
              <w:right w:w="108" w:type="dxa"/>
            </w:tcMar>
            <w:vAlign w:val="center"/>
          </w:tcPr>
          <w:p w14:paraId="154A339F" w14:textId="77777777" w:rsidR="00C92C58" w:rsidRPr="00C174D5" w:rsidRDefault="00C92C58" w:rsidP="00B15A9A">
            <w:pPr>
              <w:keepNext/>
              <w:keepLines/>
              <w:spacing w:after="0"/>
              <w:jc w:val="center"/>
              <w:rPr>
                <w:sz w:val="20"/>
                <w:lang w:val="es-ES"/>
              </w:rPr>
            </w:pPr>
            <w:r w:rsidRPr="0033242E">
              <w:rPr>
                <w:sz w:val="20"/>
                <w:lang w:val="es-ES"/>
              </w:rPr>
              <w:t>80</w:t>
            </w:r>
            <w:r>
              <w:rPr>
                <w:sz w:val="20"/>
                <w:lang w:val="es-ES"/>
              </w:rPr>
              <w:t>.987.</w:t>
            </w:r>
            <w:r w:rsidRPr="0033242E">
              <w:rPr>
                <w:sz w:val="20"/>
                <w:lang w:val="es-ES"/>
              </w:rPr>
              <w:t>378</w:t>
            </w:r>
          </w:p>
        </w:tc>
        <w:tc>
          <w:tcPr>
            <w:tcW w:w="707" w:type="dxa"/>
            <w:tcBorders>
              <w:top w:val="single" w:sz="12" w:space="0" w:color="000000"/>
            </w:tcBorders>
            <w:shd w:val="clear" w:color="auto" w:fill="auto"/>
            <w:tcMar>
              <w:top w:w="15" w:type="dxa"/>
              <w:left w:w="108" w:type="dxa"/>
              <w:bottom w:w="0" w:type="dxa"/>
              <w:right w:w="108" w:type="dxa"/>
            </w:tcMar>
            <w:vAlign w:val="center"/>
          </w:tcPr>
          <w:p w14:paraId="5AAB1834" w14:textId="77777777" w:rsidR="00C92C58" w:rsidRPr="00C174D5" w:rsidRDefault="00C92C58" w:rsidP="00B15A9A">
            <w:pPr>
              <w:keepNext/>
              <w:keepLines/>
              <w:spacing w:after="0"/>
              <w:jc w:val="center"/>
              <w:rPr>
                <w:sz w:val="20"/>
                <w:lang w:val="es-ES"/>
              </w:rPr>
            </w:pPr>
            <w:r w:rsidRPr="00C174D5">
              <w:rPr>
                <w:sz w:val="20"/>
                <w:lang w:val="es-ES"/>
              </w:rPr>
              <w:t>6</w:t>
            </w:r>
            <w:r>
              <w:rPr>
                <w:sz w:val="20"/>
                <w:lang w:val="es-ES"/>
              </w:rPr>
              <w:t>9</w:t>
            </w:r>
            <w:r w:rsidRPr="00C174D5">
              <w:rPr>
                <w:sz w:val="20"/>
                <w:lang w:val="es-ES"/>
              </w:rPr>
              <w:t>%</w:t>
            </w:r>
          </w:p>
        </w:tc>
      </w:tr>
    </w:tbl>
    <w:p w14:paraId="6ABDC739" w14:textId="77777777" w:rsidR="00C92C58" w:rsidRPr="00C174D5" w:rsidRDefault="00C92C58" w:rsidP="00C92C58">
      <w:pPr>
        <w:jc w:val="center"/>
        <w:rPr>
          <w:sz w:val="18"/>
          <w:lang w:val="es-ES"/>
        </w:rPr>
      </w:pPr>
      <w:r w:rsidRPr="00C174D5">
        <w:rPr>
          <w:sz w:val="18"/>
          <w:lang w:val="es-ES"/>
        </w:rPr>
        <w:t>Fuente: Elaboración propia en base a información de ENATREL provista por el BID</w:t>
      </w:r>
    </w:p>
    <w:p w14:paraId="0D90D5C3" w14:textId="77777777" w:rsidR="00C92C58" w:rsidRPr="00C174D5" w:rsidRDefault="00C92C58" w:rsidP="00C92C58">
      <w:pPr>
        <w:rPr>
          <w:lang w:val="es-ES"/>
        </w:rPr>
      </w:pPr>
      <w:r w:rsidRPr="00C174D5">
        <w:rPr>
          <w:lang w:val="es-ES"/>
        </w:rPr>
        <w:t xml:space="preserve">El proyecto es deseable desde una óptica económica o social </w:t>
      </w:r>
      <w:r>
        <w:rPr>
          <w:lang w:val="es-ES"/>
        </w:rPr>
        <w:t xml:space="preserve">pero no </w:t>
      </w:r>
      <w:r w:rsidRPr="00C174D5">
        <w:rPr>
          <w:lang w:val="es-ES"/>
        </w:rPr>
        <w:t>desde la financiera o privada (</w:t>
      </w:r>
      <w:r w:rsidRPr="00C174D5">
        <w:rPr>
          <w:lang w:val="es-ES"/>
        </w:rPr>
        <w:fldChar w:fldCharType="begin"/>
      </w:r>
      <w:r w:rsidRPr="00C174D5">
        <w:rPr>
          <w:lang w:val="es-ES"/>
        </w:rPr>
        <w:instrText xml:space="preserve"> REF _Ref450035760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21</w:t>
      </w:r>
      <w:r w:rsidRPr="00C174D5">
        <w:rPr>
          <w:lang w:val="es-ES"/>
        </w:rPr>
        <w:fldChar w:fldCharType="end"/>
      </w:r>
      <w:r w:rsidRPr="00C174D5">
        <w:rPr>
          <w:lang w:val="es-ES"/>
        </w:rPr>
        <w:t>).</w:t>
      </w:r>
    </w:p>
    <w:p w14:paraId="08655D94" w14:textId="77777777" w:rsidR="00C92C58" w:rsidRPr="00C174D5" w:rsidRDefault="00C92C58" w:rsidP="00C92C58">
      <w:pPr>
        <w:keepNext/>
        <w:keepLines/>
        <w:spacing w:after="120"/>
        <w:jc w:val="center"/>
        <w:rPr>
          <w:b/>
          <w:sz w:val="20"/>
          <w:lang w:val="es-ES"/>
        </w:rPr>
      </w:pPr>
      <w:bookmarkStart w:id="123" w:name="_Ref450035760"/>
      <w:bookmarkStart w:id="124" w:name="_Toc447546980"/>
      <w:bookmarkStart w:id="125" w:name="_Toc456353177"/>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21</w:t>
      </w:r>
      <w:r w:rsidRPr="00C174D5">
        <w:rPr>
          <w:b/>
          <w:sz w:val="20"/>
          <w:lang w:val="es-ES"/>
        </w:rPr>
        <w:fldChar w:fldCharType="end"/>
      </w:r>
      <w:bookmarkEnd w:id="123"/>
      <w:r w:rsidRPr="00C174D5">
        <w:rPr>
          <w:b/>
          <w:sz w:val="20"/>
          <w:lang w:val="es-ES"/>
        </w:rPr>
        <w:t xml:space="preserve">: Resultados evaluación financiera – SE </w:t>
      </w:r>
      <w:proofErr w:type="spellStart"/>
      <w:r w:rsidRPr="00C174D5">
        <w:rPr>
          <w:b/>
          <w:sz w:val="20"/>
          <w:lang w:val="es-ES"/>
        </w:rPr>
        <w:t>Diriamba</w:t>
      </w:r>
      <w:bookmarkEnd w:id="124"/>
      <w:bookmarkEnd w:id="125"/>
      <w:proofErr w:type="spellEnd"/>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518"/>
        <w:gridCol w:w="1418"/>
        <w:gridCol w:w="1275"/>
        <w:gridCol w:w="1560"/>
        <w:gridCol w:w="1275"/>
        <w:gridCol w:w="675"/>
      </w:tblGrid>
      <w:tr w:rsidR="00C92C58" w:rsidRPr="00C174D5" w14:paraId="0077D276" w14:textId="77777777" w:rsidTr="00B15A9A">
        <w:trPr>
          <w:trHeight w:val="35"/>
          <w:jc w:val="center"/>
        </w:trPr>
        <w:tc>
          <w:tcPr>
            <w:tcW w:w="2518"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33C3B209" w14:textId="77777777" w:rsidR="00C92C58" w:rsidRPr="00C174D5" w:rsidRDefault="00C92C58" w:rsidP="00B15A9A">
            <w:pPr>
              <w:keepNext/>
              <w:keepLines/>
              <w:spacing w:after="0"/>
              <w:jc w:val="center"/>
              <w:rPr>
                <w:b/>
                <w:sz w:val="20"/>
                <w:lang w:val="es-ES"/>
              </w:rPr>
            </w:pPr>
          </w:p>
        </w:tc>
        <w:tc>
          <w:tcPr>
            <w:tcW w:w="1418"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7591D0BE" w14:textId="77777777" w:rsidR="00C92C58" w:rsidRPr="00C174D5" w:rsidRDefault="00C92C58" w:rsidP="00B15A9A">
            <w:pPr>
              <w:keepNext/>
              <w:keepLines/>
              <w:spacing w:after="0"/>
              <w:jc w:val="center"/>
              <w:rPr>
                <w:b/>
                <w:sz w:val="20"/>
                <w:lang w:val="es-ES"/>
              </w:rPr>
            </w:pPr>
            <w:r w:rsidRPr="00C174D5">
              <w:rPr>
                <w:b/>
                <w:bCs/>
                <w:sz w:val="20"/>
                <w:lang w:val="es-ES"/>
              </w:rPr>
              <w:t>VP Inversión fin. (US$)</w:t>
            </w:r>
          </w:p>
        </w:tc>
        <w:tc>
          <w:tcPr>
            <w:tcW w:w="1275"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7602022E" w14:textId="77777777" w:rsidR="00C92C58" w:rsidRPr="00C174D5" w:rsidRDefault="00C92C58" w:rsidP="00B15A9A">
            <w:pPr>
              <w:keepNext/>
              <w:keepLines/>
              <w:spacing w:after="0"/>
              <w:jc w:val="center"/>
              <w:rPr>
                <w:b/>
                <w:sz w:val="20"/>
                <w:lang w:val="es-ES"/>
              </w:rPr>
            </w:pPr>
            <w:r w:rsidRPr="00C174D5">
              <w:rPr>
                <w:b/>
                <w:bCs/>
                <w:sz w:val="20"/>
                <w:lang w:val="es-ES"/>
              </w:rPr>
              <w:t>VP Costos fin. (US$)</w:t>
            </w:r>
          </w:p>
        </w:tc>
        <w:tc>
          <w:tcPr>
            <w:tcW w:w="1560"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461A93F9" w14:textId="77777777" w:rsidR="00C92C58" w:rsidRPr="00C174D5" w:rsidRDefault="00C92C58" w:rsidP="00B15A9A">
            <w:pPr>
              <w:keepNext/>
              <w:keepLines/>
              <w:spacing w:after="0"/>
              <w:jc w:val="center"/>
              <w:rPr>
                <w:b/>
                <w:sz w:val="20"/>
                <w:lang w:val="es-ES"/>
              </w:rPr>
            </w:pPr>
            <w:r w:rsidRPr="00C174D5">
              <w:rPr>
                <w:b/>
                <w:bCs/>
                <w:sz w:val="20"/>
                <w:lang w:val="es-ES"/>
              </w:rPr>
              <w:t>VP Ingresos (US$)</w:t>
            </w:r>
          </w:p>
        </w:tc>
        <w:tc>
          <w:tcPr>
            <w:tcW w:w="1275"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04AB9BA4" w14:textId="77777777" w:rsidR="00C92C58" w:rsidRPr="00C174D5" w:rsidRDefault="00C92C58" w:rsidP="00B15A9A">
            <w:pPr>
              <w:keepNext/>
              <w:keepLines/>
              <w:spacing w:after="0"/>
              <w:jc w:val="center"/>
              <w:rPr>
                <w:b/>
                <w:sz w:val="20"/>
                <w:lang w:val="es-ES"/>
              </w:rPr>
            </w:pPr>
            <w:r w:rsidRPr="00C174D5">
              <w:rPr>
                <w:b/>
                <w:bCs/>
                <w:sz w:val="20"/>
                <w:lang w:val="es-ES"/>
              </w:rPr>
              <w:t>VPN (US$)</w:t>
            </w:r>
          </w:p>
        </w:tc>
        <w:tc>
          <w:tcPr>
            <w:tcW w:w="675"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467E906F" w14:textId="77777777" w:rsidR="00C92C58" w:rsidRPr="00C174D5" w:rsidRDefault="00C92C58" w:rsidP="00B15A9A">
            <w:pPr>
              <w:keepNext/>
              <w:keepLines/>
              <w:spacing w:after="0"/>
              <w:jc w:val="center"/>
              <w:rPr>
                <w:b/>
                <w:sz w:val="20"/>
                <w:lang w:val="es-ES"/>
              </w:rPr>
            </w:pPr>
            <w:r w:rsidRPr="00C174D5">
              <w:rPr>
                <w:b/>
                <w:bCs/>
                <w:sz w:val="20"/>
                <w:lang w:val="es-ES"/>
              </w:rPr>
              <w:t>TIR</w:t>
            </w:r>
          </w:p>
        </w:tc>
      </w:tr>
      <w:tr w:rsidR="00C92C58" w:rsidRPr="00C174D5" w14:paraId="7E676647" w14:textId="77777777" w:rsidTr="00B15A9A">
        <w:trPr>
          <w:trHeight w:val="1105"/>
          <w:jc w:val="center"/>
        </w:trPr>
        <w:tc>
          <w:tcPr>
            <w:tcW w:w="2518" w:type="dxa"/>
            <w:tcBorders>
              <w:top w:val="single" w:sz="12" w:space="0" w:color="000000"/>
            </w:tcBorders>
            <w:shd w:val="clear" w:color="auto" w:fill="auto"/>
            <w:tcMar>
              <w:top w:w="15" w:type="dxa"/>
              <w:left w:w="108" w:type="dxa"/>
              <w:bottom w:w="0" w:type="dxa"/>
              <w:right w:w="108" w:type="dxa"/>
            </w:tcMar>
            <w:vAlign w:val="center"/>
            <w:hideMark/>
          </w:tcPr>
          <w:p w14:paraId="0FD1AE12" w14:textId="77777777" w:rsidR="00C92C58" w:rsidRPr="00C174D5" w:rsidRDefault="00C92C58" w:rsidP="00B15A9A">
            <w:pPr>
              <w:keepNext/>
              <w:keepLines/>
              <w:spacing w:after="0"/>
              <w:jc w:val="center"/>
              <w:rPr>
                <w:sz w:val="20"/>
                <w:lang w:val="es-ES"/>
              </w:rPr>
            </w:pPr>
            <w:r w:rsidRPr="00C174D5">
              <w:rPr>
                <w:bCs/>
                <w:sz w:val="20"/>
                <w:lang w:val="es-ES"/>
              </w:rPr>
              <w:t>Situación Con Proyecto</w:t>
            </w:r>
          </w:p>
          <w:p w14:paraId="7A0F9AAA" w14:textId="77777777" w:rsidR="00C92C58" w:rsidRPr="00C174D5" w:rsidRDefault="00C92C58" w:rsidP="00B15A9A">
            <w:pPr>
              <w:keepNext/>
              <w:keepLines/>
              <w:spacing w:after="0"/>
              <w:jc w:val="center"/>
              <w:rPr>
                <w:sz w:val="20"/>
                <w:lang w:val="es-ES"/>
              </w:rPr>
            </w:pPr>
            <w:r w:rsidRPr="00C174D5">
              <w:rPr>
                <w:bCs/>
                <w:sz w:val="20"/>
                <w:lang w:val="es-ES"/>
              </w:rPr>
              <w:t>-</w:t>
            </w:r>
          </w:p>
          <w:p w14:paraId="43AD64F4" w14:textId="77777777" w:rsidR="00C92C58" w:rsidRPr="00C174D5" w:rsidRDefault="00C92C58" w:rsidP="00B15A9A">
            <w:pPr>
              <w:keepNext/>
              <w:keepLines/>
              <w:spacing w:after="0"/>
              <w:jc w:val="center"/>
              <w:rPr>
                <w:sz w:val="20"/>
                <w:lang w:val="es-ES"/>
              </w:rPr>
            </w:pPr>
            <w:r w:rsidRPr="00C174D5">
              <w:rPr>
                <w:bCs/>
                <w:sz w:val="20"/>
                <w:lang w:val="es-ES"/>
              </w:rPr>
              <w:t>Situación sin proyecto</w:t>
            </w:r>
          </w:p>
        </w:tc>
        <w:tc>
          <w:tcPr>
            <w:tcW w:w="1418" w:type="dxa"/>
            <w:tcBorders>
              <w:top w:val="single" w:sz="12" w:space="0" w:color="000000"/>
            </w:tcBorders>
            <w:shd w:val="clear" w:color="auto" w:fill="auto"/>
            <w:tcMar>
              <w:top w:w="15" w:type="dxa"/>
              <w:left w:w="108" w:type="dxa"/>
              <w:bottom w:w="0" w:type="dxa"/>
              <w:right w:w="108" w:type="dxa"/>
            </w:tcMar>
            <w:vAlign w:val="center"/>
          </w:tcPr>
          <w:p w14:paraId="6E06CA2A" w14:textId="77777777" w:rsidR="00C92C58" w:rsidRPr="00C174D5" w:rsidRDefault="00C92C58" w:rsidP="00B15A9A">
            <w:pPr>
              <w:keepNext/>
              <w:keepLines/>
              <w:spacing w:after="0"/>
              <w:jc w:val="center"/>
              <w:rPr>
                <w:sz w:val="20"/>
                <w:lang w:val="es-ES"/>
              </w:rPr>
            </w:pPr>
            <w:r w:rsidRPr="00C174D5">
              <w:rPr>
                <w:sz w:val="20"/>
                <w:szCs w:val="20"/>
                <w:lang w:val="es-ES"/>
              </w:rPr>
              <w:t>1.258.801</w:t>
            </w:r>
          </w:p>
        </w:tc>
        <w:tc>
          <w:tcPr>
            <w:tcW w:w="1275" w:type="dxa"/>
            <w:tcBorders>
              <w:top w:val="single" w:sz="12" w:space="0" w:color="000000"/>
            </w:tcBorders>
            <w:shd w:val="clear" w:color="auto" w:fill="auto"/>
            <w:tcMar>
              <w:top w:w="15" w:type="dxa"/>
              <w:left w:w="108" w:type="dxa"/>
              <w:bottom w:w="0" w:type="dxa"/>
              <w:right w:w="108" w:type="dxa"/>
            </w:tcMar>
            <w:vAlign w:val="center"/>
          </w:tcPr>
          <w:p w14:paraId="1586B22F" w14:textId="77777777" w:rsidR="00C92C58" w:rsidRPr="00C174D5" w:rsidRDefault="00C92C58" w:rsidP="00B15A9A">
            <w:pPr>
              <w:keepNext/>
              <w:keepLines/>
              <w:spacing w:after="0"/>
              <w:jc w:val="center"/>
              <w:rPr>
                <w:sz w:val="20"/>
                <w:lang w:val="es-ES"/>
              </w:rPr>
            </w:pPr>
            <w:r w:rsidRPr="00C174D5">
              <w:rPr>
                <w:sz w:val="20"/>
                <w:lang w:val="es-ES"/>
              </w:rPr>
              <w:t>315.229</w:t>
            </w:r>
          </w:p>
        </w:tc>
        <w:tc>
          <w:tcPr>
            <w:tcW w:w="1560" w:type="dxa"/>
            <w:tcBorders>
              <w:top w:val="single" w:sz="12" w:space="0" w:color="000000"/>
            </w:tcBorders>
            <w:shd w:val="clear" w:color="auto" w:fill="auto"/>
            <w:tcMar>
              <w:top w:w="15" w:type="dxa"/>
              <w:left w:w="108" w:type="dxa"/>
              <w:bottom w:w="0" w:type="dxa"/>
              <w:right w:w="108" w:type="dxa"/>
            </w:tcMar>
            <w:vAlign w:val="center"/>
          </w:tcPr>
          <w:p w14:paraId="6B6E7164" w14:textId="77777777" w:rsidR="00C92C58" w:rsidRPr="00C174D5" w:rsidRDefault="00C92C58" w:rsidP="00B15A9A">
            <w:pPr>
              <w:keepNext/>
              <w:keepLines/>
              <w:spacing w:after="0"/>
              <w:jc w:val="center"/>
              <w:rPr>
                <w:sz w:val="20"/>
                <w:lang w:val="es-ES"/>
              </w:rPr>
            </w:pPr>
            <w:r>
              <w:rPr>
                <w:sz w:val="20"/>
                <w:lang w:val="es-ES"/>
              </w:rPr>
              <w:t>1.</w:t>
            </w:r>
            <w:r w:rsidRPr="0033242E">
              <w:rPr>
                <w:sz w:val="20"/>
                <w:lang w:val="es-ES"/>
              </w:rPr>
              <w:t>432</w:t>
            </w:r>
            <w:r>
              <w:rPr>
                <w:sz w:val="20"/>
                <w:lang w:val="es-ES"/>
              </w:rPr>
              <w:t>.</w:t>
            </w:r>
            <w:r w:rsidRPr="0033242E">
              <w:rPr>
                <w:sz w:val="20"/>
                <w:lang w:val="es-ES"/>
              </w:rPr>
              <w:t>235</w:t>
            </w:r>
          </w:p>
        </w:tc>
        <w:tc>
          <w:tcPr>
            <w:tcW w:w="1275" w:type="dxa"/>
            <w:tcBorders>
              <w:top w:val="single" w:sz="12" w:space="0" w:color="000000"/>
            </w:tcBorders>
            <w:shd w:val="clear" w:color="auto" w:fill="auto"/>
            <w:tcMar>
              <w:top w:w="15" w:type="dxa"/>
              <w:left w:w="108" w:type="dxa"/>
              <w:bottom w:w="0" w:type="dxa"/>
              <w:right w:w="108" w:type="dxa"/>
            </w:tcMar>
            <w:vAlign w:val="center"/>
          </w:tcPr>
          <w:p w14:paraId="0700EBA3" w14:textId="77777777" w:rsidR="00C92C58" w:rsidRPr="00C174D5" w:rsidRDefault="00C92C58" w:rsidP="00B15A9A">
            <w:pPr>
              <w:keepNext/>
              <w:keepLines/>
              <w:spacing w:after="0"/>
              <w:jc w:val="center"/>
              <w:rPr>
                <w:sz w:val="20"/>
                <w:lang w:val="es-ES"/>
              </w:rPr>
            </w:pPr>
            <w:r>
              <w:rPr>
                <w:sz w:val="20"/>
                <w:lang w:val="es-ES"/>
              </w:rPr>
              <w:t>-141.795</w:t>
            </w:r>
          </w:p>
        </w:tc>
        <w:tc>
          <w:tcPr>
            <w:tcW w:w="675" w:type="dxa"/>
            <w:tcBorders>
              <w:top w:val="single" w:sz="12" w:space="0" w:color="000000"/>
            </w:tcBorders>
            <w:shd w:val="clear" w:color="auto" w:fill="auto"/>
            <w:tcMar>
              <w:top w:w="15" w:type="dxa"/>
              <w:left w:w="108" w:type="dxa"/>
              <w:bottom w:w="0" w:type="dxa"/>
              <w:right w:w="108" w:type="dxa"/>
            </w:tcMar>
            <w:vAlign w:val="center"/>
            <w:hideMark/>
          </w:tcPr>
          <w:p w14:paraId="495C8BAE" w14:textId="77777777" w:rsidR="00C92C58" w:rsidRPr="00C174D5" w:rsidRDefault="00C92C58" w:rsidP="00B15A9A">
            <w:pPr>
              <w:keepNext/>
              <w:keepLines/>
              <w:spacing w:after="0"/>
              <w:jc w:val="center"/>
              <w:rPr>
                <w:sz w:val="20"/>
                <w:lang w:val="es-ES"/>
              </w:rPr>
            </w:pPr>
            <w:r>
              <w:rPr>
                <w:sz w:val="20"/>
                <w:lang w:val="es-ES"/>
              </w:rPr>
              <w:t>6</w:t>
            </w:r>
            <w:r w:rsidRPr="00C174D5">
              <w:rPr>
                <w:sz w:val="20"/>
                <w:lang w:val="es-ES"/>
              </w:rPr>
              <w:t>%</w:t>
            </w:r>
          </w:p>
        </w:tc>
      </w:tr>
    </w:tbl>
    <w:p w14:paraId="5FCBAA5A" w14:textId="77777777" w:rsidR="00C92C58" w:rsidRPr="00C174D5" w:rsidRDefault="00C92C58" w:rsidP="00C92C58">
      <w:pPr>
        <w:jc w:val="center"/>
        <w:rPr>
          <w:sz w:val="18"/>
          <w:lang w:val="es-ES"/>
        </w:rPr>
      </w:pPr>
      <w:r w:rsidRPr="00C174D5">
        <w:rPr>
          <w:sz w:val="18"/>
          <w:lang w:val="es-ES"/>
        </w:rPr>
        <w:t>Fuente: Elaboración propia en base a información de ENATREL provista por el BID</w:t>
      </w:r>
    </w:p>
    <w:p w14:paraId="23532294" w14:textId="77777777" w:rsidR="00C92C58" w:rsidRPr="00C174D5" w:rsidRDefault="00C92C58" w:rsidP="00C92C58">
      <w:pPr>
        <w:rPr>
          <w:lang w:val="es-ES"/>
        </w:rPr>
      </w:pPr>
      <w:r w:rsidRPr="00C174D5">
        <w:rPr>
          <w:lang w:val="es-ES"/>
        </w:rPr>
        <w:t xml:space="preserve">En este caso, el proyecto </w:t>
      </w:r>
      <w:r>
        <w:rPr>
          <w:lang w:val="es-ES"/>
        </w:rPr>
        <w:t xml:space="preserve">no </w:t>
      </w:r>
      <w:r w:rsidRPr="00C174D5">
        <w:rPr>
          <w:lang w:val="es-ES"/>
        </w:rPr>
        <w:t xml:space="preserve">es rentable desde el punto de vista privado, </w:t>
      </w:r>
      <w:r>
        <w:rPr>
          <w:lang w:val="es-ES"/>
        </w:rPr>
        <w:t>pero sí es sostenible</w:t>
      </w:r>
      <w:r w:rsidRPr="00C174D5">
        <w:rPr>
          <w:lang w:val="es-ES"/>
        </w:rPr>
        <w:t>.</w:t>
      </w:r>
      <w:r>
        <w:rPr>
          <w:lang w:val="es-ES"/>
        </w:rPr>
        <w:t xml:space="preserve"> </w:t>
      </w:r>
      <w:r w:rsidRPr="00AE5DDD">
        <w:rPr>
          <w:lang w:val="es-ES"/>
        </w:rPr>
        <w:t>Caben aquí también los comentarios efectuados con anterioridad respecto a la pertinencia de este resultado negativo.</w:t>
      </w:r>
    </w:p>
    <w:p w14:paraId="4762401D" w14:textId="77777777" w:rsidR="00C92C58" w:rsidRPr="00C174D5" w:rsidRDefault="00C92C58" w:rsidP="00C92C58">
      <w:pPr>
        <w:rPr>
          <w:lang w:val="es-ES"/>
        </w:rPr>
      </w:pPr>
      <w:r w:rsidRPr="00C174D5">
        <w:rPr>
          <w:lang w:val="es-ES"/>
        </w:rPr>
        <w:t>A continuación se realiza un análisis de sensibilidad sobre estos resultados.</w:t>
      </w:r>
    </w:p>
    <w:p w14:paraId="1F4262CB" w14:textId="77777777" w:rsidR="00C92C58" w:rsidRPr="00C174D5" w:rsidRDefault="00C92C58" w:rsidP="00C92C58">
      <w:pPr>
        <w:pStyle w:val="Heading2"/>
        <w:rPr>
          <w:lang w:val="es-ES"/>
        </w:rPr>
      </w:pPr>
      <w:bookmarkStart w:id="126" w:name="_Toc447546944"/>
      <w:bookmarkStart w:id="127" w:name="_Toc456353128"/>
      <w:r w:rsidRPr="00C174D5">
        <w:rPr>
          <w:lang w:val="es-ES"/>
        </w:rPr>
        <w:lastRenderedPageBreak/>
        <w:t xml:space="preserve">SE </w:t>
      </w:r>
      <w:proofErr w:type="spellStart"/>
      <w:r w:rsidRPr="00C174D5">
        <w:rPr>
          <w:lang w:val="es-ES"/>
        </w:rPr>
        <w:t>Diriamba</w:t>
      </w:r>
      <w:proofErr w:type="spellEnd"/>
      <w:r w:rsidRPr="00C174D5">
        <w:rPr>
          <w:lang w:val="es-ES"/>
        </w:rPr>
        <w:t xml:space="preserve"> - Sensibilidades</w:t>
      </w:r>
      <w:bookmarkEnd w:id="126"/>
      <w:bookmarkEnd w:id="127"/>
    </w:p>
    <w:p w14:paraId="50D4B972" w14:textId="77777777" w:rsidR="00C92C58" w:rsidRPr="00C174D5" w:rsidRDefault="00C92C58" w:rsidP="00C92C58">
      <w:pPr>
        <w:rPr>
          <w:lang w:val="es-ES"/>
        </w:rPr>
      </w:pPr>
      <w:r w:rsidRPr="00C174D5">
        <w:rPr>
          <w:lang w:val="es-ES"/>
        </w:rPr>
        <w:t>Las sensibilidades efectuadas en este proyecto son, al igual que en los anteriores, en relación a la tasa de descuento, a la tasa de crecimiento promedio de la demanda, al costo de energía de falla y al valor de la inversión.</w:t>
      </w:r>
    </w:p>
    <w:p w14:paraId="0BDB30FF" w14:textId="77777777" w:rsidR="00C92C58" w:rsidRPr="00C174D5" w:rsidRDefault="00C92C58" w:rsidP="00C92C58">
      <w:pPr>
        <w:keepNext/>
        <w:keepLines/>
        <w:spacing w:after="120"/>
        <w:jc w:val="center"/>
        <w:rPr>
          <w:b/>
          <w:sz w:val="20"/>
          <w:lang w:val="es-ES"/>
        </w:rPr>
      </w:pPr>
      <w:bookmarkStart w:id="128" w:name="_Toc447546981"/>
      <w:bookmarkStart w:id="129" w:name="_Toc456353178"/>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22</w:t>
      </w:r>
      <w:r w:rsidRPr="00C174D5">
        <w:rPr>
          <w:b/>
          <w:sz w:val="20"/>
          <w:lang w:val="es-ES"/>
        </w:rPr>
        <w:fldChar w:fldCharType="end"/>
      </w:r>
      <w:r w:rsidRPr="00C174D5">
        <w:rPr>
          <w:b/>
          <w:sz w:val="20"/>
          <w:lang w:val="es-ES"/>
        </w:rPr>
        <w:t xml:space="preserve">: Análisis de sensibilidad evaluación económica – SE </w:t>
      </w:r>
      <w:proofErr w:type="spellStart"/>
      <w:r w:rsidRPr="00C174D5">
        <w:rPr>
          <w:b/>
          <w:sz w:val="20"/>
          <w:lang w:val="es-ES"/>
        </w:rPr>
        <w:t>Diriamba</w:t>
      </w:r>
      <w:bookmarkEnd w:id="128"/>
      <w:bookmarkEnd w:id="129"/>
      <w:proofErr w:type="spellEnd"/>
    </w:p>
    <w:tbl>
      <w:tblPr>
        <w:tblW w:w="71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701"/>
        <w:gridCol w:w="2409"/>
        <w:gridCol w:w="1374"/>
        <w:gridCol w:w="753"/>
        <w:gridCol w:w="930"/>
      </w:tblGrid>
      <w:tr w:rsidR="00C92C58" w:rsidRPr="00C174D5" w14:paraId="2144F371" w14:textId="77777777" w:rsidTr="00B15A9A">
        <w:trPr>
          <w:trHeight w:val="300"/>
          <w:jc w:val="center"/>
        </w:trPr>
        <w:tc>
          <w:tcPr>
            <w:tcW w:w="4110" w:type="dxa"/>
            <w:gridSpan w:val="2"/>
            <w:tcBorders>
              <w:top w:val="single" w:sz="12" w:space="0" w:color="auto"/>
              <w:bottom w:val="single" w:sz="12" w:space="0" w:color="auto"/>
            </w:tcBorders>
            <w:shd w:val="clear" w:color="auto" w:fill="BFBFBF" w:themeFill="background1" w:themeFillShade="BF"/>
            <w:noWrap/>
            <w:vAlign w:val="center"/>
          </w:tcPr>
          <w:p w14:paraId="72F34D4C" w14:textId="77777777" w:rsidR="00C92C58" w:rsidRPr="00C174D5" w:rsidRDefault="00C92C58" w:rsidP="00B15A9A">
            <w:pPr>
              <w:keepNext/>
              <w:keepLines/>
              <w:spacing w:after="0" w:line="240" w:lineRule="auto"/>
              <w:rPr>
                <w:rFonts w:eastAsia="Times New Roman" w:cs="Times New Roman"/>
                <w:b/>
                <w:sz w:val="20"/>
                <w:szCs w:val="20"/>
                <w:lang w:val="es-ES" w:eastAsia="es-AR"/>
              </w:rPr>
            </w:pPr>
            <w:r w:rsidRPr="00C174D5">
              <w:rPr>
                <w:b/>
                <w:sz w:val="20"/>
                <w:lang w:val="es-ES"/>
              </w:rPr>
              <w:t xml:space="preserve">SE </w:t>
            </w:r>
            <w:proofErr w:type="spellStart"/>
            <w:r w:rsidRPr="00C174D5">
              <w:rPr>
                <w:b/>
                <w:sz w:val="20"/>
                <w:lang w:val="es-ES"/>
              </w:rPr>
              <w:t>Diriamba</w:t>
            </w:r>
            <w:proofErr w:type="spellEnd"/>
          </w:p>
        </w:tc>
        <w:tc>
          <w:tcPr>
            <w:tcW w:w="2127" w:type="dxa"/>
            <w:gridSpan w:val="2"/>
            <w:tcBorders>
              <w:top w:val="single" w:sz="12" w:space="0" w:color="auto"/>
              <w:bottom w:val="single" w:sz="12" w:space="0" w:color="auto"/>
            </w:tcBorders>
            <w:shd w:val="clear" w:color="auto" w:fill="BFBFBF" w:themeFill="background1" w:themeFillShade="BF"/>
            <w:vAlign w:val="center"/>
          </w:tcPr>
          <w:p w14:paraId="7AE95252" w14:textId="77777777" w:rsidR="00C92C58" w:rsidRPr="00C174D5" w:rsidRDefault="00C92C58" w:rsidP="00B15A9A">
            <w:pPr>
              <w:keepNext/>
              <w:keepLines/>
              <w:spacing w:after="0" w:line="240" w:lineRule="auto"/>
              <w:jc w:val="center"/>
              <w:rPr>
                <w:rFonts w:eastAsia="Times New Roman" w:cs="Times New Roman"/>
                <w:b/>
                <w:sz w:val="20"/>
                <w:szCs w:val="20"/>
                <w:lang w:val="es-ES" w:eastAsia="es-AR"/>
              </w:rPr>
            </w:pPr>
            <w:r w:rsidRPr="00C174D5">
              <w:rPr>
                <w:rFonts w:eastAsia="Times New Roman" w:cs="Arial"/>
                <w:b/>
                <w:sz w:val="20"/>
                <w:szCs w:val="20"/>
                <w:lang w:val="es-ES" w:eastAsia="es-AR"/>
              </w:rPr>
              <w:t>VPNE (US$)</w:t>
            </w:r>
          </w:p>
        </w:tc>
        <w:tc>
          <w:tcPr>
            <w:tcW w:w="930" w:type="dxa"/>
            <w:tcBorders>
              <w:top w:val="single" w:sz="12" w:space="0" w:color="auto"/>
              <w:bottom w:val="single" w:sz="12" w:space="0" w:color="auto"/>
            </w:tcBorders>
            <w:shd w:val="clear" w:color="auto" w:fill="BFBFBF" w:themeFill="background1" w:themeFillShade="BF"/>
            <w:vAlign w:val="center"/>
          </w:tcPr>
          <w:p w14:paraId="6407FB6A" w14:textId="77777777" w:rsidR="00C92C58" w:rsidRPr="00C174D5" w:rsidRDefault="00C92C58" w:rsidP="00B15A9A">
            <w:pPr>
              <w:keepNext/>
              <w:keepLines/>
              <w:spacing w:after="0" w:line="240" w:lineRule="auto"/>
              <w:jc w:val="center"/>
              <w:rPr>
                <w:rFonts w:eastAsia="Times New Roman" w:cs="Arial"/>
                <w:b/>
                <w:sz w:val="20"/>
                <w:szCs w:val="20"/>
                <w:lang w:val="es-ES" w:eastAsia="es-AR"/>
              </w:rPr>
            </w:pPr>
            <w:r w:rsidRPr="00C174D5">
              <w:rPr>
                <w:rFonts w:eastAsia="Times New Roman" w:cs="Arial"/>
                <w:b/>
                <w:sz w:val="20"/>
                <w:szCs w:val="20"/>
                <w:lang w:val="es-ES" w:eastAsia="es-AR"/>
              </w:rPr>
              <w:t>TIRE (%)</w:t>
            </w:r>
          </w:p>
        </w:tc>
      </w:tr>
      <w:tr w:rsidR="00C92C58" w:rsidRPr="00C174D5" w14:paraId="3FC6FD15" w14:textId="77777777" w:rsidTr="00B15A9A">
        <w:trPr>
          <w:trHeight w:val="300"/>
          <w:jc w:val="center"/>
        </w:trPr>
        <w:tc>
          <w:tcPr>
            <w:tcW w:w="4110" w:type="dxa"/>
            <w:gridSpan w:val="2"/>
            <w:tcBorders>
              <w:top w:val="single" w:sz="12" w:space="0" w:color="auto"/>
              <w:bottom w:val="single" w:sz="2" w:space="0" w:color="auto"/>
            </w:tcBorders>
            <w:shd w:val="clear" w:color="auto" w:fill="auto"/>
            <w:noWrap/>
            <w:vAlign w:val="center"/>
          </w:tcPr>
          <w:p w14:paraId="6D3BF909" w14:textId="77777777" w:rsidR="00C92C58" w:rsidRPr="00C174D5" w:rsidRDefault="00C92C58" w:rsidP="00B15A9A">
            <w:pPr>
              <w:keepNext/>
              <w:keepLines/>
              <w:spacing w:after="0" w:line="240" w:lineRule="auto"/>
              <w:jc w:val="left"/>
              <w:rPr>
                <w:rFonts w:eastAsia="Times New Roman" w:cs="Times New Roman"/>
                <w:i/>
                <w:sz w:val="20"/>
                <w:szCs w:val="20"/>
                <w:lang w:val="es-ES" w:eastAsia="es-AR"/>
              </w:rPr>
            </w:pPr>
            <w:r w:rsidRPr="00C174D5">
              <w:rPr>
                <w:rFonts w:eastAsia="Times New Roman" w:cs="Times New Roman"/>
                <w:i/>
                <w:sz w:val="20"/>
                <w:szCs w:val="20"/>
                <w:lang w:val="es-ES" w:eastAsia="es-AR"/>
              </w:rPr>
              <w:t xml:space="preserve">Caso Base </w:t>
            </w:r>
          </w:p>
        </w:tc>
        <w:tc>
          <w:tcPr>
            <w:tcW w:w="2127" w:type="dxa"/>
            <w:gridSpan w:val="2"/>
            <w:tcBorders>
              <w:top w:val="single" w:sz="12" w:space="0" w:color="auto"/>
              <w:bottom w:val="single" w:sz="2" w:space="0" w:color="auto"/>
            </w:tcBorders>
            <w:vAlign w:val="center"/>
          </w:tcPr>
          <w:p w14:paraId="30CDB6F2" w14:textId="77777777" w:rsidR="00C92C58" w:rsidRPr="00C174D5" w:rsidRDefault="00C92C58" w:rsidP="00B15A9A">
            <w:pPr>
              <w:keepNext/>
              <w:keepLines/>
              <w:spacing w:after="0" w:line="240" w:lineRule="auto"/>
              <w:jc w:val="center"/>
              <w:rPr>
                <w:rFonts w:eastAsia="Times New Roman" w:cs="Times New Roman"/>
                <w:i/>
                <w:sz w:val="20"/>
                <w:szCs w:val="20"/>
                <w:lang w:val="es-ES" w:eastAsia="es-AR"/>
              </w:rPr>
            </w:pPr>
            <w:r w:rsidRPr="0033242E">
              <w:rPr>
                <w:rFonts w:eastAsia="Times New Roman" w:cs="Times New Roman"/>
                <w:i/>
                <w:sz w:val="20"/>
                <w:szCs w:val="20"/>
                <w:lang w:val="es-ES" w:eastAsia="es-AR"/>
              </w:rPr>
              <w:t>80</w:t>
            </w:r>
            <w:r>
              <w:rPr>
                <w:rFonts w:eastAsia="Times New Roman" w:cs="Times New Roman"/>
                <w:i/>
                <w:sz w:val="20"/>
                <w:szCs w:val="20"/>
                <w:lang w:val="es-ES" w:eastAsia="es-AR"/>
              </w:rPr>
              <w:t>.</w:t>
            </w:r>
            <w:r w:rsidRPr="0033242E">
              <w:rPr>
                <w:rFonts w:eastAsia="Times New Roman" w:cs="Times New Roman"/>
                <w:i/>
                <w:sz w:val="20"/>
                <w:szCs w:val="20"/>
                <w:lang w:val="es-ES" w:eastAsia="es-AR"/>
              </w:rPr>
              <w:t>987</w:t>
            </w:r>
            <w:r>
              <w:rPr>
                <w:rFonts w:eastAsia="Times New Roman" w:cs="Times New Roman"/>
                <w:i/>
                <w:sz w:val="20"/>
                <w:szCs w:val="20"/>
                <w:lang w:val="es-ES" w:eastAsia="es-AR"/>
              </w:rPr>
              <w:t>.</w:t>
            </w:r>
            <w:r w:rsidRPr="0033242E">
              <w:rPr>
                <w:rFonts w:eastAsia="Times New Roman" w:cs="Times New Roman"/>
                <w:i/>
                <w:sz w:val="20"/>
                <w:szCs w:val="20"/>
                <w:lang w:val="es-ES" w:eastAsia="es-AR"/>
              </w:rPr>
              <w:t>378</w:t>
            </w:r>
          </w:p>
        </w:tc>
        <w:tc>
          <w:tcPr>
            <w:tcW w:w="930" w:type="dxa"/>
            <w:tcBorders>
              <w:top w:val="single" w:sz="12" w:space="0" w:color="auto"/>
              <w:bottom w:val="single" w:sz="2" w:space="0" w:color="auto"/>
            </w:tcBorders>
            <w:vAlign w:val="center"/>
          </w:tcPr>
          <w:p w14:paraId="5EF03250" w14:textId="77777777" w:rsidR="00C92C58" w:rsidRPr="00C174D5" w:rsidRDefault="00C92C58" w:rsidP="00B15A9A">
            <w:pPr>
              <w:keepNext/>
              <w:keepLines/>
              <w:spacing w:after="0" w:line="240" w:lineRule="auto"/>
              <w:jc w:val="center"/>
              <w:rPr>
                <w:rFonts w:eastAsia="Times New Roman" w:cs="Times New Roman"/>
                <w:i/>
                <w:sz w:val="20"/>
                <w:szCs w:val="20"/>
                <w:lang w:val="es-ES" w:eastAsia="es-AR"/>
              </w:rPr>
            </w:pPr>
            <w:r w:rsidRPr="00C174D5">
              <w:rPr>
                <w:rFonts w:eastAsia="Times New Roman" w:cs="Times New Roman"/>
                <w:i/>
                <w:sz w:val="20"/>
                <w:szCs w:val="20"/>
                <w:lang w:val="es-ES" w:eastAsia="es-AR"/>
              </w:rPr>
              <w:t>6</w:t>
            </w:r>
            <w:r>
              <w:rPr>
                <w:rFonts w:eastAsia="Times New Roman" w:cs="Times New Roman"/>
                <w:i/>
                <w:sz w:val="20"/>
                <w:szCs w:val="20"/>
                <w:lang w:val="es-ES" w:eastAsia="es-AR"/>
              </w:rPr>
              <w:t>9</w:t>
            </w:r>
            <w:r w:rsidRPr="00C174D5">
              <w:rPr>
                <w:rFonts w:eastAsia="Times New Roman" w:cs="Times New Roman"/>
                <w:i/>
                <w:sz w:val="20"/>
                <w:szCs w:val="20"/>
                <w:lang w:val="es-ES" w:eastAsia="es-AR"/>
              </w:rPr>
              <w:t>%</w:t>
            </w:r>
          </w:p>
        </w:tc>
      </w:tr>
      <w:tr w:rsidR="00C92C58" w:rsidRPr="0033242E" w14:paraId="64E41AA1" w14:textId="77777777" w:rsidTr="00B15A9A">
        <w:trPr>
          <w:trHeight w:val="300"/>
          <w:jc w:val="center"/>
        </w:trPr>
        <w:tc>
          <w:tcPr>
            <w:tcW w:w="4110" w:type="dxa"/>
            <w:gridSpan w:val="2"/>
            <w:tcBorders>
              <w:top w:val="single" w:sz="2" w:space="0" w:color="auto"/>
            </w:tcBorders>
            <w:shd w:val="clear" w:color="auto" w:fill="auto"/>
            <w:noWrap/>
            <w:vAlign w:val="center"/>
          </w:tcPr>
          <w:p w14:paraId="4FE7D62F"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Tasa social de descuento(base 12%): 8%</w:t>
            </w:r>
          </w:p>
        </w:tc>
        <w:tc>
          <w:tcPr>
            <w:tcW w:w="1374" w:type="dxa"/>
            <w:tcBorders>
              <w:top w:val="single" w:sz="2" w:space="0" w:color="auto"/>
            </w:tcBorders>
            <w:vAlign w:val="center"/>
          </w:tcPr>
          <w:p w14:paraId="0C10B4D3"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33242E">
              <w:rPr>
                <w:rFonts w:eastAsia="Times New Roman" w:cs="Times New Roman"/>
                <w:sz w:val="20"/>
                <w:szCs w:val="20"/>
                <w:lang w:val="es-ES" w:eastAsia="es-AR"/>
              </w:rPr>
              <w:t>139</w:t>
            </w:r>
            <w:r>
              <w:rPr>
                <w:rFonts w:eastAsia="Times New Roman" w:cs="Times New Roman"/>
                <w:sz w:val="20"/>
                <w:szCs w:val="20"/>
                <w:lang w:val="es-ES" w:eastAsia="es-AR"/>
              </w:rPr>
              <w:t>.</w:t>
            </w:r>
            <w:r w:rsidRPr="0033242E">
              <w:rPr>
                <w:rFonts w:eastAsia="Times New Roman" w:cs="Times New Roman"/>
                <w:sz w:val="20"/>
                <w:szCs w:val="20"/>
                <w:lang w:val="es-ES" w:eastAsia="es-AR"/>
              </w:rPr>
              <w:t>190</w:t>
            </w:r>
            <w:r>
              <w:rPr>
                <w:rFonts w:eastAsia="Times New Roman" w:cs="Times New Roman"/>
                <w:sz w:val="20"/>
                <w:szCs w:val="20"/>
                <w:lang w:val="es-ES" w:eastAsia="es-AR"/>
              </w:rPr>
              <w:t>.</w:t>
            </w:r>
            <w:r w:rsidRPr="0033242E">
              <w:rPr>
                <w:rFonts w:eastAsia="Times New Roman" w:cs="Times New Roman"/>
                <w:sz w:val="20"/>
                <w:szCs w:val="20"/>
                <w:lang w:val="es-ES" w:eastAsia="es-AR"/>
              </w:rPr>
              <w:t>841</w:t>
            </w:r>
          </w:p>
        </w:tc>
        <w:tc>
          <w:tcPr>
            <w:tcW w:w="753" w:type="dxa"/>
            <w:tcBorders>
              <w:top w:val="single" w:sz="2" w:space="0" w:color="auto"/>
            </w:tcBorders>
            <w:vAlign w:val="center"/>
          </w:tcPr>
          <w:p w14:paraId="77F5BDC5"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w:t>
            </w:r>
            <w:r>
              <w:rPr>
                <w:rFonts w:eastAsia="Times New Roman" w:cs="Times New Roman"/>
                <w:sz w:val="20"/>
                <w:szCs w:val="20"/>
                <w:lang w:val="es-ES" w:eastAsia="es-AR"/>
              </w:rPr>
              <w:t>72</w:t>
            </w:r>
            <w:r w:rsidRPr="00C174D5">
              <w:rPr>
                <w:rFonts w:eastAsia="Times New Roman" w:cs="Times New Roman"/>
                <w:sz w:val="20"/>
                <w:szCs w:val="20"/>
                <w:lang w:val="es-ES" w:eastAsia="es-AR"/>
              </w:rPr>
              <w:t>%</w:t>
            </w:r>
          </w:p>
        </w:tc>
        <w:tc>
          <w:tcPr>
            <w:tcW w:w="930" w:type="dxa"/>
            <w:tcBorders>
              <w:top w:val="single" w:sz="2" w:space="0" w:color="auto"/>
            </w:tcBorders>
            <w:vAlign w:val="center"/>
          </w:tcPr>
          <w:p w14:paraId="297E1478"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69</w:t>
            </w:r>
            <w:r w:rsidRPr="00C174D5">
              <w:rPr>
                <w:rFonts w:eastAsia="Times New Roman" w:cs="Times New Roman"/>
                <w:sz w:val="20"/>
                <w:szCs w:val="20"/>
                <w:lang w:val="es-ES" w:eastAsia="es-AR"/>
              </w:rPr>
              <w:t>%</w:t>
            </w:r>
          </w:p>
        </w:tc>
      </w:tr>
      <w:tr w:rsidR="00C92C58" w:rsidRPr="00E67BF2" w14:paraId="7CEB1646" w14:textId="77777777" w:rsidTr="00B15A9A">
        <w:trPr>
          <w:trHeight w:val="300"/>
          <w:jc w:val="center"/>
        </w:trPr>
        <w:tc>
          <w:tcPr>
            <w:tcW w:w="7167" w:type="dxa"/>
            <w:gridSpan w:val="5"/>
            <w:tcBorders>
              <w:top w:val="single" w:sz="2" w:space="0" w:color="auto"/>
            </w:tcBorders>
            <w:shd w:val="clear" w:color="auto" w:fill="auto"/>
            <w:noWrap/>
            <w:vAlign w:val="center"/>
          </w:tcPr>
          <w:p w14:paraId="1DDE86EE"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 xml:space="preserve">Tasa de crecimiento promedio de la demanda existente (base </w:t>
            </w:r>
            <w:r>
              <w:rPr>
                <w:rFonts w:eastAsia="Times New Roman" w:cs="Times New Roman"/>
                <w:sz w:val="20"/>
                <w:szCs w:val="20"/>
                <w:lang w:val="es-ES" w:eastAsia="es-AR"/>
              </w:rPr>
              <w:t>3</w:t>
            </w:r>
            <w:r w:rsidRPr="00C174D5">
              <w:rPr>
                <w:rFonts w:eastAsia="Times New Roman" w:cs="Times New Roman"/>
                <w:sz w:val="20"/>
                <w:szCs w:val="20"/>
                <w:lang w:val="es-ES" w:eastAsia="es-AR"/>
              </w:rPr>
              <w:t>,6%)</w:t>
            </w:r>
          </w:p>
        </w:tc>
      </w:tr>
      <w:tr w:rsidR="00C92C58" w:rsidRPr="0033242E" w14:paraId="2559C800" w14:textId="77777777" w:rsidTr="00B15A9A">
        <w:trPr>
          <w:trHeight w:val="300"/>
          <w:jc w:val="center"/>
        </w:trPr>
        <w:tc>
          <w:tcPr>
            <w:tcW w:w="1701" w:type="dxa"/>
            <w:tcBorders>
              <w:top w:val="single" w:sz="2" w:space="0" w:color="auto"/>
            </w:tcBorders>
            <w:shd w:val="clear" w:color="auto" w:fill="auto"/>
            <w:noWrap/>
            <w:vAlign w:val="center"/>
          </w:tcPr>
          <w:p w14:paraId="61C27603"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7C363138"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3,</w:t>
            </w:r>
            <w:r>
              <w:rPr>
                <w:rFonts w:eastAsia="Times New Roman" w:cs="Times New Roman"/>
                <w:sz w:val="20"/>
                <w:szCs w:val="20"/>
                <w:lang w:val="es-ES" w:eastAsia="es-AR"/>
              </w:rPr>
              <w:t>06</w:t>
            </w:r>
            <w:r w:rsidRPr="00C174D5">
              <w:rPr>
                <w:rFonts w:eastAsia="Times New Roman" w:cs="Times New Roman"/>
                <w:sz w:val="20"/>
                <w:szCs w:val="20"/>
                <w:lang w:val="es-ES" w:eastAsia="es-AR"/>
              </w:rPr>
              <w:t>% (- 15%)</w:t>
            </w:r>
          </w:p>
        </w:tc>
        <w:tc>
          <w:tcPr>
            <w:tcW w:w="1374" w:type="dxa"/>
            <w:tcBorders>
              <w:top w:val="single" w:sz="2" w:space="0" w:color="auto"/>
            </w:tcBorders>
            <w:vAlign w:val="center"/>
          </w:tcPr>
          <w:p w14:paraId="460B3345"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33242E">
              <w:rPr>
                <w:rFonts w:eastAsia="Times New Roman" w:cs="Times New Roman"/>
                <w:sz w:val="20"/>
                <w:szCs w:val="20"/>
                <w:lang w:val="es-ES" w:eastAsia="es-AR"/>
              </w:rPr>
              <w:t>64</w:t>
            </w:r>
            <w:r>
              <w:rPr>
                <w:rFonts w:eastAsia="Times New Roman" w:cs="Times New Roman"/>
                <w:sz w:val="20"/>
                <w:szCs w:val="20"/>
                <w:lang w:val="es-ES" w:eastAsia="es-AR"/>
              </w:rPr>
              <w:t>.</w:t>
            </w:r>
            <w:r w:rsidRPr="0033242E">
              <w:rPr>
                <w:rFonts w:eastAsia="Times New Roman" w:cs="Times New Roman"/>
                <w:sz w:val="20"/>
                <w:szCs w:val="20"/>
                <w:lang w:val="es-ES" w:eastAsia="es-AR"/>
              </w:rPr>
              <w:t>825</w:t>
            </w:r>
            <w:r>
              <w:rPr>
                <w:rFonts w:eastAsia="Times New Roman" w:cs="Times New Roman"/>
                <w:sz w:val="20"/>
                <w:szCs w:val="20"/>
                <w:lang w:val="es-ES" w:eastAsia="es-AR"/>
              </w:rPr>
              <w:t>.</w:t>
            </w:r>
            <w:r w:rsidRPr="0033242E">
              <w:rPr>
                <w:rFonts w:eastAsia="Times New Roman" w:cs="Times New Roman"/>
                <w:sz w:val="20"/>
                <w:szCs w:val="20"/>
                <w:lang w:val="es-ES" w:eastAsia="es-AR"/>
              </w:rPr>
              <w:t>690</w:t>
            </w:r>
          </w:p>
        </w:tc>
        <w:tc>
          <w:tcPr>
            <w:tcW w:w="753" w:type="dxa"/>
            <w:tcBorders>
              <w:top w:val="single" w:sz="2" w:space="0" w:color="auto"/>
            </w:tcBorders>
            <w:vAlign w:val="center"/>
          </w:tcPr>
          <w:p w14:paraId="36BAB68F"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 xml:space="preserve">- </w:t>
            </w:r>
            <w:r>
              <w:rPr>
                <w:rFonts w:eastAsia="Times New Roman" w:cs="Times New Roman"/>
                <w:sz w:val="20"/>
                <w:szCs w:val="20"/>
                <w:lang w:val="es-ES" w:eastAsia="es-AR"/>
              </w:rPr>
              <w:t>20</w:t>
            </w:r>
            <w:r w:rsidRPr="00C174D5">
              <w:rPr>
                <w:rFonts w:eastAsia="Times New Roman" w:cs="Times New Roman"/>
                <w:sz w:val="20"/>
                <w:szCs w:val="20"/>
                <w:lang w:val="es-ES" w:eastAsia="es-AR"/>
              </w:rPr>
              <w:t>%</w:t>
            </w:r>
          </w:p>
        </w:tc>
        <w:tc>
          <w:tcPr>
            <w:tcW w:w="930" w:type="dxa"/>
            <w:tcBorders>
              <w:top w:val="single" w:sz="2" w:space="0" w:color="auto"/>
            </w:tcBorders>
            <w:vAlign w:val="center"/>
          </w:tcPr>
          <w:p w14:paraId="33FA5348"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65</w:t>
            </w:r>
            <w:r w:rsidRPr="00C174D5">
              <w:rPr>
                <w:rFonts w:eastAsia="Times New Roman" w:cs="Times New Roman"/>
                <w:sz w:val="20"/>
                <w:szCs w:val="20"/>
                <w:lang w:val="es-ES" w:eastAsia="es-AR"/>
              </w:rPr>
              <w:t>%</w:t>
            </w:r>
          </w:p>
        </w:tc>
      </w:tr>
      <w:tr w:rsidR="00C92C58" w:rsidRPr="00C174D5" w14:paraId="6A964FEC" w14:textId="77777777" w:rsidTr="00B15A9A">
        <w:trPr>
          <w:trHeight w:val="300"/>
          <w:jc w:val="center"/>
        </w:trPr>
        <w:tc>
          <w:tcPr>
            <w:tcW w:w="1701" w:type="dxa"/>
            <w:tcBorders>
              <w:top w:val="single" w:sz="2" w:space="0" w:color="auto"/>
            </w:tcBorders>
            <w:shd w:val="clear" w:color="auto" w:fill="auto"/>
            <w:noWrap/>
            <w:vAlign w:val="center"/>
          </w:tcPr>
          <w:p w14:paraId="005A6F7C"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2873A677"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Pr>
                <w:rFonts w:eastAsia="Times New Roman" w:cs="Times New Roman"/>
                <w:sz w:val="20"/>
                <w:szCs w:val="20"/>
                <w:lang w:val="es-ES" w:eastAsia="es-AR"/>
              </w:rPr>
              <w:t>2</w:t>
            </w:r>
            <w:r w:rsidRPr="00C174D5">
              <w:rPr>
                <w:rFonts w:eastAsia="Times New Roman" w:cs="Times New Roman"/>
                <w:sz w:val="20"/>
                <w:szCs w:val="20"/>
                <w:lang w:val="es-ES" w:eastAsia="es-AR"/>
              </w:rPr>
              <w:t>,</w:t>
            </w:r>
            <w:r>
              <w:rPr>
                <w:rFonts w:eastAsia="Times New Roman" w:cs="Times New Roman"/>
                <w:sz w:val="20"/>
                <w:szCs w:val="20"/>
                <w:lang w:val="es-ES" w:eastAsia="es-AR"/>
              </w:rPr>
              <w:t>52</w:t>
            </w:r>
            <w:r w:rsidRPr="00C174D5">
              <w:rPr>
                <w:rFonts w:eastAsia="Times New Roman" w:cs="Times New Roman"/>
                <w:sz w:val="20"/>
                <w:szCs w:val="20"/>
                <w:lang w:val="es-ES" w:eastAsia="es-AR"/>
              </w:rPr>
              <w:t>% (- 30%)</w:t>
            </w:r>
          </w:p>
        </w:tc>
        <w:tc>
          <w:tcPr>
            <w:tcW w:w="1374" w:type="dxa"/>
            <w:tcBorders>
              <w:top w:val="single" w:sz="2" w:space="0" w:color="auto"/>
            </w:tcBorders>
            <w:vAlign w:val="center"/>
          </w:tcPr>
          <w:p w14:paraId="77C5E278"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50.338.</w:t>
            </w:r>
            <w:r w:rsidRPr="0033242E">
              <w:rPr>
                <w:rFonts w:eastAsia="Times New Roman" w:cs="Times New Roman"/>
                <w:sz w:val="20"/>
                <w:szCs w:val="20"/>
                <w:lang w:val="es-ES" w:eastAsia="es-AR"/>
              </w:rPr>
              <w:t>195</w:t>
            </w:r>
          </w:p>
        </w:tc>
        <w:tc>
          <w:tcPr>
            <w:tcW w:w="753" w:type="dxa"/>
            <w:tcBorders>
              <w:top w:val="single" w:sz="2" w:space="0" w:color="auto"/>
            </w:tcBorders>
            <w:vAlign w:val="center"/>
          </w:tcPr>
          <w:p w14:paraId="7D8E0981"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-3</w:t>
            </w:r>
            <w:r>
              <w:rPr>
                <w:rFonts w:eastAsia="Times New Roman" w:cs="Times New Roman"/>
                <w:sz w:val="20"/>
                <w:szCs w:val="20"/>
                <w:lang w:val="es-ES" w:eastAsia="es-AR"/>
              </w:rPr>
              <w:t>8</w:t>
            </w:r>
            <w:r w:rsidRPr="00C174D5">
              <w:rPr>
                <w:rFonts w:eastAsia="Times New Roman" w:cs="Times New Roman"/>
                <w:sz w:val="20"/>
                <w:szCs w:val="20"/>
                <w:lang w:val="es-ES" w:eastAsia="es-AR"/>
              </w:rPr>
              <w:t>%</w:t>
            </w:r>
          </w:p>
        </w:tc>
        <w:tc>
          <w:tcPr>
            <w:tcW w:w="930" w:type="dxa"/>
            <w:tcBorders>
              <w:top w:val="single" w:sz="2" w:space="0" w:color="auto"/>
            </w:tcBorders>
            <w:vAlign w:val="center"/>
          </w:tcPr>
          <w:p w14:paraId="4D0F9A11"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6</w:t>
            </w:r>
            <w:r>
              <w:rPr>
                <w:rFonts w:eastAsia="Times New Roman" w:cs="Times New Roman"/>
                <w:sz w:val="20"/>
                <w:szCs w:val="20"/>
                <w:lang w:val="es-ES" w:eastAsia="es-AR"/>
              </w:rPr>
              <w:t>1</w:t>
            </w:r>
            <w:r w:rsidRPr="00C174D5">
              <w:rPr>
                <w:rFonts w:eastAsia="Times New Roman" w:cs="Times New Roman"/>
                <w:sz w:val="20"/>
                <w:szCs w:val="20"/>
                <w:lang w:val="es-ES" w:eastAsia="es-AR"/>
              </w:rPr>
              <w:t>%</w:t>
            </w:r>
          </w:p>
        </w:tc>
      </w:tr>
      <w:tr w:rsidR="00C92C58" w:rsidRPr="00E67BF2" w14:paraId="3E21EFD3" w14:textId="77777777" w:rsidTr="00B15A9A">
        <w:trPr>
          <w:trHeight w:val="300"/>
          <w:jc w:val="center"/>
        </w:trPr>
        <w:tc>
          <w:tcPr>
            <w:tcW w:w="7167" w:type="dxa"/>
            <w:gridSpan w:val="5"/>
            <w:tcBorders>
              <w:top w:val="single" w:sz="2" w:space="0" w:color="auto"/>
              <w:bottom w:val="single" w:sz="2" w:space="0" w:color="auto"/>
            </w:tcBorders>
            <w:shd w:val="clear" w:color="auto" w:fill="auto"/>
            <w:noWrap/>
            <w:vAlign w:val="center"/>
          </w:tcPr>
          <w:p w14:paraId="2384F118"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Costo de falla (base 1.500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w:t>
            </w:r>
          </w:p>
        </w:tc>
      </w:tr>
      <w:tr w:rsidR="00C92C58" w:rsidRPr="00C174D5" w14:paraId="1F0E8CC7" w14:textId="77777777" w:rsidTr="00B15A9A">
        <w:trPr>
          <w:trHeight w:val="300"/>
          <w:jc w:val="center"/>
        </w:trPr>
        <w:tc>
          <w:tcPr>
            <w:tcW w:w="1701" w:type="dxa"/>
            <w:tcBorders>
              <w:top w:val="single" w:sz="2" w:space="0" w:color="auto"/>
            </w:tcBorders>
            <w:shd w:val="clear" w:color="auto" w:fill="auto"/>
            <w:noWrap/>
            <w:vAlign w:val="center"/>
          </w:tcPr>
          <w:p w14:paraId="36FA3DC8"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3920EA1D"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1.725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xml:space="preserve"> (+ 15%)</w:t>
            </w:r>
          </w:p>
        </w:tc>
        <w:tc>
          <w:tcPr>
            <w:tcW w:w="1374" w:type="dxa"/>
            <w:tcBorders>
              <w:top w:val="single" w:sz="2" w:space="0" w:color="auto"/>
            </w:tcBorders>
            <w:vAlign w:val="center"/>
          </w:tcPr>
          <w:p w14:paraId="3EC226D0"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DE7156">
              <w:rPr>
                <w:rFonts w:eastAsia="Times New Roman" w:cs="Times New Roman"/>
                <w:sz w:val="20"/>
                <w:szCs w:val="20"/>
                <w:lang w:val="es-ES" w:eastAsia="es-AR"/>
              </w:rPr>
              <w:t>95</w:t>
            </w:r>
            <w:r>
              <w:rPr>
                <w:rFonts w:eastAsia="Times New Roman" w:cs="Times New Roman"/>
                <w:sz w:val="20"/>
                <w:szCs w:val="20"/>
                <w:lang w:val="es-ES" w:eastAsia="es-AR"/>
              </w:rPr>
              <w:t>.</w:t>
            </w:r>
            <w:r w:rsidRPr="00DE7156">
              <w:rPr>
                <w:rFonts w:eastAsia="Times New Roman" w:cs="Times New Roman"/>
                <w:sz w:val="20"/>
                <w:szCs w:val="20"/>
                <w:lang w:val="es-ES" w:eastAsia="es-AR"/>
              </w:rPr>
              <w:t>297</w:t>
            </w:r>
            <w:r>
              <w:rPr>
                <w:rFonts w:eastAsia="Times New Roman" w:cs="Times New Roman"/>
                <w:sz w:val="20"/>
                <w:szCs w:val="20"/>
                <w:lang w:val="es-ES" w:eastAsia="es-AR"/>
              </w:rPr>
              <w:t>.</w:t>
            </w:r>
            <w:r w:rsidRPr="00DE7156">
              <w:rPr>
                <w:rFonts w:eastAsia="Times New Roman" w:cs="Times New Roman"/>
                <w:sz w:val="20"/>
                <w:szCs w:val="20"/>
                <w:lang w:val="es-ES" w:eastAsia="es-AR"/>
              </w:rPr>
              <w:t>459</w:t>
            </w:r>
          </w:p>
        </w:tc>
        <w:tc>
          <w:tcPr>
            <w:tcW w:w="753" w:type="dxa"/>
            <w:tcBorders>
              <w:top w:val="single" w:sz="2" w:space="0" w:color="auto"/>
            </w:tcBorders>
            <w:vAlign w:val="center"/>
          </w:tcPr>
          <w:p w14:paraId="3957CFF5"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+17,</w:t>
            </w:r>
            <w:r>
              <w:rPr>
                <w:rFonts w:eastAsia="Times New Roman" w:cs="Times New Roman"/>
                <w:sz w:val="20"/>
                <w:szCs w:val="20"/>
                <w:lang w:val="es-ES" w:eastAsia="es-AR"/>
              </w:rPr>
              <w:t>7</w:t>
            </w:r>
            <w:r w:rsidRPr="00C174D5">
              <w:rPr>
                <w:rFonts w:eastAsia="Times New Roman" w:cs="Times New Roman"/>
                <w:sz w:val="20"/>
                <w:szCs w:val="20"/>
                <w:lang w:val="es-ES" w:eastAsia="es-AR"/>
              </w:rPr>
              <w:t>%</w:t>
            </w:r>
          </w:p>
        </w:tc>
        <w:tc>
          <w:tcPr>
            <w:tcW w:w="930" w:type="dxa"/>
            <w:tcBorders>
              <w:top w:val="single" w:sz="2" w:space="0" w:color="auto"/>
            </w:tcBorders>
            <w:vAlign w:val="center"/>
          </w:tcPr>
          <w:p w14:paraId="78D1AE09"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74</w:t>
            </w:r>
            <w:r w:rsidRPr="00C174D5">
              <w:rPr>
                <w:rFonts w:eastAsia="Times New Roman" w:cs="Times New Roman"/>
                <w:sz w:val="20"/>
                <w:szCs w:val="20"/>
                <w:lang w:val="es-ES" w:eastAsia="es-AR"/>
              </w:rPr>
              <w:t>%</w:t>
            </w:r>
          </w:p>
        </w:tc>
      </w:tr>
      <w:tr w:rsidR="00C92C58" w:rsidRPr="00DE7156" w14:paraId="7829987B" w14:textId="77777777" w:rsidTr="00B15A9A">
        <w:trPr>
          <w:trHeight w:val="300"/>
          <w:jc w:val="center"/>
        </w:trPr>
        <w:tc>
          <w:tcPr>
            <w:tcW w:w="1701" w:type="dxa"/>
            <w:tcBorders>
              <w:top w:val="single" w:sz="2" w:space="0" w:color="auto"/>
              <w:bottom w:val="single" w:sz="2" w:space="0" w:color="auto"/>
            </w:tcBorders>
            <w:shd w:val="clear" w:color="auto" w:fill="auto"/>
            <w:noWrap/>
            <w:vAlign w:val="center"/>
          </w:tcPr>
          <w:p w14:paraId="0C3B6B5D"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bottom w:val="single" w:sz="2" w:space="0" w:color="auto"/>
            </w:tcBorders>
            <w:shd w:val="clear" w:color="auto" w:fill="auto"/>
            <w:vAlign w:val="center"/>
          </w:tcPr>
          <w:p w14:paraId="5E9283AF"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1.275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xml:space="preserve"> (- 15%)</w:t>
            </w:r>
          </w:p>
        </w:tc>
        <w:tc>
          <w:tcPr>
            <w:tcW w:w="1374" w:type="dxa"/>
            <w:tcBorders>
              <w:top w:val="single" w:sz="2" w:space="0" w:color="auto"/>
              <w:bottom w:val="single" w:sz="2" w:space="0" w:color="auto"/>
            </w:tcBorders>
            <w:vAlign w:val="center"/>
          </w:tcPr>
          <w:p w14:paraId="35D2B38E"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DE7156">
              <w:rPr>
                <w:rFonts w:eastAsia="Times New Roman" w:cs="Times New Roman"/>
                <w:sz w:val="20"/>
                <w:szCs w:val="20"/>
                <w:lang w:val="es-ES" w:eastAsia="es-AR"/>
              </w:rPr>
              <w:t>66</w:t>
            </w:r>
            <w:r>
              <w:rPr>
                <w:rFonts w:eastAsia="Times New Roman" w:cs="Times New Roman"/>
                <w:sz w:val="20"/>
                <w:szCs w:val="20"/>
                <w:lang w:val="es-ES" w:eastAsia="es-AR"/>
              </w:rPr>
              <w:t>.</w:t>
            </w:r>
            <w:r w:rsidRPr="00DE7156">
              <w:rPr>
                <w:rFonts w:eastAsia="Times New Roman" w:cs="Times New Roman"/>
                <w:sz w:val="20"/>
                <w:szCs w:val="20"/>
                <w:lang w:val="es-ES" w:eastAsia="es-AR"/>
              </w:rPr>
              <w:t>677</w:t>
            </w:r>
            <w:r>
              <w:rPr>
                <w:rFonts w:eastAsia="Times New Roman" w:cs="Times New Roman"/>
                <w:sz w:val="20"/>
                <w:szCs w:val="20"/>
                <w:lang w:val="es-ES" w:eastAsia="es-AR"/>
              </w:rPr>
              <w:t>.</w:t>
            </w:r>
            <w:r w:rsidRPr="00DE7156">
              <w:rPr>
                <w:rFonts w:eastAsia="Times New Roman" w:cs="Times New Roman"/>
                <w:sz w:val="20"/>
                <w:szCs w:val="20"/>
                <w:lang w:val="es-ES" w:eastAsia="es-AR"/>
              </w:rPr>
              <w:t>298</w:t>
            </w:r>
          </w:p>
        </w:tc>
        <w:tc>
          <w:tcPr>
            <w:tcW w:w="753" w:type="dxa"/>
            <w:tcBorders>
              <w:top w:val="single" w:sz="2" w:space="0" w:color="auto"/>
              <w:bottom w:val="single" w:sz="2" w:space="0" w:color="auto"/>
            </w:tcBorders>
            <w:vAlign w:val="center"/>
          </w:tcPr>
          <w:p w14:paraId="6F3F2666"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-17,</w:t>
            </w:r>
            <w:r>
              <w:rPr>
                <w:rFonts w:eastAsia="Times New Roman" w:cs="Times New Roman"/>
                <w:sz w:val="20"/>
                <w:szCs w:val="20"/>
                <w:lang w:val="es-ES" w:eastAsia="es-AR"/>
              </w:rPr>
              <w:t>7</w:t>
            </w:r>
            <w:r w:rsidRPr="00C174D5">
              <w:rPr>
                <w:rFonts w:eastAsia="Times New Roman" w:cs="Times New Roman"/>
                <w:sz w:val="20"/>
                <w:szCs w:val="20"/>
                <w:lang w:val="es-ES" w:eastAsia="es-AR"/>
              </w:rPr>
              <w:t>%</w:t>
            </w:r>
          </w:p>
        </w:tc>
        <w:tc>
          <w:tcPr>
            <w:tcW w:w="930" w:type="dxa"/>
            <w:tcBorders>
              <w:top w:val="single" w:sz="2" w:space="0" w:color="auto"/>
              <w:bottom w:val="single" w:sz="2" w:space="0" w:color="auto"/>
            </w:tcBorders>
            <w:vAlign w:val="center"/>
          </w:tcPr>
          <w:p w14:paraId="64B112C2"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65</w:t>
            </w:r>
            <w:r w:rsidRPr="00C174D5">
              <w:rPr>
                <w:rFonts w:eastAsia="Times New Roman" w:cs="Times New Roman"/>
                <w:sz w:val="20"/>
                <w:szCs w:val="20"/>
                <w:lang w:val="es-ES" w:eastAsia="es-AR"/>
              </w:rPr>
              <w:t>%</w:t>
            </w:r>
          </w:p>
        </w:tc>
      </w:tr>
      <w:tr w:rsidR="00C92C58" w:rsidRPr="00DE7156" w14:paraId="5C58FCCA" w14:textId="77777777" w:rsidTr="00B15A9A">
        <w:trPr>
          <w:trHeight w:val="300"/>
          <w:jc w:val="center"/>
        </w:trPr>
        <w:tc>
          <w:tcPr>
            <w:tcW w:w="1701" w:type="dxa"/>
            <w:tcBorders>
              <w:top w:val="single" w:sz="2" w:space="0" w:color="auto"/>
            </w:tcBorders>
            <w:shd w:val="clear" w:color="auto" w:fill="auto"/>
            <w:noWrap/>
            <w:vAlign w:val="center"/>
          </w:tcPr>
          <w:p w14:paraId="6ECB981F"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1397DD9E"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2</w:t>
            </w:r>
            <w:r>
              <w:rPr>
                <w:rFonts w:eastAsia="Times New Roman" w:cs="Times New Roman"/>
                <w:sz w:val="20"/>
                <w:szCs w:val="20"/>
                <w:lang w:val="es-ES" w:eastAsia="es-AR"/>
              </w:rPr>
              <w:t>2</w:t>
            </w:r>
            <w:r w:rsidRPr="00C174D5">
              <w:rPr>
                <w:rFonts w:eastAsia="Times New Roman" w:cs="Times New Roman"/>
                <w:sz w:val="20"/>
                <w:szCs w:val="20"/>
                <w:lang w:val="es-ES" w:eastAsia="es-AR"/>
              </w:rPr>
              <w:t>7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xml:space="preserve"> (- 8</w:t>
            </w:r>
            <w:r>
              <w:rPr>
                <w:rFonts w:eastAsia="Times New Roman" w:cs="Times New Roman"/>
                <w:sz w:val="20"/>
                <w:szCs w:val="20"/>
                <w:lang w:val="es-ES" w:eastAsia="es-AR"/>
              </w:rPr>
              <w:t>5</w:t>
            </w:r>
            <w:r w:rsidRPr="00C174D5">
              <w:rPr>
                <w:rFonts w:eastAsia="Times New Roman" w:cs="Times New Roman"/>
                <w:sz w:val="20"/>
                <w:szCs w:val="20"/>
                <w:lang w:val="es-ES" w:eastAsia="es-AR"/>
              </w:rPr>
              <w:t>%)</w:t>
            </w:r>
          </w:p>
        </w:tc>
        <w:tc>
          <w:tcPr>
            <w:tcW w:w="1374" w:type="dxa"/>
            <w:tcBorders>
              <w:top w:val="single" w:sz="2" w:space="0" w:color="auto"/>
            </w:tcBorders>
            <w:vAlign w:val="center"/>
          </w:tcPr>
          <w:p w14:paraId="441DAFB8"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0</w:t>
            </w:r>
          </w:p>
        </w:tc>
        <w:tc>
          <w:tcPr>
            <w:tcW w:w="753" w:type="dxa"/>
            <w:tcBorders>
              <w:top w:val="single" w:sz="2" w:space="0" w:color="auto"/>
            </w:tcBorders>
            <w:vAlign w:val="center"/>
          </w:tcPr>
          <w:p w14:paraId="41EAFDF6"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w:t>
            </w:r>
          </w:p>
        </w:tc>
        <w:tc>
          <w:tcPr>
            <w:tcW w:w="930" w:type="dxa"/>
            <w:tcBorders>
              <w:top w:val="single" w:sz="2" w:space="0" w:color="auto"/>
            </w:tcBorders>
            <w:vAlign w:val="center"/>
          </w:tcPr>
          <w:p w14:paraId="6F1D9138"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12%</w:t>
            </w:r>
          </w:p>
        </w:tc>
      </w:tr>
      <w:tr w:rsidR="00C92C58" w:rsidRPr="00DE7156" w14:paraId="1AFB1C16" w14:textId="77777777" w:rsidTr="00B15A9A">
        <w:trPr>
          <w:trHeight w:val="300"/>
          <w:jc w:val="center"/>
        </w:trPr>
        <w:tc>
          <w:tcPr>
            <w:tcW w:w="7167" w:type="dxa"/>
            <w:gridSpan w:val="5"/>
            <w:tcBorders>
              <w:top w:val="single" w:sz="2" w:space="0" w:color="auto"/>
              <w:bottom w:val="single" w:sz="2" w:space="0" w:color="auto"/>
            </w:tcBorders>
            <w:shd w:val="clear" w:color="auto" w:fill="auto"/>
            <w:noWrap/>
            <w:vAlign w:val="center"/>
          </w:tcPr>
          <w:p w14:paraId="5CE6BD5A"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Costo de inversión</w:t>
            </w:r>
            <w:r w:rsidRPr="00C174D5">
              <w:rPr>
                <w:rStyle w:val="FootnoteReference"/>
                <w:rFonts w:eastAsia="Times New Roman" w:cs="Times New Roman"/>
                <w:sz w:val="20"/>
                <w:szCs w:val="20"/>
                <w:lang w:val="es-ES" w:eastAsia="es-AR"/>
              </w:rPr>
              <w:footnoteReference w:id="35"/>
            </w:r>
            <w:r w:rsidRPr="00C174D5">
              <w:rPr>
                <w:rFonts w:eastAsia="Times New Roman" w:cs="Times New Roman"/>
                <w:sz w:val="20"/>
                <w:szCs w:val="20"/>
                <w:lang w:val="es-ES" w:eastAsia="es-AR"/>
              </w:rPr>
              <w:t xml:space="preserve"> (base 1.232.261)</w:t>
            </w:r>
          </w:p>
        </w:tc>
      </w:tr>
      <w:tr w:rsidR="00C92C58" w:rsidRPr="00DE7156" w14:paraId="5A044779" w14:textId="77777777" w:rsidTr="00B15A9A">
        <w:trPr>
          <w:trHeight w:val="300"/>
          <w:jc w:val="center"/>
        </w:trPr>
        <w:tc>
          <w:tcPr>
            <w:tcW w:w="1701" w:type="dxa"/>
            <w:tcBorders>
              <w:top w:val="single" w:sz="2" w:space="0" w:color="auto"/>
            </w:tcBorders>
            <w:shd w:val="clear" w:color="auto" w:fill="auto"/>
            <w:noWrap/>
            <w:vAlign w:val="center"/>
          </w:tcPr>
          <w:p w14:paraId="2E712B2B"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4691ECC8"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1.417.100 (+15%)</w:t>
            </w:r>
          </w:p>
        </w:tc>
        <w:tc>
          <w:tcPr>
            <w:tcW w:w="1374" w:type="dxa"/>
            <w:tcBorders>
              <w:top w:val="single" w:sz="2" w:space="0" w:color="auto"/>
            </w:tcBorders>
            <w:vAlign w:val="center"/>
          </w:tcPr>
          <w:p w14:paraId="67359E87"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80.768.</w:t>
            </w:r>
            <w:r w:rsidRPr="00DE7156">
              <w:rPr>
                <w:rFonts w:eastAsia="Times New Roman" w:cs="Times New Roman"/>
                <w:sz w:val="20"/>
                <w:szCs w:val="20"/>
                <w:lang w:val="es-ES" w:eastAsia="es-AR"/>
              </w:rPr>
              <w:t>329</w:t>
            </w:r>
          </w:p>
        </w:tc>
        <w:tc>
          <w:tcPr>
            <w:tcW w:w="753" w:type="dxa"/>
            <w:tcBorders>
              <w:top w:val="single" w:sz="2" w:space="0" w:color="auto"/>
            </w:tcBorders>
            <w:vAlign w:val="center"/>
          </w:tcPr>
          <w:p w14:paraId="0F0F9423"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-0,</w:t>
            </w:r>
            <w:r>
              <w:rPr>
                <w:rFonts w:eastAsia="Times New Roman" w:cs="Times New Roman"/>
                <w:sz w:val="20"/>
                <w:szCs w:val="20"/>
                <w:lang w:val="es-ES" w:eastAsia="es-AR"/>
              </w:rPr>
              <w:t>27</w:t>
            </w:r>
            <w:r w:rsidRPr="00C174D5">
              <w:rPr>
                <w:rFonts w:eastAsia="Times New Roman" w:cs="Times New Roman"/>
                <w:sz w:val="20"/>
                <w:szCs w:val="20"/>
                <w:lang w:val="es-ES" w:eastAsia="es-AR"/>
              </w:rPr>
              <w:t>%</w:t>
            </w:r>
          </w:p>
        </w:tc>
        <w:tc>
          <w:tcPr>
            <w:tcW w:w="930" w:type="dxa"/>
            <w:tcBorders>
              <w:top w:val="single" w:sz="2" w:space="0" w:color="auto"/>
            </w:tcBorders>
            <w:vAlign w:val="center"/>
          </w:tcPr>
          <w:p w14:paraId="63B2B630"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6</w:t>
            </w:r>
            <w:r w:rsidRPr="00C174D5">
              <w:rPr>
                <w:rFonts w:eastAsia="Times New Roman" w:cs="Times New Roman"/>
                <w:sz w:val="20"/>
                <w:szCs w:val="20"/>
                <w:lang w:val="es-ES" w:eastAsia="es-AR"/>
              </w:rPr>
              <w:t>6%</w:t>
            </w:r>
          </w:p>
        </w:tc>
      </w:tr>
      <w:tr w:rsidR="00C92C58" w:rsidRPr="00C174D5" w14:paraId="1F523E6D" w14:textId="77777777" w:rsidTr="00B15A9A">
        <w:trPr>
          <w:trHeight w:val="300"/>
          <w:jc w:val="center"/>
        </w:trPr>
        <w:tc>
          <w:tcPr>
            <w:tcW w:w="1701" w:type="dxa"/>
            <w:tcBorders>
              <w:top w:val="single" w:sz="2" w:space="0" w:color="auto"/>
            </w:tcBorders>
            <w:shd w:val="clear" w:color="auto" w:fill="auto"/>
            <w:noWrap/>
            <w:vAlign w:val="center"/>
          </w:tcPr>
          <w:p w14:paraId="7136C658"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5D64128E"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1.601.940 (+30%)</w:t>
            </w:r>
          </w:p>
        </w:tc>
        <w:tc>
          <w:tcPr>
            <w:tcW w:w="1374" w:type="dxa"/>
            <w:tcBorders>
              <w:top w:val="single" w:sz="2" w:space="0" w:color="auto"/>
            </w:tcBorders>
            <w:vAlign w:val="center"/>
          </w:tcPr>
          <w:p w14:paraId="6328C3B3"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DE7156">
              <w:rPr>
                <w:rFonts w:eastAsia="Times New Roman" w:cs="Times New Roman"/>
                <w:sz w:val="20"/>
                <w:szCs w:val="20"/>
                <w:lang w:val="es-ES" w:eastAsia="es-AR"/>
              </w:rPr>
              <w:t>80</w:t>
            </w:r>
            <w:r>
              <w:rPr>
                <w:rFonts w:eastAsia="Times New Roman" w:cs="Times New Roman"/>
                <w:sz w:val="20"/>
                <w:szCs w:val="20"/>
                <w:lang w:val="es-ES" w:eastAsia="es-AR"/>
              </w:rPr>
              <w:t>.</w:t>
            </w:r>
            <w:r w:rsidRPr="00DE7156">
              <w:rPr>
                <w:rFonts w:eastAsia="Times New Roman" w:cs="Times New Roman"/>
                <w:sz w:val="20"/>
                <w:szCs w:val="20"/>
                <w:lang w:val="es-ES" w:eastAsia="es-AR"/>
              </w:rPr>
              <w:t>549</w:t>
            </w:r>
            <w:r>
              <w:rPr>
                <w:rFonts w:eastAsia="Times New Roman" w:cs="Times New Roman"/>
                <w:sz w:val="20"/>
                <w:szCs w:val="20"/>
                <w:lang w:val="es-ES" w:eastAsia="es-AR"/>
              </w:rPr>
              <w:t>.</w:t>
            </w:r>
            <w:r w:rsidRPr="00DE7156">
              <w:rPr>
                <w:rFonts w:eastAsia="Times New Roman" w:cs="Times New Roman"/>
                <w:sz w:val="20"/>
                <w:szCs w:val="20"/>
                <w:lang w:val="es-ES" w:eastAsia="es-AR"/>
              </w:rPr>
              <w:t>279</w:t>
            </w:r>
          </w:p>
        </w:tc>
        <w:tc>
          <w:tcPr>
            <w:tcW w:w="753" w:type="dxa"/>
            <w:tcBorders>
              <w:top w:val="single" w:sz="2" w:space="0" w:color="auto"/>
            </w:tcBorders>
            <w:vAlign w:val="center"/>
          </w:tcPr>
          <w:p w14:paraId="2DE89C5F"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-0,</w:t>
            </w:r>
            <w:r>
              <w:rPr>
                <w:rFonts w:eastAsia="Times New Roman" w:cs="Times New Roman"/>
                <w:sz w:val="20"/>
                <w:szCs w:val="20"/>
                <w:lang w:val="es-ES" w:eastAsia="es-AR"/>
              </w:rPr>
              <w:t>54</w:t>
            </w:r>
            <w:r w:rsidRPr="00C174D5">
              <w:rPr>
                <w:rFonts w:eastAsia="Times New Roman" w:cs="Times New Roman"/>
                <w:sz w:val="20"/>
                <w:szCs w:val="20"/>
                <w:lang w:val="es-ES" w:eastAsia="es-AR"/>
              </w:rPr>
              <w:t>%</w:t>
            </w:r>
          </w:p>
        </w:tc>
        <w:tc>
          <w:tcPr>
            <w:tcW w:w="930" w:type="dxa"/>
            <w:tcBorders>
              <w:top w:val="single" w:sz="2" w:space="0" w:color="auto"/>
            </w:tcBorders>
            <w:vAlign w:val="center"/>
          </w:tcPr>
          <w:p w14:paraId="4FC3A308"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6</w:t>
            </w:r>
            <w:r w:rsidRPr="00C174D5">
              <w:rPr>
                <w:rFonts w:eastAsia="Times New Roman" w:cs="Times New Roman"/>
                <w:sz w:val="20"/>
                <w:szCs w:val="20"/>
                <w:lang w:val="es-ES" w:eastAsia="es-AR"/>
              </w:rPr>
              <w:t>3%</w:t>
            </w:r>
          </w:p>
        </w:tc>
      </w:tr>
    </w:tbl>
    <w:p w14:paraId="3131B13E" w14:textId="77777777" w:rsidR="00C92C58" w:rsidRPr="00C174D5" w:rsidRDefault="00C92C58" w:rsidP="00C92C58">
      <w:pPr>
        <w:ind w:left="1134" w:right="1134"/>
        <w:jc w:val="center"/>
        <w:rPr>
          <w:sz w:val="18"/>
          <w:lang w:val="es-ES"/>
        </w:rPr>
      </w:pPr>
      <w:r w:rsidRPr="00C174D5">
        <w:rPr>
          <w:sz w:val="18"/>
          <w:lang w:val="es-ES"/>
        </w:rPr>
        <w:t>Fuente: Elaboración propia en base a información de ENATREL provista por el BID</w:t>
      </w:r>
    </w:p>
    <w:p w14:paraId="5A69629A" w14:textId="77777777" w:rsidR="00C92C58" w:rsidRDefault="00C92C58" w:rsidP="00C92C58">
      <w:pPr>
        <w:rPr>
          <w:lang w:val="es-ES"/>
        </w:rPr>
      </w:pPr>
      <w:r w:rsidRPr="00C174D5">
        <w:rPr>
          <w:lang w:val="es-ES"/>
        </w:rPr>
        <w:t>También en este caso los resultados de la evaluación económica son robustos a las sensibilidades efectuadas. Cabe mencionar que para que el VPNE de este proyecto sea nulo, el costo de falla debe ser un 8</w:t>
      </w:r>
      <w:r>
        <w:rPr>
          <w:lang w:val="es-ES"/>
        </w:rPr>
        <w:t>5</w:t>
      </w:r>
      <w:r w:rsidRPr="00C174D5">
        <w:rPr>
          <w:lang w:val="es-ES"/>
        </w:rPr>
        <w:t>% menor al utilizado en la evaluación, cerca de 2</w:t>
      </w:r>
      <w:r>
        <w:rPr>
          <w:lang w:val="es-ES"/>
        </w:rPr>
        <w:t>2</w:t>
      </w:r>
      <w:r w:rsidRPr="00C174D5">
        <w:rPr>
          <w:lang w:val="es-ES"/>
        </w:rPr>
        <w:t>7 US$/</w:t>
      </w:r>
      <w:proofErr w:type="spellStart"/>
      <w:r w:rsidRPr="00C174D5">
        <w:rPr>
          <w:lang w:val="es-ES"/>
        </w:rPr>
        <w:t>MWh</w:t>
      </w:r>
      <w:proofErr w:type="spellEnd"/>
      <w:r w:rsidRPr="00C174D5">
        <w:rPr>
          <w:lang w:val="es-ES"/>
        </w:rPr>
        <w:t>.</w:t>
      </w:r>
    </w:p>
    <w:p w14:paraId="17F887F0" w14:textId="77777777" w:rsidR="00C92C58" w:rsidRPr="00C174D5" w:rsidRDefault="00C92C58" w:rsidP="00C92C58">
      <w:pPr>
        <w:rPr>
          <w:lang w:val="es-ES"/>
        </w:rPr>
      </w:pPr>
      <w:r>
        <w:rPr>
          <w:lang w:val="es-ES"/>
        </w:rPr>
        <w:t>Por otro lado, para que el proyecto sea atractivo desde el punto de vista privado, el peaje de transmisión debería crecer, anualmente y en términos reales, a una tasa de 3,4% (versus el 2% considerado en la evaluación).</w:t>
      </w:r>
    </w:p>
    <w:p w14:paraId="3483BB6F" w14:textId="77777777" w:rsidR="00C92C58" w:rsidRPr="00C174D5" w:rsidRDefault="00C92C58" w:rsidP="00C92C58">
      <w:pPr>
        <w:pStyle w:val="Heading1"/>
        <w:pageBreakBefore w:val="0"/>
        <w:numPr>
          <w:ilvl w:val="2"/>
          <w:numId w:val="9"/>
        </w:numPr>
        <w:rPr>
          <w:lang w:val="es-ES"/>
        </w:rPr>
      </w:pPr>
      <w:bookmarkStart w:id="130" w:name="_Toc447546945"/>
      <w:bookmarkStart w:id="131" w:name="_Toc456353129"/>
      <w:r w:rsidRPr="00C174D5">
        <w:rPr>
          <w:lang w:val="es-ES"/>
        </w:rPr>
        <w:t>SE San Benito</w:t>
      </w:r>
      <w:bookmarkEnd w:id="130"/>
      <w:bookmarkEnd w:id="131"/>
    </w:p>
    <w:p w14:paraId="3CBA6279" w14:textId="77777777" w:rsidR="00C92C58" w:rsidRPr="00C174D5" w:rsidRDefault="00C92C58" w:rsidP="00C92C58">
      <w:pPr>
        <w:rPr>
          <w:lang w:val="es-ES"/>
        </w:rPr>
      </w:pPr>
      <w:r w:rsidRPr="00C174D5">
        <w:rPr>
          <w:lang w:val="es-ES"/>
        </w:rPr>
        <w:t xml:space="preserve">Este proyecto consiste en la instalación de un nuevo transformador de 40 MVA con una bahía de transformación 138/13.8 KV (doble barra), de 7 celdas </w:t>
      </w:r>
      <w:proofErr w:type="spellStart"/>
      <w:r w:rsidRPr="00C174D5">
        <w:rPr>
          <w:lang w:val="es-ES"/>
        </w:rPr>
        <w:t>Metaclad</w:t>
      </w:r>
      <w:proofErr w:type="spellEnd"/>
      <w:r w:rsidRPr="00C174D5">
        <w:rPr>
          <w:lang w:val="es-ES"/>
        </w:rPr>
        <w:t xml:space="preserve"> (4 celdas para salida de circuito, 1 celda de entrada del transformador de potencia y 1 celda para el transformador de servicios propios) y en la ampliación de la caseta.</w:t>
      </w:r>
    </w:p>
    <w:p w14:paraId="55608AEE" w14:textId="77777777" w:rsidR="00C92C58" w:rsidRDefault="00C92C58" w:rsidP="00C92C58">
      <w:pPr>
        <w:rPr>
          <w:lang w:val="es-ES"/>
        </w:rPr>
      </w:pPr>
      <w:r w:rsidRPr="00C174D5">
        <w:rPr>
          <w:lang w:val="es-ES"/>
        </w:rPr>
        <w:lastRenderedPageBreak/>
        <w:t>En este caso, se supone que en el escenario “sin” proyecto es posible sólo servir a la demanda de clientes existentes en los niveles actuales, por lo que la falla en ausencia de proyecto corresponde al crecimiento de la demanda. Dada la antigüedad del transformador existente, se asume que sin el reemplazo, la continuidad de la operación sólo es posible sujeta a un mayor costo de mantenimiento de la SE que el que se verifica en el escenario “con” proyecto.</w:t>
      </w:r>
    </w:p>
    <w:p w14:paraId="73BEB788" w14:textId="77777777" w:rsidR="00C92C58" w:rsidRDefault="00C92C58" w:rsidP="00C92C58">
      <w:pPr>
        <w:rPr>
          <w:lang w:val="es-ES"/>
        </w:rPr>
      </w:pPr>
      <w:r>
        <w:rPr>
          <w:lang w:val="es-ES"/>
        </w:rPr>
        <w:t xml:space="preserve">La demanda potencial considerada, al igual que en el análisis de la SE </w:t>
      </w:r>
      <w:proofErr w:type="spellStart"/>
      <w:r>
        <w:rPr>
          <w:lang w:val="es-ES"/>
        </w:rPr>
        <w:t>Acahualinca</w:t>
      </w:r>
      <w:proofErr w:type="spellEnd"/>
      <w:r>
        <w:rPr>
          <w:lang w:val="es-ES"/>
        </w:rPr>
        <w:t>, está conformada sólo por clientes existentes.</w:t>
      </w:r>
    </w:p>
    <w:p w14:paraId="7693CBE6" w14:textId="77777777" w:rsidR="00C92C58" w:rsidRDefault="00C92C58" w:rsidP="00C92C58">
      <w:pPr>
        <w:keepNext/>
        <w:keepLines/>
        <w:spacing w:after="120"/>
        <w:jc w:val="center"/>
        <w:rPr>
          <w:b/>
          <w:sz w:val="20"/>
          <w:lang w:val="es-ES"/>
        </w:rPr>
      </w:pPr>
      <w:bookmarkStart w:id="132" w:name="_Toc456353211"/>
      <w:r w:rsidRPr="00C174D5">
        <w:rPr>
          <w:b/>
          <w:sz w:val="20"/>
          <w:lang w:val="es-ES"/>
        </w:rPr>
        <w:t xml:space="preserve">Gráfico </w:t>
      </w:r>
      <w:r w:rsidRPr="00C174D5">
        <w:rPr>
          <w:b/>
          <w:sz w:val="20"/>
          <w:lang w:val="es-ES"/>
        </w:rPr>
        <w:fldChar w:fldCharType="begin"/>
      </w:r>
      <w:r w:rsidRPr="00C174D5">
        <w:rPr>
          <w:b/>
          <w:sz w:val="20"/>
          <w:lang w:val="es-ES"/>
        </w:rPr>
        <w:instrText xml:space="preserve"> SEQ Gráfico \* ARABIC </w:instrText>
      </w:r>
      <w:r w:rsidRPr="00C174D5">
        <w:rPr>
          <w:b/>
          <w:sz w:val="20"/>
          <w:lang w:val="es-ES"/>
        </w:rPr>
        <w:fldChar w:fldCharType="separate"/>
      </w:r>
      <w:r>
        <w:rPr>
          <w:b/>
          <w:noProof/>
          <w:sz w:val="20"/>
          <w:lang w:val="es-ES"/>
        </w:rPr>
        <w:t>5</w:t>
      </w:r>
      <w:r w:rsidRPr="00C174D5">
        <w:rPr>
          <w:b/>
          <w:sz w:val="20"/>
          <w:lang w:val="es-ES"/>
        </w:rPr>
        <w:fldChar w:fldCharType="end"/>
      </w:r>
      <w:r w:rsidRPr="00C174D5">
        <w:rPr>
          <w:b/>
          <w:sz w:val="20"/>
          <w:lang w:val="es-ES"/>
        </w:rPr>
        <w:t xml:space="preserve">: Demanda </w:t>
      </w:r>
      <w:r>
        <w:rPr>
          <w:b/>
          <w:sz w:val="20"/>
          <w:lang w:val="es-ES"/>
        </w:rPr>
        <w:t>considerada proyecto</w:t>
      </w:r>
      <w:r w:rsidRPr="00C174D5">
        <w:rPr>
          <w:b/>
          <w:sz w:val="20"/>
          <w:lang w:val="es-ES"/>
        </w:rPr>
        <w:t xml:space="preserve"> </w:t>
      </w:r>
      <w:r>
        <w:rPr>
          <w:b/>
          <w:sz w:val="20"/>
          <w:lang w:val="es-ES"/>
        </w:rPr>
        <w:t xml:space="preserve">SE San Benito </w:t>
      </w:r>
      <w:r w:rsidRPr="00C174D5">
        <w:rPr>
          <w:b/>
          <w:sz w:val="20"/>
          <w:lang w:val="es-ES"/>
        </w:rPr>
        <w:t>(MW)</w:t>
      </w:r>
      <w:bookmarkEnd w:id="132"/>
    </w:p>
    <w:p w14:paraId="1F021B30" w14:textId="77777777" w:rsidR="00C92C58" w:rsidRPr="00E73DA6" w:rsidRDefault="00C92C58" w:rsidP="00C92C58">
      <w:pPr>
        <w:spacing w:after="0"/>
        <w:jc w:val="center"/>
        <w:rPr>
          <w:noProof/>
          <w:lang w:val="es-AR" w:eastAsia="es-AR"/>
        </w:rPr>
      </w:pPr>
      <w:r w:rsidRPr="00E73DA6">
        <w:rPr>
          <w:noProof/>
          <w:lang w:val="es-CO" w:eastAsia="es-CO"/>
        </w:rPr>
        <w:drawing>
          <wp:inline distT="0" distB="0" distL="0" distR="0" wp14:anchorId="7C76EB82" wp14:editId="7935DC39">
            <wp:extent cx="3600000" cy="240603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00000" cy="2406035"/>
                    </a:xfrm>
                    <a:prstGeom prst="rect">
                      <a:avLst/>
                    </a:prstGeom>
                    <a:noFill/>
                  </pic:spPr>
                </pic:pic>
              </a:graphicData>
            </a:graphic>
          </wp:inline>
        </w:drawing>
      </w:r>
    </w:p>
    <w:p w14:paraId="2ED9B1D1" w14:textId="77777777" w:rsidR="00C92C58" w:rsidRDefault="00C92C58" w:rsidP="00C92C58">
      <w:pPr>
        <w:ind w:left="1134" w:right="1134"/>
        <w:jc w:val="center"/>
        <w:rPr>
          <w:sz w:val="18"/>
          <w:lang w:val="es-ES"/>
        </w:rPr>
      </w:pPr>
      <w:r w:rsidRPr="00C174D5">
        <w:rPr>
          <w:sz w:val="18"/>
          <w:lang w:val="es-ES"/>
        </w:rPr>
        <w:t>Fuente: Elaboración propia en base a información</w:t>
      </w:r>
      <w:r>
        <w:rPr>
          <w:sz w:val="18"/>
          <w:lang w:val="es-ES"/>
        </w:rPr>
        <w:t xml:space="preserve"> de ENATREL provista por el BID (archivo </w:t>
      </w:r>
      <w:r w:rsidRPr="0093429D">
        <w:rPr>
          <w:sz w:val="18"/>
          <w:lang w:val="es-ES"/>
        </w:rPr>
        <w:t>FLUJOS DE ENERGÍA_SE SAN BENITO_210416</w:t>
      </w:r>
      <w:r w:rsidRPr="00BA436C">
        <w:rPr>
          <w:sz w:val="18"/>
          <w:lang w:val="es-ES"/>
        </w:rPr>
        <w:t>.xlsx</w:t>
      </w:r>
      <w:r>
        <w:rPr>
          <w:sz w:val="18"/>
          <w:lang w:val="es-ES"/>
        </w:rPr>
        <w:t>)</w:t>
      </w:r>
    </w:p>
    <w:p w14:paraId="70876D4C" w14:textId="77777777" w:rsidR="00C92C58" w:rsidRPr="0093429D" w:rsidRDefault="00C92C58" w:rsidP="00C92C58">
      <w:pPr>
        <w:spacing w:after="0"/>
        <w:rPr>
          <w:noProof/>
          <w:lang w:val="es-ES" w:eastAsia="es-AR"/>
        </w:rPr>
      </w:pPr>
      <w:r>
        <w:rPr>
          <w:noProof/>
          <w:lang w:val="es-ES" w:eastAsia="es-AR"/>
        </w:rPr>
        <w:t>En este caso, la demanda crece de 9 MW al año en 2017 a 19 MW en el año 2037.</w:t>
      </w:r>
    </w:p>
    <w:p w14:paraId="1678FCAA" w14:textId="77777777" w:rsidR="00C92C58" w:rsidRPr="00C174D5" w:rsidRDefault="00C92C58" w:rsidP="00C92C58">
      <w:pPr>
        <w:pStyle w:val="Heading2"/>
        <w:rPr>
          <w:lang w:val="es-ES"/>
        </w:rPr>
      </w:pPr>
      <w:bookmarkStart w:id="133" w:name="_Toc447546946"/>
      <w:bookmarkStart w:id="134" w:name="_Toc456353130"/>
      <w:r w:rsidRPr="00C174D5">
        <w:rPr>
          <w:lang w:val="es-ES"/>
        </w:rPr>
        <w:t>SE San Benito - Supuestos</w:t>
      </w:r>
      <w:bookmarkEnd w:id="133"/>
      <w:bookmarkEnd w:id="134"/>
    </w:p>
    <w:p w14:paraId="3A81C992" w14:textId="77777777" w:rsidR="00C92C58" w:rsidRPr="00C174D5" w:rsidRDefault="00C92C58" w:rsidP="00C92C58">
      <w:pPr>
        <w:rPr>
          <w:lang w:val="es-ES"/>
        </w:rPr>
      </w:pPr>
      <w:r w:rsidRPr="00C174D5">
        <w:rPr>
          <w:lang w:val="es-ES"/>
        </w:rPr>
        <w:t xml:space="preserve">En la evaluación de este proyecto de ampliación de capacidad se han utilizado los supuestos de la </w:t>
      </w:r>
      <w:r w:rsidRPr="00C174D5">
        <w:rPr>
          <w:lang w:val="es-ES"/>
        </w:rPr>
        <w:fldChar w:fldCharType="begin"/>
      </w:r>
      <w:r w:rsidRPr="00C174D5">
        <w:rPr>
          <w:lang w:val="es-ES"/>
        </w:rPr>
        <w:instrText xml:space="preserve"> REF _Ref450035823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23</w:t>
      </w:r>
      <w:r w:rsidRPr="00C174D5">
        <w:rPr>
          <w:lang w:val="es-ES"/>
        </w:rPr>
        <w:fldChar w:fldCharType="end"/>
      </w:r>
      <w:r w:rsidRPr="00C174D5">
        <w:rPr>
          <w:lang w:val="es-ES"/>
        </w:rPr>
        <w:t xml:space="preserve"> (además de los detallados en la </w:t>
      </w:r>
      <w:r w:rsidRPr="00C174D5">
        <w:rPr>
          <w:lang w:val="es-ES"/>
        </w:rPr>
        <w:fldChar w:fldCharType="begin"/>
      </w:r>
      <w:r w:rsidRPr="00C174D5">
        <w:rPr>
          <w:lang w:val="es-ES"/>
        </w:rPr>
        <w:instrText xml:space="preserve"> REF _Ref450036258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3</w:t>
      </w:r>
      <w:r w:rsidRPr="00C174D5">
        <w:rPr>
          <w:lang w:val="es-ES"/>
        </w:rPr>
        <w:fldChar w:fldCharType="end"/>
      </w:r>
      <w:r w:rsidRPr="00C174D5">
        <w:rPr>
          <w:lang w:val="es-ES"/>
        </w:rPr>
        <w:t xml:space="preserve"> y la </w:t>
      </w:r>
      <w:r w:rsidRPr="00C174D5">
        <w:rPr>
          <w:lang w:val="es-ES"/>
        </w:rPr>
        <w:fldChar w:fldCharType="begin"/>
      </w:r>
      <w:r w:rsidRPr="00C174D5">
        <w:rPr>
          <w:lang w:val="es-ES"/>
        </w:rPr>
        <w:instrText xml:space="preserve"> REF _Ref450036242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4</w:t>
      </w:r>
      <w:r w:rsidRPr="00C174D5">
        <w:rPr>
          <w:lang w:val="es-ES"/>
        </w:rPr>
        <w:fldChar w:fldCharType="end"/>
      </w:r>
      <w:r w:rsidRPr="00C174D5">
        <w:rPr>
          <w:lang w:val="es-ES"/>
        </w:rPr>
        <w:t>).</w:t>
      </w:r>
    </w:p>
    <w:p w14:paraId="201EA847" w14:textId="77777777" w:rsidR="00C92C58" w:rsidRPr="00C174D5" w:rsidRDefault="00C92C58" w:rsidP="00C92C58">
      <w:pPr>
        <w:keepNext/>
        <w:keepLines/>
        <w:spacing w:after="120"/>
        <w:jc w:val="center"/>
        <w:rPr>
          <w:b/>
          <w:sz w:val="20"/>
          <w:lang w:val="es-ES"/>
        </w:rPr>
      </w:pPr>
      <w:bookmarkStart w:id="135" w:name="_Ref450035823"/>
      <w:bookmarkStart w:id="136" w:name="_Toc447546982"/>
      <w:bookmarkStart w:id="137" w:name="_Toc456353179"/>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23</w:t>
      </w:r>
      <w:r w:rsidRPr="00C174D5">
        <w:rPr>
          <w:b/>
          <w:sz w:val="20"/>
          <w:lang w:val="es-ES"/>
        </w:rPr>
        <w:fldChar w:fldCharType="end"/>
      </w:r>
      <w:bookmarkEnd w:id="135"/>
      <w:r w:rsidRPr="00C174D5">
        <w:rPr>
          <w:b/>
          <w:sz w:val="20"/>
          <w:lang w:val="es-ES"/>
        </w:rPr>
        <w:t>: Supuestos de modelización particulares – SE San Benito</w:t>
      </w:r>
      <w:bookmarkEnd w:id="136"/>
      <w:bookmarkEnd w:id="137"/>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52"/>
        <w:gridCol w:w="7"/>
        <w:gridCol w:w="1242"/>
      </w:tblGrid>
      <w:tr w:rsidR="00C92C58" w:rsidRPr="00C174D5" w14:paraId="203B1320" w14:textId="77777777" w:rsidTr="00B15A9A">
        <w:trPr>
          <w:tblHeader/>
          <w:jc w:val="center"/>
        </w:trPr>
        <w:tc>
          <w:tcPr>
            <w:tcW w:w="4152" w:type="dxa"/>
            <w:tcBorders>
              <w:top w:val="single" w:sz="12" w:space="0" w:color="auto"/>
              <w:bottom w:val="single" w:sz="12" w:space="0" w:color="auto"/>
            </w:tcBorders>
            <w:shd w:val="clear" w:color="auto" w:fill="BFBFBF" w:themeFill="background1" w:themeFillShade="BF"/>
            <w:vAlign w:val="center"/>
          </w:tcPr>
          <w:p w14:paraId="532A7526" w14:textId="77777777" w:rsidR="00C92C58" w:rsidRPr="00C174D5" w:rsidRDefault="00C92C58" w:rsidP="00B15A9A">
            <w:pPr>
              <w:spacing w:after="0" w:line="240" w:lineRule="auto"/>
              <w:jc w:val="center"/>
              <w:rPr>
                <w:b/>
                <w:sz w:val="20"/>
                <w:szCs w:val="20"/>
                <w:lang w:val="es-ES"/>
              </w:rPr>
            </w:pPr>
            <w:r w:rsidRPr="00C174D5">
              <w:rPr>
                <w:b/>
                <w:sz w:val="20"/>
                <w:szCs w:val="20"/>
                <w:lang w:val="es-ES"/>
              </w:rPr>
              <w:t>Parámetros</w:t>
            </w:r>
          </w:p>
        </w:tc>
        <w:tc>
          <w:tcPr>
            <w:tcW w:w="1249" w:type="dxa"/>
            <w:gridSpan w:val="2"/>
            <w:tcBorders>
              <w:top w:val="single" w:sz="12" w:space="0" w:color="auto"/>
              <w:bottom w:val="single" w:sz="12" w:space="0" w:color="auto"/>
            </w:tcBorders>
            <w:shd w:val="clear" w:color="auto" w:fill="BFBFBF" w:themeFill="background1" w:themeFillShade="BF"/>
            <w:vAlign w:val="center"/>
          </w:tcPr>
          <w:p w14:paraId="1EDD05FA" w14:textId="77777777" w:rsidR="00C92C58" w:rsidRPr="00C174D5" w:rsidRDefault="00C92C58" w:rsidP="00B15A9A">
            <w:pPr>
              <w:spacing w:after="0" w:line="240" w:lineRule="auto"/>
              <w:jc w:val="center"/>
              <w:rPr>
                <w:b/>
                <w:sz w:val="20"/>
                <w:szCs w:val="20"/>
                <w:lang w:val="es-ES"/>
              </w:rPr>
            </w:pPr>
            <w:r w:rsidRPr="00C174D5">
              <w:rPr>
                <w:b/>
                <w:sz w:val="20"/>
                <w:szCs w:val="20"/>
                <w:lang w:val="es-ES"/>
              </w:rPr>
              <w:t>Valor</w:t>
            </w:r>
          </w:p>
        </w:tc>
      </w:tr>
      <w:tr w:rsidR="00C92C58" w:rsidRPr="00C174D5" w14:paraId="24D680C7" w14:textId="77777777" w:rsidTr="00B15A9A">
        <w:trPr>
          <w:jc w:val="center"/>
        </w:trPr>
        <w:tc>
          <w:tcPr>
            <w:tcW w:w="5401" w:type="dxa"/>
            <w:gridSpan w:val="3"/>
            <w:tcBorders>
              <w:top w:val="single" w:sz="12" w:space="0" w:color="auto"/>
            </w:tcBorders>
            <w:shd w:val="clear" w:color="auto" w:fill="auto"/>
            <w:vAlign w:val="center"/>
          </w:tcPr>
          <w:p w14:paraId="15597B29" w14:textId="77777777" w:rsidR="00C92C58" w:rsidRPr="00C174D5" w:rsidRDefault="00C92C58" w:rsidP="00B15A9A">
            <w:pPr>
              <w:spacing w:after="0" w:line="240" w:lineRule="auto"/>
              <w:jc w:val="center"/>
              <w:rPr>
                <w:sz w:val="20"/>
                <w:szCs w:val="20"/>
                <w:lang w:val="es-ES"/>
              </w:rPr>
            </w:pPr>
            <w:r w:rsidRPr="00C174D5">
              <w:rPr>
                <w:b/>
                <w:sz w:val="20"/>
                <w:szCs w:val="20"/>
                <w:lang w:val="es-ES"/>
              </w:rPr>
              <w:t>Económicos</w:t>
            </w:r>
          </w:p>
        </w:tc>
      </w:tr>
      <w:tr w:rsidR="00C92C58" w:rsidRPr="00C174D5" w14:paraId="0D31869E" w14:textId="77777777" w:rsidTr="00B15A9A">
        <w:trPr>
          <w:jc w:val="center"/>
        </w:trPr>
        <w:tc>
          <w:tcPr>
            <w:tcW w:w="4152" w:type="dxa"/>
            <w:shd w:val="clear" w:color="auto" w:fill="auto"/>
            <w:vAlign w:val="center"/>
          </w:tcPr>
          <w:p w14:paraId="54172490" w14:textId="77777777" w:rsidR="00C92C58" w:rsidRPr="00C174D5" w:rsidRDefault="00C92C58" w:rsidP="00B15A9A">
            <w:pPr>
              <w:spacing w:after="0" w:line="240" w:lineRule="auto"/>
              <w:jc w:val="left"/>
              <w:rPr>
                <w:sz w:val="20"/>
                <w:szCs w:val="20"/>
                <w:lang w:val="es-ES"/>
              </w:rPr>
            </w:pPr>
            <w:r w:rsidRPr="00C174D5">
              <w:rPr>
                <w:sz w:val="20"/>
                <w:szCs w:val="20"/>
                <w:lang w:val="es-ES"/>
              </w:rPr>
              <w:t>Inversión</w:t>
            </w:r>
          </w:p>
        </w:tc>
        <w:tc>
          <w:tcPr>
            <w:tcW w:w="1249" w:type="dxa"/>
            <w:gridSpan w:val="2"/>
            <w:shd w:val="clear" w:color="auto" w:fill="auto"/>
            <w:vAlign w:val="center"/>
          </w:tcPr>
          <w:p w14:paraId="16E29317" w14:textId="77777777" w:rsidR="00C92C58" w:rsidRPr="00C174D5" w:rsidRDefault="00C92C58" w:rsidP="00B15A9A">
            <w:pPr>
              <w:spacing w:after="0" w:line="240" w:lineRule="auto"/>
              <w:jc w:val="left"/>
              <w:rPr>
                <w:sz w:val="20"/>
                <w:szCs w:val="20"/>
                <w:lang w:val="es-ES"/>
              </w:rPr>
            </w:pPr>
            <w:r w:rsidRPr="00C174D5">
              <w:rPr>
                <w:sz w:val="20"/>
                <w:szCs w:val="20"/>
                <w:lang w:val="es-ES"/>
              </w:rPr>
              <w:t>2.675.239</w:t>
            </w:r>
            <w:r w:rsidRPr="00C174D5">
              <w:rPr>
                <w:rStyle w:val="FootnoteReference"/>
                <w:sz w:val="20"/>
                <w:szCs w:val="20"/>
                <w:lang w:val="es-ES"/>
              </w:rPr>
              <w:footnoteReference w:id="36"/>
            </w:r>
          </w:p>
        </w:tc>
      </w:tr>
      <w:tr w:rsidR="00C92C58" w:rsidRPr="00C174D5" w14:paraId="4BFC62EE" w14:textId="77777777" w:rsidTr="00B15A9A">
        <w:trPr>
          <w:trHeight w:val="222"/>
          <w:jc w:val="center"/>
        </w:trPr>
        <w:tc>
          <w:tcPr>
            <w:tcW w:w="4159" w:type="dxa"/>
            <w:gridSpan w:val="2"/>
            <w:shd w:val="clear" w:color="auto" w:fill="auto"/>
          </w:tcPr>
          <w:p w14:paraId="400603C9" w14:textId="77777777" w:rsidR="00C92C58" w:rsidRPr="00C174D5" w:rsidRDefault="00C92C58" w:rsidP="00B15A9A">
            <w:pPr>
              <w:tabs>
                <w:tab w:val="center" w:pos="1971"/>
              </w:tabs>
              <w:spacing w:after="0" w:line="240" w:lineRule="auto"/>
              <w:jc w:val="left"/>
              <w:rPr>
                <w:sz w:val="20"/>
                <w:szCs w:val="20"/>
                <w:lang w:val="es-ES"/>
              </w:rPr>
            </w:pPr>
            <w:r w:rsidRPr="00C174D5">
              <w:rPr>
                <w:sz w:val="20"/>
                <w:szCs w:val="20"/>
                <w:lang w:val="es-ES"/>
              </w:rPr>
              <w:t>O&amp;M sin proyecto (% Inversión)</w:t>
            </w:r>
          </w:p>
        </w:tc>
        <w:tc>
          <w:tcPr>
            <w:tcW w:w="1242" w:type="dxa"/>
            <w:shd w:val="clear" w:color="auto" w:fill="auto"/>
          </w:tcPr>
          <w:p w14:paraId="41CC0C30" w14:textId="77777777" w:rsidR="00C92C58" w:rsidRPr="00C174D5" w:rsidRDefault="00C92C58" w:rsidP="00B15A9A">
            <w:pPr>
              <w:spacing w:after="0" w:line="240" w:lineRule="auto"/>
              <w:jc w:val="center"/>
              <w:rPr>
                <w:sz w:val="20"/>
                <w:szCs w:val="20"/>
                <w:lang w:val="es-ES"/>
              </w:rPr>
            </w:pPr>
            <w:r w:rsidRPr="00C174D5">
              <w:rPr>
                <w:sz w:val="20"/>
                <w:szCs w:val="20"/>
                <w:lang w:val="es-ES"/>
              </w:rPr>
              <w:t>10%</w:t>
            </w:r>
          </w:p>
        </w:tc>
      </w:tr>
      <w:tr w:rsidR="00C92C58" w:rsidRPr="00C174D5" w14:paraId="4C4610F6" w14:textId="77777777" w:rsidTr="00B15A9A">
        <w:trPr>
          <w:trHeight w:val="222"/>
          <w:jc w:val="center"/>
        </w:trPr>
        <w:tc>
          <w:tcPr>
            <w:tcW w:w="5401" w:type="dxa"/>
            <w:gridSpan w:val="3"/>
            <w:shd w:val="clear" w:color="auto" w:fill="auto"/>
          </w:tcPr>
          <w:p w14:paraId="2C6C27F8" w14:textId="77777777" w:rsidR="00C92C58" w:rsidRPr="00C174D5" w:rsidRDefault="00C92C58" w:rsidP="00B15A9A">
            <w:pPr>
              <w:spacing w:after="0" w:line="240" w:lineRule="auto"/>
              <w:jc w:val="center"/>
              <w:rPr>
                <w:b/>
                <w:sz w:val="20"/>
                <w:szCs w:val="20"/>
                <w:lang w:val="es-ES"/>
              </w:rPr>
            </w:pPr>
            <w:r w:rsidRPr="00C174D5">
              <w:rPr>
                <w:b/>
                <w:sz w:val="20"/>
                <w:szCs w:val="20"/>
                <w:lang w:val="es-ES"/>
              </w:rPr>
              <w:t>De mercado</w:t>
            </w:r>
          </w:p>
        </w:tc>
      </w:tr>
      <w:tr w:rsidR="00C92C58" w:rsidRPr="00C174D5" w14:paraId="63F68D29" w14:textId="77777777" w:rsidTr="00B15A9A">
        <w:trPr>
          <w:trHeight w:val="222"/>
          <w:jc w:val="center"/>
        </w:trPr>
        <w:tc>
          <w:tcPr>
            <w:tcW w:w="4152" w:type="dxa"/>
            <w:shd w:val="clear" w:color="auto" w:fill="auto"/>
          </w:tcPr>
          <w:p w14:paraId="37058C3A" w14:textId="77777777" w:rsidR="00C92C58" w:rsidRPr="00C174D5" w:rsidRDefault="00C92C58" w:rsidP="00B15A9A">
            <w:pPr>
              <w:spacing w:after="0" w:line="240" w:lineRule="auto"/>
              <w:jc w:val="left"/>
              <w:rPr>
                <w:sz w:val="20"/>
                <w:szCs w:val="20"/>
                <w:lang w:val="es-ES"/>
              </w:rPr>
            </w:pPr>
            <w:r w:rsidRPr="00C174D5">
              <w:rPr>
                <w:sz w:val="20"/>
                <w:szCs w:val="20"/>
                <w:lang w:val="es-ES"/>
              </w:rPr>
              <w:t>Factor de carga promedio anual</w:t>
            </w:r>
          </w:p>
        </w:tc>
        <w:tc>
          <w:tcPr>
            <w:tcW w:w="1249" w:type="dxa"/>
            <w:gridSpan w:val="2"/>
            <w:shd w:val="clear" w:color="auto" w:fill="auto"/>
          </w:tcPr>
          <w:p w14:paraId="6AE16542" w14:textId="77777777" w:rsidR="00C92C58" w:rsidRPr="00C174D5" w:rsidRDefault="00C92C58" w:rsidP="00B15A9A">
            <w:pPr>
              <w:spacing w:after="0" w:line="240" w:lineRule="auto"/>
              <w:jc w:val="center"/>
              <w:rPr>
                <w:sz w:val="20"/>
                <w:szCs w:val="20"/>
                <w:lang w:val="es-ES"/>
              </w:rPr>
            </w:pPr>
            <w:r w:rsidRPr="00C174D5">
              <w:rPr>
                <w:sz w:val="20"/>
                <w:szCs w:val="20"/>
                <w:lang w:val="es-ES"/>
              </w:rPr>
              <w:t>65,23%</w:t>
            </w:r>
          </w:p>
        </w:tc>
      </w:tr>
    </w:tbl>
    <w:p w14:paraId="04924539" w14:textId="77777777" w:rsidR="00C92C58" w:rsidRPr="00C174D5" w:rsidRDefault="00C92C58" w:rsidP="00C92C58">
      <w:pPr>
        <w:ind w:left="1560" w:right="1559"/>
        <w:jc w:val="center"/>
        <w:rPr>
          <w:sz w:val="18"/>
          <w:lang w:val="es-ES"/>
        </w:rPr>
      </w:pPr>
      <w:r w:rsidRPr="00C174D5">
        <w:rPr>
          <w:sz w:val="18"/>
          <w:lang w:val="es-ES"/>
        </w:rPr>
        <w:t>Fuente: Elaboración propia en base a información de ENATREL provista por el BID</w:t>
      </w:r>
    </w:p>
    <w:p w14:paraId="7A7661B0" w14:textId="77777777" w:rsidR="00C92C58" w:rsidRPr="00C174D5" w:rsidRDefault="00C92C58" w:rsidP="00C92C58">
      <w:pPr>
        <w:rPr>
          <w:lang w:val="es-ES"/>
        </w:rPr>
      </w:pPr>
      <w:r w:rsidRPr="00C174D5">
        <w:rPr>
          <w:lang w:val="es-ES"/>
        </w:rPr>
        <w:lastRenderedPageBreak/>
        <w:t xml:space="preserve">En la sección </w:t>
      </w:r>
      <w:r w:rsidRPr="00C174D5">
        <w:rPr>
          <w:lang w:val="es-ES"/>
        </w:rPr>
        <w:fldChar w:fldCharType="begin" w:fldLock="1"/>
      </w:r>
      <w:r w:rsidRPr="00C174D5">
        <w:rPr>
          <w:lang w:val="es-ES"/>
        </w:rPr>
        <w:instrText xml:space="preserve"> REF _Ref445798746 \r \h  \* MERGEFORMAT </w:instrText>
      </w:r>
      <w:r w:rsidRPr="00C174D5">
        <w:rPr>
          <w:lang w:val="es-ES"/>
        </w:rPr>
      </w:r>
      <w:r w:rsidRPr="00C174D5">
        <w:rPr>
          <w:lang w:val="es-ES"/>
        </w:rPr>
        <w:fldChar w:fldCharType="separate"/>
      </w:r>
      <w:r w:rsidRPr="00C174D5">
        <w:rPr>
          <w:lang w:val="es-ES"/>
        </w:rPr>
        <w:t>3.3.3.2</w:t>
      </w:r>
      <w:r w:rsidRPr="00C174D5">
        <w:rPr>
          <w:lang w:val="es-ES"/>
        </w:rPr>
        <w:fldChar w:fldCharType="end"/>
      </w:r>
      <w:r w:rsidRPr="00C174D5">
        <w:rPr>
          <w:lang w:val="es-ES"/>
        </w:rPr>
        <w:t xml:space="preserve"> se presentan los resultados del análisis económico y financiero del proyecto.</w:t>
      </w:r>
    </w:p>
    <w:p w14:paraId="2A8E8FCE" w14:textId="77777777" w:rsidR="00C92C58" w:rsidRPr="00C174D5" w:rsidRDefault="00C92C58" w:rsidP="00C92C58">
      <w:pPr>
        <w:pStyle w:val="Heading2"/>
        <w:rPr>
          <w:lang w:val="es-ES"/>
        </w:rPr>
      </w:pPr>
      <w:bookmarkStart w:id="138" w:name="_Ref445798746"/>
      <w:bookmarkStart w:id="139" w:name="_Toc447546947"/>
      <w:bookmarkStart w:id="140" w:name="_Toc456353131"/>
      <w:r w:rsidRPr="00C174D5">
        <w:rPr>
          <w:lang w:val="es-ES"/>
        </w:rPr>
        <w:t>SE San Benito – Evaluación</w:t>
      </w:r>
      <w:bookmarkEnd w:id="138"/>
      <w:bookmarkEnd w:id="139"/>
      <w:bookmarkEnd w:id="140"/>
    </w:p>
    <w:p w14:paraId="3A2F96D8" w14:textId="77777777" w:rsidR="00C92C58" w:rsidRPr="00C174D5" w:rsidRDefault="00C92C58" w:rsidP="00C92C58">
      <w:pPr>
        <w:rPr>
          <w:lang w:val="es-ES"/>
        </w:rPr>
      </w:pPr>
      <w:r w:rsidRPr="00C174D5">
        <w:rPr>
          <w:lang w:val="es-ES"/>
        </w:rPr>
        <w:t>En este caso, los beneficios económicos del proyecto están dados por la disminución de la energía de falla (neta de costos). Los costos, por su parte, están dados por la inversión y la diferencia en los costos de operación y mantenimiento asociados a la misma (cuyo porcentaje varía en la situación “con” y “sin” proyecto), y también por las pérdidas adicionales que se verifican en presencia de proyecto</w:t>
      </w:r>
      <w:r>
        <w:rPr>
          <w:lang w:val="es-ES"/>
        </w:rPr>
        <w:t xml:space="preserve"> (en este caso, el proyecto permite un ahorro de costos).</w:t>
      </w:r>
      <w:r w:rsidRPr="00C174D5">
        <w:rPr>
          <w:lang w:val="es-ES"/>
        </w:rPr>
        <w:t xml:space="preserve"> Todas estas variables son ajustadas por los respectivos FC. Estos valores, junto con el VPNE del proyecto, se presentan en la </w:t>
      </w:r>
      <w:r w:rsidRPr="00C174D5">
        <w:rPr>
          <w:lang w:val="es-ES"/>
        </w:rPr>
        <w:fldChar w:fldCharType="begin"/>
      </w:r>
      <w:r w:rsidRPr="00C174D5">
        <w:rPr>
          <w:lang w:val="es-ES"/>
        </w:rPr>
        <w:instrText xml:space="preserve"> REF _Ref450035838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24</w:t>
      </w:r>
      <w:r w:rsidRPr="00C174D5">
        <w:rPr>
          <w:lang w:val="es-ES"/>
        </w:rPr>
        <w:fldChar w:fldCharType="end"/>
      </w:r>
      <w:r w:rsidRPr="00C174D5">
        <w:rPr>
          <w:lang w:val="es-ES"/>
        </w:rPr>
        <w:t>.</w:t>
      </w:r>
    </w:p>
    <w:p w14:paraId="4EBAC179" w14:textId="77777777" w:rsidR="00C92C58" w:rsidRPr="00C174D5" w:rsidRDefault="00C92C58" w:rsidP="00C92C58">
      <w:pPr>
        <w:keepNext/>
        <w:keepLines/>
        <w:spacing w:after="120"/>
        <w:jc w:val="center"/>
        <w:rPr>
          <w:b/>
          <w:sz w:val="20"/>
          <w:lang w:val="es-ES"/>
        </w:rPr>
      </w:pPr>
      <w:bookmarkStart w:id="141" w:name="_Ref450035838"/>
      <w:bookmarkStart w:id="142" w:name="_Toc447546983"/>
      <w:bookmarkStart w:id="143" w:name="_Toc456353180"/>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24</w:t>
      </w:r>
      <w:r w:rsidRPr="00C174D5">
        <w:rPr>
          <w:b/>
          <w:sz w:val="20"/>
          <w:lang w:val="es-ES"/>
        </w:rPr>
        <w:fldChar w:fldCharType="end"/>
      </w:r>
      <w:bookmarkEnd w:id="141"/>
      <w:r w:rsidRPr="00C174D5">
        <w:rPr>
          <w:b/>
          <w:sz w:val="20"/>
          <w:lang w:val="es-ES"/>
        </w:rPr>
        <w:t>: Resultados evaluación económica – SE San Benito</w:t>
      </w:r>
      <w:bookmarkEnd w:id="142"/>
      <w:bookmarkEnd w:id="143"/>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516"/>
        <w:gridCol w:w="1442"/>
        <w:gridCol w:w="1274"/>
        <w:gridCol w:w="1539"/>
        <w:gridCol w:w="1218"/>
        <w:gridCol w:w="732"/>
      </w:tblGrid>
      <w:tr w:rsidR="00C92C58" w:rsidRPr="00C174D5" w14:paraId="6C23286D" w14:textId="77777777" w:rsidTr="00B15A9A">
        <w:trPr>
          <w:trHeight w:val="35"/>
          <w:jc w:val="center"/>
        </w:trPr>
        <w:tc>
          <w:tcPr>
            <w:tcW w:w="251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6D9D1319" w14:textId="77777777" w:rsidR="00C92C58" w:rsidRPr="00C174D5" w:rsidRDefault="00C92C58" w:rsidP="00B15A9A">
            <w:pPr>
              <w:keepNext/>
              <w:keepLines/>
              <w:spacing w:after="0"/>
              <w:jc w:val="center"/>
              <w:rPr>
                <w:b/>
                <w:sz w:val="20"/>
                <w:lang w:val="es-ES"/>
              </w:rPr>
            </w:pPr>
          </w:p>
        </w:tc>
        <w:tc>
          <w:tcPr>
            <w:tcW w:w="1442"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3DF2A59C" w14:textId="77777777" w:rsidR="00C92C58" w:rsidRPr="00C174D5" w:rsidRDefault="00C92C58" w:rsidP="00B15A9A">
            <w:pPr>
              <w:keepNext/>
              <w:keepLines/>
              <w:spacing w:after="0"/>
              <w:jc w:val="center"/>
              <w:rPr>
                <w:b/>
                <w:sz w:val="20"/>
                <w:lang w:val="es-ES"/>
              </w:rPr>
            </w:pPr>
            <w:r w:rsidRPr="00C174D5">
              <w:rPr>
                <w:b/>
                <w:bCs/>
                <w:sz w:val="20"/>
                <w:lang w:val="es-ES"/>
              </w:rPr>
              <w:t xml:space="preserve">VP Inversión </w:t>
            </w:r>
            <w:proofErr w:type="spellStart"/>
            <w:r w:rsidRPr="00C174D5">
              <w:rPr>
                <w:b/>
                <w:bCs/>
                <w:sz w:val="20"/>
                <w:lang w:val="es-ES"/>
              </w:rPr>
              <w:t>ec</w:t>
            </w:r>
            <w:proofErr w:type="spellEnd"/>
            <w:r w:rsidRPr="00C174D5">
              <w:rPr>
                <w:b/>
                <w:bCs/>
                <w:sz w:val="20"/>
                <w:lang w:val="es-ES"/>
              </w:rPr>
              <w:t>. (US$)</w:t>
            </w:r>
          </w:p>
        </w:tc>
        <w:tc>
          <w:tcPr>
            <w:tcW w:w="1274"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20C8315C" w14:textId="77777777" w:rsidR="00C92C58" w:rsidRPr="00C174D5" w:rsidRDefault="00C92C58" w:rsidP="00B15A9A">
            <w:pPr>
              <w:keepNext/>
              <w:keepLines/>
              <w:spacing w:after="0"/>
              <w:jc w:val="center"/>
              <w:rPr>
                <w:b/>
                <w:sz w:val="20"/>
                <w:lang w:val="es-ES"/>
              </w:rPr>
            </w:pPr>
            <w:r w:rsidRPr="00C174D5">
              <w:rPr>
                <w:b/>
                <w:bCs/>
                <w:sz w:val="20"/>
                <w:lang w:val="es-ES"/>
              </w:rPr>
              <w:t xml:space="preserve">VP Costos </w:t>
            </w:r>
            <w:proofErr w:type="spellStart"/>
            <w:r w:rsidRPr="00C174D5">
              <w:rPr>
                <w:b/>
                <w:bCs/>
                <w:sz w:val="20"/>
                <w:lang w:val="es-ES"/>
              </w:rPr>
              <w:t>ec</w:t>
            </w:r>
            <w:proofErr w:type="spellEnd"/>
            <w:r w:rsidRPr="00C174D5">
              <w:rPr>
                <w:b/>
                <w:bCs/>
                <w:sz w:val="20"/>
                <w:lang w:val="es-ES"/>
              </w:rPr>
              <w:t>. (US$)</w:t>
            </w:r>
          </w:p>
        </w:tc>
        <w:tc>
          <w:tcPr>
            <w:tcW w:w="1539"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3B1A482D" w14:textId="77777777" w:rsidR="00C92C58" w:rsidRPr="00C174D5" w:rsidRDefault="00C92C58" w:rsidP="00B15A9A">
            <w:pPr>
              <w:keepNext/>
              <w:keepLines/>
              <w:spacing w:after="0"/>
              <w:jc w:val="center"/>
              <w:rPr>
                <w:b/>
                <w:sz w:val="20"/>
                <w:lang w:val="es-ES"/>
              </w:rPr>
            </w:pPr>
            <w:r w:rsidRPr="00C174D5">
              <w:rPr>
                <w:b/>
                <w:bCs/>
                <w:sz w:val="20"/>
                <w:lang w:val="es-ES"/>
              </w:rPr>
              <w:t xml:space="preserve">VP Beneficios </w:t>
            </w:r>
            <w:proofErr w:type="spellStart"/>
            <w:r w:rsidRPr="00C174D5">
              <w:rPr>
                <w:b/>
                <w:bCs/>
                <w:sz w:val="20"/>
                <w:lang w:val="es-ES"/>
              </w:rPr>
              <w:t>ec</w:t>
            </w:r>
            <w:proofErr w:type="spellEnd"/>
            <w:r w:rsidRPr="00C174D5">
              <w:rPr>
                <w:b/>
                <w:bCs/>
                <w:sz w:val="20"/>
                <w:lang w:val="es-ES"/>
              </w:rPr>
              <w:t>. (US$)</w:t>
            </w:r>
          </w:p>
        </w:tc>
        <w:tc>
          <w:tcPr>
            <w:tcW w:w="1218"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7A4FB133" w14:textId="77777777" w:rsidR="00C92C58" w:rsidRPr="00C174D5" w:rsidRDefault="00C92C58" w:rsidP="00B15A9A">
            <w:pPr>
              <w:keepNext/>
              <w:keepLines/>
              <w:spacing w:after="0"/>
              <w:jc w:val="center"/>
              <w:rPr>
                <w:b/>
                <w:sz w:val="20"/>
                <w:lang w:val="es-ES"/>
              </w:rPr>
            </w:pPr>
            <w:r w:rsidRPr="00C174D5">
              <w:rPr>
                <w:b/>
                <w:bCs/>
                <w:sz w:val="20"/>
                <w:lang w:val="es-ES"/>
              </w:rPr>
              <w:t>VPNE (US$)</w:t>
            </w:r>
          </w:p>
        </w:tc>
        <w:tc>
          <w:tcPr>
            <w:tcW w:w="732"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5E4DDCF9" w14:textId="77777777" w:rsidR="00C92C58" w:rsidRPr="00C174D5" w:rsidRDefault="00C92C58" w:rsidP="00B15A9A">
            <w:pPr>
              <w:keepNext/>
              <w:keepLines/>
              <w:spacing w:after="0"/>
              <w:jc w:val="center"/>
              <w:rPr>
                <w:b/>
                <w:sz w:val="20"/>
                <w:lang w:val="es-ES"/>
              </w:rPr>
            </w:pPr>
            <w:r w:rsidRPr="00C174D5">
              <w:rPr>
                <w:b/>
                <w:bCs/>
                <w:sz w:val="20"/>
                <w:lang w:val="es-ES"/>
              </w:rPr>
              <w:t>TIRE</w:t>
            </w:r>
          </w:p>
        </w:tc>
      </w:tr>
      <w:tr w:rsidR="00C92C58" w:rsidRPr="008F6655" w14:paraId="436AE91E" w14:textId="77777777" w:rsidTr="00B15A9A">
        <w:trPr>
          <w:trHeight w:val="1105"/>
          <w:jc w:val="center"/>
        </w:trPr>
        <w:tc>
          <w:tcPr>
            <w:tcW w:w="2516" w:type="dxa"/>
            <w:tcBorders>
              <w:top w:val="single" w:sz="12" w:space="0" w:color="000000"/>
            </w:tcBorders>
            <w:shd w:val="clear" w:color="auto" w:fill="auto"/>
            <w:tcMar>
              <w:top w:w="15" w:type="dxa"/>
              <w:left w:w="108" w:type="dxa"/>
              <w:bottom w:w="0" w:type="dxa"/>
              <w:right w:w="108" w:type="dxa"/>
            </w:tcMar>
            <w:vAlign w:val="center"/>
            <w:hideMark/>
          </w:tcPr>
          <w:p w14:paraId="1BD2D3FD" w14:textId="77777777" w:rsidR="00C92C58" w:rsidRPr="00C174D5" w:rsidRDefault="00C92C58" w:rsidP="00B15A9A">
            <w:pPr>
              <w:keepNext/>
              <w:keepLines/>
              <w:spacing w:after="0"/>
              <w:jc w:val="center"/>
              <w:rPr>
                <w:sz w:val="20"/>
                <w:lang w:val="es-ES"/>
              </w:rPr>
            </w:pPr>
            <w:r w:rsidRPr="00C174D5">
              <w:rPr>
                <w:bCs/>
                <w:sz w:val="20"/>
                <w:lang w:val="es-ES"/>
              </w:rPr>
              <w:t>Situación Con Proyecto</w:t>
            </w:r>
          </w:p>
          <w:p w14:paraId="021B4417" w14:textId="77777777" w:rsidR="00C92C58" w:rsidRPr="00C174D5" w:rsidRDefault="00C92C58" w:rsidP="00B15A9A">
            <w:pPr>
              <w:keepNext/>
              <w:keepLines/>
              <w:spacing w:after="0"/>
              <w:jc w:val="center"/>
              <w:rPr>
                <w:sz w:val="20"/>
                <w:lang w:val="es-ES"/>
              </w:rPr>
            </w:pPr>
            <w:r w:rsidRPr="00C174D5">
              <w:rPr>
                <w:bCs/>
                <w:sz w:val="20"/>
                <w:lang w:val="es-ES"/>
              </w:rPr>
              <w:t>-</w:t>
            </w:r>
          </w:p>
          <w:p w14:paraId="6B0FDC27" w14:textId="77777777" w:rsidR="00C92C58" w:rsidRPr="00C174D5" w:rsidRDefault="00C92C58" w:rsidP="00B15A9A">
            <w:pPr>
              <w:keepNext/>
              <w:keepLines/>
              <w:spacing w:after="0"/>
              <w:jc w:val="center"/>
              <w:rPr>
                <w:sz w:val="20"/>
                <w:lang w:val="es-ES"/>
              </w:rPr>
            </w:pPr>
            <w:r w:rsidRPr="00C174D5">
              <w:rPr>
                <w:bCs/>
                <w:sz w:val="20"/>
                <w:lang w:val="es-ES"/>
              </w:rPr>
              <w:t>Situación sin proyecto</w:t>
            </w:r>
          </w:p>
        </w:tc>
        <w:tc>
          <w:tcPr>
            <w:tcW w:w="1442" w:type="dxa"/>
            <w:tcBorders>
              <w:top w:val="single" w:sz="12" w:space="0" w:color="000000"/>
            </w:tcBorders>
            <w:shd w:val="clear" w:color="auto" w:fill="auto"/>
            <w:tcMar>
              <w:top w:w="15" w:type="dxa"/>
              <w:left w:w="108" w:type="dxa"/>
              <w:bottom w:w="0" w:type="dxa"/>
              <w:right w:w="108" w:type="dxa"/>
            </w:tcMar>
            <w:vAlign w:val="center"/>
          </w:tcPr>
          <w:p w14:paraId="5A7DAE0B" w14:textId="77777777" w:rsidR="00C92C58" w:rsidRPr="00C174D5" w:rsidRDefault="00C92C58" w:rsidP="00B15A9A">
            <w:pPr>
              <w:keepNext/>
              <w:keepLines/>
              <w:spacing w:after="0"/>
              <w:jc w:val="center"/>
              <w:rPr>
                <w:sz w:val="20"/>
                <w:lang w:val="es-ES"/>
              </w:rPr>
            </w:pPr>
            <w:r w:rsidRPr="00C174D5">
              <w:rPr>
                <w:sz w:val="20"/>
                <w:lang w:val="es-ES"/>
              </w:rPr>
              <w:t>2.618.835</w:t>
            </w:r>
          </w:p>
        </w:tc>
        <w:tc>
          <w:tcPr>
            <w:tcW w:w="1274" w:type="dxa"/>
            <w:tcBorders>
              <w:top w:val="single" w:sz="12" w:space="0" w:color="000000"/>
            </w:tcBorders>
            <w:shd w:val="clear" w:color="auto" w:fill="auto"/>
            <w:tcMar>
              <w:top w:w="15" w:type="dxa"/>
              <w:left w:w="108" w:type="dxa"/>
              <w:bottom w:w="0" w:type="dxa"/>
              <w:right w:w="108" w:type="dxa"/>
            </w:tcMar>
            <w:vAlign w:val="center"/>
          </w:tcPr>
          <w:p w14:paraId="228ABFBA" w14:textId="77777777" w:rsidR="00C92C58" w:rsidRPr="00C174D5" w:rsidRDefault="00C92C58" w:rsidP="00B15A9A">
            <w:pPr>
              <w:keepNext/>
              <w:keepLines/>
              <w:spacing w:after="0"/>
              <w:jc w:val="center"/>
              <w:rPr>
                <w:sz w:val="20"/>
                <w:lang w:val="es-ES"/>
              </w:rPr>
            </w:pPr>
            <w:r>
              <w:rPr>
                <w:sz w:val="20"/>
                <w:lang w:val="es-ES"/>
              </w:rPr>
              <w:t>-94.</w:t>
            </w:r>
            <w:r w:rsidRPr="008F6655">
              <w:rPr>
                <w:sz w:val="20"/>
                <w:lang w:val="es-ES"/>
              </w:rPr>
              <w:t>104</w:t>
            </w:r>
          </w:p>
        </w:tc>
        <w:tc>
          <w:tcPr>
            <w:tcW w:w="1539" w:type="dxa"/>
            <w:tcBorders>
              <w:top w:val="single" w:sz="12" w:space="0" w:color="000000"/>
            </w:tcBorders>
            <w:shd w:val="clear" w:color="auto" w:fill="auto"/>
            <w:tcMar>
              <w:top w:w="15" w:type="dxa"/>
              <w:left w:w="108" w:type="dxa"/>
              <w:bottom w:w="0" w:type="dxa"/>
              <w:right w:w="108" w:type="dxa"/>
            </w:tcMar>
            <w:vAlign w:val="center"/>
          </w:tcPr>
          <w:p w14:paraId="3FEA1358" w14:textId="77777777" w:rsidR="00C92C58" w:rsidRPr="00C174D5" w:rsidRDefault="00C92C58" w:rsidP="00B15A9A">
            <w:pPr>
              <w:keepNext/>
              <w:keepLines/>
              <w:spacing w:after="0"/>
              <w:jc w:val="center"/>
              <w:rPr>
                <w:sz w:val="20"/>
                <w:lang w:val="es-ES"/>
              </w:rPr>
            </w:pPr>
            <w:r w:rsidRPr="008F6655">
              <w:rPr>
                <w:sz w:val="20"/>
                <w:lang w:val="es-ES"/>
              </w:rPr>
              <w:t>63</w:t>
            </w:r>
            <w:r>
              <w:rPr>
                <w:sz w:val="20"/>
                <w:lang w:val="es-ES"/>
              </w:rPr>
              <w:t>.</w:t>
            </w:r>
            <w:r w:rsidRPr="008F6655">
              <w:rPr>
                <w:sz w:val="20"/>
                <w:lang w:val="es-ES"/>
              </w:rPr>
              <w:t>542</w:t>
            </w:r>
            <w:r>
              <w:rPr>
                <w:sz w:val="20"/>
                <w:lang w:val="es-ES"/>
              </w:rPr>
              <w:t>.</w:t>
            </w:r>
            <w:r w:rsidRPr="008F6655">
              <w:rPr>
                <w:sz w:val="20"/>
                <w:lang w:val="es-ES"/>
              </w:rPr>
              <w:t>187</w:t>
            </w:r>
          </w:p>
        </w:tc>
        <w:tc>
          <w:tcPr>
            <w:tcW w:w="1218" w:type="dxa"/>
            <w:tcBorders>
              <w:top w:val="single" w:sz="12" w:space="0" w:color="000000"/>
            </w:tcBorders>
            <w:shd w:val="clear" w:color="auto" w:fill="auto"/>
            <w:tcMar>
              <w:top w:w="15" w:type="dxa"/>
              <w:left w:w="108" w:type="dxa"/>
              <w:bottom w:w="0" w:type="dxa"/>
              <w:right w:w="108" w:type="dxa"/>
            </w:tcMar>
            <w:vAlign w:val="center"/>
          </w:tcPr>
          <w:p w14:paraId="11F4E978" w14:textId="77777777" w:rsidR="00C92C58" w:rsidRPr="00C174D5" w:rsidRDefault="00C92C58" w:rsidP="00B15A9A">
            <w:pPr>
              <w:keepNext/>
              <w:keepLines/>
              <w:spacing w:after="0"/>
              <w:jc w:val="center"/>
              <w:rPr>
                <w:sz w:val="20"/>
                <w:lang w:val="es-ES"/>
              </w:rPr>
            </w:pPr>
            <w:r w:rsidRPr="008F6655">
              <w:rPr>
                <w:sz w:val="20"/>
                <w:lang w:val="es-ES"/>
              </w:rPr>
              <w:t>61</w:t>
            </w:r>
            <w:r>
              <w:rPr>
                <w:sz w:val="20"/>
                <w:lang w:val="es-ES"/>
              </w:rPr>
              <w:t>.</w:t>
            </w:r>
            <w:r w:rsidRPr="008F6655">
              <w:rPr>
                <w:sz w:val="20"/>
                <w:lang w:val="es-ES"/>
              </w:rPr>
              <w:t>017</w:t>
            </w:r>
            <w:r>
              <w:rPr>
                <w:sz w:val="20"/>
                <w:lang w:val="es-ES"/>
              </w:rPr>
              <w:t>.</w:t>
            </w:r>
            <w:r w:rsidRPr="008F6655">
              <w:rPr>
                <w:sz w:val="20"/>
                <w:lang w:val="es-ES"/>
              </w:rPr>
              <w:t>456</w:t>
            </w:r>
          </w:p>
        </w:tc>
        <w:tc>
          <w:tcPr>
            <w:tcW w:w="732" w:type="dxa"/>
            <w:tcBorders>
              <w:top w:val="single" w:sz="12" w:space="0" w:color="000000"/>
            </w:tcBorders>
            <w:shd w:val="clear" w:color="auto" w:fill="auto"/>
            <w:tcMar>
              <w:top w:w="15" w:type="dxa"/>
              <w:left w:w="108" w:type="dxa"/>
              <w:bottom w:w="0" w:type="dxa"/>
              <w:right w:w="108" w:type="dxa"/>
            </w:tcMar>
            <w:vAlign w:val="center"/>
          </w:tcPr>
          <w:p w14:paraId="7BAD538B" w14:textId="77777777" w:rsidR="00C92C58" w:rsidRPr="00C174D5" w:rsidRDefault="00C92C58" w:rsidP="00B15A9A">
            <w:pPr>
              <w:keepNext/>
              <w:keepLines/>
              <w:spacing w:after="0"/>
              <w:jc w:val="center"/>
              <w:rPr>
                <w:sz w:val="20"/>
                <w:lang w:val="es-ES"/>
              </w:rPr>
            </w:pPr>
            <w:r>
              <w:rPr>
                <w:sz w:val="20"/>
                <w:lang w:val="es-ES"/>
              </w:rPr>
              <w:t>49</w:t>
            </w:r>
            <w:r w:rsidRPr="00C174D5">
              <w:rPr>
                <w:sz w:val="20"/>
                <w:lang w:val="es-ES"/>
              </w:rPr>
              <w:t>%</w:t>
            </w:r>
          </w:p>
        </w:tc>
      </w:tr>
    </w:tbl>
    <w:p w14:paraId="777DF3D8" w14:textId="77777777" w:rsidR="00C92C58" w:rsidRPr="00C174D5" w:rsidRDefault="00C92C58" w:rsidP="00C92C58">
      <w:pPr>
        <w:jc w:val="center"/>
        <w:rPr>
          <w:sz w:val="18"/>
          <w:lang w:val="es-ES"/>
        </w:rPr>
      </w:pPr>
      <w:r w:rsidRPr="00C174D5">
        <w:rPr>
          <w:sz w:val="18"/>
          <w:lang w:val="es-ES"/>
        </w:rPr>
        <w:t>Fuente: Elaboración propia en base a información de ENATREL provista por el BID</w:t>
      </w:r>
    </w:p>
    <w:p w14:paraId="36009E67" w14:textId="77777777" w:rsidR="00C92C58" w:rsidRPr="00C174D5" w:rsidRDefault="00C92C58" w:rsidP="00C92C58">
      <w:pPr>
        <w:rPr>
          <w:lang w:val="es-ES"/>
        </w:rPr>
      </w:pPr>
      <w:r w:rsidRPr="00C174D5">
        <w:rPr>
          <w:lang w:val="es-ES"/>
        </w:rPr>
        <w:t>El proyecto es deseable desde una óptica económica o social y también desde la financiera o privada (</w:t>
      </w:r>
      <w:r w:rsidRPr="00C174D5">
        <w:rPr>
          <w:lang w:val="es-ES"/>
        </w:rPr>
        <w:fldChar w:fldCharType="begin"/>
      </w:r>
      <w:r w:rsidRPr="00C174D5">
        <w:rPr>
          <w:lang w:val="es-ES"/>
        </w:rPr>
        <w:instrText xml:space="preserve"> REF _Ref450035858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25</w:t>
      </w:r>
      <w:r w:rsidRPr="00C174D5">
        <w:rPr>
          <w:lang w:val="es-ES"/>
        </w:rPr>
        <w:fldChar w:fldCharType="end"/>
      </w:r>
      <w:r w:rsidRPr="00C174D5">
        <w:rPr>
          <w:lang w:val="es-ES"/>
        </w:rPr>
        <w:t xml:space="preserve">). </w:t>
      </w:r>
    </w:p>
    <w:p w14:paraId="50C9B5B3" w14:textId="77777777" w:rsidR="00C92C58" w:rsidRPr="00C174D5" w:rsidRDefault="00C92C58" w:rsidP="00C92C58">
      <w:pPr>
        <w:keepNext/>
        <w:keepLines/>
        <w:spacing w:after="120"/>
        <w:jc w:val="center"/>
        <w:rPr>
          <w:b/>
          <w:sz w:val="20"/>
          <w:lang w:val="es-ES"/>
        </w:rPr>
      </w:pPr>
      <w:bookmarkStart w:id="144" w:name="_Ref450035858"/>
      <w:bookmarkStart w:id="145" w:name="_Toc447546984"/>
      <w:bookmarkStart w:id="146" w:name="_Toc456353181"/>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25</w:t>
      </w:r>
      <w:r w:rsidRPr="00C174D5">
        <w:rPr>
          <w:b/>
          <w:sz w:val="20"/>
          <w:lang w:val="es-ES"/>
        </w:rPr>
        <w:fldChar w:fldCharType="end"/>
      </w:r>
      <w:bookmarkEnd w:id="144"/>
      <w:r w:rsidRPr="00C174D5">
        <w:rPr>
          <w:b/>
          <w:sz w:val="20"/>
          <w:lang w:val="es-ES"/>
        </w:rPr>
        <w:t>: Resultados evaluación financiera – SE San Benito</w:t>
      </w:r>
      <w:bookmarkEnd w:id="145"/>
      <w:bookmarkEnd w:id="146"/>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518"/>
        <w:gridCol w:w="1418"/>
        <w:gridCol w:w="1275"/>
        <w:gridCol w:w="1418"/>
        <w:gridCol w:w="1160"/>
        <w:gridCol w:w="932"/>
      </w:tblGrid>
      <w:tr w:rsidR="00C92C58" w:rsidRPr="00C174D5" w14:paraId="21D50349" w14:textId="77777777" w:rsidTr="00B15A9A">
        <w:trPr>
          <w:trHeight w:val="35"/>
          <w:jc w:val="center"/>
        </w:trPr>
        <w:tc>
          <w:tcPr>
            <w:tcW w:w="2518"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654C7D86" w14:textId="77777777" w:rsidR="00C92C58" w:rsidRPr="00C174D5" w:rsidRDefault="00C92C58" w:rsidP="00B15A9A">
            <w:pPr>
              <w:keepNext/>
              <w:keepLines/>
              <w:spacing w:after="0"/>
              <w:jc w:val="center"/>
              <w:rPr>
                <w:b/>
                <w:sz w:val="20"/>
                <w:lang w:val="es-ES"/>
              </w:rPr>
            </w:pPr>
          </w:p>
        </w:tc>
        <w:tc>
          <w:tcPr>
            <w:tcW w:w="1418"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4278744B" w14:textId="77777777" w:rsidR="00C92C58" w:rsidRPr="00C174D5" w:rsidRDefault="00C92C58" w:rsidP="00B15A9A">
            <w:pPr>
              <w:keepNext/>
              <w:keepLines/>
              <w:spacing w:after="0"/>
              <w:jc w:val="center"/>
              <w:rPr>
                <w:b/>
                <w:sz w:val="20"/>
                <w:lang w:val="es-ES"/>
              </w:rPr>
            </w:pPr>
            <w:r w:rsidRPr="00C174D5">
              <w:rPr>
                <w:b/>
                <w:bCs/>
                <w:sz w:val="20"/>
                <w:lang w:val="es-ES"/>
              </w:rPr>
              <w:t>VP Inversión fin. (US$)</w:t>
            </w:r>
          </w:p>
        </w:tc>
        <w:tc>
          <w:tcPr>
            <w:tcW w:w="1275"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22122954" w14:textId="77777777" w:rsidR="00C92C58" w:rsidRPr="00C174D5" w:rsidRDefault="00C92C58" w:rsidP="00B15A9A">
            <w:pPr>
              <w:keepNext/>
              <w:keepLines/>
              <w:spacing w:after="0"/>
              <w:jc w:val="center"/>
              <w:rPr>
                <w:b/>
                <w:sz w:val="20"/>
                <w:lang w:val="es-ES"/>
              </w:rPr>
            </w:pPr>
            <w:r w:rsidRPr="00C174D5">
              <w:rPr>
                <w:b/>
                <w:bCs/>
                <w:sz w:val="20"/>
                <w:lang w:val="es-ES"/>
              </w:rPr>
              <w:t>VP Costos fin. (US$)</w:t>
            </w:r>
          </w:p>
        </w:tc>
        <w:tc>
          <w:tcPr>
            <w:tcW w:w="1418"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2DC84B51" w14:textId="77777777" w:rsidR="00C92C58" w:rsidRPr="00C174D5" w:rsidRDefault="00C92C58" w:rsidP="00B15A9A">
            <w:pPr>
              <w:keepNext/>
              <w:keepLines/>
              <w:spacing w:after="0"/>
              <w:jc w:val="center"/>
              <w:rPr>
                <w:b/>
                <w:sz w:val="20"/>
                <w:lang w:val="es-ES"/>
              </w:rPr>
            </w:pPr>
            <w:r w:rsidRPr="00C174D5">
              <w:rPr>
                <w:b/>
                <w:bCs/>
                <w:sz w:val="20"/>
                <w:lang w:val="es-ES"/>
              </w:rPr>
              <w:t>VP Ingresos (US$)</w:t>
            </w:r>
          </w:p>
        </w:tc>
        <w:tc>
          <w:tcPr>
            <w:tcW w:w="1160"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77FE270F" w14:textId="77777777" w:rsidR="00C92C58" w:rsidRPr="00C174D5" w:rsidRDefault="00C92C58" w:rsidP="00B15A9A">
            <w:pPr>
              <w:keepNext/>
              <w:keepLines/>
              <w:spacing w:after="0"/>
              <w:jc w:val="center"/>
              <w:rPr>
                <w:b/>
                <w:sz w:val="20"/>
                <w:lang w:val="es-ES"/>
              </w:rPr>
            </w:pPr>
            <w:r w:rsidRPr="00C174D5">
              <w:rPr>
                <w:b/>
                <w:bCs/>
                <w:sz w:val="20"/>
                <w:lang w:val="es-ES"/>
              </w:rPr>
              <w:t>VPN (US$)</w:t>
            </w:r>
          </w:p>
        </w:tc>
        <w:tc>
          <w:tcPr>
            <w:tcW w:w="932"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6C2D52F9" w14:textId="77777777" w:rsidR="00C92C58" w:rsidRPr="00C174D5" w:rsidRDefault="00C92C58" w:rsidP="00B15A9A">
            <w:pPr>
              <w:keepNext/>
              <w:keepLines/>
              <w:spacing w:after="0"/>
              <w:jc w:val="center"/>
              <w:rPr>
                <w:b/>
                <w:sz w:val="20"/>
                <w:lang w:val="es-ES"/>
              </w:rPr>
            </w:pPr>
            <w:r w:rsidRPr="00C174D5">
              <w:rPr>
                <w:b/>
                <w:bCs/>
                <w:sz w:val="20"/>
                <w:lang w:val="es-ES"/>
              </w:rPr>
              <w:t>TIR</w:t>
            </w:r>
          </w:p>
        </w:tc>
      </w:tr>
      <w:tr w:rsidR="00C92C58" w:rsidRPr="008F6655" w14:paraId="69865EF3" w14:textId="77777777" w:rsidTr="00B15A9A">
        <w:trPr>
          <w:trHeight w:val="1105"/>
          <w:jc w:val="center"/>
        </w:trPr>
        <w:tc>
          <w:tcPr>
            <w:tcW w:w="2518" w:type="dxa"/>
            <w:tcBorders>
              <w:top w:val="single" w:sz="12" w:space="0" w:color="000000"/>
            </w:tcBorders>
            <w:shd w:val="clear" w:color="auto" w:fill="auto"/>
            <w:tcMar>
              <w:top w:w="15" w:type="dxa"/>
              <w:left w:w="108" w:type="dxa"/>
              <w:bottom w:w="0" w:type="dxa"/>
              <w:right w:w="108" w:type="dxa"/>
            </w:tcMar>
            <w:vAlign w:val="center"/>
            <w:hideMark/>
          </w:tcPr>
          <w:p w14:paraId="03EBBF7F" w14:textId="77777777" w:rsidR="00C92C58" w:rsidRPr="00C174D5" w:rsidRDefault="00C92C58" w:rsidP="00B15A9A">
            <w:pPr>
              <w:keepNext/>
              <w:keepLines/>
              <w:spacing w:after="0"/>
              <w:jc w:val="center"/>
              <w:rPr>
                <w:sz w:val="20"/>
                <w:lang w:val="es-ES"/>
              </w:rPr>
            </w:pPr>
            <w:r w:rsidRPr="00C174D5">
              <w:rPr>
                <w:bCs/>
                <w:sz w:val="20"/>
                <w:lang w:val="es-ES"/>
              </w:rPr>
              <w:t>Situación Con Proyecto</w:t>
            </w:r>
          </w:p>
          <w:p w14:paraId="061E128E" w14:textId="77777777" w:rsidR="00C92C58" w:rsidRPr="00C174D5" w:rsidRDefault="00C92C58" w:rsidP="00B15A9A">
            <w:pPr>
              <w:keepNext/>
              <w:keepLines/>
              <w:spacing w:after="0"/>
              <w:jc w:val="center"/>
              <w:rPr>
                <w:sz w:val="20"/>
                <w:lang w:val="es-ES"/>
              </w:rPr>
            </w:pPr>
            <w:r w:rsidRPr="00C174D5">
              <w:rPr>
                <w:bCs/>
                <w:sz w:val="20"/>
                <w:lang w:val="es-ES"/>
              </w:rPr>
              <w:t>-</w:t>
            </w:r>
          </w:p>
          <w:p w14:paraId="4ABA7387" w14:textId="77777777" w:rsidR="00C92C58" w:rsidRPr="00C174D5" w:rsidRDefault="00C92C58" w:rsidP="00B15A9A">
            <w:pPr>
              <w:keepNext/>
              <w:keepLines/>
              <w:spacing w:after="0"/>
              <w:jc w:val="center"/>
              <w:rPr>
                <w:sz w:val="20"/>
                <w:lang w:val="es-ES"/>
              </w:rPr>
            </w:pPr>
            <w:r w:rsidRPr="00C174D5">
              <w:rPr>
                <w:bCs/>
                <w:sz w:val="20"/>
                <w:lang w:val="es-ES"/>
              </w:rPr>
              <w:t>Situación sin proyecto</w:t>
            </w:r>
          </w:p>
        </w:tc>
        <w:tc>
          <w:tcPr>
            <w:tcW w:w="1418" w:type="dxa"/>
            <w:tcBorders>
              <w:top w:val="single" w:sz="12" w:space="0" w:color="000000"/>
            </w:tcBorders>
            <w:shd w:val="clear" w:color="auto" w:fill="auto"/>
            <w:tcMar>
              <w:top w:w="15" w:type="dxa"/>
              <w:left w:w="108" w:type="dxa"/>
              <w:bottom w:w="0" w:type="dxa"/>
              <w:right w:w="108" w:type="dxa"/>
            </w:tcMar>
            <w:vAlign w:val="center"/>
          </w:tcPr>
          <w:p w14:paraId="6DEEE6BE" w14:textId="77777777" w:rsidR="00C92C58" w:rsidRPr="00C174D5" w:rsidRDefault="00C92C58" w:rsidP="00B15A9A">
            <w:pPr>
              <w:keepNext/>
              <w:keepLines/>
              <w:spacing w:after="0"/>
              <w:jc w:val="center"/>
              <w:rPr>
                <w:sz w:val="20"/>
                <w:lang w:val="es-ES"/>
              </w:rPr>
            </w:pPr>
            <w:r w:rsidRPr="00C174D5">
              <w:rPr>
                <w:sz w:val="20"/>
                <w:szCs w:val="20"/>
                <w:lang w:val="es-ES"/>
              </w:rPr>
              <w:t>2.675.239</w:t>
            </w:r>
          </w:p>
        </w:tc>
        <w:tc>
          <w:tcPr>
            <w:tcW w:w="1275" w:type="dxa"/>
            <w:tcBorders>
              <w:top w:val="single" w:sz="12" w:space="0" w:color="000000"/>
            </w:tcBorders>
            <w:shd w:val="clear" w:color="auto" w:fill="auto"/>
            <w:tcMar>
              <w:top w:w="15" w:type="dxa"/>
              <w:left w:w="108" w:type="dxa"/>
              <w:bottom w:w="0" w:type="dxa"/>
              <w:right w:w="108" w:type="dxa"/>
            </w:tcMar>
            <w:vAlign w:val="center"/>
          </w:tcPr>
          <w:p w14:paraId="01170C06" w14:textId="77777777" w:rsidR="00C92C58" w:rsidRPr="00C174D5" w:rsidRDefault="00C92C58" w:rsidP="00B15A9A">
            <w:pPr>
              <w:keepNext/>
              <w:keepLines/>
              <w:spacing w:after="0"/>
              <w:jc w:val="center"/>
              <w:rPr>
                <w:sz w:val="20"/>
                <w:lang w:val="es-ES"/>
              </w:rPr>
            </w:pPr>
            <w:r w:rsidRPr="00C174D5">
              <w:rPr>
                <w:sz w:val="20"/>
                <w:lang w:val="es-ES"/>
              </w:rPr>
              <w:t>-2.009.800</w:t>
            </w:r>
          </w:p>
        </w:tc>
        <w:tc>
          <w:tcPr>
            <w:tcW w:w="1418" w:type="dxa"/>
            <w:tcBorders>
              <w:top w:val="single" w:sz="12" w:space="0" w:color="000000"/>
            </w:tcBorders>
            <w:shd w:val="clear" w:color="auto" w:fill="auto"/>
            <w:tcMar>
              <w:top w:w="15" w:type="dxa"/>
              <w:left w:w="108" w:type="dxa"/>
              <w:bottom w:w="0" w:type="dxa"/>
              <w:right w:w="108" w:type="dxa"/>
            </w:tcMar>
            <w:vAlign w:val="center"/>
          </w:tcPr>
          <w:p w14:paraId="6C35058A" w14:textId="77777777" w:rsidR="00C92C58" w:rsidRPr="00C174D5" w:rsidRDefault="00C92C58" w:rsidP="00B15A9A">
            <w:pPr>
              <w:keepNext/>
              <w:keepLines/>
              <w:spacing w:after="0"/>
              <w:jc w:val="center"/>
              <w:rPr>
                <w:sz w:val="20"/>
                <w:lang w:val="es-ES"/>
              </w:rPr>
            </w:pPr>
            <w:r w:rsidRPr="008F6655">
              <w:rPr>
                <w:sz w:val="20"/>
                <w:lang w:val="es-ES"/>
              </w:rPr>
              <w:t>1</w:t>
            </w:r>
            <w:r>
              <w:rPr>
                <w:sz w:val="20"/>
                <w:lang w:val="es-ES"/>
              </w:rPr>
              <w:t>.</w:t>
            </w:r>
            <w:r w:rsidRPr="008F6655">
              <w:rPr>
                <w:sz w:val="20"/>
                <w:lang w:val="es-ES"/>
              </w:rPr>
              <w:t>110</w:t>
            </w:r>
            <w:r>
              <w:rPr>
                <w:sz w:val="20"/>
                <w:lang w:val="es-ES"/>
              </w:rPr>
              <w:t>.</w:t>
            </w:r>
            <w:r w:rsidRPr="008F6655">
              <w:rPr>
                <w:sz w:val="20"/>
                <w:lang w:val="es-ES"/>
              </w:rPr>
              <w:t>618</w:t>
            </w:r>
          </w:p>
        </w:tc>
        <w:tc>
          <w:tcPr>
            <w:tcW w:w="1160" w:type="dxa"/>
            <w:tcBorders>
              <w:top w:val="single" w:sz="12" w:space="0" w:color="000000"/>
            </w:tcBorders>
            <w:shd w:val="clear" w:color="auto" w:fill="auto"/>
            <w:tcMar>
              <w:top w:w="15" w:type="dxa"/>
              <w:left w:w="108" w:type="dxa"/>
              <w:bottom w:w="0" w:type="dxa"/>
              <w:right w:w="108" w:type="dxa"/>
            </w:tcMar>
            <w:vAlign w:val="center"/>
          </w:tcPr>
          <w:p w14:paraId="49226449" w14:textId="77777777" w:rsidR="00C92C58" w:rsidRPr="00C174D5" w:rsidRDefault="00C92C58" w:rsidP="00B15A9A">
            <w:pPr>
              <w:keepNext/>
              <w:keepLines/>
              <w:spacing w:after="0"/>
              <w:jc w:val="center"/>
              <w:rPr>
                <w:sz w:val="20"/>
                <w:lang w:val="es-ES"/>
              </w:rPr>
            </w:pPr>
            <w:r w:rsidRPr="008F6655">
              <w:rPr>
                <w:sz w:val="20"/>
                <w:lang w:val="es-ES"/>
              </w:rPr>
              <w:t>445</w:t>
            </w:r>
            <w:r>
              <w:rPr>
                <w:sz w:val="20"/>
                <w:lang w:val="es-ES"/>
              </w:rPr>
              <w:t>.</w:t>
            </w:r>
            <w:r w:rsidRPr="008F6655">
              <w:rPr>
                <w:sz w:val="20"/>
                <w:lang w:val="es-ES"/>
              </w:rPr>
              <w:t>180</w:t>
            </w:r>
          </w:p>
        </w:tc>
        <w:tc>
          <w:tcPr>
            <w:tcW w:w="932" w:type="dxa"/>
            <w:tcBorders>
              <w:top w:val="single" w:sz="12" w:space="0" w:color="000000"/>
            </w:tcBorders>
            <w:shd w:val="clear" w:color="auto" w:fill="auto"/>
            <w:tcMar>
              <w:top w:w="15" w:type="dxa"/>
              <w:left w:w="108" w:type="dxa"/>
              <w:bottom w:w="0" w:type="dxa"/>
              <w:right w:w="108" w:type="dxa"/>
            </w:tcMar>
            <w:vAlign w:val="center"/>
            <w:hideMark/>
          </w:tcPr>
          <w:p w14:paraId="476E3224" w14:textId="77777777" w:rsidR="00C92C58" w:rsidRPr="00C174D5" w:rsidRDefault="00C92C58" w:rsidP="00B15A9A">
            <w:pPr>
              <w:keepNext/>
              <w:keepLines/>
              <w:spacing w:after="0"/>
              <w:jc w:val="center"/>
              <w:rPr>
                <w:sz w:val="20"/>
                <w:lang w:val="es-ES"/>
              </w:rPr>
            </w:pPr>
            <w:r>
              <w:rPr>
                <w:sz w:val="20"/>
                <w:lang w:val="es-ES"/>
              </w:rPr>
              <w:t>9</w:t>
            </w:r>
            <w:r w:rsidRPr="00C174D5">
              <w:rPr>
                <w:sz w:val="20"/>
                <w:lang w:val="es-ES"/>
              </w:rPr>
              <w:t>%</w:t>
            </w:r>
          </w:p>
        </w:tc>
      </w:tr>
    </w:tbl>
    <w:p w14:paraId="62F5823E" w14:textId="77777777" w:rsidR="00C92C58" w:rsidRPr="00C174D5" w:rsidRDefault="00C92C58" w:rsidP="00C92C58">
      <w:pPr>
        <w:jc w:val="center"/>
        <w:rPr>
          <w:sz w:val="18"/>
          <w:lang w:val="es-ES"/>
        </w:rPr>
      </w:pPr>
      <w:r w:rsidRPr="00C174D5">
        <w:rPr>
          <w:sz w:val="18"/>
          <w:lang w:val="es-ES"/>
        </w:rPr>
        <w:t>Fuente: Elaboración propia en base a información de ENATREL provista por el BID</w:t>
      </w:r>
    </w:p>
    <w:p w14:paraId="7F9268EC" w14:textId="77777777" w:rsidR="00C92C58" w:rsidRPr="00C174D5" w:rsidRDefault="00C92C58" w:rsidP="00C92C58">
      <w:pPr>
        <w:rPr>
          <w:lang w:val="es-ES"/>
        </w:rPr>
      </w:pPr>
      <w:r>
        <w:rPr>
          <w:lang w:val="es-ES"/>
        </w:rPr>
        <w:t>E</w:t>
      </w:r>
      <w:r w:rsidRPr="00C174D5">
        <w:rPr>
          <w:lang w:val="es-ES"/>
        </w:rPr>
        <w:t>l diferencial de costos en las situaciones “con” y “sin” proyecto es negativo, puesto que “sin” proyecto se requieren mayores tareas de operación y mantenimiento para continuar sirviendo la demanda a valores del 2017.</w:t>
      </w:r>
    </w:p>
    <w:p w14:paraId="2ED03539" w14:textId="77777777" w:rsidR="00C92C58" w:rsidRPr="00C174D5" w:rsidRDefault="00C92C58" w:rsidP="00C92C58">
      <w:pPr>
        <w:rPr>
          <w:lang w:val="es-ES"/>
        </w:rPr>
      </w:pPr>
      <w:r w:rsidRPr="00C174D5">
        <w:rPr>
          <w:lang w:val="es-ES"/>
        </w:rPr>
        <w:t>A continuación se realiza un análisis de sensibilidad sobre estos resultados.</w:t>
      </w:r>
    </w:p>
    <w:p w14:paraId="04969F8E" w14:textId="77777777" w:rsidR="00C92C58" w:rsidRPr="00C174D5" w:rsidRDefault="00C92C58" w:rsidP="00C92C58">
      <w:pPr>
        <w:pStyle w:val="Heading2"/>
        <w:rPr>
          <w:lang w:val="es-ES"/>
        </w:rPr>
      </w:pPr>
      <w:bookmarkStart w:id="147" w:name="_Toc447546948"/>
      <w:bookmarkStart w:id="148" w:name="_Toc456353132"/>
      <w:r w:rsidRPr="00C174D5">
        <w:rPr>
          <w:lang w:val="es-ES"/>
        </w:rPr>
        <w:t>SE San Benito - Sensibilidades</w:t>
      </w:r>
      <w:bookmarkEnd w:id="147"/>
      <w:bookmarkEnd w:id="148"/>
    </w:p>
    <w:p w14:paraId="2173C7E1" w14:textId="77777777" w:rsidR="00C92C58" w:rsidRPr="00C174D5" w:rsidRDefault="00C92C58" w:rsidP="00C92C58">
      <w:pPr>
        <w:rPr>
          <w:lang w:val="es-ES"/>
        </w:rPr>
      </w:pPr>
      <w:r w:rsidRPr="00C174D5">
        <w:rPr>
          <w:lang w:val="es-ES"/>
        </w:rPr>
        <w:t>Las sensibilidades efectuadas en este proyecto son, al igual que en los anteriores, en relación a la tasa de descuento, a la tasa de crecimiento promedio de la demanda, al costo de energía de falla y al valor de la inversión.</w:t>
      </w:r>
    </w:p>
    <w:p w14:paraId="71C7CC8A" w14:textId="77777777" w:rsidR="00C92C58" w:rsidRPr="00C174D5" w:rsidRDefault="00C92C58" w:rsidP="00C92C58">
      <w:pPr>
        <w:keepNext/>
        <w:keepLines/>
        <w:spacing w:after="120"/>
        <w:jc w:val="center"/>
        <w:rPr>
          <w:b/>
          <w:sz w:val="20"/>
          <w:lang w:val="es-ES"/>
        </w:rPr>
      </w:pPr>
      <w:bookmarkStart w:id="149" w:name="_Toc447546985"/>
      <w:bookmarkStart w:id="150" w:name="_Toc456353182"/>
      <w:r w:rsidRPr="00C174D5">
        <w:rPr>
          <w:b/>
          <w:sz w:val="20"/>
          <w:lang w:val="es-ES"/>
        </w:rPr>
        <w:lastRenderedPageBreak/>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26</w:t>
      </w:r>
      <w:r w:rsidRPr="00C174D5">
        <w:rPr>
          <w:b/>
          <w:sz w:val="20"/>
          <w:lang w:val="es-ES"/>
        </w:rPr>
        <w:fldChar w:fldCharType="end"/>
      </w:r>
      <w:r w:rsidRPr="00C174D5">
        <w:rPr>
          <w:b/>
          <w:sz w:val="20"/>
          <w:lang w:val="es-ES"/>
        </w:rPr>
        <w:t>: Análisis de sensibilidad evaluación económica – SE San Benito</w:t>
      </w:r>
      <w:bookmarkEnd w:id="149"/>
      <w:bookmarkEnd w:id="150"/>
    </w:p>
    <w:tbl>
      <w:tblPr>
        <w:tblW w:w="7779" w:type="dxa"/>
        <w:jc w:val="center"/>
        <w:tblInd w:w="1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30"/>
        <w:gridCol w:w="2919"/>
        <w:gridCol w:w="2217"/>
        <w:gridCol w:w="1068"/>
        <w:gridCol w:w="945"/>
      </w:tblGrid>
      <w:tr w:rsidR="00C92C58" w:rsidRPr="00C174D5" w14:paraId="204AE690" w14:textId="77777777" w:rsidTr="00B15A9A">
        <w:trPr>
          <w:trHeight w:val="300"/>
          <w:jc w:val="center"/>
        </w:trPr>
        <w:tc>
          <w:tcPr>
            <w:tcW w:w="3549" w:type="dxa"/>
            <w:gridSpan w:val="2"/>
            <w:tcBorders>
              <w:top w:val="single" w:sz="12" w:space="0" w:color="auto"/>
              <w:bottom w:val="single" w:sz="12" w:space="0" w:color="auto"/>
            </w:tcBorders>
            <w:shd w:val="clear" w:color="auto" w:fill="BFBFBF" w:themeFill="background1" w:themeFillShade="BF"/>
            <w:noWrap/>
            <w:vAlign w:val="center"/>
          </w:tcPr>
          <w:p w14:paraId="18FEC71E" w14:textId="77777777" w:rsidR="00C92C58" w:rsidRPr="00C174D5" w:rsidRDefault="00C92C58" w:rsidP="00B15A9A">
            <w:pPr>
              <w:keepNext/>
              <w:keepLines/>
              <w:spacing w:after="0" w:line="240" w:lineRule="auto"/>
              <w:jc w:val="left"/>
              <w:rPr>
                <w:rFonts w:eastAsia="Times New Roman" w:cs="Times New Roman"/>
                <w:b/>
                <w:sz w:val="20"/>
                <w:szCs w:val="20"/>
                <w:lang w:val="es-ES" w:eastAsia="es-AR"/>
              </w:rPr>
            </w:pPr>
            <w:r w:rsidRPr="00C174D5">
              <w:rPr>
                <w:b/>
                <w:sz w:val="20"/>
                <w:lang w:val="es-ES"/>
              </w:rPr>
              <w:t>SE San Benito</w:t>
            </w:r>
          </w:p>
        </w:tc>
        <w:tc>
          <w:tcPr>
            <w:tcW w:w="3285" w:type="dxa"/>
            <w:gridSpan w:val="2"/>
            <w:tcBorders>
              <w:top w:val="single" w:sz="12" w:space="0" w:color="auto"/>
              <w:bottom w:val="single" w:sz="12" w:space="0" w:color="auto"/>
            </w:tcBorders>
            <w:shd w:val="clear" w:color="auto" w:fill="BFBFBF" w:themeFill="background1" w:themeFillShade="BF"/>
            <w:vAlign w:val="center"/>
          </w:tcPr>
          <w:p w14:paraId="01297C7B" w14:textId="77777777" w:rsidR="00C92C58" w:rsidRPr="00C174D5" w:rsidRDefault="00C92C58" w:rsidP="00B15A9A">
            <w:pPr>
              <w:keepNext/>
              <w:keepLines/>
              <w:spacing w:after="0" w:line="240" w:lineRule="auto"/>
              <w:jc w:val="center"/>
              <w:rPr>
                <w:rFonts w:eastAsia="Times New Roman" w:cs="Times New Roman"/>
                <w:b/>
                <w:sz w:val="20"/>
                <w:szCs w:val="20"/>
                <w:lang w:val="es-ES" w:eastAsia="es-AR"/>
              </w:rPr>
            </w:pPr>
            <w:r w:rsidRPr="00C174D5">
              <w:rPr>
                <w:rFonts w:eastAsia="Times New Roman" w:cs="Arial"/>
                <w:b/>
                <w:sz w:val="20"/>
                <w:szCs w:val="20"/>
                <w:lang w:val="es-ES" w:eastAsia="es-AR"/>
              </w:rPr>
              <w:t>VPNE (US$)</w:t>
            </w:r>
          </w:p>
        </w:tc>
        <w:tc>
          <w:tcPr>
            <w:tcW w:w="945" w:type="dxa"/>
            <w:tcBorders>
              <w:top w:val="single" w:sz="12" w:space="0" w:color="auto"/>
              <w:bottom w:val="single" w:sz="12" w:space="0" w:color="auto"/>
            </w:tcBorders>
            <w:shd w:val="clear" w:color="auto" w:fill="BFBFBF" w:themeFill="background1" w:themeFillShade="BF"/>
            <w:vAlign w:val="center"/>
          </w:tcPr>
          <w:p w14:paraId="2F991F1A" w14:textId="77777777" w:rsidR="00C92C58" w:rsidRPr="00C174D5" w:rsidRDefault="00C92C58" w:rsidP="00B15A9A">
            <w:pPr>
              <w:keepNext/>
              <w:keepLines/>
              <w:spacing w:after="0" w:line="240" w:lineRule="auto"/>
              <w:jc w:val="center"/>
              <w:rPr>
                <w:rFonts w:eastAsia="Times New Roman" w:cs="Arial"/>
                <w:b/>
                <w:sz w:val="20"/>
                <w:szCs w:val="20"/>
                <w:lang w:val="es-ES" w:eastAsia="es-AR"/>
              </w:rPr>
            </w:pPr>
            <w:r w:rsidRPr="00C174D5">
              <w:rPr>
                <w:rFonts w:eastAsia="Times New Roman" w:cs="Arial"/>
                <w:b/>
                <w:sz w:val="20"/>
                <w:szCs w:val="20"/>
                <w:lang w:val="es-ES" w:eastAsia="es-AR"/>
              </w:rPr>
              <w:t>TIRE (%)</w:t>
            </w:r>
          </w:p>
        </w:tc>
      </w:tr>
      <w:tr w:rsidR="00C92C58" w:rsidRPr="00C174D5" w14:paraId="16E5EBF6" w14:textId="77777777" w:rsidTr="00B15A9A">
        <w:trPr>
          <w:trHeight w:val="300"/>
          <w:jc w:val="center"/>
        </w:trPr>
        <w:tc>
          <w:tcPr>
            <w:tcW w:w="3549" w:type="dxa"/>
            <w:gridSpan w:val="2"/>
            <w:tcBorders>
              <w:top w:val="single" w:sz="12" w:space="0" w:color="auto"/>
              <w:bottom w:val="single" w:sz="2" w:space="0" w:color="auto"/>
            </w:tcBorders>
            <w:shd w:val="clear" w:color="auto" w:fill="auto"/>
            <w:noWrap/>
            <w:vAlign w:val="center"/>
          </w:tcPr>
          <w:p w14:paraId="747BF78A" w14:textId="77777777" w:rsidR="00C92C58" w:rsidRPr="00C174D5" w:rsidRDefault="00C92C58" w:rsidP="00B15A9A">
            <w:pPr>
              <w:keepNext/>
              <w:keepLines/>
              <w:spacing w:after="0" w:line="240" w:lineRule="auto"/>
              <w:jc w:val="left"/>
              <w:rPr>
                <w:rFonts w:eastAsia="Times New Roman" w:cs="Times New Roman"/>
                <w:i/>
                <w:sz w:val="20"/>
                <w:szCs w:val="20"/>
                <w:lang w:val="es-ES" w:eastAsia="es-AR"/>
              </w:rPr>
            </w:pPr>
            <w:r w:rsidRPr="00C174D5">
              <w:rPr>
                <w:rFonts w:eastAsia="Times New Roman" w:cs="Times New Roman"/>
                <w:i/>
                <w:sz w:val="20"/>
                <w:szCs w:val="20"/>
                <w:lang w:val="es-ES" w:eastAsia="es-AR"/>
              </w:rPr>
              <w:t xml:space="preserve">Caso Base </w:t>
            </w:r>
          </w:p>
        </w:tc>
        <w:tc>
          <w:tcPr>
            <w:tcW w:w="3285" w:type="dxa"/>
            <w:gridSpan w:val="2"/>
            <w:tcBorders>
              <w:top w:val="single" w:sz="12" w:space="0" w:color="auto"/>
              <w:bottom w:val="single" w:sz="2" w:space="0" w:color="auto"/>
            </w:tcBorders>
            <w:vAlign w:val="center"/>
          </w:tcPr>
          <w:p w14:paraId="52D46DCB" w14:textId="77777777" w:rsidR="00C92C58" w:rsidRPr="00C174D5" w:rsidRDefault="00C92C58" w:rsidP="00B15A9A">
            <w:pPr>
              <w:keepNext/>
              <w:keepLines/>
              <w:spacing w:after="0" w:line="240" w:lineRule="auto"/>
              <w:jc w:val="center"/>
              <w:rPr>
                <w:rFonts w:eastAsia="Times New Roman" w:cs="Times New Roman"/>
                <w:i/>
                <w:sz w:val="20"/>
                <w:szCs w:val="20"/>
                <w:lang w:val="es-ES" w:eastAsia="es-AR"/>
              </w:rPr>
            </w:pPr>
            <w:r w:rsidRPr="00FF5BE6">
              <w:rPr>
                <w:rFonts w:eastAsia="Times New Roman" w:cs="Times New Roman"/>
                <w:i/>
                <w:sz w:val="20"/>
                <w:szCs w:val="20"/>
                <w:lang w:val="es-ES" w:eastAsia="es-AR"/>
              </w:rPr>
              <w:t>61</w:t>
            </w:r>
            <w:r>
              <w:rPr>
                <w:rFonts w:eastAsia="Times New Roman" w:cs="Times New Roman"/>
                <w:i/>
                <w:sz w:val="20"/>
                <w:szCs w:val="20"/>
                <w:lang w:val="es-ES" w:eastAsia="es-AR"/>
              </w:rPr>
              <w:t>.</w:t>
            </w:r>
            <w:r w:rsidRPr="00FF5BE6">
              <w:rPr>
                <w:rFonts w:eastAsia="Times New Roman" w:cs="Times New Roman"/>
                <w:i/>
                <w:sz w:val="20"/>
                <w:szCs w:val="20"/>
                <w:lang w:val="es-ES" w:eastAsia="es-AR"/>
              </w:rPr>
              <w:t>017</w:t>
            </w:r>
            <w:r>
              <w:rPr>
                <w:rFonts w:eastAsia="Times New Roman" w:cs="Times New Roman"/>
                <w:i/>
                <w:sz w:val="20"/>
                <w:szCs w:val="20"/>
                <w:lang w:val="es-ES" w:eastAsia="es-AR"/>
              </w:rPr>
              <w:t>.</w:t>
            </w:r>
            <w:r w:rsidRPr="00FF5BE6">
              <w:rPr>
                <w:rFonts w:eastAsia="Times New Roman" w:cs="Times New Roman"/>
                <w:i/>
                <w:sz w:val="20"/>
                <w:szCs w:val="20"/>
                <w:lang w:val="es-ES" w:eastAsia="es-AR"/>
              </w:rPr>
              <w:t>456</w:t>
            </w:r>
          </w:p>
        </w:tc>
        <w:tc>
          <w:tcPr>
            <w:tcW w:w="945" w:type="dxa"/>
            <w:tcBorders>
              <w:top w:val="single" w:sz="12" w:space="0" w:color="auto"/>
              <w:bottom w:val="single" w:sz="2" w:space="0" w:color="auto"/>
            </w:tcBorders>
            <w:vAlign w:val="center"/>
          </w:tcPr>
          <w:p w14:paraId="3A84E22F" w14:textId="77777777" w:rsidR="00C92C58" w:rsidRPr="00C174D5" w:rsidRDefault="00C92C58" w:rsidP="00B15A9A">
            <w:pPr>
              <w:keepNext/>
              <w:keepLines/>
              <w:spacing w:after="0" w:line="240" w:lineRule="auto"/>
              <w:jc w:val="center"/>
              <w:rPr>
                <w:rFonts w:eastAsia="Times New Roman" w:cs="Times New Roman"/>
                <w:i/>
                <w:sz w:val="20"/>
                <w:szCs w:val="20"/>
                <w:lang w:val="es-ES" w:eastAsia="es-AR"/>
              </w:rPr>
            </w:pPr>
            <w:r>
              <w:rPr>
                <w:rFonts w:eastAsia="Times New Roman" w:cs="Times New Roman"/>
                <w:i/>
                <w:sz w:val="20"/>
                <w:szCs w:val="20"/>
                <w:lang w:val="es-ES" w:eastAsia="es-AR"/>
              </w:rPr>
              <w:t>49</w:t>
            </w:r>
            <w:r w:rsidRPr="00C174D5">
              <w:rPr>
                <w:rFonts w:eastAsia="Times New Roman" w:cs="Times New Roman"/>
                <w:i/>
                <w:sz w:val="20"/>
                <w:szCs w:val="20"/>
                <w:lang w:val="es-ES" w:eastAsia="es-AR"/>
              </w:rPr>
              <w:t>%</w:t>
            </w:r>
          </w:p>
        </w:tc>
      </w:tr>
      <w:tr w:rsidR="00C92C58" w:rsidRPr="00C174D5" w14:paraId="1778AC50" w14:textId="77777777" w:rsidTr="00B15A9A">
        <w:trPr>
          <w:trHeight w:val="300"/>
          <w:jc w:val="center"/>
        </w:trPr>
        <w:tc>
          <w:tcPr>
            <w:tcW w:w="3549" w:type="dxa"/>
            <w:gridSpan w:val="2"/>
            <w:tcBorders>
              <w:top w:val="single" w:sz="2" w:space="0" w:color="auto"/>
            </w:tcBorders>
            <w:shd w:val="clear" w:color="auto" w:fill="auto"/>
            <w:noWrap/>
            <w:vAlign w:val="center"/>
          </w:tcPr>
          <w:p w14:paraId="0D99E967"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Tasa social de descuento (base 12%): 8%</w:t>
            </w:r>
          </w:p>
        </w:tc>
        <w:tc>
          <w:tcPr>
            <w:tcW w:w="2217" w:type="dxa"/>
            <w:tcBorders>
              <w:top w:val="single" w:sz="2" w:space="0" w:color="auto"/>
            </w:tcBorders>
            <w:vAlign w:val="center"/>
          </w:tcPr>
          <w:p w14:paraId="649BCE43"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FF5BE6">
              <w:rPr>
                <w:rFonts w:eastAsia="Times New Roman" w:cs="Times New Roman"/>
                <w:sz w:val="20"/>
                <w:szCs w:val="20"/>
                <w:lang w:val="es-ES" w:eastAsia="es-AR"/>
              </w:rPr>
              <w:t>106</w:t>
            </w:r>
            <w:r>
              <w:rPr>
                <w:rFonts w:eastAsia="Times New Roman" w:cs="Times New Roman"/>
                <w:sz w:val="20"/>
                <w:szCs w:val="20"/>
                <w:lang w:val="es-ES" w:eastAsia="es-AR"/>
              </w:rPr>
              <w:t>.</w:t>
            </w:r>
            <w:r w:rsidRPr="00FF5BE6">
              <w:rPr>
                <w:rFonts w:eastAsia="Times New Roman" w:cs="Times New Roman"/>
                <w:sz w:val="20"/>
                <w:szCs w:val="20"/>
                <w:lang w:val="es-ES" w:eastAsia="es-AR"/>
              </w:rPr>
              <w:t>067</w:t>
            </w:r>
            <w:r>
              <w:rPr>
                <w:rFonts w:eastAsia="Times New Roman" w:cs="Times New Roman"/>
                <w:sz w:val="20"/>
                <w:szCs w:val="20"/>
                <w:lang w:val="es-ES" w:eastAsia="es-AR"/>
              </w:rPr>
              <w:t>.</w:t>
            </w:r>
            <w:r w:rsidRPr="00FF5BE6">
              <w:rPr>
                <w:rFonts w:eastAsia="Times New Roman" w:cs="Times New Roman"/>
                <w:sz w:val="20"/>
                <w:szCs w:val="20"/>
                <w:lang w:val="es-ES" w:eastAsia="es-AR"/>
              </w:rPr>
              <w:t>997</w:t>
            </w:r>
          </w:p>
        </w:tc>
        <w:tc>
          <w:tcPr>
            <w:tcW w:w="1068" w:type="dxa"/>
            <w:tcBorders>
              <w:top w:val="single" w:sz="2" w:space="0" w:color="auto"/>
            </w:tcBorders>
            <w:vAlign w:val="center"/>
          </w:tcPr>
          <w:p w14:paraId="4844C2DF"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w:t>
            </w:r>
            <w:r>
              <w:rPr>
                <w:rFonts w:eastAsia="Times New Roman" w:cs="Times New Roman"/>
                <w:sz w:val="20"/>
                <w:szCs w:val="20"/>
                <w:lang w:val="es-ES" w:eastAsia="es-AR"/>
              </w:rPr>
              <w:t>73</w:t>
            </w:r>
            <w:r w:rsidRPr="00C174D5">
              <w:rPr>
                <w:rFonts w:eastAsia="Times New Roman" w:cs="Times New Roman"/>
                <w:sz w:val="20"/>
                <w:szCs w:val="20"/>
                <w:lang w:val="es-ES" w:eastAsia="es-AR"/>
              </w:rPr>
              <w:t>,</w:t>
            </w:r>
            <w:r>
              <w:rPr>
                <w:rFonts w:eastAsia="Times New Roman" w:cs="Times New Roman"/>
                <w:sz w:val="20"/>
                <w:szCs w:val="20"/>
                <w:lang w:val="es-ES" w:eastAsia="es-AR"/>
              </w:rPr>
              <w:t>8</w:t>
            </w:r>
            <w:r w:rsidRPr="00C174D5">
              <w:rPr>
                <w:rFonts w:eastAsia="Times New Roman" w:cs="Times New Roman"/>
                <w:sz w:val="20"/>
                <w:szCs w:val="20"/>
                <w:lang w:val="es-ES" w:eastAsia="es-AR"/>
              </w:rPr>
              <w:t>%</w:t>
            </w:r>
          </w:p>
        </w:tc>
        <w:tc>
          <w:tcPr>
            <w:tcW w:w="945" w:type="dxa"/>
            <w:tcBorders>
              <w:top w:val="single" w:sz="2" w:space="0" w:color="auto"/>
            </w:tcBorders>
            <w:vAlign w:val="center"/>
          </w:tcPr>
          <w:p w14:paraId="10F4B962"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49</w:t>
            </w:r>
            <w:r w:rsidRPr="00C174D5">
              <w:rPr>
                <w:rFonts w:eastAsia="Times New Roman" w:cs="Times New Roman"/>
                <w:sz w:val="20"/>
                <w:szCs w:val="20"/>
                <w:lang w:val="es-ES" w:eastAsia="es-AR"/>
              </w:rPr>
              <w:t>%</w:t>
            </w:r>
          </w:p>
        </w:tc>
      </w:tr>
      <w:tr w:rsidR="00C92C58" w:rsidRPr="00E67BF2" w14:paraId="74FA670E" w14:textId="77777777" w:rsidTr="00B15A9A">
        <w:trPr>
          <w:trHeight w:val="300"/>
          <w:jc w:val="center"/>
        </w:trPr>
        <w:tc>
          <w:tcPr>
            <w:tcW w:w="7779" w:type="dxa"/>
            <w:gridSpan w:val="5"/>
            <w:tcBorders>
              <w:top w:val="single" w:sz="2" w:space="0" w:color="auto"/>
            </w:tcBorders>
            <w:shd w:val="clear" w:color="auto" w:fill="auto"/>
            <w:noWrap/>
            <w:vAlign w:val="center"/>
          </w:tcPr>
          <w:p w14:paraId="0B772606"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 xml:space="preserve">Tasa de crecimiento promedio de la demanda existente (base </w:t>
            </w:r>
            <w:r>
              <w:rPr>
                <w:rFonts w:eastAsia="Times New Roman" w:cs="Times New Roman"/>
                <w:sz w:val="20"/>
                <w:szCs w:val="20"/>
                <w:lang w:val="es-ES" w:eastAsia="es-AR"/>
              </w:rPr>
              <w:t>3</w:t>
            </w:r>
            <w:r w:rsidRPr="00C174D5">
              <w:rPr>
                <w:rFonts w:eastAsia="Times New Roman" w:cs="Times New Roman"/>
                <w:sz w:val="20"/>
                <w:szCs w:val="20"/>
                <w:lang w:val="es-ES" w:eastAsia="es-AR"/>
              </w:rPr>
              <w:t>,</w:t>
            </w:r>
            <w:r>
              <w:rPr>
                <w:rFonts w:eastAsia="Times New Roman" w:cs="Times New Roman"/>
                <w:sz w:val="20"/>
                <w:szCs w:val="20"/>
                <w:lang w:val="es-ES" w:eastAsia="es-AR"/>
              </w:rPr>
              <w:t>6</w:t>
            </w:r>
            <w:r w:rsidRPr="00C174D5">
              <w:rPr>
                <w:rFonts w:eastAsia="Times New Roman" w:cs="Times New Roman"/>
                <w:sz w:val="20"/>
                <w:szCs w:val="20"/>
                <w:lang w:val="es-ES" w:eastAsia="es-AR"/>
              </w:rPr>
              <w:t>%)</w:t>
            </w:r>
          </w:p>
        </w:tc>
      </w:tr>
      <w:tr w:rsidR="00C92C58" w:rsidRPr="00C174D5" w14:paraId="6E248649" w14:textId="77777777" w:rsidTr="00B15A9A">
        <w:trPr>
          <w:trHeight w:val="300"/>
          <w:jc w:val="center"/>
        </w:trPr>
        <w:tc>
          <w:tcPr>
            <w:tcW w:w="630" w:type="dxa"/>
            <w:tcBorders>
              <w:top w:val="single" w:sz="2" w:space="0" w:color="auto"/>
            </w:tcBorders>
            <w:shd w:val="clear" w:color="auto" w:fill="auto"/>
            <w:noWrap/>
            <w:vAlign w:val="center"/>
          </w:tcPr>
          <w:p w14:paraId="45506ABD"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919" w:type="dxa"/>
            <w:tcBorders>
              <w:top w:val="single" w:sz="2" w:space="0" w:color="auto"/>
            </w:tcBorders>
            <w:shd w:val="clear" w:color="auto" w:fill="auto"/>
            <w:vAlign w:val="center"/>
          </w:tcPr>
          <w:p w14:paraId="391BA8A8"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3,</w:t>
            </w:r>
            <w:r>
              <w:rPr>
                <w:rFonts w:eastAsia="Times New Roman" w:cs="Times New Roman"/>
                <w:sz w:val="20"/>
                <w:szCs w:val="20"/>
                <w:lang w:val="es-ES" w:eastAsia="es-AR"/>
              </w:rPr>
              <w:t>06</w:t>
            </w:r>
            <w:r w:rsidRPr="00C174D5">
              <w:rPr>
                <w:rFonts w:eastAsia="Times New Roman" w:cs="Times New Roman"/>
                <w:sz w:val="20"/>
                <w:szCs w:val="20"/>
                <w:lang w:val="es-ES" w:eastAsia="es-AR"/>
              </w:rPr>
              <w:t>%</w:t>
            </w:r>
            <w:r>
              <w:rPr>
                <w:rFonts w:eastAsia="Times New Roman" w:cs="Times New Roman"/>
                <w:sz w:val="20"/>
                <w:szCs w:val="20"/>
                <w:lang w:val="es-ES" w:eastAsia="es-AR"/>
              </w:rPr>
              <w:t xml:space="preserve"> (- 15%)</w:t>
            </w:r>
          </w:p>
        </w:tc>
        <w:tc>
          <w:tcPr>
            <w:tcW w:w="2217" w:type="dxa"/>
            <w:tcBorders>
              <w:top w:val="single" w:sz="2" w:space="0" w:color="auto"/>
            </w:tcBorders>
            <w:vAlign w:val="center"/>
          </w:tcPr>
          <w:p w14:paraId="75220042"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FF5BE6">
              <w:rPr>
                <w:rFonts w:eastAsia="Times New Roman" w:cs="Times New Roman"/>
                <w:sz w:val="20"/>
                <w:szCs w:val="20"/>
                <w:lang w:val="es-ES" w:eastAsia="es-AR"/>
              </w:rPr>
              <w:t>48</w:t>
            </w:r>
            <w:r>
              <w:rPr>
                <w:rFonts w:eastAsia="Times New Roman" w:cs="Times New Roman"/>
                <w:sz w:val="20"/>
                <w:szCs w:val="20"/>
                <w:lang w:val="es-ES" w:eastAsia="es-AR"/>
              </w:rPr>
              <w:t>.</w:t>
            </w:r>
            <w:r w:rsidRPr="00FF5BE6">
              <w:rPr>
                <w:rFonts w:eastAsia="Times New Roman" w:cs="Times New Roman"/>
                <w:sz w:val="20"/>
                <w:szCs w:val="20"/>
                <w:lang w:val="es-ES" w:eastAsia="es-AR"/>
              </w:rPr>
              <w:t>988</w:t>
            </w:r>
            <w:r>
              <w:rPr>
                <w:rFonts w:eastAsia="Times New Roman" w:cs="Times New Roman"/>
                <w:sz w:val="20"/>
                <w:szCs w:val="20"/>
                <w:lang w:val="es-ES" w:eastAsia="es-AR"/>
              </w:rPr>
              <w:t>.</w:t>
            </w:r>
            <w:r w:rsidRPr="00FF5BE6">
              <w:rPr>
                <w:rFonts w:eastAsia="Times New Roman" w:cs="Times New Roman"/>
                <w:sz w:val="20"/>
                <w:szCs w:val="20"/>
                <w:lang w:val="es-ES" w:eastAsia="es-AR"/>
              </w:rPr>
              <w:t>507</w:t>
            </w:r>
          </w:p>
        </w:tc>
        <w:tc>
          <w:tcPr>
            <w:tcW w:w="1068" w:type="dxa"/>
            <w:tcBorders>
              <w:top w:val="single" w:sz="2" w:space="0" w:color="auto"/>
            </w:tcBorders>
            <w:vAlign w:val="center"/>
          </w:tcPr>
          <w:p w14:paraId="3470CBE7"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w:t>
            </w:r>
            <w:r>
              <w:rPr>
                <w:rFonts w:eastAsia="Times New Roman" w:cs="Times New Roman"/>
                <w:sz w:val="20"/>
                <w:szCs w:val="20"/>
                <w:lang w:val="es-ES" w:eastAsia="es-AR"/>
              </w:rPr>
              <w:t>9</w:t>
            </w:r>
            <w:r w:rsidRPr="00C174D5">
              <w:rPr>
                <w:rFonts w:eastAsia="Times New Roman" w:cs="Times New Roman"/>
                <w:sz w:val="20"/>
                <w:szCs w:val="20"/>
                <w:lang w:val="es-ES" w:eastAsia="es-AR"/>
              </w:rPr>
              <w:t>,</w:t>
            </w:r>
            <w:r>
              <w:rPr>
                <w:rFonts w:eastAsia="Times New Roman" w:cs="Times New Roman"/>
                <w:sz w:val="20"/>
                <w:szCs w:val="20"/>
                <w:lang w:val="es-ES" w:eastAsia="es-AR"/>
              </w:rPr>
              <w:t>7</w:t>
            </w:r>
            <w:r w:rsidRPr="00C174D5">
              <w:rPr>
                <w:rFonts w:eastAsia="Times New Roman" w:cs="Times New Roman"/>
                <w:sz w:val="20"/>
                <w:szCs w:val="20"/>
                <w:lang w:val="es-ES" w:eastAsia="es-AR"/>
              </w:rPr>
              <w:t>%</w:t>
            </w:r>
          </w:p>
        </w:tc>
        <w:tc>
          <w:tcPr>
            <w:tcW w:w="945" w:type="dxa"/>
            <w:tcBorders>
              <w:top w:val="single" w:sz="2" w:space="0" w:color="auto"/>
            </w:tcBorders>
            <w:vAlign w:val="center"/>
          </w:tcPr>
          <w:p w14:paraId="664B345B"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46</w:t>
            </w:r>
            <w:r w:rsidRPr="00C174D5">
              <w:rPr>
                <w:rFonts w:eastAsia="Times New Roman" w:cs="Times New Roman"/>
                <w:sz w:val="20"/>
                <w:szCs w:val="20"/>
                <w:lang w:val="es-ES" w:eastAsia="es-AR"/>
              </w:rPr>
              <w:t>%</w:t>
            </w:r>
          </w:p>
        </w:tc>
      </w:tr>
      <w:tr w:rsidR="00C92C58" w:rsidRPr="00C174D5" w14:paraId="0BAFA306" w14:textId="77777777" w:rsidTr="00B15A9A">
        <w:trPr>
          <w:trHeight w:val="300"/>
          <w:jc w:val="center"/>
        </w:trPr>
        <w:tc>
          <w:tcPr>
            <w:tcW w:w="630" w:type="dxa"/>
            <w:tcBorders>
              <w:top w:val="single" w:sz="2" w:space="0" w:color="auto"/>
            </w:tcBorders>
            <w:shd w:val="clear" w:color="auto" w:fill="auto"/>
            <w:noWrap/>
            <w:vAlign w:val="center"/>
          </w:tcPr>
          <w:p w14:paraId="0A4088B2"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919" w:type="dxa"/>
            <w:tcBorders>
              <w:top w:val="single" w:sz="2" w:space="0" w:color="auto"/>
            </w:tcBorders>
            <w:shd w:val="clear" w:color="auto" w:fill="auto"/>
            <w:vAlign w:val="center"/>
          </w:tcPr>
          <w:p w14:paraId="68C8D6F9"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Pr>
                <w:rFonts w:eastAsia="Times New Roman" w:cs="Times New Roman"/>
                <w:sz w:val="20"/>
                <w:szCs w:val="20"/>
                <w:lang w:val="es-ES" w:eastAsia="es-AR"/>
              </w:rPr>
              <w:t>2</w:t>
            </w:r>
            <w:r w:rsidRPr="00C174D5">
              <w:rPr>
                <w:rFonts w:eastAsia="Times New Roman" w:cs="Times New Roman"/>
                <w:sz w:val="20"/>
                <w:szCs w:val="20"/>
                <w:lang w:val="es-ES" w:eastAsia="es-AR"/>
              </w:rPr>
              <w:t>,</w:t>
            </w:r>
            <w:r>
              <w:rPr>
                <w:rFonts w:eastAsia="Times New Roman" w:cs="Times New Roman"/>
                <w:sz w:val="20"/>
                <w:szCs w:val="20"/>
                <w:lang w:val="es-ES" w:eastAsia="es-AR"/>
              </w:rPr>
              <w:t>5</w:t>
            </w:r>
            <w:r w:rsidRPr="00C174D5">
              <w:rPr>
                <w:rFonts w:eastAsia="Times New Roman" w:cs="Times New Roman"/>
                <w:sz w:val="20"/>
                <w:szCs w:val="20"/>
                <w:lang w:val="es-ES" w:eastAsia="es-AR"/>
              </w:rPr>
              <w:t>2%</w:t>
            </w:r>
            <w:r>
              <w:rPr>
                <w:rFonts w:eastAsia="Times New Roman" w:cs="Times New Roman"/>
                <w:sz w:val="20"/>
                <w:szCs w:val="20"/>
                <w:lang w:val="es-ES" w:eastAsia="es-AR"/>
              </w:rPr>
              <w:t xml:space="preserve"> (- 30%)</w:t>
            </w:r>
          </w:p>
        </w:tc>
        <w:tc>
          <w:tcPr>
            <w:tcW w:w="2217" w:type="dxa"/>
            <w:tcBorders>
              <w:top w:val="single" w:sz="2" w:space="0" w:color="auto"/>
            </w:tcBorders>
            <w:vAlign w:val="center"/>
          </w:tcPr>
          <w:p w14:paraId="7BEC0524"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FF5BE6">
              <w:rPr>
                <w:rFonts w:eastAsia="Times New Roman" w:cs="Times New Roman"/>
                <w:sz w:val="20"/>
                <w:szCs w:val="20"/>
                <w:lang w:val="es-ES" w:eastAsia="es-AR"/>
              </w:rPr>
              <w:t>38</w:t>
            </w:r>
            <w:r>
              <w:rPr>
                <w:rFonts w:eastAsia="Times New Roman" w:cs="Times New Roman"/>
                <w:sz w:val="20"/>
                <w:szCs w:val="20"/>
                <w:lang w:val="es-ES" w:eastAsia="es-AR"/>
              </w:rPr>
              <w:t>.</w:t>
            </w:r>
            <w:r w:rsidRPr="00FF5BE6">
              <w:rPr>
                <w:rFonts w:eastAsia="Times New Roman" w:cs="Times New Roman"/>
                <w:sz w:val="20"/>
                <w:szCs w:val="20"/>
                <w:lang w:val="es-ES" w:eastAsia="es-AR"/>
              </w:rPr>
              <w:t>031</w:t>
            </w:r>
            <w:r>
              <w:rPr>
                <w:rFonts w:eastAsia="Times New Roman" w:cs="Times New Roman"/>
                <w:sz w:val="20"/>
                <w:szCs w:val="20"/>
                <w:lang w:val="es-ES" w:eastAsia="es-AR"/>
              </w:rPr>
              <w:t>.</w:t>
            </w:r>
            <w:r w:rsidRPr="00FF5BE6">
              <w:rPr>
                <w:rFonts w:eastAsia="Times New Roman" w:cs="Times New Roman"/>
                <w:sz w:val="20"/>
                <w:szCs w:val="20"/>
                <w:lang w:val="es-ES" w:eastAsia="es-AR"/>
              </w:rPr>
              <w:t>015</w:t>
            </w:r>
          </w:p>
        </w:tc>
        <w:tc>
          <w:tcPr>
            <w:tcW w:w="1068" w:type="dxa"/>
            <w:tcBorders>
              <w:top w:val="single" w:sz="2" w:space="0" w:color="auto"/>
            </w:tcBorders>
            <w:vAlign w:val="center"/>
          </w:tcPr>
          <w:p w14:paraId="288E2B7E"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-3</w:t>
            </w:r>
            <w:r>
              <w:rPr>
                <w:rFonts w:eastAsia="Times New Roman" w:cs="Times New Roman"/>
                <w:sz w:val="20"/>
                <w:szCs w:val="20"/>
                <w:lang w:val="es-ES" w:eastAsia="es-AR"/>
              </w:rPr>
              <w:t>7</w:t>
            </w:r>
            <w:r w:rsidRPr="00C174D5">
              <w:rPr>
                <w:rFonts w:eastAsia="Times New Roman" w:cs="Times New Roman"/>
                <w:sz w:val="20"/>
                <w:szCs w:val="20"/>
                <w:lang w:val="es-ES" w:eastAsia="es-AR"/>
              </w:rPr>
              <w:t>,</w:t>
            </w:r>
            <w:r>
              <w:rPr>
                <w:rFonts w:eastAsia="Times New Roman" w:cs="Times New Roman"/>
                <w:sz w:val="20"/>
                <w:szCs w:val="20"/>
                <w:lang w:val="es-ES" w:eastAsia="es-AR"/>
              </w:rPr>
              <w:t>7</w:t>
            </w:r>
            <w:r w:rsidRPr="00C174D5">
              <w:rPr>
                <w:rFonts w:eastAsia="Times New Roman" w:cs="Times New Roman"/>
                <w:sz w:val="20"/>
                <w:szCs w:val="20"/>
                <w:lang w:val="es-ES" w:eastAsia="es-AR"/>
              </w:rPr>
              <w:t>%</w:t>
            </w:r>
          </w:p>
        </w:tc>
        <w:tc>
          <w:tcPr>
            <w:tcW w:w="945" w:type="dxa"/>
            <w:tcBorders>
              <w:top w:val="single" w:sz="2" w:space="0" w:color="auto"/>
            </w:tcBorders>
            <w:vAlign w:val="center"/>
          </w:tcPr>
          <w:p w14:paraId="71274C86"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43</w:t>
            </w:r>
            <w:r w:rsidRPr="00C174D5">
              <w:rPr>
                <w:rFonts w:eastAsia="Times New Roman" w:cs="Times New Roman"/>
                <w:sz w:val="20"/>
                <w:szCs w:val="20"/>
                <w:lang w:val="es-ES" w:eastAsia="es-AR"/>
              </w:rPr>
              <w:t>%</w:t>
            </w:r>
          </w:p>
        </w:tc>
      </w:tr>
      <w:tr w:rsidR="00C92C58" w:rsidRPr="00E67BF2" w14:paraId="6A18C28B" w14:textId="77777777" w:rsidTr="00B15A9A">
        <w:trPr>
          <w:trHeight w:val="300"/>
          <w:jc w:val="center"/>
        </w:trPr>
        <w:tc>
          <w:tcPr>
            <w:tcW w:w="7779" w:type="dxa"/>
            <w:gridSpan w:val="5"/>
            <w:tcBorders>
              <w:top w:val="single" w:sz="2" w:space="0" w:color="auto"/>
              <w:bottom w:val="single" w:sz="2" w:space="0" w:color="auto"/>
            </w:tcBorders>
            <w:shd w:val="clear" w:color="auto" w:fill="auto"/>
            <w:noWrap/>
            <w:vAlign w:val="center"/>
          </w:tcPr>
          <w:p w14:paraId="6C0DD7B2"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Costo de falla (base 1.500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w:t>
            </w:r>
          </w:p>
        </w:tc>
      </w:tr>
      <w:tr w:rsidR="00C92C58" w:rsidRPr="00C174D5" w14:paraId="4637A1F5" w14:textId="77777777" w:rsidTr="00B15A9A">
        <w:trPr>
          <w:trHeight w:val="300"/>
          <w:jc w:val="center"/>
        </w:trPr>
        <w:tc>
          <w:tcPr>
            <w:tcW w:w="630" w:type="dxa"/>
            <w:tcBorders>
              <w:top w:val="single" w:sz="2" w:space="0" w:color="auto"/>
            </w:tcBorders>
            <w:shd w:val="clear" w:color="auto" w:fill="auto"/>
            <w:noWrap/>
            <w:vAlign w:val="center"/>
          </w:tcPr>
          <w:p w14:paraId="52EC4A80"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919" w:type="dxa"/>
            <w:tcBorders>
              <w:top w:val="single" w:sz="2" w:space="0" w:color="auto"/>
            </w:tcBorders>
            <w:shd w:val="clear" w:color="auto" w:fill="auto"/>
            <w:vAlign w:val="center"/>
          </w:tcPr>
          <w:p w14:paraId="4DF301F1"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1.725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xml:space="preserve"> (+ 15%)</w:t>
            </w:r>
          </w:p>
        </w:tc>
        <w:tc>
          <w:tcPr>
            <w:tcW w:w="2217" w:type="dxa"/>
            <w:tcBorders>
              <w:top w:val="single" w:sz="2" w:space="0" w:color="auto"/>
            </w:tcBorders>
            <w:vAlign w:val="center"/>
          </w:tcPr>
          <w:p w14:paraId="7E9E5489"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FF5BE6">
              <w:rPr>
                <w:rFonts w:eastAsia="Times New Roman" w:cs="Times New Roman"/>
                <w:sz w:val="20"/>
                <w:szCs w:val="20"/>
                <w:lang w:val="es-ES" w:eastAsia="es-AR"/>
              </w:rPr>
              <w:t>71</w:t>
            </w:r>
            <w:r>
              <w:rPr>
                <w:rFonts w:eastAsia="Times New Roman" w:cs="Times New Roman"/>
                <w:sz w:val="20"/>
                <w:szCs w:val="20"/>
                <w:lang w:val="es-ES" w:eastAsia="es-AR"/>
              </w:rPr>
              <w:t>.890.</w:t>
            </w:r>
            <w:r w:rsidRPr="00FF5BE6">
              <w:rPr>
                <w:rFonts w:eastAsia="Times New Roman" w:cs="Times New Roman"/>
                <w:sz w:val="20"/>
                <w:szCs w:val="20"/>
                <w:lang w:val="es-ES" w:eastAsia="es-AR"/>
              </w:rPr>
              <w:t>608</w:t>
            </w:r>
          </w:p>
        </w:tc>
        <w:tc>
          <w:tcPr>
            <w:tcW w:w="1068" w:type="dxa"/>
            <w:tcBorders>
              <w:top w:val="single" w:sz="2" w:space="0" w:color="auto"/>
            </w:tcBorders>
            <w:vAlign w:val="center"/>
          </w:tcPr>
          <w:p w14:paraId="1B1E11BE"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+17,</w:t>
            </w:r>
            <w:r>
              <w:rPr>
                <w:rFonts w:eastAsia="Times New Roman" w:cs="Times New Roman"/>
                <w:sz w:val="20"/>
                <w:szCs w:val="20"/>
                <w:lang w:val="es-ES" w:eastAsia="es-AR"/>
              </w:rPr>
              <w:t>8</w:t>
            </w:r>
            <w:r w:rsidRPr="00C174D5">
              <w:rPr>
                <w:rFonts w:eastAsia="Times New Roman" w:cs="Times New Roman"/>
                <w:sz w:val="20"/>
                <w:szCs w:val="20"/>
                <w:lang w:val="es-ES" w:eastAsia="es-AR"/>
              </w:rPr>
              <w:t>%</w:t>
            </w:r>
          </w:p>
        </w:tc>
        <w:tc>
          <w:tcPr>
            <w:tcW w:w="945" w:type="dxa"/>
            <w:tcBorders>
              <w:top w:val="single" w:sz="2" w:space="0" w:color="auto"/>
            </w:tcBorders>
            <w:vAlign w:val="center"/>
          </w:tcPr>
          <w:p w14:paraId="6B9B772B"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51</w:t>
            </w:r>
            <w:r w:rsidRPr="00C174D5">
              <w:rPr>
                <w:rFonts w:eastAsia="Times New Roman" w:cs="Times New Roman"/>
                <w:sz w:val="20"/>
                <w:szCs w:val="20"/>
                <w:lang w:val="es-ES" w:eastAsia="es-AR"/>
              </w:rPr>
              <w:t>%</w:t>
            </w:r>
          </w:p>
        </w:tc>
      </w:tr>
      <w:tr w:rsidR="00C92C58" w:rsidRPr="00C174D5" w14:paraId="7A8C8274" w14:textId="77777777" w:rsidTr="00B15A9A">
        <w:trPr>
          <w:trHeight w:val="300"/>
          <w:jc w:val="center"/>
        </w:trPr>
        <w:tc>
          <w:tcPr>
            <w:tcW w:w="630" w:type="dxa"/>
            <w:tcBorders>
              <w:top w:val="single" w:sz="2" w:space="0" w:color="auto"/>
              <w:bottom w:val="single" w:sz="2" w:space="0" w:color="auto"/>
            </w:tcBorders>
            <w:shd w:val="clear" w:color="auto" w:fill="auto"/>
            <w:noWrap/>
            <w:vAlign w:val="center"/>
          </w:tcPr>
          <w:p w14:paraId="5F4D1F13"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919" w:type="dxa"/>
            <w:tcBorders>
              <w:top w:val="single" w:sz="2" w:space="0" w:color="auto"/>
              <w:bottom w:val="single" w:sz="2" w:space="0" w:color="auto"/>
            </w:tcBorders>
            <w:shd w:val="clear" w:color="auto" w:fill="auto"/>
            <w:vAlign w:val="center"/>
          </w:tcPr>
          <w:p w14:paraId="2CAE0B66"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1.275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xml:space="preserve"> (- 15%)</w:t>
            </w:r>
          </w:p>
        </w:tc>
        <w:tc>
          <w:tcPr>
            <w:tcW w:w="2217" w:type="dxa"/>
            <w:tcBorders>
              <w:top w:val="single" w:sz="2" w:space="0" w:color="auto"/>
              <w:bottom w:val="single" w:sz="2" w:space="0" w:color="auto"/>
            </w:tcBorders>
            <w:vAlign w:val="center"/>
          </w:tcPr>
          <w:p w14:paraId="2BF80652"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FF5BE6">
              <w:rPr>
                <w:rFonts w:eastAsia="Times New Roman" w:cs="Times New Roman"/>
                <w:sz w:val="20"/>
                <w:szCs w:val="20"/>
                <w:lang w:val="es-ES" w:eastAsia="es-AR"/>
              </w:rPr>
              <w:t>50</w:t>
            </w:r>
            <w:r>
              <w:rPr>
                <w:rFonts w:eastAsia="Times New Roman" w:cs="Times New Roman"/>
                <w:sz w:val="20"/>
                <w:szCs w:val="20"/>
                <w:lang w:val="es-ES" w:eastAsia="es-AR"/>
              </w:rPr>
              <w:t>.</w:t>
            </w:r>
            <w:r w:rsidRPr="00FF5BE6">
              <w:rPr>
                <w:rFonts w:eastAsia="Times New Roman" w:cs="Times New Roman"/>
                <w:sz w:val="20"/>
                <w:szCs w:val="20"/>
                <w:lang w:val="es-ES" w:eastAsia="es-AR"/>
              </w:rPr>
              <w:t>144</w:t>
            </w:r>
            <w:r>
              <w:rPr>
                <w:rFonts w:eastAsia="Times New Roman" w:cs="Times New Roman"/>
                <w:sz w:val="20"/>
                <w:szCs w:val="20"/>
                <w:lang w:val="es-ES" w:eastAsia="es-AR"/>
              </w:rPr>
              <w:t>.</w:t>
            </w:r>
            <w:r w:rsidRPr="00FF5BE6">
              <w:rPr>
                <w:rFonts w:eastAsia="Times New Roman" w:cs="Times New Roman"/>
                <w:sz w:val="20"/>
                <w:szCs w:val="20"/>
                <w:lang w:val="es-ES" w:eastAsia="es-AR"/>
              </w:rPr>
              <w:t>305</w:t>
            </w:r>
          </w:p>
        </w:tc>
        <w:tc>
          <w:tcPr>
            <w:tcW w:w="1068" w:type="dxa"/>
            <w:tcBorders>
              <w:top w:val="single" w:sz="2" w:space="0" w:color="auto"/>
              <w:bottom w:val="single" w:sz="2" w:space="0" w:color="auto"/>
            </w:tcBorders>
            <w:vAlign w:val="center"/>
          </w:tcPr>
          <w:p w14:paraId="65174F74"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-17,</w:t>
            </w:r>
            <w:r>
              <w:rPr>
                <w:rFonts w:eastAsia="Times New Roman" w:cs="Times New Roman"/>
                <w:sz w:val="20"/>
                <w:szCs w:val="20"/>
                <w:lang w:val="es-ES" w:eastAsia="es-AR"/>
              </w:rPr>
              <w:t>8</w:t>
            </w:r>
            <w:r w:rsidRPr="00C174D5">
              <w:rPr>
                <w:rFonts w:eastAsia="Times New Roman" w:cs="Times New Roman"/>
                <w:sz w:val="20"/>
                <w:szCs w:val="20"/>
                <w:lang w:val="es-ES" w:eastAsia="es-AR"/>
              </w:rPr>
              <w:t>%</w:t>
            </w:r>
          </w:p>
        </w:tc>
        <w:tc>
          <w:tcPr>
            <w:tcW w:w="945" w:type="dxa"/>
            <w:tcBorders>
              <w:top w:val="single" w:sz="2" w:space="0" w:color="auto"/>
              <w:bottom w:val="single" w:sz="2" w:space="0" w:color="auto"/>
            </w:tcBorders>
            <w:vAlign w:val="center"/>
          </w:tcPr>
          <w:p w14:paraId="4A5002E9"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46</w:t>
            </w:r>
            <w:r w:rsidRPr="00C174D5">
              <w:rPr>
                <w:rFonts w:eastAsia="Times New Roman" w:cs="Times New Roman"/>
                <w:sz w:val="20"/>
                <w:szCs w:val="20"/>
                <w:lang w:val="es-ES" w:eastAsia="es-AR"/>
              </w:rPr>
              <w:t>%</w:t>
            </w:r>
          </w:p>
        </w:tc>
      </w:tr>
      <w:tr w:rsidR="00C92C58" w:rsidRPr="00C174D5" w14:paraId="55F5121D" w14:textId="77777777" w:rsidTr="00B15A9A">
        <w:trPr>
          <w:trHeight w:val="300"/>
          <w:jc w:val="center"/>
        </w:trPr>
        <w:tc>
          <w:tcPr>
            <w:tcW w:w="630" w:type="dxa"/>
            <w:tcBorders>
              <w:top w:val="single" w:sz="2" w:space="0" w:color="auto"/>
            </w:tcBorders>
            <w:shd w:val="clear" w:color="auto" w:fill="auto"/>
            <w:noWrap/>
            <w:vAlign w:val="center"/>
          </w:tcPr>
          <w:p w14:paraId="7B7585DC"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919" w:type="dxa"/>
            <w:tcBorders>
              <w:top w:val="single" w:sz="2" w:space="0" w:color="auto"/>
            </w:tcBorders>
            <w:shd w:val="clear" w:color="auto" w:fill="auto"/>
            <w:vAlign w:val="center"/>
          </w:tcPr>
          <w:p w14:paraId="669D5483"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2</w:t>
            </w:r>
            <w:r>
              <w:rPr>
                <w:rFonts w:eastAsia="Times New Roman" w:cs="Times New Roman"/>
                <w:sz w:val="20"/>
                <w:szCs w:val="20"/>
                <w:lang w:val="es-ES" w:eastAsia="es-AR"/>
              </w:rPr>
              <w:t>37</w:t>
            </w:r>
            <w:r w:rsidRPr="00C174D5">
              <w:rPr>
                <w:rFonts w:eastAsia="Times New Roman" w:cs="Times New Roman"/>
                <w:sz w:val="20"/>
                <w:szCs w:val="20"/>
                <w:lang w:val="es-ES" w:eastAsia="es-AR"/>
              </w:rPr>
              <w:t xml:space="preserve">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xml:space="preserve"> (-8</w:t>
            </w:r>
            <w:r>
              <w:rPr>
                <w:rFonts w:eastAsia="Times New Roman" w:cs="Times New Roman"/>
                <w:sz w:val="20"/>
                <w:szCs w:val="20"/>
                <w:lang w:val="es-ES" w:eastAsia="es-AR"/>
              </w:rPr>
              <w:t>4</w:t>
            </w:r>
            <w:r w:rsidRPr="00C174D5">
              <w:rPr>
                <w:rFonts w:eastAsia="Times New Roman" w:cs="Times New Roman"/>
                <w:sz w:val="20"/>
                <w:szCs w:val="20"/>
                <w:lang w:val="es-ES" w:eastAsia="es-AR"/>
              </w:rPr>
              <w:t>%)</w:t>
            </w:r>
          </w:p>
        </w:tc>
        <w:tc>
          <w:tcPr>
            <w:tcW w:w="2217" w:type="dxa"/>
            <w:tcBorders>
              <w:top w:val="single" w:sz="2" w:space="0" w:color="auto"/>
            </w:tcBorders>
            <w:vAlign w:val="center"/>
          </w:tcPr>
          <w:p w14:paraId="3CC00EB7"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0</w:t>
            </w:r>
          </w:p>
        </w:tc>
        <w:tc>
          <w:tcPr>
            <w:tcW w:w="1068" w:type="dxa"/>
            <w:tcBorders>
              <w:top w:val="single" w:sz="2" w:space="0" w:color="auto"/>
            </w:tcBorders>
            <w:vAlign w:val="center"/>
          </w:tcPr>
          <w:p w14:paraId="2F015640"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w:t>
            </w:r>
          </w:p>
        </w:tc>
        <w:tc>
          <w:tcPr>
            <w:tcW w:w="945" w:type="dxa"/>
            <w:tcBorders>
              <w:top w:val="single" w:sz="2" w:space="0" w:color="auto"/>
            </w:tcBorders>
            <w:vAlign w:val="center"/>
          </w:tcPr>
          <w:p w14:paraId="6156B1EF"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12%</w:t>
            </w:r>
          </w:p>
        </w:tc>
      </w:tr>
      <w:tr w:rsidR="00C92C58" w:rsidRPr="00C174D5" w14:paraId="56F186C1" w14:textId="77777777" w:rsidTr="00B15A9A">
        <w:trPr>
          <w:trHeight w:val="300"/>
          <w:jc w:val="center"/>
        </w:trPr>
        <w:tc>
          <w:tcPr>
            <w:tcW w:w="7779" w:type="dxa"/>
            <w:gridSpan w:val="5"/>
            <w:tcBorders>
              <w:top w:val="single" w:sz="2" w:space="0" w:color="auto"/>
              <w:bottom w:val="single" w:sz="2" w:space="0" w:color="auto"/>
            </w:tcBorders>
            <w:shd w:val="clear" w:color="auto" w:fill="auto"/>
            <w:noWrap/>
            <w:vAlign w:val="center"/>
          </w:tcPr>
          <w:p w14:paraId="35C4B8C7"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Costo de inversión</w:t>
            </w:r>
            <w:r w:rsidRPr="00C174D5">
              <w:rPr>
                <w:rStyle w:val="FootnoteReference"/>
                <w:rFonts w:eastAsia="Times New Roman" w:cs="Times New Roman"/>
                <w:sz w:val="20"/>
                <w:szCs w:val="20"/>
                <w:lang w:val="es-ES" w:eastAsia="es-AR"/>
              </w:rPr>
              <w:footnoteReference w:id="37"/>
            </w:r>
            <w:r w:rsidRPr="00C174D5">
              <w:rPr>
                <w:rFonts w:eastAsia="Times New Roman" w:cs="Times New Roman"/>
                <w:sz w:val="20"/>
                <w:szCs w:val="20"/>
                <w:lang w:val="es-ES" w:eastAsia="es-AR"/>
              </w:rPr>
              <w:t xml:space="preserve"> (base </w:t>
            </w:r>
            <w:r w:rsidRPr="00C174D5">
              <w:rPr>
                <w:sz w:val="20"/>
                <w:lang w:val="es-ES"/>
              </w:rPr>
              <w:t>2.618.835</w:t>
            </w:r>
            <w:r w:rsidRPr="00C174D5">
              <w:rPr>
                <w:rFonts w:eastAsia="Times New Roman" w:cs="Times New Roman"/>
                <w:sz w:val="20"/>
                <w:szCs w:val="20"/>
                <w:lang w:val="es-ES" w:eastAsia="es-AR"/>
              </w:rPr>
              <w:t>)</w:t>
            </w:r>
          </w:p>
        </w:tc>
      </w:tr>
      <w:tr w:rsidR="00C92C58" w:rsidRPr="00C174D5" w14:paraId="7644D50B" w14:textId="77777777" w:rsidTr="00B15A9A">
        <w:trPr>
          <w:trHeight w:val="300"/>
          <w:jc w:val="center"/>
        </w:trPr>
        <w:tc>
          <w:tcPr>
            <w:tcW w:w="630" w:type="dxa"/>
            <w:tcBorders>
              <w:top w:val="single" w:sz="2" w:space="0" w:color="auto"/>
            </w:tcBorders>
            <w:shd w:val="clear" w:color="auto" w:fill="auto"/>
            <w:noWrap/>
            <w:vAlign w:val="center"/>
          </w:tcPr>
          <w:p w14:paraId="0ACB7980"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919" w:type="dxa"/>
            <w:tcBorders>
              <w:top w:val="single" w:sz="2" w:space="0" w:color="auto"/>
            </w:tcBorders>
            <w:shd w:val="clear" w:color="auto" w:fill="auto"/>
            <w:vAlign w:val="center"/>
          </w:tcPr>
          <w:p w14:paraId="3B00DFBE"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3.011.660 (+15%)</w:t>
            </w:r>
          </w:p>
        </w:tc>
        <w:tc>
          <w:tcPr>
            <w:tcW w:w="2217" w:type="dxa"/>
            <w:tcBorders>
              <w:top w:val="single" w:sz="2" w:space="0" w:color="auto"/>
            </w:tcBorders>
            <w:vAlign w:val="center"/>
          </w:tcPr>
          <w:p w14:paraId="2B94575D"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FF5BE6">
              <w:rPr>
                <w:rFonts w:eastAsia="Times New Roman" w:cs="Times New Roman"/>
                <w:sz w:val="20"/>
                <w:szCs w:val="20"/>
                <w:lang w:val="es-ES" w:eastAsia="es-AR"/>
              </w:rPr>
              <w:t>60</w:t>
            </w:r>
            <w:r>
              <w:rPr>
                <w:rFonts w:eastAsia="Times New Roman" w:cs="Times New Roman"/>
                <w:sz w:val="20"/>
                <w:szCs w:val="20"/>
                <w:lang w:val="es-ES" w:eastAsia="es-AR"/>
              </w:rPr>
              <w:t>.</w:t>
            </w:r>
            <w:r w:rsidRPr="00FF5BE6">
              <w:rPr>
                <w:rFonts w:eastAsia="Times New Roman" w:cs="Times New Roman"/>
                <w:sz w:val="20"/>
                <w:szCs w:val="20"/>
                <w:lang w:val="es-ES" w:eastAsia="es-AR"/>
              </w:rPr>
              <w:t>842</w:t>
            </w:r>
            <w:r>
              <w:rPr>
                <w:rFonts w:eastAsia="Times New Roman" w:cs="Times New Roman"/>
                <w:sz w:val="20"/>
                <w:szCs w:val="20"/>
                <w:lang w:val="es-ES" w:eastAsia="es-AR"/>
              </w:rPr>
              <w:t>.</w:t>
            </w:r>
            <w:r w:rsidRPr="00FF5BE6">
              <w:rPr>
                <w:rFonts w:eastAsia="Times New Roman" w:cs="Times New Roman"/>
                <w:sz w:val="20"/>
                <w:szCs w:val="20"/>
                <w:lang w:val="es-ES" w:eastAsia="es-AR"/>
              </w:rPr>
              <w:t>747</w:t>
            </w:r>
          </w:p>
        </w:tc>
        <w:tc>
          <w:tcPr>
            <w:tcW w:w="1068" w:type="dxa"/>
            <w:tcBorders>
              <w:top w:val="single" w:sz="2" w:space="0" w:color="auto"/>
            </w:tcBorders>
            <w:vAlign w:val="center"/>
          </w:tcPr>
          <w:p w14:paraId="74E84E5E"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-0,</w:t>
            </w:r>
            <w:r>
              <w:rPr>
                <w:rFonts w:eastAsia="Times New Roman" w:cs="Times New Roman"/>
                <w:sz w:val="20"/>
                <w:szCs w:val="20"/>
                <w:lang w:val="es-ES" w:eastAsia="es-AR"/>
              </w:rPr>
              <w:t>3</w:t>
            </w:r>
            <w:r w:rsidRPr="00C174D5">
              <w:rPr>
                <w:rFonts w:eastAsia="Times New Roman" w:cs="Times New Roman"/>
                <w:sz w:val="20"/>
                <w:szCs w:val="20"/>
                <w:lang w:val="es-ES" w:eastAsia="es-AR"/>
              </w:rPr>
              <w:t>%</w:t>
            </w:r>
          </w:p>
        </w:tc>
        <w:tc>
          <w:tcPr>
            <w:tcW w:w="945" w:type="dxa"/>
            <w:tcBorders>
              <w:top w:val="single" w:sz="2" w:space="0" w:color="auto"/>
            </w:tcBorders>
            <w:vAlign w:val="center"/>
          </w:tcPr>
          <w:p w14:paraId="0F136636"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47</w:t>
            </w:r>
            <w:r w:rsidRPr="00C174D5">
              <w:rPr>
                <w:rFonts w:eastAsia="Times New Roman" w:cs="Times New Roman"/>
                <w:sz w:val="20"/>
                <w:szCs w:val="20"/>
                <w:lang w:val="es-ES" w:eastAsia="es-AR"/>
              </w:rPr>
              <w:t>%</w:t>
            </w:r>
          </w:p>
        </w:tc>
      </w:tr>
      <w:tr w:rsidR="00C92C58" w:rsidRPr="00C174D5" w14:paraId="1C073340" w14:textId="77777777" w:rsidTr="00B15A9A">
        <w:trPr>
          <w:trHeight w:val="300"/>
          <w:jc w:val="center"/>
        </w:trPr>
        <w:tc>
          <w:tcPr>
            <w:tcW w:w="630" w:type="dxa"/>
            <w:tcBorders>
              <w:top w:val="single" w:sz="2" w:space="0" w:color="auto"/>
              <w:bottom w:val="single" w:sz="2" w:space="0" w:color="auto"/>
            </w:tcBorders>
            <w:shd w:val="clear" w:color="auto" w:fill="auto"/>
            <w:noWrap/>
            <w:vAlign w:val="center"/>
          </w:tcPr>
          <w:p w14:paraId="49AE0660"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919" w:type="dxa"/>
            <w:tcBorders>
              <w:top w:val="single" w:sz="2" w:space="0" w:color="auto"/>
              <w:bottom w:val="single" w:sz="2" w:space="0" w:color="auto"/>
            </w:tcBorders>
            <w:shd w:val="clear" w:color="auto" w:fill="auto"/>
            <w:vAlign w:val="center"/>
          </w:tcPr>
          <w:p w14:paraId="3437629F"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3.404.485 (+30%)</w:t>
            </w:r>
          </w:p>
        </w:tc>
        <w:tc>
          <w:tcPr>
            <w:tcW w:w="2217" w:type="dxa"/>
            <w:tcBorders>
              <w:top w:val="single" w:sz="2" w:space="0" w:color="auto"/>
              <w:bottom w:val="single" w:sz="2" w:space="0" w:color="auto"/>
            </w:tcBorders>
            <w:vAlign w:val="center"/>
          </w:tcPr>
          <w:p w14:paraId="4BCF4E1E"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60.</w:t>
            </w:r>
            <w:r w:rsidRPr="00FF5BE6">
              <w:rPr>
                <w:rFonts w:eastAsia="Times New Roman" w:cs="Times New Roman"/>
                <w:sz w:val="20"/>
                <w:szCs w:val="20"/>
                <w:lang w:val="es-ES" w:eastAsia="es-AR"/>
              </w:rPr>
              <w:t>668</w:t>
            </w:r>
            <w:r>
              <w:rPr>
                <w:rFonts w:eastAsia="Times New Roman" w:cs="Times New Roman"/>
                <w:sz w:val="20"/>
                <w:szCs w:val="20"/>
                <w:lang w:val="es-ES" w:eastAsia="es-AR"/>
              </w:rPr>
              <w:t>.</w:t>
            </w:r>
            <w:r w:rsidRPr="00FF5BE6">
              <w:rPr>
                <w:rFonts w:eastAsia="Times New Roman" w:cs="Times New Roman"/>
                <w:sz w:val="20"/>
                <w:szCs w:val="20"/>
                <w:lang w:val="es-ES" w:eastAsia="es-AR"/>
              </w:rPr>
              <w:t>038</w:t>
            </w:r>
          </w:p>
        </w:tc>
        <w:tc>
          <w:tcPr>
            <w:tcW w:w="1068" w:type="dxa"/>
            <w:tcBorders>
              <w:top w:val="single" w:sz="2" w:space="0" w:color="auto"/>
              <w:bottom w:val="single" w:sz="2" w:space="0" w:color="auto"/>
            </w:tcBorders>
            <w:vAlign w:val="center"/>
          </w:tcPr>
          <w:p w14:paraId="6AF4C55D"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-0,</w:t>
            </w:r>
            <w:r>
              <w:rPr>
                <w:rFonts w:eastAsia="Times New Roman" w:cs="Times New Roman"/>
                <w:sz w:val="20"/>
                <w:szCs w:val="20"/>
                <w:lang w:val="es-ES" w:eastAsia="es-AR"/>
              </w:rPr>
              <w:t>6</w:t>
            </w:r>
            <w:r w:rsidRPr="00C174D5">
              <w:rPr>
                <w:rFonts w:eastAsia="Times New Roman" w:cs="Times New Roman"/>
                <w:sz w:val="20"/>
                <w:szCs w:val="20"/>
                <w:lang w:val="es-ES" w:eastAsia="es-AR"/>
              </w:rPr>
              <w:t>%</w:t>
            </w:r>
          </w:p>
        </w:tc>
        <w:tc>
          <w:tcPr>
            <w:tcW w:w="945" w:type="dxa"/>
            <w:tcBorders>
              <w:top w:val="single" w:sz="2" w:space="0" w:color="auto"/>
              <w:bottom w:val="single" w:sz="2" w:space="0" w:color="auto"/>
            </w:tcBorders>
            <w:vAlign w:val="center"/>
          </w:tcPr>
          <w:p w14:paraId="4B447346"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4</w:t>
            </w:r>
            <w:r w:rsidRPr="00C174D5">
              <w:rPr>
                <w:rFonts w:eastAsia="Times New Roman" w:cs="Times New Roman"/>
                <w:sz w:val="20"/>
                <w:szCs w:val="20"/>
                <w:lang w:val="es-ES" w:eastAsia="es-AR"/>
              </w:rPr>
              <w:t>5%</w:t>
            </w:r>
          </w:p>
        </w:tc>
      </w:tr>
    </w:tbl>
    <w:p w14:paraId="5B45EA87" w14:textId="77777777" w:rsidR="00C92C58" w:rsidRPr="00C174D5" w:rsidRDefault="00C92C58" w:rsidP="00C92C58">
      <w:pPr>
        <w:ind w:left="1134" w:right="1134"/>
        <w:jc w:val="center"/>
        <w:rPr>
          <w:sz w:val="18"/>
          <w:lang w:val="es-ES"/>
        </w:rPr>
      </w:pPr>
      <w:r w:rsidRPr="00C174D5">
        <w:rPr>
          <w:sz w:val="18"/>
          <w:lang w:val="es-ES"/>
        </w:rPr>
        <w:t>Fuente: Elaboración propia en base a información de ENATREL provista por el BID</w:t>
      </w:r>
    </w:p>
    <w:p w14:paraId="24431370" w14:textId="77777777" w:rsidR="00C92C58" w:rsidRPr="00C174D5" w:rsidRDefault="00C92C58" w:rsidP="00C92C58">
      <w:pPr>
        <w:rPr>
          <w:lang w:val="es-ES"/>
        </w:rPr>
      </w:pPr>
      <w:r w:rsidRPr="00C174D5">
        <w:rPr>
          <w:lang w:val="es-ES"/>
        </w:rPr>
        <w:t>También en este caso los resultados de la evaluación económica son robustos a las sensibilidades efectuadas. Cabe mencionar que para que el VPNE de este proyecto sea nulo, el costo de falla debe ser un 8</w:t>
      </w:r>
      <w:r>
        <w:rPr>
          <w:lang w:val="es-ES"/>
        </w:rPr>
        <w:t>4</w:t>
      </w:r>
      <w:r w:rsidRPr="00C174D5">
        <w:rPr>
          <w:lang w:val="es-ES"/>
        </w:rPr>
        <w:t>% menor al utilizado en la evaluación, cerca de 2</w:t>
      </w:r>
      <w:r>
        <w:rPr>
          <w:lang w:val="es-ES"/>
        </w:rPr>
        <w:t>37</w:t>
      </w:r>
      <w:r w:rsidRPr="00C174D5">
        <w:rPr>
          <w:lang w:val="es-ES"/>
        </w:rPr>
        <w:t xml:space="preserve"> US$/</w:t>
      </w:r>
      <w:proofErr w:type="spellStart"/>
      <w:r w:rsidRPr="00C174D5">
        <w:rPr>
          <w:lang w:val="es-ES"/>
        </w:rPr>
        <w:t>MWh</w:t>
      </w:r>
      <w:proofErr w:type="spellEnd"/>
      <w:r w:rsidRPr="00C174D5">
        <w:rPr>
          <w:lang w:val="es-ES"/>
        </w:rPr>
        <w:t>.</w:t>
      </w:r>
    </w:p>
    <w:p w14:paraId="3C4D73B9" w14:textId="77777777" w:rsidR="00C92C58" w:rsidRPr="00C174D5" w:rsidRDefault="00C92C58" w:rsidP="00C92C58">
      <w:pPr>
        <w:pStyle w:val="Heading1"/>
        <w:pageBreakBefore w:val="0"/>
        <w:numPr>
          <w:ilvl w:val="2"/>
          <w:numId w:val="9"/>
        </w:numPr>
        <w:rPr>
          <w:lang w:val="es-ES"/>
        </w:rPr>
      </w:pPr>
      <w:bookmarkStart w:id="151" w:name="_Toc447546949"/>
      <w:bookmarkStart w:id="152" w:name="_Toc456353133"/>
      <w:r w:rsidRPr="00C174D5">
        <w:rPr>
          <w:lang w:val="es-ES"/>
        </w:rPr>
        <w:t>SE Catarina</w:t>
      </w:r>
      <w:bookmarkEnd w:id="151"/>
      <w:bookmarkEnd w:id="152"/>
    </w:p>
    <w:p w14:paraId="025D575A" w14:textId="77777777" w:rsidR="00C92C58" w:rsidRPr="00C174D5" w:rsidRDefault="00C92C58" w:rsidP="00C92C58">
      <w:pPr>
        <w:rPr>
          <w:lang w:val="es-ES"/>
        </w:rPr>
      </w:pPr>
      <w:r w:rsidRPr="00C174D5">
        <w:rPr>
          <w:lang w:val="es-ES"/>
        </w:rPr>
        <w:t xml:space="preserve">Este proyecto consiste en la adición de un transformador de 40 MVA con una bahía de transformación 138/13.8 KV, de 7 celdas </w:t>
      </w:r>
      <w:proofErr w:type="spellStart"/>
      <w:r w:rsidRPr="00C174D5">
        <w:rPr>
          <w:lang w:val="es-ES"/>
        </w:rPr>
        <w:t>Metaclad</w:t>
      </w:r>
      <w:proofErr w:type="spellEnd"/>
      <w:r w:rsidRPr="00C174D5">
        <w:rPr>
          <w:lang w:val="es-ES"/>
        </w:rPr>
        <w:t xml:space="preserve"> (4 celdas para salida de circuito, 1 celda de entrada del transformador de potencia y 1 celda para el transformador de servicios propios) y en la ampliación de la caseta.</w:t>
      </w:r>
    </w:p>
    <w:p w14:paraId="51ECD4B0" w14:textId="77777777" w:rsidR="00C92C58" w:rsidRDefault="00C92C58" w:rsidP="00C92C58">
      <w:pPr>
        <w:rPr>
          <w:lang w:val="es-ES"/>
        </w:rPr>
      </w:pPr>
      <w:r w:rsidRPr="00C174D5">
        <w:rPr>
          <w:lang w:val="es-ES"/>
        </w:rPr>
        <w:t xml:space="preserve">En este caso, en el escenario “sin” proyecto se supone que no se puede abastecer el crecimiento de la demanda más allá de ciertos años, por lo que se mantiene el suministro a niveles de 2025 (38,64 MW) para la SE Zeledón, de 2028 (39,14 MW) para la SE Granada y de 2024 (24,48 MW) para la SE </w:t>
      </w:r>
      <w:proofErr w:type="spellStart"/>
      <w:r w:rsidRPr="00C174D5">
        <w:rPr>
          <w:lang w:val="es-ES"/>
        </w:rPr>
        <w:t>Masatepe</w:t>
      </w:r>
      <w:proofErr w:type="spellEnd"/>
      <w:r w:rsidRPr="00C174D5">
        <w:rPr>
          <w:lang w:val="es-ES"/>
        </w:rPr>
        <w:t xml:space="preserve">. Además, la confiabilidad en los primero años del proyecto es menor, por una mayor probabilidad de falla. En el escenario “con” proyecto es posible retrasar esta restricción de capacidad por algunos años, mediante la derivación de la carga de estas SE hacia la SE Catarina. De este modo, se puede atender el crecimiento tanto de la demanda existente como de los PER hasta el año 2030 para la SE Zeledón, 2034 para la SE Granada y 2029 para la SE </w:t>
      </w:r>
      <w:proofErr w:type="spellStart"/>
      <w:r w:rsidRPr="00C174D5">
        <w:rPr>
          <w:lang w:val="es-ES"/>
        </w:rPr>
        <w:t>Masatepe</w:t>
      </w:r>
      <w:proofErr w:type="spellEnd"/>
      <w:r w:rsidRPr="00C174D5">
        <w:rPr>
          <w:lang w:val="es-ES"/>
        </w:rPr>
        <w:t xml:space="preserve">. Esta derivación permite, a su vez, aumentar la confiabilidad del </w:t>
      </w:r>
      <w:r w:rsidRPr="00C174D5">
        <w:rPr>
          <w:lang w:val="es-ES"/>
        </w:rPr>
        <w:lastRenderedPageBreak/>
        <w:t xml:space="preserve">sistema durante todo el período (disminuir la probabilidad de falla). Así, si bien las demandas potenciales son idénticas, en los escenarios “con” y “sin” proyecto, hasta el año 2024 (año luego del cual empieza a verificarse una restricción - específicamente en la SE </w:t>
      </w:r>
      <w:proofErr w:type="spellStart"/>
      <w:r w:rsidRPr="00C174D5">
        <w:rPr>
          <w:lang w:val="es-ES"/>
        </w:rPr>
        <w:t>Masatepe</w:t>
      </w:r>
      <w:proofErr w:type="spellEnd"/>
      <w:r w:rsidRPr="00C174D5">
        <w:rPr>
          <w:lang w:val="es-ES"/>
        </w:rPr>
        <w:t>), las demandas abastecidas (netas de falla) difieren.</w:t>
      </w:r>
      <w:r w:rsidRPr="00C174D5">
        <w:rPr>
          <w:rStyle w:val="FootnoteReference"/>
          <w:lang w:val="es-ES"/>
        </w:rPr>
        <w:footnoteReference w:id="38"/>
      </w:r>
    </w:p>
    <w:p w14:paraId="05A8383D" w14:textId="77777777" w:rsidR="00C92C58" w:rsidRDefault="00C92C58" w:rsidP="00C92C58">
      <w:pPr>
        <w:rPr>
          <w:lang w:val="es-ES"/>
        </w:rPr>
      </w:pPr>
      <w:r>
        <w:rPr>
          <w:lang w:val="es-ES"/>
        </w:rPr>
        <w:t xml:space="preserve">En este proyecto, la demanda potencial está dada por la demanda en las SE Granada, Zeledón, </w:t>
      </w:r>
      <w:proofErr w:type="spellStart"/>
      <w:r>
        <w:rPr>
          <w:lang w:val="es-ES"/>
        </w:rPr>
        <w:t>Masatepe</w:t>
      </w:r>
      <w:proofErr w:type="spellEnd"/>
      <w:r>
        <w:rPr>
          <w:lang w:val="es-ES"/>
        </w:rPr>
        <w:t xml:space="preserve"> y la de la propia SE Catarina (que asume las cargas retroalimentadas de las otras SE.</w:t>
      </w:r>
    </w:p>
    <w:p w14:paraId="21822D8A" w14:textId="77777777" w:rsidR="00C92C58" w:rsidRDefault="00C92C58" w:rsidP="00C92C58">
      <w:pPr>
        <w:keepNext/>
        <w:keepLines/>
        <w:spacing w:after="120"/>
        <w:jc w:val="center"/>
        <w:rPr>
          <w:b/>
          <w:sz w:val="20"/>
          <w:lang w:val="es-ES"/>
        </w:rPr>
      </w:pPr>
      <w:bookmarkStart w:id="153" w:name="_Toc456353212"/>
      <w:r w:rsidRPr="00C174D5">
        <w:rPr>
          <w:b/>
          <w:sz w:val="20"/>
          <w:lang w:val="es-ES"/>
        </w:rPr>
        <w:t xml:space="preserve">Gráfico </w:t>
      </w:r>
      <w:r w:rsidRPr="00C174D5">
        <w:rPr>
          <w:b/>
          <w:sz w:val="20"/>
          <w:lang w:val="es-ES"/>
        </w:rPr>
        <w:fldChar w:fldCharType="begin"/>
      </w:r>
      <w:r w:rsidRPr="00C174D5">
        <w:rPr>
          <w:b/>
          <w:sz w:val="20"/>
          <w:lang w:val="es-ES"/>
        </w:rPr>
        <w:instrText xml:space="preserve"> SEQ Gráfico \* ARABIC </w:instrText>
      </w:r>
      <w:r w:rsidRPr="00C174D5">
        <w:rPr>
          <w:b/>
          <w:sz w:val="20"/>
          <w:lang w:val="es-ES"/>
        </w:rPr>
        <w:fldChar w:fldCharType="separate"/>
      </w:r>
      <w:r>
        <w:rPr>
          <w:b/>
          <w:noProof/>
          <w:sz w:val="20"/>
          <w:lang w:val="es-ES"/>
        </w:rPr>
        <w:t>6</w:t>
      </w:r>
      <w:r w:rsidRPr="00C174D5">
        <w:rPr>
          <w:b/>
          <w:sz w:val="20"/>
          <w:lang w:val="es-ES"/>
        </w:rPr>
        <w:fldChar w:fldCharType="end"/>
      </w:r>
      <w:r w:rsidRPr="00C174D5">
        <w:rPr>
          <w:b/>
          <w:sz w:val="20"/>
          <w:lang w:val="es-ES"/>
        </w:rPr>
        <w:t xml:space="preserve">: Demanda </w:t>
      </w:r>
      <w:r>
        <w:rPr>
          <w:b/>
          <w:sz w:val="20"/>
          <w:lang w:val="es-ES"/>
        </w:rPr>
        <w:t>considerada proyecto</w:t>
      </w:r>
      <w:r w:rsidRPr="00C174D5">
        <w:rPr>
          <w:b/>
          <w:sz w:val="20"/>
          <w:lang w:val="es-ES"/>
        </w:rPr>
        <w:t xml:space="preserve"> </w:t>
      </w:r>
      <w:r>
        <w:rPr>
          <w:b/>
          <w:sz w:val="20"/>
          <w:lang w:val="es-ES"/>
        </w:rPr>
        <w:t xml:space="preserve">SE Catarina </w:t>
      </w:r>
      <w:r w:rsidRPr="00C174D5">
        <w:rPr>
          <w:b/>
          <w:sz w:val="20"/>
          <w:lang w:val="es-ES"/>
        </w:rPr>
        <w:t>(MW)</w:t>
      </w:r>
      <w:bookmarkEnd w:id="153"/>
    </w:p>
    <w:p w14:paraId="1A19D583" w14:textId="77777777" w:rsidR="00C92C58" w:rsidRPr="00E73DA6" w:rsidRDefault="00C92C58" w:rsidP="00C92C58">
      <w:pPr>
        <w:spacing w:after="0"/>
        <w:jc w:val="center"/>
        <w:rPr>
          <w:noProof/>
          <w:lang w:val="es-AR" w:eastAsia="es-AR"/>
        </w:rPr>
      </w:pPr>
      <w:r w:rsidRPr="00E73DA6">
        <w:rPr>
          <w:noProof/>
          <w:lang w:val="es-CO" w:eastAsia="es-CO"/>
        </w:rPr>
        <w:drawing>
          <wp:inline distT="0" distB="0" distL="0" distR="0" wp14:anchorId="224E7C9B" wp14:editId="380F1090">
            <wp:extent cx="3852000" cy="2184618"/>
            <wp:effectExtent l="0" t="0" r="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52000" cy="2184618"/>
                    </a:xfrm>
                    <a:prstGeom prst="rect">
                      <a:avLst/>
                    </a:prstGeom>
                    <a:noFill/>
                  </pic:spPr>
                </pic:pic>
              </a:graphicData>
            </a:graphic>
          </wp:inline>
        </w:drawing>
      </w:r>
    </w:p>
    <w:p w14:paraId="6C20B5EA" w14:textId="77777777" w:rsidR="00C92C58" w:rsidRDefault="00C92C58" w:rsidP="00C92C58">
      <w:pPr>
        <w:ind w:left="1134" w:right="1134"/>
        <w:jc w:val="center"/>
        <w:rPr>
          <w:sz w:val="18"/>
          <w:lang w:val="es-ES"/>
        </w:rPr>
      </w:pPr>
      <w:r w:rsidRPr="00C174D5">
        <w:rPr>
          <w:sz w:val="18"/>
          <w:lang w:val="es-ES"/>
        </w:rPr>
        <w:t>Fuente: Elaboración propia en base a información</w:t>
      </w:r>
      <w:r>
        <w:rPr>
          <w:sz w:val="18"/>
          <w:lang w:val="es-ES"/>
        </w:rPr>
        <w:t xml:space="preserve"> de ENATREL provista por el BID (archivo </w:t>
      </w:r>
      <w:r w:rsidRPr="00E76F29">
        <w:rPr>
          <w:sz w:val="18"/>
          <w:lang w:val="es-ES"/>
        </w:rPr>
        <w:t>FLUJOS DE ENERGÍA_SE CATARINA_210416.xlsx</w:t>
      </w:r>
      <w:r>
        <w:rPr>
          <w:sz w:val="18"/>
          <w:lang w:val="es-ES"/>
        </w:rPr>
        <w:t>)</w:t>
      </w:r>
    </w:p>
    <w:p w14:paraId="3DEFBC1B" w14:textId="77777777" w:rsidR="00C92C58" w:rsidRPr="00E76F29" w:rsidRDefault="00C92C58" w:rsidP="00C92C58">
      <w:pPr>
        <w:spacing w:after="0"/>
        <w:rPr>
          <w:noProof/>
          <w:lang w:val="es-ES" w:eastAsia="es-AR"/>
        </w:rPr>
      </w:pPr>
      <w:r>
        <w:rPr>
          <w:noProof/>
          <w:lang w:val="es-ES" w:eastAsia="es-AR"/>
        </w:rPr>
        <w:t>En este caso, todas las SE enfrentan una demanda de clientes existentes y de proyectos rurales, siendo estos últimos una pequeña proporción de la carga total. A lo largo del período de análisis, la carga total pasa de 66 MW a 140 MW al año.</w:t>
      </w:r>
    </w:p>
    <w:p w14:paraId="31103971" w14:textId="77777777" w:rsidR="00C92C58" w:rsidRPr="00C174D5" w:rsidRDefault="00C92C58" w:rsidP="00C92C58">
      <w:pPr>
        <w:pStyle w:val="Heading2"/>
        <w:rPr>
          <w:lang w:val="es-ES"/>
        </w:rPr>
      </w:pPr>
      <w:bookmarkStart w:id="154" w:name="_Toc447546950"/>
      <w:bookmarkStart w:id="155" w:name="_Toc456353134"/>
      <w:r w:rsidRPr="00C174D5">
        <w:rPr>
          <w:lang w:val="es-ES"/>
        </w:rPr>
        <w:t>SE Catarina - Supuestos</w:t>
      </w:r>
      <w:bookmarkEnd w:id="154"/>
      <w:bookmarkEnd w:id="155"/>
    </w:p>
    <w:p w14:paraId="56787187" w14:textId="77777777" w:rsidR="00C92C58" w:rsidRPr="00C174D5" w:rsidRDefault="00C92C58" w:rsidP="00C92C58">
      <w:pPr>
        <w:rPr>
          <w:lang w:val="es-ES"/>
        </w:rPr>
      </w:pPr>
      <w:r w:rsidRPr="00C174D5">
        <w:rPr>
          <w:lang w:val="es-ES"/>
        </w:rPr>
        <w:t xml:space="preserve">En la evaluación de este proyecto de ampliación de capacidad se han utilizado los supuestos de la </w:t>
      </w:r>
      <w:r w:rsidRPr="00C174D5">
        <w:rPr>
          <w:lang w:val="es-ES"/>
        </w:rPr>
        <w:fldChar w:fldCharType="begin"/>
      </w:r>
      <w:r w:rsidRPr="00C174D5">
        <w:rPr>
          <w:lang w:val="es-ES"/>
        </w:rPr>
        <w:instrText xml:space="preserve"> REF _Ref450035888 \h </w:instrText>
      </w:r>
      <w:r w:rsidRPr="00C174D5">
        <w:rPr>
          <w:lang w:val="es-ES"/>
        </w:rPr>
      </w:r>
      <w:r w:rsidRPr="00C174D5">
        <w:rPr>
          <w:lang w:val="es-ES"/>
        </w:rPr>
        <w:fldChar w:fldCharType="separate"/>
      </w:r>
      <w:r w:rsidRPr="00C174D5">
        <w:rPr>
          <w:b/>
          <w:sz w:val="20"/>
          <w:lang w:val="es-ES"/>
        </w:rPr>
        <w:t xml:space="preserve">Tabla </w:t>
      </w:r>
      <w:r>
        <w:rPr>
          <w:b/>
          <w:i/>
          <w:noProof/>
          <w:sz w:val="20"/>
          <w:lang w:val="es-ES"/>
        </w:rPr>
        <w:t>27</w:t>
      </w:r>
      <w:r w:rsidRPr="00C174D5">
        <w:rPr>
          <w:lang w:val="es-ES"/>
        </w:rPr>
        <w:fldChar w:fldCharType="end"/>
      </w:r>
      <w:r w:rsidRPr="00C174D5">
        <w:rPr>
          <w:lang w:val="es-ES"/>
        </w:rPr>
        <w:t xml:space="preserve"> (además de los detallados en la </w:t>
      </w:r>
      <w:r w:rsidRPr="00C174D5">
        <w:rPr>
          <w:lang w:val="es-ES"/>
        </w:rPr>
        <w:fldChar w:fldCharType="begin"/>
      </w:r>
      <w:r w:rsidRPr="00C174D5">
        <w:rPr>
          <w:lang w:val="es-ES"/>
        </w:rPr>
        <w:instrText xml:space="preserve"> REF _Ref450036258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3</w:t>
      </w:r>
      <w:r w:rsidRPr="00C174D5">
        <w:rPr>
          <w:lang w:val="es-ES"/>
        </w:rPr>
        <w:fldChar w:fldCharType="end"/>
      </w:r>
      <w:r w:rsidRPr="00C174D5">
        <w:rPr>
          <w:lang w:val="es-ES"/>
        </w:rPr>
        <w:t xml:space="preserve"> y la </w:t>
      </w:r>
      <w:r w:rsidRPr="00C174D5">
        <w:rPr>
          <w:lang w:val="es-ES"/>
        </w:rPr>
        <w:fldChar w:fldCharType="begin"/>
      </w:r>
      <w:r w:rsidRPr="00C174D5">
        <w:rPr>
          <w:lang w:val="es-ES"/>
        </w:rPr>
        <w:instrText xml:space="preserve"> REF _Ref450036242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4</w:t>
      </w:r>
      <w:r w:rsidRPr="00C174D5">
        <w:rPr>
          <w:lang w:val="es-ES"/>
        </w:rPr>
        <w:fldChar w:fldCharType="end"/>
      </w:r>
      <w:r w:rsidRPr="00C174D5">
        <w:rPr>
          <w:lang w:val="es-ES"/>
        </w:rPr>
        <w:fldChar w:fldCharType="begin" w:fldLock="1"/>
      </w:r>
      <w:r w:rsidRPr="00C174D5">
        <w:rPr>
          <w:lang w:val="es-ES"/>
        </w:rPr>
        <w:instrText xml:space="preserve"> REF _Ref429144813 \h  \* MERGEFORMAT </w:instrText>
      </w:r>
      <w:r w:rsidRPr="00C174D5">
        <w:rPr>
          <w:lang w:val="es-ES"/>
        </w:rPr>
      </w:r>
      <w:r w:rsidRPr="00C174D5">
        <w:rPr>
          <w:lang w:val="es-ES"/>
        </w:rPr>
        <w:fldChar w:fldCharType="end"/>
      </w:r>
      <w:r w:rsidRPr="00C174D5">
        <w:rPr>
          <w:lang w:val="es-ES"/>
        </w:rPr>
        <w:t>).</w:t>
      </w:r>
    </w:p>
    <w:p w14:paraId="65A81AD6" w14:textId="77777777" w:rsidR="00C92C58" w:rsidRPr="00C174D5" w:rsidRDefault="00C92C58" w:rsidP="00C92C58">
      <w:pPr>
        <w:keepNext/>
        <w:keepLines/>
        <w:spacing w:after="120"/>
        <w:jc w:val="center"/>
        <w:rPr>
          <w:b/>
          <w:sz w:val="20"/>
          <w:lang w:val="es-ES"/>
        </w:rPr>
      </w:pPr>
      <w:bookmarkStart w:id="156" w:name="_Ref450035888"/>
      <w:bookmarkStart w:id="157" w:name="_Toc447546986"/>
      <w:bookmarkStart w:id="158" w:name="_Toc456353183"/>
      <w:r w:rsidRPr="00C174D5">
        <w:rPr>
          <w:b/>
          <w:sz w:val="20"/>
          <w:lang w:val="es-ES"/>
        </w:rPr>
        <w:t xml:space="preserve">Tabla </w:t>
      </w:r>
      <w:r w:rsidRPr="00C174D5">
        <w:rPr>
          <w:b/>
          <w:i/>
          <w:sz w:val="20"/>
          <w:lang w:val="es-ES"/>
        </w:rPr>
        <w:fldChar w:fldCharType="begin"/>
      </w:r>
      <w:r w:rsidRPr="00C174D5">
        <w:rPr>
          <w:b/>
          <w:i/>
          <w:sz w:val="20"/>
          <w:lang w:val="es-ES"/>
        </w:rPr>
        <w:instrText xml:space="preserve"> SEQ Tabla \* ARABIC </w:instrText>
      </w:r>
      <w:r w:rsidRPr="00C174D5">
        <w:rPr>
          <w:b/>
          <w:i/>
          <w:sz w:val="20"/>
          <w:lang w:val="es-ES"/>
        </w:rPr>
        <w:fldChar w:fldCharType="separate"/>
      </w:r>
      <w:r>
        <w:rPr>
          <w:b/>
          <w:i/>
          <w:noProof/>
          <w:sz w:val="20"/>
          <w:lang w:val="es-ES"/>
        </w:rPr>
        <w:t>27</w:t>
      </w:r>
      <w:r w:rsidRPr="00C174D5">
        <w:rPr>
          <w:b/>
          <w:i/>
          <w:sz w:val="20"/>
          <w:lang w:val="es-ES"/>
        </w:rPr>
        <w:fldChar w:fldCharType="end"/>
      </w:r>
      <w:bookmarkEnd w:id="156"/>
      <w:r w:rsidRPr="00C174D5">
        <w:rPr>
          <w:b/>
          <w:sz w:val="20"/>
          <w:lang w:val="es-ES"/>
        </w:rPr>
        <w:t>: Supuestos de modelización particulares – SE Catarina</w:t>
      </w:r>
      <w:bookmarkEnd w:id="157"/>
      <w:bookmarkEnd w:id="158"/>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52"/>
        <w:gridCol w:w="1386"/>
      </w:tblGrid>
      <w:tr w:rsidR="00C92C58" w:rsidRPr="00C174D5" w14:paraId="7C2F0207" w14:textId="77777777" w:rsidTr="00B15A9A">
        <w:trPr>
          <w:tblHeader/>
          <w:jc w:val="center"/>
        </w:trPr>
        <w:tc>
          <w:tcPr>
            <w:tcW w:w="4152" w:type="dxa"/>
            <w:tcBorders>
              <w:top w:val="single" w:sz="12" w:space="0" w:color="auto"/>
              <w:bottom w:val="single" w:sz="12" w:space="0" w:color="auto"/>
            </w:tcBorders>
            <w:shd w:val="clear" w:color="auto" w:fill="BFBFBF" w:themeFill="background1" w:themeFillShade="BF"/>
            <w:vAlign w:val="center"/>
          </w:tcPr>
          <w:p w14:paraId="7D1A78ED" w14:textId="77777777" w:rsidR="00C92C58" w:rsidRPr="00C174D5" w:rsidRDefault="00C92C58" w:rsidP="00B15A9A">
            <w:pPr>
              <w:spacing w:after="0" w:line="240" w:lineRule="auto"/>
              <w:jc w:val="center"/>
              <w:rPr>
                <w:b/>
                <w:sz w:val="20"/>
                <w:szCs w:val="20"/>
                <w:lang w:val="es-ES"/>
              </w:rPr>
            </w:pPr>
            <w:r w:rsidRPr="00C174D5">
              <w:rPr>
                <w:b/>
                <w:sz w:val="20"/>
                <w:szCs w:val="20"/>
                <w:lang w:val="es-ES"/>
              </w:rPr>
              <w:t>Parámetros</w:t>
            </w:r>
          </w:p>
        </w:tc>
        <w:tc>
          <w:tcPr>
            <w:tcW w:w="1386" w:type="dxa"/>
            <w:tcBorders>
              <w:top w:val="single" w:sz="12" w:space="0" w:color="auto"/>
              <w:bottom w:val="single" w:sz="12" w:space="0" w:color="auto"/>
            </w:tcBorders>
            <w:shd w:val="clear" w:color="auto" w:fill="BFBFBF" w:themeFill="background1" w:themeFillShade="BF"/>
            <w:vAlign w:val="center"/>
          </w:tcPr>
          <w:p w14:paraId="7B9E1F98" w14:textId="77777777" w:rsidR="00C92C58" w:rsidRPr="00C174D5" w:rsidRDefault="00C92C58" w:rsidP="00B15A9A">
            <w:pPr>
              <w:spacing w:after="0" w:line="240" w:lineRule="auto"/>
              <w:jc w:val="center"/>
              <w:rPr>
                <w:b/>
                <w:sz w:val="20"/>
                <w:szCs w:val="20"/>
                <w:lang w:val="es-ES"/>
              </w:rPr>
            </w:pPr>
            <w:r w:rsidRPr="00C174D5">
              <w:rPr>
                <w:b/>
                <w:sz w:val="20"/>
                <w:szCs w:val="20"/>
                <w:lang w:val="es-ES"/>
              </w:rPr>
              <w:t>Valor</w:t>
            </w:r>
          </w:p>
        </w:tc>
      </w:tr>
      <w:tr w:rsidR="00C92C58" w:rsidRPr="00C174D5" w14:paraId="353E03DD" w14:textId="77777777" w:rsidTr="00B15A9A">
        <w:trPr>
          <w:jc w:val="center"/>
        </w:trPr>
        <w:tc>
          <w:tcPr>
            <w:tcW w:w="5538" w:type="dxa"/>
            <w:gridSpan w:val="2"/>
            <w:tcBorders>
              <w:top w:val="single" w:sz="12" w:space="0" w:color="auto"/>
            </w:tcBorders>
            <w:shd w:val="clear" w:color="auto" w:fill="auto"/>
            <w:vAlign w:val="center"/>
          </w:tcPr>
          <w:p w14:paraId="326DB178" w14:textId="77777777" w:rsidR="00C92C58" w:rsidRPr="00C174D5" w:rsidRDefault="00C92C58" w:rsidP="00B15A9A">
            <w:pPr>
              <w:spacing w:after="0" w:line="240" w:lineRule="auto"/>
              <w:jc w:val="center"/>
              <w:rPr>
                <w:sz w:val="20"/>
                <w:szCs w:val="20"/>
                <w:lang w:val="es-ES"/>
              </w:rPr>
            </w:pPr>
            <w:r w:rsidRPr="00C174D5">
              <w:rPr>
                <w:b/>
                <w:sz w:val="20"/>
                <w:szCs w:val="20"/>
                <w:lang w:val="es-ES"/>
              </w:rPr>
              <w:t>Económicos</w:t>
            </w:r>
          </w:p>
        </w:tc>
      </w:tr>
      <w:tr w:rsidR="00C92C58" w:rsidRPr="00C174D5" w14:paraId="3F27CD0A" w14:textId="77777777" w:rsidTr="00B15A9A">
        <w:trPr>
          <w:jc w:val="center"/>
        </w:trPr>
        <w:tc>
          <w:tcPr>
            <w:tcW w:w="4152" w:type="dxa"/>
            <w:shd w:val="clear" w:color="auto" w:fill="auto"/>
            <w:vAlign w:val="center"/>
          </w:tcPr>
          <w:p w14:paraId="272702C3" w14:textId="77777777" w:rsidR="00C92C58" w:rsidRPr="00C174D5" w:rsidRDefault="00C92C58" w:rsidP="00B15A9A">
            <w:pPr>
              <w:spacing w:after="0" w:line="240" w:lineRule="auto"/>
              <w:jc w:val="left"/>
              <w:rPr>
                <w:sz w:val="20"/>
                <w:szCs w:val="20"/>
                <w:lang w:val="es-ES"/>
              </w:rPr>
            </w:pPr>
            <w:r w:rsidRPr="00C174D5">
              <w:rPr>
                <w:sz w:val="20"/>
                <w:szCs w:val="20"/>
                <w:lang w:val="es-ES"/>
              </w:rPr>
              <w:t>Inversión</w:t>
            </w:r>
          </w:p>
        </w:tc>
        <w:tc>
          <w:tcPr>
            <w:tcW w:w="1386" w:type="dxa"/>
            <w:shd w:val="clear" w:color="auto" w:fill="auto"/>
            <w:vAlign w:val="center"/>
          </w:tcPr>
          <w:p w14:paraId="1EA1C5A3" w14:textId="77777777" w:rsidR="00C92C58" w:rsidRPr="00C174D5" w:rsidRDefault="00C92C58" w:rsidP="00B15A9A">
            <w:pPr>
              <w:spacing w:after="0" w:line="240" w:lineRule="auto"/>
              <w:jc w:val="center"/>
              <w:rPr>
                <w:sz w:val="20"/>
                <w:szCs w:val="20"/>
                <w:lang w:val="es-ES"/>
              </w:rPr>
            </w:pPr>
            <w:r w:rsidRPr="00C174D5">
              <w:rPr>
                <w:sz w:val="20"/>
                <w:szCs w:val="20"/>
                <w:lang w:val="es-ES"/>
              </w:rPr>
              <w:t>1.817.933</w:t>
            </w:r>
            <w:r w:rsidRPr="00C174D5">
              <w:rPr>
                <w:rStyle w:val="FootnoteReference"/>
                <w:sz w:val="20"/>
                <w:szCs w:val="20"/>
                <w:lang w:val="es-ES"/>
              </w:rPr>
              <w:footnoteReference w:id="39"/>
            </w:r>
          </w:p>
        </w:tc>
      </w:tr>
      <w:tr w:rsidR="00C92C58" w:rsidRPr="00C174D5" w14:paraId="7CA2B7EF" w14:textId="77777777" w:rsidTr="00B15A9A">
        <w:trPr>
          <w:trHeight w:val="222"/>
          <w:jc w:val="center"/>
        </w:trPr>
        <w:tc>
          <w:tcPr>
            <w:tcW w:w="5538" w:type="dxa"/>
            <w:gridSpan w:val="2"/>
            <w:shd w:val="clear" w:color="auto" w:fill="auto"/>
          </w:tcPr>
          <w:p w14:paraId="74F1D5C4" w14:textId="77777777" w:rsidR="00C92C58" w:rsidRPr="00C174D5" w:rsidRDefault="00C92C58" w:rsidP="00B15A9A">
            <w:pPr>
              <w:spacing w:after="0" w:line="240" w:lineRule="auto"/>
              <w:jc w:val="center"/>
              <w:rPr>
                <w:b/>
                <w:sz w:val="20"/>
                <w:szCs w:val="20"/>
                <w:lang w:val="es-ES"/>
              </w:rPr>
            </w:pPr>
            <w:r w:rsidRPr="00C174D5">
              <w:rPr>
                <w:b/>
                <w:sz w:val="20"/>
                <w:szCs w:val="20"/>
                <w:lang w:val="es-ES"/>
              </w:rPr>
              <w:lastRenderedPageBreak/>
              <w:t>De mercado</w:t>
            </w:r>
          </w:p>
        </w:tc>
      </w:tr>
      <w:tr w:rsidR="00C92C58" w:rsidRPr="00C174D5" w14:paraId="6CB7B696" w14:textId="77777777" w:rsidTr="00B15A9A">
        <w:trPr>
          <w:trHeight w:val="222"/>
          <w:jc w:val="center"/>
        </w:trPr>
        <w:tc>
          <w:tcPr>
            <w:tcW w:w="4152" w:type="dxa"/>
            <w:shd w:val="clear" w:color="auto" w:fill="auto"/>
          </w:tcPr>
          <w:p w14:paraId="09775612" w14:textId="77777777" w:rsidR="00C92C58" w:rsidRPr="00C174D5" w:rsidRDefault="00C92C58" w:rsidP="00B15A9A">
            <w:pPr>
              <w:spacing w:after="0" w:line="240" w:lineRule="auto"/>
              <w:jc w:val="left"/>
              <w:rPr>
                <w:sz w:val="20"/>
                <w:szCs w:val="20"/>
                <w:lang w:val="es-ES"/>
              </w:rPr>
            </w:pPr>
            <w:r w:rsidRPr="00C174D5">
              <w:rPr>
                <w:sz w:val="20"/>
                <w:szCs w:val="20"/>
                <w:lang w:val="es-ES"/>
              </w:rPr>
              <w:t>Factor de carga promedio anual</w:t>
            </w:r>
          </w:p>
        </w:tc>
        <w:tc>
          <w:tcPr>
            <w:tcW w:w="1386" w:type="dxa"/>
            <w:shd w:val="clear" w:color="auto" w:fill="auto"/>
          </w:tcPr>
          <w:p w14:paraId="422DA8F6" w14:textId="77777777" w:rsidR="00C92C58" w:rsidRPr="00C174D5" w:rsidRDefault="00C92C58" w:rsidP="00B15A9A">
            <w:pPr>
              <w:spacing w:after="0" w:line="240" w:lineRule="auto"/>
              <w:jc w:val="center"/>
              <w:rPr>
                <w:sz w:val="20"/>
                <w:szCs w:val="20"/>
                <w:lang w:val="es-ES"/>
              </w:rPr>
            </w:pPr>
          </w:p>
        </w:tc>
      </w:tr>
      <w:tr w:rsidR="00C92C58" w:rsidRPr="00C174D5" w14:paraId="1C8F3831" w14:textId="77777777" w:rsidTr="00B15A9A">
        <w:trPr>
          <w:trHeight w:val="222"/>
          <w:jc w:val="center"/>
        </w:trPr>
        <w:tc>
          <w:tcPr>
            <w:tcW w:w="4152" w:type="dxa"/>
            <w:shd w:val="clear" w:color="auto" w:fill="auto"/>
          </w:tcPr>
          <w:p w14:paraId="5EE494CC" w14:textId="77777777" w:rsidR="00C92C58" w:rsidRPr="00C174D5" w:rsidRDefault="00C92C58" w:rsidP="00B15A9A">
            <w:pPr>
              <w:spacing w:after="0" w:line="240" w:lineRule="auto"/>
              <w:jc w:val="right"/>
              <w:rPr>
                <w:sz w:val="20"/>
                <w:szCs w:val="20"/>
                <w:lang w:val="es-ES"/>
              </w:rPr>
            </w:pPr>
            <w:r w:rsidRPr="00C174D5">
              <w:rPr>
                <w:sz w:val="20"/>
                <w:szCs w:val="20"/>
                <w:lang w:val="es-ES"/>
              </w:rPr>
              <w:t>SE Catarina</w:t>
            </w:r>
          </w:p>
        </w:tc>
        <w:tc>
          <w:tcPr>
            <w:tcW w:w="1386" w:type="dxa"/>
            <w:shd w:val="clear" w:color="auto" w:fill="auto"/>
          </w:tcPr>
          <w:p w14:paraId="022D3D24" w14:textId="77777777" w:rsidR="00C92C58" w:rsidRPr="00C174D5" w:rsidRDefault="00C92C58" w:rsidP="00B15A9A">
            <w:pPr>
              <w:spacing w:after="0" w:line="240" w:lineRule="auto"/>
              <w:jc w:val="center"/>
              <w:rPr>
                <w:sz w:val="20"/>
                <w:szCs w:val="20"/>
                <w:lang w:val="es-ES"/>
              </w:rPr>
            </w:pPr>
            <w:r w:rsidRPr="00C174D5">
              <w:rPr>
                <w:sz w:val="20"/>
                <w:szCs w:val="20"/>
                <w:lang w:val="es-ES"/>
              </w:rPr>
              <w:t>62,53%</w:t>
            </w:r>
          </w:p>
        </w:tc>
      </w:tr>
      <w:tr w:rsidR="00C92C58" w:rsidRPr="00C174D5" w14:paraId="6769C253" w14:textId="77777777" w:rsidTr="00B15A9A">
        <w:trPr>
          <w:trHeight w:val="222"/>
          <w:jc w:val="center"/>
        </w:trPr>
        <w:tc>
          <w:tcPr>
            <w:tcW w:w="4152" w:type="dxa"/>
            <w:shd w:val="clear" w:color="auto" w:fill="auto"/>
          </w:tcPr>
          <w:p w14:paraId="3D6B666D" w14:textId="77777777" w:rsidR="00C92C58" w:rsidRPr="00C174D5" w:rsidRDefault="00C92C58" w:rsidP="00B15A9A">
            <w:pPr>
              <w:spacing w:after="0" w:line="240" w:lineRule="auto"/>
              <w:jc w:val="right"/>
              <w:rPr>
                <w:sz w:val="20"/>
                <w:szCs w:val="20"/>
                <w:lang w:val="es-ES"/>
              </w:rPr>
            </w:pPr>
            <w:r w:rsidRPr="00C174D5">
              <w:rPr>
                <w:sz w:val="20"/>
                <w:szCs w:val="20"/>
                <w:lang w:val="es-ES"/>
              </w:rPr>
              <w:t>SE Granada</w:t>
            </w:r>
          </w:p>
        </w:tc>
        <w:tc>
          <w:tcPr>
            <w:tcW w:w="1386" w:type="dxa"/>
            <w:shd w:val="clear" w:color="auto" w:fill="auto"/>
          </w:tcPr>
          <w:p w14:paraId="5C453E09" w14:textId="77777777" w:rsidR="00C92C58" w:rsidRPr="00C174D5" w:rsidRDefault="00C92C58" w:rsidP="00B15A9A">
            <w:pPr>
              <w:spacing w:after="0" w:line="240" w:lineRule="auto"/>
              <w:jc w:val="center"/>
              <w:rPr>
                <w:sz w:val="20"/>
                <w:szCs w:val="20"/>
                <w:lang w:val="es-ES"/>
              </w:rPr>
            </w:pPr>
            <w:r w:rsidRPr="00C174D5">
              <w:rPr>
                <w:sz w:val="20"/>
                <w:szCs w:val="20"/>
                <w:lang w:val="es-ES"/>
              </w:rPr>
              <w:t>72,67%</w:t>
            </w:r>
          </w:p>
        </w:tc>
      </w:tr>
      <w:tr w:rsidR="00C92C58" w:rsidRPr="00C174D5" w14:paraId="6B9A4216" w14:textId="77777777" w:rsidTr="00B15A9A">
        <w:trPr>
          <w:trHeight w:val="222"/>
          <w:jc w:val="center"/>
        </w:trPr>
        <w:tc>
          <w:tcPr>
            <w:tcW w:w="4152" w:type="dxa"/>
            <w:shd w:val="clear" w:color="auto" w:fill="auto"/>
          </w:tcPr>
          <w:p w14:paraId="5F50C8EF" w14:textId="77777777" w:rsidR="00C92C58" w:rsidRPr="00C174D5" w:rsidRDefault="00C92C58" w:rsidP="00B15A9A">
            <w:pPr>
              <w:spacing w:after="0" w:line="240" w:lineRule="auto"/>
              <w:jc w:val="right"/>
              <w:rPr>
                <w:sz w:val="20"/>
                <w:szCs w:val="20"/>
                <w:lang w:val="es-ES"/>
              </w:rPr>
            </w:pPr>
            <w:r w:rsidRPr="00C174D5">
              <w:rPr>
                <w:sz w:val="20"/>
                <w:szCs w:val="20"/>
                <w:lang w:val="es-ES"/>
              </w:rPr>
              <w:t xml:space="preserve">SE </w:t>
            </w:r>
            <w:proofErr w:type="spellStart"/>
            <w:r w:rsidRPr="00C174D5">
              <w:rPr>
                <w:sz w:val="20"/>
                <w:szCs w:val="20"/>
                <w:lang w:val="es-ES"/>
              </w:rPr>
              <w:t>Masatepe</w:t>
            </w:r>
            <w:proofErr w:type="spellEnd"/>
          </w:p>
        </w:tc>
        <w:tc>
          <w:tcPr>
            <w:tcW w:w="1386" w:type="dxa"/>
            <w:shd w:val="clear" w:color="auto" w:fill="auto"/>
          </w:tcPr>
          <w:p w14:paraId="39397069" w14:textId="77777777" w:rsidR="00C92C58" w:rsidRPr="00C174D5" w:rsidRDefault="00C92C58" w:rsidP="00B15A9A">
            <w:pPr>
              <w:spacing w:after="0" w:line="240" w:lineRule="auto"/>
              <w:jc w:val="center"/>
              <w:rPr>
                <w:sz w:val="20"/>
                <w:szCs w:val="20"/>
                <w:lang w:val="es-ES"/>
              </w:rPr>
            </w:pPr>
            <w:r w:rsidRPr="00C174D5">
              <w:rPr>
                <w:sz w:val="20"/>
                <w:szCs w:val="20"/>
                <w:lang w:val="es-ES"/>
              </w:rPr>
              <w:t>53,29%</w:t>
            </w:r>
          </w:p>
        </w:tc>
      </w:tr>
      <w:tr w:rsidR="00C92C58" w:rsidRPr="00C174D5" w14:paraId="4A112EFA" w14:textId="77777777" w:rsidTr="00B15A9A">
        <w:trPr>
          <w:trHeight w:val="222"/>
          <w:jc w:val="center"/>
        </w:trPr>
        <w:tc>
          <w:tcPr>
            <w:tcW w:w="4152" w:type="dxa"/>
            <w:shd w:val="clear" w:color="auto" w:fill="auto"/>
          </w:tcPr>
          <w:p w14:paraId="17E62CF2" w14:textId="77777777" w:rsidR="00C92C58" w:rsidRPr="00C174D5" w:rsidRDefault="00C92C58" w:rsidP="00B15A9A">
            <w:pPr>
              <w:spacing w:after="0" w:line="240" w:lineRule="auto"/>
              <w:jc w:val="right"/>
              <w:rPr>
                <w:sz w:val="20"/>
                <w:szCs w:val="20"/>
                <w:lang w:val="es-ES"/>
              </w:rPr>
            </w:pPr>
            <w:r w:rsidRPr="00C174D5">
              <w:rPr>
                <w:sz w:val="20"/>
                <w:szCs w:val="20"/>
                <w:lang w:val="es-ES"/>
              </w:rPr>
              <w:t>SE Zeledón</w:t>
            </w:r>
          </w:p>
        </w:tc>
        <w:tc>
          <w:tcPr>
            <w:tcW w:w="1386" w:type="dxa"/>
            <w:shd w:val="clear" w:color="auto" w:fill="auto"/>
          </w:tcPr>
          <w:p w14:paraId="7457096A" w14:textId="77777777" w:rsidR="00C92C58" w:rsidRPr="00C174D5" w:rsidRDefault="00C92C58" w:rsidP="00B15A9A">
            <w:pPr>
              <w:spacing w:after="0" w:line="240" w:lineRule="auto"/>
              <w:jc w:val="center"/>
              <w:rPr>
                <w:sz w:val="20"/>
                <w:szCs w:val="20"/>
                <w:lang w:val="es-ES"/>
              </w:rPr>
            </w:pPr>
            <w:r w:rsidRPr="00C174D5">
              <w:rPr>
                <w:sz w:val="20"/>
                <w:szCs w:val="20"/>
                <w:lang w:val="es-ES"/>
              </w:rPr>
              <w:t>61,64%</w:t>
            </w:r>
          </w:p>
        </w:tc>
      </w:tr>
      <w:tr w:rsidR="00C92C58" w:rsidRPr="00C174D5" w14:paraId="327595D3" w14:textId="77777777" w:rsidTr="00B15A9A">
        <w:trPr>
          <w:trHeight w:val="222"/>
          <w:jc w:val="center"/>
        </w:trPr>
        <w:tc>
          <w:tcPr>
            <w:tcW w:w="4152" w:type="dxa"/>
            <w:shd w:val="clear" w:color="auto" w:fill="auto"/>
            <w:vAlign w:val="center"/>
          </w:tcPr>
          <w:p w14:paraId="1044163F" w14:textId="77777777" w:rsidR="00C92C58" w:rsidRPr="00C03193" w:rsidRDefault="00C92C58" w:rsidP="00B15A9A">
            <w:pPr>
              <w:spacing w:after="0" w:line="240" w:lineRule="auto"/>
              <w:jc w:val="left"/>
              <w:rPr>
                <w:sz w:val="20"/>
                <w:szCs w:val="20"/>
                <w:lang w:val="pt-BR"/>
              </w:rPr>
            </w:pPr>
            <w:proofErr w:type="spellStart"/>
            <w:r w:rsidRPr="00C03193">
              <w:rPr>
                <w:sz w:val="20"/>
                <w:szCs w:val="20"/>
                <w:lang w:val="pt-BR"/>
              </w:rPr>
              <w:t>Factor</w:t>
            </w:r>
            <w:proofErr w:type="spellEnd"/>
            <w:r w:rsidRPr="00C03193">
              <w:rPr>
                <w:sz w:val="20"/>
                <w:szCs w:val="20"/>
                <w:lang w:val="pt-BR"/>
              </w:rPr>
              <w:t xml:space="preserve"> de carga </w:t>
            </w:r>
            <w:proofErr w:type="spellStart"/>
            <w:r w:rsidRPr="00C03193">
              <w:rPr>
                <w:sz w:val="20"/>
                <w:szCs w:val="20"/>
                <w:lang w:val="pt-BR"/>
              </w:rPr>
              <w:t>promedio</w:t>
            </w:r>
            <w:proofErr w:type="spellEnd"/>
            <w:r w:rsidRPr="00C03193">
              <w:rPr>
                <w:sz w:val="20"/>
                <w:szCs w:val="20"/>
                <w:lang w:val="pt-BR"/>
              </w:rPr>
              <w:t xml:space="preserve"> anual rural</w:t>
            </w:r>
          </w:p>
        </w:tc>
        <w:tc>
          <w:tcPr>
            <w:tcW w:w="1386" w:type="dxa"/>
            <w:shd w:val="clear" w:color="auto" w:fill="auto"/>
          </w:tcPr>
          <w:p w14:paraId="1F16382B" w14:textId="77777777" w:rsidR="00C92C58" w:rsidRPr="00C174D5" w:rsidRDefault="00C92C58" w:rsidP="00B15A9A">
            <w:pPr>
              <w:spacing w:after="0" w:line="240" w:lineRule="auto"/>
              <w:jc w:val="center"/>
              <w:rPr>
                <w:sz w:val="20"/>
                <w:szCs w:val="20"/>
                <w:lang w:val="es-ES"/>
              </w:rPr>
            </w:pPr>
            <w:r w:rsidRPr="00C174D5">
              <w:rPr>
                <w:sz w:val="20"/>
                <w:szCs w:val="20"/>
                <w:lang w:val="es-ES"/>
              </w:rPr>
              <w:t>24%</w:t>
            </w:r>
          </w:p>
        </w:tc>
      </w:tr>
      <w:tr w:rsidR="00C92C58" w:rsidRPr="00C174D5" w14:paraId="242E9801" w14:textId="77777777" w:rsidTr="00B15A9A">
        <w:trPr>
          <w:trHeight w:val="222"/>
          <w:jc w:val="center"/>
        </w:trPr>
        <w:tc>
          <w:tcPr>
            <w:tcW w:w="4152" w:type="dxa"/>
            <w:shd w:val="clear" w:color="auto" w:fill="auto"/>
            <w:vAlign w:val="center"/>
          </w:tcPr>
          <w:p w14:paraId="64018F13" w14:textId="77777777" w:rsidR="00C92C58" w:rsidRPr="00C174D5" w:rsidRDefault="00C92C58" w:rsidP="00B15A9A">
            <w:pPr>
              <w:spacing w:after="0" w:line="240" w:lineRule="auto"/>
              <w:jc w:val="left"/>
              <w:rPr>
                <w:sz w:val="20"/>
                <w:szCs w:val="20"/>
                <w:lang w:val="es-ES"/>
              </w:rPr>
            </w:pPr>
            <w:r w:rsidRPr="00C174D5">
              <w:rPr>
                <w:iCs/>
                <w:sz w:val="20"/>
                <w:szCs w:val="20"/>
                <w:lang w:val="es-ES"/>
              </w:rPr>
              <w:t>Nuevos clientes rurales sin proyecto - 2017</w:t>
            </w:r>
          </w:p>
        </w:tc>
        <w:tc>
          <w:tcPr>
            <w:tcW w:w="1386" w:type="dxa"/>
            <w:shd w:val="clear" w:color="auto" w:fill="auto"/>
            <w:vAlign w:val="center"/>
          </w:tcPr>
          <w:p w14:paraId="2ADABA6C" w14:textId="77777777" w:rsidR="00C92C58" w:rsidRPr="00C174D5" w:rsidRDefault="00C92C58" w:rsidP="00B15A9A">
            <w:pPr>
              <w:spacing w:after="0" w:line="240" w:lineRule="auto"/>
              <w:jc w:val="center"/>
              <w:rPr>
                <w:sz w:val="20"/>
                <w:szCs w:val="20"/>
                <w:lang w:val="es-ES"/>
              </w:rPr>
            </w:pPr>
            <w:r w:rsidRPr="00C174D5">
              <w:rPr>
                <w:iCs/>
                <w:sz w:val="20"/>
                <w:szCs w:val="20"/>
                <w:lang w:val="es-ES"/>
              </w:rPr>
              <w:t>1434</w:t>
            </w:r>
          </w:p>
        </w:tc>
      </w:tr>
      <w:tr w:rsidR="00C92C58" w:rsidRPr="00C174D5" w14:paraId="21AD42A9" w14:textId="77777777" w:rsidTr="00B15A9A">
        <w:trPr>
          <w:trHeight w:val="222"/>
          <w:jc w:val="center"/>
        </w:trPr>
        <w:tc>
          <w:tcPr>
            <w:tcW w:w="4152" w:type="dxa"/>
            <w:shd w:val="clear" w:color="auto" w:fill="auto"/>
            <w:vAlign w:val="center"/>
          </w:tcPr>
          <w:p w14:paraId="2A8A1EE1" w14:textId="77777777" w:rsidR="00C92C58" w:rsidRPr="00C174D5" w:rsidRDefault="00C92C58" w:rsidP="00B15A9A">
            <w:pPr>
              <w:spacing w:after="0" w:line="240" w:lineRule="auto"/>
              <w:jc w:val="right"/>
              <w:rPr>
                <w:sz w:val="20"/>
                <w:szCs w:val="20"/>
                <w:lang w:val="es-ES"/>
              </w:rPr>
            </w:pPr>
            <w:r w:rsidRPr="00C174D5">
              <w:rPr>
                <w:sz w:val="20"/>
                <w:szCs w:val="20"/>
                <w:lang w:val="es-ES"/>
              </w:rPr>
              <w:t>SE Granada</w:t>
            </w:r>
          </w:p>
        </w:tc>
        <w:tc>
          <w:tcPr>
            <w:tcW w:w="1386" w:type="dxa"/>
            <w:shd w:val="clear" w:color="auto" w:fill="auto"/>
            <w:vAlign w:val="center"/>
          </w:tcPr>
          <w:p w14:paraId="0FCF6047" w14:textId="77777777" w:rsidR="00C92C58" w:rsidRPr="00C174D5" w:rsidRDefault="00C92C58" w:rsidP="00B15A9A">
            <w:pPr>
              <w:spacing w:after="0" w:line="240" w:lineRule="auto"/>
              <w:jc w:val="center"/>
              <w:rPr>
                <w:sz w:val="20"/>
                <w:szCs w:val="20"/>
                <w:lang w:val="es-ES"/>
              </w:rPr>
            </w:pPr>
            <w:r w:rsidRPr="00C174D5">
              <w:rPr>
                <w:sz w:val="20"/>
                <w:szCs w:val="20"/>
                <w:lang w:val="es-ES"/>
              </w:rPr>
              <w:t>420</w:t>
            </w:r>
          </w:p>
        </w:tc>
      </w:tr>
      <w:tr w:rsidR="00C92C58" w:rsidRPr="00C174D5" w14:paraId="10EBD6C6" w14:textId="77777777" w:rsidTr="00B15A9A">
        <w:trPr>
          <w:trHeight w:val="222"/>
          <w:jc w:val="center"/>
        </w:trPr>
        <w:tc>
          <w:tcPr>
            <w:tcW w:w="4152" w:type="dxa"/>
            <w:shd w:val="clear" w:color="auto" w:fill="auto"/>
            <w:vAlign w:val="center"/>
          </w:tcPr>
          <w:p w14:paraId="0EE31016" w14:textId="77777777" w:rsidR="00C92C58" w:rsidRPr="00C174D5" w:rsidRDefault="00C92C58" w:rsidP="00B15A9A">
            <w:pPr>
              <w:spacing w:after="0" w:line="240" w:lineRule="auto"/>
              <w:jc w:val="right"/>
              <w:rPr>
                <w:sz w:val="20"/>
                <w:szCs w:val="20"/>
                <w:lang w:val="es-ES"/>
              </w:rPr>
            </w:pPr>
            <w:r w:rsidRPr="00C174D5">
              <w:rPr>
                <w:sz w:val="20"/>
                <w:szCs w:val="20"/>
                <w:lang w:val="es-ES"/>
              </w:rPr>
              <w:t>SE Zeledón</w:t>
            </w:r>
          </w:p>
        </w:tc>
        <w:tc>
          <w:tcPr>
            <w:tcW w:w="1386" w:type="dxa"/>
            <w:shd w:val="clear" w:color="auto" w:fill="auto"/>
            <w:vAlign w:val="center"/>
          </w:tcPr>
          <w:p w14:paraId="37ECC26E" w14:textId="77777777" w:rsidR="00C92C58" w:rsidRPr="00C174D5" w:rsidRDefault="00C92C58" w:rsidP="00B15A9A">
            <w:pPr>
              <w:spacing w:after="0" w:line="240" w:lineRule="auto"/>
              <w:jc w:val="center"/>
              <w:rPr>
                <w:sz w:val="20"/>
                <w:szCs w:val="20"/>
                <w:lang w:val="es-ES"/>
              </w:rPr>
            </w:pPr>
            <w:r w:rsidRPr="00C174D5">
              <w:rPr>
                <w:sz w:val="20"/>
                <w:szCs w:val="20"/>
                <w:lang w:val="es-ES"/>
              </w:rPr>
              <w:t>921</w:t>
            </w:r>
          </w:p>
        </w:tc>
      </w:tr>
      <w:tr w:rsidR="00C92C58" w:rsidRPr="00C174D5" w14:paraId="79D09575" w14:textId="77777777" w:rsidTr="00B15A9A">
        <w:trPr>
          <w:trHeight w:val="222"/>
          <w:jc w:val="center"/>
        </w:trPr>
        <w:tc>
          <w:tcPr>
            <w:tcW w:w="4152" w:type="dxa"/>
            <w:shd w:val="clear" w:color="auto" w:fill="auto"/>
            <w:vAlign w:val="center"/>
          </w:tcPr>
          <w:p w14:paraId="429B111E" w14:textId="77777777" w:rsidR="00C92C58" w:rsidRPr="00C174D5" w:rsidRDefault="00C92C58" w:rsidP="00B15A9A">
            <w:pPr>
              <w:spacing w:after="0" w:line="240" w:lineRule="auto"/>
              <w:jc w:val="right"/>
              <w:rPr>
                <w:sz w:val="20"/>
                <w:szCs w:val="20"/>
                <w:lang w:val="es-ES"/>
              </w:rPr>
            </w:pPr>
            <w:r w:rsidRPr="00C174D5">
              <w:rPr>
                <w:sz w:val="20"/>
                <w:szCs w:val="20"/>
                <w:lang w:val="es-ES"/>
              </w:rPr>
              <w:t xml:space="preserve">SE </w:t>
            </w:r>
            <w:proofErr w:type="spellStart"/>
            <w:r w:rsidRPr="00C174D5">
              <w:rPr>
                <w:sz w:val="20"/>
                <w:szCs w:val="20"/>
                <w:lang w:val="es-ES"/>
              </w:rPr>
              <w:t>Masatepe</w:t>
            </w:r>
            <w:proofErr w:type="spellEnd"/>
          </w:p>
        </w:tc>
        <w:tc>
          <w:tcPr>
            <w:tcW w:w="1386" w:type="dxa"/>
            <w:shd w:val="clear" w:color="auto" w:fill="auto"/>
            <w:vAlign w:val="center"/>
          </w:tcPr>
          <w:p w14:paraId="51EC85A9" w14:textId="77777777" w:rsidR="00C92C58" w:rsidRPr="00C174D5" w:rsidRDefault="00C92C58" w:rsidP="00B15A9A">
            <w:pPr>
              <w:spacing w:after="0" w:line="240" w:lineRule="auto"/>
              <w:jc w:val="center"/>
              <w:rPr>
                <w:sz w:val="20"/>
                <w:szCs w:val="20"/>
                <w:lang w:val="es-ES"/>
              </w:rPr>
            </w:pPr>
            <w:r w:rsidRPr="00C174D5">
              <w:rPr>
                <w:sz w:val="20"/>
                <w:szCs w:val="20"/>
                <w:lang w:val="es-ES"/>
              </w:rPr>
              <w:t>93</w:t>
            </w:r>
          </w:p>
        </w:tc>
      </w:tr>
      <w:tr w:rsidR="00C92C58" w:rsidRPr="00C174D5" w14:paraId="73BBB1A0" w14:textId="77777777" w:rsidTr="00B15A9A">
        <w:trPr>
          <w:trHeight w:val="222"/>
          <w:jc w:val="center"/>
        </w:trPr>
        <w:tc>
          <w:tcPr>
            <w:tcW w:w="4152" w:type="dxa"/>
            <w:shd w:val="clear" w:color="auto" w:fill="auto"/>
            <w:vAlign w:val="center"/>
          </w:tcPr>
          <w:p w14:paraId="5202AD60" w14:textId="77777777" w:rsidR="00C92C58" w:rsidRPr="00C174D5" w:rsidRDefault="00C92C58" w:rsidP="00B15A9A">
            <w:pPr>
              <w:spacing w:after="0" w:line="240" w:lineRule="auto"/>
              <w:jc w:val="left"/>
              <w:rPr>
                <w:sz w:val="20"/>
                <w:szCs w:val="20"/>
                <w:lang w:val="es-ES"/>
              </w:rPr>
            </w:pPr>
            <w:r w:rsidRPr="00C174D5">
              <w:rPr>
                <w:iCs/>
                <w:sz w:val="20"/>
                <w:szCs w:val="20"/>
                <w:lang w:val="es-ES"/>
              </w:rPr>
              <w:t>Nuevos clientes rurales con proyecto - 2017</w:t>
            </w:r>
          </w:p>
        </w:tc>
        <w:tc>
          <w:tcPr>
            <w:tcW w:w="1386" w:type="dxa"/>
            <w:shd w:val="clear" w:color="auto" w:fill="auto"/>
            <w:vAlign w:val="center"/>
          </w:tcPr>
          <w:p w14:paraId="4BC23017" w14:textId="77777777" w:rsidR="00C92C58" w:rsidRPr="00C174D5" w:rsidRDefault="00C92C58" w:rsidP="00B15A9A">
            <w:pPr>
              <w:spacing w:after="0" w:line="240" w:lineRule="auto"/>
              <w:jc w:val="center"/>
              <w:rPr>
                <w:sz w:val="20"/>
                <w:szCs w:val="20"/>
                <w:lang w:val="es-ES"/>
              </w:rPr>
            </w:pPr>
            <w:r w:rsidRPr="00C174D5">
              <w:rPr>
                <w:iCs/>
                <w:sz w:val="20"/>
                <w:szCs w:val="20"/>
                <w:lang w:val="es-ES"/>
              </w:rPr>
              <w:t>1434</w:t>
            </w:r>
          </w:p>
        </w:tc>
      </w:tr>
      <w:tr w:rsidR="00C92C58" w:rsidRPr="00C174D5" w14:paraId="680FABDC" w14:textId="77777777" w:rsidTr="00B15A9A">
        <w:trPr>
          <w:trHeight w:val="222"/>
          <w:jc w:val="center"/>
        </w:trPr>
        <w:tc>
          <w:tcPr>
            <w:tcW w:w="4152" w:type="dxa"/>
            <w:shd w:val="clear" w:color="auto" w:fill="auto"/>
            <w:vAlign w:val="center"/>
          </w:tcPr>
          <w:p w14:paraId="029A4E13" w14:textId="77777777" w:rsidR="00C92C58" w:rsidRPr="00C174D5" w:rsidRDefault="00C92C58" w:rsidP="00B15A9A">
            <w:pPr>
              <w:spacing w:after="0" w:line="240" w:lineRule="auto"/>
              <w:jc w:val="right"/>
              <w:rPr>
                <w:sz w:val="20"/>
                <w:szCs w:val="20"/>
                <w:lang w:val="es-ES"/>
              </w:rPr>
            </w:pPr>
            <w:r w:rsidRPr="00C174D5">
              <w:rPr>
                <w:sz w:val="20"/>
                <w:szCs w:val="20"/>
                <w:lang w:val="es-ES"/>
              </w:rPr>
              <w:t>SE Granada</w:t>
            </w:r>
          </w:p>
        </w:tc>
        <w:tc>
          <w:tcPr>
            <w:tcW w:w="1386" w:type="dxa"/>
            <w:shd w:val="clear" w:color="auto" w:fill="auto"/>
            <w:vAlign w:val="center"/>
          </w:tcPr>
          <w:p w14:paraId="74B1E79F" w14:textId="77777777" w:rsidR="00C92C58" w:rsidRPr="00C174D5" w:rsidRDefault="00C92C58" w:rsidP="00B15A9A">
            <w:pPr>
              <w:spacing w:after="0" w:line="240" w:lineRule="auto"/>
              <w:jc w:val="center"/>
              <w:rPr>
                <w:sz w:val="20"/>
                <w:szCs w:val="20"/>
                <w:lang w:val="es-ES"/>
              </w:rPr>
            </w:pPr>
            <w:r w:rsidRPr="00C174D5">
              <w:rPr>
                <w:sz w:val="20"/>
                <w:szCs w:val="20"/>
                <w:lang w:val="es-ES"/>
              </w:rPr>
              <w:t>210</w:t>
            </w:r>
          </w:p>
        </w:tc>
      </w:tr>
      <w:tr w:rsidR="00C92C58" w:rsidRPr="00C174D5" w14:paraId="2C689D43" w14:textId="77777777" w:rsidTr="00B15A9A">
        <w:trPr>
          <w:trHeight w:val="222"/>
          <w:jc w:val="center"/>
        </w:trPr>
        <w:tc>
          <w:tcPr>
            <w:tcW w:w="4152" w:type="dxa"/>
            <w:shd w:val="clear" w:color="auto" w:fill="auto"/>
            <w:vAlign w:val="center"/>
          </w:tcPr>
          <w:p w14:paraId="3C40F34F" w14:textId="77777777" w:rsidR="00C92C58" w:rsidRPr="00C174D5" w:rsidRDefault="00C92C58" w:rsidP="00B15A9A">
            <w:pPr>
              <w:spacing w:after="0" w:line="240" w:lineRule="auto"/>
              <w:jc w:val="right"/>
              <w:rPr>
                <w:sz w:val="20"/>
                <w:szCs w:val="20"/>
                <w:lang w:val="es-ES"/>
              </w:rPr>
            </w:pPr>
            <w:r w:rsidRPr="00C174D5">
              <w:rPr>
                <w:sz w:val="20"/>
                <w:szCs w:val="20"/>
                <w:lang w:val="es-ES"/>
              </w:rPr>
              <w:t>SE Zeledón</w:t>
            </w:r>
          </w:p>
        </w:tc>
        <w:tc>
          <w:tcPr>
            <w:tcW w:w="1386" w:type="dxa"/>
            <w:shd w:val="clear" w:color="auto" w:fill="auto"/>
            <w:vAlign w:val="center"/>
          </w:tcPr>
          <w:p w14:paraId="22C2F61E" w14:textId="77777777" w:rsidR="00C92C58" w:rsidRPr="00C174D5" w:rsidRDefault="00C92C58" w:rsidP="00B15A9A">
            <w:pPr>
              <w:spacing w:after="0" w:line="240" w:lineRule="auto"/>
              <w:jc w:val="center"/>
              <w:rPr>
                <w:sz w:val="20"/>
                <w:szCs w:val="20"/>
                <w:lang w:val="es-ES"/>
              </w:rPr>
            </w:pPr>
            <w:r w:rsidRPr="00C174D5">
              <w:rPr>
                <w:sz w:val="20"/>
                <w:szCs w:val="20"/>
                <w:lang w:val="es-ES"/>
              </w:rPr>
              <w:t>921</w:t>
            </w:r>
          </w:p>
        </w:tc>
      </w:tr>
      <w:tr w:rsidR="00C92C58" w:rsidRPr="00C174D5" w14:paraId="1B68F05B" w14:textId="77777777" w:rsidTr="00B15A9A">
        <w:trPr>
          <w:trHeight w:val="222"/>
          <w:jc w:val="center"/>
        </w:trPr>
        <w:tc>
          <w:tcPr>
            <w:tcW w:w="4152" w:type="dxa"/>
            <w:shd w:val="clear" w:color="auto" w:fill="auto"/>
            <w:vAlign w:val="center"/>
          </w:tcPr>
          <w:p w14:paraId="4465EE4E" w14:textId="77777777" w:rsidR="00C92C58" w:rsidRPr="00C174D5" w:rsidRDefault="00C92C58" w:rsidP="00B15A9A">
            <w:pPr>
              <w:spacing w:after="0" w:line="240" w:lineRule="auto"/>
              <w:jc w:val="right"/>
              <w:rPr>
                <w:sz w:val="20"/>
                <w:szCs w:val="20"/>
                <w:lang w:val="es-ES"/>
              </w:rPr>
            </w:pPr>
            <w:r w:rsidRPr="00C174D5">
              <w:rPr>
                <w:sz w:val="20"/>
                <w:szCs w:val="20"/>
                <w:lang w:val="es-ES"/>
              </w:rPr>
              <w:t xml:space="preserve">SE </w:t>
            </w:r>
            <w:proofErr w:type="spellStart"/>
            <w:r w:rsidRPr="00C174D5">
              <w:rPr>
                <w:sz w:val="20"/>
                <w:szCs w:val="20"/>
                <w:lang w:val="es-ES"/>
              </w:rPr>
              <w:t>Masatepe</w:t>
            </w:r>
            <w:proofErr w:type="spellEnd"/>
          </w:p>
        </w:tc>
        <w:tc>
          <w:tcPr>
            <w:tcW w:w="1386" w:type="dxa"/>
            <w:shd w:val="clear" w:color="auto" w:fill="auto"/>
            <w:vAlign w:val="center"/>
          </w:tcPr>
          <w:p w14:paraId="1573ED72" w14:textId="77777777" w:rsidR="00C92C58" w:rsidRPr="00C174D5" w:rsidRDefault="00C92C58" w:rsidP="00B15A9A">
            <w:pPr>
              <w:spacing w:after="0" w:line="240" w:lineRule="auto"/>
              <w:jc w:val="center"/>
              <w:rPr>
                <w:sz w:val="20"/>
                <w:szCs w:val="20"/>
                <w:lang w:val="es-ES"/>
              </w:rPr>
            </w:pPr>
            <w:r w:rsidRPr="00C174D5">
              <w:rPr>
                <w:sz w:val="20"/>
                <w:szCs w:val="20"/>
                <w:lang w:val="es-ES"/>
              </w:rPr>
              <w:t>33</w:t>
            </w:r>
          </w:p>
        </w:tc>
      </w:tr>
      <w:tr w:rsidR="00C92C58" w:rsidRPr="00C174D5" w14:paraId="2B283C30" w14:textId="77777777" w:rsidTr="00B15A9A">
        <w:trPr>
          <w:trHeight w:val="222"/>
          <w:jc w:val="center"/>
        </w:trPr>
        <w:tc>
          <w:tcPr>
            <w:tcW w:w="4152" w:type="dxa"/>
            <w:shd w:val="clear" w:color="auto" w:fill="auto"/>
            <w:vAlign w:val="center"/>
          </w:tcPr>
          <w:p w14:paraId="23D9808B" w14:textId="77777777" w:rsidR="00C92C58" w:rsidRPr="00C174D5" w:rsidRDefault="00C92C58" w:rsidP="00B15A9A">
            <w:pPr>
              <w:spacing w:after="0" w:line="240" w:lineRule="auto"/>
              <w:jc w:val="right"/>
              <w:rPr>
                <w:sz w:val="20"/>
                <w:szCs w:val="20"/>
                <w:lang w:val="es-ES"/>
              </w:rPr>
            </w:pPr>
            <w:r w:rsidRPr="00C174D5">
              <w:rPr>
                <w:sz w:val="20"/>
                <w:szCs w:val="20"/>
                <w:lang w:val="es-ES"/>
              </w:rPr>
              <w:t>SE Catarina</w:t>
            </w:r>
          </w:p>
        </w:tc>
        <w:tc>
          <w:tcPr>
            <w:tcW w:w="1386" w:type="dxa"/>
            <w:shd w:val="clear" w:color="auto" w:fill="auto"/>
            <w:vAlign w:val="center"/>
          </w:tcPr>
          <w:p w14:paraId="6A2511C9" w14:textId="77777777" w:rsidR="00C92C58" w:rsidRPr="00C174D5" w:rsidRDefault="00C92C58" w:rsidP="00B15A9A">
            <w:pPr>
              <w:spacing w:after="0" w:line="240" w:lineRule="auto"/>
              <w:jc w:val="center"/>
              <w:rPr>
                <w:sz w:val="20"/>
                <w:szCs w:val="20"/>
                <w:lang w:val="es-ES"/>
              </w:rPr>
            </w:pPr>
            <w:r w:rsidRPr="00C174D5">
              <w:rPr>
                <w:sz w:val="20"/>
                <w:szCs w:val="20"/>
                <w:lang w:val="es-ES"/>
              </w:rPr>
              <w:t>270</w:t>
            </w:r>
          </w:p>
        </w:tc>
      </w:tr>
    </w:tbl>
    <w:p w14:paraId="4199D40E" w14:textId="77777777" w:rsidR="00C92C58" w:rsidRPr="00C174D5" w:rsidRDefault="00C92C58" w:rsidP="00C92C58">
      <w:pPr>
        <w:ind w:left="1560" w:right="1559"/>
        <w:rPr>
          <w:sz w:val="18"/>
          <w:lang w:val="es-ES"/>
        </w:rPr>
      </w:pPr>
      <w:r w:rsidRPr="00C174D5">
        <w:rPr>
          <w:sz w:val="18"/>
          <w:lang w:val="es-ES"/>
        </w:rPr>
        <w:t xml:space="preserve">Fuente: Elaboración propia en base a información de ENATREL provista por el BID </w:t>
      </w:r>
    </w:p>
    <w:p w14:paraId="4568F607" w14:textId="77777777" w:rsidR="00C92C58" w:rsidRPr="00C174D5" w:rsidRDefault="00C92C58" w:rsidP="00C92C58">
      <w:pPr>
        <w:rPr>
          <w:lang w:val="es-ES"/>
        </w:rPr>
      </w:pPr>
      <w:r w:rsidRPr="00C174D5">
        <w:rPr>
          <w:lang w:val="es-ES"/>
        </w:rPr>
        <w:t xml:space="preserve">En la sección </w:t>
      </w:r>
      <w:r w:rsidRPr="00C174D5">
        <w:rPr>
          <w:lang w:val="es-ES"/>
        </w:rPr>
        <w:fldChar w:fldCharType="begin" w:fldLock="1"/>
      </w:r>
      <w:r w:rsidRPr="00C174D5">
        <w:rPr>
          <w:lang w:val="es-ES"/>
        </w:rPr>
        <w:instrText xml:space="preserve"> REF _Ref445809268 \r \h  \* MERGEFORMAT </w:instrText>
      </w:r>
      <w:r w:rsidRPr="00C174D5">
        <w:rPr>
          <w:lang w:val="es-ES"/>
        </w:rPr>
      </w:r>
      <w:r w:rsidRPr="00C174D5">
        <w:rPr>
          <w:lang w:val="es-ES"/>
        </w:rPr>
        <w:fldChar w:fldCharType="separate"/>
      </w:r>
      <w:r w:rsidRPr="00C174D5">
        <w:rPr>
          <w:lang w:val="es-ES"/>
        </w:rPr>
        <w:t>3.3.4.2</w:t>
      </w:r>
      <w:r w:rsidRPr="00C174D5">
        <w:rPr>
          <w:lang w:val="es-ES"/>
        </w:rPr>
        <w:fldChar w:fldCharType="end"/>
      </w:r>
      <w:r w:rsidRPr="00C174D5">
        <w:rPr>
          <w:lang w:val="es-ES"/>
        </w:rPr>
        <w:t xml:space="preserve"> se presentan los resultados del análisis económico y financiero del proyecto.</w:t>
      </w:r>
    </w:p>
    <w:p w14:paraId="66B33552" w14:textId="77777777" w:rsidR="00C92C58" w:rsidRPr="00C174D5" w:rsidRDefault="00C92C58" w:rsidP="00C92C58">
      <w:pPr>
        <w:pStyle w:val="Heading2"/>
        <w:rPr>
          <w:lang w:val="es-ES"/>
        </w:rPr>
      </w:pPr>
      <w:bookmarkStart w:id="159" w:name="_Ref445809268"/>
      <w:bookmarkStart w:id="160" w:name="_Toc447546951"/>
      <w:bookmarkStart w:id="161" w:name="_Toc456353135"/>
      <w:r w:rsidRPr="00C174D5">
        <w:rPr>
          <w:lang w:val="es-ES"/>
        </w:rPr>
        <w:t>SE Catarina – Evaluación</w:t>
      </w:r>
      <w:bookmarkEnd w:id="159"/>
      <w:bookmarkEnd w:id="160"/>
      <w:bookmarkEnd w:id="161"/>
    </w:p>
    <w:p w14:paraId="04116F46" w14:textId="77777777" w:rsidR="00C92C58" w:rsidRPr="00C174D5" w:rsidRDefault="00C92C58" w:rsidP="00C92C58">
      <w:pPr>
        <w:rPr>
          <w:lang w:val="es-ES"/>
        </w:rPr>
      </w:pPr>
      <w:r w:rsidRPr="00C174D5">
        <w:rPr>
          <w:lang w:val="es-ES"/>
        </w:rPr>
        <w:t xml:space="preserve">En este caso, los beneficios económicos del proyecto están dados por la disminución de la energía de falla (neta de costos) más los recursos liberados netos de los clientes rurales. Los costos, por su parte, están dados por la inversión y los costos de operación y mantenimiento asociados a la misma, y también por las pérdidas que se verifican en presencia de proyecto. Todas estas variables son ajustadas por los respectivos FC. Estos valores, junto con el VPNE del proyecto, se presentan en la </w:t>
      </w:r>
      <w:r w:rsidRPr="00C174D5">
        <w:rPr>
          <w:lang w:val="es-ES"/>
        </w:rPr>
        <w:fldChar w:fldCharType="begin"/>
      </w:r>
      <w:r w:rsidRPr="00C174D5">
        <w:rPr>
          <w:lang w:val="es-ES"/>
        </w:rPr>
        <w:instrText xml:space="preserve"> REF _Ref450035941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28</w:t>
      </w:r>
      <w:r w:rsidRPr="00C174D5">
        <w:rPr>
          <w:lang w:val="es-ES"/>
        </w:rPr>
        <w:fldChar w:fldCharType="end"/>
      </w:r>
      <w:r w:rsidRPr="00C174D5">
        <w:rPr>
          <w:lang w:val="es-ES"/>
        </w:rPr>
        <w:t>.</w:t>
      </w:r>
    </w:p>
    <w:p w14:paraId="2BE673CC" w14:textId="77777777" w:rsidR="00C92C58" w:rsidRPr="00C174D5" w:rsidRDefault="00C92C58" w:rsidP="00C92C58">
      <w:pPr>
        <w:keepNext/>
        <w:keepLines/>
        <w:spacing w:after="120"/>
        <w:jc w:val="center"/>
        <w:rPr>
          <w:b/>
          <w:sz w:val="20"/>
          <w:lang w:val="es-ES"/>
        </w:rPr>
      </w:pPr>
      <w:bookmarkStart w:id="162" w:name="_Ref450035941"/>
      <w:bookmarkStart w:id="163" w:name="_Toc447546987"/>
      <w:bookmarkStart w:id="164" w:name="_Toc456353184"/>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28</w:t>
      </w:r>
      <w:r w:rsidRPr="00C174D5">
        <w:rPr>
          <w:b/>
          <w:sz w:val="20"/>
          <w:lang w:val="es-ES"/>
        </w:rPr>
        <w:fldChar w:fldCharType="end"/>
      </w:r>
      <w:bookmarkEnd w:id="162"/>
      <w:r w:rsidRPr="00C174D5">
        <w:rPr>
          <w:b/>
          <w:sz w:val="20"/>
          <w:lang w:val="es-ES"/>
        </w:rPr>
        <w:t>: Resultados evaluación económica – SE Catarina</w:t>
      </w:r>
      <w:bookmarkEnd w:id="163"/>
      <w:bookmarkEnd w:id="164"/>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306"/>
        <w:gridCol w:w="1512"/>
        <w:gridCol w:w="1400"/>
        <w:gridCol w:w="1483"/>
        <w:gridCol w:w="1344"/>
        <w:gridCol w:w="676"/>
      </w:tblGrid>
      <w:tr w:rsidR="00C92C58" w:rsidRPr="00C174D5" w14:paraId="28635CF9" w14:textId="77777777" w:rsidTr="00B15A9A">
        <w:trPr>
          <w:trHeight w:val="35"/>
          <w:jc w:val="center"/>
        </w:trPr>
        <w:tc>
          <w:tcPr>
            <w:tcW w:w="230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42F528C2" w14:textId="77777777" w:rsidR="00C92C58" w:rsidRPr="00C174D5" w:rsidRDefault="00C92C58" w:rsidP="00B15A9A">
            <w:pPr>
              <w:keepNext/>
              <w:keepLines/>
              <w:spacing w:after="0"/>
              <w:jc w:val="center"/>
              <w:rPr>
                <w:b/>
                <w:sz w:val="20"/>
                <w:lang w:val="es-ES"/>
              </w:rPr>
            </w:pPr>
          </w:p>
        </w:tc>
        <w:tc>
          <w:tcPr>
            <w:tcW w:w="1512"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52297789" w14:textId="77777777" w:rsidR="00C92C58" w:rsidRPr="00C174D5" w:rsidRDefault="00C92C58" w:rsidP="00B15A9A">
            <w:pPr>
              <w:keepNext/>
              <w:keepLines/>
              <w:spacing w:after="0"/>
              <w:jc w:val="center"/>
              <w:rPr>
                <w:b/>
                <w:sz w:val="20"/>
                <w:lang w:val="es-ES"/>
              </w:rPr>
            </w:pPr>
            <w:r w:rsidRPr="00C174D5">
              <w:rPr>
                <w:b/>
                <w:bCs/>
                <w:sz w:val="20"/>
                <w:lang w:val="es-ES"/>
              </w:rPr>
              <w:t xml:space="preserve">VP Inversión </w:t>
            </w:r>
            <w:proofErr w:type="spellStart"/>
            <w:r w:rsidRPr="00C174D5">
              <w:rPr>
                <w:b/>
                <w:bCs/>
                <w:sz w:val="20"/>
                <w:lang w:val="es-ES"/>
              </w:rPr>
              <w:t>ec</w:t>
            </w:r>
            <w:proofErr w:type="spellEnd"/>
            <w:r w:rsidRPr="00C174D5">
              <w:rPr>
                <w:b/>
                <w:bCs/>
                <w:sz w:val="20"/>
                <w:lang w:val="es-ES"/>
              </w:rPr>
              <w:t>. (US$)</w:t>
            </w:r>
          </w:p>
        </w:tc>
        <w:tc>
          <w:tcPr>
            <w:tcW w:w="1400"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1BDBB38A" w14:textId="77777777" w:rsidR="00C92C58" w:rsidRPr="00C174D5" w:rsidRDefault="00C92C58" w:rsidP="00B15A9A">
            <w:pPr>
              <w:keepNext/>
              <w:keepLines/>
              <w:spacing w:after="0"/>
              <w:jc w:val="center"/>
              <w:rPr>
                <w:b/>
                <w:sz w:val="20"/>
                <w:lang w:val="es-ES"/>
              </w:rPr>
            </w:pPr>
            <w:r w:rsidRPr="00C174D5">
              <w:rPr>
                <w:b/>
                <w:bCs/>
                <w:sz w:val="20"/>
                <w:lang w:val="es-ES"/>
              </w:rPr>
              <w:t xml:space="preserve">VP Costos </w:t>
            </w:r>
            <w:proofErr w:type="spellStart"/>
            <w:r w:rsidRPr="00C174D5">
              <w:rPr>
                <w:b/>
                <w:bCs/>
                <w:sz w:val="20"/>
                <w:lang w:val="es-ES"/>
              </w:rPr>
              <w:t>ec</w:t>
            </w:r>
            <w:proofErr w:type="spellEnd"/>
            <w:r w:rsidRPr="00C174D5">
              <w:rPr>
                <w:b/>
                <w:bCs/>
                <w:sz w:val="20"/>
                <w:lang w:val="es-ES"/>
              </w:rPr>
              <w:t>. (US$)</w:t>
            </w:r>
          </w:p>
        </w:tc>
        <w:tc>
          <w:tcPr>
            <w:tcW w:w="1483"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568376C5" w14:textId="77777777" w:rsidR="00C92C58" w:rsidRPr="00C174D5" w:rsidRDefault="00C92C58" w:rsidP="00B15A9A">
            <w:pPr>
              <w:keepNext/>
              <w:keepLines/>
              <w:spacing w:after="0"/>
              <w:jc w:val="center"/>
              <w:rPr>
                <w:b/>
                <w:sz w:val="20"/>
                <w:lang w:val="es-ES"/>
              </w:rPr>
            </w:pPr>
            <w:r w:rsidRPr="00C174D5">
              <w:rPr>
                <w:b/>
                <w:bCs/>
                <w:sz w:val="20"/>
                <w:lang w:val="es-ES"/>
              </w:rPr>
              <w:t xml:space="preserve">VP Beneficios </w:t>
            </w:r>
            <w:proofErr w:type="spellStart"/>
            <w:r w:rsidRPr="00C174D5">
              <w:rPr>
                <w:b/>
                <w:bCs/>
                <w:sz w:val="20"/>
                <w:lang w:val="es-ES"/>
              </w:rPr>
              <w:t>ec</w:t>
            </w:r>
            <w:proofErr w:type="spellEnd"/>
            <w:r w:rsidRPr="00C174D5">
              <w:rPr>
                <w:b/>
                <w:bCs/>
                <w:sz w:val="20"/>
                <w:lang w:val="es-ES"/>
              </w:rPr>
              <w:t>. (US$)</w:t>
            </w:r>
          </w:p>
        </w:tc>
        <w:tc>
          <w:tcPr>
            <w:tcW w:w="1344"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0C7041E8" w14:textId="77777777" w:rsidR="00C92C58" w:rsidRPr="00C174D5" w:rsidRDefault="00C92C58" w:rsidP="00B15A9A">
            <w:pPr>
              <w:keepNext/>
              <w:keepLines/>
              <w:spacing w:after="0"/>
              <w:jc w:val="center"/>
              <w:rPr>
                <w:b/>
                <w:sz w:val="20"/>
                <w:lang w:val="es-ES"/>
              </w:rPr>
            </w:pPr>
            <w:r w:rsidRPr="00C174D5">
              <w:rPr>
                <w:b/>
                <w:bCs/>
                <w:sz w:val="20"/>
                <w:lang w:val="es-ES"/>
              </w:rPr>
              <w:t>VPNE (US$)</w:t>
            </w:r>
          </w:p>
        </w:tc>
        <w:tc>
          <w:tcPr>
            <w:tcW w:w="67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499D08B1" w14:textId="77777777" w:rsidR="00C92C58" w:rsidRPr="00C174D5" w:rsidRDefault="00C92C58" w:rsidP="00B15A9A">
            <w:pPr>
              <w:keepNext/>
              <w:keepLines/>
              <w:spacing w:after="0"/>
              <w:jc w:val="center"/>
              <w:rPr>
                <w:b/>
                <w:sz w:val="20"/>
                <w:lang w:val="es-ES"/>
              </w:rPr>
            </w:pPr>
            <w:r w:rsidRPr="00C174D5">
              <w:rPr>
                <w:b/>
                <w:bCs/>
                <w:sz w:val="20"/>
                <w:lang w:val="es-ES"/>
              </w:rPr>
              <w:t>TIRE</w:t>
            </w:r>
          </w:p>
        </w:tc>
      </w:tr>
      <w:tr w:rsidR="00C92C58" w:rsidRPr="00C174D5" w14:paraId="094AD1CA" w14:textId="77777777" w:rsidTr="00B15A9A">
        <w:trPr>
          <w:trHeight w:val="1105"/>
          <w:jc w:val="center"/>
        </w:trPr>
        <w:tc>
          <w:tcPr>
            <w:tcW w:w="2306" w:type="dxa"/>
            <w:tcBorders>
              <w:top w:val="single" w:sz="12" w:space="0" w:color="000000"/>
            </w:tcBorders>
            <w:shd w:val="clear" w:color="auto" w:fill="auto"/>
            <w:tcMar>
              <w:top w:w="15" w:type="dxa"/>
              <w:left w:w="108" w:type="dxa"/>
              <w:bottom w:w="0" w:type="dxa"/>
              <w:right w:w="108" w:type="dxa"/>
            </w:tcMar>
            <w:vAlign w:val="center"/>
            <w:hideMark/>
          </w:tcPr>
          <w:p w14:paraId="06F27ACD" w14:textId="77777777" w:rsidR="00C92C58" w:rsidRPr="00C174D5" w:rsidRDefault="00C92C58" w:rsidP="00B15A9A">
            <w:pPr>
              <w:keepNext/>
              <w:keepLines/>
              <w:spacing w:after="0"/>
              <w:jc w:val="center"/>
              <w:rPr>
                <w:sz w:val="20"/>
                <w:lang w:val="es-ES"/>
              </w:rPr>
            </w:pPr>
            <w:r w:rsidRPr="00C174D5">
              <w:rPr>
                <w:bCs/>
                <w:sz w:val="20"/>
                <w:lang w:val="es-ES"/>
              </w:rPr>
              <w:t>Situación Con Proyecto</w:t>
            </w:r>
          </w:p>
          <w:p w14:paraId="1F5DC2BF" w14:textId="77777777" w:rsidR="00C92C58" w:rsidRPr="00C174D5" w:rsidRDefault="00C92C58" w:rsidP="00B15A9A">
            <w:pPr>
              <w:keepNext/>
              <w:keepLines/>
              <w:spacing w:after="0"/>
              <w:jc w:val="center"/>
              <w:rPr>
                <w:sz w:val="20"/>
                <w:lang w:val="es-ES"/>
              </w:rPr>
            </w:pPr>
            <w:r w:rsidRPr="00C174D5">
              <w:rPr>
                <w:bCs/>
                <w:sz w:val="20"/>
                <w:lang w:val="es-ES"/>
              </w:rPr>
              <w:t>-</w:t>
            </w:r>
          </w:p>
          <w:p w14:paraId="6B04DCAC" w14:textId="77777777" w:rsidR="00C92C58" w:rsidRPr="00C174D5" w:rsidRDefault="00C92C58" w:rsidP="00B15A9A">
            <w:pPr>
              <w:keepNext/>
              <w:keepLines/>
              <w:spacing w:after="0"/>
              <w:jc w:val="center"/>
              <w:rPr>
                <w:sz w:val="20"/>
                <w:lang w:val="es-ES"/>
              </w:rPr>
            </w:pPr>
            <w:r w:rsidRPr="00C174D5">
              <w:rPr>
                <w:bCs/>
                <w:sz w:val="20"/>
                <w:lang w:val="es-ES"/>
              </w:rPr>
              <w:t>Situación sin proyecto</w:t>
            </w:r>
          </w:p>
        </w:tc>
        <w:tc>
          <w:tcPr>
            <w:tcW w:w="1512" w:type="dxa"/>
            <w:tcBorders>
              <w:top w:val="single" w:sz="12" w:space="0" w:color="000000"/>
            </w:tcBorders>
            <w:shd w:val="clear" w:color="auto" w:fill="auto"/>
            <w:tcMar>
              <w:top w:w="15" w:type="dxa"/>
              <w:left w:w="108" w:type="dxa"/>
              <w:bottom w:w="0" w:type="dxa"/>
              <w:right w:w="108" w:type="dxa"/>
            </w:tcMar>
            <w:vAlign w:val="center"/>
          </w:tcPr>
          <w:p w14:paraId="349290AC" w14:textId="77777777" w:rsidR="00C92C58" w:rsidRPr="00C174D5" w:rsidRDefault="00C92C58" w:rsidP="00B15A9A">
            <w:pPr>
              <w:keepNext/>
              <w:keepLines/>
              <w:spacing w:after="0"/>
              <w:jc w:val="center"/>
              <w:rPr>
                <w:sz w:val="20"/>
                <w:lang w:val="es-ES"/>
              </w:rPr>
            </w:pPr>
            <w:r w:rsidRPr="00C174D5">
              <w:rPr>
                <w:sz w:val="20"/>
                <w:lang w:val="es-ES"/>
              </w:rPr>
              <w:t>1.779.604</w:t>
            </w:r>
          </w:p>
        </w:tc>
        <w:tc>
          <w:tcPr>
            <w:tcW w:w="1400" w:type="dxa"/>
            <w:tcBorders>
              <w:top w:val="single" w:sz="12" w:space="0" w:color="000000"/>
            </w:tcBorders>
            <w:shd w:val="clear" w:color="auto" w:fill="auto"/>
            <w:tcMar>
              <w:top w:w="15" w:type="dxa"/>
              <w:left w:w="108" w:type="dxa"/>
              <w:bottom w:w="0" w:type="dxa"/>
              <w:right w:w="108" w:type="dxa"/>
            </w:tcMar>
            <w:vAlign w:val="center"/>
          </w:tcPr>
          <w:p w14:paraId="75C4D665" w14:textId="77777777" w:rsidR="00C92C58" w:rsidRPr="00C174D5" w:rsidRDefault="00C92C58" w:rsidP="00B15A9A">
            <w:pPr>
              <w:keepNext/>
              <w:keepLines/>
              <w:spacing w:after="0"/>
              <w:jc w:val="center"/>
              <w:rPr>
                <w:sz w:val="20"/>
                <w:lang w:val="es-ES"/>
              </w:rPr>
            </w:pPr>
            <w:r w:rsidRPr="0014151B">
              <w:rPr>
                <w:sz w:val="20"/>
                <w:lang w:val="es-ES"/>
              </w:rPr>
              <w:t>4</w:t>
            </w:r>
            <w:r>
              <w:rPr>
                <w:sz w:val="20"/>
                <w:lang w:val="es-ES"/>
              </w:rPr>
              <w:t>.</w:t>
            </w:r>
            <w:r w:rsidRPr="0014151B">
              <w:rPr>
                <w:sz w:val="20"/>
                <w:lang w:val="es-ES"/>
              </w:rPr>
              <w:t>449</w:t>
            </w:r>
            <w:r>
              <w:rPr>
                <w:sz w:val="20"/>
                <w:lang w:val="es-ES"/>
              </w:rPr>
              <w:t>.</w:t>
            </w:r>
            <w:r w:rsidRPr="0014151B">
              <w:rPr>
                <w:sz w:val="20"/>
                <w:lang w:val="es-ES"/>
              </w:rPr>
              <w:t>745</w:t>
            </w:r>
          </w:p>
        </w:tc>
        <w:tc>
          <w:tcPr>
            <w:tcW w:w="1483" w:type="dxa"/>
            <w:tcBorders>
              <w:top w:val="single" w:sz="12" w:space="0" w:color="000000"/>
            </w:tcBorders>
            <w:shd w:val="clear" w:color="auto" w:fill="auto"/>
            <w:tcMar>
              <w:top w:w="15" w:type="dxa"/>
              <w:left w:w="108" w:type="dxa"/>
              <w:bottom w:w="0" w:type="dxa"/>
              <w:right w:w="108" w:type="dxa"/>
            </w:tcMar>
            <w:vAlign w:val="center"/>
          </w:tcPr>
          <w:p w14:paraId="1B61DE93" w14:textId="77777777" w:rsidR="00C92C58" w:rsidRPr="00C174D5" w:rsidRDefault="00C92C58" w:rsidP="00B15A9A">
            <w:pPr>
              <w:keepNext/>
              <w:keepLines/>
              <w:spacing w:after="0"/>
              <w:jc w:val="center"/>
              <w:rPr>
                <w:sz w:val="20"/>
                <w:lang w:val="es-ES"/>
              </w:rPr>
            </w:pPr>
            <w:r w:rsidRPr="0014151B">
              <w:rPr>
                <w:sz w:val="20"/>
                <w:lang w:val="es-ES"/>
              </w:rPr>
              <w:t>185</w:t>
            </w:r>
            <w:r>
              <w:rPr>
                <w:sz w:val="20"/>
                <w:lang w:val="es-ES"/>
              </w:rPr>
              <w:t>.966.</w:t>
            </w:r>
            <w:r w:rsidRPr="0014151B">
              <w:rPr>
                <w:sz w:val="20"/>
                <w:lang w:val="es-ES"/>
              </w:rPr>
              <w:t>480</w:t>
            </w:r>
          </w:p>
        </w:tc>
        <w:tc>
          <w:tcPr>
            <w:tcW w:w="1344" w:type="dxa"/>
            <w:tcBorders>
              <w:top w:val="single" w:sz="12" w:space="0" w:color="000000"/>
            </w:tcBorders>
            <w:shd w:val="clear" w:color="auto" w:fill="auto"/>
            <w:tcMar>
              <w:top w:w="15" w:type="dxa"/>
              <w:left w:w="108" w:type="dxa"/>
              <w:bottom w:w="0" w:type="dxa"/>
              <w:right w:w="108" w:type="dxa"/>
            </w:tcMar>
            <w:vAlign w:val="center"/>
          </w:tcPr>
          <w:p w14:paraId="14A466E0" w14:textId="77777777" w:rsidR="00C92C58" w:rsidRPr="00C174D5" w:rsidRDefault="00C92C58" w:rsidP="00B15A9A">
            <w:pPr>
              <w:keepNext/>
              <w:keepLines/>
              <w:spacing w:after="0"/>
              <w:jc w:val="center"/>
              <w:rPr>
                <w:sz w:val="20"/>
                <w:lang w:val="es-ES"/>
              </w:rPr>
            </w:pPr>
            <w:r>
              <w:rPr>
                <w:sz w:val="20"/>
                <w:lang w:val="es-ES"/>
              </w:rPr>
              <w:t>179.</w:t>
            </w:r>
            <w:r w:rsidRPr="0014151B">
              <w:rPr>
                <w:sz w:val="20"/>
                <w:lang w:val="es-ES"/>
              </w:rPr>
              <w:t>737</w:t>
            </w:r>
            <w:r>
              <w:rPr>
                <w:sz w:val="20"/>
                <w:lang w:val="es-ES"/>
              </w:rPr>
              <w:t>.</w:t>
            </w:r>
            <w:r w:rsidRPr="0014151B">
              <w:rPr>
                <w:sz w:val="20"/>
                <w:lang w:val="es-ES"/>
              </w:rPr>
              <w:t>130</w:t>
            </w:r>
          </w:p>
        </w:tc>
        <w:tc>
          <w:tcPr>
            <w:tcW w:w="676" w:type="dxa"/>
            <w:tcBorders>
              <w:top w:val="single" w:sz="12" w:space="0" w:color="000000"/>
            </w:tcBorders>
            <w:shd w:val="clear" w:color="auto" w:fill="auto"/>
            <w:tcMar>
              <w:top w:w="15" w:type="dxa"/>
              <w:left w:w="108" w:type="dxa"/>
              <w:bottom w:w="0" w:type="dxa"/>
              <w:right w:w="108" w:type="dxa"/>
            </w:tcMar>
            <w:vAlign w:val="center"/>
          </w:tcPr>
          <w:p w14:paraId="020B5F11" w14:textId="77777777" w:rsidR="00C92C58" w:rsidRPr="00C174D5" w:rsidRDefault="00C92C58" w:rsidP="00B15A9A">
            <w:pPr>
              <w:keepNext/>
              <w:keepLines/>
              <w:spacing w:after="0"/>
              <w:jc w:val="center"/>
              <w:rPr>
                <w:sz w:val="20"/>
                <w:lang w:val="es-ES"/>
              </w:rPr>
            </w:pPr>
            <w:r w:rsidRPr="00C174D5">
              <w:rPr>
                <w:sz w:val="20"/>
                <w:lang w:val="es-ES"/>
              </w:rPr>
              <w:t>5</w:t>
            </w:r>
            <w:r>
              <w:rPr>
                <w:sz w:val="20"/>
                <w:lang w:val="es-ES"/>
              </w:rPr>
              <w:t>4</w:t>
            </w:r>
            <w:r w:rsidRPr="00C174D5">
              <w:rPr>
                <w:sz w:val="20"/>
                <w:lang w:val="es-ES"/>
              </w:rPr>
              <w:t>%</w:t>
            </w:r>
          </w:p>
        </w:tc>
      </w:tr>
    </w:tbl>
    <w:p w14:paraId="165EF839" w14:textId="77777777" w:rsidR="00C92C58" w:rsidRPr="00C174D5" w:rsidRDefault="00C92C58" w:rsidP="00C92C58">
      <w:pPr>
        <w:jc w:val="center"/>
        <w:rPr>
          <w:sz w:val="18"/>
          <w:lang w:val="es-ES"/>
        </w:rPr>
      </w:pPr>
      <w:r w:rsidRPr="00C174D5">
        <w:rPr>
          <w:sz w:val="18"/>
          <w:lang w:val="es-ES"/>
        </w:rPr>
        <w:t>Fuente: Elaboración propia en base a información de ENATREL provista por el BID</w:t>
      </w:r>
    </w:p>
    <w:p w14:paraId="546551E7" w14:textId="77777777" w:rsidR="00C92C58" w:rsidRPr="00C174D5" w:rsidRDefault="00C92C58" w:rsidP="00C92C58">
      <w:pPr>
        <w:rPr>
          <w:lang w:val="es-ES"/>
        </w:rPr>
      </w:pPr>
      <w:r w:rsidRPr="00C174D5">
        <w:rPr>
          <w:lang w:val="es-ES"/>
        </w:rPr>
        <w:t>El proyecto es deseable desde una óptica económica o social y también desde la financiera o privada (</w:t>
      </w:r>
      <w:r w:rsidRPr="00C174D5">
        <w:rPr>
          <w:lang w:val="es-ES"/>
        </w:rPr>
        <w:fldChar w:fldCharType="begin"/>
      </w:r>
      <w:r w:rsidRPr="00C174D5">
        <w:rPr>
          <w:lang w:val="es-ES"/>
        </w:rPr>
        <w:instrText xml:space="preserve"> REF _Ref450035956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29</w:t>
      </w:r>
      <w:r w:rsidRPr="00C174D5">
        <w:rPr>
          <w:lang w:val="es-ES"/>
        </w:rPr>
        <w:fldChar w:fldCharType="end"/>
      </w:r>
      <w:r w:rsidRPr="00C174D5">
        <w:rPr>
          <w:lang w:val="es-ES"/>
        </w:rPr>
        <w:t xml:space="preserve">). </w:t>
      </w:r>
    </w:p>
    <w:p w14:paraId="4E03E625" w14:textId="77777777" w:rsidR="00C92C58" w:rsidRPr="00C174D5" w:rsidRDefault="00C92C58" w:rsidP="00C92C58">
      <w:pPr>
        <w:keepNext/>
        <w:keepLines/>
        <w:spacing w:after="120"/>
        <w:jc w:val="center"/>
        <w:rPr>
          <w:b/>
          <w:sz w:val="20"/>
          <w:lang w:val="es-ES"/>
        </w:rPr>
      </w:pPr>
      <w:bookmarkStart w:id="165" w:name="_Ref450035956"/>
      <w:bookmarkStart w:id="166" w:name="_Toc447546988"/>
      <w:bookmarkStart w:id="167" w:name="_Toc456353185"/>
      <w:r w:rsidRPr="00C174D5">
        <w:rPr>
          <w:b/>
          <w:sz w:val="20"/>
          <w:lang w:val="es-ES"/>
        </w:rPr>
        <w:lastRenderedPageBreak/>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29</w:t>
      </w:r>
      <w:r w:rsidRPr="00C174D5">
        <w:rPr>
          <w:b/>
          <w:sz w:val="20"/>
          <w:lang w:val="es-ES"/>
        </w:rPr>
        <w:fldChar w:fldCharType="end"/>
      </w:r>
      <w:bookmarkEnd w:id="165"/>
      <w:r w:rsidRPr="00C174D5">
        <w:rPr>
          <w:b/>
          <w:sz w:val="20"/>
          <w:lang w:val="es-ES"/>
        </w:rPr>
        <w:t>: Resultados evaluación financiera – SE Catarina</w:t>
      </w:r>
      <w:bookmarkEnd w:id="166"/>
      <w:bookmarkEnd w:id="167"/>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376"/>
        <w:gridCol w:w="1554"/>
        <w:gridCol w:w="1484"/>
        <w:gridCol w:w="1399"/>
        <w:gridCol w:w="1233"/>
        <w:gridCol w:w="675"/>
      </w:tblGrid>
      <w:tr w:rsidR="00C92C58" w:rsidRPr="00C174D5" w14:paraId="51062E79" w14:textId="77777777" w:rsidTr="00B15A9A">
        <w:trPr>
          <w:trHeight w:val="35"/>
          <w:jc w:val="center"/>
        </w:trPr>
        <w:tc>
          <w:tcPr>
            <w:tcW w:w="237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06A0E5CC" w14:textId="77777777" w:rsidR="00C92C58" w:rsidRPr="00C174D5" w:rsidRDefault="00C92C58" w:rsidP="00B15A9A">
            <w:pPr>
              <w:keepNext/>
              <w:keepLines/>
              <w:spacing w:after="0"/>
              <w:jc w:val="center"/>
              <w:rPr>
                <w:b/>
                <w:sz w:val="20"/>
                <w:lang w:val="es-ES"/>
              </w:rPr>
            </w:pPr>
          </w:p>
        </w:tc>
        <w:tc>
          <w:tcPr>
            <w:tcW w:w="1554"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659C7A1B" w14:textId="77777777" w:rsidR="00C92C58" w:rsidRPr="00C174D5" w:rsidRDefault="00C92C58" w:rsidP="00B15A9A">
            <w:pPr>
              <w:keepNext/>
              <w:keepLines/>
              <w:spacing w:after="0"/>
              <w:jc w:val="center"/>
              <w:rPr>
                <w:b/>
                <w:sz w:val="20"/>
                <w:lang w:val="es-ES"/>
              </w:rPr>
            </w:pPr>
            <w:r w:rsidRPr="00C174D5">
              <w:rPr>
                <w:b/>
                <w:bCs/>
                <w:sz w:val="20"/>
                <w:lang w:val="es-ES"/>
              </w:rPr>
              <w:t>VP Inversión fin. (US$)</w:t>
            </w:r>
          </w:p>
        </w:tc>
        <w:tc>
          <w:tcPr>
            <w:tcW w:w="1484"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3F054416" w14:textId="77777777" w:rsidR="00C92C58" w:rsidRPr="00C174D5" w:rsidRDefault="00C92C58" w:rsidP="00B15A9A">
            <w:pPr>
              <w:keepNext/>
              <w:keepLines/>
              <w:spacing w:after="0"/>
              <w:jc w:val="center"/>
              <w:rPr>
                <w:b/>
                <w:sz w:val="20"/>
                <w:lang w:val="es-ES"/>
              </w:rPr>
            </w:pPr>
            <w:r w:rsidRPr="00C174D5">
              <w:rPr>
                <w:b/>
                <w:bCs/>
                <w:sz w:val="20"/>
                <w:lang w:val="es-ES"/>
              </w:rPr>
              <w:t>VP Costos fin. (US$)</w:t>
            </w:r>
          </w:p>
        </w:tc>
        <w:tc>
          <w:tcPr>
            <w:tcW w:w="1399"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4811D782" w14:textId="77777777" w:rsidR="00C92C58" w:rsidRPr="00C174D5" w:rsidRDefault="00C92C58" w:rsidP="00B15A9A">
            <w:pPr>
              <w:keepNext/>
              <w:keepLines/>
              <w:spacing w:after="0"/>
              <w:jc w:val="center"/>
              <w:rPr>
                <w:b/>
                <w:sz w:val="20"/>
                <w:lang w:val="es-ES"/>
              </w:rPr>
            </w:pPr>
            <w:r w:rsidRPr="00C174D5">
              <w:rPr>
                <w:b/>
                <w:bCs/>
                <w:sz w:val="20"/>
                <w:lang w:val="es-ES"/>
              </w:rPr>
              <w:t>VP Ingresos (US$)</w:t>
            </w:r>
          </w:p>
        </w:tc>
        <w:tc>
          <w:tcPr>
            <w:tcW w:w="1233"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6F85760F" w14:textId="77777777" w:rsidR="00C92C58" w:rsidRPr="00C174D5" w:rsidRDefault="00C92C58" w:rsidP="00B15A9A">
            <w:pPr>
              <w:keepNext/>
              <w:keepLines/>
              <w:spacing w:after="0"/>
              <w:jc w:val="center"/>
              <w:rPr>
                <w:b/>
                <w:sz w:val="20"/>
                <w:lang w:val="es-ES"/>
              </w:rPr>
            </w:pPr>
            <w:r w:rsidRPr="00C174D5">
              <w:rPr>
                <w:b/>
                <w:bCs/>
                <w:sz w:val="20"/>
                <w:lang w:val="es-ES"/>
              </w:rPr>
              <w:t>VPN (US$)</w:t>
            </w:r>
          </w:p>
        </w:tc>
        <w:tc>
          <w:tcPr>
            <w:tcW w:w="675"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6E0F0380" w14:textId="77777777" w:rsidR="00C92C58" w:rsidRPr="00C174D5" w:rsidRDefault="00C92C58" w:rsidP="00B15A9A">
            <w:pPr>
              <w:keepNext/>
              <w:keepLines/>
              <w:spacing w:after="0"/>
              <w:jc w:val="center"/>
              <w:rPr>
                <w:b/>
                <w:sz w:val="20"/>
                <w:lang w:val="es-ES"/>
              </w:rPr>
            </w:pPr>
            <w:r w:rsidRPr="00C174D5">
              <w:rPr>
                <w:b/>
                <w:bCs/>
                <w:sz w:val="20"/>
                <w:lang w:val="es-ES"/>
              </w:rPr>
              <w:t>TIR</w:t>
            </w:r>
          </w:p>
        </w:tc>
      </w:tr>
      <w:tr w:rsidR="00C92C58" w:rsidRPr="00C174D5" w14:paraId="7D8087FC" w14:textId="77777777" w:rsidTr="00B15A9A">
        <w:trPr>
          <w:trHeight w:val="1105"/>
          <w:jc w:val="center"/>
        </w:trPr>
        <w:tc>
          <w:tcPr>
            <w:tcW w:w="2376" w:type="dxa"/>
            <w:tcBorders>
              <w:top w:val="single" w:sz="12" w:space="0" w:color="000000"/>
            </w:tcBorders>
            <w:shd w:val="clear" w:color="auto" w:fill="auto"/>
            <w:tcMar>
              <w:top w:w="15" w:type="dxa"/>
              <w:left w:w="108" w:type="dxa"/>
              <w:bottom w:w="0" w:type="dxa"/>
              <w:right w:w="108" w:type="dxa"/>
            </w:tcMar>
            <w:vAlign w:val="center"/>
            <w:hideMark/>
          </w:tcPr>
          <w:p w14:paraId="7531C43A" w14:textId="77777777" w:rsidR="00C92C58" w:rsidRPr="00C174D5" w:rsidRDefault="00C92C58" w:rsidP="00B15A9A">
            <w:pPr>
              <w:keepNext/>
              <w:keepLines/>
              <w:spacing w:after="0"/>
              <w:jc w:val="center"/>
              <w:rPr>
                <w:sz w:val="20"/>
                <w:lang w:val="es-ES"/>
              </w:rPr>
            </w:pPr>
            <w:r w:rsidRPr="00C174D5">
              <w:rPr>
                <w:bCs/>
                <w:sz w:val="20"/>
                <w:lang w:val="es-ES"/>
              </w:rPr>
              <w:t>Situación Con Proyecto</w:t>
            </w:r>
          </w:p>
          <w:p w14:paraId="1141D0F8" w14:textId="77777777" w:rsidR="00C92C58" w:rsidRPr="00C174D5" w:rsidRDefault="00C92C58" w:rsidP="00B15A9A">
            <w:pPr>
              <w:keepNext/>
              <w:keepLines/>
              <w:spacing w:after="0"/>
              <w:jc w:val="center"/>
              <w:rPr>
                <w:sz w:val="20"/>
                <w:lang w:val="es-ES"/>
              </w:rPr>
            </w:pPr>
            <w:r w:rsidRPr="00C174D5">
              <w:rPr>
                <w:bCs/>
                <w:sz w:val="20"/>
                <w:lang w:val="es-ES"/>
              </w:rPr>
              <w:t>-</w:t>
            </w:r>
          </w:p>
          <w:p w14:paraId="24FA8327" w14:textId="77777777" w:rsidR="00C92C58" w:rsidRPr="00C174D5" w:rsidRDefault="00C92C58" w:rsidP="00B15A9A">
            <w:pPr>
              <w:keepNext/>
              <w:keepLines/>
              <w:spacing w:after="0"/>
              <w:jc w:val="center"/>
              <w:rPr>
                <w:sz w:val="20"/>
                <w:lang w:val="es-ES"/>
              </w:rPr>
            </w:pPr>
            <w:r w:rsidRPr="00C174D5">
              <w:rPr>
                <w:bCs/>
                <w:sz w:val="20"/>
                <w:lang w:val="es-ES"/>
              </w:rPr>
              <w:t>Situación sin proyecto</w:t>
            </w:r>
          </w:p>
        </w:tc>
        <w:tc>
          <w:tcPr>
            <w:tcW w:w="1554" w:type="dxa"/>
            <w:tcBorders>
              <w:top w:val="single" w:sz="12" w:space="0" w:color="000000"/>
            </w:tcBorders>
            <w:shd w:val="clear" w:color="auto" w:fill="auto"/>
            <w:tcMar>
              <w:top w:w="15" w:type="dxa"/>
              <w:left w:w="108" w:type="dxa"/>
              <w:bottom w:w="0" w:type="dxa"/>
              <w:right w:w="108" w:type="dxa"/>
            </w:tcMar>
            <w:vAlign w:val="center"/>
          </w:tcPr>
          <w:p w14:paraId="39862677" w14:textId="77777777" w:rsidR="00C92C58" w:rsidRPr="00C174D5" w:rsidRDefault="00C92C58" w:rsidP="00B15A9A">
            <w:pPr>
              <w:keepNext/>
              <w:keepLines/>
              <w:spacing w:after="0"/>
              <w:jc w:val="center"/>
              <w:rPr>
                <w:sz w:val="20"/>
                <w:lang w:val="es-ES"/>
              </w:rPr>
            </w:pPr>
            <w:r w:rsidRPr="00C174D5">
              <w:rPr>
                <w:sz w:val="20"/>
                <w:szCs w:val="20"/>
                <w:lang w:val="es-ES"/>
              </w:rPr>
              <w:t>1.817.933</w:t>
            </w:r>
          </w:p>
        </w:tc>
        <w:tc>
          <w:tcPr>
            <w:tcW w:w="1484" w:type="dxa"/>
            <w:tcBorders>
              <w:top w:val="single" w:sz="12" w:space="0" w:color="000000"/>
            </w:tcBorders>
            <w:shd w:val="clear" w:color="auto" w:fill="auto"/>
            <w:tcMar>
              <w:top w:w="15" w:type="dxa"/>
              <w:left w:w="108" w:type="dxa"/>
              <w:bottom w:w="0" w:type="dxa"/>
              <w:right w:w="108" w:type="dxa"/>
            </w:tcMar>
            <w:vAlign w:val="center"/>
          </w:tcPr>
          <w:p w14:paraId="6A7E7F04" w14:textId="77777777" w:rsidR="00C92C58" w:rsidRPr="00C174D5" w:rsidRDefault="00C92C58" w:rsidP="00B15A9A">
            <w:pPr>
              <w:keepNext/>
              <w:keepLines/>
              <w:spacing w:after="0"/>
              <w:jc w:val="center"/>
              <w:rPr>
                <w:sz w:val="20"/>
                <w:lang w:val="es-ES"/>
              </w:rPr>
            </w:pPr>
            <w:r w:rsidRPr="00C174D5">
              <w:rPr>
                <w:sz w:val="20"/>
                <w:lang w:val="es-ES"/>
              </w:rPr>
              <w:t>455.247</w:t>
            </w:r>
          </w:p>
        </w:tc>
        <w:tc>
          <w:tcPr>
            <w:tcW w:w="1399" w:type="dxa"/>
            <w:tcBorders>
              <w:top w:val="single" w:sz="12" w:space="0" w:color="000000"/>
            </w:tcBorders>
            <w:shd w:val="clear" w:color="auto" w:fill="auto"/>
            <w:tcMar>
              <w:top w:w="15" w:type="dxa"/>
              <w:left w:w="108" w:type="dxa"/>
              <w:bottom w:w="0" w:type="dxa"/>
              <w:right w:w="108" w:type="dxa"/>
            </w:tcMar>
            <w:vAlign w:val="center"/>
          </w:tcPr>
          <w:p w14:paraId="11DBA9DA" w14:textId="77777777" w:rsidR="00C92C58" w:rsidRPr="00C174D5" w:rsidRDefault="00C92C58" w:rsidP="00B15A9A">
            <w:pPr>
              <w:keepNext/>
              <w:keepLines/>
              <w:spacing w:after="0"/>
              <w:jc w:val="center"/>
              <w:rPr>
                <w:sz w:val="20"/>
                <w:lang w:val="es-ES"/>
              </w:rPr>
            </w:pPr>
            <w:r w:rsidRPr="0014151B">
              <w:rPr>
                <w:sz w:val="20"/>
                <w:lang w:val="es-ES"/>
              </w:rPr>
              <w:t>3</w:t>
            </w:r>
            <w:r>
              <w:rPr>
                <w:sz w:val="20"/>
                <w:lang w:val="es-ES"/>
              </w:rPr>
              <w:t>.</w:t>
            </w:r>
            <w:r w:rsidRPr="0014151B">
              <w:rPr>
                <w:sz w:val="20"/>
                <w:lang w:val="es-ES"/>
              </w:rPr>
              <w:t>473</w:t>
            </w:r>
            <w:r>
              <w:rPr>
                <w:sz w:val="20"/>
                <w:lang w:val="es-ES"/>
              </w:rPr>
              <w:t>.</w:t>
            </w:r>
            <w:r w:rsidRPr="0014151B">
              <w:rPr>
                <w:sz w:val="20"/>
                <w:lang w:val="es-ES"/>
              </w:rPr>
              <w:t>468</w:t>
            </w:r>
          </w:p>
        </w:tc>
        <w:tc>
          <w:tcPr>
            <w:tcW w:w="1233" w:type="dxa"/>
            <w:tcBorders>
              <w:top w:val="single" w:sz="12" w:space="0" w:color="000000"/>
            </w:tcBorders>
            <w:shd w:val="clear" w:color="auto" w:fill="auto"/>
            <w:tcMar>
              <w:top w:w="15" w:type="dxa"/>
              <w:left w:w="108" w:type="dxa"/>
              <w:bottom w:w="0" w:type="dxa"/>
              <w:right w:w="108" w:type="dxa"/>
            </w:tcMar>
            <w:vAlign w:val="center"/>
          </w:tcPr>
          <w:p w14:paraId="330FCB2A" w14:textId="77777777" w:rsidR="00C92C58" w:rsidRPr="00C174D5" w:rsidRDefault="00C92C58" w:rsidP="00B15A9A">
            <w:pPr>
              <w:keepNext/>
              <w:keepLines/>
              <w:spacing w:after="0"/>
              <w:jc w:val="center"/>
              <w:rPr>
                <w:sz w:val="20"/>
                <w:lang w:val="es-ES"/>
              </w:rPr>
            </w:pPr>
            <w:r>
              <w:rPr>
                <w:sz w:val="20"/>
                <w:lang w:val="es-ES"/>
              </w:rPr>
              <w:t>1.</w:t>
            </w:r>
            <w:r w:rsidRPr="0014151B">
              <w:rPr>
                <w:sz w:val="20"/>
                <w:lang w:val="es-ES"/>
              </w:rPr>
              <w:t>200</w:t>
            </w:r>
            <w:r>
              <w:rPr>
                <w:sz w:val="20"/>
                <w:lang w:val="es-ES"/>
              </w:rPr>
              <w:t>.</w:t>
            </w:r>
            <w:r w:rsidRPr="0014151B">
              <w:rPr>
                <w:sz w:val="20"/>
                <w:lang w:val="es-ES"/>
              </w:rPr>
              <w:t>288</w:t>
            </w:r>
          </w:p>
        </w:tc>
        <w:tc>
          <w:tcPr>
            <w:tcW w:w="675" w:type="dxa"/>
            <w:tcBorders>
              <w:top w:val="single" w:sz="12" w:space="0" w:color="000000"/>
            </w:tcBorders>
            <w:shd w:val="clear" w:color="auto" w:fill="auto"/>
            <w:tcMar>
              <w:top w:w="15" w:type="dxa"/>
              <w:left w:w="108" w:type="dxa"/>
              <w:bottom w:w="0" w:type="dxa"/>
              <w:right w:w="108" w:type="dxa"/>
            </w:tcMar>
            <w:vAlign w:val="center"/>
          </w:tcPr>
          <w:p w14:paraId="7FF1E238" w14:textId="77777777" w:rsidR="00C92C58" w:rsidRPr="00C174D5" w:rsidRDefault="00C92C58" w:rsidP="00B15A9A">
            <w:pPr>
              <w:keepNext/>
              <w:keepLines/>
              <w:spacing w:after="0"/>
              <w:jc w:val="center"/>
              <w:rPr>
                <w:sz w:val="20"/>
                <w:lang w:val="es-ES"/>
              </w:rPr>
            </w:pPr>
            <w:r w:rsidRPr="00C174D5">
              <w:rPr>
                <w:sz w:val="20"/>
                <w:lang w:val="es-ES"/>
              </w:rPr>
              <w:t>1</w:t>
            </w:r>
            <w:r>
              <w:rPr>
                <w:sz w:val="20"/>
                <w:lang w:val="es-ES"/>
              </w:rPr>
              <w:t>0</w:t>
            </w:r>
            <w:r w:rsidRPr="00C174D5">
              <w:rPr>
                <w:sz w:val="20"/>
                <w:lang w:val="es-ES"/>
              </w:rPr>
              <w:t>%</w:t>
            </w:r>
          </w:p>
        </w:tc>
      </w:tr>
    </w:tbl>
    <w:p w14:paraId="46EDC250" w14:textId="77777777" w:rsidR="00C92C58" w:rsidRPr="00C174D5" w:rsidRDefault="00C92C58" w:rsidP="00C92C58">
      <w:pPr>
        <w:jc w:val="center"/>
        <w:rPr>
          <w:sz w:val="18"/>
          <w:lang w:val="es-ES"/>
        </w:rPr>
      </w:pPr>
      <w:r w:rsidRPr="00C174D5">
        <w:rPr>
          <w:sz w:val="18"/>
          <w:lang w:val="es-ES"/>
        </w:rPr>
        <w:t>Fuente: Elaboración propia en base a información de ENATREL provista por el BID</w:t>
      </w:r>
    </w:p>
    <w:p w14:paraId="2A4442F7" w14:textId="77777777" w:rsidR="00C92C58" w:rsidRPr="00C174D5" w:rsidRDefault="00C92C58" w:rsidP="00C92C58">
      <w:pPr>
        <w:rPr>
          <w:lang w:val="es-ES"/>
        </w:rPr>
      </w:pPr>
      <w:r w:rsidRPr="00C174D5">
        <w:rPr>
          <w:lang w:val="es-ES"/>
        </w:rPr>
        <w:t>A continuación se realiza un análisis de sensibilidad sobre estos resultados.</w:t>
      </w:r>
    </w:p>
    <w:p w14:paraId="17C9D7A6" w14:textId="77777777" w:rsidR="00C92C58" w:rsidRPr="00C174D5" w:rsidRDefault="00C92C58" w:rsidP="00C92C58">
      <w:pPr>
        <w:pStyle w:val="Heading2"/>
        <w:rPr>
          <w:lang w:val="es-ES"/>
        </w:rPr>
      </w:pPr>
      <w:bookmarkStart w:id="168" w:name="_Toc447546952"/>
      <w:bookmarkStart w:id="169" w:name="_Toc456353136"/>
      <w:r w:rsidRPr="00C174D5">
        <w:rPr>
          <w:lang w:val="es-ES"/>
        </w:rPr>
        <w:t>SE Catarina - Sensibilidades</w:t>
      </w:r>
      <w:bookmarkEnd w:id="168"/>
      <w:bookmarkEnd w:id="169"/>
    </w:p>
    <w:p w14:paraId="3562AD95" w14:textId="77777777" w:rsidR="00C92C58" w:rsidRPr="00C174D5" w:rsidRDefault="00C92C58" w:rsidP="00C92C58">
      <w:pPr>
        <w:rPr>
          <w:lang w:val="es-ES"/>
        </w:rPr>
      </w:pPr>
      <w:r w:rsidRPr="00C174D5">
        <w:rPr>
          <w:lang w:val="es-ES"/>
        </w:rPr>
        <w:t>Las sensibilidades efectuadas en este proyecto son, al igual que en los anteriores, en relación a la tasa de descuento, a la tasa de crecimiento promedio de la demanda, al costo de energía de falla y al valor de la inversión.</w:t>
      </w:r>
    </w:p>
    <w:p w14:paraId="25AA0266" w14:textId="77777777" w:rsidR="00C92C58" w:rsidRPr="00C174D5" w:rsidRDefault="00C92C58" w:rsidP="00C92C58">
      <w:pPr>
        <w:keepNext/>
        <w:keepLines/>
        <w:spacing w:after="120"/>
        <w:jc w:val="center"/>
        <w:rPr>
          <w:b/>
          <w:sz w:val="20"/>
          <w:lang w:val="es-ES"/>
        </w:rPr>
      </w:pPr>
      <w:bookmarkStart w:id="170" w:name="_Toc447546989"/>
      <w:bookmarkStart w:id="171" w:name="_Toc456353186"/>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30</w:t>
      </w:r>
      <w:r w:rsidRPr="00C174D5">
        <w:rPr>
          <w:b/>
          <w:sz w:val="20"/>
          <w:lang w:val="es-ES"/>
        </w:rPr>
        <w:fldChar w:fldCharType="end"/>
      </w:r>
      <w:r w:rsidRPr="00C174D5">
        <w:rPr>
          <w:b/>
          <w:sz w:val="20"/>
          <w:lang w:val="es-ES"/>
        </w:rPr>
        <w:t>: Análisis de sensibilidad evaluación económica – SE Catarina</w:t>
      </w:r>
      <w:bookmarkEnd w:id="170"/>
      <w:bookmarkEnd w:id="171"/>
    </w:p>
    <w:tbl>
      <w:tblPr>
        <w:tblW w:w="74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701"/>
        <w:gridCol w:w="2409"/>
        <w:gridCol w:w="1418"/>
        <w:gridCol w:w="851"/>
        <w:gridCol w:w="1098"/>
      </w:tblGrid>
      <w:tr w:rsidR="00C92C58" w:rsidRPr="00C174D5" w14:paraId="4F9E75A8" w14:textId="77777777" w:rsidTr="00B15A9A">
        <w:trPr>
          <w:trHeight w:val="300"/>
          <w:jc w:val="center"/>
        </w:trPr>
        <w:tc>
          <w:tcPr>
            <w:tcW w:w="4110" w:type="dxa"/>
            <w:gridSpan w:val="2"/>
            <w:tcBorders>
              <w:top w:val="single" w:sz="12" w:space="0" w:color="auto"/>
              <w:bottom w:val="single" w:sz="12" w:space="0" w:color="auto"/>
            </w:tcBorders>
            <w:shd w:val="clear" w:color="auto" w:fill="BFBFBF" w:themeFill="background1" w:themeFillShade="BF"/>
            <w:noWrap/>
            <w:vAlign w:val="center"/>
          </w:tcPr>
          <w:p w14:paraId="062AD1A9" w14:textId="77777777" w:rsidR="00C92C58" w:rsidRPr="00C174D5" w:rsidRDefault="00C92C58" w:rsidP="00B15A9A">
            <w:pPr>
              <w:keepNext/>
              <w:keepLines/>
              <w:spacing w:after="0" w:line="240" w:lineRule="auto"/>
              <w:jc w:val="left"/>
              <w:rPr>
                <w:rFonts w:eastAsia="Times New Roman" w:cs="Times New Roman"/>
                <w:b/>
                <w:sz w:val="20"/>
                <w:szCs w:val="20"/>
                <w:lang w:val="es-ES" w:eastAsia="es-AR"/>
              </w:rPr>
            </w:pPr>
            <w:r w:rsidRPr="00C174D5">
              <w:rPr>
                <w:b/>
                <w:sz w:val="20"/>
                <w:lang w:val="es-ES"/>
              </w:rPr>
              <w:t>SE Catarina</w:t>
            </w:r>
          </w:p>
        </w:tc>
        <w:tc>
          <w:tcPr>
            <w:tcW w:w="2269" w:type="dxa"/>
            <w:gridSpan w:val="2"/>
            <w:tcBorders>
              <w:top w:val="single" w:sz="12" w:space="0" w:color="auto"/>
              <w:bottom w:val="single" w:sz="12" w:space="0" w:color="auto"/>
            </w:tcBorders>
            <w:shd w:val="clear" w:color="auto" w:fill="BFBFBF" w:themeFill="background1" w:themeFillShade="BF"/>
            <w:vAlign w:val="center"/>
          </w:tcPr>
          <w:p w14:paraId="33B9E243" w14:textId="77777777" w:rsidR="00C92C58" w:rsidRPr="00C174D5" w:rsidRDefault="00C92C58" w:rsidP="00B15A9A">
            <w:pPr>
              <w:keepNext/>
              <w:keepLines/>
              <w:spacing w:after="0" w:line="240" w:lineRule="auto"/>
              <w:jc w:val="center"/>
              <w:rPr>
                <w:rFonts w:eastAsia="Times New Roman" w:cs="Times New Roman"/>
                <w:b/>
                <w:sz w:val="20"/>
                <w:szCs w:val="20"/>
                <w:lang w:val="es-ES" w:eastAsia="es-AR"/>
              </w:rPr>
            </w:pPr>
            <w:r w:rsidRPr="00C174D5">
              <w:rPr>
                <w:rFonts w:eastAsia="Times New Roman" w:cs="Arial"/>
                <w:b/>
                <w:sz w:val="20"/>
                <w:szCs w:val="20"/>
                <w:lang w:val="es-ES" w:eastAsia="es-AR"/>
              </w:rPr>
              <w:t>VPNE (US$)</w:t>
            </w:r>
          </w:p>
        </w:tc>
        <w:tc>
          <w:tcPr>
            <w:tcW w:w="1098" w:type="dxa"/>
            <w:tcBorders>
              <w:top w:val="single" w:sz="12" w:space="0" w:color="auto"/>
              <w:bottom w:val="single" w:sz="12" w:space="0" w:color="auto"/>
            </w:tcBorders>
            <w:shd w:val="clear" w:color="auto" w:fill="BFBFBF" w:themeFill="background1" w:themeFillShade="BF"/>
            <w:vAlign w:val="center"/>
          </w:tcPr>
          <w:p w14:paraId="7D2A0212" w14:textId="77777777" w:rsidR="00C92C58" w:rsidRPr="00C174D5" w:rsidRDefault="00C92C58" w:rsidP="00B15A9A">
            <w:pPr>
              <w:keepNext/>
              <w:keepLines/>
              <w:spacing w:after="0" w:line="240" w:lineRule="auto"/>
              <w:jc w:val="center"/>
              <w:rPr>
                <w:rFonts w:eastAsia="Times New Roman" w:cs="Arial"/>
                <w:b/>
                <w:sz w:val="20"/>
                <w:szCs w:val="20"/>
                <w:lang w:val="es-ES" w:eastAsia="es-AR"/>
              </w:rPr>
            </w:pPr>
            <w:r w:rsidRPr="00C174D5">
              <w:rPr>
                <w:rFonts w:eastAsia="Times New Roman" w:cs="Arial"/>
                <w:b/>
                <w:sz w:val="20"/>
                <w:szCs w:val="20"/>
                <w:lang w:val="es-ES" w:eastAsia="es-AR"/>
              </w:rPr>
              <w:t>TIRE (%)</w:t>
            </w:r>
          </w:p>
        </w:tc>
      </w:tr>
      <w:tr w:rsidR="00C92C58" w:rsidRPr="00C174D5" w14:paraId="39EFA4BA" w14:textId="77777777" w:rsidTr="00B15A9A">
        <w:trPr>
          <w:trHeight w:val="300"/>
          <w:jc w:val="center"/>
        </w:trPr>
        <w:tc>
          <w:tcPr>
            <w:tcW w:w="4110" w:type="dxa"/>
            <w:gridSpan w:val="2"/>
            <w:tcBorders>
              <w:top w:val="single" w:sz="12" w:space="0" w:color="auto"/>
              <w:bottom w:val="single" w:sz="2" w:space="0" w:color="auto"/>
            </w:tcBorders>
            <w:shd w:val="clear" w:color="auto" w:fill="auto"/>
            <w:noWrap/>
            <w:vAlign w:val="center"/>
          </w:tcPr>
          <w:p w14:paraId="0D14974F" w14:textId="77777777" w:rsidR="00C92C58" w:rsidRPr="00C174D5" w:rsidRDefault="00C92C58" w:rsidP="00B15A9A">
            <w:pPr>
              <w:keepNext/>
              <w:keepLines/>
              <w:spacing w:after="0" w:line="240" w:lineRule="auto"/>
              <w:jc w:val="left"/>
              <w:rPr>
                <w:rFonts w:eastAsia="Times New Roman" w:cs="Times New Roman"/>
                <w:i/>
                <w:sz w:val="20"/>
                <w:szCs w:val="20"/>
                <w:lang w:val="es-ES" w:eastAsia="es-AR"/>
              </w:rPr>
            </w:pPr>
            <w:r w:rsidRPr="00C174D5">
              <w:rPr>
                <w:rFonts w:eastAsia="Times New Roman" w:cs="Times New Roman"/>
                <w:i/>
                <w:sz w:val="20"/>
                <w:szCs w:val="20"/>
                <w:lang w:val="es-ES" w:eastAsia="es-AR"/>
              </w:rPr>
              <w:t xml:space="preserve">Caso Base </w:t>
            </w:r>
          </w:p>
        </w:tc>
        <w:tc>
          <w:tcPr>
            <w:tcW w:w="2269" w:type="dxa"/>
            <w:gridSpan w:val="2"/>
            <w:tcBorders>
              <w:top w:val="single" w:sz="12" w:space="0" w:color="auto"/>
              <w:bottom w:val="single" w:sz="2" w:space="0" w:color="auto"/>
            </w:tcBorders>
            <w:vAlign w:val="center"/>
          </w:tcPr>
          <w:p w14:paraId="69FD6D0A" w14:textId="77777777" w:rsidR="00C92C58" w:rsidRPr="00C174D5" w:rsidRDefault="00C92C58" w:rsidP="00B15A9A">
            <w:pPr>
              <w:keepNext/>
              <w:keepLines/>
              <w:spacing w:after="0" w:line="240" w:lineRule="auto"/>
              <w:jc w:val="center"/>
              <w:rPr>
                <w:rFonts w:eastAsia="Times New Roman" w:cs="Times New Roman"/>
                <w:i/>
                <w:sz w:val="20"/>
                <w:szCs w:val="20"/>
                <w:lang w:val="es-ES" w:eastAsia="es-AR"/>
              </w:rPr>
            </w:pPr>
            <w:r w:rsidRPr="0014151B">
              <w:rPr>
                <w:rFonts w:eastAsia="Times New Roman" w:cs="Times New Roman"/>
                <w:i/>
                <w:sz w:val="20"/>
                <w:szCs w:val="20"/>
                <w:lang w:val="es-ES" w:eastAsia="es-AR"/>
              </w:rPr>
              <w:t>179.737.130</w:t>
            </w:r>
          </w:p>
        </w:tc>
        <w:tc>
          <w:tcPr>
            <w:tcW w:w="1098" w:type="dxa"/>
            <w:tcBorders>
              <w:top w:val="single" w:sz="12" w:space="0" w:color="auto"/>
              <w:bottom w:val="single" w:sz="2" w:space="0" w:color="auto"/>
            </w:tcBorders>
            <w:vAlign w:val="center"/>
          </w:tcPr>
          <w:p w14:paraId="3A4D1371" w14:textId="77777777" w:rsidR="00C92C58" w:rsidRPr="00C174D5" w:rsidRDefault="00C92C58" w:rsidP="00B15A9A">
            <w:pPr>
              <w:keepNext/>
              <w:keepLines/>
              <w:spacing w:after="0" w:line="240" w:lineRule="auto"/>
              <w:jc w:val="center"/>
              <w:rPr>
                <w:rFonts w:eastAsia="Times New Roman" w:cs="Times New Roman"/>
                <w:i/>
                <w:sz w:val="20"/>
                <w:szCs w:val="20"/>
                <w:lang w:val="es-ES" w:eastAsia="es-AR"/>
              </w:rPr>
            </w:pPr>
            <w:r w:rsidRPr="00C174D5">
              <w:rPr>
                <w:rFonts w:eastAsia="Times New Roman" w:cs="Times New Roman"/>
                <w:i/>
                <w:sz w:val="20"/>
                <w:szCs w:val="20"/>
                <w:lang w:val="es-ES" w:eastAsia="es-AR"/>
              </w:rPr>
              <w:t>5</w:t>
            </w:r>
            <w:r>
              <w:rPr>
                <w:rFonts w:eastAsia="Times New Roman" w:cs="Times New Roman"/>
                <w:i/>
                <w:sz w:val="20"/>
                <w:szCs w:val="20"/>
                <w:lang w:val="es-ES" w:eastAsia="es-AR"/>
              </w:rPr>
              <w:t>4</w:t>
            </w:r>
            <w:r w:rsidRPr="00C174D5">
              <w:rPr>
                <w:rFonts w:eastAsia="Times New Roman" w:cs="Times New Roman"/>
                <w:i/>
                <w:sz w:val="20"/>
                <w:szCs w:val="20"/>
                <w:lang w:val="es-ES" w:eastAsia="es-AR"/>
              </w:rPr>
              <w:t>%</w:t>
            </w:r>
          </w:p>
        </w:tc>
      </w:tr>
      <w:tr w:rsidR="00C92C58" w:rsidRPr="00C174D5" w14:paraId="52E04A06" w14:textId="77777777" w:rsidTr="00B15A9A">
        <w:trPr>
          <w:trHeight w:val="300"/>
          <w:jc w:val="center"/>
        </w:trPr>
        <w:tc>
          <w:tcPr>
            <w:tcW w:w="4110" w:type="dxa"/>
            <w:gridSpan w:val="2"/>
            <w:tcBorders>
              <w:top w:val="single" w:sz="2" w:space="0" w:color="auto"/>
            </w:tcBorders>
            <w:shd w:val="clear" w:color="auto" w:fill="auto"/>
            <w:noWrap/>
            <w:vAlign w:val="center"/>
          </w:tcPr>
          <w:p w14:paraId="398F42C5"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Tasa social de descuento (base 12%): 8%</w:t>
            </w:r>
          </w:p>
        </w:tc>
        <w:tc>
          <w:tcPr>
            <w:tcW w:w="1418" w:type="dxa"/>
            <w:tcBorders>
              <w:top w:val="single" w:sz="2" w:space="0" w:color="auto"/>
            </w:tcBorders>
            <w:vAlign w:val="center"/>
          </w:tcPr>
          <w:p w14:paraId="4801592E"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14151B">
              <w:rPr>
                <w:rFonts w:eastAsia="Times New Roman" w:cs="Times New Roman"/>
                <w:sz w:val="20"/>
                <w:szCs w:val="20"/>
                <w:lang w:val="es-ES" w:eastAsia="es-AR"/>
              </w:rPr>
              <w:t>324</w:t>
            </w:r>
            <w:r>
              <w:rPr>
                <w:rFonts w:eastAsia="Times New Roman" w:cs="Times New Roman"/>
                <w:sz w:val="20"/>
                <w:szCs w:val="20"/>
                <w:lang w:val="es-ES" w:eastAsia="es-AR"/>
              </w:rPr>
              <w:t>.</w:t>
            </w:r>
            <w:r w:rsidRPr="0014151B">
              <w:rPr>
                <w:rFonts w:eastAsia="Times New Roman" w:cs="Times New Roman"/>
                <w:sz w:val="20"/>
                <w:szCs w:val="20"/>
                <w:lang w:val="es-ES" w:eastAsia="es-AR"/>
              </w:rPr>
              <w:t>882</w:t>
            </w:r>
            <w:r>
              <w:rPr>
                <w:rFonts w:eastAsia="Times New Roman" w:cs="Times New Roman"/>
                <w:sz w:val="20"/>
                <w:szCs w:val="20"/>
                <w:lang w:val="es-ES" w:eastAsia="es-AR"/>
              </w:rPr>
              <w:t>.</w:t>
            </w:r>
            <w:r w:rsidRPr="0014151B">
              <w:rPr>
                <w:rFonts w:eastAsia="Times New Roman" w:cs="Times New Roman"/>
                <w:sz w:val="20"/>
                <w:szCs w:val="20"/>
                <w:lang w:val="es-ES" w:eastAsia="es-AR"/>
              </w:rPr>
              <w:t>455</w:t>
            </w:r>
          </w:p>
        </w:tc>
        <w:tc>
          <w:tcPr>
            <w:tcW w:w="851" w:type="dxa"/>
            <w:tcBorders>
              <w:top w:val="single" w:sz="2" w:space="0" w:color="auto"/>
            </w:tcBorders>
            <w:vAlign w:val="center"/>
          </w:tcPr>
          <w:p w14:paraId="76C71CD7"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+80,8%</w:t>
            </w:r>
          </w:p>
        </w:tc>
        <w:tc>
          <w:tcPr>
            <w:tcW w:w="1098" w:type="dxa"/>
            <w:tcBorders>
              <w:top w:val="single" w:sz="2" w:space="0" w:color="auto"/>
            </w:tcBorders>
            <w:vAlign w:val="center"/>
          </w:tcPr>
          <w:p w14:paraId="4FAA49DC"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5</w:t>
            </w:r>
            <w:r>
              <w:rPr>
                <w:rFonts w:eastAsia="Times New Roman" w:cs="Times New Roman"/>
                <w:sz w:val="20"/>
                <w:szCs w:val="20"/>
                <w:lang w:val="es-ES" w:eastAsia="es-AR"/>
              </w:rPr>
              <w:t>4</w:t>
            </w:r>
            <w:r w:rsidRPr="00C174D5">
              <w:rPr>
                <w:rFonts w:eastAsia="Times New Roman" w:cs="Times New Roman"/>
                <w:sz w:val="20"/>
                <w:szCs w:val="20"/>
                <w:lang w:val="es-ES" w:eastAsia="es-AR"/>
              </w:rPr>
              <w:t>%</w:t>
            </w:r>
          </w:p>
        </w:tc>
      </w:tr>
      <w:tr w:rsidR="00C92C58" w:rsidRPr="00E67BF2" w14:paraId="57C15191" w14:textId="77777777" w:rsidTr="00B15A9A">
        <w:trPr>
          <w:trHeight w:val="300"/>
          <w:jc w:val="center"/>
        </w:trPr>
        <w:tc>
          <w:tcPr>
            <w:tcW w:w="7477" w:type="dxa"/>
            <w:gridSpan w:val="5"/>
            <w:tcBorders>
              <w:top w:val="single" w:sz="2" w:space="0" w:color="auto"/>
            </w:tcBorders>
            <w:shd w:val="clear" w:color="auto" w:fill="auto"/>
            <w:noWrap/>
            <w:vAlign w:val="center"/>
          </w:tcPr>
          <w:p w14:paraId="01849E80"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Tasa de crecimiento promedio de la demanda existente (</w:t>
            </w:r>
            <w:r>
              <w:rPr>
                <w:rFonts w:eastAsia="Times New Roman" w:cs="Times New Roman"/>
                <w:sz w:val="20"/>
                <w:szCs w:val="20"/>
                <w:lang w:val="es-ES" w:eastAsia="es-AR"/>
              </w:rPr>
              <w:t>3</w:t>
            </w:r>
            <w:r w:rsidRPr="00C174D5">
              <w:rPr>
                <w:rFonts w:eastAsia="Times New Roman" w:cs="Times New Roman"/>
                <w:sz w:val="20"/>
                <w:szCs w:val="20"/>
                <w:lang w:val="es-ES" w:eastAsia="es-AR"/>
              </w:rPr>
              <w:t>,</w:t>
            </w:r>
            <w:r>
              <w:rPr>
                <w:rFonts w:eastAsia="Times New Roman" w:cs="Times New Roman"/>
                <w:sz w:val="20"/>
                <w:szCs w:val="20"/>
                <w:lang w:val="es-ES" w:eastAsia="es-AR"/>
              </w:rPr>
              <w:t>6</w:t>
            </w:r>
            <w:r w:rsidRPr="00C174D5">
              <w:rPr>
                <w:rFonts w:eastAsia="Times New Roman" w:cs="Times New Roman"/>
                <w:sz w:val="20"/>
                <w:szCs w:val="20"/>
                <w:lang w:val="es-ES" w:eastAsia="es-AR"/>
              </w:rPr>
              <w:t xml:space="preserve"> %)</w:t>
            </w:r>
            <w:r w:rsidRPr="00C174D5">
              <w:rPr>
                <w:rStyle w:val="FootnoteReference"/>
                <w:rFonts w:eastAsia="Times New Roman" w:cs="Times New Roman"/>
                <w:sz w:val="20"/>
                <w:szCs w:val="20"/>
                <w:lang w:val="es-ES" w:eastAsia="es-AR"/>
              </w:rPr>
              <w:footnoteReference w:id="40"/>
            </w:r>
          </w:p>
        </w:tc>
      </w:tr>
      <w:tr w:rsidR="00C92C58" w:rsidRPr="00C174D5" w14:paraId="6590FAE2" w14:textId="77777777" w:rsidTr="00B15A9A">
        <w:trPr>
          <w:trHeight w:val="300"/>
          <w:jc w:val="center"/>
        </w:trPr>
        <w:tc>
          <w:tcPr>
            <w:tcW w:w="1701" w:type="dxa"/>
            <w:tcBorders>
              <w:top w:val="single" w:sz="2" w:space="0" w:color="auto"/>
            </w:tcBorders>
            <w:shd w:val="clear" w:color="auto" w:fill="auto"/>
            <w:noWrap/>
            <w:vAlign w:val="center"/>
          </w:tcPr>
          <w:p w14:paraId="2E6302F1"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27749FA2"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3,</w:t>
            </w:r>
            <w:r>
              <w:rPr>
                <w:rFonts w:eastAsia="Times New Roman" w:cs="Times New Roman"/>
                <w:sz w:val="20"/>
                <w:szCs w:val="20"/>
                <w:lang w:val="es-ES" w:eastAsia="es-AR"/>
              </w:rPr>
              <w:t>06</w:t>
            </w:r>
            <w:r w:rsidRPr="00C174D5">
              <w:rPr>
                <w:rFonts w:eastAsia="Times New Roman" w:cs="Times New Roman"/>
                <w:sz w:val="20"/>
                <w:szCs w:val="20"/>
                <w:lang w:val="es-ES" w:eastAsia="es-AR"/>
              </w:rPr>
              <w:t>% (- 15%)</w:t>
            </w:r>
          </w:p>
        </w:tc>
        <w:tc>
          <w:tcPr>
            <w:tcW w:w="1418" w:type="dxa"/>
            <w:tcBorders>
              <w:top w:val="single" w:sz="2" w:space="0" w:color="auto"/>
            </w:tcBorders>
            <w:vAlign w:val="center"/>
          </w:tcPr>
          <w:p w14:paraId="401CD9A7"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199.357.639</w:t>
            </w:r>
          </w:p>
        </w:tc>
        <w:tc>
          <w:tcPr>
            <w:tcW w:w="851" w:type="dxa"/>
            <w:tcBorders>
              <w:top w:val="single" w:sz="2" w:space="0" w:color="auto"/>
            </w:tcBorders>
            <w:vAlign w:val="center"/>
          </w:tcPr>
          <w:p w14:paraId="2DD6A04E"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-21,4%</w:t>
            </w:r>
          </w:p>
        </w:tc>
        <w:tc>
          <w:tcPr>
            <w:tcW w:w="1098" w:type="dxa"/>
            <w:tcBorders>
              <w:top w:val="single" w:sz="2" w:space="0" w:color="auto"/>
            </w:tcBorders>
            <w:vAlign w:val="center"/>
          </w:tcPr>
          <w:p w14:paraId="1DD09280"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55%</w:t>
            </w:r>
          </w:p>
        </w:tc>
      </w:tr>
      <w:tr w:rsidR="00C92C58" w:rsidRPr="00C174D5" w14:paraId="54B89278" w14:textId="77777777" w:rsidTr="00B15A9A">
        <w:trPr>
          <w:trHeight w:val="300"/>
          <w:jc w:val="center"/>
        </w:trPr>
        <w:tc>
          <w:tcPr>
            <w:tcW w:w="1701" w:type="dxa"/>
            <w:tcBorders>
              <w:top w:val="single" w:sz="2" w:space="0" w:color="auto"/>
            </w:tcBorders>
            <w:shd w:val="clear" w:color="auto" w:fill="auto"/>
            <w:noWrap/>
            <w:vAlign w:val="center"/>
          </w:tcPr>
          <w:p w14:paraId="05F5ADC3"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3D17B668"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Pr>
                <w:rFonts w:eastAsia="Times New Roman" w:cs="Times New Roman"/>
                <w:sz w:val="20"/>
                <w:szCs w:val="20"/>
                <w:lang w:val="es-ES" w:eastAsia="es-AR"/>
              </w:rPr>
              <w:t>2</w:t>
            </w:r>
            <w:r w:rsidRPr="00C174D5">
              <w:rPr>
                <w:rFonts w:eastAsia="Times New Roman" w:cs="Times New Roman"/>
                <w:sz w:val="20"/>
                <w:szCs w:val="20"/>
                <w:lang w:val="es-ES" w:eastAsia="es-AR"/>
              </w:rPr>
              <w:t>,</w:t>
            </w:r>
            <w:r>
              <w:rPr>
                <w:rFonts w:eastAsia="Times New Roman" w:cs="Times New Roman"/>
                <w:sz w:val="20"/>
                <w:szCs w:val="20"/>
                <w:lang w:val="es-ES" w:eastAsia="es-AR"/>
              </w:rPr>
              <w:t>5</w:t>
            </w:r>
            <w:r w:rsidRPr="00C174D5">
              <w:rPr>
                <w:rFonts w:eastAsia="Times New Roman" w:cs="Times New Roman"/>
                <w:sz w:val="20"/>
                <w:szCs w:val="20"/>
                <w:lang w:val="es-ES" w:eastAsia="es-AR"/>
              </w:rPr>
              <w:t>2% (- 30%)</w:t>
            </w:r>
          </w:p>
        </w:tc>
        <w:tc>
          <w:tcPr>
            <w:tcW w:w="1418" w:type="dxa"/>
            <w:tcBorders>
              <w:top w:val="single" w:sz="2" w:space="0" w:color="auto"/>
            </w:tcBorders>
            <w:vAlign w:val="center"/>
          </w:tcPr>
          <w:p w14:paraId="51BD7FD5"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151.624.923</w:t>
            </w:r>
          </w:p>
        </w:tc>
        <w:tc>
          <w:tcPr>
            <w:tcW w:w="851" w:type="dxa"/>
            <w:tcBorders>
              <w:top w:val="single" w:sz="2" w:space="0" w:color="auto"/>
            </w:tcBorders>
            <w:vAlign w:val="center"/>
          </w:tcPr>
          <w:p w14:paraId="6DDDF63A"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-40,2%</w:t>
            </w:r>
          </w:p>
        </w:tc>
        <w:tc>
          <w:tcPr>
            <w:tcW w:w="1098" w:type="dxa"/>
            <w:tcBorders>
              <w:top w:val="single" w:sz="2" w:space="0" w:color="auto"/>
            </w:tcBorders>
            <w:vAlign w:val="center"/>
          </w:tcPr>
          <w:p w14:paraId="773C05D4"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52%</w:t>
            </w:r>
          </w:p>
        </w:tc>
      </w:tr>
      <w:tr w:rsidR="00C92C58" w:rsidRPr="00E67BF2" w14:paraId="43B4082E" w14:textId="77777777" w:rsidTr="00B15A9A">
        <w:trPr>
          <w:trHeight w:val="300"/>
          <w:jc w:val="center"/>
        </w:trPr>
        <w:tc>
          <w:tcPr>
            <w:tcW w:w="7477" w:type="dxa"/>
            <w:gridSpan w:val="5"/>
            <w:tcBorders>
              <w:top w:val="single" w:sz="2" w:space="0" w:color="auto"/>
              <w:bottom w:val="single" w:sz="2" w:space="0" w:color="auto"/>
            </w:tcBorders>
            <w:shd w:val="clear" w:color="auto" w:fill="auto"/>
            <w:noWrap/>
            <w:vAlign w:val="center"/>
          </w:tcPr>
          <w:p w14:paraId="47D7FA8F"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Costo de falla (base 1.500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w:t>
            </w:r>
          </w:p>
        </w:tc>
      </w:tr>
      <w:tr w:rsidR="00C92C58" w:rsidRPr="00C174D5" w14:paraId="7F4348AC" w14:textId="77777777" w:rsidTr="00B15A9A">
        <w:trPr>
          <w:trHeight w:val="300"/>
          <w:jc w:val="center"/>
        </w:trPr>
        <w:tc>
          <w:tcPr>
            <w:tcW w:w="1701" w:type="dxa"/>
            <w:tcBorders>
              <w:top w:val="single" w:sz="2" w:space="0" w:color="auto"/>
            </w:tcBorders>
            <w:shd w:val="clear" w:color="auto" w:fill="auto"/>
            <w:noWrap/>
            <w:vAlign w:val="center"/>
          </w:tcPr>
          <w:p w14:paraId="6CAAAA72"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6A59BA2B"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1.725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xml:space="preserve"> (+ 15%)</w:t>
            </w:r>
          </w:p>
        </w:tc>
        <w:tc>
          <w:tcPr>
            <w:tcW w:w="1418" w:type="dxa"/>
            <w:tcBorders>
              <w:top w:val="single" w:sz="2" w:space="0" w:color="auto"/>
            </w:tcBorders>
            <w:vAlign w:val="center"/>
          </w:tcPr>
          <w:p w14:paraId="0F47ECE6"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211.563.</w:t>
            </w:r>
            <w:r w:rsidRPr="0014151B">
              <w:rPr>
                <w:rFonts w:eastAsia="Times New Roman" w:cs="Times New Roman"/>
                <w:sz w:val="20"/>
                <w:szCs w:val="20"/>
                <w:lang w:val="es-ES" w:eastAsia="es-AR"/>
              </w:rPr>
              <w:t>122</w:t>
            </w:r>
          </w:p>
        </w:tc>
        <w:tc>
          <w:tcPr>
            <w:tcW w:w="851" w:type="dxa"/>
            <w:tcBorders>
              <w:top w:val="single" w:sz="2" w:space="0" w:color="auto"/>
            </w:tcBorders>
            <w:vAlign w:val="center"/>
          </w:tcPr>
          <w:p w14:paraId="5557EEE6"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+17,</w:t>
            </w:r>
            <w:r>
              <w:rPr>
                <w:rFonts w:eastAsia="Times New Roman" w:cs="Times New Roman"/>
                <w:sz w:val="20"/>
                <w:szCs w:val="20"/>
                <w:lang w:val="es-ES" w:eastAsia="es-AR"/>
              </w:rPr>
              <w:t>7</w:t>
            </w:r>
            <w:r w:rsidRPr="00C174D5">
              <w:rPr>
                <w:rFonts w:eastAsia="Times New Roman" w:cs="Times New Roman"/>
                <w:sz w:val="20"/>
                <w:szCs w:val="20"/>
                <w:lang w:val="es-ES" w:eastAsia="es-AR"/>
              </w:rPr>
              <w:t>%</w:t>
            </w:r>
          </w:p>
        </w:tc>
        <w:tc>
          <w:tcPr>
            <w:tcW w:w="1098" w:type="dxa"/>
            <w:tcBorders>
              <w:top w:val="single" w:sz="2" w:space="0" w:color="auto"/>
            </w:tcBorders>
            <w:vAlign w:val="center"/>
          </w:tcPr>
          <w:p w14:paraId="2974C200"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5</w:t>
            </w:r>
            <w:r w:rsidRPr="00C174D5">
              <w:rPr>
                <w:rFonts w:eastAsia="Times New Roman" w:cs="Times New Roman"/>
                <w:sz w:val="20"/>
                <w:szCs w:val="20"/>
                <w:lang w:val="es-ES" w:eastAsia="es-AR"/>
              </w:rPr>
              <w:t>6%</w:t>
            </w:r>
          </w:p>
        </w:tc>
      </w:tr>
      <w:tr w:rsidR="00C92C58" w:rsidRPr="00C174D5" w14:paraId="13C4E899" w14:textId="77777777" w:rsidTr="00B15A9A">
        <w:trPr>
          <w:trHeight w:val="300"/>
          <w:jc w:val="center"/>
        </w:trPr>
        <w:tc>
          <w:tcPr>
            <w:tcW w:w="1701" w:type="dxa"/>
            <w:tcBorders>
              <w:top w:val="single" w:sz="2" w:space="0" w:color="auto"/>
              <w:bottom w:val="single" w:sz="2" w:space="0" w:color="auto"/>
            </w:tcBorders>
            <w:shd w:val="clear" w:color="auto" w:fill="auto"/>
            <w:noWrap/>
            <w:vAlign w:val="center"/>
          </w:tcPr>
          <w:p w14:paraId="5347E40C"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bottom w:val="single" w:sz="2" w:space="0" w:color="auto"/>
            </w:tcBorders>
            <w:shd w:val="clear" w:color="auto" w:fill="auto"/>
            <w:vAlign w:val="center"/>
          </w:tcPr>
          <w:p w14:paraId="08047A0D"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1.275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xml:space="preserve"> (- 15%)</w:t>
            </w:r>
          </w:p>
        </w:tc>
        <w:tc>
          <w:tcPr>
            <w:tcW w:w="1418" w:type="dxa"/>
            <w:tcBorders>
              <w:top w:val="single" w:sz="2" w:space="0" w:color="auto"/>
              <w:bottom w:val="single" w:sz="2" w:space="0" w:color="auto"/>
            </w:tcBorders>
            <w:vAlign w:val="center"/>
          </w:tcPr>
          <w:p w14:paraId="2ECB0876"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147.</w:t>
            </w:r>
            <w:r w:rsidRPr="0014151B">
              <w:rPr>
                <w:rFonts w:eastAsia="Times New Roman" w:cs="Times New Roman"/>
                <w:sz w:val="20"/>
                <w:szCs w:val="20"/>
                <w:lang w:val="es-ES" w:eastAsia="es-AR"/>
              </w:rPr>
              <w:t>911</w:t>
            </w:r>
            <w:r>
              <w:rPr>
                <w:rFonts w:eastAsia="Times New Roman" w:cs="Times New Roman"/>
                <w:sz w:val="20"/>
                <w:szCs w:val="20"/>
                <w:lang w:val="es-ES" w:eastAsia="es-AR"/>
              </w:rPr>
              <w:t>.</w:t>
            </w:r>
            <w:r w:rsidRPr="0014151B">
              <w:rPr>
                <w:rFonts w:eastAsia="Times New Roman" w:cs="Times New Roman"/>
                <w:sz w:val="20"/>
                <w:szCs w:val="20"/>
                <w:lang w:val="es-ES" w:eastAsia="es-AR"/>
              </w:rPr>
              <w:t>139</w:t>
            </w:r>
          </w:p>
        </w:tc>
        <w:tc>
          <w:tcPr>
            <w:tcW w:w="851" w:type="dxa"/>
            <w:tcBorders>
              <w:top w:val="single" w:sz="2" w:space="0" w:color="auto"/>
              <w:bottom w:val="single" w:sz="2" w:space="0" w:color="auto"/>
            </w:tcBorders>
            <w:vAlign w:val="center"/>
          </w:tcPr>
          <w:p w14:paraId="3E105223"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-17,</w:t>
            </w:r>
            <w:r>
              <w:rPr>
                <w:rFonts w:eastAsia="Times New Roman" w:cs="Times New Roman"/>
                <w:sz w:val="20"/>
                <w:szCs w:val="20"/>
                <w:lang w:val="es-ES" w:eastAsia="es-AR"/>
              </w:rPr>
              <w:t>7</w:t>
            </w:r>
            <w:r w:rsidRPr="00C174D5">
              <w:rPr>
                <w:rFonts w:eastAsia="Times New Roman" w:cs="Times New Roman"/>
                <w:sz w:val="20"/>
                <w:szCs w:val="20"/>
                <w:lang w:val="es-ES" w:eastAsia="es-AR"/>
              </w:rPr>
              <w:t>%</w:t>
            </w:r>
          </w:p>
        </w:tc>
        <w:tc>
          <w:tcPr>
            <w:tcW w:w="1098" w:type="dxa"/>
            <w:tcBorders>
              <w:top w:val="single" w:sz="2" w:space="0" w:color="auto"/>
              <w:bottom w:val="single" w:sz="2" w:space="0" w:color="auto"/>
            </w:tcBorders>
            <w:vAlign w:val="center"/>
          </w:tcPr>
          <w:p w14:paraId="132BD632"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5</w:t>
            </w:r>
            <w:r>
              <w:rPr>
                <w:rFonts w:eastAsia="Times New Roman" w:cs="Times New Roman"/>
                <w:sz w:val="20"/>
                <w:szCs w:val="20"/>
                <w:lang w:val="es-ES" w:eastAsia="es-AR"/>
              </w:rPr>
              <w:t>1</w:t>
            </w:r>
            <w:r w:rsidRPr="00C174D5">
              <w:rPr>
                <w:rFonts w:eastAsia="Times New Roman" w:cs="Times New Roman"/>
                <w:sz w:val="20"/>
                <w:szCs w:val="20"/>
                <w:lang w:val="es-ES" w:eastAsia="es-AR"/>
              </w:rPr>
              <w:t>%</w:t>
            </w:r>
          </w:p>
        </w:tc>
      </w:tr>
      <w:tr w:rsidR="00C92C58" w:rsidRPr="00C174D5" w14:paraId="1B5920BF" w14:textId="77777777" w:rsidTr="00B15A9A">
        <w:trPr>
          <w:trHeight w:val="300"/>
          <w:jc w:val="center"/>
        </w:trPr>
        <w:tc>
          <w:tcPr>
            <w:tcW w:w="1701" w:type="dxa"/>
            <w:tcBorders>
              <w:top w:val="single" w:sz="2" w:space="0" w:color="auto"/>
            </w:tcBorders>
            <w:shd w:val="clear" w:color="auto" w:fill="auto"/>
            <w:noWrap/>
            <w:vAlign w:val="center"/>
          </w:tcPr>
          <w:p w14:paraId="041C0469"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41E1E6EB"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22</w:t>
            </w:r>
            <w:r>
              <w:rPr>
                <w:rFonts w:eastAsia="Times New Roman" w:cs="Times New Roman"/>
                <w:sz w:val="20"/>
                <w:szCs w:val="20"/>
                <w:lang w:val="es-ES" w:eastAsia="es-AR"/>
              </w:rPr>
              <w:t>9</w:t>
            </w:r>
            <w:r w:rsidRPr="00C174D5">
              <w:rPr>
                <w:rFonts w:eastAsia="Times New Roman" w:cs="Times New Roman"/>
                <w:sz w:val="20"/>
                <w:szCs w:val="20"/>
                <w:lang w:val="es-ES" w:eastAsia="es-AR"/>
              </w:rPr>
              <w:t xml:space="preserve">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xml:space="preserve"> (-85%)</w:t>
            </w:r>
          </w:p>
        </w:tc>
        <w:tc>
          <w:tcPr>
            <w:tcW w:w="1418" w:type="dxa"/>
            <w:tcBorders>
              <w:top w:val="single" w:sz="2" w:space="0" w:color="auto"/>
            </w:tcBorders>
            <w:vAlign w:val="center"/>
          </w:tcPr>
          <w:p w14:paraId="126496BF"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0</w:t>
            </w:r>
          </w:p>
        </w:tc>
        <w:tc>
          <w:tcPr>
            <w:tcW w:w="851" w:type="dxa"/>
            <w:tcBorders>
              <w:top w:val="single" w:sz="2" w:space="0" w:color="auto"/>
            </w:tcBorders>
            <w:vAlign w:val="center"/>
          </w:tcPr>
          <w:p w14:paraId="37F7DAE7"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w:t>
            </w:r>
          </w:p>
        </w:tc>
        <w:tc>
          <w:tcPr>
            <w:tcW w:w="1098" w:type="dxa"/>
            <w:tcBorders>
              <w:top w:val="single" w:sz="2" w:space="0" w:color="auto"/>
            </w:tcBorders>
            <w:vAlign w:val="center"/>
          </w:tcPr>
          <w:p w14:paraId="3A95AEA1"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12%</w:t>
            </w:r>
          </w:p>
        </w:tc>
      </w:tr>
      <w:tr w:rsidR="00C92C58" w:rsidRPr="00C174D5" w14:paraId="40FF7992" w14:textId="77777777" w:rsidTr="00B15A9A">
        <w:trPr>
          <w:trHeight w:val="300"/>
          <w:jc w:val="center"/>
        </w:trPr>
        <w:tc>
          <w:tcPr>
            <w:tcW w:w="7477" w:type="dxa"/>
            <w:gridSpan w:val="5"/>
            <w:tcBorders>
              <w:top w:val="single" w:sz="2" w:space="0" w:color="auto"/>
              <w:bottom w:val="single" w:sz="2" w:space="0" w:color="auto"/>
            </w:tcBorders>
            <w:shd w:val="clear" w:color="auto" w:fill="auto"/>
            <w:noWrap/>
            <w:vAlign w:val="center"/>
          </w:tcPr>
          <w:p w14:paraId="4549F316"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Costo de inversión</w:t>
            </w:r>
            <w:r w:rsidRPr="00C174D5">
              <w:rPr>
                <w:rStyle w:val="FootnoteReference"/>
                <w:rFonts w:eastAsia="Times New Roman" w:cs="Times New Roman"/>
                <w:sz w:val="20"/>
                <w:szCs w:val="20"/>
                <w:lang w:val="es-ES" w:eastAsia="es-AR"/>
              </w:rPr>
              <w:footnoteReference w:id="41"/>
            </w:r>
            <w:r w:rsidRPr="00C174D5">
              <w:rPr>
                <w:rFonts w:eastAsia="Times New Roman" w:cs="Times New Roman"/>
                <w:sz w:val="20"/>
                <w:szCs w:val="20"/>
                <w:lang w:val="es-ES" w:eastAsia="es-AR"/>
              </w:rPr>
              <w:t xml:space="preserve"> (base 1.779.604)</w:t>
            </w:r>
          </w:p>
        </w:tc>
      </w:tr>
      <w:tr w:rsidR="00C92C58" w:rsidRPr="00C174D5" w14:paraId="0FA2534F" w14:textId="77777777" w:rsidTr="00B15A9A">
        <w:trPr>
          <w:trHeight w:val="300"/>
          <w:jc w:val="center"/>
        </w:trPr>
        <w:tc>
          <w:tcPr>
            <w:tcW w:w="1701" w:type="dxa"/>
            <w:tcBorders>
              <w:top w:val="single" w:sz="2" w:space="0" w:color="auto"/>
            </w:tcBorders>
            <w:shd w:val="clear" w:color="auto" w:fill="auto"/>
            <w:noWrap/>
            <w:vAlign w:val="center"/>
          </w:tcPr>
          <w:p w14:paraId="23E7A311"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08679287"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2.046.545 (+15%)</w:t>
            </w:r>
          </w:p>
        </w:tc>
        <w:tc>
          <w:tcPr>
            <w:tcW w:w="1418" w:type="dxa"/>
            <w:tcBorders>
              <w:top w:val="single" w:sz="2" w:space="0" w:color="auto"/>
            </w:tcBorders>
            <w:vAlign w:val="center"/>
          </w:tcPr>
          <w:p w14:paraId="086D063C"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179.420.</w:t>
            </w:r>
            <w:r w:rsidRPr="0014151B">
              <w:rPr>
                <w:rFonts w:eastAsia="Times New Roman" w:cs="Times New Roman"/>
                <w:sz w:val="20"/>
                <w:szCs w:val="20"/>
                <w:lang w:val="es-ES" w:eastAsia="es-AR"/>
              </w:rPr>
              <w:t>7</w:t>
            </w:r>
            <w:r>
              <w:rPr>
                <w:rFonts w:eastAsia="Times New Roman" w:cs="Times New Roman"/>
                <w:sz w:val="20"/>
                <w:szCs w:val="20"/>
                <w:lang w:val="es-ES" w:eastAsia="es-AR"/>
              </w:rPr>
              <w:t>84</w:t>
            </w:r>
          </w:p>
        </w:tc>
        <w:tc>
          <w:tcPr>
            <w:tcW w:w="851" w:type="dxa"/>
            <w:tcBorders>
              <w:top w:val="single" w:sz="2" w:space="0" w:color="auto"/>
            </w:tcBorders>
            <w:vAlign w:val="center"/>
          </w:tcPr>
          <w:p w14:paraId="5994E052"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-0,</w:t>
            </w:r>
            <w:r>
              <w:rPr>
                <w:rFonts w:eastAsia="Times New Roman" w:cs="Times New Roman"/>
                <w:sz w:val="20"/>
                <w:szCs w:val="20"/>
                <w:lang w:val="es-ES" w:eastAsia="es-AR"/>
              </w:rPr>
              <w:t>18</w:t>
            </w:r>
            <w:r w:rsidRPr="00C174D5">
              <w:rPr>
                <w:rFonts w:eastAsia="Times New Roman" w:cs="Times New Roman"/>
                <w:sz w:val="20"/>
                <w:szCs w:val="20"/>
                <w:lang w:val="es-ES" w:eastAsia="es-AR"/>
              </w:rPr>
              <w:t>%</w:t>
            </w:r>
          </w:p>
        </w:tc>
        <w:tc>
          <w:tcPr>
            <w:tcW w:w="1098" w:type="dxa"/>
            <w:tcBorders>
              <w:top w:val="single" w:sz="2" w:space="0" w:color="auto"/>
            </w:tcBorders>
            <w:vAlign w:val="center"/>
          </w:tcPr>
          <w:p w14:paraId="3F6E904B"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5</w:t>
            </w:r>
            <w:r>
              <w:rPr>
                <w:rFonts w:eastAsia="Times New Roman" w:cs="Times New Roman"/>
                <w:sz w:val="20"/>
                <w:szCs w:val="20"/>
                <w:lang w:val="es-ES" w:eastAsia="es-AR"/>
              </w:rPr>
              <w:t>2</w:t>
            </w:r>
            <w:r w:rsidRPr="00C174D5">
              <w:rPr>
                <w:rFonts w:eastAsia="Times New Roman" w:cs="Times New Roman"/>
                <w:sz w:val="20"/>
                <w:szCs w:val="20"/>
                <w:lang w:val="es-ES" w:eastAsia="es-AR"/>
              </w:rPr>
              <w:t>%</w:t>
            </w:r>
          </w:p>
        </w:tc>
      </w:tr>
      <w:tr w:rsidR="00C92C58" w:rsidRPr="00C174D5" w14:paraId="4F78D09E" w14:textId="77777777" w:rsidTr="00B15A9A">
        <w:trPr>
          <w:trHeight w:val="300"/>
          <w:jc w:val="center"/>
        </w:trPr>
        <w:tc>
          <w:tcPr>
            <w:tcW w:w="1701" w:type="dxa"/>
            <w:tcBorders>
              <w:top w:val="single" w:sz="2" w:space="0" w:color="auto"/>
            </w:tcBorders>
            <w:shd w:val="clear" w:color="auto" w:fill="auto"/>
            <w:noWrap/>
            <w:vAlign w:val="center"/>
          </w:tcPr>
          <w:p w14:paraId="6162AACE"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213F8804"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2.313.485 (+30%)</w:t>
            </w:r>
          </w:p>
        </w:tc>
        <w:tc>
          <w:tcPr>
            <w:tcW w:w="1418" w:type="dxa"/>
            <w:tcBorders>
              <w:top w:val="single" w:sz="2" w:space="0" w:color="auto"/>
            </w:tcBorders>
            <w:vAlign w:val="center"/>
          </w:tcPr>
          <w:p w14:paraId="1D51B980"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179.</w:t>
            </w:r>
            <w:r w:rsidRPr="0014151B">
              <w:rPr>
                <w:rFonts w:eastAsia="Times New Roman" w:cs="Times New Roman"/>
                <w:sz w:val="20"/>
                <w:szCs w:val="20"/>
                <w:lang w:val="es-ES" w:eastAsia="es-AR"/>
              </w:rPr>
              <w:t>104</w:t>
            </w:r>
            <w:r>
              <w:rPr>
                <w:rFonts w:eastAsia="Times New Roman" w:cs="Times New Roman"/>
                <w:sz w:val="20"/>
                <w:szCs w:val="20"/>
                <w:lang w:val="es-ES" w:eastAsia="es-AR"/>
              </w:rPr>
              <w:t>.</w:t>
            </w:r>
            <w:r w:rsidRPr="0014151B">
              <w:rPr>
                <w:rFonts w:eastAsia="Times New Roman" w:cs="Times New Roman"/>
                <w:sz w:val="20"/>
                <w:szCs w:val="20"/>
                <w:lang w:val="es-ES" w:eastAsia="es-AR"/>
              </w:rPr>
              <w:t>437</w:t>
            </w:r>
          </w:p>
        </w:tc>
        <w:tc>
          <w:tcPr>
            <w:tcW w:w="851" w:type="dxa"/>
            <w:tcBorders>
              <w:top w:val="single" w:sz="2" w:space="0" w:color="auto"/>
            </w:tcBorders>
            <w:vAlign w:val="center"/>
          </w:tcPr>
          <w:p w14:paraId="6346383E"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-0,</w:t>
            </w:r>
            <w:r>
              <w:rPr>
                <w:rFonts w:eastAsia="Times New Roman" w:cs="Times New Roman"/>
                <w:sz w:val="20"/>
                <w:szCs w:val="20"/>
                <w:lang w:val="es-ES" w:eastAsia="es-AR"/>
              </w:rPr>
              <w:t>35</w:t>
            </w:r>
            <w:r w:rsidRPr="00C174D5">
              <w:rPr>
                <w:rFonts w:eastAsia="Times New Roman" w:cs="Times New Roman"/>
                <w:sz w:val="20"/>
                <w:szCs w:val="20"/>
                <w:lang w:val="es-ES" w:eastAsia="es-AR"/>
              </w:rPr>
              <w:t>%</w:t>
            </w:r>
          </w:p>
        </w:tc>
        <w:tc>
          <w:tcPr>
            <w:tcW w:w="1098" w:type="dxa"/>
            <w:tcBorders>
              <w:top w:val="single" w:sz="2" w:space="0" w:color="auto"/>
            </w:tcBorders>
            <w:vAlign w:val="center"/>
          </w:tcPr>
          <w:p w14:paraId="17E88D13"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5</w:t>
            </w:r>
            <w:r>
              <w:rPr>
                <w:rFonts w:eastAsia="Times New Roman" w:cs="Times New Roman"/>
                <w:sz w:val="20"/>
                <w:szCs w:val="20"/>
                <w:lang w:val="es-ES" w:eastAsia="es-AR"/>
              </w:rPr>
              <w:t>1</w:t>
            </w:r>
            <w:r w:rsidRPr="00C174D5">
              <w:rPr>
                <w:rFonts w:eastAsia="Times New Roman" w:cs="Times New Roman"/>
                <w:sz w:val="20"/>
                <w:szCs w:val="20"/>
                <w:lang w:val="es-ES" w:eastAsia="es-AR"/>
              </w:rPr>
              <w:t>%</w:t>
            </w:r>
          </w:p>
        </w:tc>
      </w:tr>
    </w:tbl>
    <w:p w14:paraId="68E81882" w14:textId="77777777" w:rsidR="00C92C58" w:rsidRPr="00C174D5" w:rsidRDefault="00C92C58" w:rsidP="00C92C58">
      <w:pPr>
        <w:ind w:left="1134" w:right="1134"/>
        <w:jc w:val="center"/>
        <w:rPr>
          <w:sz w:val="18"/>
          <w:lang w:val="es-ES"/>
        </w:rPr>
      </w:pPr>
      <w:r w:rsidRPr="00C174D5">
        <w:rPr>
          <w:sz w:val="18"/>
          <w:lang w:val="es-ES"/>
        </w:rPr>
        <w:t>Fuente: Elaboración propia en base a información de ENATREL provista por el BID</w:t>
      </w:r>
    </w:p>
    <w:p w14:paraId="2B012EA3" w14:textId="77777777" w:rsidR="00C92C58" w:rsidRPr="00C174D5" w:rsidRDefault="00C92C58" w:rsidP="00C92C58">
      <w:pPr>
        <w:rPr>
          <w:lang w:val="es-ES"/>
        </w:rPr>
      </w:pPr>
      <w:r w:rsidRPr="00C174D5">
        <w:rPr>
          <w:lang w:val="es-ES"/>
        </w:rPr>
        <w:t xml:space="preserve">También en este caso los resultados de la evaluación económica son robustos a las sensibilidades efectuadas. Cabe mencionar que para que el VPNE de este proyecto </w:t>
      </w:r>
      <w:r w:rsidRPr="00C174D5">
        <w:rPr>
          <w:lang w:val="es-ES"/>
        </w:rPr>
        <w:lastRenderedPageBreak/>
        <w:t>sea nulo, el costo de falla debe ser un 85% menor al utilizado en la evaluación, cerca de 22</w:t>
      </w:r>
      <w:r>
        <w:rPr>
          <w:lang w:val="es-ES"/>
        </w:rPr>
        <w:t>9</w:t>
      </w:r>
      <w:r w:rsidRPr="00C174D5">
        <w:rPr>
          <w:lang w:val="es-ES"/>
        </w:rPr>
        <w:t xml:space="preserve"> US$/</w:t>
      </w:r>
      <w:proofErr w:type="spellStart"/>
      <w:r w:rsidRPr="00C174D5">
        <w:rPr>
          <w:lang w:val="es-ES"/>
        </w:rPr>
        <w:t>MWh</w:t>
      </w:r>
      <w:proofErr w:type="spellEnd"/>
      <w:r w:rsidRPr="00C174D5">
        <w:rPr>
          <w:lang w:val="es-ES"/>
        </w:rPr>
        <w:t>.</w:t>
      </w:r>
    </w:p>
    <w:p w14:paraId="6766DCE8" w14:textId="77777777" w:rsidR="00C92C58" w:rsidRPr="00C174D5" w:rsidRDefault="00C92C58" w:rsidP="00C92C58">
      <w:pPr>
        <w:pStyle w:val="Heading1"/>
        <w:pageBreakBefore w:val="0"/>
        <w:numPr>
          <w:ilvl w:val="1"/>
          <w:numId w:val="9"/>
        </w:numPr>
        <w:ind w:left="788" w:hanging="431"/>
        <w:rPr>
          <w:lang w:val="es-ES"/>
        </w:rPr>
      </w:pPr>
      <w:bookmarkStart w:id="172" w:name="_Toc456353137"/>
      <w:r w:rsidRPr="00C174D5">
        <w:rPr>
          <w:lang w:val="es-ES"/>
        </w:rPr>
        <w:t xml:space="preserve">Modernización SE </w:t>
      </w:r>
      <w:proofErr w:type="spellStart"/>
      <w:r w:rsidRPr="00C174D5">
        <w:rPr>
          <w:lang w:val="es-ES"/>
        </w:rPr>
        <w:t>Ticuantepe</w:t>
      </w:r>
      <w:proofErr w:type="spellEnd"/>
      <w:r w:rsidRPr="00C174D5">
        <w:rPr>
          <w:lang w:val="es-ES"/>
        </w:rPr>
        <w:t xml:space="preserve"> I y Ampliación SE </w:t>
      </w:r>
      <w:proofErr w:type="spellStart"/>
      <w:r w:rsidRPr="00C174D5">
        <w:rPr>
          <w:lang w:val="es-ES"/>
        </w:rPr>
        <w:t>Ticuantepe</w:t>
      </w:r>
      <w:proofErr w:type="spellEnd"/>
      <w:r w:rsidRPr="00C174D5">
        <w:rPr>
          <w:lang w:val="es-ES"/>
        </w:rPr>
        <w:t xml:space="preserve"> II</w:t>
      </w:r>
      <w:bookmarkEnd w:id="172"/>
    </w:p>
    <w:p w14:paraId="7035AB3C" w14:textId="77777777" w:rsidR="00C92C58" w:rsidRPr="00C174D5" w:rsidRDefault="00C92C58" w:rsidP="00C92C58">
      <w:pPr>
        <w:rPr>
          <w:lang w:val="es-ES"/>
        </w:rPr>
      </w:pPr>
      <w:r w:rsidRPr="00C174D5">
        <w:rPr>
          <w:lang w:val="es-ES"/>
        </w:rPr>
        <w:t xml:space="preserve">La modernización de la SE </w:t>
      </w:r>
      <w:proofErr w:type="spellStart"/>
      <w:r w:rsidRPr="00C174D5">
        <w:rPr>
          <w:lang w:val="es-ES"/>
        </w:rPr>
        <w:t>Ticuantepe</w:t>
      </w:r>
      <w:proofErr w:type="spellEnd"/>
      <w:r w:rsidRPr="00C174D5">
        <w:rPr>
          <w:lang w:val="es-ES"/>
        </w:rPr>
        <w:t xml:space="preserve"> I, consiste en la construcción de una nueva SE en 138kV, que reemplace a la SE </w:t>
      </w:r>
      <w:proofErr w:type="spellStart"/>
      <w:r w:rsidRPr="00C174D5">
        <w:rPr>
          <w:lang w:val="es-ES"/>
        </w:rPr>
        <w:t>Ticuantepe</w:t>
      </w:r>
      <w:proofErr w:type="spellEnd"/>
      <w:r w:rsidRPr="00C174D5">
        <w:rPr>
          <w:lang w:val="es-ES"/>
        </w:rPr>
        <w:t xml:space="preserve"> I actual de 69kV, con el propósito de mejorar la confiabilidad del suministro de esta SE y ampliar la capacidad de transformación para poder abastecer las cargas futuras de la zona. En relación al aumento de la confiabilidad, según el documento “Proyectos Priorizados para el Sistema Nacional de Transmisión” de ENATREL, la SE </w:t>
      </w:r>
      <w:proofErr w:type="spellStart"/>
      <w:r w:rsidRPr="00C174D5">
        <w:rPr>
          <w:lang w:val="es-ES"/>
        </w:rPr>
        <w:t>se</w:t>
      </w:r>
      <w:proofErr w:type="spellEnd"/>
      <w:r w:rsidRPr="00C174D5">
        <w:rPr>
          <w:lang w:val="es-ES"/>
        </w:rPr>
        <w:t xml:space="preserve"> encuentra operando bajo condiciones de alto riesgo, dado que tiene más de 30 años de funcionamiento, lo cual sobrepasa su vida útil. Por otro lado, respecto a las cargas futuras esperadas y según el mismo documento, se prevé que crecerán notablemente, principalmente por el desarrollo de urbanizaciones y por el aumento de carga agroindustrial.</w:t>
      </w:r>
    </w:p>
    <w:p w14:paraId="55F71FC5" w14:textId="77777777" w:rsidR="00C92C58" w:rsidRPr="00C174D5" w:rsidRDefault="00C92C58" w:rsidP="00C92C58">
      <w:pPr>
        <w:rPr>
          <w:lang w:val="es-ES"/>
        </w:rPr>
      </w:pPr>
      <w:r w:rsidRPr="00C174D5">
        <w:rPr>
          <w:lang w:val="es-ES"/>
        </w:rPr>
        <w:t xml:space="preserve">El objetivo de este proyecto, que consiste en la construcción de una nueva SE </w:t>
      </w:r>
      <w:proofErr w:type="spellStart"/>
      <w:r w:rsidRPr="00C174D5">
        <w:rPr>
          <w:lang w:val="es-ES"/>
        </w:rPr>
        <w:t>Ticuantepe</w:t>
      </w:r>
      <w:proofErr w:type="spellEnd"/>
      <w:r w:rsidRPr="00C174D5">
        <w:rPr>
          <w:lang w:val="es-ES"/>
        </w:rPr>
        <w:t xml:space="preserve"> I y de 2 km de LT en 138 </w:t>
      </w:r>
      <w:proofErr w:type="spellStart"/>
      <w:r w:rsidRPr="00C174D5">
        <w:rPr>
          <w:lang w:val="es-ES"/>
        </w:rPr>
        <w:t>kV</w:t>
      </w:r>
      <w:proofErr w:type="spellEnd"/>
      <w:r w:rsidRPr="00C174D5">
        <w:rPr>
          <w:lang w:val="es-ES"/>
        </w:rPr>
        <w:t>, es, entonces, suministrar energía confiable y segura a los usuarios que actualmente tienen el servicio de energía eléctrica, abastecer el crecimiento de la zona de carretera Masaya y reducir las pérdidas en el sistema de transmisión.</w:t>
      </w:r>
    </w:p>
    <w:p w14:paraId="048AB5E4" w14:textId="77777777" w:rsidR="00C92C58" w:rsidRPr="00C174D5" w:rsidRDefault="00C92C58" w:rsidP="00C92C58">
      <w:pPr>
        <w:rPr>
          <w:lang w:val="es-ES"/>
        </w:rPr>
      </w:pPr>
      <w:r w:rsidRPr="00C174D5">
        <w:rPr>
          <w:lang w:val="es-ES"/>
        </w:rPr>
        <w:t xml:space="preserve">Por otro lado, la actual subestación </w:t>
      </w:r>
      <w:proofErr w:type="spellStart"/>
      <w:r w:rsidRPr="00C174D5">
        <w:rPr>
          <w:lang w:val="es-ES"/>
        </w:rPr>
        <w:t>Ticuantepe</w:t>
      </w:r>
      <w:proofErr w:type="spellEnd"/>
      <w:r w:rsidRPr="00C174D5">
        <w:rPr>
          <w:lang w:val="es-ES"/>
        </w:rPr>
        <w:t xml:space="preserve"> II posee una capacidad de 6,25 MVA y registra una demanda de 4,3 MVA, llevando al transformador de 6,5 MVA a operar al 69% de su capacidad nominal. Este transformador, dada su antigüedad (supera los 37 años de servicio), no es confiable. Por otro lado, es necesario un aumento en la capacidad de la SE por dos motivos: primero, la demanda de energía de la zona alimentada por esta SE </w:t>
      </w:r>
      <w:proofErr w:type="spellStart"/>
      <w:r w:rsidRPr="00C174D5">
        <w:rPr>
          <w:lang w:val="es-ES"/>
        </w:rPr>
        <w:t>se</w:t>
      </w:r>
      <w:proofErr w:type="spellEnd"/>
      <w:r w:rsidRPr="00C174D5">
        <w:rPr>
          <w:lang w:val="es-ES"/>
        </w:rPr>
        <w:t xml:space="preserve"> encuentra en crecimiento; segundo, esta SE debiera estar en condiciones de asumir más carga de la subestación </w:t>
      </w:r>
      <w:proofErr w:type="spellStart"/>
      <w:r w:rsidRPr="00C174D5">
        <w:rPr>
          <w:lang w:val="es-ES"/>
        </w:rPr>
        <w:t>Ticuantepe</w:t>
      </w:r>
      <w:proofErr w:type="spellEnd"/>
      <w:r w:rsidRPr="00C174D5">
        <w:rPr>
          <w:lang w:val="es-ES"/>
        </w:rPr>
        <w:t xml:space="preserve"> I (la cual se encuentra al 99%), para que esta última pueda, a su vez, satisfacer el crecimiento de la carga residencial y agroindustrial de carretera Masaya. Por estos motivos es necesario instalar un transformador de 40MVA en la S/E </w:t>
      </w:r>
      <w:proofErr w:type="spellStart"/>
      <w:r w:rsidRPr="00C174D5">
        <w:rPr>
          <w:lang w:val="es-ES"/>
        </w:rPr>
        <w:t>Ticuantepe</w:t>
      </w:r>
      <w:proofErr w:type="spellEnd"/>
      <w:r w:rsidRPr="00C174D5">
        <w:rPr>
          <w:lang w:val="es-ES"/>
        </w:rPr>
        <w:t xml:space="preserve"> II, garantizando el suministro de energía eléctrica a la ciudad de </w:t>
      </w:r>
      <w:proofErr w:type="spellStart"/>
      <w:r w:rsidRPr="00C174D5">
        <w:rPr>
          <w:lang w:val="es-ES"/>
        </w:rPr>
        <w:t>Ticuantepe</w:t>
      </w:r>
      <w:proofErr w:type="spellEnd"/>
      <w:r w:rsidRPr="00C174D5">
        <w:rPr>
          <w:lang w:val="es-ES"/>
        </w:rPr>
        <w:t xml:space="preserve"> y los sectores de La Borgoña, Reparto Juan Ramón Padilla, Buenos Aires, San Pedro, La Gloria, Estancia Monte Verde, Memorial Park, Cementerio Jardines del Recuerdo, </w:t>
      </w:r>
      <w:proofErr w:type="spellStart"/>
      <w:r w:rsidRPr="00C174D5">
        <w:rPr>
          <w:lang w:val="es-ES"/>
        </w:rPr>
        <w:t>Watch</w:t>
      </w:r>
      <w:proofErr w:type="spellEnd"/>
      <w:r w:rsidRPr="00C174D5">
        <w:rPr>
          <w:lang w:val="es-ES"/>
        </w:rPr>
        <w:t xml:space="preserve"> Tower Pensilvania, </w:t>
      </w:r>
      <w:proofErr w:type="spellStart"/>
      <w:r w:rsidRPr="00C174D5">
        <w:rPr>
          <w:lang w:val="es-ES"/>
        </w:rPr>
        <w:t>Enacal</w:t>
      </w:r>
      <w:proofErr w:type="spellEnd"/>
      <w:r w:rsidRPr="00C174D5">
        <w:rPr>
          <w:lang w:val="es-ES"/>
        </w:rPr>
        <w:t xml:space="preserve">, Fabrica de Toallas Sanitarias Superior S.A, BDF y sectores aledaños. </w:t>
      </w:r>
    </w:p>
    <w:p w14:paraId="58709FD4" w14:textId="77777777" w:rsidR="00C92C58" w:rsidRPr="00C174D5" w:rsidRDefault="00C92C58" w:rsidP="00C92C58">
      <w:pPr>
        <w:rPr>
          <w:lang w:val="es-ES"/>
        </w:rPr>
      </w:pPr>
      <w:r w:rsidRPr="00C174D5">
        <w:rPr>
          <w:lang w:val="es-ES"/>
        </w:rPr>
        <w:t xml:space="preserve">Este proyecto permite que la SE </w:t>
      </w:r>
      <w:proofErr w:type="spellStart"/>
      <w:r w:rsidRPr="00C174D5">
        <w:rPr>
          <w:lang w:val="es-ES"/>
        </w:rPr>
        <w:t>Ticuantepe</w:t>
      </w:r>
      <w:proofErr w:type="spellEnd"/>
      <w:r w:rsidRPr="00C174D5">
        <w:rPr>
          <w:lang w:val="es-ES"/>
        </w:rPr>
        <w:t xml:space="preserve"> II tenga la capacidad suficiente para servir de respaldo de las SE Las Colinas y </w:t>
      </w:r>
      <w:proofErr w:type="spellStart"/>
      <w:r w:rsidRPr="00C174D5">
        <w:rPr>
          <w:lang w:val="es-ES"/>
        </w:rPr>
        <w:t>Ticuantepe</w:t>
      </w:r>
      <w:proofErr w:type="spellEnd"/>
      <w:r w:rsidRPr="00C174D5">
        <w:rPr>
          <w:lang w:val="es-ES"/>
        </w:rPr>
        <w:t xml:space="preserve"> I, ante las salidas de las mismas ya sea por disparo de los transformadores de distribución o mantenimientos programados de los mismos, mejorando la confiabilidad del suministro a clientes de la carretera Masaya.</w:t>
      </w:r>
    </w:p>
    <w:p w14:paraId="73B0641A" w14:textId="77777777" w:rsidR="00C92C58" w:rsidRDefault="00C92C58" w:rsidP="00C92C58">
      <w:pPr>
        <w:rPr>
          <w:lang w:val="es-ES"/>
        </w:rPr>
      </w:pPr>
      <w:r w:rsidRPr="00C174D5">
        <w:rPr>
          <w:lang w:val="es-ES"/>
        </w:rPr>
        <w:lastRenderedPageBreak/>
        <w:t xml:space="preserve">Tal como en los casos anteriores, se evalúa el impacto de este proyecto mediante una comparación de dos escenarios alternativos: uno “con” y otro “sin” proyecto. En el escenario “con” proyecto, se supone que, gracias a la modernización de la SE </w:t>
      </w:r>
      <w:proofErr w:type="spellStart"/>
      <w:r w:rsidRPr="00C174D5">
        <w:rPr>
          <w:lang w:val="es-ES"/>
        </w:rPr>
        <w:t>Ticuantepe</w:t>
      </w:r>
      <w:proofErr w:type="spellEnd"/>
      <w:r w:rsidRPr="00C174D5">
        <w:rPr>
          <w:lang w:val="es-ES"/>
        </w:rPr>
        <w:t xml:space="preserve"> I y a la ampliación de la SE </w:t>
      </w:r>
      <w:proofErr w:type="spellStart"/>
      <w:r w:rsidRPr="00C174D5">
        <w:rPr>
          <w:lang w:val="es-ES"/>
        </w:rPr>
        <w:t>Ticuantepe</w:t>
      </w:r>
      <w:proofErr w:type="spellEnd"/>
      <w:r w:rsidRPr="00C174D5">
        <w:rPr>
          <w:lang w:val="es-ES"/>
        </w:rPr>
        <w:t xml:space="preserve"> II, es posible abastecer a la totalidad de la demanda proyectada en la región. Sin proyecto, sin embargo, sólo es posible </w:t>
      </w:r>
      <w:r>
        <w:rPr>
          <w:lang w:val="es-ES"/>
        </w:rPr>
        <w:t>abastecer un menor crecimiento de la demanda y por un período determinado (10 años, luego de lo cual la demanda abastecida permanece constante)</w:t>
      </w:r>
      <w:r w:rsidRPr="00C174D5">
        <w:rPr>
          <w:lang w:val="es-ES"/>
        </w:rPr>
        <w:t>. Además, tal como en la evaluación del proyecto LT El Sauce – Villanueva, se supone que para lograr mantener este nivel de demanda, es necesario realizar tareas de operación y mantenimiento que equivalen a un 10% de la inversión.</w:t>
      </w:r>
    </w:p>
    <w:p w14:paraId="50FD1C5A" w14:textId="77777777" w:rsidR="00C92C58" w:rsidRDefault="00C92C58" w:rsidP="00C92C58">
      <w:pPr>
        <w:rPr>
          <w:lang w:val="es-ES"/>
        </w:rPr>
      </w:pPr>
      <w:r>
        <w:rPr>
          <w:lang w:val="es-ES"/>
        </w:rPr>
        <w:t>La demanda de estas SE pasa de 25 MW en 2017 a 50 MW en 2037 (final del período de análisis).</w:t>
      </w:r>
    </w:p>
    <w:p w14:paraId="1935798C" w14:textId="77777777" w:rsidR="00C92C58" w:rsidRDefault="00C92C58" w:rsidP="00C92C58">
      <w:pPr>
        <w:keepNext/>
        <w:keepLines/>
        <w:spacing w:after="120"/>
        <w:jc w:val="center"/>
        <w:rPr>
          <w:b/>
          <w:sz w:val="20"/>
          <w:lang w:val="es-ES"/>
        </w:rPr>
      </w:pPr>
      <w:bookmarkStart w:id="173" w:name="_Toc456353213"/>
      <w:r w:rsidRPr="00C174D5">
        <w:rPr>
          <w:b/>
          <w:sz w:val="20"/>
          <w:lang w:val="es-ES"/>
        </w:rPr>
        <w:t xml:space="preserve">Gráfico </w:t>
      </w:r>
      <w:r w:rsidRPr="00C174D5">
        <w:rPr>
          <w:b/>
          <w:sz w:val="20"/>
          <w:lang w:val="es-ES"/>
        </w:rPr>
        <w:fldChar w:fldCharType="begin"/>
      </w:r>
      <w:r w:rsidRPr="00C174D5">
        <w:rPr>
          <w:b/>
          <w:sz w:val="20"/>
          <w:lang w:val="es-ES"/>
        </w:rPr>
        <w:instrText xml:space="preserve"> SEQ Gráfico \* ARABIC </w:instrText>
      </w:r>
      <w:r w:rsidRPr="00C174D5">
        <w:rPr>
          <w:b/>
          <w:sz w:val="20"/>
          <w:lang w:val="es-ES"/>
        </w:rPr>
        <w:fldChar w:fldCharType="separate"/>
      </w:r>
      <w:r>
        <w:rPr>
          <w:b/>
          <w:noProof/>
          <w:sz w:val="20"/>
          <w:lang w:val="es-ES"/>
        </w:rPr>
        <w:t>7</w:t>
      </w:r>
      <w:r w:rsidRPr="00C174D5">
        <w:rPr>
          <w:b/>
          <w:sz w:val="20"/>
          <w:lang w:val="es-ES"/>
        </w:rPr>
        <w:fldChar w:fldCharType="end"/>
      </w:r>
      <w:r w:rsidRPr="00C174D5">
        <w:rPr>
          <w:b/>
          <w:sz w:val="20"/>
          <w:lang w:val="es-ES"/>
        </w:rPr>
        <w:t xml:space="preserve">: Demanda </w:t>
      </w:r>
      <w:r>
        <w:rPr>
          <w:b/>
          <w:sz w:val="20"/>
          <w:lang w:val="es-ES"/>
        </w:rPr>
        <w:t>considerada proyecto</w:t>
      </w:r>
      <w:r w:rsidRPr="00C174D5">
        <w:rPr>
          <w:b/>
          <w:sz w:val="20"/>
          <w:lang w:val="es-ES"/>
        </w:rPr>
        <w:t xml:space="preserve"> </w:t>
      </w:r>
      <w:r>
        <w:rPr>
          <w:b/>
          <w:sz w:val="20"/>
          <w:lang w:val="es-ES"/>
        </w:rPr>
        <w:t xml:space="preserve">SE </w:t>
      </w:r>
      <w:proofErr w:type="spellStart"/>
      <w:r>
        <w:rPr>
          <w:b/>
          <w:sz w:val="20"/>
          <w:lang w:val="es-ES"/>
        </w:rPr>
        <w:t>Ticuantepe</w:t>
      </w:r>
      <w:proofErr w:type="spellEnd"/>
      <w:r>
        <w:rPr>
          <w:b/>
          <w:sz w:val="20"/>
          <w:lang w:val="es-ES"/>
        </w:rPr>
        <w:t xml:space="preserve"> I y II </w:t>
      </w:r>
      <w:r w:rsidRPr="00C174D5">
        <w:rPr>
          <w:b/>
          <w:sz w:val="20"/>
          <w:lang w:val="es-ES"/>
        </w:rPr>
        <w:t>(MW)</w:t>
      </w:r>
      <w:bookmarkEnd w:id="173"/>
    </w:p>
    <w:p w14:paraId="3384A2F6" w14:textId="77777777" w:rsidR="00C92C58" w:rsidRPr="00E73DA6" w:rsidRDefault="00C92C58" w:rsidP="00C92C58">
      <w:pPr>
        <w:spacing w:after="0"/>
        <w:jc w:val="center"/>
        <w:rPr>
          <w:noProof/>
          <w:lang w:val="es-AR" w:eastAsia="es-AR"/>
        </w:rPr>
      </w:pPr>
      <w:r w:rsidRPr="00E73DA6">
        <w:rPr>
          <w:noProof/>
          <w:lang w:val="es-CO" w:eastAsia="es-CO"/>
        </w:rPr>
        <w:drawing>
          <wp:inline distT="0" distB="0" distL="0" distR="0" wp14:anchorId="34FB3E61" wp14:editId="2594CF74">
            <wp:extent cx="3600000" cy="2163989"/>
            <wp:effectExtent l="0" t="0" r="635"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00000" cy="2163989"/>
                    </a:xfrm>
                    <a:prstGeom prst="rect">
                      <a:avLst/>
                    </a:prstGeom>
                    <a:noFill/>
                  </pic:spPr>
                </pic:pic>
              </a:graphicData>
            </a:graphic>
          </wp:inline>
        </w:drawing>
      </w:r>
    </w:p>
    <w:p w14:paraId="026C8C91" w14:textId="77777777" w:rsidR="00C92C58" w:rsidRDefault="00C92C58" w:rsidP="00C92C58">
      <w:pPr>
        <w:ind w:left="1134" w:right="1134"/>
        <w:jc w:val="center"/>
        <w:rPr>
          <w:sz w:val="18"/>
          <w:lang w:val="es-ES"/>
        </w:rPr>
      </w:pPr>
      <w:r w:rsidRPr="00C174D5">
        <w:rPr>
          <w:sz w:val="18"/>
          <w:lang w:val="es-ES"/>
        </w:rPr>
        <w:t>Fuente: Elaboración propia en base a información</w:t>
      </w:r>
      <w:r>
        <w:rPr>
          <w:sz w:val="18"/>
          <w:lang w:val="es-ES"/>
        </w:rPr>
        <w:t xml:space="preserve"> de ENATREL provista por el BID (archivo </w:t>
      </w:r>
      <w:r w:rsidRPr="00CF0B46">
        <w:rPr>
          <w:sz w:val="18"/>
          <w:lang w:val="es-ES"/>
        </w:rPr>
        <w:t>FLUJOS DE ENERGÍA_SE TICUANTEPE I+TICUANTEPE II_09051</w:t>
      </w:r>
      <w:r w:rsidRPr="00BA436C">
        <w:rPr>
          <w:sz w:val="18"/>
          <w:lang w:val="es-ES"/>
        </w:rPr>
        <w:t>.xlsx</w:t>
      </w:r>
      <w:r>
        <w:rPr>
          <w:sz w:val="18"/>
          <w:lang w:val="es-ES"/>
        </w:rPr>
        <w:t>)</w:t>
      </w:r>
    </w:p>
    <w:p w14:paraId="195937F2" w14:textId="77777777" w:rsidR="00C92C58" w:rsidRPr="00C174D5" w:rsidRDefault="00C92C58" w:rsidP="00C92C58">
      <w:pPr>
        <w:rPr>
          <w:u w:val="single"/>
          <w:lang w:val="es-ES"/>
        </w:rPr>
      </w:pPr>
      <w:r>
        <w:rPr>
          <w:lang w:val="es-ES"/>
        </w:rPr>
        <w:t>Se supone que ambas cargas crecen a la misma tasa (3,6% anual promedio).</w:t>
      </w:r>
    </w:p>
    <w:p w14:paraId="0EC40B46" w14:textId="77777777" w:rsidR="00C92C58" w:rsidRPr="00C174D5" w:rsidRDefault="00C92C58" w:rsidP="00C92C58">
      <w:pPr>
        <w:pStyle w:val="Heading1"/>
        <w:pageBreakBefore w:val="0"/>
        <w:numPr>
          <w:ilvl w:val="2"/>
          <w:numId w:val="9"/>
        </w:numPr>
        <w:rPr>
          <w:lang w:val="es-ES"/>
        </w:rPr>
      </w:pPr>
      <w:bookmarkStart w:id="174" w:name="_Toc456353138"/>
      <w:r w:rsidRPr="00C174D5">
        <w:rPr>
          <w:lang w:val="es-ES"/>
        </w:rPr>
        <w:t xml:space="preserve">Modernización y ampliación SE </w:t>
      </w:r>
      <w:proofErr w:type="spellStart"/>
      <w:r w:rsidRPr="00C174D5">
        <w:rPr>
          <w:lang w:val="es-ES"/>
        </w:rPr>
        <w:t>Ticuantepe</w:t>
      </w:r>
      <w:proofErr w:type="spellEnd"/>
      <w:r w:rsidRPr="00C174D5">
        <w:rPr>
          <w:lang w:val="es-ES"/>
        </w:rPr>
        <w:t xml:space="preserve"> I y II – Supuestos</w:t>
      </w:r>
      <w:bookmarkEnd w:id="174"/>
    </w:p>
    <w:p w14:paraId="11F12412" w14:textId="77777777" w:rsidR="00C92C58" w:rsidRPr="00C174D5" w:rsidRDefault="00C92C58" w:rsidP="00C92C58">
      <w:pPr>
        <w:rPr>
          <w:lang w:val="es-ES"/>
        </w:rPr>
      </w:pPr>
      <w:r w:rsidRPr="00C174D5">
        <w:rPr>
          <w:lang w:val="es-ES"/>
        </w:rPr>
        <w:t xml:space="preserve">En la evaluación de este proyecto de ampliación de capacidad se han utilizado los supuestos de la </w:t>
      </w:r>
      <w:r>
        <w:rPr>
          <w:lang w:val="es-ES"/>
        </w:rPr>
        <w:fldChar w:fldCharType="begin"/>
      </w:r>
      <w:r>
        <w:rPr>
          <w:lang w:val="es-ES"/>
        </w:rPr>
        <w:instrText xml:space="preserve"> REF _Ref452716347 \h </w:instrText>
      </w:r>
      <w:r>
        <w:rPr>
          <w:lang w:val="es-ES"/>
        </w:rPr>
      </w:r>
      <w:r>
        <w:rPr>
          <w:lang w:val="es-ES"/>
        </w:rPr>
        <w:fldChar w:fldCharType="separate"/>
      </w:r>
      <w:r w:rsidRPr="00C174D5">
        <w:rPr>
          <w:b/>
          <w:sz w:val="20"/>
          <w:lang w:val="es-ES"/>
        </w:rPr>
        <w:t xml:space="preserve">Tabla </w:t>
      </w:r>
      <w:r>
        <w:rPr>
          <w:b/>
          <w:noProof/>
          <w:sz w:val="20"/>
          <w:lang w:val="es-ES"/>
        </w:rPr>
        <w:t>31</w:t>
      </w:r>
      <w:r>
        <w:rPr>
          <w:lang w:val="es-ES"/>
        </w:rPr>
        <w:fldChar w:fldCharType="end"/>
      </w:r>
      <w:r w:rsidRPr="00C174D5">
        <w:rPr>
          <w:lang w:val="es-ES"/>
        </w:rPr>
        <w:t xml:space="preserve"> (además de los detallados en la </w:t>
      </w:r>
      <w:r w:rsidRPr="00C174D5">
        <w:rPr>
          <w:lang w:val="es-ES"/>
        </w:rPr>
        <w:fldChar w:fldCharType="begin"/>
      </w:r>
      <w:r w:rsidRPr="00C174D5">
        <w:rPr>
          <w:lang w:val="es-ES"/>
        </w:rPr>
        <w:instrText xml:space="preserve"> REF _Ref450036258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3</w:t>
      </w:r>
      <w:r w:rsidRPr="00C174D5">
        <w:rPr>
          <w:lang w:val="es-ES"/>
        </w:rPr>
        <w:fldChar w:fldCharType="end"/>
      </w:r>
      <w:r w:rsidRPr="00C174D5">
        <w:rPr>
          <w:lang w:val="es-ES"/>
        </w:rPr>
        <w:t xml:space="preserve"> y la </w:t>
      </w:r>
      <w:r w:rsidRPr="00C174D5">
        <w:rPr>
          <w:lang w:val="es-ES"/>
        </w:rPr>
        <w:fldChar w:fldCharType="begin"/>
      </w:r>
      <w:r w:rsidRPr="00C174D5">
        <w:rPr>
          <w:lang w:val="es-ES"/>
        </w:rPr>
        <w:instrText xml:space="preserve"> REF _Ref450036242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4</w:t>
      </w:r>
      <w:r w:rsidRPr="00C174D5">
        <w:rPr>
          <w:lang w:val="es-ES"/>
        </w:rPr>
        <w:fldChar w:fldCharType="end"/>
      </w:r>
      <w:r w:rsidRPr="00C174D5">
        <w:rPr>
          <w:lang w:val="es-ES"/>
        </w:rPr>
        <w:fldChar w:fldCharType="begin" w:fldLock="1"/>
      </w:r>
      <w:r w:rsidRPr="00C174D5">
        <w:rPr>
          <w:lang w:val="es-ES"/>
        </w:rPr>
        <w:instrText xml:space="preserve"> REF _Ref429144813 \h  \* MERGEFORMAT </w:instrText>
      </w:r>
      <w:r w:rsidRPr="00C174D5">
        <w:rPr>
          <w:lang w:val="es-ES"/>
        </w:rPr>
      </w:r>
      <w:r w:rsidRPr="00C174D5">
        <w:rPr>
          <w:lang w:val="es-ES"/>
        </w:rPr>
        <w:fldChar w:fldCharType="end"/>
      </w:r>
      <w:r w:rsidRPr="00C174D5">
        <w:rPr>
          <w:lang w:val="es-ES"/>
        </w:rPr>
        <w:t>).</w:t>
      </w:r>
    </w:p>
    <w:p w14:paraId="6B017D62" w14:textId="77777777" w:rsidR="00C92C58" w:rsidRPr="00C174D5" w:rsidRDefault="00C92C58" w:rsidP="00C92C58">
      <w:pPr>
        <w:keepNext/>
        <w:keepLines/>
        <w:spacing w:after="120"/>
        <w:jc w:val="center"/>
        <w:rPr>
          <w:b/>
          <w:sz w:val="20"/>
          <w:lang w:val="es-ES"/>
        </w:rPr>
      </w:pPr>
      <w:bookmarkStart w:id="175" w:name="_Ref452716347"/>
      <w:bookmarkStart w:id="176" w:name="_Toc456353187"/>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31</w:t>
      </w:r>
      <w:r w:rsidRPr="00C174D5">
        <w:rPr>
          <w:b/>
          <w:sz w:val="20"/>
          <w:lang w:val="es-ES"/>
        </w:rPr>
        <w:fldChar w:fldCharType="end"/>
      </w:r>
      <w:bookmarkEnd w:id="175"/>
      <w:r w:rsidRPr="00C174D5">
        <w:rPr>
          <w:b/>
          <w:sz w:val="20"/>
          <w:lang w:val="es-ES"/>
        </w:rPr>
        <w:t xml:space="preserve">: Supuestos de modelización particulares – </w:t>
      </w:r>
      <w:proofErr w:type="spellStart"/>
      <w:r w:rsidRPr="00C174D5">
        <w:rPr>
          <w:b/>
          <w:sz w:val="20"/>
          <w:lang w:val="es-ES"/>
        </w:rPr>
        <w:t>Ticuantepe</w:t>
      </w:r>
      <w:proofErr w:type="spellEnd"/>
      <w:r w:rsidRPr="00C174D5">
        <w:rPr>
          <w:b/>
          <w:sz w:val="20"/>
          <w:lang w:val="es-ES"/>
        </w:rPr>
        <w:t xml:space="preserve"> I</w:t>
      </w:r>
      <w:bookmarkEnd w:id="176"/>
    </w:p>
    <w:tbl>
      <w:tblPr>
        <w:tblW w:w="0" w:type="auto"/>
        <w:jc w:val="center"/>
        <w:tblInd w:w="-2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28"/>
        <w:gridCol w:w="1249"/>
      </w:tblGrid>
      <w:tr w:rsidR="00C92C58" w:rsidRPr="00C174D5" w14:paraId="6A40B6AC" w14:textId="77777777" w:rsidTr="00B15A9A">
        <w:trPr>
          <w:tblHeader/>
          <w:jc w:val="center"/>
        </w:trPr>
        <w:tc>
          <w:tcPr>
            <w:tcW w:w="4428" w:type="dxa"/>
            <w:tcBorders>
              <w:top w:val="single" w:sz="12" w:space="0" w:color="auto"/>
              <w:bottom w:val="single" w:sz="12" w:space="0" w:color="auto"/>
            </w:tcBorders>
            <w:shd w:val="clear" w:color="auto" w:fill="BFBFBF" w:themeFill="background1" w:themeFillShade="BF"/>
            <w:vAlign w:val="center"/>
          </w:tcPr>
          <w:p w14:paraId="3334174E" w14:textId="77777777" w:rsidR="00C92C58" w:rsidRPr="00C174D5" w:rsidRDefault="00C92C58" w:rsidP="00B15A9A">
            <w:pPr>
              <w:spacing w:after="0" w:line="240" w:lineRule="auto"/>
              <w:jc w:val="center"/>
              <w:rPr>
                <w:b/>
                <w:sz w:val="20"/>
                <w:szCs w:val="20"/>
                <w:lang w:val="es-ES"/>
              </w:rPr>
            </w:pPr>
            <w:r w:rsidRPr="00C174D5">
              <w:rPr>
                <w:b/>
                <w:sz w:val="20"/>
                <w:szCs w:val="20"/>
                <w:lang w:val="es-ES"/>
              </w:rPr>
              <w:t>Parámetros</w:t>
            </w:r>
          </w:p>
        </w:tc>
        <w:tc>
          <w:tcPr>
            <w:tcW w:w="1249" w:type="dxa"/>
            <w:tcBorders>
              <w:top w:val="single" w:sz="12" w:space="0" w:color="auto"/>
              <w:bottom w:val="single" w:sz="12" w:space="0" w:color="auto"/>
            </w:tcBorders>
            <w:shd w:val="clear" w:color="auto" w:fill="BFBFBF" w:themeFill="background1" w:themeFillShade="BF"/>
            <w:vAlign w:val="center"/>
          </w:tcPr>
          <w:p w14:paraId="706EEB2B" w14:textId="77777777" w:rsidR="00C92C58" w:rsidRPr="00C174D5" w:rsidRDefault="00C92C58" w:rsidP="00B15A9A">
            <w:pPr>
              <w:spacing w:after="0" w:line="240" w:lineRule="auto"/>
              <w:jc w:val="center"/>
              <w:rPr>
                <w:b/>
                <w:sz w:val="20"/>
                <w:szCs w:val="20"/>
                <w:lang w:val="es-ES"/>
              </w:rPr>
            </w:pPr>
            <w:r w:rsidRPr="00C174D5">
              <w:rPr>
                <w:b/>
                <w:sz w:val="20"/>
                <w:szCs w:val="20"/>
                <w:lang w:val="es-ES"/>
              </w:rPr>
              <w:t>Valor</w:t>
            </w:r>
          </w:p>
        </w:tc>
      </w:tr>
      <w:tr w:rsidR="00C92C58" w:rsidRPr="00C174D5" w14:paraId="3352EDB4" w14:textId="77777777" w:rsidTr="00B15A9A">
        <w:trPr>
          <w:jc w:val="center"/>
        </w:trPr>
        <w:tc>
          <w:tcPr>
            <w:tcW w:w="5677" w:type="dxa"/>
            <w:gridSpan w:val="2"/>
            <w:tcBorders>
              <w:top w:val="single" w:sz="12" w:space="0" w:color="auto"/>
            </w:tcBorders>
            <w:shd w:val="clear" w:color="auto" w:fill="auto"/>
            <w:vAlign w:val="center"/>
          </w:tcPr>
          <w:p w14:paraId="4FACCD75" w14:textId="77777777" w:rsidR="00C92C58" w:rsidRPr="00C174D5" w:rsidRDefault="00C92C58" w:rsidP="00B15A9A">
            <w:pPr>
              <w:spacing w:after="0" w:line="240" w:lineRule="auto"/>
              <w:jc w:val="center"/>
              <w:rPr>
                <w:sz w:val="20"/>
                <w:szCs w:val="20"/>
                <w:lang w:val="es-ES"/>
              </w:rPr>
            </w:pPr>
            <w:r w:rsidRPr="00C174D5">
              <w:rPr>
                <w:b/>
                <w:sz w:val="20"/>
                <w:szCs w:val="20"/>
                <w:lang w:val="es-ES"/>
              </w:rPr>
              <w:lastRenderedPageBreak/>
              <w:t>Económicos</w:t>
            </w:r>
          </w:p>
        </w:tc>
      </w:tr>
      <w:tr w:rsidR="00C92C58" w:rsidRPr="00C174D5" w14:paraId="23B90600" w14:textId="77777777" w:rsidTr="00B15A9A">
        <w:trPr>
          <w:jc w:val="center"/>
        </w:trPr>
        <w:tc>
          <w:tcPr>
            <w:tcW w:w="4428" w:type="dxa"/>
            <w:shd w:val="clear" w:color="auto" w:fill="auto"/>
            <w:vAlign w:val="center"/>
          </w:tcPr>
          <w:p w14:paraId="0F75D0F6" w14:textId="77777777" w:rsidR="00C92C58" w:rsidRPr="00C174D5" w:rsidRDefault="00C92C58" w:rsidP="00B15A9A">
            <w:pPr>
              <w:spacing w:after="0" w:line="240" w:lineRule="auto"/>
              <w:jc w:val="left"/>
              <w:rPr>
                <w:sz w:val="20"/>
                <w:szCs w:val="20"/>
                <w:lang w:val="es-ES"/>
              </w:rPr>
            </w:pPr>
            <w:r w:rsidRPr="00C174D5">
              <w:rPr>
                <w:sz w:val="20"/>
                <w:szCs w:val="20"/>
                <w:lang w:val="es-ES"/>
              </w:rPr>
              <w:t>Inversión</w:t>
            </w:r>
          </w:p>
        </w:tc>
        <w:tc>
          <w:tcPr>
            <w:tcW w:w="1249" w:type="dxa"/>
            <w:shd w:val="clear" w:color="auto" w:fill="auto"/>
            <w:vAlign w:val="center"/>
          </w:tcPr>
          <w:p w14:paraId="35DE142E" w14:textId="77777777" w:rsidR="00C92C58" w:rsidRPr="00C174D5" w:rsidRDefault="00C92C58" w:rsidP="00B15A9A">
            <w:pPr>
              <w:spacing w:after="0" w:line="240" w:lineRule="auto"/>
              <w:jc w:val="center"/>
              <w:rPr>
                <w:sz w:val="20"/>
                <w:szCs w:val="20"/>
                <w:lang w:val="es-ES"/>
              </w:rPr>
            </w:pPr>
            <w:r w:rsidRPr="00C174D5">
              <w:rPr>
                <w:sz w:val="20"/>
                <w:szCs w:val="20"/>
                <w:lang w:val="es-ES"/>
              </w:rPr>
              <w:t>7.804.288</w:t>
            </w:r>
            <w:r w:rsidRPr="00C174D5">
              <w:rPr>
                <w:rStyle w:val="FootnoteReference"/>
                <w:sz w:val="20"/>
                <w:szCs w:val="20"/>
                <w:lang w:val="es-ES"/>
              </w:rPr>
              <w:footnoteReference w:id="42"/>
            </w:r>
          </w:p>
        </w:tc>
      </w:tr>
      <w:tr w:rsidR="00C92C58" w:rsidRPr="00C174D5" w14:paraId="60B5D9AE" w14:textId="77777777" w:rsidTr="00B15A9A">
        <w:trPr>
          <w:jc w:val="center"/>
        </w:trPr>
        <w:tc>
          <w:tcPr>
            <w:tcW w:w="4428" w:type="dxa"/>
            <w:shd w:val="clear" w:color="auto" w:fill="auto"/>
            <w:vAlign w:val="center"/>
          </w:tcPr>
          <w:p w14:paraId="0C27E6F3" w14:textId="77777777" w:rsidR="00C92C58" w:rsidRPr="00C174D5" w:rsidRDefault="00C92C58" w:rsidP="00B15A9A">
            <w:pPr>
              <w:spacing w:after="0" w:line="240" w:lineRule="auto"/>
              <w:jc w:val="left"/>
              <w:rPr>
                <w:sz w:val="20"/>
                <w:szCs w:val="20"/>
                <w:lang w:val="es-ES"/>
              </w:rPr>
            </w:pPr>
            <w:r w:rsidRPr="00C174D5">
              <w:rPr>
                <w:rFonts w:eastAsia="Times New Roman" w:cs="Times New Roman"/>
                <w:sz w:val="20"/>
                <w:szCs w:val="20"/>
                <w:lang w:val="es-ES" w:eastAsia="es-AR"/>
              </w:rPr>
              <w:t>O&amp;M mantenimiento sin proyecto (% inversión)</w:t>
            </w:r>
          </w:p>
        </w:tc>
        <w:tc>
          <w:tcPr>
            <w:tcW w:w="1249" w:type="dxa"/>
            <w:shd w:val="clear" w:color="auto" w:fill="auto"/>
            <w:vAlign w:val="center"/>
          </w:tcPr>
          <w:p w14:paraId="71D3AD8C" w14:textId="77777777" w:rsidR="00C92C58" w:rsidRPr="00C174D5" w:rsidRDefault="00C92C58" w:rsidP="00B15A9A">
            <w:pPr>
              <w:spacing w:after="0" w:line="240" w:lineRule="auto"/>
              <w:jc w:val="center"/>
              <w:rPr>
                <w:sz w:val="20"/>
                <w:szCs w:val="20"/>
                <w:lang w:val="es-ES"/>
              </w:rPr>
            </w:pPr>
            <w:r w:rsidRPr="00C174D5">
              <w:rPr>
                <w:sz w:val="20"/>
                <w:szCs w:val="20"/>
                <w:lang w:val="es-ES"/>
              </w:rPr>
              <w:t>10%</w:t>
            </w:r>
          </w:p>
        </w:tc>
      </w:tr>
      <w:tr w:rsidR="00C92C58" w:rsidRPr="00C174D5" w14:paraId="58B8E33C" w14:textId="77777777" w:rsidTr="00B15A9A">
        <w:trPr>
          <w:trHeight w:val="222"/>
          <w:jc w:val="center"/>
        </w:trPr>
        <w:tc>
          <w:tcPr>
            <w:tcW w:w="5677" w:type="dxa"/>
            <w:gridSpan w:val="2"/>
            <w:shd w:val="clear" w:color="auto" w:fill="auto"/>
          </w:tcPr>
          <w:p w14:paraId="3B6CD1C9" w14:textId="77777777" w:rsidR="00C92C58" w:rsidRPr="00C174D5" w:rsidRDefault="00C92C58" w:rsidP="00B15A9A">
            <w:pPr>
              <w:spacing w:after="0" w:line="240" w:lineRule="auto"/>
              <w:jc w:val="center"/>
              <w:rPr>
                <w:b/>
                <w:sz w:val="20"/>
                <w:szCs w:val="20"/>
                <w:lang w:val="es-ES"/>
              </w:rPr>
            </w:pPr>
            <w:r w:rsidRPr="00C174D5">
              <w:rPr>
                <w:b/>
                <w:sz w:val="20"/>
                <w:szCs w:val="20"/>
                <w:lang w:val="es-ES"/>
              </w:rPr>
              <w:t>De mercado</w:t>
            </w:r>
          </w:p>
        </w:tc>
      </w:tr>
      <w:tr w:rsidR="00C92C58" w:rsidRPr="00C174D5" w14:paraId="5642A1CD" w14:textId="77777777" w:rsidTr="00B15A9A">
        <w:trPr>
          <w:trHeight w:val="222"/>
          <w:jc w:val="center"/>
        </w:trPr>
        <w:tc>
          <w:tcPr>
            <w:tcW w:w="4428" w:type="dxa"/>
            <w:shd w:val="clear" w:color="auto" w:fill="auto"/>
          </w:tcPr>
          <w:p w14:paraId="47F25F1F" w14:textId="77777777" w:rsidR="00C92C58" w:rsidRPr="00C174D5" w:rsidRDefault="00C92C58" w:rsidP="00B15A9A">
            <w:pPr>
              <w:spacing w:after="0" w:line="240" w:lineRule="auto"/>
              <w:jc w:val="left"/>
              <w:rPr>
                <w:sz w:val="20"/>
                <w:szCs w:val="20"/>
                <w:lang w:val="es-ES"/>
              </w:rPr>
            </w:pPr>
            <w:r w:rsidRPr="00C174D5">
              <w:rPr>
                <w:sz w:val="20"/>
                <w:szCs w:val="20"/>
                <w:lang w:val="es-ES"/>
              </w:rPr>
              <w:t xml:space="preserve">Factor de carga SE </w:t>
            </w:r>
            <w:proofErr w:type="spellStart"/>
            <w:r w:rsidRPr="00C174D5">
              <w:rPr>
                <w:sz w:val="20"/>
                <w:szCs w:val="20"/>
                <w:lang w:val="es-ES"/>
              </w:rPr>
              <w:t>Ticuantepe</w:t>
            </w:r>
            <w:proofErr w:type="spellEnd"/>
            <w:r w:rsidRPr="00C174D5">
              <w:rPr>
                <w:sz w:val="20"/>
                <w:szCs w:val="20"/>
                <w:lang w:val="es-ES"/>
              </w:rPr>
              <w:t xml:space="preserve"> I</w:t>
            </w:r>
          </w:p>
        </w:tc>
        <w:tc>
          <w:tcPr>
            <w:tcW w:w="1249" w:type="dxa"/>
            <w:shd w:val="clear" w:color="auto" w:fill="auto"/>
          </w:tcPr>
          <w:p w14:paraId="3837F870" w14:textId="77777777" w:rsidR="00C92C58" w:rsidRPr="00C174D5" w:rsidRDefault="00C92C58" w:rsidP="00B15A9A">
            <w:pPr>
              <w:spacing w:after="0" w:line="240" w:lineRule="auto"/>
              <w:jc w:val="center"/>
              <w:rPr>
                <w:sz w:val="20"/>
                <w:szCs w:val="20"/>
                <w:lang w:val="es-ES"/>
              </w:rPr>
            </w:pPr>
            <w:r w:rsidRPr="00C174D5">
              <w:rPr>
                <w:sz w:val="20"/>
                <w:szCs w:val="20"/>
                <w:lang w:val="es-ES"/>
              </w:rPr>
              <w:t>71%</w:t>
            </w:r>
          </w:p>
        </w:tc>
      </w:tr>
      <w:tr w:rsidR="00C92C58" w:rsidRPr="00C174D5" w14:paraId="7819F552" w14:textId="77777777" w:rsidTr="00B15A9A">
        <w:trPr>
          <w:trHeight w:val="222"/>
          <w:jc w:val="center"/>
        </w:trPr>
        <w:tc>
          <w:tcPr>
            <w:tcW w:w="4428" w:type="dxa"/>
            <w:shd w:val="clear" w:color="auto" w:fill="auto"/>
          </w:tcPr>
          <w:p w14:paraId="55460964" w14:textId="77777777" w:rsidR="00C92C58" w:rsidRPr="00C174D5" w:rsidRDefault="00C92C58" w:rsidP="00B15A9A">
            <w:pPr>
              <w:spacing w:after="0" w:line="240" w:lineRule="auto"/>
              <w:jc w:val="left"/>
              <w:rPr>
                <w:sz w:val="20"/>
                <w:szCs w:val="20"/>
                <w:lang w:val="es-ES"/>
              </w:rPr>
            </w:pPr>
            <w:r w:rsidRPr="00C174D5">
              <w:rPr>
                <w:sz w:val="20"/>
                <w:szCs w:val="20"/>
                <w:lang w:val="es-ES"/>
              </w:rPr>
              <w:t xml:space="preserve">Factor de carga SE </w:t>
            </w:r>
            <w:proofErr w:type="spellStart"/>
            <w:r w:rsidRPr="00C174D5">
              <w:rPr>
                <w:sz w:val="20"/>
                <w:szCs w:val="20"/>
                <w:lang w:val="es-ES"/>
              </w:rPr>
              <w:t>Ticuantepe</w:t>
            </w:r>
            <w:proofErr w:type="spellEnd"/>
            <w:r w:rsidRPr="00C174D5">
              <w:rPr>
                <w:sz w:val="20"/>
                <w:szCs w:val="20"/>
                <w:lang w:val="es-ES"/>
              </w:rPr>
              <w:t xml:space="preserve"> II</w:t>
            </w:r>
          </w:p>
        </w:tc>
        <w:tc>
          <w:tcPr>
            <w:tcW w:w="1249" w:type="dxa"/>
            <w:shd w:val="clear" w:color="auto" w:fill="auto"/>
          </w:tcPr>
          <w:p w14:paraId="7AE32BF3" w14:textId="77777777" w:rsidR="00C92C58" w:rsidRPr="00C174D5" w:rsidRDefault="00C92C58" w:rsidP="00B15A9A">
            <w:pPr>
              <w:spacing w:after="0" w:line="240" w:lineRule="auto"/>
              <w:jc w:val="center"/>
              <w:rPr>
                <w:sz w:val="20"/>
                <w:szCs w:val="20"/>
                <w:lang w:val="es-ES"/>
              </w:rPr>
            </w:pPr>
            <w:r w:rsidRPr="00C174D5">
              <w:rPr>
                <w:sz w:val="20"/>
                <w:szCs w:val="20"/>
                <w:lang w:val="es-ES"/>
              </w:rPr>
              <w:t>49%</w:t>
            </w:r>
          </w:p>
        </w:tc>
      </w:tr>
    </w:tbl>
    <w:p w14:paraId="16E54826" w14:textId="77777777" w:rsidR="00C92C58" w:rsidRPr="00C174D5" w:rsidRDefault="00C92C58" w:rsidP="00C92C58">
      <w:pPr>
        <w:pStyle w:val="ListParagraph"/>
        <w:ind w:left="1560" w:right="1559"/>
        <w:jc w:val="center"/>
        <w:rPr>
          <w:sz w:val="18"/>
          <w:lang w:val="es-ES"/>
        </w:rPr>
      </w:pPr>
      <w:r w:rsidRPr="00C174D5">
        <w:rPr>
          <w:sz w:val="18"/>
          <w:lang w:val="es-ES"/>
        </w:rPr>
        <w:t>Fuente: Elaboración propia en base a información de ENATREL provista por el BID</w:t>
      </w:r>
    </w:p>
    <w:p w14:paraId="750D88EF" w14:textId="77777777" w:rsidR="00C92C58" w:rsidRPr="00C174D5" w:rsidRDefault="00C92C58" w:rsidP="00C92C58">
      <w:pPr>
        <w:rPr>
          <w:lang w:val="es-ES"/>
        </w:rPr>
      </w:pPr>
      <w:r w:rsidRPr="00C174D5">
        <w:rPr>
          <w:lang w:val="es-ES"/>
        </w:rPr>
        <w:t xml:space="preserve">En la sección </w:t>
      </w:r>
      <w:r w:rsidRPr="00C174D5">
        <w:rPr>
          <w:lang w:val="es-ES"/>
        </w:rPr>
        <w:fldChar w:fldCharType="begin"/>
      </w:r>
      <w:r w:rsidRPr="00C174D5">
        <w:rPr>
          <w:lang w:val="es-ES"/>
        </w:rPr>
        <w:instrText xml:space="preserve"> REF _Ref450034494 \r \h </w:instrText>
      </w:r>
      <w:r w:rsidRPr="00C174D5">
        <w:rPr>
          <w:lang w:val="es-ES"/>
        </w:rPr>
      </w:r>
      <w:r w:rsidRPr="00C174D5">
        <w:rPr>
          <w:lang w:val="es-ES"/>
        </w:rPr>
        <w:fldChar w:fldCharType="separate"/>
      </w:r>
      <w:r>
        <w:rPr>
          <w:lang w:val="es-ES"/>
        </w:rPr>
        <w:t>3.4.2</w:t>
      </w:r>
      <w:r w:rsidRPr="00C174D5">
        <w:rPr>
          <w:lang w:val="es-ES"/>
        </w:rPr>
        <w:fldChar w:fldCharType="end"/>
      </w:r>
      <w:r w:rsidRPr="00C174D5">
        <w:rPr>
          <w:lang w:val="es-ES"/>
        </w:rPr>
        <w:t xml:space="preserve"> se presentan los resultados del análisis económico y financiero del proyecto.</w:t>
      </w:r>
    </w:p>
    <w:p w14:paraId="234B1C55" w14:textId="77777777" w:rsidR="00C92C58" w:rsidRPr="00C174D5" w:rsidRDefault="00C92C58" w:rsidP="00C92C58">
      <w:pPr>
        <w:pStyle w:val="Heading1"/>
        <w:pageBreakBefore w:val="0"/>
        <w:numPr>
          <w:ilvl w:val="2"/>
          <w:numId w:val="9"/>
        </w:numPr>
        <w:rPr>
          <w:lang w:val="es-ES"/>
        </w:rPr>
      </w:pPr>
      <w:bookmarkStart w:id="177" w:name="_Ref450034494"/>
      <w:bookmarkStart w:id="178" w:name="_Toc456353139"/>
      <w:r w:rsidRPr="00C174D5">
        <w:rPr>
          <w:lang w:val="es-ES"/>
        </w:rPr>
        <w:t xml:space="preserve">Modernización y ampliación SE </w:t>
      </w:r>
      <w:proofErr w:type="spellStart"/>
      <w:r w:rsidRPr="00C174D5">
        <w:rPr>
          <w:lang w:val="es-ES"/>
        </w:rPr>
        <w:t>Ticuantepe</w:t>
      </w:r>
      <w:proofErr w:type="spellEnd"/>
      <w:r w:rsidRPr="00C174D5">
        <w:rPr>
          <w:lang w:val="es-ES"/>
        </w:rPr>
        <w:t xml:space="preserve"> I y II - Evaluación</w:t>
      </w:r>
      <w:bookmarkEnd w:id="177"/>
      <w:bookmarkEnd w:id="178"/>
    </w:p>
    <w:p w14:paraId="138AA4C0" w14:textId="77777777" w:rsidR="00C92C58" w:rsidRPr="00C174D5" w:rsidRDefault="00C92C58" w:rsidP="00C92C58">
      <w:pPr>
        <w:rPr>
          <w:lang w:val="es-ES"/>
        </w:rPr>
      </w:pPr>
      <w:r w:rsidRPr="00C174D5">
        <w:rPr>
          <w:lang w:val="es-ES"/>
        </w:rPr>
        <w:t xml:space="preserve">En este caso, los beneficios económicos del proyecto están dados por la disminución de la energía no suministrada (neta de costos). Los costos económicos son la inversión y los costos de operación y mantenimiento asociados a la misma y las pérdidas adicionales asociadas a la situación </w:t>
      </w:r>
      <w:r>
        <w:rPr>
          <w:lang w:val="es-ES"/>
        </w:rPr>
        <w:t>“</w:t>
      </w:r>
      <w:r w:rsidRPr="00C174D5">
        <w:rPr>
          <w:lang w:val="es-ES"/>
        </w:rPr>
        <w:t>con</w:t>
      </w:r>
      <w:r>
        <w:rPr>
          <w:lang w:val="es-ES"/>
        </w:rPr>
        <w:t>”</w:t>
      </w:r>
      <w:r w:rsidRPr="00C174D5">
        <w:rPr>
          <w:lang w:val="es-ES"/>
        </w:rPr>
        <w:t xml:space="preserve"> proyecto (por la mayor provisión de electricidad), valuadas según nivel de tensión</w:t>
      </w:r>
      <w:r w:rsidRPr="00C174D5">
        <w:rPr>
          <w:rStyle w:val="FootnoteReference"/>
          <w:lang w:val="es-ES"/>
        </w:rPr>
        <w:footnoteReference w:id="43"/>
      </w:r>
      <w:r w:rsidRPr="00C174D5">
        <w:rPr>
          <w:lang w:val="es-ES"/>
        </w:rPr>
        <w:t xml:space="preserve">; todos ajustados por los respectivos FC. Al igual que en el caso de la LT Villanueva, para los costos de operación y mantenimiento, se tiene un diferencial entre las situaciones “con” y “sin” proyecto, siendo estos últimos mayores ya que se supone que se requiere un porcentaje mayor de la inversión (específicamente un 10% versus un 2,5%) para mantener la capacidad actual de las SE. Estos valores, junto con el VPNE del proyecto, se presentan en la </w:t>
      </w:r>
      <w:r w:rsidRPr="00C174D5">
        <w:rPr>
          <w:lang w:val="es-ES"/>
        </w:rPr>
        <w:fldChar w:fldCharType="begin"/>
      </w:r>
      <w:r w:rsidRPr="00C174D5">
        <w:rPr>
          <w:lang w:val="es-ES"/>
        </w:rPr>
        <w:instrText xml:space="preserve"> REF _Ref450034600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32</w:t>
      </w:r>
      <w:r w:rsidRPr="00C174D5">
        <w:rPr>
          <w:lang w:val="es-ES"/>
        </w:rPr>
        <w:fldChar w:fldCharType="end"/>
      </w:r>
      <w:r w:rsidRPr="00C174D5">
        <w:rPr>
          <w:lang w:val="es-ES"/>
        </w:rPr>
        <w:t>.</w:t>
      </w:r>
    </w:p>
    <w:p w14:paraId="48DF123F" w14:textId="77777777" w:rsidR="00C92C58" w:rsidRPr="00C174D5" w:rsidRDefault="00C92C58" w:rsidP="00C92C58">
      <w:pPr>
        <w:keepNext/>
        <w:keepLines/>
        <w:spacing w:after="120"/>
        <w:jc w:val="center"/>
        <w:rPr>
          <w:b/>
          <w:sz w:val="20"/>
          <w:lang w:val="es-ES"/>
        </w:rPr>
      </w:pPr>
      <w:bookmarkStart w:id="179" w:name="_Ref450034600"/>
      <w:bookmarkStart w:id="180" w:name="_Toc456353188"/>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32</w:t>
      </w:r>
      <w:r w:rsidRPr="00C174D5">
        <w:rPr>
          <w:b/>
          <w:sz w:val="20"/>
          <w:lang w:val="es-ES"/>
        </w:rPr>
        <w:fldChar w:fldCharType="end"/>
      </w:r>
      <w:bookmarkEnd w:id="179"/>
      <w:r w:rsidRPr="00C174D5">
        <w:rPr>
          <w:b/>
          <w:sz w:val="20"/>
          <w:lang w:val="es-ES"/>
        </w:rPr>
        <w:t xml:space="preserve">: Resultados evaluación económica –SE </w:t>
      </w:r>
      <w:proofErr w:type="spellStart"/>
      <w:r w:rsidRPr="00C174D5">
        <w:rPr>
          <w:b/>
          <w:sz w:val="20"/>
          <w:lang w:val="es-ES"/>
        </w:rPr>
        <w:t>Ticuantepe</w:t>
      </w:r>
      <w:proofErr w:type="spellEnd"/>
      <w:r w:rsidRPr="00C174D5">
        <w:rPr>
          <w:b/>
          <w:sz w:val="20"/>
          <w:lang w:val="es-ES"/>
        </w:rPr>
        <w:t xml:space="preserve"> I y II</w:t>
      </w:r>
      <w:bookmarkEnd w:id="180"/>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474"/>
        <w:gridCol w:w="1400"/>
        <w:gridCol w:w="1302"/>
        <w:gridCol w:w="1511"/>
        <w:gridCol w:w="1372"/>
        <w:gridCol w:w="662"/>
      </w:tblGrid>
      <w:tr w:rsidR="00C92C58" w:rsidRPr="00C174D5" w14:paraId="3723373A" w14:textId="77777777" w:rsidTr="00B15A9A">
        <w:trPr>
          <w:trHeight w:val="35"/>
          <w:jc w:val="center"/>
        </w:trPr>
        <w:tc>
          <w:tcPr>
            <w:tcW w:w="2474"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30CBD314" w14:textId="77777777" w:rsidR="00C92C58" w:rsidRPr="00C174D5" w:rsidRDefault="00C92C58" w:rsidP="00B15A9A">
            <w:pPr>
              <w:keepNext/>
              <w:keepLines/>
              <w:spacing w:after="0"/>
              <w:jc w:val="center"/>
              <w:rPr>
                <w:b/>
                <w:sz w:val="20"/>
                <w:lang w:val="es-ES"/>
              </w:rPr>
            </w:pPr>
          </w:p>
        </w:tc>
        <w:tc>
          <w:tcPr>
            <w:tcW w:w="1400"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166D7817" w14:textId="77777777" w:rsidR="00C92C58" w:rsidRPr="00C174D5" w:rsidRDefault="00C92C58" w:rsidP="00B15A9A">
            <w:pPr>
              <w:keepNext/>
              <w:keepLines/>
              <w:spacing w:after="0"/>
              <w:jc w:val="center"/>
              <w:rPr>
                <w:b/>
                <w:sz w:val="20"/>
                <w:lang w:val="es-ES"/>
              </w:rPr>
            </w:pPr>
            <w:r w:rsidRPr="00C174D5">
              <w:rPr>
                <w:b/>
                <w:bCs/>
                <w:sz w:val="20"/>
                <w:lang w:val="es-ES"/>
              </w:rPr>
              <w:t xml:space="preserve">VP Inversión </w:t>
            </w:r>
            <w:proofErr w:type="spellStart"/>
            <w:r w:rsidRPr="00C174D5">
              <w:rPr>
                <w:b/>
                <w:bCs/>
                <w:sz w:val="20"/>
                <w:lang w:val="es-ES"/>
              </w:rPr>
              <w:t>ec</w:t>
            </w:r>
            <w:proofErr w:type="spellEnd"/>
            <w:r w:rsidRPr="00C174D5">
              <w:rPr>
                <w:b/>
                <w:bCs/>
                <w:sz w:val="20"/>
                <w:lang w:val="es-ES"/>
              </w:rPr>
              <w:t>. (US$)</w:t>
            </w:r>
          </w:p>
        </w:tc>
        <w:tc>
          <w:tcPr>
            <w:tcW w:w="1302"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00A4CB53" w14:textId="77777777" w:rsidR="00C92C58" w:rsidRPr="00C174D5" w:rsidRDefault="00C92C58" w:rsidP="00B15A9A">
            <w:pPr>
              <w:keepNext/>
              <w:keepLines/>
              <w:spacing w:after="0"/>
              <w:jc w:val="center"/>
              <w:rPr>
                <w:b/>
                <w:sz w:val="20"/>
                <w:lang w:val="es-ES"/>
              </w:rPr>
            </w:pPr>
            <w:r w:rsidRPr="00C174D5">
              <w:rPr>
                <w:b/>
                <w:bCs/>
                <w:sz w:val="20"/>
                <w:lang w:val="es-ES"/>
              </w:rPr>
              <w:t xml:space="preserve">VP Costos </w:t>
            </w:r>
            <w:proofErr w:type="spellStart"/>
            <w:r w:rsidRPr="00C174D5">
              <w:rPr>
                <w:b/>
                <w:bCs/>
                <w:sz w:val="20"/>
                <w:lang w:val="es-ES"/>
              </w:rPr>
              <w:t>ec</w:t>
            </w:r>
            <w:proofErr w:type="spellEnd"/>
            <w:r w:rsidRPr="00C174D5">
              <w:rPr>
                <w:b/>
                <w:bCs/>
                <w:sz w:val="20"/>
                <w:lang w:val="es-ES"/>
              </w:rPr>
              <w:t>. (US$)</w:t>
            </w:r>
          </w:p>
        </w:tc>
        <w:tc>
          <w:tcPr>
            <w:tcW w:w="151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4D18CEC6" w14:textId="77777777" w:rsidR="00C92C58" w:rsidRPr="00C174D5" w:rsidRDefault="00C92C58" w:rsidP="00B15A9A">
            <w:pPr>
              <w:keepNext/>
              <w:keepLines/>
              <w:spacing w:after="0"/>
              <w:jc w:val="center"/>
              <w:rPr>
                <w:b/>
                <w:sz w:val="20"/>
                <w:lang w:val="es-ES"/>
              </w:rPr>
            </w:pPr>
            <w:r w:rsidRPr="00C174D5">
              <w:rPr>
                <w:b/>
                <w:bCs/>
                <w:sz w:val="20"/>
                <w:lang w:val="es-ES"/>
              </w:rPr>
              <w:t xml:space="preserve">VP Beneficios </w:t>
            </w:r>
            <w:proofErr w:type="spellStart"/>
            <w:r w:rsidRPr="00C174D5">
              <w:rPr>
                <w:b/>
                <w:bCs/>
                <w:sz w:val="20"/>
                <w:lang w:val="es-ES"/>
              </w:rPr>
              <w:t>ec</w:t>
            </w:r>
            <w:proofErr w:type="spellEnd"/>
            <w:r w:rsidRPr="00C174D5">
              <w:rPr>
                <w:b/>
                <w:bCs/>
                <w:sz w:val="20"/>
                <w:lang w:val="es-ES"/>
              </w:rPr>
              <w:t>. (US$)</w:t>
            </w:r>
          </w:p>
        </w:tc>
        <w:tc>
          <w:tcPr>
            <w:tcW w:w="1372"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4BC14E6F" w14:textId="77777777" w:rsidR="00C92C58" w:rsidRPr="00C174D5" w:rsidRDefault="00C92C58" w:rsidP="00B15A9A">
            <w:pPr>
              <w:keepNext/>
              <w:keepLines/>
              <w:spacing w:after="0"/>
              <w:jc w:val="center"/>
              <w:rPr>
                <w:b/>
                <w:sz w:val="20"/>
                <w:lang w:val="es-ES"/>
              </w:rPr>
            </w:pPr>
            <w:r w:rsidRPr="00C174D5">
              <w:rPr>
                <w:b/>
                <w:bCs/>
                <w:sz w:val="20"/>
                <w:lang w:val="es-ES"/>
              </w:rPr>
              <w:t>VPNE (US$)</w:t>
            </w:r>
          </w:p>
        </w:tc>
        <w:tc>
          <w:tcPr>
            <w:tcW w:w="662"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51EAC8B9" w14:textId="77777777" w:rsidR="00C92C58" w:rsidRPr="00C174D5" w:rsidRDefault="00C92C58" w:rsidP="00B15A9A">
            <w:pPr>
              <w:keepNext/>
              <w:keepLines/>
              <w:spacing w:after="0"/>
              <w:jc w:val="center"/>
              <w:rPr>
                <w:b/>
                <w:sz w:val="20"/>
                <w:lang w:val="es-ES"/>
              </w:rPr>
            </w:pPr>
            <w:r w:rsidRPr="00C174D5">
              <w:rPr>
                <w:b/>
                <w:bCs/>
                <w:sz w:val="20"/>
                <w:lang w:val="es-ES"/>
              </w:rPr>
              <w:t>TIRE</w:t>
            </w:r>
          </w:p>
        </w:tc>
      </w:tr>
      <w:tr w:rsidR="00C92C58" w:rsidRPr="00C174D5" w14:paraId="3AB4E815" w14:textId="77777777" w:rsidTr="00B15A9A">
        <w:trPr>
          <w:trHeight w:val="1105"/>
          <w:jc w:val="center"/>
        </w:trPr>
        <w:tc>
          <w:tcPr>
            <w:tcW w:w="2474" w:type="dxa"/>
            <w:tcBorders>
              <w:top w:val="single" w:sz="12" w:space="0" w:color="000000"/>
            </w:tcBorders>
            <w:shd w:val="clear" w:color="auto" w:fill="auto"/>
            <w:tcMar>
              <w:top w:w="15" w:type="dxa"/>
              <w:left w:w="108" w:type="dxa"/>
              <w:bottom w:w="0" w:type="dxa"/>
              <w:right w:w="108" w:type="dxa"/>
            </w:tcMar>
            <w:vAlign w:val="center"/>
            <w:hideMark/>
          </w:tcPr>
          <w:p w14:paraId="5D0A73A0" w14:textId="77777777" w:rsidR="00C92C58" w:rsidRPr="00C174D5" w:rsidRDefault="00C92C58" w:rsidP="00B15A9A">
            <w:pPr>
              <w:keepNext/>
              <w:keepLines/>
              <w:spacing w:after="0"/>
              <w:jc w:val="center"/>
              <w:rPr>
                <w:sz w:val="20"/>
                <w:lang w:val="es-ES"/>
              </w:rPr>
            </w:pPr>
            <w:r w:rsidRPr="00C174D5">
              <w:rPr>
                <w:bCs/>
                <w:sz w:val="20"/>
                <w:lang w:val="es-ES"/>
              </w:rPr>
              <w:t>Situación Con Proyecto</w:t>
            </w:r>
          </w:p>
          <w:p w14:paraId="7502ACDE" w14:textId="77777777" w:rsidR="00C92C58" w:rsidRPr="00C174D5" w:rsidRDefault="00C92C58" w:rsidP="00B15A9A">
            <w:pPr>
              <w:keepNext/>
              <w:keepLines/>
              <w:spacing w:after="0"/>
              <w:jc w:val="center"/>
              <w:rPr>
                <w:sz w:val="20"/>
                <w:lang w:val="es-ES"/>
              </w:rPr>
            </w:pPr>
            <w:r w:rsidRPr="00C174D5">
              <w:rPr>
                <w:bCs/>
                <w:sz w:val="20"/>
                <w:lang w:val="es-ES"/>
              </w:rPr>
              <w:t>-</w:t>
            </w:r>
          </w:p>
          <w:p w14:paraId="02AEC87F" w14:textId="77777777" w:rsidR="00C92C58" w:rsidRPr="00C174D5" w:rsidRDefault="00C92C58" w:rsidP="00B15A9A">
            <w:pPr>
              <w:keepNext/>
              <w:keepLines/>
              <w:spacing w:after="0"/>
              <w:jc w:val="center"/>
              <w:rPr>
                <w:sz w:val="20"/>
                <w:lang w:val="es-ES"/>
              </w:rPr>
            </w:pPr>
            <w:r w:rsidRPr="00C174D5">
              <w:rPr>
                <w:bCs/>
                <w:sz w:val="20"/>
                <w:lang w:val="es-ES"/>
              </w:rPr>
              <w:t>Situación sin proyecto</w:t>
            </w:r>
          </w:p>
        </w:tc>
        <w:tc>
          <w:tcPr>
            <w:tcW w:w="1400" w:type="dxa"/>
            <w:tcBorders>
              <w:top w:val="single" w:sz="12" w:space="0" w:color="000000"/>
            </w:tcBorders>
            <w:shd w:val="clear" w:color="auto" w:fill="auto"/>
            <w:tcMar>
              <w:top w:w="15" w:type="dxa"/>
              <w:left w:w="108" w:type="dxa"/>
              <w:bottom w:w="0" w:type="dxa"/>
              <w:right w:w="108" w:type="dxa"/>
            </w:tcMar>
            <w:vAlign w:val="center"/>
          </w:tcPr>
          <w:p w14:paraId="064E6FC1" w14:textId="77777777" w:rsidR="00C92C58" w:rsidRPr="00C174D5" w:rsidRDefault="00C92C58" w:rsidP="00B15A9A">
            <w:pPr>
              <w:keepNext/>
              <w:keepLines/>
              <w:spacing w:after="0"/>
              <w:jc w:val="center"/>
              <w:rPr>
                <w:sz w:val="20"/>
                <w:lang w:val="es-ES"/>
              </w:rPr>
            </w:pPr>
            <w:r w:rsidRPr="00C174D5">
              <w:rPr>
                <w:sz w:val="20"/>
                <w:lang w:val="es-ES"/>
              </w:rPr>
              <w:t>7.639.744</w:t>
            </w:r>
          </w:p>
        </w:tc>
        <w:tc>
          <w:tcPr>
            <w:tcW w:w="1302" w:type="dxa"/>
            <w:tcBorders>
              <w:top w:val="single" w:sz="12" w:space="0" w:color="000000"/>
            </w:tcBorders>
            <w:shd w:val="clear" w:color="auto" w:fill="auto"/>
            <w:tcMar>
              <w:top w:w="15" w:type="dxa"/>
              <w:left w:w="108" w:type="dxa"/>
              <w:bottom w:w="0" w:type="dxa"/>
              <w:right w:w="108" w:type="dxa"/>
            </w:tcMar>
            <w:vAlign w:val="center"/>
          </w:tcPr>
          <w:p w14:paraId="0A21FAC3" w14:textId="77777777" w:rsidR="00C92C58" w:rsidRPr="00C174D5" w:rsidRDefault="00C92C58" w:rsidP="00B15A9A">
            <w:pPr>
              <w:keepNext/>
              <w:keepLines/>
              <w:spacing w:after="0"/>
              <w:jc w:val="center"/>
              <w:rPr>
                <w:sz w:val="20"/>
                <w:lang w:val="es-ES"/>
              </w:rPr>
            </w:pPr>
            <w:r w:rsidRPr="007B6B4D">
              <w:rPr>
                <w:sz w:val="20"/>
                <w:lang w:val="es-ES"/>
              </w:rPr>
              <w:t>-934</w:t>
            </w:r>
            <w:r>
              <w:rPr>
                <w:sz w:val="20"/>
                <w:lang w:val="es-ES"/>
              </w:rPr>
              <w:t>.</w:t>
            </w:r>
            <w:r w:rsidRPr="007B6B4D">
              <w:rPr>
                <w:sz w:val="20"/>
                <w:lang w:val="es-ES"/>
              </w:rPr>
              <w:t xml:space="preserve">883 </w:t>
            </w:r>
          </w:p>
        </w:tc>
        <w:tc>
          <w:tcPr>
            <w:tcW w:w="1511" w:type="dxa"/>
            <w:tcBorders>
              <w:top w:val="single" w:sz="12" w:space="0" w:color="000000"/>
            </w:tcBorders>
            <w:shd w:val="clear" w:color="auto" w:fill="auto"/>
            <w:tcMar>
              <w:top w:w="15" w:type="dxa"/>
              <w:left w:w="108" w:type="dxa"/>
              <w:bottom w:w="0" w:type="dxa"/>
              <w:right w:w="108" w:type="dxa"/>
            </w:tcMar>
            <w:vAlign w:val="center"/>
          </w:tcPr>
          <w:p w14:paraId="549DC56E" w14:textId="77777777" w:rsidR="00C92C58" w:rsidRPr="00C174D5" w:rsidRDefault="00C92C58" w:rsidP="00B15A9A">
            <w:pPr>
              <w:keepNext/>
              <w:keepLines/>
              <w:spacing w:after="0"/>
              <w:jc w:val="center"/>
              <w:rPr>
                <w:sz w:val="20"/>
                <w:lang w:val="es-ES"/>
              </w:rPr>
            </w:pPr>
            <w:r w:rsidRPr="007B6B4D">
              <w:rPr>
                <w:sz w:val="20"/>
                <w:lang w:val="es-ES"/>
              </w:rPr>
              <w:t>175</w:t>
            </w:r>
            <w:r>
              <w:rPr>
                <w:sz w:val="20"/>
                <w:lang w:val="es-ES"/>
              </w:rPr>
              <w:t>.</w:t>
            </w:r>
            <w:r w:rsidRPr="007B6B4D">
              <w:rPr>
                <w:sz w:val="20"/>
                <w:lang w:val="es-ES"/>
              </w:rPr>
              <w:t>414</w:t>
            </w:r>
            <w:r>
              <w:rPr>
                <w:sz w:val="20"/>
                <w:lang w:val="es-ES"/>
              </w:rPr>
              <w:t>.</w:t>
            </w:r>
            <w:r w:rsidRPr="007B6B4D">
              <w:rPr>
                <w:sz w:val="20"/>
                <w:lang w:val="es-ES"/>
              </w:rPr>
              <w:t>625</w:t>
            </w:r>
          </w:p>
        </w:tc>
        <w:tc>
          <w:tcPr>
            <w:tcW w:w="1372" w:type="dxa"/>
            <w:tcBorders>
              <w:top w:val="single" w:sz="12" w:space="0" w:color="000000"/>
            </w:tcBorders>
            <w:shd w:val="clear" w:color="auto" w:fill="auto"/>
            <w:tcMar>
              <w:top w:w="15" w:type="dxa"/>
              <w:left w:w="108" w:type="dxa"/>
              <w:bottom w:w="0" w:type="dxa"/>
              <w:right w:w="108" w:type="dxa"/>
            </w:tcMar>
            <w:vAlign w:val="center"/>
          </w:tcPr>
          <w:p w14:paraId="43ABE0D3" w14:textId="77777777" w:rsidR="00C92C58" w:rsidRPr="00C174D5" w:rsidRDefault="00C92C58" w:rsidP="00B15A9A">
            <w:pPr>
              <w:keepNext/>
              <w:keepLines/>
              <w:spacing w:after="0"/>
              <w:jc w:val="center"/>
              <w:rPr>
                <w:sz w:val="20"/>
                <w:lang w:val="es-ES"/>
              </w:rPr>
            </w:pPr>
            <w:r>
              <w:rPr>
                <w:sz w:val="20"/>
                <w:lang w:val="es-ES"/>
              </w:rPr>
              <w:t>168.</w:t>
            </w:r>
            <w:r w:rsidRPr="007B6B4D">
              <w:rPr>
                <w:sz w:val="20"/>
                <w:lang w:val="es-ES"/>
              </w:rPr>
              <w:t>709</w:t>
            </w:r>
            <w:r>
              <w:rPr>
                <w:sz w:val="20"/>
                <w:lang w:val="es-ES"/>
              </w:rPr>
              <w:t>.</w:t>
            </w:r>
            <w:r w:rsidRPr="007B6B4D">
              <w:rPr>
                <w:sz w:val="20"/>
                <w:lang w:val="es-ES"/>
              </w:rPr>
              <w:t>764</w:t>
            </w:r>
          </w:p>
        </w:tc>
        <w:tc>
          <w:tcPr>
            <w:tcW w:w="662" w:type="dxa"/>
            <w:tcBorders>
              <w:top w:val="single" w:sz="12" w:space="0" w:color="000000"/>
            </w:tcBorders>
            <w:shd w:val="clear" w:color="auto" w:fill="auto"/>
            <w:tcMar>
              <w:top w:w="15" w:type="dxa"/>
              <w:left w:w="108" w:type="dxa"/>
              <w:bottom w:w="0" w:type="dxa"/>
              <w:right w:w="108" w:type="dxa"/>
            </w:tcMar>
            <w:vAlign w:val="center"/>
          </w:tcPr>
          <w:p w14:paraId="33DCDA71" w14:textId="77777777" w:rsidR="00C92C58" w:rsidRPr="00C174D5" w:rsidRDefault="00C92C58" w:rsidP="00B15A9A">
            <w:pPr>
              <w:keepNext/>
              <w:keepLines/>
              <w:spacing w:after="0"/>
              <w:jc w:val="center"/>
              <w:rPr>
                <w:sz w:val="20"/>
                <w:lang w:val="es-ES"/>
              </w:rPr>
            </w:pPr>
            <w:r>
              <w:rPr>
                <w:sz w:val="20"/>
                <w:lang w:val="es-ES"/>
              </w:rPr>
              <w:t>48</w:t>
            </w:r>
            <w:r w:rsidRPr="00C174D5">
              <w:rPr>
                <w:sz w:val="20"/>
                <w:lang w:val="es-ES"/>
              </w:rPr>
              <w:t>%</w:t>
            </w:r>
          </w:p>
        </w:tc>
      </w:tr>
    </w:tbl>
    <w:p w14:paraId="49384EF6" w14:textId="77777777" w:rsidR="00C92C58" w:rsidRPr="00C174D5" w:rsidRDefault="00C92C58" w:rsidP="00C92C58">
      <w:pPr>
        <w:jc w:val="center"/>
        <w:rPr>
          <w:sz w:val="18"/>
          <w:lang w:val="es-ES"/>
        </w:rPr>
      </w:pPr>
      <w:r w:rsidRPr="00C174D5">
        <w:rPr>
          <w:sz w:val="18"/>
          <w:lang w:val="es-ES"/>
        </w:rPr>
        <w:t>Fuente: Elaboración propia en base a información de ENATREL provista por el BID</w:t>
      </w:r>
    </w:p>
    <w:p w14:paraId="103A0B56" w14:textId="77777777" w:rsidR="00C92C58" w:rsidRPr="00C174D5" w:rsidRDefault="00C92C58" w:rsidP="00C92C58">
      <w:pPr>
        <w:rPr>
          <w:lang w:val="es-ES"/>
        </w:rPr>
      </w:pPr>
      <w:r w:rsidRPr="00C174D5">
        <w:rPr>
          <w:lang w:val="es-ES"/>
        </w:rPr>
        <w:t>El proyecto es deseable desde una óptica económica o social y también desde la financiera o privada (</w:t>
      </w:r>
      <w:r w:rsidRPr="00C174D5">
        <w:rPr>
          <w:lang w:val="es-ES"/>
        </w:rPr>
        <w:fldChar w:fldCharType="begin"/>
      </w:r>
      <w:r w:rsidRPr="00C174D5">
        <w:rPr>
          <w:lang w:val="es-ES"/>
        </w:rPr>
        <w:instrText xml:space="preserve"> REF _Ref450034625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33</w:t>
      </w:r>
      <w:r w:rsidRPr="00C174D5">
        <w:rPr>
          <w:lang w:val="es-ES"/>
        </w:rPr>
        <w:fldChar w:fldCharType="end"/>
      </w:r>
      <w:r w:rsidRPr="00C174D5">
        <w:rPr>
          <w:lang w:val="es-ES"/>
        </w:rPr>
        <w:t xml:space="preserve">). </w:t>
      </w:r>
    </w:p>
    <w:p w14:paraId="1DD19F29" w14:textId="77777777" w:rsidR="00C92C58" w:rsidRPr="00C174D5" w:rsidRDefault="00C92C58" w:rsidP="00C92C58">
      <w:pPr>
        <w:keepNext/>
        <w:keepLines/>
        <w:spacing w:after="120"/>
        <w:jc w:val="center"/>
        <w:rPr>
          <w:b/>
          <w:sz w:val="20"/>
          <w:lang w:val="es-ES"/>
        </w:rPr>
      </w:pPr>
      <w:bookmarkStart w:id="181" w:name="_Ref450034625"/>
      <w:bookmarkStart w:id="182" w:name="_Toc456353189"/>
      <w:r w:rsidRPr="00C174D5">
        <w:rPr>
          <w:b/>
          <w:sz w:val="20"/>
          <w:lang w:val="es-ES"/>
        </w:rPr>
        <w:lastRenderedPageBreak/>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33</w:t>
      </w:r>
      <w:r w:rsidRPr="00C174D5">
        <w:rPr>
          <w:b/>
          <w:sz w:val="20"/>
          <w:lang w:val="es-ES"/>
        </w:rPr>
        <w:fldChar w:fldCharType="end"/>
      </w:r>
      <w:bookmarkEnd w:id="181"/>
      <w:r w:rsidRPr="00C174D5">
        <w:rPr>
          <w:b/>
          <w:sz w:val="20"/>
          <w:lang w:val="es-ES"/>
        </w:rPr>
        <w:t xml:space="preserve">: Resultados evaluación financiera – SE </w:t>
      </w:r>
      <w:proofErr w:type="spellStart"/>
      <w:r w:rsidRPr="00C174D5">
        <w:rPr>
          <w:b/>
          <w:sz w:val="20"/>
          <w:lang w:val="es-ES"/>
        </w:rPr>
        <w:t>Ticuantepe</w:t>
      </w:r>
      <w:proofErr w:type="spellEnd"/>
      <w:r w:rsidRPr="00C174D5">
        <w:rPr>
          <w:b/>
          <w:sz w:val="20"/>
          <w:lang w:val="es-ES"/>
        </w:rPr>
        <w:t xml:space="preserve"> I y II</w:t>
      </w:r>
      <w:bookmarkEnd w:id="182"/>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474"/>
        <w:gridCol w:w="1400"/>
        <w:gridCol w:w="1302"/>
        <w:gridCol w:w="1511"/>
        <w:gridCol w:w="1372"/>
        <w:gridCol w:w="662"/>
      </w:tblGrid>
      <w:tr w:rsidR="00C92C58" w:rsidRPr="00C174D5" w14:paraId="3F0C59E3" w14:textId="77777777" w:rsidTr="00B15A9A">
        <w:trPr>
          <w:trHeight w:val="35"/>
          <w:jc w:val="center"/>
        </w:trPr>
        <w:tc>
          <w:tcPr>
            <w:tcW w:w="2474"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0DD3B539" w14:textId="77777777" w:rsidR="00C92C58" w:rsidRPr="00C174D5" w:rsidRDefault="00C92C58" w:rsidP="00B15A9A">
            <w:pPr>
              <w:keepNext/>
              <w:keepLines/>
              <w:spacing w:after="0"/>
              <w:jc w:val="center"/>
              <w:rPr>
                <w:b/>
                <w:sz w:val="20"/>
                <w:lang w:val="es-ES"/>
              </w:rPr>
            </w:pPr>
          </w:p>
        </w:tc>
        <w:tc>
          <w:tcPr>
            <w:tcW w:w="1400"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0DDC1092" w14:textId="77777777" w:rsidR="00C92C58" w:rsidRPr="00C174D5" w:rsidRDefault="00C92C58" w:rsidP="00B15A9A">
            <w:pPr>
              <w:keepNext/>
              <w:keepLines/>
              <w:spacing w:after="0"/>
              <w:jc w:val="center"/>
              <w:rPr>
                <w:b/>
                <w:sz w:val="20"/>
                <w:lang w:val="es-ES"/>
              </w:rPr>
            </w:pPr>
            <w:r w:rsidRPr="00C174D5">
              <w:rPr>
                <w:b/>
                <w:bCs/>
                <w:sz w:val="20"/>
                <w:lang w:val="es-ES"/>
              </w:rPr>
              <w:t>VP Inversión fin. (US$)</w:t>
            </w:r>
          </w:p>
        </w:tc>
        <w:tc>
          <w:tcPr>
            <w:tcW w:w="1302"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4E7461BE" w14:textId="77777777" w:rsidR="00C92C58" w:rsidRPr="00C174D5" w:rsidRDefault="00C92C58" w:rsidP="00B15A9A">
            <w:pPr>
              <w:keepNext/>
              <w:keepLines/>
              <w:spacing w:after="0"/>
              <w:jc w:val="center"/>
              <w:rPr>
                <w:b/>
                <w:sz w:val="20"/>
                <w:lang w:val="es-ES"/>
              </w:rPr>
            </w:pPr>
            <w:r w:rsidRPr="00C174D5">
              <w:rPr>
                <w:b/>
                <w:bCs/>
                <w:sz w:val="20"/>
                <w:lang w:val="es-ES"/>
              </w:rPr>
              <w:t>VP Costos fin. (US$)</w:t>
            </w:r>
          </w:p>
        </w:tc>
        <w:tc>
          <w:tcPr>
            <w:tcW w:w="151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61D69269" w14:textId="77777777" w:rsidR="00C92C58" w:rsidRPr="00C174D5" w:rsidRDefault="00C92C58" w:rsidP="00B15A9A">
            <w:pPr>
              <w:keepNext/>
              <w:keepLines/>
              <w:spacing w:after="0"/>
              <w:jc w:val="center"/>
              <w:rPr>
                <w:b/>
                <w:sz w:val="20"/>
                <w:lang w:val="es-ES"/>
              </w:rPr>
            </w:pPr>
            <w:r w:rsidRPr="00C174D5">
              <w:rPr>
                <w:b/>
                <w:bCs/>
                <w:sz w:val="20"/>
                <w:lang w:val="es-ES"/>
              </w:rPr>
              <w:t>VP Ingresos (US$)</w:t>
            </w:r>
          </w:p>
        </w:tc>
        <w:tc>
          <w:tcPr>
            <w:tcW w:w="1372"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7FBB9E8E" w14:textId="77777777" w:rsidR="00C92C58" w:rsidRPr="00C174D5" w:rsidRDefault="00C92C58" w:rsidP="00B15A9A">
            <w:pPr>
              <w:keepNext/>
              <w:keepLines/>
              <w:spacing w:after="0"/>
              <w:jc w:val="center"/>
              <w:rPr>
                <w:b/>
                <w:sz w:val="20"/>
                <w:lang w:val="es-ES"/>
              </w:rPr>
            </w:pPr>
            <w:r w:rsidRPr="00C174D5">
              <w:rPr>
                <w:b/>
                <w:bCs/>
                <w:sz w:val="20"/>
                <w:lang w:val="es-ES"/>
              </w:rPr>
              <w:t>VPN (US$)</w:t>
            </w:r>
          </w:p>
        </w:tc>
        <w:tc>
          <w:tcPr>
            <w:tcW w:w="662"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5BBEBAAD" w14:textId="77777777" w:rsidR="00C92C58" w:rsidRPr="00C174D5" w:rsidRDefault="00C92C58" w:rsidP="00B15A9A">
            <w:pPr>
              <w:keepNext/>
              <w:keepLines/>
              <w:spacing w:after="0"/>
              <w:jc w:val="center"/>
              <w:rPr>
                <w:b/>
                <w:sz w:val="20"/>
                <w:lang w:val="es-ES"/>
              </w:rPr>
            </w:pPr>
            <w:r w:rsidRPr="00C174D5">
              <w:rPr>
                <w:b/>
                <w:bCs/>
                <w:sz w:val="20"/>
                <w:lang w:val="es-ES"/>
              </w:rPr>
              <w:t>TIR</w:t>
            </w:r>
          </w:p>
        </w:tc>
      </w:tr>
      <w:tr w:rsidR="00C92C58" w:rsidRPr="00C174D5" w14:paraId="0D1AEA39" w14:textId="77777777" w:rsidTr="00B15A9A">
        <w:trPr>
          <w:trHeight w:val="1105"/>
          <w:jc w:val="center"/>
        </w:trPr>
        <w:tc>
          <w:tcPr>
            <w:tcW w:w="2474" w:type="dxa"/>
            <w:tcBorders>
              <w:top w:val="single" w:sz="12" w:space="0" w:color="000000"/>
            </w:tcBorders>
            <w:shd w:val="clear" w:color="auto" w:fill="auto"/>
            <w:tcMar>
              <w:top w:w="15" w:type="dxa"/>
              <w:left w:w="108" w:type="dxa"/>
              <w:bottom w:w="0" w:type="dxa"/>
              <w:right w:w="108" w:type="dxa"/>
            </w:tcMar>
            <w:vAlign w:val="center"/>
            <w:hideMark/>
          </w:tcPr>
          <w:p w14:paraId="57E1278A" w14:textId="77777777" w:rsidR="00C92C58" w:rsidRPr="00C174D5" w:rsidRDefault="00C92C58" w:rsidP="00B15A9A">
            <w:pPr>
              <w:keepNext/>
              <w:keepLines/>
              <w:spacing w:after="0"/>
              <w:jc w:val="center"/>
              <w:rPr>
                <w:sz w:val="20"/>
                <w:lang w:val="es-ES"/>
              </w:rPr>
            </w:pPr>
            <w:r w:rsidRPr="00C174D5">
              <w:rPr>
                <w:bCs/>
                <w:sz w:val="20"/>
                <w:lang w:val="es-ES"/>
              </w:rPr>
              <w:t>Situación Con Proyecto</w:t>
            </w:r>
          </w:p>
          <w:p w14:paraId="73B6BD4F" w14:textId="77777777" w:rsidR="00C92C58" w:rsidRPr="00C174D5" w:rsidRDefault="00C92C58" w:rsidP="00B15A9A">
            <w:pPr>
              <w:keepNext/>
              <w:keepLines/>
              <w:spacing w:after="0"/>
              <w:jc w:val="center"/>
              <w:rPr>
                <w:sz w:val="20"/>
                <w:lang w:val="es-ES"/>
              </w:rPr>
            </w:pPr>
            <w:r w:rsidRPr="00C174D5">
              <w:rPr>
                <w:bCs/>
                <w:sz w:val="20"/>
                <w:lang w:val="es-ES"/>
              </w:rPr>
              <w:t>-</w:t>
            </w:r>
          </w:p>
          <w:p w14:paraId="44897A48" w14:textId="77777777" w:rsidR="00C92C58" w:rsidRPr="00C174D5" w:rsidRDefault="00C92C58" w:rsidP="00B15A9A">
            <w:pPr>
              <w:keepNext/>
              <w:keepLines/>
              <w:spacing w:after="0"/>
              <w:jc w:val="center"/>
              <w:rPr>
                <w:sz w:val="20"/>
                <w:lang w:val="es-ES"/>
              </w:rPr>
            </w:pPr>
            <w:r w:rsidRPr="00C174D5">
              <w:rPr>
                <w:bCs/>
                <w:sz w:val="20"/>
                <w:lang w:val="es-ES"/>
              </w:rPr>
              <w:t>Situación sin proyecto</w:t>
            </w:r>
          </w:p>
        </w:tc>
        <w:tc>
          <w:tcPr>
            <w:tcW w:w="1400" w:type="dxa"/>
            <w:tcBorders>
              <w:top w:val="single" w:sz="12" w:space="0" w:color="000000"/>
            </w:tcBorders>
            <w:shd w:val="clear" w:color="auto" w:fill="auto"/>
            <w:tcMar>
              <w:top w:w="15" w:type="dxa"/>
              <w:left w:w="108" w:type="dxa"/>
              <w:bottom w:w="0" w:type="dxa"/>
              <w:right w:w="108" w:type="dxa"/>
            </w:tcMar>
            <w:vAlign w:val="center"/>
          </w:tcPr>
          <w:p w14:paraId="6924FC49" w14:textId="77777777" w:rsidR="00C92C58" w:rsidRPr="00C174D5" w:rsidRDefault="00C92C58" w:rsidP="00B15A9A">
            <w:pPr>
              <w:keepNext/>
              <w:keepLines/>
              <w:spacing w:after="0"/>
              <w:jc w:val="center"/>
              <w:rPr>
                <w:sz w:val="20"/>
                <w:lang w:val="es-ES"/>
              </w:rPr>
            </w:pPr>
            <w:r w:rsidRPr="00C174D5">
              <w:rPr>
                <w:sz w:val="20"/>
                <w:lang w:val="es-ES"/>
              </w:rPr>
              <w:t>7.804.288</w:t>
            </w:r>
          </w:p>
        </w:tc>
        <w:tc>
          <w:tcPr>
            <w:tcW w:w="1302" w:type="dxa"/>
            <w:tcBorders>
              <w:top w:val="single" w:sz="12" w:space="0" w:color="000000"/>
            </w:tcBorders>
            <w:shd w:val="clear" w:color="auto" w:fill="auto"/>
            <w:tcMar>
              <w:top w:w="15" w:type="dxa"/>
              <w:left w:w="108" w:type="dxa"/>
              <w:bottom w:w="0" w:type="dxa"/>
              <w:right w:w="108" w:type="dxa"/>
            </w:tcMar>
            <w:vAlign w:val="center"/>
          </w:tcPr>
          <w:p w14:paraId="4AEF7E72" w14:textId="77777777" w:rsidR="00C92C58" w:rsidRPr="00C174D5" w:rsidRDefault="00C92C58" w:rsidP="00B15A9A">
            <w:pPr>
              <w:keepNext/>
              <w:keepLines/>
              <w:spacing w:after="0"/>
              <w:jc w:val="center"/>
              <w:rPr>
                <w:sz w:val="20"/>
                <w:lang w:val="es-ES"/>
              </w:rPr>
            </w:pPr>
            <w:r w:rsidRPr="00C174D5">
              <w:rPr>
                <w:sz w:val="20"/>
                <w:lang w:val="es-ES"/>
              </w:rPr>
              <w:t>-5.863.051</w:t>
            </w:r>
          </w:p>
        </w:tc>
        <w:tc>
          <w:tcPr>
            <w:tcW w:w="1511" w:type="dxa"/>
            <w:tcBorders>
              <w:top w:val="single" w:sz="12" w:space="0" w:color="000000"/>
            </w:tcBorders>
            <w:shd w:val="clear" w:color="auto" w:fill="auto"/>
            <w:tcMar>
              <w:top w:w="15" w:type="dxa"/>
              <w:left w:w="108" w:type="dxa"/>
              <w:bottom w:w="0" w:type="dxa"/>
              <w:right w:w="108" w:type="dxa"/>
            </w:tcMar>
            <w:vAlign w:val="center"/>
          </w:tcPr>
          <w:p w14:paraId="60D2B3E7" w14:textId="77777777" w:rsidR="00C92C58" w:rsidRPr="00C174D5" w:rsidRDefault="00C92C58" w:rsidP="00B15A9A">
            <w:pPr>
              <w:keepNext/>
              <w:keepLines/>
              <w:spacing w:after="0"/>
              <w:jc w:val="center"/>
              <w:rPr>
                <w:sz w:val="20"/>
                <w:lang w:val="es-ES"/>
              </w:rPr>
            </w:pPr>
            <w:r w:rsidRPr="007B6B4D">
              <w:rPr>
                <w:sz w:val="20"/>
                <w:lang w:val="es-ES"/>
              </w:rPr>
              <w:t>3</w:t>
            </w:r>
            <w:r>
              <w:rPr>
                <w:sz w:val="20"/>
                <w:lang w:val="es-ES"/>
              </w:rPr>
              <w:t>.</w:t>
            </w:r>
            <w:r w:rsidRPr="007B6B4D">
              <w:rPr>
                <w:sz w:val="20"/>
                <w:lang w:val="es-ES"/>
              </w:rPr>
              <w:t>027</w:t>
            </w:r>
            <w:r>
              <w:rPr>
                <w:sz w:val="20"/>
                <w:lang w:val="es-ES"/>
              </w:rPr>
              <w:t>.</w:t>
            </w:r>
            <w:r w:rsidRPr="007B6B4D">
              <w:rPr>
                <w:sz w:val="20"/>
                <w:lang w:val="es-ES"/>
              </w:rPr>
              <w:t>342</w:t>
            </w:r>
          </w:p>
        </w:tc>
        <w:tc>
          <w:tcPr>
            <w:tcW w:w="1372" w:type="dxa"/>
            <w:tcBorders>
              <w:top w:val="single" w:sz="12" w:space="0" w:color="000000"/>
            </w:tcBorders>
            <w:shd w:val="clear" w:color="auto" w:fill="auto"/>
            <w:tcMar>
              <w:top w:w="15" w:type="dxa"/>
              <w:left w:w="108" w:type="dxa"/>
              <w:bottom w:w="0" w:type="dxa"/>
              <w:right w:w="108" w:type="dxa"/>
            </w:tcMar>
            <w:vAlign w:val="center"/>
          </w:tcPr>
          <w:p w14:paraId="0E4C929E" w14:textId="77777777" w:rsidR="00C92C58" w:rsidRPr="00C174D5" w:rsidRDefault="00C92C58" w:rsidP="00B15A9A">
            <w:pPr>
              <w:keepNext/>
              <w:keepLines/>
              <w:spacing w:after="0"/>
              <w:jc w:val="center"/>
              <w:rPr>
                <w:sz w:val="20"/>
                <w:lang w:val="es-ES"/>
              </w:rPr>
            </w:pPr>
            <w:r>
              <w:rPr>
                <w:sz w:val="20"/>
                <w:lang w:val="es-ES"/>
              </w:rPr>
              <w:t>1.</w:t>
            </w:r>
            <w:r w:rsidRPr="007B6B4D">
              <w:rPr>
                <w:sz w:val="20"/>
                <w:lang w:val="es-ES"/>
              </w:rPr>
              <w:t>086</w:t>
            </w:r>
            <w:r>
              <w:rPr>
                <w:sz w:val="20"/>
                <w:lang w:val="es-ES"/>
              </w:rPr>
              <w:t>.</w:t>
            </w:r>
            <w:r w:rsidRPr="007B6B4D">
              <w:rPr>
                <w:sz w:val="20"/>
                <w:lang w:val="es-ES"/>
              </w:rPr>
              <w:t>106</w:t>
            </w:r>
          </w:p>
        </w:tc>
        <w:tc>
          <w:tcPr>
            <w:tcW w:w="662" w:type="dxa"/>
            <w:tcBorders>
              <w:top w:val="single" w:sz="12" w:space="0" w:color="000000"/>
            </w:tcBorders>
            <w:shd w:val="clear" w:color="auto" w:fill="auto"/>
            <w:tcMar>
              <w:top w:w="15" w:type="dxa"/>
              <w:left w:w="108" w:type="dxa"/>
              <w:bottom w:w="0" w:type="dxa"/>
              <w:right w:w="108" w:type="dxa"/>
            </w:tcMar>
            <w:vAlign w:val="center"/>
          </w:tcPr>
          <w:p w14:paraId="2AA167E1" w14:textId="77777777" w:rsidR="00C92C58" w:rsidRPr="00C174D5" w:rsidRDefault="00C92C58" w:rsidP="00B15A9A">
            <w:pPr>
              <w:keepNext/>
              <w:keepLines/>
              <w:spacing w:after="0"/>
              <w:jc w:val="center"/>
              <w:rPr>
                <w:sz w:val="20"/>
                <w:lang w:val="es-ES"/>
              </w:rPr>
            </w:pPr>
            <w:r>
              <w:rPr>
                <w:sz w:val="20"/>
                <w:lang w:val="es-ES"/>
              </w:rPr>
              <w:t>9</w:t>
            </w:r>
            <w:r w:rsidRPr="00C174D5">
              <w:rPr>
                <w:sz w:val="20"/>
                <w:lang w:val="es-ES"/>
              </w:rPr>
              <w:t>%</w:t>
            </w:r>
          </w:p>
        </w:tc>
      </w:tr>
    </w:tbl>
    <w:p w14:paraId="5C984B1F" w14:textId="77777777" w:rsidR="00C92C58" w:rsidRPr="00C174D5" w:rsidRDefault="00C92C58" w:rsidP="00C92C58">
      <w:pPr>
        <w:jc w:val="center"/>
        <w:rPr>
          <w:sz w:val="18"/>
          <w:lang w:val="es-ES"/>
        </w:rPr>
      </w:pPr>
      <w:r w:rsidRPr="00C174D5">
        <w:rPr>
          <w:sz w:val="18"/>
          <w:lang w:val="es-ES"/>
        </w:rPr>
        <w:t>Fuente: Elaboración propia en base a información de ENATREL provista por el BID</w:t>
      </w:r>
    </w:p>
    <w:p w14:paraId="5986C9DD" w14:textId="77777777" w:rsidR="00C92C58" w:rsidRPr="00C174D5" w:rsidRDefault="00C92C58" w:rsidP="00C92C58">
      <w:pPr>
        <w:rPr>
          <w:lang w:val="es-ES"/>
        </w:rPr>
      </w:pPr>
      <w:r w:rsidRPr="00C174D5">
        <w:rPr>
          <w:lang w:val="es-ES"/>
        </w:rPr>
        <w:t>En este caso, el proyecto es rentable desde el punto de vista privado, superando la TIR al costo de capital (8 %).</w:t>
      </w:r>
    </w:p>
    <w:p w14:paraId="22FB08D1" w14:textId="77777777" w:rsidR="00C92C58" w:rsidRPr="00C174D5" w:rsidRDefault="00C92C58" w:rsidP="00C92C58">
      <w:pPr>
        <w:rPr>
          <w:lang w:val="es-ES"/>
        </w:rPr>
      </w:pPr>
      <w:r w:rsidRPr="00C174D5">
        <w:rPr>
          <w:lang w:val="es-ES"/>
        </w:rPr>
        <w:t>A continuación se realiza un análisis de sensibilidad sobre estos resultados.</w:t>
      </w:r>
    </w:p>
    <w:p w14:paraId="138DF220" w14:textId="77777777" w:rsidR="00C92C58" w:rsidRPr="00C174D5" w:rsidRDefault="00C92C58" w:rsidP="00C92C58">
      <w:pPr>
        <w:pStyle w:val="Heading1"/>
        <w:pageBreakBefore w:val="0"/>
        <w:numPr>
          <w:ilvl w:val="2"/>
          <w:numId w:val="9"/>
        </w:numPr>
        <w:rPr>
          <w:lang w:val="es-ES"/>
        </w:rPr>
      </w:pPr>
      <w:bookmarkStart w:id="183" w:name="_Toc456353140"/>
      <w:r w:rsidRPr="00C174D5">
        <w:rPr>
          <w:lang w:val="es-ES"/>
        </w:rPr>
        <w:t xml:space="preserve">Modernización y ampliación SE </w:t>
      </w:r>
      <w:proofErr w:type="spellStart"/>
      <w:r w:rsidRPr="00C174D5">
        <w:rPr>
          <w:lang w:val="es-ES"/>
        </w:rPr>
        <w:t>Ticuantepe</w:t>
      </w:r>
      <w:proofErr w:type="spellEnd"/>
      <w:r w:rsidRPr="00C174D5">
        <w:rPr>
          <w:lang w:val="es-ES"/>
        </w:rPr>
        <w:t xml:space="preserve"> I y II – Sensibilidades</w:t>
      </w:r>
      <w:bookmarkEnd w:id="183"/>
    </w:p>
    <w:p w14:paraId="478E71F1" w14:textId="77777777" w:rsidR="00C92C58" w:rsidRPr="00C174D5" w:rsidRDefault="00C92C58" w:rsidP="00C92C58">
      <w:pPr>
        <w:rPr>
          <w:lang w:val="es-ES"/>
        </w:rPr>
      </w:pPr>
      <w:r w:rsidRPr="00C174D5">
        <w:rPr>
          <w:lang w:val="es-ES"/>
        </w:rPr>
        <w:t>Las sensibilidades efectuadas en este proyecto son, al igual que en los anteriores, en relación a la tasa de descuento, a la tasa de crecimiento promedio de la demanda, al costo de energía de falla y al valor de la inversión. Además, se efectúan en este caso sensibilidades al supuesto relacionado con la demanda que es posible servir en ausencia de proyecto. Como se mencionó anteriormente, en el caso base se supone que es posible mantener la demanda servida a niveles de 2017. Como sensibilidad, se propone en primer lugar un decaimiento paulatino de este nivel (decaimiento del 20% anual) y en segundo lugar, un escenario más extremo que consiste en suponer que en ausencia de proyecto la demanda que es posible servir es nula durante todo el período.</w:t>
      </w:r>
      <w:r w:rsidRPr="00C174D5">
        <w:rPr>
          <w:rStyle w:val="FootnoteReference"/>
          <w:lang w:val="es-ES"/>
        </w:rPr>
        <w:footnoteReference w:id="44"/>
      </w:r>
    </w:p>
    <w:p w14:paraId="3EB60CDB" w14:textId="77777777" w:rsidR="00C92C58" w:rsidRPr="00C174D5" w:rsidRDefault="00C92C58" w:rsidP="00C92C58">
      <w:pPr>
        <w:keepNext/>
        <w:keepLines/>
        <w:spacing w:after="120"/>
        <w:jc w:val="center"/>
        <w:rPr>
          <w:b/>
          <w:sz w:val="20"/>
          <w:lang w:val="es-ES"/>
        </w:rPr>
      </w:pPr>
      <w:bookmarkStart w:id="184" w:name="_Toc456353190"/>
      <w:r w:rsidRPr="00C174D5">
        <w:rPr>
          <w:b/>
          <w:sz w:val="20"/>
          <w:lang w:val="es-ES"/>
        </w:rPr>
        <w:lastRenderedPageBreak/>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34</w:t>
      </w:r>
      <w:r w:rsidRPr="00C174D5">
        <w:rPr>
          <w:b/>
          <w:sz w:val="20"/>
          <w:lang w:val="es-ES"/>
        </w:rPr>
        <w:fldChar w:fldCharType="end"/>
      </w:r>
      <w:r w:rsidRPr="00C174D5">
        <w:rPr>
          <w:b/>
          <w:sz w:val="20"/>
          <w:lang w:val="es-ES"/>
        </w:rPr>
        <w:t xml:space="preserve">: Análisis de sensibilidad evaluación económica – SE </w:t>
      </w:r>
      <w:proofErr w:type="spellStart"/>
      <w:r w:rsidRPr="00C174D5">
        <w:rPr>
          <w:b/>
          <w:sz w:val="20"/>
          <w:lang w:val="es-ES"/>
        </w:rPr>
        <w:t>Ticuantepe</w:t>
      </w:r>
      <w:proofErr w:type="spellEnd"/>
      <w:r w:rsidRPr="00C174D5">
        <w:rPr>
          <w:b/>
          <w:sz w:val="20"/>
          <w:lang w:val="es-ES"/>
        </w:rPr>
        <w:t xml:space="preserve"> I y II</w:t>
      </w:r>
      <w:bookmarkEnd w:id="184"/>
    </w:p>
    <w:tbl>
      <w:tblPr>
        <w:tblW w:w="74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701"/>
        <w:gridCol w:w="2409"/>
        <w:gridCol w:w="1754"/>
        <w:gridCol w:w="780"/>
        <w:gridCol w:w="804"/>
      </w:tblGrid>
      <w:tr w:rsidR="00C92C58" w:rsidRPr="00C174D5" w14:paraId="1A31310A" w14:textId="77777777" w:rsidTr="00B15A9A">
        <w:trPr>
          <w:trHeight w:val="300"/>
          <w:jc w:val="center"/>
        </w:trPr>
        <w:tc>
          <w:tcPr>
            <w:tcW w:w="4110" w:type="dxa"/>
            <w:gridSpan w:val="2"/>
            <w:tcBorders>
              <w:top w:val="single" w:sz="12" w:space="0" w:color="auto"/>
              <w:bottom w:val="single" w:sz="12" w:space="0" w:color="auto"/>
            </w:tcBorders>
            <w:shd w:val="clear" w:color="auto" w:fill="BFBFBF" w:themeFill="background1" w:themeFillShade="BF"/>
            <w:noWrap/>
            <w:vAlign w:val="center"/>
          </w:tcPr>
          <w:p w14:paraId="69181362" w14:textId="77777777" w:rsidR="00C92C58" w:rsidRPr="00C174D5" w:rsidRDefault="00C92C58" w:rsidP="00B15A9A">
            <w:pPr>
              <w:keepNext/>
              <w:keepLines/>
              <w:spacing w:after="0" w:line="240" w:lineRule="auto"/>
              <w:rPr>
                <w:rFonts w:eastAsia="Times New Roman" w:cs="Times New Roman"/>
                <w:b/>
                <w:sz w:val="20"/>
                <w:szCs w:val="20"/>
                <w:lang w:val="es-ES" w:eastAsia="es-AR"/>
              </w:rPr>
            </w:pPr>
            <w:r w:rsidRPr="00C174D5">
              <w:rPr>
                <w:b/>
                <w:sz w:val="20"/>
                <w:lang w:val="es-ES"/>
              </w:rPr>
              <w:t xml:space="preserve">SE </w:t>
            </w:r>
            <w:proofErr w:type="spellStart"/>
            <w:r w:rsidRPr="00C174D5">
              <w:rPr>
                <w:b/>
                <w:sz w:val="20"/>
                <w:lang w:val="es-ES"/>
              </w:rPr>
              <w:t>Ticuantepe</w:t>
            </w:r>
            <w:proofErr w:type="spellEnd"/>
            <w:r w:rsidRPr="00C174D5">
              <w:rPr>
                <w:b/>
                <w:sz w:val="20"/>
                <w:lang w:val="es-ES"/>
              </w:rPr>
              <w:t xml:space="preserve"> I y II</w:t>
            </w:r>
          </w:p>
        </w:tc>
        <w:tc>
          <w:tcPr>
            <w:tcW w:w="2534" w:type="dxa"/>
            <w:gridSpan w:val="2"/>
            <w:tcBorders>
              <w:top w:val="single" w:sz="12" w:space="0" w:color="auto"/>
              <w:bottom w:val="single" w:sz="12" w:space="0" w:color="auto"/>
            </w:tcBorders>
            <w:shd w:val="clear" w:color="auto" w:fill="BFBFBF" w:themeFill="background1" w:themeFillShade="BF"/>
            <w:vAlign w:val="center"/>
          </w:tcPr>
          <w:p w14:paraId="5BAC9108" w14:textId="77777777" w:rsidR="00C92C58" w:rsidRPr="00C174D5" w:rsidRDefault="00C92C58" w:rsidP="00B15A9A">
            <w:pPr>
              <w:keepNext/>
              <w:keepLines/>
              <w:spacing w:after="0" w:line="240" w:lineRule="auto"/>
              <w:jc w:val="center"/>
              <w:rPr>
                <w:rFonts w:eastAsia="Times New Roman" w:cs="Times New Roman"/>
                <w:b/>
                <w:sz w:val="20"/>
                <w:szCs w:val="20"/>
                <w:lang w:val="es-ES" w:eastAsia="es-AR"/>
              </w:rPr>
            </w:pPr>
            <w:r w:rsidRPr="00C174D5">
              <w:rPr>
                <w:rFonts w:eastAsia="Times New Roman" w:cs="Arial"/>
                <w:b/>
                <w:sz w:val="20"/>
                <w:szCs w:val="20"/>
                <w:lang w:val="es-ES" w:eastAsia="es-AR"/>
              </w:rPr>
              <w:t>VPNE (US$)</w:t>
            </w:r>
          </w:p>
        </w:tc>
        <w:tc>
          <w:tcPr>
            <w:tcW w:w="804" w:type="dxa"/>
            <w:tcBorders>
              <w:top w:val="single" w:sz="12" w:space="0" w:color="auto"/>
              <w:bottom w:val="single" w:sz="12" w:space="0" w:color="auto"/>
            </w:tcBorders>
            <w:shd w:val="clear" w:color="auto" w:fill="BFBFBF" w:themeFill="background1" w:themeFillShade="BF"/>
            <w:vAlign w:val="center"/>
          </w:tcPr>
          <w:p w14:paraId="0644D878" w14:textId="77777777" w:rsidR="00C92C58" w:rsidRPr="00C174D5" w:rsidRDefault="00C92C58" w:rsidP="00B15A9A">
            <w:pPr>
              <w:keepNext/>
              <w:keepLines/>
              <w:spacing w:after="0" w:line="240" w:lineRule="auto"/>
              <w:jc w:val="center"/>
              <w:rPr>
                <w:rFonts w:eastAsia="Times New Roman" w:cs="Arial"/>
                <w:b/>
                <w:sz w:val="20"/>
                <w:szCs w:val="20"/>
                <w:lang w:val="es-ES" w:eastAsia="es-AR"/>
              </w:rPr>
            </w:pPr>
            <w:r w:rsidRPr="00C174D5">
              <w:rPr>
                <w:rFonts w:eastAsia="Times New Roman" w:cs="Arial"/>
                <w:b/>
                <w:sz w:val="20"/>
                <w:szCs w:val="20"/>
                <w:lang w:val="es-ES" w:eastAsia="es-AR"/>
              </w:rPr>
              <w:t>TIRE (%)</w:t>
            </w:r>
          </w:p>
        </w:tc>
      </w:tr>
      <w:tr w:rsidR="00C92C58" w:rsidRPr="00C174D5" w14:paraId="55FD568B" w14:textId="77777777" w:rsidTr="00B15A9A">
        <w:trPr>
          <w:trHeight w:val="300"/>
          <w:jc w:val="center"/>
        </w:trPr>
        <w:tc>
          <w:tcPr>
            <w:tcW w:w="4110" w:type="dxa"/>
            <w:gridSpan w:val="2"/>
            <w:tcBorders>
              <w:top w:val="single" w:sz="12" w:space="0" w:color="auto"/>
              <w:bottom w:val="single" w:sz="2" w:space="0" w:color="auto"/>
            </w:tcBorders>
            <w:shd w:val="clear" w:color="auto" w:fill="auto"/>
            <w:noWrap/>
            <w:vAlign w:val="center"/>
          </w:tcPr>
          <w:p w14:paraId="6C32FE02" w14:textId="77777777" w:rsidR="00C92C58" w:rsidRPr="00C174D5" w:rsidRDefault="00C92C58" w:rsidP="00B15A9A">
            <w:pPr>
              <w:keepNext/>
              <w:keepLines/>
              <w:spacing w:after="0" w:line="240" w:lineRule="auto"/>
              <w:jc w:val="left"/>
              <w:rPr>
                <w:rFonts w:eastAsia="Times New Roman" w:cs="Times New Roman"/>
                <w:i/>
                <w:sz w:val="20"/>
                <w:szCs w:val="20"/>
                <w:lang w:val="es-ES" w:eastAsia="es-AR"/>
              </w:rPr>
            </w:pPr>
            <w:r w:rsidRPr="00C174D5">
              <w:rPr>
                <w:rFonts w:eastAsia="Times New Roman" w:cs="Times New Roman"/>
                <w:i/>
                <w:sz w:val="20"/>
                <w:szCs w:val="20"/>
                <w:lang w:val="es-ES" w:eastAsia="es-AR"/>
              </w:rPr>
              <w:t xml:space="preserve">Caso Base </w:t>
            </w:r>
          </w:p>
        </w:tc>
        <w:tc>
          <w:tcPr>
            <w:tcW w:w="2534" w:type="dxa"/>
            <w:gridSpan w:val="2"/>
            <w:tcBorders>
              <w:top w:val="single" w:sz="12" w:space="0" w:color="auto"/>
              <w:bottom w:val="single" w:sz="2" w:space="0" w:color="auto"/>
            </w:tcBorders>
            <w:vAlign w:val="center"/>
          </w:tcPr>
          <w:p w14:paraId="7B478776" w14:textId="77777777" w:rsidR="00C92C58" w:rsidRPr="00C174D5" w:rsidRDefault="00C92C58" w:rsidP="00B15A9A">
            <w:pPr>
              <w:keepNext/>
              <w:keepLines/>
              <w:spacing w:after="0" w:line="240" w:lineRule="auto"/>
              <w:jc w:val="center"/>
              <w:rPr>
                <w:rFonts w:eastAsia="Times New Roman" w:cs="Times New Roman"/>
                <w:i/>
                <w:sz w:val="20"/>
                <w:szCs w:val="20"/>
                <w:lang w:val="es-ES" w:eastAsia="es-AR"/>
              </w:rPr>
            </w:pPr>
            <w:r w:rsidRPr="007B6B4D">
              <w:rPr>
                <w:rFonts w:eastAsia="Times New Roman" w:cs="Times New Roman"/>
                <w:i/>
                <w:sz w:val="20"/>
                <w:szCs w:val="20"/>
                <w:lang w:val="es-ES" w:eastAsia="es-AR"/>
              </w:rPr>
              <w:t>168</w:t>
            </w:r>
            <w:r>
              <w:rPr>
                <w:rFonts w:eastAsia="Times New Roman" w:cs="Times New Roman"/>
                <w:i/>
                <w:sz w:val="20"/>
                <w:szCs w:val="20"/>
                <w:lang w:val="es-ES" w:eastAsia="es-AR"/>
              </w:rPr>
              <w:t>.</w:t>
            </w:r>
            <w:r w:rsidRPr="007B6B4D">
              <w:rPr>
                <w:rFonts w:eastAsia="Times New Roman" w:cs="Times New Roman"/>
                <w:i/>
                <w:sz w:val="20"/>
                <w:szCs w:val="20"/>
                <w:lang w:val="es-ES" w:eastAsia="es-AR"/>
              </w:rPr>
              <w:t>709</w:t>
            </w:r>
            <w:r>
              <w:rPr>
                <w:rFonts w:eastAsia="Times New Roman" w:cs="Times New Roman"/>
                <w:i/>
                <w:sz w:val="20"/>
                <w:szCs w:val="20"/>
                <w:lang w:val="es-ES" w:eastAsia="es-AR"/>
              </w:rPr>
              <w:t>.</w:t>
            </w:r>
            <w:r w:rsidRPr="007B6B4D">
              <w:rPr>
                <w:rFonts w:eastAsia="Times New Roman" w:cs="Times New Roman"/>
                <w:i/>
                <w:sz w:val="20"/>
                <w:szCs w:val="20"/>
                <w:lang w:val="es-ES" w:eastAsia="es-AR"/>
              </w:rPr>
              <w:t>764</w:t>
            </w:r>
          </w:p>
        </w:tc>
        <w:tc>
          <w:tcPr>
            <w:tcW w:w="804" w:type="dxa"/>
            <w:tcBorders>
              <w:top w:val="single" w:sz="12" w:space="0" w:color="auto"/>
              <w:bottom w:val="single" w:sz="2" w:space="0" w:color="auto"/>
            </w:tcBorders>
            <w:vAlign w:val="center"/>
          </w:tcPr>
          <w:p w14:paraId="0224B9EC" w14:textId="77777777" w:rsidR="00C92C58" w:rsidRPr="00C174D5" w:rsidRDefault="00C92C58" w:rsidP="00B15A9A">
            <w:pPr>
              <w:keepNext/>
              <w:keepLines/>
              <w:spacing w:after="0" w:line="240" w:lineRule="auto"/>
              <w:jc w:val="center"/>
              <w:rPr>
                <w:rFonts w:eastAsia="Times New Roman" w:cs="Times New Roman"/>
                <w:i/>
                <w:sz w:val="20"/>
                <w:szCs w:val="20"/>
                <w:lang w:val="es-ES" w:eastAsia="es-AR"/>
              </w:rPr>
            </w:pPr>
            <w:r>
              <w:rPr>
                <w:rFonts w:eastAsia="Times New Roman" w:cs="Times New Roman"/>
                <w:i/>
                <w:sz w:val="20"/>
                <w:szCs w:val="20"/>
                <w:lang w:val="es-ES" w:eastAsia="es-AR"/>
              </w:rPr>
              <w:t>48</w:t>
            </w:r>
            <w:r w:rsidRPr="00C174D5">
              <w:rPr>
                <w:rFonts w:eastAsia="Times New Roman" w:cs="Times New Roman"/>
                <w:i/>
                <w:sz w:val="20"/>
                <w:szCs w:val="20"/>
                <w:lang w:val="es-ES" w:eastAsia="es-AR"/>
              </w:rPr>
              <w:t>%</w:t>
            </w:r>
          </w:p>
        </w:tc>
      </w:tr>
      <w:tr w:rsidR="00C92C58" w:rsidRPr="00C174D5" w14:paraId="02B2C4DB" w14:textId="77777777" w:rsidTr="00B15A9A">
        <w:trPr>
          <w:trHeight w:val="300"/>
          <w:jc w:val="center"/>
        </w:trPr>
        <w:tc>
          <w:tcPr>
            <w:tcW w:w="4110" w:type="dxa"/>
            <w:gridSpan w:val="2"/>
            <w:tcBorders>
              <w:top w:val="single" w:sz="2" w:space="0" w:color="auto"/>
            </w:tcBorders>
            <w:shd w:val="clear" w:color="auto" w:fill="auto"/>
            <w:noWrap/>
            <w:vAlign w:val="center"/>
          </w:tcPr>
          <w:p w14:paraId="72EDFB18"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Tasa social de descuento(base 12%): 8%</w:t>
            </w:r>
          </w:p>
        </w:tc>
        <w:tc>
          <w:tcPr>
            <w:tcW w:w="1754" w:type="dxa"/>
            <w:tcBorders>
              <w:top w:val="single" w:sz="2" w:space="0" w:color="auto"/>
            </w:tcBorders>
            <w:vAlign w:val="center"/>
          </w:tcPr>
          <w:p w14:paraId="2EC6CE71"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293.469.</w:t>
            </w:r>
            <w:r w:rsidRPr="0056618C">
              <w:rPr>
                <w:rFonts w:eastAsia="Times New Roman" w:cs="Times New Roman"/>
                <w:sz w:val="20"/>
                <w:szCs w:val="20"/>
                <w:lang w:val="es-ES" w:eastAsia="es-AR"/>
              </w:rPr>
              <w:t>552</w:t>
            </w:r>
          </w:p>
        </w:tc>
        <w:tc>
          <w:tcPr>
            <w:tcW w:w="780" w:type="dxa"/>
            <w:tcBorders>
              <w:top w:val="single" w:sz="2" w:space="0" w:color="auto"/>
            </w:tcBorders>
            <w:vAlign w:val="center"/>
          </w:tcPr>
          <w:p w14:paraId="1BEA8F28"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74</w:t>
            </w:r>
            <w:r w:rsidRPr="00C174D5">
              <w:rPr>
                <w:rFonts w:eastAsia="Times New Roman" w:cs="Times New Roman"/>
                <w:sz w:val="20"/>
                <w:szCs w:val="20"/>
                <w:lang w:val="es-ES" w:eastAsia="es-AR"/>
              </w:rPr>
              <w:t>%</w:t>
            </w:r>
          </w:p>
        </w:tc>
        <w:tc>
          <w:tcPr>
            <w:tcW w:w="804" w:type="dxa"/>
            <w:tcBorders>
              <w:top w:val="single" w:sz="2" w:space="0" w:color="auto"/>
            </w:tcBorders>
            <w:vAlign w:val="center"/>
          </w:tcPr>
          <w:p w14:paraId="1082BDA9"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48</w:t>
            </w:r>
            <w:r w:rsidRPr="00C174D5">
              <w:rPr>
                <w:rFonts w:eastAsia="Times New Roman" w:cs="Times New Roman"/>
                <w:sz w:val="20"/>
                <w:szCs w:val="20"/>
                <w:lang w:val="es-ES" w:eastAsia="es-AR"/>
              </w:rPr>
              <w:t>%</w:t>
            </w:r>
          </w:p>
        </w:tc>
      </w:tr>
      <w:tr w:rsidR="00C92C58" w:rsidRPr="00E67BF2" w14:paraId="0F5D175B" w14:textId="77777777" w:rsidTr="00B15A9A">
        <w:trPr>
          <w:trHeight w:val="300"/>
          <w:jc w:val="center"/>
        </w:trPr>
        <w:tc>
          <w:tcPr>
            <w:tcW w:w="7448" w:type="dxa"/>
            <w:gridSpan w:val="5"/>
            <w:tcBorders>
              <w:top w:val="single" w:sz="2" w:space="0" w:color="auto"/>
            </w:tcBorders>
            <w:shd w:val="clear" w:color="auto" w:fill="auto"/>
            <w:noWrap/>
            <w:vAlign w:val="center"/>
          </w:tcPr>
          <w:p w14:paraId="1F36AB7A"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Tasa de crecimiento promedio de la demanda existente (base 3,6 %)</w:t>
            </w:r>
          </w:p>
        </w:tc>
      </w:tr>
      <w:tr w:rsidR="00C92C58" w:rsidRPr="00C174D5" w14:paraId="6AA9649C" w14:textId="77777777" w:rsidTr="00B15A9A">
        <w:trPr>
          <w:trHeight w:val="300"/>
          <w:jc w:val="center"/>
        </w:trPr>
        <w:tc>
          <w:tcPr>
            <w:tcW w:w="1701" w:type="dxa"/>
            <w:tcBorders>
              <w:top w:val="single" w:sz="2" w:space="0" w:color="auto"/>
            </w:tcBorders>
            <w:shd w:val="clear" w:color="auto" w:fill="auto"/>
            <w:noWrap/>
            <w:vAlign w:val="center"/>
          </w:tcPr>
          <w:p w14:paraId="0155B2BD"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4FB6A45F"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3,0</w:t>
            </w:r>
            <w:r>
              <w:rPr>
                <w:rFonts w:eastAsia="Times New Roman" w:cs="Times New Roman"/>
                <w:sz w:val="20"/>
                <w:szCs w:val="20"/>
                <w:lang w:val="es-ES" w:eastAsia="es-AR"/>
              </w:rPr>
              <w:t>5</w:t>
            </w:r>
            <w:r w:rsidRPr="00C174D5">
              <w:rPr>
                <w:rFonts w:eastAsia="Times New Roman" w:cs="Times New Roman"/>
                <w:sz w:val="20"/>
                <w:szCs w:val="20"/>
                <w:lang w:val="es-ES" w:eastAsia="es-AR"/>
              </w:rPr>
              <w:t xml:space="preserve"> % (- 15%)</w:t>
            </w:r>
          </w:p>
        </w:tc>
        <w:tc>
          <w:tcPr>
            <w:tcW w:w="1754" w:type="dxa"/>
            <w:tcBorders>
              <w:top w:val="single" w:sz="2" w:space="0" w:color="auto"/>
            </w:tcBorders>
            <w:vAlign w:val="center"/>
          </w:tcPr>
          <w:p w14:paraId="2CCCB4B2"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134.</w:t>
            </w:r>
            <w:r w:rsidRPr="0056618C">
              <w:rPr>
                <w:rFonts w:eastAsia="Times New Roman" w:cs="Times New Roman"/>
                <w:sz w:val="20"/>
                <w:szCs w:val="20"/>
                <w:lang w:val="es-ES" w:eastAsia="es-AR"/>
              </w:rPr>
              <w:t>942</w:t>
            </w:r>
            <w:r>
              <w:rPr>
                <w:rFonts w:eastAsia="Times New Roman" w:cs="Times New Roman"/>
                <w:sz w:val="20"/>
                <w:szCs w:val="20"/>
                <w:lang w:val="es-ES" w:eastAsia="es-AR"/>
              </w:rPr>
              <w:t>.</w:t>
            </w:r>
            <w:r w:rsidRPr="0056618C">
              <w:rPr>
                <w:rFonts w:eastAsia="Times New Roman" w:cs="Times New Roman"/>
                <w:sz w:val="20"/>
                <w:szCs w:val="20"/>
                <w:lang w:val="es-ES" w:eastAsia="es-AR"/>
              </w:rPr>
              <w:t>754</w:t>
            </w:r>
          </w:p>
        </w:tc>
        <w:tc>
          <w:tcPr>
            <w:tcW w:w="780" w:type="dxa"/>
            <w:tcBorders>
              <w:top w:val="single" w:sz="2" w:space="0" w:color="auto"/>
            </w:tcBorders>
            <w:vAlign w:val="center"/>
          </w:tcPr>
          <w:p w14:paraId="443CC9FC"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w:t>
            </w:r>
            <w:r>
              <w:rPr>
                <w:rFonts w:eastAsia="Times New Roman" w:cs="Times New Roman"/>
                <w:sz w:val="20"/>
                <w:szCs w:val="20"/>
                <w:lang w:val="es-ES" w:eastAsia="es-AR"/>
              </w:rPr>
              <w:t>20</w:t>
            </w:r>
            <w:r w:rsidRPr="00C174D5">
              <w:rPr>
                <w:rFonts w:eastAsia="Times New Roman" w:cs="Times New Roman"/>
                <w:sz w:val="20"/>
                <w:szCs w:val="20"/>
                <w:lang w:val="es-ES" w:eastAsia="es-AR"/>
              </w:rPr>
              <w:t>%</w:t>
            </w:r>
          </w:p>
        </w:tc>
        <w:tc>
          <w:tcPr>
            <w:tcW w:w="804" w:type="dxa"/>
            <w:tcBorders>
              <w:top w:val="single" w:sz="2" w:space="0" w:color="auto"/>
            </w:tcBorders>
            <w:vAlign w:val="center"/>
          </w:tcPr>
          <w:p w14:paraId="6B1DA0A9"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45</w:t>
            </w:r>
            <w:r w:rsidRPr="00C174D5">
              <w:rPr>
                <w:rFonts w:eastAsia="Times New Roman" w:cs="Times New Roman"/>
                <w:sz w:val="20"/>
                <w:szCs w:val="20"/>
                <w:lang w:val="es-ES" w:eastAsia="es-AR"/>
              </w:rPr>
              <w:t>%</w:t>
            </w:r>
          </w:p>
        </w:tc>
      </w:tr>
      <w:tr w:rsidR="00C92C58" w:rsidRPr="00C174D5" w14:paraId="5EF8C633" w14:textId="77777777" w:rsidTr="00B15A9A">
        <w:trPr>
          <w:trHeight w:val="300"/>
          <w:jc w:val="center"/>
        </w:trPr>
        <w:tc>
          <w:tcPr>
            <w:tcW w:w="1701" w:type="dxa"/>
            <w:tcBorders>
              <w:top w:val="single" w:sz="2" w:space="0" w:color="auto"/>
            </w:tcBorders>
            <w:shd w:val="clear" w:color="auto" w:fill="auto"/>
            <w:noWrap/>
            <w:vAlign w:val="center"/>
          </w:tcPr>
          <w:p w14:paraId="7F85A031"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445F6ABE"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2,</w:t>
            </w:r>
            <w:r>
              <w:rPr>
                <w:rFonts w:eastAsia="Times New Roman" w:cs="Times New Roman"/>
                <w:sz w:val="20"/>
                <w:szCs w:val="20"/>
                <w:lang w:val="es-ES" w:eastAsia="es-AR"/>
              </w:rPr>
              <w:t>5</w:t>
            </w:r>
            <w:r w:rsidRPr="00C174D5">
              <w:rPr>
                <w:rFonts w:eastAsia="Times New Roman" w:cs="Times New Roman"/>
                <w:sz w:val="20"/>
                <w:szCs w:val="20"/>
                <w:lang w:val="es-ES" w:eastAsia="es-AR"/>
              </w:rPr>
              <w:t>2 % (- 30%)</w:t>
            </w:r>
          </w:p>
        </w:tc>
        <w:tc>
          <w:tcPr>
            <w:tcW w:w="1754" w:type="dxa"/>
            <w:tcBorders>
              <w:top w:val="single" w:sz="2" w:space="0" w:color="auto"/>
            </w:tcBorders>
            <w:vAlign w:val="center"/>
          </w:tcPr>
          <w:p w14:paraId="1B8EC6EE"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56618C">
              <w:rPr>
                <w:rFonts w:eastAsia="Times New Roman" w:cs="Times New Roman"/>
                <w:sz w:val="20"/>
                <w:szCs w:val="20"/>
                <w:lang w:val="es-ES" w:eastAsia="es-AR"/>
              </w:rPr>
              <w:t>104</w:t>
            </w:r>
            <w:r>
              <w:rPr>
                <w:rFonts w:eastAsia="Times New Roman" w:cs="Times New Roman"/>
                <w:sz w:val="20"/>
                <w:szCs w:val="20"/>
                <w:lang w:val="es-ES" w:eastAsia="es-AR"/>
              </w:rPr>
              <w:t>.</w:t>
            </w:r>
            <w:r w:rsidRPr="0056618C">
              <w:rPr>
                <w:rFonts w:eastAsia="Times New Roman" w:cs="Times New Roman"/>
                <w:sz w:val="20"/>
                <w:szCs w:val="20"/>
                <w:lang w:val="es-ES" w:eastAsia="es-AR"/>
              </w:rPr>
              <w:t>349</w:t>
            </w:r>
            <w:r>
              <w:rPr>
                <w:rFonts w:eastAsia="Times New Roman" w:cs="Times New Roman"/>
                <w:sz w:val="20"/>
                <w:szCs w:val="20"/>
                <w:lang w:val="es-ES" w:eastAsia="es-AR"/>
              </w:rPr>
              <w:t>.</w:t>
            </w:r>
            <w:r w:rsidRPr="0056618C">
              <w:rPr>
                <w:rFonts w:eastAsia="Times New Roman" w:cs="Times New Roman"/>
                <w:sz w:val="20"/>
                <w:szCs w:val="20"/>
                <w:lang w:val="es-ES" w:eastAsia="es-AR"/>
              </w:rPr>
              <w:t>285</w:t>
            </w:r>
          </w:p>
        </w:tc>
        <w:tc>
          <w:tcPr>
            <w:tcW w:w="780" w:type="dxa"/>
            <w:tcBorders>
              <w:top w:val="single" w:sz="2" w:space="0" w:color="auto"/>
            </w:tcBorders>
            <w:vAlign w:val="center"/>
          </w:tcPr>
          <w:p w14:paraId="4F724C03"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w:t>
            </w:r>
            <w:r w:rsidRPr="00C174D5">
              <w:rPr>
                <w:rFonts w:eastAsia="Times New Roman" w:cs="Times New Roman"/>
                <w:sz w:val="20"/>
                <w:szCs w:val="20"/>
                <w:lang w:val="es-ES" w:eastAsia="es-AR"/>
              </w:rPr>
              <w:t>3</w:t>
            </w:r>
            <w:r>
              <w:rPr>
                <w:rFonts w:eastAsia="Times New Roman" w:cs="Times New Roman"/>
                <w:sz w:val="20"/>
                <w:szCs w:val="20"/>
                <w:lang w:val="es-ES" w:eastAsia="es-AR"/>
              </w:rPr>
              <w:t>8</w:t>
            </w:r>
            <w:r w:rsidRPr="00C174D5">
              <w:rPr>
                <w:rFonts w:eastAsia="Times New Roman" w:cs="Times New Roman"/>
                <w:sz w:val="20"/>
                <w:szCs w:val="20"/>
                <w:lang w:val="es-ES" w:eastAsia="es-AR"/>
              </w:rPr>
              <w:t>,</w:t>
            </w:r>
            <w:r>
              <w:rPr>
                <w:rFonts w:eastAsia="Times New Roman" w:cs="Times New Roman"/>
                <w:sz w:val="20"/>
                <w:szCs w:val="20"/>
                <w:lang w:val="es-ES" w:eastAsia="es-AR"/>
              </w:rPr>
              <w:t>15</w:t>
            </w:r>
            <w:r w:rsidRPr="00C174D5">
              <w:rPr>
                <w:rFonts w:eastAsia="Times New Roman" w:cs="Times New Roman"/>
                <w:sz w:val="20"/>
                <w:szCs w:val="20"/>
                <w:lang w:val="es-ES" w:eastAsia="es-AR"/>
              </w:rPr>
              <w:t>%</w:t>
            </w:r>
          </w:p>
        </w:tc>
        <w:tc>
          <w:tcPr>
            <w:tcW w:w="804" w:type="dxa"/>
            <w:tcBorders>
              <w:top w:val="single" w:sz="2" w:space="0" w:color="auto"/>
            </w:tcBorders>
            <w:vAlign w:val="center"/>
          </w:tcPr>
          <w:p w14:paraId="6EDAE7BA"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42</w:t>
            </w:r>
            <w:r w:rsidRPr="00C174D5">
              <w:rPr>
                <w:rFonts w:eastAsia="Times New Roman" w:cs="Times New Roman"/>
                <w:sz w:val="20"/>
                <w:szCs w:val="20"/>
                <w:lang w:val="es-ES" w:eastAsia="es-AR"/>
              </w:rPr>
              <w:t>%</w:t>
            </w:r>
          </w:p>
        </w:tc>
      </w:tr>
      <w:tr w:rsidR="00C92C58" w:rsidRPr="00E67BF2" w14:paraId="75D2B500" w14:textId="77777777" w:rsidTr="00B15A9A">
        <w:trPr>
          <w:trHeight w:val="300"/>
          <w:jc w:val="center"/>
        </w:trPr>
        <w:tc>
          <w:tcPr>
            <w:tcW w:w="7448" w:type="dxa"/>
            <w:gridSpan w:val="5"/>
            <w:tcBorders>
              <w:top w:val="single" w:sz="2" w:space="0" w:color="auto"/>
              <w:bottom w:val="single" w:sz="2" w:space="0" w:color="auto"/>
            </w:tcBorders>
            <w:shd w:val="clear" w:color="auto" w:fill="auto"/>
            <w:noWrap/>
            <w:vAlign w:val="center"/>
          </w:tcPr>
          <w:p w14:paraId="08D8877E"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Costo de falla (base 1.500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w:t>
            </w:r>
          </w:p>
        </w:tc>
      </w:tr>
      <w:tr w:rsidR="00C92C58" w:rsidRPr="00C174D5" w14:paraId="44ED70A6" w14:textId="77777777" w:rsidTr="00B15A9A">
        <w:trPr>
          <w:trHeight w:val="300"/>
          <w:jc w:val="center"/>
        </w:trPr>
        <w:tc>
          <w:tcPr>
            <w:tcW w:w="1701" w:type="dxa"/>
            <w:tcBorders>
              <w:top w:val="single" w:sz="2" w:space="0" w:color="auto"/>
            </w:tcBorders>
            <w:shd w:val="clear" w:color="auto" w:fill="auto"/>
            <w:noWrap/>
            <w:vAlign w:val="center"/>
          </w:tcPr>
          <w:p w14:paraId="2F76C51A"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7A7432E9"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1.725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xml:space="preserve"> (+ 15%)</w:t>
            </w:r>
          </w:p>
        </w:tc>
        <w:tc>
          <w:tcPr>
            <w:tcW w:w="1754" w:type="dxa"/>
            <w:tcBorders>
              <w:top w:val="single" w:sz="2" w:space="0" w:color="auto"/>
            </w:tcBorders>
            <w:vAlign w:val="center"/>
          </w:tcPr>
          <w:p w14:paraId="56D204E3"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56618C">
              <w:rPr>
                <w:rFonts w:eastAsia="Times New Roman" w:cs="Times New Roman"/>
                <w:sz w:val="20"/>
                <w:szCs w:val="20"/>
                <w:lang w:val="es-ES" w:eastAsia="es-AR"/>
              </w:rPr>
              <w:t>198</w:t>
            </w:r>
            <w:r>
              <w:rPr>
                <w:rFonts w:eastAsia="Times New Roman" w:cs="Times New Roman"/>
                <w:sz w:val="20"/>
                <w:szCs w:val="20"/>
                <w:lang w:val="es-ES" w:eastAsia="es-AR"/>
              </w:rPr>
              <w:t>.</w:t>
            </w:r>
            <w:r w:rsidRPr="0056618C">
              <w:rPr>
                <w:rFonts w:eastAsia="Times New Roman" w:cs="Times New Roman"/>
                <w:sz w:val="20"/>
                <w:szCs w:val="20"/>
                <w:lang w:val="es-ES" w:eastAsia="es-AR"/>
              </w:rPr>
              <w:t>726</w:t>
            </w:r>
            <w:r>
              <w:rPr>
                <w:rFonts w:eastAsia="Times New Roman" w:cs="Times New Roman"/>
                <w:sz w:val="20"/>
                <w:szCs w:val="20"/>
                <w:lang w:val="es-ES" w:eastAsia="es-AR"/>
              </w:rPr>
              <w:t>.</w:t>
            </w:r>
            <w:r w:rsidRPr="0056618C">
              <w:rPr>
                <w:rFonts w:eastAsia="Times New Roman" w:cs="Times New Roman"/>
                <w:sz w:val="20"/>
                <w:szCs w:val="20"/>
                <w:lang w:val="es-ES" w:eastAsia="es-AR"/>
              </w:rPr>
              <w:t>197</w:t>
            </w:r>
          </w:p>
        </w:tc>
        <w:tc>
          <w:tcPr>
            <w:tcW w:w="780" w:type="dxa"/>
            <w:tcBorders>
              <w:top w:val="single" w:sz="2" w:space="0" w:color="auto"/>
            </w:tcBorders>
            <w:vAlign w:val="center"/>
          </w:tcPr>
          <w:p w14:paraId="5212560D"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17,</w:t>
            </w:r>
            <w:r>
              <w:rPr>
                <w:rFonts w:eastAsia="Times New Roman" w:cs="Times New Roman"/>
                <w:sz w:val="20"/>
                <w:szCs w:val="20"/>
                <w:lang w:val="es-ES" w:eastAsia="es-AR"/>
              </w:rPr>
              <w:t>8</w:t>
            </w:r>
            <w:r w:rsidRPr="00C174D5">
              <w:rPr>
                <w:rFonts w:eastAsia="Times New Roman" w:cs="Times New Roman"/>
                <w:sz w:val="20"/>
                <w:szCs w:val="20"/>
                <w:lang w:val="es-ES" w:eastAsia="es-AR"/>
              </w:rPr>
              <w:t>%</w:t>
            </w:r>
          </w:p>
        </w:tc>
        <w:tc>
          <w:tcPr>
            <w:tcW w:w="804" w:type="dxa"/>
            <w:tcBorders>
              <w:top w:val="single" w:sz="2" w:space="0" w:color="auto"/>
            </w:tcBorders>
            <w:vAlign w:val="center"/>
          </w:tcPr>
          <w:p w14:paraId="247C058B"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50</w:t>
            </w:r>
            <w:r w:rsidRPr="00C174D5">
              <w:rPr>
                <w:rFonts w:eastAsia="Times New Roman" w:cs="Times New Roman"/>
                <w:sz w:val="20"/>
                <w:szCs w:val="20"/>
                <w:lang w:val="es-ES" w:eastAsia="es-AR"/>
              </w:rPr>
              <w:t>%</w:t>
            </w:r>
          </w:p>
        </w:tc>
      </w:tr>
      <w:tr w:rsidR="00C92C58" w:rsidRPr="00C174D5" w14:paraId="5245395F" w14:textId="77777777" w:rsidTr="00B15A9A">
        <w:trPr>
          <w:trHeight w:val="300"/>
          <w:jc w:val="center"/>
        </w:trPr>
        <w:tc>
          <w:tcPr>
            <w:tcW w:w="1701" w:type="dxa"/>
            <w:tcBorders>
              <w:top w:val="single" w:sz="2" w:space="0" w:color="auto"/>
              <w:bottom w:val="single" w:sz="2" w:space="0" w:color="auto"/>
            </w:tcBorders>
            <w:shd w:val="clear" w:color="auto" w:fill="auto"/>
            <w:noWrap/>
            <w:vAlign w:val="center"/>
          </w:tcPr>
          <w:p w14:paraId="64077143"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bottom w:val="single" w:sz="2" w:space="0" w:color="auto"/>
            </w:tcBorders>
            <w:shd w:val="clear" w:color="auto" w:fill="auto"/>
            <w:vAlign w:val="center"/>
          </w:tcPr>
          <w:p w14:paraId="0C90F2D5"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1.275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xml:space="preserve"> (- 15%)</w:t>
            </w:r>
          </w:p>
        </w:tc>
        <w:tc>
          <w:tcPr>
            <w:tcW w:w="1754" w:type="dxa"/>
            <w:tcBorders>
              <w:top w:val="single" w:sz="2" w:space="0" w:color="auto"/>
              <w:bottom w:val="single" w:sz="2" w:space="0" w:color="auto"/>
            </w:tcBorders>
            <w:vAlign w:val="center"/>
          </w:tcPr>
          <w:p w14:paraId="2FC0808A"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56618C">
              <w:rPr>
                <w:rFonts w:eastAsia="Times New Roman" w:cs="Times New Roman"/>
                <w:sz w:val="20"/>
                <w:szCs w:val="20"/>
                <w:lang w:val="es-ES" w:eastAsia="es-AR"/>
              </w:rPr>
              <w:t>138</w:t>
            </w:r>
            <w:r>
              <w:rPr>
                <w:rFonts w:eastAsia="Times New Roman" w:cs="Times New Roman"/>
                <w:sz w:val="20"/>
                <w:szCs w:val="20"/>
                <w:lang w:val="es-ES" w:eastAsia="es-AR"/>
              </w:rPr>
              <w:t>.</w:t>
            </w:r>
            <w:r w:rsidRPr="0056618C">
              <w:rPr>
                <w:rFonts w:eastAsia="Times New Roman" w:cs="Times New Roman"/>
                <w:sz w:val="20"/>
                <w:szCs w:val="20"/>
                <w:lang w:val="es-ES" w:eastAsia="es-AR"/>
              </w:rPr>
              <w:t>693</w:t>
            </w:r>
            <w:r>
              <w:rPr>
                <w:rFonts w:eastAsia="Times New Roman" w:cs="Times New Roman"/>
                <w:sz w:val="20"/>
                <w:szCs w:val="20"/>
                <w:lang w:val="es-ES" w:eastAsia="es-AR"/>
              </w:rPr>
              <w:t>.</w:t>
            </w:r>
            <w:r w:rsidRPr="0056618C">
              <w:rPr>
                <w:rFonts w:eastAsia="Times New Roman" w:cs="Times New Roman"/>
                <w:sz w:val="20"/>
                <w:szCs w:val="20"/>
                <w:lang w:val="es-ES" w:eastAsia="es-AR"/>
              </w:rPr>
              <w:t>332</w:t>
            </w:r>
          </w:p>
        </w:tc>
        <w:tc>
          <w:tcPr>
            <w:tcW w:w="780" w:type="dxa"/>
            <w:tcBorders>
              <w:top w:val="single" w:sz="2" w:space="0" w:color="auto"/>
              <w:bottom w:val="single" w:sz="2" w:space="0" w:color="auto"/>
            </w:tcBorders>
            <w:vAlign w:val="center"/>
          </w:tcPr>
          <w:p w14:paraId="070FF997"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-17,</w:t>
            </w:r>
            <w:r>
              <w:rPr>
                <w:rFonts w:eastAsia="Times New Roman" w:cs="Times New Roman"/>
                <w:sz w:val="20"/>
                <w:szCs w:val="20"/>
                <w:lang w:val="es-ES" w:eastAsia="es-AR"/>
              </w:rPr>
              <w:t>8</w:t>
            </w:r>
            <w:r w:rsidRPr="00C174D5">
              <w:rPr>
                <w:rFonts w:eastAsia="Times New Roman" w:cs="Times New Roman"/>
                <w:sz w:val="20"/>
                <w:szCs w:val="20"/>
                <w:lang w:val="es-ES" w:eastAsia="es-AR"/>
              </w:rPr>
              <w:t>%</w:t>
            </w:r>
          </w:p>
        </w:tc>
        <w:tc>
          <w:tcPr>
            <w:tcW w:w="804" w:type="dxa"/>
            <w:tcBorders>
              <w:top w:val="single" w:sz="2" w:space="0" w:color="auto"/>
              <w:bottom w:val="single" w:sz="2" w:space="0" w:color="auto"/>
            </w:tcBorders>
            <w:vAlign w:val="center"/>
          </w:tcPr>
          <w:p w14:paraId="0AE6C5F7"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45</w:t>
            </w:r>
            <w:r w:rsidRPr="00C174D5">
              <w:rPr>
                <w:rFonts w:eastAsia="Times New Roman" w:cs="Times New Roman"/>
                <w:sz w:val="20"/>
                <w:szCs w:val="20"/>
                <w:lang w:val="es-ES" w:eastAsia="es-AR"/>
              </w:rPr>
              <w:t>%</w:t>
            </w:r>
          </w:p>
        </w:tc>
      </w:tr>
      <w:tr w:rsidR="00C92C58" w:rsidRPr="00C174D5" w14:paraId="0CBE86D8" w14:textId="77777777" w:rsidTr="00B15A9A">
        <w:trPr>
          <w:trHeight w:val="300"/>
          <w:jc w:val="center"/>
        </w:trPr>
        <w:tc>
          <w:tcPr>
            <w:tcW w:w="1701" w:type="dxa"/>
            <w:tcBorders>
              <w:top w:val="single" w:sz="2" w:space="0" w:color="auto"/>
            </w:tcBorders>
            <w:shd w:val="clear" w:color="auto" w:fill="auto"/>
            <w:noWrap/>
            <w:vAlign w:val="center"/>
          </w:tcPr>
          <w:p w14:paraId="44B6C488"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329E7923"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2</w:t>
            </w:r>
            <w:r>
              <w:rPr>
                <w:rFonts w:eastAsia="Times New Roman" w:cs="Times New Roman"/>
                <w:sz w:val="20"/>
                <w:szCs w:val="20"/>
                <w:lang w:val="es-ES" w:eastAsia="es-AR"/>
              </w:rPr>
              <w:t>35</w:t>
            </w:r>
            <w:r w:rsidRPr="00C174D5">
              <w:rPr>
                <w:rFonts w:eastAsia="Times New Roman" w:cs="Times New Roman"/>
                <w:sz w:val="20"/>
                <w:szCs w:val="20"/>
                <w:lang w:val="es-ES" w:eastAsia="es-AR"/>
              </w:rPr>
              <w:t xml:space="preserve">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xml:space="preserve"> (- 8</w:t>
            </w:r>
            <w:r>
              <w:rPr>
                <w:rFonts w:eastAsia="Times New Roman" w:cs="Times New Roman"/>
                <w:sz w:val="20"/>
                <w:szCs w:val="20"/>
                <w:lang w:val="es-ES" w:eastAsia="es-AR"/>
              </w:rPr>
              <w:t>4</w:t>
            </w:r>
            <w:r w:rsidRPr="00C174D5">
              <w:rPr>
                <w:rFonts w:eastAsia="Times New Roman" w:cs="Times New Roman"/>
                <w:sz w:val="20"/>
                <w:szCs w:val="20"/>
                <w:lang w:val="es-ES" w:eastAsia="es-AR"/>
              </w:rPr>
              <w:t>%)</w:t>
            </w:r>
          </w:p>
        </w:tc>
        <w:tc>
          <w:tcPr>
            <w:tcW w:w="1754" w:type="dxa"/>
            <w:tcBorders>
              <w:top w:val="single" w:sz="2" w:space="0" w:color="auto"/>
            </w:tcBorders>
            <w:vAlign w:val="center"/>
          </w:tcPr>
          <w:p w14:paraId="049A047E"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0</w:t>
            </w:r>
          </w:p>
        </w:tc>
        <w:tc>
          <w:tcPr>
            <w:tcW w:w="780" w:type="dxa"/>
            <w:tcBorders>
              <w:top w:val="single" w:sz="2" w:space="0" w:color="auto"/>
            </w:tcBorders>
            <w:vAlign w:val="center"/>
          </w:tcPr>
          <w:p w14:paraId="23AB01E9"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w:t>
            </w:r>
          </w:p>
        </w:tc>
        <w:tc>
          <w:tcPr>
            <w:tcW w:w="804" w:type="dxa"/>
            <w:tcBorders>
              <w:top w:val="single" w:sz="2" w:space="0" w:color="auto"/>
            </w:tcBorders>
            <w:vAlign w:val="center"/>
          </w:tcPr>
          <w:p w14:paraId="7274FA98"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12%</w:t>
            </w:r>
          </w:p>
        </w:tc>
      </w:tr>
      <w:tr w:rsidR="00C92C58" w:rsidRPr="00C174D5" w14:paraId="4E2009A8" w14:textId="77777777" w:rsidTr="00B15A9A">
        <w:trPr>
          <w:trHeight w:val="300"/>
          <w:jc w:val="center"/>
        </w:trPr>
        <w:tc>
          <w:tcPr>
            <w:tcW w:w="7448" w:type="dxa"/>
            <w:gridSpan w:val="5"/>
            <w:tcBorders>
              <w:top w:val="single" w:sz="2" w:space="0" w:color="auto"/>
              <w:bottom w:val="single" w:sz="2" w:space="0" w:color="auto"/>
            </w:tcBorders>
            <w:shd w:val="clear" w:color="auto" w:fill="auto"/>
            <w:noWrap/>
            <w:vAlign w:val="center"/>
          </w:tcPr>
          <w:p w14:paraId="0447B60F"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Costo de inversión</w:t>
            </w:r>
            <w:r w:rsidRPr="00C174D5">
              <w:rPr>
                <w:rStyle w:val="FootnoteReference"/>
                <w:rFonts w:eastAsia="Times New Roman" w:cs="Times New Roman"/>
                <w:sz w:val="20"/>
                <w:szCs w:val="20"/>
                <w:lang w:val="es-ES" w:eastAsia="es-AR"/>
              </w:rPr>
              <w:footnoteReference w:id="45"/>
            </w:r>
            <w:r w:rsidRPr="00C174D5">
              <w:rPr>
                <w:rFonts w:eastAsia="Times New Roman" w:cs="Times New Roman"/>
                <w:sz w:val="20"/>
                <w:szCs w:val="20"/>
                <w:lang w:val="es-ES" w:eastAsia="es-AR"/>
              </w:rPr>
              <w:t xml:space="preserve"> (base 7.639.744)</w:t>
            </w:r>
          </w:p>
        </w:tc>
      </w:tr>
      <w:tr w:rsidR="00C92C58" w:rsidRPr="00C174D5" w14:paraId="5EF97068" w14:textId="77777777" w:rsidTr="00B15A9A">
        <w:trPr>
          <w:trHeight w:val="300"/>
          <w:jc w:val="center"/>
        </w:trPr>
        <w:tc>
          <w:tcPr>
            <w:tcW w:w="1701" w:type="dxa"/>
            <w:tcBorders>
              <w:top w:val="single" w:sz="2" w:space="0" w:color="auto"/>
            </w:tcBorders>
            <w:shd w:val="clear" w:color="auto" w:fill="auto"/>
            <w:noWrap/>
            <w:vAlign w:val="center"/>
          </w:tcPr>
          <w:p w14:paraId="3E1F5251"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52A5B090"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8.785.706 (+15%)</w:t>
            </w:r>
          </w:p>
        </w:tc>
        <w:tc>
          <w:tcPr>
            <w:tcW w:w="1754" w:type="dxa"/>
            <w:tcBorders>
              <w:top w:val="single" w:sz="2" w:space="0" w:color="auto"/>
            </w:tcBorders>
            <w:vAlign w:val="center"/>
          </w:tcPr>
          <w:p w14:paraId="39735490"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168.</w:t>
            </w:r>
            <w:r w:rsidRPr="0056618C">
              <w:rPr>
                <w:rFonts w:eastAsia="Times New Roman" w:cs="Times New Roman"/>
                <w:sz w:val="20"/>
                <w:szCs w:val="20"/>
                <w:lang w:val="es-ES" w:eastAsia="es-AR"/>
              </w:rPr>
              <w:t>200</w:t>
            </w:r>
            <w:r>
              <w:rPr>
                <w:rFonts w:eastAsia="Times New Roman" w:cs="Times New Roman"/>
                <w:sz w:val="20"/>
                <w:szCs w:val="20"/>
                <w:lang w:val="es-ES" w:eastAsia="es-AR"/>
              </w:rPr>
              <w:t>.</w:t>
            </w:r>
            <w:r w:rsidRPr="0056618C">
              <w:rPr>
                <w:rFonts w:eastAsia="Times New Roman" w:cs="Times New Roman"/>
                <w:sz w:val="20"/>
                <w:szCs w:val="20"/>
                <w:lang w:val="es-ES" w:eastAsia="es-AR"/>
              </w:rPr>
              <w:t>097</w:t>
            </w:r>
          </w:p>
        </w:tc>
        <w:tc>
          <w:tcPr>
            <w:tcW w:w="780" w:type="dxa"/>
            <w:tcBorders>
              <w:top w:val="single" w:sz="2" w:space="0" w:color="auto"/>
            </w:tcBorders>
            <w:vAlign w:val="center"/>
          </w:tcPr>
          <w:p w14:paraId="187FE065"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-0,</w:t>
            </w:r>
            <w:r>
              <w:rPr>
                <w:rFonts w:eastAsia="Times New Roman" w:cs="Times New Roman"/>
                <w:sz w:val="20"/>
                <w:szCs w:val="20"/>
                <w:lang w:val="es-ES" w:eastAsia="es-AR"/>
              </w:rPr>
              <w:t>3</w:t>
            </w:r>
            <w:r w:rsidRPr="00C174D5">
              <w:rPr>
                <w:rFonts w:eastAsia="Times New Roman" w:cs="Times New Roman"/>
                <w:sz w:val="20"/>
                <w:szCs w:val="20"/>
                <w:lang w:val="es-ES" w:eastAsia="es-AR"/>
              </w:rPr>
              <w:t>%</w:t>
            </w:r>
          </w:p>
        </w:tc>
        <w:tc>
          <w:tcPr>
            <w:tcW w:w="804" w:type="dxa"/>
            <w:tcBorders>
              <w:top w:val="single" w:sz="2" w:space="0" w:color="auto"/>
            </w:tcBorders>
            <w:vAlign w:val="center"/>
          </w:tcPr>
          <w:p w14:paraId="7CD0527D"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46</w:t>
            </w:r>
            <w:r w:rsidRPr="00C174D5">
              <w:rPr>
                <w:rFonts w:eastAsia="Times New Roman" w:cs="Times New Roman"/>
                <w:sz w:val="20"/>
                <w:szCs w:val="20"/>
                <w:lang w:val="es-ES" w:eastAsia="es-AR"/>
              </w:rPr>
              <w:t>%</w:t>
            </w:r>
          </w:p>
        </w:tc>
      </w:tr>
      <w:tr w:rsidR="00C92C58" w:rsidRPr="00C174D5" w14:paraId="13AA82B5" w14:textId="77777777" w:rsidTr="00B15A9A">
        <w:trPr>
          <w:trHeight w:val="300"/>
          <w:jc w:val="center"/>
        </w:trPr>
        <w:tc>
          <w:tcPr>
            <w:tcW w:w="1701" w:type="dxa"/>
            <w:tcBorders>
              <w:top w:val="single" w:sz="2" w:space="0" w:color="auto"/>
            </w:tcBorders>
            <w:shd w:val="clear" w:color="auto" w:fill="auto"/>
            <w:noWrap/>
            <w:vAlign w:val="center"/>
          </w:tcPr>
          <w:p w14:paraId="225A2E4F"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78AF4F15"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9.931.667 (+30%)</w:t>
            </w:r>
          </w:p>
        </w:tc>
        <w:tc>
          <w:tcPr>
            <w:tcW w:w="1754" w:type="dxa"/>
            <w:tcBorders>
              <w:top w:val="single" w:sz="2" w:space="0" w:color="auto"/>
            </w:tcBorders>
            <w:vAlign w:val="center"/>
          </w:tcPr>
          <w:p w14:paraId="7879D648"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167.</w:t>
            </w:r>
            <w:r w:rsidRPr="0056618C">
              <w:rPr>
                <w:rFonts w:eastAsia="Times New Roman" w:cs="Times New Roman"/>
                <w:sz w:val="20"/>
                <w:szCs w:val="20"/>
                <w:lang w:val="es-ES" w:eastAsia="es-AR"/>
              </w:rPr>
              <w:t>690</w:t>
            </w:r>
            <w:r>
              <w:rPr>
                <w:rFonts w:eastAsia="Times New Roman" w:cs="Times New Roman"/>
                <w:sz w:val="20"/>
                <w:szCs w:val="20"/>
                <w:lang w:val="es-ES" w:eastAsia="es-AR"/>
              </w:rPr>
              <w:t>.</w:t>
            </w:r>
            <w:r w:rsidRPr="0056618C">
              <w:rPr>
                <w:rFonts w:eastAsia="Times New Roman" w:cs="Times New Roman"/>
                <w:sz w:val="20"/>
                <w:szCs w:val="20"/>
                <w:lang w:val="es-ES" w:eastAsia="es-AR"/>
              </w:rPr>
              <w:t>429</w:t>
            </w:r>
          </w:p>
        </w:tc>
        <w:tc>
          <w:tcPr>
            <w:tcW w:w="780" w:type="dxa"/>
            <w:tcBorders>
              <w:top w:val="single" w:sz="2" w:space="0" w:color="auto"/>
            </w:tcBorders>
            <w:vAlign w:val="center"/>
          </w:tcPr>
          <w:p w14:paraId="751E7985"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-0,</w:t>
            </w:r>
            <w:r>
              <w:rPr>
                <w:rFonts w:eastAsia="Times New Roman" w:cs="Times New Roman"/>
                <w:sz w:val="20"/>
                <w:szCs w:val="20"/>
                <w:lang w:val="es-ES" w:eastAsia="es-AR"/>
              </w:rPr>
              <w:t>6</w:t>
            </w:r>
            <w:r w:rsidRPr="00C174D5">
              <w:rPr>
                <w:rFonts w:eastAsia="Times New Roman" w:cs="Times New Roman"/>
                <w:sz w:val="20"/>
                <w:szCs w:val="20"/>
                <w:lang w:val="es-ES" w:eastAsia="es-AR"/>
              </w:rPr>
              <w:t>%</w:t>
            </w:r>
          </w:p>
        </w:tc>
        <w:tc>
          <w:tcPr>
            <w:tcW w:w="804" w:type="dxa"/>
            <w:tcBorders>
              <w:top w:val="single" w:sz="2" w:space="0" w:color="auto"/>
            </w:tcBorders>
            <w:vAlign w:val="center"/>
          </w:tcPr>
          <w:p w14:paraId="2D28DCC7"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44</w:t>
            </w:r>
            <w:r w:rsidRPr="00C174D5">
              <w:rPr>
                <w:rFonts w:eastAsia="Times New Roman" w:cs="Times New Roman"/>
                <w:sz w:val="20"/>
                <w:szCs w:val="20"/>
                <w:lang w:val="es-ES" w:eastAsia="es-AR"/>
              </w:rPr>
              <w:t>%</w:t>
            </w:r>
          </w:p>
        </w:tc>
      </w:tr>
    </w:tbl>
    <w:p w14:paraId="0F650704" w14:textId="77777777" w:rsidR="00C92C58" w:rsidRPr="00C174D5" w:rsidRDefault="00C92C58" w:rsidP="00C92C58">
      <w:pPr>
        <w:ind w:left="1134" w:right="1134"/>
        <w:jc w:val="center"/>
        <w:rPr>
          <w:sz w:val="18"/>
          <w:lang w:val="es-ES"/>
        </w:rPr>
      </w:pPr>
      <w:r w:rsidRPr="00C174D5">
        <w:rPr>
          <w:sz w:val="18"/>
          <w:lang w:val="es-ES"/>
        </w:rPr>
        <w:t>Fuente: Elaboración propia en base a información de ENATREL provista por el BID</w:t>
      </w:r>
    </w:p>
    <w:p w14:paraId="31CACCD7" w14:textId="77777777" w:rsidR="00C92C58" w:rsidRPr="00C174D5" w:rsidRDefault="00C92C58" w:rsidP="00C92C58">
      <w:pPr>
        <w:rPr>
          <w:lang w:val="es-ES"/>
        </w:rPr>
      </w:pPr>
      <w:r w:rsidRPr="00C174D5">
        <w:rPr>
          <w:lang w:val="es-ES"/>
        </w:rPr>
        <w:t>También en este caso los resultados de la evaluación económica son robustos a las sensibilidades efectuadas. Cabe mencionar que para que el VPNE de este proyecto sea nulo, el costo de falla debe ser un 8</w:t>
      </w:r>
      <w:r>
        <w:rPr>
          <w:lang w:val="es-ES"/>
        </w:rPr>
        <w:t>4</w:t>
      </w:r>
      <w:r w:rsidRPr="00C174D5">
        <w:rPr>
          <w:lang w:val="es-ES"/>
        </w:rPr>
        <w:t>% menor al utilizado en la evaluación, cerca de 2</w:t>
      </w:r>
      <w:r>
        <w:rPr>
          <w:lang w:val="es-ES"/>
        </w:rPr>
        <w:t>35</w:t>
      </w:r>
      <w:r w:rsidRPr="00C174D5">
        <w:rPr>
          <w:lang w:val="es-ES"/>
        </w:rPr>
        <w:t xml:space="preserve"> US$/</w:t>
      </w:r>
      <w:proofErr w:type="spellStart"/>
      <w:r w:rsidRPr="00C174D5">
        <w:rPr>
          <w:lang w:val="es-ES"/>
        </w:rPr>
        <w:t>MWh</w:t>
      </w:r>
      <w:proofErr w:type="spellEnd"/>
      <w:r w:rsidRPr="00C174D5">
        <w:rPr>
          <w:lang w:val="es-ES"/>
        </w:rPr>
        <w:t>.</w:t>
      </w:r>
    </w:p>
    <w:p w14:paraId="4C212A46" w14:textId="77777777" w:rsidR="00C92C58" w:rsidRPr="00C174D5" w:rsidRDefault="00C92C58" w:rsidP="00C92C58">
      <w:pPr>
        <w:pStyle w:val="Heading1"/>
        <w:pageBreakBefore w:val="0"/>
        <w:numPr>
          <w:ilvl w:val="1"/>
          <w:numId w:val="9"/>
        </w:numPr>
        <w:rPr>
          <w:lang w:val="es-ES"/>
        </w:rPr>
      </w:pPr>
      <w:bookmarkStart w:id="185" w:name="_Toc456353141"/>
      <w:r w:rsidRPr="00C174D5">
        <w:rPr>
          <w:lang w:val="es-ES"/>
        </w:rPr>
        <w:t>Adquisición de 1 Transformador Móvil</w:t>
      </w:r>
      <w:bookmarkEnd w:id="185"/>
    </w:p>
    <w:p w14:paraId="2F5F94ED" w14:textId="77777777" w:rsidR="00C92C58" w:rsidRPr="00C174D5" w:rsidRDefault="00C92C58" w:rsidP="00C92C58">
      <w:pPr>
        <w:rPr>
          <w:lang w:val="es-ES"/>
        </w:rPr>
      </w:pPr>
      <w:r w:rsidRPr="00C174D5">
        <w:rPr>
          <w:lang w:val="es-ES"/>
        </w:rPr>
        <w:t xml:space="preserve">Este proyecto consiste en la adquisición de un transformador móvil de 40 MVA con relación de tensión 138/24,9/13.8 </w:t>
      </w:r>
      <w:proofErr w:type="spellStart"/>
      <w:r w:rsidRPr="00C174D5">
        <w:rPr>
          <w:lang w:val="es-ES"/>
        </w:rPr>
        <w:t>kV</w:t>
      </w:r>
      <w:proofErr w:type="spellEnd"/>
      <w:r w:rsidRPr="00C174D5">
        <w:rPr>
          <w:lang w:val="es-ES"/>
        </w:rPr>
        <w:t>, con el objeto de evitar el corte en el suministro en presencia de una falla intempestiva en uno de los transformadores de 40MVA del área de Managua, o en caso que uno de estos transformadores requiera mantenimiento preventivo o correctivo.</w:t>
      </w:r>
    </w:p>
    <w:p w14:paraId="00E1053E" w14:textId="77777777" w:rsidR="00C92C58" w:rsidRDefault="00C92C58" w:rsidP="00C92C58">
      <w:pPr>
        <w:rPr>
          <w:lang w:val="es-ES"/>
        </w:rPr>
      </w:pPr>
      <w:r w:rsidRPr="00C174D5">
        <w:rPr>
          <w:lang w:val="es-ES"/>
        </w:rPr>
        <w:t>Así, el objetivo de este proyecto es, básicamente mejorar la confiabilidad del sistema, garantizando las condiciones para la realización de mantenimiento preventivo a los transformadores de 40MVA y respaldando la demanda ante cualquier emergencia o salida de un transformador de potencia.</w:t>
      </w:r>
    </w:p>
    <w:p w14:paraId="5392D764" w14:textId="77777777" w:rsidR="00C92C58" w:rsidRDefault="00C92C58" w:rsidP="00C92C58">
      <w:pPr>
        <w:rPr>
          <w:lang w:val="es-ES"/>
        </w:rPr>
      </w:pPr>
      <w:r>
        <w:rPr>
          <w:lang w:val="es-ES"/>
        </w:rPr>
        <w:t xml:space="preserve">Las demandas que potencialmente atenderían estos transformadores provienen de </w:t>
      </w:r>
      <w:r w:rsidRPr="00BA7581">
        <w:rPr>
          <w:lang w:val="es-ES"/>
        </w:rPr>
        <w:t>Benjamín Zeledón</w:t>
      </w:r>
      <w:r>
        <w:rPr>
          <w:lang w:val="es-ES"/>
        </w:rPr>
        <w:t xml:space="preserve">, </w:t>
      </w:r>
      <w:r w:rsidRPr="004E0BF5">
        <w:rPr>
          <w:lang w:val="es-AR"/>
        </w:rPr>
        <w:t xml:space="preserve">Altamira-1, Altamira-2, Chinandega, </w:t>
      </w:r>
      <w:r w:rsidRPr="00BA7581">
        <w:rPr>
          <w:lang w:val="es-ES"/>
        </w:rPr>
        <w:t xml:space="preserve">Las </w:t>
      </w:r>
      <w:r>
        <w:rPr>
          <w:lang w:val="es-ES"/>
        </w:rPr>
        <w:t>C</w:t>
      </w:r>
      <w:r w:rsidRPr="00BA7581">
        <w:rPr>
          <w:lang w:val="es-ES"/>
        </w:rPr>
        <w:t>olinas</w:t>
      </w:r>
      <w:r>
        <w:rPr>
          <w:lang w:val="es-ES"/>
        </w:rPr>
        <w:t xml:space="preserve">, </w:t>
      </w:r>
      <w:r w:rsidRPr="00BA7581">
        <w:rPr>
          <w:lang w:val="es-ES"/>
        </w:rPr>
        <w:t>Oriental</w:t>
      </w:r>
      <w:r>
        <w:rPr>
          <w:lang w:val="es-ES"/>
        </w:rPr>
        <w:t xml:space="preserve">, </w:t>
      </w:r>
      <w:r w:rsidRPr="00BA7581">
        <w:rPr>
          <w:lang w:val="es-ES"/>
        </w:rPr>
        <w:t>Portezuelo</w:t>
      </w:r>
      <w:r>
        <w:rPr>
          <w:lang w:val="es-ES"/>
        </w:rPr>
        <w:t xml:space="preserve">, </w:t>
      </w:r>
      <w:r w:rsidRPr="00BA7581">
        <w:rPr>
          <w:lang w:val="es-ES"/>
        </w:rPr>
        <w:t>Rivas</w:t>
      </w:r>
      <w:r>
        <w:rPr>
          <w:lang w:val="es-ES"/>
        </w:rPr>
        <w:t xml:space="preserve">, </w:t>
      </w:r>
      <w:proofErr w:type="spellStart"/>
      <w:r w:rsidRPr="00BA7581">
        <w:rPr>
          <w:lang w:val="es-ES"/>
        </w:rPr>
        <w:t>Tipitapa</w:t>
      </w:r>
      <w:proofErr w:type="spellEnd"/>
      <w:r>
        <w:rPr>
          <w:lang w:val="es-ES"/>
        </w:rPr>
        <w:t xml:space="preserve">, Managua y </w:t>
      </w:r>
      <w:r w:rsidRPr="00BA7581">
        <w:rPr>
          <w:lang w:val="es-ES"/>
        </w:rPr>
        <w:t>Granada</w:t>
      </w:r>
      <w:r>
        <w:rPr>
          <w:lang w:val="es-ES"/>
        </w:rPr>
        <w:t>.</w:t>
      </w:r>
    </w:p>
    <w:p w14:paraId="435DF630" w14:textId="77777777" w:rsidR="00C92C58" w:rsidRDefault="00C92C58" w:rsidP="00C92C58">
      <w:pPr>
        <w:keepNext/>
        <w:keepLines/>
        <w:spacing w:after="120"/>
        <w:jc w:val="center"/>
        <w:rPr>
          <w:b/>
          <w:sz w:val="20"/>
          <w:lang w:val="es-ES"/>
        </w:rPr>
      </w:pPr>
      <w:bookmarkStart w:id="186" w:name="_Toc456353214"/>
      <w:r w:rsidRPr="00C174D5">
        <w:rPr>
          <w:b/>
          <w:sz w:val="20"/>
          <w:lang w:val="es-ES"/>
        </w:rPr>
        <w:lastRenderedPageBreak/>
        <w:t xml:space="preserve">Gráfico </w:t>
      </w:r>
      <w:r w:rsidRPr="00C174D5">
        <w:rPr>
          <w:b/>
          <w:sz w:val="20"/>
          <w:lang w:val="es-ES"/>
        </w:rPr>
        <w:fldChar w:fldCharType="begin"/>
      </w:r>
      <w:r w:rsidRPr="00C174D5">
        <w:rPr>
          <w:b/>
          <w:sz w:val="20"/>
          <w:lang w:val="es-ES"/>
        </w:rPr>
        <w:instrText xml:space="preserve"> SEQ Gráfico \* ARABIC </w:instrText>
      </w:r>
      <w:r w:rsidRPr="00C174D5">
        <w:rPr>
          <w:b/>
          <w:sz w:val="20"/>
          <w:lang w:val="es-ES"/>
        </w:rPr>
        <w:fldChar w:fldCharType="separate"/>
      </w:r>
      <w:r>
        <w:rPr>
          <w:b/>
          <w:noProof/>
          <w:sz w:val="20"/>
          <w:lang w:val="es-ES"/>
        </w:rPr>
        <w:t>8</w:t>
      </w:r>
      <w:r w:rsidRPr="00C174D5">
        <w:rPr>
          <w:b/>
          <w:sz w:val="20"/>
          <w:lang w:val="es-ES"/>
        </w:rPr>
        <w:fldChar w:fldCharType="end"/>
      </w:r>
      <w:r w:rsidRPr="00C174D5">
        <w:rPr>
          <w:b/>
          <w:sz w:val="20"/>
          <w:lang w:val="es-ES"/>
        </w:rPr>
        <w:t xml:space="preserve">: Demanda </w:t>
      </w:r>
      <w:r>
        <w:rPr>
          <w:b/>
          <w:sz w:val="20"/>
          <w:lang w:val="es-ES"/>
        </w:rPr>
        <w:t>considerada proyecto</w:t>
      </w:r>
      <w:r w:rsidRPr="00C174D5">
        <w:rPr>
          <w:b/>
          <w:sz w:val="20"/>
          <w:lang w:val="es-ES"/>
        </w:rPr>
        <w:t xml:space="preserve"> </w:t>
      </w:r>
      <w:r>
        <w:rPr>
          <w:b/>
          <w:sz w:val="20"/>
          <w:lang w:val="es-ES"/>
        </w:rPr>
        <w:t xml:space="preserve">Adquisición transformador móvil </w:t>
      </w:r>
      <w:r w:rsidRPr="00C174D5">
        <w:rPr>
          <w:b/>
          <w:sz w:val="20"/>
          <w:lang w:val="es-ES"/>
        </w:rPr>
        <w:t>(MW)</w:t>
      </w:r>
      <w:bookmarkEnd w:id="186"/>
    </w:p>
    <w:p w14:paraId="06BA7319" w14:textId="77777777" w:rsidR="00C92C58" w:rsidRPr="0056618C" w:rsidRDefault="00C92C58" w:rsidP="00C92C58">
      <w:pPr>
        <w:spacing w:after="0"/>
        <w:jc w:val="center"/>
        <w:rPr>
          <w:noProof/>
          <w:lang w:val="es-AR" w:eastAsia="es-AR"/>
        </w:rPr>
      </w:pPr>
      <w:r w:rsidRPr="0056618C">
        <w:rPr>
          <w:noProof/>
          <w:lang w:val="es-CO" w:eastAsia="es-CO"/>
        </w:rPr>
        <w:drawing>
          <wp:inline distT="0" distB="0" distL="0" distR="0" wp14:anchorId="58E7622A" wp14:editId="3FADDAF8">
            <wp:extent cx="3600000" cy="2163989"/>
            <wp:effectExtent l="0" t="0" r="635"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00000" cy="2163989"/>
                    </a:xfrm>
                    <a:prstGeom prst="rect">
                      <a:avLst/>
                    </a:prstGeom>
                    <a:noFill/>
                  </pic:spPr>
                </pic:pic>
              </a:graphicData>
            </a:graphic>
          </wp:inline>
        </w:drawing>
      </w:r>
    </w:p>
    <w:p w14:paraId="39DE2986" w14:textId="77777777" w:rsidR="00C92C58" w:rsidRDefault="00C92C58" w:rsidP="00C92C58">
      <w:pPr>
        <w:ind w:left="1134" w:right="1134"/>
        <w:jc w:val="center"/>
        <w:rPr>
          <w:sz w:val="18"/>
          <w:lang w:val="es-ES"/>
        </w:rPr>
      </w:pPr>
      <w:r w:rsidRPr="00C174D5">
        <w:rPr>
          <w:sz w:val="18"/>
          <w:lang w:val="es-ES"/>
        </w:rPr>
        <w:t>Fuente: Elaboración propia en base a información</w:t>
      </w:r>
      <w:r>
        <w:rPr>
          <w:sz w:val="18"/>
          <w:lang w:val="es-ES"/>
        </w:rPr>
        <w:t xml:space="preserve"> de ENATREL provista por el BID (archivo </w:t>
      </w:r>
      <w:r w:rsidRPr="00DA57EA">
        <w:rPr>
          <w:sz w:val="18"/>
          <w:lang w:val="es-ES"/>
        </w:rPr>
        <w:t>DEMANDA TRAFOS_40MVA-EXISTENTES (3)</w:t>
      </w:r>
      <w:r w:rsidRPr="00BA436C">
        <w:rPr>
          <w:sz w:val="18"/>
          <w:lang w:val="es-ES"/>
        </w:rPr>
        <w:t>.</w:t>
      </w:r>
      <w:proofErr w:type="spellStart"/>
      <w:r w:rsidRPr="00BA436C">
        <w:rPr>
          <w:sz w:val="18"/>
          <w:lang w:val="es-ES"/>
        </w:rPr>
        <w:t>xlsx</w:t>
      </w:r>
      <w:proofErr w:type="spellEnd"/>
      <w:r>
        <w:rPr>
          <w:sz w:val="18"/>
          <w:lang w:val="es-ES"/>
        </w:rPr>
        <w:t>)</w:t>
      </w:r>
    </w:p>
    <w:p w14:paraId="1AEBD04D" w14:textId="77777777" w:rsidR="00C92C58" w:rsidRPr="00FD2B53" w:rsidRDefault="00C92C58" w:rsidP="00C92C58">
      <w:pPr>
        <w:spacing w:after="0"/>
        <w:rPr>
          <w:noProof/>
          <w:lang w:val="es-ES" w:eastAsia="es-AR"/>
        </w:rPr>
      </w:pPr>
      <w:r>
        <w:rPr>
          <w:noProof/>
          <w:lang w:val="es-ES" w:eastAsia="es-AR"/>
        </w:rPr>
        <w:t>En este caso, se supone que la demanda total pasa de alrededor de 300 MW a 435 MW al final del período de análisis.</w:t>
      </w:r>
    </w:p>
    <w:p w14:paraId="63A2CC8C" w14:textId="77777777" w:rsidR="00C92C58" w:rsidRPr="00C174D5" w:rsidRDefault="00C92C58" w:rsidP="00C92C58">
      <w:pPr>
        <w:pStyle w:val="Heading1"/>
        <w:pageBreakBefore w:val="0"/>
        <w:numPr>
          <w:ilvl w:val="2"/>
          <w:numId w:val="9"/>
        </w:numPr>
        <w:rPr>
          <w:lang w:val="es-ES"/>
        </w:rPr>
      </w:pPr>
      <w:bookmarkStart w:id="187" w:name="_Toc456353142"/>
      <w:r w:rsidRPr="00C174D5">
        <w:rPr>
          <w:lang w:val="es-ES"/>
        </w:rPr>
        <w:t>Adquisición Transformador Móvil – Supuestos</w:t>
      </w:r>
      <w:bookmarkEnd w:id="187"/>
    </w:p>
    <w:p w14:paraId="778E07FF" w14:textId="77777777" w:rsidR="00C92C58" w:rsidRPr="00C174D5" w:rsidRDefault="00C92C58" w:rsidP="00C92C58">
      <w:pPr>
        <w:rPr>
          <w:lang w:val="es-ES"/>
        </w:rPr>
      </w:pPr>
      <w:r w:rsidRPr="00C174D5">
        <w:rPr>
          <w:lang w:val="es-ES"/>
        </w:rPr>
        <w:t xml:space="preserve">En la evaluación de este proyecto de ampliación de capacidad se han utilizado los supuestos de la </w:t>
      </w:r>
      <w:r w:rsidRPr="00C174D5">
        <w:rPr>
          <w:lang w:val="es-ES"/>
        </w:rPr>
        <w:fldChar w:fldCharType="begin"/>
      </w:r>
      <w:r w:rsidRPr="00C174D5">
        <w:rPr>
          <w:lang w:val="es-ES"/>
        </w:rPr>
        <w:instrText xml:space="preserve"> REF _Ref450035228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35</w:t>
      </w:r>
      <w:r w:rsidRPr="00C174D5">
        <w:rPr>
          <w:lang w:val="es-ES"/>
        </w:rPr>
        <w:fldChar w:fldCharType="end"/>
      </w:r>
      <w:r w:rsidRPr="00C174D5">
        <w:rPr>
          <w:lang w:val="es-ES"/>
        </w:rPr>
        <w:t xml:space="preserve"> (además de los detallados en la </w:t>
      </w:r>
      <w:r w:rsidRPr="00C174D5">
        <w:rPr>
          <w:lang w:val="es-ES"/>
        </w:rPr>
        <w:fldChar w:fldCharType="begin"/>
      </w:r>
      <w:r w:rsidRPr="00C174D5">
        <w:rPr>
          <w:lang w:val="es-ES"/>
        </w:rPr>
        <w:instrText xml:space="preserve"> REF _Ref450036258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3</w:t>
      </w:r>
      <w:r w:rsidRPr="00C174D5">
        <w:rPr>
          <w:lang w:val="es-ES"/>
        </w:rPr>
        <w:fldChar w:fldCharType="end"/>
      </w:r>
      <w:r w:rsidRPr="00C174D5">
        <w:rPr>
          <w:lang w:val="es-ES"/>
        </w:rPr>
        <w:t xml:space="preserve"> y la </w:t>
      </w:r>
      <w:r w:rsidRPr="00C174D5">
        <w:rPr>
          <w:lang w:val="es-ES"/>
        </w:rPr>
        <w:fldChar w:fldCharType="begin"/>
      </w:r>
      <w:r w:rsidRPr="00C174D5">
        <w:rPr>
          <w:lang w:val="es-ES"/>
        </w:rPr>
        <w:instrText xml:space="preserve"> REF _Ref450036242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4</w:t>
      </w:r>
      <w:r w:rsidRPr="00C174D5">
        <w:rPr>
          <w:lang w:val="es-ES"/>
        </w:rPr>
        <w:fldChar w:fldCharType="end"/>
      </w:r>
      <w:r w:rsidRPr="00C174D5">
        <w:rPr>
          <w:lang w:val="es-ES"/>
        </w:rPr>
        <w:fldChar w:fldCharType="begin" w:fldLock="1"/>
      </w:r>
      <w:r w:rsidRPr="00C174D5">
        <w:rPr>
          <w:lang w:val="es-ES"/>
        </w:rPr>
        <w:instrText xml:space="preserve"> REF _Ref429144813 \h  \* MERGEFORMAT </w:instrText>
      </w:r>
      <w:r w:rsidRPr="00C174D5">
        <w:rPr>
          <w:lang w:val="es-ES"/>
        </w:rPr>
      </w:r>
      <w:r w:rsidRPr="00C174D5">
        <w:rPr>
          <w:lang w:val="es-ES"/>
        </w:rPr>
        <w:fldChar w:fldCharType="end"/>
      </w:r>
      <w:r w:rsidRPr="00C174D5">
        <w:rPr>
          <w:lang w:val="es-ES"/>
        </w:rPr>
        <w:t>).</w:t>
      </w:r>
    </w:p>
    <w:p w14:paraId="1ED5CC7B" w14:textId="77777777" w:rsidR="00C92C58" w:rsidRPr="00C174D5" w:rsidRDefault="00C92C58" w:rsidP="00C92C58">
      <w:pPr>
        <w:keepNext/>
        <w:keepLines/>
        <w:spacing w:after="120"/>
        <w:jc w:val="center"/>
        <w:rPr>
          <w:b/>
          <w:sz w:val="20"/>
          <w:lang w:val="es-ES"/>
        </w:rPr>
      </w:pPr>
      <w:bookmarkStart w:id="188" w:name="_Ref450035228"/>
      <w:bookmarkStart w:id="189" w:name="_Toc456353191"/>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35</w:t>
      </w:r>
      <w:r w:rsidRPr="00C174D5">
        <w:rPr>
          <w:b/>
          <w:sz w:val="20"/>
          <w:lang w:val="es-ES"/>
        </w:rPr>
        <w:fldChar w:fldCharType="end"/>
      </w:r>
      <w:bookmarkEnd w:id="188"/>
      <w:r w:rsidRPr="00C174D5">
        <w:rPr>
          <w:b/>
          <w:sz w:val="20"/>
          <w:lang w:val="es-ES"/>
        </w:rPr>
        <w:t>: Supuestos de modelización particulares – Transformador móvil</w:t>
      </w:r>
      <w:bookmarkEnd w:id="189"/>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52"/>
        <w:gridCol w:w="1249"/>
      </w:tblGrid>
      <w:tr w:rsidR="00C92C58" w:rsidRPr="002449AC" w14:paraId="0A99E37D" w14:textId="77777777" w:rsidTr="00B15A9A">
        <w:trPr>
          <w:tblHeader/>
          <w:jc w:val="center"/>
        </w:trPr>
        <w:tc>
          <w:tcPr>
            <w:tcW w:w="4152" w:type="dxa"/>
            <w:tcBorders>
              <w:top w:val="single" w:sz="12" w:space="0" w:color="auto"/>
              <w:bottom w:val="single" w:sz="12" w:space="0" w:color="auto"/>
            </w:tcBorders>
            <w:shd w:val="clear" w:color="auto" w:fill="BFBFBF" w:themeFill="background1" w:themeFillShade="BF"/>
            <w:vAlign w:val="center"/>
          </w:tcPr>
          <w:p w14:paraId="0B12547E" w14:textId="77777777" w:rsidR="00C92C58" w:rsidRPr="002449AC" w:rsidRDefault="00C92C58" w:rsidP="00B15A9A">
            <w:pPr>
              <w:spacing w:after="0" w:line="240" w:lineRule="auto"/>
              <w:jc w:val="center"/>
              <w:rPr>
                <w:b/>
                <w:sz w:val="20"/>
                <w:szCs w:val="20"/>
                <w:lang w:val="es-ES"/>
              </w:rPr>
            </w:pPr>
            <w:r w:rsidRPr="002449AC">
              <w:rPr>
                <w:b/>
                <w:sz w:val="20"/>
                <w:szCs w:val="20"/>
                <w:lang w:val="es-ES"/>
              </w:rPr>
              <w:t>Parámetros</w:t>
            </w:r>
          </w:p>
        </w:tc>
        <w:tc>
          <w:tcPr>
            <w:tcW w:w="1249" w:type="dxa"/>
            <w:tcBorders>
              <w:top w:val="single" w:sz="12" w:space="0" w:color="auto"/>
              <w:bottom w:val="single" w:sz="12" w:space="0" w:color="auto"/>
            </w:tcBorders>
            <w:shd w:val="clear" w:color="auto" w:fill="BFBFBF" w:themeFill="background1" w:themeFillShade="BF"/>
            <w:vAlign w:val="center"/>
          </w:tcPr>
          <w:p w14:paraId="59401607" w14:textId="77777777" w:rsidR="00C92C58" w:rsidRPr="002449AC" w:rsidRDefault="00C92C58" w:rsidP="00B15A9A">
            <w:pPr>
              <w:spacing w:after="0" w:line="240" w:lineRule="auto"/>
              <w:jc w:val="center"/>
              <w:rPr>
                <w:b/>
                <w:sz w:val="20"/>
                <w:szCs w:val="20"/>
                <w:lang w:val="es-ES"/>
              </w:rPr>
            </w:pPr>
            <w:r w:rsidRPr="002449AC">
              <w:rPr>
                <w:b/>
                <w:sz w:val="20"/>
                <w:szCs w:val="20"/>
                <w:lang w:val="es-ES"/>
              </w:rPr>
              <w:t>Valor</w:t>
            </w:r>
          </w:p>
        </w:tc>
      </w:tr>
      <w:tr w:rsidR="00C92C58" w:rsidRPr="002449AC" w14:paraId="6A164121" w14:textId="77777777" w:rsidTr="00B15A9A">
        <w:trPr>
          <w:jc w:val="center"/>
        </w:trPr>
        <w:tc>
          <w:tcPr>
            <w:tcW w:w="5401" w:type="dxa"/>
            <w:gridSpan w:val="2"/>
            <w:tcBorders>
              <w:top w:val="single" w:sz="12" w:space="0" w:color="auto"/>
            </w:tcBorders>
            <w:shd w:val="clear" w:color="auto" w:fill="auto"/>
            <w:vAlign w:val="center"/>
          </w:tcPr>
          <w:p w14:paraId="4CB8D6D3" w14:textId="77777777" w:rsidR="00C92C58" w:rsidRPr="002449AC" w:rsidRDefault="00C92C58" w:rsidP="00B15A9A">
            <w:pPr>
              <w:spacing w:after="0" w:line="240" w:lineRule="auto"/>
              <w:jc w:val="center"/>
              <w:rPr>
                <w:sz w:val="20"/>
                <w:szCs w:val="20"/>
                <w:lang w:val="es-ES"/>
              </w:rPr>
            </w:pPr>
            <w:r w:rsidRPr="002449AC">
              <w:rPr>
                <w:b/>
                <w:sz w:val="20"/>
                <w:szCs w:val="20"/>
                <w:lang w:val="es-ES"/>
              </w:rPr>
              <w:t>Económicos</w:t>
            </w:r>
          </w:p>
        </w:tc>
      </w:tr>
      <w:tr w:rsidR="00C92C58" w:rsidRPr="002449AC" w14:paraId="695D38ED" w14:textId="77777777" w:rsidTr="00B15A9A">
        <w:trPr>
          <w:jc w:val="center"/>
        </w:trPr>
        <w:tc>
          <w:tcPr>
            <w:tcW w:w="4152" w:type="dxa"/>
            <w:shd w:val="clear" w:color="auto" w:fill="auto"/>
            <w:vAlign w:val="center"/>
          </w:tcPr>
          <w:p w14:paraId="72CD7F14" w14:textId="77777777" w:rsidR="00C92C58" w:rsidRPr="002449AC" w:rsidRDefault="00C92C58" w:rsidP="00B15A9A">
            <w:pPr>
              <w:spacing w:after="0" w:line="240" w:lineRule="auto"/>
              <w:jc w:val="left"/>
              <w:rPr>
                <w:sz w:val="20"/>
                <w:szCs w:val="20"/>
                <w:lang w:val="es-ES"/>
              </w:rPr>
            </w:pPr>
            <w:r w:rsidRPr="002449AC">
              <w:rPr>
                <w:sz w:val="20"/>
                <w:szCs w:val="20"/>
                <w:lang w:val="es-ES"/>
              </w:rPr>
              <w:t>Inversión</w:t>
            </w:r>
          </w:p>
        </w:tc>
        <w:tc>
          <w:tcPr>
            <w:tcW w:w="1249" w:type="dxa"/>
            <w:shd w:val="clear" w:color="auto" w:fill="auto"/>
            <w:vAlign w:val="center"/>
          </w:tcPr>
          <w:p w14:paraId="50911847" w14:textId="77777777" w:rsidR="00C92C58" w:rsidRPr="002449AC" w:rsidRDefault="00C92C58" w:rsidP="00B15A9A">
            <w:pPr>
              <w:spacing w:after="0" w:line="240" w:lineRule="auto"/>
              <w:jc w:val="center"/>
              <w:rPr>
                <w:sz w:val="20"/>
                <w:szCs w:val="20"/>
                <w:lang w:val="es-ES"/>
              </w:rPr>
            </w:pPr>
            <w:r w:rsidRPr="002449AC">
              <w:rPr>
                <w:sz w:val="20"/>
                <w:szCs w:val="20"/>
                <w:lang w:val="es-ES"/>
              </w:rPr>
              <w:t>1.131.513</w:t>
            </w:r>
            <w:r w:rsidRPr="002449AC">
              <w:rPr>
                <w:rStyle w:val="FootnoteReference"/>
                <w:sz w:val="20"/>
                <w:szCs w:val="20"/>
                <w:lang w:val="es-ES"/>
              </w:rPr>
              <w:footnoteReference w:id="46"/>
            </w:r>
          </w:p>
        </w:tc>
      </w:tr>
      <w:tr w:rsidR="00C92C58" w:rsidRPr="002449AC" w14:paraId="02947643" w14:textId="77777777" w:rsidTr="00B15A9A">
        <w:trPr>
          <w:trHeight w:val="222"/>
          <w:jc w:val="center"/>
        </w:trPr>
        <w:tc>
          <w:tcPr>
            <w:tcW w:w="5401" w:type="dxa"/>
            <w:gridSpan w:val="2"/>
            <w:shd w:val="clear" w:color="auto" w:fill="auto"/>
          </w:tcPr>
          <w:p w14:paraId="385DD3D5" w14:textId="77777777" w:rsidR="00C92C58" w:rsidRPr="002449AC" w:rsidRDefault="00C92C58" w:rsidP="00B15A9A">
            <w:pPr>
              <w:spacing w:after="0" w:line="240" w:lineRule="auto"/>
              <w:jc w:val="center"/>
              <w:rPr>
                <w:b/>
                <w:sz w:val="20"/>
                <w:szCs w:val="20"/>
                <w:lang w:val="es-ES"/>
              </w:rPr>
            </w:pPr>
            <w:r w:rsidRPr="002449AC">
              <w:rPr>
                <w:b/>
                <w:sz w:val="20"/>
                <w:szCs w:val="20"/>
                <w:lang w:val="es-ES"/>
              </w:rPr>
              <w:t>De mercado</w:t>
            </w:r>
          </w:p>
        </w:tc>
      </w:tr>
      <w:tr w:rsidR="00C92C58" w:rsidRPr="002449AC" w14:paraId="63B92ADE" w14:textId="77777777" w:rsidTr="00B15A9A">
        <w:trPr>
          <w:trHeight w:val="222"/>
          <w:jc w:val="center"/>
        </w:trPr>
        <w:tc>
          <w:tcPr>
            <w:tcW w:w="4152" w:type="dxa"/>
            <w:shd w:val="clear" w:color="auto" w:fill="auto"/>
          </w:tcPr>
          <w:p w14:paraId="1489A0B0" w14:textId="77777777" w:rsidR="00C92C58" w:rsidRPr="002449AC" w:rsidRDefault="00C92C58" w:rsidP="00B15A9A">
            <w:pPr>
              <w:spacing w:after="0" w:line="240" w:lineRule="auto"/>
              <w:jc w:val="left"/>
              <w:rPr>
                <w:sz w:val="20"/>
                <w:szCs w:val="20"/>
                <w:lang w:val="es-ES"/>
              </w:rPr>
            </w:pPr>
            <w:r w:rsidRPr="002449AC">
              <w:rPr>
                <w:sz w:val="20"/>
                <w:szCs w:val="20"/>
                <w:lang w:val="es-ES"/>
              </w:rPr>
              <w:t>Factor de carga</w:t>
            </w:r>
          </w:p>
        </w:tc>
        <w:tc>
          <w:tcPr>
            <w:tcW w:w="1249" w:type="dxa"/>
            <w:shd w:val="clear" w:color="auto" w:fill="auto"/>
          </w:tcPr>
          <w:p w14:paraId="7EE64A31" w14:textId="77777777" w:rsidR="00C92C58" w:rsidRPr="002449AC" w:rsidRDefault="00C92C58" w:rsidP="00B15A9A">
            <w:pPr>
              <w:spacing w:after="0" w:line="240" w:lineRule="auto"/>
              <w:jc w:val="center"/>
              <w:rPr>
                <w:sz w:val="20"/>
                <w:szCs w:val="20"/>
                <w:lang w:val="es-ES"/>
              </w:rPr>
            </w:pPr>
          </w:p>
        </w:tc>
      </w:tr>
      <w:tr w:rsidR="00C92C58" w:rsidRPr="002449AC" w14:paraId="2CFE468E" w14:textId="77777777" w:rsidTr="00B15A9A">
        <w:trPr>
          <w:trHeight w:val="222"/>
          <w:jc w:val="center"/>
        </w:trPr>
        <w:tc>
          <w:tcPr>
            <w:tcW w:w="4152" w:type="dxa"/>
            <w:shd w:val="clear" w:color="auto" w:fill="auto"/>
          </w:tcPr>
          <w:p w14:paraId="51AE643C" w14:textId="77777777" w:rsidR="00C92C58" w:rsidRPr="002449AC" w:rsidRDefault="00C92C58" w:rsidP="00B15A9A">
            <w:pPr>
              <w:spacing w:after="0" w:line="240" w:lineRule="auto"/>
              <w:jc w:val="right"/>
              <w:rPr>
                <w:sz w:val="20"/>
                <w:szCs w:val="20"/>
                <w:lang w:val="es-ES"/>
              </w:rPr>
            </w:pPr>
            <w:r w:rsidRPr="002449AC">
              <w:rPr>
                <w:sz w:val="20"/>
                <w:szCs w:val="20"/>
                <w:lang w:val="es-ES"/>
              </w:rPr>
              <w:t>Benjamín Zeledón</w:t>
            </w:r>
          </w:p>
        </w:tc>
        <w:tc>
          <w:tcPr>
            <w:tcW w:w="1249" w:type="dxa"/>
            <w:shd w:val="clear" w:color="auto" w:fill="auto"/>
          </w:tcPr>
          <w:p w14:paraId="2A48269E" w14:textId="77777777" w:rsidR="00C92C58" w:rsidRPr="002449AC" w:rsidRDefault="00C92C58" w:rsidP="00B15A9A">
            <w:pPr>
              <w:spacing w:after="0" w:line="240" w:lineRule="auto"/>
              <w:jc w:val="center"/>
              <w:rPr>
                <w:sz w:val="20"/>
                <w:szCs w:val="20"/>
                <w:lang w:val="es-ES"/>
              </w:rPr>
            </w:pPr>
            <w:r w:rsidRPr="002449AC">
              <w:rPr>
                <w:sz w:val="20"/>
                <w:szCs w:val="20"/>
                <w:lang w:val="es-ES"/>
              </w:rPr>
              <w:t>62%</w:t>
            </w:r>
          </w:p>
        </w:tc>
      </w:tr>
      <w:tr w:rsidR="00C92C58" w:rsidRPr="002449AC" w14:paraId="0096260E" w14:textId="77777777" w:rsidTr="00B15A9A">
        <w:trPr>
          <w:trHeight w:val="222"/>
          <w:jc w:val="center"/>
        </w:trPr>
        <w:tc>
          <w:tcPr>
            <w:tcW w:w="4152" w:type="dxa"/>
            <w:shd w:val="clear" w:color="auto" w:fill="auto"/>
          </w:tcPr>
          <w:p w14:paraId="31E5702E" w14:textId="77777777" w:rsidR="00C92C58" w:rsidRPr="002449AC" w:rsidRDefault="00C92C58" w:rsidP="00B15A9A">
            <w:pPr>
              <w:spacing w:after="0" w:line="240" w:lineRule="auto"/>
              <w:jc w:val="right"/>
              <w:rPr>
                <w:sz w:val="20"/>
                <w:szCs w:val="20"/>
                <w:lang w:val="es-ES"/>
              </w:rPr>
            </w:pPr>
            <w:r w:rsidRPr="002449AC">
              <w:rPr>
                <w:sz w:val="20"/>
                <w:szCs w:val="20"/>
                <w:lang w:val="es-ES"/>
              </w:rPr>
              <w:t>Altamira-1</w:t>
            </w:r>
          </w:p>
        </w:tc>
        <w:tc>
          <w:tcPr>
            <w:tcW w:w="1249" w:type="dxa"/>
            <w:shd w:val="clear" w:color="auto" w:fill="auto"/>
          </w:tcPr>
          <w:p w14:paraId="4A0D7033" w14:textId="77777777" w:rsidR="00C92C58" w:rsidRPr="002449AC" w:rsidRDefault="00C92C58" w:rsidP="00B15A9A">
            <w:pPr>
              <w:spacing w:after="0" w:line="240" w:lineRule="auto"/>
              <w:jc w:val="center"/>
              <w:rPr>
                <w:sz w:val="20"/>
                <w:szCs w:val="20"/>
                <w:lang w:val="es-ES"/>
              </w:rPr>
            </w:pPr>
            <w:r w:rsidRPr="002449AC">
              <w:rPr>
                <w:sz w:val="20"/>
                <w:szCs w:val="20"/>
                <w:lang w:val="es-ES"/>
              </w:rPr>
              <w:t>54%</w:t>
            </w:r>
          </w:p>
        </w:tc>
      </w:tr>
      <w:tr w:rsidR="00C92C58" w:rsidRPr="002449AC" w14:paraId="5EB8D86E" w14:textId="77777777" w:rsidTr="00B15A9A">
        <w:trPr>
          <w:trHeight w:val="222"/>
          <w:jc w:val="center"/>
        </w:trPr>
        <w:tc>
          <w:tcPr>
            <w:tcW w:w="4152" w:type="dxa"/>
            <w:shd w:val="clear" w:color="auto" w:fill="auto"/>
          </w:tcPr>
          <w:p w14:paraId="1B3E8C2E" w14:textId="77777777" w:rsidR="00C92C58" w:rsidRPr="002449AC" w:rsidRDefault="00C92C58" w:rsidP="00B15A9A">
            <w:pPr>
              <w:spacing w:after="0" w:line="240" w:lineRule="auto"/>
              <w:jc w:val="right"/>
              <w:rPr>
                <w:sz w:val="20"/>
                <w:szCs w:val="20"/>
                <w:lang w:val="es-ES"/>
              </w:rPr>
            </w:pPr>
            <w:r w:rsidRPr="002449AC">
              <w:rPr>
                <w:sz w:val="20"/>
                <w:szCs w:val="20"/>
                <w:lang w:val="es-ES"/>
              </w:rPr>
              <w:t>Altamira-2</w:t>
            </w:r>
          </w:p>
        </w:tc>
        <w:tc>
          <w:tcPr>
            <w:tcW w:w="1249" w:type="dxa"/>
            <w:shd w:val="clear" w:color="auto" w:fill="auto"/>
          </w:tcPr>
          <w:p w14:paraId="499470D1" w14:textId="77777777" w:rsidR="00C92C58" w:rsidRPr="002449AC" w:rsidRDefault="00C92C58" w:rsidP="00B15A9A">
            <w:pPr>
              <w:spacing w:after="0" w:line="240" w:lineRule="auto"/>
              <w:jc w:val="center"/>
              <w:rPr>
                <w:sz w:val="20"/>
                <w:szCs w:val="20"/>
                <w:lang w:val="es-ES"/>
              </w:rPr>
            </w:pPr>
            <w:r w:rsidRPr="002449AC">
              <w:rPr>
                <w:sz w:val="20"/>
                <w:szCs w:val="20"/>
                <w:lang w:val="es-ES"/>
              </w:rPr>
              <w:t>66%</w:t>
            </w:r>
          </w:p>
        </w:tc>
      </w:tr>
      <w:tr w:rsidR="00C92C58" w:rsidRPr="002449AC" w14:paraId="5265EA6D" w14:textId="77777777" w:rsidTr="00B15A9A">
        <w:trPr>
          <w:trHeight w:val="222"/>
          <w:jc w:val="center"/>
        </w:trPr>
        <w:tc>
          <w:tcPr>
            <w:tcW w:w="4152" w:type="dxa"/>
            <w:shd w:val="clear" w:color="auto" w:fill="auto"/>
          </w:tcPr>
          <w:p w14:paraId="7453D5AA" w14:textId="77777777" w:rsidR="00C92C58" w:rsidRPr="002449AC" w:rsidRDefault="00C92C58" w:rsidP="00B15A9A">
            <w:pPr>
              <w:spacing w:after="0" w:line="240" w:lineRule="auto"/>
              <w:jc w:val="right"/>
              <w:rPr>
                <w:sz w:val="20"/>
                <w:szCs w:val="20"/>
                <w:lang w:val="es-ES"/>
              </w:rPr>
            </w:pPr>
            <w:r w:rsidRPr="002449AC">
              <w:rPr>
                <w:sz w:val="20"/>
                <w:szCs w:val="20"/>
                <w:lang w:val="es-ES"/>
              </w:rPr>
              <w:t>Chinandega</w:t>
            </w:r>
          </w:p>
        </w:tc>
        <w:tc>
          <w:tcPr>
            <w:tcW w:w="1249" w:type="dxa"/>
            <w:shd w:val="clear" w:color="auto" w:fill="auto"/>
          </w:tcPr>
          <w:p w14:paraId="4F38D591" w14:textId="77777777" w:rsidR="00C92C58" w:rsidRPr="002449AC" w:rsidRDefault="00C92C58" w:rsidP="00B15A9A">
            <w:pPr>
              <w:spacing w:after="0" w:line="240" w:lineRule="auto"/>
              <w:jc w:val="center"/>
              <w:rPr>
                <w:sz w:val="20"/>
                <w:szCs w:val="20"/>
                <w:lang w:val="es-ES"/>
              </w:rPr>
            </w:pPr>
            <w:r w:rsidRPr="002449AC">
              <w:rPr>
                <w:sz w:val="20"/>
                <w:szCs w:val="20"/>
                <w:lang w:val="es-ES"/>
              </w:rPr>
              <w:t>54%</w:t>
            </w:r>
          </w:p>
        </w:tc>
      </w:tr>
      <w:tr w:rsidR="00C92C58" w:rsidRPr="002449AC" w14:paraId="3DA7C92B" w14:textId="77777777" w:rsidTr="00B15A9A">
        <w:trPr>
          <w:trHeight w:val="222"/>
          <w:jc w:val="center"/>
        </w:trPr>
        <w:tc>
          <w:tcPr>
            <w:tcW w:w="4152" w:type="dxa"/>
            <w:shd w:val="clear" w:color="auto" w:fill="auto"/>
          </w:tcPr>
          <w:p w14:paraId="2ADF2DC4" w14:textId="77777777" w:rsidR="00C92C58" w:rsidRPr="002449AC" w:rsidRDefault="00C92C58" w:rsidP="00B15A9A">
            <w:pPr>
              <w:spacing w:after="0" w:line="240" w:lineRule="auto"/>
              <w:jc w:val="right"/>
              <w:rPr>
                <w:sz w:val="20"/>
                <w:szCs w:val="20"/>
                <w:lang w:val="es-ES"/>
              </w:rPr>
            </w:pPr>
            <w:r w:rsidRPr="002449AC">
              <w:rPr>
                <w:sz w:val="20"/>
                <w:szCs w:val="20"/>
                <w:lang w:val="es-ES"/>
              </w:rPr>
              <w:t>Las Colinas</w:t>
            </w:r>
          </w:p>
        </w:tc>
        <w:tc>
          <w:tcPr>
            <w:tcW w:w="1249" w:type="dxa"/>
            <w:shd w:val="clear" w:color="auto" w:fill="auto"/>
          </w:tcPr>
          <w:p w14:paraId="4EEB8DB2" w14:textId="77777777" w:rsidR="00C92C58" w:rsidRPr="002449AC" w:rsidRDefault="00C92C58" w:rsidP="00B15A9A">
            <w:pPr>
              <w:spacing w:after="0" w:line="240" w:lineRule="auto"/>
              <w:jc w:val="center"/>
              <w:rPr>
                <w:sz w:val="20"/>
                <w:szCs w:val="20"/>
                <w:lang w:val="es-ES"/>
              </w:rPr>
            </w:pPr>
            <w:r w:rsidRPr="002449AC">
              <w:rPr>
                <w:sz w:val="20"/>
                <w:szCs w:val="20"/>
                <w:lang w:val="es-ES"/>
              </w:rPr>
              <w:t>54%</w:t>
            </w:r>
          </w:p>
        </w:tc>
      </w:tr>
      <w:tr w:rsidR="00C92C58" w:rsidRPr="002449AC" w14:paraId="24D82B47" w14:textId="77777777" w:rsidTr="00B15A9A">
        <w:trPr>
          <w:trHeight w:val="222"/>
          <w:jc w:val="center"/>
        </w:trPr>
        <w:tc>
          <w:tcPr>
            <w:tcW w:w="4152" w:type="dxa"/>
            <w:shd w:val="clear" w:color="auto" w:fill="auto"/>
          </w:tcPr>
          <w:p w14:paraId="68DD58DA" w14:textId="77777777" w:rsidR="00C92C58" w:rsidRPr="002449AC" w:rsidRDefault="00C92C58" w:rsidP="00B15A9A">
            <w:pPr>
              <w:spacing w:after="0" w:line="240" w:lineRule="auto"/>
              <w:jc w:val="right"/>
              <w:rPr>
                <w:sz w:val="20"/>
                <w:szCs w:val="20"/>
                <w:lang w:val="es-ES"/>
              </w:rPr>
            </w:pPr>
            <w:r w:rsidRPr="002449AC">
              <w:rPr>
                <w:sz w:val="20"/>
                <w:szCs w:val="20"/>
                <w:lang w:val="es-ES"/>
              </w:rPr>
              <w:t>Oriental</w:t>
            </w:r>
          </w:p>
        </w:tc>
        <w:tc>
          <w:tcPr>
            <w:tcW w:w="1249" w:type="dxa"/>
            <w:shd w:val="clear" w:color="auto" w:fill="auto"/>
          </w:tcPr>
          <w:p w14:paraId="0EA6820F" w14:textId="77777777" w:rsidR="00C92C58" w:rsidRPr="002449AC" w:rsidRDefault="00C92C58" w:rsidP="00B15A9A">
            <w:pPr>
              <w:spacing w:after="0" w:line="240" w:lineRule="auto"/>
              <w:jc w:val="center"/>
              <w:rPr>
                <w:sz w:val="20"/>
                <w:szCs w:val="20"/>
                <w:lang w:val="es-ES"/>
              </w:rPr>
            </w:pPr>
            <w:r w:rsidRPr="002449AC">
              <w:rPr>
                <w:sz w:val="20"/>
                <w:szCs w:val="20"/>
                <w:lang w:val="es-ES"/>
              </w:rPr>
              <w:t>69%</w:t>
            </w:r>
          </w:p>
        </w:tc>
      </w:tr>
      <w:tr w:rsidR="00C92C58" w:rsidRPr="002449AC" w14:paraId="4C475FC5" w14:textId="77777777" w:rsidTr="00B15A9A">
        <w:trPr>
          <w:trHeight w:val="222"/>
          <w:jc w:val="center"/>
        </w:trPr>
        <w:tc>
          <w:tcPr>
            <w:tcW w:w="4152" w:type="dxa"/>
            <w:shd w:val="clear" w:color="auto" w:fill="auto"/>
          </w:tcPr>
          <w:p w14:paraId="1401149E" w14:textId="77777777" w:rsidR="00C92C58" w:rsidRPr="002449AC" w:rsidRDefault="00C92C58" w:rsidP="00B15A9A">
            <w:pPr>
              <w:spacing w:after="0" w:line="240" w:lineRule="auto"/>
              <w:jc w:val="right"/>
              <w:rPr>
                <w:sz w:val="20"/>
                <w:szCs w:val="20"/>
                <w:lang w:val="es-ES"/>
              </w:rPr>
            </w:pPr>
            <w:r w:rsidRPr="002449AC">
              <w:rPr>
                <w:sz w:val="20"/>
                <w:szCs w:val="20"/>
                <w:lang w:val="es-ES"/>
              </w:rPr>
              <w:t>Oriental</w:t>
            </w:r>
          </w:p>
        </w:tc>
        <w:tc>
          <w:tcPr>
            <w:tcW w:w="1249" w:type="dxa"/>
            <w:shd w:val="clear" w:color="auto" w:fill="auto"/>
          </w:tcPr>
          <w:p w14:paraId="0880B25D" w14:textId="77777777" w:rsidR="00C92C58" w:rsidRPr="002449AC" w:rsidRDefault="00C92C58" w:rsidP="00B15A9A">
            <w:pPr>
              <w:spacing w:after="0" w:line="240" w:lineRule="auto"/>
              <w:jc w:val="center"/>
              <w:rPr>
                <w:sz w:val="20"/>
                <w:szCs w:val="20"/>
                <w:lang w:val="es-ES"/>
              </w:rPr>
            </w:pPr>
            <w:r w:rsidRPr="002449AC">
              <w:rPr>
                <w:sz w:val="20"/>
                <w:szCs w:val="20"/>
                <w:lang w:val="es-ES"/>
              </w:rPr>
              <w:t>63%</w:t>
            </w:r>
          </w:p>
        </w:tc>
      </w:tr>
      <w:tr w:rsidR="00C92C58" w:rsidRPr="002449AC" w14:paraId="08C877FF" w14:textId="77777777" w:rsidTr="00B15A9A">
        <w:trPr>
          <w:trHeight w:val="222"/>
          <w:jc w:val="center"/>
        </w:trPr>
        <w:tc>
          <w:tcPr>
            <w:tcW w:w="4152" w:type="dxa"/>
            <w:shd w:val="clear" w:color="auto" w:fill="auto"/>
          </w:tcPr>
          <w:p w14:paraId="6931D511" w14:textId="77777777" w:rsidR="00C92C58" w:rsidRPr="002449AC" w:rsidRDefault="00C92C58" w:rsidP="00B15A9A">
            <w:pPr>
              <w:spacing w:after="0" w:line="240" w:lineRule="auto"/>
              <w:jc w:val="right"/>
              <w:rPr>
                <w:sz w:val="20"/>
                <w:szCs w:val="20"/>
                <w:lang w:val="es-ES"/>
              </w:rPr>
            </w:pPr>
            <w:r w:rsidRPr="002449AC">
              <w:rPr>
                <w:sz w:val="20"/>
                <w:szCs w:val="20"/>
                <w:lang w:val="es-ES"/>
              </w:rPr>
              <w:t>Portezuelo</w:t>
            </w:r>
          </w:p>
        </w:tc>
        <w:tc>
          <w:tcPr>
            <w:tcW w:w="1249" w:type="dxa"/>
            <w:shd w:val="clear" w:color="auto" w:fill="auto"/>
          </w:tcPr>
          <w:p w14:paraId="37C7D879" w14:textId="77777777" w:rsidR="00C92C58" w:rsidRPr="002449AC" w:rsidRDefault="00C92C58" w:rsidP="00B15A9A">
            <w:pPr>
              <w:spacing w:after="0" w:line="240" w:lineRule="auto"/>
              <w:jc w:val="center"/>
              <w:rPr>
                <w:sz w:val="20"/>
                <w:szCs w:val="20"/>
                <w:lang w:val="es-ES"/>
              </w:rPr>
            </w:pPr>
            <w:r w:rsidRPr="002449AC">
              <w:rPr>
                <w:sz w:val="20"/>
                <w:szCs w:val="20"/>
                <w:lang w:val="es-ES"/>
              </w:rPr>
              <w:t>57%</w:t>
            </w:r>
          </w:p>
        </w:tc>
      </w:tr>
      <w:tr w:rsidR="00C92C58" w:rsidRPr="002449AC" w14:paraId="566469F0" w14:textId="77777777" w:rsidTr="00B15A9A">
        <w:trPr>
          <w:trHeight w:val="222"/>
          <w:jc w:val="center"/>
        </w:trPr>
        <w:tc>
          <w:tcPr>
            <w:tcW w:w="4152" w:type="dxa"/>
            <w:shd w:val="clear" w:color="auto" w:fill="auto"/>
          </w:tcPr>
          <w:p w14:paraId="0DB0238B" w14:textId="77777777" w:rsidR="00C92C58" w:rsidRPr="002449AC" w:rsidRDefault="00C92C58" w:rsidP="00B15A9A">
            <w:pPr>
              <w:spacing w:after="0" w:line="240" w:lineRule="auto"/>
              <w:jc w:val="right"/>
              <w:rPr>
                <w:sz w:val="20"/>
                <w:szCs w:val="20"/>
                <w:lang w:val="es-ES"/>
              </w:rPr>
            </w:pPr>
            <w:r w:rsidRPr="002449AC">
              <w:rPr>
                <w:sz w:val="20"/>
                <w:szCs w:val="20"/>
                <w:lang w:val="es-ES"/>
              </w:rPr>
              <w:t>Rivas</w:t>
            </w:r>
          </w:p>
        </w:tc>
        <w:tc>
          <w:tcPr>
            <w:tcW w:w="1249" w:type="dxa"/>
            <w:shd w:val="clear" w:color="auto" w:fill="auto"/>
          </w:tcPr>
          <w:p w14:paraId="39503DEC" w14:textId="77777777" w:rsidR="00C92C58" w:rsidRPr="002449AC" w:rsidRDefault="00C92C58" w:rsidP="00B15A9A">
            <w:pPr>
              <w:spacing w:after="0" w:line="240" w:lineRule="auto"/>
              <w:jc w:val="center"/>
              <w:rPr>
                <w:sz w:val="20"/>
                <w:szCs w:val="20"/>
                <w:lang w:val="es-ES"/>
              </w:rPr>
            </w:pPr>
            <w:r w:rsidRPr="002449AC">
              <w:rPr>
                <w:sz w:val="20"/>
                <w:szCs w:val="20"/>
                <w:lang w:val="es-ES"/>
              </w:rPr>
              <w:t>61%</w:t>
            </w:r>
          </w:p>
        </w:tc>
      </w:tr>
      <w:tr w:rsidR="00C92C58" w:rsidRPr="002449AC" w14:paraId="0B021FD2" w14:textId="77777777" w:rsidTr="00B15A9A">
        <w:trPr>
          <w:trHeight w:val="222"/>
          <w:jc w:val="center"/>
        </w:trPr>
        <w:tc>
          <w:tcPr>
            <w:tcW w:w="4152" w:type="dxa"/>
            <w:shd w:val="clear" w:color="auto" w:fill="auto"/>
          </w:tcPr>
          <w:p w14:paraId="654108E8" w14:textId="77777777" w:rsidR="00C92C58" w:rsidRPr="002449AC" w:rsidRDefault="00C92C58" w:rsidP="00B15A9A">
            <w:pPr>
              <w:spacing w:after="0" w:line="240" w:lineRule="auto"/>
              <w:jc w:val="right"/>
              <w:rPr>
                <w:sz w:val="20"/>
                <w:szCs w:val="20"/>
                <w:lang w:val="es-ES"/>
              </w:rPr>
            </w:pPr>
            <w:proofErr w:type="spellStart"/>
            <w:r w:rsidRPr="002449AC">
              <w:rPr>
                <w:sz w:val="20"/>
                <w:szCs w:val="20"/>
                <w:lang w:val="es-ES"/>
              </w:rPr>
              <w:t>Tipitapa</w:t>
            </w:r>
            <w:proofErr w:type="spellEnd"/>
          </w:p>
        </w:tc>
        <w:tc>
          <w:tcPr>
            <w:tcW w:w="1249" w:type="dxa"/>
            <w:shd w:val="clear" w:color="auto" w:fill="auto"/>
          </w:tcPr>
          <w:p w14:paraId="0AFF9BA1" w14:textId="77777777" w:rsidR="00C92C58" w:rsidRPr="002449AC" w:rsidRDefault="00C92C58" w:rsidP="00B15A9A">
            <w:pPr>
              <w:spacing w:after="0" w:line="240" w:lineRule="auto"/>
              <w:jc w:val="center"/>
              <w:rPr>
                <w:sz w:val="20"/>
                <w:szCs w:val="20"/>
                <w:lang w:val="es-ES"/>
              </w:rPr>
            </w:pPr>
            <w:r w:rsidRPr="002449AC">
              <w:rPr>
                <w:sz w:val="20"/>
                <w:szCs w:val="20"/>
                <w:lang w:val="es-ES"/>
              </w:rPr>
              <w:t>65%</w:t>
            </w:r>
          </w:p>
        </w:tc>
      </w:tr>
      <w:tr w:rsidR="00C92C58" w:rsidRPr="002449AC" w14:paraId="1398B9FC" w14:textId="77777777" w:rsidTr="00B15A9A">
        <w:trPr>
          <w:trHeight w:val="222"/>
          <w:jc w:val="center"/>
        </w:trPr>
        <w:tc>
          <w:tcPr>
            <w:tcW w:w="4152" w:type="dxa"/>
            <w:shd w:val="clear" w:color="auto" w:fill="auto"/>
          </w:tcPr>
          <w:p w14:paraId="6B8B74D5" w14:textId="77777777" w:rsidR="00C92C58" w:rsidRPr="002449AC" w:rsidRDefault="00C92C58" w:rsidP="00B15A9A">
            <w:pPr>
              <w:spacing w:after="0" w:line="240" w:lineRule="auto"/>
              <w:jc w:val="right"/>
              <w:rPr>
                <w:sz w:val="20"/>
                <w:szCs w:val="20"/>
                <w:lang w:val="es-ES"/>
              </w:rPr>
            </w:pPr>
            <w:r w:rsidRPr="002449AC">
              <w:rPr>
                <w:sz w:val="20"/>
                <w:szCs w:val="20"/>
                <w:lang w:val="es-ES"/>
              </w:rPr>
              <w:t>Managua</w:t>
            </w:r>
          </w:p>
        </w:tc>
        <w:tc>
          <w:tcPr>
            <w:tcW w:w="1249" w:type="dxa"/>
            <w:shd w:val="clear" w:color="auto" w:fill="auto"/>
          </w:tcPr>
          <w:p w14:paraId="600DFC66" w14:textId="77777777" w:rsidR="00C92C58" w:rsidRPr="002449AC" w:rsidRDefault="00C92C58" w:rsidP="00B15A9A">
            <w:pPr>
              <w:spacing w:after="0" w:line="240" w:lineRule="auto"/>
              <w:jc w:val="center"/>
              <w:rPr>
                <w:sz w:val="20"/>
                <w:szCs w:val="20"/>
                <w:lang w:val="es-ES"/>
              </w:rPr>
            </w:pPr>
            <w:r w:rsidRPr="002449AC">
              <w:rPr>
                <w:sz w:val="20"/>
                <w:szCs w:val="20"/>
                <w:lang w:val="es-ES"/>
              </w:rPr>
              <w:t>51%</w:t>
            </w:r>
          </w:p>
        </w:tc>
      </w:tr>
      <w:tr w:rsidR="00C92C58" w:rsidRPr="002449AC" w14:paraId="4BA8EC15" w14:textId="77777777" w:rsidTr="00B15A9A">
        <w:trPr>
          <w:trHeight w:val="222"/>
          <w:jc w:val="center"/>
        </w:trPr>
        <w:tc>
          <w:tcPr>
            <w:tcW w:w="4152" w:type="dxa"/>
            <w:shd w:val="clear" w:color="auto" w:fill="auto"/>
          </w:tcPr>
          <w:p w14:paraId="6523C5B9" w14:textId="77777777" w:rsidR="00C92C58" w:rsidRPr="002449AC" w:rsidRDefault="00C92C58" w:rsidP="00B15A9A">
            <w:pPr>
              <w:spacing w:after="0" w:line="240" w:lineRule="auto"/>
              <w:jc w:val="right"/>
              <w:rPr>
                <w:sz w:val="20"/>
                <w:szCs w:val="20"/>
                <w:lang w:val="es-ES"/>
              </w:rPr>
            </w:pPr>
            <w:r w:rsidRPr="002449AC">
              <w:rPr>
                <w:sz w:val="20"/>
                <w:szCs w:val="20"/>
                <w:lang w:val="es-ES"/>
              </w:rPr>
              <w:t>Granada</w:t>
            </w:r>
          </w:p>
        </w:tc>
        <w:tc>
          <w:tcPr>
            <w:tcW w:w="1249" w:type="dxa"/>
            <w:shd w:val="clear" w:color="auto" w:fill="auto"/>
          </w:tcPr>
          <w:p w14:paraId="2865277F" w14:textId="77777777" w:rsidR="00C92C58" w:rsidRPr="002449AC" w:rsidRDefault="00C92C58" w:rsidP="00B15A9A">
            <w:pPr>
              <w:spacing w:after="0" w:line="240" w:lineRule="auto"/>
              <w:jc w:val="center"/>
              <w:rPr>
                <w:sz w:val="20"/>
                <w:szCs w:val="20"/>
                <w:lang w:val="es-ES"/>
              </w:rPr>
            </w:pPr>
            <w:r w:rsidRPr="002449AC">
              <w:rPr>
                <w:sz w:val="20"/>
                <w:szCs w:val="20"/>
                <w:lang w:val="es-ES"/>
              </w:rPr>
              <w:t>73%</w:t>
            </w:r>
          </w:p>
        </w:tc>
      </w:tr>
      <w:tr w:rsidR="00C92C58" w:rsidRPr="002449AC" w14:paraId="01EAB92A" w14:textId="77777777" w:rsidTr="00B15A9A">
        <w:trPr>
          <w:trHeight w:val="222"/>
          <w:jc w:val="center"/>
        </w:trPr>
        <w:tc>
          <w:tcPr>
            <w:tcW w:w="5401" w:type="dxa"/>
            <w:gridSpan w:val="2"/>
            <w:shd w:val="clear" w:color="auto" w:fill="auto"/>
          </w:tcPr>
          <w:p w14:paraId="2A75BD45" w14:textId="77777777" w:rsidR="00C92C58" w:rsidRPr="002449AC" w:rsidRDefault="00C92C58" w:rsidP="00B15A9A">
            <w:pPr>
              <w:spacing w:after="0" w:line="240" w:lineRule="auto"/>
              <w:jc w:val="center"/>
              <w:rPr>
                <w:b/>
                <w:sz w:val="20"/>
                <w:szCs w:val="20"/>
                <w:lang w:val="es-ES"/>
              </w:rPr>
            </w:pPr>
            <w:r w:rsidRPr="002449AC">
              <w:rPr>
                <w:b/>
                <w:sz w:val="20"/>
                <w:szCs w:val="20"/>
                <w:lang w:val="es-ES"/>
              </w:rPr>
              <w:t>Técnicos</w:t>
            </w:r>
          </w:p>
        </w:tc>
      </w:tr>
      <w:tr w:rsidR="00C92C58" w:rsidRPr="002449AC" w14:paraId="32F3EB87" w14:textId="77777777" w:rsidTr="00B15A9A">
        <w:trPr>
          <w:trHeight w:val="222"/>
          <w:jc w:val="center"/>
        </w:trPr>
        <w:tc>
          <w:tcPr>
            <w:tcW w:w="4152" w:type="dxa"/>
            <w:shd w:val="clear" w:color="auto" w:fill="auto"/>
          </w:tcPr>
          <w:p w14:paraId="24CE4378" w14:textId="77777777" w:rsidR="00C92C58" w:rsidRPr="002449AC" w:rsidRDefault="00C92C58" w:rsidP="00B15A9A">
            <w:pPr>
              <w:spacing w:after="0" w:line="240" w:lineRule="auto"/>
              <w:jc w:val="left"/>
              <w:rPr>
                <w:sz w:val="20"/>
                <w:szCs w:val="20"/>
                <w:lang w:val="es-ES"/>
              </w:rPr>
            </w:pPr>
            <w:r w:rsidRPr="002449AC">
              <w:rPr>
                <w:sz w:val="20"/>
                <w:szCs w:val="20"/>
                <w:lang w:val="es-ES"/>
              </w:rPr>
              <w:t xml:space="preserve">Tiempo requerido para cambio de </w:t>
            </w:r>
            <w:r w:rsidRPr="002449AC">
              <w:rPr>
                <w:sz w:val="20"/>
                <w:szCs w:val="20"/>
                <w:lang w:val="es-ES"/>
              </w:rPr>
              <w:lastRenderedPageBreak/>
              <w:t>transformador</w:t>
            </w:r>
          </w:p>
        </w:tc>
        <w:tc>
          <w:tcPr>
            <w:tcW w:w="1249" w:type="dxa"/>
            <w:shd w:val="clear" w:color="auto" w:fill="auto"/>
            <w:vAlign w:val="center"/>
          </w:tcPr>
          <w:p w14:paraId="17FF29D1" w14:textId="77777777" w:rsidR="00C92C58" w:rsidRPr="002449AC" w:rsidRDefault="00C92C58" w:rsidP="00B15A9A">
            <w:pPr>
              <w:spacing w:after="0" w:line="240" w:lineRule="auto"/>
              <w:jc w:val="center"/>
              <w:rPr>
                <w:sz w:val="20"/>
                <w:szCs w:val="20"/>
                <w:lang w:val="es-ES"/>
              </w:rPr>
            </w:pPr>
            <w:r w:rsidRPr="002449AC">
              <w:rPr>
                <w:sz w:val="20"/>
                <w:szCs w:val="20"/>
                <w:lang w:val="es-ES"/>
              </w:rPr>
              <w:lastRenderedPageBreak/>
              <w:t xml:space="preserve">7 </w:t>
            </w:r>
            <w:proofErr w:type="spellStart"/>
            <w:r w:rsidRPr="002449AC">
              <w:rPr>
                <w:sz w:val="20"/>
                <w:szCs w:val="20"/>
                <w:lang w:val="es-ES"/>
              </w:rPr>
              <w:t>hs</w:t>
            </w:r>
            <w:proofErr w:type="spellEnd"/>
            <w:r w:rsidRPr="002449AC">
              <w:rPr>
                <w:rStyle w:val="FootnoteReference"/>
                <w:sz w:val="20"/>
                <w:szCs w:val="20"/>
                <w:lang w:val="es-ES"/>
              </w:rPr>
              <w:footnoteReference w:id="47"/>
            </w:r>
          </w:p>
        </w:tc>
      </w:tr>
    </w:tbl>
    <w:p w14:paraId="529F6126" w14:textId="77777777" w:rsidR="00C92C58" w:rsidRPr="00C174D5" w:rsidRDefault="00C92C58" w:rsidP="00C92C58">
      <w:pPr>
        <w:ind w:left="1560" w:right="1559"/>
        <w:jc w:val="center"/>
        <w:rPr>
          <w:sz w:val="18"/>
          <w:lang w:val="es-ES"/>
        </w:rPr>
      </w:pPr>
      <w:r w:rsidRPr="00C174D5">
        <w:rPr>
          <w:sz w:val="18"/>
          <w:lang w:val="es-ES"/>
        </w:rPr>
        <w:lastRenderedPageBreak/>
        <w:t>Fuente: Elaboración propia en base a información de ENATREL provista por el BID</w:t>
      </w:r>
    </w:p>
    <w:p w14:paraId="475ED71B" w14:textId="77777777" w:rsidR="00C92C58" w:rsidRPr="00C174D5" w:rsidRDefault="00C92C58" w:rsidP="00C92C58">
      <w:pPr>
        <w:rPr>
          <w:lang w:val="es-ES"/>
        </w:rPr>
      </w:pPr>
      <w:r w:rsidRPr="00C174D5">
        <w:rPr>
          <w:lang w:val="es-ES"/>
        </w:rPr>
        <w:t xml:space="preserve">En la sección </w:t>
      </w:r>
      <w:r w:rsidRPr="00C174D5">
        <w:rPr>
          <w:lang w:val="es-ES"/>
        </w:rPr>
        <w:fldChar w:fldCharType="begin"/>
      </w:r>
      <w:r w:rsidRPr="00C174D5">
        <w:rPr>
          <w:lang w:val="es-ES"/>
        </w:rPr>
        <w:instrText xml:space="preserve"> REF _Ref450035254 \r \h </w:instrText>
      </w:r>
      <w:r w:rsidRPr="00C174D5">
        <w:rPr>
          <w:lang w:val="es-ES"/>
        </w:rPr>
      </w:r>
      <w:r w:rsidRPr="00C174D5">
        <w:rPr>
          <w:lang w:val="es-ES"/>
        </w:rPr>
        <w:fldChar w:fldCharType="separate"/>
      </w:r>
      <w:r>
        <w:rPr>
          <w:lang w:val="es-ES"/>
        </w:rPr>
        <w:t>3.5.2</w:t>
      </w:r>
      <w:r w:rsidRPr="00C174D5">
        <w:rPr>
          <w:lang w:val="es-ES"/>
        </w:rPr>
        <w:fldChar w:fldCharType="end"/>
      </w:r>
      <w:r w:rsidRPr="00C174D5">
        <w:rPr>
          <w:lang w:val="es-ES"/>
        </w:rPr>
        <w:t xml:space="preserve"> se presentan los resultados del análisis económico y financiero del proyecto.</w:t>
      </w:r>
    </w:p>
    <w:p w14:paraId="1C6EFAA8" w14:textId="77777777" w:rsidR="00C92C58" w:rsidRPr="00C174D5" w:rsidRDefault="00C92C58" w:rsidP="00C92C58">
      <w:pPr>
        <w:pStyle w:val="Heading1"/>
        <w:pageBreakBefore w:val="0"/>
        <w:numPr>
          <w:ilvl w:val="2"/>
          <w:numId w:val="9"/>
        </w:numPr>
        <w:rPr>
          <w:lang w:val="es-ES"/>
        </w:rPr>
      </w:pPr>
      <w:bookmarkStart w:id="190" w:name="_Ref450035254"/>
      <w:bookmarkStart w:id="191" w:name="_Toc456353143"/>
      <w:r w:rsidRPr="00C174D5">
        <w:rPr>
          <w:lang w:val="es-ES"/>
        </w:rPr>
        <w:t>Adquisición Transformador Móvil – Evaluación</w:t>
      </w:r>
      <w:bookmarkEnd w:id="190"/>
      <w:bookmarkEnd w:id="191"/>
    </w:p>
    <w:p w14:paraId="6892BC52" w14:textId="77777777" w:rsidR="00C92C58" w:rsidRDefault="00C92C58" w:rsidP="00C92C58">
      <w:pPr>
        <w:rPr>
          <w:lang w:val="es-ES"/>
        </w:rPr>
      </w:pPr>
      <w:r>
        <w:rPr>
          <w:lang w:val="es-ES"/>
        </w:rPr>
        <w:t xml:space="preserve">El resultado de la evaluación económica del proyecto se muestra en la </w:t>
      </w:r>
      <w:r w:rsidRPr="00C174D5">
        <w:rPr>
          <w:lang w:val="es-ES"/>
        </w:rPr>
        <w:fldChar w:fldCharType="begin"/>
      </w:r>
      <w:r w:rsidRPr="00C174D5">
        <w:rPr>
          <w:lang w:val="es-ES"/>
        </w:rPr>
        <w:instrText xml:space="preserve"> REF _Ref450035347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36</w:t>
      </w:r>
      <w:r w:rsidRPr="00C174D5">
        <w:rPr>
          <w:lang w:val="es-ES"/>
        </w:rPr>
        <w:fldChar w:fldCharType="end"/>
      </w:r>
      <w:r>
        <w:rPr>
          <w:lang w:val="es-ES"/>
        </w:rPr>
        <w:t>.</w:t>
      </w:r>
    </w:p>
    <w:p w14:paraId="604F85F4" w14:textId="77777777" w:rsidR="00C92C58" w:rsidRDefault="00C92C58" w:rsidP="00C92C58">
      <w:pPr>
        <w:rPr>
          <w:lang w:val="es-ES"/>
        </w:rPr>
      </w:pPr>
      <w:r>
        <w:rPr>
          <w:lang w:val="es-ES"/>
        </w:rPr>
        <w:t xml:space="preserve">Los beneficios económicos están dados por el diferencial de energía que es posible abastecer en las situaciones con y sin proyecto, valuado al costo de falla (neto de los costos de generación, transmisión y distribución, ajustados por sus respectivos factores de cuenta). Sin proyecto, en caso de que algún transformador falle, existirá energía no suministrada. Para calcular la demanda en la situación “sin” proyecto, se corrigió la carga en la situación “con” proyecto asociada a cada transformador, por la tasa de indisponibilidad de cada uno de ellos. Esta tasa, a su vez, se calculó en base a información histórica (de 2015) de las indisponibilidades de los transformadores susceptibles de ser sustituidos. </w:t>
      </w:r>
      <w:r w:rsidRPr="00404CC7">
        <w:rPr>
          <w:lang w:val="es-ES"/>
        </w:rPr>
        <w:t xml:space="preserve">Cabe mencionar que, según la información remitida por </w:t>
      </w:r>
      <w:r>
        <w:rPr>
          <w:lang w:val="es-ES"/>
        </w:rPr>
        <w:t>ENATREL</w:t>
      </w:r>
      <w:r w:rsidRPr="00404CC7">
        <w:rPr>
          <w:lang w:val="es-ES"/>
        </w:rPr>
        <w:t>, el tiempo requerido para el reemplazo del transformador es de 10 h</w:t>
      </w:r>
      <w:r>
        <w:rPr>
          <w:lang w:val="es-ES"/>
        </w:rPr>
        <w:t>ora</w:t>
      </w:r>
      <w:r w:rsidRPr="00404CC7">
        <w:rPr>
          <w:lang w:val="es-ES"/>
        </w:rPr>
        <w:t xml:space="preserve">s, por lo que se deberían contemplar solamente las </w:t>
      </w:r>
      <w:r>
        <w:rPr>
          <w:lang w:val="es-ES"/>
        </w:rPr>
        <w:t>salidas</w:t>
      </w:r>
      <w:r w:rsidRPr="00404CC7">
        <w:rPr>
          <w:lang w:val="es-ES"/>
        </w:rPr>
        <w:t xml:space="preserve"> con duraciones superiores a </w:t>
      </w:r>
      <w:r>
        <w:rPr>
          <w:lang w:val="es-ES"/>
        </w:rPr>
        <w:t>este tiempo para calcular la tasa de indisponibilidad. Sin embargo, como no se dispone información suficiente para identificar si existieron o no salidas de esa duración, se tomó la duración promedio de las salidas de los transformadores; las que nunca superaron las 10 horas</w:t>
      </w:r>
      <w:r w:rsidRPr="00404CC7">
        <w:rPr>
          <w:lang w:val="es-ES"/>
        </w:rPr>
        <w:t>.</w:t>
      </w:r>
      <w:r>
        <w:rPr>
          <w:lang w:val="es-ES"/>
        </w:rPr>
        <w:t xml:space="preserve"> Por este motivo es que se trabajó con el supuesto de que, en caso de indisponibilidad de un transformador, se necesitan 7 horas para reemplazarlo.</w:t>
      </w:r>
      <w:r>
        <w:rPr>
          <w:rStyle w:val="FootnoteReference"/>
          <w:lang w:val="es-ES"/>
        </w:rPr>
        <w:footnoteReference w:id="48"/>
      </w:r>
    </w:p>
    <w:p w14:paraId="65D2DE9E" w14:textId="77777777" w:rsidR="00C92C58" w:rsidRDefault="00C92C58" w:rsidP="00C92C58">
      <w:pPr>
        <w:rPr>
          <w:lang w:val="es-ES"/>
        </w:rPr>
      </w:pPr>
      <w:r>
        <w:rPr>
          <w:lang w:val="es-ES"/>
        </w:rPr>
        <w:t xml:space="preserve">Los costos económicos son los de inversión, los de operación y mantenimiento del transformador, ajustados por los respectivos FC. También forman parte de los costos </w:t>
      </w:r>
      <w:r w:rsidRPr="00C174D5">
        <w:rPr>
          <w:lang w:val="es-ES"/>
        </w:rPr>
        <w:t xml:space="preserve">las pérdidas adicionales asociadas a la situación </w:t>
      </w:r>
      <w:r>
        <w:rPr>
          <w:lang w:val="es-ES"/>
        </w:rPr>
        <w:t>“</w:t>
      </w:r>
      <w:r w:rsidRPr="00C174D5">
        <w:rPr>
          <w:lang w:val="es-ES"/>
        </w:rPr>
        <w:t>con</w:t>
      </w:r>
      <w:r>
        <w:rPr>
          <w:lang w:val="es-ES"/>
        </w:rPr>
        <w:t>”</w:t>
      </w:r>
      <w:r w:rsidRPr="00C174D5">
        <w:rPr>
          <w:lang w:val="es-ES"/>
        </w:rPr>
        <w:t xml:space="preserve"> proyecto (por la mayor provisión de electricidad), valuadas según nivel de tensión</w:t>
      </w:r>
      <w:r w:rsidRPr="00C174D5">
        <w:rPr>
          <w:rStyle w:val="FootnoteReference"/>
          <w:lang w:val="es-ES"/>
        </w:rPr>
        <w:footnoteReference w:id="49"/>
      </w:r>
      <w:r>
        <w:rPr>
          <w:lang w:val="es-ES"/>
        </w:rPr>
        <w:t xml:space="preserve"> y ajustadas por los FC correspondientes.</w:t>
      </w:r>
    </w:p>
    <w:p w14:paraId="65B352B3" w14:textId="77777777" w:rsidR="00C92C58" w:rsidRPr="00C174D5" w:rsidRDefault="00C92C58" w:rsidP="00C92C58">
      <w:pPr>
        <w:keepNext/>
        <w:keepLines/>
        <w:spacing w:after="120"/>
        <w:jc w:val="center"/>
        <w:rPr>
          <w:b/>
          <w:sz w:val="20"/>
          <w:lang w:val="es-ES"/>
        </w:rPr>
      </w:pPr>
      <w:bookmarkStart w:id="192" w:name="_Ref450035347"/>
      <w:bookmarkStart w:id="193" w:name="_Toc456353192"/>
      <w:r w:rsidRPr="00C174D5">
        <w:rPr>
          <w:b/>
          <w:sz w:val="20"/>
          <w:lang w:val="es-ES"/>
        </w:rPr>
        <w:lastRenderedPageBreak/>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36</w:t>
      </w:r>
      <w:r w:rsidRPr="00C174D5">
        <w:rPr>
          <w:b/>
          <w:sz w:val="20"/>
          <w:lang w:val="es-ES"/>
        </w:rPr>
        <w:fldChar w:fldCharType="end"/>
      </w:r>
      <w:bookmarkEnd w:id="192"/>
      <w:r w:rsidRPr="00C174D5">
        <w:rPr>
          <w:b/>
          <w:sz w:val="20"/>
          <w:lang w:val="es-ES"/>
        </w:rPr>
        <w:t>: Resultados evaluación económica – Transformador móvil</w:t>
      </w:r>
      <w:bookmarkEnd w:id="193"/>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376"/>
        <w:gridCol w:w="1568"/>
        <w:gridCol w:w="1190"/>
        <w:gridCol w:w="1511"/>
        <w:gridCol w:w="1302"/>
        <w:gridCol w:w="762"/>
        <w:gridCol w:w="12"/>
      </w:tblGrid>
      <w:tr w:rsidR="00C92C58" w:rsidRPr="00C174D5" w14:paraId="7AB673F5" w14:textId="77777777" w:rsidTr="00B15A9A">
        <w:trPr>
          <w:trHeight w:val="35"/>
          <w:jc w:val="center"/>
        </w:trPr>
        <w:tc>
          <w:tcPr>
            <w:tcW w:w="237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2B788E2C" w14:textId="77777777" w:rsidR="00C92C58" w:rsidRPr="00C174D5" w:rsidRDefault="00C92C58" w:rsidP="00B15A9A">
            <w:pPr>
              <w:keepNext/>
              <w:keepLines/>
              <w:spacing w:after="0"/>
              <w:jc w:val="center"/>
              <w:rPr>
                <w:b/>
                <w:sz w:val="20"/>
                <w:lang w:val="es-ES"/>
              </w:rPr>
            </w:pPr>
          </w:p>
        </w:tc>
        <w:tc>
          <w:tcPr>
            <w:tcW w:w="1568"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4AF2EC19" w14:textId="77777777" w:rsidR="00C92C58" w:rsidRPr="00C174D5" w:rsidRDefault="00C92C58" w:rsidP="00B15A9A">
            <w:pPr>
              <w:keepNext/>
              <w:keepLines/>
              <w:spacing w:after="0"/>
              <w:jc w:val="center"/>
              <w:rPr>
                <w:b/>
                <w:sz w:val="20"/>
                <w:lang w:val="es-ES"/>
              </w:rPr>
            </w:pPr>
            <w:r w:rsidRPr="00C174D5">
              <w:rPr>
                <w:b/>
                <w:bCs/>
                <w:sz w:val="20"/>
                <w:lang w:val="es-ES"/>
              </w:rPr>
              <w:t xml:space="preserve">VP Inversión </w:t>
            </w:r>
            <w:proofErr w:type="spellStart"/>
            <w:r w:rsidRPr="00C174D5">
              <w:rPr>
                <w:b/>
                <w:bCs/>
                <w:sz w:val="20"/>
                <w:lang w:val="es-ES"/>
              </w:rPr>
              <w:t>ec</w:t>
            </w:r>
            <w:proofErr w:type="spellEnd"/>
            <w:r w:rsidRPr="00C174D5">
              <w:rPr>
                <w:b/>
                <w:bCs/>
                <w:sz w:val="20"/>
                <w:lang w:val="es-ES"/>
              </w:rPr>
              <w:t>. (US$)</w:t>
            </w:r>
          </w:p>
        </w:tc>
        <w:tc>
          <w:tcPr>
            <w:tcW w:w="1190"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64586B2C" w14:textId="77777777" w:rsidR="00C92C58" w:rsidRPr="00C174D5" w:rsidRDefault="00C92C58" w:rsidP="00B15A9A">
            <w:pPr>
              <w:keepNext/>
              <w:keepLines/>
              <w:spacing w:after="0"/>
              <w:jc w:val="center"/>
              <w:rPr>
                <w:b/>
                <w:sz w:val="20"/>
                <w:lang w:val="es-ES"/>
              </w:rPr>
            </w:pPr>
            <w:r w:rsidRPr="00C174D5">
              <w:rPr>
                <w:b/>
                <w:bCs/>
                <w:sz w:val="20"/>
                <w:lang w:val="es-ES"/>
              </w:rPr>
              <w:t xml:space="preserve">VP Costos </w:t>
            </w:r>
            <w:proofErr w:type="spellStart"/>
            <w:r w:rsidRPr="00C174D5">
              <w:rPr>
                <w:b/>
                <w:bCs/>
                <w:sz w:val="20"/>
                <w:lang w:val="es-ES"/>
              </w:rPr>
              <w:t>ec</w:t>
            </w:r>
            <w:proofErr w:type="spellEnd"/>
            <w:r w:rsidRPr="00C174D5">
              <w:rPr>
                <w:b/>
                <w:bCs/>
                <w:sz w:val="20"/>
                <w:lang w:val="es-ES"/>
              </w:rPr>
              <w:t>. (US$)</w:t>
            </w:r>
          </w:p>
        </w:tc>
        <w:tc>
          <w:tcPr>
            <w:tcW w:w="151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2F146CFF" w14:textId="77777777" w:rsidR="00C92C58" w:rsidRPr="00C174D5" w:rsidRDefault="00C92C58" w:rsidP="00B15A9A">
            <w:pPr>
              <w:keepNext/>
              <w:keepLines/>
              <w:spacing w:after="0"/>
              <w:jc w:val="center"/>
              <w:rPr>
                <w:b/>
                <w:sz w:val="20"/>
                <w:lang w:val="es-ES"/>
              </w:rPr>
            </w:pPr>
            <w:r w:rsidRPr="00C174D5">
              <w:rPr>
                <w:b/>
                <w:bCs/>
                <w:sz w:val="20"/>
                <w:lang w:val="es-ES"/>
              </w:rPr>
              <w:t xml:space="preserve">VP Beneficios </w:t>
            </w:r>
            <w:proofErr w:type="spellStart"/>
            <w:r w:rsidRPr="00C174D5">
              <w:rPr>
                <w:b/>
                <w:bCs/>
                <w:sz w:val="20"/>
                <w:lang w:val="es-ES"/>
              </w:rPr>
              <w:t>ec</w:t>
            </w:r>
            <w:proofErr w:type="spellEnd"/>
            <w:r w:rsidRPr="00C174D5">
              <w:rPr>
                <w:b/>
                <w:bCs/>
                <w:sz w:val="20"/>
                <w:lang w:val="es-ES"/>
              </w:rPr>
              <w:t>. (US$)</w:t>
            </w:r>
          </w:p>
        </w:tc>
        <w:tc>
          <w:tcPr>
            <w:tcW w:w="1302"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3DA64FB3" w14:textId="77777777" w:rsidR="00C92C58" w:rsidRPr="00C174D5" w:rsidRDefault="00C92C58" w:rsidP="00B15A9A">
            <w:pPr>
              <w:keepNext/>
              <w:keepLines/>
              <w:spacing w:after="0"/>
              <w:jc w:val="center"/>
              <w:rPr>
                <w:b/>
                <w:sz w:val="20"/>
                <w:lang w:val="es-ES"/>
              </w:rPr>
            </w:pPr>
            <w:r w:rsidRPr="00C174D5">
              <w:rPr>
                <w:b/>
                <w:bCs/>
                <w:sz w:val="20"/>
                <w:lang w:val="es-ES"/>
              </w:rPr>
              <w:t>VPNE (US$)</w:t>
            </w:r>
          </w:p>
        </w:tc>
        <w:tc>
          <w:tcPr>
            <w:tcW w:w="774" w:type="dxa"/>
            <w:gridSpan w:val="2"/>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304C506F" w14:textId="77777777" w:rsidR="00C92C58" w:rsidRPr="00C174D5" w:rsidRDefault="00C92C58" w:rsidP="00B15A9A">
            <w:pPr>
              <w:keepNext/>
              <w:keepLines/>
              <w:spacing w:after="0"/>
              <w:jc w:val="center"/>
              <w:rPr>
                <w:b/>
                <w:sz w:val="20"/>
                <w:lang w:val="es-ES"/>
              </w:rPr>
            </w:pPr>
            <w:r w:rsidRPr="00C174D5">
              <w:rPr>
                <w:b/>
                <w:bCs/>
                <w:sz w:val="20"/>
                <w:lang w:val="es-ES"/>
              </w:rPr>
              <w:t>TIRE</w:t>
            </w:r>
          </w:p>
        </w:tc>
      </w:tr>
      <w:tr w:rsidR="00C92C58" w:rsidRPr="00C174D5" w14:paraId="0884648E" w14:textId="77777777" w:rsidTr="00B15A9A">
        <w:trPr>
          <w:gridAfter w:val="1"/>
          <w:wAfter w:w="12" w:type="dxa"/>
          <w:trHeight w:val="1105"/>
          <w:jc w:val="center"/>
        </w:trPr>
        <w:tc>
          <w:tcPr>
            <w:tcW w:w="2376" w:type="dxa"/>
            <w:tcBorders>
              <w:top w:val="single" w:sz="12" w:space="0" w:color="000000"/>
            </w:tcBorders>
            <w:shd w:val="clear" w:color="auto" w:fill="auto"/>
            <w:tcMar>
              <w:top w:w="15" w:type="dxa"/>
              <w:left w:w="108" w:type="dxa"/>
              <w:bottom w:w="0" w:type="dxa"/>
              <w:right w:w="108" w:type="dxa"/>
            </w:tcMar>
            <w:vAlign w:val="center"/>
            <w:hideMark/>
          </w:tcPr>
          <w:p w14:paraId="448B82B4" w14:textId="77777777" w:rsidR="00C92C58" w:rsidRPr="00C174D5" w:rsidRDefault="00C92C58" w:rsidP="00B15A9A">
            <w:pPr>
              <w:keepNext/>
              <w:keepLines/>
              <w:spacing w:after="0"/>
              <w:jc w:val="center"/>
              <w:rPr>
                <w:sz w:val="20"/>
                <w:lang w:val="es-ES"/>
              </w:rPr>
            </w:pPr>
            <w:r w:rsidRPr="00C174D5">
              <w:rPr>
                <w:bCs/>
                <w:sz w:val="20"/>
                <w:lang w:val="es-ES"/>
              </w:rPr>
              <w:t>Situación Con Proyecto</w:t>
            </w:r>
          </w:p>
          <w:p w14:paraId="3722013E" w14:textId="77777777" w:rsidR="00C92C58" w:rsidRPr="00C174D5" w:rsidRDefault="00C92C58" w:rsidP="00B15A9A">
            <w:pPr>
              <w:keepNext/>
              <w:keepLines/>
              <w:spacing w:after="0"/>
              <w:jc w:val="center"/>
              <w:rPr>
                <w:sz w:val="20"/>
                <w:lang w:val="es-ES"/>
              </w:rPr>
            </w:pPr>
            <w:r w:rsidRPr="00C174D5">
              <w:rPr>
                <w:bCs/>
                <w:sz w:val="20"/>
                <w:lang w:val="es-ES"/>
              </w:rPr>
              <w:t>-</w:t>
            </w:r>
          </w:p>
          <w:p w14:paraId="2E9676CD" w14:textId="77777777" w:rsidR="00C92C58" w:rsidRPr="00C174D5" w:rsidRDefault="00C92C58" w:rsidP="00B15A9A">
            <w:pPr>
              <w:keepNext/>
              <w:keepLines/>
              <w:spacing w:after="0"/>
              <w:jc w:val="center"/>
              <w:rPr>
                <w:sz w:val="20"/>
                <w:lang w:val="es-ES"/>
              </w:rPr>
            </w:pPr>
            <w:r w:rsidRPr="00C174D5">
              <w:rPr>
                <w:bCs/>
                <w:sz w:val="20"/>
                <w:lang w:val="es-ES"/>
              </w:rPr>
              <w:t>Situación sin proyecto</w:t>
            </w:r>
          </w:p>
        </w:tc>
        <w:tc>
          <w:tcPr>
            <w:tcW w:w="1568" w:type="dxa"/>
            <w:tcBorders>
              <w:top w:val="single" w:sz="12" w:space="0" w:color="000000"/>
            </w:tcBorders>
            <w:shd w:val="clear" w:color="auto" w:fill="auto"/>
            <w:tcMar>
              <w:top w:w="15" w:type="dxa"/>
              <w:left w:w="108" w:type="dxa"/>
              <w:bottom w:w="0" w:type="dxa"/>
              <w:right w:w="108" w:type="dxa"/>
            </w:tcMar>
            <w:vAlign w:val="center"/>
          </w:tcPr>
          <w:p w14:paraId="5D5850B1" w14:textId="77777777" w:rsidR="00C92C58" w:rsidRPr="00C174D5" w:rsidRDefault="00C92C58" w:rsidP="00B15A9A">
            <w:pPr>
              <w:keepNext/>
              <w:keepLines/>
              <w:spacing w:after="0"/>
              <w:jc w:val="center"/>
              <w:rPr>
                <w:sz w:val="20"/>
                <w:lang w:val="es-ES"/>
              </w:rPr>
            </w:pPr>
            <w:r w:rsidRPr="00C174D5">
              <w:rPr>
                <w:sz w:val="20"/>
                <w:lang w:val="es-ES"/>
              </w:rPr>
              <w:t>1</w:t>
            </w:r>
            <w:r>
              <w:rPr>
                <w:sz w:val="20"/>
                <w:lang w:val="es-ES"/>
              </w:rPr>
              <w:t>.</w:t>
            </w:r>
            <w:r w:rsidRPr="00C174D5">
              <w:rPr>
                <w:sz w:val="20"/>
                <w:lang w:val="es-ES"/>
              </w:rPr>
              <w:t>107</w:t>
            </w:r>
            <w:r>
              <w:rPr>
                <w:sz w:val="20"/>
                <w:lang w:val="es-ES"/>
              </w:rPr>
              <w:t>.</w:t>
            </w:r>
            <w:r w:rsidRPr="00C174D5">
              <w:rPr>
                <w:sz w:val="20"/>
                <w:lang w:val="es-ES"/>
              </w:rPr>
              <w:t>657</w:t>
            </w:r>
          </w:p>
        </w:tc>
        <w:tc>
          <w:tcPr>
            <w:tcW w:w="1190" w:type="dxa"/>
            <w:tcBorders>
              <w:top w:val="single" w:sz="12" w:space="0" w:color="000000"/>
            </w:tcBorders>
            <w:shd w:val="clear" w:color="auto" w:fill="auto"/>
            <w:tcMar>
              <w:top w:w="15" w:type="dxa"/>
              <w:left w:w="108" w:type="dxa"/>
              <w:bottom w:w="0" w:type="dxa"/>
              <w:right w:w="108" w:type="dxa"/>
            </w:tcMar>
            <w:vAlign w:val="center"/>
          </w:tcPr>
          <w:p w14:paraId="201C7550" w14:textId="77777777" w:rsidR="00C92C58" w:rsidRPr="00C174D5" w:rsidRDefault="00C92C58" w:rsidP="00B15A9A">
            <w:pPr>
              <w:keepNext/>
              <w:keepLines/>
              <w:spacing w:after="0"/>
              <w:jc w:val="center"/>
              <w:rPr>
                <w:sz w:val="20"/>
                <w:lang w:val="es-ES"/>
              </w:rPr>
            </w:pPr>
            <w:r w:rsidRPr="00C174D5">
              <w:rPr>
                <w:sz w:val="20"/>
                <w:lang w:val="es-ES"/>
              </w:rPr>
              <w:t>2</w:t>
            </w:r>
            <w:r>
              <w:rPr>
                <w:sz w:val="20"/>
                <w:lang w:val="es-ES"/>
              </w:rPr>
              <w:t>68.889</w:t>
            </w:r>
          </w:p>
        </w:tc>
        <w:tc>
          <w:tcPr>
            <w:tcW w:w="1511" w:type="dxa"/>
            <w:tcBorders>
              <w:top w:val="single" w:sz="12" w:space="0" w:color="000000"/>
            </w:tcBorders>
            <w:shd w:val="clear" w:color="auto" w:fill="auto"/>
            <w:tcMar>
              <w:top w:w="15" w:type="dxa"/>
              <w:left w:w="108" w:type="dxa"/>
              <w:bottom w:w="0" w:type="dxa"/>
              <w:right w:w="108" w:type="dxa"/>
            </w:tcMar>
            <w:vAlign w:val="center"/>
          </w:tcPr>
          <w:p w14:paraId="7ECD3DD3" w14:textId="77777777" w:rsidR="00C92C58" w:rsidRPr="00C174D5" w:rsidRDefault="00C92C58" w:rsidP="00B15A9A">
            <w:pPr>
              <w:keepNext/>
              <w:keepLines/>
              <w:spacing w:after="0"/>
              <w:jc w:val="center"/>
              <w:rPr>
                <w:sz w:val="20"/>
                <w:lang w:val="es-ES"/>
              </w:rPr>
            </w:pPr>
            <w:r w:rsidRPr="00404CC7">
              <w:rPr>
                <w:sz w:val="20"/>
                <w:lang w:val="es-ES"/>
              </w:rPr>
              <w:t>4</w:t>
            </w:r>
            <w:r>
              <w:rPr>
                <w:sz w:val="20"/>
                <w:lang w:val="es-ES"/>
              </w:rPr>
              <w:t>.372.323</w:t>
            </w:r>
          </w:p>
        </w:tc>
        <w:tc>
          <w:tcPr>
            <w:tcW w:w="1302" w:type="dxa"/>
            <w:tcBorders>
              <w:top w:val="single" w:sz="12" w:space="0" w:color="000000"/>
            </w:tcBorders>
            <w:shd w:val="clear" w:color="auto" w:fill="auto"/>
            <w:tcMar>
              <w:top w:w="15" w:type="dxa"/>
              <w:left w:w="108" w:type="dxa"/>
              <w:bottom w:w="0" w:type="dxa"/>
              <w:right w:w="108" w:type="dxa"/>
            </w:tcMar>
            <w:vAlign w:val="center"/>
          </w:tcPr>
          <w:p w14:paraId="22C9B799" w14:textId="77777777" w:rsidR="00C92C58" w:rsidRPr="00C174D5" w:rsidRDefault="00C92C58" w:rsidP="00B15A9A">
            <w:pPr>
              <w:keepNext/>
              <w:keepLines/>
              <w:spacing w:after="0"/>
              <w:jc w:val="center"/>
              <w:rPr>
                <w:sz w:val="20"/>
                <w:lang w:val="es-ES"/>
              </w:rPr>
            </w:pPr>
            <w:r>
              <w:rPr>
                <w:sz w:val="20"/>
                <w:lang w:val="es-ES"/>
              </w:rPr>
              <w:t>2.</w:t>
            </w:r>
            <w:r w:rsidRPr="00AE5DDD">
              <w:rPr>
                <w:sz w:val="20"/>
                <w:lang w:val="es-ES"/>
              </w:rPr>
              <w:t>995</w:t>
            </w:r>
            <w:r>
              <w:rPr>
                <w:sz w:val="20"/>
                <w:lang w:val="es-ES"/>
              </w:rPr>
              <w:t>.</w:t>
            </w:r>
            <w:r w:rsidRPr="00AE5DDD">
              <w:rPr>
                <w:sz w:val="20"/>
                <w:lang w:val="es-ES"/>
              </w:rPr>
              <w:t>778</w:t>
            </w:r>
          </w:p>
        </w:tc>
        <w:tc>
          <w:tcPr>
            <w:tcW w:w="762" w:type="dxa"/>
            <w:tcBorders>
              <w:top w:val="single" w:sz="12" w:space="0" w:color="000000"/>
            </w:tcBorders>
            <w:shd w:val="clear" w:color="auto" w:fill="auto"/>
            <w:tcMar>
              <w:top w:w="15" w:type="dxa"/>
              <w:left w:w="108" w:type="dxa"/>
              <w:bottom w:w="0" w:type="dxa"/>
              <w:right w:w="108" w:type="dxa"/>
            </w:tcMar>
            <w:vAlign w:val="center"/>
          </w:tcPr>
          <w:p w14:paraId="2F952A4C" w14:textId="77777777" w:rsidR="00C92C58" w:rsidRPr="00C174D5" w:rsidRDefault="00C92C58" w:rsidP="00B15A9A">
            <w:pPr>
              <w:keepNext/>
              <w:keepLines/>
              <w:spacing w:after="0"/>
              <w:jc w:val="center"/>
              <w:rPr>
                <w:sz w:val="20"/>
                <w:lang w:val="es-ES"/>
              </w:rPr>
            </w:pPr>
            <w:r>
              <w:rPr>
                <w:sz w:val="20"/>
                <w:lang w:val="es-ES"/>
              </w:rPr>
              <w:t>51%</w:t>
            </w:r>
          </w:p>
        </w:tc>
      </w:tr>
    </w:tbl>
    <w:p w14:paraId="5A123EE0" w14:textId="77777777" w:rsidR="00C92C58" w:rsidRPr="00C174D5" w:rsidRDefault="00C92C58" w:rsidP="00C92C58">
      <w:pPr>
        <w:jc w:val="center"/>
        <w:rPr>
          <w:sz w:val="18"/>
          <w:lang w:val="es-ES"/>
        </w:rPr>
      </w:pPr>
      <w:r w:rsidRPr="00C174D5">
        <w:rPr>
          <w:sz w:val="18"/>
          <w:lang w:val="es-ES"/>
        </w:rPr>
        <w:t>Fuente: Elaboración propia en base a información de ENATREL provista por el BID</w:t>
      </w:r>
    </w:p>
    <w:p w14:paraId="0903066C" w14:textId="77777777" w:rsidR="00C92C58" w:rsidRPr="00C174D5" w:rsidRDefault="00C92C58" w:rsidP="00C92C58">
      <w:pPr>
        <w:rPr>
          <w:lang w:val="es-ES"/>
        </w:rPr>
      </w:pPr>
      <w:r w:rsidRPr="00C174D5">
        <w:rPr>
          <w:lang w:val="es-ES"/>
        </w:rPr>
        <w:t xml:space="preserve">El proyecto es deseable desde una óptica económica o social, </w:t>
      </w:r>
      <w:r>
        <w:rPr>
          <w:lang w:val="es-ES"/>
        </w:rPr>
        <w:t xml:space="preserve">aunque no </w:t>
      </w:r>
      <w:r w:rsidRPr="00C174D5">
        <w:rPr>
          <w:lang w:val="es-ES"/>
        </w:rPr>
        <w:t>así desde la financiera o privada (</w:t>
      </w:r>
      <w:r w:rsidRPr="00C174D5">
        <w:rPr>
          <w:lang w:val="es-ES"/>
        </w:rPr>
        <w:fldChar w:fldCharType="begin"/>
      </w:r>
      <w:r w:rsidRPr="00C174D5">
        <w:rPr>
          <w:lang w:val="es-ES"/>
        </w:rPr>
        <w:instrText xml:space="preserve"> REF _Ref450035341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37</w:t>
      </w:r>
      <w:r w:rsidRPr="00C174D5">
        <w:rPr>
          <w:lang w:val="es-ES"/>
        </w:rPr>
        <w:fldChar w:fldCharType="end"/>
      </w:r>
      <w:r w:rsidRPr="00C174D5">
        <w:rPr>
          <w:lang w:val="es-ES"/>
        </w:rPr>
        <w:fldChar w:fldCharType="begin" w:fldLock="1"/>
      </w:r>
      <w:r w:rsidRPr="00C174D5">
        <w:rPr>
          <w:lang w:val="es-ES"/>
        </w:rPr>
        <w:instrText xml:space="preserve"> REF _Ref429385972 \h  \* MERGEFORMAT </w:instrText>
      </w:r>
      <w:r w:rsidRPr="00C174D5">
        <w:rPr>
          <w:lang w:val="es-ES"/>
        </w:rPr>
      </w:r>
      <w:r w:rsidRPr="00C174D5">
        <w:rPr>
          <w:lang w:val="es-ES"/>
        </w:rPr>
        <w:fldChar w:fldCharType="end"/>
      </w:r>
      <w:r w:rsidRPr="00C174D5">
        <w:rPr>
          <w:lang w:val="es-ES"/>
        </w:rPr>
        <w:t>).</w:t>
      </w:r>
    </w:p>
    <w:p w14:paraId="541A180D" w14:textId="77777777" w:rsidR="00C92C58" w:rsidRPr="00C174D5" w:rsidRDefault="00C92C58" w:rsidP="00C92C58">
      <w:pPr>
        <w:keepNext/>
        <w:keepLines/>
        <w:spacing w:after="120"/>
        <w:jc w:val="center"/>
        <w:rPr>
          <w:b/>
          <w:sz w:val="20"/>
          <w:lang w:val="es-ES"/>
        </w:rPr>
      </w:pPr>
      <w:bookmarkStart w:id="194" w:name="_Ref450035341"/>
      <w:bookmarkStart w:id="195" w:name="_Toc456353193"/>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37</w:t>
      </w:r>
      <w:r w:rsidRPr="00C174D5">
        <w:rPr>
          <w:b/>
          <w:sz w:val="20"/>
          <w:lang w:val="es-ES"/>
        </w:rPr>
        <w:fldChar w:fldCharType="end"/>
      </w:r>
      <w:bookmarkEnd w:id="194"/>
      <w:r w:rsidRPr="00C174D5">
        <w:rPr>
          <w:b/>
          <w:sz w:val="20"/>
          <w:lang w:val="es-ES"/>
        </w:rPr>
        <w:t>: Resultados evaluación financiera – Transformador móvil</w:t>
      </w:r>
      <w:bookmarkEnd w:id="195"/>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362"/>
        <w:gridCol w:w="1568"/>
        <w:gridCol w:w="1204"/>
        <w:gridCol w:w="1511"/>
        <w:gridCol w:w="1316"/>
        <w:gridCol w:w="760"/>
      </w:tblGrid>
      <w:tr w:rsidR="00C92C58" w:rsidRPr="00C174D5" w14:paraId="083BE8CE" w14:textId="77777777" w:rsidTr="00B15A9A">
        <w:trPr>
          <w:trHeight w:val="35"/>
          <w:jc w:val="center"/>
        </w:trPr>
        <w:tc>
          <w:tcPr>
            <w:tcW w:w="2362"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08199B1E" w14:textId="77777777" w:rsidR="00C92C58" w:rsidRPr="00C174D5" w:rsidRDefault="00C92C58" w:rsidP="00B15A9A">
            <w:pPr>
              <w:keepNext/>
              <w:keepLines/>
              <w:spacing w:after="0"/>
              <w:jc w:val="center"/>
              <w:rPr>
                <w:b/>
                <w:sz w:val="20"/>
                <w:lang w:val="es-ES"/>
              </w:rPr>
            </w:pPr>
          </w:p>
        </w:tc>
        <w:tc>
          <w:tcPr>
            <w:tcW w:w="1568"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5960930E" w14:textId="77777777" w:rsidR="00C92C58" w:rsidRPr="00C174D5" w:rsidRDefault="00C92C58" w:rsidP="00B15A9A">
            <w:pPr>
              <w:keepNext/>
              <w:keepLines/>
              <w:spacing w:after="0"/>
              <w:jc w:val="center"/>
              <w:rPr>
                <w:b/>
                <w:sz w:val="20"/>
                <w:lang w:val="es-ES"/>
              </w:rPr>
            </w:pPr>
            <w:r w:rsidRPr="00C174D5">
              <w:rPr>
                <w:b/>
                <w:bCs/>
                <w:sz w:val="20"/>
                <w:lang w:val="es-ES"/>
              </w:rPr>
              <w:t>VP Inversión fin. (US$)</w:t>
            </w:r>
          </w:p>
        </w:tc>
        <w:tc>
          <w:tcPr>
            <w:tcW w:w="1204"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68F67306" w14:textId="77777777" w:rsidR="00C92C58" w:rsidRPr="00C174D5" w:rsidRDefault="00C92C58" w:rsidP="00B15A9A">
            <w:pPr>
              <w:keepNext/>
              <w:keepLines/>
              <w:spacing w:after="0"/>
              <w:jc w:val="center"/>
              <w:rPr>
                <w:b/>
                <w:sz w:val="20"/>
                <w:lang w:val="es-ES"/>
              </w:rPr>
            </w:pPr>
            <w:r w:rsidRPr="00C174D5">
              <w:rPr>
                <w:b/>
                <w:bCs/>
                <w:sz w:val="20"/>
                <w:lang w:val="es-ES"/>
              </w:rPr>
              <w:t>VP Costos fin. (US$)</w:t>
            </w:r>
          </w:p>
        </w:tc>
        <w:tc>
          <w:tcPr>
            <w:tcW w:w="151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51A79F72" w14:textId="77777777" w:rsidR="00C92C58" w:rsidRPr="00C174D5" w:rsidRDefault="00C92C58" w:rsidP="00B15A9A">
            <w:pPr>
              <w:keepNext/>
              <w:keepLines/>
              <w:spacing w:after="0"/>
              <w:jc w:val="center"/>
              <w:rPr>
                <w:b/>
                <w:sz w:val="20"/>
                <w:lang w:val="es-ES"/>
              </w:rPr>
            </w:pPr>
            <w:r w:rsidRPr="00C174D5">
              <w:rPr>
                <w:b/>
                <w:bCs/>
                <w:sz w:val="20"/>
                <w:lang w:val="es-ES"/>
              </w:rPr>
              <w:t>VP Ingresos (US$)</w:t>
            </w:r>
          </w:p>
        </w:tc>
        <w:tc>
          <w:tcPr>
            <w:tcW w:w="131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269CB254" w14:textId="77777777" w:rsidR="00C92C58" w:rsidRPr="00C174D5" w:rsidRDefault="00C92C58" w:rsidP="00B15A9A">
            <w:pPr>
              <w:keepNext/>
              <w:keepLines/>
              <w:spacing w:after="0"/>
              <w:jc w:val="center"/>
              <w:rPr>
                <w:b/>
                <w:sz w:val="20"/>
                <w:lang w:val="es-ES"/>
              </w:rPr>
            </w:pPr>
            <w:r w:rsidRPr="00C174D5">
              <w:rPr>
                <w:b/>
                <w:bCs/>
                <w:sz w:val="20"/>
                <w:lang w:val="es-ES"/>
              </w:rPr>
              <w:t>VPN (US$)</w:t>
            </w:r>
          </w:p>
        </w:tc>
        <w:tc>
          <w:tcPr>
            <w:tcW w:w="760"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64721927" w14:textId="77777777" w:rsidR="00C92C58" w:rsidRPr="00C174D5" w:rsidRDefault="00C92C58" w:rsidP="00B15A9A">
            <w:pPr>
              <w:keepNext/>
              <w:keepLines/>
              <w:spacing w:after="0"/>
              <w:jc w:val="center"/>
              <w:rPr>
                <w:b/>
                <w:sz w:val="20"/>
                <w:lang w:val="es-ES"/>
              </w:rPr>
            </w:pPr>
            <w:r w:rsidRPr="00C174D5">
              <w:rPr>
                <w:b/>
                <w:bCs/>
                <w:sz w:val="20"/>
                <w:lang w:val="es-ES"/>
              </w:rPr>
              <w:t>TIR</w:t>
            </w:r>
          </w:p>
        </w:tc>
      </w:tr>
      <w:tr w:rsidR="00C92C58" w:rsidRPr="00AE5DDD" w14:paraId="1E46EB11" w14:textId="77777777" w:rsidTr="00B15A9A">
        <w:trPr>
          <w:trHeight w:val="1105"/>
          <w:jc w:val="center"/>
        </w:trPr>
        <w:tc>
          <w:tcPr>
            <w:tcW w:w="2362" w:type="dxa"/>
            <w:tcBorders>
              <w:top w:val="single" w:sz="12" w:space="0" w:color="000000"/>
            </w:tcBorders>
            <w:shd w:val="clear" w:color="auto" w:fill="auto"/>
            <w:tcMar>
              <w:top w:w="15" w:type="dxa"/>
              <w:left w:w="108" w:type="dxa"/>
              <w:bottom w:w="0" w:type="dxa"/>
              <w:right w:w="108" w:type="dxa"/>
            </w:tcMar>
            <w:vAlign w:val="center"/>
            <w:hideMark/>
          </w:tcPr>
          <w:p w14:paraId="7D5ECF12" w14:textId="77777777" w:rsidR="00C92C58" w:rsidRPr="00C174D5" w:rsidRDefault="00C92C58" w:rsidP="00B15A9A">
            <w:pPr>
              <w:keepNext/>
              <w:keepLines/>
              <w:spacing w:after="0"/>
              <w:jc w:val="center"/>
              <w:rPr>
                <w:sz w:val="20"/>
                <w:lang w:val="es-ES"/>
              </w:rPr>
            </w:pPr>
            <w:r w:rsidRPr="00C174D5">
              <w:rPr>
                <w:bCs/>
                <w:sz w:val="20"/>
                <w:lang w:val="es-ES"/>
              </w:rPr>
              <w:t>Situación Con Proyecto</w:t>
            </w:r>
          </w:p>
          <w:p w14:paraId="393AD422" w14:textId="77777777" w:rsidR="00C92C58" w:rsidRPr="00C174D5" w:rsidRDefault="00C92C58" w:rsidP="00B15A9A">
            <w:pPr>
              <w:keepNext/>
              <w:keepLines/>
              <w:spacing w:after="0"/>
              <w:jc w:val="center"/>
              <w:rPr>
                <w:sz w:val="20"/>
                <w:lang w:val="es-ES"/>
              </w:rPr>
            </w:pPr>
            <w:r w:rsidRPr="00C174D5">
              <w:rPr>
                <w:bCs/>
                <w:sz w:val="20"/>
                <w:lang w:val="es-ES"/>
              </w:rPr>
              <w:t>-</w:t>
            </w:r>
          </w:p>
          <w:p w14:paraId="20E8FA17" w14:textId="77777777" w:rsidR="00C92C58" w:rsidRPr="00C174D5" w:rsidRDefault="00C92C58" w:rsidP="00B15A9A">
            <w:pPr>
              <w:keepNext/>
              <w:keepLines/>
              <w:spacing w:after="0"/>
              <w:jc w:val="center"/>
              <w:rPr>
                <w:sz w:val="20"/>
                <w:lang w:val="es-ES"/>
              </w:rPr>
            </w:pPr>
            <w:r w:rsidRPr="00C174D5">
              <w:rPr>
                <w:bCs/>
                <w:sz w:val="20"/>
                <w:lang w:val="es-ES"/>
              </w:rPr>
              <w:t>Situación sin proyecto</w:t>
            </w:r>
          </w:p>
        </w:tc>
        <w:tc>
          <w:tcPr>
            <w:tcW w:w="1568" w:type="dxa"/>
            <w:tcBorders>
              <w:top w:val="single" w:sz="12" w:space="0" w:color="000000"/>
            </w:tcBorders>
            <w:shd w:val="clear" w:color="auto" w:fill="auto"/>
            <w:tcMar>
              <w:top w:w="15" w:type="dxa"/>
              <w:left w:w="108" w:type="dxa"/>
              <w:bottom w:w="0" w:type="dxa"/>
              <w:right w:w="108" w:type="dxa"/>
            </w:tcMar>
            <w:vAlign w:val="center"/>
          </w:tcPr>
          <w:p w14:paraId="24CF00C0" w14:textId="77777777" w:rsidR="00C92C58" w:rsidRPr="00C174D5" w:rsidRDefault="00C92C58" w:rsidP="00B15A9A">
            <w:pPr>
              <w:keepNext/>
              <w:keepLines/>
              <w:spacing w:after="0"/>
              <w:jc w:val="center"/>
              <w:rPr>
                <w:sz w:val="20"/>
                <w:lang w:val="es-ES"/>
              </w:rPr>
            </w:pPr>
            <w:r w:rsidRPr="00404CC7">
              <w:rPr>
                <w:sz w:val="20"/>
                <w:lang w:val="es-ES"/>
              </w:rPr>
              <w:t>1</w:t>
            </w:r>
            <w:r>
              <w:rPr>
                <w:sz w:val="20"/>
                <w:lang w:val="es-ES"/>
              </w:rPr>
              <w:t>.</w:t>
            </w:r>
            <w:r w:rsidRPr="00404CC7">
              <w:rPr>
                <w:sz w:val="20"/>
                <w:lang w:val="es-ES"/>
              </w:rPr>
              <w:t>131</w:t>
            </w:r>
            <w:r>
              <w:rPr>
                <w:sz w:val="20"/>
                <w:lang w:val="es-ES"/>
              </w:rPr>
              <w:t>.</w:t>
            </w:r>
            <w:r w:rsidRPr="00404CC7">
              <w:rPr>
                <w:sz w:val="20"/>
                <w:lang w:val="es-ES"/>
              </w:rPr>
              <w:t>513</w:t>
            </w:r>
          </w:p>
        </w:tc>
        <w:tc>
          <w:tcPr>
            <w:tcW w:w="1204" w:type="dxa"/>
            <w:tcBorders>
              <w:top w:val="single" w:sz="12" w:space="0" w:color="000000"/>
            </w:tcBorders>
            <w:shd w:val="clear" w:color="auto" w:fill="auto"/>
            <w:tcMar>
              <w:top w:w="15" w:type="dxa"/>
              <w:left w:w="108" w:type="dxa"/>
              <w:bottom w:w="0" w:type="dxa"/>
              <w:right w:w="108" w:type="dxa"/>
            </w:tcMar>
            <w:vAlign w:val="center"/>
          </w:tcPr>
          <w:p w14:paraId="345C88A9" w14:textId="77777777" w:rsidR="00C92C58" w:rsidRPr="00C174D5" w:rsidRDefault="00C92C58" w:rsidP="00B15A9A">
            <w:pPr>
              <w:keepNext/>
              <w:keepLines/>
              <w:spacing w:after="0"/>
              <w:jc w:val="center"/>
              <w:rPr>
                <w:sz w:val="20"/>
                <w:lang w:val="es-ES"/>
              </w:rPr>
            </w:pPr>
            <w:r w:rsidRPr="00404CC7">
              <w:rPr>
                <w:sz w:val="20"/>
                <w:lang w:val="es-ES"/>
              </w:rPr>
              <w:t>2</w:t>
            </w:r>
            <w:r>
              <w:rPr>
                <w:sz w:val="20"/>
                <w:lang w:val="es-ES"/>
              </w:rPr>
              <w:t>33.2</w:t>
            </w:r>
            <w:r w:rsidRPr="00404CC7">
              <w:rPr>
                <w:sz w:val="20"/>
                <w:lang w:val="es-ES"/>
              </w:rPr>
              <w:t>12</w:t>
            </w:r>
          </w:p>
        </w:tc>
        <w:tc>
          <w:tcPr>
            <w:tcW w:w="1511" w:type="dxa"/>
            <w:tcBorders>
              <w:top w:val="single" w:sz="12" w:space="0" w:color="000000"/>
            </w:tcBorders>
            <w:shd w:val="clear" w:color="auto" w:fill="auto"/>
            <w:tcMar>
              <w:top w:w="15" w:type="dxa"/>
              <w:left w:w="108" w:type="dxa"/>
              <w:bottom w:w="0" w:type="dxa"/>
              <w:right w:w="108" w:type="dxa"/>
            </w:tcMar>
            <w:vAlign w:val="center"/>
          </w:tcPr>
          <w:p w14:paraId="5CF39D19" w14:textId="77777777" w:rsidR="00C92C58" w:rsidRPr="00C174D5" w:rsidRDefault="00C92C58" w:rsidP="00B15A9A">
            <w:pPr>
              <w:keepNext/>
              <w:keepLines/>
              <w:spacing w:after="0"/>
              <w:jc w:val="center"/>
              <w:rPr>
                <w:sz w:val="20"/>
                <w:lang w:val="es-ES"/>
              </w:rPr>
            </w:pPr>
            <w:r>
              <w:rPr>
                <w:sz w:val="20"/>
                <w:lang w:val="es-ES"/>
              </w:rPr>
              <w:t>47.522</w:t>
            </w:r>
          </w:p>
        </w:tc>
        <w:tc>
          <w:tcPr>
            <w:tcW w:w="1316" w:type="dxa"/>
            <w:tcBorders>
              <w:top w:val="single" w:sz="12" w:space="0" w:color="000000"/>
            </w:tcBorders>
            <w:shd w:val="clear" w:color="auto" w:fill="auto"/>
            <w:tcMar>
              <w:top w:w="15" w:type="dxa"/>
              <w:left w:w="108" w:type="dxa"/>
              <w:bottom w:w="0" w:type="dxa"/>
              <w:right w:w="108" w:type="dxa"/>
            </w:tcMar>
            <w:vAlign w:val="center"/>
          </w:tcPr>
          <w:p w14:paraId="08DEC2E5" w14:textId="77777777" w:rsidR="00C92C58" w:rsidRPr="00C174D5" w:rsidRDefault="00C92C58" w:rsidP="00B15A9A">
            <w:pPr>
              <w:keepNext/>
              <w:keepLines/>
              <w:spacing w:after="0"/>
              <w:jc w:val="center"/>
              <w:rPr>
                <w:sz w:val="20"/>
                <w:lang w:val="es-ES"/>
              </w:rPr>
            </w:pPr>
            <w:r w:rsidRPr="00404CC7">
              <w:rPr>
                <w:sz w:val="20"/>
                <w:lang w:val="es-ES"/>
              </w:rPr>
              <w:t>-1</w:t>
            </w:r>
            <w:r>
              <w:rPr>
                <w:sz w:val="20"/>
                <w:lang w:val="es-ES"/>
              </w:rPr>
              <w:t>.</w:t>
            </w:r>
            <w:r w:rsidRPr="00404CC7">
              <w:rPr>
                <w:sz w:val="20"/>
                <w:lang w:val="es-ES"/>
              </w:rPr>
              <w:t>3</w:t>
            </w:r>
            <w:r>
              <w:rPr>
                <w:sz w:val="20"/>
                <w:lang w:val="es-ES"/>
              </w:rPr>
              <w:t>17.202</w:t>
            </w:r>
          </w:p>
        </w:tc>
        <w:tc>
          <w:tcPr>
            <w:tcW w:w="760" w:type="dxa"/>
            <w:tcBorders>
              <w:top w:val="single" w:sz="12" w:space="0" w:color="000000"/>
            </w:tcBorders>
            <w:shd w:val="clear" w:color="auto" w:fill="auto"/>
            <w:tcMar>
              <w:top w:w="15" w:type="dxa"/>
              <w:left w:w="108" w:type="dxa"/>
              <w:bottom w:w="0" w:type="dxa"/>
              <w:right w:w="108" w:type="dxa"/>
            </w:tcMar>
            <w:vAlign w:val="center"/>
            <w:hideMark/>
          </w:tcPr>
          <w:p w14:paraId="64E77380" w14:textId="77777777" w:rsidR="00C92C58" w:rsidRPr="00C174D5" w:rsidRDefault="00C92C58" w:rsidP="00B15A9A">
            <w:pPr>
              <w:keepNext/>
              <w:keepLines/>
              <w:spacing w:after="0"/>
              <w:jc w:val="center"/>
              <w:rPr>
                <w:sz w:val="20"/>
                <w:lang w:val="es-ES"/>
              </w:rPr>
            </w:pPr>
            <w:r>
              <w:rPr>
                <w:sz w:val="20"/>
                <w:lang w:val="es-ES"/>
              </w:rPr>
              <w:t>-</w:t>
            </w:r>
          </w:p>
        </w:tc>
      </w:tr>
    </w:tbl>
    <w:p w14:paraId="21B49E6E" w14:textId="77777777" w:rsidR="00C92C58" w:rsidRPr="00C174D5" w:rsidRDefault="00C92C58" w:rsidP="00C92C58">
      <w:pPr>
        <w:jc w:val="center"/>
        <w:rPr>
          <w:sz w:val="18"/>
          <w:lang w:val="es-ES"/>
        </w:rPr>
      </w:pPr>
      <w:r w:rsidRPr="00C174D5">
        <w:rPr>
          <w:sz w:val="18"/>
          <w:lang w:val="es-ES"/>
        </w:rPr>
        <w:t>Fuente: Elaboración propia en base a información de ENATREL provista por el BID</w:t>
      </w:r>
    </w:p>
    <w:p w14:paraId="292E9EBB" w14:textId="77777777" w:rsidR="00C92C58" w:rsidRPr="00C174D5" w:rsidRDefault="00C92C58" w:rsidP="00C92C58">
      <w:pPr>
        <w:rPr>
          <w:lang w:val="es-ES"/>
        </w:rPr>
      </w:pPr>
      <w:r>
        <w:rPr>
          <w:lang w:val="es-ES"/>
        </w:rPr>
        <w:t>El aumento del ingreso causado por la mayor cantidad de electricidad transmitida no compensa el valor del transformador y su costo de operación. Caben aquí también los comentarios efectuados con anterioridad respecto a la pertinencia de este resultado negativo.</w:t>
      </w:r>
    </w:p>
    <w:p w14:paraId="7C8C2B52" w14:textId="77777777" w:rsidR="00C92C58" w:rsidRPr="00C174D5" w:rsidRDefault="00C92C58" w:rsidP="00C92C58">
      <w:pPr>
        <w:pStyle w:val="Heading1"/>
        <w:pageBreakBefore w:val="0"/>
        <w:numPr>
          <w:ilvl w:val="2"/>
          <w:numId w:val="9"/>
        </w:numPr>
        <w:rPr>
          <w:lang w:val="es-ES"/>
        </w:rPr>
      </w:pPr>
      <w:bookmarkStart w:id="196" w:name="_Toc456353144"/>
      <w:r w:rsidRPr="00C174D5">
        <w:rPr>
          <w:lang w:val="es-ES"/>
        </w:rPr>
        <w:t>Adquisición Transformador Móvil – Sensibilidades</w:t>
      </w:r>
      <w:bookmarkEnd w:id="196"/>
    </w:p>
    <w:p w14:paraId="2866DC41" w14:textId="77777777" w:rsidR="00C92C58" w:rsidRPr="00C174D5" w:rsidRDefault="00C92C58" w:rsidP="00C92C58">
      <w:pPr>
        <w:rPr>
          <w:lang w:val="es-ES"/>
        </w:rPr>
      </w:pPr>
      <w:r w:rsidRPr="00C174D5">
        <w:rPr>
          <w:lang w:val="es-ES"/>
        </w:rPr>
        <w:t>Las sensibilidades efectuadas en este proyecto son, al igual que en los anteriores, en relación a la tasa de descuento, a la tasa de crecimiento promedio de la demanda, al costo de energía de falla y al valor de la inversión.</w:t>
      </w:r>
      <w:r>
        <w:rPr>
          <w:lang w:val="es-ES"/>
        </w:rPr>
        <w:t xml:space="preserve"> También se efectúa en este caso una sensibilidad a las horas que se requieren para cambiar ante la salida de un transformador.</w:t>
      </w:r>
    </w:p>
    <w:p w14:paraId="0D1C8002" w14:textId="77777777" w:rsidR="00C92C58" w:rsidRPr="00C174D5" w:rsidRDefault="00C92C58" w:rsidP="00C92C58">
      <w:pPr>
        <w:keepNext/>
        <w:keepLines/>
        <w:spacing w:after="120"/>
        <w:jc w:val="center"/>
        <w:rPr>
          <w:b/>
          <w:sz w:val="20"/>
          <w:lang w:val="es-ES"/>
        </w:rPr>
      </w:pPr>
      <w:bookmarkStart w:id="197" w:name="_Toc456353194"/>
      <w:r w:rsidRPr="00C174D5">
        <w:rPr>
          <w:b/>
          <w:sz w:val="20"/>
          <w:lang w:val="es-ES"/>
        </w:rPr>
        <w:lastRenderedPageBreak/>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38</w:t>
      </w:r>
      <w:r w:rsidRPr="00C174D5">
        <w:rPr>
          <w:b/>
          <w:sz w:val="20"/>
          <w:lang w:val="es-ES"/>
        </w:rPr>
        <w:fldChar w:fldCharType="end"/>
      </w:r>
      <w:r w:rsidRPr="00C174D5">
        <w:rPr>
          <w:b/>
          <w:sz w:val="20"/>
          <w:lang w:val="es-ES"/>
        </w:rPr>
        <w:t>: Análisis de sensibilidad evaluación económica – Transformador móvil</w:t>
      </w:r>
      <w:bookmarkEnd w:id="197"/>
    </w:p>
    <w:tbl>
      <w:tblPr>
        <w:tblW w:w="76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701"/>
        <w:gridCol w:w="2409"/>
        <w:gridCol w:w="1903"/>
        <w:gridCol w:w="952"/>
        <w:gridCol w:w="728"/>
      </w:tblGrid>
      <w:tr w:rsidR="00C92C58" w:rsidRPr="00C174D5" w14:paraId="2518996E" w14:textId="77777777" w:rsidTr="00B15A9A">
        <w:trPr>
          <w:trHeight w:val="300"/>
          <w:jc w:val="center"/>
        </w:trPr>
        <w:tc>
          <w:tcPr>
            <w:tcW w:w="4110" w:type="dxa"/>
            <w:gridSpan w:val="2"/>
            <w:tcBorders>
              <w:top w:val="single" w:sz="12" w:space="0" w:color="auto"/>
              <w:bottom w:val="single" w:sz="12" w:space="0" w:color="auto"/>
            </w:tcBorders>
            <w:shd w:val="clear" w:color="auto" w:fill="BFBFBF" w:themeFill="background1" w:themeFillShade="BF"/>
            <w:noWrap/>
            <w:vAlign w:val="center"/>
          </w:tcPr>
          <w:p w14:paraId="196790C4" w14:textId="77777777" w:rsidR="00C92C58" w:rsidRPr="00C174D5" w:rsidRDefault="00C92C58" w:rsidP="00B15A9A">
            <w:pPr>
              <w:keepNext/>
              <w:keepLines/>
              <w:spacing w:after="0" w:line="240" w:lineRule="auto"/>
              <w:jc w:val="left"/>
              <w:rPr>
                <w:rFonts w:eastAsia="Times New Roman" w:cs="Times New Roman"/>
                <w:b/>
                <w:sz w:val="20"/>
                <w:szCs w:val="20"/>
                <w:lang w:val="es-ES" w:eastAsia="es-AR"/>
              </w:rPr>
            </w:pPr>
            <w:r w:rsidRPr="00C174D5">
              <w:rPr>
                <w:b/>
                <w:sz w:val="20"/>
                <w:lang w:val="es-ES"/>
              </w:rPr>
              <w:t>Transformador móvil</w:t>
            </w:r>
          </w:p>
        </w:tc>
        <w:tc>
          <w:tcPr>
            <w:tcW w:w="2855" w:type="dxa"/>
            <w:gridSpan w:val="2"/>
            <w:tcBorders>
              <w:top w:val="single" w:sz="12" w:space="0" w:color="auto"/>
              <w:bottom w:val="single" w:sz="12" w:space="0" w:color="auto"/>
            </w:tcBorders>
            <w:shd w:val="clear" w:color="auto" w:fill="BFBFBF" w:themeFill="background1" w:themeFillShade="BF"/>
            <w:vAlign w:val="center"/>
          </w:tcPr>
          <w:p w14:paraId="35295FFC" w14:textId="77777777" w:rsidR="00C92C58" w:rsidRPr="00C174D5" w:rsidRDefault="00C92C58" w:rsidP="00B15A9A">
            <w:pPr>
              <w:keepNext/>
              <w:keepLines/>
              <w:spacing w:after="0" w:line="240" w:lineRule="auto"/>
              <w:jc w:val="center"/>
              <w:rPr>
                <w:rFonts w:eastAsia="Times New Roman" w:cs="Times New Roman"/>
                <w:b/>
                <w:sz w:val="20"/>
                <w:szCs w:val="20"/>
                <w:lang w:val="es-ES" w:eastAsia="es-AR"/>
              </w:rPr>
            </w:pPr>
            <w:r w:rsidRPr="00C174D5">
              <w:rPr>
                <w:rFonts w:eastAsia="Times New Roman" w:cs="Arial"/>
                <w:b/>
                <w:sz w:val="20"/>
                <w:szCs w:val="20"/>
                <w:lang w:val="es-ES" w:eastAsia="es-AR"/>
              </w:rPr>
              <w:t>VPNE (US$)</w:t>
            </w:r>
          </w:p>
        </w:tc>
        <w:tc>
          <w:tcPr>
            <w:tcW w:w="728" w:type="dxa"/>
            <w:tcBorders>
              <w:top w:val="single" w:sz="12" w:space="0" w:color="auto"/>
              <w:bottom w:val="single" w:sz="12" w:space="0" w:color="auto"/>
            </w:tcBorders>
            <w:shd w:val="clear" w:color="auto" w:fill="BFBFBF" w:themeFill="background1" w:themeFillShade="BF"/>
            <w:vAlign w:val="center"/>
          </w:tcPr>
          <w:p w14:paraId="0F54038B" w14:textId="77777777" w:rsidR="00C92C58" w:rsidRPr="00C174D5" w:rsidRDefault="00C92C58" w:rsidP="00B15A9A">
            <w:pPr>
              <w:keepNext/>
              <w:keepLines/>
              <w:spacing w:after="0" w:line="240" w:lineRule="auto"/>
              <w:jc w:val="center"/>
              <w:rPr>
                <w:rFonts w:eastAsia="Times New Roman" w:cs="Arial"/>
                <w:b/>
                <w:sz w:val="20"/>
                <w:szCs w:val="20"/>
                <w:lang w:val="es-ES" w:eastAsia="es-AR"/>
              </w:rPr>
            </w:pPr>
            <w:r w:rsidRPr="00C174D5">
              <w:rPr>
                <w:rFonts w:eastAsia="Times New Roman" w:cs="Arial"/>
                <w:b/>
                <w:sz w:val="20"/>
                <w:szCs w:val="20"/>
                <w:lang w:val="es-ES" w:eastAsia="es-AR"/>
              </w:rPr>
              <w:t>TIRE (%)</w:t>
            </w:r>
          </w:p>
        </w:tc>
      </w:tr>
      <w:tr w:rsidR="00C92C58" w:rsidRPr="00C174D5" w14:paraId="1A8605AE" w14:textId="77777777" w:rsidTr="00B15A9A">
        <w:trPr>
          <w:trHeight w:val="300"/>
          <w:jc w:val="center"/>
        </w:trPr>
        <w:tc>
          <w:tcPr>
            <w:tcW w:w="4110" w:type="dxa"/>
            <w:gridSpan w:val="2"/>
            <w:tcBorders>
              <w:top w:val="single" w:sz="12" w:space="0" w:color="auto"/>
              <w:bottom w:val="single" w:sz="2" w:space="0" w:color="auto"/>
            </w:tcBorders>
            <w:shd w:val="clear" w:color="auto" w:fill="auto"/>
            <w:noWrap/>
            <w:vAlign w:val="center"/>
          </w:tcPr>
          <w:p w14:paraId="3BC2D1B3" w14:textId="77777777" w:rsidR="00C92C58" w:rsidRPr="00C174D5" w:rsidRDefault="00C92C58" w:rsidP="00B15A9A">
            <w:pPr>
              <w:keepNext/>
              <w:keepLines/>
              <w:spacing w:after="0" w:line="240" w:lineRule="auto"/>
              <w:rPr>
                <w:rFonts w:eastAsia="Times New Roman" w:cs="Times New Roman"/>
                <w:i/>
                <w:sz w:val="20"/>
                <w:szCs w:val="20"/>
                <w:lang w:val="es-ES" w:eastAsia="es-AR"/>
              </w:rPr>
            </w:pPr>
            <w:r w:rsidRPr="00C174D5">
              <w:rPr>
                <w:rFonts w:eastAsia="Times New Roman" w:cs="Times New Roman"/>
                <w:i/>
                <w:sz w:val="20"/>
                <w:szCs w:val="20"/>
                <w:lang w:val="es-ES" w:eastAsia="es-AR"/>
              </w:rPr>
              <w:t xml:space="preserve">Caso Base </w:t>
            </w:r>
          </w:p>
        </w:tc>
        <w:tc>
          <w:tcPr>
            <w:tcW w:w="2855" w:type="dxa"/>
            <w:gridSpan w:val="2"/>
            <w:tcBorders>
              <w:top w:val="single" w:sz="12" w:space="0" w:color="auto"/>
              <w:bottom w:val="single" w:sz="2" w:space="0" w:color="auto"/>
            </w:tcBorders>
            <w:vAlign w:val="center"/>
          </w:tcPr>
          <w:p w14:paraId="3BF39778" w14:textId="77777777" w:rsidR="00C92C58" w:rsidRPr="004440E4" w:rsidRDefault="00C92C58" w:rsidP="00B15A9A">
            <w:pPr>
              <w:keepNext/>
              <w:keepLines/>
              <w:spacing w:after="0" w:line="240" w:lineRule="auto"/>
              <w:jc w:val="center"/>
              <w:rPr>
                <w:rFonts w:eastAsia="Times New Roman" w:cs="Times New Roman"/>
                <w:i/>
                <w:sz w:val="20"/>
                <w:szCs w:val="20"/>
                <w:lang w:val="es-ES" w:eastAsia="es-AR"/>
              </w:rPr>
            </w:pPr>
            <w:r w:rsidRPr="00AE5DDD">
              <w:rPr>
                <w:i/>
                <w:sz w:val="20"/>
                <w:lang w:val="es-ES"/>
              </w:rPr>
              <w:t>2.995.778</w:t>
            </w:r>
          </w:p>
        </w:tc>
        <w:tc>
          <w:tcPr>
            <w:tcW w:w="728" w:type="dxa"/>
            <w:tcBorders>
              <w:top w:val="single" w:sz="12" w:space="0" w:color="auto"/>
              <w:bottom w:val="single" w:sz="2" w:space="0" w:color="auto"/>
            </w:tcBorders>
            <w:vAlign w:val="center"/>
          </w:tcPr>
          <w:p w14:paraId="0B06AF76" w14:textId="77777777" w:rsidR="00C92C58" w:rsidRPr="00C174D5" w:rsidRDefault="00C92C58" w:rsidP="00B15A9A">
            <w:pPr>
              <w:keepNext/>
              <w:keepLines/>
              <w:spacing w:after="0" w:line="240" w:lineRule="auto"/>
              <w:jc w:val="center"/>
              <w:rPr>
                <w:rFonts w:eastAsia="Times New Roman" w:cs="Times New Roman"/>
                <w:i/>
                <w:sz w:val="20"/>
                <w:szCs w:val="20"/>
                <w:lang w:val="es-ES" w:eastAsia="es-AR"/>
              </w:rPr>
            </w:pPr>
            <w:r>
              <w:rPr>
                <w:rFonts w:eastAsia="Times New Roman" w:cs="Times New Roman"/>
                <w:i/>
                <w:sz w:val="20"/>
                <w:szCs w:val="20"/>
                <w:lang w:val="es-ES" w:eastAsia="es-AR"/>
              </w:rPr>
              <w:t>51%</w:t>
            </w:r>
          </w:p>
        </w:tc>
      </w:tr>
      <w:tr w:rsidR="00C92C58" w:rsidRPr="00C174D5" w14:paraId="0C71B115" w14:textId="77777777" w:rsidTr="00B15A9A">
        <w:trPr>
          <w:trHeight w:val="300"/>
          <w:jc w:val="center"/>
        </w:trPr>
        <w:tc>
          <w:tcPr>
            <w:tcW w:w="4110" w:type="dxa"/>
            <w:gridSpan w:val="2"/>
            <w:tcBorders>
              <w:top w:val="single" w:sz="2" w:space="0" w:color="auto"/>
            </w:tcBorders>
            <w:shd w:val="clear" w:color="auto" w:fill="auto"/>
            <w:noWrap/>
            <w:vAlign w:val="center"/>
          </w:tcPr>
          <w:p w14:paraId="2294A673"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Tasa social de descuento(base 12%): 8%</w:t>
            </w:r>
          </w:p>
        </w:tc>
        <w:tc>
          <w:tcPr>
            <w:tcW w:w="1903" w:type="dxa"/>
            <w:tcBorders>
              <w:top w:val="single" w:sz="2" w:space="0" w:color="auto"/>
            </w:tcBorders>
            <w:vAlign w:val="center"/>
          </w:tcPr>
          <w:p w14:paraId="3BC25322"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AE5DDD">
              <w:rPr>
                <w:rFonts w:eastAsia="Times New Roman" w:cs="Times New Roman"/>
                <w:sz w:val="20"/>
                <w:szCs w:val="20"/>
                <w:lang w:val="es-ES" w:eastAsia="es-AR"/>
              </w:rPr>
              <w:t>4</w:t>
            </w:r>
            <w:r>
              <w:rPr>
                <w:rFonts w:eastAsia="Times New Roman" w:cs="Times New Roman"/>
                <w:sz w:val="20"/>
                <w:szCs w:val="20"/>
                <w:lang w:val="es-ES" w:eastAsia="es-AR"/>
              </w:rPr>
              <w:t>.</w:t>
            </w:r>
            <w:r w:rsidRPr="00AE5DDD">
              <w:rPr>
                <w:rFonts w:eastAsia="Times New Roman" w:cs="Times New Roman"/>
                <w:sz w:val="20"/>
                <w:szCs w:val="20"/>
                <w:lang w:val="es-ES" w:eastAsia="es-AR"/>
              </w:rPr>
              <w:t>084</w:t>
            </w:r>
            <w:r>
              <w:rPr>
                <w:rFonts w:eastAsia="Times New Roman" w:cs="Times New Roman"/>
                <w:sz w:val="20"/>
                <w:szCs w:val="20"/>
                <w:lang w:val="es-ES" w:eastAsia="es-AR"/>
              </w:rPr>
              <w:t>.</w:t>
            </w:r>
            <w:r w:rsidRPr="00AE5DDD">
              <w:rPr>
                <w:rFonts w:eastAsia="Times New Roman" w:cs="Times New Roman"/>
                <w:sz w:val="20"/>
                <w:szCs w:val="20"/>
                <w:lang w:val="es-ES" w:eastAsia="es-AR"/>
              </w:rPr>
              <w:t>087</w:t>
            </w:r>
          </w:p>
        </w:tc>
        <w:tc>
          <w:tcPr>
            <w:tcW w:w="952" w:type="dxa"/>
            <w:tcBorders>
              <w:top w:val="single" w:sz="2" w:space="0" w:color="auto"/>
            </w:tcBorders>
            <w:vAlign w:val="center"/>
          </w:tcPr>
          <w:p w14:paraId="28FC1286"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36,3%</w:t>
            </w:r>
          </w:p>
        </w:tc>
        <w:tc>
          <w:tcPr>
            <w:tcW w:w="728" w:type="dxa"/>
            <w:tcBorders>
              <w:top w:val="single" w:sz="2" w:space="0" w:color="auto"/>
            </w:tcBorders>
            <w:vAlign w:val="center"/>
          </w:tcPr>
          <w:p w14:paraId="695F69FB"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51%</w:t>
            </w:r>
          </w:p>
        </w:tc>
      </w:tr>
      <w:tr w:rsidR="00C92C58" w:rsidRPr="00E67BF2" w14:paraId="0CFCB6DD" w14:textId="77777777" w:rsidTr="00B15A9A">
        <w:trPr>
          <w:trHeight w:val="300"/>
          <w:jc w:val="center"/>
        </w:trPr>
        <w:tc>
          <w:tcPr>
            <w:tcW w:w="7693" w:type="dxa"/>
            <w:gridSpan w:val="5"/>
            <w:tcBorders>
              <w:top w:val="single" w:sz="2" w:space="0" w:color="auto"/>
            </w:tcBorders>
            <w:shd w:val="clear" w:color="auto" w:fill="auto"/>
            <w:noWrap/>
            <w:vAlign w:val="center"/>
          </w:tcPr>
          <w:p w14:paraId="00A31F84"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 xml:space="preserve">Tasa de crecimiento promedio de la demanda existente (base </w:t>
            </w:r>
            <w:r>
              <w:rPr>
                <w:rFonts w:eastAsia="Times New Roman" w:cs="Times New Roman"/>
                <w:sz w:val="20"/>
                <w:szCs w:val="20"/>
                <w:lang w:val="es-ES" w:eastAsia="es-AR"/>
              </w:rPr>
              <w:t>3,6</w:t>
            </w:r>
            <w:r w:rsidRPr="00C174D5">
              <w:rPr>
                <w:rFonts w:eastAsia="Times New Roman" w:cs="Times New Roman"/>
                <w:sz w:val="20"/>
                <w:szCs w:val="20"/>
                <w:lang w:val="es-ES" w:eastAsia="es-AR"/>
              </w:rPr>
              <w:t>%)</w:t>
            </w:r>
          </w:p>
        </w:tc>
      </w:tr>
      <w:tr w:rsidR="00C92C58" w:rsidRPr="00C174D5" w14:paraId="0E487CA2" w14:textId="77777777" w:rsidTr="00B15A9A">
        <w:trPr>
          <w:trHeight w:val="300"/>
          <w:jc w:val="center"/>
        </w:trPr>
        <w:tc>
          <w:tcPr>
            <w:tcW w:w="1701" w:type="dxa"/>
            <w:tcBorders>
              <w:top w:val="single" w:sz="2" w:space="0" w:color="auto"/>
            </w:tcBorders>
            <w:shd w:val="clear" w:color="auto" w:fill="auto"/>
            <w:noWrap/>
            <w:vAlign w:val="center"/>
          </w:tcPr>
          <w:p w14:paraId="560000B2"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59278BC9"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Pr>
                <w:rFonts w:eastAsia="Times New Roman" w:cs="Times New Roman"/>
                <w:sz w:val="20"/>
                <w:szCs w:val="20"/>
                <w:lang w:val="es-ES" w:eastAsia="es-AR"/>
              </w:rPr>
              <w:t>3,06</w:t>
            </w:r>
            <w:r w:rsidRPr="00C174D5">
              <w:rPr>
                <w:rFonts w:eastAsia="Times New Roman" w:cs="Times New Roman"/>
                <w:sz w:val="20"/>
                <w:szCs w:val="20"/>
                <w:lang w:val="es-ES" w:eastAsia="es-AR"/>
              </w:rPr>
              <w:t>% (- 15%)</w:t>
            </w:r>
          </w:p>
        </w:tc>
        <w:tc>
          <w:tcPr>
            <w:tcW w:w="1903" w:type="dxa"/>
            <w:tcBorders>
              <w:top w:val="single" w:sz="2" w:space="0" w:color="auto"/>
            </w:tcBorders>
            <w:vAlign w:val="center"/>
          </w:tcPr>
          <w:p w14:paraId="5D2A7B74"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2.</w:t>
            </w:r>
            <w:r w:rsidRPr="00AE5DDD">
              <w:rPr>
                <w:rFonts w:eastAsia="Times New Roman" w:cs="Times New Roman"/>
                <w:sz w:val="20"/>
                <w:szCs w:val="20"/>
                <w:lang w:val="es-ES" w:eastAsia="es-AR"/>
              </w:rPr>
              <w:t>884</w:t>
            </w:r>
            <w:r>
              <w:rPr>
                <w:rFonts w:eastAsia="Times New Roman" w:cs="Times New Roman"/>
                <w:sz w:val="20"/>
                <w:szCs w:val="20"/>
                <w:lang w:val="es-ES" w:eastAsia="es-AR"/>
              </w:rPr>
              <w:t>.</w:t>
            </w:r>
            <w:r w:rsidRPr="00AE5DDD">
              <w:rPr>
                <w:rFonts w:eastAsia="Times New Roman" w:cs="Times New Roman"/>
                <w:sz w:val="20"/>
                <w:szCs w:val="20"/>
                <w:lang w:val="es-ES" w:eastAsia="es-AR"/>
              </w:rPr>
              <w:t>025</w:t>
            </w:r>
          </w:p>
        </w:tc>
        <w:tc>
          <w:tcPr>
            <w:tcW w:w="952" w:type="dxa"/>
            <w:tcBorders>
              <w:top w:val="single" w:sz="2" w:space="0" w:color="auto"/>
            </w:tcBorders>
            <w:vAlign w:val="center"/>
          </w:tcPr>
          <w:p w14:paraId="41CEFE63"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-3,7%</w:t>
            </w:r>
          </w:p>
        </w:tc>
        <w:tc>
          <w:tcPr>
            <w:tcW w:w="728" w:type="dxa"/>
            <w:tcBorders>
              <w:top w:val="single" w:sz="2" w:space="0" w:color="auto"/>
            </w:tcBorders>
            <w:vAlign w:val="center"/>
          </w:tcPr>
          <w:p w14:paraId="3D01EF5C"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50%</w:t>
            </w:r>
          </w:p>
        </w:tc>
      </w:tr>
      <w:tr w:rsidR="00C92C58" w:rsidRPr="00C174D5" w14:paraId="23AFD1EB" w14:textId="77777777" w:rsidTr="00B15A9A">
        <w:trPr>
          <w:trHeight w:val="300"/>
          <w:jc w:val="center"/>
        </w:trPr>
        <w:tc>
          <w:tcPr>
            <w:tcW w:w="1701" w:type="dxa"/>
            <w:tcBorders>
              <w:top w:val="single" w:sz="2" w:space="0" w:color="auto"/>
            </w:tcBorders>
            <w:shd w:val="clear" w:color="auto" w:fill="auto"/>
            <w:noWrap/>
            <w:vAlign w:val="center"/>
          </w:tcPr>
          <w:p w14:paraId="0DE20F06"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34670730"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Pr>
                <w:rFonts w:eastAsia="Times New Roman" w:cs="Times New Roman"/>
                <w:sz w:val="20"/>
                <w:szCs w:val="20"/>
                <w:lang w:val="es-ES" w:eastAsia="es-AR"/>
              </w:rPr>
              <w:t>2,52</w:t>
            </w:r>
            <w:r w:rsidRPr="00C174D5">
              <w:rPr>
                <w:rFonts w:eastAsia="Times New Roman" w:cs="Times New Roman"/>
                <w:sz w:val="20"/>
                <w:szCs w:val="20"/>
                <w:lang w:val="es-ES" w:eastAsia="es-AR"/>
              </w:rPr>
              <w:t>% (- 30%)</w:t>
            </w:r>
          </w:p>
        </w:tc>
        <w:tc>
          <w:tcPr>
            <w:tcW w:w="1903" w:type="dxa"/>
            <w:tcBorders>
              <w:top w:val="single" w:sz="2" w:space="0" w:color="auto"/>
            </w:tcBorders>
            <w:vAlign w:val="center"/>
          </w:tcPr>
          <w:p w14:paraId="6F8B8424"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2.</w:t>
            </w:r>
            <w:r w:rsidRPr="00AE5DDD">
              <w:rPr>
                <w:rFonts w:eastAsia="Times New Roman" w:cs="Times New Roman"/>
                <w:sz w:val="20"/>
                <w:szCs w:val="20"/>
                <w:lang w:val="es-ES" w:eastAsia="es-AR"/>
              </w:rPr>
              <w:t>776</w:t>
            </w:r>
            <w:r>
              <w:rPr>
                <w:rFonts w:eastAsia="Times New Roman" w:cs="Times New Roman"/>
                <w:sz w:val="20"/>
                <w:szCs w:val="20"/>
                <w:lang w:val="es-ES" w:eastAsia="es-AR"/>
              </w:rPr>
              <w:t>.</w:t>
            </w:r>
            <w:r w:rsidRPr="00AE5DDD">
              <w:rPr>
                <w:rFonts w:eastAsia="Times New Roman" w:cs="Times New Roman"/>
                <w:sz w:val="20"/>
                <w:szCs w:val="20"/>
                <w:lang w:val="es-ES" w:eastAsia="es-AR"/>
              </w:rPr>
              <w:t>313</w:t>
            </w:r>
          </w:p>
        </w:tc>
        <w:tc>
          <w:tcPr>
            <w:tcW w:w="952" w:type="dxa"/>
            <w:tcBorders>
              <w:top w:val="single" w:sz="2" w:space="0" w:color="auto"/>
            </w:tcBorders>
            <w:vAlign w:val="center"/>
          </w:tcPr>
          <w:p w14:paraId="565952C3"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-7,3%</w:t>
            </w:r>
          </w:p>
        </w:tc>
        <w:tc>
          <w:tcPr>
            <w:tcW w:w="728" w:type="dxa"/>
            <w:tcBorders>
              <w:top w:val="single" w:sz="2" w:space="0" w:color="auto"/>
            </w:tcBorders>
            <w:vAlign w:val="center"/>
          </w:tcPr>
          <w:p w14:paraId="3BC8DC14"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50%</w:t>
            </w:r>
          </w:p>
        </w:tc>
      </w:tr>
      <w:tr w:rsidR="00C92C58" w:rsidRPr="00E67BF2" w14:paraId="5E88F960" w14:textId="77777777" w:rsidTr="00B15A9A">
        <w:trPr>
          <w:trHeight w:val="300"/>
          <w:jc w:val="center"/>
        </w:trPr>
        <w:tc>
          <w:tcPr>
            <w:tcW w:w="7693" w:type="dxa"/>
            <w:gridSpan w:val="5"/>
            <w:tcBorders>
              <w:top w:val="single" w:sz="2" w:space="0" w:color="auto"/>
              <w:bottom w:val="single" w:sz="2" w:space="0" w:color="auto"/>
            </w:tcBorders>
            <w:shd w:val="clear" w:color="auto" w:fill="auto"/>
            <w:noWrap/>
            <w:vAlign w:val="center"/>
          </w:tcPr>
          <w:p w14:paraId="2B14F85E"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Costo de falla (base 1.500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w:t>
            </w:r>
          </w:p>
        </w:tc>
      </w:tr>
      <w:tr w:rsidR="00C92C58" w:rsidRPr="00C174D5" w14:paraId="3F5501D5" w14:textId="77777777" w:rsidTr="00B15A9A">
        <w:trPr>
          <w:trHeight w:val="300"/>
          <w:jc w:val="center"/>
        </w:trPr>
        <w:tc>
          <w:tcPr>
            <w:tcW w:w="1701" w:type="dxa"/>
            <w:tcBorders>
              <w:top w:val="single" w:sz="2" w:space="0" w:color="auto"/>
            </w:tcBorders>
            <w:shd w:val="clear" w:color="auto" w:fill="auto"/>
            <w:noWrap/>
            <w:vAlign w:val="center"/>
          </w:tcPr>
          <w:p w14:paraId="47D3BFCD"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2171F2D7"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1.725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xml:space="preserve"> (+ 15%)</w:t>
            </w:r>
          </w:p>
        </w:tc>
        <w:tc>
          <w:tcPr>
            <w:tcW w:w="1903" w:type="dxa"/>
            <w:tcBorders>
              <w:top w:val="single" w:sz="2" w:space="0" w:color="auto"/>
            </w:tcBorders>
            <w:vAlign w:val="center"/>
          </w:tcPr>
          <w:p w14:paraId="2B7DF401"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3.</w:t>
            </w:r>
            <w:r w:rsidRPr="00552C65">
              <w:rPr>
                <w:rFonts w:eastAsia="Times New Roman" w:cs="Times New Roman"/>
                <w:sz w:val="20"/>
                <w:szCs w:val="20"/>
                <w:lang w:val="es-ES" w:eastAsia="es-AR"/>
              </w:rPr>
              <w:t>742</w:t>
            </w:r>
            <w:r>
              <w:rPr>
                <w:rFonts w:eastAsia="Times New Roman" w:cs="Times New Roman"/>
                <w:sz w:val="20"/>
                <w:szCs w:val="20"/>
                <w:lang w:val="es-ES" w:eastAsia="es-AR"/>
              </w:rPr>
              <w:t>.</w:t>
            </w:r>
            <w:r w:rsidRPr="00552C65">
              <w:rPr>
                <w:rFonts w:eastAsia="Times New Roman" w:cs="Times New Roman"/>
                <w:sz w:val="20"/>
                <w:szCs w:val="20"/>
                <w:lang w:val="es-ES" w:eastAsia="es-AR"/>
              </w:rPr>
              <w:t>969</w:t>
            </w:r>
          </w:p>
        </w:tc>
        <w:tc>
          <w:tcPr>
            <w:tcW w:w="952" w:type="dxa"/>
            <w:tcBorders>
              <w:top w:val="single" w:sz="2" w:space="0" w:color="auto"/>
            </w:tcBorders>
            <w:vAlign w:val="center"/>
          </w:tcPr>
          <w:p w14:paraId="1A06924C"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24,9%</w:t>
            </w:r>
          </w:p>
        </w:tc>
        <w:tc>
          <w:tcPr>
            <w:tcW w:w="728" w:type="dxa"/>
            <w:tcBorders>
              <w:top w:val="single" w:sz="2" w:space="0" w:color="auto"/>
            </w:tcBorders>
            <w:vAlign w:val="center"/>
          </w:tcPr>
          <w:p w14:paraId="09272F7A"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60%</w:t>
            </w:r>
          </w:p>
        </w:tc>
      </w:tr>
      <w:tr w:rsidR="00C92C58" w:rsidRPr="00C174D5" w14:paraId="0A1D5F86" w14:textId="77777777" w:rsidTr="00B15A9A">
        <w:trPr>
          <w:trHeight w:val="300"/>
          <w:jc w:val="center"/>
        </w:trPr>
        <w:tc>
          <w:tcPr>
            <w:tcW w:w="1701" w:type="dxa"/>
            <w:tcBorders>
              <w:top w:val="single" w:sz="2" w:space="0" w:color="auto"/>
              <w:bottom w:val="single" w:sz="2" w:space="0" w:color="auto"/>
            </w:tcBorders>
            <w:shd w:val="clear" w:color="auto" w:fill="auto"/>
            <w:noWrap/>
            <w:vAlign w:val="center"/>
          </w:tcPr>
          <w:p w14:paraId="3B343028"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bottom w:val="single" w:sz="2" w:space="0" w:color="auto"/>
            </w:tcBorders>
            <w:shd w:val="clear" w:color="auto" w:fill="auto"/>
            <w:vAlign w:val="center"/>
          </w:tcPr>
          <w:p w14:paraId="5C2837F6"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1.275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xml:space="preserve"> (- 15%)</w:t>
            </w:r>
          </w:p>
        </w:tc>
        <w:tc>
          <w:tcPr>
            <w:tcW w:w="1903" w:type="dxa"/>
            <w:tcBorders>
              <w:top w:val="single" w:sz="2" w:space="0" w:color="auto"/>
              <w:bottom w:val="single" w:sz="2" w:space="0" w:color="auto"/>
            </w:tcBorders>
            <w:vAlign w:val="center"/>
          </w:tcPr>
          <w:p w14:paraId="0DF7B282"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552C65">
              <w:rPr>
                <w:rFonts w:eastAsia="Times New Roman" w:cs="Times New Roman"/>
                <w:sz w:val="20"/>
                <w:szCs w:val="20"/>
                <w:lang w:val="es-ES" w:eastAsia="es-AR"/>
              </w:rPr>
              <w:t>2</w:t>
            </w:r>
            <w:r>
              <w:rPr>
                <w:rFonts w:eastAsia="Times New Roman" w:cs="Times New Roman"/>
                <w:sz w:val="20"/>
                <w:szCs w:val="20"/>
                <w:lang w:val="es-ES" w:eastAsia="es-AR"/>
              </w:rPr>
              <w:t>.248.</w:t>
            </w:r>
            <w:r w:rsidRPr="00552C65">
              <w:rPr>
                <w:rFonts w:eastAsia="Times New Roman" w:cs="Times New Roman"/>
                <w:sz w:val="20"/>
                <w:szCs w:val="20"/>
                <w:lang w:val="es-ES" w:eastAsia="es-AR"/>
              </w:rPr>
              <w:t>587</w:t>
            </w:r>
          </w:p>
        </w:tc>
        <w:tc>
          <w:tcPr>
            <w:tcW w:w="952" w:type="dxa"/>
            <w:tcBorders>
              <w:top w:val="single" w:sz="2" w:space="0" w:color="auto"/>
              <w:bottom w:val="single" w:sz="2" w:space="0" w:color="auto"/>
            </w:tcBorders>
            <w:vAlign w:val="center"/>
          </w:tcPr>
          <w:p w14:paraId="7287EC68"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-24,9%</w:t>
            </w:r>
          </w:p>
        </w:tc>
        <w:tc>
          <w:tcPr>
            <w:tcW w:w="728" w:type="dxa"/>
            <w:tcBorders>
              <w:top w:val="single" w:sz="2" w:space="0" w:color="auto"/>
              <w:bottom w:val="single" w:sz="2" w:space="0" w:color="auto"/>
            </w:tcBorders>
            <w:vAlign w:val="center"/>
          </w:tcPr>
          <w:p w14:paraId="6385410C"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42%</w:t>
            </w:r>
          </w:p>
        </w:tc>
      </w:tr>
      <w:tr w:rsidR="00C92C58" w:rsidRPr="00C174D5" w14:paraId="396AC29D" w14:textId="77777777" w:rsidTr="00B15A9A">
        <w:trPr>
          <w:trHeight w:val="300"/>
          <w:jc w:val="center"/>
        </w:trPr>
        <w:tc>
          <w:tcPr>
            <w:tcW w:w="1701" w:type="dxa"/>
            <w:tcBorders>
              <w:top w:val="single" w:sz="2" w:space="0" w:color="auto"/>
            </w:tcBorders>
            <w:shd w:val="clear" w:color="auto" w:fill="auto"/>
            <w:noWrap/>
            <w:vAlign w:val="center"/>
          </w:tcPr>
          <w:p w14:paraId="23E65C51"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57705196"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Pr>
                <w:rFonts w:eastAsia="Times New Roman" w:cs="Times New Roman"/>
                <w:sz w:val="20"/>
                <w:szCs w:val="20"/>
                <w:lang w:val="es-ES" w:eastAsia="es-AR"/>
              </w:rPr>
              <w:t xml:space="preserve">598 </w:t>
            </w:r>
            <w:r w:rsidRPr="00C174D5">
              <w:rPr>
                <w:rFonts w:eastAsia="Times New Roman" w:cs="Times New Roman"/>
                <w:sz w:val="20"/>
                <w:szCs w:val="20"/>
                <w:lang w:val="es-ES" w:eastAsia="es-AR"/>
              </w:rPr>
              <w:t>US$ (</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w:t>
            </w:r>
            <w:r>
              <w:rPr>
                <w:rFonts w:eastAsia="Times New Roman" w:cs="Times New Roman"/>
                <w:sz w:val="20"/>
                <w:szCs w:val="20"/>
                <w:lang w:val="es-ES" w:eastAsia="es-AR"/>
              </w:rPr>
              <w:t xml:space="preserve"> 39</w:t>
            </w:r>
            <w:r w:rsidRPr="00C174D5">
              <w:rPr>
                <w:rFonts w:eastAsia="Times New Roman" w:cs="Times New Roman"/>
                <w:sz w:val="20"/>
                <w:szCs w:val="20"/>
                <w:lang w:val="es-ES" w:eastAsia="es-AR"/>
              </w:rPr>
              <w:t>%)</w:t>
            </w:r>
          </w:p>
        </w:tc>
        <w:tc>
          <w:tcPr>
            <w:tcW w:w="1903" w:type="dxa"/>
            <w:tcBorders>
              <w:top w:val="single" w:sz="2" w:space="0" w:color="auto"/>
            </w:tcBorders>
            <w:vAlign w:val="center"/>
          </w:tcPr>
          <w:p w14:paraId="0AF6D03F"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0</w:t>
            </w:r>
          </w:p>
        </w:tc>
        <w:tc>
          <w:tcPr>
            <w:tcW w:w="952" w:type="dxa"/>
            <w:tcBorders>
              <w:top w:val="single" w:sz="2" w:space="0" w:color="auto"/>
            </w:tcBorders>
            <w:vAlign w:val="center"/>
          </w:tcPr>
          <w:p w14:paraId="399FB1D1"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w:t>
            </w:r>
          </w:p>
        </w:tc>
        <w:tc>
          <w:tcPr>
            <w:tcW w:w="728" w:type="dxa"/>
            <w:tcBorders>
              <w:top w:val="single" w:sz="2" w:space="0" w:color="auto"/>
            </w:tcBorders>
            <w:vAlign w:val="center"/>
          </w:tcPr>
          <w:p w14:paraId="3E7569DB"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12%</w:t>
            </w:r>
          </w:p>
        </w:tc>
      </w:tr>
      <w:tr w:rsidR="00C92C58" w:rsidRPr="00C174D5" w14:paraId="7E0B5F13" w14:textId="77777777" w:rsidTr="00B15A9A">
        <w:trPr>
          <w:trHeight w:val="300"/>
          <w:jc w:val="center"/>
        </w:trPr>
        <w:tc>
          <w:tcPr>
            <w:tcW w:w="7693" w:type="dxa"/>
            <w:gridSpan w:val="5"/>
            <w:tcBorders>
              <w:top w:val="single" w:sz="2" w:space="0" w:color="auto"/>
              <w:bottom w:val="single" w:sz="2" w:space="0" w:color="auto"/>
            </w:tcBorders>
            <w:shd w:val="clear" w:color="auto" w:fill="auto"/>
            <w:noWrap/>
            <w:vAlign w:val="center"/>
          </w:tcPr>
          <w:p w14:paraId="4FB8C286"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Costo de inversión</w:t>
            </w:r>
            <w:r w:rsidRPr="00C174D5">
              <w:rPr>
                <w:rStyle w:val="FootnoteReference"/>
                <w:rFonts w:eastAsia="Times New Roman" w:cs="Times New Roman"/>
                <w:sz w:val="20"/>
                <w:szCs w:val="20"/>
                <w:lang w:val="es-ES" w:eastAsia="es-AR"/>
              </w:rPr>
              <w:footnoteReference w:id="50"/>
            </w:r>
            <w:r w:rsidRPr="00C174D5">
              <w:rPr>
                <w:rFonts w:eastAsia="Times New Roman" w:cs="Times New Roman"/>
                <w:sz w:val="20"/>
                <w:szCs w:val="20"/>
                <w:lang w:val="es-ES" w:eastAsia="es-AR"/>
              </w:rPr>
              <w:t xml:space="preserve"> (base</w:t>
            </w:r>
            <w:r>
              <w:rPr>
                <w:rFonts w:eastAsia="Times New Roman" w:cs="Times New Roman"/>
                <w:sz w:val="20"/>
                <w:szCs w:val="20"/>
                <w:lang w:val="es-ES" w:eastAsia="es-AR"/>
              </w:rPr>
              <w:t xml:space="preserve"> </w:t>
            </w:r>
            <w:r w:rsidRPr="004440E4">
              <w:rPr>
                <w:rFonts w:eastAsia="Times New Roman" w:cs="Times New Roman"/>
                <w:sz w:val="20"/>
                <w:szCs w:val="20"/>
                <w:lang w:val="es-ES" w:eastAsia="es-AR"/>
              </w:rPr>
              <w:t>1</w:t>
            </w:r>
            <w:r>
              <w:rPr>
                <w:rFonts w:eastAsia="Times New Roman" w:cs="Times New Roman"/>
                <w:sz w:val="20"/>
                <w:szCs w:val="20"/>
                <w:lang w:val="es-ES" w:eastAsia="es-AR"/>
              </w:rPr>
              <w:t>.</w:t>
            </w:r>
            <w:r w:rsidRPr="004440E4">
              <w:rPr>
                <w:rFonts w:eastAsia="Times New Roman" w:cs="Times New Roman"/>
                <w:sz w:val="20"/>
                <w:szCs w:val="20"/>
                <w:lang w:val="es-ES" w:eastAsia="es-AR"/>
              </w:rPr>
              <w:t>107</w:t>
            </w:r>
            <w:r>
              <w:rPr>
                <w:rFonts w:eastAsia="Times New Roman" w:cs="Times New Roman"/>
                <w:sz w:val="20"/>
                <w:szCs w:val="20"/>
                <w:lang w:val="es-ES" w:eastAsia="es-AR"/>
              </w:rPr>
              <w:t>.</w:t>
            </w:r>
            <w:r w:rsidRPr="004440E4">
              <w:rPr>
                <w:rFonts w:eastAsia="Times New Roman" w:cs="Times New Roman"/>
                <w:sz w:val="20"/>
                <w:szCs w:val="20"/>
                <w:lang w:val="es-ES" w:eastAsia="es-AR"/>
              </w:rPr>
              <w:t>657</w:t>
            </w:r>
            <w:r w:rsidRPr="00C174D5">
              <w:rPr>
                <w:rFonts w:eastAsia="Times New Roman" w:cs="Times New Roman"/>
                <w:sz w:val="20"/>
                <w:szCs w:val="20"/>
                <w:lang w:val="es-ES" w:eastAsia="es-AR"/>
              </w:rPr>
              <w:t>)</w:t>
            </w:r>
          </w:p>
        </w:tc>
      </w:tr>
      <w:tr w:rsidR="00C92C58" w:rsidRPr="00C174D5" w14:paraId="74C199A4" w14:textId="77777777" w:rsidTr="00B15A9A">
        <w:trPr>
          <w:trHeight w:val="300"/>
          <w:jc w:val="center"/>
        </w:trPr>
        <w:tc>
          <w:tcPr>
            <w:tcW w:w="1701" w:type="dxa"/>
            <w:tcBorders>
              <w:top w:val="single" w:sz="2" w:space="0" w:color="auto"/>
            </w:tcBorders>
            <w:shd w:val="clear" w:color="auto" w:fill="auto"/>
            <w:noWrap/>
            <w:vAlign w:val="center"/>
          </w:tcPr>
          <w:p w14:paraId="154B5849"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0686B014"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Pr>
                <w:rFonts w:eastAsia="Times New Roman" w:cs="Times New Roman"/>
                <w:sz w:val="20"/>
                <w:szCs w:val="20"/>
                <w:lang w:val="es-ES" w:eastAsia="es-AR"/>
              </w:rPr>
              <w:t>1.</w:t>
            </w:r>
            <w:r w:rsidRPr="004440E4">
              <w:rPr>
                <w:rFonts w:eastAsia="Times New Roman" w:cs="Times New Roman"/>
                <w:sz w:val="20"/>
                <w:szCs w:val="20"/>
                <w:lang w:val="es-ES" w:eastAsia="es-AR"/>
              </w:rPr>
              <w:t>273</w:t>
            </w:r>
            <w:r>
              <w:rPr>
                <w:rFonts w:eastAsia="Times New Roman" w:cs="Times New Roman"/>
                <w:sz w:val="20"/>
                <w:szCs w:val="20"/>
                <w:lang w:val="es-ES" w:eastAsia="es-AR"/>
              </w:rPr>
              <w:t>.</w:t>
            </w:r>
            <w:r w:rsidRPr="004440E4">
              <w:rPr>
                <w:rFonts w:eastAsia="Times New Roman" w:cs="Times New Roman"/>
                <w:sz w:val="20"/>
                <w:szCs w:val="20"/>
                <w:lang w:val="es-ES" w:eastAsia="es-AR"/>
              </w:rPr>
              <w:t>805</w:t>
            </w:r>
            <w:r w:rsidRPr="00C174D5">
              <w:rPr>
                <w:rFonts w:eastAsia="Times New Roman" w:cs="Times New Roman"/>
                <w:sz w:val="20"/>
                <w:szCs w:val="20"/>
                <w:lang w:val="es-ES" w:eastAsia="es-AR"/>
              </w:rPr>
              <w:t xml:space="preserve"> (+</w:t>
            </w:r>
            <w:r>
              <w:rPr>
                <w:rFonts w:eastAsia="Times New Roman" w:cs="Times New Roman"/>
                <w:sz w:val="20"/>
                <w:szCs w:val="20"/>
                <w:lang w:val="es-ES" w:eastAsia="es-AR"/>
              </w:rPr>
              <w:t xml:space="preserve"> </w:t>
            </w:r>
            <w:r w:rsidRPr="00C174D5">
              <w:rPr>
                <w:rFonts w:eastAsia="Times New Roman" w:cs="Times New Roman"/>
                <w:sz w:val="20"/>
                <w:szCs w:val="20"/>
                <w:lang w:val="es-ES" w:eastAsia="es-AR"/>
              </w:rPr>
              <w:t>15%)</w:t>
            </w:r>
          </w:p>
        </w:tc>
        <w:tc>
          <w:tcPr>
            <w:tcW w:w="1903" w:type="dxa"/>
            <w:tcBorders>
              <w:top w:val="single" w:sz="2" w:space="0" w:color="auto"/>
            </w:tcBorders>
            <w:vAlign w:val="center"/>
          </w:tcPr>
          <w:p w14:paraId="781DB4A5"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552C65">
              <w:rPr>
                <w:rFonts w:eastAsia="Times New Roman" w:cs="Times New Roman"/>
                <w:sz w:val="20"/>
                <w:szCs w:val="20"/>
                <w:lang w:val="es-ES" w:eastAsia="es-AR"/>
              </w:rPr>
              <w:t>2</w:t>
            </w:r>
            <w:r>
              <w:rPr>
                <w:rFonts w:eastAsia="Times New Roman" w:cs="Times New Roman"/>
                <w:sz w:val="20"/>
                <w:szCs w:val="20"/>
                <w:lang w:val="es-ES" w:eastAsia="es-AR"/>
              </w:rPr>
              <w:t>.</w:t>
            </w:r>
            <w:r w:rsidRPr="00552C65">
              <w:rPr>
                <w:rFonts w:eastAsia="Times New Roman" w:cs="Times New Roman"/>
                <w:sz w:val="20"/>
                <w:szCs w:val="20"/>
                <w:lang w:val="es-ES" w:eastAsia="es-AR"/>
              </w:rPr>
              <w:t>802</w:t>
            </w:r>
            <w:r>
              <w:rPr>
                <w:rFonts w:eastAsia="Times New Roman" w:cs="Times New Roman"/>
                <w:sz w:val="20"/>
                <w:szCs w:val="20"/>
                <w:lang w:val="es-ES" w:eastAsia="es-AR"/>
              </w:rPr>
              <w:t>.</w:t>
            </w:r>
            <w:r w:rsidRPr="00552C65">
              <w:rPr>
                <w:rFonts w:eastAsia="Times New Roman" w:cs="Times New Roman"/>
                <w:sz w:val="20"/>
                <w:szCs w:val="20"/>
                <w:lang w:val="es-ES" w:eastAsia="es-AR"/>
              </w:rPr>
              <w:t>676</w:t>
            </w:r>
          </w:p>
        </w:tc>
        <w:tc>
          <w:tcPr>
            <w:tcW w:w="952" w:type="dxa"/>
            <w:tcBorders>
              <w:top w:val="single" w:sz="2" w:space="0" w:color="auto"/>
            </w:tcBorders>
            <w:vAlign w:val="center"/>
          </w:tcPr>
          <w:p w14:paraId="26A825CA"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-6,45%</w:t>
            </w:r>
          </w:p>
        </w:tc>
        <w:tc>
          <w:tcPr>
            <w:tcW w:w="728" w:type="dxa"/>
            <w:tcBorders>
              <w:top w:val="single" w:sz="2" w:space="0" w:color="auto"/>
            </w:tcBorders>
            <w:vAlign w:val="center"/>
          </w:tcPr>
          <w:p w14:paraId="1BBE7600"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44%</w:t>
            </w:r>
          </w:p>
        </w:tc>
      </w:tr>
      <w:tr w:rsidR="00C92C58" w:rsidRPr="00C174D5" w14:paraId="13C6055E" w14:textId="77777777" w:rsidTr="00B15A9A">
        <w:trPr>
          <w:trHeight w:val="300"/>
          <w:jc w:val="center"/>
        </w:trPr>
        <w:tc>
          <w:tcPr>
            <w:tcW w:w="1701" w:type="dxa"/>
            <w:tcBorders>
              <w:top w:val="single" w:sz="2" w:space="0" w:color="auto"/>
              <w:bottom w:val="single" w:sz="2" w:space="0" w:color="auto"/>
            </w:tcBorders>
            <w:shd w:val="clear" w:color="auto" w:fill="auto"/>
            <w:noWrap/>
            <w:vAlign w:val="center"/>
          </w:tcPr>
          <w:p w14:paraId="423018E5"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bottom w:val="single" w:sz="2" w:space="0" w:color="auto"/>
            </w:tcBorders>
            <w:shd w:val="clear" w:color="auto" w:fill="auto"/>
            <w:vAlign w:val="center"/>
          </w:tcPr>
          <w:p w14:paraId="4A37EDD2"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4440E4">
              <w:rPr>
                <w:rFonts w:eastAsia="Times New Roman" w:cs="Times New Roman"/>
                <w:sz w:val="20"/>
                <w:szCs w:val="20"/>
                <w:lang w:val="es-ES" w:eastAsia="es-AR"/>
              </w:rPr>
              <w:t>1</w:t>
            </w:r>
            <w:r>
              <w:rPr>
                <w:rFonts w:eastAsia="Times New Roman" w:cs="Times New Roman"/>
                <w:sz w:val="20"/>
                <w:szCs w:val="20"/>
                <w:lang w:val="es-ES" w:eastAsia="es-AR"/>
              </w:rPr>
              <w:t>.</w:t>
            </w:r>
            <w:r w:rsidRPr="004440E4">
              <w:rPr>
                <w:rFonts w:eastAsia="Times New Roman" w:cs="Times New Roman"/>
                <w:sz w:val="20"/>
                <w:szCs w:val="20"/>
                <w:lang w:val="es-ES" w:eastAsia="es-AR"/>
              </w:rPr>
              <w:t>439</w:t>
            </w:r>
            <w:r>
              <w:rPr>
                <w:rFonts w:eastAsia="Times New Roman" w:cs="Times New Roman"/>
                <w:sz w:val="20"/>
                <w:szCs w:val="20"/>
                <w:lang w:val="es-ES" w:eastAsia="es-AR"/>
              </w:rPr>
              <w:t>.</w:t>
            </w:r>
            <w:r w:rsidRPr="004440E4">
              <w:rPr>
                <w:rFonts w:eastAsia="Times New Roman" w:cs="Times New Roman"/>
                <w:sz w:val="20"/>
                <w:szCs w:val="20"/>
                <w:lang w:val="es-ES" w:eastAsia="es-AR"/>
              </w:rPr>
              <w:t>953</w:t>
            </w:r>
            <w:r w:rsidRPr="00C174D5">
              <w:rPr>
                <w:rFonts w:eastAsia="Times New Roman" w:cs="Times New Roman"/>
                <w:sz w:val="20"/>
                <w:szCs w:val="20"/>
                <w:lang w:val="es-ES" w:eastAsia="es-AR"/>
              </w:rPr>
              <w:t xml:space="preserve"> (+</w:t>
            </w:r>
            <w:r>
              <w:rPr>
                <w:rFonts w:eastAsia="Times New Roman" w:cs="Times New Roman"/>
                <w:sz w:val="20"/>
                <w:szCs w:val="20"/>
                <w:lang w:val="es-ES" w:eastAsia="es-AR"/>
              </w:rPr>
              <w:t xml:space="preserve"> </w:t>
            </w:r>
            <w:r w:rsidRPr="00C174D5">
              <w:rPr>
                <w:rFonts w:eastAsia="Times New Roman" w:cs="Times New Roman"/>
                <w:sz w:val="20"/>
                <w:szCs w:val="20"/>
                <w:lang w:val="es-ES" w:eastAsia="es-AR"/>
              </w:rPr>
              <w:t>30%)</w:t>
            </w:r>
          </w:p>
        </w:tc>
        <w:tc>
          <w:tcPr>
            <w:tcW w:w="1903" w:type="dxa"/>
            <w:tcBorders>
              <w:top w:val="single" w:sz="2" w:space="0" w:color="auto"/>
              <w:bottom w:val="single" w:sz="2" w:space="0" w:color="auto"/>
            </w:tcBorders>
            <w:vAlign w:val="center"/>
          </w:tcPr>
          <w:p w14:paraId="5EAB68F4"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552C65">
              <w:rPr>
                <w:rFonts w:eastAsia="Times New Roman" w:cs="Times New Roman"/>
                <w:sz w:val="20"/>
                <w:szCs w:val="20"/>
                <w:lang w:val="es-ES" w:eastAsia="es-AR"/>
              </w:rPr>
              <w:t>2</w:t>
            </w:r>
            <w:r>
              <w:rPr>
                <w:rFonts w:eastAsia="Times New Roman" w:cs="Times New Roman"/>
                <w:sz w:val="20"/>
                <w:szCs w:val="20"/>
                <w:lang w:val="es-ES" w:eastAsia="es-AR"/>
              </w:rPr>
              <w:t>.609.</w:t>
            </w:r>
            <w:r w:rsidRPr="00552C65">
              <w:rPr>
                <w:rFonts w:eastAsia="Times New Roman" w:cs="Times New Roman"/>
                <w:sz w:val="20"/>
                <w:szCs w:val="20"/>
                <w:lang w:val="es-ES" w:eastAsia="es-AR"/>
              </w:rPr>
              <w:t>574</w:t>
            </w:r>
          </w:p>
        </w:tc>
        <w:tc>
          <w:tcPr>
            <w:tcW w:w="952" w:type="dxa"/>
            <w:tcBorders>
              <w:top w:val="single" w:sz="2" w:space="0" w:color="auto"/>
              <w:bottom w:val="single" w:sz="2" w:space="0" w:color="auto"/>
            </w:tcBorders>
            <w:vAlign w:val="center"/>
          </w:tcPr>
          <w:p w14:paraId="70E64668"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-12,89%</w:t>
            </w:r>
          </w:p>
        </w:tc>
        <w:tc>
          <w:tcPr>
            <w:tcW w:w="728" w:type="dxa"/>
            <w:tcBorders>
              <w:top w:val="single" w:sz="2" w:space="0" w:color="auto"/>
              <w:bottom w:val="single" w:sz="2" w:space="0" w:color="auto"/>
            </w:tcBorders>
            <w:vAlign w:val="center"/>
          </w:tcPr>
          <w:p w14:paraId="4D2807F4"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39%</w:t>
            </w:r>
          </w:p>
        </w:tc>
      </w:tr>
      <w:tr w:rsidR="00C92C58" w:rsidRPr="00C174D5" w14:paraId="6292CA44" w14:textId="77777777" w:rsidTr="00B15A9A">
        <w:trPr>
          <w:trHeight w:val="300"/>
          <w:jc w:val="center"/>
        </w:trPr>
        <w:tc>
          <w:tcPr>
            <w:tcW w:w="7693" w:type="dxa"/>
            <w:gridSpan w:val="5"/>
            <w:tcBorders>
              <w:top w:val="single" w:sz="2" w:space="0" w:color="auto"/>
            </w:tcBorders>
            <w:shd w:val="clear" w:color="auto" w:fill="auto"/>
            <w:noWrap/>
            <w:vAlign w:val="center"/>
          </w:tcPr>
          <w:p w14:paraId="2EC8A5F1"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Pr>
                <w:rFonts w:eastAsia="Times New Roman" w:cs="Times New Roman"/>
                <w:sz w:val="20"/>
                <w:szCs w:val="20"/>
                <w:lang w:val="es-ES" w:eastAsia="es-AR"/>
              </w:rPr>
              <w:t>Horas para reemplazo de transformador (base 7hs)</w:t>
            </w:r>
          </w:p>
        </w:tc>
      </w:tr>
      <w:tr w:rsidR="00C92C58" w:rsidRPr="00C174D5" w14:paraId="4E5B3BEB" w14:textId="77777777" w:rsidTr="00B15A9A">
        <w:trPr>
          <w:trHeight w:val="300"/>
          <w:jc w:val="center"/>
        </w:trPr>
        <w:tc>
          <w:tcPr>
            <w:tcW w:w="1701" w:type="dxa"/>
            <w:tcBorders>
              <w:top w:val="single" w:sz="2" w:space="0" w:color="auto"/>
            </w:tcBorders>
            <w:shd w:val="clear" w:color="auto" w:fill="auto"/>
            <w:noWrap/>
            <w:vAlign w:val="center"/>
          </w:tcPr>
          <w:p w14:paraId="346689FD"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5CC88F57"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Pr>
                <w:rFonts w:eastAsia="Times New Roman" w:cs="Times New Roman"/>
                <w:sz w:val="20"/>
                <w:szCs w:val="20"/>
                <w:lang w:val="es-ES" w:eastAsia="es-AR"/>
              </w:rPr>
              <w:t xml:space="preserve">8 </w:t>
            </w:r>
            <w:proofErr w:type="spellStart"/>
            <w:r>
              <w:rPr>
                <w:rFonts w:eastAsia="Times New Roman" w:cs="Times New Roman"/>
                <w:sz w:val="20"/>
                <w:szCs w:val="20"/>
                <w:lang w:val="es-ES" w:eastAsia="es-AR"/>
              </w:rPr>
              <w:t>hs</w:t>
            </w:r>
            <w:proofErr w:type="spellEnd"/>
          </w:p>
        </w:tc>
        <w:tc>
          <w:tcPr>
            <w:tcW w:w="1903" w:type="dxa"/>
            <w:tcBorders>
              <w:top w:val="single" w:sz="2" w:space="0" w:color="auto"/>
            </w:tcBorders>
            <w:vAlign w:val="center"/>
          </w:tcPr>
          <w:p w14:paraId="152FF40B"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2.</w:t>
            </w:r>
            <w:r w:rsidRPr="00EF4038">
              <w:rPr>
                <w:rFonts w:eastAsia="Times New Roman" w:cs="Times New Roman"/>
                <w:sz w:val="20"/>
                <w:szCs w:val="20"/>
                <w:lang w:val="es-ES" w:eastAsia="es-AR"/>
              </w:rPr>
              <w:t>037</w:t>
            </w:r>
            <w:r>
              <w:rPr>
                <w:rFonts w:eastAsia="Times New Roman" w:cs="Times New Roman"/>
                <w:sz w:val="20"/>
                <w:szCs w:val="20"/>
                <w:lang w:val="es-ES" w:eastAsia="es-AR"/>
              </w:rPr>
              <w:t>.</w:t>
            </w:r>
            <w:r w:rsidRPr="00EF4038">
              <w:rPr>
                <w:rFonts w:eastAsia="Times New Roman" w:cs="Times New Roman"/>
                <w:sz w:val="20"/>
                <w:szCs w:val="20"/>
                <w:lang w:val="es-ES" w:eastAsia="es-AR"/>
              </w:rPr>
              <w:t>722</w:t>
            </w:r>
          </w:p>
        </w:tc>
        <w:tc>
          <w:tcPr>
            <w:tcW w:w="952" w:type="dxa"/>
            <w:tcBorders>
              <w:top w:val="single" w:sz="2" w:space="0" w:color="auto"/>
            </w:tcBorders>
            <w:vAlign w:val="center"/>
          </w:tcPr>
          <w:p w14:paraId="6BB21200"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-32%</w:t>
            </w:r>
          </w:p>
        </w:tc>
        <w:tc>
          <w:tcPr>
            <w:tcW w:w="728" w:type="dxa"/>
            <w:tcBorders>
              <w:top w:val="single" w:sz="2" w:space="0" w:color="auto"/>
            </w:tcBorders>
            <w:vAlign w:val="center"/>
          </w:tcPr>
          <w:p w14:paraId="29697932"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40%</w:t>
            </w:r>
          </w:p>
        </w:tc>
      </w:tr>
    </w:tbl>
    <w:p w14:paraId="1D168E86" w14:textId="77777777" w:rsidR="00C92C58" w:rsidRPr="00C174D5" w:rsidRDefault="00C92C58" w:rsidP="00C92C58">
      <w:pPr>
        <w:ind w:left="709" w:right="708"/>
        <w:rPr>
          <w:sz w:val="18"/>
          <w:lang w:val="es-ES"/>
        </w:rPr>
      </w:pPr>
      <w:r w:rsidRPr="00C174D5">
        <w:rPr>
          <w:sz w:val="18"/>
          <w:lang w:val="es-ES"/>
        </w:rPr>
        <w:t>Fuente: Elaboración propia en base a información de ENATREL provista por el BID</w:t>
      </w:r>
    </w:p>
    <w:p w14:paraId="05667097" w14:textId="77777777" w:rsidR="00C92C58" w:rsidRPr="00C174D5" w:rsidRDefault="00C92C58" w:rsidP="00C92C58">
      <w:pPr>
        <w:rPr>
          <w:lang w:val="es-ES"/>
        </w:rPr>
      </w:pPr>
      <w:r w:rsidRPr="00C174D5">
        <w:rPr>
          <w:lang w:val="es-ES"/>
        </w:rPr>
        <w:t xml:space="preserve">También en este caso los resultados de la evaluación económica son robustos a las sensibilidades efectuadas. Cabe mencionar que para que el VPNE de este proyecto sea nulo, el costo de falla debe ser un </w:t>
      </w:r>
      <w:r>
        <w:rPr>
          <w:lang w:val="es-ES"/>
        </w:rPr>
        <w:t>39</w:t>
      </w:r>
      <w:r w:rsidRPr="00C174D5">
        <w:rPr>
          <w:lang w:val="es-ES"/>
        </w:rPr>
        <w:t xml:space="preserve">% menor al utilizado en la evaluación, cerca de </w:t>
      </w:r>
      <w:r>
        <w:rPr>
          <w:lang w:val="es-ES"/>
        </w:rPr>
        <w:t xml:space="preserve">598 </w:t>
      </w:r>
      <w:r w:rsidRPr="00C174D5">
        <w:rPr>
          <w:lang w:val="es-ES"/>
        </w:rPr>
        <w:t>US$/</w:t>
      </w:r>
      <w:proofErr w:type="spellStart"/>
      <w:r w:rsidRPr="00C174D5">
        <w:rPr>
          <w:lang w:val="es-ES"/>
        </w:rPr>
        <w:t>MWh</w:t>
      </w:r>
      <w:proofErr w:type="spellEnd"/>
      <w:r w:rsidRPr="00C174D5">
        <w:rPr>
          <w:lang w:val="es-ES"/>
        </w:rPr>
        <w:t>.</w:t>
      </w:r>
    </w:p>
    <w:p w14:paraId="45FA1664" w14:textId="77777777" w:rsidR="00C92C58" w:rsidRPr="00C174D5" w:rsidRDefault="00C92C58" w:rsidP="00C92C58">
      <w:pPr>
        <w:pStyle w:val="Heading1"/>
        <w:numPr>
          <w:ilvl w:val="0"/>
          <w:numId w:val="9"/>
        </w:numPr>
        <w:rPr>
          <w:lang w:val="es-ES"/>
        </w:rPr>
      </w:pPr>
      <w:bookmarkStart w:id="198" w:name="_Toc456353145"/>
      <w:r w:rsidRPr="00C174D5">
        <w:rPr>
          <w:lang w:val="es-ES"/>
        </w:rPr>
        <w:lastRenderedPageBreak/>
        <w:t>Evaluación Económica y financiera - proyectos de refuerzo del sistema regional</w:t>
      </w:r>
      <w:bookmarkEnd w:id="198"/>
      <w:r w:rsidRPr="00C174D5">
        <w:rPr>
          <w:lang w:val="es-ES"/>
        </w:rPr>
        <w:t xml:space="preserve"> </w:t>
      </w:r>
    </w:p>
    <w:p w14:paraId="2639C363" w14:textId="77777777" w:rsidR="00C92C58" w:rsidRPr="00C174D5" w:rsidRDefault="00C92C58" w:rsidP="00C92C58">
      <w:pPr>
        <w:rPr>
          <w:lang w:val="es-ES"/>
        </w:rPr>
      </w:pPr>
      <w:r w:rsidRPr="00C174D5">
        <w:rPr>
          <w:lang w:val="es-ES"/>
        </w:rPr>
        <w:t>En esta sección se realiza la evaluación del proyecto de aumento de la capacidad de líneas de 230kV. En el caso de este proyecto, el análisis se realiza desde dos perspectivas, una perspectiva regional y una perspectiva local.</w:t>
      </w:r>
    </w:p>
    <w:p w14:paraId="11096444" w14:textId="77777777" w:rsidR="00C92C58" w:rsidRPr="00C174D5" w:rsidRDefault="00C92C58" w:rsidP="00C92C58">
      <w:pPr>
        <w:rPr>
          <w:lang w:val="es-ES"/>
        </w:rPr>
      </w:pPr>
      <w:r w:rsidRPr="00C174D5">
        <w:rPr>
          <w:lang w:val="es-ES"/>
        </w:rPr>
        <w:t xml:space="preserve">Para la exitosa interconexión de las redes eléctricas de los seis países de América Central que conforman el SIEPAC, es necesario que cada uno de los países intervinientes realice refuerzos en sus respectivos sistemas de transmisión. </w:t>
      </w:r>
    </w:p>
    <w:p w14:paraId="30583A21" w14:textId="77777777" w:rsidR="00C92C58" w:rsidRPr="00C174D5" w:rsidRDefault="00C92C58" w:rsidP="00C92C58">
      <w:pPr>
        <w:rPr>
          <w:lang w:val="es-ES"/>
        </w:rPr>
      </w:pPr>
      <w:r w:rsidRPr="00C174D5">
        <w:rPr>
          <w:lang w:val="es-ES"/>
        </w:rPr>
        <w:t xml:space="preserve">En diversos estudios realizados se han determinado los refuerzos en transmisión necesarios para permitir las transferencias de 300MW entre pares de países. Nicaragua ha avanzado en este sentido, realizando ENATREL una serie de obras de refuerzo nacional que incluyen desarrollos y mejoras en la infraestructura eléctrica, como subestaciones, líneas de transmisión, etc. Según el documento “Proyectos Priorizados para el Sistema Nacional de Transmisión” de ENATREL, en el estudio más reciente (“Refuerzos de Transmisión en el Sistema Eléctrico Centroamericano” realizado en 2015 por </w:t>
      </w:r>
      <w:proofErr w:type="spellStart"/>
      <w:r w:rsidRPr="00C174D5">
        <w:rPr>
          <w:lang w:val="es-ES"/>
        </w:rPr>
        <w:t>Pacific</w:t>
      </w:r>
      <w:proofErr w:type="spellEnd"/>
      <w:r w:rsidRPr="00C174D5">
        <w:rPr>
          <w:lang w:val="es-ES"/>
        </w:rPr>
        <w:t xml:space="preserve"> </w:t>
      </w:r>
      <w:proofErr w:type="spellStart"/>
      <w:r w:rsidRPr="00C174D5">
        <w:rPr>
          <w:lang w:val="es-ES"/>
        </w:rPr>
        <w:t>Northwest</w:t>
      </w:r>
      <w:proofErr w:type="spellEnd"/>
      <w:r w:rsidRPr="00C174D5">
        <w:rPr>
          <w:lang w:val="es-ES"/>
        </w:rPr>
        <w:t xml:space="preserve"> </w:t>
      </w:r>
      <w:proofErr w:type="spellStart"/>
      <w:r w:rsidRPr="00C174D5">
        <w:rPr>
          <w:lang w:val="es-ES"/>
        </w:rPr>
        <w:t>National</w:t>
      </w:r>
      <w:proofErr w:type="spellEnd"/>
      <w:r w:rsidRPr="00C174D5">
        <w:rPr>
          <w:lang w:val="es-ES"/>
        </w:rPr>
        <w:t xml:space="preserve"> </w:t>
      </w:r>
      <w:proofErr w:type="spellStart"/>
      <w:r w:rsidRPr="00C174D5">
        <w:rPr>
          <w:lang w:val="es-ES"/>
        </w:rPr>
        <w:t>Laboratory</w:t>
      </w:r>
      <w:proofErr w:type="spellEnd"/>
      <w:r w:rsidRPr="00C174D5">
        <w:rPr>
          <w:lang w:val="es-ES"/>
        </w:rPr>
        <w:t xml:space="preserve">), se indica que los refuerzos de transmisión necesarios para Nicaragua, consisten en aumentar la capacidad de las líneas de 230 </w:t>
      </w:r>
      <w:proofErr w:type="spellStart"/>
      <w:r w:rsidRPr="00C174D5">
        <w:rPr>
          <w:lang w:val="es-ES"/>
        </w:rPr>
        <w:t>kV</w:t>
      </w:r>
      <w:proofErr w:type="spellEnd"/>
      <w:r w:rsidRPr="00C174D5">
        <w:rPr>
          <w:lang w:val="es-ES"/>
        </w:rPr>
        <w:t xml:space="preserve"> existentes en los tramos Sandino-León-Frontera Honduras y </w:t>
      </w:r>
      <w:proofErr w:type="spellStart"/>
      <w:r w:rsidRPr="00C174D5">
        <w:rPr>
          <w:lang w:val="es-ES"/>
        </w:rPr>
        <w:t>Amayo</w:t>
      </w:r>
      <w:proofErr w:type="spellEnd"/>
      <w:r w:rsidRPr="00C174D5">
        <w:rPr>
          <w:lang w:val="es-ES"/>
        </w:rPr>
        <w:t xml:space="preserve">-Liberia, ya que en situaciones de contingencia estas líneas se sobrecargan a más de su capacidad cuando existen transferencias de 300 MW. El objetivo del presente proyecto es entonces el aumento de la capacidad de las líneas de 230kV (y de las interconexiones), para garantizar la transferencia de 300 MW de energía de norte a sur del país y viceversa. Tal como se menciona en el documento de ENATREL, actualmente, la capacidad de las líneas de transmisión de 230kV es (por su diseño estructural) de 225MVA, necesitándose una capacidad de 340MVA para permitir la transmisión de los 300 MW. Específicamente, se trata de cambiar el conductor existente por uno de mayor capacidad en los puntos de interconexión León-Frontera Honduras y </w:t>
      </w:r>
      <w:proofErr w:type="spellStart"/>
      <w:r w:rsidRPr="00C174D5">
        <w:rPr>
          <w:lang w:val="es-ES"/>
        </w:rPr>
        <w:t>Amayo</w:t>
      </w:r>
      <w:proofErr w:type="spellEnd"/>
      <w:r w:rsidRPr="00C174D5">
        <w:rPr>
          <w:lang w:val="es-ES"/>
        </w:rPr>
        <w:t>-Liberia.</w:t>
      </w:r>
      <w:r w:rsidRPr="00C174D5">
        <w:rPr>
          <w:rStyle w:val="FootnoteReference"/>
          <w:lang w:val="es-ES"/>
        </w:rPr>
        <w:footnoteReference w:id="51"/>
      </w:r>
    </w:p>
    <w:p w14:paraId="43BACB05" w14:textId="77777777" w:rsidR="00C92C58" w:rsidRPr="00C174D5" w:rsidRDefault="00C92C58" w:rsidP="00C92C58">
      <w:pPr>
        <w:rPr>
          <w:lang w:val="es-ES"/>
        </w:rPr>
      </w:pPr>
      <w:r w:rsidRPr="00C174D5">
        <w:rPr>
          <w:lang w:val="es-ES"/>
        </w:rPr>
        <w:t>Así, el objetivo último de estas obras es garantizar las transferencias de hasta 300MW por el Sistema Eléctrico de Nicaragua para cumplir con los criterios de calidad, seguridad y desempeño mínimo del sistema, establecidos en el Reglamento del MER.</w:t>
      </w:r>
    </w:p>
    <w:p w14:paraId="700B6025" w14:textId="77777777" w:rsidR="00C92C58" w:rsidRPr="00C174D5" w:rsidRDefault="00C92C58" w:rsidP="00C92C58">
      <w:pPr>
        <w:rPr>
          <w:lang w:val="es-ES"/>
        </w:rPr>
      </w:pPr>
      <w:r w:rsidRPr="00C174D5">
        <w:rPr>
          <w:lang w:val="es-ES"/>
        </w:rPr>
        <w:t xml:space="preserve">Como el impacto del proyecto es regional, y no se limita solamente a Nicaragua, el mismo se evaluará, en un primer momento, desde esta óptica (sección </w:t>
      </w:r>
      <w:r w:rsidRPr="00C174D5">
        <w:rPr>
          <w:lang w:val="es-ES"/>
        </w:rPr>
        <w:fldChar w:fldCharType="begin"/>
      </w:r>
      <w:r w:rsidRPr="00C174D5">
        <w:rPr>
          <w:lang w:val="es-ES"/>
        </w:rPr>
        <w:instrText xml:space="preserve"> REF _Ref447631399 \r \h  \* MERGEFORMAT </w:instrText>
      </w:r>
      <w:r w:rsidRPr="00C174D5">
        <w:rPr>
          <w:lang w:val="es-ES"/>
        </w:rPr>
      </w:r>
      <w:r w:rsidRPr="00C174D5">
        <w:rPr>
          <w:lang w:val="es-ES"/>
        </w:rPr>
        <w:fldChar w:fldCharType="separate"/>
      </w:r>
      <w:r>
        <w:rPr>
          <w:lang w:val="es-ES"/>
        </w:rPr>
        <w:t>4.1</w:t>
      </w:r>
      <w:r w:rsidRPr="00C174D5">
        <w:rPr>
          <w:lang w:val="es-ES"/>
        </w:rPr>
        <w:fldChar w:fldCharType="end"/>
      </w:r>
      <w:r w:rsidRPr="00C174D5">
        <w:rPr>
          <w:lang w:val="es-ES"/>
        </w:rPr>
        <w:t xml:space="preserve">), para luego pasar a la evaluación de alcance eminentemente local (sección </w:t>
      </w:r>
      <w:r w:rsidRPr="00C174D5">
        <w:rPr>
          <w:lang w:val="es-ES"/>
        </w:rPr>
        <w:fldChar w:fldCharType="begin"/>
      </w:r>
      <w:r w:rsidRPr="00C174D5">
        <w:rPr>
          <w:lang w:val="es-ES"/>
        </w:rPr>
        <w:instrText xml:space="preserve"> REF _Ref447632150 \r \h  \* MERGEFORMAT </w:instrText>
      </w:r>
      <w:r w:rsidRPr="00C174D5">
        <w:rPr>
          <w:lang w:val="es-ES"/>
        </w:rPr>
      </w:r>
      <w:r w:rsidRPr="00C174D5">
        <w:rPr>
          <w:lang w:val="es-ES"/>
        </w:rPr>
        <w:fldChar w:fldCharType="separate"/>
      </w:r>
      <w:r>
        <w:rPr>
          <w:lang w:val="es-ES"/>
        </w:rPr>
        <w:t>4.2</w:t>
      </w:r>
      <w:r w:rsidRPr="00C174D5">
        <w:rPr>
          <w:lang w:val="es-ES"/>
        </w:rPr>
        <w:fldChar w:fldCharType="end"/>
      </w:r>
      <w:r w:rsidRPr="00C174D5">
        <w:rPr>
          <w:lang w:val="es-ES"/>
        </w:rPr>
        <w:t>).</w:t>
      </w:r>
    </w:p>
    <w:p w14:paraId="7F7469C4" w14:textId="77777777" w:rsidR="00C92C58" w:rsidRPr="00C174D5" w:rsidRDefault="00C92C58" w:rsidP="00C92C58">
      <w:pPr>
        <w:pStyle w:val="Heading1"/>
        <w:pageBreakBefore w:val="0"/>
        <w:numPr>
          <w:ilvl w:val="1"/>
          <w:numId w:val="9"/>
        </w:numPr>
        <w:ind w:left="788" w:hanging="431"/>
        <w:rPr>
          <w:lang w:val="es-ES"/>
        </w:rPr>
      </w:pPr>
      <w:bookmarkStart w:id="199" w:name="_Ref447631399"/>
      <w:bookmarkStart w:id="200" w:name="_Toc456353146"/>
      <w:r w:rsidRPr="00C174D5">
        <w:rPr>
          <w:lang w:val="es-ES"/>
        </w:rPr>
        <w:lastRenderedPageBreak/>
        <w:t>Análisis regional Aumento capacidad líneas 230kV</w:t>
      </w:r>
      <w:bookmarkEnd w:id="199"/>
      <w:bookmarkEnd w:id="200"/>
      <w:r w:rsidRPr="00C174D5">
        <w:rPr>
          <w:lang w:val="es-ES"/>
        </w:rPr>
        <w:t xml:space="preserve"> </w:t>
      </w:r>
    </w:p>
    <w:p w14:paraId="300A8DD9" w14:textId="77777777" w:rsidR="00C92C58" w:rsidRPr="00C174D5" w:rsidRDefault="00C92C58" w:rsidP="00C92C58">
      <w:pPr>
        <w:rPr>
          <w:color w:val="000000"/>
          <w:lang w:val="es-ES"/>
        </w:rPr>
      </w:pPr>
      <w:r w:rsidRPr="00C174D5">
        <w:rPr>
          <w:color w:val="000000"/>
          <w:lang w:val="es-ES"/>
        </w:rPr>
        <w:t xml:space="preserve">Dado que las inversiones en la líneas de transmisión a 230 </w:t>
      </w:r>
      <w:proofErr w:type="spellStart"/>
      <w:r w:rsidRPr="00C174D5">
        <w:rPr>
          <w:color w:val="000000"/>
          <w:lang w:val="es-ES"/>
        </w:rPr>
        <w:t>kV</w:t>
      </w:r>
      <w:proofErr w:type="spellEnd"/>
      <w:r w:rsidRPr="00C174D5">
        <w:rPr>
          <w:color w:val="000000"/>
          <w:lang w:val="es-ES"/>
        </w:rPr>
        <w:t xml:space="preserve"> en las fronteras con Honduras y Costa Rica corresponden a compromisos de Nicaragua con el plan regional de refuerzo de la transmisión para alcanzar la capacidad operativa de 300 MW entre los países del Mercado Eléctrico Regional, la justificación de esta inversión debe hacerse en el marco de un análisis regional. Por ello, </w:t>
      </w:r>
      <w:r w:rsidRPr="00C174D5">
        <w:rPr>
          <w:lang w:val="es-ES"/>
        </w:rPr>
        <w:t xml:space="preserve">en esta sección se presenta el análisis de la valuación beneficio costo regional de las inversiones asociadas al programa </w:t>
      </w:r>
      <w:r w:rsidRPr="00C174D5">
        <w:rPr>
          <w:color w:val="000000"/>
          <w:lang w:val="es-ES"/>
        </w:rPr>
        <w:t>de los refuerzos nacionales.</w:t>
      </w:r>
    </w:p>
    <w:p w14:paraId="1FF08B3C" w14:textId="77777777" w:rsidR="00C92C58" w:rsidRPr="00C174D5" w:rsidRDefault="00C92C58" w:rsidP="00C92C58">
      <w:pPr>
        <w:pStyle w:val="Heading1"/>
        <w:pageBreakBefore w:val="0"/>
        <w:numPr>
          <w:ilvl w:val="2"/>
          <w:numId w:val="9"/>
        </w:numPr>
        <w:rPr>
          <w:lang w:val="es-ES"/>
        </w:rPr>
      </w:pPr>
      <w:bookmarkStart w:id="201" w:name="_Toc456353147"/>
      <w:r w:rsidRPr="00C174D5">
        <w:rPr>
          <w:lang w:val="es-ES"/>
        </w:rPr>
        <w:t>Análisis regional Aumento capacidad líneas 230kV – Supuestos</w:t>
      </w:r>
      <w:bookmarkEnd w:id="201"/>
    </w:p>
    <w:p w14:paraId="6A1A489F" w14:textId="77777777" w:rsidR="00C92C58" w:rsidRPr="00C174D5" w:rsidRDefault="00C92C58" w:rsidP="00C92C58">
      <w:pPr>
        <w:rPr>
          <w:lang w:val="es-ES"/>
        </w:rPr>
      </w:pPr>
      <w:r w:rsidRPr="00C174D5">
        <w:rPr>
          <w:lang w:val="es-ES"/>
        </w:rPr>
        <w:t>Para el análisis se parte de la información sobre los costos de inversión a nivel regional provistos por el Ente Operador Regional (EOR) en su Informe de mayo de 2015</w:t>
      </w:r>
      <w:r w:rsidRPr="00C174D5">
        <w:rPr>
          <w:rStyle w:val="FootnoteReference"/>
          <w:lang w:val="es-ES"/>
        </w:rPr>
        <w:footnoteReference w:id="52"/>
      </w:r>
      <w:r w:rsidRPr="00C174D5">
        <w:rPr>
          <w:lang w:val="es-ES"/>
        </w:rPr>
        <w:t xml:space="preserve"> (IEOR 1 de aquí en más). El </w:t>
      </w:r>
      <w:r w:rsidRPr="00C174D5">
        <w:rPr>
          <w:lang w:val="es-ES"/>
        </w:rPr>
        <w:fldChar w:fldCharType="begin" w:fldLock="1"/>
      </w:r>
      <w:r w:rsidRPr="00C174D5">
        <w:rPr>
          <w:lang w:val="es-ES"/>
        </w:rPr>
        <w:instrText xml:space="preserve"> REF _Ref447537188 \h  \* MERGEFORMAT </w:instrText>
      </w:r>
      <w:r w:rsidRPr="00C174D5">
        <w:rPr>
          <w:lang w:val="es-ES"/>
        </w:rPr>
      </w:r>
      <w:r w:rsidRPr="00C174D5">
        <w:rPr>
          <w:lang w:val="es-ES"/>
        </w:rPr>
        <w:fldChar w:fldCharType="separate"/>
      </w:r>
      <w:r w:rsidRPr="00C174D5">
        <w:rPr>
          <w:b/>
          <w:lang w:val="es-ES"/>
        </w:rPr>
        <w:t xml:space="preserve">Cuadro </w:t>
      </w:r>
      <w:r w:rsidRPr="00C174D5">
        <w:rPr>
          <w:b/>
          <w:noProof/>
          <w:lang w:val="es-ES"/>
        </w:rPr>
        <w:t>1</w:t>
      </w:r>
      <w:r w:rsidRPr="00C174D5">
        <w:rPr>
          <w:lang w:val="es-ES"/>
        </w:rPr>
        <w:fldChar w:fldCharType="end"/>
      </w:r>
      <w:r w:rsidRPr="00C174D5">
        <w:rPr>
          <w:lang w:val="es-ES"/>
        </w:rPr>
        <w:t xml:space="preserve"> resume esos costos totales y su distribución por país.</w:t>
      </w:r>
    </w:p>
    <w:p w14:paraId="0D60F513" w14:textId="77777777" w:rsidR="00C92C58" w:rsidRPr="00C174D5" w:rsidRDefault="00C92C58" w:rsidP="00C92C58">
      <w:pPr>
        <w:keepNext/>
        <w:keepLines/>
        <w:spacing w:after="120"/>
        <w:jc w:val="center"/>
        <w:rPr>
          <w:b/>
          <w:sz w:val="20"/>
          <w:lang w:val="es-ES"/>
        </w:rPr>
      </w:pPr>
      <w:bookmarkStart w:id="202" w:name="_Ref447537188"/>
      <w:r w:rsidRPr="00C174D5">
        <w:rPr>
          <w:b/>
          <w:sz w:val="20"/>
          <w:lang w:val="es-ES"/>
        </w:rPr>
        <w:t xml:space="preserve">Cuadro </w:t>
      </w:r>
      <w:r w:rsidRPr="00C174D5">
        <w:rPr>
          <w:b/>
          <w:sz w:val="20"/>
          <w:lang w:val="es-ES"/>
        </w:rPr>
        <w:fldChar w:fldCharType="begin" w:fldLock="1"/>
      </w:r>
      <w:r w:rsidRPr="00C174D5">
        <w:rPr>
          <w:b/>
          <w:sz w:val="20"/>
          <w:lang w:val="es-ES"/>
        </w:rPr>
        <w:instrText xml:space="preserve"> SEQ Cuadro \* ARABIC </w:instrText>
      </w:r>
      <w:r w:rsidRPr="00C174D5">
        <w:rPr>
          <w:b/>
          <w:sz w:val="20"/>
          <w:lang w:val="es-ES"/>
        </w:rPr>
        <w:fldChar w:fldCharType="separate"/>
      </w:r>
      <w:r w:rsidRPr="00C174D5">
        <w:rPr>
          <w:b/>
          <w:sz w:val="20"/>
          <w:lang w:val="es-ES"/>
        </w:rPr>
        <w:t>1</w:t>
      </w:r>
      <w:r w:rsidRPr="00C174D5">
        <w:rPr>
          <w:b/>
          <w:sz w:val="20"/>
          <w:lang w:val="es-ES"/>
        </w:rPr>
        <w:fldChar w:fldCharType="end"/>
      </w:r>
      <w:bookmarkEnd w:id="202"/>
      <w:r w:rsidRPr="00C174D5">
        <w:rPr>
          <w:b/>
          <w:sz w:val="20"/>
          <w:lang w:val="es-ES"/>
        </w:rPr>
        <w:t>: Costos de Inversión</w:t>
      </w:r>
    </w:p>
    <w:p w14:paraId="5BA6904D" w14:textId="77777777" w:rsidR="00C92C58" w:rsidRPr="00C174D5" w:rsidRDefault="00C92C58" w:rsidP="00C92C58">
      <w:pPr>
        <w:spacing w:after="0" w:line="240" w:lineRule="auto"/>
        <w:jc w:val="center"/>
        <w:rPr>
          <w:lang w:val="es-ES"/>
        </w:rPr>
      </w:pPr>
      <w:r w:rsidRPr="00C174D5">
        <w:rPr>
          <w:noProof/>
          <w:lang w:val="es-CO" w:eastAsia="es-CO"/>
        </w:rPr>
        <w:drawing>
          <wp:inline distT="0" distB="0" distL="0" distR="0" wp14:anchorId="0BB643A6" wp14:editId="6A4DEBD4">
            <wp:extent cx="5400000" cy="135692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00000" cy="1356925"/>
                    </a:xfrm>
                    <a:prstGeom prst="rect">
                      <a:avLst/>
                    </a:prstGeom>
                  </pic:spPr>
                </pic:pic>
              </a:graphicData>
            </a:graphic>
          </wp:inline>
        </w:drawing>
      </w:r>
    </w:p>
    <w:p w14:paraId="1FFAAEDE" w14:textId="77777777" w:rsidR="00C92C58" w:rsidRPr="00C174D5" w:rsidRDefault="00C92C58" w:rsidP="00C92C58">
      <w:pPr>
        <w:keepLines/>
        <w:spacing w:after="120"/>
        <w:jc w:val="center"/>
        <w:rPr>
          <w:sz w:val="18"/>
          <w:lang w:val="es-ES"/>
        </w:rPr>
      </w:pPr>
      <w:r w:rsidRPr="00C174D5">
        <w:rPr>
          <w:sz w:val="18"/>
          <w:lang w:val="es-ES"/>
        </w:rPr>
        <w:t>Fuente: IEOR 1- Tabla 1.1</w:t>
      </w:r>
    </w:p>
    <w:p w14:paraId="6F134CC4" w14:textId="77777777" w:rsidR="00C92C58" w:rsidRPr="00C174D5" w:rsidRDefault="00C92C58" w:rsidP="00C92C58">
      <w:pPr>
        <w:rPr>
          <w:lang w:val="es-ES"/>
        </w:rPr>
      </w:pPr>
      <w:r w:rsidRPr="00C174D5">
        <w:rPr>
          <w:lang w:val="es-ES"/>
        </w:rPr>
        <w:t>En total, el programa de inversión representa 66,1 MM US$ de los cuales el mayor porcentaje (casi 65%) corresponde a Honduras. Nicaragua por su parte tiene prevista una inversión de 15,3 MM US$ alcanzando un 23% del total.</w:t>
      </w:r>
    </w:p>
    <w:p w14:paraId="5274FE67" w14:textId="77777777" w:rsidR="00C92C58" w:rsidRPr="00C174D5" w:rsidRDefault="00C92C58" w:rsidP="00C92C58">
      <w:pPr>
        <w:rPr>
          <w:lang w:val="es-ES"/>
        </w:rPr>
      </w:pPr>
      <w:r w:rsidRPr="00C174D5">
        <w:rPr>
          <w:lang w:val="es-ES"/>
        </w:rPr>
        <w:t>Cabe mencionar que los valores correspondientes a Nicaragua (15 MM US$) incluyen otras inversiones en refuerzos no incluidas en el programa del BID, por lo tanto este análisis evalúa la totalidad de refuerzos estimados por el EOR.</w:t>
      </w:r>
    </w:p>
    <w:p w14:paraId="6D50915A" w14:textId="77777777" w:rsidR="00C92C58" w:rsidRPr="00C174D5" w:rsidRDefault="00C92C58" w:rsidP="00C92C58">
      <w:pPr>
        <w:rPr>
          <w:lang w:val="es-ES"/>
        </w:rPr>
      </w:pPr>
      <w:r w:rsidRPr="00C174D5">
        <w:rPr>
          <w:lang w:val="es-ES"/>
        </w:rPr>
        <w:t>Para la evaluación se ha utilizado una simulación del EOR para el año 2018 en la que se estiman las condiciones sin (escenario A) y con (escenario B) los proyectos de expansión de transporte. En su informe de abril de 2016</w:t>
      </w:r>
      <w:r w:rsidRPr="00C174D5">
        <w:rPr>
          <w:rStyle w:val="FootnoteReference"/>
          <w:lang w:val="es-ES"/>
        </w:rPr>
        <w:footnoteReference w:id="53"/>
      </w:r>
      <w:r w:rsidRPr="00C174D5">
        <w:rPr>
          <w:lang w:val="es-ES"/>
        </w:rPr>
        <w:t xml:space="preserve"> (IEOR 2 de aquí en más) </w:t>
      </w:r>
      <w:r w:rsidRPr="00C174D5">
        <w:rPr>
          <w:lang w:val="es-ES"/>
        </w:rPr>
        <w:lastRenderedPageBreak/>
        <w:t xml:space="preserve">presenta datos sobre flujos de energía y sobre ahorro de costos de generación (reducción de generación térmica) para el mencionado año. </w:t>
      </w:r>
    </w:p>
    <w:p w14:paraId="46E52507" w14:textId="77777777" w:rsidR="00C92C58" w:rsidRPr="00C174D5" w:rsidRDefault="00C92C58" w:rsidP="00C92C58">
      <w:pPr>
        <w:rPr>
          <w:lang w:val="es-ES"/>
        </w:rPr>
      </w:pPr>
      <w:r w:rsidRPr="00C174D5">
        <w:rPr>
          <w:lang w:val="es-ES"/>
        </w:rPr>
        <w:t xml:space="preserve">Los valores de ahorros en generación, para la región y para cada uno de los países, son los que se muestran en la </w:t>
      </w:r>
      <w:r w:rsidRPr="00C174D5">
        <w:rPr>
          <w:b/>
          <w:lang w:val="es-ES"/>
        </w:rPr>
        <w:fldChar w:fldCharType="begin"/>
      </w:r>
      <w:r w:rsidRPr="00C174D5">
        <w:rPr>
          <w:b/>
          <w:lang w:val="es-ES"/>
        </w:rPr>
        <w:instrText xml:space="preserve"> REF _Ref450035570 \h  \* MERGEFORMAT </w:instrText>
      </w:r>
      <w:r w:rsidRPr="00C174D5">
        <w:rPr>
          <w:b/>
          <w:lang w:val="es-ES"/>
        </w:rPr>
      </w:r>
      <w:r w:rsidRPr="00C174D5">
        <w:rPr>
          <w:b/>
          <w:lang w:val="es-ES"/>
        </w:rPr>
        <w:fldChar w:fldCharType="separate"/>
      </w:r>
      <w:r w:rsidRPr="0001212E">
        <w:rPr>
          <w:b/>
          <w:lang w:val="es-ES"/>
        </w:rPr>
        <w:t>Tabla</w:t>
      </w:r>
      <w:r w:rsidRPr="0001212E">
        <w:rPr>
          <w:lang w:val="es-ES"/>
        </w:rPr>
        <w:t xml:space="preserve"> </w:t>
      </w:r>
      <w:r w:rsidRPr="0001212E">
        <w:rPr>
          <w:b/>
          <w:lang w:val="es-ES"/>
        </w:rPr>
        <w:t>39</w:t>
      </w:r>
      <w:r w:rsidRPr="00C174D5">
        <w:rPr>
          <w:b/>
          <w:lang w:val="es-ES"/>
        </w:rPr>
        <w:fldChar w:fldCharType="end"/>
      </w:r>
      <w:r w:rsidRPr="00C174D5">
        <w:rPr>
          <w:lang w:val="es-ES"/>
        </w:rPr>
        <w:t>.</w:t>
      </w:r>
    </w:p>
    <w:p w14:paraId="5FCA56A2" w14:textId="77777777" w:rsidR="00C92C58" w:rsidRPr="00C174D5" w:rsidRDefault="00C92C58" w:rsidP="00C92C58">
      <w:pPr>
        <w:keepNext/>
        <w:keepLines/>
        <w:spacing w:after="120"/>
        <w:jc w:val="center"/>
        <w:rPr>
          <w:b/>
          <w:sz w:val="20"/>
          <w:lang w:val="es-ES"/>
        </w:rPr>
      </w:pPr>
      <w:bookmarkStart w:id="203" w:name="_Ref450035570"/>
      <w:bookmarkStart w:id="204" w:name="_Toc447546990"/>
      <w:bookmarkStart w:id="205" w:name="_Toc456353195"/>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39</w:t>
      </w:r>
      <w:r w:rsidRPr="00C174D5">
        <w:rPr>
          <w:b/>
          <w:sz w:val="20"/>
          <w:lang w:val="es-ES"/>
        </w:rPr>
        <w:fldChar w:fldCharType="end"/>
      </w:r>
      <w:bookmarkEnd w:id="203"/>
      <w:r w:rsidRPr="00C174D5">
        <w:rPr>
          <w:b/>
          <w:sz w:val="20"/>
          <w:lang w:val="es-ES"/>
        </w:rPr>
        <w:t>: Ahorros de Costos de Generación Térmica (MM US$)</w:t>
      </w:r>
      <w:bookmarkEnd w:id="204"/>
      <w:bookmarkEnd w:id="205"/>
    </w:p>
    <w:tbl>
      <w:tblPr>
        <w:tblStyle w:val="TableGrid"/>
        <w:tblpPr w:leftFromText="141" w:rightFromText="141"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8"/>
        <w:gridCol w:w="1219"/>
        <w:gridCol w:w="1079"/>
        <w:gridCol w:w="1181"/>
      </w:tblGrid>
      <w:tr w:rsidR="00C92C58" w:rsidRPr="00C174D5" w14:paraId="04BE9F90" w14:textId="77777777" w:rsidTr="00B15A9A">
        <w:trPr>
          <w:trHeight w:val="315"/>
          <w:tblHeader/>
        </w:trPr>
        <w:tc>
          <w:tcPr>
            <w:tcW w:w="1408" w:type="dxa"/>
            <w:tcBorders>
              <w:top w:val="single" w:sz="12" w:space="0" w:color="auto"/>
              <w:bottom w:val="single" w:sz="12" w:space="0" w:color="auto"/>
            </w:tcBorders>
            <w:shd w:val="clear" w:color="auto" w:fill="D9D9D9" w:themeFill="background1" w:themeFillShade="D9"/>
            <w:noWrap/>
            <w:vAlign w:val="center"/>
            <w:hideMark/>
          </w:tcPr>
          <w:p w14:paraId="706A5D90" w14:textId="77777777" w:rsidR="00C92C58" w:rsidRPr="00C174D5" w:rsidRDefault="00C92C58" w:rsidP="00B15A9A">
            <w:pPr>
              <w:jc w:val="left"/>
              <w:rPr>
                <w:b/>
                <w:bCs/>
                <w:sz w:val="20"/>
                <w:lang w:val="es-ES"/>
              </w:rPr>
            </w:pPr>
            <w:r w:rsidRPr="00C174D5">
              <w:rPr>
                <w:b/>
                <w:bCs/>
                <w:sz w:val="20"/>
                <w:lang w:val="es-ES"/>
              </w:rPr>
              <w:t>País</w:t>
            </w:r>
          </w:p>
        </w:tc>
        <w:tc>
          <w:tcPr>
            <w:tcW w:w="1219" w:type="dxa"/>
            <w:tcBorders>
              <w:top w:val="single" w:sz="12" w:space="0" w:color="auto"/>
              <w:bottom w:val="single" w:sz="12" w:space="0" w:color="auto"/>
            </w:tcBorders>
            <w:shd w:val="clear" w:color="auto" w:fill="D9D9D9" w:themeFill="background1" w:themeFillShade="D9"/>
            <w:noWrap/>
            <w:vAlign w:val="center"/>
            <w:hideMark/>
          </w:tcPr>
          <w:p w14:paraId="3B945FEA" w14:textId="77777777" w:rsidR="00C92C58" w:rsidRPr="00C174D5" w:rsidRDefault="00C92C58" w:rsidP="00B15A9A">
            <w:pPr>
              <w:jc w:val="center"/>
              <w:rPr>
                <w:b/>
                <w:sz w:val="20"/>
                <w:lang w:val="es-ES"/>
              </w:rPr>
            </w:pPr>
            <w:r w:rsidRPr="00C174D5">
              <w:rPr>
                <w:b/>
                <w:sz w:val="20"/>
                <w:lang w:val="es-ES"/>
              </w:rPr>
              <w:t>A - Sin R</w:t>
            </w:r>
          </w:p>
        </w:tc>
        <w:tc>
          <w:tcPr>
            <w:tcW w:w="1079" w:type="dxa"/>
            <w:tcBorders>
              <w:top w:val="single" w:sz="12" w:space="0" w:color="auto"/>
              <w:bottom w:val="single" w:sz="12" w:space="0" w:color="auto"/>
            </w:tcBorders>
            <w:shd w:val="clear" w:color="auto" w:fill="D9D9D9" w:themeFill="background1" w:themeFillShade="D9"/>
            <w:noWrap/>
            <w:vAlign w:val="center"/>
            <w:hideMark/>
          </w:tcPr>
          <w:p w14:paraId="46305E90" w14:textId="77777777" w:rsidR="00C92C58" w:rsidRPr="00C174D5" w:rsidRDefault="00C92C58" w:rsidP="00B15A9A">
            <w:pPr>
              <w:jc w:val="center"/>
              <w:rPr>
                <w:b/>
                <w:sz w:val="20"/>
                <w:lang w:val="es-ES"/>
              </w:rPr>
            </w:pPr>
            <w:r w:rsidRPr="00C174D5">
              <w:rPr>
                <w:b/>
                <w:sz w:val="20"/>
                <w:lang w:val="es-ES"/>
              </w:rPr>
              <w:t>B - Con R</w:t>
            </w:r>
          </w:p>
        </w:tc>
        <w:tc>
          <w:tcPr>
            <w:tcW w:w="1181" w:type="dxa"/>
            <w:tcBorders>
              <w:top w:val="single" w:sz="12" w:space="0" w:color="auto"/>
              <w:bottom w:val="single" w:sz="12" w:space="0" w:color="auto"/>
            </w:tcBorders>
            <w:shd w:val="clear" w:color="auto" w:fill="D9D9D9" w:themeFill="background1" w:themeFillShade="D9"/>
            <w:noWrap/>
            <w:vAlign w:val="center"/>
            <w:hideMark/>
          </w:tcPr>
          <w:p w14:paraId="48A889E3" w14:textId="77777777" w:rsidR="00C92C58" w:rsidRPr="00C174D5" w:rsidRDefault="00C92C58" w:rsidP="00B15A9A">
            <w:pPr>
              <w:jc w:val="center"/>
              <w:rPr>
                <w:b/>
                <w:sz w:val="20"/>
                <w:lang w:val="es-ES"/>
              </w:rPr>
            </w:pPr>
            <w:r w:rsidRPr="00C174D5">
              <w:rPr>
                <w:b/>
                <w:sz w:val="20"/>
                <w:lang w:val="es-ES"/>
              </w:rPr>
              <w:t>Diferencia</w:t>
            </w:r>
          </w:p>
        </w:tc>
      </w:tr>
      <w:tr w:rsidR="00C92C58" w:rsidRPr="00C174D5" w14:paraId="6AD15AF7" w14:textId="77777777" w:rsidTr="00B15A9A">
        <w:trPr>
          <w:trHeight w:val="315"/>
        </w:trPr>
        <w:tc>
          <w:tcPr>
            <w:tcW w:w="1408" w:type="dxa"/>
            <w:tcBorders>
              <w:top w:val="single" w:sz="12" w:space="0" w:color="auto"/>
            </w:tcBorders>
            <w:noWrap/>
            <w:vAlign w:val="center"/>
            <w:hideMark/>
          </w:tcPr>
          <w:p w14:paraId="1FFBFF7A" w14:textId="77777777" w:rsidR="00C92C58" w:rsidRPr="00C174D5" w:rsidRDefault="00C92C58" w:rsidP="00B15A9A">
            <w:pPr>
              <w:jc w:val="left"/>
              <w:rPr>
                <w:sz w:val="20"/>
                <w:lang w:val="es-ES"/>
              </w:rPr>
            </w:pPr>
            <w:r w:rsidRPr="00C174D5">
              <w:rPr>
                <w:sz w:val="20"/>
                <w:lang w:val="es-ES"/>
              </w:rPr>
              <w:t>Guatemala</w:t>
            </w:r>
          </w:p>
        </w:tc>
        <w:tc>
          <w:tcPr>
            <w:tcW w:w="1219" w:type="dxa"/>
            <w:tcBorders>
              <w:top w:val="single" w:sz="12" w:space="0" w:color="auto"/>
            </w:tcBorders>
            <w:noWrap/>
            <w:vAlign w:val="bottom"/>
            <w:hideMark/>
          </w:tcPr>
          <w:p w14:paraId="2184AC96" w14:textId="77777777" w:rsidR="00C92C58" w:rsidRPr="00C174D5" w:rsidRDefault="00C92C58" w:rsidP="00B15A9A">
            <w:pPr>
              <w:jc w:val="center"/>
              <w:rPr>
                <w:sz w:val="20"/>
                <w:lang w:val="es-ES"/>
              </w:rPr>
            </w:pPr>
            <w:r w:rsidRPr="00C174D5">
              <w:rPr>
                <w:color w:val="000000"/>
                <w:sz w:val="20"/>
                <w:lang w:val="es-ES"/>
              </w:rPr>
              <w:t>124,30</w:t>
            </w:r>
          </w:p>
        </w:tc>
        <w:tc>
          <w:tcPr>
            <w:tcW w:w="1079" w:type="dxa"/>
            <w:tcBorders>
              <w:top w:val="single" w:sz="12" w:space="0" w:color="auto"/>
            </w:tcBorders>
            <w:noWrap/>
            <w:vAlign w:val="bottom"/>
            <w:hideMark/>
          </w:tcPr>
          <w:p w14:paraId="79DDB1FB" w14:textId="77777777" w:rsidR="00C92C58" w:rsidRPr="00C174D5" w:rsidRDefault="00C92C58" w:rsidP="00B15A9A">
            <w:pPr>
              <w:jc w:val="center"/>
              <w:rPr>
                <w:sz w:val="20"/>
                <w:lang w:val="es-ES"/>
              </w:rPr>
            </w:pPr>
            <w:r w:rsidRPr="00C174D5">
              <w:rPr>
                <w:color w:val="000000"/>
                <w:sz w:val="20"/>
                <w:lang w:val="es-ES"/>
              </w:rPr>
              <w:t>127,60</w:t>
            </w:r>
          </w:p>
        </w:tc>
        <w:tc>
          <w:tcPr>
            <w:tcW w:w="1181" w:type="dxa"/>
            <w:tcBorders>
              <w:top w:val="single" w:sz="12" w:space="0" w:color="auto"/>
            </w:tcBorders>
            <w:noWrap/>
            <w:vAlign w:val="bottom"/>
            <w:hideMark/>
          </w:tcPr>
          <w:p w14:paraId="4901F2ED" w14:textId="77777777" w:rsidR="00C92C58" w:rsidRPr="00C174D5" w:rsidRDefault="00C92C58" w:rsidP="00B15A9A">
            <w:pPr>
              <w:jc w:val="center"/>
              <w:rPr>
                <w:sz w:val="20"/>
                <w:lang w:val="es-ES"/>
              </w:rPr>
            </w:pPr>
            <w:r w:rsidRPr="00C174D5">
              <w:rPr>
                <w:color w:val="000000"/>
                <w:sz w:val="20"/>
                <w:lang w:val="es-ES"/>
              </w:rPr>
              <w:t>3,40</w:t>
            </w:r>
          </w:p>
        </w:tc>
      </w:tr>
      <w:tr w:rsidR="00C92C58" w:rsidRPr="00C174D5" w14:paraId="0ACF7A31" w14:textId="77777777" w:rsidTr="00B15A9A">
        <w:trPr>
          <w:trHeight w:val="315"/>
        </w:trPr>
        <w:tc>
          <w:tcPr>
            <w:tcW w:w="1408" w:type="dxa"/>
            <w:noWrap/>
            <w:vAlign w:val="center"/>
            <w:hideMark/>
          </w:tcPr>
          <w:p w14:paraId="7C9BB302" w14:textId="77777777" w:rsidR="00C92C58" w:rsidRPr="00C174D5" w:rsidRDefault="00C92C58" w:rsidP="00B15A9A">
            <w:pPr>
              <w:jc w:val="left"/>
              <w:rPr>
                <w:sz w:val="20"/>
                <w:lang w:val="es-ES"/>
              </w:rPr>
            </w:pPr>
            <w:r w:rsidRPr="00C174D5">
              <w:rPr>
                <w:sz w:val="20"/>
                <w:lang w:val="es-ES"/>
              </w:rPr>
              <w:t>El Salvador</w:t>
            </w:r>
          </w:p>
        </w:tc>
        <w:tc>
          <w:tcPr>
            <w:tcW w:w="1219" w:type="dxa"/>
            <w:noWrap/>
            <w:vAlign w:val="bottom"/>
            <w:hideMark/>
          </w:tcPr>
          <w:p w14:paraId="7C2F4889" w14:textId="77777777" w:rsidR="00C92C58" w:rsidRPr="00C174D5" w:rsidRDefault="00C92C58" w:rsidP="00B15A9A">
            <w:pPr>
              <w:jc w:val="center"/>
              <w:rPr>
                <w:sz w:val="20"/>
                <w:lang w:val="es-ES"/>
              </w:rPr>
            </w:pPr>
            <w:r w:rsidRPr="00C174D5">
              <w:rPr>
                <w:color w:val="000000"/>
                <w:sz w:val="20"/>
                <w:lang w:val="es-ES"/>
              </w:rPr>
              <w:t>56,80</w:t>
            </w:r>
          </w:p>
        </w:tc>
        <w:tc>
          <w:tcPr>
            <w:tcW w:w="1079" w:type="dxa"/>
            <w:noWrap/>
            <w:vAlign w:val="bottom"/>
            <w:hideMark/>
          </w:tcPr>
          <w:p w14:paraId="3CFEB6DE" w14:textId="77777777" w:rsidR="00C92C58" w:rsidRPr="00C174D5" w:rsidRDefault="00C92C58" w:rsidP="00B15A9A">
            <w:pPr>
              <w:jc w:val="center"/>
              <w:rPr>
                <w:sz w:val="20"/>
                <w:lang w:val="es-ES"/>
              </w:rPr>
            </w:pPr>
            <w:r w:rsidRPr="00C174D5">
              <w:rPr>
                <w:color w:val="000000"/>
                <w:sz w:val="20"/>
                <w:lang w:val="es-ES"/>
              </w:rPr>
              <w:t>38,60</w:t>
            </w:r>
          </w:p>
        </w:tc>
        <w:tc>
          <w:tcPr>
            <w:tcW w:w="1181" w:type="dxa"/>
            <w:noWrap/>
            <w:vAlign w:val="bottom"/>
            <w:hideMark/>
          </w:tcPr>
          <w:p w14:paraId="12BA294F" w14:textId="77777777" w:rsidR="00C92C58" w:rsidRPr="00C174D5" w:rsidRDefault="00C92C58" w:rsidP="00B15A9A">
            <w:pPr>
              <w:jc w:val="center"/>
              <w:rPr>
                <w:sz w:val="20"/>
                <w:lang w:val="es-ES"/>
              </w:rPr>
            </w:pPr>
            <w:r w:rsidRPr="00C174D5">
              <w:rPr>
                <w:color w:val="000000"/>
                <w:sz w:val="20"/>
                <w:lang w:val="es-ES"/>
              </w:rPr>
              <w:t>-18,30</w:t>
            </w:r>
          </w:p>
        </w:tc>
      </w:tr>
      <w:tr w:rsidR="00C92C58" w:rsidRPr="00C174D5" w14:paraId="455958E9" w14:textId="77777777" w:rsidTr="00B15A9A">
        <w:trPr>
          <w:trHeight w:val="315"/>
        </w:trPr>
        <w:tc>
          <w:tcPr>
            <w:tcW w:w="1408" w:type="dxa"/>
            <w:noWrap/>
            <w:vAlign w:val="center"/>
            <w:hideMark/>
          </w:tcPr>
          <w:p w14:paraId="548F7002" w14:textId="77777777" w:rsidR="00C92C58" w:rsidRPr="00C174D5" w:rsidRDefault="00C92C58" w:rsidP="00B15A9A">
            <w:pPr>
              <w:jc w:val="left"/>
              <w:rPr>
                <w:sz w:val="20"/>
                <w:lang w:val="es-ES"/>
              </w:rPr>
            </w:pPr>
            <w:r w:rsidRPr="00C174D5">
              <w:rPr>
                <w:sz w:val="20"/>
                <w:lang w:val="es-ES"/>
              </w:rPr>
              <w:t>Honduras</w:t>
            </w:r>
          </w:p>
        </w:tc>
        <w:tc>
          <w:tcPr>
            <w:tcW w:w="1219" w:type="dxa"/>
            <w:noWrap/>
            <w:vAlign w:val="bottom"/>
            <w:hideMark/>
          </w:tcPr>
          <w:p w14:paraId="1DC8DE23" w14:textId="77777777" w:rsidR="00C92C58" w:rsidRPr="00C174D5" w:rsidRDefault="00C92C58" w:rsidP="00B15A9A">
            <w:pPr>
              <w:jc w:val="center"/>
              <w:rPr>
                <w:sz w:val="20"/>
                <w:lang w:val="es-ES"/>
              </w:rPr>
            </w:pPr>
            <w:r w:rsidRPr="00C174D5">
              <w:rPr>
                <w:color w:val="000000"/>
                <w:sz w:val="20"/>
                <w:lang w:val="es-ES"/>
              </w:rPr>
              <w:t>103,50</w:t>
            </w:r>
          </w:p>
        </w:tc>
        <w:tc>
          <w:tcPr>
            <w:tcW w:w="1079" w:type="dxa"/>
            <w:noWrap/>
            <w:vAlign w:val="bottom"/>
            <w:hideMark/>
          </w:tcPr>
          <w:p w14:paraId="3DFE9D49" w14:textId="77777777" w:rsidR="00C92C58" w:rsidRPr="00C174D5" w:rsidRDefault="00C92C58" w:rsidP="00B15A9A">
            <w:pPr>
              <w:jc w:val="center"/>
              <w:rPr>
                <w:sz w:val="20"/>
                <w:lang w:val="es-ES"/>
              </w:rPr>
            </w:pPr>
            <w:r w:rsidRPr="00C174D5">
              <w:rPr>
                <w:color w:val="000000"/>
                <w:sz w:val="20"/>
                <w:lang w:val="es-ES"/>
              </w:rPr>
              <w:t>118,30</w:t>
            </w:r>
          </w:p>
        </w:tc>
        <w:tc>
          <w:tcPr>
            <w:tcW w:w="1181" w:type="dxa"/>
            <w:noWrap/>
            <w:vAlign w:val="bottom"/>
            <w:hideMark/>
          </w:tcPr>
          <w:p w14:paraId="6BE4D8AD" w14:textId="77777777" w:rsidR="00C92C58" w:rsidRPr="00C174D5" w:rsidRDefault="00C92C58" w:rsidP="00B15A9A">
            <w:pPr>
              <w:jc w:val="center"/>
              <w:rPr>
                <w:sz w:val="20"/>
                <w:lang w:val="es-ES"/>
              </w:rPr>
            </w:pPr>
            <w:r w:rsidRPr="00C174D5">
              <w:rPr>
                <w:color w:val="000000"/>
                <w:sz w:val="20"/>
                <w:lang w:val="es-ES"/>
              </w:rPr>
              <w:t>14,80</w:t>
            </w:r>
          </w:p>
        </w:tc>
      </w:tr>
      <w:tr w:rsidR="00C92C58" w:rsidRPr="00C174D5" w14:paraId="69148E90" w14:textId="77777777" w:rsidTr="00B15A9A">
        <w:trPr>
          <w:trHeight w:val="315"/>
        </w:trPr>
        <w:tc>
          <w:tcPr>
            <w:tcW w:w="1408" w:type="dxa"/>
            <w:noWrap/>
            <w:vAlign w:val="center"/>
            <w:hideMark/>
          </w:tcPr>
          <w:p w14:paraId="0FB4CA6C" w14:textId="77777777" w:rsidR="00C92C58" w:rsidRPr="00C174D5" w:rsidRDefault="00C92C58" w:rsidP="00B15A9A">
            <w:pPr>
              <w:jc w:val="left"/>
              <w:rPr>
                <w:sz w:val="20"/>
                <w:lang w:val="es-ES"/>
              </w:rPr>
            </w:pPr>
            <w:r w:rsidRPr="00C174D5">
              <w:rPr>
                <w:sz w:val="20"/>
                <w:lang w:val="es-ES"/>
              </w:rPr>
              <w:t>Nicaragua</w:t>
            </w:r>
          </w:p>
        </w:tc>
        <w:tc>
          <w:tcPr>
            <w:tcW w:w="1219" w:type="dxa"/>
            <w:noWrap/>
            <w:vAlign w:val="bottom"/>
            <w:hideMark/>
          </w:tcPr>
          <w:p w14:paraId="25C65AAB" w14:textId="77777777" w:rsidR="00C92C58" w:rsidRPr="00C174D5" w:rsidRDefault="00C92C58" w:rsidP="00B15A9A">
            <w:pPr>
              <w:jc w:val="center"/>
              <w:rPr>
                <w:sz w:val="20"/>
                <w:lang w:val="es-ES"/>
              </w:rPr>
            </w:pPr>
            <w:r w:rsidRPr="00C174D5">
              <w:rPr>
                <w:color w:val="000000"/>
                <w:sz w:val="20"/>
                <w:lang w:val="es-ES"/>
              </w:rPr>
              <w:t>144,70</w:t>
            </w:r>
          </w:p>
        </w:tc>
        <w:tc>
          <w:tcPr>
            <w:tcW w:w="1079" w:type="dxa"/>
            <w:noWrap/>
            <w:vAlign w:val="bottom"/>
            <w:hideMark/>
          </w:tcPr>
          <w:p w14:paraId="459105E6" w14:textId="77777777" w:rsidR="00C92C58" w:rsidRPr="00C174D5" w:rsidRDefault="00C92C58" w:rsidP="00B15A9A">
            <w:pPr>
              <w:jc w:val="center"/>
              <w:rPr>
                <w:sz w:val="20"/>
                <w:lang w:val="es-ES"/>
              </w:rPr>
            </w:pPr>
            <w:r w:rsidRPr="00C174D5">
              <w:rPr>
                <w:color w:val="000000"/>
                <w:sz w:val="20"/>
                <w:lang w:val="es-ES"/>
              </w:rPr>
              <w:t>140,30</w:t>
            </w:r>
          </w:p>
        </w:tc>
        <w:tc>
          <w:tcPr>
            <w:tcW w:w="1181" w:type="dxa"/>
            <w:noWrap/>
            <w:vAlign w:val="bottom"/>
            <w:hideMark/>
          </w:tcPr>
          <w:p w14:paraId="679C0FBC" w14:textId="77777777" w:rsidR="00C92C58" w:rsidRPr="00C174D5" w:rsidRDefault="00C92C58" w:rsidP="00B15A9A">
            <w:pPr>
              <w:jc w:val="center"/>
              <w:rPr>
                <w:sz w:val="20"/>
                <w:lang w:val="es-ES"/>
              </w:rPr>
            </w:pPr>
            <w:r w:rsidRPr="00C174D5">
              <w:rPr>
                <w:color w:val="000000"/>
                <w:sz w:val="20"/>
                <w:lang w:val="es-ES"/>
              </w:rPr>
              <w:t>-4,40</w:t>
            </w:r>
          </w:p>
        </w:tc>
      </w:tr>
      <w:tr w:rsidR="00C92C58" w:rsidRPr="00C174D5" w14:paraId="494E8DA6" w14:textId="77777777" w:rsidTr="00B15A9A">
        <w:trPr>
          <w:trHeight w:val="315"/>
        </w:trPr>
        <w:tc>
          <w:tcPr>
            <w:tcW w:w="1408" w:type="dxa"/>
            <w:noWrap/>
            <w:vAlign w:val="center"/>
            <w:hideMark/>
          </w:tcPr>
          <w:p w14:paraId="54AE2066" w14:textId="77777777" w:rsidR="00C92C58" w:rsidRPr="00C174D5" w:rsidRDefault="00C92C58" w:rsidP="00B15A9A">
            <w:pPr>
              <w:jc w:val="left"/>
              <w:rPr>
                <w:sz w:val="20"/>
                <w:lang w:val="es-ES"/>
              </w:rPr>
            </w:pPr>
            <w:r w:rsidRPr="00C174D5">
              <w:rPr>
                <w:sz w:val="20"/>
                <w:lang w:val="es-ES"/>
              </w:rPr>
              <w:t>Costa Rica</w:t>
            </w:r>
          </w:p>
        </w:tc>
        <w:tc>
          <w:tcPr>
            <w:tcW w:w="1219" w:type="dxa"/>
            <w:noWrap/>
            <w:vAlign w:val="bottom"/>
            <w:hideMark/>
          </w:tcPr>
          <w:p w14:paraId="371DCD16" w14:textId="77777777" w:rsidR="00C92C58" w:rsidRPr="00C174D5" w:rsidRDefault="00C92C58" w:rsidP="00B15A9A">
            <w:pPr>
              <w:jc w:val="center"/>
              <w:rPr>
                <w:sz w:val="20"/>
                <w:lang w:val="es-ES"/>
              </w:rPr>
            </w:pPr>
            <w:r w:rsidRPr="00C174D5">
              <w:rPr>
                <w:color w:val="000000"/>
                <w:sz w:val="20"/>
                <w:lang w:val="es-ES"/>
              </w:rPr>
              <w:t>0,70</w:t>
            </w:r>
          </w:p>
        </w:tc>
        <w:tc>
          <w:tcPr>
            <w:tcW w:w="1079" w:type="dxa"/>
            <w:noWrap/>
            <w:vAlign w:val="bottom"/>
            <w:hideMark/>
          </w:tcPr>
          <w:p w14:paraId="0D518B47" w14:textId="77777777" w:rsidR="00C92C58" w:rsidRPr="00C174D5" w:rsidRDefault="00C92C58" w:rsidP="00B15A9A">
            <w:pPr>
              <w:jc w:val="center"/>
              <w:rPr>
                <w:sz w:val="20"/>
                <w:lang w:val="es-ES"/>
              </w:rPr>
            </w:pPr>
            <w:r w:rsidRPr="00C174D5">
              <w:rPr>
                <w:color w:val="000000"/>
                <w:sz w:val="20"/>
                <w:lang w:val="es-ES"/>
              </w:rPr>
              <w:t>0,70</w:t>
            </w:r>
          </w:p>
        </w:tc>
        <w:tc>
          <w:tcPr>
            <w:tcW w:w="1181" w:type="dxa"/>
            <w:noWrap/>
            <w:vAlign w:val="bottom"/>
            <w:hideMark/>
          </w:tcPr>
          <w:p w14:paraId="0C58E4CF" w14:textId="77777777" w:rsidR="00C92C58" w:rsidRPr="00C174D5" w:rsidRDefault="00C92C58" w:rsidP="00B15A9A">
            <w:pPr>
              <w:jc w:val="center"/>
              <w:rPr>
                <w:sz w:val="20"/>
                <w:lang w:val="es-ES"/>
              </w:rPr>
            </w:pPr>
            <w:r w:rsidRPr="00C174D5">
              <w:rPr>
                <w:color w:val="000000"/>
                <w:sz w:val="20"/>
                <w:lang w:val="es-ES"/>
              </w:rPr>
              <w:t>0,10</w:t>
            </w:r>
          </w:p>
        </w:tc>
      </w:tr>
      <w:tr w:rsidR="00C92C58" w:rsidRPr="00C174D5" w14:paraId="222AA2F3" w14:textId="77777777" w:rsidTr="00B15A9A">
        <w:trPr>
          <w:trHeight w:val="315"/>
        </w:trPr>
        <w:tc>
          <w:tcPr>
            <w:tcW w:w="1408" w:type="dxa"/>
            <w:noWrap/>
            <w:vAlign w:val="center"/>
            <w:hideMark/>
          </w:tcPr>
          <w:p w14:paraId="659CF8D6" w14:textId="77777777" w:rsidR="00C92C58" w:rsidRPr="00C174D5" w:rsidRDefault="00C92C58" w:rsidP="00B15A9A">
            <w:pPr>
              <w:jc w:val="left"/>
              <w:rPr>
                <w:sz w:val="20"/>
                <w:lang w:val="es-ES"/>
              </w:rPr>
            </w:pPr>
            <w:r w:rsidRPr="00C174D5">
              <w:rPr>
                <w:sz w:val="20"/>
                <w:lang w:val="es-ES"/>
              </w:rPr>
              <w:t>Panamá</w:t>
            </w:r>
          </w:p>
        </w:tc>
        <w:tc>
          <w:tcPr>
            <w:tcW w:w="1219" w:type="dxa"/>
            <w:noWrap/>
            <w:vAlign w:val="bottom"/>
            <w:hideMark/>
          </w:tcPr>
          <w:p w14:paraId="52031A49" w14:textId="77777777" w:rsidR="00C92C58" w:rsidRPr="00C174D5" w:rsidRDefault="00C92C58" w:rsidP="00B15A9A">
            <w:pPr>
              <w:jc w:val="center"/>
              <w:rPr>
                <w:sz w:val="20"/>
                <w:lang w:val="es-ES"/>
              </w:rPr>
            </w:pPr>
            <w:r w:rsidRPr="00C174D5">
              <w:rPr>
                <w:color w:val="000000"/>
                <w:sz w:val="20"/>
                <w:lang w:val="es-ES"/>
              </w:rPr>
              <w:t>72,30</w:t>
            </w:r>
          </w:p>
        </w:tc>
        <w:tc>
          <w:tcPr>
            <w:tcW w:w="1079" w:type="dxa"/>
            <w:noWrap/>
            <w:vAlign w:val="bottom"/>
            <w:hideMark/>
          </w:tcPr>
          <w:p w14:paraId="5C14359D" w14:textId="77777777" w:rsidR="00C92C58" w:rsidRPr="00C174D5" w:rsidRDefault="00C92C58" w:rsidP="00B15A9A">
            <w:pPr>
              <w:jc w:val="center"/>
              <w:rPr>
                <w:sz w:val="20"/>
                <w:lang w:val="es-ES"/>
              </w:rPr>
            </w:pPr>
            <w:r w:rsidRPr="00C174D5">
              <w:rPr>
                <w:color w:val="000000"/>
                <w:sz w:val="20"/>
                <w:lang w:val="es-ES"/>
              </w:rPr>
              <w:t>71,40</w:t>
            </w:r>
          </w:p>
        </w:tc>
        <w:tc>
          <w:tcPr>
            <w:tcW w:w="1181" w:type="dxa"/>
            <w:noWrap/>
            <w:vAlign w:val="bottom"/>
            <w:hideMark/>
          </w:tcPr>
          <w:p w14:paraId="0E59B2BD" w14:textId="77777777" w:rsidR="00C92C58" w:rsidRPr="00C174D5" w:rsidRDefault="00C92C58" w:rsidP="00B15A9A">
            <w:pPr>
              <w:jc w:val="center"/>
              <w:rPr>
                <w:sz w:val="20"/>
                <w:lang w:val="es-ES"/>
              </w:rPr>
            </w:pPr>
            <w:r w:rsidRPr="00C174D5">
              <w:rPr>
                <w:color w:val="000000"/>
                <w:sz w:val="20"/>
                <w:lang w:val="es-ES"/>
              </w:rPr>
              <w:t>-0,90</w:t>
            </w:r>
          </w:p>
        </w:tc>
      </w:tr>
      <w:tr w:rsidR="00C92C58" w:rsidRPr="00C174D5" w14:paraId="2CB6B9E0" w14:textId="77777777" w:rsidTr="00B15A9A">
        <w:trPr>
          <w:trHeight w:val="330"/>
        </w:trPr>
        <w:tc>
          <w:tcPr>
            <w:tcW w:w="1408" w:type="dxa"/>
            <w:noWrap/>
            <w:vAlign w:val="center"/>
            <w:hideMark/>
          </w:tcPr>
          <w:p w14:paraId="58BA1726" w14:textId="77777777" w:rsidR="00C92C58" w:rsidRPr="00C174D5" w:rsidRDefault="00C92C58" w:rsidP="00B15A9A">
            <w:pPr>
              <w:jc w:val="left"/>
              <w:rPr>
                <w:sz w:val="20"/>
                <w:lang w:val="es-ES"/>
              </w:rPr>
            </w:pPr>
            <w:r w:rsidRPr="00C174D5">
              <w:rPr>
                <w:sz w:val="20"/>
                <w:lang w:val="es-ES"/>
              </w:rPr>
              <w:t>Total MER</w:t>
            </w:r>
          </w:p>
        </w:tc>
        <w:tc>
          <w:tcPr>
            <w:tcW w:w="1219" w:type="dxa"/>
            <w:noWrap/>
            <w:vAlign w:val="bottom"/>
            <w:hideMark/>
          </w:tcPr>
          <w:p w14:paraId="7616E298" w14:textId="77777777" w:rsidR="00C92C58" w:rsidRPr="00C174D5" w:rsidRDefault="00C92C58" w:rsidP="00B15A9A">
            <w:pPr>
              <w:jc w:val="center"/>
              <w:rPr>
                <w:sz w:val="20"/>
                <w:lang w:val="es-ES"/>
              </w:rPr>
            </w:pPr>
            <w:r w:rsidRPr="00C174D5">
              <w:rPr>
                <w:color w:val="000000"/>
                <w:sz w:val="20"/>
                <w:lang w:val="es-ES"/>
              </w:rPr>
              <w:t>502,40</w:t>
            </w:r>
          </w:p>
        </w:tc>
        <w:tc>
          <w:tcPr>
            <w:tcW w:w="1079" w:type="dxa"/>
            <w:noWrap/>
            <w:vAlign w:val="bottom"/>
            <w:hideMark/>
          </w:tcPr>
          <w:p w14:paraId="66FFE098" w14:textId="77777777" w:rsidR="00C92C58" w:rsidRPr="00C174D5" w:rsidRDefault="00C92C58" w:rsidP="00B15A9A">
            <w:pPr>
              <w:jc w:val="center"/>
              <w:rPr>
                <w:sz w:val="20"/>
                <w:lang w:val="es-ES"/>
              </w:rPr>
            </w:pPr>
            <w:r w:rsidRPr="00C174D5">
              <w:rPr>
                <w:color w:val="000000"/>
                <w:sz w:val="20"/>
                <w:lang w:val="es-ES"/>
              </w:rPr>
              <w:t>496,80</w:t>
            </w:r>
          </w:p>
        </w:tc>
        <w:tc>
          <w:tcPr>
            <w:tcW w:w="1181" w:type="dxa"/>
            <w:noWrap/>
            <w:vAlign w:val="bottom"/>
            <w:hideMark/>
          </w:tcPr>
          <w:p w14:paraId="01581F55" w14:textId="77777777" w:rsidR="00C92C58" w:rsidRPr="00C174D5" w:rsidRDefault="00C92C58" w:rsidP="00B15A9A">
            <w:pPr>
              <w:jc w:val="center"/>
              <w:rPr>
                <w:sz w:val="20"/>
                <w:lang w:val="es-ES"/>
              </w:rPr>
            </w:pPr>
            <w:r w:rsidRPr="00C174D5">
              <w:rPr>
                <w:color w:val="000000"/>
                <w:sz w:val="20"/>
                <w:lang w:val="es-ES"/>
              </w:rPr>
              <w:t>-5,60</w:t>
            </w:r>
          </w:p>
        </w:tc>
      </w:tr>
    </w:tbl>
    <w:p w14:paraId="7905907A" w14:textId="77777777" w:rsidR="00C92C58" w:rsidRPr="00C174D5" w:rsidRDefault="00C92C58" w:rsidP="00C92C58">
      <w:pPr>
        <w:keepLines/>
        <w:spacing w:after="120"/>
        <w:jc w:val="center"/>
        <w:rPr>
          <w:sz w:val="18"/>
          <w:lang w:val="es-ES"/>
        </w:rPr>
      </w:pPr>
      <w:r w:rsidRPr="00C174D5">
        <w:rPr>
          <w:sz w:val="18"/>
          <w:lang w:val="es-ES"/>
        </w:rPr>
        <w:br w:type="textWrapping" w:clear="all"/>
        <w:t>Fuente: Elaboración propia en base a IEOR 2 Tabla 4</w:t>
      </w:r>
    </w:p>
    <w:p w14:paraId="6584964F" w14:textId="77777777" w:rsidR="00C92C58" w:rsidRPr="00C174D5" w:rsidRDefault="00C92C58" w:rsidP="00C92C58">
      <w:pPr>
        <w:rPr>
          <w:lang w:val="es-ES"/>
        </w:rPr>
      </w:pPr>
      <w:r w:rsidRPr="00C174D5">
        <w:rPr>
          <w:lang w:val="es-ES"/>
        </w:rPr>
        <w:t>Como puede observarse, la distribución de los ahorros es muy heterogénea con países en los que el costo de la generación térmica aumenta (Guatemala y Honduras) y países en los que disminuye (El Salvador, Nicaragua, Costa Rica y Panamá). En el agregado, los proyectos representan para la región un ahorro en costo de combustibles de 5,6 MM US$ en el año 2018.</w:t>
      </w:r>
    </w:p>
    <w:p w14:paraId="2A875235" w14:textId="77777777" w:rsidR="00C92C58" w:rsidRPr="00C174D5" w:rsidRDefault="00C92C58" w:rsidP="00C92C58">
      <w:pPr>
        <w:rPr>
          <w:lang w:val="es-ES"/>
        </w:rPr>
      </w:pPr>
      <w:r w:rsidRPr="00C174D5">
        <w:rPr>
          <w:lang w:val="es-ES"/>
        </w:rPr>
        <w:t xml:space="preserve">Dado que no se cuenta con proyecciones con valores para años posteriores a 2018, se hace necesario identificar algún indicador que sirva como proxy de la evolución esperada de estos beneficios. </w:t>
      </w:r>
    </w:p>
    <w:p w14:paraId="2469783F" w14:textId="77777777" w:rsidR="00C92C58" w:rsidRPr="00C174D5" w:rsidRDefault="00C92C58" w:rsidP="00C92C58">
      <w:pPr>
        <w:rPr>
          <w:lang w:val="es-ES"/>
        </w:rPr>
      </w:pPr>
      <w:r w:rsidRPr="00C174D5">
        <w:rPr>
          <w:lang w:val="es-ES"/>
        </w:rPr>
        <w:t xml:space="preserve">Para ello se ha considerado la información disponible en el informe del consultor Manuel </w:t>
      </w:r>
      <w:proofErr w:type="spellStart"/>
      <w:r w:rsidRPr="00C174D5">
        <w:rPr>
          <w:lang w:val="es-ES"/>
        </w:rPr>
        <w:t>Dussan</w:t>
      </w:r>
      <w:proofErr w:type="spellEnd"/>
      <w:r w:rsidRPr="00C174D5">
        <w:rPr>
          <w:rStyle w:val="FootnoteReference"/>
          <w:lang w:val="es-ES"/>
        </w:rPr>
        <w:footnoteReference w:id="54"/>
      </w:r>
      <w:r w:rsidRPr="00C174D5">
        <w:rPr>
          <w:lang w:val="es-ES"/>
        </w:rPr>
        <w:t xml:space="preserve"> como así también la información de base utilizada en dicho informe que fuera suministrada por el BID.</w:t>
      </w:r>
      <w:r w:rsidRPr="00C174D5">
        <w:rPr>
          <w:rStyle w:val="FootnoteReference"/>
          <w:lang w:val="es-ES"/>
        </w:rPr>
        <w:footnoteReference w:id="55"/>
      </w:r>
      <w:r w:rsidRPr="00C174D5">
        <w:rPr>
          <w:lang w:val="es-ES"/>
        </w:rPr>
        <w:t xml:space="preserve"> Para el análisis de los escenarios se ha considerado también el análisis contenido en el informe de CEAC de octubre de 2012.</w:t>
      </w:r>
      <w:r w:rsidRPr="00C174D5">
        <w:rPr>
          <w:rStyle w:val="FootnoteReference"/>
          <w:lang w:val="es-ES"/>
        </w:rPr>
        <w:footnoteReference w:id="56"/>
      </w:r>
    </w:p>
    <w:p w14:paraId="7D36DD2D" w14:textId="77777777" w:rsidR="00C92C58" w:rsidRPr="00C174D5" w:rsidRDefault="00C92C58" w:rsidP="00C92C58">
      <w:pPr>
        <w:pStyle w:val="Heading1"/>
        <w:pageBreakBefore w:val="0"/>
        <w:numPr>
          <w:ilvl w:val="2"/>
          <w:numId w:val="9"/>
        </w:numPr>
        <w:rPr>
          <w:lang w:val="es-ES"/>
        </w:rPr>
      </w:pPr>
      <w:bookmarkStart w:id="206" w:name="_Toc456353148"/>
      <w:r w:rsidRPr="00C174D5">
        <w:rPr>
          <w:lang w:val="es-ES"/>
        </w:rPr>
        <w:lastRenderedPageBreak/>
        <w:t>Análisis regional Aumento capacidad líneas 230kV – Evaluación</w:t>
      </w:r>
      <w:bookmarkEnd w:id="206"/>
    </w:p>
    <w:p w14:paraId="3CD014D0" w14:textId="77777777" w:rsidR="00C92C58" w:rsidRPr="00C174D5" w:rsidRDefault="00C92C58" w:rsidP="00C92C58">
      <w:pPr>
        <w:rPr>
          <w:lang w:val="es-ES"/>
        </w:rPr>
      </w:pPr>
      <w:r w:rsidRPr="00C174D5">
        <w:rPr>
          <w:lang w:val="es-ES"/>
        </w:rPr>
        <w:t>En base a los datos mencionados en el apartado anterior se obtiene una tendencia del crecimiento de los beneficios del proyecto SIEPAC del orden del 6% anual.</w:t>
      </w:r>
      <w:r w:rsidRPr="00C174D5">
        <w:rPr>
          <w:rStyle w:val="FootnoteReference"/>
          <w:lang w:val="es-ES"/>
        </w:rPr>
        <w:footnoteReference w:id="57"/>
      </w:r>
      <w:r w:rsidRPr="00C174D5">
        <w:rPr>
          <w:lang w:val="es-ES"/>
        </w:rPr>
        <w:t xml:space="preserve"> A partir de esta información, y tomando como valor base la estimación de ahorros de costos para 2018 del IOER2, se calcula el beneficio económico de la expansión considerando: la inversión según lo reflejado en el IOER1; una vida útil de las inversiones de 30 años; y costos de operación y mantenimiento iguales al 2,5% del valor de la inversión. Todos los valores considerados se ajustaron por los respectivos factores de cuenta para reflejar su valor económico. La </w:t>
      </w:r>
      <w:r w:rsidRPr="00C174D5">
        <w:rPr>
          <w:lang w:val="es-ES"/>
        </w:rPr>
        <w:fldChar w:fldCharType="begin"/>
      </w:r>
      <w:r w:rsidRPr="00C174D5">
        <w:rPr>
          <w:lang w:val="es-ES"/>
        </w:rPr>
        <w:instrText xml:space="preserve"> REF _Ref450035624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40</w:t>
      </w:r>
      <w:r w:rsidRPr="00C174D5">
        <w:rPr>
          <w:lang w:val="es-ES"/>
        </w:rPr>
        <w:fldChar w:fldCharType="end"/>
      </w:r>
      <w:r w:rsidRPr="00C174D5">
        <w:rPr>
          <w:lang w:val="es-ES"/>
        </w:rPr>
        <w:t xml:space="preserve"> muestra los resultados de este análisis.</w:t>
      </w:r>
    </w:p>
    <w:p w14:paraId="15BB4702" w14:textId="77777777" w:rsidR="00C92C58" w:rsidRPr="00C174D5" w:rsidRDefault="00C92C58" w:rsidP="00C92C58">
      <w:pPr>
        <w:keepNext/>
        <w:keepLines/>
        <w:spacing w:after="120"/>
        <w:jc w:val="center"/>
        <w:rPr>
          <w:b/>
          <w:sz w:val="20"/>
          <w:lang w:val="es-ES"/>
        </w:rPr>
      </w:pPr>
      <w:bookmarkStart w:id="207" w:name="_Ref450035624"/>
      <w:bookmarkStart w:id="208" w:name="_Toc447546991"/>
      <w:bookmarkStart w:id="209" w:name="_Toc456353196"/>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40</w:t>
      </w:r>
      <w:r w:rsidRPr="00C174D5">
        <w:rPr>
          <w:b/>
          <w:sz w:val="20"/>
          <w:lang w:val="es-ES"/>
        </w:rPr>
        <w:fldChar w:fldCharType="end"/>
      </w:r>
      <w:bookmarkEnd w:id="207"/>
      <w:r w:rsidRPr="00C174D5">
        <w:rPr>
          <w:b/>
          <w:sz w:val="20"/>
          <w:lang w:val="es-ES"/>
        </w:rPr>
        <w:t>: Análisis Beneficio Costo Regional: Beneficios Crecientes</w:t>
      </w:r>
      <w:bookmarkEnd w:id="208"/>
      <w:bookmarkEnd w:id="209"/>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2"/>
        <w:gridCol w:w="3144"/>
        <w:gridCol w:w="960"/>
        <w:gridCol w:w="1305"/>
        <w:gridCol w:w="1080"/>
      </w:tblGrid>
      <w:tr w:rsidR="00C92C58" w:rsidRPr="00C174D5" w14:paraId="4AAEBE4F" w14:textId="77777777" w:rsidTr="00B15A9A">
        <w:trPr>
          <w:trHeight w:val="300"/>
          <w:jc w:val="center"/>
        </w:trPr>
        <w:tc>
          <w:tcPr>
            <w:tcW w:w="532" w:type="dxa"/>
            <w:tcBorders>
              <w:top w:val="single" w:sz="12" w:space="0" w:color="auto"/>
              <w:bottom w:val="single" w:sz="12" w:space="0" w:color="auto"/>
            </w:tcBorders>
            <w:shd w:val="clear" w:color="auto" w:fill="D9D9D9" w:themeFill="background1" w:themeFillShade="D9"/>
            <w:noWrap/>
            <w:vAlign w:val="center"/>
            <w:hideMark/>
          </w:tcPr>
          <w:p w14:paraId="4C9FCA3A" w14:textId="77777777" w:rsidR="00C92C58" w:rsidRPr="00C174D5" w:rsidRDefault="00C92C58" w:rsidP="00B15A9A">
            <w:pPr>
              <w:rPr>
                <w:b/>
                <w:sz w:val="20"/>
                <w:lang w:val="es-ES"/>
              </w:rPr>
            </w:pPr>
          </w:p>
        </w:tc>
        <w:tc>
          <w:tcPr>
            <w:tcW w:w="3144" w:type="dxa"/>
            <w:tcBorders>
              <w:top w:val="single" w:sz="12" w:space="0" w:color="auto"/>
              <w:bottom w:val="single" w:sz="12" w:space="0" w:color="auto"/>
            </w:tcBorders>
            <w:shd w:val="clear" w:color="auto" w:fill="D9D9D9" w:themeFill="background1" w:themeFillShade="D9"/>
            <w:noWrap/>
            <w:vAlign w:val="center"/>
            <w:hideMark/>
          </w:tcPr>
          <w:p w14:paraId="291DFD3F" w14:textId="77777777" w:rsidR="00C92C58" w:rsidRPr="00C174D5" w:rsidRDefault="00C92C58" w:rsidP="00B15A9A">
            <w:pPr>
              <w:jc w:val="left"/>
              <w:rPr>
                <w:b/>
                <w:sz w:val="20"/>
                <w:lang w:val="es-ES"/>
              </w:rPr>
            </w:pPr>
            <w:r w:rsidRPr="00C174D5">
              <w:rPr>
                <w:b/>
                <w:sz w:val="20"/>
                <w:lang w:val="es-ES"/>
              </w:rPr>
              <w:t>Concepto</w:t>
            </w:r>
          </w:p>
        </w:tc>
        <w:tc>
          <w:tcPr>
            <w:tcW w:w="960" w:type="dxa"/>
            <w:tcBorders>
              <w:top w:val="single" w:sz="12" w:space="0" w:color="auto"/>
              <w:bottom w:val="single" w:sz="12" w:space="0" w:color="auto"/>
            </w:tcBorders>
            <w:shd w:val="clear" w:color="auto" w:fill="D9D9D9" w:themeFill="background1" w:themeFillShade="D9"/>
            <w:noWrap/>
            <w:vAlign w:val="center"/>
            <w:hideMark/>
          </w:tcPr>
          <w:p w14:paraId="7E891C1F" w14:textId="77777777" w:rsidR="00C92C58" w:rsidRPr="00C174D5" w:rsidRDefault="00C92C58" w:rsidP="00B15A9A">
            <w:pPr>
              <w:jc w:val="center"/>
              <w:rPr>
                <w:b/>
                <w:sz w:val="20"/>
                <w:lang w:val="es-ES"/>
              </w:rPr>
            </w:pPr>
            <w:r w:rsidRPr="00C174D5">
              <w:rPr>
                <w:b/>
                <w:sz w:val="20"/>
                <w:lang w:val="es-ES"/>
              </w:rPr>
              <w:t>Valor</w:t>
            </w:r>
          </w:p>
        </w:tc>
        <w:tc>
          <w:tcPr>
            <w:tcW w:w="1305" w:type="dxa"/>
            <w:tcBorders>
              <w:top w:val="single" w:sz="12" w:space="0" w:color="auto"/>
              <w:bottom w:val="single" w:sz="12" w:space="0" w:color="auto"/>
            </w:tcBorders>
            <w:shd w:val="clear" w:color="auto" w:fill="D9D9D9" w:themeFill="background1" w:themeFillShade="D9"/>
            <w:noWrap/>
            <w:vAlign w:val="center"/>
            <w:hideMark/>
          </w:tcPr>
          <w:p w14:paraId="6D08C0FA" w14:textId="77777777" w:rsidR="00C92C58" w:rsidRPr="00C174D5" w:rsidRDefault="00C92C58" w:rsidP="00B15A9A">
            <w:pPr>
              <w:jc w:val="center"/>
              <w:rPr>
                <w:b/>
                <w:sz w:val="20"/>
                <w:lang w:val="es-ES"/>
              </w:rPr>
            </w:pPr>
          </w:p>
        </w:tc>
        <w:tc>
          <w:tcPr>
            <w:tcW w:w="1080" w:type="dxa"/>
            <w:tcBorders>
              <w:top w:val="single" w:sz="12" w:space="0" w:color="auto"/>
              <w:bottom w:val="single" w:sz="12" w:space="0" w:color="auto"/>
            </w:tcBorders>
            <w:shd w:val="clear" w:color="auto" w:fill="D9D9D9" w:themeFill="background1" w:themeFillShade="D9"/>
            <w:noWrap/>
            <w:vAlign w:val="center"/>
            <w:hideMark/>
          </w:tcPr>
          <w:p w14:paraId="03E0306F" w14:textId="77777777" w:rsidR="00C92C58" w:rsidRPr="00C174D5" w:rsidRDefault="00C92C58" w:rsidP="00B15A9A">
            <w:pPr>
              <w:jc w:val="center"/>
              <w:rPr>
                <w:b/>
                <w:sz w:val="20"/>
                <w:lang w:val="es-ES"/>
              </w:rPr>
            </w:pPr>
            <w:r w:rsidRPr="00C174D5">
              <w:rPr>
                <w:b/>
                <w:sz w:val="20"/>
                <w:lang w:val="es-ES"/>
              </w:rPr>
              <w:t>Fuente</w:t>
            </w:r>
          </w:p>
        </w:tc>
      </w:tr>
      <w:tr w:rsidR="00C92C58" w:rsidRPr="00C174D5" w14:paraId="0673521F" w14:textId="77777777" w:rsidTr="00B15A9A">
        <w:trPr>
          <w:trHeight w:val="300"/>
          <w:jc w:val="center"/>
        </w:trPr>
        <w:tc>
          <w:tcPr>
            <w:tcW w:w="532" w:type="dxa"/>
            <w:tcBorders>
              <w:top w:val="single" w:sz="12" w:space="0" w:color="auto"/>
            </w:tcBorders>
            <w:noWrap/>
            <w:vAlign w:val="center"/>
            <w:hideMark/>
          </w:tcPr>
          <w:p w14:paraId="2CC7A814" w14:textId="77777777" w:rsidR="00C92C58" w:rsidRPr="00C174D5" w:rsidRDefault="00C92C58" w:rsidP="00B15A9A">
            <w:pPr>
              <w:jc w:val="center"/>
              <w:rPr>
                <w:sz w:val="20"/>
                <w:lang w:val="es-ES"/>
              </w:rPr>
            </w:pPr>
            <w:r w:rsidRPr="00C174D5">
              <w:rPr>
                <w:sz w:val="20"/>
                <w:lang w:val="es-ES"/>
              </w:rPr>
              <w:t>I</w:t>
            </w:r>
          </w:p>
        </w:tc>
        <w:tc>
          <w:tcPr>
            <w:tcW w:w="3144" w:type="dxa"/>
            <w:tcBorders>
              <w:top w:val="single" w:sz="12" w:space="0" w:color="auto"/>
            </w:tcBorders>
            <w:noWrap/>
            <w:vAlign w:val="center"/>
            <w:hideMark/>
          </w:tcPr>
          <w:p w14:paraId="0287D6C5" w14:textId="77777777" w:rsidR="00C92C58" w:rsidRPr="00C174D5" w:rsidRDefault="00C92C58" w:rsidP="00B15A9A">
            <w:pPr>
              <w:jc w:val="left"/>
              <w:rPr>
                <w:sz w:val="20"/>
                <w:lang w:val="es-ES"/>
              </w:rPr>
            </w:pPr>
            <w:r w:rsidRPr="00C174D5">
              <w:rPr>
                <w:sz w:val="20"/>
                <w:lang w:val="es-ES"/>
              </w:rPr>
              <w:t>Inversión</w:t>
            </w:r>
          </w:p>
        </w:tc>
        <w:tc>
          <w:tcPr>
            <w:tcW w:w="960" w:type="dxa"/>
            <w:tcBorders>
              <w:top w:val="single" w:sz="12" w:space="0" w:color="auto"/>
            </w:tcBorders>
            <w:noWrap/>
            <w:vAlign w:val="center"/>
            <w:hideMark/>
          </w:tcPr>
          <w:p w14:paraId="3046EC54" w14:textId="77777777" w:rsidR="00C92C58" w:rsidRPr="00C174D5" w:rsidRDefault="00C92C58" w:rsidP="00B15A9A">
            <w:pPr>
              <w:jc w:val="center"/>
              <w:rPr>
                <w:sz w:val="20"/>
                <w:lang w:val="es-ES"/>
              </w:rPr>
            </w:pPr>
            <w:r w:rsidRPr="00C174D5">
              <w:rPr>
                <w:sz w:val="20"/>
                <w:lang w:val="es-ES"/>
              </w:rPr>
              <w:t>-64,8</w:t>
            </w:r>
          </w:p>
        </w:tc>
        <w:tc>
          <w:tcPr>
            <w:tcW w:w="1305" w:type="dxa"/>
            <w:tcBorders>
              <w:top w:val="single" w:sz="12" w:space="0" w:color="auto"/>
            </w:tcBorders>
            <w:noWrap/>
            <w:vAlign w:val="center"/>
            <w:hideMark/>
          </w:tcPr>
          <w:p w14:paraId="2BE5252A" w14:textId="77777777" w:rsidR="00C92C58" w:rsidRPr="00C174D5" w:rsidRDefault="00C92C58" w:rsidP="00B15A9A">
            <w:pPr>
              <w:jc w:val="center"/>
              <w:rPr>
                <w:sz w:val="20"/>
                <w:lang w:val="es-ES"/>
              </w:rPr>
            </w:pPr>
            <w:r w:rsidRPr="00C174D5">
              <w:rPr>
                <w:sz w:val="20"/>
                <w:lang w:val="es-ES"/>
              </w:rPr>
              <w:t>MM US$</w:t>
            </w:r>
          </w:p>
        </w:tc>
        <w:tc>
          <w:tcPr>
            <w:tcW w:w="1080" w:type="dxa"/>
            <w:tcBorders>
              <w:top w:val="single" w:sz="12" w:space="0" w:color="auto"/>
            </w:tcBorders>
            <w:noWrap/>
            <w:vAlign w:val="center"/>
            <w:hideMark/>
          </w:tcPr>
          <w:p w14:paraId="10CF9427" w14:textId="77777777" w:rsidR="00C92C58" w:rsidRPr="00C174D5" w:rsidRDefault="00C92C58" w:rsidP="00B15A9A">
            <w:pPr>
              <w:jc w:val="center"/>
              <w:rPr>
                <w:sz w:val="20"/>
                <w:lang w:val="es-ES"/>
              </w:rPr>
            </w:pPr>
            <w:r w:rsidRPr="00C174D5">
              <w:rPr>
                <w:sz w:val="20"/>
                <w:lang w:val="es-ES"/>
              </w:rPr>
              <w:t>IEOR 1</w:t>
            </w:r>
          </w:p>
        </w:tc>
      </w:tr>
      <w:tr w:rsidR="00C92C58" w:rsidRPr="00C174D5" w14:paraId="3831A475" w14:textId="77777777" w:rsidTr="00B15A9A">
        <w:trPr>
          <w:trHeight w:val="300"/>
          <w:jc w:val="center"/>
        </w:trPr>
        <w:tc>
          <w:tcPr>
            <w:tcW w:w="532" w:type="dxa"/>
            <w:noWrap/>
            <w:vAlign w:val="center"/>
            <w:hideMark/>
          </w:tcPr>
          <w:p w14:paraId="11221A59" w14:textId="77777777" w:rsidR="00C92C58" w:rsidRPr="00C174D5" w:rsidRDefault="00C92C58" w:rsidP="00B15A9A">
            <w:pPr>
              <w:jc w:val="center"/>
              <w:rPr>
                <w:sz w:val="20"/>
                <w:lang w:val="es-ES"/>
              </w:rPr>
            </w:pPr>
            <w:r w:rsidRPr="00C174D5">
              <w:rPr>
                <w:sz w:val="20"/>
                <w:lang w:val="es-ES"/>
              </w:rPr>
              <w:t>II</w:t>
            </w:r>
          </w:p>
        </w:tc>
        <w:tc>
          <w:tcPr>
            <w:tcW w:w="3144" w:type="dxa"/>
            <w:noWrap/>
            <w:vAlign w:val="center"/>
            <w:hideMark/>
          </w:tcPr>
          <w:p w14:paraId="64598CD1" w14:textId="77777777" w:rsidR="00C92C58" w:rsidRPr="00C174D5" w:rsidRDefault="00C92C58" w:rsidP="00B15A9A">
            <w:pPr>
              <w:jc w:val="left"/>
              <w:rPr>
                <w:sz w:val="20"/>
                <w:lang w:val="es-ES"/>
              </w:rPr>
            </w:pPr>
            <w:r w:rsidRPr="00C174D5">
              <w:rPr>
                <w:sz w:val="20"/>
                <w:lang w:val="es-ES"/>
              </w:rPr>
              <w:t>O&amp;M</w:t>
            </w:r>
          </w:p>
        </w:tc>
        <w:tc>
          <w:tcPr>
            <w:tcW w:w="960" w:type="dxa"/>
            <w:noWrap/>
            <w:vAlign w:val="center"/>
            <w:hideMark/>
          </w:tcPr>
          <w:p w14:paraId="5A7C0883" w14:textId="77777777" w:rsidR="00C92C58" w:rsidRPr="00C174D5" w:rsidRDefault="00C92C58" w:rsidP="00B15A9A">
            <w:pPr>
              <w:jc w:val="center"/>
              <w:rPr>
                <w:sz w:val="20"/>
                <w:lang w:val="es-ES"/>
              </w:rPr>
            </w:pPr>
            <w:r w:rsidRPr="00C174D5">
              <w:rPr>
                <w:sz w:val="20"/>
                <w:lang w:val="es-ES"/>
              </w:rPr>
              <w:t>-1,6</w:t>
            </w:r>
          </w:p>
        </w:tc>
        <w:tc>
          <w:tcPr>
            <w:tcW w:w="1305" w:type="dxa"/>
            <w:noWrap/>
            <w:vAlign w:val="center"/>
            <w:hideMark/>
          </w:tcPr>
          <w:p w14:paraId="635F7A94" w14:textId="77777777" w:rsidR="00C92C58" w:rsidRPr="00C174D5" w:rsidRDefault="00C92C58" w:rsidP="00B15A9A">
            <w:pPr>
              <w:jc w:val="center"/>
              <w:rPr>
                <w:sz w:val="20"/>
                <w:lang w:val="es-ES"/>
              </w:rPr>
            </w:pPr>
            <w:r w:rsidRPr="00C174D5">
              <w:rPr>
                <w:sz w:val="20"/>
                <w:lang w:val="es-ES"/>
              </w:rPr>
              <w:t>MM US$</w:t>
            </w:r>
          </w:p>
        </w:tc>
        <w:tc>
          <w:tcPr>
            <w:tcW w:w="1080" w:type="dxa"/>
            <w:noWrap/>
            <w:vAlign w:val="center"/>
            <w:hideMark/>
          </w:tcPr>
          <w:p w14:paraId="60EE7CAB" w14:textId="77777777" w:rsidR="00C92C58" w:rsidRPr="00C174D5" w:rsidRDefault="00C92C58" w:rsidP="00B15A9A">
            <w:pPr>
              <w:jc w:val="center"/>
              <w:rPr>
                <w:sz w:val="20"/>
                <w:lang w:val="es-ES"/>
              </w:rPr>
            </w:pPr>
            <w:r w:rsidRPr="00C174D5">
              <w:rPr>
                <w:sz w:val="20"/>
                <w:lang w:val="es-ES"/>
              </w:rPr>
              <w:t>2,5%*I</w:t>
            </w:r>
          </w:p>
        </w:tc>
      </w:tr>
      <w:tr w:rsidR="00C92C58" w:rsidRPr="00C174D5" w14:paraId="344C7C22" w14:textId="77777777" w:rsidTr="00B15A9A">
        <w:trPr>
          <w:trHeight w:val="300"/>
          <w:jc w:val="center"/>
        </w:trPr>
        <w:tc>
          <w:tcPr>
            <w:tcW w:w="532" w:type="dxa"/>
            <w:noWrap/>
            <w:vAlign w:val="center"/>
            <w:hideMark/>
          </w:tcPr>
          <w:p w14:paraId="637EEB67" w14:textId="77777777" w:rsidR="00C92C58" w:rsidRPr="00C174D5" w:rsidRDefault="00C92C58" w:rsidP="00B15A9A">
            <w:pPr>
              <w:jc w:val="center"/>
              <w:rPr>
                <w:sz w:val="20"/>
                <w:lang w:val="es-ES"/>
              </w:rPr>
            </w:pPr>
            <w:r w:rsidRPr="00C174D5">
              <w:rPr>
                <w:sz w:val="20"/>
                <w:lang w:val="es-ES"/>
              </w:rPr>
              <w:t>III</w:t>
            </w:r>
          </w:p>
        </w:tc>
        <w:tc>
          <w:tcPr>
            <w:tcW w:w="3144" w:type="dxa"/>
            <w:noWrap/>
            <w:vAlign w:val="center"/>
            <w:hideMark/>
          </w:tcPr>
          <w:p w14:paraId="1719B286" w14:textId="77777777" w:rsidR="00C92C58" w:rsidRPr="00C174D5" w:rsidRDefault="00C92C58" w:rsidP="00B15A9A">
            <w:pPr>
              <w:jc w:val="left"/>
              <w:rPr>
                <w:sz w:val="20"/>
                <w:lang w:val="es-ES"/>
              </w:rPr>
            </w:pPr>
            <w:r w:rsidRPr="00C174D5">
              <w:rPr>
                <w:sz w:val="20"/>
                <w:lang w:val="es-ES"/>
              </w:rPr>
              <w:t>Beneficios Brutos 2018</w:t>
            </w:r>
          </w:p>
        </w:tc>
        <w:tc>
          <w:tcPr>
            <w:tcW w:w="960" w:type="dxa"/>
            <w:noWrap/>
            <w:vAlign w:val="center"/>
            <w:hideMark/>
          </w:tcPr>
          <w:p w14:paraId="4FE28BEE" w14:textId="77777777" w:rsidR="00C92C58" w:rsidRPr="00C174D5" w:rsidRDefault="00C92C58" w:rsidP="00B15A9A">
            <w:pPr>
              <w:jc w:val="center"/>
              <w:rPr>
                <w:sz w:val="20"/>
                <w:lang w:val="es-ES"/>
              </w:rPr>
            </w:pPr>
            <w:r w:rsidRPr="00C174D5">
              <w:rPr>
                <w:sz w:val="20"/>
                <w:lang w:val="es-ES"/>
              </w:rPr>
              <w:t>5,5</w:t>
            </w:r>
          </w:p>
        </w:tc>
        <w:tc>
          <w:tcPr>
            <w:tcW w:w="1305" w:type="dxa"/>
            <w:noWrap/>
            <w:vAlign w:val="center"/>
            <w:hideMark/>
          </w:tcPr>
          <w:p w14:paraId="411F0DB7" w14:textId="77777777" w:rsidR="00C92C58" w:rsidRPr="00C174D5" w:rsidRDefault="00C92C58" w:rsidP="00B15A9A">
            <w:pPr>
              <w:jc w:val="center"/>
              <w:rPr>
                <w:sz w:val="20"/>
                <w:lang w:val="es-ES"/>
              </w:rPr>
            </w:pPr>
            <w:r w:rsidRPr="00C174D5">
              <w:rPr>
                <w:sz w:val="20"/>
                <w:lang w:val="es-ES"/>
              </w:rPr>
              <w:t>MM US$</w:t>
            </w:r>
          </w:p>
        </w:tc>
        <w:tc>
          <w:tcPr>
            <w:tcW w:w="1080" w:type="dxa"/>
            <w:noWrap/>
            <w:vAlign w:val="center"/>
            <w:hideMark/>
          </w:tcPr>
          <w:p w14:paraId="5F5E00AB" w14:textId="77777777" w:rsidR="00C92C58" w:rsidRPr="00C174D5" w:rsidRDefault="00C92C58" w:rsidP="00B15A9A">
            <w:pPr>
              <w:jc w:val="center"/>
              <w:rPr>
                <w:sz w:val="20"/>
                <w:lang w:val="es-ES"/>
              </w:rPr>
            </w:pPr>
            <w:r w:rsidRPr="00C174D5">
              <w:rPr>
                <w:sz w:val="20"/>
                <w:lang w:val="es-ES"/>
              </w:rPr>
              <w:t>IEOR 2</w:t>
            </w:r>
          </w:p>
        </w:tc>
      </w:tr>
      <w:tr w:rsidR="00C92C58" w:rsidRPr="00C174D5" w14:paraId="408A95C0" w14:textId="77777777" w:rsidTr="00B15A9A">
        <w:trPr>
          <w:trHeight w:val="300"/>
          <w:jc w:val="center"/>
        </w:trPr>
        <w:tc>
          <w:tcPr>
            <w:tcW w:w="532" w:type="dxa"/>
            <w:noWrap/>
            <w:vAlign w:val="center"/>
            <w:hideMark/>
          </w:tcPr>
          <w:p w14:paraId="75430049" w14:textId="77777777" w:rsidR="00C92C58" w:rsidRPr="00C174D5" w:rsidRDefault="00C92C58" w:rsidP="00B15A9A">
            <w:pPr>
              <w:jc w:val="center"/>
              <w:rPr>
                <w:sz w:val="20"/>
                <w:lang w:val="es-ES"/>
              </w:rPr>
            </w:pPr>
            <w:r w:rsidRPr="00C174D5">
              <w:rPr>
                <w:sz w:val="20"/>
                <w:lang w:val="es-ES"/>
              </w:rPr>
              <w:t>IV</w:t>
            </w:r>
          </w:p>
        </w:tc>
        <w:tc>
          <w:tcPr>
            <w:tcW w:w="3144" w:type="dxa"/>
            <w:noWrap/>
            <w:vAlign w:val="center"/>
            <w:hideMark/>
          </w:tcPr>
          <w:p w14:paraId="266EEBDA" w14:textId="77777777" w:rsidR="00C92C58" w:rsidRPr="00C174D5" w:rsidRDefault="00C92C58" w:rsidP="00B15A9A">
            <w:pPr>
              <w:jc w:val="left"/>
              <w:rPr>
                <w:sz w:val="20"/>
                <w:lang w:val="es-ES"/>
              </w:rPr>
            </w:pPr>
            <w:r w:rsidRPr="00C174D5">
              <w:rPr>
                <w:sz w:val="20"/>
                <w:lang w:val="es-ES"/>
              </w:rPr>
              <w:t>Beneficios Netos</w:t>
            </w:r>
          </w:p>
        </w:tc>
        <w:tc>
          <w:tcPr>
            <w:tcW w:w="960" w:type="dxa"/>
            <w:noWrap/>
            <w:vAlign w:val="center"/>
            <w:hideMark/>
          </w:tcPr>
          <w:p w14:paraId="085AE34A" w14:textId="77777777" w:rsidR="00C92C58" w:rsidRPr="00C174D5" w:rsidRDefault="00C92C58" w:rsidP="00B15A9A">
            <w:pPr>
              <w:jc w:val="center"/>
              <w:rPr>
                <w:sz w:val="20"/>
                <w:lang w:val="es-ES"/>
              </w:rPr>
            </w:pPr>
            <w:r w:rsidRPr="00C174D5">
              <w:rPr>
                <w:sz w:val="20"/>
                <w:lang w:val="es-ES"/>
              </w:rPr>
              <w:t>3,9</w:t>
            </w:r>
          </w:p>
        </w:tc>
        <w:tc>
          <w:tcPr>
            <w:tcW w:w="1305" w:type="dxa"/>
            <w:noWrap/>
            <w:vAlign w:val="center"/>
            <w:hideMark/>
          </w:tcPr>
          <w:p w14:paraId="21CE403D" w14:textId="77777777" w:rsidR="00C92C58" w:rsidRPr="00C174D5" w:rsidRDefault="00C92C58" w:rsidP="00B15A9A">
            <w:pPr>
              <w:jc w:val="center"/>
              <w:rPr>
                <w:sz w:val="20"/>
                <w:lang w:val="es-ES"/>
              </w:rPr>
            </w:pPr>
            <w:r w:rsidRPr="00C174D5">
              <w:rPr>
                <w:sz w:val="20"/>
                <w:lang w:val="es-ES"/>
              </w:rPr>
              <w:t>MM US$</w:t>
            </w:r>
          </w:p>
        </w:tc>
        <w:tc>
          <w:tcPr>
            <w:tcW w:w="1080" w:type="dxa"/>
            <w:noWrap/>
            <w:vAlign w:val="center"/>
            <w:hideMark/>
          </w:tcPr>
          <w:p w14:paraId="00831A0A" w14:textId="77777777" w:rsidR="00C92C58" w:rsidRPr="00C174D5" w:rsidRDefault="00C92C58" w:rsidP="00B15A9A">
            <w:pPr>
              <w:jc w:val="center"/>
              <w:rPr>
                <w:sz w:val="20"/>
                <w:lang w:val="es-ES"/>
              </w:rPr>
            </w:pPr>
            <w:r w:rsidRPr="00C174D5">
              <w:rPr>
                <w:sz w:val="20"/>
                <w:lang w:val="es-ES"/>
              </w:rPr>
              <w:t>III + II</w:t>
            </w:r>
          </w:p>
        </w:tc>
      </w:tr>
      <w:tr w:rsidR="00C92C58" w:rsidRPr="00C174D5" w14:paraId="1D92BFC6" w14:textId="77777777" w:rsidTr="00B15A9A">
        <w:trPr>
          <w:trHeight w:val="300"/>
          <w:jc w:val="center"/>
        </w:trPr>
        <w:tc>
          <w:tcPr>
            <w:tcW w:w="532" w:type="dxa"/>
            <w:noWrap/>
            <w:vAlign w:val="center"/>
            <w:hideMark/>
          </w:tcPr>
          <w:p w14:paraId="1F9FAF5C" w14:textId="77777777" w:rsidR="00C92C58" w:rsidRPr="00C174D5" w:rsidRDefault="00C92C58" w:rsidP="00B15A9A">
            <w:pPr>
              <w:jc w:val="center"/>
              <w:rPr>
                <w:sz w:val="20"/>
                <w:lang w:val="es-ES"/>
              </w:rPr>
            </w:pPr>
            <w:r w:rsidRPr="00C174D5">
              <w:rPr>
                <w:sz w:val="20"/>
                <w:lang w:val="es-ES"/>
              </w:rPr>
              <w:t>V</w:t>
            </w:r>
          </w:p>
        </w:tc>
        <w:tc>
          <w:tcPr>
            <w:tcW w:w="3144" w:type="dxa"/>
            <w:noWrap/>
            <w:vAlign w:val="center"/>
            <w:hideMark/>
          </w:tcPr>
          <w:p w14:paraId="4C171BBC" w14:textId="77777777" w:rsidR="00C92C58" w:rsidRPr="00C174D5" w:rsidRDefault="00C92C58" w:rsidP="00B15A9A">
            <w:pPr>
              <w:jc w:val="left"/>
              <w:rPr>
                <w:sz w:val="20"/>
                <w:lang w:val="es-ES"/>
              </w:rPr>
            </w:pPr>
            <w:r w:rsidRPr="00C174D5">
              <w:rPr>
                <w:sz w:val="20"/>
                <w:lang w:val="es-ES"/>
              </w:rPr>
              <w:t>Tasa Crecimiento B Brutos</w:t>
            </w:r>
          </w:p>
        </w:tc>
        <w:tc>
          <w:tcPr>
            <w:tcW w:w="960" w:type="dxa"/>
            <w:noWrap/>
            <w:vAlign w:val="center"/>
            <w:hideMark/>
          </w:tcPr>
          <w:p w14:paraId="2D8FE7CB" w14:textId="77777777" w:rsidR="00C92C58" w:rsidRPr="00C174D5" w:rsidRDefault="00C92C58" w:rsidP="00B15A9A">
            <w:pPr>
              <w:jc w:val="center"/>
              <w:rPr>
                <w:sz w:val="20"/>
                <w:lang w:val="es-ES"/>
              </w:rPr>
            </w:pPr>
            <w:r w:rsidRPr="00C174D5">
              <w:rPr>
                <w:sz w:val="20"/>
                <w:lang w:val="es-ES"/>
              </w:rPr>
              <w:t>6,0</w:t>
            </w:r>
          </w:p>
        </w:tc>
        <w:tc>
          <w:tcPr>
            <w:tcW w:w="1305" w:type="dxa"/>
            <w:noWrap/>
            <w:vAlign w:val="center"/>
            <w:hideMark/>
          </w:tcPr>
          <w:p w14:paraId="04BC3130" w14:textId="77777777" w:rsidR="00C92C58" w:rsidRPr="00C174D5" w:rsidRDefault="00C92C58" w:rsidP="00B15A9A">
            <w:pPr>
              <w:jc w:val="center"/>
              <w:rPr>
                <w:sz w:val="20"/>
                <w:lang w:val="es-ES"/>
              </w:rPr>
            </w:pPr>
            <w:r w:rsidRPr="00C174D5">
              <w:rPr>
                <w:sz w:val="20"/>
                <w:lang w:val="es-ES"/>
              </w:rPr>
              <w:t>%</w:t>
            </w:r>
          </w:p>
        </w:tc>
        <w:tc>
          <w:tcPr>
            <w:tcW w:w="1080" w:type="dxa"/>
            <w:noWrap/>
            <w:vAlign w:val="center"/>
            <w:hideMark/>
          </w:tcPr>
          <w:p w14:paraId="42B7BB21" w14:textId="77777777" w:rsidR="00C92C58" w:rsidRPr="00C174D5" w:rsidRDefault="00C92C58" w:rsidP="00B15A9A">
            <w:pPr>
              <w:jc w:val="center"/>
              <w:rPr>
                <w:sz w:val="20"/>
                <w:lang w:val="es-ES"/>
              </w:rPr>
            </w:pPr>
          </w:p>
        </w:tc>
      </w:tr>
      <w:tr w:rsidR="00C92C58" w:rsidRPr="00C174D5" w14:paraId="02711126" w14:textId="77777777" w:rsidTr="00B15A9A">
        <w:trPr>
          <w:trHeight w:val="300"/>
          <w:jc w:val="center"/>
        </w:trPr>
        <w:tc>
          <w:tcPr>
            <w:tcW w:w="532" w:type="dxa"/>
            <w:noWrap/>
            <w:vAlign w:val="center"/>
            <w:hideMark/>
          </w:tcPr>
          <w:p w14:paraId="21D3E027" w14:textId="77777777" w:rsidR="00C92C58" w:rsidRPr="00C174D5" w:rsidRDefault="00C92C58" w:rsidP="00B15A9A">
            <w:pPr>
              <w:jc w:val="center"/>
              <w:rPr>
                <w:sz w:val="20"/>
                <w:lang w:val="es-ES"/>
              </w:rPr>
            </w:pPr>
            <w:r w:rsidRPr="00C174D5">
              <w:rPr>
                <w:sz w:val="20"/>
                <w:lang w:val="es-ES"/>
              </w:rPr>
              <w:t>VII</w:t>
            </w:r>
          </w:p>
        </w:tc>
        <w:tc>
          <w:tcPr>
            <w:tcW w:w="3144" w:type="dxa"/>
            <w:noWrap/>
            <w:vAlign w:val="center"/>
            <w:hideMark/>
          </w:tcPr>
          <w:p w14:paraId="584B0E1C" w14:textId="77777777" w:rsidR="00C92C58" w:rsidRPr="00C174D5" w:rsidRDefault="00C92C58" w:rsidP="00B15A9A">
            <w:pPr>
              <w:jc w:val="left"/>
              <w:rPr>
                <w:sz w:val="20"/>
                <w:lang w:val="es-ES"/>
              </w:rPr>
            </w:pPr>
            <w:r w:rsidRPr="00C174D5">
              <w:rPr>
                <w:sz w:val="20"/>
                <w:lang w:val="es-ES"/>
              </w:rPr>
              <w:t>TIRE</w:t>
            </w:r>
          </w:p>
        </w:tc>
        <w:tc>
          <w:tcPr>
            <w:tcW w:w="960" w:type="dxa"/>
            <w:noWrap/>
            <w:vAlign w:val="center"/>
            <w:hideMark/>
          </w:tcPr>
          <w:p w14:paraId="52692F1F" w14:textId="77777777" w:rsidR="00C92C58" w:rsidRPr="00C174D5" w:rsidRDefault="00C92C58" w:rsidP="00B15A9A">
            <w:pPr>
              <w:jc w:val="center"/>
              <w:rPr>
                <w:sz w:val="20"/>
                <w:lang w:val="es-ES"/>
              </w:rPr>
            </w:pPr>
            <w:r w:rsidRPr="00C174D5">
              <w:rPr>
                <w:sz w:val="20"/>
                <w:lang w:val="es-ES"/>
              </w:rPr>
              <w:t>11,5</w:t>
            </w:r>
          </w:p>
        </w:tc>
        <w:tc>
          <w:tcPr>
            <w:tcW w:w="1305" w:type="dxa"/>
            <w:noWrap/>
            <w:vAlign w:val="center"/>
            <w:hideMark/>
          </w:tcPr>
          <w:p w14:paraId="2841A822" w14:textId="77777777" w:rsidR="00C92C58" w:rsidRPr="00C174D5" w:rsidRDefault="00C92C58" w:rsidP="00B15A9A">
            <w:pPr>
              <w:jc w:val="center"/>
              <w:rPr>
                <w:sz w:val="20"/>
                <w:lang w:val="es-ES"/>
              </w:rPr>
            </w:pPr>
            <w:r w:rsidRPr="00C174D5">
              <w:rPr>
                <w:sz w:val="20"/>
                <w:lang w:val="es-ES"/>
              </w:rPr>
              <w:t>%</w:t>
            </w:r>
          </w:p>
        </w:tc>
        <w:tc>
          <w:tcPr>
            <w:tcW w:w="1080" w:type="dxa"/>
            <w:noWrap/>
            <w:vAlign w:val="center"/>
            <w:hideMark/>
          </w:tcPr>
          <w:p w14:paraId="79DBDB18" w14:textId="77777777" w:rsidR="00C92C58" w:rsidRPr="00C174D5" w:rsidRDefault="00C92C58" w:rsidP="00B15A9A">
            <w:pPr>
              <w:jc w:val="center"/>
              <w:rPr>
                <w:sz w:val="20"/>
                <w:lang w:val="es-ES"/>
              </w:rPr>
            </w:pPr>
          </w:p>
        </w:tc>
      </w:tr>
    </w:tbl>
    <w:p w14:paraId="46AB81CC" w14:textId="77777777" w:rsidR="00C92C58" w:rsidRPr="00C174D5" w:rsidRDefault="00C92C58" w:rsidP="00C92C58">
      <w:pPr>
        <w:keepLines/>
        <w:tabs>
          <w:tab w:val="left" w:pos="8222"/>
        </w:tabs>
        <w:spacing w:after="120"/>
        <w:ind w:left="709" w:right="708"/>
        <w:jc w:val="center"/>
        <w:rPr>
          <w:sz w:val="18"/>
          <w:lang w:val="es-ES"/>
        </w:rPr>
      </w:pPr>
      <w:r w:rsidRPr="00C174D5">
        <w:rPr>
          <w:sz w:val="18"/>
          <w:lang w:val="es-ES"/>
        </w:rPr>
        <w:t>Fuente: Elaboración propia.</w:t>
      </w:r>
    </w:p>
    <w:p w14:paraId="3C9F4248" w14:textId="77777777" w:rsidR="00C92C58" w:rsidRPr="00C174D5" w:rsidRDefault="00C92C58" w:rsidP="00C92C58">
      <w:pPr>
        <w:rPr>
          <w:lang w:val="es-ES"/>
        </w:rPr>
      </w:pPr>
      <w:r w:rsidRPr="00C174D5">
        <w:rPr>
          <w:lang w:val="es-ES"/>
        </w:rPr>
        <w:t>Bajo los supuestos adoptados, el proyecto que incluye los refuerzos nacionales a la red regional tiene una tasa interna de retorno económica del 11,5% real en dólares que es levemente inferior al costo de oportunidad del capital del 12% considerado en los análisis regionales.</w:t>
      </w:r>
    </w:p>
    <w:p w14:paraId="44BEA676" w14:textId="77777777" w:rsidR="00C92C58" w:rsidRPr="00C174D5" w:rsidRDefault="00C92C58" w:rsidP="00C92C58">
      <w:pPr>
        <w:rPr>
          <w:lang w:val="es-ES"/>
        </w:rPr>
      </w:pPr>
      <w:r w:rsidRPr="00C174D5">
        <w:rPr>
          <w:lang w:val="es-ES"/>
        </w:rPr>
        <w:t xml:space="preserve">Se debe destacar que el ahorro de costos operativos es sólo uno de los beneficios esperados de la integración regional. Como señala el mencionado informe de </w:t>
      </w:r>
      <w:proofErr w:type="spellStart"/>
      <w:r w:rsidRPr="00C174D5">
        <w:rPr>
          <w:lang w:val="es-ES"/>
        </w:rPr>
        <w:t>Dussan</w:t>
      </w:r>
      <w:proofErr w:type="spellEnd"/>
      <w:r w:rsidRPr="00C174D5">
        <w:rPr>
          <w:lang w:val="es-ES"/>
        </w:rPr>
        <w:t>:</w:t>
      </w:r>
      <w:r w:rsidRPr="00C174D5">
        <w:rPr>
          <w:rStyle w:val="FootnoteReference"/>
          <w:lang w:val="es-ES"/>
        </w:rPr>
        <w:footnoteReference w:id="58"/>
      </w:r>
    </w:p>
    <w:p w14:paraId="6104E2B1" w14:textId="77777777" w:rsidR="00C92C58" w:rsidRPr="00C174D5" w:rsidRDefault="00C92C58" w:rsidP="00C92C58">
      <w:pPr>
        <w:ind w:left="720"/>
        <w:rPr>
          <w:lang w:val="es-ES"/>
        </w:rPr>
      </w:pPr>
      <w:r w:rsidRPr="00C174D5">
        <w:rPr>
          <w:lang w:val="es-ES"/>
        </w:rPr>
        <w:t>Los análisis tanto Ex-Ante, como Ex-Post, permiten confirmar que los beneficios del proyecto dependen en alta medida del grado de coordinación de la operación y planificación que realmente se logre a nivel regional</w:t>
      </w:r>
      <w:r w:rsidRPr="00C174D5">
        <w:rPr>
          <w:b/>
          <w:lang w:val="es-ES"/>
        </w:rPr>
        <w:t>, y que el beneficio neto del proyecto aumenta a medida que aumenta el grado de integración, especialmente cuando los países coordinan la planificación de la expansión de la generación.</w:t>
      </w:r>
      <w:r w:rsidRPr="00C174D5">
        <w:rPr>
          <w:lang w:val="es-ES"/>
        </w:rPr>
        <w:t xml:space="preserve"> Los resultados demuestran la necesidad de coordinar la planificación, desarrollar un mercado de contratos firmes a largo </w:t>
      </w:r>
      <w:r w:rsidRPr="00C174D5">
        <w:rPr>
          <w:lang w:val="es-ES"/>
        </w:rPr>
        <w:lastRenderedPageBreak/>
        <w:t>plazo entre los países, y desarrollar proyectos de generación de escala regional.</w:t>
      </w:r>
    </w:p>
    <w:p w14:paraId="13799ABD" w14:textId="77777777" w:rsidR="00C92C58" w:rsidRPr="00C174D5" w:rsidRDefault="00C92C58" w:rsidP="00C92C58">
      <w:pPr>
        <w:ind w:left="720"/>
        <w:rPr>
          <w:lang w:val="es-ES"/>
        </w:rPr>
      </w:pPr>
      <w:r w:rsidRPr="00C174D5">
        <w:rPr>
          <w:lang w:val="es-ES"/>
        </w:rPr>
        <w:t xml:space="preserve">En el caso de una integración baja, en que se coordina únicamente la operación, la evaluación Ex-Ante concluía que los ahorros en los costos de operación no compensarían la inversión en el proyecto SIEPAC. </w:t>
      </w:r>
      <w:r w:rsidRPr="00C174D5">
        <w:rPr>
          <w:b/>
          <w:lang w:val="es-ES"/>
        </w:rPr>
        <w:t>Por su parte, la evaluación Ex-Post muestra que los ahorros de una operación coordinada compensan los costos de inversión del proyecto SIEPAC, pero dejando un beneficio neto bastante reducido</w:t>
      </w:r>
      <w:r w:rsidRPr="00C174D5">
        <w:rPr>
          <w:lang w:val="es-ES"/>
        </w:rPr>
        <w:t>. Este resultado probablemente refleja el cambio en las expectativas de precios de los combustibles entre 1997 y el 2011.</w:t>
      </w:r>
    </w:p>
    <w:p w14:paraId="3B31F07E" w14:textId="77777777" w:rsidR="00C92C58" w:rsidRPr="00C174D5" w:rsidRDefault="00C92C58" w:rsidP="00C92C58">
      <w:pPr>
        <w:rPr>
          <w:lang w:val="es-ES"/>
        </w:rPr>
      </w:pPr>
      <w:r w:rsidRPr="00C174D5">
        <w:rPr>
          <w:lang w:val="es-ES"/>
        </w:rPr>
        <w:t xml:space="preserve">De esto se desprende que la estimación realizada, que se basa sólo en el ahorro de costos de combustible asociado al aumento de la capacidad de transporte, es consistente con la valuación presentada por </w:t>
      </w:r>
      <w:proofErr w:type="spellStart"/>
      <w:r w:rsidRPr="00C174D5">
        <w:rPr>
          <w:lang w:val="es-ES"/>
        </w:rPr>
        <w:t>Dussan</w:t>
      </w:r>
      <w:proofErr w:type="spellEnd"/>
      <w:r w:rsidRPr="00C174D5">
        <w:rPr>
          <w:lang w:val="es-ES"/>
        </w:rPr>
        <w:t xml:space="preserve"> en su informe. </w:t>
      </w:r>
    </w:p>
    <w:p w14:paraId="05E3F595" w14:textId="77777777" w:rsidR="00C92C58" w:rsidRPr="00C174D5" w:rsidRDefault="00C92C58" w:rsidP="00C92C58">
      <w:pPr>
        <w:rPr>
          <w:lang w:val="es-ES"/>
        </w:rPr>
      </w:pPr>
      <w:r w:rsidRPr="00C174D5">
        <w:rPr>
          <w:lang w:val="es-ES"/>
        </w:rPr>
        <w:t xml:space="preserve">Considerando la relación entre beneficios operativos y beneficios de integración a partir de la información contenida en el informe de </w:t>
      </w:r>
      <w:proofErr w:type="spellStart"/>
      <w:r w:rsidRPr="00C174D5">
        <w:rPr>
          <w:lang w:val="es-ES"/>
        </w:rPr>
        <w:t>Dussan</w:t>
      </w:r>
      <w:proofErr w:type="spellEnd"/>
      <w:r w:rsidRPr="00C174D5">
        <w:rPr>
          <w:lang w:val="es-ES"/>
        </w:rPr>
        <w:t xml:space="preserve"> (Tabla 2), es posible estimar los beneficios totales del escenario contenido en el IOER 2 (</w:t>
      </w:r>
      <w:r w:rsidRPr="00C174D5">
        <w:rPr>
          <w:lang w:val="es-ES"/>
        </w:rPr>
        <w:fldChar w:fldCharType="begin"/>
      </w:r>
      <w:r w:rsidRPr="00C174D5">
        <w:rPr>
          <w:lang w:val="es-ES"/>
        </w:rPr>
        <w:instrText xml:space="preserve"> REF _Ref450035625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41</w:t>
      </w:r>
      <w:r w:rsidRPr="00C174D5">
        <w:rPr>
          <w:lang w:val="es-ES"/>
        </w:rPr>
        <w:fldChar w:fldCharType="end"/>
      </w:r>
      <w:r w:rsidRPr="00C174D5">
        <w:rPr>
          <w:lang w:val="es-ES"/>
        </w:rPr>
        <w:fldChar w:fldCharType="begin" w:fldLock="1"/>
      </w:r>
      <w:r w:rsidRPr="00C174D5">
        <w:rPr>
          <w:lang w:val="es-ES"/>
        </w:rPr>
        <w:instrText xml:space="preserve"> REF _Ref447537530 \h  \* MERGEFORMAT </w:instrText>
      </w:r>
      <w:r w:rsidRPr="00C174D5">
        <w:rPr>
          <w:lang w:val="es-ES"/>
        </w:rPr>
      </w:r>
      <w:r w:rsidRPr="00C174D5">
        <w:rPr>
          <w:lang w:val="es-ES"/>
        </w:rPr>
        <w:fldChar w:fldCharType="end"/>
      </w:r>
      <w:r w:rsidRPr="00C174D5">
        <w:rPr>
          <w:lang w:val="es-ES"/>
        </w:rPr>
        <w:t>).</w:t>
      </w:r>
    </w:p>
    <w:p w14:paraId="15510682" w14:textId="77777777" w:rsidR="00C92C58" w:rsidRPr="00C174D5" w:rsidRDefault="00C92C58" w:rsidP="00C92C58">
      <w:pPr>
        <w:keepNext/>
        <w:keepLines/>
        <w:spacing w:after="120"/>
        <w:jc w:val="center"/>
        <w:rPr>
          <w:b/>
          <w:sz w:val="20"/>
          <w:lang w:val="es-ES"/>
        </w:rPr>
      </w:pPr>
      <w:bookmarkStart w:id="210" w:name="_Ref450035625"/>
      <w:bookmarkStart w:id="211" w:name="_Toc447546992"/>
      <w:bookmarkStart w:id="212" w:name="_Toc456353197"/>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41</w:t>
      </w:r>
      <w:r w:rsidRPr="00C174D5">
        <w:rPr>
          <w:b/>
          <w:sz w:val="20"/>
          <w:lang w:val="es-ES"/>
        </w:rPr>
        <w:fldChar w:fldCharType="end"/>
      </w:r>
      <w:bookmarkEnd w:id="210"/>
      <w:r w:rsidRPr="00C174D5">
        <w:rPr>
          <w:b/>
          <w:sz w:val="20"/>
          <w:lang w:val="es-ES"/>
        </w:rPr>
        <w:t>: Beneficios de Operación y de Integración (MM US$)</w:t>
      </w:r>
      <w:bookmarkEnd w:id="211"/>
      <w:bookmarkEnd w:id="212"/>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82"/>
        <w:gridCol w:w="1100"/>
        <w:gridCol w:w="850"/>
        <w:gridCol w:w="1070"/>
      </w:tblGrid>
      <w:tr w:rsidR="00C92C58" w:rsidRPr="00C174D5" w14:paraId="513B23E8" w14:textId="77777777" w:rsidTr="00B15A9A">
        <w:trPr>
          <w:trHeight w:val="300"/>
          <w:jc w:val="center"/>
        </w:trPr>
        <w:tc>
          <w:tcPr>
            <w:tcW w:w="2482" w:type="dxa"/>
            <w:vMerge w:val="restart"/>
            <w:tcBorders>
              <w:top w:val="single" w:sz="12" w:space="0" w:color="auto"/>
              <w:bottom w:val="single" w:sz="6" w:space="0" w:color="auto"/>
            </w:tcBorders>
            <w:shd w:val="clear" w:color="auto" w:fill="BFBFBF" w:themeFill="background1" w:themeFillShade="BF"/>
            <w:noWrap/>
            <w:vAlign w:val="center"/>
            <w:hideMark/>
          </w:tcPr>
          <w:p w14:paraId="6073779A" w14:textId="77777777" w:rsidR="00C92C58" w:rsidRPr="00C174D5" w:rsidRDefault="00C92C58" w:rsidP="00B15A9A">
            <w:pPr>
              <w:jc w:val="left"/>
              <w:rPr>
                <w:b/>
                <w:sz w:val="20"/>
                <w:lang w:val="es-ES"/>
              </w:rPr>
            </w:pPr>
            <w:r w:rsidRPr="00C174D5">
              <w:rPr>
                <w:b/>
                <w:sz w:val="20"/>
                <w:lang w:val="es-ES"/>
              </w:rPr>
              <w:t>Diferencia respecto de escenario base</w:t>
            </w:r>
          </w:p>
        </w:tc>
        <w:tc>
          <w:tcPr>
            <w:tcW w:w="1100" w:type="dxa"/>
            <w:vMerge w:val="restart"/>
            <w:tcBorders>
              <w:top w:val="single" w:sz="12" w:space="0" w:color="auto"/>
              <w:bottom w:val="single" w:sz="6" w:space="0" w:color="auto"/>
            </w:tcBorders>
            <w:shd w:val="clear" w:color="auto" w:fill="BFBFBF" w:themeFill="background1" w:themeFillShade="BF"/>
            <w:noWrap/>
            <w:vAlign w:val="center"/>
            <w:hideMark/>
          </w:tcPr>
          <w:p w14:paraId="48C028A2" w14:textId="77777777" w:rsidR="00C92C58" w:rsidRPr="00C174D5" w:rsidRDefault="00C92C58" w:rsidP="00B15A9A">
            <w:pPr>
              <w:jc w:val="center"/>
              <w:rPr>
                <w:b/>
                <w:sz w:val="20"/>
                <w:lang w:val="es-ES"/>
              </w:rPr>
            </w:pPr>
            <w:r w:rsidRPr="00C174D5">
              <w:rPr>
                <w:b/>
                <w:sz w:val="20"/>
                <w:lang w:val="es-ES"/>
              </w:rPr>
              <w:t>Sin SIEPAC</w:t>
            </w:r>
          </w:p>
        </w:tc>
        <w:tc>
          <w:tcPr>
            <w:tcW w:w="1920" w:type="dxa"/>
            <w:gridSpan w:val="2"/>
            <w:tcBorders>
              <w:top w:val="single" w:sz="12" w:space="0" w:color="auto"/>
              <w:bottom w:val="single" w:sz="6" w:space="0" w:color="auto"/>
            </w:tcBorders>
            <w:shd w:val="clear" w:color="auto" w:fill="BFBFBF" w:themeFill="background1" w:themeFillShade="BF"/>
            <w:noWrap/>
            <w:vAlign w:val="center"/>
            <w:hideMark/>
          </w:tcPr>
          <w:p w14:paraId="0EE3B8F4" w14:textId="77777777" w:rsidR="00C92C58" w:rsidRPr="00C174D5" w:rsidRDefault="00C92C58" w:rsidP="00B15A9A">
            <w:pPr>
              <w:jc w:val="center"/>
              <w:rPr>
                <w:b/>
                <w:sz w:val="20"/>
                <w:lang w:val="es-ES"/>
              </w:rPr>
            </w:pPr>
            <w:r w:rsidRPr="00C174D5">
              <w:rPr>
                <w:b/>
                <w:sz w:val="20"/>
                <w:lang w:val="es-ES"/>
              </w:rPr>
              <w:t>Coordinación</w:t>
            </w:r>
          </w:p>
        </w:tc>
      </w:tr>
      <w:tr w:rsidR="00C92C58" w:rsidRPr="00C174D5" w14:paraId="1DAA330D" w14:textId="77777777" w:rsidTr="00B15A9A">
        <w:trPr>
          <w:trHeight w:val="300"/>
          <w:jc w:val="center"/>
        </w:trPr>
        <w:tc>
          <w:tcPr>
            <w:tcW w:w="2482" w:type="dxa"/>
            <w:vMerge/>
            <w:tcBorders>
              <w:top w:val="single" w:sz="6" w:space="0" w:color="auto"/>
              <w:bottom w:val="single" w:sz="12" w:space="0" w:color="auto"/>
            </w:tcBorders>
            <w:shd w:val="clear" w:color="auto" w:fill="BFBFBF" w:themeFill="background1" w:themeFillShade="BF"/>
            <w:noWrap/>
            <w:hideMark/>
          </w:tcPr>
          <w:p w14:paraId="64DD6F1E" w14:textId="77777777" w:rsidR="00C92C58" w:rsidRPr="00C174D5" w:rsidRDefault="00C92C58" w:rsidP="00B15A9A">
            <w:pPr>
              <w:jc w:val="left"/>
              <w:rPr>
                <w:b/>
                <w:sz w:val="20"/>
                <w:lang w:val="es-ES"/>
              </w:rPr>
            </w:pPr>
          </w:p>
        </w:tc>
        <w:tc>
          <w:tcPr>
            <w:tcW w:w="1100" w:type="dxa"/>
            <w:vMerge/>
            <w:tcBorders>
              <w:top w:val="single" w:sz="6" w:space="0" w:color="auto"/>
              <w:bottom w:val="single" w:sz="12" w:space="0" w:color="auto"/>
            </w:tcBorders>
            <w:shd w:val="clear" w:color="auto" w:fill="BFBFBF" w:themeFill="background1" w:themeFillShade="BF"/>
            <w:noWrap/>
            <w:vAlign w:val="center"/>
            <w:hideMark/>
          </w:tcPr>
          <w:p w14:paraId="1DFCCB0F" w14:textId="77777777" w:rsidR="00C92C58" w:rsidRPr="00C174D5" w:rsidRDefault="00C92C58" w:rsidP="00B15A9A">
            <w:pPr>
              <w:jc w:val="center"/>
              <w:rPr>
                <w:b/>
                <w:sz w:val="20"/>
                <w:lang w:val="es-ES"/>
              </w:rPr>
            </w:pPr>
          </w:p>
        </w:tc>
        <w:tc>
          <w:tcPr>
            <w:tcW w:w="850" w:type="dxa"/>
            <w:tcBorders>
              <w:top w:val="single" w:sz="6" w:space="0" w:color="auto"/>
              <w:bottom w:val="single" w:sz="12" w:space="0" w:color="auto"/>
            </w:tcBorders>
            <w:shd w:val="clear" w:color="auto" w:fill="BFBFBF" w:themeFill="background1" w:themeFillShade="BF"/>
            <w:noWrap/>
            <w:vAlign w:val="center"/>
            <w:hideMark/>
          </w:tcPr>
          <w:p w14:paraId="0606CD47" w14:textId="77777777" w:rsidR="00C92C58" w:rsidRPr="00C174D5" w:rsidRDefault="00C92C58" w:rsidP="00B15A9A">
            <w:pPr>
              <w:jc w:val="center"/>
              <w:rPr>
                <w:b/>
                <w:sz w:val="20"/>
                <w:lang w:val="es-ES"/>
              </w:rPr>
            </w:pPr>
            <w:r w:rsidRPr="00C174D5">
              <w:rPr>
                <w:b/>
                <w:sz w:val="20"/>
                <w:lang w:val="es-ES"/>
              </w:rPr>
              <w:t>Baja</w:t>
            </w:r>
          </w:p>
        </w:tc>
        <w:tc>
          <w:tcPr>
            <w:tcW w:w="1070" w:type="dxa"/>
            <w:tcBorders>
              <w:top w:val="single" w:sz="6" w:space="0" w:color="auto"/>
              <w:bottom w:val="single" w:sz="12" w:space="0" w:color="auto"/>
            </w:tcBorders>
            <w:shd w:val="clear" w:color="auto" w:fill="BFBFBF" w:themeFill="background1" w:themeFillShade="BF"/>
            <w:noWrap/>
            <w:vAlign w:val="center"/>
            <w:hideMark/>
          </w:tcPr>
          <w:p w14:paraId="4DFDD391" w14:textId="77777777" w:rsidR="00C92C58" w:rsidRPr="00C174D5" w:rsidRDefault="00C92C58" w:rsidP="00B15A9A">
            <w:pPr>
              <w:jc w:val="center"/>
              <w:rPr>
                <w:b/>
                <w:sz w:val="20"/>
                <w:lang w:val="es-ES"/>
              </w:rPr>
            </w:pPr>
            <w:r w:rsidRPr="00C174D5">
              <w:rPr>
                <w:b/>
                <w:sz w:val="20"/>
                <w:lang w:val="es-ES"/>
              </w:rPr>
              <w:t>Alta</w:t>
            </w:r>
          </w:p>
        </w:tc>
      </w:tr>
      <w:tr w:rsidR="00C92C58" w:rsidRPr="00C174D5" w14:paraId="5A3E75C7" w14:textId="77777777" w:rsidTr="00B15A9A">
        <w:trPr>
          <w:trHeight w:val="300"/>
          <w:jc w:val="center"/>
        </w:trPr>
        <w:tc>
          <w:tcPr>
            <w:tcW w:w="2482" w:type="dxa"/>
            <w:noWrap/>
            <w:vAlign w:val="center"/>
            <w:hideMark/>
          </w:tcPr>
          <w:p w14:paraId="2575373E" w14:textId="77777777" w:rsidR="00C92C58" w:rsidRPr="00C174D5" w:rsidRDefault="00C92C58" w:rsidP="00B15A9A">
            <w:pPr>
              <w:jc w:val="left"/>
              <w:rPr>
                <w:sz w:val="20"/>
                <w:lang w:val="es-ES"/>
              </w:rPr>
            </w:pPr>
            <w:r w:rsidRPr="00C174D5">
              <w:rPr>
                <w:sz w:val="20"/>
                <w:lang w:val="es-ES"/>
              </w:rPr>
              <w:t>Inversión</w:t>
            </w:r>
          </w:p>
        </w:tc>
        <w:tc>
          <w:tcPr>
            <w:tcW w:w="1100" w:type="dxa"/>
            <w:noWrap/>
            <w:vAlign w:val="center"/>
            <w:hideMark/>
          </w:tcPr>
          <w:p w14:paraId="1CD4FDDF" w14:textId="77777777" w:rsidR="00C92C58" w:rsidRPr="00C174D5" w:rsidRDefault="00C92C58" w:rsidP="00B15A9A">
            <w:pPr>
              <w:jc w:val="center"/>
              <w:rPr>
                <w:sz w:val="20"/>
                <w:lang w:val="es-ES"/>
              </w:rPr>
            </w:pPr>
            <w:r w:rsidRPr="00C174D5">
              <w:rPr>
                <w:sz w:val="20"/>
                <w:lang w:val="es-ES"/>
              </w:rPr>
              <w:t>11.670</w:t>
            </w:r>
          </w:p>
        </w:tc>
        <w:tc>
          <w:tcPr>
            <w:tcW w:w="850" w:type="dxa"/>
            <w:noWrap/>
            <w:vAlign w:val="center"/>
            <w:hideMark/>
          </w:tcPr>
          <w:p w14:paraId="321C1E44" w14:textId="77777777" w:rsidR="00C92C58" w:rsidRPr="00C174D5" w:rsidRDefault="00C92C58" w:rsidP="00B15A9A">
            <w:pPr>
              <w:jc w:val="center"/>
              <w:rPr>
                <w:sz w:val="20"/>
                <w:lang w:val="es-ES"/>
              </w:rPr>
            </w:pPr>
            <w:r w:rsidRPr="00C174D5">
              <w:rPr>
                <w:sz w:val="20"/>
                <w:lang w:val="es-ES"/>
              </w:rPr>
              <w:t>0</w:t>
            </w:r>
          </w:p>
        </w:tc>
        <w:tc>
          <w:tcPr>
            <w:tcW w:w="1070" w:type="dxa"/>
            <w:noWrap/>
            <w:vAlign w:val="center"/>
            <w:hideMark/>
          </w:tcPr>
          <w:p w14:paraId="7BC1F0C3" w14:textId="77777777" w:rsidR="00C92C58" w:rsidRPr="00C174D5" w:rsidRDefault="00C92C58" w:rsidP="00B15A9A">
            <w:pPr>
              <w:jc w:val="center"/>
              <w:rPr>
                <w:sz w:val="20"/>
                <w:lang w:val="es-ES"/>
              </w:rPr>
            </w:pPr>
            <w:r w:rsidRPr="00C174D5">
              <w:rPr>
                <w:sz w:val="20"/>
                <w:lang w:val="es-ES"/>
              </w:rPr>
              <w:t>-1.180</w:t>
            </w:r>
          </w:p>
        </w:tc>
      </w:tr>
      <w:tr w:rsidR="00C92C58" w:rsidRPr="00C174D5" w14:paraId="094A8DA8" w14:textId="77777777" w:rsidTr="00B15A9A">
        <w:trPr>
          <w:trHeight w:val="300"/>
          <w:jc w:val="center"/>
        </w:trPr>
        <w:tc>
          <w:tcPr>
            <w:tcW w:w="2482" w:type="dxa"/>
            <w:noWrap/>
            <w:vAlign w:val="center"/>
            <w:hideMark/>
          </w:tcPr>
          <w:p w14:paraId="293946C2" w14:textId="77777777" w:rsidR="00C92C58" w:rsidRPr="00C174D5" w:rsidRDefault="00C92C58" w:rsidP="00B15A9A">
            <w:pPr>
              <w:jc w:val="left"/>
              <w:rPr>
                <w:sz w:val="20"/>
                <w:lang w:val="es-ES"/>
              </w:rPr>
            </w:pPr>
            <w:r w:rsidRPr="00C174D5">
              <w:rPr>
                <w:sz w:val="20"/>
                <w:lang w:val="es-ES"/>
              </w:rPr>
              <w:t>Operación</w:t>
            </w:r>
          </w:p>
        </w:tc>
        <w:tc>
          <w:tcPr>
            <w:tcW w:w="1100" w:type="dxa"/>
            <w:noWrap/>
            <w:vAlign w:val="center"/>
            <w:hideMark/>
          </w:tcPr>
          <w:p w14:paraId="155C56CC" w14:textId="77777777" w:rsidR="00C92C58" w:rsidRPr="00C174D5" w:rsidRDefault="00C92C58" w:rsidP="00B15A9A">
            <w:pPr>
              <w:jc w:val="center"/>
              <w:rPr>
                <w:sz w:val="20"/>
                <w:lang w:val="es-ES"/>
              </w:rPr>
            </w:pPr>
            <w:r w:rsidRPr="00C174D5">
              <w:rPr>
                <w:sz w:val="20"/>
                <w:lang w:val="es-ES"/>
              </w:rPr>
              <w:t>10.127</w:t>
            </w:r>
          </w:p>
        </w:tc>
        <w:tc>
          <w:tcPr>
            <w:tcW w:w="850" w:type="dxa"/>
            <w:noWrap/>
            <w:vAlign w:val="center"/>
            <w:hideMark/>
          </w:tcPr>
          <w:p w14:paraId="127A8D2E" w14:textId="77777777" w:rsidR="00C92C58" w:rsidRPr="00C174D5" w:rsidRDefault="00C92C58" w:rsidP="00B15A9A">
            <w:pPr>
              <w:jc w:val="center"/>
              <w:rPr>
                <w:sz w:val="20"/>
                <w:lang w:val="es-ES"/>
              </w:rPr>
            </w:pPr>
            <w:r w:rsidRPr="00C174D5">
              <w:rPr>
                <w:sz w:val="20"/>
                <w:lang w:val="es-ES"/>
              </w:rPr>
              <w:t>-556</w:t>
            </w:r>
          </w:p>
        </w:tc>
        <w:tc>
          <w:tcPr>
            <w:tcW w:w="1070" w:type="dxa"/>
            <w:noWrap/>
            <w:vAlign w:val="center"/>
            <w:hideMark/>
          </w:tcPr>
          <w:p w14:paraId="0286D29D" w14:textId="77777777" w:rsidR="00C92C58" w:rsidRPr="00C174D5" w:rsidRDefault="00C92C58" w:rsidP="00B15A9A">
            <w:pPr>
              <w:jc w:val="center"/>
              <w:rPr>
                <w:sz w:val="20"/>
                <w:lang w:val="es-ES"/>
              </w:rPr>
            </w:pPr>
            <w:r w:rsidRPr="00C174D5">
              <w:rPr>
                <w:sz w:val="20"/>
                <w:lang w:val="es-ES"/>
              </w:rPr>
              <w:t>-264</w:t>
            </w:r>
          </w:p>
        </w:tc>
      </w:tr>
      <w:tr w:rsidR="00C92C58" w:rsidRPr="00C174D5" w14:paraId="2989B914" w14:textId="77777777" w:rsidTr="00B15A9A">
        <w:trPr>
          <w:trHeight w:val="300"/>
          <w:jc w:val="center"/>
        </w:trPr>
        <w:tc>
          <w:tcPr>
            <w:tcW w:w="2482" w:type="dxa"/>
            <w:noWrap/>
            <w:vAlign w:val="center"/>
            <w:hideMark/>
          </w:tcPr>
          <w:p w14:paraId="0C29177D" w14:textId="77777777" w:rsidR="00C92C58" w:rsidRPr="00C174D5" w:rsidRDefault="00C92C58" w:rsidP="00B15A9A">
            <w:pPr>
              <w:jc w:val="left"/>
              <w:rPr>
                <w:sz w:val="20"/>
                <w:lang w:val="es-ES"/>
              </w:rPr>
            </w:pPr>
            <w:r w:rsidRPr="00C174D5">
              <w:rPr>
                <w:sz w:val="20"/>
                <w:lang w:val="es-ES"/>
              </w:rPr>
              <w:t>Total</w:t>
            </w:r>
          </w:p>
        </w:tc>
        <w:tc>
          <w:tcPr>
            <w:tcW w:w="1100" w:type="dxa"/>
            <w:noWrap/>
            <w:vAlign w:val="center"/>
            <w:hideMark/>
          </w:tcPr>
          <w:p w14:paraId="1F76DC63" w14:textId="77777777" w:rsidR="00C92C58" w:rsidRPr="00C174D5" w:rsidRDefault="00C92C58" w:rsidP="00B15A9A">
            <w:pPr>
              <w:jc w:val="center"/>
              <w:rPr>
                <w:sz w:val="20"/>
                <w:lang w:val="es-ES"/>
              </w:rPr>
            </w:pPr>
            <w:r w:rsidRPr="00C174D5">
              <w:rPr>
                <w:sz w:val="20"/>
                <w:lang w:val="es-ES"/>
              </w:rPr>
              <w:t>21.797</w:t>
            </w:r>
          </w:p>
        </w:tc>
        <w:tc>
          <w:tcPr>
            <w:tcW w:w="850" w:type="dxa"/>
            <w:noWrap/>
            <w:vAlign w:val="center"/>
            <w:hideMark/>
          </w:tcPr>
          <w:p w14:paraId="2DF17F36" w14:textId="77777777" w:rsidR="00C92C58" w:rsidRPr="00C174D5" w:rsidRDefault="00C92C58" w:rsidP="00B15A9A">
            <w:pPr>
              <w:jc w:val="center"/>
              <w:rPr>
                <w:sz w:val="20"/>
                <w:lang w:val="es-ES"/>
              </w:rPr>
            </w:pPr>
            <w:r w:rsidRPr="00C174D5">
              <w:rPr>
                <w:sz w:val="20"/>
                <w:lang w:val="es-ES"/>
              </w:rPr>
              <w:t>-556</w:t>
            </w:r>
          </w:p>
        </w:tc>
        <w:tc>
          <w:tcPr>
            <w:tcW w:w="1070" w:type="dxa"/>
            <w:noWrap/>
            <w:vAlign w:val="center"/>
            <w:hideMark/>
          </w:tcPr>
          <w:p w14:paraId="24AA04E0" w14:textId="77777777" w:rsidR="00C92C58" w:rsidRPr="00C174D5" w:rsidRDefault="00C92C58" w:rsidP="00B15A9A">
            <w:pPr>
              <w:jc w:val="center"/>
              <w:rPr>
                <w:sz w:val="20"/>
                <w:lang w:val="es-ES"/>
              </w:rPr>
            </w:pPr>
            <w:r w:rsidRPr="00C174D5">
              <w:rPr>
                <w:sz w:val="20"/>
                <w:lang w:val="es-ES"/>
              </w:rPr>
              <w:t>-1.444</w:t>
            </w:r>
          </w:p>
        </w:tc>
      </w:tr>
      <w:tr w:rsidR="00C92C58" w:rsidRPr="00C174D5" w14:paraId="4CFAF78B" w14:textId="77777777" w:rsidTr="00B15A9A">
        <w:trPr>
          <w:trHeight w:val="300"/>
          <w:jc w:val="center"/>
        </w:trPr>
        <w:tc>
          <w:tcPr>
            <w:tcW w:w="2482" w:type="dxa"/>
            <w:noWrap/>
            <w:vAlign w:val="center"/>
            <w:hideMark/>
          </w:tcPr>
          <w:p w14:paraId="238DF47B" w14:textId="77777777" w:rsidR="00C92C58" w:rsidRPr="00C174D5" w:rsidRDefault="00C92C58" w:rsidP="00B15A9A">
            <w:pPr>
              <w:jc w:val="left"/>
              <w:rPr>
                <w:sz w:val="20"/>
                <w:lang w:val="es-ES"/>
              </w:rPr>
            </w:pPr>
            <w:r w:rsidRPr="00C174D5">
              <w:rPr>
                <w:sz w:val="20"/>
                <w:lang w:val="es-ES"/>
              </w:rPr>
              <w:t>VP Inversión SIEPAC</w:t>
            </w:r>
          </w:p>
        </w:tc>
        <w:tc>
          <w:tcPr>
            <w:tcW w:w="1100" w:type="dxa"/>
            <w:noWrap/>
            <w:vAlign w:val="center"/>
            <w:hideMark/>
          </w:tcPr>
          <w:p w14:paraId="17E8DFB6" w14:textId="77777777" w:rsidR="00C92C58" w:rsidRPr="00C174D5" w:rsidRDefault="00C92C58" w:rsidP="00B15A9A">
            <w:pPr>
              <w:jc w:val="center"/>
              <w:rPr>
                <w:sz w:val="20"/>
                <w:lang w:val="es-ES"/>
              </w:rPr>
            </w:pPr>
          </w:p>
        </w:tc>
        <w:tc>
          <w:tcPr>
            <w:tcW w:w="850" w:type="dxa"/>
            <w:noWrap/>
            <w:vAlign w:val="center"/>
            <w:hideMark/>
          </w:tcPr>
          <w:p w14:paraId="5BDB1877" w14:textId="77777777" w:rsidR="00C92C58" w:rsidRPr="00C174D5" w:rsidRDefault="00C92C58" w:rsidP="00B15A9A">
            <w:pPr>
              <w:jc w:val="center"/>
              <w:rPr>
                <w:sz w:val="20"/>
                <w:lang w:val="es-ES"/>
              </w:rPr>
            </w:pPr>
            <w:r w:rsidRPr="00C174D5">
              <w:rPr>
                <w:sz w:val="20"/>
                <w:lang w:val="es-ES"/>
              </w:rPr>
              <w:t>492</w:t>
            </w:r>
          </w:p>
        </w:tc>
        <w:tc>
          <w:tcPr>
            <w:tcW w:w="1070" w:type="dxa"/>
            <w:noWrap/>
            <w:vAlign w:val="center"/>
            <w:hideMark/>
          </w:tcPr>
          <w:p w14:paraId="7F4674C7" w14:textId="77777777" w:rsidR="00C92C58" w:rsidRPr="00C174D5" w:rsidRDefault="00C92C58" w:rsidP="00B15A9A">
            <w:pPr>
              <w:jc w:val="center"/>
              <w:rPr>
                <w:sz w:val="20"/>
                <w:lang w:val="es-ES"/>
              </w:rPr>
            </w:pPr>
            <w:r w:rsidRPr="00C174D5">
              <w:rPr>
                <w:sz w:val="20"/>
                <w:lang w:val="es-ES"/>
              </w:rPr>
              <w:t>492</w:t>
            </w:r>
          </w:p>
        </w:tc>
      </w:tr>
      <w:tr w:rsidR="00C92C58" w:rsidRPr="00C174D5" w14:paraId="3444CC82" w14:textId="77777777" w:rsidTr="00B15A9A">
        <w:trPr>
          <w:trHeight w:val="300"/>
          <w:jc w:val="center"/>
        </w:trPr>
        <w:tc>
          <w:tcPr>
            <w:tcW w:w="2482" w:type="dxa"/>
            <w:noWrap/>
            <w:vAlign w:val="center"/>
            <w:hideMark/>
          </w:tcPr>
          <w:p w14:paraId="52F77612" w14:textId="77777777" w:rsidR="00C92C58" w:rsidRPr="00C174D5" w:rsidRDefault="00C92C58" w:rsidP="00B15A9A">
            <w:pPr>
              <w:jc w:val="left"/>
              <w:rPr>
                <w:sz w:val="20"/>
                <w:lang w:val="es-ES"/>
              </w:rPr>
            </w:pPr>
            <w:r w:rsidRPr="00C174D5">
              <w:rPr>
                <w:sz w:val="20"/>
                <w:lang w:val="es-ES"/>
              </w:rPr>
              <w:t>Beneficio Neto</w:t>
            </w:r>
          </w:p>
        </w:tc>
        <w:tc>
          <w:tcPr>
            <w:tcW w:w="1100" w:type="dxa"/>
            <w:noWrap/>
            <w:vAlign w:val="center"/>
            <w:hideMark/>
          </w:tcPr>
          <w:p w14:paraId="7A7983ED" w14:textId="77777777" w:rsidR="00C92C58" w:rsidRPr="00C174D5" w:rsidRDefault="00C92C58" w:rsidP="00B15A9A">
            <w:pPr>
              <w:jc w:val="center"/>
              <w:rPr>
                <w:sz w:val="20"/>
                <w:lang w:val="es-ES"/>
              </w:rPr>
            </w:pPr>
          </w:p>
        </w:tc>
        <w:tc>
          <w:tcPr>
            <w:tcW w:w="850" w:type="dxa"/>
            <w:noWrap/>
            <w:vAlign w:val="center"/>
            <w:hideMark/>
          </w:tcPr>
          <w:p w14:paraId="22C710D0" w14:textId="77777777" w:rsidR="00C92C58" w:rsidRPr="00C174D5" w:rsidRDefault="00C92C58" w:rsidP="00B15A9A">
            <w:pPr>
              <w:jc w:val="center"/>
              <w:rPr>
                <w:sz w:val="20"/>
                <w:lang w:val="es-ES"/>
              </w:rPr>
            </w:pPr>
            <w:r w:rsidRPr="00C174D5">
              <w:rPr>
                <w:sz w:val="20"/>
                <w:lang w:val="es-ES"/>
              </w:rPr>
              <w:t>64</w:t>
            </w:r>
          </w:p>
        </w:tc>
        <w:tc>
          <w:tcPr>
            <w:tcW w:w="1070" w:type="dxa"/>
            <w:noWrap/>
            <w:vAlign w:val="center"/>
            <w:hideMark/>
          </w:tcPr>
          <w:p w14:paraId="49DCBCD3" w14:textId="77777777" w:rsidR="00C92C58" w:rsidRPr="00C174D5" w:rsidRDefault="00C92C58" w:rsidP="00B15A9A">
            <w:pPr>
              <w:jc w:val="center"/>
              <w:rPr>
                <w:sz w:val="20"/>
                <w:lang w:val="es-ES"/>
              </w:rPr>
            </w:pPr>
            <w:r w:rsidRPr="00C174D5">
              <w:rPr>
                <w:sz w:val="20"/>
                <w:lang w:val="es-ES"/>
              </w:rPr>
              <w:t>952</w:t>
            </w:r>
          </w:p>
        </w:tc>
      </w:tr>
    </w:tbl>
    <w:p w14:paraId="4E66799B" w14:textId="77777777" w:rsidR="00C92C58" w:rsidRPr="00C174D5" w:rsidRDefault="00C92C58" w:rsidP="00C92C58">
      <w:pPr>
        <w:jc w:val="center"/>
        <w:rPr>
          <w:sz w:val="18"/>
          <w:lang w:val="es-ES"/>
        </w:rPr>
      </w:pPr>
      <w:r w:rsidRPr="00C174D5">
        <w:rPr>
          <w:sz w:val="18"/>
          <w:lang w:val="es-ES"/>
        </w:rPr>
        <w:t xml:space="preserve">Fuente: </w:t>
      </w:r>
      <w:proofErr w:type="spellStart"/>
      <w:r w:rsidRPr="00C174D5">
        <w:rPr>
          <w:sz w:val="18"/>
          <w:lang w:val="es-ES"/>
        </w:rPr>
        <w:t>Dussan</w:t>
      </w:r>
      <w:proofErr w:type="spellEnd"/>
      <w:r w:rsidRPr="00C174D5">
        <w:rPr>
          <w:sz w:val="18"/>
          <w:lang w:val="es-ES"/>
        </w:rPr>
        <w:t xml:space="preserve"> Tabla 2</w:t>
      </w:r>
    </w:p>
    <w:p w14:paraId="4C541C1B" w14:textId="77777777" w:rsidR="00C92C58" w:rsidRPr="00C174D5" w:rsidRDefault="00C92C58" w:rsidP="00C92C58">
      <w:pPr>
        <w:rPr>
          <w:lang w:val="es-ES"/>
        </w:rPr>
      </w:pPr>
      <w:r w:rsidRPr="00C174D5">
        <w:rPr>
          <w:lang w:val="es-ES"/>
        </w:rPr>
        <w:t xml:space="preserve">Según se observa en la </w:t>
      </w:r>
      <w:r w:rsidRPr="00C174D5">
        <w:rPr>
          <w:lang w:val="es-ES"/>
        </w:rPr>
        <w:fldChar w:fldCharType="begin" w:fldLock="1"/>
      </w:r>
      <w:r w:rsidRPr="00C174D5">
        <w:rPr>
          <w:lang w:val="es-ES"/>
        </w:rPr>
        <w:instrText xml:space="preserve"> REF _Ref447537530 \h  \* MERGEFORMAT </w:instrText>
      </w:r>
      <w:r w:rsidRPr="00C174D5">
        <w:rPr>
          <w:lang w:val="es-ES"/>
        </w:rPr>
      </w:r>
      <w:r w:rsidRPr="00C174D5">
        <w:rPr>
          <w:lang w:val="es-ES"/>
        </w:rPr>
        <w:fldChar w:fldCharType="separate"/>
      </w:r>
      <w:r w:rsidRPr="00C174D5">
        <w:rPr>
          <w:b/>
          <w:lang w:val="es-ES"/>
        </w:rPr>
        <w:t xml:space="preserve">Tabla </w:t>
      </w:r>
      <w:r w:rsidRPr="00C174D5">
        <w:rPr>
          <w:b/>
          <w:noProof/>
          <w:lang w:val="es-ES"/>
        </w:rPr>
        <w:t>33</w:t>
      </w:r>
      <w:r w:rsidRPr="00C174D5">
        <w:rPr>
          <w:lang w:val="es-ES"/>
        </w:rPr>
        <w:fldChar w:fldCharType="end"/>
      </w:r>
      <w:r w:rsidRPr="00C174D5">
        <w:rPr>
          <w:lang w:val="es-ES"/>
        </w:rPr>
        <w:t xml:space="preserve">, la coordinación de la inversión arrojaría beneficios totales (estimados como diferencias respecto del escenario base) casi 2,6 veces mayores que los beneficios de operación (1.444 contra 556 MM US$). </w:t>
      </w:r>
    </w:p>
    <w:p w14:paraId="51C707C2" w14:textId="77777777" w:rsidR="00C92C58" w:rsidRPr="00C174D5" w:rsidRDefault="00C92C58" w:rsidP="00C92C58">
      <w:pPr>
        <w:rPr>
          <w:lang w:val="es-ES"/>
        </w:rPr>
      </w:pPr>
      <w:r w:rsidRPr="00C174D5">
        <w:rPr>
          <w:lang w:val="es-ES"/>
        </w:rPr>
        <w:t xml:space="preserve">Considerando esta relación entre beneficios de operación y beneficios de integración es posible estimar los beneficios totales a partir de la información del IEOR 1 tal como se presenta en la </w:t>
      </w:r>
      <w:r w:rsidRPr="00C174D5">
        <w:rPr>
          <w:lang w:val="es-ES"/>
        </w:rPr>
        <w:fldChar w:fldCharType="begin"/>
      </w:r>
      <w:r w:rsidRPr="00C174D5">
        <w:rPr>
          <w:lang w:val="es-ES"/>
        </w:rPr>
        <w:instrText xml:space="preserve"> REF _Ref450035626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42</w:t>
      </w:r>
      <w:r w:rsidRPr="00C174D5">
        <w:rPr>
          <w:lang w:val="es-ES"/>
        </w:rPr>
        <w:fldChar w:fldCharType="end"/>
      </w:r>
      <w:r w:rsidRPr="00C174D5">
        <w:rPr>
          <w:lang w:val="es-ES"/>
        </w:rPr>
        <w:t>.</w:t>
      </w:r>
    </w:p>
    <w:p w14:paraId="5B81700C" w14:textId="77777777" w:rsidR="00C92C58" w:rsidRPr="00C174D5" w:rsidRDefault="00C92C58" w:rsidP="00C92C58">
      <w:pPr>
        <w:keepNext/>
        <w:keepLines/>
        <w:spacing w:after="120"/>
        <w:jc w:val="center"/>
        <w:rPr>
          <w:b/>
          <w:sz w:val="20"/>
          <w:lang w:val="es-ES"/>
        </w:rPr>
      </w:pPr>
      <w:bookmarkStart w:id="213" w:name="_Ref450035626"/>
      <w:bookmarkStart w:id="214" w:name="_Toc447546993"/>
      <w:bookmarkStart w:id="215" w:name="_Toc456353198"/>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42</w:t>
      </w:r>
      <w:r w:rsidRPr="00C174D5">
        <w:rPr>
          <w:b/>
          <w:sz w:val="20"/>
          <w:lang w:val="es-ES"/>
        </w:rPr>
        <w:fldChar w:fldCharType="end"/>
      </w:r>
      <w:bookmarkEnd w:id="213"/>
      <w:r w:rsidRPr="00C174D5">
        <w:rPr>
          <w:b/>
          <w:sz w:val="20"/>
          <w:lang w:val="es-ES"/>
        </w:rPr>
        <w:t>: Beneficios Económicos de Operación e Integración</w:t>
      </w:r>
      <w:bookmarkEnd w:id="214"/>
      <w:bookmarkEnd w:id="215"/>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22"/>
        <w:gridCol w:w="2001"/>
      </w:tblGrid>
      <w:tr w:rsidR="00C92C58" w:rsidRPr="00C174D5" w14:paraId="28C47484" w14:textId="77777777" w:rsidTr="00B15A9A">
        <w:trPr>
          <w:trHeight w:val="300"/>
          <w:tblHeader/>
          <w:jc w:val="center"/>
        </w:trPr>
        <w:tc>
          <w:tcPr>
            <w:tcW w:w="2722" w:type="dxa"/>
            <w:tcBorders>
              <w:top w:val="single" w:sz="12" w:space="0" w:color="auto"/>
              <w:bottom w:val="single" w:sz="12" w:space="0" w:color="auto"/>
            </w:tcBorders>
            <w:shd w:val="clear" w:color="auto" w:fill="BFBFBF" w:themeFill="background1" w:themeFillShade="BF"/>
            <w:noWrap/>
            <w:vAlign w:val="center"/>
            <w:hideMark/>
          </w:tcPr>
          <w:p w14:paraId="0FB45CA5" w14:textId="77777777" w:rsidR="00C92C58" w:rsidRPr="00C174D5" w:rsidRDefault="00C92C58" w:rsidP="00B15A9A">
            <w:pPr>
              <w:jc w:val="left"/>
              <w:rPr>
                <w:b/>
                <w:sz w:val="20"/>
                <w:lang w:val="es-ES"/>
              </w:rPr>
            </w:pPr>
            <w:r w:rsidRPr="00C174D5">
              <w:rPr>
                <w:b/>
                <w:sz w:val="20"/>
                <w:lang w:val="es-ES"/>
              </w:rPr>
              <w:t>Concepto</w:t>
            </w:r>
          </w:p>
        </w:tc>
        <w:tc>
          <w:tcPr>
            <w:tcW w:w="2001" w:type="dxa"/>
            <w:tcBorders>
              <w:top w:val="single" w:sz="12" w:space="0" w:color="auto"/>
              <w:bottom w:val="single" w:sz="12" w:space="0" w:color="auto"/>
            </w:tcBorders>
            <w:shd w:val="clear" w:color="auto" w:fill="BFBFBF" w:themeFill="background1" w:themeFillShade="BF"/>
            <w:noWrap/>
            <w:vAlign w:val="center"/>
            <w:hideMark/>
          </w:tcPr>
          <w:p w14:paraId="1552E915" w14:textId="77777777" w:rsidR="00C92C58" w:rsidRPr="00C174D5" w:rsidRDefault="00C92C58" w:rsidP="00B15A9A">
            <w:pPr>
              <w:jc w:val="center"/>
              <w:rPr>
                <w:b/>
                <w:sz w:val="20"/>
                <w:lang w:val="es-ES"/>
              </w:rPr>
            </w:pPr>
            <w:r w:rsidRPr="00C174D5">
              <w:rPr>
                <w:b/>
                <w:sz w:val="20"/>
                <w:lang w:val="es-ES"/>
              </w:rPr>
              <w:t>Monto (MM US$)</w:t>
            </w:r>
          </w:p>
        </w:tc>
      </w:tr>
      <w:tr w:rsidR="00C92C58" w:rsidRPr="00C174D5" w14:paraId="32A1B02D" w14:textId="77777777" w:rsidTr="00B15A9A">
        <w:trPr>
          <w:trHeight w:val="300"/>
          <w:jc w:val="center"/>
        </w:trPr>
        <w:tc>
          <w:tcPr>
            <w:tcW w:w="2722" w:type="dxa"/>
            <w:tcBorders>
              <w:top w:val="single" w:sz="12" w:space="0" w:color="auto"/>
            </w:tcBorders>
            <w:noWrap/>
            <w:vAlign w:val="center"/>
            <w:hideMark/>
          </w:tcPr>
          <w:p w14:paraId="13B6B40A" w14:textId="77777777" w:rsidR="00C92C58" w:rsidRPr="00C174D5" w:rsidRDefault="00C92C58" w:rsidP="00B15A9A">
            <w:pPr>
              <w:jc w:val="left"/>
              <w:rPr>
                <w:sz w:val="20"/>
                <w:lang w:val="es-ES"/>
              </w:rPr>
            </w:pPr>
            <w:r w:rsidRPr="00C174D5">
              <w:rPr>
                <w:sz w:val="20"/>
                <w:lang w:val="es-ES"/>
              </w:rPr>
              <w:t>Inversión</w:t>
            </w:r>
          </w:p>
        </w:tc>
        <w:tc>
          <w:tcPr>
            <w:tcW w:w="2001" w:type="dxa"/>
            <w:tcBorders>
              <w:top w:val="single" w:sz="12" w:space="0" w:color="auto"/>
            </w:tcBorders>
            <w:noWrap/>
            <w:vAlign w:val="center"/>
            <w:hideMark/>
          </w:tcPr>
          <w:p w14:paraId="63258D11" w14:textId="77777777" w:rsidR="00C92C58" w:rsidRPr="00C174D5" w:rsidRDefault="00C92C58" w:rsidP="00B15A9A">
            <w:pPr>
              <w:jc w:val="center"/>
              <w:rPr>
                <w:sz w:val="20"/>
                <w:lang w:val="es-ES"/>
              </w:rPr>
            </w:pPr>
            <w:r w:rsidRPr="00C174D5">
              <w:rPr>
                <w:sz w:val="20"/>
                <w:lang w:val="es-ES"/>
              </w:rPr>
              <w:t>-64,8</w:t>
            </w:r>
          </w:p>
        </w:tc>
      </w:tr>
      <w:tr w:rsidR="00C92C58" w:rsidRPr="00C174D5" w14:paraId="4B20351D" w14:textId="77777777" w:rsidTr="00B15A9A">
        <w:trPr>
          <w:trHeight w:val="300"/>
          <w:jc w:val="center"/>
        </w:trPr>
        <w:tc>
          <w:tcPr>
            <w:tcW w:w="2722" w:type="dxa"/>
            <w:noWrap/>
            <w:vAlign w:val="center"/>
            <w:hideMark/>
          </w:tcPr>
          <w:p w14:paraId="7FF07081" w14:textId="77777777" w:rsidR="00C92C58" w:rsidRPr="00C174D5" w:rsidRDefault="00C92C58" w:rsidP="00B15A9A">
            <w:pPr>
              <w:jc w:val="left"/>
              <w:rPr>
                <w:sz w:val="20"/>
                <w:lang w:val="es-ES"/>
              </w:rPr>
            </w:pPr>
            <w:r w:rsidRPr="00C174D5">
              <w:rPr>
                <w:sz w:val="20"/>
                <w:lang w:val="es-ES"/>
              </w:rPr>
              <w:t>O&amp;M</w:t>
            </w:r>
          </w:p>
        </w:tc>
        <w:tc>
          <w:tcPr>
            <w:tcW w:w="2001" w:type="dxa"/>
            <w:noWrap/>
            <w:vAlign w:val="center"/>
            <w:hideMark/>
          </w:tcPr>
          <w:p w14:paraId="461913FA" w14:textId="77777777" w:rsidR="00C92C58" w:rsidRPr="00C174D5" w:rsidRDefault="00C92C58" w:rsidP="00B15A9A">
            <w:pPr>
              <w:jc w:val="center"/>
              <w:rPr>
                <w:sz w:val="20"/>
                <w:lang w:val="es-ES"/>
              </w:rPr>
            </w:pPr>
            <w:r w:rsidRPr="00C174D5">
              <w:rPr>
                <w:sz w:val="20"/>
                <w:lang w:val="es-ES"/>
              </w:rPr>
              <w:t>-1,6</w:t>
            </w:r>
          </w:p>
        </w:tc>
      </w:tr>
      <w:tr w:rsidR="00C92C58" w:rsidRPr="00C174D5" w14:paraId="5572B302" w14:textId="77777777" w:rsidTr="00B15A9A">
        <w:trPr>
          <w:trHeight w:val="300"/>
          <w:jc w:val="center"/>
        </w:trPr>
        <w:tc>
          <w:tcPr>
            <w:tcW w:w="2722" w:type="dxa"/>
            <w:noWrap/>
            <w:vAlign w:val="center"/>
            <w:hideMark/>
          </w:tcPr>
          <w:p w14:paraId="2DA26477" w14:textId="77777777" w:rsidR="00C92C58" w:rsidRPr="00C174D5" w:rsidRDefault="00C92C58" w:rsidP="00B15A9A">
            <w:pPr>
              <w:jc w:val="left"/>
              <w:rPr>
                <w:sz w:val="20"/>
                <w:lang w:val="es-ES"/>
              </w:rPr>
            </w:pPr>
            <w:r w:rsidRPr="00C174D5">
              <w:rPr>
                <w:sz w:val="20"/>
                <w:lang w:val="es-ES"/>
              </w:rPr>
              <w:t>Beneficios medios</w:t>
            </w:r>
          </w:p>
        </w:tc>
        <w:tc>
          <w:tcPr>
            <w:tcW w:w="2001" w:type="dxa"/>
            <w:noWrap/>
            <w:vAlign w:val="center"/>
            <w:hideMark/>
          </w:tcPr>
          <w:p w14:paraId="49F4F548" w14:textId="77777777" w:rsidR="00C92C58" w:rsidRPr="00C174D5" w:rsidRDefault="00C92C58" w:rsidP="00B15A9A">
            <w:pPr>
              <w:jc w:val="center"/>
              <w:rPr>
                <w:sz w:val="20"/>
                <w:lang w:val="es-ES"/>
              </w:rPr>
            </w:pPr>
          </w:p>
        </w:tc>
      </w:tr>
      <w:tr w:rsidR="00C92C58" w:rsidRPr="00C174D5" w14:paraId="6D3D427F" w14:textId="77777777" w:rsidTr="00B15A9A">
        <w:trPr>
          <w:trHeight w:val="300"/>
          <w:jc w:val="center"/>
        </w:trPr>
        <w:tc>
          <w:tcPr>
            <w:tcW w:w="2722" w:type="dxa"/>
            <w:noWrap/>
            <w:vAlign w:val="center"/>
            <w:hideMark/>
          </w:tcPr>
          <w:p w14:paraId="2C4A2420" w14:textId="77777777" w:rsidR="00C92C58" w:rsidRPr="00C174D5" w:rsidRDefault="00C92C58" w:rsidP="00B15A9A">
            <w:pPr>
              <w:jc w:val="left"/>
              <w:rPr>
                <w:sz w:val="20"/>
                <w:lang w:val="es-ES"/>
              </w:rPr>
            </w:pPr>
            <w:r w:rsidRPr="00C174D5">
              <w:rPr>
                <w:sz w:val="20"/>
                <w:lang w:val="es-ES"/>
              </w:rPr>
              <w:t>Operación Conjunta</w:t>
            </w:r>
          </w:p>
        </w:tc>
        <w:tc>
          <w:tcPr>
            <w:tcW w:w="2001" w:type="dxa"/>
            <w:noWrap/>
            <w:vAlign w:val="center"/>
            <w:hideMark/>
          </w:tcPr>
          <w:p w14:paraId="3358B5A5" w14:textId="77777777" w:rsidR="00C92C58" w:rsidRPr="00C174D5" w:rsidRDefault="00C92C58" w:rsidP="00B15A9A">
            <w:pPr>
              <w:jc w:val="center"/>
              <w:rPr>
                <w:sz w:val="20"/>
                <w:lang w:val="es-ES"/>
              </w:rPr>
            </w:pPr>
            <w:r w:rsidRPr="00C174D5">
              <w:rPr>
                <w:sz w:val="20"/>
                <w:lang w:val="es-ES"/>
              </w:rPr>
              <w:t>6,1</w:t>
            </w:r>
          </w:p>
        </w:tc>
      </w:tr>
      <w:tr w:rsidR="00C92C58" w:rsidRPr="00C174D5" w14:paraId="7EB7B207" w14:textId="77777777" w:rsidTr="00B15A9A">
        <w:trPr>
          <w:trHeight w:val="300"/>
          <w:jc w:val="center"/>
        </w:trPr>
        <w:tc>
          <w:tcPr>
            <w:tcW w:w="2722" w:type="dxa"/>
            <w:noWrap/>
            <w:vAlign w:val="center"/>
            <w:hideMark/>
          </w:tcPr>
          <w:p w14:paraId="622CEDE2" w14:textId="77777777" w:rsidR="00C92C58" w:rsidRPr="00C174D5" w:rsidRDefault="00C92C58" w:rsidP="00B15A9A">
            <w:pPr>
              <w:jc w:val="left"/>
              <w:rPr>
                <w:sz w:val="20"/>
                <w:lang w:val="es-ES"/>
              </w:rPr>
            </w:pPr>
            <w:r w:rsidRPr="00C174D5">
              <w:rPr>
                <w:sz w:val="20"/>
                <w:lang w:val="es-ES"/>
              </w:rPr>
              <w:t>Integración</w:t>
            </w:r>
          </w:p>
        </w:tc>
        <w:tc>
          <w:tcPr>
            <w:tcW w:w="2001" w:type="dxa"/>
            <w:noWrap/>
            <w:vAlign w:val="center"/>
            <w:hideMark/>
          </w:tcPr>
          <w:p w14:paraId="70AED895" w14:textId="77777777" w:rsidR="00C92C58" w:rsidRPr="00C174D5" w:rsidRDefault="00C92C58" w:rsidP="00B15A9A">
            <w:pPr>
              <w:jc w:val="center"/>
              <w:rPr>
                <w:sz w:val="20"/>
                <w:lang w:val="es-ES"/>
              </w:rPr>
            </w:pPr>
            <w:r w:rsidRPr="00C174D5">
              <w:rPr>
                <w:sz w:val="20"/>
                <w:lang w:val="es-ES"/>
              </w:rPr>
              <w:t>27,5</w:t>
            </w:r>
          </w:p>
        </w:tc>
      </w:tr>
      <w:tr w:rsidR="00C92C58" w:rsidRPr="00C174D5" w14:paraId="47D689F6" w14:textId="77777777" w:rsidTr="00B15A9A">
        <w:trPr>
          <w:trHeight w:val="300"/>
          <w:jc w:val="center"/>
        </w:trPr>
        <w:tc>
          <w:tcPr>
            <w:tcW w:w="2722" w:type="dxa"/>
            <w:noWrap/>
            <w:vAlign w:val="center"/>
            <w:hideMark/>
          </w:tcPr>
          <w:p w14:paraId="6835B7F1" w14:textId="77777777" w:rsidR="00C92C58" w:rsidRPr="00C174D5" w:rsidRDefault="00C92C58" w:rsidP="00B15A9A">
            <w:pPr>
              <w:jc w:val="left"/>
              <w:rPr>
                <w:sz w:val="20"/>
                <w:lang w:val="es-ES"/>
              </w:rPr>
            </w:pPr>
            <w:r w:rsidRPr="00C174D5">
              <w:rPr>
                <w:sz w:val="20"/>
                <w:lang w:val="es-ES"/>
              </w:rPr>
              <w:lastRenderedPageBreak/>
              <w:t>Totales</w:t>
            </w:r>
          </w:p>
        </w:tc>
        <w:tc>
          <w:tcPr>
            <w:tcW w:w="2001" w:type="dxa"/>
            <w:noWrap/>
            <w:vAlign w:val="center"/>
            <w:hideMark/>
          </w:tcPr>
          <w:p w14:paraId="6FDE8D10" w14:textId="77777777" w:rsidR="00C92C58" w:rsidRPr="00C174D5" w:rsidRDefault="00C92C58" w:rsidP="00B15A9A">
            <w:pPr>
              <w:jc w:val="center"/>
              <w:rPr>
                <w:sz w:val="20"/>
                <w:lang w:val="es-ES"/>
              </w:rPr>
            </w:pPr>
            <w:r w:rsidRPr="00C174D5">
              <w:rPr>
                <w:sz w:val="20"/>
                <w:lang w:val="es-ES"/>
              </w:rPr>
              <w:t>33,6</w:t>
            </w:r>
          </w:p>
        </w:tc>
      </w:tr>
      <w:tr w:rsidR="00C92C58" w:rsidRPr="00C174D5" w14:paraId="0B216DB4" w14:textId="77777777" w:rsidTr="00B15A9A">
        <w:trPr>
          <w:trHeight w:val="300"/>
          <w:jc w:val="center"/>
        </w:trPr>
        <w:tc>
          <w:tcPr>
            <w:tcW w:w="2722" w:type="dxa"/>
            <w:noWrap/>
            <w:vAlign w:val="center"/>
            <w:hideMark/>
          </w:tcPr>
          <w:p w14:paraId="0C777278" w14:textId="77777777" w:rsidR="00C92C58" w:rsidRPr="00C174D5" w:rsidRDefault="00C92C58" w:rsidP="00B15A9A">
            <w:pPr>
              <w:keepNext/>
              <w:jc w:val="left"/>
              <w:rPr>
                <w:sz w:val="20"/>
                <w:lang w:val="es-ES"/>
              </w:rPr>
            </w:pPr>
            <w:r w:rsidRPr="00C174D5">
              <w:rPr>
                <w:sz w:val="20"/>
                <w:lang w:val="es-ES"/>
              </w:rPr>
              <w:t>TIRE</w:t>
            </w:r>
          </w:p>
        </w:tc>
        <w:tc>
          <w:tcPr>
            <w:tcW w:w="2001" w:type="dxa"/>
            <w:noWrap/>
            <w:vAlign w:val="center"/>
            <w:hideMark/>
          </w:tcPr>
          <w:p w14:paraId="5D6F1FBD" w14:textId="77777777" w:rsidR="00C92C58" w:rsidRPr="00C174D5" w:rsidRDefault="00C92C58" w:rsidP="00B15A9A">
            <w:pPr>
              <w:keepNext/>
              <w:jc w:val="center"/>
              <w:rPr>
                <w:sz w:val="20"/>
                <w:lang w:val="es-ES"/>
              </w:rPr>
            </w:pPr>
            <w:r w:rsidRPr="00C174D5">
              <w:rPr>
                <w:sz w:val="20"/>
                <w:lang w:val="es-ES"/>
              </w:rPr>
              <w:t>23%</w:t>
            </w:r>
          </w:p>
        </w:tc>
      </w:tr>
    </w:tbl>
    <w:p w14:paraId="1C7A5647" w14:textId="77777777" w:rsidR="00C92C58" w:rsidRPr="00C174D5" w:rsidRDefault="00C92C58" w:rsidP="00C92C58">
      <w:pPr>
        <w:jc w:val="center"/>
        <w:rPr>
          <w:sz w:val="18"/>
          <w:lang w:val="es-ES"/>
        </w:rPr>
      </w:pPr>
      <w:r w:rsidRPr="00C174D5">
        <w:rPr>
          <w:sz w:val="18"/>
          <w:lang w:val="es-ES"/>
        </w:rPr>
        <w:t>Fuente: Elaboración propia</w:t>
      </w:r>
    </w:p>
    <w:p w14:paraId="1C4CAB00" w14:textId="77777777" w:rsidR="00C92C58" w:rsidRPr="00C174D5" w:rsidRDefault="00C92C58" w:rsidP="00C92C58">
      <w:pPr>
        <w:rPr>
          <w:lang w:val="es-ES"/>
        </w:rPr>
      </w:pPr>
      <w:r w:rsidRPr="00C174D5">
        <w:rPr>
          <w:lang w:val="es-ES"/>
        </w:rPr>
        <w:t>Considerando los beneficios totales, la TIRE del proyecto alcanza un valor de 23%, claramente superior al costo de oportunidad del capital con lo cual el proyecto resulta deseable desde una perspectiva económica y social.</w:t>
      </w:r>
    </w:p>
    <w:p w14:paraId="4448E43C" w14:textId="77777777" w:rsidR="00C92C58" w:rsidRPr="00C174D5" w:rsidRDefault="00C92C58" w:rsidP="00C92C58">
      <w:pPr>
        <w:pStyle w:val="Heading1"/>
        <w:pageBreakBefore w:val="0"/>
        <w:numPr>
          <w:ilvl w:val="2"/>
          <w:numId w:val="9"/>
        </w:numPr>
        <w:rPr>
          <w:lang w:val="es-ES"/>
        </w:rPr>
      </w:pPr>
      <w:bookmarkStart w:id="216" w:name="_Toc456353149"/>
      <w:r w:rsidRPr="00C174D5">
        <w:rPr>
          <w:lang w:val="es-ES"/>
        </w:rPr>
        <w:t>Análisis regional Aumento capacidad líneas 230kV – Sensibilidades</w:t>
      </w:r>
      <w:bookmarkEnd w:id="216"/>
    </w:p>
    <w:p w14:paraId="3B68A558" w14:textId="77777777" w:rsidR="00C92C58" w:rsidRPr="00C174D5" w:rsidRDefault="00C92C58" w:rsidP="00C92C58">
      <w:pPr>
        <w:rPr>
          <w:lang w:val="es-ES"/>
        </w:rPr>
      </w:pPr>
      <w:r w:rsidRPr="00C174D5">
        <w:rPr>
          <w:lang w:val="es-ES"/>
        </w:rPr>
        <w:t>Al igual que en los otros proyectos, se realiza un análisis de sensibilidad sobre los resultados encontrados. En este caso, se analiza cómo cambian los resultados encontrados ante variaciones en la tasa de crecimiento de los beneficios por ahorro térmico, a la inversión, y a los beneficios de la integración considerados en el caso base (</w:t>
      </w:r>
      <w:r w:rsidRPr="00C174D5">
        <w:rPr>
          <w:lang w:val="es-ES"/>
        </w:rPr>
        <w:fldChar w:fldCharType="begin"/>
      </w:r>
      <w:r w:rsidRPr="00C174D5">
        <w:rPr>
          <w:lang w:val="es-ES"/>
        </w:rPr>
        <w:instrText xml:space="preserve"> REF _Ref450035635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43</w:t>
      </w:r>
      <w:r w:rsidRPr="00C174D5">
        <w:rPr>
          <w:lang w:val="es-ES"/>
        </w:rPr>
        <w:fldChar w:fldCharType="end"/>
      </w:r>
      <w:r w:rsidRPr="00C174D5">
        <w:rPr>
          <w:lang w:val="es-ES"/>
        </w:rPr>
        <w:fldChar w:fldCharType="begin" w:fldLock="1"/>
      </w:r>
      <w:r w:rsidRPr="00C174D5">
        <w:rPr>
          <w:lang w:val="es-ES"/>
        </w:rPr>
        <w:instrText xml:space="preserve"> REF _Ref447551641 \h  \* MERGEFORMAT </w:instrText>
      </w:r>
      <w:r w:rsidRPr="00C174D5">
        <w:rPr>
          <w:lang w:val="es-ES"/>
        </w:rPr>
      </w:r>
      <w:r w:rsidRPr="00C174D5">
        <w:rPr>
          <w:lang w:val="es-ES"/>
        </w:rPr>
        <w:fldChar w:fldCharType="end"/>
      </w:r>
      <w:r w:rsidRPr="00C174D5">
        <w:rPr>
          <w:lang w:val="es-ES"/>
        </w:rPr>
        <w:t>).</w:t>
      </w:r>
    </w:p>
    <w:p w14:paraId="389BE8C0" w14:textId="77777777" w:rsidR="00C92C58" w:rsidRPr="00C174D5" w:rsidRDefault="00C92C58" w:rsidP="00C92C58">
      <w:pPr>
        <w:keepNext/>
        <w:keepLines/>
        <w:spacing w:after="120"/>
        <w:jc w:val="center"/>
        <w:rPr>
          <w:b/>
          <w:sz w:val="20"/>
          <w:lang w:val="es-ES"/>
        </w:rPr>
      </w:pPr>
      <w:bookmarkStart w:id="217" w:name="_Ref450035635"/>
      <w:bookmarkStart w:id="218" w:name="_Toc456353199"/>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43</w:t>
      </w:r>
      <w:r w:rsidRPr="00C174D5">
        <w:rPr>
          <w:b/>
          <w:sz w:val="20"/>
          <w:lang w:val="es-ES"/>
        </w:rPr>
        <w:fldChar w:fldCharType="end"/>
      </w:r>
      <w:bookmarkEnd w:id="217"/>
      <w:r w:rsidRPr="00C174D5">
        <w:rPr>
          <w:b/>
          <w:sz w:val="20"/>
          <w:lang w:val="es-ES"/>
        </w:rPr>
        <w:t>: Análisis de sensibilidad evaluación económica – Aumento capacidad LT 230kV</w:t>
      </w:r>
      <w:bookmarkEnd w:id="218"/>
    </w:p>
    <w:tbl>
      <w:tblPr>
        <w:tblpPr w:leftFromText="141" w:rightFromText="141" w:vertAnchor="text" w:tblpXSpec="center" w:tblpY="1"/>
        <w:tblOverlap w:val="never"/>
        <w:tblW w:w="7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4"/>
        <w:gridCol w:w="3371"/>
        <w:gridCol w:w="1231"/>
        <w:gridCol w:w="753"/>
        <w:gridCol w:w="757"/>
      </w:tblGrid>
      <w:tr w:rsidR="00C92C58" w:rsidRPr="00C174D5" w14:paraId="058A9AC5" w14:textId="77777777" w:rsidTr="00B15A9A">
        <w:trPr>
          <w:trHeight w:val="300"/>
        </w:trPr>
        <w:tc>
          <w:tcPr>
            <w:tcW w:w="4365" w:type="dxa"/>
            <w:gridSpan w:val="2"/>
            <w:tcBorders>
              <w:top w:val="single" w:sz="12" w:space="0" w:color="auto"/>
              <w:bottom w:val="single" w:sz="12" w:space="0" w:color="auto"/>
            </w:tcBorders>
            <w:shd w:val="clear" w:color="auto" w:fill="BFBFBF" w:themeFill="background1" w:themeFillShade="BF"/>
            <w:noWrap/>
            <w:vAlign w:val="center"/>
          </w:tcPr>
          <w:p w14:paraId="503CE80A" w14:textId="77777777" w:rsidR="00C92C58" w:rsidRPr="00C174D5" w:rsidRDefault="00C92C58" w:rsidP="00B15A9A">
            <w:pPr>
              <w:keepNext/>
              <w:keepLines/>
              <w:spacing w:after="0" w:line="240" w:lineRule="auto"/>
              <w:jc w:val="left"/>
              <w:rPr>
                <w:rFonts w:eastAsia="Times New Roman" w:cs="Times New Roman"/>
                <w:b/>
                <w:sz w:val="20"/>
                <w:szCs w:val="20"/>
                <w:lang w:val="es-ES" w:eastAsia="es-AR"/>
              </w:rPr>
            </w:pPr>
            <w:r w:rsidRPr="00C174D5">
              <w:rPr>
                <w:b/>
                <w:sz w:val="20"/>
                <w:lang w:val="es-ES"/>
              </w:rPr>
              <w:t>Aumento capacidad LT 230kV</w:t>
            </w:r>
          </w:p>
        </w:tc>
        <w:tc>
          <w:tcPr>
            <w:tcW w:w="1984" w:type="dxa"/>
            <w:gridSpan w:val="2"/>
            <w:tcBorders>
              <w:top w:val="single" w:sz="12" w:space="0" w:color="auto"/>
              <w:bottom w:val="single" w:sz="12" w:space="0" w:color="auto"/>
            </w:tcBorders>
            <w:shd w:val="clear" w:color="auto" w:fill="BFBFBF" w:themeFill="background1" w:themeFillShade="BF"/>
            <w:vAlign w:val="center"/>
          </w:tcPr>
          <w:p w14:paraId="4B9E9CC0" w14:textId="77777777" w:rsidR="00C92C58" w:rsidRPr="00C174D5" w:rsidRDefault="00C92C58" w:rsidP="00B15A9A">
            <w:pPr>
              <w:keepNext/>
              <w:keepLines/>
              <w:spacing w:after="0" w:line="240" w:lineRule="auto"/>
              <w:jc w:val="center"/>
              <w:rPr>
                <w:rFonts w:eastAsia="Times New Roman" w:cs="Times New Roman"/>
                <w:b/>
                <w:sz w:val="20"/>
                <w:szCs w:val="20"/>
                <w:lang w:val="es-ES" w:eastAsia="es-AR"/>
              </w:rPr>
            </w:pPr>
            <w:r w:rsidRPr="00C174D5">
              <w:rPr>
                <w:rFonts w:eastAsia="Times New Roman" w:cs="Arial"/>
                <w:b/>
                <w:sz w:val="20"/>
                <w:szCs w:val="20"/>
                <w:lang w:val="es-ES" w:eastAsia="es-AR"/>
              </w:rPr>
              <w:t>VPNE (US$)</w:t>
            </w:r>
          </w:p>
        </w:tc>
        <w:tc>
          <w:tcPr>
            <w:tcW w:w="757" w:type="dxa"/>
            <w:tcBorders>
              <w:top w:val="single" w:sz="12" w:space="0" w:color="auto"/>
              <w:bottom w:val="single" w:sz="12" w:space="0" w:color="auto"/>
            </w:tcBorders>
            <w:shd w:val="clear" w:color="auto" w:fill="BFBFBF" w:themeFill="background1" w:themeFillShade="BF"/>
            <w:vAlign w:val="center"/>
          </w:tcPr>
          <w:p w14:paraId="1EF058C7" w14:textId="77777777" w:rsidR="00C92C58" w:rsidRPr="00C174D5" w:rsidRDefault="00C92C58" w:rsidP="00B15A9A">
            <w:pPr>
              <w:keepNext/>
              <w:keepLines/>
              <w:spacing w:after="0" w:line="240" w:lineRule="auto"/>
              <w:jc w:val="center"/>
              <w:rPr>
                <w:rFonts w:eastAsia="Times New Roman" w:cs="Arial"/>
                <w:b/>
                <w:sz w:val="20"/>
                <w:szCs w:val="20"/>
                <w:lang w:val="es-ES" w:eastAsia="es-AR"/>
              </w:rPr>
            </w:pPr>
            <w:r w:rsidRPr="00C174D5">
              <w:rPr>
                <w:rFonts w:eastAsia="Times New Roman" w:cs="Arial"/>
                <w:b/>
                <w:sz w:val="20"/>
                <w:szCs w:val="20"/>
                <w:lang w:val="es-ES" w:eastAsia="es-AR"/>
              </w:rPr>
              <w:t>TIRE (%)</w:t>
            </w:r>
          </w:p>
        </w:tc>
      </w:tr>
      <w:tr w:rsidR="00C92C58" w:rsidRPr="00C174D5" w14:paraId="7744D354" w14:textId="77777777" w:rsidTr="00B15A9A">
        <w:trPr>
          <w:trHeight w:val="300"/>
        </w:trPr>
        <w:tc>
          <w:tcPr>
            <w:tcW w:w="4365" w:type="dxa"/>
            <w:gridSpan w:val="2"/>
            <w:tcBorders>
              <w:top w:val="single" w:sz="12" w:space="0" w:color="auto"/>
            </w:tcBorders>
            <w:shd w:val="clear" w:color="auto" w:fill="auto"/>
            <w:noWrap/>
            <w:vAlign w:val="center"/>
          </w:tcPr>
          <w:p w14:paraId="31602E31"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i/>
                <w:sz w:val="20"/>
                <w:szCs w:val="20"/>
                <w:lang w:val="es-ES" w:eastAsia="es-AR"/>
              </w:rPr>
              <w:t>Caso Base – Beneficios O&amp;M</w:t>
            </w:r>
          </w:p>
        </w:tc>
        <w:tc>
          <w:tcPr>
            <w:tcW w:w="1984" w:type="dxa"/>
            <w:gridSpan w:val="2"/>
            <w:tcBorders>
              <w:top w:val="single" w:sz="12" w:space="0" w:color="auto"/>
            </w:tcBorders>
            <w:vAlign w:val="center"/>
          </w:tcPr>
          <w:p w14:paraId="51D8D13C" w14:textId="77777777" w:rsidR="00C92C58" w:rsidRPr="00C174D5" w:rsidRDefault="00C92C58" w:rsidP="00B15A9A">
            <w:pPr>
              <w:keepNext/>
              <w:keepLines/>
              <w:spacing w:after="0" w:line="240" w:lineRule="auto"/>
              <w:jc w:val="center"/>
              <w:rPr>
                <w:rFonts w:eastAsia="Times New Roman" w:cs="Times New Roman"/>
                <w:i/>
                <w:sz w:val="20"/>
                <w:szCs w:val="20"/>
                <w:lang w:val="es-ES" w:eastAsia="es-AR"/>
              </w:rPr>
            </w:pPr>
            <w:r w:rsidRPr="00C174D5">
              <w:rPr>
                <w:rFonts w:eastAsia="Times New Roman" w:cs="Times New Roman"/>
                <w:i/>
                <w:sz w:val="20"/>
                <w:szCs w:val="20"/>
                <w:lang w:val="es-ES" w:eastAsia="es-AR"/>
              </w:rPr>
              <w:t>-3.344.253</w:t>
            </w:r>
          </w:p>
        </w:tc>
        <w:tc>
          <w:tcPr>
            <w:tcW w:w="757" w:type="dxa"/>
            <w:tcBorders>
              <w:top w:val="single" w:sz="2" w:space="0" w:color="auto"/>
            </w:tcBorders>
            <w:vAlign w:val="center"/>
          </w:tcPr>
          <w:p w14:paraId="05DFD6EC" w14:textId="77777777" w:rsidR="00C92C58" w:rsidRPr="00C174D5" w:rsidRDefault="00C92C58" w:rsidP="00B15A9A">
            <w:pPr>
              <w:keepNext/>
              <w:keepLines/>
              <w:spacing w:after="0" w:line="240" w:lineRule="auto"/>
              <w:jc w:val="center"/>
              <w:rPr>
                <w:rFonts w:eastAsia="Times New Roman" w:cs="Times New Roman"/>
                <w:i/>
                <w:sz w:val="20"/>
                <w:szCs w:val="20"/>
                <w:lang w:val="es-ES" w:eastAsia="es-AR"/>
              </w:rPr>
            </w:pPr>
            <w:r w:rsidRPr="00C174D5">
              <w:rPr>
                <w:rFonts w:eastAsia="Times New Roman" w:cs="Times New Roman"/>
                <w:i/>
                <w:sz w:val="20"/>
                <w:szCs w:val="20"/>
                <w:lang w:val="es-ES" w:eastAsia="es-AR"/>
              </w:rPr>
              <w:t>11,5%</w:t>
            </w:r>
          </w:p>
        </w:tc>
      </w:tr>
      <w:tr w:rsidR="00C92C58" w:rsidRPr="00E67BF2" w14:paraId="2040DC56" w14:textId="77777777" w:rsidTr="00B15A9A">
        <w:trPr>
          <w:trHeight w:val="300"/>
        </w:trPr>
        <w:tc>
          <w:tcPr>
            <w:tcW w:w="7106" w:type="dxa"/>
            <w:gridSpan w:val="5"/>
            <w:tcBorders>
              <w:top w:val="single" w:sz="2" w:space="0" w:color="auto"/>
            </w:tcBorders>
            <w:shd w:val="clear" w:color="auto" w:fill="auto"/>
            <w:noWrap/>
            <w:vAlign w:val="center"/>
          </w:tcPr>
          <w:p w14:paraId="266C352E"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Tasa de crecimiento beneficios ahorro térmico (base 6,02%)</w:t>
            </w:r>
          </w:p>
        </w:tc>
      </w:tr>
      <w:tr w:rsidR="00C92C58" w:rsidRPr="00C174D5" w14:paraId="4D43149F" w14:textId="77777777" w:rsidTr="00B15A9A">
        <w:trPr>
          <w:trHeight w:val="300"/>
        </w:trPr>
        <w:tc>
          <w:tcPr>
            <w:tcW w:w="994" w:type="dxa"/>
            <w:tcBorders>
              <w:top w:val="single" w:sz="2" w:space="0" w:color="auto"/>
            </w:tcBorders>
            <w:shd w:val="clear" w:color="auto" w:fill="auto"/>
            <w:noWrap/>
            <w:vAlign w:val="center"/>
          </w:tcPr>
          <w:p w14:paraId="735192AD"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3371" w:type="dxa"/>
            <w:tcBorders>
              <w:top w:val="single" w:sz="2" w:space="0" w:color="auto"/>
            </w:tcBorders>
            <w:shd w:val="clear" w:color="auto" w:fill="auto"/>
            <w:vAlign w:val="center"/>
          </w:tcPr>
          <w:p w14:paraId="1B74E2F9"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6,9% (+ 15%)</w:t>
            </w:r>
          </w:p>
        </w:tc>
        <w:tc>
          <w:tcPr>
            <w:tcW w:w="1231" w:type="dxa"/>
            <w:tcBorders>
              <w:top w:val="single" w:sz="2" w:space="0" w:color="auto"/>
            </w:tcBorders>
            <w:vAlign w:val="center"/>
          </w:tcPr>
          <w:p w14:paraId="6E342220"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3.803.176</w:t>
            </w:r>
          </w:p>
        </w:tc>
        <w:tc>
          <w:tcPr>
            <w:tcW w:w="753" w:type="dxa"/>
            <w:tcBorders>
              <w:top w:val="single" w:sz="2" w:space="0" w:color="auto"/>
            </w:tcBorders>
            <w:vAlign w:val="center"/>
          </w:tcPr>
          <w:p w14:paraId="610E2441"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-214%</w:t>
            </w:r>
          </w:p>
        </w:tc>
        <w:tc>
          <w:tcPr>
            <w:tcW w:w="757" w:type="dxa"/>
            <w:tcBorders>
              <w:top w:val="single" w:sz="2" w:space="0" w:color="auto"/>
            </w:tcBorders>
            <w:vAlign w:val="center"/>
          </w:tcPr>
          <w:p w14:paraId="7691AA66"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12,5%</w:t>
            </w:r>
          </w:p>
        </w:tc>
      </w:tr>
      <w:tr w:rsidR="00C92C58" w:rsidRPr="00C174D5" w14:paraId="3AF09500" w14:textId="77777777" w:rsidTr="00B15A9A">
        <w:trPr>
          <w:trHeight w:val="300"/>
        </w:trPr>
        <w:tc>
          <w:tcPr>
            <w:tcW w:w="994" w:type="dxa"/>
            <w:tcBorders>
              <w:top w:val="single" w:sz="2" w:space="0" w:color="auto"/>
            </w:tcBorders>
            <w:shd w:val="clear" w:color="auto" w:fill="auto"/>
            <w:noWrap/>
            <w:vAlign w:val="center"/>
          </w:tcPr>
          <w:p w14:paraId="217B047C"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3371" w:type="dxa"/>
            <w:tcBorders>
              <w:top w:val="single" w:sz="2" w:space="0" w:color="auto"/>
            </w:tcBorders>
            <w:shd w:val="clear" w:color="auto" w:fill="auto"/>
            <w:vAlign w:val="center"/>
          </w:tcPr>
          <w:p w14:paraId="0767D208"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5,1% (- 15%)</w:t>
            </w:r>
          </w:p>
        </w:tc>
        <w:tc>
          <w:tcPr>
            <w:tcW w:w="1231" w:type="dxa"/>
            <w:tcBorders>
              <w:top w:val="single" w:sz="2" w:space="0" w:color="auto"/>
            </w:tcBorders>
            <w:vAlign w:val="center"/>
          </w:tcPr>
          <w:p w14:paraId="34F12D3C"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-9.592.236</w:t>
            </w:r>
          </w:p>
        </w:tc>
        <w:tc>
          <w:tcPr>
            <w:tcW w:w="753" w:type="dxa"/>
            <w:tcBorders>
              <w:top w:val="single" w:sz="2" w:space="0" w:color="auto"/>
            </w:tcBorders>
            <w:vAlign w:val="center"/>
          </w:tcPr>
          <w:p w14:paraId="236136B5"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187%</w:t>
            </w:r>
          </w:p>
        </w:tc>
        <w:tc>
          <w:tcPr>
            <w:tcW w:w="757" w:type="dxa"/>
            <w:tcBorders>
              <w:top w:val="single" w:sz="2" w:space="0" w:color="auto"/>
            </w:tcBorders>
            <w:vAlign w:val="center"/>
          </w:tcPr>
          <w:p w14:paraId="637C8469"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10,5%</w:t>
            </w:r>
          </w:p>
        </w:tc>
      </w:tr>
      <w:tr w:rsidR="00C92C58" w:rsidRPr="00C174D5" w14:paraId="0A439890" w14:textId="77777777" w:rsidTr="00B15A9A">
        <w:trPr>
          <w:trHeight w:val="300"/>
        </w:trPr>
        <w:tc>
          <w:tcPr>
            <w:tcW w:w="994" w:type="dxa"/>
            <w:tcBorders>
              <w:top w:val="single" w:sz="2" w:space="0" w:color="auto"/>
            </w:tcBorders>
            <w:shd w:val="clear" w:color="auto" w:fill="auto"/>
            <w:noWrap/>
            <w:vAlign w:val="center"/>
          </w:tcPr>
          <w:p w14:paraId="3A90E735"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3371" w:type="dxa"/>
            <w:tcBorders>
              <w:top w:val="single" w:sz="2" w:space="0" w:color="auto"/>
            </w:tcBorders>
            <w:shd w:val="clear" w:color="auto" w:fill="auto"/>
            <w:vAlign w:val="center"/>
          </w:tcPr>
          <w:p w14:paraId="6402BDA9"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 xml:space="preserve">6,46% (+7%) </w:t>
            </w:r>
          </w:p>
        </w:tc>
        <w:tc>
          <w:tcPr>
            <w:tcW w:w="1231" w:type="dxa"/>
            <w:tcBorders>
              <w:top w:val="single" w:sz="2" w:space="0" w:color="auto"/>
            </w:tcBorders>
            <w:vAlign w:val="center"/>
          </w:tcPr>
          <w:p w14:paraId="5832DB54"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0</w:t>
            </w:r>
          </w:p>
        </w:tc>
        <w:tc>
          <w:tcPr>
            <w:tcW w:w="753" w:type="dxa"/>
            <w:tcBorders>
              <w:top w:val="single" w:sz="2" w:space="0" w:color="auto"/>
            </w:tcBorders>
            <w:vAlign w:val="center"/>
          </w:tcPr>
          <w:p w14:paraId="321504AD"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w:t>
            </w:r>
          </w:p>
        </w:tc>
        <w:tc>
          <w:tcPr>
            <w:tcW w:w="757" w:type="dxa"/>
            <w:tcBorders>
              <w:top w:val="single" w:sz="2" w:space="0" w:color="auto"/>
            </w:tcBorders>
            <w:vAlign w:val="center"/>
          </w:tcPr>
          <w:p w14:paraId="6B612E8C"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12%</w:t>
            </w:r>
          </w:p>
        </w:tc>
      </w:tr>
      <w:tr w:rsidR="00C92C58" w:rsidRPr="00C174D5" w14:paraId="6DB22030" w14:textId="77777777" w:rsidTr="00B15A9A">
        <w:trPr>
          <w:trHeight w:val="300"/>
        </w:trPr>
        <w:tc>
          <w:tcPr>
            <w:tcW w:w="7106" w:type="dxa"/>
            <w:gridSpan w:val="5"/>
            <w:tcBorders>
              <w:top w:val="single" w:sz="2" w:space="0" w:color="auto"/>
              <w:bottom w:val="single" w:sz="2" w:space="0" w:color="auto"/>
            </w:tcBorders>
            <w:shd w:val="clear" w:color="auto" w:fill="auto"/>
            <w:noWrap/>
            <w:vAlign w:val="center"/>
          </w:tcPr>
          <w:p w14:paraId="5E408EC6"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Costo de inversión</w:t>
            </w:r>
            <w:r w:rsidRPr="00C174D5">
              <w:rPr>
                <w:rStyle w:val="FootnoteReference"/>
                <w:rFonts w:eastAsia="Times New Roman" w:cs="Times New Roman"/>
                <w:sz w:val="20"/>
                <w:szCs w:val="20"/>
                <w:lang w:val="es-ES" w:eastAsia="es-AR"/>
              </w:rPr>
              <w:footnoteReference w:id="59"/>
            </w:r>
            <w:r w:rsidRPr="00C174D5">
              <w:rPr>
                <w:rFonts w:eastAsia="Times New Roman" w:cs="Times New Roman"/>
                <w:sz w:val="20"/>
                <w:szCs w:val="20"/>
                <w:lang w:val="es-ES" w:eastAsia="es-AR"/>
              </w:rPr>
              <w:t xml:space="preserve"> (base 64.757.072)</w:t>
            </w:r>
          </w:p>
        </w:tc>
      </w:tr>
      <w:tr w:rsidR="00C92C58" w:rsidRPr="00C174D5" w14:paraId="668A05F7" w14:textId="77777777" w:rsidTr="00B15A9A">
        <w:trPr>
          <w:trHeight w:val="300"/>
        </w:trPr>
        <w:tc>
          <w:tcPr>
            <w:tcW w:w="994" w:type="dxa"/>
            <w:tcBorders>
              <w:top w:val="single" w:sz="2" w:space="0" w:color="auto"/>
            </w:tcBorders>
            <w:shd w:val="clear" w:color="auto" w:fill="auto"/>
            <w:noWrap/>
            <w:vAlign w:val="center"/>
          </w:tcPr>
          <w:p w14:paraId="6589BE9B"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3371" w:type="dxa"/>
            <w:tcBorders>
              <w:top w:val="single" w:sz="2" w:space="0" w:color="auto"/>
            </w:tcBorders>
            <w:shd w:val="clear" w:color="auto" w:fill="auto"/>
            <w:vAlign w:val="center"/>
          </w:tcPr>
          <w:p w14:paraId="7062332C"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54.845.796 (-15%)</w:t>
            </w:r>
          </w:p>
        </w:tc>
        <w:tc>
          <w:tcPr>
            <w:tcW w:w="1231" w:type="dxa"/>
            <w:tcBorders>
              <w:top w:val="single" w:sz="2" w:space="0" w:color="auto"/>
            </w:tcBorders>
            <w:vAlign w:val="center"/>
          </w:tcPr>
          <w:p w14:paraId="02520A49"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8.284.373</w:t>
            </w:r>
          </w:p>
        </w:tc>
        <w:tc>
          <w:tcPr>
            <w:tcW w:w="753" w:type="dxa"/>
            <w:tcBorders>
              <w:top w:val="single" w:sz="2" w:space="0" w:color="auto"/>
            </w:tcBorders>
            <w:vAlign w:val="center"/>
          </w:tcPr>
          <w:p w14:paraId="20614A32"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-348%</w:t>
            </w:r>
          </w:p>
        </w:tc>
        <w:tc>
          <w:tcPr>
            <w:tcW w:w="757" w:type="dxa"/>
            <w:tcBorders>
              <w:top w:val="single" w:sz="2" w:space="0" w:color="auto"/>
            </w:tcBorders>
            <w:vAlign w:val="center"/>
          </w:tcPr>
          <w:p w14:paraId="4F681211"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13,3%</w:t>
            </w:r>
          </w:p>
        </w:tc>
      </w:tr>
      <w:tr w:rsidR="00C92C58" w:rsidRPr="00C174D5" w14:paraId="0322A5E5" w14:textId="77777777" w:rsidTr="00B15A9A">
        <w:trPr>
          <w:trHeight w:val="300"/>
        </w:trPr>
        <w:tc>
          <w:tcPr>
            <w:tcW w:w="994" w:type="dxa"/>
            <w:tcBorders>
              <w:top w:val="single" w:sz="2" w:space="0" w:color="auto"/>
              <w:bottom w:val="single" w:sz="2" w:space="0" w:color="auto"/>
            </w:tcBorders>
            <w:shd w:val="clear" w:color="auto" w:fill="auto"/>
            <w:noWrap/>
            <w:vAlign w:val="center"/>
          </w:tcPr>
          <w:p w14:paraId="5813D53B"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3371" w:type="dxa"/>
            <w:tcBorders>
              <w:top w:val="single" w:sz="2" w:space="0" w:color="auto"/>
              <w:bottom w:val="single" w:sz="2" w:space="0" w:color="auto"/>
            </w:tcBorders>
            <w:shd w:val="clear" w:color="auto" w:fill="auto"/>
            <w:vAlign w:val="center"/>
          </w:tcPr>
          <w:p w14:paraId="0BE825FB"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45.167.126 (+15%)</w:t>
            </w:r>
          </w:p>
        </w:tc>
        <w:tc>
          <w:tcPr>
            <w:tcW w:w="1231" w:type="dxa"/>
            <w:tcBorders>
              <w:top w:val="single" w:sz="2" w:space="0" w:color="auto"/>
              <w:bottom w:val="single" w:sz="2" w:space="0" w:color="auto"/>
            </w:tcBorders>
            <w:vAlign w:val="center"/>
          </w:tcPr>
          <w:p w14:paraId="6405D716"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-14,972,879</w:t>
            </w:r>
          </w:p>
        </w:tc>
        <w:tc>
          <w:tcPr>
            <w:tcW w:w="753" w:type="dxa"/>
            <w:tcBorders>
              <w:top w:val="single" w:sz="2" w:space="0" w:color="auto"/>
              <w:bottom w:val="single" w:sz="2" w:space="0" w:color="auto"/>
            </w:tcBorders>
            <w:vAlign w:val="center"/>
          </w:tcPr>
          <w:p w14:paraId="4F195D14"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348%</w:t>
            </w:r>
          </w:p>
        </w:tc>
        <w:tc>
          <w:tcPr>
            <w:tcW w:w="757" w:type="dxa"/>
            <w:tcBorders>
              <w:top w:val="single" w:sz="2" w:space="0" w:color="auto"/>
              <w:bottom w:val="single" w:sz="2" w:space="0" w:color="auto"/>
            </w:tcBorders>
            <w:vAlign w:val="center"/>
          </w:tcPr>
          <w:p w14:paraId="1B14AC4C"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10,1%</w:t>
            </w:r>
          </w:p>
        </w:tc>
      </w:tr>
      <w:tr w:rsidR="00C92C58" w:rsidRPr="00C174D5" w14:paraId="25FFDA6A" w14:textId="77777777" w:rsidTr="00B15A9A">
        <w:trPr>
          <w:trHeight w:val="300"/>
        </w:trPr>
        <w:tc>
          <w:tcPr>
            <w:tcW w:w="994" w:type="dxa"/>
            <w:tcBorders>
              <w:top w:val="single" w:sz="2" w:space="0" w:color="auto"/>
              <w:bottom w:val="single" w:sz="12" w:space="0" w:color="auto"/>
            </w:tcBorders>
            <w:shd w:val="clear" w:color="auto" w:fill="auto"/>
            <w:noWrap/>
            <w:vAlign w:val="center"/>
          </w:tcPr>
          <w:p w14:paraId="63430434"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3371" w:type="dxa"/>
            <w:tcBorders>
              <w:top w:val="single" w:sz="2" w:space="0" w:color="auto"/>
              <w:bottom w:val="single" w:sz="12" w:space="0" w:color="auto"/>
            </w:tcBorders>
            <w:shd w:val="clear" w:color="auto" w:fill="auto"/>
            <w:vAlign w:val="center"/>
          </w:tcPr>
          <w:p w14:paraId="1D0519B5"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61.963.569 (- 4%)</w:t>
            </w:r>
          </w:p>
        </w:tc>
        <w:tc>
          <w:tcPr>
            <w:tcW w:w="1231" w:type="dxa"/>
            <w:tcBorders>
              <w:top w:val="single" w:sz="2" w:space="0" w:color="auto"/>
              <w:bottom w:val="single" w:sz="12" w:space="0" w:color="auto"/>
            </w:tcBorders>
            <w:vAlign w:val="center"/>
          </w:tcPr>
          <w:p w14:paraId="67B804ED"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0</w:t>
            </w:r>
          </w:p>
        </w:tc>
        <w:tc>
          <w:tcPr>
            <w:tcW w:w="753" w:type="dxa"/>
            <w:tcBorders>
              <w:top w:val="single" w:sz="2" w:space="0" w:color="auto"/>
              <w:bottom w:val="single" w:sz="12" w:space="0" w:color="auto"/>
            </w:tcBorders>
            <w:vAlign w:val="center"/>
          </w:tcPr>
          <w:p w14:paraId="19A1DF94"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w:t>
            </w:r>
          </w:p>
        </w:tc>
        <w:tc>
          <w:tcPr>
            <w:tcW w:w="757" w:type="dxa"/>
            <w:tcBorders>
              <w:top w:val="single" w:sz="2" w:space="0" w:color="auto"/>
              <w:bottom w:val="single" w:sz="12" w:space="0" w:color="auto"/>
            </w:tcBorders>
            <w:vAlign w:val="center"/>
          </w:tcPr>
          <w:p w14:paraId="720ADE52"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12%</w:t>
            </w:r>
          </w:p>
        </w:tc>
      </w:tr>
    </w:tbl>
    <w:p w14:paraId="636ADA44" w14:textId="77777777" w:rsidR="00C92C58" w:rsidRPr="00C174D5" w:rsidRDefault="00C92C58" w:rsidP="00C92C58">
      <w:pPr>
        <w:ind w:left="1134" w:right="1134"/>
        <w:jc w:val="center"/>
        <w:rPr>
          <w:sz w:val="18"/>
          <w:lang w:val="es-ES"/>
        </w:rPr>
      </w:pPr>
      <w:r w:rsidRPr="00C174D5">
        <w:rPr>
          <w:sz w:val="18"/>
          <w:lang w:val="es-ES"/>
        </w:rPr>
        <w:br w:type="textWrapping" w:clear="all"/>
        <w:t>Fuente: Elaboración propia en base a información de ENATREL provista por el BID</w:t>
      </w:r>
    </w:p>
    <w:p w14:paraId="154440AB" w14:textId="77777777" w:rsidR="00C92C58" w:rsidRPr="00C174D5" w:rsidRDefault="00C92C58" w:rsidP="00C92C58">
      <w:pPr>
        <w:rPr>
          <w:lang w:val="es-ES"/>
        </w:rPr>
      </w:pPr>
      <w:r w:rsidRPr="00C174D5">
        <w:rPr>
          <w:lang w:val="es-ES"/>
        </w:rPr>
        <w:t xml:space="preserve">En este caso los resultados de la evaluación económica varían según los supuestos utilizados. Al ser la TIRE tan cercana a la tasa social de descuento, variaciones de los supuestos vuelven al proyecto socialmente deseable. Cabe preguntarse entonces cuál debería ser la tasa a la que crecen los beneficios de O&amp;M o cuál debería ser el valor de la inversión para que el proyecto sea deseable desde el punto de vista social. En el primer caso, la respuesta es que los beneficios deberían crecer a una tasa anual del 6,46% (en contraposición a 6,02%, tasa asumida). En el caso de la inversión, ésta </w:t>
      </w:r>
      <w:r w:rsidRPr="00C174D5">
        <w:rPr>
          <w:lang w:val="es-ES"/>
        </w:rPr>
        <w:lastRenderedPageBreak/>
        <w:t xml:space="preserve">debería tomar un valor económico 4% menor al considerado (61.963.569 US$ </w:t>
      </w:r>
      <w:proofErr w:type="spellStart"/>
      <w:r w:rsidRPr="00C174D5">
        <w:rPr>
          <w:lang w:val="es-ES"/>
        </w:rPr>
        <w:t>Ec</w:t>
      </w:r>
      <w:proofErr w:type="spellEnd"/>
      <w:r w:rsidRPr="00C174D5">
        <w:rPr>
          <w:lang w:val="es-ES"/>
        </w:rPr>
        <w:t>). Cabe mencionar que si se tienen en cuenta los beneficios de integración, para que el proyecto sea socialmente deseable (VPNE nulo), estos beneficios deberían ser tan solo 1,05 veces mayores que los de operación (versus el 2,6 estimado).</w:t>
      </w:r>
    </w:p>
    <w:p w14:paraId="76718B0D" w14:textId="77777777" w:rsidR="00C92C58" w:rsidRPr="00C174D5" w:rsidRDefault="00C92C58" w:rsidP="00C92C58">
      <w:pPr>
        <w:pStyle w:val="Heading1"/>
        <w:pageBreakBefore w:val="0"/>
        <w:numPr>
          <w:ilvl w:val="1"/>
          <w:numId w:val="9"/>
        </w:numPr>
        <w:ind w:left="788" w:hanging="431"/>
        <w:rPr>
          <w:lang w:val="es-ES"/>
        </w:rPr>
      </w:pPr>
      <w:bookmarkStart w:id="219" w:name="_Ref447632150"/>
      <w:bookmarkStart w:id="220" w:name="_Toc456353150"/>
      <w:r w:rsidRPr="00C174D5">
        <w:rPr>
          <w:lang w:val="es-ES"/>
        </w:rPr>
        <w:t>Análisis local Aumento Capacidad Líneas 230kv</w:t>
      </w:r>
      <w:bookmarkEnd w:id="219"/>
      <w:bookmarkEnd w:id="220"/>
    </w:p>
    <w:p w14:paraId="7CF074FE" w14:textId="77777777" w:rsidR="00C92C58" w:rsidRDefault="00C92C58" w:rsidP="00C92C58">
      <w:pPr>
        <w:rPr>
          <w:lang w:val="es-ES"/>
        </w:rPr>
      </w:pPr>
      <w:r w:rsidRPr="00C174D5">
        <w:rPr>
          <w:lang w:val="es-ES"/>
        </w:rPr>
        <w:t xml:space="preserve">En este análisis local del proyecto de aumento de capacidad de las líneas de 230kV, y tal como se realizó para la evaluación de los otros proyectos, se plantean dos escenarios. Uno “con” proyecto, en el cual la energía de falla es nula y otro “sin” proyecto en el cual la energía de falla es positiva. En el escenario “sin” proyecto se supone que las fallas corresponden a la salida de dos líneas, la línea Sandino – Aguas Calientes (por sobrecarga de la línea León-Frontera Honduras) y la línea </w:t>
      </w:r>
      <w:proofErr w:type="spellStart"/>
      <w:r w:rsidRPr="00C174D5">
        <w:rPr>
          <w:lang w:val="es-ES"/>
        </w:rPr>
        <w:t>Ticuantepe</w:t>
      </w:r>
      <w:proofErr w:type="spellEnd"/>
      <w:r w:rsidRPr="00C174D5">
        <w:rPr>
          <w:lang w:val="es-ES"/>
        </w:rPr>
        <w:t xml:space="preserve">-Las Colinas (por sobrecarga de la línea </w:t>
      </w:r>
      <w:proofErr w:type="spellStart"/>
      <w:r w:rsidRPr="00C174D5">
        <w:rPr>
          <w:lang w:val="es-ES"/>
        </w:rPr>
        <w:t>Amayo</w:t>
      </w:r>
      <w:proofErr w:type="spellEnd"/>
      <w:r w:rsidRPr="00C174D5">
        <w:rPr>
          <w:lang w:val="es-ES"/>
        </w:rPr>
        <w:t>-Front Costa Rica). Se supone además que, luego de la falla, el sistema no se reestablece. Esta falla en el escenario “sin” proyecto representa el costo que tendría Nicaragua por cumplir los compromisos regionales sin hacer la inversión en aumento de capacidad necesaria para acomodar los 300 MW que se espera se transmitan a lo largo de las líneas.</w:t>
      </w:r>
    </w:p>
    <w:p w14:paraId="2FC53D78" w14:textId="77777777" w:rsidR="00C92C58" w:rsidRPr="00C174D5" w:rsidRDefault="00C92C58" w:rsidP="00C92C58">
      <w:pPr>
        <w:rPr>
          <w:lang w:val="es-ES"/>
        </w:rPr>
      </w:pPr>
      <w:r>
        <w:rPr>
          <w:lang w:val="es-ES"/>
        </w:rPr>
        <w:t xml:space="preserve">En este análisis local se supone una demanda que parte de un valor de 706 MW en el año 2016, para llegar a un valor de 2.335 MW en 2043, implicando un crecimiento promedio anual de 4,5%. </w:t>
      </w:r>
    </w:p>
    <w:p w14:paraId="3CD3EE8C" w14:textId="77777777" w:rsidR="00C92C58" w:rsidRPr="00C174D5" w:rsidRDefault="00C92C58" w:rsidP="00C92C58">
      <w:pPr>
        <w:pStyle w:val="Heading1"/>
        <w:pageBreakBefore w:val="0"/>
        <w:numPr>
          <w:ilvl w:val="2"/>
          <w:numId w:val="9"/>
        </w:numPr>
        <w:rPr>
          <w:lang w:val="es-ES"/>
        </w:rPr>
      </w:pPr>
      <w:bookmarkStart w:id="221" w:name="_Toc447546956"/>
      <w:bookmarkStart w:id="222" w:name="_Toc456353151"/>
      <w:r w:rsidRPr="00C174D5">
        <w:rPr>
          <w:lang w:val="es-ES"/>
        </w:rPr>
        <w:t>Análisis local Aumento capacidad líneas 230kV - Supuestos</w:t>
      </w:r>
      <w:bookmarkEnd w:id="221"/>
      <w:bookmarkEnd w:id="222"/>
    </w:p>
    <w:p w14:paraId="2973556A" w14:textId="77777777" w:rsidR="00C92C58" w:rsidRPr="00C174D5" w:rsidRDefault="00C92C58" w:rsidP="00C92C58">
      <w:pPr>
        <w:rPr>
          <w:lang w:val="es-ES"/>
        </w:rPr>
      </w:pPr>
      <w:r w:rsidRPr="00C174D5">
        <w:rPr>
          <w:lang w:val="es-ES"/>
        </w:rPr>
        <w:t xml:space="preserve">La </w:t>
      </w:r>
      <w:r w:rsidRPr="00C174D5">
        <w:rPr>
          <w:lang w:val="es-ES"/>
        </w:rPr>
        <w:fldChar w:fldCharType="begin"/>
      </w:r>
      <w:r w:rsidRPr="00C174D5">
        <w:rPr>
          <w:lang w:val="es-ES"/>
        </w:rPr>
        <w:instrText xml:space="preserve"> REF _Ref447631986 \h  \* MERGEFORMAT </w:instrText>
      </w:r>
      <w:r w:rsidRPr="00C174D5">
        <w:rPr>
          <w:lang w:val="es-ES"/>
        </w:rPr>
      </w:r>
      <w:r w:rsidRPr="00C174D5">
        <w:rPr>
          <w:lang w:val="es-ES"/>
        </w:rPr>
        <w:fldChar w:fldCharType="separate"/>
      </w:r>
      <w:r w:rsidRPr="0001212E">
        <w:rPr>
          <w:b/>
          <w:lang w:val="es-ES"/>
        </w:rPr>
        <w:t>Tabla 44</w:t>
      </w:r>
      <w:r w:rsidRPr="00C174D5">
        <w:rPr>
          <w:lang w:val="es-ES"/>
        </w:rPr>
        <w:fldChar w:fldCharType="end"/>
      </w:r>
      <w:r w:rsidRPr="00C174D5">
        <w:rPr>
          <w:lang w:val="es-ES"/>
        </w:rPr>
        <w:t xml:space="preserve"> </w:t>
      </w:r>
      <w:r w:rsidRPr="00C174D5">
        <w:rPr>
          <w:lang w:val="es-ES"/>
        </w:rPr>
        <w:fldChar w:fldCharType="begin" w:fldLock="1"/>
      </w:r>
      <w:r w:rsidRPr="00C174D5">
        <w:rPr>
          <w:lang w:val="es-ES"/>
        </w:rPr>
        <w:instrText xml:space="preserve"> REF _Ref429153471 \h  \* MERGEFORMAT </w:instrText>
      </w:r>
      <w:r w:rsidRPr="00C174D5">
        <w:rPr>
          <w:lang w:val="es-ES"/>
        </w:rPr>
      </w:r>
      <w:r w:rsidRPr="00C174D5">
        <w:rPr>
          <w:lang w:val="es-ES"/>
        </w:rPr>
        <w:fldChar w:fldCharType="end"/>
      </w:r>
      <w:r w:rsidRPr="00C174D5">
        <w:rPr>
          <w:lang w:val="es-ES"/>
        </w:rPr>
        <w:t xml:space="preserve">detalla los supuestos utilizados (además de los consignados en la </w:t>
      </w:r>
      <w:r w:rsidRPr="00C174D5">
        <w:rPr>
          <w:lang w:val="es-ES"/>
        </w:rPr>
        <w:fldChar w:fldCharType="begin"/>
      </w:r>
      <w:r w:rsidRPr="00C174D5">
        <w:rPr>
          <w:lang w:val="es-ES"/>
        </w:rPr>
        <w:instrText xml:space="preserve"> REF _Ref450036258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3</w:t>
      </w:r>
      <w:r w:rsidRPr="00C174D5">
        <w:rPr>
          <w:lang w:val="es-ES"/>
        </w:rPr>
        <w:fldChar w:fldCharType="end"/>
      </w:r>
      <w:r w:rsidRPr="00C174D5">
        <w:rPr>
          <w:lang w:val="es-ES"/>
        </w:rPr>
        <w:t xml:space="preserve"> y la </w:t>
      </w:r>
      <w:r w:rsidRPr="00C174D5">
        <w:rPr>
          <w:lang w:val="es-ES"/>
        </w:rPr>
        <w:fldChar w:fldCharType="begin"/>
      </w:r>
      <w:r w:rsidRPr="00C174D5">
        <w:rPr>
          <w:lang w:val="es-ES"/>
        </w:rPr>
        <w:instrText xml:space="preserve"> REF _Ref450036242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4</w:t>
      </w:r>
      <w:r w:rsidRPr="00C174D5">
        <w:rPr>
          <w:lang w:val="es-ES"/>
        </w:rPr>
        <w:fldChar w:fldCharType="end"/>
      </w:r>
      <w:r w:rsidRPr="00C174D5">
        <w:rPr>
          <w:lang w:val="es-ES"/>
        </w:rPr>
        <w:t>) en la valuación de este proyecto.</w:t>
      </w:r>
    </w:p>
    <w:p w14:paraId="48A09435" w14:textId="77777777" w:rsidR="00C92C58" w:rsidRPr="00C174D5" w:rsidRDefault="00C92C58" w:rsidP="00C92C58">
      <w:pPr>
        <w:keepNext/>
        <w:keepLines/>
        <w:spacing w:after="120"/>
        <w:jc w:val="center"/>
        <w:rPr>
          <w:b/>
          <w:sz w:val="20"/>
          <w:lang w:val="es-ES"/>
        </w:rPr>
      </w:pPr>
      <w:bookmarkStart w:id="223" w:name="_Ref447631986"/>
      <w:bookmarkStart w:id="224" w:name="_Toc447546994"/>
      <w:bookmarkStart w:id="225" w:name="_Toc456353200"/>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44</w:t>
      </w:r>
      <w:r w:rsidRPr="00C174D5">
        <w:rPr>
          <w:b/>
          <w:sz w:val="20"/>
          <w:lang w:val="es-ES"/>
        </w:rPr>
        <w:fldChar w:fldCharType="end"/>
      </w:r>
      <w:bookmarkEnd w:id="223"/>
      <w:r w:rsidRPr="00C174D5">
        <w:rPr>
          <w:b/>
          <w:sz w:val="20"/>
          <w:lang w:val="es-ES"/>
        </w:rPr>
        <w:t>: Supuestos de modelización particulares – Aumento capacidad líneas 230kV</w:t>
      </w:r>
      <w:bookmarkEnd w:id="224"/>
      <w:bookmarkEnd w:id="225"/>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55"/>
        <w:gridCol w:w="1202"/>
      </w:tblGrid>
      <w:tr w:rsidR="00C92C58" w:rsidRPr="00C174D5" w14:paraId="063A9D9B" w14:textId="77777777" w:rsidTr="00B15A9A">
        <w:trPr>
          <w:tblHeader/>
          <w:jc w:val="center"/>
        </w:trPr>
        <w:tc>
          <w:tcPr>
            <w:tcW w:w="4855" w:type="dxa"/>
            <w:tcBorders>
              <w:top w:val="single" w:sz="12" w:space="0" w:color="auto"/>
              <w:bottom w:val="single" w:sz="12" w:space="0" w:color="auto"/>
            </w:tcBorders>
            <w:shd w:val="clear" w:color="auto" w:fill="BFBFBF" w:themeFill="background1" w:themeFillShade="BF"/>
            <w:vAlign w:val="center"/>
          </w:tcPr>
          <w:p w14:paraId="536280C8" w14:textId="77777777" w:rsidR="00C92C58" w:rsidRPr="00C174D5" w:rsidRDefault="00C92C58" w:rsidP="00B15A9A">
            <w:pPr>
              <w:spacing w:after="0" w:line="240" w:lineRule="auto"/>
              <w:jc w:val="left"/>
              <w:rPr>
                <w:b/>
                <w:sz w:val="20"/>
                <w:szCs w:val="20"/>
                <w:lang w:val="es-ES"/>
              </w:rPr>
            </w:pPr>
            <w:r w:rsidRPr="00C174D5">
              <w:rPr>
                <w:b/>
                <w:sz w:val="20"/>
                <w:szCs w:val="20"/>
                <w:lang w:val="es-ES"/>
              </w:rPr>
              <w:t>Parámetros</w:t>
            </w:r>
          </w:p>
        </w:tc>
        <w:tc>
          <w:tcPr>
            <w:tcW w:w="1202" w:type="dxa"/>
            <w:tcBorders>
              <w:top w:val="single" w:sz="12" w:space="0" w:color="auto"/>
              <w:bottom w:val="single" w:sz="12" w:space="0" w:color="auto"/>
            </w:tcBorders>
            <w:shd w:val="clear" w:color="auto" w:fill="BFBFBF" w:themeFill="background1" w:themeFillShade="BF"/>
            <w:vAlign w:val="center"/>
          </w:tcPr>
          <w:p w14:paraId="04F35619" w14:textId="77777777" w:rsidR="00C92C58" w:rsidRPr="00C174D5" w:rsidRDefault="00C92C58" w:rsidP="00B15A9A">
            <w:pPr>
              <w:spacing w:after="0" w:line="240" w:lineRule="auto"/>
              <w:jc w:val="center"/>
              <w:rPr>
                <w:b/>
                <w:sz w:val="20"/>
                <w:szCs w:val="20"/>
                <w:lang w:val="es-ES"/>
              </w:rPr>
            </w:pPr>
            <w:r w:rsidRPr="00C174D5">
              <w:rPr>
                <w:b/>
                <w:sz w:val="20"/>
                <w:szCs w:val="20"/>
                <w:lang w:val="es-ES"/>
              </w:rPr>
              <w:t>Valor</w:t>
            </w:r>
          </w:p>
        </w:tc>
      </w:tr>
      <w:tr w:rsidR="00C92C58" w:rsidRPr="00C174D5" w14:paraId="185D19D1" w14:textId="77777777" w:rsidTr="00B15A9A">
        <w:trPr>
          <w:jc w:val="center"/>
        </w:trPr>
        <w:tc>
          <w:tcPr>
            <w:tcW w:w="6057" w:type="dxa"/>
            <w:gridSpan w:val="2"/>
            <w:tcBorders>
              <w:top w:val="single" w:sz="12" w:space="0" w:color="auto"/>
            </w:tcBorders>
            <w:shd w:val="clear" w:color="auto" w:fill="auto"/>
            <w:vAlign w:val="center"/>
          </w:tcPr>
          <w:p w14:paraId="11BCF058" w14:textId="77777777" w:rsidR="00C92C58" w:rsidRPr="00C174D5" w:rsidRDefault="00C92C58" w:rsidP="00B15A9A">
            <w:pPr>
              <w:spacing w:after="0" w:line="240" w:lineRule="auto"/>
              <w:jc w:val="center"/>
              <w:rPr>
                <w:sz w:val="20"/>
                <w:szCs w:val="20"/>
                <w:lang w:val="es-ES"/>
              </w:rPr>
            </w:pPr>
            <w:r w:rsidRPr="00C174D5">
              <w:rPr>
                <w:b/>
                <w:sz w:val="20"/>
                <w:szCs w:val="20"/>
                <w:lang w:val="es-ES"/>
              </w:rPr>
              <w:t>Económicos</w:t>
            </w:r>
          </w:p>
        </w:tc>
      </w:tr>
      <w:tr w:rsidR="00C92C58" w:rsidRPr="00C174D5" w14:paraId="7E7C4E0F" w14:textId="77777777" w:rsidTr="00B15A9A">
        <w:trPr>
          <w:jc w:val="center"/>
        </w:trPr>
        <w:tc>
          <w:tcPr>
            <w:tcW w:w="4855" w:type="dxa"/>
            <w:shd w:val="clear" w:color="auto" w:fill="auto"/>
            <w:vAlign w:val="center"/>
          </w:tcPr>
          <w:p w14:paraId="46B42318" w14:textId="77777777" w:rsidR="00C92C58" w:rsidRPr="00C174D5" w:rsidRDefault="00C92C58" w:rsidP="00B15A9A">
            <w:pPr>
              <w:spacing w:after="0" w:line="240" w:lineRule="auto"/>
              <w:jc w:val="left"/>
              <w:rPr>
                <w:sz w:val="20"/>
                <w:szCs w:val="20"/>
                <w:lang w:val="es-ES"/>
              </w:rPr>
            </w:pPr>
            <w:r w:rsidRPr="00C174D5">
              <w:rPr>
                <w:sz w:val="20"/>
                <w:szCs w:val="20"/>
                <w:lang w:val="es-ES"/>
              </w:rPr>
              <w:t>Inversión</w:t>
            </w:r>
          </w:p>
        </w:tc>
        <w:tc>
          <w:tcPr>
            <w:tcW w:w="1202" w:type="dxa"/>
            <w:shd w:val="clear" w:color="auto" w:fill="auto"/>
            <w:vAlign w:val="center"/>
          </w:tcPr>
          <w:p w14:paraId="07B32417" w14:textId="77777777" w:rsidR="00C92C58" w:rsidRPr="00C174D5" w:rsidRDefault="00C92C58" w:rsidP="00B15A9A">
            <w:pPr>
              <w:spacing w:after="0" w:line="240" w:lineRule="auto"/>
              <w:jc w:val="center"/>
              <w:rPr>
                <w:sz w:val="20"/>
                <w:szCs w:val="20"/>
                <w:lang w:val="es-ES"/>
              </w:rPr>
            </w:pPr>
            <w:r w:rsidRPr="00C174D5">
              <w:rPr>
                <w:sz w:val="20"/>
                <w:szCs w:val="20"/>
                <w:lang w:val="es-ES"/>
              </w:rPr>
              <w:t>13.096.758</w:t>
            </w:r>
          </w:p>
        </w:tc>
      </w:tr>
      <w:tr w:rsidR="00C92C58" w:rsidRPr="00C174D5" w14:paraId="793EE497" w14:textId="77777777" w:rsidTr="00B15A9A">
        <w:trPr>
          <w:jc w:val="center"/>
        </w:trPr>
        <w:tc>
          <w:tcPr>
            <w:tcW w:w="6057" w:type="dxa"/>
            <w:gridSpan w:val="2"/>
            <w:shd w:val="clear" w:color="auto" w:fill="auto"/>
            <w:vAlign w:val="center"/>
          </w:tcPr>
          <w:p w14:paraId="01CB8F23" w14:textId="77777777" w:rsidR="00C92C58" w:rsidRPr="00C174D5" w:rsidRDefault="00C92C58" w:rsidP="00B15A9A">
            <w:pPr>
              <w:spacing w:after="0" w:line="240" w:lineRule="auto"/>
              <w:jc w:val="center"/>
              <w:rPr>
                <w:sz w:val="20"/>
                <w:szCs w:val="20"/>
                <w:lang w:val="es-ES"/>
              </w:rPr>
            </w:pPr>
            <w:r w:rsidRPr="00C174D5">
              <w:rPr>
                <w:b/>
                <w:sz w:val="20"/>
                <w:szCs w:val="20"/>
                <w:lang w:val="es-ES"/>
              </w:rPr>
              <w:t>Técnicos</w:t>
            </w:r>
          </w:p>
        </w:tc>
      </w:tr>
      <w:tr w:rsidR="00C92C58" w:rsidRPr="00C174D5" w14:paraId="73E6146F" w14:textId="77777777" w:rsidTr="00B15A9A">
        <w:trPr>
          <w:jc w:val="center"/>
        </w:trPr>
        <w:tc>
          <w:tcPr>
            <w:tcW w:w="4855" w:type="dxa"/>
            <w:shd w:val="clear" w:color="auto" w:fill="auto"/>
          </w:tcPr>
          <w:p w14:paraId="7CD45B82" w14:textId="77777777" w:rsidR="00C92C58" w:rsidRPr="00C174D5" w:rsidRDefault="00C92C58" w:rsidP="00B15A9A">
            <w:pPr>
              <w:spacing w:after="0" w:line="240" w:lineRule="auto"/>
              <w:jc w:val="left"/>
              <w:rPr>
                <w:sz w:val="20"/>
                <w:szCs w:val="20"/>
                <w:lang w:val="es-ES"/>
              </w:rPr>
            </w:pPr>
            <w:r w:rsidRPr="00C174D5">
              <w:rPr>
                <w:sz w:val="20"/>
                <w:szCs w:val="20"/>
                <w:lang w:val="es-ES"/>
              </w:rPr>
              <w:t xml:space="preserve">Pérdidas transmisión 138 y 230 </w:t>
            </w:r>
            <w:proofErr w:type="spellStart"/>
            <w:r w:rsidRPr="00C174D5">
              <w:rPr>
                <w:sz w:val="20"/>
                <w:szCs w:val="20"/>
                <w:lang w:val="es-ES"/>
              </w:rPr>
              <w:t>kV</w:t>
            </w:r>
            <w:proofErr w:type="spellEnd"/>
          </w:p>
        </w:tc>
        <w:tc>
          <w:tcPr>
            <w:tcW w:w="1202" w:type="dxa"/>
            <w:shd w:val="clear" w:color="auto" w:fill="auto"/>
          </w:tcPr>
          <w:p w14:paraId="79C77525" w14:textId="77777777" w:rsidR="00C92C58" w:rsidRPr="00C174D5" w:rsidRDefault="00C92C58" w:rsidP="00B15A9A">
            <w:pPr>
              <w:spacing w:after="0" w:line="240" w:lineRule="auto"/>
              <w:jc w:val="center"/>
              <w:rPr>
                <w:sz w:val="20"/>
                <w:szCs w:val="20"/>
                <w:lang w:val="es-ES"/>
              </w:rPr>
            </w:pPr>
            <w:r w:rsidRPr="00C174D5">
              <w:rPr>
                <w:sz w:val="20"/>
                <w:szCs w:val="20"/>
                <w:lang w:val="es-ES"/>
              </w:rPr>
              <w:t>2,64%</w:t>
            </w:r>
          </w:p>
        </w:tc>
      </w:tr>
      <w:tr w:rsidR="00C92C58" w:rsidRPr="00C174D5" w14:paraId="40D541AC" w14:textId="77777777" w:rsidTr="00B15A9A">
        <w:trPr>
          <w:jc w:val="center"/>
        </w:trPr>
        <w:tc>
          <w:tcPr>
            <w:tcW w:w="4855" w:type="dxa"/>
            <w:shd w:val="clear" w:color="auto" w:fill="auto"/>
            <w:vAlign w:val="center"/>
          </w:tcPr>
          <w:p w14:paraId="5CAADA3D" w14:textId="77777777" w:rsidR="00C92C58" w:rsidRPr="00C174D5" w:rsidRDefault="00C92C58" w:rsidP="00B15A9A">
            <w:pPr>
              <w:spacing w:after="0" w:line="240" w:lineRule="auto"/>
              <w:jc w:val="left"/>
              <w:rPr>
                <w:sz w:val="20"/>
                <w:szCs w:val="20"/>
                <w:lang w:val="es-ES"/>
              </w:rPr>
            </w:pPr>
            <w:r w:rsidRPr="00C174D5">
              <w:rPr>
                <w:sz w:val="20"/>
                <w:szCs w:val="20"/>
                <w:lang w:val="es-ES"/>
              </w:rPr>
              <w:t xml:space="preserve">Probabilidad de Falla - Sin proyecto (línea 230 </w:t>
            </w:r>
            <w:proofErr w:type="spellStart"/>
            <w:r w:rsidRPr="00C174D5">
              <w:rPr>
                <w:sz w:val="20"/>
                <w:szCs w:val="20"/>
                <w:lang w:val="es-ES"/>
              </w:rPr>
              <w:t>kV</w:t>
            </w:r>
            <w:proofErr w:type="spellEnd"/>
            <w:r w:rsidRPr="00C174D5">
              <w:rPr>
                <w:sz w:val="20"/>
                <w:szCs w:val="20"/>
                <w:lang w:val="es-ES"/>
              </w:rPr>
              <w:t>)</w:t>
            </w:r>
          </w:p>
        </w:tc>
        <w:tc>
          <w:tcPr>
            <w:tcW w:w="1202" w:type="dxa"/>
            <w:shd w:val="clear" w:color="auto" w:fill="auto"/>
            <w:vAlign w:val="bottom"/>
          </w:tcPr>
          <w:p w14:paraId="21833000" w14:textId="77777777" w:rsidR="00C92C58" w:rsidRPr="00C174D5" w:rsidRDefault="00C92C58" w:rsidP="00B15A9A">
            <w:pPr>
              <w:spacing w:after="0" w:line="240" w:lineRule="auto"/>
              <w:jc w:val="center"/>
              <w:rPr>
                <w:sz w:val="20"/>
                <w:szCs w:val="20"/>
                <w:lang w:val="es-ES"/>
              </w:rPr>
            </w:pPr>
            <w:r w:rsidRPr="00C174D5">
              <w:rPr>
                <w:sz w:val="20"/>
                <w:szCs w:val="20"/>
                <w:lang w:val="es-ES"/>
              </w:rPr>
              <w:t>0,007842%</w:t>
            </w:r>
          </w:p>
        </w:tc>
      </w:tr>
      <w:tr w:rsidR="00C92C58" w:rsidRPr="00C174D5" w14:paraId="0B3D2B9B" w14:textId="77777777" w:rsidTr="00B15A9A">
        <w:trPr>
          <w:jc w:val="center"/>
        </w:trPr>
        <w:tc>
          <w:tcPr>
            <w:tcW w:w="6057" w:type="dxa"/>
            <w:gridSpan w:val="2"/>
            <w:shd w:val="clear" w:color="auto" w:fill="auto"/>
            <w:vAlign w:val="bottom"/>
          </w:tcPr>
          <w:p w14:paraId="50453CE0" w14:textId="77777777" w:rsidR="00C92C58" w:rsidRPr="00C174D5" w:rsidRDefault="00C92C58" w:rsidP="00B15A9A">
            <w:pPr>
              <w:spacing w:after="0" w:line="240" w:lineRule="auto"/>
              <w:jc w:val="center"/>
              <w:rPr>
                <w:sz w:val="20"/>
                <w:szCs w:val="20"/>
                <w:lang w:val="es-ES"/>
              </w:rPr>
            </w:pPr>
            <w:r w:rsidRPr="00C174D5">
              <w:rPr>
                <w:b/>
                <w:sz w:val="20"/>
                <w:szCs w:val="20"/>
                <w:lang w:val="es-ES"/>
              </w:rPr>
              <w:t>De mercado</w:t>
            </w:r>
          </w:p>
        </w:tc>
      </w:tr>
      <w:tr w:rsidR="00C92C58" w:rsidRPr="00C174D5" w14:paraId="78A2B83E" w14:textId="77777777" w:rsidTr="00B15A9A">
        <w:trPr>
          <w:trHeight w:val="222"/>
          <w:jc w:val="center"/>
        </w:trPr>
        <w:tc>
          <w:tcPr>
            <w:tcW w:w="4855" w:type="dxa"/>
            <w:shd w:val="clear" w:color="auto" w:fill="auto"/>
          </w:tcPr>
          <w:p w14:paraId="44BE7EB3" w14:textId="77777777" w:rsidR="00C92C58" w:rsidRPr="00C174D5" w:rsidRDefault="00C92C58" w:rsidP="00B15A9A">
            <w:pPr>
              <w:spacing w:after="0" w:line="240" w:lineRule="auto"/>
              <w:jc w:val="left"/>
              <w:rPr>
                <w:sz w:val="20"/>
                <w:szCs w:val="20"/>
                <w:lang w:val="es-ES"/>
              </w:rPr>
            </w:pPr>
            <w:r w:rsidRPr="00C174D5">
              <w:rPr>
                <w:sz w:val="20"/>
                <w:szCs w:val="20"/>
                <w:lang w:val="es-ES"/>
              </w:rPr>
              <w:t>Factor de carga promedio anual</w:t>
            </w:r>
          </w:p>
        </w:tc>
        <w:tc>
          <w:tcPr>
            <w:tcW w:w="1202" w:type="dxa"/>
            <w:shd w:val="clear" w:color="auto" w:fill="auto"/>
          </w:tcPr>
          <w:p w14:paraId="5B0F6501" w14:textId="77777777" w:rsidR="00C92C58" w:rsidRPr="00C174D5" w:rsidRDefault="00C92C58" w:rsidP="00B15A9A">
            <w:pPr>
              <w:spacing w:after="0" w:line="240" w:lineRule="auto"/>
              <w:jc w:val="center"/>
              <w:rPr>
                <w:sz w:val="20"/>
                <w:szCs w:val="20"/>
                <w:lang w:val="es-ES"/>
              </w:rPr>
            </w:pPr>
            <w:r w:rsidRPr="00C174D5">
              <w:rPr>
                <w:sz w:val="20"/>
                <w:szCs w:val="20"/>
                <w:lang w:val="es-ES"/>
              </w:rPr>
              <w:t>70,45%</w:t>
            </w:r>
          </w:p>
        </w:tc>
      </w:tr>
    </w:tbl>
    <w:p w14:paraId="15831D69" w14:textId="77777777" w:rsidR="00C92C58" w:rsidRPr="00C174D5" w:rsidRDefault="00C92C58" w:rsidP="00C92C58">
      <w:pPr>
        <w:ind w:left="1276" w:right="1275"/>
        <w:jc w:val="center"/>
        <w:rPr>
          <w:sz w:val="18"/>
          <w:lang w:val="es-ES"/>
        </w:rPr>
      </w:pPr>
      <w:r w:rsidRPr="00C174D5">
        <w:rPr>
          <w:sz w:val="18"/>
          <w:lang w:val="es-ES"/>
        </w:rPr>
        <w:t>Fuente: Elaboración propia en base a información de ENATREL provista por el BID</w:t>
      </w:r>
    </w:p>
    <w:p w14:paraId="620BF46C" w14:textId="77777777" w:rsidR="00C92C58" w:rsidRPr="00C174D5" w:rsidRDefault="00C92C58" w:rsidP="00C92C58">
      <w:pPr>
        <w:rPr>
          <w:lang w:val="es-ES"/>
        </w:rPr>
      </w:pPr>
      <w:r w:rsidRPr="00C174D5">
        <w:rPr>
          <w:lang w:val="es-ES"/>
        </w:rPr>
        <w:t xml:space="preserve">En la sección </w:t>
      </w:r>
      <w:r w:rsidRPr="00C174D5">
        <w:rPr>
          <w:lang w:val="es-ES"/>
        </w:rPr>
        <w:fldChar w:fldCharType="begin"/>
      </w:r>
      <w:r w:rsidRPr="00C174D5">
        <w:rPr>
          <w:lang w:val="es-ES"/>
        </w:rPr>
        <w:instrText xml:space="preserve"> REF _Ref447631581 \r \h  \* MERGEFORMAT </w:instrText>
      </w:r>
      <w:r w:rsidRPr="00C174D5">
        <w:rPr>
          <w:lang w:val="es-ES"/>
        </w:rPr>
      </w:r>
      <w:r w:rsidRPr="00C174D5">
        <w:rPr>
          <w:lang w:val="es-ES"/>
        </w:rPr>
        <w:fldChar w:fldCharType="separate"/>
      </w:r>
      <w:r>
        <w:rPr>
          <w:lang w:val="es-ES"/>
        </w:rPr>
        <w:t>4.2.2</w:t>
      </w:r>
      <w:r w:rsidRPr="00C174D5">
        <w:rPr>
          <w:lang w:val="es-ES"/>
        </w:rPr>
        <w:fldChar w:fldCharType="end"/>
      </w:r>
      <w:r w:rsidRPr="00C174D5">
        <w:rPr>
          <w:lang w:val="es-ES"/>
        </w:rPr>
        <w:t xml:space="preserve"> se presentan los resultados de la evaluación de este proyecto. </w:t>
      </w:r>
    </w:p>
    <w:p w14:paraId="7FACC4AC" w14:textId="77777777" w:rsidR="00C92C58" w:rsidRPr="00C174D5" w:rsidRDefault="00C92C58" w:rsidP="00C92C58">
      <w:pPr>
        <w:pStyle w:val="Heading1"/>
        <w:pageBreakBefore w:val="0"/>
        <w:numPr>
          <w:ilvl w:val="2"/>
          <w:numId w:val="9"/>
        </w:numPr>
        <w:rPr>
          <w:lang w:val="es-ES"/>
        </w:rPr>
      </w:pPr>
      <w:bookmarkStart w:id="226" w:name="_Toc447546957"/>
      <w:bookmarkStart w:id="227" w:name="_Ref447631581"/>
      <w:bookmarkStart w:id="228" w:name="_Toc456353152"/>
      <w:bookmarkStart w:id="229" w:name="_Ref427220134"/>
      <w:r w:rsidRPr="00C174D5">
        <w:rPr>
          <w:lang w:val="es-ES"/>
        </w:rPr>
        <w:lastRenderedPageBreak/>
        <w:t>Análisis local Aumento capacidad líneas 230kV – Evaluación</w:t>
      </w:r>
      <w:bookmarkEnd w:id="226"/>
      <w:bookmarkEnd w:id="227"/>
      <w:bookmarkEnd w:id="228"/>
      <w:r w:rsidRPr="00C174D5">
        <w:rPr>
          <w:lang w:val="es-ES"/>
        </w:rPr>
        <w:t xml:space="preserve"> </w:t>
      </w:r>
      <w:bookmarkEnd w:id="229"/>
    </w:p>
    <w:p w14:paraId="2201FAD7" w14:textId="77777777" w:rsidR="00C92C58" w:rsidRPr="00C174D5" w:rsidRDefault="00C92C58" w:rsidP="00C92C58">
      <w:pPr>
        <w:rPr>
          <w:szCs w:val="20"/>
          <w:lang w:val="es-ES"/>
        </w:rPr>
      </w:pPr>
      <w:r w:rsidRPr="00C174D5">
        <w:rPr>
          <w:lang w:val="es-ES"/>
        </w:rPr>
        <w:t>Los beneficios económicos de este proyecto están compuestos por la disminución de la energía de falla (neta de costos) y los costos por la inversión y los costos de operación y mantenimiento asociados a la misma, y por las pérdidas en presencia del proyecto</w:t>
      </w:r>
      <w:r w:rsidRPr="00C174D5">
        <w:rPr>
          <w:rStyle w:val="FootnoteReference"/>
          <w:lang w:val="es-ES"/>
        </w:rPr>
        <w:footnoteReference w:id="60"/>
      </w:r>
      <w:r w:rsidRPr="00C174D5">
        <w:rPr>
          <w:lang w:val="es-ES"/>
        </w:rPr>
        <w:t xml:space="preserve">, todos ajustados por los respectivos FC. </w:t>
      </w:r>
      <w:r w:rsidRPr="00C174D5">
        <w:rPr>
          <w:szCs w:val="20"/>
          <w:lang w:val="es-ES"/>
        </w:rPr>
        <w:t xml:space="preserve">Los resultados de la evaluación económica se presentan en la </w:t>
      </w:r>
      <w:r w:rsidRPr="00C174D5">
        <w:rPr>
          <w:szCs w:val="20"/>
          <w:lang w:val="es-ES"/>
        </w:rPr>
        <w:fldChar w:fldCharType="begin"/>
      </w:r>
      <w:r w:rsidRPr="00C174D5">
        <w:rPr>
          <w:szCs w:val="20"/>
          <w:lang w:val="es-ES"/>
        </w:rPr>
        <w:instrText xml:space="preserve"> REF _Ref447632023 \h </w:instrText>
      </w:r>
      <w:r w:rsidRPr="00C174D5">
        <w:rPr>
          <w:szCs w:val="20"/>
          <w:lang w:val="es-ES"/>
        </w:rPr>
      </w:r>
      <w:r w:rsidRPr="00C174D5">
        <w:rPr>
          <w:szCs w:val="20"/>
          <w:lang w:val="es-ES"/>
        </w:rPr>
        <w:fldChar w:fldCharType="separate"/>
      </w:r>
      <w:r w:rsidRPr="00C174D5">
        <w:rPr>
          <w:b/>
          <w:sz w:val="20"/>
          <w:lang w:val="es-ES"/>
        </w:rPr>
        <w:t xml:space="preserve">Tabla </w:t>
      </w:r>
      <w:r>
        <w:rPr>
          <w:b/>
          <w:noProof/>
          <w:sz w:val="20"/>
          <w:lang w:val="es-ES"/>
        </w:rPr>
        <w:t>45</w:t>
      </w:r>
      <w:r w:rsidRPr="00C174D5">
        <w:rPr>
          <w:szCs w:val="20"/>
          <w:lang w:val="es-ES"/>
        </w:rPr>
        <w:fldChar w:fldCharType="end"/>
      </w:r>
      <w:r w:rsidRPr="00C174D5">
        <w:rPr>
          <w:szCs w:val="20"/>
          <w:lang w:val="es-ES"/>
        </w:rPr>
        <w:t>.</w:t>
      </w:r>
    </w:p>
    <w:p w14:paraId="4100C36D" w14:textId="77777777" w:rsidR="00C92C58" w:rsidRPr="00C174D5" w:rsidRDefault="00C92C58" w:rsidP="00C92C58">
      <w:pPr>
        <w:keepNext/>
        <w:keepLines/>
        <w:spacing w:after="120"/>
        <w:jc w:val="center"/>
        <w:rPr>
          <w:b/>
          <w:sz w:val="20"/>
          <w:lang w:val="es-ES"/>
        </w:rPr>
      </w:pPr>
      <w:bookmarkStart w:id="230" w:name="_Ref447632023"/>
      <w:bookmarkStart w:id="231" w:name="_Toc447546995"/>
      <w:bookmarkStart w:id="232" w:name="_Toc456353201"/>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45</w:t>
      </w:r>
      <w:r w:rsidRPr="00C174D5">
        <w:rPr>
          <w:b/>
          <w:sz w:val="20"/>
          <w:lang w:val="es-ES"/>
        </w:rPr>
        <w:fldChar w:fldCharType="end"/>
      </w:r>
      <w:bookmarkEnd w:id="230"/>
      <w:r w:rsidRPr="00C174D5">
        <w:rPr>
          <w:b/>
          <w:sz w:val="20"/>
          <w:lang w:val="es-ES"/>
        </w:rPr>
        <w:t>: Resultados evaluación económica – Aumento capacidad líneas 230kV</w:t>
      </w:r>
      <w:bookmarkEnd w:id="231"/>
      <w:bookmarkEnd w:id="232"/>
    </w:p>
    <w:tbl>
      <w:tblPr>
        <w:tblW w:w="0" w:type="auto"/>
        <w:jc w:val="center"/>
        <w:tblInd w:w="2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987"/>
        <w:gridCol w:w="1414"/>
        <w:gridCol w:w="1218"/>
        <w:gridCol w:w="1525"/>
        <w:gridCol w:w="1512"/>
        <w:gridCol w:w="847"/>
      </w:tblGrid>
      <w:tr w:rsidR="00C92C58" w:rsidRPr="00C174D5" w14:paraId="5E10AF64" w14:textId="77777777" w:rsidTr="00B15A9A">
        <w:trPr>
          <w:trHeight w:val="35"/>
          <w:jc w:val="center"/>
        </w:trPr>
        <w:tc>
          <w:tcPr>
            <w:tcW w:w="1987"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555604B6" w14:textId="77777777" w:rsidR="00C92C58" w:rsidRPr="00C174D5" w:rsidRDefault="00C92C58" w:rsidP="00B15A9A">
            <w:pPr>
              <w:keepNext/>
              <w:keepLines/>
              <w:spacing w:after="0"/>
              <w:jc w:val="center"/>
              <w:rPr>
                <w:b/>
                <w:sz w:val="20"/>
                <w:lang w:val="es-ES"/>
              </w:rPr>
            </w:pPr>
          </w:p>
        </w:tc>
        <w:tc>
          <w:tcPr>
            <w:tcW w:w="1414"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5FFFAB55" w14:textId="77777777" w:rsidR="00C92C58" w:rsidRPr="00C174D5" w:rsidRDefault="00C92C58" w:rsidP="00B15A9A">
            <w:pPr>
              <w:keepNext/>
              <w:keepLines/>
              <w:spacing w:after="0"/>
              <w:jc w:val="center"/>
              <w:rPr>
                <w:b/>
                <w:sz w:val="20"/>
                <w:lang w:val="es-ES"/>
              </w:rPr>
            </w:pPr>
            <w:r w:rsidRPr="00C174D5">
              <w:rPr>
                <w:b/>
                <w:bCs/>
                <w:sz w:val="20"/>
                <w:lang w:val="es-ES"/>
              </w:rPr>
              <w:t xml:space="preserve">VP Inversión </w:t>
            </w:r>
            <w:proofErr w:type="spellStart"/>
            <w:r w:rsidRPr="00C174D5">
              <w:rPr>
                <w:b/>
                <w:bCs/>
                <w:sz w:val="20"/>
                <w:lang w:val="es-ES"/>
              </w:rPr>
              <w:t>ec</w:t>
            </w:r>
            <w:proofErr w:type="spellEnd"/>
            <w:r w:rsidRPr="00C174D5">
              <w:rPr>
                <w:b/>
                <w:bCs/>
                <w:sz w:val="20"/>
                <w:lang w:val="es-ES"/>
              </w:rPr>
              <w:t>. (US$)</w:t>
            </w:r>
          </w:p>
        </w:tc>
        <w:tc>
          <w:tcPr>
            <w:tcW w:w="1218"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6E5CC753" w14:textId="77777777" w:rsidR="00C92C58" w:rsidRPr="00C174D5" w:rsidRDefault="00C92C58" w:rsidP="00B15A9A">
            <w:pPr>
              <w:keepNext/>
              <w:keepLines/>
              <w:spacing w:after="0"/>
              <w:jc w:val="center"/>
              <w:rPr>
                <w:b/>
                <w:sz w:val="20"/>
                <w:lang w:val="es-ES"/>
              </w:rPr>
            </w:pPr>
            <w:r w:rsidRPr="00C174D5">
              <w:rPr>
                <w:b/>
                <w:bCs/>
                <w:sz w:val="20"/>
                <w:lang w:val="es-ES"/>
              </w:rPr>
              <w:t xml:space="preserve">VP Costos </w:t>
            </w:r>
            <w:proofErr w:type="spellStart"/>
            <w:r w:rsidRPr="00C174D5">
              <w:rPr>
                <w:b/>
                <w:bCs/>
                <w:sz w:val="20"/>
                <w:lang w:val="es-ES"/>
              </w:rPr>
              <w:t>ec</w:t>
            </w:r>
            <w:proofErr w:type="spellEnd"/>
            <w:r w:rsidRPr="00C174D5">
              <w:rPr>
                <w:b/>
                <w:bCs/>
                <w:sz w:val="20"/>
                <w:lang w:val="es-ES"/>
              </w:rPr>
              <w:t>. (US$)</w:t>
            </w:r>
          </w:p>
        </w:tc>
        <w:tc>
          <w:tcPr>
            <w:tcW w:w="1525"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7857A71F" w14:textId="77777777" w:rsidR="00C92C58" w:rsidRPr="00C174D5" w:rsidRDefault="00C92C58" w:rsidP="00B15A9A">
            <w:pPr>
              <w:keepNext/>
              <w:keepLines/>
              <w:spacing w:after="0"/>
              <w:jc w:val="center"/>
              <w:rPr>
                <w:b/>
                <w:sz w:val="20"/>
                <w:lang w:val="es-ES"/>
              </w:rPr>
            </w:pPr>
            <w:r w:rsidRPr="00C174D5">
              <w:rPr>
                <w:b/>
                <w:bCs/>
                <w:sz w:val="20"/>
                <w:lang w:val="es-ES"/>
              </w:rPr>
              <w:t xml:space="preserve">VP Beneficios </w:t>
            </w:r>
            <w:proofErr w:type="spellStart"/>
            <w:r w:rsidRPr="00C174D5">
              <w:rPr>
                <w:b/>
                <w:bCs/>
                <w:sz w:val="20"/>
                <w:lang w:val="es-ES"/>
              </w:rPr>
              <w:t>ec</w:t>
            </w:r>
            <w:proofErr w:type="spellEnd"/>
            <w:r w:rsidRPr="00C174D5">
              <w:rPr>
                <w:b/>
                <w:bCs/>
                <w:sz w:val="20"/>
                <w:lang w:val="es-ES"/>
              </w:rPr>
              <w:t>. (US$)</w:t>
            </w:r>
          </w:p>
        </w:tc>
        <w:tc>
          <w:tcPr>
            <w:tcW w:w="1512"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55B346B9" w14:textId="77777777" w:rsidR="00C92C58" w:rsidRPr="00C174D5" w:rsidRDefault="00C92C58" w:rsidP="00B15A9A">
            <w:pPr>
              <w:keepNext/>
              <w:keepLines/>
              <w:spacing w:after="0"/>
              <w:jc w:val="center"/>
              <w:rPr>
                <w:b/>
                <w:sz w:val="20"/>
                <w:lang w:val="es-ES"/>
              </w:rPr>
            </w:pPr>
            <w:r w:rsidRPr="00C174D5">
              <w:rPr>
                <w:b/>
                <w:bCs/>
                <w:sz w:val="20"/>
                <w:lang w:val="es-ES"/>
              </w:rPr>
              <w:t>VPNE (US$)</w:t>
            </w:r>
          </w:p>
        </w:tc>
        <w:tc>
          <w:tcPr>
            <w:tcW w:w="847"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59AD07CA" w14:textId="77777777" w:rsidR="00C92C58" w:rsidRPr="00C174D5" w:rsidRDefault="00C92C58" w:rsidP="00B15A9A">
            <w:pPr>
              <w:keepNext/>
              <w:keepLines/>
              <w:spacing w:after="0"/>
              <w:jc w:val="center"/>
              <w:rPr>
                <w:b/>
                <w:sz w:val="20"/>
                <w:lang w:val="es-ES"/>
              </w:rPr>
            </w:pPr>
            <w:r w:rsidRPr="00C174D5">
              <w:rPr>
                <w:b/>
                <w:bCs/>
                <w:sz w:val="20"/>
                <w:lang w:val="es-ES"/>
              </w:rPr>
              <w:t>TIRE</w:t>
            </w:r>
          </w:p>
        </w:tc>
      </w:tr>
      <w:tr w:rsidR="00C92C58" w:rsidRPr="00552C65" w14:paraId="57C7472E" w14:textId="77777777" w:rsidTr="00B15A9A">
        <w:trPr>
          <w:trHeight w:val="1105"/>
          <w:jc w:val="center"/>
        </w:trPr>
        <w:tc>
          <w:tcPr>
            <w:tcW w:w="1987" w:type="dxa"/>
            <w:tcBorders>
              <w:top w:val="single" w:sz="12" w:space="0" w:color="000000"/>
            </w:tcBorders>
            <w:shd w:val="clear" w:color="auto" w:fill="auto"/>
            <w:tcMar>
              <w:top w:w="15" w:type="dxa"/>
              <w:left w:w="108" w:type="dxa"/>
              <w:bottom w:w="0" w:type="dxa"/>
              <w:right w:w="108" w:type="dxa"/>
            </w:tcMar>
            <w:vAlign w:val="center"/>
            <w:hideMark/>
          </w:tcPr>
          <w:p w14:paraId="41257575" w14:textId="77777777" w:rsidR="00C92C58" w:rsidRPr="00C174D5" w:rsidRDefault="00C92C58" w:rsidP="00B15A9A">
            <w:pPr>
              <w:keepNext/>
              <w:keepLines/>
              <w:spacing w:after="0"/>
              <w:jc w:val="center"/>
              <w:rPr>
                <w:sz w:val="20"/>
                <w:lang w:val="es-ES"/>
              </w:rPr>
            </w:pPr>
            <w:r w:rsidRPr="00C174D5">
              <w:rPr>
                <w:bCs/>
                <w:sz w:val="20"/>
                <w:lang w:val="es-ES"/>
              </w:rPr>
              <w:t>Situación Con Proyecto</w:t>
            </w:r>
          </w:p>
          <w:p w14:paraId="5517D315" w14:textId="77777777" w:rsidR="00C92C58" w:rsidRPr="00C174D5" w:rsidRDefault="00C92C58" w:rsidP="00B15A9A">
            <w:pPr>
              <w:keepNext/>
              <w:keepLines/>
              <w:spacing w:after="0"/>
              <w:jc w:val="center"/>
              <w:rPr>
                <w:sz w:val="20"/>
                <w:lang w:val="es-ES"/>
              </w:rPr>
            </w:pPr>
            <w:r w:rsidRPr="00C174D5">
              <w:rPr>
                <w:bCs/>
                <w:sz w:val="20"/>
                <w:lang w:val="es-ES"/>
              </w:rPr>
              <w:t>-</w:t>
            </w:r>
          </w:p>
          <w:p w14:paraId="0E09B4B5" w14:textId="77777777" w:rsidR="00C92C58" w:rsidRPr="00C174D5" w:rsidRDefault="00C92C58" w:rsidP="00B15A9A">
            <w:pPr>
              <w:keepNext/>
              <w:keepLines/>
              <w:spacing w:after="0"/>
              <w:jc w:val="center"/>
              <w:rPr>
                <w:sz w:val="20"/>
                <w:lang w:val="es-ES"/>
              </w:rPr>
            </w:pPr>
            <w:r w:rsidRPr="00C174D5">
              <w:rPr>
                <w:bCs/>
                <w:sz w:val="20"/>
                <w:lang w:val="es-ES"/>
              </w:rPr>
              <w:t>Situación sin proyecto</w:t>
            </w:r>
          </w:p>
        </w:tc>
        <w:tc>
          <w:tcPr>
            <w:tcW w:w="1414" w:type="dxa"/>
            <w:tcBorders>
              <w:top w:val="single" w:sz="12" w:space="0" w:color="000000"/>
            </w:tcBorders>
            <w:shd w:val="clear" w:color="auto" w:fill="auto"/>
            <w:tcMar>
              <w:top w:w="15" w:type="dxa"/>
              <w:left w:w="108" w:type="dxa"/>
              <w:bottom w:w="0" w:type="dxa"/>
              <w:right w:w="108" w:type="dxa"/>
            </w:tcMar>
            <w:vAlign w:val="center"/>
          </w:tcPr>
          <w:p w14:paraId="256642B2" w14:textId="77777777" w:rsidR="00C92C58" w:rsidRPr="00C174D5" w:rsidRDefault="00C92C58" w:rsidP="00B15A9A">
            <w:pPr>
              <w:keepNext/>
              <w:keepLines/>
              <w:spacing w:after="0"/>
              <w:jc w:val="center"/>
              <w:rPr>
                <w:sz w:val="20"/>
                <w:lang w:val="es-ES"/>
              </w:rPr>
            </w:pPr>
            <w:r w:rsidRPr="00C174D5">
              <w:rPr>
                <w:sz w:val="20"/>
                <w:lang w:val="es-ES"/>
              </w:rPr>
              <w:t>12.820.629</w:t>
            </w:r>
          </w:p>
        </w:tc>
        <w:tc>
          <w:tcPr>
            <w:tcW w:w="1218" w:type="dxa"/>
            <w:tcBorders>
              <w:top w:val="single" w:sz="12" w:space="0" w:color="000000"/>
            </w:tcBorders>
            <w:shd w:val="clear" w:color="auto" w:fill="auto"/>
            <w:tcMar>
              <w:top w:w="15" w:type="dxa"/>
              <w:left w:w="108" w:type="dxa"/>
              <w:bottom w:w="0" w:type="dxa"/>
              <w:right w:w="108" w:type="dxa"/>
            </w:tcMar>
            <w:vAlign w:val="center"/>
          </w:tcPr>
          <w:p w14:paraId="5F197051" w14:textId="77777777" w:rsidR="00C92C58" w:rsidRPr="00C174D5" w:rsidRDefault="00C92C58" w:rsidP="00B15A9A">
            <w:pPr>
              <w:keepNext/>
              <w:keepLines/>
              <w:spacing w:after="0"/>
              <w:jc w:val="center"/>
              <w:rPr>
                <w:sz w:val="20"/>
                <w:lang w:val="es-ES"/>
              </w:rPr>
            </w:pPr>
            <w:r w:rsidRPr="00552C65">
              <w:rPr>
                <w:sz w:val="20"/>
                <w:lang w:val="es-ES"/>
              </w:rPr>
              <w:t>38</w:t>
            </w:r>
            <w:r>
              <w:rPr>
                <w:sz w:val="20"/>
                <w:lang w:val="es-ES"/>
              </w:rPr>
              <w:t>.</w:t>
            </w:r>
            <w:r w:rsidRPr="00552C65">
              <w:rPr>
                <w:sz w:val="20"/>
                <w:lang w:val="es-ES"/>
              </w:rPr>
              <w:t>567</w:t>
            </w:r>
            <w:r>
              <w:rPr>
                <w:sz w:val="20"/>
                <w:lang w:val="es-ES"/>
              </w:rPr>
              <w:t>.</w:t>
            </w:r>
            <w:r w:rsidRPr="00552C65">
              <w:rPr>
                <w:sz w:val="20"/>
                <w:lang w:val="es-ES"/>
              </w:rPr>
              <w:t>068</w:t>
            </w:r>
          </w:p>
        </w:tc>
        <w:tc>
          <w:tcPr>
            <w:tcW w:w="1525" w:type="dxa"/>
            <w:tcBorders>
              <w:top w:val="single" w:sz="12" w:space="0" w:color="000000"/>
            </w:tcBorders>
            <w:shd w:val="clear" w:color="auto" w:fill="auto"/>
            <w:tcMar>
              <w:top w:w="15" w:type="dxa"/>
              <w:left w:w="108" w:type="dxa"/>
              <w:bottom w:w="0" w:type="dxa"/>
              <w:right w:w="108" w:type="dxa"/>
            </w:tcMar>
            <w:vAlign w:val="center"/>
          </w:tcPr>
          <w:p w14:paraId="6DF6C278" w14:textId="77777777" w:rsidR="00C92C58" w:rsidRPr="00C174D5" w:rsidRDefault="00C92C58" w:rsidP="00B15A9A">
            <w:pPr>
              <w:keepNext/>
              <w:keepLines/>
              <w:spacing w:after="0"/>
              <w:jc w:val="center"/>
              <w:rPr>
                <w:sz w:val="20"/>
                <w:lang w:val="es-ES"/>
              </w:rPr>
            </w:pPr>
            <w:r w:rsidRPr="00552C65">
              <w:rPr>
                <w:sz w:val="20"/>
                <w:lang w:val="es-ES"/>
              </w:rPr>
              <w:t>1</w:t>
            </w:r>
            <w:r>
              <w:rPr>
                <w:sz w:val="20"/>
                <w:lang w:val="es-ES"/>
              </w:rPr>
              <w:t>.</w:t>
            </w:r>
            <w:r w:rsidRPr="00552C65">
              <w:rPr>
                <w:sz w:val="20"/>
                <w:lang w:val="es-ES"/>
              </w:rPr>
              <w:t>826</w:t>
            </w:r>
            <w:r>
              <w:rPr>
                <w:sz w:val="20"/>
                <w:lang w:val="es-ES"/>
              </w:rPr>
              <w:t>.</w:t>
            </w:r>
            <w:r w:rsidRPr="00552C65">
              <w:rPr>
                <w:sz w:val="20"/>
                <w:lang w:val="es-ES"/>
              </w:rPr>
              <w:t>682</w:t>
            </w:r>
            <w:r>
              <w:rPr>
                <w:sz w:val="20"/>
                <w:lang w:val="es-ES"/>
              </w:rPr>
              <w:t>.</w:t>
            </w:r>
            <w:r w:rsidRPr="00552C65">
              <w:rPr>
                <w:sz w:val="20"/>
                <w:lang w:val="es-ES"/>
              </w:rPr>
              <w:t>240</w:t>
            </w:r>
          </w:p>
        </w:tc>
        <w:tc>
          <w:tcPr>
            <w:tcW w:w="1512" w:type="dxa"/>
            <w:tcBorders>
              <w:top w:val="single" w:sz="12" w:space="0" w:color="000000"/>
            </w:tcBorders>
            <w:shd w:val="clear" w:color="auto" w:fill="auto"/>
            <w:tcMar>
              <w:top w:w="15" w:type="dxa"/>
              <w:left w:w="108" w:type="dxa"/>
              <w:bottom w:w="0" w:type="dxa"/>
              <w:right w:w="108" w:type="dxa"/>
            </w:tcMar>
            <w:vAlign w:val="center"/>
          </w:tcPr>
          <w:p w14:paraId="2E8F56C7" w14:textId="77777777" w:rsidR="00C92C58" w:rsidRPr="00C174D5" w:rsidRDefault="00C92C58" w:rsidP="00B15A9A">
            <w:pPr>
              <w:keepNext/>
              <w:keepLines/>
              <w:spacing w:after="0"/>
              <w:jc w:val="center"/>
              <w:rPr>
                <w:sz w:val="20"/>
                <w:lang w:val="es-ES"/>
              </w:rPr>
            </w:pPr>
            <w:r w:rsidRPr="00552C65">
              <w:rPr>
                <w:sz w:val="20"/>
                <w:lang w:val="es-ES"/>
              </w:rPr>
              <w:t>1</w:t>
            </w:r>
            <w:r>
              <w:rPr>
                <w:sz w:val="20"/>
                <w:lang w:val="es-ES"/>
              </w:rPr>
              <w:t>.</w:t>
            </w:r>
            <w:r w:rsidRPr="00552C65">
              <w:rPr>
                <w:sz w:val="20"/>
                <w:lang w:val="es-ES"/>
              </w:rPr>
              <w:t>775</w:t>
            </w:r>
            <w:r>
              <w:rPr>
                <w:sz w:val="20"/>
                <w:lang w:val="es-ES"/>
              </w:rPr>
              <w:t>.</w:t>
            </w:r>
            <w:r w:rsidRPr="00552C65">
              <w:rPr>
                <w:sz w:val="20"/>
                <w:lang w:val="es-ES"/>
              </w:rPr>
              <w:t>294</w:t>
            </w:r>
            <w:r>
              <w:rPr>
                <w:sz w:val="20"/>
                <w:lang w:val="es-ES"/>
              </w:rPr>
              <w:t>.</w:t>
            </w:r>
            <w:r w:rsidRPr="00552C65">
              <w:rPr>
                <w:sz w:val="20"/>
                <w:lang w:val="es-ES"/>
              </w:rPr>
              <w:t>543</w:t>
            </w:r>
          </w:p>
        </w:tc>
        <w:tc>
          <w:tcPr>
            <w:tcW w:w="847" w:type="dxa"/>
            <w:tcBorders>
              <w:top w:val="single" w:sz="12" w:space="0" w:color="000000"/>
            </w:tcBorders>
            <w:shd w:val="clear" w:color="auto" w:fill="auto"/>
            <w:tcMar>
              <w:top w:w="15" w:type="dxa"/>
              <w:left w:w="108" w:type="dxa"/>
              <w:bottom w:w="0" w:type="dxa"/>
              <w:right w:w="108" w:type="dxa"/>
            </w:tcMar>
            <w:vAlign w:val="center"/>
          </w:tcPr>
          <w:p w14:paraId="4C00DA66" w14:textId="77777777" w:rsidR="00C92C58" w:rsidRPr="00C174D5" w:rsidRDefault="00C92C58" w:rsidP="00B15A9A">
            <w:pPr>
              <w:keepNext/>
              <w:keepLines/>
              <w:spacing w:after="0"/>
              <w:jc w:val="center"/>
              <w:rPr>
                <w:sz w:val="20"/>
                <w:lang w:val="es-ES"/>
              </w:rPr>
            </w:pPr>
            <w:r w:rsidRPr="00C174D5">
              <w:rPr>
                <w:sz w:val="20"/>
                <w:lang w:val="es-ES"/>
              </w:rPr>
              <w:t>1.</w:t>
            </w:r>
            <w:r>
              <w:rPr>
                <w:sz w:val="20"/>
                <w:lang w:val="es-ES"/>
              </w:rPr>
              <w:t>293</w:t>
            </w:r>
            <w:r w:rsidRPr="00C174D5">
              <w:rPr>
                <w:sz w:val="20"/>
                <w:lang w:val="es-ES"/>
              </w:rPr>
              <w:t>%</w:t>
            </w:r>
          </w:p>
        </w:tc>
      </w:tr>
    </w:tbl>
    <w:p w14:paraId="13029E88" w14:textId="77777777" w:rsidR="00C92C58" w:rsidRPr="00C174D5" w:rsidRDefault="00C92C58" w:rsidP="00C92C58">
      <w:pPr>
        <w:jc w:val="center"/>
        <w:rPr>
          <w:sz w:val="18"/>
          <w:lang w:val="es-ES"/>
        </w:rPr>
      </w:pPr>
      <w:r w:rsidRPr="00C174D5">
        <w:rPr>
          <w:sz w:val="18"/>
          <w:lang w:val="es-ES"/>
        </w:rPr>
        <w:t>Fuente: Elaboración propia en base a información de ENATREL provista por el BID</w:t>
      </w:r>
    </w:p>
    <w:p w14:paraId="668893AE" w14:textId="77777777" w:rsidR="00C92C58" w:rsidRPr="00C174D5" w:rsidRDefault="00C92C58" w:rsidP="00C92C58">
      <w:pPr>
        <w:rPr>
          <w:lang w:val="es-ES"/>
        </w:rPr>
      </w:pPr>
      <w:r w:rsidRPr="00C174D5">
        <w:rPr>
          <w:lang w:val="es-ES"/>
        </w:rPr>
        <w:t xml:space="preserve">En este caso, el proyecto es deseable desde el punto de vista social, superando los beneficios esperados ampliamente a los costos económicos asociados al mismo. También es deseable el punto de vista privado, como se muestra en la </w:t>
      </w:r>
      <w:r w:rsidRPr="00C174D5">
        <w:rPr>
          <w:lang w:val="es-ES"/>
        </w:rPr>
        <w:fldChar w:fldCharType="begin"/>
      </w:r>
      <w:r w:rsidRPr="00C174D5">
        <w:rPr>
          <w:lang w:val="es-ES"/>
        </w:rPr>
        <w:instrText xml:space="preserve"> REF _Ref447632058 \h  \* MERGEFORMAT </w:instrText>
      </w:r>
      <w:r w:rsidRPr="00C174D5">
        <w:rPr>
          <w:lang w:val="es-ES"/>
        </w:rPr>
      </w:r>
      <w:r w:rsidRPr="00C174D5">
        <w:rPr>
          <w:lang w:val="es-ES"/>
        </w:rPr>
        <w:fldChar w:fldCharType="separate"/>
      </w:r>
      <w:r w:rsidRPr="0001212E">
        <w:rPr>
          <w:b/>
          <w:lang w:val="es-ES"/>
        </w:rPr>
        <w:t>Tabla 46</w:t>
      </w:r>
      <w:r w:rsidRPr="00C174D5">
        <w:rPr>
          <w:lang w:val="es-ES"/>
        </w:rPr>
        <w:fldChar w:fldCharType="end"/>
      </w:r>
      <w:r w:rsidRPr="00C174D5">
        <w:rPr>
          <w:lang w:val="es-ES"/>
        </w:rPr>
        <w:t>.</w:t>
      </w:r>
    </w:p>
    <w:p w14:paraId="209676F8" w14:textId="77777777" w:rsidR="00C92C58" w:rsidRPr="00C174D5" w:rsidRDefault="00C92C58" w:rsidP="00C92C58">
      <w:pPr>
        <w:keepNext/>
        <w:keepLines/>
        <w:spacing w:after="120"/>
        <w:jc w:val="center"/>
        <w:rPr>
          <w:b/>
          <w:sz w:val="20"/>
          <w:lang w:val="es-ES"/>
        </w:rPr>
      </w:pPr>
      <w:bookmarkStart w:id="233" w:name="_Ref447632058"/>
      <w:bookmarkStart w:id="234" w:name="_Toc447546996"/>
      <w:bookmarkStart w:id="235" w:name="_Toc456353202"/>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46</w:t>
      </w:r>
      <w:r w:rsidRPr="00C174D5">
        <w:rPr>
          <w:b/>
          <w:sz w:val="20"/>
          <w:lang w:val="es-ES"/>
        </w:rPr>
        <w:fldChar w:fldCharType="end"/>
      </w:r>
      <w:bookmarkEnd w:id="233"/>
      <w:r w:rsidRPr="00C174D5">
        <w:rPr>
          <w:b/>
          <w:sz w:val="20"/>
          <w:lang w:val="es-ES"/>
        </w:rPr>
        <w:t>: Resultados evaluación financiera – Aumento capacidad líneas 230kV</w:t>
      </w:r>
      <w:bookmarkEnd w:id="234"/>
      <w:bookmarkEnd w:id="235"/>
    </w:p>
    <w:tbl>
      <w:tblPr>
        <w:tblW w:w="0" w:type="auto"/>
        <w:jc w:val="center"/>
        <w:tblInd w:w="2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988"/>
        <w:gridCol w:w="1386"/>
        <w:gridCol w:w="1232"/>
        <w:gridCol w:w="1525"/>
        <w:gridCol w:w="1512"/>
        <w:gridCol w:w="833"/>
      </w:tblGrid>
      <w:tr w:rsidR="00C92C58" w:rsidRPr="00C174D5" w14:paraId="283DDBA4" w14:textId="77777777" w:rsidTr="00B15A9A">
        <w:trPr>
          <w:trHeight w:val="35"/>
          <w:jc w:val="center"/>
        </w:trPr>
        <w:tc>
          <w:tcPr>
            <w:tcW w:w="1988"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475ECC21" w14:textId="77777777" w:rsidR="00C92C58" w:rsidRPr="00C174D5" w:rsidRDefault="00C92C58" w:rsidP="00B15A9A">
            <w:pPr>
              <w:keepNext/>
              <w:keepLines/>
              <w:spacing w:after="0"/>
              <w:jc w:val="center"/>
              <w:rPr>
                <w:b/>
                <w:sz w:val="20"/>
                <w:lang w:val="es-ES"/>
              </w:rPr>
            </w:pPr>
          </w:p>
        </w:tc>
        <w:tc>
          <w:tcPr>
            <w:tcW w:w="138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1AC9E522" w14:textId="77777777" w:rsidR="00C92C58" w:rsidRPr="00C174D5" w:rsidRDefault="00C92C58" w:rsidP="00B15A9A">
            <w:pPr>
              <w:keepNext/>
              <w:keepLines/>
              <w:spacing w:after="0"/>
              <w:jc w:val="center"/>
              <w:rPr>
                <w:b/>
                <w:sz w:val="20"/>
                <w:lang w:val="es-ES"/>
              </w:rPr>
            </w:pPr>
            <w:r w:rsidRPr="00C174D5">
              <w:rPr>
                <w:b/>
                <w:bCs/>
                <w:sz w:val="20"/>
                <w:lang w:val="es-ES"/>
              </w:rPr>
              <w:t>VP Inversión fin. (US$)</w:t>
            </w:r>
          </w:p>
        </w:tc>
        <w:tc>
          <w:tcPr>
            <w:tcW w:w="1232"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4E680658" w14:textId="77777777" w:rsidR="00C92C58" w:rsidRPr="00C174D5" w:rsidRDefault="00C92C58" w:rsidP="00B15A9A">
            <w:pPr>
              <w:keepNext/>
              <w:keepLines/>
              <w:spacing w:after="0"/>
              <w:jc w:val="center"/>
              <w:rPr>
                <w:b/>
                <w:sz w:val="20"/>
                <w:lang w:val="es-ES"/>
              </w:rPr>
            </w:pPr>
            <w:r w:rsidRPr="00C174D5">
              <w:rPr>
                <w:b/>
                <w:bCs/>
                <w:sz w:val="20"/>
                <w:lang w:val="es-ES"/>
              </w:rPr>
              <w:t>VP Costos fin. (US$)</w:t>
            </w:r>
          </w:p>
        </w:tc>
        <w:tc>
          <w:tcPr>
            <w:tcW w:w="1525"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07C83244" w14:textId="77777777" w:rsidR="00C92C58" w:rsidRPr="00C174D5" w:rsidRDefault="00C92C58" w:rsidP="00B15A9A">
            <w:pPr>
              <w:keepNext/>
              <w:keepLines/>
              <w:spacing w:after="0"/>
              <w:jc w:val="center"/>
              <w:rPr>
                <w:b/>
                <w:sz w:val="20"/>
                <w:lang w:val="es-ES"/>
              </w:rPr>
            </w:pPr>
            <w:r w:rsidRPr="00C174D5">
              <w:rPr>
                <w:b/>
                <w:bCs/>
                <w:sz w:val="20"/>
                <w:lang w:val="es-ES"/>
              </w:rPr>
              <w:t>VP Ingresos (US$)</w:t>
            </w:r>
          </w:p>
        </w:tc>
        <w:tc>
          <w:tcPr>
            <w:tcW w:w="1512"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263D1B71" w14:textId="77777777" w:rsidR="00C92C58" w:rsidRPr="00C174D5" w:rsidRDefault="00C92C58" w:rsidP="00B15A9A">
            <w:pPr>
              <w:keepNext/>
              <w:keepLines/>
              <w:spacing w:after="0"/>
              <w:jc w:val="center"/>
              <w:rPr>
                <w:b/>
                <w:sz w:val="20"/>
                <w:lang w:val="es-ES"/>
              </w:rPr>
            </w:pPr>
            <w:r w:rsidRPr="00C174D5">
              <w:rPr>
                <w:b/>
                <w:bCs/>
                <w:sz w:val="20"/>
                <w:lang w:val="es-ES"/>
              </w:rPr>
              <w:t>VPN (US$)</w:t>
            </w:r>
          </w:p>
        </w:tc>
        <w:tc>
          <w:tcPr>
            <w:tcW w:w="833"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1152957F" w14:textId="77777777" w:rsidR="00C92C58" w:rsidRPr="00C174D5" w:rsidRDefault="00C92C58" w:rsidP="00B15A9A">
            <w:pPr>
              <w:keepNext/>
              <w:keepLines/>
              <w:spacing w:after="0"/>
              <w:jc w:val="center"/>
              <w:rPr>
                <w:b/>
                <w:sz w:val="20"/>
                <w:lang w:val="es-ES"/>
              </w:rPr>
            </w:pPr>
            <w:r w:rsidRPr="00C174D5">
              <w:rPr>
                <w:b/>
                <w:bCs/>
                <w:sz w:val="20"/>
                <w:lang w:val="es-ES"/>
              </w:rPr>
              <w:t>TIR</w:t>
            </w:r>
          </w:p>
        </w:tc>
      </w:tr>
      <w:tr w:rsidR="00C92C58" w:rsidRPr="00C174D5" w14:paraId="22A5E328" w14:textId="77777777" w:rsidTr="00B15A9A">
        <w:trPr>
          <w:trHeight w:val="1105"/>
          <w:jc w:val="center"/>
        </w:trPr>
        <w:tc>
          <w:tcPr>
            <w:tcW w:w="1988" w:type="dxa"/>
            <w:tcBorders>
              <w:top w:val="single" w:sz="12" w:space="0" w:color="000000"/>
            </w:tcBorders>
            <w:shd w:val="clear" w:color="auto" w:fill="auto"/>
            <w:tcMar>
              <w:top w:w="15" w:type="dxa"/>
              <w:left w:w="108" w:type="dxa"/>
              <w:bottom w:w="0" w:type="dxa"/>
              <w:right w:w="108" w:type="dxa"/>
            </w:tcMar>
            <w:vAlign w:val="center"/>
            <w:hideMark/>
          </w:tcPr>
          <w:p w14:paraId="681FE663" w14:textId="77777777" w:rsidR="00C92C58" w:rsidRPr="00C174D5" w:rsidRDefault="00C92C58" w:rsidP="00B15A9A">
            <w:pPr>
              <w:keepNext/>
              <w:keepLines/>
              <w:spacing w:after="0"/>
              <w:jc w:val="center"/>
              <w:rPr>
                <w:sz w:val="20"/>
                <w:lang w:val="es-ES"/>
              </w:rPr>
            </w:pPr>
            <w:r w:rsidRPr="00C174D5">
              <w:rPr>
                <w:bCs/>
                <w:sz w:val="20"/>
                <w:lang w:val="es-ES"/>
              </w:rPr>
              <w:t>Situación Con Proyecto</w:t>
            </w:r>
          </w:p>
          <w:p w14:paraId="2AD64C91" w14:textId="77777777" w:rsidR="00C92C58" w:rsidRPr="00C174D5" w:rsidRDefault="00C92C58" w:rsidP="00B15A9A">
            <w:pPr>
              <w:keepNext/>
              <w:keepLines/>
              <w:spacing w:after="0"/>
              <w:jc w:val="center"/>
              <w:rPr>
                <w:sz w:val="20"/>
                <w:lang w:val="es-ES"/>
              </w:rPr>
            </w:pPr>
            <w:r w:rsidRPr="00C174D5">
              <w:rPr>
                <w:bCs/>
                <w:sz w:val="20"/>
                <w:lang w:val="es-ES"/>
              </w:rPr>
              <w:t>-</w:t>
            </w:r>
          </w:p>
          <w:p w14:paraId="7A442007" w14:textId="77777777" w:rsidR="00C92C58" w:rsidRPr="00C174D5" w:rsidRDefault="00C92C58" w:rsidP="00B15A9A">
            <w:pPr>
              <w:keepNext/>
              <w:keepLines/>
              <w:spacing w:after="0"/>
              <w:jc w:val="center"/>
              <w:rPr>
                <w:sz w:val="20"/>
                <w:lang w:val="es-ES"/>
              </w:rPr>
            </w:pPr>
            <w:r w:rsidRPr="00C174D5">
              <w:rPr>
                <w:bCs/>
                <w:sz w:val="20"/>
                <w:lang w:val="es-ES"/>
              </w:rPr>
              <w:t>Situación sin proyecto</w:t>
            </w:r>
          </w:p>
        </w:tc>
        <w:tc>
          <w:tcPr>
            <w:tcW w:w="1386" w:type="dxa"/>
            <w:tcBorders>
              <w:top w:val="single" w:sz="12" w:space="0" w:color="000000"/>
            </w:tcBorders>
            <w:shd w:val="clear" w:color="auto" w:fill="auto"/>
            <w:tcMar>
              <w:top w:w="15" w:type="dxa"/>
              <w:left w:w="108" w:type="dxa"/>
              <w:bottom w:w="0" w:type="dxa"/>
              <w:right w:w="108" w:type="dxa"/>
            </w:tcMar>
            <w:vAlign w:val="center"/>
          </w:tcPr>
          <w:p w14:paraId="228DA614" w14:textId="77777777" w:rsidR="00C92C58" w:rsidRPr="00C174D5" w:rsidRDefault="00C92C58" w:rsidP="00B15A9A">
            <w:pPr>
              <w:keepNext/>
              <w:keepLines/>
              <w:spacing w:after="0"/>
              <w:jc w:val="center"/>
              <w:rPr>
                <w:sz w:val="20"/>
                <w:lang w:val="es-ES"/>
              </w:rPr>
            </w:pPr>
            <w:r w:rsidRPr="00C174D5">
              <w:rPr>
                <w:sz w:val="20"/>
                <w:szCs w:val="20"/>
                <w:lang w:val="es-ES"/>
              </w:rPr>
              <w:t>13.096.758</w:t>
            </w:r>
          </w:p>
        </w:tc>
        <w:tc>
          <w:tcPr>
            <w:tcW w:w="1232" w:type="dxa"/>
            <w:tcBorders>
              <w:top w:val="single" w:sz="12" w:space="0" w:color="000000"/>
            </w:tcBorders>
            <w:shd w:val="clear" w:color="auto" w:fill="auto"/>
            <w:tcMar>
              <w:top w:w="15" w:type="dxa"/>
              <w:left w:w="108" w:type="dxa"/>
              <w:bottom w:w="0" w:type="dxa"/>
              <w:right w:w="108" w:type="dxa"/>
            </w:tcMar>
            <w:vAlign w:val="center"/>
          </w:tcPr>
          <w:p w14:paraId="2F291892" w14:textId="77777777" w:rsidR="00C92C58" w:rsidRPr="00C174D5" w:rsidRDefault="00C92C58" w:rsidP="00B15A9A">
            <w:pPr>
              <w:keepNext/>
              <w:keepLines/>
              <w:spacing w:after="0"/>
              <w:jc w:val="center"/>
              <w:rPr>
                <w:sz w:val="20"/>
                <w:lang w:val="es-ES"/>
              </w:rPr>
            </w:pPr>
            <w:r w:rsidRPr="00C174D5">
              <w:rPr>
                <w:sz w:val="20"/>
                <w:lang w:val="es-ES"/>
              </w:rPr>
              <w:t>3.618.332</w:t>
            </w:r>
          </w:p>
        </w:tc>
        <w:tc>
          <w:tcPr>
            <w:tcW w:w="1525" w:type="dxa"/>
            <w:tcBorders>
              <w:top w:val="single" w:sz="12" w:space="0" w:color="000000"/>
            </w:tcBorders>
            <w:shd w:val="clear" w:color="auto" w:fill="auto"/>
            <w:tcMar>
              <w:top w:w="15" w:type="dxa"/>
              <w:left w:w="108" w:type="dxa"/>
              <w:bottom w:w="0" w:type="dxa"/>
              <w:right w:w="108" w:type="dxa"/>
            </w:tcMar>
            <w:vAlign w:val="center"/>
          </w:tcPr>
          <w:p w14:paraId="56A06192" w14:textId="77777777" w:rsidR="00C92C58" w:rsidRPr="00C174D5" w:rsidRDefault="00C92C58" w:rsidP="00B15A9A">
            <w:pPr>
              <w:keepNext/>
              <w:keepLines/>
              <w:spacing w:after="0"/>
              <w:jc w:val="center"/>
              <w:rPr>
                <w:sz w:val="20"/>
                <w:lang w:val="es-ES"/>
              </w:rPr>
            </w:pPr>
            <w:r>
              <w:rPr>
                <w:sz w:val="20"/>
                <w:lang w:val="es-ES"/>
              </w:rPr>
              <w:t>22.075.</w:t>
            </w:r>
            <w:r w:rsidRPr="00552C65">
              <w:rPr>
                <w:sz w:val="20"/>
                <w:lang w:val="es-ES"/>
              </w:rPr>
              <w:t>231</w:t>
            </w:r>
          </w:p>
        </w:tc>
        <w:tc>
          <w:tcPr>
            <w:tcW w:w="1512" w:type="dxa"/>
            <w:tcBorders>
              <w:top w:val="single" w:sz="12" w:space="0" w:color="000000"/>
            </w:tcBorders>
            <w:shd w:val="clear" w:color="auto" w:fill="auto"/>
            <w:tcMar>
              <w:top w:w="15" w:type="dxa"/>
              <w:left w:w="108" w:type="dxa"/>
              <w:bottom w:w="0" w:type="dxa"/>
              <w:right w:w="108" w:type="dxa"/>
            </w:tcMar>
            <w:vAlign w:val="center"/>
          </w:tcPr>
          <w:p w14:paraId="61CBF148" w14:textId="77777777" w:rsidR="00C92C58" w:rsidRPr="00C174D5" w:rsidRDefault="00C92C58" w:rsidP="00B15A9A">
            <w:pPr>
              <w:keepNext/>
              <w:keepLines/>
              <w:spacing w:after="0"/>
              <w:jc w:val="center"/>
              <w:rPr>
                <w:sz w:val="20"/>
                <w:lang w:val="es-ES"/>
              </w:rPr>
            </w:pPr>
            <w:r w:rsidRPr="00552C65">
              <w:rPr>
                <w:sz w:val="20"/>
                <w:lang w:val="es-ES"/>
              </w:rPr>
              <w:t>5</w:t>
            </w:r>
            <w:r>
              <w:rPr>
                <w:sz w:val="20"/>
                <w:lang w:val="es-ES"/>
              </w:rPr>
              <w:t>.</w:t>
            </w:r>
            <w:r w:rsidRPr="00552C65">
              <w:rPr>
                <w:sz w:val="20"/>
                <w:lang w:val="es-ES"/>
              </w:rPr>
              <w:t>360</w:t>
            </w:r>
            <w:r>
              <w:rPr>
                <w:sz w:val="20"/>
                <w:lang w:val="es-ES"/>
              </w:rPr>
              <w:t>.</w:t>
            </w:r>
            <w:r w:rsidRPr="00552C65">
              <w:rPr>
                <w:sz w:val="20"/>
                <w:lang w:val="es-ES"/>
              </w:rPr>
              <w:t>141</w:t>
            </w:r>
          </w:p>
        </w:tc>
        <w:tc>
          <w:tcPr>
            <w:tcW w:w="833" w:type="dxa"/>
            <w:tcBorders>
              <w:top w:val="single" w:sz="12" w:space="0" w:color="000000"/>
            </w:tcBorders>
            <w:shd w:val="clear" w:color="auto" w:fill="auto"/>
            <w:tcMar>
              <w:top w:w="15" w:type="dxa"/>
              <w:left w:w="108" w:type="dxa"/>
              <w:bottom w:w="0" w:type="dxa"/>
              <w:right w:w="108" w:type="dxa"/>
            </w:tcMar>
            <w:vAlign w:val="center"/>
          </w:tcPr>
          <w:p w14:paraId="67F44FCA" w14:textId="77777777" w:rsidR="00C92C58" w:rsidRPr="00C174D5" w:rsidRDefault="00C92C58" w:rsidP="00B15A9A">
            <w:pPr>
              <w:keepNext/>
              <w:keepLines/>
              <w:spacing w:after="0"/>
              <w:jc w:val="center"/>
              <w:rPr>
                <w:sz w:val="20"/>
                <w:lang w:val="es-ES"/>
              </w:rPr>
            </w:pPr>
            <w:r w:rsidRPr="00C174D5">
              <w:rPr>
                <w:sz w:val="20"/>
                <w:lang w:val="es-ES"/>
              </w:rPr>
              <w:t>11%</w:t>
            </w:r>
          </w:p>
        </w:tc>
      </w:tr>
    </w:tbl>
    <w:p w14:paraId="51084927" w14:textId="77777777" w:rsidR="00C92C58" w:rsidRPr="00C174D5" w:rsidRDefault="00C92C58" w:rsidP="00C92C58">
      <w:pPr>
        <w:jc w:val="center"/>
        <w:rPr>
          <w:sz w:val="18"/>
          <w:lang w:val="es-ES"/>
        </w:rPr>
      </w:pPr>
      <w:r w:rsidRPr="00C174D5">
        <w:rPr>
          <w:sz w:val="18"/>
          <w:lang w:val="es-ES"/>
        </w:rPr>
        <w:t>Fuente: Elaboración propia en base a información de ENATREL provista por el BID</w:t>
      </w:r>
    </w:p>
    <w:p w14:paraId="45EB2BEB" w14:textId="77777777" w:rsidR="00C92C58" w:rsidRPr="00C174D5" w:rsidRDefault="00C92C58" w:rsidP="00C92C58">
      <w:pPr>
        <w:rPr>
          <w:lang w:val="es-ES"/>
        </w:rPr>
      </w:pPr>
      <w:r w:rsidRPr="00C174D5">
        <w:rPr>
          <w:lang w:val="es-ES"/>
        </w:rPr>
        <w:t>Desde la óptica privada, los beneficios son los ingresos del proyecto y éstos están dados por el valor unitario del peaje de transmisión (US$/</w:t>
      </w:r>
      <w:proofErr w:type="spellStart"/>
      <w:r w:rsidRPr="00C174D5">
        <w:rPr>
          <w:lang w:val="es-ES"/>
        </w:rPr>
        <w:t>MWh</w:t>
      </w:r>
      <w:proofErr w:type="spellEnd"/>
      <w:r w:rsidRPr="00C174D5">
        <w:rPr>
          <w:lang w:val="es-ES"/>
        </w:rPr>
        <w:t>) multiplicado por la energía adicional en la situación con proyecto. Los costos, nuevamente, son los de inversión y los de operación y mantenimiento.</w:t>
      </w:r>
    </w:p>
    <w:p w14:paraId="6A00AC89" w14:textId="77777777" w:rsidR="00C92C58" w:rsidRPr="00C174D5" w:rsidRDefault="00C92C58" w:rsidP="00C92C58">
      <w:pPr>
        <w:pStyle w:val="Heading1"/>
        <w:pageBreakBefore w:val="0"/>
        <w:numPr>
          <w:ilvl w:val="2"/>
          <w:numId w:val="9"/>
        </w:numPr>
        <w:rPr>
          <w:lang w:val="es-ES"/>
        </w:rPr>
      </w:pPr>
      <w:bookmarkStart w:id="236" w:name="_Toc447546958"/>
      <w:bookmarkStart w:id="237" w:name="_Toc456353153"/>
      <w:r w:rsidRPr="00C174D5">
        <w:rPr>
          <w:lang w:val="es-ES"/>
        </w:rPr>
        <w:lastRenderedPageBreak/>
        <w:t>Análisis local Aumento capacidad líneas 230kV – Sensibilidades</w:t>
      </w:r>
      <w:bookmarkEnd w:id="236"/>
      <w:bookmarkEnd w:id="237"/>
      <w:r w:rsidRPr="00C174D5">
        <w:rPr>
          <w:lang w:val="es-ES"/>
        </w:rPr>
        <w:t xml:space="preserve"> </w:t>
      </w:r>
    </w:p>
    <w:p w14:paraId="36E7FFA0" w14:textId="77777777" w:rsidR="00C92C58" w:rsidRPr="00C174D5" w:rsidRDefault="00C92C58" w:rsidP="00C92C58">
      <w:pPr>
        <w:rPr>
          <w:lang w:val="es-ES"/>
        </w:rPr>
      </w:pPr>
      <w:r w:rsidRPr="00C174D5">
        <w:rPr>
          <w:lang w:val="es-ES"/>
        </w:rPr>
        <w:t xml:space="preserve">En la </w:t>
      </w:r>
      <w:r w:rsidRPr="00C174D5">
        <w:rPr>
          <w:lang w:val="es-ES"/>
        </w:rPr>
        <w:fldChar w:fldCharType="begin"/>
      </w:r>
      <w:r w:rsidRPr="00C174D5">
        <w:rPr>
          <w:lang w:val="es-ES"/>
        </w:rPr>
        <w:instrText xml:space="preserve"> REF _Ref447632092 \h  \* MERGEFORMAT </w:instrText>
      </w:r>
      <w:r w:rsidRPr="00C174D5">
        <w:rPr>
          <w:lang w:val="es-ES"/>
        </w:rPr>
      </w:r>
      <w:r w:rsidRPr="00C174D5">
        <w:rPr>
          <w:lang w:val="es-ES"/>
        </w:rPr>
        <w:fldChar w:fldCharType="separate"/>
      </w:r>
      <w:r w:rsidRPr="0001212E">
        <w:rPr>
          <w:b/>
          <w:lang w:val="es-ES"/>
        </w:rPr>
        <w:t>Tabla 47</w:t>
      </w:r>
      <w:r w:rsidRPr="00C174D5">
        <w:rPr>
          <w:lang w:val="es-ES"/>
        </w:rPr>
        <w:fldChar w:fldCharType="end"/>
      </w:r>
      <w:r w:rsidRPr="00C174D5">
        <w:rPr>
          <w:lang w:val="es-ES"/>
        </w:rPr>
        <w:t xml:space="preserve"> se muestran los resultados de las diferentes sensibilidades efectuadas; éstas son respecto a la tasa social de descuento, al crecimiento en la demanda, al costo de falla y al costo de inversión.</w:t>
      </w:r>
    </w:p>
    <w:p w14:paraId="7D4680A0" w14:textId="77777777" w:rsidR="00C92C58" w:rsidRPr="00C174D5" w:rsidRDefault="00C92C58" w:rsidP="00C92C58">
      <w:pPr>
        <w:keepNext/>
        <w:keepLines/>
        <w:spacing w:after="120"/>
        <w:jc w:val="center"/>
        <w:rPr>
          <w:b/>
          <w:sz w:val="20"/>
          <w:lang w:val="es-ES"/>
        </w:rPr>
      </w:pPr>
      <w:bookmarkStart w:id="238" w:name="_Ref447632092"/>
      <w:bookmarkStart w:id="239" w:name="_Toc447546997"/>
      <w:bookmarkStart w:id="240" w:name="_Toc456353203"/>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47</w:t>
      </w:r>
      <w:r w:rsidRPr="00C174D5">
        <w:rPr>
          <w:b/>
          <w:sz w:val="20"/>
          <w:lang w:val="es-ES"/>
        </w:rPr>
        <w:fldChar w:fldCharType="end"/>
      </w:r>
      <w:bookmarkEnd w:id="238"/>
      <w:r w:rsidRPr="00C174D5">
        <w:rPr>
          <w:b/>
          <w:sz w:val="20"/>
          <w:lang w:val="es-ES"/>
        </w:rPr>
        <w:t>: Análisis de sensibilidad evaluación económica - Aumento capacidad líneas 230kV</w:t>
      </w:r>
      <w:bookmarkEnd w:id="239"/>
      <w:bookmarkEnd w:id="240"/>
    </w:p>
    <w:tbl>
      <w:tblPr>
        <w:tblW w:w="7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701"/>
        <w:gridCol w:w="2409"/>
        <w:gridCol w:w="1418"/>
        <w:gridCol w:w="850"/>
        <w:gridCol w:w="8"/>
        <w:gridCol w:w="936"/>
      </w:tblGrid>
      <w:tr w:rsidR="00C92C58" w:rsidRPr="00C174D5" w14:paraId="086BBFD8" w14:textId="77777777" w:rsidTr="00B15A9A">
        <w:trPr>
          <w:trHeight w:val="300"/>
          <w:jc w:val="center"/>
        </w:trPr>
        <w:tc>
          <w:tcPr>
            <w:tcW w:w="4110" w:type="dxa"/>
            <w:gridSpan w:val="2"/>
            <w:tcBorders>
              <w:top w:val="single" w:sz="12" w:space="0" w:color="auto"/>
              <w:bottom w:val="single" w:sz="12" w:space="0" w:color="auto"/>
            </w:tcBorders>
            <w:shd w:val="clear" w:color="auto" w:fill="BFBFBF" w:themeFill="background1" w:themeFillShade="BF"/>
            <w:noWrap/>
            <w:vAlign w:val="center"/>
          </w:tcPr>
          <w:p w14:paraId="14C182B9" w14:textId="77777777" w:rsidR="00C92C58" w:rsidRPr="00C174D5" w:rsidRDefault="00C92C58" w:rsidP="00B15A9A">
            <w:pPr>
              <w:keepNext/>
              <w:keepLines/>
              <w:spacing w:after="0" w:line="240" w:lineRule="auto"/>
              <w:rPr>
                <w:rFonts w:eastAsia="Times New Roman" w:cs="Times New Roman"/>
                <w:b/>
                <w:sz w:val="20"/>
                <w:szCs w:val="20"/>
                <w:lang w:val="es-ES" w:eastAsia="es-AR"/>
              </w:rPr>
            </w:pPr>
            <w:r w:rsidRPr="00C174D5">
              <w:rPr>
                <w:rFonts w:eastAsia="Times New Roman" w:cs="Arial"/>
                <w:b/>
                <w:sz w:val="20"/>
                <w:szCs w:val="20"/>
                <w:lang w:val="es-ES" w:eastAsia="es-AR"/>
              </w:rPr>
              <w:t>Aumento capacidad líneas 230kV</w:t>
            </w:r>
          </w:p>
        </w:tc>
        <w:tc>
          <w:tcPr>
            <w:tcW w:w="2276" w:type="dxa"/>
            <w:gridSpan w:val="3"/>
            <w:tcBorders>
              <w:top w:val="single" w:sz="12" w:space="0" w:color="auto"/>
              <w:bottom w:val="single" w:sz="12" w:space="0" w:color="auto"/>
            </w:tcBorders>
            <w:shd w:val="clear" w:color="auto" w:fill="BFBFBF" w:themeFill="background1" w:themeFillShade="BF"/>
            <w:vAlign w:val="center"/>
          </w:tcPr>
          <w:p w14:paraId="5EC0ABC7" w14:textId="77777777" w:rsidR="00C92C58" w:rsidRPr="00C174D5" w:rsidRDefault="00C92C58" w:rsidP="00B15A9A">
            <w:pPr>
              <w:keepNext/>
              <w:keepLines/>
              <w:spacing w:after="0" w:line="240" w:lineRule="auto"/>
              <w:jc w:val="center"/>
              <w:rPr>
                <w:rFonts w:eastAsia="Times New Roman" w:cs="Times New Roman"/>
                <w:b/>
                <w:sz w:val="20"/>
                <w:szCs w:val="20"/>
                <w:lang w:val="es-ES" w:eastAsia="es-AR"/>
              </w:rPr>
            </w:pPr>
            <w:r w:rsidRPr="00C174D5">
              <w:rPr>
                <w:rFonts w:eastAsia="Times New Roman" w:cs="Arial"/>
                <w:b/>
                <w:sz w:val="20"/>
                <w:szCs w:val="20"/>
                <w:lang w:val="es-ES" w:eastAsia="es-AR"/>
              </w:rPr>
              <w:t>VPNE (US$)</w:t>
            </w:r>
          </w:p>
        </w:tc>
        <w:tc>
          <w:tcPr>
            <w:tcW w:w="936" w:type="dxa"/>
            <w:tcBorders>
              <w:top w:val="single" w:sz="12" w:space="0" w:color="auto"/>
              <w:bottom w:val="single" w:sz="12" w:space="0" w:color="auto"/>
            </w:tcBorders>
            <w:shd w:val="clear" w:color="auto" w:fill="BFBFBF" w:themeFill="background1" w:themeFillShade="BF"/>
            <w:vAlign w:val="center"/>
          </w:tcPr>
          <w:p w14:paraId="208AD074" w14:textId="77777777" w:rsidR="00C92C58" w:rsidRPr="00C174D5" w:rsidRDefault="00C92C58" w:rsidP="00B15A9A">
            <w:pPr>
              <w:keepNext/>
              <w:keepLines/>
              <w:spacing w:after="0" w:line="240" w:lineRule="auto"/>
              <w:jc w:val="center"/>
              <w:rPr>
                <w:rFonts w:eastAsia="Times New Roman" w:cs="Arial"/>
                <w:b/>
                <w:sz w:val="20"/>
                <w:szCs w:val="20"/>
                <w:lang w:val="es-ES" w:eastAsia="es-AR"/>
              </w:rPr>
            </w:pPr>
            <w:r w:rsidRPr="00C174D5">
              <w:rPr>
                <w:rFonts w:eastAsia="Times New Roman" w:cs="Arial"/>
                <w:b/>
                <w:sz w:val="20"/>
                <w:szCs w:val="20"/>
                <w:lang w:val="es-ES" w:eastAsia="es-AR"/>
              </w:rPr>
              <w:t>TIRE (%)</w:t>
            </w:r>
          </w:p>
        </w:tc>
      </w:tr>
      <w:tr w:rsidR="00C92C58" w:rsidRPr="00C174D5" w14:paraId="327F89D7" w14:textId="77777777" w:rsidTr="00B15A9A">
        <w:trPr>
          <w:trHeight w:val="300"/>
          <w:jc w:val="center"/>
        </w:trPr>
        <w:tc>
          <w:tcPr>
            <w:tcW w:w="4110" w:type="dxa"/>
            <w:gridSpan w:val="2"/>
            <w:tcBorders>
              <w:top w:val="single" w:sz="12" w:space="0" w:color="auto"/>
              <w:bottom w:val="single" w:sz="2" w:space="0" w:color="auto"/>
            </w:tcBorders>
            <w:shd w:val="clear" w:color="auto" w:fill="auto"/>
            <w:noWrap/>
            <w:vAlign w:val="center"/>
          </w:tcPr>
          <w:p w14:paraId="28AB82CF" w14:textId="77777777" w:rsidR="00C92C58" w:rsidRPr="00C174D5" w:rsidRDefault="00C92C58" w:rsidP="00B15A9A">
            <w:pPr>
              <w:keepNext/>
              <w:keepLines/>
              <w:spacing w:after="0" w:line="240" w:lineRule="auto"/>
              <w:jc w:val="left"/>
              <w:rPr>
                <w:rFonts w:eastAsia="Times New Roman" w:cs="Times New Roman"/>
                <w:i/>
                <w:sz w:val="20"/>
                <w:szCs w:val="20"/>
                <w:lang w:val="es-ES" w:eastAsia="es-AR"/>
              </w:rPr>
            </w:pPr>
            <w:r w:rsidRPr="00C174D5">
              <w:rPr>
                <w:rFonts w:eastAsia="Times New Roman" w:cs="Times New Roman"/>
                <w:i/>
                <w:sz w:val="20"/>
                <w:szCs w:val="20"/>
                <w:lang w:val="es-ES" w:eastAsia="es-AR"/>
              </w:rPr>
              <w:t xml:space="preserve">Caso Base </w:t>
            </w:r>
          </w:p>
        </w:tc>
        <w:tc>
          <w:tcPr>
            <w:tcW w:w="2276" w:type="dxa"/>
            <w:gridSpan w:val="3"/>
            <w:tcBorders>
              <w:top w:val="single" w:sz="12" w:space="0" w:color="auto"/>
              <w:bottom w:val="single" w:sz="2" w:space="0" w:color="auto"/>
            </w:tcBorders>
            <w:vAlign w:val="center"/>
          </w:tcPr>
          <w:p w14:paraId="56C601A9" w14:textId="77777777" w:rsidR="00C92C58" w:rsidRPr="00C174D5" w:rsidRDefault="00C92C58" w:rsidP="00B15A9A">
            <w:pPr>
              <w:keepNext/>
              <w:keepLines/>
              <w:spacing w:after="0" w:line="240" w:lineRule="auto"/>
              <w:jc w:val="center"/>
              <w:rPr>
                <w:rFonts w:eastAsia="Times New Roman" w:cs="Times New Roman"/>
                <w:i/>
                <w:sz w:val="20"/>
                <w:szCs w:val="20"/>
                <w:lang w:val="es-ES" w:eastAsia="es-AR"/>
              </w:rPr>
            </w:pPr>
            <w:r w:rsidRPr="00552C65">
              <w:rPr>
                <w:rFonts w:eastAsia="Times New Roman" w:cs="Times New Roman"/>
                <w:i/>
                <w:sz w:val="20"/>
                <w:szCs w:val="20"/>
                <w:lang w:val="es-ES" w:eastAsia="es-AR"/>
              </w:rPr>
              <w:t>1.775.294.543</w:t>
            </w:r>
          </w:p>
        </w:tc>
        <w:tc>
          <w:tcPr>
            <w:tcW w:w="936" w:type="dxa"/>
            <w:tcBorders>
              <w:top w:val="single" w:sz="12" w:space="0" w:color="auto"/>
              <w:bottom w:val="single" w:sz="2" w:space="0" w:color="auto"/>
            </w:tcBorders>
            <w:vAlign w:val="center"/>
          </w:tcPr>
          <w:p w14:paraId="053A8EA9" w14:textId="77777777" w:rsidR="00C92C58" w:rsidRPr="00C174D5" w:rsidRDefault="00C92C58" w:rsidP="00B15A9A">
            <w:pPr>
              <w:keepNext/>
              <w:keepLines/>
              <w:spacing w:after="0" w:line="240" w:lineRule="auto"/>
              <w:jc w:val="center"/>
              <w:rPr>
                <w:rFonts w:eastAsia="Times New Roman" w:cs="Times New Roman"/>
                <w:i/>
                <w:sz w:val="20"/>
                <w:szCs w:val="20"/>
                <w:lang w:val="es-ES" w:eastAsia="es-AR"/>
              </w:rPr>
            </w:pPr>
            <w:r w:rsidRPr="00C174D5">
              <w:rPr>
                <w:rFonts w:eastAsia="Times New Roman" w:cs="Times New Roman"/>
                <w:i/>
                <w:sz w:val="20"/>
                <w:szCs w:val="20"/>
                <w:lang w:val="es-ES" w:eastAsia="es-AR"/>
              </w:rPr>
              <w:t>1.</w:t>
            </w:r>
            <w:r>
              <w:rPr>
                <w:rFonts w:eastAsia="Times New Roman" w:cs="Times New Roman"/>
                <w:i/>
                <w:sz w:val="20"/>
                <w:szCs w:val="20"/>
                <w:lang w:val="es-ES" w:eastAsia="es-AR"/>
              </w:rPr>
              <w:t>293</w:t>
            </w:r>
            <w:r w:rsidRPr="00C174D5">
              <w:rPr>
                <w:rFonts w:eastAsia="Times New Roman" w:cs="Times New Roman"/>
                <w:i/>
                <w:sz w:val="20"/>
                <w:szCs w:val="20"/>
                <w:lang w:val="es-ES" w:eastAsia="es-AR"/>
              </w:rPr>
              <w:t>%</w:t>
            </w:r>
          </w:p>
        </w:tc>
      </w:tr>
      <w:tr w:rsidR="00C92C58" w:rsidRPr="00C174D5" w14:paraId="3DCF914B" w14:textId="77777777" w:rsidTr="00B15A9A">
        <w:trPr>
          <w:trHeight w:val="300"/>
          <w:jc w:val="center"/>
        </w:trPr>
        <w:tc>
          <w:tcPr>
            <w:tcW w:w="4110" w:type="dxa"/>
            <w:gridSpan w:val="2"/>
            <w:tcBorders>
              <w:top w:val="single" w:sz="2" w:space="0" w:color="auto"/>
            </w:tcBorders>
            <w:shd w:val="clear" w:color="auto" w:fill="auto"/>
            <w:noWrap/>
            <w:vAlign w:val="center"/>
          </w:tcPr>
          <w:p w14:paraId="61D7C988"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Tasa social de descuento (base 12%): 8%</w:t>
            </w:r>
          </w:p>
        </w:tc>
        <w:tc>
          <w:tcPr>
            <w:tcW w:w="1418" w:type="dxa"/>
            <w:tcBorders>
              <w:top w:val="single" w:sz="2" w:space="0" w:color="auto"/>
            </w:tcBorders>
            <w:vAlign w:val="center"/>
          </w:tcPr>
          <w:p w14:paraId="2E5B4ABD"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552C65">
              <w:rPr>
                <w:rFonts w:eastAsia="Times New Roman" w:cs="Times New Roman"/>
                <w:sz w:val="20"/>
                <w:szCs w:val="20"/>
                <w:lang w:val="es-ES" w:eastAsia="es-AR"/>
              </w:rPr>
              <w:t>2</w:t>
            </w:r>
            <w:r>
              <w:rPr>
                <w:rFonts w:eastAsia="Times New Roman" w:cs="Times New Roman"/>
                <w:sz w:val="20"/>
                <w:szCs w:val="20"/>
                <w:lang w:val="es-ES" w:eastAsia="es-AR"/>
              </w:rPr>
              <w:t>.</w:t>
            </w:r>
            <w:r w:rsidRPr="00552C65">
              <w:rPr>
                <w:rFonts w:eastAsia="Times New Roman" w:cs="Times New Roman"/>
                <w:sz w:val="20"/>
                <w:szCs w:val="20"/>
                <w:lang w:val="es-ES" w:eastAsia="es-AR"/>
              </w:rPr>
              <w:t>645</w:t>
            </w:r>
            <w:r>
              <w:rPr>
                <w:rFonts w:eastAsia="Times New Roman" w:cs="Times New Roman"/>
                <w:sz w:val="20"/>
                <w:szCs w:val="20"/>
                <w:lang w:val="es-ES" w:eastAsia="es-AR"/>
              </w:rPr>
              <w:t>.</w:t>
            </w:r>
            <w:r w:rsidRPr="00552C65">
              <w:rPr>
                <w:rFonts w:eastAsia="Times New Roman" w:cs="Times New Roman"/>
                <w:sz w:val="20"/>
                <w:szCs w:val="20"/>
                <w:lang w:val="es-ES" w:eastAsia="es-AR"/>
              </w:rPr>
              <w:t>409</w:t>
            </w:r>
            <w:r>
              <w:rPr>
                <w:rFonts w:eastAsia="Times New Roman" w:cs="Times New Roman"/>
                <w:sz w:val="20"/>
                <w:szCs w:val="20"/>
                <w:lang w:val="es-ES" w:eastAsia="es-AR"/>
              </w:rPr>
              <w:t>.</w:t>
            </w:r>
            <w:r w:rsidRPr="00552C65">
              <w:rPr>
                <w:rFonts w:eastAsia="Times New Roman" w:cs="Times New Roman"/>
                <w:sz w:val="20"/>
                <w:szCs w:val="20"/>
                <w:lang w:val="es-ES" w:eastAsia="es-AR"/>
              </w:rPr>
              <w:t>886</w:t>
            </w:r>
          </w:p>
        </w:tc>
        <w:tc>
          <w:tcPr>
            <w:tcW w:w="858" w:type="dxa"/>
            <w:gridSpan w:val="2"/>
            <w:tcBorders>
              <w:top w:val="single" w:sz="2" w:space="0" w:color="auto"/>
            </w:tcBorders>
            <w:vAlign w:val="center"/>
          </w:tcPr>
          <w:p w14:paraId="7F4EF073"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w:t>
            </w:r>
            <w:r>
              <w:rPr>
                <w:rFonts w:eastAsia="Times New Roman" w:cs="Times New Roman"/>
                <w:sz w:val="20"/>
                <w:szCs w:val="20"/>
                <w:lang w:val="es-ES" w:eastAsia="es-AR"/>
              </w:rPr>
              <w:t>49</w:t>
            </w:r>
            <w:r w:rsidRPr="00C174D5">
              <w:rPr>
                <w:rFonts w:eastAsia="Times New Roman" w:cs="Times New Roman"/>
                <w:sz w:val="20"/>
                <w:szCs w:val="20"/>
                <w:lang w:val="es-ES" w:eastAsia="es-AR"/>
              </w:rPr>
              <w:t>%</w:t>
            </w:r>
          </w:p>
        </w:tc>
        <w:tc>
          <w:tcPr>
            <w:tcW w:w="936" w:type="dxa"/>
            <w:tcBorders>
              <w:top w:val="single" w:sz="2" w:space="0" w:color="auto"/>
            </w:tcBorders>
            <w:vAlign w:val="center"/>
          </w:tcPr>
          <w:p w14:paraId="126B6A09"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w:t>
            </w:r>
            <w:r>
              <w:rPr>
                <w:rFonts w:eastAsia="Times New Roman" w:cs="Times New Roman"/>
                <w:sz w:val="20"/>
                <w:szCs w:val="20"/>
                <w:lang w:val="es-ES" w:eastAsia="es-AR"/>
              </w:rPr>
              <w:t>293</w:t>
            </w:r>
            <w:r w:rsidRPr="00C174D5">
              <w:rPr>
                <w:rFonts w:eastAsia="Times New Roman" w:cs="Times New Roman"/>
                <w:sz w:val="20"/>
                <w:szCs w:val="20"/>
                <w:lang w:val="es-ES" w:eastAsia="es-AR"/>
              </w:rPr>
              <w:t>%</w:t>
            </w:r>
          </w:p>
        </w:tc>
      </w:tr>
      <w:tr w:rsidR="00C92C58" w:rsidRPr="00E67BF2" w14:paraId="7B09B41E" w14:textId="77777777" w:rsidTr="00B15A9A">
        <w:trPr>
          <w:trHeight w:val="300"/>
          <w:jc w:val="center"/>
        </w:trPr>
        <w:tc>
          <w:tcPr>
            <w:tcW w:w="7322" w:type="dxa"/>
            <w:gridSpan w:val="6"/>
            <w:tcBorders>
              <w:top w:val="single" w:sz="2" w:space="0" w:color="auto"/>
            </w:tcBorders>
            <w:shd w:val="clear" w:color="auto" w:fill="auto"/>
            <w:noWrap/>
            <w:vAlign w:val="center"/>
          </w:tcPr>
          <w:p w14:paraId="5F05C2A9"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 xml:space="preserve">Tasa de crecimiento promedio de la demanda existente (base </w:t>
            </w:r>
            <w:r>
              <w:rPr>
                <w:rFonts w:eastAsia="Times New Roman" w:cs="Times New Roman"/>
                <w:sz w:val="20"/>
                <w:szCs w:val="20"/>
                <w:lang w:val="es-ES" w:eastAsia="es-AR"/>
              </w:rPr>
              <w:t>3</w:t>
            </w:r>
            <w:r w:rsidRPr="00C174D5">
              <w:rPr>
                <w:rFonts w:eastAsia="Times New Roman" w:cs="Times New Roman"/>
                <w:sz w:val="20"/>
                <w:szCs w:val="20"/>
                <w:lang w:val="es-ES" w:eastAsia="es-AR"/>
              </w:rPr>
              <w:t>,</w:t>
            </w:r>
            <w:r>
              <w:rPr>
                <w:rFonts w:eastAsia="Times New Roman" w:cs="Times New Roman"/>
                <w:sz w:val="20"/>
                <w:szCs w:val="20"/>
                <w:lang w:val="es-ES" w:eastAsia="es-AR"/>
              </w:rPr>
              <w:t>6</w:t>
            </w:r>
            <w:r w:rsidRPr="00C174D5">
              <w:rPr>
                <w:rFonts w:eastAsia="Times New Roman" w:cs="Times New Roman"/>
                <w:sz w:val="20"/>
                <w:szCs w:val="20"/>
                <w:lang w:val="es-ES" w:eastAsia="es-AR"/>
              </w:rPr>
              <w:t>%)</w:t>
            </w:r>
          </w:p>
        </w:tc>
      </w:tr>
      <w:tr w:rsidR="00C92C58" w:rsidRPr="00C174D5" w14:paraId="6BC237AB" w14:textId="77777777" w:rsidTr="00B15A9A">
        <w:trPr>
          <w:trHeight w:val="300"/>
          <w:jc w:val="center"/>
        </w:trPr>
        <w:tc>
          <w:tcPr>
            <w:tcW w:w="1701" w:type="dxa"/>
            <w:tcBorders>
              <w:top w:val="single" w:sz="2" w:space="0" w:color="auto"/>
            </w:tcBorders>
            <w:shd w:val="clear" w:color="auto" w:fill="auto"/>
            <w:noWrap/>
            <w:vAlign w:val="center"/>
          </w:tcPr>
          <w:p w14:paraId="3E4FE43A"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19F34C2E"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3,</w:t>
            </w:r>
            <w:r>
              <w:rPr>
                <w:rFonts w:eastAsia="Times New Roman" w:cs="Times New Roman"/>
                <w:sz w:val="20"/>
                <w:szCs w:val="20"/>
                <w:lang w:val="es-ES" w:eastAsia="es-AR"/>
              </w:rPr>
              <w:t>06</w:t>
            </w:r>
            <w:r w:rsidRPr="00C174D5">
              <w:rPr>
                <w:rFonts w:eastAsia="Times New Roman" w:cs="Times New Roman"/>
                <w:sz w:val="20"/>
                <w:szCs w:val="20"/>
                <w:lang w:val="es-ES" w:eastAsia="es-AR"/>
              </w:rPr>
              <w:t>% (-15%)</w:t>
            </w:r>
          </w:p>
        </w:tc>
        <w:tc>
          <w:tcPr>
            <w:tcW w:w="1418" w:type="dxa"/>
            <w:tcBorders>
              <w:top w:val="single" w:sz="2" w:space="0" w:color="auto"/>
            </w:tcBorders>
            <w:vAlign w:val="center"/>
          </w:tcPr>
          <w:p w14:paraId="25BE42A6"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1.</w:t>
            </w:r>
            <w:r w:rsidRPr="00F02F94">
              <w:rPr>
                <w:rFonts w:eastAsia="Times New Roman" w:cs="Times New Roman"/>
                <w:sz w:val="20"/>
                <w:szCs w:val="20"/>
                <w:lang w:val="es-ES" w:eastAsia="es-AR"/>
              </w:rPr>
              <w:t>682</w:t>
            </w:r>
            <w:r>
              <w:rPr>
                <w:rFonts w:eastAsia="Times New Roman" w:cs="Times New Roman"/>
                <w:sz w:val="20"/>
                <w:szCs w:val="20"/>
                <w:lang w:val="es-ES" w:eastAsia="es-AR"/>
              </w:rPr>
              <w:t>.013.</w:t>
            </w:r>
            <w:r w:rsidRPr="00F02F94">
              <w:rPr>
                <w:rFonts w:eastAsia="Times New Roman" w:cs="Times New Roman"/>
                <w:sz w:val="20"/>
                <w:szCs w:val="20"/>
                <w:lang w:val="es-ES" w:eastAsia="es-AR"/>
              </w:rPr>
              <w:t>890</w:t>
            </w:r>
          </w:p>
        </w:tc>
        <w:tc>
          <w:tcPr>
            <w:tcW w:w="858" w:type="dxa"/>
            <w:gridSpan w:val="2"/>
            <w:tcBorders>
              <w:top w:val="single" w:sz="2" w:space="0" w:color="auto"/>
            </w:tcBorders>
            <w:vAlign w:val="center"/>
          </w:tcPr>
          <w:p w14:paraId="0F0FAE27"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w:t>
            </w:r>
            <w:r>
              <w:rPr>
                <w:rFonts w:eastAsia="Times New Roman" w:cs="Times New Roman"/>
                <w:sz w:val="20"/>
                <w:szCs w:val="20"/>
                <w:lang w:val="es-ES" w:eastAsia="es-AR"/>
              </w:rPr>
              <w:t>5</w:t>
            </w:r>
            <w:r w:rsidRPr="00C174D5">
              <w:rPr>
                <w:rFonts w:eastAsia="Times New Roman" w:cs="Times New Roman"/>
                <w:sz w:val="20"/>
                <w:szCs w:val="20"/>
                <w:lang w:val="es-ES" w:eastAsia="es-AR"/>
              </w:rPr>
              <w:t>,2%</w:t>
            </w:r>
          </w:p>
        </w:tc>
        <w:tc>
          <w:tcPr>
            <w:tcW w:w="936" w:type="dxa"/>
            <w:tcBorders>
              <w:top w:val="single" w:sz="2" w:space="0" w:color="auto"/>
            </w:tcBorders>
            <w:vAlign w:val="center"/>
          </w:tcPr>
          <w:p w14:paraId="6798CB75"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w:t>
            </w:r>
            <w:r>
              <w:rPr>
                <w:rFonts w:eastAsia="Times New Roman" w:cs="Times New Roman"/>
                <w:sz w:val="20"/>
                <w:szCs w:val="20"/>
                <w:lang w:val="es-ES" w:eastAsia="es-AR"/>
              </w:rPr>
              <w:t>28</w:t>
            </w:r>
            <w:r w:rsidRPr="00C174D5">
              <w:rPr>
                <w:rFonts w:eastAsia="Times New Roman" w:cs="Times New Roman"/>
                <w:sz w:val="20"/>
                <w:szCs w:val="20"/>
                <w:lang w:val="es-ES" w:eastAsia="es-AR"/>
              </w:rPr>
              <w:t>0%</w:t>
            </w:r>
          </w:p>
        </w:tc>
      </w:tr>
      <w:tr w:rsidR="00C92C58" w:rsidRPr="00C174D5" w14:paraId="25BF77DF" w14:textId="77777777" w:rsidTr="00B15A9A">
        <w:trPr>
          <w:trHeight w:val="300"/>
          <w:jc w:val="center"/>
        </w:trPr>
        <w:tc>
          <w:tcPr>
            <w:tcW w:w="1701" w:type="dxa"/>
            <w:tcBorders>
              <w:top w:val="single" w:sz="2" w:space="0" w:color="auto"/>
            </w:tcBorders>
            <w:shd w:val="clear" w:color="auto" w:fill="auto"/>
            <w:noWrap/>
            <w:vAlign w:val="center"/>
          </w:tcPr>
          <w:p w14:paraId="14DE981B"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3A7DF663"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Pr>
                <w:rFonts w:eastAsia="Times New Roman" w:cs="Times New Roman"/>
                <w:sz w:val="20"/>
                <w:szCs w:val="20"/>
                <w:lang w:val="es-ES" w:eastAsia="es-AR"/>
              </w:rPr>
              <w:t>2</w:t>
            </w:r>
            <w:r w:rsidRPr="00C174D5">
              <w:rPr>
                <w:rFonts w:eastAsia="Times New Roman" w:cs="Times New Roman"/>
                <w:sz w:val="20"/>
                <w:szCs w:val="20"/>
                <w:lang w:val="es-ES" w:eastAsia="es-AR"/>
              </w:rPr>
              <w:t>,</w:t>
            </w:r>
            <w:r>
              <w:rPr>
                <w:rFonts w:eastAsia="Times New Roman" w:cs="Times New Roman"/>
                <w:sz w:val="20"/>
                <w:szCs w:val="20"/>
                <w:lang w:val="es-ES" w:eastAsia="es-AR"/>
              </w:rPr>
              <w:t>5</w:t>
            </w:r>
            <w:r w:rsidRPr="00C174D5">
              <w:rPr>
                <w:rFonts w:eastAsia="Times New Roman" w:cs="Times New Roman"/>
                <w:sz w:val="20"/>
                <w:szCs w:val="20"/>
                <w:lang w:val="es-ES" w:eastAsia="es-AR"/>
              </w:rPr>
              <w:t>2% (-30%)</w:t>
            </w:r>
          </w:p>
        </w:tc>
        <w:tc>
          <w:tcPr>
            <w:tcW w:w="1418" w:type="dxa"/>
            <w:tcBorders>
              <w:top w:val="single" w:sz="2" w:space="0" w:color="auto"/>
            </w:tcBorders>
            <w:vAlign w:val="center"/>
          </w:tcPr>
          <w:p w14:paraId="0D61FEBF"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F02F94">
              <w:rPr>
                <w:rFonts w:eastAsia="Times New Roman" w:cs="Times New Roman"/>
                <w:sz w:val="20"/>
                <w:szCs w:val="20"/>
                <w:lang w:val="es-ES" w:eastAsia="es-AR"/>
              </w:rPr>
              <w:t>1</w:t>
            </w:r>
            <w:r>
              <w:rPr>
                <w:rFonts w:eastAsia="Times New Roman" w:cs="Times New Roman"/>
                <w:sz w:val="20"/>
                <w:szCs w:val="20"/>
                <w:lang w:val="es-ES" w:eastAsia="es-AR"/>
              </w:rPr>
              <w:t>.</w:t>
            </w:r>
            <w:r w:rsidRPr="00F02F94">
              <w:rPr>
                <w:rFonts w:eastAsia="Times New Roman" w:cs="Times New Roman"/>
                <w:sz w:val="20"/>
                <w:szCs w:val="20"/>
                <w:lang w:val="es-ES" w:eastAsia="es-AR"/>
              </w:rPr>
              <w:t>595</w:t>
            </w:r>
            <w:r>
              <w:rPr>
                <w:rFonts w:eastAsia="Times New Roman" w:cs="Times New Roman"/>
                <w:sz w:val="20"/>
                <w:szCs w:val="20"/>
                <w:lang w:val="es-ES" w:eastAsia="es-AR"/>
              </w:rPr>
              <w:t>.</w:t>
            </w:r>
            <w:r w:rsidRPr="00F02F94">
              <w:rPr>
                <w:rFonts w:eastAsia="Times New Roman" w:cs="Times New Roman"/>
                <w:sz w:val="20"/>
                <w:szCs w:val="20"/>
                <w:lang w:val="es-ES" w:eastAsia="es-AR"/>
              </w:rPr>
              <w:t>432</w:t>
            </w:r>
            <w:r>
              <w:rPr>
                <w:rFonts w:eastAsia="Times New Roman" w:cs="Times New Roman"/>
                <w:sz w:val="20"/>
                <w:szCs w:val="20"/>
                <w:lang w:val="es-ES" w:eastAsia="es-AR"/>
              </w:rPr>
              <w:t>.</w:t>
            </w:r>
            <w:r w:rsidRPr="00F02F94">
              <w:rPr>
                <w:rFonts w:eastAsia="Times New Roman" w:cs="Times New Roman"/>
                <w:sz w:val="20"/>
                <w:szCs w:val="20"/>
                <w:lang w:val="es-ES" w:eastAsia="es-AR"/>
              </w:rPr>
              <w:t>232</w:t>
            </w:r>
          </w:p>
        </w:tc>
        <w:tc>
          <w:tcPr>
            <w:tcW w:w="850" w:type="dxa"/>
            <w:tcBorders>
              <w:top w:val="single" w:sz="2" w:space="0" w:color="auto"/>
            </w:tcBorders>
            <w:vAlign w:val="center"/>
          </w:tcPr>
          <w:p w14:paraId="0376A382"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w:t>
            </w:r>
            <w:r>
              <w:rPr>
                <w:rFonts w:eastAsia="Times New Roman" w:cs="Times New Roman"/>
                <w:sz w:val="20"/>
                <w:szCs w:val="20"/>
                <w:lang w:val="es-ES" w:eastAsia="es-AR"/>
              </w:rPr>
              <w:t>0</w:t>
            </w:r>
            <w:r w:rsidRPr="00C174D5">
              <w:rPr>
                <w:rFonts w:eastAsia="Times New Roman" w:cs="Times New Roman"/>
                <w:sz w:val="20"/>
                <w:szCs w:val="20"/>
                <w:lang w:val="es-ES" w:eastAsia="es-AR"/>
              </w:rPr>
              <w:t>,</w:t>
            </w:r>
            <w:r>
              <w:rPr>
                <w:rFonts w:eastAsia="Times New Roman" w:cs="Times New Roman"/>
                <w:sz w:val="20"/>
                <w:szCs w:val="20"/>
                <w:lang w:val="es-ES" w:eastAsia="es-AR"/>
              </w:rPr>
              <w:t>3</w:t>
            </w:r>
            <w:r w:rsidRPr="00C174D5">
              <w:rPr>
                <w:rFonts w:eastAsia="Times New Roman" w:cs="Times New Roman"/>
                <w:sz w:val="20"/>
                <w:szCs w:val="20"/>
                <w:lang w:val="es-ES" w:eastAsia="es-AR"/>
              </w:rPr>
              <w:t>%</w:t>
            </w:r>
          </w:p>
        </w:tc>
        <w:tc>
          <w:tcPr>
            <w:tcW w:w="944" w:type="dxa"/>
            <w:gridSpan w:val="2"/>
            <w:tcBorders>
              <w:top w:val="single" w:sz="2" w:space="0" w:color="auto"/>
            </w:tcBorders>
            <w:vAlign w:val="center"/>
          </w:tcPr>
          <w:p w14:paraId="796B5597"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1.2</w:t>
            </w:r>
            <w:r>
              <w:rPr>
                <w:rFonts w:eastAsia="Times New Roman" w:cs="Times New Roman"/>
                <w:sz w:val="20"/>
                <w:szCs w:val="20"/>
                <w:lang w:val="es-ES" w:eastAsia="es-AR"/>
              </w:rPr>
              <w:t>67</w:t>
            </w:r>
            <w:r w:rsidRPr="00C174D5">
              <w:rPr>
                <w:rFonts w:eastAsia="Times New Roman" w:cs="Times New Roman"/>
                <w:sz w:val="20"/>
                <w:szCs w:val="20"/>
                <w:lang w:val="es-ES" w:eastAsia="es-AR"/>
              </w:rPr>
              <w:t>%</w:t>
            </w:r>
          </w:p>
        </w:tc>
      </w:tr>
      <w:tr w:rsidR="00C92C58" w:rsidRPr="00E67BF2" w14:paraId="1B025C65" w14:textId="77777777" w:rsidTr="00B15A9A">
        <w:trPr>
          <w:trHeight w:val="300"/>
          <w:jc w:val="center"/>
        </w:trPr>
        <w:tc>
          <w:tcPr>
            <w:tcW w:w="7322" w:type="dxa"/>
            <w:gridSpan w:val="6"/>
            <w:tcBorders>
              <w:top w:val="single" w:sz="2" w:space="0" w:color="auto"/>
              <w:bottom w:val="single" w:sz="2" w:space="0" w:color="auto"/>
            </w:tcBorders>
            <w:shd w:val="clear" w:color="auto" w:fill="auto"/>
            <w:noWrap/>
            <w:vAlign w:val="center"/>
          </w:tcPr>
          <w:p w14:paraId="3D665CC9"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Costo de falla (base 1.500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w:t>
            </w:r>
          </w:p>
        </w:tc>
      </w:tr>
      <w:tr w:rsidR="00C92C58" w:rsidRPr="00C174D5" w14:paraId="2324D047" w14:textId="77777777" w:rsidTr="00B15A9A">
        <w:trPr>
          <w:trHeight w:val="300"/>
          <w:jc w:val="center"/>
        </w:trPr>
        <w:tc>
          <w:tcPr>
            <w:tcW w:w="1701" w:type="dxa"/>
            <w:tcBorders>
              <w:top w:val="single" w:sz="2" w:space="0" w:color="auto"/>
            </w:tcBorders>
            <w:shd w:val="clear" w:color="auto" w:fill="auto"/>
            <w:noWrap/>
            <w:vAlign w:val="center"/>
          </w:tcPr>
          <w:p w14:paraId="449F4C35"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2E3B6BF7"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1.725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xml:space="preserve"> (+ 15%)</w:t>
            </w:r>
          </w:p>
        </w:tc>
        <w:tc>
          <w:tcPr>
            <w:tcW w:w="1418" w:type="dxa"/>
            <w:tcBorders>
              <w:top w:val="single" w:sz="2" w:space="0" w:color="auto"/>
            </w:tcBorders>
            <w:vAlign w:val="center"/>
          </w:tcPr>
          <w:p w14:paraId="38A9ACFC"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F02F94">
              <w:rPr>
                <w:rFonts w:eastAsia="Times New Roman" w:cs="Times New Roman"/>
                <w:sz w:val="20"/>
                <w:szCs w:val="20"/>
                <w:lang w:val="es-ES" w:eastAsia="es-AR"/>
              </w:rPr>
              <w:t>2</w:t>
            </w:r>
            <w:r>
              <w:rPr>
                <w:rFonts w:eastAsia="Times New Roman" w:cs="Times New Roman"/>
                <w:sz w:val="20"/>
                <w:szCs w:val="20"/>
                <w:lang w:val="es-ES" w:eastAsia="es-AR"/>
              </w:rPr>
              <w:t>.</w:t>
            </w:r>
            <w:r w:rsidRPr="00F02F94">
              <w:rPr>
                <w:rFonts w:eastAsia="Times New Roman" w:cs="Times New Roman"/>
                <w:sz w:val="20"/>
                <w:szCs w:val="20"/>
                <w:lang w:val="es-ES" w:eastAsia="es-AR"/>
              </w:rPr>
              <w:t>085</w:t>
            </w:r>
            <w:r>
              <w:rPr>
                <w:rFonts w:eastAsia="Times New Roman" w:cs="Times New Roman"/>
                <w:sz w:val="20"/>
                <w:szCs w:val="20"/>
                <w:lang w:val="es-ES" w:eastAsia="es-AR"/>
              </w:rPr>
              <w:t>.</w:t>
            </w:r>
            <w:r w:rsidRPr="00F02F94">
              <w:rPr>
                <w:rFonts w:eastAsia="Times New Roman" w:cs="Times New Roman"/>
                <w:sz w:val="20"/>
                <w:szCs w:val="20"/>
                <w:lang w:val="es-ES" w:eastAsia="es-AR"/>
              </w:rPr>
              <w:t>780</w:t>
            </w:r>
            <w:r>
              <w:rPr>
                <w:rFonts w:eastAsia="Times New Roman" w:cs="Times New Roman"/>
                <w:sz w:val="20"/>
                <w:szCs w:val="20"/>
                <w:lang w:val="es-ES" w:eastAsia="es-AR"/>
              </w:rPr>
              <w:t>.</w:t>
            </w:r>
            <w:r w:rsidRPr="00F02F94">
              <w:rPr>
                <w:rFonts w:eastAsia="Times New Roman" w:cs="Times New Roman"/>
                <w:sz w:val="20"/>
                <w:szCs w:val="20"/>
                <w:lang w:val="es-ES" w:eastAsia="es-AR"/>
              </w:rPr>
              <w:t>340</w:t>
            </w:r>
          </w:p>
        </w:tc>
        <w:tc>
          <w:tcPr>
            <w:tcW w:w="858" w:type="dxa"/>
            <w:gridSpan w:val="2"/>
            <w:tcBorders>
              <w:top w:val="single" w:sz="2" w:space="0" w:color="auto"/>
            </w:tcBorders>
            <w:vAlign w:val="center"/>
          </w:tcPr>
          <w:p w14:paraId="605E199C"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+17,4</w:t>
            </w:r>
            <w:r>
              <w:rPr>
                <w:rFonts w:eastAsia="Times New Roman" w:cs="Times New Roman"/>
                <w:sz w:val="20"/>
                <w:szCs w:val="20"/>
                <w:lang w:val="es-ES" w:eastAsia="es-AR"/>
              </w:rPr>
              <w:t>9</w:t>
            </w:r>
            <w:r w:rsidRPr="00C174D5">
              <w:rPr>
                <w:rFonts w:eastAsia="Times New Roman" w:cs="Times New Roman"/>
                <w:sz w:val="20"/>
                <w:szCs w:val="20"/>
                <w:lang w:val="es-ES" w:eastAsia="es-AR"/>
              </w:rPr>
              <w:t>%</w:t>
            </w:r>
          </w:p>
        </w:tc>
        <w:tc>
          <w:tcPr>
            <w:tcW w:w="936" w:type="dxa"/>
            <w:tcBorders>
              <w:top w:val="single" w:sz="2" w:space="0" w:color="auto"/>
            </w:tcBorders>
            <w:vAlign w:val="center"/>
          </w:tcPr>
          <w:p w14:paraId="15095C40"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1.5</w:t>
            </w:r>
            <w:r>
              <w:rPr>
                <w:rFonts w:eastAsia="Times New Roman" w:cs="Times New Roman"/>
                <w:sz w:val="20"/>
                <w:szCs w:val="20"/>
                <w:lang w:val="es-ES" w:eastAsia="es-AR"/>
              </w:rPr>
              <w:t>17</w:t>
            </w:r>
            <w:r w:rsidRPr="00C174D5">
              <w:rPr>
                <w:rFonts w:eastAsia="Times New Roman" w:cs="Times New Roman"/>
                <w:sz w:val="20"/>
                <w:szCs w:val="20"/>
                <w:lang w:val="es-ES" w:eastAsia="es-AR"/>
              </w:rPr>
              <w:t>%</w:t>
            </w:r>
          </w:p>
        </w:tc>
      </w:tr>
      <w:tr w:rsidR="00C92C58" w:rsidRPr="00C174D5" w14:paraId="0825F515" w14:textId="77777777" w:rsidTr="00B15A9A">
        <w:trPr>
          <w:trHeight w:val="300"/>
          <w:jc w:val="center"/>
        </w:trPr>
        <w:tc>
          <w:tcPr>
            <w:tcW w:w="1701" w:type="dxa"/>
            <w:tcBorders>
              <w:top w:val="single" w:sz="2" w:space="0" w:color="auto"/>
              <w:bottom w:val="single" w:sz="2" w:space="0" w:color="auto"/>
            </w:tcBorders>
            <w:shd w:val="clear" w:color="auto" w:fill="auto"/>
            <w:noWrap/>
            <w:vAlign w:val="center"/>
          </w:tcPr>
          <w:p w14:paraId="56570324"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bottom w:val="single" w:sz="2" w:space="0" w:color="auto"/>
            </w:tcBorders>
            <w:shd w:val="clear" w:color="auto" w:fill="auto"/>
            <w:vAlign w:val="center"/>
          </w:tcPr>
          <w:p w14:paraId="632063A1"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1.275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xml:space="preserve"> (- 15%)</w:t>
            </w:r>
          </w:p>
        </w:tc>
        <w:tc>
          <w:tcPr>
            <w:tcW w:w="1418" w:type="dxa"/>
            <w:tcBorders>
              <w:top w:val="single" w:sz="2" w:space="0" w:color="auto"/>
              <w:bottom w:val="single" w:sz="2" w:space="0" w:color="auto"/>
            </w:tcBorders>
            <w:vAlign w:val="center"/>
          </w:tcPr>
          <w:p w14:paraId="6C9AF260"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F02F94">
              <w:rPr>
                <w:rFonts w:eastAsia="Times New Roman" w:cs="Times New Roman"/>
                <w:sz w:val="20"/>
                <w:szCs w:val="20"/>
                <w:lang w:val="es-ES" w:eastAsia="es-AR"/>
              </w:rPr>
              <w:t>1</w:t>
            </w:r>
            <w:r>
              <w:rPr>
                <w:rFonts w:eastAsia="Times New Roman" w:cs="Times New Roman"/>
                <w:sz w:val="20"/>
                <w:szCs w:val="20"/>
                <w:lang w:val="es-ES" w:eastAsia="es-AR"/>
              </w:rPr>
              <w:t>.</w:t>
            </w:r>
            <w:r w:rsidRPr="00F02F94">
              <w:rPr>
                <w:rFonts w:eastAsia="Times New Roman" w:cs="Times New Roman"/>
                <w:sz w:val="20"/>
                <w:szCs w:val="20"/>
                <w:lang w:val="es-ES" w:eastAsia="es-AR"/>
              </w:rPr>
              <w:t>464</w:t>
            </w:r>
            <w:r>
              <w:rPr>
                <w:rFonts w:eastAsia="Times New Roman" w:cs="Times New Roman"/>
                <w:sz w:val="20"/>
                <w:szCs w:val="20"/>
                <w:lang w:val="es-ES" w:eastAsia="es-AR"/>
              </w:rPr>
              <w:t>.</w:t>
            </w:r>
            <w:r w:rsidRPr="00F02F94">
              <w:rPr>
                <w:rFonts w:eastAsia="Times New Roman" w:cs="Times New Roman"/>
                <w:sz w:val="20"/>
                <w:szCs w:val="20"/>
                <w:lang w:val="es-ES" w:eastAsia="es-AR"/>
              </w:rPr>
              <w:t>808</w:t>
            </w:r>
            <w:r>
              <w:rPr>
                <w:rFonts w:eastAsia="Times New Roman" w:cs="Times New Roman"/>
                <w:sz w:val="20"/>
                <w:szCs w:val="20"/>
                <w:lang w:val="es-ES" w:eastAsia="es-AR"/>
              </w:rPr>
              <w:t>.</w:t>
            </w:r>
            <w:r w:rsidRPr="00F02F94">
              <w:rPr>
                <w:rFonts w:eastAsia="Times New Roman" w:cs="Times New Roman"/>
                <w:sz w:val="20"/>
                <w:szCs w:val="20"/>
                <w:lang w:val="es-ES" w:eastAsia="es-AR"/>
              </w:rPr>
              <w:t>746</w:t>
            </w:r>
          </w:p>
        </w:tc>
        <w:tc>
          <w:tcPr>
            <w:tcW w:w="858" w:type="dxa"/>
            <w:gridSpan w:val="2"/>
            <w:tcBorders>
              <w:top w:val="single" w:sz="2" w:space="0" w:color="auto"/>
              <w:bottom w:val="single" w:sz="2" w:space="0" w:color="auto"/>
            </w:tcBorders>
            <w:vAlign w:val="center"/>
          </w:tcPr>
          <w:p w14:paraId="0F513361"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-17,4</w:t>
            </w:r>
            <w:r>
              <w:rPr>
                <w:rFonts w:eastAsia="Times New Roman" w:cs="Times New Roman"/>
                <w:sz w:val="20"/>
                <w:szCs w:val="20"/>
                <w:lang w:val="es-ES" w:eastAsia="es-AR"/>
              </w:rPr>
              <w:t>9</w:t>
            </w:r>
            <w:r w:rsidRPr="00C174D5">
              <w:rPr>
                <w:rFonts w:eastAsia="Times New Roman" w:cs="Times New Roman"/>
                <w:sz w:val="20"/>
                <w:szCs w:val="20"/>
                <w:lang w:val="es-ES" w:eastAsia="es-AR"/>
              </w:rPr>
              <w:t>%</w:t>
            </w:r>
          </w:p>
        </w:tc>
        <w:tc>
          <w:tcPr>
            <w:tcW w:w="936" w:type="dxa"/>
            <w:tcBorders>
              <w:top w:val="single" w:sz="2" w:space="0" w:color="auto"/>
              <w:bottom w:val="single" w:sz="2" w:space="0" w:color="auto"/>
            </w:tcBorders>
            <w:vAlign w:val="center"/>
          </w:tcPr>
          <w:p w14:paraId="392CD64C"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1.0</w:t>
            </w:r>
            <w:r>
              <w:rPr>
                <w:rFonts w:eastAsia="Times New Roman" w:cs="Times New Roman"/>
                <w:sz w:val="20"/>
                <w:szCs w:val="20"/>
                <w:lang w:val="es-ES" w:eastAsia="es-AR"/>
              </w:rPr>
              <w:t>70</w:t>
            </w:r>
            <w:r w:rsidRPr="00C174D5">
              <w:rPr>
                <w:rFonts w:eastAsia="Times New Roman" w:cs="Times New Roman"/>
                <w:sz w:val="20"/>
                <w:szCs w:val="20"/>
                <w:lang w:val="es-ES" w:eastAsia="es-AR"/>
              </w:rPr>
              <w:t>%</w:t>
            </w:r>
          </w:p>
        </w:tc>
      </w:tr>
      <w:tr w:rsidR="00C92C58" w:rsidRPr="00C174D5" w14:paraId="4023B1A5" w14:textId="77777777" w:rsidTr="00B15A9A">
        <w:trPr>
          <w:trHeight w:val="300"/>
          <w:jc w:val="center"/>
        </w:trPr>
        <w:tc>
          <w:tcPr>
            <w:tcW w:w="1701" w:type="dxa"/>
            <w:tcBorders>
              <w:top w:val="single" w:sz="2" w:space="0" w:color="auto"/>
            </w:tcBorders>
            <w:shd w:val="clear" w:color="auto" w:fill="auto"/>
            <w:noWrap/>
            <w:vAlign w:val="center"/>
          </w:tcPr>
          <w:p w14:paraId="3337E771"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02B6B877"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213 US$/</w:t>
            </w:r>
            <w:proofErr w:type="spellStart"/>
            <w:r w:rsidRPr="00C174D5">
              <w:rPr>
                <w:rFonts w:eastAsia="Times New Roman" w:cs="Times New Roman"/>
                <w:sz w:val="20"/>
                <w:szCs w:val="20"/>
                <w:lang w:val="es-ES" w:eastAsia="es-AR"/>
              </w:rPr>
              <w:t>MWh</w:t>
            </w:r>
            <w:proofErr w:type="spellEnd"/>
            <w:r w:rsidRPr="00C174D5">
              <w:rPr>
                <w:rFonts w:eastAsia="Times New Roman" w:cs="Times New Roman"/>
                <w:sz w:val="20"/>
                <w:szCs w:val="20"/>
                <w:lang w:val="es-ES" w:eastAsia="es-AR"/>
              </w:rPr>
              <w:t xml:space="preserve"> (- 86%)</w:t>
            </w:r>
          </w:p>
        </w:tc>
        <w:tc>
          <w:tcPr>
            <w:tcW w:w="1418" w:type="dxa"/>
            <w:tcBorders>
              <w:top w:val="single" w:sz="2" w:space="0" w:color="auto"/>
            </w:tcBorders>
            <w:vAlign w:val="center"/>
          </w:tcPr>
          <w:p w14:paraId="36CF5B9D"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0</w:t>
            </w:r>
          </w:p>
        </w:tc>
        <w:tc>
          <w:tcPr>
            <w:tcW w:w="858" w:type="dxa"/>
            <w:gridSpan w:val="2"/>
            <w:tcBorders>
              <w:top w:val="single" w:sz="2" w:space="0" w:color="auto"/>
            </w:tcBorders>
            <w:vAlign w:val="center"/>
          </w:tcPr>
          <w:p w14:paraId="4BFA5A39"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w:t>
            </w:r>
          </w:p>
        </w:tc>
        <w:tc>
          <w:tcPr>
            <w:tcW w:w="936" w:type="dxa"/>
            <w:tcBorders>
              <w:top w:val="single" w:sz="2" w:space="0" w:color="auto"/>
            </w:tcBorders>
            <w:vAlign w:val="center"/>
          </w:tcPr>
          <w:p w14:paraId="5E64126C"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12%</w:t>
            </w:r>
          </w:p>
        </w:tc>
      </w:tr>
      <w:tr w:rsidR="00C92C58" w:rsidRPr="00C174D5" w14:paraId="4FBDD12F" w14:textId="77777777" w:rsidTr="00B15A9A">
        <w:trPr>
          <w:trHeight w:val="300"/>
          <w:jc w:val="center"/>
        </w:trPr>
        <w:tc>
          <w:tcPr>
            <w:tcW w:w="7322" w:type="dxa"/>
            <w:gridSpan w:val="6"/>
            <w:tcBorders>
              <w:top w:val="single" w:sz="2" w:space="0" w:color="auto"/>
              <w:bottom w:val="single" w:sz="2" w:space="0" w:color="auto"/>
            </w:tcBorders>
            <w:shd w:val="clear" w:color="auto" w:fill="auto"/>
            <w:noWrap/>
            <w:vAlign w:val="center"/>
          </w:tcPr>
          <w:p w14:paraId="3462DCCF"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Costo de inversión</w:t>
            </w:r>
            <w:r w:rsidRPr="00C174D5">
              <w:rPr>
                <w:rStyle w:val="FootnoteReference"/>
                <w:rFonts w:eastAsia="Times New Roman" w:cs="Times New Roman"/>
                <w:sz w:val="20"/>
                <w:szCs w:val="20"/>
                <w:lang w:val="es-ES" w:eastAsia="es-AR"/>
              </w:rPr>
              <w:footnoteReference w:id="61"/>
            </w:r>
            <w:r w:rsidRPr="00C174D5">
              <w:rPr>
                <w:rFonts w:eastAsia="Times New Roman" w:cs="Times New Roman"/>
                <w:sz w:val="20"/>
                <w:szCs w:val="20"/>
                <w:lang w:val="es-ES" w:eastAsia="es-AR"/>
              </w:rPr>
              <w:t xml:space="preserve"> (base 12.820.629)</w:t>
            </w:r>
          </w:p>
        </w:tc>
      </w:tr>
      <w:tr w:rsidR="00C92C58" w:rsidRPr="00C174D5" w14:paraId="0B2B88E4" w14:textId="77777777" w:rsidTr="00B15A9A">
        <w:trPr>
          <w:trHeight w:val="300"/>
          <w:jc w:val="center"/>
        </w:trPr>
        <w:tc>
          <w:tcPr>
            <w:tcW w:w="1701" w:type="dxa"/>
            <w:tcBorders>
              <w:top w:val="single" w:sz="2" w:space="0" w:color="auto"/>
            </w:tcBorders>
            <w:shd w:val="clear" w:color="auto" w:fill="auto"/>
            <w:noWrap/>
            <w:vAlign w:val="center"/>
          </w:tcPr>
          <w:p w14:paraId="400EC5B3"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11C344C3"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14.743.723 (+15%)</w:t>
            </w:r>
          </w:p>
        </w:tc>
        <w:tc>
          <w:tcPr>
            <w:tcW w:w="1418" w:type="dxa"/>
            <w:tcBorders>
              <w:top w:val="single" w:sz="2" w:space="0" w:color="auto"/>
            </w:tcBorders>
            <w:vAlign w:val="center"/>
          </w:tcPr>
          <w:p w14:paraId="0B31B36D"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1.</w:t>
            </w:r>
            <w:r w:rsidRPr="00F02F94">
              <w:rPr>
                <w:rFonts w:eastAsia="Times New Roman" w:cs="Times New Roman"/>
                <w:sz w:val="20"/>
                <w:szCs w:val="20"/>
                <w:lang w:val="es-ES" w:eastAsia="es-AR"/>
              </w:rPr>
              <w:t>772</w:t>
            </w:r>
            <w:r>
              <w:rPr>
                <w:rFonts w:eastAsia="Times New Roman" w:cs="Times New Roman"/>
                <w:sz w:val="20"/>
                <w:szCs w:val="20"/>
                <w:lang w:val="es-ES" w:eastAsia="es-AR"/>
              </w:rPr>
              <w:t>.</w:t>
            </w:r>
            <w:r w:rsidRPr="00F02F94">
              <w:rPr>
                <w:rFonts w:eastAsia="Times New Roman" w:cs="Times New Roman"/>
                <w:sz w:val="20"/>
                <w:szCs w:val="20"/>
                <w:lang w:val="es-ES" w:eastAsia="es-AR"/>
              </w:rPr>
              <w:t>995</w:t>
            </w:r>
            <w:r>
              <w:rPr>
                <w:rFonts w:eastAsia="Times New Roman" w:cs="Times New Roman"/>
                <w:sz w:val="20"/>
                <w:szCs w:val="20"/>
                <w:lang w:val="es-ES" w:eastAsia="es-AR"/>
              </w:rPr>
              <w:t>.</w:t>
            </w:r>
            <w:r w:rsidRPr="00F02F94">
              <w:rPr>
                <w:rFonts w:eastAsia="Times New Roman" w:cs="Times New Roman"/>
                <w:sz w:val="20"/>
                <w:szCs w:val="20"/>
                <w:lang w:val="es-ES" w:eastAsia="es-AR"/>
              </w:rPr>
              <w:t>634</w:t>
            </w:r>
          </w:p>
        </w:tc>
        <w:tc>
          <w:tcPr>
            <w:tcW w:w="850" w:type="dxa"/>
            <w:tcBorders>
              <w:top w:val="single" w:sz="2" w:space="0" w:color="auto"/>
            </w:tcBorders>
            <w:vAlign w:val="center"/>
          </w:tcPr>
          <w:p w14:paraId="0CBD141F"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-0,1</w:t>
            </w:r>
            <w:r>
              <w:rPr>
                <w:rFonts w:eastAsia="Times New Roman" w:cs="Times New Roman"/>
                <w:sz w:val="20"/>
                <w:szCs w:val="20"/>
                <w:lang w:val="es-ES" w:eastAsia="es-AR"/>
              </w:rPr>
              <w:t>3</w:t>
            </w:r>
            <w:r w:rsidRPr="00C174D5">
              <w:rPr>
                <w:rFonts w:eastAsia="Times New Roman" w:cs="Times New Roman"/>
                <w:sz w:val="20"/>
                <w:szCs w:val="20"/>
                <w:lang w:val="es-ES" w:eastAsia="es-AR"/>
              </w:rPr>
              <w:t>%</w:t>
            </w:r>
          </w:p>
        </w:tc>
        <w:tc>
          <w:tcPr>
            <w:tcW w:w="944" w:type="dxa"/>
            <w:gridSpan w:val="2"/>
            <w:tcBorders>
              <w:top w:val="single" w:sz="2" w:space="0" w:color="auto"/>
            </w:tcBorders>
            <w:vAlign w:val="center"/>
          </w:tcPr>
          <w:p w14:paraId="4CB9B397"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1.1</w:t>
            </w:r>
            <w:r>
              <w:rPr>
                <w:rFonts w:eastAsia="Times New Roman" w:cs="Times New Roman"/>
                <w:sz w:val="20"/>
                <w:szCs w:val="20"/>
                <w:lang w:val="es-ES" w:eastAsia="es-AR"/>
              </w:rPr>
              <w:t>2</w:t>
            </w:r>
            <w:r w:rsidRPr="00C174D5">
              <w:rPr>
                <w:rFonts w:eastAsia="Times New Roman" w:cs="Times New Roman"/>
                <w:sz w:val="20"/>
                <w:szCs w:val="20"/>
                <w:lang w:val="es-ES" w:eastAsia="es-AR"/>
              </w:rPr>
              <w:t>5%</w:t>
            </w:r>
          </w:p>
        </w:tc>
      </w:tr>
      <w:tr w:rsidR="00C92C58" w:rsidRPr="00C174D5" w14:paraId="7DB56174" w14:textId="77777777" w:rsidTr="00B15A9A">
        <w:trPr>
          <w:trHeight w:val="300"/>
          <w:jc w:val="center"/>
        </w:trPr>
        <w:tc>
          <w:tcPr>
            <w:tcW w:w="1701" w:type="dxa"/>
            <w:tcBorders>
              <w:top w:val="single" w:sz="2" w:space="0" w:color="auto"/>
            </w:tcBorders>
            <w:shd w:val="clear" w:color="auto" w:fill="auto"/>
            <w:noWrap/>
            <w:vAlign w:val="center"/>
          </w:tcPr>
          <w:p w14:paraId="202F4EEC"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p>
        </w:tc>
        <w:tc>
          <w:tcPr>
            <w:tcW w:w="2409" w:type="dxa"/>
            <w:tcBorders>
              <w:top w:val="single" w:sz="2" w:space="0" w:color="auto"/>
            </w:tcBorders>
            <w:shd w:val="clear" w:color="auto" w:fill="auto"/>
            <w:vAlign w:val="center"/>
          </w:tcPr>
          <w:p w14:paraId="51F38122" w14:textId="77777777" w:rsidR="00C92C58" w:rsidRPr="00C174D5" w:rsidRDefault="00C92C58" w:rsidP="00B15A9A">
            <w:pPr>
              <w:keepNext/>
              <w:keepLines/>
              <w:spacing w:after="0" w:line="240" w:lineRule="auto"/>
              <w:jc w:val="left"/>
              <w:rPr>
                <w:rFonts w:eastAsia="Times New Roman" w:cs="Times New Roman"/>
                <w:sz w:val="20"/>
                <w:szCs w:val="20"/>
                <w:lang w:val="es-ES" w:eastAsia="es-AR"/>
              </w:rPr>
            </w:pPr>
            <w:r w:rsidRPr="00C174D5">
              <w:rPr>
                <w:rFonts w:eastAsia="Times New Roman" w:cs="Times New Roman"/>
                <w:sz w:val="20"/>
                <w:szCs w:val="20"/>
                <w:lang w:val="es-ES" w:eastAsia="es-AR"/>
              </w:rPr>
              <w:t>16.666.818 (+30%)</w:t>
            </w:r>
          </w:p>
        </w:tc>
        <w:tc>
          <w:tcPr>
            <w:tcW w:w="1418" w:type="dxa"/>
            <w:tcBorders>
              <w:top w:val="single" w:sz="2" w:space="0" w:color="auto"/>
            </w:tcBorders>
            <w:vAlign w:val="center"/>
          </w:tcPr>
          <w:p w14:paraId="05ADE78C"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1.770.696.</w:t>
            </w:r>
            <w:r w:rsidRPr="00F02F94">
              <w:rPr>
                <w:rFonts w:eastAsia="Times New Roman" w:cs="Times New Roman"/>
                <w:sz w:val="20"/>
                <w:szCs w:val="20"/>
                <w:lang w:val="es-ES" w:eastAsia="es-AR"/>
              </w:rPr>
              <w:t>725</w:t>
            </w:r>
          </w:p>
        </w:tc>
        <w:tc>
          <w:tcPr>
            <w:tcW w:w="850" w:type="dxa"/>
            <w:tcBorders>
              <w:top w:val="single" w:sz="2" w:space="0" w:color="auto"/>
            </w:tcBorders>
            <w:vAlign w:val="center"/>
          </w:tcPr>
          <w:p w14:paraId="7B989270"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sidRPr="00C174D5">
              <w:rPr>
                <w:rFonts w:eastAsia="Times New Roman" w:cs="Times New Roman"/>
                <w:sz w:val="20"/>
                <w:szCs w:val="20"/>
                <w:lang w:val="es-ES" w:eastAsia="es-AR"/>
              </w:rPr>
              <w:t>-0,2</w:t>
            </w:r>
            <w:r>
              <w:rPr>
                <w:rFonts w:eastAsia="Times New Roman" w:cs="Times New Roman"/>
                <w:sz w:val="20"/>
                <w:szCs w:val="20"/>
                <w:lang w:val="es-ES" w:eastAsia="es-AR"/>
              </w:rPr>
              <w:t>6</w:t>
            </w:r>
            <w:r w:rsidRPr="00C174D5">
              <w:rPr>
                <w:rFonts w:eastAsia="Times New Roman" w:cs="Times New Roman"/>
                <w:sz w:val="20"/>
                <w:szCs w:val="20"/>
                <w:lang w:val="es-ES" w:eastAsia="es-AR"/>
              </w:rPr>
              <w:t>%</w:t>
            </w:r>
          </w:p>
        </w:tc>
        <w:tc>
          <w:tcPr>
            <w:tcW w:w="944" w:type="dxa"/>
            <w:gridSpan w:val="2"/>
            <w:tcBorders>
              <w:top w:val="single" w:sz="2" w:space="0" w:color="auto"/>
            </w:tcBorders>
            <w:vAlign w:val="center"/>
          </w:tcPr>
          <w:p w14:paraId="2736D5D0" w14:textId="77777777" w:rsidR="00C92C58" w:rsidRPr="00C174D5" w:rsidRDefault="00C92C58" w:rsidP="00B15A9A">
            <w:pPr>
              <w:keepNext/>
              <w:keepLines/>
              <w:spacing w:after="0" w:line="240" w:lineRule="auto"/>
              <w:jc w:val="center"/>
              <w:rPr>
                <w:rFonts w:eastAsia="Times New Roman" w:cs="Times New Roman"/>
                <w:sz w:val="20"/>
                <w:szCs w:val="20"/>
                <w:lang w:val="es-ES" w:eastAsia="es-AR"/>
              </w:rPr>
            </w:pPr>
            <w:r>
              <w:rPr>
                <w:rFonts w:eastAsia="Times New Roman" w:cs="Times New Roman"/>
                <w:sz w:val="20"/>
                <w:szCs w:val="20"/>
                <w:lang w:val="es-ES" w:eastAsia="es-AR"/>
              </w:rPr>
              <w:t>995</w:t>
            </w:r>
            <w:r w:rsidRPr="00C174D5">
              <w:rPr>
                <w:rFonts w:eastAsia="Times New Roman" w:cs="Times New Roman"/>
                <w:sz w:val="20"/>
                <w:szCs w:val="20"/>
                <w:lang w:val="es-ES" w:eastAsia="es-AR"/>
              </w:rPr>
              <w:t>%</w:t>
            </w:r>
          </w:p>
        </w:tc>
      </w:tr>
    </w:tbl>
    <w:p w14:paraId="326897A0" w14:textId="77777777" w:rsidR="00C92C58" w:rsidRPr="00C174D5" w:rsidRDefault="00C92C58" w:rsidP="00C92C58">
      <w:pPr>
        <w:ind w:left="1134" w:right="1134"/>
        <w:jc w:val="center"/>
        <w:rPr>
          <w:sz w:val="18"/>
          <w:lang w:val="es-ES"/>
        </w:rPr>
      </w:pPr>
      <w:r w:rsidRPr="00C174D5">
        <w:rPr>
          <w:sz w:val="18"/>
          <w:lang w:val="es-ES"/>
        </w:rPr>
        <w:t>Fuente: Elaboración propia en base a información de ENATREL provista por el BID</w:t>
      </w:r>
    </w:p>
    <w:p w14:paraId="718DB1F5" w14:textId="77777777" w:rsidR="00C92C58" w:rsidRPr="00C174D5" w:rsidRDefault="00C92C58" w:rsidP="00C92C58">
      <w:pPr>
        <w:rPr>
          <w:lang w:val="es-ES"/>
        </w:rPr>
      </w:pPr>
      <w:r w:rsidRPr="00C174D5">
        <w:rPr>
          <w:lang w:val="es-ES"/>
        </w:rPr>
        <w:t xml:space="preserve">Los resultados son robustos a las sensibilidades efectuadas (esto es, el VPNE se mantiene positivo en todos los escenarios). </w:t>
      </w:r>
    </w:p>
    <w:p w14:paraId="63F1063A" w14:textId="77777777" w:rsidR="00C92C58" w:rsidRPr="00C174D5" w:rsidRDefault="00C92C58" w:rsidP="00C92C58">
      <w:pPr>
        <w:rPr>
          <w:lang w:val="es-ES"/>
        </w:rPr>
      </w:pPr>
      <w:r w:rsidRPr="00C174D5">
        <w:rPr>
          <w:lang w:val="es-ES"/>
        </w:rPr>
        <w:t>Antes de terminar con el análisis económico es pertinente preguntarse cuál es el valor de la energía de falla que hace que el VPNE del proyecto sea negativo, este es alrededor 213 US$/</w:t>
      </w:r>
      <w:proofErr w:type="spellStart"/>
      <w:r w:rsidRPr="00C174D5">
        <w:rPr>
          <w:lang w:val="es-ES"/>
        </w:rPr>
        <w:t>MWh</w:t>
      </w:r>
      <w:proofErr w:type="spellEnd"/>
      <w:r w:rsidRPr="00C174D5">
        <w:rPr>
          <w:lang w:val="es-ES"/>
        </w:rPr>
        <w:t xml:space="preserve"> (un 86% menor al utilizado en la evaluación).</w:t>
      </w:r>
    </w:p>
    <w:p w14:paraId="3088D36F" w14:textId="77777777" w:rsidR="00C92C58" w:rsidRPr="00C174D5" w:rsidRDefault="00C92C58" w:rsidP="00C92C58">
      <w:pPr>
        <w:rPr>
          <w:lang w:val="es-ES"/>
        </w:rPr>
      </w:pPr>
    </w:p>
    <w:p w14:paraId="0C24268A" w14:textId="77777777" w:rsidR="00C92C58" w:rsidRPr="00C174D5" w:rsidRDefault="00C92C58" w:rsidP="00C92C58">
      <w:pPr>
        <w:pStyle w:val="Heading1"/>
        <w:numPr>
          <w:ilvl w:val="0"/>
          <w:numId w:val="9"/>
        </w:numPr>
        <w:rPr>
          <w:lang w:val="es-ES"/>
        </w:rPr>
      </w:pPr>
      <w:bookmarkStart w:id="241" w:name="_Toc447546954"/>
      <w:bookmarkStart w:id="242" w:name="_Toc456353154"/>
      <w:r w:rsidRPr="00C174D5">
        <w:rPr>
          <w:lang w:val="es-ES"/>
        </w:rPr>
        <w:lastRenderedPageBreak/>
        <w:t>Conclusiones</w:t>
      </w:r>
      <w:bookmarkEnd w:id="241"/>
      <w:bookmarkEnd w:id="242"/>
    </w:p>
    <w:p w14:paraId="61E72E1C" w14:textId="77777777" w:rsidR="00C92C58" w:rsidRPr="00C174D5" w:rsidRDefault="00C92C58" w:rsidP="00C92C58">
      <w:pPr>
        <w:rPr>
          <w:lang w:val="es-ES"/>
        </w:rPr>
      </w:pPr>
      <w:r w:rsidRPr="00C174D5">
        <w:rPr>
          <w:lang w:val="es-ES"/>
        </w:rPr>
        <w:t>En este documento se han presentado los resultados de las evaluaciones económico-financieras de una serie de proyectos priorizados para el Sistema Nacional de Transmisión de Nicaragua. Estos proyectos, a ser financiados por el Banco Interamericano de Desarrollo (BID), tienen como objetivo general contribuir en la mejora de las condiciones de operación de la infraestructura de transmisión en el Sistema Interconectado Nacional (SIN), mediante refuerzos en líneas y subestaciones. Los objetivos específicos, por otro lado, incluyen mejorar las condiciones de operación del sistema de transmisión en el SIN mediante refuerzos que permiten atender el crecimiento de la demanda y la conexión de nueva generación; e implementar las mejoras del sistema de transmisión requeridas para su adaptación al Sistema de Interconexión Eléctrica de los Países de América Central (SIEPAC).</w:t>
      </w:r>
    </w:p>
    <w:p w14:paraId="7CE0C7ED" w14:textId="77777777" w:rsidR="00C92C58" w:rsidRPr="00C174D5" w:rsidRDefault="00C92C58" w:rsidP="00C92C58">
      <w:pPr>
        <w:rPr>
          <w:lang w:val="es-ES"/>
        </w:rPr>
      </w:pPr>
      <w:r w:rsidRPr="00C174D5">
        <w:rPr>
          <w:lang w:val="es-ES"/>
        </w:rPr>
        <w:t>En términos de inversión (financiera</w:t>
      </w:r>
      <w:r w:rsidRPr="00C174D5">
        <w:rPr>
          <w:rStyle w:val="FootnoteReference"/>
          <w:lang w:val="es-ES"/>
        </w:rPr>
        <w:footnoteReference w:id="62"/>
      </w:r>
      <w:r w:rsidRPr="00C174D5">
        <w:rPr>
          <w:lang w:val="es-ES"/>
        </w:rPr>
        <w:t xml:space="preserve">), estos proyectos locales conllevan una erogación de cerca de </w:t>
      </w:r>
      <w:r>
        <w:rPr>
          <w:lang w:val="es-ES"/>
        </w:rPr>
        <w:t>43</w:t>
      </w:r>
      <w:r w:rsidRPr="00C174D5">
        <w:rPr>
          <w:lang w:val="es-ES"/>
        </w:rPr>
        <w:t>.</w:t>
      </w:r>
      <w:r>
        <w:rPr>
          <w:lang w:val="es-ES"/>
        </w:rPr>
        <w:t>000</w:t>
      </w:r>
      <w:r w:rsidRPr="00C174D5">
        <w:rPr>
          <w:lang w:val="es-ES"/>
        </w:rPr>
        <w:t>.</w:t>
      </w:r>
      <w:r>
        <w:rPr>
          <w:lang w:val="es-ES"/>
        </w:rPr>
        <w:t>0</w:t>
      </w:r>
      <w:r w:rsidRPr="00C174D5">
        <w:rPr>
          <w:lang w:val="es-ES"/>
        </w:rPr>
        <w:t>0</w:t>
      </w:r>
      <w:r>
        <w:rPr>
          <w:lang w:val="es-ES"/>
        </w:rPr>
        <w:t>0</w:t>
      </w:r>
      <w:r w:rsidRPr="00C174D5">
        <w:rPr>
          <w:lang w:val="es-ES"/>
        </w:rPr>
        <w:t xml:space="preserve"> US$, permitiendo generar un valor económico neto global de </w:t>
      </w:r>
      <w:r>
        <w:rPr>
          <w:lang w:val="es-ES"/>
        </w:rPr>
        <w:t>cerca</w:t>
      </w:r>
      <w:r w:rsidRPr="00C174D5">
        <w:rPr>
          <w:lang w:val="es-ES"/>
        </w:rPr>
        <w:t xml:space="preserve"> de </w:t>
      </w:r>
      <w:r>
        <w:rPr>
          <w:lang w:val="es-ES"/>
        </w:rPr>
        <w:t>70</w:t>
      </w:r>
      <w:r w:rsidRPr="00C174D5">
        <w:rPr>
          <w:lang w:val="es-ES"/>
        </w:rPr>
        <w:t>0.000.000 US$</w:t>
      </w:r>
      <w:r>
        <w:rPr>
          <w:lang w:val="es-ES"/>
        </w:rPr>
        <w:t xml:space="preserve"> (a valores de 2016)</w:t>
      </w:r>
      <w:r w:rsidRPr="00C174D5">
        <w:rPr>
          <w:lang w:val="es-ES"/>
        </w:rPr>
        <w:t xml:space="preserve">, para más de </w:t>
      </w:r>
      <w:r>
        <w:rPr>
          <w:lang w:val="es-ES"/>
        </w:rPr>
        <w:t>400</w:t>
      </w:r>
      <w:r w:rsidRPr="00C174D5">
        <w:rPr>
          <w:lang w:val="es-ES"/>
        </w:rPr>
        <w:t>.000 clientes nicaragüenses, entre nuevos y existentes. Además, todos los proyectos evaluados (considerados individualmente) conllevan un Valor Presente Neto Económico (VPNE) positivo, siendo en general los resultados robustos a variaciones en los supuestos de modelación.</w:t>
      </w:r>
    </w:p>
    <w:p w14:paraId="5662D48B" w14:textId="77777777" w:rsidR="00C92C58" w:rsidRPr="00C174D5" w:rsidRDefault="00C92C58" w:rsidP="00C92C58">
      <w:pPr>
        <w:rPr>
          <w:lang w:val="es-ES"/>
        </w:rPr>
      </w:pPr>
      <w:r w:rsidRPr="00C174D5">
        <w:rPr>
          <w:lang w:val="es-ES"/>
        </w:rPr>
        <w:t>El proyecto “Aumento capacidad líneas 230kV”, el cual fue analizado desde una óptica regional, de acuerdo con los supuestos postulados, posee una TIRE levemente por debajo de la tasa social de descuento de 12% (11,5%). Sin embargo, cabe tener en cuenta que los beneficios considerados sólo son los dados por el ahorro térmico que supone. Si además de estos beneficios, se tienen en cuenta otros beneficios esperados del proyecto, como los beneficios de integración (derivados de una mayor coordinación, entre países, en la planificación de la generación) el proyecto se vuelve socialmente deseable, con una TIRE del 23%.</w:t>
      </w:r>
    </w:p>
    <w:p w14:paraId="2880C5AB" w14:textId="77777777" w:rsidR="00C92C58" w:rsidRPr="00C174D5" w:rsidRDefault="00C92C58" w:rsidP="00C92C58">
      <w:pPr>
        <w:rPr>
          <w:lang w:val="es-ES"/>
        </w:rPr>
      </w:pPr>
      <w:r w:rsidRPr="00C174D5">
        <w:rPr>
          <w:lang w:val="es-ES"/>
        </w:rPr>
        <w:t xml:space="preserve">En términos privados o financieros, </w:t>
      </w:r>
      <w:r>
        <w:rPr>
          <w:lang w:val="es-ES"/>
        </w:rPr>
        <w:t xml:space="preserve">algunos </w:t>
      </w:r>
      <w:r w:rsidRPr="00C174D5">
        <w:rPr>
          <w:lang w:val="es-ES"/>
        </w:rPr>
        <w:t>proyectos</w:t>
      </w:r>
      <w:r>
        <w:rPr>
          <w:lang w:val="es-ES"/>
        </w:rPr>
        <w:t xml:space="preserve"> resultan rentables (SE Catarina, SE San Benito, SE </w:t>
      </w:r>
      <w:proofErr w:type="spellStart"/>
      <w:r>
        <w:rPr>
          <w:lang w:val="es-ES"/>
        </w:rPr>
        <w:t>Ticuantepe</w:t>
      </w:r>
      <w:proofErr w:type="spellEnd"/>
      <w:r>
        <w:rPr>
          <w:lang w:val="es-ES"/>
        </w:rPr>
        <w:t xml:space="preserve"> I y II), mientras que otros no </w:t>
      </w:r>
      <w:r w:rsidRPr="00C174D5">
        <w:rPr>
          <w:lang w:val="es-ES"/>
        </w:rPr>
        <w:t>(LT El Sauce- Villanueva</w:t>
      </w:r>
      <w:r>
        <w:rPr>
          <w:lang w:val="es-ES"/>
        </w:rPr>
        <w:t>,</w:t>
      </w:r>
      <w:r w:rsidRPr="00C174D5">
        <w:rPr>
          <w:lang w:val="es-ES"/>
        </w:rPr>
        <w:t xml:space="preserve"> SE </w:t>
      </w:r>
      <w:proofErr w:type="spellStart"/>
      <w:r w:rsidRPr="00C174D5">
        <w:rPr>
          <w:lang w:val="es-ES"/>
        </w:rPr>
        <w:t>Sébaco</w:t>
      </w:r>
      <w:proofErr w:type="spellEnd"/>
      <w:r>
        <w:rPr>
          <w:lang w:val="es-ES"/>
        </w:rPr>
        <w:t xml:space="preserve">, SE </w:t>
      </w:r>
      <w:proofErr w:type="spellStart"/>
      <w:r>
        <w:rPr>
          <w:lang w:val="es-ES"/>
        </w:rPr>
        <w:t>Acahualinca</w:t>
      </w:r>
      <w:proofErr w:type="spellEnd"/>
      <w:r>
        <w:rPr>
          <w:lang w:val="es-ES"/>
        </w:rPr>
        <w:t xml:space="preserve">, SE </w:t>
      </w:r>
      <w:proofErr w:type="spellStart"/>
      <w:r>
        <w:rPr>
          <w:lang w:val="es-ES"/>
        </w:rPr>
        <w:t>Diriamba</w:t>
      </w:r>
      <w:proofErr w:type="spellEnd"/>
      <w:r>
        <w:rPr>
          <w:lang w:val="es-ES"/>
        </w:rPr>
        <w:t xml:space="preserve"> y la adquisición del transformador móvil</w:t>
      </w:r>
      <w:r w:rsidRPr="00C174D5">
        <w:rPr>
          <w:lang w:val="es-ES"/>
        </w:rPr>
        <w:t xml:space="preserve">). De todas maneras, para aquellos que nos resultan rentables desde la óptica privada, es pertinente hacer una salvedad que tiene que ver con la relevancia del análisis financiero en el contexto de esta evaluación. En el caso de evaluación financiera de proyectos en sectores regulados, como es el presente, las tarifas pueden ser endógenas (dependiendo del tipo de regulación), ajustándose entonces de manera de cubrir los costos de toda la cartera de proyectos. Por otro lado, si se utiliza la tarifa media para evaluar un proyecto específico en la red de </w:t>
      </w:r>
      <w:r w:rsidRPr="00C174D5">
        <w:rPr>
          <w:lang w:val="es-ES"/>
        </w:rPr>
        <w:lastRenderedPageBreak/>
        <w:t>transmisión, si bien el resultado financiero individual puede no ser positivo, esto no invalida la posibilidad de que la empresa en su conjunto sea rentable, incluso en términos financieros.</w:t>
      </w:r>
    </w:p>
    <w:p w14:paraId="6F2BFD8C" w14:textId="77777777" w:rsidR="00C92C58" w:rsidRPr="00C174D5" w:rsidRDefault="00C92C58" w:rsidP="00C92C58">
      <w:pPr>
        <w:rPr>
          <w:lang w:val="es-ES"/>
        </w:rPr>
      </w:pPr>
      <w:r w:rsidRPr="00C174D5">
        <w:rPr>
          <w:lang w:val="es-ES"/>
        </w:rPr>
        <w:t>Como conclusión general de la evaluación entonces, es posible aseverar que la consecución de estos proyectos es deseable desde el punto de vista de la sociedad nicaragüense. Para el caso del proyecto de ampliación de capacidad de las LT 230kV por otro lado, desde una perspectiva regional, el proyecto posee una TIRE levemente por debajo de la tasa social de descuento.</w:t>
      </w:r>
    </w:p>
    <w:p w14:paraId="05AAC831" w14:textId="77777777" w:rsidR="00C92C58" w:rsidRPr="00C174D5" w:rsidRDefault="00C92C58" w:rsidP="00C92C58">
      <w:pPr>
        <w:rPr>
          <w:rFonts w:eastAsiaTheme="majorEastAsia" w:cstheme="majorBidi"/>
          <w:b/>
          <w:bCs/>
          <w:smallCaps/>
          <w:sz w:val="28"/>
          <w:szCs w:val="28"/>
          <w:lang w:val="es-ES"/>
        </w:rPr>
      </w:pPr>
      <w:r w:rsidRPr="00C174D5">
        <w:rPr>
          <w:lang w:val="es-ES"/>
        </w:rPr>
        <w:br w:type="page"/>
      </w:r>
    </w:p>
    <w:p w14:paraId="03CEBBAC" w14:textId="77777777" w:rsidR="00C92C58" w:rsidRPr="00C174D5" w:rsidRDefault="00C92C58" w:rsidP="00C92C58">
      <w:pPr>
        <w:pStyle w:val="Heading1"/>
        <w:pageBreakBefore w:val="0"/>
        <w:numPr>
          <w:ilvl w:val="0"/>
          <w:numId w:val="38"/>
        </w:numPr>
        <w:rPr>
          <w:lang w:val="es-ES"/>
        </w:rPr>
      </w:pPr>
      <w:bookmarkStart w:id="243" w:name="_Ref448415595"/>
      <w:bookmarkStart w:id="244" w:name="_Toc456353155"/>
      <w:bookmarkStart w:id="245" w:name="_Ref447298474"/>
      <w:bookmarkStart w:id="246" w:name="_Toc447546959"/>
      <w:r w:rsidRPr="00C174D5">
        <w:rPr>
          <w:lang w:val="es-ES"/>
        </w:rPr>
        <w:lastRenderedPageBreak/>
        <w:t>Anexo A – SE Catarina – Aumento de la demanda potencial</w:t>
      </w:r>
      <w:bookmarkEnd w:id="243"/>
      <w:bookmarkEnd w:id="244"/>
    </w:p>
    <w:p w14:paraId="2D026DFB" w14:textId="77777777" w:rsidR="00C92C58" w:rsidRPr="00C174D5" w:rsidRDefault="00C92C58" w:rsidP="00C92C58">
      <w:pPr>
        <w:rPr>
          <w:lang w:val="es-ES"/>
        </w:rPr>
      </w:pPr>
      <w:r w:rsidRPr="00C174D5">
        <w:rPr>
          <w:lang w:val="es-ES"/>
        </w:rPr>
        <w:t xml:space="preserve">En el presente anexo se presentan los resultados de la evaluación del proyecto de ampliación de la SE Catarina, considerando las corridas recibidas el día 13 de abril (archivo FLUJOS DE ENERGÍA_SE CATARINA_12042016.xlsx, “corrida nueva” de aquí en más). En este escenario, a diferencia del escenario considerado </w:t>
      </w:r>
      <w:r>
        <w:rPr>
          <w:lang w:val="es-ES"/>
        </w:rPr>
        <w:t xml:space="preserve">para el análisis </w:t>
      </w:r>
      <w:r w:rsidRPr="00C174D5">
        <w:rPr>
          <w:lang w:val="es-ES"/>
        </w:rPr>
        <w:t xml:space="preserve">en el informe (“corrida original”), se supone que el proyecto permite aumentar, durante todo el período de análisis, la potencia abastecida a clientes existentes y la abastecida mediante PER. Para estos últimos se supone que la cantidad de clientes, con proyecto, es casi 3 veces mayor que la cantidad de clientes sin el mismo. Como resultado, los beneficios del proyecto aumentan sustancialmente, puesto que no sólo incluyen un aumento en la confiabilidad, sino un aumento en la carga abastecida durante todo el período. Las diferencias en las demandas potenciales se muestran en el </w:t>
      </w:r>
      <w:r w:rsidRPr="00C174D5">
        <w:rPr>
          <w:lang w:val="es-ES"/>
        </w:rPr>
        <w:fldChar w:fldCharType="begin"/>
      </w:r>
      <w:r w:rsidRPr="00C174D5">
        <w:rPr>
          <w:lang w:val="es-ES"/>
        </w:rPr>
        <w:instrText xml:space="preserve"> REF _Ref448417881 \h </w:instrText>
      </w:r>
      <w:r w:rsidRPr="00C174D5">
        <w:rPr>
          <w:lang w:val="es-ES"/>
        </w:rPr>
      </w:r>
      <w:r w:rsidRPr="00C174D5">
        <w:rPr>
          <w:lang w:val="es-ES"/>
        </w:rPr>
        <w:fldChar w:fldCharType="separate"/>
      </w:r>
      <w:r w:rsidRPr="00C174D5">
        <w:rPr>
          <w:b/>
          <w:sz w:val="20"/>
          <w:lang w:val="es-ES"/>
        </w:rPr>
        <w:t xml:space="preserve">Gráfico </w:t>
      </w:r>
      <w:r>
        <w:rPr>
          <w:b/>
          <w:noProof/>
          <w:sz w:val="20"/>
          <w:lang w:val="es-ES"/>
        </w:rPr>
        <w:t>9</w:t>
      </w:r>
      <w:r w:rsidRPr="00C174D5">
        <w:rPr>
          <w:lang w:val="es-ES"/>
        </w:rPr>
        <w:fldChar w:fldCharType="end"/>
      </w:r>
      <w:r w:rsidRPr="00C174D5">
        <w:rPr>
          <w:lang w:val="es-ES"/>
        </w:rPr>
        <w:t>.</w:t>
      </w:r>
    </w:p>
    <w:p w14:paraId="51420E60" w14:textId="77777777" w:rsidR="00C92C58" w:rsidRPr="00C174D5" w:rsidRDefault="00C92C58" w:rsidP="00C92C58">
      <w:pPr>
        <w:keepNext/>
        <w:keepLines/>
        <w:spacing w:after="120"/>
        <w:jc w:val="center"/>
        <w:rPr>
          <w:b/>
          <w:sz w:val="20"/>
          <w:lang w:val="es-ES"/>
        </w:rPr>
      </w:pPr>
      <w:bookmarkStart w:id="247" w:name="_Ref448417881"/>
      <w:bookmarkStart w:id="248" w:name="_Toc456353215"/>
      <w:r w:rsidRPr="00C174D5">
        <w:rPr>
          <w:b/>
          <w:sz w:val="20"/>
          <w:lang w:val="es-ES"/>
        </w:rPr>
        <w:t xml:space="preserve">Gráfico </w:t>
      </w:r>
      <w:r w:rsidRPr="00C174D5">
        <w:rPr>
          <w:b/>
          <w:sz w:val="20"/>
          <w:lang w:val="es-ES"/>
        </w:rPr>
        <w:fldChar w:fldCharType="begin"/>
      </w:r>
      <w:r w:rsidRPr="00C174D5">
        <w:rPr>
          <w:b/>
          <w:sz w:val="20"/>
          <w:lang w:val="es-ES"/>
        </w:rPr>
        <w:instrText xml:space="preserve"> SEQ Gráfico \* ARABIC </w:instrText>
      </w:r>
      <w:r w:rsidRPr="00C174D5">
        <w:rPr>
          <w:b/>
          <w:sz w:val="20"/>
          <w:lang w:val="es-ES"/>
        </w:rPr>
        <w:fldChar w:fldCharType="separate"/>
      </w:r>
      <w:r>
        <w:rPr>
          <w:b/>
          <w:noProof/>
          <w:sz w:val="20"/>
          <w:lang w:val="es-ES"/>
        </w:rPr>
        <w:t>9</w:t>
      </w:r>
      <w:r w:rsidRPr="00C174D5">
        <w:rPr>
          <w:b/>
          <w:sz w:val="20"/>
          <w:lang w:val="es-ES"/>
        </w:rPr>
        <w:fldChar w:fldCharType="end"/>
      </w:r>
      <w:bookmarkEnd w:id="247"/>
      <w:r w:rsidRPr="00C174D5">
        <w:rPr>
          <w:b/>
          <w:sz w:val="20"/>
          <w:lang w:val="es-ES"/>
        </w:rPr>
        <w:t>: Demanda potencial (MW)</w:t>
      </w:r>
      <w:bookmarkEnd w:id="248"/>
    </w:p>
    <w:p w14:paraId="6E2E4AB2" w14:textId="77777777" w:rsidR="00C92C58" w:rsidRPr="00C174D5" w:rsidRDefault="00C92C58" w:rsidP="00C92C58">
      <w:pPr>
        <w:spacing w:after="0"/>
        <w:jc w:val="center"/>
        <w:rPr>
          <w:lang w:val="es-ES"/>
        </w:rPr>
      </w:pPr>
      <w:r w:rsidRPr="00C174D5">
        <w:rPr>
          <w:noProof/>
          <w:lang w:val="es-CO" w:eastAsia="es-CO"/>
        </w:rPr>
        <w:drawing>
          <wp:inline distT="0" distB="0" distL="0" distR="0" wp14:anchorId="4A5D0A84" wp14:editId="6E69565F">
            <wp:extent cx="3960000" cy="2787163"/>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60000" cy="2787163"/>
                    </a:xfrm>
                    <a:prstGeom prst="rect">
                      <a:avLst/>
                    </a:prstGeom>
                    <a:noFill/>
                  </pic:spPr>
                </pic:pic>
              </a:graphicData>
            </a:graphic>
          </wp:inline>
        </w:drawing>
      </w:r>
    </w:p>
    <w:p w14:paraId="00F475FF" w14:textId="77777777" w:rsidR="00C92C58" w:rsidRPr="00C174D5" w:rsidRDefault="00C92C58" w:rsidP="00C92C58">
      <w:pPr>
        <w:ind w:left="1134" w:right="1134"/>
        <w:jc w:val="center"/>
        <w:rPr>
          <w:sz w:val="18"/>
          <w:lang w:val="es-ES"/>
        </w:rPr>
      </w:pPr>
      <w:r w:rsidRPr="00C174D5">
        <w:rPr>
          <w:sz w:val="18"/>
          <w:lang w:val="es-ES"/>
        </w:rPr>
        <w:t>Fuente: Elaboración propia en base a información de ENATREL provista por el BID</w:t>
      </w:r>
    </w:p>
    <w:p w14:paraId="3D5F5755" w14:textId="77777777" w:rsidR="00C92C58" w:rsidRPr="00C174D5" w:rsidRDefault="00C92C58" w:rsidP="00C92C58">
      <w:pPr>
        <w:rPr>
          <w:lang w:val="es-ES"/>
        </w:rPr>
      </w:pPr>
      <w:r w:rsidRPr="00C174D5">
        <w:rPr>
          <w:lang w:val="es-ES"/>
        </w:rPr>
        <w:t xml:space="preserve">Los resultados de la evaluación económica de este proyecto, bajo los supuestos de la “nueva corrida”, se presentan en la </w:t>
      </w:r>
      <w:r w:rsidRPr="00C174D5">
        <w:rPr>
          <w:lang w:val="es-ES"/>
        </w:rPr>
        <w:fldChar w:fldCharType="begin"/>
      </w:r>
      <w:r w:rsidRPr="00C174D5">
        <w:rPr>
          <w:lang w:val="es-ES"/>
        </w:rPr>
        <w:instrText xml:space="preserve"> REF _Ref448418701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48</w:t>
      </w:r>
      <w:r w:rsidRPr="00C174D5">
        <w:rPr>
          <w:lang w:val="es-ES"/>
        </w:rPr>
        <w:fldChar w:fldCharType="end"/>
      </w:r>
      <w:r w:rsidRPr="00C174D5">
        <w:rPr>
          <w:lang w:val="es-ES"/>
        </w:rPr>
        <w:t>.</w:t>
      </w:r>
    </w:p>
    <w:p w14:paraId="0DA62B5B" w14:textId="77777777" w:rsidR="00C92C58" w:rsidRPr="00C174D5" w:rsidRDefault="00C92C58" w:rsidP="00C92C58">
      <w:pPr>
        <w:keepNext/>
        <w:keepLines/>
        <w:spacing w:after="120"/>
        <w:jc w:val="center"/>
        <w:rPr>
          <w:b/>
          <w:sz w:val="20"/>
          <w:lang w:val="es-ES"/>
        </w:rPr>
      </w:pPr>
      <w:bookmarkStart w:id="249" w:name="_Ref448418701"/>
      <w:bookmarkStart w:id="250" w:name="_Toc456353204"/>
      <w:r w:rsidRPr="00C174D5">
        <w:rPr>
          <w:b/>
          <w:sz w:val="20"/>
          <w:lang w:val="es-ES"/>
        </w:rPr>
        <w:lastRenderedPageBreak/>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48</w:t>
      </w:r>
      <w:r w:rsidRPr="00C174D5">
        <w:rPr>
          <w:b/>
          <w:sz w:val="20"/>
          <w:lang w:val="es-ES"/>
        </w:rPr>
        <w:fldChar w:fldCharType="end"/>
      </w:r>
      <w:bookmarkEnd w:id="249"/>
      <w:r w:rsidRPr="00C174D5">
        <w:rPr>
          <w:b/>
          <w:sz w:val="20"/>
          <w:lang w:val="es-ES"/>
        </w:rPr>
        <w:t>: Resultados evaluación económica – SE Catarina “nueva corrida”</w:t>
      </w:r>
      <w:bookmarkEnd w:id="250"/>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333"/>
        <w:gridCol w:w="1306"/>
        <w:gridCol w:w="1214"/>
        <w:gridCol w:w="1307"/>
        <w:gridCol w:w="1307"/>
        <w:gridCol w:w="998"/>
        <w:gridCol w:w="26"/>
      </w:tblGrid>
      <w:tr w:rsidR="00C92C58" w:rsidRPr="00C174D5" w14:paraId="391C76BE" w14:textId="77777777" w:rsidTr="00B15A9A">
        <w:trPr>
          <w:trHeight w:val="35"/>
          <w:jc w:val="center"/>
        </w:trPr>
        <w:tc>
          <w:tcPr>
            <w:tcW w:w="2333"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3AD9E7F9" w14:textId="77777777" w:rsidR="00C92C58" w:rsidRPr="00C174D5" w:rsidRDefault="00C92C58" w:rsidP="00B15A9A">
            <w:pPr>
              <w:keepNext/>
              <w:keepLines/>
              <w:spacing w:after="0"/>
              <w:jc w:val="center"/>
              <w:rPr>
                <w:b/>
                <w:sz w:val="20"/>
                <w:lang w:val="es-ES"/>
              </w:rPr>
            </w:pPr>
          </w:p>
        </w:tc>
        <w:tc>
          <w:tcPr>
            <w:tcW w:w="130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54A511D9" w14:textId="77777777" w:rsidR="00C92C58" w:rsidRPr="00C174D5" w:rsidRDefault="00C92C58" w:rsidP="00B15A9A">
            <w:pPr>
              <w:keepNext/>
              <w:keepLines/>
              <w:spacing w:after="0"/>
              <w:jc w:val="center"/>
              <w:rPr>
                <w:b/>
                <w:sz w:val="20"/>
                <w:lang w:val="es-ES"/>
              </w:rPr>
            </w:pPr>
            <w:r w:rsidRPr="00C174D5">
              <w:rPr>
                <w:b/>
                <w:bCs/>
                <w:sz w:val="20"/>
                <w:lang w:val="es-ES"/>
              </w:rPr>
              <w:t xml:space="preserve">VP Inversión </w:t>
            </w:r>
            <w:proofErr w:type="spellStart"/>
            <w:r w:rsidRPr="00C174D5">
              <w:rPr>
                <w:b/>
                <w:bCs/>
                <w:sz w:val="20"/>
                <w:lang w:val="es-ES"/>
              </w:rPr>
              <w:t>ec</w:t>
            </w:r>
            <w:proofErr w:type="spellEnd"/>
            <w:r w:rsidRPr="00C174D5">
              <w:rPr>
                <w:b/>
                <w:bCs/>
                <w:sz w:val="20"/>
                <w:lang w:val="es-ES"/>
              </w:rPr>
              <w:t>. (US$)</w:t>
            </w:r>
          </w:p>
        </w:tc>
        <w:tc>
          <w:tcPr>
            <w:tcW w:w="1214"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5BAA9C3B" w14:textId="77777777" w:rsidR="00C92C58" w:rsidRPr="00C174D5" w:rsidRDefault="00C92C58" w:rsidP="00B15A9A">
            <w:pPr>
              <w:keepNext/>
              <w:keepLines/>
              <w:spacing w:after="0"/>
              <w:jc w:val="center"/>
              <w:rPr>
                <w:b/>
                <w:sz w:val="20"/>
                <w:lang w:val="es-ES"/>
              </w:rPr>
            </w:pPr>
            <w:r w:rsidRPr="00C174D5">
              <w:rPr>
                <w:b/>
                <w:bCs/>
                <w:sz w:val="20"/>
                <w:lang w:val="es-ES"/>
              </w:rPr>
              <w:t xml:space="preserve">VP Costos </w:t>
            </w:r>
            <w:proofErr w:type="spellStart"/>
            <w:r w:rsidRPr="00C174D5">
              <w:rPr>
                <w:b/>
                <w:bCs/>
                <w:sz w:val="20"/>
                <w:lang w:val="es-ES"/>
              </w:rPr>
              <w:t>ec</w:t>
            </w:r>
            <w:proofErr w:type="spellEnd"/>
            <w:r w:rsidRPr="00C174D5">
              <w:rPr>
                <w:b/>
                <w:bCs/>
                <w:sz w:val="20"/>
                <w:lang w:val="es-ES"/>
              </w:rPr>
              <w:t>. (US$)</w:t>
            </w:r>
          </w:p>
        </w:tc>
        <w:tc>
          <w:tcPr>
            <w:tcW w:w="130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3B385A93" w14:textId="77777777" w:rsidR="00C92C58" w:rsidRPr="00C174D5" w:rsidRDefault="00C92C58" w:rsidP="00B15A9A">
            <w:pPr>
              <w:keepNext/>
              <w:keepLines/>
              <w:spacing w:after="0"/>
              <w:jc w:val="center"/>
              <w:rPr>
                <w:b/>
                <w:sz w:val="20"/>
                <w:lang w:val="es-ES"/>
              </w:rPr>
            </w:pPr>
            <w:r w:rsidRPr="00C174D5">
              <w:rPr>
                <w:b/>
                <w:bCs/>
                <w:sz w:val="20"/>
                <w:lang w:val="es-ES"/>
              </w:rPr>
              <w:t xml:space="preserve">VP Beneficios </w:t>
            </w:r>
            <w:proofErr w:type="spellStart"/>
            <w:r w:rsidRPr="00C174D5">
              <w:rPr>
                <w:b/>
                <w:bCs/>
                <w:sz w:val="20"/>
                <w:lang w:val="es-ES"/>
              </w:rPr>
              <w:t>ec</w:t>
            </w:r>
            <w:proofErr w:type="spellEnd"/>
            <w:r w:rsidRPr="00C174D5">
              <w:rPr>
                <w:b/>
                <w:bCs/>
                <w:sz w:val="20"/>
                <w:lang w:val="es-ES"/>
              </w:rPr>
              <w:t>. (US$)</w:t>
            </w:r>
          </w:p>
        </w:tc>
        <w:tc>
          <w:tcPr>
            <w:tcW w:w="130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7BF79CC1" w14:textId="77777777" w:rsidR="00C92C58" w:rsidRPr="00C174D5" w:rsidRDefault="00C92C58" w:rsidP="00B15A9A">
            <w:pPr>
              <w:keepNext/>
              <w:keepLines/>
              <w:spacing w:after="0"/>
              <w:jc w:val="center"/>
              <w:rPr>
                <w:b/>
                <w:sz w:val="20"/>
                <w:lang w:val="es-ES"/>
              </w:rPr>
            </w:pPr>
            <w:r w:rsidRPr="00C174D5">
              <w:rPr>
                <w:b/>
                <w:bCs/>
                <w:sz w:val="20"/>
                <w:lang w:val="es-ES"/>
              </w:rPr>
              <w:t>VPNE (US$)</w:t>
            </w:r>
          </w:p>
        </w:tc>
        <w:tc>
          <w:tcPr>
            <w:tcW w:w="998" w:type="dxa"/>
            <w:gridSpan w:val="2"/>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654592C5" w14:textId="77777777" w:rsidR="00C92C58" w:rsidRPr="00C174D5" w:rsidRDefault="00C92C58" w:rsidP="00B15A9A">
            <w:pPr>
              <w:keepNext/>
              <w:keepLines/>
              <w:spacing w:after="0"/>
              <w:jc w:val="center"/>
              <w:rPr>
                <w:b/>
                <w:sz w:val="20"/>
                <w:lang w:val="es-ES"/>
              </w:rPr>
            </w:pPr>
            <w:r w:rsidRPr="00C174D5">
              <w:rPr>
                <w:b/>
                <w:bCs/>
                <w:sz w:val="20"/>
                <w:lang w:val="es-ES"/>
              </w:rPr>
              <w:t>TIRE</w:t>
            </w:r>
          </w:p>
        </w:tc>
      </w:tr>
      <w:tr w:rsidR="00C92C58" w:rsidRPr="00C174D5" w14:paraId="453D6E37" w14:textId="77777777" w:rsidTr="00B15A9A">
        <w:trPr>
          <w:gridAfter w:val="1"/>
          <w:wAfter w:w="26" w:type="dxa"/>
          <w:trHeight w:val="1105"/>
          <w:jc w:val="center"/>
        </w:trPr>
        <w:tc>
          <w:tcPr>
            <w:tcW w:w="2333" w:type="dxa"/>
            <w:tcBorders>
              <w:top w:val="single" w:sz="12" w:space="0" w:color="000000"/>
            </w:tcBorders>
            <w:shd w:val="clear" w:color="auto" w:fill="auto"/>
            <w:tcMar>
              <w:top w:w="15" w:type="dxa"/>
              <w:left w:w="108" w:type="dxa"/>
              <w:bottom w:w="0" w:type="dxa"/>
              <w:right w:w="108" w:type="dxa"/>
            </w:tcMar>
            <w:vAlign w:val="center"/>
            <w:hideMark/>
          </w:tcPr>
          <w:p w14:paraId="14043570" w14:textId="77777777" w:rsidR="00C92C58" w:rsidRPr="00C174D5" w:rsidRDefault="00C92C58" w:rsidP="00B15A9A">
            <w:pPr>
              <w:keepNext/>
              <w:keepLines/>
              <w:spacing w:after="0"/>
              <w:jc w:val="center"/>
              <w:rPr>
                <w:sz w:val="20"/>
                <w:lang w:val="es-ES"/>
              </w:rPr>
            </w:pPr>
            <w:r w:rsidRPr="00C174D5">
              <w:rPr>
                <w:bCs/>
                <w:sz w:val="20"/>
                <w:lang w:val="es-ES"/>
              </w:rPr>
              <w:t>Situación Con Proyecto</w:t>
            </w:r>
          </w:p>
          <w:p w14:paraId="0082B813" w14:textId="77777777" w:rsidR="00C92C58" w:rsidRPr="00C174D5" w:rsidRDefault="00C92C58" w:rsidP="00B15A9A">
            <w:pPr>
              <w:keepNext/>
              <w:keepLines/>
              <w:spacing w:after="0"/>
              <w:jc w:val="center"/>
              <w:rPr>
                <w:sz w:val="20"/>
                <w:lang w:val="es-ES"/>
              </w:rPr>
            </w:pPr>
            <w:r w:rsidRPr="00C174D5">
              <w:rPr>
                <w:bCs/>
                <w:sz w:val="20"/>
                <w:lang w:val="es-ES"/>
              </w:rPr>
              <w:t>-</w:t>
            </w:r>
          </w:p>
          <w:p w14:paraId="31DC4EBA" w14:textId="77777777" w:rsidR="00C92C58" w:rsidRPr="00C174D5" w:rsidRDefault="00C92C58" w:rsidP="00B15A9A">
            <w:pPr>
              <w:keepNext/>
              <w:keepLines/>
              <w:spacing w:after="0"/>
              <w:jc w:val="center"/>
              <w:rPr>
                <w:sz w:val="20"/>
                <w:lang w:val="es-ES"/>
              </w:rPr>
            </w:pPr>
            <w:r w:rsidRPr="00C174D5">
              <w:rPr>
                <w:bCs/>
                <w:sz w:val="20"/>
                <w:lang w:val="es-ES"/>
              </w:rPr>
              <w:t>Situación sin proyecto</w:t>
            </w:r>
          </w:p>
        </w:tc>
        <w:tc>
          <w:tcPr>
            <w:tcW w:w="1306" w:type="dxa"/>
            <w:tcBorders>
              <w:top w:val="single" w:sz="12" w:space="0" w:color="000000"/>
            </w:tcBorders>
            <w:shd w:val="clear" w:color="auto" w:fill="auto"/>
            <w:tcMar>
              <w:top w:w="15" w:type="dxa"/>
              <w:left w:w="108" w:type="dxa"/>
              <w:bottom w:w="0" w:type="dxa"/>
              <w:right w:w="108" w:type="dxa"/>
            </w:tcMar>
            <w:vAlign w:val="center"/>
          </w:tcPr>
          <w:p w14:paraId="6BC4F449" w14:textId="77777777" w:rsidR="00C92C58" w:rsidRPr="00C174D5" w:rsidRDefault="00C92C58" w:rsidP="00B15A9A">
            <w:pPr>
              <w:keepNext/>
              <w:keepLines/>
              <w:spacing w:after="0"/>
              <w:jc w:val="center"/>
              <w:rPr>
                <w:sz w:val="20"/>
                <w:lang w:val="es-ES"/>
              </w:rPr>
            </w:pPr>
            <w:r w:rsidRPr="00C174D5">
              <w:rPr>
                <w:sz w:val="20"/>
                <w:lang w:val="es-ES"/>
              </w:rPr>
              <w:t>1.779.604</w:t>
            </w:r>
          </w:p>
        </w:tc>
        <w:tc>
          <w:tcPr>
            <w:tcW w:w="1214" w:type="dxa"/>
            <w:tcBorders>
              <w:top w:val="single" w:sz="12" w:space="0" w:color="000000"/>
            </w:tcBorders>
            <w:shd w:val="clear" w:color="auto" w:fill="auto"/>
            <w:tcMar>
              <w:top w:w="15" w:type="dxa"/>
              <w:left w:w="108" w:type="dxa"/>
              <w:bottom w:w="0" w:type="dxa"/>
              <w:right w:w="108" w:type="dxa"/>
            </w:tcMar>
            <w:vAlign w:val="center"/>
          </w:tcPr>
          <w:p w14:paraId="7DDC7B21" w14:textId="77777777" w:rsidR="00C92C58" w:rsidRPr="00C174D5" w:rsidRDefault="00C92C58" w:rsidP="00B15A9A">
            <w:pPr>
              <w:keepNext/>
              <w:keepLines/>
              <w:spacing w:after="0"/>
              <w:jc w:val="center"/>
              <w:rPr>
                <w:sz w:val="20"/>
                <w:lang w:val="es-ES"/>
              </w:rPr>
            </w:pPr>
            <w:r w:rsidRPr="00C174D5">
              <w:rPr>
                <w:sz w:val="20"/>
                <w:lang w:val="es-ES"/>
              </w:rPr>
              <w:t>14.217.159</w:t>
            </w:r>
          </w:p>
        </w:tc>
        <w:tc>
          <w:tcPr>
            <w:tcW w:w="1301" w:type="dxa"/>
            <w:tcBorders>
              <w:top w:val="single" w:sz="12" w:space="0" w:color="000000"/>
            </w:tcBorders>
            <w:shd w:val="clear" w:color="auto" w:fill="auto"/>
            <w:tcMar>
              <w:top w:w="15" w:type="dxa"/>
              <w:left w:w="108" w:type="dxa"/>
              <w:bottom w:w="0" w:type="dxa"/>
              <w:right w:w="108" w:type="dxa"/>
            </w:tcMar>
            <w:vAlign w:val="center"/>
          </w:tcPr>
          <w:p w14:paraId="0E6CAB16" w14:textId="77777777" w:rsidR="00C92C58" w:rsidRPr="00C174D5" w:rsidRDefault="00C92C58" w:rsidP="00B15A9A">
            <w:pPr>
              <w:keepNext/>
              <w:keepLines/>
              <w:spacing w:after="0"/>
              <w:jc w:val="center"/>
              <w:rPr>
                <w:sz w:val="20"/>
                <w:lang w:val="es-ES"/>
              </w:rPr>
            </w:pPr>
            <w:r w:rsidRPr="00C174D5">
              <w:rPr>
                <w:sz w:val="20"/>
                <w:lang w:val="es-ES"/>
              </w:rPr>
              <w:t>657.599.820</w:t>
            </w:r>
          </w:p>
        </w:tc>
        <w:tc>
          <w:tcPr>
            <w:tcW w:w="1301" w:type="dxa"/>
            <w:tcBorders>
              <w:top w:val="single" w:sz="12" w:space="0" w:color="000000"/>
            </w:tcBorders>
            <w:shd w:val="clear" w:color="auto" w:fill="auto"/>
            <w:tcMar>
              <w:top w:w="15" w:type="dxa"/>
              <w:left w:w="108" w:type="dxa"/>
              <w:bottom w:w="0" w:type="dxa"/>
              <w:right w:w="108" w:type="dxa"/>
            </w:tcMar>
            <w:vAlign w:val="center"/>
          </w:tcPr>
          <w:p w14:paraId="79EC1579" w14:textId="77777777" w:rsidR="00C92C58" w:rsidRPr="00C174D5" w:rsidRDefault="00C92C58" w:rsidP="00B15A9A">
            <w:pPr>
              <w:keepNext/>
              <w:keepLines/>
              <w:spacing w:after="0"/>
              <w:jc w:val="center"/>
              <w:rPr>
                <w:sz w:val="20"/>
                <w:lang w:val="es-ES"/>
              </w:rPr>
            </w:pPr>
            <w:r w:rsidRPr="00C174D5">
              <w:rPr>
                <w:sz w:val="20"/>
                <w:lang w:val="es-ES"/>
              </w:rPr>
              <w:t>641.603.057</w:t>
            </w:r>
          </w:p>
        </w:tc>
        <w:tc>
          <w:tcPr>
            <w:tcW w:w="998" w:type="dxa"/>
            <w:tcBorders>
              <w:top w:val="single" w:sz="12" w:space="0" w:color="000000"/>
            </w:tcBorders>
            <w:shd w:val="clear" w:color="auto" w:fill="auto"/>
            <w:tcMar>
              <w:top w:w="15" w:type="dxa"/>
              <w:left w:w="108" w:type="dxa"/>
              <w:bottom w:w="0" w:type="dxa"/>
              <w:right w:w="108" w:type="dxa"/>
            </w:tcMar>
            <w:vAlign w:val="center"/>
          </w:tcPr>
          <w:p w14:paraId="7100C2C8" w14:textId="77777777" w:rsidR="00C92C58" w:rsidRPr="00C174D5" w:rsidRDefault="00C92C58" w:rsidP="00B15A9A">
            <w:pPr>
              <w:keepNext/>
              <w:keepLines/>
              <w:spacing w:after="0"/>
              <w:jc w:val="center"/>
              <w:rPr>
                <w:sz w:val="20"/>
                <w:lang w:val="es-ES"/>
              </w:rPr>
            </w:pPr>
            <w:r w:rsidRPr="00C174D5">
              <w:rPr>
                <w:sz w:val="20"/>
                <w:lang w:val="es-ES"/>
              </w:rPr>
              <w:t>1.996%</w:t>
            </w:r>
          </w:p>
        </w:tc>
      </w:tr>
    </w:tbl>
    <w:p w14:paraId="60B9FBAF" w14:textId="77777777" w:rsidR="00C92C58" w:rsidRPr="00C174D5" w:rsidRDefault="00C92C58" w:rsidP="00C92C58">
      <w:pPr>
        <w:jc w:val="center"/>
        <w:rPr>
          <w:sz w:val="18"/>
          <w:lang w:val="es-ES"/>
        </w:rPr>
      </w:pPr>
      <w:r w:rsidRPr="00C174D5">
        <w:rPr>
          <w:sz w:val="18"/>
          <w:lang w:val="es-ES"/>
        </w:rPr>
        <w:t>Fuente: Elaboración propia en base a información de ENATREL provista por el BID</w:t>
      </w:r>
    </w:p>
    <w:p w14:paraId="59F96242" w14:textId="77777777" w:rsidR="00C92C58" w:rsidRPr="00C174D5" w:rsidRDefault="00C92C58" w:rsidP="00C92C58">
      <w:pPr>
        <w:rPr>
          <w:lang w:val="es-ES"/>
        </w:rPr>
      </w:pPr>
      <w:r w:rsidRPr="00C174D5">
        <w:rPr>
          <w:lang w:val="es-ES"/>
        </w:rPr>
        <w:t>El cambio en los supuestos genera un sustancial aumento de los beneficios del proyecto, generando que sea aún más deseable tanto desde la óptica económica o social como desde la financiera o privada (</w:t>
      </w:r>
      <w:r w:rsidRPr="00C174D5">
        <w:rPr>
          <w:lang w:val="es-ES"/>
        </w:rPr>
        <w:fldChar w:fldCharType="begin"/>
      </w:r>
      <w:r w:rsidRPr="00C174D5">
        <w:rPr>
          <w:lang w:val="es-ES"/>
        </w:rPr>
        <w:instrText xml:space="preserve"> REF _Ref448418790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49</w:t>
      </w:r>
      <w:r w:rsidRPr="00C174D5">
        <w:rPr>
          <w:lang w:val="es-ES"/>
        </w:rPr>
        <w:fldChar w:fldCharType="end"/>
      </w:r>
      <w:r w:rsidRPr="00C174D5">
        <w:rPr>
          <w:lang w:val="es-ES"/>
        </w:rPr>
        <w:fldChar w:fldCharType="begin" w:fldLock="1"/>
      </w:r>
      <w:r w:rsidRPr="00C174D5">
        <w:rPr>
          <w:lang w:val="es-ES"/>
        </w:rPr>
        <w:instrText xml:space="preserve"> REF _Ref445984212 \h  \* MERGEFORMAT </w:instrText>
      </w:r>
      <w:r w:rsidRPr="00C174D5">
        <w:rPr>
          <w:lang w:val="es-ES"/>
        </w:rPr>
      </w:r>
      <w:r w:rsidRPr="00C174D5">
        <w:rPr>
          <w:lang w:val="es-ES"/>
        </w:rPr>
        <w:fldChar w:fldCharType="end"/>
      </w:r>
      <w:r w:rsidRPr="00C174D5">
        <w:rPr>
          <w:lang w:val="es-ES"/>
        </w:rPr>
        <w:t>).</w:t>
      </w:r>
    </w:p>
    <w:p w14:paraId="4F3B5737" w14:textId="77777777" w:rsidR="00C92C58" w:rsidRPr="00C174D5" w:rsidRDefault="00C92C58" w:rsidP="00C92C58">
      <w:pPr>
        <w:keepNext/>
        <w:keepLines/>
        <w:spacing w:after="120"/>
        <w:jc w:val="center"/>
        <w:rPr>
          <w:b/>
          <w:sz w:val="20"/>
          <w:lang w:val="es-ES"/>
        </w:rPr>
      </w:pPr>
      <w:bookmarkStart w:id="251" w:name="_Ref448418790"/>
      <w:bookmarkStart w:id="252" w:name="_Toc456353205"/>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49</w:t>
      </w:r>
      <w:r w:rsidRPr="00C174D5">
        <w:rPr>
          <w:b/>
          <w:sz w:val="20"/>
          <w:lang w:val="es-ES"/>
        </w:rPr>
        <w:fldChar w:fldCharType="end"/>
      </w:r>
      <w:bookmarkEnd w:id="251"/>
      <w:r w:rsidRPr="00C174D5">
        <w:rPr>
          <w:b/>
          <w:sz w:val="20"/>
          <w:lang w:val="es-ES"/>
        </w:rPr>
        <w:t>: Resultados evaluación financiera – SE Catarina “nueva corrida”</w:t>
      </w:r>
      <w:bookmarkEnd w:id="252"/>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333"/>
        <w:gridCol w:w="1306"/>
        <w:gridCol w:w="1214"/>
        <w:gridCol w:w="1301"/>
        <w:gridCol w:w="1301"/>
        <w:gridCol w:w="998"/>
      </w:tblGrid>
      <w:tr w:rsidR="00C92C58" w:rsidRPr="00C174D5" w14:paraId="715E5578" w14:textId="77777777" w:rsidTr="00B15A9A">
        <w:trPr>
          <w:trHeight w:val="35"/>
          <w:jc w:val="center"/>
        </w:trPr>
        <w:tc>
          <w:tcPr>
            <w:tcW w:w="2333"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328DBFA2" w14:textId="77777777" w:rsidR="00C92C58" w:rsidRPr="00C174D5" w:rsidRDefault="00C92C58" w:rsidP="00B15A9A">
            <w:pPr>
              <w:keepNext/>
              <w:keepLines/>
              <w:spacing w:after="0"/>
              <w:jc w:val="center"/>
              <w:rPr>
                <w:b/>
                <w:sz w:val="20"/>
                <w:lang w:val="es-ES"/>
              </w:rPr>
            </w:pPr>
          </w:p>
        </w:tc>
        <w:tc>
          <w:tcPr>
            <w:tcW w:w="1306"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02FD7DDA" w14:textId="77777777" w:rsidR="00C92C58" w:rsidRPr="00C174D5" w:rsidRDefault="00C92C58" w:rsidP="00B15A9A">
            <w:pPr>
              <w:keepNext/>
              <w:keepLines/>
              <w:spacing w:after="0"/>
              <w:jc w:val="center"/>
              <w:rPr>
                <w:b/>
                <w:sz w:val="20"/>
                <w:lang w:val="es-ES"/>
              </w:rPr>
            </w:pPr>
            <w:r w:rsidRPr="00C174D5">
              <w:rPr>
                <w:b/>
                <w:bCs/>
                <w:sz w:val="20"/>
                <w:lang w:val="es-ES"/>
              </w:rPr>
              <w:t>VP Inversión fin. (US$)</w:t>
            </w:r>
          </w:p>
        </w:tc>
        <w:tc>
          <w:tcPr>
            <w:tcW w:w="1214"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51D1B90F" w14:textId="77777777" w:rsidR="00C92C58" w:rsidRPr="00C174D5" w:rsidRDefault="00C92C58" w:rsidP="00B15A9A">
            <w:pPr>
              <w:keepNext/>
              <w:keepLines/>
              <w:spacing w:after="0"/>
              <w:jc w:val="center"/>
              <w:rPr>
                <w:b/>
                <w:sz w:val="20"/>
                <w:lang w:val="es-ES"/>
              </w:rPr>
            </w:pPr>
            <w:r w:rsidRPr="00C174D5">
              <w:rPr>
                <w:b/>
                <w:bCs/>
                <w:sz w:val="20"/>
                <w:lang w:val="es-ES"/>
              </w:rPr>
              <w:t>VP Costos fin. (US$)</w:t>
            </w:r>
          </w:p>
        </w:tc>
        <w:tc>
          <w:tcPr>
            <w:tcW w:w="130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75B55C60" w14:textId="77777777" w:rsidR="00C92C58" w:rsidRPr="00C174D5" w:rsidRDefault="00C92C58" w:rsidP="00B15A9A">
            <w:pPr>
              <w:keepNext/>
              <w:keepLines/>
              <w:spacing w:after="0"/>
              <w:jc w:val="center"/>
              <w:rPr>
                <w:b/>
                <w:sz w:val="20"/>
                <w:lang w:val="es-ES"/>
              </w:rPr>
            </w:pPr>
            <w:r w:rsidRPr="00C174D5">
              <w:rPr>
                <w:b/>
                <w:bCs/>
                <w:sz w:val="20"/>
                <w:lang w:val="es-ES"/>
              </w:rPr>
              <w:t>VP Ingresos (US$)</w:t>
            </w:r>
          </w:p>
        </w:tc>
        <w:tc>
          <w:tcPr>
            <w:tcW w:w="130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49A5BD3E" w14:textId="77777777" w:rsidR="00C92C58" w:rsidRPr="00C174D5" w:rsidRDefault="00C92C58" w:rsidP="00B15A9A">
            <w:pPr>
              <w:keepNext/>
              <w:keepLines/>
              <w:spacing w:after="0"/>
              <w:jc w:val="center"/>
              <w:rPr>
                <w:b/>
                <w:sz w:val="20"/>
                <w:lang w:val="es-ES"/>
              </w:rPr>
            </w:pPr>
            <w:r w:rsidRPr="00C174D5">
              <w:rPr>
                <w:b/>
                <w:bCs/>
                <w:sz w:val="20"/>
                <w:lang w:val="es-ES"/>
              </w:rPr>
              <w:t>VPN (US$)</w:t>
            </w:r>
          </w:p>
        </w:tc>
        <w:tc>
          <w:tcPr>
            <w:tcW w:w="998"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7659E2CA" w14:textId="77777777" w:rsidR="00C92C58" w:rsidRPr="00C174D5" w:rsidRDefault="00C92C58" w:rsidP="00B15A9A">
            <w:pPr>
              <w:keepNext/>
              <w:keepLines/>
              <w:spacing w:after="0"/>
              <w:jc w:val="center"/>
              <w:rPr>
                <w:b/>
                <w:sz w:val="20"/>
                <w:lang w:val="es-ES"/>
              </w:rPr>
            </w:pPr>
            <w:r w:rsidRPr="00C174D5">
              <w:rPr>
                <w:b/>
                <w:bCs/>
                <w:sz w:val="20"/>
                <w:lang w:val="es-ES"/>
              </w:rPr>
              <w:t>TIR</w:t>
            </w:r>
          </w:p>
        </w:tc>
      </w:tr>
      <w:tr w:rsidR="00C92C58" w:rsidRPr="00C174D5" w14:paraId="297F61F6" w14:textId="77777777" w:rsidTr="00B15A9A">
        <w:trPr>
          <w:trHeight w:val="1105"/>
          <w:jc w:val="center"/>
        </w:trPr>
        <w:tc>
          <w:tcPr>
            <w:tcW w:w="2333" w:type="dxa"/>
            <w:tcBorders>
              <w:top w:val="single" w:sz="12" w:space="0" w:color="000000"/>
            </w:tcBorders>
            <w:shd w:val="clear" w:color="auto" w:fill="auto"/>
            <w:tcMar>
              <w:top w:w="15" w:type="dxa"/>
              <w:left w:w="108" w:type="dxa"/>
              <w:bottom w:w="0" w:type="dxa"/>
              <w:right w:w="108" w:type="dxa"/>
            </w:tcMar>
            <w:vAlign w:val="center"/>
            <w:hideMark/>
          </w:tcPr>
          <w:p w14:paraId="4B01C09F" w14:textId="77777777" w:rsidR="00C92C58" w:rsidRPr="00C174D5" w:rsidRDefault="00C92C58" w:rsidP="00B15A9A">
            <w:pPr>
              <w:keepNext/>
              <w:keepLines/>
              <w:spacing w:after="0"/>
              <w:jc w:val="center"/>
              <w:rPr>
                <w:sz w:val="20"/>
                <w:lang w:val="es-ES"/>
              </w:rPr>
            </w:pPr>
            <w:r w:rsidRPr="00C174D5">
              <w:rPr>
                <w:bCs/>
                <w:sz w:val="20"/>
                <w:lang w:val="es-ES"/>
              </w:rPr>
              <w:t>Situación Con Proyecto</w:t>
            </w:r>
          </w:p>
          <w:p w14:paraId="1D47807C" w14:textId="77777777" w:rsidR="00C92C58" w:rsidRPr="00C174D5" w:rsidRDefault="00C92C58" w:rsidP="00B15A9A">
            <w:pPr>
              <w:keepNext/>
              <w:keepLines/>
              <w:spacing w:after="0"/>
              <w:jc w:val="center"/>
              <w:rPr>
                <w:sz w:val="20"/>
                <w:lang w:val="es-ES"/>
              </w:rPr>
            </w:pPr>
            <w:r w:rsidRPr="00C174D5">
              <w:rPr>
                <w:bCs/>
                <w:sz w:val="20"/>
                <w:lang w:val="es-ES"/>
              </w:rPr>
              <w:t>-</w:t>
            </w:r>
          </w:p>
          <w:p w14:paraId="5B18DE07" w14:textId="77777777" w:rsidR="00C92C58" w:rsidRPr="00C174D5" w:rsidRDefault="00C92C58" w:rsidP="00B15A9A">
            <w:pPr>
              <w:keepNext/>
              <w:keepLines/>
              <w:spacing w:after="0"/>
              <w:jc w:val="center"/>
              <w:rPr>
                <w:sz w:val="20"/>
                <w:lang w:val="es-ES"/>
              </w:rPr>
            </w:pPr>
            <w:r w:rsidRPr="00C174D5">
              <w:rPr>
                <w:bCs/>
                <w:sz w:val="20"/>
                <w:lang w:val="es-ES"/>
              </w:rPr>
              <w:t>Situación sin proyecto</w:t>
            </w:r>
          </w:p>
        </w:tc>
        <w:tc>
          <w:tcPr>
            <w:tcW w:w="1306" w:type="dxa"/>
            <w:tcBorders>
              <w:top w:val="single" w:sz="12" w:space="0" w:color="000000"/>
            </w:tcBorders>
            <w:shd w:val="clear" w:color="auto" w:fill="auto"/>
            <w:tcMar>
              <w:top w:w="15" w:type="dxa"/>
              <w:left w:w="108" w:type="dxa"/>
              <w:bottom w:w="0" w:type="dxa"/>
              <w:right w:w="108" w:type="dxa"/>
            </w:tcMar>
            <w:vAlign w:val="center"/>
          </w:tcPr>
          <w:p w14:paraId="640A893C" w14:textId="77777777" w:rsidR="00C92C58" w:rsidRPr="00C174D5" w:rsidRDefault="00C92C58" w:rsidP="00B15A9A">
            <w:pPr>
              <w:keepNext/>
              <w:keepLines/>
              <w:spacing w:after="0"/>
              <w:jc w:val="center"/>
              <w:rPr>
                <w:sz w:val="20"/>
                <w:lang w:val="es-ES"/>
              </w:rPr>
            </w:pPr>
            <w:r w:rsidRPr="00C174D5">
              <w:rPr>
                <w:sz w:val="20"/>
                <w:szCs w:val="20"/>
                <w:lang w:val="es-ES"/>
              </w:rPr>
              <w:t>1.817.933</w:t>
            </w:r>
          </w:p>
        </w:tc>
        <w:tc>
          <w:tcPr>
            <w:tcW w:w="1214" w:type="dxa"/>
            <w:tcBorders>
              <w:top w:val="single" w:sz="12" w:space="0" w:color="000000"/>
            </w:tcBorders>
            <w:shd w:val="clear" w:color="auto" w:fill="auto"/>
            <w:tcMar>
              <w:top w:w="15" w:type="dxa"/>
              <w:left w:w="108" w:type="dxa"/>
              <w:bottom w:w="0" w:type="dxa"/>
              <w:right w:w="108" w:type="dxa"/>
            </w:tcMar>
            <w:vAlign w:val="center"/>
          </w:tcPr>
          <w:p w14:paraId="033FA2B6" w14:textId="77777777" w:rsidR="00C92C58" w:rsidRPr="00C174D5" w:rsidRDefault="00C92C58" w:rsidP="00B15A9A">
            <w:pPr>
              <w:keepNext/>
              <w:keepLines/>
              <w:spacing w:after="0"/>
              <w:jc w:val="center"/>
              <w:rPr>
                <w:sz w:val="20"/>
                <w:lang w:val="es-ES"/>
              </w:rPr>
            </w:pPr>
            <w:r w:rsidRPr="00C174D5">
              <w:rPr>
                <w:sz w:val="20"/>
                <w:lang w:val="es-ES"/>
              </w:rPr>
              <w:t>455.247</w:t>
            </w:r>
          </w:p>
        </w:tc>
        <w:tc>
          <w:tcPr>
            <w:tcW w:w="1301" w:type="dxa"/>
            <w:tcBorders>
              <w:top w:val="single" w:sz="12" w:space="0" w:color="000000"/>
            </w:tcBorders>
            <w:shd w:val="clear" w:color="auto" w:fill="auto"/>
            <w:tcMar>
              <w:top w:w="15" w:type="dxa"/>
              <w:left w:w="108" w:type="dxa"/>
              <w:bottom w:w="0" w:type="dxa"/>
              <w:right w:w="108" w:type="dxa"/>
            </w:tcMar>
            <w:vAlign w:val="center"/>
          </w:tcPr>
          <w:p w14:paraId="3B51C069" w14:textId="77777777" w:rsidR="00C92C58" w:rsidRPr="00C174D5" w:rsidRDefault="00C92C58" w:rsidP="00B15A9A">
            <w:pPr>
              <w:keepNext/>
              <w:keepLines/>
              <w:spacing w:after="0"/>
              <w:jc w:val="center"/>
              <w:rPr>
                <w:sz w:val="20"/>
                <w:lang w:val="es-ES"/>
              </w:rPr>
            </w:pPr>
            <w:r w:rsidRPr="00C174D5">
              <w:rPr>
                <w:sz w:val="20"/>
                <w:lang w:val="es-ES"/>
              </w:rPr>
              <w:t>9.460.569</w:t>
            </w:r>
          </w:p>
        </w:tc>
        <w:tc>
          <w:tcPr>
            <w:tcW w:w="1301" w:type="dxa"/>
            <w:tcBorders>
              <w:top w:val="single" w:sz="12" w:space="0" w:color="000000"/>
            </w:tcBorders>
            <w:shd w:val="clear" w:color="auto" w:fill="auto"/>
            <w:tcMar>
              <w:top w:w="15" w:type="dxa"/>
              <w:left w:w="108" w:type="dxa"/>
              <w:bottom w:w="0" w:type="dxa"/>
              <w:right w:w="108" w:type="dxa"/>
            </w:tcMar>
            <w:vAlign w:val="center"/>
          </w:tcPr>
          <w:p w14:paraId="4A4F6100" w14:textId="77777777" w:rsidR="00C92C58" w:rsidRPr="00C174D5" w:rsidRDefault="00C92C58" w:rsidP="00B15A9A">
            <w:pPr>
              <w:keepNext/>
              <w:keepLines/>
              <w:spacing w:after="0"/>
              <w:jc w:val="center"/>
              <w:rPr>
                <w:sz w:val="20"/>
                <w:lang w:val="es-ES"/>
              </w:rPr>
            </w:pPr>
            <w:r w:rsidRPr="00C174D5">
              <w:rPr>
                <w:sz w:val="20"/>
                <w:lang w:val="es-ES"/>
              </w:rPr>
              <w:t>7.187.389</w:t>
            </w:r>
          </w:p>
        </w:tc>
        <w:tc>
          <w:tcPr>
            <w:tcW w:w="998" w:type="dxa"/>
            <w:tcBorders>
              <w:top w:val="single" w:sz="12" w:space="0" w:color="000000"/>
            </w:tcBorders>
            <w:shd w:val="clear" w:color="auto" w:fill="auto"/>
            <w:tcMar>
              <w:top w:w="15" w:type="dxa"/>
              <w:left w:w="108" w:type="dxa"/>
              <w:bottom w:w="0" w:type="dxa"/>
              <w:right w:w="108" w:type="dxa"/>
            </w:tcMar>
            <w:vAlign w:val="center"/>
          </w:tcPr>
          <w:p w14:paraId="62491A36" w14:textId="77777777" w:rsidR="00C92C58" w:rsidRPr="00C174D5" w:rsidRDefault="00C92C58" w:rsidP="00B15A9A">
            <w:pPr>
              <w:keepNext/>
              <w:keepLines/>
              <w:spacing w:after="0"/>
              <w:jc w:val="center"/>
              <w:rPr>
                <w:sz w:val="20"/>
                <w:lang w:val="es-ES"/>
              </w:rPr>
            </w:pPr>
            <w:r w:rsidRPr="00C174D5">
              <w:rPr>
                <w:sz w:val="20"/>
                <w:lang w:val="es-ES"/>
              </w:rPr>
              <w:t>26%</w:t>
            </w:r>
          </w:p>
        </w:tc>
      </w:tr>
    </w:tbl>
    <w:p w14:paraId="16DDD3C4" w14:textId="77777777" w:rsidR="00C92C58" w:rsidRPr="00C174D5" w:rsidRDefault="00C92C58" w:rsidP="00C92C58">
      <w:pPr>
        <w:jc w:val="center"/>
        <w:rPr>
          <w:sz w:val="18"/>
          <w:lang w:val="es-ES"/>
        </w:rPr>
      </w:pPr>
      <w:r w:rsidRPr="00C174D5">
        <w:rPr>
          <w:sz w:val="18"/>
          <w:lang w:val="es-ES"/>
        </w:rPr>
        <w:t>Fuente: Elaboración propia en base a información de ENATREL provista por el BID</w:t>
      </w:r>
    </w:p>
    <w:p w14:paraId="5711BEEC" w14:textId="77777777" w:rsidR="00C92C58" w:rsidRPr="00C174D5" w:rsidRDefault="00C92C58" w:rsidP="00C92C58">
      <w:pPr>
        <w:rPr>
          <w:lang w:val="es-ES"/>
        </w:rPr>
      </w:pPr>
      <w:r w:rsidRPr="00C174D5">
        <w:rPr>
          <w:lang w:val="es-ES"/>
        </w:rPr>
        <w:t>Por lo que el suponer que el proyecto permite un aumento en la carga de la SE Catarina aumenta la deseabilidad del mismo.</w:t>
      </w:r>
    </w:p>
    <w:p w14:paraId="5ED650D4" w14:textId="77777777" w:rsidR="00C92C58" w:rsidRPr="00C174D5" w:rsidRDefault="00C92C58" w:rsidP="00C92C58">
      <w:pPr>
        <w:rPr>
          <w:lang w:val="es-ES"/>
        </w:rPr>
      </w:pPr>
    </w:p>
    <w:p w14:paraId="5EE7C0D6" w14:textId="77777777" w:rsidR="00C92C58" w:rsidRPr="00C174D5" w:rsidRDefault="00C92C58" w:rsidP="00C92C58">
      <w:pPr>
        <w:rPr>
          <w:rFonts w:eastAsiaTheme="majorEastAsia" w:cstheme="majorBidi"/>
          <w:b/>
          <w:bCs/>
          <w:smallCaps/>
          <w:sz w:val="28"/>
          <w:szCs w:val="28"/>
          <w:lang w:val="es-ES"/>
        </w:rPr>
      </w:pPr>
      <w:r w:rsidRPr="00C174D5">
        <w:rPr>
          <w:lang w:val="es-ES"/>
        </w:rPr>
        <w:br w:type="page"/>
      </w:r>
    </w:p>
    <w:p w14:paraId="7BDDBA30" w14:textId="77777777" w:rsidR="00C92C58" w:rsidRPr="00C174D5" w:rsidRDefault="00C92C58" w:rsidP="00C92C58">
      <w:pPr>
        <w:pStyle w:val="Heading1"/>
        <w:pageBreakBefore w:val="0"/>
        <w:numPr>
          <w:ilvl w:val="0"/>
          <w:numId w:val="38"/>
        </w:numPr>
        <w:rPr>
          <w:lang w:val="es-ES"/>
        </w:rPr>
      </w:pPr>
      <w:bookmarkStart w:id="253" w:name="_Toc456353156"/>
      <w:r w:rsidRPr="00C174D5">
        <w:rPr>
          <w:lang w:val="es-ES"/>
        </w:rPr>
        <w:lastRenderedPageBreak/>
        <w:t>Anexo B - Análisis regional – Crecimiento de los beneficios</w:t>
      </w:r>
      <w:bookmarkEnd w:id="245"/>
      <w:bookmarkEnd w:id="246"/>
      <w:bookmarkEnd w:id="253"/>
    </w:p>
    <w:p w14:paraId="043CCB96" w14:textId="77777777" w:rsidR="00C92C58" w:rsidRPr="00C174D5" w:rsidRDefault="00C92C58" w:rsidP="00C92C58">
      <w:pPr>
        <w:rPr>
          <w:lang w:val="es-ES"/>
        </w:rPr>
      </w:pPr>
      <w:r w:rsidRPr="00C174D5">
        <w:rPr>
          <w:lang w:val="es-ES"/>
        </w:rPr>
        <w:t>Para el análisis regional, se tomó como base la estimación de beneficios para el año 2018, así como las inversiones involucradas, efectuadas por el Ente Operador Regional.</w:t>
      </w:r>
      <w:r w:rsidRPr="00C174D5">
        <w:rPr>
          <w:vertAlign w:val="superscript"/>
          <w:lang w:val="es-ES"/>
        </w:rPr>
        <w:footnoteReference w:id="63"/>
      </w:r>
      <w:r w:rsidRPr="00C174D5">
        <w:rPr>
          <w:lang w:val="es-ES"/>
        </w:rPr>
        <w:t xml:space="preserve"> Los beneficios corresponden al ahorro en el costo operativo térmico en presencia de todos los refuerzos de transmisión regionales del SIEPAC. A partir de este valor estático (de 5,6 millones de US$), se debió estimar la corriente de beneficios a lo largo del horizonte de evaluación, utilizando una tasa de crecimiento determinada. Para estimar esta tasa a la que crecen los beneficios, se utilizaron una serie de informes y documentos de trabajo que estiman los beneficios del proyecto SIEPAC.</w:t>
      </w:r>
      <w:r w:rsidRPr="00C174D5">
        <w:rPr>
          <w:vertAlign w:val="superscript"/>
          <w:lang w:val="es-ES"/>
        </w:rPr>
        <w:footnoteReference w:id="64"/>
      </w:r>
      <w:r w:rsidRPr="00C174D5">
        <w:rPr>
          <w:lang w:val="es-ES"/>
        </w:rPr>
        <w:t xml:space="preserve"> Particularmente, se tomó en cuenta cómo evoluciona la generación térmica en diferentes escenarios de interconexión a lo largo del tiempo. Se utilizó esta información ya que los beneficios considerados en el proyecto se corresponden con el ahorro de costos operativos térmicos.</w:t>
      </w:r>
    </w:p>
    <w:p w14:paraId="2B5AEE9E" w14:textId="77777777" w:rsidR="00C92C58" w:rsidRPr="00C174D5" w:rsidRDefault="00C92C58" w:rsidP="00C92C58">
      <w:pPr>
        <w:rPr>
          <w:lang w:val="es-ES"/>
        </w:rPr>
      </w:pPr>
      <w:r w:rsidRPr="00C174D5">
        <w:rPr>
          <w:lang w:val="es-ES"/>
        </w:rPr>
        <w:t>El primer caso analizado, es el caso Base (del archivo GRAFICOS_Esc_A.xls): “</w:t>
      </w:r>
      <w:proofErr w:type="spellStart"/>
      <w:r w:rsidRPr="00C174D5">
        <w:rPr>
          <w:lang w:val="es-ES"/>
        </w:rPr>
        <w:t>Esc</w:t>
      </w:r>
      <w:proofErr w:type="spellEnd"/>
      <w:r w:rsidRPr="00C174D5">
        <w:rPr>
          <w:lang w:val="es-ES"/>
        </w:rPr>
        <w:t xml:space="preserve"> BASE: </w:t>
      </w:r>
      <w:proofErr w:type="spellStart"/>
      <w:r w:rsidRPr="00C174D5">
        <w:rPr>
          <w:lang w:val="es-ES"/>
        </w:rPr>
        <w:t>Semitérmico</w:t>
      </w:r>
      <w:proofErr w:type="spellEnd"/>
      <w:r w:rsidRPr="00C174D5">
        <w:rPr>
          <w:lang w:val="es-ES"/>
        </w:rPr>
        <w:t xml:space="preserve">, </w:t>
      </w:r>
      <w:proofErr w:type="spellStart"/>
      <w:r w:rsidRPr="00C174D5">
        <w:rPr>
          <w:lang w:val="es-ES"/>
        </w:rPr>
        <w:t>Dem</w:t>
      </w:r>
      <w:proofErr w:type="spellEnd"/>
      <w:r w:rsidRPr="00C174D5">
        <w:rPr>
          <w:lang w:val="es-ES"/>
        </w:rPr>
        <w:t xml:space="preserve"> Media, </w:t>
      </w:r>
      <w:proofErr w:type="spellStart"/>
      <w:r w:rsidRPr="00C174D5">
        <w:rPr>
          <w:lang w:val="es-ES"/>
        </w:rPr>
        <w:t>Comb</w:t>
      </w:r>
      <w:proofErr w:type="spellEnd"/>
      <w:r w:rsidRPr="00C174D5">
        <w:rPr>
          <w:lang w:val="es-ES"/>
        </w:rPr>
        <w:t xml:space="preserve"> Medios”, en el cual se supone que tanto la demanda como el precio de los combustibles asumen valores medios. Se compara este escenario con el escenario K “</w:t>
      </w:r>
      <w:proofErr w:type="spellStart"/>
      <w:r w:rsidRPr="00C174D5">
        <w:rPr>
          <w:lang w:val="es-ES"/>
        </w:rPr>
        <w:t>Esc</w:t>
      </w:r>
      <w:proofErr w:type="spellEnd"/>
      <w:r w:rsidRPr="00C174D5">
        <w:rPr>
          <w:lang w:val="es-ES"/>
        </w:rPr>
        <w:t xml:space="preserve"> K SIN LINEA SIEPAC” (archivo GRAFICOS_Esc_K.xls), que se supone corresponde al escenario base pero sin el proyecto de ampliación SIEPAC.</w:t>
      </w:r>
      <w:r w:rsidRPr="00C174D5">
        <w:rPr>
          <w:vertAlign w:val="superscript"/>
          <w:lang w:val="es-ES"/>
        </w:rPr>
        <w:footnoteReference w:id="65"/>
      </w:r>
      <w:r w:rsidRPr="00C174D5">
        <w:rPr>
          <w:lang w:val="es-ES"/>
        </w:rPr>
        <w:t xml:space="preserve"> La generación térmica en el Mercado Eléctrico Regional en estos dos escenarios considerados se presenta en la </w:t>
      </w:r>
      <w:r w:rsidRPr="00C174D5">
        <w:rPr>
          <w:lang w:val="es-ES"/>
        </w:rPr>
        <w:fldChar w:fldCharType="begin"/>
      </w:r>
      <w:r w:rsidRPr="00C174D5">
        <w:rPr>
          <w:lang w:val="es-ES"/>
        </w:rPr>
        <w:instrText xml:space="preserve"> REF _Ref448419938 \h </w:instrText>
      </w:r>
      <w:r w:rsidRPr="00C174D5">
        <w:rPr>
          <w:lang w:val="es-ES"/>
        </w:rPr>
      </w:r>
      <w:r w:rsidRPr="00C174D5">
        <w:rPr>
          <w:lang w:val="es-ES"/>
        </w:rPr>
        <w:fldChar w:fldCharType="separate"/>
      </w:r>
      <w:r w:rsidRPr="00C174D5">
        <w:rPr>
          <w:b/>
          <w:sz w:val="20"/>
          <w:lang w:val="es-ES"/>
        </w:rPr>
        <w:t xml:space="preserve">Tabla </w:t>
      </w:r>
      <w:r>
        <w:rPr>
          <w:b/>
          <w:noProof/>
          <w:sz w:val="20"/>
          <w:lang w:val="es-ES"/>
        </w:rPr>
        <w:t>50</w:t>
      </w:r>
      <w:r w:rsidRPr="00C174D5">
        <w:rPr>
          <w:lang w:val="es-ES"/>
        </w:rPr>
        <w:fldChar w:fldCharType="end"/>
      </w:r>
      <w:r w:rsidRPr="00C174D5">
        <w:rPr>
          <w:lang w:val="es-ES"/>
        </w:rPr>
        <w:t>.</w:t>
      </w:r>
    </w:p>
    <w:p w14:paraId="5A80F4EB" w14:textId="77777777" w:rsidR="00C92C58" w:rsidRPr="00C174D5" w:rsidRDefault="00C92C58" w:rsidP="00C92C58">
      <w:pPr>
        <w:keepNext/>
        <w:keepLines/>
        <w:spacing w:after="120"/>
        <w:jc w:val="center"/>
        <w:rPr>
          <w:b/>
          <w:sz w:val="20"/>
          <w:lang w:val="es-ES"/>
        </w:rPr>
      </w:pPr>
      <w:bookmarkStart w:id="254" w:name="_Ref448419938"/>
      <w:bookmarkStart w:id="255" w:name="_Toc456353206"/>
      <w:r w:rsidRPr="00C174D5">
        <w:rPr>
          <w:b/>
          <w:sz w:val="20"/>
          <w:lang w:val="es-ES"/>
        </w:rPr>
        <w:t xml:space="preserve">Tabla </w:t>
      </w:r>
      <w:r w:rsidRPr="00C174D5">
        <w:rPr>
          <w:b/>
          <w:sz w:val="20"/>
          <w:lang w:val="es-ES"/>
        </w:rPr>
        <w:fldChar w:fldCharType="begin"/>
      </w:r>
      <w:r w:rsidRPr="00C174D5">
        <w:rPr>
          <w:b/>
          <w:sz w:val="20"/>
          <w:lang w:val="es-ES"/>
        </w:rPr>
        <w:instrText xml:space="preserve"> SEQ Tabla \* ARABIC </w:instrText>
      </w:r>
      <w:r w:rsidRPr="00C174D5">
        <w:rPr>
          <w:b/>
          <w:sz w:val="20"/>
          <w:lang w:val="es-ES"/>
        </w:rPr>
        <w:fldChar w:fldCharType="separate"/>
      </w:r>
      <w:r>
        <w:rPr>
          <w:b/>
          <w:noProof/>
          <w:sz w:val="20"/>
          <w:lang w:val="es-ES"/>
        </w:rPr>
        <w:t>50</w:t>
      </w:r>
      <w:r w:rsidRPr="00C174D5">
        <w:rPr>
          <w:b/>
          <w:sz w:val="20"/>
          <w:lang w:val="es-ES"/>
        </w:rPr>
        <w:fldChar w:fldCharType="end"/>
      </w:r>
      <w:bookmarkEnd w:id="254"/>
      <w:r w:rsidRPr="00C174D5">
        <w:rPr>
          <w:b/>
          <w:sz w:val="20"/>
          <w:lang w:val="es-ES"/>
        </w:rPr>
        <w:t>: Generación térmica MER (GWH)</w:t>
      </w:r>
      <w:bookmarkEnd w:id="255"/>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40"/>
        <w:gridCol w:w="1711"/>
        <w:gridCol w:w="1633"/>
        <w:gridCol w:w="1181"/>
      </w:tblGrid>
      <w:tr w:rsidR="00C92C58" w:rsidRPr="00C174D5" w14:paraId="18E10FBC" w14:textId="77777777" w:rsidTr="00B15A9A">
        <w:trPr>
          <w:trHeight w:val="35"/>
          <w:tblHeader/>
          <w:jc w:val="center"/>
        </w:trPr>
        <w:tc>
          <w:tcPr>
            <w:tcW w:w="840"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2040CD30" w14:textId="77777777" w:rsidR="00C92C58" w:rsidRPr="00C174D5" w:rsidRDefault="00C92C58" w:rsidP="00B15A9A">
            <w:pPr>
              <w:spacing w:after="0" w:line="240" w:lineRule="auto"/>
              <w:jc w:val="center"/>
              <w:rPr>
                <w:b/>
                <w:sz w:val="20"/>
                <w:szCs w:val="20"/>
                <w:lang w:val="es-ES"/>
              </w:rPr>
            </w:pPr>
            <w:r w:rsidRPr="00C174D5">
              <w:rPr>
                <w:b/>
                <w:sz w:val="20"/>
                <w:szCs w:val="20"/>
                <w:lang w:val="es-ES"/>
              </w:rPr>
              <w:t>Año</w:t>
            </w:r>
          </w:p>
        </w:tc>
        <w:tc>
          <w:tcPr>
            <w:tcW w:w="1711" w:type="dxa"/>
            <w:tcBorders>
              <w:top w:val="single" w:sz="12" w:space="0" w:color="000000"/>
              <w:bottom w:val="single" w:sz="12" w:space="0" w:color="000000"/>
            </w:tcBorders>
            <w:shd w:val="clear" w:color="auto" w:fill="A6A6A6"/>
            <w:tcMar>
              <w:top w:w="15" w:type="dxa"/>
              <w:left w:w="108" w:type="dxa"/>
              <w:bottom w:w="0" w:type="dxa"/>
              <w:right w:w="108" w:type="dxa"/>
            </w:tcMar>
            <w:vAlign w:val="center"/>
          </w:tcPr>
          <w:p w14:paraId="710C80E7" w14:textId="77777777" w:rsidR="00C92C58" w:rsidRPr="00C174D5" w:rsidRDefault="00C92C58" w:rsidP="00B15A9A">
            <w:pPr>
              <w:spacing w:after="0" w:line="240" w:lineRule="auto"/>
              <w:jc w:val="center"/>
              <w:rPr>
                <w:b/>
                <w:sz w:val="20"/>
                <w:szCs w:val="20"/>
                <w:lang w:val="es-ES"/>
              </w:rPr>
            </w:pPr>
            <w:r w:rsidRPr="00C174D5">
              <w:rPr>
                <w:b/>
                <w:sz w:val="20"/>
                <w:szCs w:val="20"/>
                <w:lang w:val="es-ES"/>
              </w:rPr>
              <w:t>Escenario Base (A)</w:t>
            </w:r>
          </w:p>
        </w:tc>
        <w:tc>
          <w:tcPr>
            <w:tcW w:w="1633" w:type="dxa"/>
            <w:tcBorders>
              <w:top w:val="single" w:sz="12" w:space="0" w:color="000000"/>
              <w:bottom w:val="single" w:sz="12" w:space="0" w:color="000000"/>
            </w:tcBorders>
            <w:shd w:val="clear" w:color="auto" w:fill="A6A6A6"/>
            <w:tcMar>
              <w:top w:w="15" w:type="dxa"/>
              <w:left w:w="108" w:type="dxa"/>
              <w:bottom w:w="0" w:type="dxa"/>
              <w:right w:w="108" w:type="dxa"/>
            </w:tcMar>
            <w:vAlign w:val="center"/>
          </w:tcPr>
          <w:p w14:paraId="07BA0F4A" w14:textId="77777777" w:rsidR="00C92C58" w:rsidRPr="00C174D5" w:rsidRDefault="00C92C58" w:rsidP="00B15A9A">
            <w:pPr>
              <w:spacing w:after="0" w:line="240" w:lineRule="auto"/>
              <w:jc w:val="center"/>
              <w:rPr>
                <w:b/>
                <w:sz w:val="20"/>
                <w:szCs w:val="20"/>
                <w:lang w:val="es-ES"/>
              </w:rPr>
            </w:pPr>
            <w:r w:rsidRPr="00C174D5">
              <w:rPr>
                <w:b/>
                <w:sz w:val="20"/>
                <w:szCs w:val="20"/>
                <w:lang w:val="es-ES"/>
              </w:rPr>
              <w:t>Escenario alternativo (K)</w:t>
            </w:r>
          </w:p>
        </w:tc>
        <w:tc>
          <w:tcPr>
            <w:tcW w:w="1181" w:type="dxa"/>
            <w:tcBorders>
              <w:top w:val="single" w:sz="12" w:space="0" w:color="000000"/>
              <w:bottom w:val="single" w:sz="12" w:space="0" w:color="000000"/>
            </w:tcBorders>
            <w:shd w:val="clear" w:color="auto" w:fill="A6A6A6"/>
            <w:tcMar>
              <w:top w:w="15" w:type="dxa"/>
              <w:left w:w="108" w:type="dxa"/>
              <w:bottom w:w="0" w:type="dxa"/>
              <w:right w:w="108" w:type="dxa"/>
            </w:tcMar>
            <w:vAlign w:val="center"/>
            <w:hideMark/>
          </w:tcPr>
          <w:p w14:paraId="07E9369E" w14:textId="77777777" w:rsidR="00C92C58" w:rsidRPr="00C174D5" w:rsidRDefault="00C92C58" w:rsidP="00B15A9A">
            <w:pPr>
              <w:spacing w:after="0" w:line="240" w:lineRule="auto"/>
              <w:jc w:val="center"/>
              <w:rPr>
                <w:b/>
                <w:sz w:val="20"/>
                <w:szCs w:val="20"/>
                <w:lang w:val="es-ES"/>
              </w:rPr>
            </w:pPr>
            <w:r w:rsidRPr="00C174D5">
              <w:rPr>
                <w:b/>
                <w:bCs/>
                <w:sz w:val="20"/>
                <w:szCs w:val="20"/>
                <w:lang w:val="es-ES"/>
              </w:rPr>
              <w:t>Diferencia</w:t>
            </w:r>
          </w:p>
        </w:tc>
      </w:tr>
      <w:tr w:rsidR="00C92C58" w:rsidRPr="00C174D5" w14:paraId="5EF81833" w14:textId="77777777" w:rsidTr="00B15A9A">
        <w:trPr>
          <w:trHeight w:val="52"/>
          <w:jc w:val="center"/>
        </w:trPr>
        <w:tc>
          <w:tcPr>
            <w:tcW w:w="840" w:type="dxa"/>
            <w:tcBorders>
              <w:top w:val="single" w:sz="12" w:space="0" w:color="000000"/>
              <w:bottom w:val="single" w:sz="4" w:space="0" w:color="auto"/>
            </w:tcBorders>
            <w:shd w:val="clear" w:color="auto" w:fill="auto"/>
            <w:tcMar>
              <w:top w:w="15" w:type="dxa"/>
              <w:left w:w="108" w:type="dxa"/>
              <w:bottom w:w="0" w:type="dxa"/>
              <w:right w:w="108" w:type="dxa"/>
            </w:tcMar>
          </w:tcPr>
          <w:p w14:paraId="0D256BF4" w14:textId="77777777" w:rsidR="00C92C58" w:rsidRPr="00C174D5" w:rsidRDefault="00C92C58" w:rsidP="00B15A9A">
            <w:pPr>
              <w:spacing w:after="0" w:line="240" w:lineRule="auto"/>
              <w:jc w:val="center"/>
              <w:rPr>
                <w:sz w:val="20"/>
                <w:szCs w:val="20"/>
                <w:lang w:val="es-ES"/>
              </w:rPr>
            </w:pPr>
            <w:r w:rsidRPr="00C174D5">
              <w:rPr>
                <w:sz w:val="20"/>
                <w:szCs w:val="20"/>
                <w:lang w:val="es-ES"/>
              </w:rPr>
              <w:t>2011</w:t>
            </w:r>
          </w:p>
        </w:tc>
        <w:tc>
          <w:tcPr>
            <w:tcW w:w="1711" w:type="dxa"/>
            <w:tcBorders>
              <w:top w:val="single" w:sz="12" w:space="0" w:color="000000"/>
              <w:bottom w:val="single" w:sz="4" w:space="0" w:color="auto"/>
            </w:tcBorders>
            <w:shd w:val="clear" w:color="auto" w:fill="auto"/>
            <w:tcMar>
              <w:top w:w="15" w:type="dxa"/>
              <w:left w:w="108" w:type="dxa"/>
              <w:bottom w:w="0" w:type="dxa"/>
              <w:right w:w="108" w:type="dxa"/>
            </w:tcMar>
          </w:tcPr>
          <w:p w14:paraId="6FAB1C25" w14:textId="77777777" w:rsidR="00C92C58" w:rsidRPr="00C174D5" w:rsidRDefault="00C92C58" w:rsidP="00B15A9A">
            <w:pPr>
              <w:spacing w:after="0" w:line="240" w:lineRule="auto"/>
              <w:jc w:val="center"/>
              <w:rPr>
                <w:sz w:val="20"/>
                <w:szCs w:val="20"/>
                <w:lang w:val="es-ES"/>
              </w:rPr>
            </w:pPr>
            <w:r w:rsidRPr="00C174D5">
              <w:rPr>
                <w:sz w:val="20"/>
                <w:szCs w:val="20"/>
                <w:lang w:val="es-ES"/>
              </w:rPr>
              <w:t>13.798</w:t>
            </w:r>
          </w:p>
        </w:tc>
        <w:tc>
          <w:tcPr>
            <w:tcW w:w="1633" w:type="dxa"/>
            <w:tcBorders>
              <w:top w:val="single" w:sz="12" w:space="0" w:color="000000"/>
              <w:bottom w:val="single" w:sz="4" w:space="0" w:color="auto"/>
            </w:tcBorders>
            <w:shd w:val="clear" w:color="auto" w:fill="auto"/>
            <w:tcMar>
              <w:top w:w="15" w:type="dxa"/>
              <w:left w:w="108" w:type="dxa"/>
              <w:bottom w:w="0" w:type="dxa"/>
              <w:right w:w="108" w:type="dxa"/>
            </w:tcMar>
          </w:tcPr>
          <w:p w14:paraId="1263B39A" w14:textId="77777777" w:rsidR="00C92C58" w:rsidRPr="00C174D5" w:rsidRDefault="00C92C58" w:rsidP="00B15A9A">
            <w:pPr>
              <w:spacing w:after="0" w:line="240" w:lineRule="auto"/>
              <w:jc w:val="center"/>
              <w:rPr>
                <w:sz w:val="20"/>
                <w:szCs w:val="20"/>
                <w:lang w:val="es-ES"/>
              </w:rPr>
            </w:pPr>
            <w:r w:rsidRPr="00C174D5">
              <w:rPr>
                <w:sz w:val="20"/>
                <w:szCs w:val="20"/>
                <w:lang w:val="es-ES"/>
              </w:rPr>
              <w:t>13.621</w:t>
            </w:r>
          </w:p>
        </w:tc>
        <w:tc>
          <w:tcPr>
            <w:tcW w:w="1181" w:type="dxa"/>
            <w:tcBorders>
              <w:top w:val="single" w:sz="12" w:space="0" w:color="000000"/>
              <w:bottom w:val="single" w:sz="4" w:space="0" w:color="auto"/>
            </w:tcBorders>
            <w:shd w:val="clear" w:color="auto" w:fill="auto"/>
            <w:tcMar>
              <w:top w:w="15" w:type="dxa"/>
              <w:left w:w="108" w:type="dxa"/>
              <w:bottom w:w="0" w:type="dxa"/>
              <w:right w:w="108" w:type="dxa"/>
            </w:tcMar>
          </w:tcPr>
          <w:p w14:paraId="15EDCDAD" w14:textId="77777777" w:rsidR="00C92C58" w:rsidRPr="00C174D5" w:rsidRDefault="00C92C58" w:rsidP="00B15A9A">
            <w:pPr>
              <w:spacing w:after="0" w:line="240" w:lineRule="auto"/>
              <w:jc w:val="center"/>
              <w:rPr>
                <w:sz w:val="20"/>
                <w:szCs w:val="20"/>
                <w:lang w:val="es-ES"/>
              </w:rPr>
            </w:pPr>
            <w:r w:rsidRPr="00C174D5">
              <w:rPr>
                <w:sz w:val="20"/>
                <w:szCs w:val="20"/>
                <w:lang w:val="es-ES"/>
              </w:rPr>
              <w:t>-177</w:t>
            </w:r>
          </w:p>
        </w:tc>
      </w:tr>
      <w:tr w:rsidR="00C92C58" w:rsidRPr="00C174D5" w14:paraId="07106F40" w14:textId="77777777" w:rsidTr="00B15A9A">
        <w:trPr>
          <w:trHeight w:val="46"/>
          <w:jc w:val="center"/>
        </w:trPr>
        <w:tc>
          <w:tcPr>
            <w:tcW w:w="840" w:type="dxa"/>
            <w:tcBorders>
              <w:top w:val="single" w:sz="4" w:space="0" w:color="auto"/>
              <w:bottom w:val="single" w:sz="4" w:space="0" w:color="auto"/>
            </w:tcBorders>
            <w:shd w:val="clear" w:color="auto" w:fill="auto"/>
            <w:tcMar>
              <w:top w:w="15" w:type="dxa"/>
              <w:left w:w="108" w:type="dxa"/>
              <w:bottom w:w="0" w:type="dxa"/>
              <w:right w:w="108" w:type="dxa"/>
            </w:tcMar>
          </w:tcPr>
          <w:p w14:paraId="6EC538C3" w14:textId="77777777" w:rsidR="00C92C58" w:rsidRPr="00C174D5" w:rsidRDefault="00C92C58" w:rsidP="00B15A9A">
            <w:pPr>
              <w:spacing w:after="0" w:line="240" w:lineRule="auto"/>
              <w:jc w:val="center"/>
              <w:rPr>
                <w:sz w:val="20"/>
                <w:szCs w:val="20"/>
                <w:lang w:val="es-ES"/>
              </w:rPr>
            </w:pPr>
            <w:r w:rsidRPr="00C174D5">
              <w:rPr>
                <w:sz w:val="20"/>
                <w:szCs w:val="20"/>
                <w:lang w:val="es-ES"/>
              </w:rPr>
              <w:t>2012</w:t>
            </w:r>
          </w:p>
        </w:tc>
        <w:tc>
          <w:tcPr>
            <w:tcW w:w="1711" w:type="dxa"/>
            <w:tcBorders>
              <w:top w:val="single" w:sz="4" w:space="0" w:color="auto"/>
              <w:bottom w:val="single" w:sz="4" w:space="0" w:color="auto"/>
            </w:tcBorders>
            <w:shd w:val="clear" w:color="auto" w:fill="auto"/>
            <w:tcMar>
              <w:top w:w="15" w:type="dxa"/>
              <w:left w:w="108" w:type="dxa"/>
              <w:bottom w:w="0" w:type="dxa"/>
              <w:right w:w="108" w:type="dxa"/>
            </w:tcMar>
          </w:tcPr>
          <w:p w14:paraId="1F1F81AF" w14:textId="77777777" w:rsidR="00C92C58" w:rsidRPr="00C174D5" w:rsidRDefault="00C92C58" w:rsidP="00B15A9A">
            <w:pPr>
              <w:spacing w:after="0" w:line="240" w:lineRule="auto"/>
              <w:jc w:val="center"/>
              <w:rPr>
                <w:sz w:val="20"/>
                <w:szCs w:val="20"/>
                <w:lang w:val="es-ES"/>
              </w:rPr>
            </w:pPr>
            <w:r w:rsidRPr="00C174D5">
              <w:rPr>
                <w:sz w:val="20"/>
                <w:szCs w:val="20"/>
                <w:lang w:val="es-ES"/>
              </w:rPr>
              <w:t>11.778</w:t>
            </w:r>
          </w:p>
        </w:tc>
        <w:tc>
          <w:tcPr>
            <w:tcW w:w="1633" w:type="dxa"/>
            <w:tcBorders>
              <w:top w:val="single" w:sz="4" w:space="0" w:color="auto"/>
              <w:bottom w:val="single" w:sz="4" w:space="0" w:color="auto"/>
            </w:tcBorders>
            <w:shd w:val="clear" w:color="auto" w:fill="auto"/>
            <w:tcMar>
              <w:top w:w="15" w:type="dxa"/>
              <w:left w:w="108" w:type="dxa"/>
              <w:bottom w:w="0" w:type="dxa"/>
              <w:right w:w="108" w:type="dxa"/>
            </w:tcMar>
          </w:tcPr>
          <w:p w14:paraId="16BEDF2F" w14:textId="77777777" w:rsidR="00C92C58" w:rsidRPr="00C174D5" w:rsidRDefault="00C92C58" w:rsidP="00B15A9A">
            <w:pPr>
              <w:spacing w:after="0" w:line="240" w:lineRule="auto"/>
              <w:jc w:val="center"/>
              <w:rPr>
                <w:sz w:val="20"/>
                <w:szCs w:val="20"/>
                <w:lang w:val="es-ES"/>
              </w:rPr>
            </w:pPr>
            <w:r w:rsidRPr="00C174D5">
              <w:rPr>
                <w:sz w:val="20"/>
                <w:szCs w:val="20"/>
                <w:lang w:val="es-ES"/>
              </w:rPr>
              <w:t>12.762</w:t>
            </w:r>
          </w:p>
        </w:tc>
        <w:tc>
          <w:tcPr>
            <w:tcW w:w="1181" w:type="dxa"/>
            <w:tcBorders>
              <w:top w:val="single" w:sz="4" w:space="0" w:color="auto"/>
              <w:bottom w:val="single" w:sz="4" w:space="0" w:color="auto"/>
            </w:tcBorders>
            <w:shd w:val="clear" w:color="auto" w:fill="auto"/>
            <w:tcMar>
              <w:top w:w="15" w:type="dxa"/>
              <w:left w:w="108" w:type="dxa"/>
              <w:bottom w:w="0" w:type="dxa"/>
              <w:right w:w="108" w:type="dxa"/>
            </w:tcMar>
          </w:tcPr>
          <w:p w14:paraId="3384C1ED" w14:textId="77777777" w:rsidR="00C92C58" w:rsidRPr="00C174D5" w:rsidRDefault="00C92C58" w:rsidP="00B15A9A">
            <w:pPr>
              <w:spacing w:after="0" w:line="240" w:lineRule="auto"/>
              <w:jc w:val="center"/>
              <w:rPr>
                <w:sz w:val="20"/>
                <w:szCs w:val="20"/>
                <w:lang w:val="es-ES"/>
              </w:rPr>
            </w:pPr>
            <w:r w:rsidRPr="00C174D5">
              <w:rPr>
                <w:sz w:val="20"/>
                <w:szCs w:val="20"/>
                <w:lang w:val="es-ES"/>
              </w:rPr>
              <w:t>983</w:t>
            </w:r>
          </w:p>
        </w:tc>
      </w:tr>
      <w:tr w:rsidR="00C92C58" w:rsidRPr="00C174D5" w14:paraId="62B53FDC" w14:textId="77777777" w:rsidTr="00B15A9A">
        <w:trPr>
          <w:trHeight w:val="43"/>
          <w:jc w:val="center"/>
        </w:trPr>
        <w:tc>
          <w:tcPr>
            <w:tcW w:w="840" w:type="dxa"/>
            <w:tcBorders>
              <w:top w:val="single" w:sz="4" w:space="0" w:color="auto"/>
              <w:bottom w:val="single" w:sz="4" w:space="0" w:color="auto"/>
            </w:tcBorders>
            <w:shd w:val="clear" w:color="auto" w:fill="auto"/>
            <w:tcMar>
              <w:top w:w="15" w:type="dxa"/>
              <w:left w:w="108" w:type="dxa"/>
              <w:bottom w:w="0" w:type="dxa"/>
              <w:right w:w="108" w:type="dxa"/>
            </w:tcMar>
          </w:tcPr>
          <w:p w14:paraId="1C88AF09" w14:textId="77777777" w:rsidR="00C92C58" w:rsidRPr="00C174D5" w:rsidRDefault="00C92C58" w:rsidP="00B15A9A">
            <w:pPr>
              <w:spacing w:after="0" w:line="240" w:lineRule="auto"/>
              <w:jc w:val="center"/>
              <w:rPr>
                <w:sz w:val="20"/>
                <w:szCs w:val="20"/>
                <w:lang w:val="es-ES"/>
              </w:rPr>
            </w:pPr>
            <w:r w:rsidRPr="00C174D5">
              <w:rPr>
                <w:sz w:val="20"/>
                <w:szCs w:val="20"/>
                <w:lang w:val="es-ES"/>
              </w:rPr>
              <w:lastRenderedPageBreak/>
              <w:t>2013</w:t>
            </w:r>
          </w:p>
        </w:tc>
        <w:tc>
          <w:tcPr>
            <w:tcW w:w="1711" w:type="dxa"/>
            <w:tcBorders>
              <w:top w:val="single" w:sz="4" w:space="0" w:color="auto"/>
              <w:bottom w:val="single" w:sz="4" w:space="0" w:color="auto"/>
            </w:tcBorders>
            <w:shd w:val="clear" w:color="auto" w:fill="auto"/>
            <w:tcMar>
              <w:top w:w="15" w:type="dxa"/>
              <w:left w:w="108" w:type="dxa"/>
              <w:bottom w:w="0" w:type="dxa"/>
              <w:right w:w="108" w:type="dxa"/>
            </w:tcMar>
          </w:tcPr>
          <w:p w14:paraId="42AFBC5E" w14:textId="77777777" w:rsidR="00C92C58" w:rsidRPr="00C174D5" w:rsidRDefault="00C92C58" w:rsidP="00B15A9A">
            <w:pPr>
              <w:spacing w:after="0" w:line="240" w:lineRule="auto"/>
              <w:jc w:val="center"/>
              <w:rPr>
                <w:sz w:val="20"/>
                <w:szCs w:val="20"/>
                <w:lang w:val="es-ES"/>
              </w:rPr>
            </w:pPr>
            <w:r w:rsidRPr="00C174D5">
              <w:rPr>
                <w:sz w:val="20"/>
                <w:szCs w:val="20"/>
                <w:lang w:val="es-ES"/>
              </w:rPr>
              <w:t>10.642</w:t>
            </w:r>
          </w:p>
        </w:tc>
        <w:tc>
          <w:tcPr>
            <w:tcW w:w="1633" w:type="dxa"/>
            <w:tcBorders>
              <w:top w:val="single" w:sz="4" w:space="0" w:color="auto"/>
              <w:bottom w:val="single" w:sz="4" w:space="0" w:color="auto"/>
            </w:tcBorders>
            <w:shd w:val="clear" w:color="auto" w:fill="auto"/>
            <w:tcMar>
              <w:top w:w="15" w:type="dxa"/>
              <w:left w:w="108" w:type="dxa"/>
              <w:bottom w:w="0" w:type="dxa"/>
              <w:right w:w="108" w:type="dxa"/>
            </w:tcMar>
          </w:tcPr>
          <w:p w14:paraId="6ADA42A7" w14:textId="77777777" w:rsidR="00C92C58" w:rsidRPr="00C174D5" w:rsidRDefault="00C92C58" w:rsidP="00B15A9A">
            <w:pPr>
              <w:spacing w:after="0" w:line="240" w:lineRule="auto"/>
              <w:jc w:val="center"/>
              <w:rPr>
                <w:sz w:val="20"/>
                <w:szCs w:val="20"/>
                <w:lang w:val="es-ES"/>
              </w:rPr>
            </w:pPr>
            <w:r w:rsidRPr="00C174D5">
              <w:rPr>
                <w:sz w:val="20"/>
                <w:szCs w:val="20"/>
                <w:lang w:val="es-ES"/>
              </w:rPr>
              <w:t>11.702</w:t>
            </w:r>
          </w:p>
        </w:tc>
        <w:tc>
          <w:tcPr>
            <w:tcW w:w="1181" w:type="dxa"/>
            <w:tcBorders>
              <w:top w:val="single" w:sz="4" w:space="0" w:color="auto"/>
              <w:bottom w:val="single" w:sz="4" w:space="0" w:color="auto"/>
            </w:tcBorders>
            <w:shd w:val="clear" w:color="auto" w:fill="auto"/>
            <w:tcMar>
              <w:top w:w="15" w:type="dxa"/>
              <w:left w:w="108" w:type="dxa"/>
              <w:bottom w:w="0" w:type="dxa"/>
              <w:right w:w="108" w:type="dxa"/>
            </w:tcMar>
          </w:tcPr>
          <w:p w14:paraId="523BFF12" w14:textId="77777777" w:rsidR="00C92C58" w:rsidRPr="00C174D5" w:rsidRDefault="00C92C58" w:rsidP="00B15A9A">
            <w:pPr>
              <w:spacing w:after="0" w:line="240" w:lineRule="auto"/>
              <w:jc w:val="center"/>
              <w:rPr>
                <w:sz w:val="20"/>
                <w:szCs w:val="20"/>
                <w:lang w:val="es-ES"/>
              </w:rPr>
            </w:pPr>
            <w:r w:rsidRPr="00C174D5">
              <w:rPr>
                <w:sz w:val="20"/>
                <w:szCs w:val="20"/>
                <w:lang w:val="es-ES"/>
              </w:rPr>
              <w:t>1.061</w:t>
            </w:r>
          </w:p>
        </w:tc>
      </w:tr>
      <w:tr w:rsidR="00C92C58" w:rsidRPr="00C174D5" w14:paraId="5AB38D39" w14:textId="77777777" w:rsidTr="00B15A9A">
        <w:trPr>
          <w:trHeight w:val="46"/>
          <w:jc w:val="center"/>
        </w:trPr>
        <w:tc>
          <w:tcPr>
            <w:tcW w:w="840" w:type="dxa"/>
            <w:tcBorders>
              <w:top w:val="single" w:sz="4" w:space="0" w:color="auto"/>
              <w:bottom w:val="single" w:sz="4" w:space="0" w:color="auto"/>
            </w:tcBorders>
            <w:shd w:val="clear" w:color="auto" w:fill="auto"/>
            <w:tcMar>
              <w:top w:w="15" w:type="dxa"/>
              <w:left w:w="108" w:type="dxa"/>
              <w:bottom w:w="0" w:type="dxa"/>
              <w:right w:w="108" w:type="dxa"/>
            </w:tcMar>
          </w:tcPr>
          <w:p w14:paraId="5E5FD175" w14:textId="77777777" w:rsidR="00C92C58" w:rsidRPr="00C174D5" w:rsidRDefault="00C92C58" w:rsidP="00B15A9A">
            <w:pPr>
              <w:spacing w:after="0" w:line="240" w:lineRule="auto"/>
              <w:jc w:val="center"/>
              <w:rPr>
                <w:sz w:val="20"/>
                <w:szCs w:val="20"/>
                <w:lang w:val="es-ES"/>
              </w:rPr>
            </w:pPr>
            <w:r w:rsidRPr="00C174D5">
              <w:rPr>
                <w:sz w:val="20"/>
                <w:szCs w:val="20"/>
                <w:lang w:val="es-ES"/>
              </w:rPr>
              <w:t>2014</w:t>
            </w:r>
          </w:p>
        </w:tc>
        <w:tc>
          <w:tcPr>
            <w:tcW w:w="1711" w:type="dxa"/>
            <w:tcBorders>
              <w:top w:val="single" w:sz="4" w:space="0" w:color="auto"/>
              <w:bottom w:val="single" w:sz="4" w:space="0" w:color="auto"/>
            </w:tcBorders>
            <w:shd w:val="clear" w:color="auto" w:fill="auto"/>
            <w:tcMar>
              <w:top w:w="15" w:type="dxa"/>
              <w:left w:w="108" w:type="dxa"/>
              <w:bottom w:w="0" w:type="dxa"/>
              <w:right w:w="108" w:type="dxa"/>
            </w:tcMar>
          </w:tcPr>
          <w:p w14:paraId="1CF35CFB" w14:textId="77777777" w:rsidR="00C92C58" w:rsidRPr="00C174D5" w:rsidRDefault="00C92C58" w:rsidP="00B15A9A">
            <w:pPr>
              <w:spacing w:after="0" w:line="240" w:lineRule="auto"/>
              <w:jc w:val="center"/>
              <w:rPr>
                <w:sz w:val="20"/>
                <w:szCs w:val="20"/>
                <w:lang w:val="es-ES"/>
              </w:rPr>
            </w:pPr>
            <w:r w:rsidRPr="00C174D5">
              <w:rPr>
                <w:sz w:val="20"/>
                <w:szCs w:val="20"/>
                <w:lang w:val="es-ES"/>
              </w:rPr>
              <w:t>8.377</w:t>
            </w:r>
          </w:p>
        </w:tc>
        <w:tc>
          <w:tcPr>
            <w:tcW w:w="1633" w:type="dxa"/>
            <w:tcBorders>
              <w:top w:val="single" w:sz="4" w:space="0" w:color="auto"/>
              <w:bottom w:val="single" w:sz="4" w:space="0" w:color="auto"/>
            </w:tcBorders>
            <w:shd w:val="clear" w:color="auto" w:fill="auto"/>
            <w:tcMar>
              <w:top w:w="15" w:type="dxa"/>
              <w:left w:w="108" w:type="dxa"/>
              <w:bottom w:w="0" w:type="dxa"/>
              <w:right w:w="108" w:type="dxa"/>
            </w:tcMar>
          </w:tcPr>
          <w:p w14:paraId="3F42DD1B" w14:textId="77777777" w:rsidR="00C92C58" w:rsidRPr="00C174D5" w:rsidRDefault="00C92C58" w:rsidP="00B15A9A">
            <w:pPr>
              <w:spacing w:after="0" w:line="240" w:lineRule="auto"/>
              <w:jc w:val="center"/>
              <w:rPr>
                <w:sz w:val="20"/>
                <w:szCs w:val="20"/>
                <w:lang w:val="es-ES"/>
              </w:rPr>
            </w:pPr>
            <w:r w:rsidRPr="00C174D5">
              <w:rPr>
                <w:sz w:val="20"/>
                <w:szCs w:val="20"/>
                <w:lang w:val="es-ES"/>
              </w:rPr>
              <w:t>9.737</w:t>
            </w:r>
          </w:p>
        </w:tc>
        <w:tc>
          <w:tcPr>
            <w:tcW w:w="1181" w:type="dxa"/>
            <w:tcBorders>
              <w:top w:val="single" w:sz="4" w:space="0" w:color="auto"/>
              <w:bottom w:val="single" w:sz="4" w:space="0" w:color="auto"/>
            </w:tcBorders>
            <w:shd w:val="clear" w:color="auto" w:fill="auto"/>
            <w:tcMar>
              <w:top w:w="15" w:type="dxa"/>
              <w:left w:w="108" w:type="dxa"/>
              <w:bottom w:w="0" w:type="dxa"/>
              <w:right w:w="108" w:type="dxa"/>
            </w:tcMar>
          </w:tcPr>
          <w:p w14:paraId="03291913" w14:textId="77777777" w:rsidR="00C92C58" w:rsidRPr="00C174D5" w:rsidRDefault="00C92C58" w:rsidP="00B15A9A">
            <w:pPr>
              <w:spacing w:after="0" w:line="240" w:lineRule="auto"/>
              <w:jc w:val="center"/>
              <w:rPr>
                <w:sz w:val="20"/>
                <w:szCs w:val="20"/>
                <w:lang w:val="es-ES"/>
              </w:rPr>
            </w:pPr>
            <w:r w:rsidRPr="00C174D5">
              <w:rPr>
                <w:sz w:val="20"/>
                <w:szCs w:val="20"/>
                <w:lang w:val="es-ES"/>
              </w:rPr>
              <w:t>1.360</w:t>
            </w:r>
          </w:p>
        </w:tc>
      </w:tr>
      <w:tr w:rsidR="00C92C58" w:rsidRPr="00C174D5" w14:paraId="72297838" w14:textId="77777777" w:rsidTr="00B15A9A">
        <w:trPr>
          <w:trHeight w:val="43"/>
          <w:jc w:val="center"/>
        </w:trPr>
        <w:tc>
          <w:tcPr>
            <w:tcW w:w="840" w:type="dxa"/>
            <w:tcBorders>
              <w:top w:val="single" w:sz="4" w:space="0" w:color="auto"/>
              <w:bottom w:val="single" w:sz="4" w:space="0" w:color="auto"/>
            </w:tcBorders>
            <w:shd w:val="clear" w:color="auto" w:fill="auto"/>
            <w:tcMar>
              <w:top w:w="15" w:type="dxa"/>
              <w:left w:w="108" w:type="dxa"/>
              <w:bottom w:w="0" w:type="dxa"/>
              <w:right w:w="108" w:type="dxa"/>
            </w:tcMar>
          </w:tcPr>
          <w:p w14:paraId="353D9AB4" w14:textId="77777777" w:rsidR="00C92C58" w:rsidRPr="00C174D5" w:rsidRDefault="00C92C58" w:rsidP="00B15A9A">
            <w:pPr>
              <w:spacing w:after="0" w:line="240" w:lineRule="auto"/>
              <w:jc w:val="center"/>
              <w:rPr>
                <w:sz w:val="20"/>
                <w:szCs w:val="20"/>
                <w:lang w:val="es-ES"/>
              </w:rPr>
            </w:pPr>
            <w:r w:rsidRPr="00C174D5">
              <w:rPr>
                <w:sz w:val="20"/>
                <w:szCs w:val="20"/>
                <w:lang w:val="es-ES"/>
              </w:rPr>
              <w:t>2015</w:t>
            </w:r>
          </w:p>
        </w:tc>
        <w:tc>
          <w:tcPr>
            <w:tcW w:w="1711" w:type="dxa"/>
            <w:tcBorders>
              <w:top w:val="single" w:sz="4" w:space="0" w:color="auto"/>
              <w:bottom w:val="single" w:sz="4" w:space="0" w:color="auto"/>
            </w:tcBorders>
            <w:shd w:val="clear" w:color="auto" w:fill="auto"/>
            <w:tcMar>
              <w:top w:w="15" w:type="dxa"/>
              <w:left w:w="108" w:type="dxa"/>
              <w:bottom w:w="0" w:type="dxa"/>
              <w:right w:w="108" w:type="dxa"/>
            </w:tcMar>
          </w:tcPr>
          <w:p w14:paraId="1764B174" w14:textId="77777777" w:rsidR="00C92C58" w:rsidRPr="00C174D5" w:rsidRDefault="00C92C58" w:rsidP="00B15A9A">
            <w:pPr>
              <w:spacing w:after="0" w:line="240" w:lineRule="auto"/>
              <w:jc w:val="center"/>
              <w:rPr>
                <w:sz w:val="20"/>
                <w:szCs w:val="20"/>
                <w:lang w:val="es-ES"/>
              </w:rPr>
            </w:pPr>
            <w:r w:rsidRPr="00C174D5">
              <w:rPr>
                <w:sz w:val="20"/>
                <w:szCs w:val="20"/>
                <w:lang w:val="es-ES"/>
              </w:rPr>
              <w:t>9.693</w:t>
            </w:r>
          </w:p>
        </w:tc>
        <w:tc>
          <w:tcPr>
            <w:tcW w:w="1633" w:type="dxa"/>
            <w:tcBorders>
              <w:top w:val="single" w:sz="4" w:space="0" w:color="auto"/>
              <w:bottom w:val="single" w:sz="4" w:space="0" w:color="auto"/>
            </w:tcBorders>
            <w:shd w:val="clear" w:color="auto" w:fill="auto"/>
            <w:tcMar>
              <w:top w:w="15" w:type="dxa"/>
              <w:left w:w="108" w:type="dxa"/>
              <w:bottom w:w="0" w:type="dxa"/>
              <w:right w:w="108" w:type="dxa"/>
            </w:tcMar>
          </w:tcPr>
          <w:p w14:paraId="0CF85C40" w14:textId="77777777" w:rsidR="00C92C58" w:rsidRPr="00C174D5" w:rsidRDefault="00C92C58" w:rsidP="00B15A9A">
            <w:pPr>
              <w:spacing w:after="0" w:line="240" w:lineRule="auto"/>
              <w:jc w:val="center"/>
              <w:rPr>
                <w:sz w:val="20"/>
                <w:szCs w:val="20"/>
                <w:lang w:val="es-ES"/>
              </w:rPr>
            </w:pPr>
            <w:r w:rsidRPr="00C174D5">
              <w:rPr>
                <w:sz w:val="20"/>
                <w:szCs w:val="20"/>
                <w:lang w:val="es-ES"/>
              </w:rPr>
              <w:t>12.484</w:t>
            </w:r>
          </w:p>
        </w:tc>
        <w:tc>
          <w:tcPr>
            <w:tcW w:w="1181" w:type="dxa"/>
            <w:tcBorders>
              <w:top w:val="single" w:sz="4" w:space="0" w:color="auto"/>
              <w:bottom w:val="single" w:sz="4" w:space="0" w:color="auto"/>
            </w:tcBorders>
            <w:shd w:val="clear" w:color="auto" w:fill="auto"/>
            <w:tcMar>
              <w:top w:w="15" w:type="dxa"/>
              <w:left w:w="108" w:type="dxa"/>
              <w:bottom w:w="0" w:type="dxa"/>
              <w:right w:w="108" w:type="dxa"/>
            </w:tcMar>
          </w:tcPr>
          <w:p w14:paraId="2EF7C410" w14:textId="77777777" w:rsidR="00C92C58" w:rsidRPr="00C174D5" w:rsidRDefault="00C92C58" w:rsidP="00B15A9A">
            <w:pPr>
              <w:spacing w:after="0" w:line="240" w:lineRule="auto"/>
              <w:jc w:val="center"/>
              <w:rPr>
                <w:sz w:val="20"/>
                <w:szCs w:val="20"/>
                <w:lang w:val="es-ES"/>
              </w:rPr>
            </w:pPr>
            <w:r w:rsidRPr="00C174D5">
              <w:rPr>
                <w:sz w:val="20"/>
                <w:szCs w:val="20"/>
                <w:lang w:val="es-ES"/>
              </w:rPr>
              <w:t>2.791</w:t>
            </w:r>
          </w:p>
        </w:tc>
      </w:tr>
      <w:tr w:rsidR="00C92C58" w:rsidRPr="00C174D5" w14:paraId="44D6EC1B" w14:textId="77777777" w:rsidTr="00B15A9A">
        <w:trPr>
          <w:trHeight w:val="46"/>
          <w:jc w:val="center"/>
        </w:trPr>
        <w:tc>
          <w:tcPr>
            <w:tcW w:w="840" w:type="dxa"/>
            <w:tcBorders>
              <w:top w:val="single" w:sz="4" w:space="0" w:color="auto"/>
              <w:bottom w:val="single" w:sz="4" w:space="0" w:color="auto"/>
            </w:tcBorders>
            <w:shd w:val="clear" w:color="auto" w:fill="auto"/>
            <w:tcMar>
              <w:top w:w="15" w:type="dxa"/>
              <w:left w:w="108" w:type="dxa"/>
              <w:bottom w:w="0" w:type="dxa"/>
              <w:right w:w="108" w:type="dxa"/>
            </w:tcMar>
          </w:tcPr>
          <w:p w14:paraId="3BF5F774" w14:textId="77777777" w:rsidR="00C92C58" w:rsidRPr="00C174D5" w:rsidRDefault="00C92C58" w:rsidP="00B15A9A">
            <w:pPr>
              <w:spacing w:after="0" w:line="240" w:lineRule="auto"/>
              <w:jc w:val="center"/>
              <w:rPr>
                <w:sz w:val="20"/>
                <w:szCs w:val="20"/>
                <w:lang w:val="es-ES"/>
              </w:rPr>
            </w:pPr>
            <w:r w:rsidRPr="00C174D5">
              <w:rPr>
                <w:sz w:val="20"/>
                <w:szCs w:val="20"/>
                <w:lang w:val="es-ES"/>
              </w:rPr>
              <w:t>2016</w:t>
            </w:r>
          </w:p>
        </w:tc>
        <w:tc>
          <w:tcPr>
            <w:tcW w:w="1711" w:type="dxa"/>
            <w:tcBorders>
              <w:top w:val="single" w:sz="4" w:space="0" w:color="auto"/>
              <w:bottom w:val="single" w:sz="4" w:space="0" w:color="auto"/>
            </w:tcBorders>
            <w:shd w:val="clear" w:color="auto" w:fill="auto"/>
            <w:tcMar>
              <w:top w:w="15" w:type="dxa"/>
              <w:left w:w="108" w:type="dxa"/>
              <w:bottom w:w="0" w:type="dxa"/>
              <w:right w:w="108" w:type="dxa"/>
            </w:tcMar>
          </w:tcPr>
          <w:p w14:paraId="6622E166" w14:textId="77777777" w:rsidR="00C92C58" w:rsidRPr="00C174D5" w:rsidRDefault="00C92C58" w:rsidP="00B15A9A">
            <w:pPr>
              <w:spacing w:after="0" w:line="240" w:lineRule="auto"/>
              <w:jc w:val="center"/>
              <w:rPr>
                <w:sz w:val="20"/>
                <w:szCs w:val="20"/>
                <w:lang w:val="es-ES"/>
              </w:rPr>
            </w:pPr>
            <w:r w:rsidRPr="00C174D5">
              <w:rPr>
                <w:sz w:val="20"/>
                <w:szCs w:val="20"/>
                <w:lang w:val="es-ES"/>
              </w:rPr>
              <w:t>10.183</w:t>
            </w:r>
          </w:p>
        </w:tc>
        <w:tc>
          <w:tcPr>
            <w:tcW w:w="1633" w:type="dxa"/>
            <w:tcBorders>
              <w:top w:val="single" w:sz="4" w:space="0" w:color="auto"/>
              <w:bottom w:val="single" w:sz="4" w:space="0" w:color="auto"/>
            </w:tcBorders>
            <w:shd w:val="clear" w:color="auto" w:fill="auto"/>
            <w:tcMar>
              <w:top w:w="15" w:type="dxa"/>
              <w:left w:w="108" w:type="dxa"/>
              <w:bottom w:w="0" w:type="dxa"/>
              <w:right w:w="108" w:type="dxa"/>
            </w:tcMar>
          </w:tcPr>
          <w:p w14:paraId="632DF219" w14:textId="77777777" w:rsidR="00C92C58" w:rsidRPr="00C174D5" w:rsidRDefault="00C92C58" w:rsidP="00B15A9A">
            <w:pPr>
              <w:spacing w:after="0" w:line="240" w:lineRule="auto"/>
              <w:jc w:val="center"/>
              <w:rPr>
                <w:sz w:val="20"/>
                <w:szCs w:val="20"/>
                <w:lang w:val="es-ES"/>
              </w:rPr>
            </w:pPr>
            <w:r w:rsidRPr="00C174D5">
              <w:rPr>
                <w:sz w:val="20"/>
                <w:szCs w:val="20"/>
                <w:lang w:val="es-ES"/>
              </w:rPr>
              <w:t>13.060</w:t>
            </w:r>
          </w:p>
        </w:tc>
        <w:tc>
          <w:tcPr>
            <w:tcW w:w="1181" w:type="dxa"/>
            <w:tcBorders>
              <w:top w:val="single" w:sz="4" w:space="0" w:color="auto"/>
              <w:bottom w:val="single" w:sz="4" w:space="0" w:color="auto"/>
            </w:tcBorders>
            <w:shd w:val="clear" w:color="auto" w:fill="auto"/>
            <w:tcMar>
              <w:top w:w="15" w:type="dxa"/>
              <w:left w:w="108" w:type="dxa"/>
              <w:bottom w:w="0" w:type="dxa"/>
              <w:right w:w="108" w:type="dxa"/>
            </w:tcMar>
          </w:tcPr>
          <w:p w14:paraId="74ADA66F" w14:textId="77777777" w:rsidR="00C92C58" w:rsidRPr="00C174D5" w:rsidRDefault="00C92C58" w:rsidP="00B15A9A">
            <w:pPr>
              <w:spacing w:after="0" w:line="240" w:lineRule="auto"/>
              <w:jc w:val="center"/>
              <w:rPr>
                <w:sz w:val="20"/>
                <w:szCs w:val="20"/>
                <w:lang w:val="es-ES"/>
              </w:rPr>
            </w:pPr>
            <w:r w:rsidRPr="00C174D5">
              <w:rPr>
                <w:sz w:val="20"/>
                <w:szCs w:val="20"/>
                <w:lang w:val="es-ES"/>
              </w:rPr>
              <w:t>2.877</w:t>
            </w:r>
          </w:p>
        </w:tc>
      </w:tr>
      <w:tr w:rsidR="00C92C58" w:rsidRPr="00C174D5" w14:paraId="042C5A82" w14:textId="77777777" w:rsidTr="00B15A9A">
        <w:trPr>
          <w:trHeight w:val="43"/>
          <w:jc w:val="center"/>
        </w:trPr>
        <w:tc>
          <w:tcPr>
            <w:tcW w:w="840" w:type="dxa"/>
            <w:tcBorders>
              <w:top w:val="single" w:sz="4" w:space="0" w:color="auto"/>
              <w:bottom w:val="single" w:sz="4" w:space="0" w:color="auto"/>
            </w:tcBorders>
            <w:shd w:val="clear" w:color="auto" w:fill="auto"/>
            <w:tcMar>
              <w:top w:w="15" w:type="dxa"/>
              <w:left w:w="108" w:type="dxa"/>
              <w:bottom w:w="0" w:type="dxa"/>
              <w:right w:w="108" w:type="dxa"/>
            </w:tcMar>
          </w:tcPr>
          <w:p w14:paraId="042CA459" w14:textId="77777777" w:rsidR="00C92C58" w:rsidRPr="00C174D5" w:rsidRDefault="00C92C58" w:rsidP="00B15A9A">
            <w:pPr>
              <w:spacing w:after="0" w:line="240" w:lineRule="auto"/>
              <w:jc w:val="center"/>
              <w:rPr>
                <w:sz w:val="20"/>
                <w:szCs w:val="20"/>
                <w:lang w:val="es-ES"/>
              </w:rPr>
            </w:pPr>
            <w:r w:rsidRPr="00C174D5">
              <w:rPr>
                <w:sz w:val="20"/>
                <w:szCs w:val="20"/>
                <w:lang w:val="es-ES"/>
              </w:rPr>
              <w:t>2017</w:t>
            </w:r>
          </w:p>
        </w:tc>
        <w:tc>
          <w:tcPr>
            <w:tcW w:w="1711" w:type="dxa"/>
            <w:tcBorders>
              <w:top w:val="single" w:sz="4" w:space="0" w:color="auto"/>
              <w:bottom w:val="single" w:sz="4" w:space="0" w:color="auto"/>
            </w:tcBorders>
            <w:shd w:val="clear" w:color="auto" w:fill="auto"/>
            <w:tcMar>
              <w:top w:w="15" w:type="dxa"/>
              <w:left w:w="108" w:type="dxa"/>
              <w:bottom w:w="0" w:type="dxa"/>
              <w:right w:w="108" w:type="dxa"/>
            </w:tcMar>
          </w:tcPr>
          <w:p w14:paraId="3FA9AA52" w14:textId="77777777" w:rsidR="00C92C58" w:rsidRPr="00C174D5" w:rsidRDefault="00C92C58" w:rsidP="00B15A9A">
            <w:pPr>
              <w:spacing w:after="0" w:line="240" w:lineRule="auto"/>
              <w:jc w:val="center"/>
              <w:rPr>
                <w:sz w:val="20"/>
                <w:szCs w:val="20"/>
                <w:lang w:val="es-ES"/>
              </w:rPr>
            </w:pPr>
            <w:r w:rsidRPr="00C174D5">
              <w:rPr>
                <w:sz w:val="20"/>
                <w:szCs w:val="20"/>
                <w:lang w:val="es-ES"/>
              </w:rPr>
              <w:t>11.874</w:t>
            </w:r>
          </w:p>
        </w:tc>
        <w:tc>
          <w:tcPr>
            <w:tcW w:w="1633" w:type="dxa"/>
            <w:tcBorders>
              <w:top w:val="single" w:sz="4" w:space="0" w:color="auto"/>
              <w:bottom w:val="single" w:sz="4" w:space="0" w:color="auto"/>
            </w:tcBorders>
            <w:shd w:val="clear" w:color="auto" w:fill="auto"/>
            <w:tcMar>
              <w:top w:w="15" w:type="dxa"/>
              <w:left w:w="108" w:type="dxa"/>
              <w:bottom w:w="0" w:type="dxa"/>
              <w:right w:w="108" w:type="dxa"/>
            </w:tcMar>
          </w:tcPr>
          <w:p w14:paraId="6AF7EA45" w14:textId="77777777" w:rsidR="00C92C58" w:rsidRPr="00C174D5" w:rsidRDefault="00C92C58" w:rsidP="00B15A9A">
            <w:pPr>
              <w:spacing w:after="0" w:line="240" w:lineRule="auto"/>
              <w:jc w:val="center"/>
              <w:rPr>
                <w:sz w:val="20"/>
                <w:szCs w:val="20"/>
                <w:lang w:val="es-ES"/>
              </w:rPr>
            </w:pPr>
            <w:r w:rsidRPr="00C174D5">
              <w:rPr>
                <w:sz w:val="20"/>
                <w:szCs w:val="20"/>
                <w:lang w:val="es-ES"/>
              </w:rPr>
              <w:t>13.496</w:t>
            </w:r>
          </w:p>
        </w:tc>
        <w:tc>
          <w:tcPr>
            <w:tcW w:w="1181" w:type="dxa"/>
            <w:tcBorders>
              <w:top w:val="single" w:sz="4" w:space="0" w:color="auto"/>
              <w:bottom w:val="single" w:sz="4" w:space="0" w:color="auto"/>
            </w:tcBorders>
            <w:shd w:val="clear" w:color="auto" w:fill="auto"/>
            <w:tcMar>
              <w:top w:w="15" w:type="dxa"/>
              <w:left w:w="108" w:type="dxa"/>
              <w:bottom w:w="0" w:type="dxa"/>
              <w:right w:w="108" w:type="dxa"/>
            </w:tcMar>
          </w:tcPr>
          <w:p w14:paraId="43E35B24" w14:textId="77777777" w:rsidR="00C92C58" w:rsidRPr="00C174D5" w:rsidRDefault="00C92C58" w:rsidP="00B15A9A">
            <w:pPr>
              <w:spacing w:after="0" w:line="240" w:lineRule="auto"/>
              <w:jc w:val="center"/>
              <w:rPr>
                <w:sz w:val="20"/>
                <w:szCs w:val="20"/>
                <w:lang w:val="es-ES"/>
              </w:rPr>
            </w:pPr>
            <w:r w:rsidRPr="00C174D5">
              <w:rPr>
                <w:sz w:val="20"/>
                <w:szCs w:val="20"/>
                <w:lang w:val="es-ES"/>
              </w:rPr>
              <w:t>1.622</w:t>
            </w:r>
          </w:p>
        </w:tc>
      </w:tr>
      <w:tr w:rsidR="00C92C58" w:rsidRPr="00C174D5" w14:paraId="676E93EB" w14:textId="77777777" w:rsidTr="00B15A9A">
        <w:trPr>
          <w:trHeight w:val="43"/>
          <w:jc w:val="center"/>
        </w:trPr>
        <w:tc>
          <w:tcPr>
            <w:tcW w:w="840" w:type="dxa"/>
            <w:tcBorders>
              <w:top w:val="single" w:sz="4" w:space="0" w:color="auto"/>
              <w:bottom w:val="single" w:sz="4" w:space="0" w:color="auto"/>
            </w:tcBorders>
            <w:shd w:val="clear" w:color="auto" w:fill="auto"/>
            <w:tcMar>
              <w:top w:w="15" w:type="dxa"/>
              <w:left w:w="108" w:type="dxa"/>
              <w:bottom w:w="0" w:type="dxa"/>
              <w:right w:w="108" w:type="dxa"/>
            </w:tcMar>
          </w:tcPr>
          <w:p w14:paraId="3498EC51" w14:textId="77777777" w:rsidR="00C92C58" w:rsidRPr="00C174D5" w:rsidRDefault="00C92C58" w:rsidP="00B15A9A">
            <w:pPr>
              <w:spacing w:after="0" w:line="240" w:lineRule="auto"/>
              <w:jc w:val="center"/>
              <w:rPr>
                <w:sz w:val="20"/>
                <w:szCs w:val="20"/>
                <w:lang w:val="es-ES"/>
              </w:rPr>
            </w:pPr>
            <w:r w:rsidRPr="00C174D5">
              <w:rPr>
                <w:sz w:val="20"/>
                <w:szCs w:val="20"/>
                <w:lang w:val="es-ES"/>
              </w:rPr>
              <w:t>2018</w:t>
            </w:r>
          </w:p>
        </w:tc>
        <w:tc>
          <w:tcPr>
            <w:tcW w:w="1711" w:type="dxa"/>
            <w:tcBorders>
              <w:top w:val="single" w:sz="4" w:space="0" w:color="auto"/>
              <w:bottom w:val="single" w:sz="4" w:space="0" w:color="auto"/>
            </w:tcBorders>
            <w:shd w:val="clear" w:color="auto" w:fill="auto"/>
            <w:tcMar>
              <w:top w:w="15" w:type="dxa"/>
              <w:left w:w="108" w:type="dxa"/>
              <w:bottom w:w="0" w:type="dxa"/>
              <w:right w:w="108" w:type="dxa"/>
            </w:tcMar>
          </w:tcPr>
          <w:p w14:paraId="69AEB704" w14:textId="77777777" w:rsidR="00C92C58" w:rsidRPr="00C174D5" w:rsidRDefault="00C92C58" w:rsidP="00B15A9A">
            <w:pPr>
              <w:spacing w:after="0" w:line="240" w:lineRule="auto"/>
              <w:jc w:val="center"/>
              <w:rPr>
                <w:sz w:val="20"/>
                <w:szCs w:val="20"/>
                <w:lang w:val="es-ES"/>
              </w:rPr>
            </w:pPr>
            <w:r w:rsidRPr="00C174D5">
              <w:rPr>
                <w:sz w:val="20"/>
                <w:szCs w:val="20"/>
                <w:lang w:val="es-ES"/>
              </w:rPr>
              <w:t>13.012</w:t>
            </w:r>
          </w:p>
        </w:tc>
        <w:tc>
          <w:tcPr>
            <w:tcW w:w="1633" w:type="dxa"/>
            <w:tcBorders>
              <w:top w:val="single" w:sz="4" w:space="0" w:color="auto"/>
              <w:bottom w:val="single" w:sz="4" w:space="0" w:color="auto"/>
            </w:tcBorders>
            <w:shd w:val="clear" w:color="auto" w:fill="auto"/>
            <w:tcMar>
              <w:top w:w="15" w:type="dxa"/>
              <w:left w:w="108" w:type="dxa"/>
              <w:bottom w:w="0" w:type="dxa"/>
              <w:right w:w="108" w:type="dxa"/>
            </w:tcMar>
          </w:tcPr>
          <w:p w14:paraId="6EAFFB41" w14:textId="77777777" w:rsidR="00C92C58" w:rsidRPr="00C174D5" w:rsidRDefault="00C92C58" w:rsidP="00B15A9A">
            <w:pPr>
              <w:spacing w:after="0" w:line="240" w:lineRule="auto"/>
              <w:jc w:val="center"/>
              <w:rPr>
                <w:sz w:val="20"/>
                <w:szCs w:val="20"/>
                <w:lang w:val="es-ES"/>
              </w:rPr>
            </w:pPr>
            <w:r w:rsidRPr="00C174D5">
              <w:rPr>
                <w:sz w:val="20"/>
                <w:szCs w:val="20"/>
                <w:lang w:val="es-ES"/>
              </w:rPr>
              <w:t>15.447</w:t>
            </w:r>
          </w:p>
        </w:tc>
        <w:tc>
          <w:tcPr>
            <w:tcW w:w="1181" w:type="dxa"/>
            <w:tcBorders>
              <w:top w:val="single" w:sz="4" w:space="0" w:color="auto"/>
              <w:bottom w:val="single" w:sz="4" w:space="0" w:color="auto"/>
            </w:tcBorders>
            <w:shd w:val="clear" w:color="auto" w:fill="auto"/>
            <w:tcMar>
              <w:top w:w="15" w:type="dxa"/>
              <w:left w:w="108" w:type="dxa"/>
              <w:bottom w:w="0" w:type="dxa"/>
              <w:right w:w="108" w:type="dxa"/>
            </w:tcMar>
          </w:tcPr>
          <w:p w14:paraId="7046CE8B" w14:textId="77777777" w:rsidR="00C92C58" w:rsidRPr="00C174D5" w:rsidRDefault="00C92C58" w:rsidP="00B15A9A">
            <w:pPr>
              <w:spacing w:after="0" w:line="240" w:lineRule="auto"/>
              <w:jc w:val="center"/>
              <w:rPr>
                <w:sz w:val="20"/>
                <w:szCs w:val="20"/>
                <w:lang w:val="es-ES"/>
              </w:rPr>
            </w:pPr>
            <w:r w:rsidRPr="00C174D5">
              <w:rPr>
                <w:sz w:val="20"/>
                <w:szCs w:val="20"/>
                <w:lang w:val="es-ES"/>
              </w:rPr>
              <w:t>2.436</w:t>
            </w:r>
          </w:p>
        </w:tc>
      </w:tr>
      <w:tr w:rsidR="00C92C58" w:rsidRPr="00C174D5" w14:paraId="6A06D487" w14:textId="77777777" w:rsidTr="00B15A9A">
        <w:trPr>
          <w:trHeight w:val="46"/>
          <w:jc w:val="center"/>
        </w:trPr>
        <w:tc>
          <w:tcPr>
            <w:tcW w:w="840" w:type="dxa"/>
            <w:tcBorders>
              <w:top w:val="single" w:sz="4" w:space="0" w:color="auto"/>
              <w:bottom w:val="single" w:sz="4" w:space="0" w:color="auto"/>
            </w:tcBorders>
            <w:shd w:val="clear" w:color="auto" w:fill="auto"/>
            <w:tcMar>
              <w:top w:w="15" w:type="dxa"/>
              <w:left w:w="108" w:type="dxa"/>
              <w:bottom w:w="0" w:type="dxa"/>
              <w:right w:w="108" w:type="dxa"/>
            </w:tcMar>
          </w:tcPr>
          <w:p w14:paraId="182D8E18" w14:textId="77777777" w:rsidR="00C92C58" w:rsidRPr="00C174D5" w:rsidRDefault="00C92C58" w:rsidP="00B15A9A">
            <w:pPr>
              <w:spacing w:after="0" w:line="240" w:lineRule="auto"/>
              <w:jc w:val="center"/>
              <w:rPr>
                <w:sz w:val="20"/>
                <w:szCs w:val="20"/>
                <w:lang w:val="es-ES"/>
              </w:rPr>
            </w:pPr>
            <w:r w:rsidRPr="00C174D5">
              <w:rPr>
                <w:sz w:val="20"/>
                <w:szCs w:val="20"/>
                <w:lang w:val="es-ES"/>
              </w:rPr>
              <w:t>2019</w:t>
            </w:r>
          </w:p>
        </w:tc>
        <w:tc>
          <w:tcPr>
            <w:tcW w:w="1711" w:type="dxa"/>
            <w:tcBorders>
              <w:top w:val="single" w:sz="4" w:space="0" w:color="auto"/>
              <w:bottom w:val="single" w:sz="4" w:space="0" w:color="auto"/>
            </w:tcBorders>
            <w:shd w:val="clear" w:color="auto" w:fill="auto"/>
            <w:tcMar>
              <w:top w:w="15" w:type="dxa"/>
              <w:left w:w="108" w:type="dxa"/>
              <w:bottom w:w="0" w:type="dxa"/>
              <w:right w:w="108" w:type="dxa"/>
            </w:tcMar>
          </w:tcPr>
          <w:p w14:paraId="26B0DB87" w14:textId="77777777" w:rsidR="00C92C58" w:rsidRPr="00C174D5" w:rsidRDefault="00C92C58" w:rsidP="00B15A9A">
            <w:pPr>
              <w:spacing w:after="0" w:line="240" w:lineRule="auto"/>
              <w:jc w:val="center"/>
              <w:rPr>
                <w:sz w:val="20"/>
                <w:szCs w:val="20"/>
                <w:lang w:val="es-ES"/>
              </w:rPr>
            </w:pPr>
            <w:r w:rsidRPr="00C174D5">
              <w:rPr>
                <w:sz w:val="20"/>
                <w:szCs w:val="20"/>
                <w:lang w:val="es-ES"/>
              </w:rPr>
              <w:t>14.779</w:t>
            </w:r>
          </w:p>
        </w:tc>
        <w:tc>
          <w:tcPr>
            <w:tcW w:w="1633" w:type="dxa"/>
            <w:tcBorders>
              <w:top w:val="single" w:sz="4" w:space="0" w:color="auto"/>
              <w:bottom w:val="single" w:sz="4" w:space="0" w:color="auto"/>
            </w:tcBorders>
            <w:shd w:val="clear" w:color="auto" w:fill="auto"/>
            <w:tcMar>
              <w:top w:w="15" w:type="dxa"/>
              <w:left w:w="108" w:type="dxa"/>
              <w:bottom w:w="0" w:type="dxa"/>
              <w:right w:w="108" w:type="dxa"/>
            </w:tcMar>
          </w:tcPr>
          <w:p w14:paraId="69E29558" w14:textId="77777777" w:rsidR="00C92C58" w:rsidRPr="00C174D5" w:rsidRDefault="00C92C58" w:rsidP="00B15A9A">
            <w:pPr>
              <w:spacing w:after="0" w:line="240" w:lineRule="auto"/>
              <w:jc w:val="center"/>
              <w:rPr>
                <w:sz w:val="20"/>
                <w:szCs w:val="20"/>
                <w:lang w:val="es-ES"/>
              </w:rPr>
            </w:pPr>
            <w:r w:rsidRPr="00C174D5">
              <w:rPr>
                <w:sz w:val="20"/>
                <w:szCs w:val="20"/>
                <w:lang w:val="es-ES"/>
              </w:rPr>
              <w:t>19.333</w:t>
            </w:r>
          </w:p>
        </w:tc>
        <w:tc>
          <w:tcPr>
            <w:tcW w:w="1181" w:type="dxa"/>
            <w:tcBorders>
              <w:top w:val="single" w:sz="4" w:space="0" w:color="auto"/>
              <w:bottom w:val="single" w:sz="4" w:space="0" w:color="auto"/>
            </w:tcBorders>
            <w:shd w:val="clear" w:color="auto" w:fill="auto"/>
            <w:tcMar>
              <w:top w:w="15" w:type="dxa"/>
              <w:left w:w="108" w:type="dxa"/>
              <w:bottom w:w="0" w:type="dxa"/>
              <w:right w:w="108" w:type="dxa"/>
            </w:tcMar>
          </w:tcPr>
          <w:p w14:paraId="34883FDD" w14:textId="77777777" w:rsidR="00C92C58" w:rsidRPr="00C174D5" w:rsidRDefault="00C92C58" w:rsidP="00B15A9A">
            <w:pPr>
              <w:spacing w:after="0" w:line="240" w:lineRule="auto"/>
              <w:jc w:val="center"/>
              <w:rPr>
                <w:sz w:val="20"/>
                <w:szCs w:val="20"/>
                <w:lang w:val="es-ES"/>
              </w:rPr>
            </w:pPr>
            <w:r w:rsidRPr="00C174D5">
              <w:rPr>
                <w:sz w:val="20"/>
                <w:szCs w:val="20"/>
                <w:lang w:val="es-ES"/>
              </w:rPr>
              <w:t>4.555</w:t>
            </w:r>
          </w:p>
        </w:tc>
      </w:tr>
      <w:tr w:rsidR="00C92C58" w:rsidRPr="00C174D5" w14:paraId="3B3951DD" w14:textId="77777777" w:rsidTr="00B15A9A">
        <w:trPr>
          <w:trHeight w:val="43"/>
          <w:jc w:val="center"/>
        </w:trPr>
        <w:tc>
          <w:tcPr>
            <w:tcW w:w="840" w:type="dxa"/>
            <w:tcBorders>
              <w:top w:val="single" w:sz="4" w:space="0" w:color="auto"/>
              <w:bottom w:val="single" w:sz="4" w:space="0" w:color="auto"/>
            </w:tcBorders>
            <w:shd w:val="clear" w:color="auto" w:fill="auto"/>
            <w:tcMar>
              <w:top w:w="15" w:type="dxa"/>
              <w:left w:w="108" w:type="dxa"/>
              <w:bottom w:w="0" w:type="dxa"/>
              <w:right w:w="108" w:type="dxa"/>
            </w:tcMar>
          </w:tcPr>
          <w:p w14:paraId="231437AE" w14:textId="77777777" w:rsidR="00C92C58" w:rsidRPr="00C174D5" w:rsidRDefault="00C92C58" w:rsidP="00B15A9A">
            <w:pPr>
              <w:spacing w:after="0" w:line="240" w:lineRule="auto"/>
              <w:jc w:val="center"/>
              <w:rPr>
                <w:sz w:val="20"/>
                <w:szCs w:val="20"/>
                <w:lang w:val="es-ES"/>
              </w:rPr>
            </w:pPr>
            <w:r w:rsidRPr="00C174D5">
              <w:rPr>
                <w:sz w:val="20"/>
                <w:szCs w:val="20"/>
                <w:lang w:val="es-ES"/>
              </w:rPr>
              <w:t>2020</w:t>
            </w:r>
          </w:p>
        </w:tc>
        <w:tc>
          <w:tcPr>
            <w:tcW w:w="1711" w:type="dxa"/>
            <w:tcBorders>
              <w:top w:val="single" w:sz="4" w:space="0" w:color="auto"/>
              <w:bottom w:val="single" w:sz="4" w:space="0" w:color="auto"/>
            </w:tcBorders>
            <w:shd w:val="clear" w:color="auto" w:fill="auto"/>
            <w:tcMar>
              <w:top w:w="15" w:type="dxa"/>
              <w:left w:w="108" w:type="dxa"/>
              <w:bottom w:w="0" w:type="dxa"/>
              <w:right w:w="108" w:type="dxa"/>
            </w:tcMar>
          </w:tcPr>
          <w:p w14:paraId="59A8D29F" w14:textId="77777777" w:rsidR="00C92C58" w:rsidRPr="00C174D5" w:rsidRDefault="00C92C58" w:rsidP="00B15A9A">
            <w:pPr>
              <w:spacing w:after="0" w:line="240" w:lineRule="auto"/>
              <w:jc w:val="center"/>
              <w:rPr>
                <w:sz w:val="20"/>
                <w:szCs w:val="20"/>
                <w:lang w:val="es-ES"/>
              </w:rPr>
            </w:pPr>
            <w:r w:rsidRPr="00C174D5">
              <w:rPr>
                <w:sz w:val="20"/>
                <w:szCs w:val="20"/>
                <w:lang w:val="es-ES"/>
              </w:rPr>
              <w:t>15.214</w:t>
            </w:r>
          </w:p>
        </w:tc>
        <w:tc>
          <w:tcPr>
            <w:tcW w:w="1633" w:type="dxa"/>
            <w:tcBorders>
              <w:top w:val="single" w:sz="4" w:space="0" w:color="auto"/>
              <w:bottom w:val="single" w:sz="4" w:space="0" w:color="auto"/>
            </w:tcBorders>
            <w:shd w:val="clear" w:color="auto" w:fill="auto"/>
            <w:tcMar>
              <w:top w:w="15" w:type="dxa"/>
              <w:left w:w="108" w:type="dxa"/>
              <w:bottom w:w="0" w:type="dxa"/>
              <w:right w:w="108" w:type="dxa"/>
            </w:tcMar>
          </w:tcPr>
          <w:p w14:paraId="3CA4F162" w14:textId="77777777" w:rsidR="00C92C58" w:rsidRPr="00C174D5" w:rsidRDefault="00C92C58" w:rsidP="00B15A9A">
            <w:pPr>
              <w:spacing w:after="0" w:line="240" w:lineRule="auto"/>
              <w:jc w:val="center"/>
              <w:rPr>
                <w:sz w:val="20"/>
                <w:szCs w:val="20"/>
                <w:lang w:val="es-ES"/>
              </w:rPr>
            </w:pPr>
            <w:r w:rsidRPr="00C174D5">
              <w:rPr>
                <w:sz w:val="20"/>
                <w:szCs w:val="20"/>
                <w:lang w:val="es-ES"/>
              </w:rPr>
              <w:t>21.345</w:t>
            </w:r>
          </w:p>
        </w:tc>
        <w:tc>
          <w:tcPr>
            <w:tcW w:w="1181" w:type="dxa"/>
            <w:tcBorders>
              <w:top w:val="single" w:sz="4" w:space="0" w:color="auto"/>
              <w:bottom w:val="single" w:sz="4" w:space="0" w:color="auto"/>
            </w:tcBorders>
            <w:shd w:val="clear" w:color="auto" w:fill="auto"/>
            <w:tcMar>
              <w:top w:w="15" w:type="dxa"/>
              <w:left w:w="108" w:type="dxa"/>
              <w:bottom w:w="0" w:type="dxa"/>
              <w:right w:w="108" w:type="dxa"/>
            </w:tcMar>
          </w:tcPr>
          <w:p w14:paraId="1ECD0B5B" w14:textId="77777777" w:rsidR="00C92C58" w:rsidRPr="00C174D5" w:rsidRDefault="00C92C58" w:rsidP="00B15A9A">
            <w:pPr>
              <w:spacing w:after="0" w:line="240" w:lineRule="auto"/>
              <w:jc w:val="center"/>
              <w:rPr>
                <w:sz w:val="20"/>
                <w:szCs w:val="20"/>
                <w:lang w:val="es-ES"/>
              </w:rPr>
            </w:pPr>
            <w:r w:rsidRPr="00C174D5">
              <w:rPr>
                <w:sz w:val="20"/>
                <w:szCs w:val="20"/>
                <w:lang w:val="es-ES"/>
              </w:rPr>
              <w:t>6.131</w:t>
            </w:r>
          </w:p>
        </w:tc>
      </w:tr>
      <w:tr w:rsidR="00C92C58" w:rsidRPr="00C174D5" w14:paraId="5CCBF26B" w14:textId="77777777" w:rsidTr="00B15A9A">
        <w:trPr>
          <w:trHeight w:val="46"/>
          <w:jc w:val="center"/>
        </w:trPr>
        <w:tc>
          <w:tcPr>
            <w:tcW w:w="840" w:type="dxa"/>
            <w:tcBorders>
              <w:top w:val="single" w:sz="4" w:space="0" w:color="auto"/>
              <w:bottom w:val="single" w:sz="4" w:space="0" w:color="auto"/>
            </w:tcBorders>
            <w:shd w:val="clear" w:color="auto" w:fill="auto"/>
            <w:tcMar>
              <w:top w:w="15" w:type="dxa"/>
              <w:left w:w="108" w:type="dxa"/>
              <w:bottom w:w="0" w:type="dxa"/>
              <w:right w:w="108" w:type="dxa"/>
            </w:tcMar>
          </w:tcPr>
          <w:p w14:paraId="210660C8" w14:textId="77777777" w:rsidR="00C92C58" w:rsidRPr="00C174D5" w:rsidRDefault="00C92C58" w:rsidP="00B15A9A">
            <w:pPr>
              <w:spacing w:after="0" w:line="240" w:lineRule="auto"/>
              <w:jc w:val="center"/>
              <w:rPr>
                <w:sz w:val="20"/>
                <w:szCs w:val="20"/>
                <w:lang w:val="es-ES"/>
              </w:rPr>
            </w:pPr>
            <w:r w:rsidRPr="00C174D5">
              <w:rPr>
                <w:sz w:val="20"/>
                <w:szCs w:val="20"/>
                <w:lang w:val="es-ES"/>
              </w:rPr>
              <w:t>2021</w:t>
            </w:r>
          </w:p>
        </w:tc>
        <w:tc>
          <w:tcPr>
            <w:tcW w:w="1711" w:type="dxa"/>
            <w:tcBorders>
              <w:top w:val="single" w:sz="4" w:space="0" w:color="auto"/>
              <w:bottom w:val="single" w:sz="4" w:space="0" w:color="auto"/>
            </w:tcBorders>
            <w:shd w:val="clear" w:color="auto" w:fill="auto"/>
            <w:tcMar>
              <w:top w:w="15" w:type="dxa"/>
              <w:left w:w="108" w:type="dxa"/>
              <w:bottom w:w="0" w:type="dxa"/>
              <w:right w:w="108" w:type="dxa"/>
            </w:tcMar>
          </w:tcPr>
          <w:p w14:paraId="0CBB95CD" w14:textId="77777777" w:rsidR="00C92C58" w:rsidRPr="00C174D5" w:rsidRDefault="00C92C58" w:rsidP="00B15A9A">
            <w:pPr>
              <w:spacing w:after="0" w:line="240" w:lineRule="auto"/>
              <w:jc w:val="center"/>
              <w:rPr>
                <w:sz w:val="20"/>
                <w:szCs w:val="20"/>
                <w:lang w:val="es-ES"/>
              </w:rPr>
            </w:pPr>
            <w:r w:rsidRPr="00C174D5">
              <w:rPr>
                <w:sz w:val="20"/>
                <w:szCs w:val="20"/>
                <w:lang w:val="es-ES"/>
              </w:rPr>
              <w:t>19.862</w:t>
            </w:r>
          </w:p>
        </w:tc>
        <w:tc>
          <w:tcPr>
            <w:tcW w:w="1633" w:type="dxa"/>
            <w:tcBorders>
              <w:top w:val="single" w:sz="4" w:space="0" w:color="auto"/>
              <w:bottom w:val="single" w:sz="4" w:space="0" w:color="auto"/>
            </w:tcBorders>
            <w:shd w:val="clear" w:color="auto" w:fill="auto"/>
            <w:tcMar>
              <w:top w:w="15" w:type="dxa"/>
              <w:left w:w="108" w:type="dxa"/>
              <w:bottom w:w="0" w:type="dxa"/>
              <w:right w:w="108" w:type="dxa"/>
            </w:tcMar>
          </w:tcPr>
          <w:p w14:paraId="136E9558" w14:textId="77777777" w:rsidR="00C92C58" w:rsidRPr="00C174D5" w:rsidRDefault="00C92C58" w:rsidP="00B15A9A">
            <w:pPr>
              <w:spacing w:after="0" w:line="240" w:lineRule="auto"/>
              <w:jc w:val="center"/>
              <w:rPr>
                <w:sz w:val="20"/>
                <w:szCs w:val="20"/>
                <w:lang w:val="es-ES"/>
              </w:rPr>
            </w:pPr>
            <w:r w:rsidRPr="00C174D5">
              <w:rPr>
                <w:sz w:val="20"/>
                <w:szCs w:val="20"/>
                <w:lang w:val="es-ES"/>
              </w:rPr>
              <w:t>24.685</w:t>
            </w:r>
          </w:p>
        </w:tc>
        <w:tc>
          <w:tcPr>
            <w:tcW w:w="1181" w:type="dxa"/>
            <w:tcBorders>
              <w:top w:val="single" w:sz="4" w:space="0" w:color="auto"/>
              <w:bottom w:val="single" w:sz="4" w:space="0" w:color="auto"/>
            </w:tcBorders>
            <w:shd w:val="clear" w:color="auto" w:fill="auto"/>
            <w:tcMar>
              <w:top w:w="15" w:type="dxa"/>
              <w:left w:w="108" w:type="dxa"/>
              <w:bottom w:w="0" w:type="dxa"/>
              <w:right w:w="108" w:type="dxa"/>
            </w:tcMar>
          </w:tcPr>
          <w:p w14:paraId="14640978" w14:textId="77777777" w:rsidR="00C92C58" w:rsidRPr="00C174D5" w:rsidRDefault="00C92C58" w:rsidP="00B15A9A">
            <w:pPr>
              <w:spacing w:after="0" w:line="240" w:lineRule="auto"/>
              <w:jc w:val="center"/>
              <w:rPr>
                <w:sz w:val="20"/>
                <w:szCs w:val="20"/>
                <w:lang w:val="es-ES"/>
              </w:rPr>
            </w:pPr>
            <w:r w:rsidRPr="00C174D5">
              <w:rPr>
                <w:sz w:val="20"/>
                <w:szCs w:val="20"/>
                <w:lang w:val="es-ES"/>
              </w:rPr>
              <w:t>4.823</w:t>
            </w:r>
          </w:p>
        </w:tc>
      </w:tr>
      <w:tr w:rsidR="00C92C58" w:rsidRPr="00C174D5" w14:paraId="4ADC61BA" w14:textId="77777777" w:rsidTr="00B15A9A">
        <w:trPr>
          <w:trHeight w:val="43"/>
          <w:jc w:val="center"/>
        </w:trPr>
        <w:tc>
          <w:tcPr>
            <w:tcW w:w="840" w:type="dxa"/>
            <w:tcBorders>
              <w:top w:val="single" w:sz="4" w:space="0" w:color="auto"/>
              <w:bottom w:val="single" w:sz="4" w:space="0" w:color="auto"/>
            </w:tcBorders>
            <w:shd w:val="clear" w:color="auto" w:fill="auto"/>
            <w:tcMar>
              <w:top w:w="15" w:type="dxa"/>
              <w:left w:w="108" w:type="dxa"/>
              <w:bottom w:w="0" w:type="dxa"/>
              <w:right w:w="108" w:type="dxa"/>
            </w:tcMar>
          </w:tcPr>
          <w:p w14:paraId="171FEB0F" w14:textId="77777777" w:rsidR="00C92C58" w:rsidRPr="00C174D5" w:rsidRDefault="00C92C58" w:rsidP="00B15A9A">
            <w:pPr>
              <w:spacing w:after="0" w:line="240" w:lineRule="auto"/>
              <w:jc w:val="center"/>
              <w:rPr>
                <w:sz w:val="20"/>
                <w:szCs w:val="20"/>
                <w:lang w:val="es-ES"/>
              </w:rPr>
            </w:pPr>
            <w:r w:rsidRPr="00C174D5">
              <w:rPr>
                <w:sz w:val="20"/>
                <w:szCs w:val="20"/>
                <w:lang w:val="es-ES"/>
              </w:rPr>
              <w:t>2022</w:t>
            </w:r>
          </w:p>
        </w:tc>
        <w:tc>
          <w:tcPr>
            <w:tcW w:w="1711" w:type="dxa"/>
            <w:tcBorders>
              <w:top w:val="single" w:sz="4" w:space="0" w:color="auto"/>
              <w:bottom w:val="single" w:sz="4" w:space="0" w:color="auto"/>
            </w:tcBorders>
            <w:shd w:val="clear" w:color="auto" w:fill="auto"/>
            <w:tcMar>
              <w:top w:w="15" w:type="dxa"/>
              <w:left w:w="108" w:type="dxa"/>
              <w:bottom w:w="0" w:type="dxa"/>
              <w:right w:w="108" w:type="dxa"/>
            </w:tcMar>
          </w:tcPr>
          <w:p w14:paraId="3E895F6A" w14:textId="77777777" w:rsidR="00C92C58" w:rsidRPr="00C174D5" w:rsidRDefault="00C92C58" w:rsidP="00B15A9A">
            <w:pPr>
              <w:spacing w:after="0" w:line="240" w:lineRule="auto"/>
              <w:jc w:val="center"/>
              <w:rPr>
                <w:sz w:val="20"/>
                <w:szCs w:val="20"/>
                <w:lang w:val="es-ES"/>
              </w:rPr>
            </w:pPr>
            <w:r w:rsidRPr="00C174D5">
              <w:rPr>
                <w:sz w:val="20"/>
                <w:szCs w:val="20"/>
                <w:lang w:val="es-ES"/>
              </w:rPr>
              <w:t>23.531</w:t>
            </w:r>
          </w:p>
        </w:tc>
        <w:tc>
          <w:tcPr>
            <w:tcW w:w="1633" w:type="dxa"/>
            <w:tcBorders>
              <w:top w:val="single" w:sz="4" w:space="0" w:color="auto"/>
              <w:bottom w:val="single" w:sz="4" w:space="0" w:color="auto"/>
            </w:tcBorders>
            <w:shd w:val="clear" w:color="auto" w:fill="auto"/>
            <w:tcMar>
              <w:top w:w="15" w:type="dxa"/>
              <w:left w:w="108" w:type="dxa"/>
              <w:bottom w:w="0" w:type="dxa"/>
              <w:right w:w="108" w:type="dxa"/>
            </w:tcMar>
          </w:tcPr>
          <w:p w14:paraId="371E2B7E" w14:textId="77777777" w:rsidR="00C92C58" w:rsidRPr="00C174D5" w:rsidRDefault="00C92C58" w:rsidP="00B15A9A">
            <w:pPr>
              <w:spacing w:after="0" w:line="240" w:lineRule="auto"/>
              <w:jc w:val="center"/>
              <w:rPr>
                <w:sz w:val="20"/>
                <w:szCs w:val="20"/>
                <w:lang w:val="es-ES"/>
              </w:rPr>
            </w:pPr>
            <w:r w:rsidRPr="00C174D5">
              <w:rPr>
                <w:sz w:val="20"/>
                <w:szCs w:val="20"/>
                <w:lang w:val="es-ES"/>
              </w:rPr>
              <w:t>27.272</w:t>
            </w:r>
          </w:p>
        </w:tc>
        <w:tc>
          <w:tcPr>
            <w:tcW w:w="1181" w:type="dxa"/>
            <w:tcBorders>
              <w:top w:val="single" w:sz="4" w:space="0" w:color="auto"/>
              <w:bottom w:val="single" w:sz="4" w:space="0" w:color="auto"/>
            </w:tcBorders>
            <w:shd w:val="clear" w:color="auto" w:fill="auto"/>
            <w:tcMar>
              <w:top w:w="15" w:type="dxa"/>
              <w:left w:w="108" w:type="dxa"/>
              <w:bottom w:w="0" w:type="dxa"/>
              <w:right w:w="108" w:type="dxa"/>
            </w:tcMar>
          </w:tcPr>
          <w:p w14:paraId="1B774D47" w14:textId="77777777" w:rsidR="00C92C58" w:rsidRPr="00C174D5" w:rsidRDefault="00C92C58" w:rsidP="00B15A9A">
            <w:pPr>
              <w:spacing w:after="0" w:line="240" w:lineRule="auto"/>
              <w:jc w:val="center"/>
              <w:rPr>
                <w:sz w:val="20"/>
                <w:szCs w:val="20"/>
                <w:lang w:val="es-ES"/>
              </w:rPr>
            </w:pPr>
            <w:r w:rsidRPr="00C174D5">
              <w:rPr>
                <w:sz w:val="20"/>
                <w:szCs w:val="20"/>
                <w:lang w:val="es-ES"/>
              </w:rPr>
              <w:t>3.741</w:t>
            </w:r>
          </w:p>
        </w:tc>
      </w:tr>
      <w:tr w:rsidR="00C92C58" w:rsidRPr="00C174D5" w14:paraId="6F3DD615" w14:textId="77777777" w:rsidTr="00B15A9A">
        <w:trPr>
          <w:trHeight w:val="46"/>
          <w:jc w:val="center"/>
        </w:trPr>
        <w:tc>
          <w:tcPr>
            <w:tcW w:w="840" w:type="dxa"/>
            <w:tcBorders>
              <w:top w:val="single" w:sz="4" w:space="0" w:color="auto"/>
              <w:bottom w:val="single" w:sz="4" w:space="0" w:color="auto"/>
            </w:tcBorders>
            <w:shd w:val="clear" w:color="auto" w:fill="auto"/>
            <w:tcMar>
              <w:top w:w="15" w:type="dxa"/>
              <w:left w:w="108" w:type="dxa"/>
              <w:bottom w:w="0" w:type="dxa"/>
              <w:right w:w="108" w:type="dxa"/>
            </w:tcMar>
          </w:tcPr>
          <w:p w14:paraId="039DFA9C" w14:textId="77777777" w:rsidR="00C92C58" w:rsidRPr="00C174D5" w:rsidRDefault="00C92C58" w:rsidP="00B15A9A">
            <w:pPr>
              <w:spacing w:after="0" w:line="240" w:lineRule="auto"/>
              <w:jc w:val="center"/>
              <w:rPr>
                <w:sz w:val="20"/>
                <w:szCs w:val="20"/>
                <w:lang w:val="es-ES"/>
              </w:rPr>
            </w:pPr>
            <w:r w:rsidRPr="00C174D5">
              <w:rPr>
                <w:sz w:val="20"/>
                <w:szCs w:val="20"/>
                <w:lang w:val="es-ES"/>
              </w:rPr>
              <w:t>2023</w:t>
            </w:r>
          </w:p>
        </w:tc>
        <w:tc>
          <w:tcPr>
            <w:tcW w:w="1711" w:type="dxa"/>
            <w:tcBorders>
              <w:top w:val="single" w:sz="4" w:space="0" w:color="auto"/>
              <w:bottom w:val="single" w:sz="4" w:space="0" w:color="auto"/>
            </w:tcBorders>
            <w:shd w:val="clear" w:color="auto" w:fill="auto"/>
            <w:tcMar>
              <w:top w:w="15" w:type="dxa"/>
              <w:left w:w="108" w:type="dxa"/>
              <w:bottom w:w="0" w:type="dxa"/>
              <w:right w:w="108" w:type="dxa"/>
            </w:tcMar>
          </w:tcPr>
          <w:p w14:paraId="5EA3E493" w14:textId="77777777" w:rsidR="00C92C58" w:rsidRPr="00C174D5" w:rsidRDefault="00C92C58" w:rsidP="00B15A9A">
            <w:pPr>
              <w:spacing w:after="0" w:line="240" w:lineRule="auto"/>
              <w:jc w:val="center"/>
              <w:rPr>
                <w:sz w:val="20"/>
                <w:szCs w:val="20"/>
                <w:lang w:val="es-ES"/>
              </w:rPr>
            </w:pPr>
            <w:r w:rsidRPr="00C174D5">
              <w:rPr>
                <w:sz w:val="20"/>
                <w:szCs w:val="20"/>
                <w:lang w:val="es-ES"/>
              </w:rPr>
              <w:t>27.920</w:t>
            </w:r>
          </w:p>
        </w:tc>
        <w:tc>
          <w:tcPr>
            <w:tcW w:w="1633" w:type="dxa"/>
            <w:tcBorders>
              <w:top w:val="single" w:sz="4" w:space="0" w:color="auto"/>
              <w:bottom w:val="single" w:sz="4" w:space="0" w:color="auto"/>
            </w:tcBorders>
            <w:shd w:val="clear" w:color="auto" w:fill="auto"/>
            <w:tcMar>
              <w:top w:w="15" w:type="dxa"/>
              <w:left w:w="108" w:type="dxa"/>
              <w:bottom w:w="0" w:type="dxa"/>
              <w:right w:w="108" w:type="dxa"/>
            </w:tcMar>
          </w:tcPr>
          <w:p w14:paraId="5084B431" w14:textId="77777777" w:rsidR="00C92C58" w:rsidRPr="00C174D5" w:rsidRDefault="00C92C58" w:rsidP="00B15A9A">
            <w:pPr>
              <w:spacing w:after="0" w:line="240" w:lineRule="auto"/>
              <w:jc w:val="center"/>
              <w:rPr>
                <w:sz w:val="20"/>
                <w:szCs w:val="20"/>
                <w:lang w:val="es-ES"/>
              </w:rPr>
            </w:pPr>
            <w:r w:rsidRPr="00C174D5">
              <w:rPr>
                <w:sz w:val="20"/>
                <w:szCs w:val="20"/>
                <w:lang w:val="es-ES"/>
              </w:rPr>
              <w:t>30.505</w:t>
            </w:r>
          </w:p>
        </w:tc>
        <w:tc>
          <w:tcPr>
            <w:tcW w:w="1181" w:type="dxa"/>
            <w:tcBorders>
              <w:top w:val="single" w:sz="4" w:space="0" w:color="auto"/>
              <w:bottom w:val="single" w:sz="4" w:space="0" w:color="auto"/>
            </w:tcBorders>
            <w:shd w:val="clear" w:color="auto" w:fill="auto"/>
            <w:tcMar>
              <w:top w:w="15" w:type="dxa"/>
              <w:left w:w="108" w:type="dxa"/>
              <w:bottom w:w="0" w:type="dxa"/>
              <w:right w:w="108" w:type="dxa"/>
            </w:tcMar>
          </w:tcPr>
          <w:p w14:paraId="0E019F02" w14:textId="77777777" w:rsidR="00C92C58" w:rsidRPr="00C174D5" w:rsidRDefault="00C92C58" w:rsidP="00B15A9A">
            <w:pPr>
              <w:spacing w:after="0" w:line="240" w:lineRule="auto"/>
              <w:jc w:val="center"/>
              <w:rPr>
                <w:sz w:val="20"/>
                <w:szCs w:val="20"/>
                <w:lang w:val="es-ES"/>
              </w:rPr>
            </w:pPr>
            <w:r w:rsidRPr="00C174D5">
              <w:rPr>
                <w:sz w:val="20"/>
                <w:szCs w:val="20"/>
                <w:lang w:val="es-ES"/>
              </w:rPr>
              <w:t>2.585</w:t>
            </w:r>
          </w:p>
        </w:tc>
      </w:tr>
      <w:tr w:rsidR="00C92C58" w:rsidRPr="00C174D5" w14:paraId="5AE5B891" w14:textId="77777777" w:rsidTr="00B15A9A">
        <w:trPr>
          <w:trHeight w:val="43"/>
          <w:jc w:val="center"/>
        </w:trPr>
        <w:tc>
          <w:tcPr>
            <w:tcW w:w="840" w:type="dxa"/>
            <w:tcBorders>
              <w:top w:val="single" w:sz="4" w:space="0" w:color="auto"/>
              <w:bottom w:val="single" w:sz="4" w:space="0" w:color="auto"/>
            </w:tcBorders>
            <w:shd w:val="clear" w:color="auto" w:fill="auto"/>
            <w:tcMar>
              <w:top w:w="15" w:type="dxa"/>
              <w:left w:w="108" w:type="dxa"/>
              <w:bottom w:w="0" w:type="dxa"/>
              <w:right w:w="108" w:type="dxa"/>
            </w:tcMar>
          </w:tcPr>
          <w:p w14:paraId="324AD2F9" w14:textId="77777777" w:rsidR="00C92C58" w:rsidRPr="00C174D5" w:rsidRDefault="00C92C58" w:rsidP="00B15A9A">
            <w:pPr>
              <w:spacing w:after="0" w:line="240" w:lineRule="auto"/>
              <w:jc w:val="center"/>
              <w:rPr>
                <w:sz w:val="20"/>
                <w:szCs w:val="20"/>
                <w:lang w:val="es-ES"/>
              </w:rPr>
            </w:pPr>
            <w:r w:rsidRPr="00C174D5">
              <w:rPr>
                <w:sz w:val="20"/>
                <w:szCs w:val="20"/>
                <w:lang w:val="es-ES"/>
              </w:rPr>
              <w:t>2024</w:t>
            </w:r>
          </w:p>
        </w:tc>
        <w:tc>
          <w:tcPr>
            <w:tcW w:w="1711" w:type="dxa"/>
            <w:tcBorders>
              <w:top w:val="single" w:sz="4" w:space="0" w:color="auto"/>
              <w:bottom w:val="single" w:sz="4" w:space="0" w:color="auto"/>
            </w:tcBorders>
            <w:shd w:val="clear" w:color="auto" w:fill="auto"/>
            <w:tcMar>
              <w:top w:w="15" w:type="dxa"/>
              <w:left w:w="108" w:type="dxa"/>
              <w:bottom w:w="0" w:type="dxa"/>
              <w:right w:w="108" w:type="dxa"/>
            </w:tcMar>
          </w:tcPr>
          <w:p w14:paraId="7B8C7125" w14:textId="77777777" w:rsidR="00C92C58" w:rsidRPr="00C174D5" w:rsidRDefault="00C92C58" w:rsidP="00B15A9A">
            <w:pPr>
              <w:spacing w:after="0" w:line="240" w:lineRule="auto"/>
              <w:jc w:val="center"/>
              <w:rPr>
                <w:sz w:val="20"/>
                <w:szCs w:val="20"/>
                <w:lang w:val="es-ES"/>
              </w:rPr>
            </w:pPr>
            <w:r w:rsidRPr="00C174D5">
              <w:rPr>
                <w:sz w:val="20"/>
                <w:szCs w:val="20"/>
                <w:lang w:val="es-ES"/>
              </w:rPr>
              <w:t>32.135</w:t>
            </w:r>
          </w:p>
        </w:tc>
        <w:tc>
          <w:tcPr>
            <w:tcW w:w="1633" w:type="dxa"/>
            <w:tcBorders>
              <w:top w:val="single" w:sz="4" w:space="0" w:color="auto"/>
              <w:bottom w:val="single" w:sz="4" w:space="0" w:color="auto"/>
            </w:tcBorders>
            <w:shd w:val="clear" w:color="auto" w:fill="auto"/>
            <w:tcMar>
              <w:top w:w="15" w:type="dxa"/>
              <w:left w:w="108" w:type="dxa"/>
              <w:bottom w:w="0" w:type="dxa"/>
              <w:right w:w="108" w:type="dxa"/>
            </w:tcMar>
          </w:tcPr>
          <w:p w14:paraId="55DD9EB6" w14:textId="77777777" w:rsidR="00C92C58" w:rsidRPr="00C174D5" w:rsidRDefault="00C92C58" w:rsidP="00B15A9A">
            <w:pPr>
              <w:spacing w:after="0" w:line="240" w:lineRule="auto"/>
              <w:jc w:val="center"/>
              <w:rPr>
                <w:sz w:val="20"/>
                <w:szCs w:val="20"/>
                <w:lang w:val="es-ES"/>
              </w:rPr>
            </w:pPr>
            <w:r w:rsidRPr="00C174D5">
              <w:rPr>
                <w:sz w:val="20"/>
                <w:szCs w:val="20"/>
                <w:lang w:val="es-ES"/>
              </w:rPr>
              <w:t>33.942</w:t>
            </w:r>
          </w:p>
        </w:tc>
        <w:tc>
          <w:tcPr>
            <w:tcW w:w="1181" w:type="dxa"/>
            <w:tcBorders>
              <w:top w:val="single" w:sz="4" w:space="0" w:color="auto"/>
              <w:bottom w:val="single" w:sz="4" w:space="0" w:color="auto"/>
            </w:tcBorders>
            <w:shd w:val="clear" w:color="auto" w:fill="auto"/>
            <w:tcMar>
              <w:top w:w="15" w:type="dxa"/>
              <w:left w:w="108" w:type="dxa"/>
              <w:bottom w:w="0" w:type="dxa"/>
              <w:right w:w="108" w:type="dxa"/>
            </w:tcMar>
          </w:tcPr>
          <w:p w14:paraId="321E9924" w14:textId="77777777" w:rsidR="00C92C58" w:rsidRPr="00C174D5" w:rsidRDefault="00C92C58" w:rsidP="00B15A9A">
            <w:pPr>
              <w:spacing w:after="0" w:line="240" w:lineRule="auto"/>
              <w:jc w:val="center"/>
              <w:rPr>
                <w:sz w:val="20"/>
                <w:szCs w:val="20"/>
                <w:lang w:val="es-ES"/>
              </w:rPr>
            </w:pPr>
            <w:r w:rsidRPr="00C174D5">
              <w:rPr>
                <w:sz w:val="20"/>
                <w:szCs w:val="20"/>
                <w:lang w:val="es-ES"/>
              </w:rPr>
              <w:t>1.807</w:t>
            </w:r>
          </w:p>
        </w:tc>
      </w:tr>
      <w:tr w:rsidR="00C92C58" w:rsidRPr="00C174D5" w14:paraId="46AE54B6" w14:textId="77777777" w:rsidTr="00B15A9A">
        <w:trPr>
          <w:trHeight w:val="43"/>
          <w:jc w:val="center"/>
        </w:trPr>
        <w:tc>
          <w:tcPr>
            <w:tcW w:w="840" w:type="dxa"/>
            <w:tcBorders>
              <w:top w:val="single" w:sz="4" w:space="0" w:color="auto"/>
            </w:tcBorders>
            <w:shd w:val="clear" w:color="auto" w:fill="auto"/>
            <w:tcMar>
              <w:top w:w="15" w:type="dxa"/>
              <w:left w:w="108" w:type="dxa"/>
              <w:bottom w:w="0" w:type="dxa"/>
              <w:right w:w="108" w:type="dxa"/>
            </w:tcMar>
          </w:tcPr>
          <w:p w14:paraId="39E67F3F" w14:textId="77777777" w:rsidR="00C92C58" w:rsidRPr="00C174D5" w:rsidRDefault="00C92C58" w:rsidP="00B15A9A">
            <w:pPr>
              <w:spacing w:after="0" w:line="240" w:lineRule="auto"/>
              <w:jc w:val="center"/>
              <w:rPr>
                <w:sz w:val="20"/>
                <w:szCs w:val="20"/>
                <w:lang w:val="es-ES"/>
              </w:rPr>
            </w:pPr>
            <w:r w:rsidRPr="00C174D5">
              <w:rPr>
                <w:sz w:val="20"/>
                <w:szCs w:val="20"/>
                <w:lang w:val="es-ES"/>
              </w:rPr>
              <w:t>2025</w:t>
            </w:r>
          </w:p>
        </w:tc>
        <w:tc>
          <w:tcPr>
            <w:tcW w:w="1711" w:type="dxa"/>
            <w:tcBorders>
              <w:top w:val="single" w:sz="4" w:space="0" w:color="auto"/>
            </w:tcBorders>
            <w:shd w:val="clear" w:color="auto" w:fill="auto"/>
            <w:tcMar>
              <w:top w:w="15" w:type="dxa"/>
              <w:left w:w="108" w:type="dxa"/>
              <w:bottom w:w="0" w:type="dxa"/>
              <w:right w:w="108" w:type="dxa"/>
            </w:tcMar>
          </w:tcPr>
          <w:p w14:paraId="5AAC754B" w14:textId="77777777" w:rsidR="00C92C58" w:rsidRPr="00C174D5" w:rsidRDefault="00C92C58" w:rsidP="00B15A9A">
            <w:pPr>
              <w:spacing w:after="0" w:line="240" w:lineRule="auto"/>
              <w:jc w:val="center"/>
              <w:rPr>
                <w:sz w:val="20"/>
                <w:szCs w:val="20"/>
                <w:lang w:val="es-ES"/>
              </w:rPr>
            </w:pPr>
            <w:r w:rsidRPr="00C174D5">
              <w:rPr>
                <w:sz w:val="20"/>
                <w:szCs w:val="20"/>
                <w:lang w:val="es-ES"/>
              </w:rPr>
              <w:t>36.778</w:t>
            </w:r>
          </w:p>
        </w:tc>
        <w:tc>
          <w:tcPr>
            <w:tcW w:w="1633" w:type="dxa"/>
            <w:tcBorders>
              <w:top w:val="single" w:sz="4" w:space="0" w:color="auto"/>
            </w:tcBorders>
            <w:shd w:val="clear" w:color="auto" w:fill="auto"/>
            <w:tcMar>
              <w:top w:w="15" w:type="dxa"/>
              <w:left w:w="108" w:type="dxa"/>
              <w:bottom w:w="0" w:type="dxa"/>
              <w:right w:w="108" w:type="dxa"/>
            </w:tcMar>
          </w:tcPr>
          <w:p w14:paraId="251C9D2F" w14:textId="77777777" w:rsidR="00C92C58" w:rsidRPr="00C174D5" w:rsidRDefault="00C92C58" w:rsidP="00B15A9A">
            <w:pPr>
              <w:spacing w:after="0" w:line="240" w:lineRule="auto"/>
              <w:jc w:val="center"/>
              <w:rPr>
                <w:sz w:val="20"/>
                <w:szCs w:val="20"/>
                <w:lang w:val="es-ES"/>
              </w:rPr>
            </w:pPr>
            <w:r w:rsidRPr="00C174D5">
              <w:rPr>
                <w:sz w:val="20"/>
                <w:szCs w:val="20"/>
                <w:lang w:val="es-ES"/>
              </w:rPr>
              <w:t>36.609</w:t>
            </w:r>
          </w:p>
        </w:tc>
        <w:tc>
          <w:tcPr>
            <w:tcW w:w="1181" w:type="dxa"/>
            <w:tcBorders>
              <w:top w:val="single" w:sz="4" w:space="0" w:color="auto"/>
            </w:tcBorders>
            <w:shd w:val="clear" w:color="auto" w:fill="auto"/>
            <w:tcMar>
              <w:top w:w="15" w:type="dxa"/>
              <w:left w:w="108" w:type="dxa"/>
              <w:bottom w:w="0" w:type="dxa"/>
              <w:right w:w="108" w:type="dxa"/>
            </w:tcMar>
          </w:tcPr>
          <w:p w14:paraId="55C6CCDE" w14:textId="77777777" w:rsidR="00C92C58" w:rsidRPr="00C174D5" w:rsidRDefault="00C92C58" w:rsidP="00B15A9A">
            <w:pPr>
              <w:spacing w:after="0" w:line="240" w:lineRule="auto"/>
              <w:jc w:val="center"/>
              <w:rPr>
                <w:sz w:val="20"/>
                <w:szCs w:val="20"/>
                <w:lang w:val="es-ES"/>
              </w:rPr>
            </w:pPr>
            <w:r w:rsidRPr="00C174D5">
              <w:rPr>
                <w:sz w:val="20"/>
                <w:szCs w:val="20"/>
                <w:lang w:val="es-ES"/>
              </w:rPr>
              <w:t>-169</w:t>
            </w:r>
          </w:p>
        </w:tc>
      </w:tr>
    </w:tbl>
    <w:p w14:paraId="28F4B1D2" w14:textId="77777777" w:rsidR="00C92C58" w:rsidRPr="00C174D5" w:rsidRDefault="00C92C58" w:rsidP="00C92C58">
      <w:pPr>
        <w:ind w:left="1134" w:right="1134"/>
        <w:jc w:val="center"/>
        <w:rPr>
          <w:sz w:val="18"/>
          <w:lang w:val="es-ES"/>
        </w:rPr>
      </w:pPr>
      <w:r w:rsidRPr="00C174D5">
        <w:rPr>
          <w:sz w:val="18"/>
          <w:lang w:val="es-ES"/>
        </w:rPr>
        <w:t>Fuente: Elaboración propia en base a datos provistos por el BID</w:t>
      </w:r>
    </w:p>
    <w:p w14:paraId="4E5687C0" w14:textId="77777777" w:rsidR="00C92C58" w:rsidRPr="00C174D5" w:rsidRDefault="00C92C58" w:rsidP="00C92C58">
      <w:pPr>
        <w:rPr>
          <w:lang w:val="es-ES"/>
        </w:rPr>
      </w:pPr>
      <w:r w:rsidRPr="00C174D5">
        <w:rPr>
          <w:lang w:val="es-ES"/>
        </w:rPr>
        <w:t xml:space="preserve">La diferencia entre estos dos escenarios, una aproximación al ahorro que se verificaría en presencia del proyecto, se muestra en el </w:t>
      </w:r>
      <w:r w:rsidRPr="00C174D5">
        <w:rPr>
          <w:lang w:val="es-ES"/>
        </w:rPr>
        <w:fldChar w:fldCharType="begin"/>
      </w:r>
      <w:r w:rsidRPr="00C174D5">
        <w:rPr>
          <w:lang w:val="es-ES"/>
        </w:rPr>
        <w:instrText xml:space="preserve"> REF _Ref448419978 \h </w:instrText>
      </w:r>
      <w:r w:rsidRPr="00C174D5">
        <w:rPr>
          <w:lang w:val="es-ES"/>
        </w:rPr>
      </w:r>
      <w:r w:rsidRPr="00C174D5">
        <w:rPr>
          <w:lang w:val="es-ES"/>
        </w:rPr>
        <w:fldChar w:fldCharType="separate"/>
      </w:r>
      <w:r w:rsidRPr="00C174D5">
        <w:rPr>
          <w:b/>
          <w:sz w:val="20"/>
          <w:lang w:val="es-ES"/>
        </w:rPr>
        <w:t xml:space="preserve">Gráfico </w:t>
      </w:r>
      <w:r>
        <w:rPr>
          <w:b/>
          <w:noProof/>
          <w:sz w:val="20"/>
          <w:lang w:val="es-ES"/>
        </w:rPr>
        <w:t>10</w:t>
      </w:r>
      <w:r w:rsidRPr="00C174D5">
        <w:rPr>
          <w:lang w:val="es-ES"/>
        </w:rPr>
        <w:fldChar w:fldCharType="end"/>
      </w:r>
      <w:r w:rsidRPr="00C174D5">
        <w:rPr>
          <w:lang w:val="es-ES"/>
        </w:rPr>
        <w:t>.</w:t>
      </w:r>
    </w:p>
    <w:p w14:paraId="68A2AF02" w14:textId="77777777" w:rsidR="00C92C58" w:rsidRPr="00C174D5" w:rsidRDefault="00C92C58" w:rsidP="00C92C58">
      <w:pPr>
        <w:keepNext/>
        <w:keepLines/>
        <w:spacing w:after="120"/>
        <w:jc w:val="center"/>
        <w:rPr>
          <w:b/>
          <w:sz w:val="20"/>
          <w:lang w:val="es-ES"/>
        </w:rPr>
      </w:pPr>
      <w:bookmarkStart w:id="256" w:name="_Ref448419978"/>
      <w:bookmarkStart w:id="257" w:name="_Toc456353216"/>
      <w:r w:rsidRPr="00C174D5">
        <w:rPr>
          <w:b/>
          <w:sz w:val="20"/>
          <w:lang w:val="es-ES"/>
        </w:rPr>
        <w:t xml:space="preserve">Gráfico </w:t>
      </w:r>
      <w:r w:rsidRPr="00C174D5">
        <w:rPr>
          <w:b/>
          <w:sz w:val="20"/>
          <w:lang w:val="es-ES"/>
        </w:rPr>
        <w:fldChar w:fldCharType="begin"/>
      </w:r>
      <w:r w:rsidRPr="00C174D5">
        <w:rPr>
          <w:b/>
          <w:sz w:val="20"/>
          <w:lang w:val="es-ES"/>
        </w:rPr>
        <w:instrText xml:space="preserve"> SEQ Gráfico \* ARABIC </w:instrText>
      </w:r>
      <w:r w:rsidRPr="00C174D5">
        <w:rPr>
          <w:b/>
          <w:sz w:val="20"/>
          <w:lang w:val="es-ES"/>
        </w:rPr>
        <w:fldChar w:fldCharType="separate"/>
      </w:r>
      <w:r>
        <w:rPr>
          <w:b/>
          <w:noProof/>
          <w:sz w:val="20"/>
          <w:lang w:val="es-ES"/>
        </w:rPr>
        <w:t>10</w:t>
      </w:r>
      <w:r w:rsidRPr="00C174D5">
        <w:rPr>
          <w:b/>
          <w:sz w:val="20"/>
          <w:lang w:val="es-ES"/>
        </w:rPr>
        <w:fldChar w:fldCharType="end"/>
      </w:r>
      <w:bookmarkEnd w:id="256"/>
      <w:r w:rsidRPr="00C174D5">
        <w:rPr>
          <w:b/>
          <w:sz w:val="20"/>
          <w:lang w:val="es-ES"/>
        </w:rPr>
        <w:t>: Diferencia Generación Térmica (</w:t>
      </w:r>
      <w:proofErr w:type="spellStart"/>
      <w:r w:rsidRPr="00C174D5">
        <w:rPr>
          <w:b/>
          <w:sz w:val="20"/>
          <w:lang w:val="es-ES"/>
        </w:rPr>
        <w:t>GWh</w:t>
      </w:r>
      <w:proofErr w:type="spellEnd"/>
      <w:r w:rsidRPr="00C174D5">
        <w:rPr>
          <w:b/>
          <w:sz w:val="20"/>
          <w:lang w:val="es-ES"/>
        </w:rPr>
        <w:t>)</w:t>
      </w:r>
      <w:bookmarkEnd w:id="257"/>
    </w:p>
    <w:p w14:paraId="4420CCE6" w14:textId="77777777" w:rsidR="00C92C58" w:rsidRPr="00C174D5" w:rsidRDefault="00C92C58" w:rsidP="00C92C58">
      <w:pPr>
        <w:spacing w:after="0"/>
        <w:jc w:val="center"/>
        <w:rPr>
          <w:lang w:val="es-ES"/>
        </w:rPr>
      </w:pPr>
      <w:r w:rsidRPr="00C174D5">
        <w:rPr>
          <w:noProof/>
          <w:lang w:val="es-CO" w:eastAsia="es-CO"/>
        </w:rPr>
        <w:drawing>
          <wp:inline distT="0" distB="0" distL="0" distR="0" wp14:anchorId="5A237458" wp14:editId="1D333B26">
            <wp:extent cx="3600000" cy="217429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00000" cy="2174290"/>
                    </a:xfrm>
                    <a:prstGeom prst="rect">
                      <a:avLst/>
                    </a:prstGeom>
                    <a:noFill/>
                  </pic:spPr>
                </pic:pic>
              </a:graphicData>
            </a:graphic>
          </wp:inline>
        </w:drawing>
      </w:r>
    </w:p>
    <w:p w14:paraId="39615FFB" w14:textId="77777777" w:rsidR="00C92C58" w:rsidRPr="00C174D5" w:rsidRDefault="00C92C58" w:rsidP="00C92C58">
      <w:pPr>
        <w:ind w:left="1134" w:right="1134"/>
        <w:jc w:val="center"/>
        <w:rPr>
          <w:sz w:val="18"/>
          <w:lang w:val="es-ES"/>
        </w:rPr>
      </w:pPr>
      <w:r w:rsidRPr="00C174D5">
        <w:rPr>
          <w:sz w:val="18"/>
          <w:lang w:val="es-ES"/>
        </w:rPr>
        <w:t>Fuente: Elaboración propia en base a datos provistos por el BID</w:t>
      </w:r>
    </w:p>
    <w:p w14:paraId="67AC0483" w14:textId="77777777" w:rsidR="00C92C58" w:rsidRPr="00C174D5" w:rsidRDefault="00C92C58" w:rsidP="00C92C58">
      <w:pPr>
        <w:rPr>
          <w:lang w:val="es-ES"/>
        </w:rPr>
      </w:pPr>
      <w:r w:rsidRPr="00C174D5">
        <w:rPr>
          <w:lang w:val="es-ES"/>
        </w:rPr>
        <w:t>En este gráfico también se muestra la tendencia que sigue este ahorro en el tiempo, y su respectiva ecuación. A partir de esta tendencia es posible calcular la tasa a la que crecen los ahorros de generación térmica en el tiempo y su tasa anual constante equivalente. Esta tasa constante es del 6,02% anual y es la utilizada en la evaluación.</w:t>
      </w:r>
    </w:p>
    <w:p w14:paraId="4D35F7BF" w14:textId="77777777" w:rsidR="00C92C58" w:rsidRPr="00C174D5" w:rsidRDefault="00C92C58" w:rsidP="00C92C58">
      <w:pPr>
        <w:rPr>
          <w:lang w:val="es-ES"/>
        </w:rPr>
      </w:pPr>
    </w:p>
    <w:p w14:paraId="50644634" w14:textId="77777777" w:rsidR="00B0791C" w:rsidRPr="00C92C58" w:rsidRDefault="00B0791C" w:rsidP="00C92C58">
      <w:pPr>
        <w:rPr>
          <w:lang w:val="es-ES"/>
        </w:rPr>
      </w:pPr>
    </w:p>
    <w:sectPr w:rsidR="00B0791C" w:rsidRPr="00C92C58" w:rsidSect="003E08B7">
      <w:footerReference w:type="default" r:id="rId35"/>
      <w:pgSz w:w="11907" w:h="16839" w:code="9"/>
      <w:pgMar w:top="1417" w:right="1701" w:bottom="1417" w:left="1701" w:header="630"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A43BF5" w15:done="0"/>
  <w15:commentEx w15:paraId="0B9D0F95" w15:done="0"/>
  <w15:commentEx w15:paraId="79F08551" w15:done="0"/>
  <w15:commentEx w15:paraId="236B77FC" w15:done="0"/>
  <w15:commentEx w15:paraId="6CE6C281" w15:done="0"/>
  <w15:commentEx w15:paraId="63F705FD" w15:done="0"/>
  <w15:commentEx w15:paraId="6BC0C566" w15:done="0"/>
  <w15:commentEx w15:paraId="056B3170" w15:done="0"/>
  <w15:commentEx w15:paraId="5D24343D" w15:done="0"/>
  <w15:commentEx w15:paraId="4AB91859" w15:done="0"/>
  <w15:commentEx w15:paraId="72ED7E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F163F" w14:textId="77777777" w:rsidR="0052554E" w:rsidRDefault="0052554E" w:rsidP="00C86F81">
      <w:r>
        <w:separator/>
      </w:r>
    </w:p>
  </w:endnote>
  <w:endnote w:type="continuationSeparator" w:id="0">
    <w:p w14:paraId="47B99D4F" w14:textId="77777777" w:rsidR="0052554E" w:rsidRDefault="0052554E" w:rsidP="00C8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f8">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ff1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Blackletter">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10127" w14:textId="77777777" w:rsidR="00C92C58" w:rsidRDefault="00C92C58">
    <w:pPr>
      <w:pStyle w:val="Footer"/>
      <w:jc w:val="right"/>
    </w:pPr>
  </w:p>
  <w:p w14:paraId="4135FD8D" w14:textId="77777777" w:rsidR="00C92C58" w:rsidRDefault="00C92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389126"/>
      <w:docPartObj>
        <w:docPartGallery w:val="Page Numbers (Bottom of Page)"/>
        <w:docPartUnique/>
      </w:docPartObj>
    </w:sdtPr>
    <w:sdtEndPr/>
    <w:sdtContent>
      <w:p w14:paraId="1891B79C" w14:textId="77777777" w:rsidR="0052554E" w:rsidRDefault="0052554E">
        <w:pPr>
          <w:pStyle w:val="Footer"/>
          <w:jc w:val="right"/>
        </w:pPr>
        <w:r>
          <w:fldChar w:fldCharType="begin"/>
        </w:r>
        <w:r>
          <w:instrText>PAGE   \* MERGEFORMAT</w:instrText>
        </w:r>
        <w:r>
          <w:fldChar w:fldCharType="separate"/>
        </w:r>
        <w:r w:rsidR="00332BCA" w:rsidRPr="00332BCA">
          <w:rPr>
            <w:noProof/>
            <w:lang w:val="es-ES"/>
          </w:rPr>
          <w:t>61</w:t>
        </w:r>
        <w:r>
          <w:fldChar w:fldCharType="end"/>
        </w:r>
      </w:p>
    </w:sdtContent>
  </w:sdt>
  <w:p w14:paraId="293DA3C1" w14:textId="77777777" w:rsidR="0052554E" w:rsidRDefault="00525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03236" w14:textId="77777777" w:rsidR="0052554E" w:rsidRDefault="0052554E" w:rsidP="00C86F81">
      <w:r>
        <w:separator/>
      </w:r>
    </w:p>
  </w:footnote>
  <w:footnote w:type="continuationSeparator" w:id="0">
    <w:p w14:paraId="52DB8ECB" w14:textId="77777777" w:rsidR="0052554E" w:rsidRDefault="0052554E" w:rsidP="00C86F81">
      <w:r>
        <w:continuationSeparator/>
      </w:r>
    </w:p>
  </w:footnote>
  <w:footnote w:id="1">
    <w:p w14:paraId="5170D8DA"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Estas SE son Estelí, </w:t>
      </w:r>
      <w:proofErr w:type="spellStart"/>
      <w:r w:rsidRPr="00E34F14">
        <w:rPr>
          <w:sz w:val="18"/>
          <w:szCs w:val="18"/>
          <w:lang w:val="es-ES"/>
        </w:rPr>
        <w:t>Yalagüina</w:t>
      </w:r>
      <w:proofErr w:type="spellEnd"/>
      <w:r w:rsidRPr="00E34F14">
        <w:rPr>
          <w:sz w:val="18"/>
          <w:szCs w:val="18"/>
          <w:lang w:val="es-ES"/>
        </w:rPr>
        <w:t xml:space="preserve">, Santa Clara, Centroamérica, Matagalpa, San Ramón, El Tuma, </w:t>
      </w:r>
      <w:proofErr w:type="spellStart"/>
      <w:r w:rsidRPr="00E34F14">
        <w:rPr>
          <w:sz w:val="18"/>
          <w:szCs w:val="18"/>
          <w:lang w:val="es-ES"/>
        </w:rPr>
        <w:t>Matiguás</w:t>
      </w:r>
      <w:proofErr w:type="spellEnd"/>
      <w:r w:rsidRPr="00E34F14">
        <w:rPr>
          <w:sz w:val="18"/>
          <w:szCs w:val="18"/>
          <w:lang w:val="es-ES"/>
        </w:rPr>
        <w:t xml:space="preserve">, </w:t>
      </w:r>
      <w:proofErr w:type="spellStart"/>
      <w:r w:rsidRPr="00E34F14">
        <w:rPr>
          <w:sz w:val="18"/>
          <w:szCs w:val="18"/>
          <w:lang w:val="es-ES"/>
        </w:rPr>
        <w:t>Mulukukú</w:t>
      </w:r>
      <w:proofErr w:type="spellEnd"/>
      <w:r w:rsidRPr="00E34F14">
        <w:rPr>
          <w:sz w:val="18"/>
          <w:szCs w:val="18"/>
          <w:lang w:val="es-ES"/>
        </w:rPr>
        <w:t xml:space="preserve"> y </w:t>
      </w:r>
      <w:proofErr w:type="spellStart"/>
      <w:r w:rsidRPr="00E34F14">
        <w:rPr>
          <w:sz w:val="18"/>
          <w:szCs w:val="18"/>
          <w:lang w:val="es-ES"/>
        </w:rPr>
        <w:t>Siuna</w:t>
      </w:r>
      <w:proofErr w:type="spellEnd"/>
      <w:r w:rsidRPr="00E34F14">
        <w:rPr>
          <w:sz w:val="18"/>
          <w:szCs w:val="18"/>
          <w:lang w:val="es-ES"/>
        </w:rPr>
        <w:t>.</w:t>
      </w:r>
    </w:p>
  </w:footnote>
  <w:footnote w:id="2">
    <w:p w14:paraId="713BF7F0" w14:textId="77777777" w:rsidR="00C92C58" w:rsidRPr="003D5DA4" w:rsidRDefault="00C92C58" w:rsidP="00C92C58">
      <w:pPr>
        <w:pStyle w:val="FootnoteText"/>
      </w:pPr>
      <w:r w:rsidRPr="003D5DA4">
        <w:rPr>
          <w:rStyle w:val="FootnoteReference"/>
          <w:sz w:val="18"/>
        </w:rPr>
        <w:footnoteRef/>
      </w:r>
      <w:r w:rsidRPr="003D5DA4">
        <w:rPr>
          <w:sz w:val="18"/>
        </w:rPr>
        <w:t xml:space="preserve"> Si se calcula la TIRE global como un promedio de las tasas</w:t>
      </w:r>
      <w:r>
        <w:rPr>
          <w:sz w:val="18"/>
        </w:rPr>
        <w:t xml:space="preserve"> individuales</w:t>
      </w:r>
      <w:r w:rsidRPr="003D5DA4">
        <w:rPr>
          <w:sz w:val="18"/>
        </w:rPr>
        <w:t xml:space="preserve">, ponderado por la inversión económica, el resultado es una TIRE del </w:t>
      </w:r>
      <w:r>
        <w:rPr>
          <w:sz w:val="18"/>
        </w:rPr>
        <w:t>34</w:t>
      </w:r>
      <w:r w:rsidRPr="003D5DA4">
        <w:rPr>
          <w:sz w:val="18"/>
        </w:rPr>
        <w:t>%.</w:t>
      </w:r>
    </w:p>
  </w:footnote>
  <w:footnote w:id="3">
    <w:p w14:paraId="24A39CBD"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Estos datos corresponden a todos los proyectos menos el de adquisición de transformador móvil, ya que para este último no se consignan datos de población afectada.</w:t>
      </w:r>
    </w:p>
  </w:footnote>
  <w:footnote w:id="4">
    <w:p w14:paraId="33C0BD60"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Estos montos incluyen costos de administración.</w:t>
      </w:r>
    </w:p>
  </w:footnote>
  <w:footnote w:id="5">
    <w:p w14:paraId="042DE6FE" w14:textId="77777777" w:rsidR="00C92C58" w:rsidRPr="00E34F14" w:rsidRDefault="00C92C58" w:rsidP="00C92C58">
      <w:pPr>
        <w:pStyle w:val="FootnoteText"/>
        <w:rPr>
          <w:sz w:val="18"/>
          <w:szCs w:val="18"/>
          <w:lang w:val="es-AR"/>
        </w:rPr>
      </w:pPr>
      <w:r w:rsidRPr="00E34F14">
        <w:rPr>
          <w:rStyle w:val="FootnoteReference"/>
          <w:sz w:val="18"/>
          <w:szCs w:val="18"/>
        </w:rPr>
        <w:footnoteRef/>
      </w:r>
      <w:r w:rsidRPr="00E34F14">
        <w:rPr>
          <w:sz w:val="18"/>
          <w:szCs w:val="18"/>
        </w:rPr>
        <w:t xml:space="preserve"> Si se considera la inversión regional total, el monto asciende a 66.151.800 US$.</w:t>
      </w:r>
    </w:p>
  </w:footnote>
  <w:footnote w:id="6">
    <w:p w14:paraId="70034CF3" w14:textId="77777777" w:rsidR="00C92C58" w:rsidRPr="00E34F14" w:rsidRDefault="00C92C58" w:rsidP="00C92C58">
      <w:pPr>
        <w:pStyle w:val="FootnoteText"/>
        <w:rPr>
          <w:sz w:val="18"/>
          <w:szCs w:val="18"/>
          <w:lang w:val="es-ES"/>
        </w:rPr>
      </w:pPr>
      <w:r w:rsidRPr="00E34F14">
        <w:rPr>
          <w:rStyle w:val="FootnoteReference"/>
          <w:sz w:val="18"/>
          <w:szCs w:val="18"/>
        </w:rPr>
        <w:footnoteRef/>
      </w:r>
      <w:r w:rsidRPr="00E34F14">
        <w:rPr>
          <w:sz w:val="18"/>
          <w:szCs w:val="18"/>
        </w:rPr>
        <w:t xml:space="preserve"> La inversión total regional es 66.151.800 US$.</w:t>
      </w:r>
    </w:p>
  </w:footnote>
  <w:footnote w:id="7">
    <w:p w14:paraId="49AC0CB3" w14:textId="77777777" w:rsidR="00C92C58" w:rsidRPr="00E34F14" w:rsidRDefault="00C92C58" w:rsidP="00C92C58">
      <w:pPr>
        <w:pStyle w:val="FootnoteText"/>
        <w:spacing w:line="240" w:lineRule="auto"/>
        <w:rPr>
          <w:sz w:val="18"/>
          <w:szCs w:val="18"/>
          <w:lang w:val="es-ES"/>
        </w:rPr>
      </w:pPr>
      <w:r w:rsidRPr="00E34F14">
        <w:rPr>
          <w:rStyle w:val="FootnoteReference"/>
          <w:sz w:val="18"/>
          <w:szCs w:val="18"/>
          <w:lang w:val="es-ES"/>
        </w:rPr>
        <w:footnoteRef/>
      </w:r>
      <w:r w:rsidRPr="00E34F14">
        <w:rPr>
          <w:sz w:val="18"/>
          <w:szCs w:val="18"/>
          <w:lang w:val="es-ES"/>
        </w:rPr>
        <w:t xml:space="preserve"> Es necesario aclarar que la validez de esta información no ha sido chequeada.</w:t>
      </w:r>
    </w:p>
  </w:footnote>
  <w:footnote w:id="8">
    <w:p w14:paraId="6870039F"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No se han utilizado los datos de ENATREL provistos por el BID dado que se tiene más información (una mayor cantidad de factores de cuenta) para convertir los precios en una divisa libre en manos del Estado que para convertirlo a otro numerario.</w:t>
      </w:r>
    </w:p>
  </w:footnote>
  <w:footnote w:id="9">
    <w:p w14:paraId="2C47C760"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El uso de la TIR como criterio de valuación financiera presenta ciertas limitaciones tanto en lo que hace a su cómputo (restricciones algebraicas sobre su existencia y unicidad) como a los supuestos subyacentes en su interpretación (reinversión, etc.). Para una discusión sobre las limitaciones de la TIR para la toma de decisiones ver por ejemplo </w:t>
      </w:r>
      <w:proofErr w:type="spellStart"/>
      <w:r w:rsidRPr="00E34F14">
        <w:rPr>
          <w:sz w:val="18"/>
          <w:szCs w:val="18"/>
          <w:lang w:val="es-ES"/>
        </w:rPr>
        <w:t>Applied</w:t>
      </w:r>
      <w:proofErr w:type="spellEnd"/>
      <w:r w:rsidRPr="00E34F14">
        <w:rPr>
          <w:sz w:val="18"/>
          <w:szCs w:val="18"/>
          <w:lang w:val="es-ES"/>
        </w:rPr>
        <w:t xml:space="preserve"> </w:t>
      </w:r>
      <w:proofErr w:type="spellStart"/>
      <w:r w:rsidRPr="00E34F14">
        <w:rPr>
          <w:sz w:val="18"/>
          <w:szCs w:val="18"/>
          <w:lang w:val="es-ES"/>
        </w:rPr>
        <w:t>Corporate</w:t>
      </w:r>
      <w:proofErr w:type="spellEnd"/>
      <w:r w:rsidRPr="00E34F14">
        <w:rPr>
          <w:sz w:val="18"/>
          <w:szCs w:val="18"/>
          <w:lang w:val="es-ES"/>
        </w:rPr>
        <w:t xml:space="preserve"> </w:t>
      </w:r>
      <w:proofErr w:type="spellStart"/>
      <w:r w:rsidRPr="00E34F14">
        <w:rPr>
          <w:sz w:val="18"/>
          <w:szCs w:val="18"/>
          <w:lang w:val="es-ES"/>
        </w:rPr>
        <w:t>Finance</w:t>
      </w:r>
      <w:proofErr w:type="spellEnd"/>
      <w:r w:rsidRPr="00E34F14">
        <w:rPr>
          <w:sz w:val="18"/>
          <w:szCs w:val="18"/>
          <w:lang w:val="es-ES"/>
        </w:rPr>
        <w:t xml:space="preserve">, de </w:t>
      </w:r>
      <w:proofErr w:type="spellStart"/>
      <w:r w:rsidRPr="00E34F14">
        <w:rPr>
          <w:sz w:val="18"/>
          <w:szCs w:val="18"/>
          <w:lang w:val="es-ES"/>
        </w:rPr>
        <w:t>Aswath</w:t>
      </w:r>
      <w:proofErr w:type="spellEnd"/>
      <w:r w:rsidRPr="00E34F14">
        <w:rPr>
          <w:sz w:val="18"/>
          <w:szCs w:val="18"/>
          <w:lang w:val="es-ES"/>
        </w:rPr>
        <w:t xml:space="preserve"> </w:t>
      </w:r>
      <w:proofErr w:type="spellStart"/>
      <w:r w:rsidRPr="00E34F14">
        <w:rPr>
          <w:sz w:val="18"/>
          <w:szCs w:val="18"/>
          <w:lang w:val="es-ES"/>
        </w:rPr>
        <w:t>Damodaran</w:t>
      </w:r>
      <w:proofErr w:type="spellEnd"/>
      <w:r w:rsidRPr="00E34F14">
        <w:rPr>
          <w:sz w:val="18"/>
          <w:szCs w:val="18"/>
          <w:lang w:val="es-ES"/>
        </w:rPr>
        <w:t>.</w:t>
      </w:r>
    </w:p>
  </w:footnote>
  <w:footnote w:id="10">
    <w:p w14:paraId="58B874D5" w14:textId="77777777" w:rsidR="00C92C58" w:rsidRPr="00E34F14" w:rsidRDefault="00C92C58" w:rsidP="00C92C58">
      <w:pPr>
        <w:pStyle w:val="FootnoteText"/>
        <w:spacing w:line="240" w:lineRule="auto"/>
        <w:rPr>
          <w:sz w:val="18"/>
          <w:szCs w:val="18"/>
          <w:lang w:val="es-ES"/>
        </w:rPr>
      </w:pPr>
      <w:r w:rsidRPr="00E34F14">
        <w:rPr>
          <w:rStyle w:val="FootnoteReference"/>
          <w:sz w:val="18"/>
          <w:szCs w:val="18"/>
          <w:lang w:val="es-ES"/>
        </w:rPr>
        <w:footnoteRef/>
      </w:r>
      <w:r w:rsidRPr="00E34F14">
        <w:rPr>
          <w:sz w:val="18"/>
          <w:szCs w:val="18"/>
          <w:lang w:val="es-ES"/>
        </w:rPr>
        <w:t xml:space="preserve"> Si el valor presente de los ingresos operativos netos llega a cubrir la inversión, el valor presente neto del flujo de proyectos es positivo, volviendo al proyecto rentable y sin necesidad de apoyo financiero.</w:t>
      </w:r>
    </w:p>
  </w:footnote>
  <w:footnote w:id="11">
    <w:p w14:paraId="3766E9BE"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Se supone este crecimiento en base a proyecciones de ENATREL y suponiendo una inflación cercana al 2% anual.</w:t>
      </w:r>
    </w:p>
  </w:footnote>
  <w:footnote w:id="12">
    <w:p w14:paraId="0221FA1D"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En el análisis del proyecto “Aumento capacidad líneas 230kV” (sección </w:t>
      </w:r>
      <w:r w:rsidRPr="00E34F14">
        <w:rPr>
          <w:sz w:val="18"/>
          <w:szCs w:val="18"/>
          <w:lang w:val="es-ES"/>
        </w:rPr>
        <w:fldChar w:fldCharType="begin"/>
      </w:r>
      <w:r w:rsidRPr="00E34F14">
        <w:rPr>
          <w:sz w:val="18"/>
          <w:szCs w:val="18"/>
          <w:lang w:val="es-ES"/>
        </w:rPr>
        <w:instrText xml:space="preserve"> REF _Ref445380911 \r \h  \* MERGEFORMAT </w:instrText>
      </w:r>
      <w:r w:rsidRPr="00E34F14">
        <w:rPr>
          <w:sz w:val="18"/>
          <w:szCs w:val="18"/>
          <w:lang w:val="es-ES"/>
        </w:rPr>
      </w:r>
      <w:r w:rsidRPr="00E34F14">
        <w:rPr>
          <w:sz w:val="18"/>
          <w:szCs w:val="18"/>
          <w:lang w:val="es-ES"/>
        </w:rPr>
        <w:fldChar w:fldCharType="separate"/>
      </w:r>
      <w:r w:rsidRPr="00E34F14">
        <w:rPr>
          <w:sz w:val="18"/>
          <w:szCs w:val="18"/>
          <w:lang w:val="es-ES"/>
        </w:rPr>
        <w:t>4</w:t>
      </w:r>
      <w:r w:rsidRPr="00E34F14">
        <w:rPr>
          <w:sz w:val="18"/>
          <w:szCs w:val="18"/>
          <w:lang w:val="es-ES"/>
        </w:rPr>
        <w:fldChar w:fldCharType="end"/>
      </w:r>
      <w:r w:rsidRPr="00E34F14">
        <w:rPr>
          <w:sz w:val="18"/>
          <w:szCs w:val="18"/>
          <w:lang w:val="es-ES"/>
        </w:rPr>
        <w:t>) las pérdidas de transmisión se suponen 2,64%.</w:t>
      </w:r>
    </w:p>
  </w:footnote>
  <w:footnote w:id="13">
    <w:p w14:paraId="6C84E713" w14:textId="77777777" w:rsidR="00C92C58" w:rsidRPr="00232C12" w:rsidRDefault="00C92C58" w:rsidP="00C92C58">
      <w:pPr>
        <w:pStyle w:val="FootnoteText"/>
      </w:pPr>
      <w:r w:rsidRPr="00D41D46">
        <w:rPr>
          <w:rStyle w:val="FootnoteReference"/>
          <w:sz w:val="18"/>
          <w:szCs w:val="18"/>
        </w:rPr>
        <w:footnoteRef/>
      </w:r>
      <w:r w:rsidRPr="00D41D46">
        <w:rPr>
          <w:sz w:val="18"/>
          <w:szCs w:val="18"/>
        </w:rPr>
        <w:t xml:space="preserve"> </w:t>
      </w:r>
      <w:r w:rsidRPr="00D41D46">
        <w:rPr>
          <w:sz w:val="18"/>
          <w:szCs w:val="18"/>
          <w:lang w:val="es-ES"/>
        </w:rPr>
        <w:t>Cabe mencionar que éste es un supuesto conservador, puesto que la tasa de crecimiento es menor a la que surge de las proyecciones de ENATREL (por encima de 4%, en promedio).</w:t>
      </w:r>
    </w:p>
  </w:footnote>
  <w:footnote w:id="14">
    <w:p w14:paraId="41A1BB1E" w14:textId="77777777" w:rsidR="00C92C58" w:rsidRPr="00E34F14" w:rsidRDefault="00C92C58" w:rsidP="00C92C58">
      <w:pPr>
        <w:pStyle w:val="FootnoteText"/>
        <w:rPr>
          <w:sz w:val="18"/>
          <w:szCs w:val="18"/>
        </w:rPr>
      </w:pPr>
      <w:r w:rsidRPr="00E34F14">
        <w:rPr>
          <w:rStyle w:val="FootnoteReference"/>
          <w:sz w:val="18"/>
          <w:szCs w:val="18"/>
        </w:rPr>
        <w:footnoteRef/>
      </w:r>
      <w:r w:rsidRPr="00E34F14">
        <w:rPr>
          <w:sz w:val="18"/>
          <w:szCs w:val="18"/>
        </w:rPr>
        <w:t xml:space="preserve"> Este </w:t>
      </w:r>
      <w:r w:rsidRPr="00E34F14">
        <w:rPr>
          <w:sz w:val="18"/>
          <w:szCs w:val="18"/>
          <w:lang w:val="es-ES"/>
        </w:rPr>
        <w:t>es el consumo de clientes que no están conectados a la red.</w:t>
      </w:r>
    </w:p>
  </w:footnote>
  <w:footnote w:id="15">
    <w:p w14:paraId="74943800"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Se tiene también en este archivo la evolución del peaje de transmisión a lo largo del tiempo (por un período de 12 años), por lo que se utilizó para proyectar los costos de generación y distribución a 2017 la estructura de costos correspondiente a 2016. </w:t>
      </w:r>
    </w:p>
  </w:footnote>
  <w:footnote w:id="16">
    <w:p w14:paraId="75354A7D"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Este monto corresponde al total de la inversión, sin ajustar por factores de cuenta.</w:t>
      </w:r>
    </w:p>
  </w:footnote>
  <w:footnote w:id="17">
    <w:p w14:paraId="18778C3B" w14:textId="77777777" w:rsidR="00C92C58" w:rsidRPr="00E34F14" w:rsidRDefault="00C92C58" w:rsidP="00C92C58">
      <w:pPr>
        <w:pStyle w:val="FootnoteText"/>
        <w:spacing w:line="240" w:lineRule="auto"/>
        <w:rPr>
          <w:sz w:val="18"/>
          <w:szCs w:val="18"/>
          <w:lang w:val="en-US"/>
        </w:rPr>
      </w:pPr>
      <w:r w:rsidRPr="00E34F14">
        <w:rPr>
          <w:rStyle w:val="FootnoteReference"/>
          <w:sz w:val="18"/>
          <w:szCs w:val="18"/>
          <w:lang w:val="es-ES"/>
        </w:rPr>
        <w:footnoteRef/>
      </w:r>
      <w:r w:rsidRPr="00E34F14">
        <w:rPr>
          <w:sz w:val="18"/>
          <w:szCs w:val="18"/>
          <w:lang w:val="en-US"/>
        </w:rPr>
        <w:t xml:space="preserve"> </w:t>
      </w:r>
      <w:proofErr w:type="spellStart"/>
      <w:r w:rsidRPr="00E34F14">
        <w:rPr>
          <w:sz w:val="18"/>
          <w:szCs w:val="18"/>
          <w:lang w:val="en-US"/>
        </w:rPr>
        <w:t>Ver</w:t>
      </w:r>
      <w:proofErr w:type="spellEnd"/>
      <w:r w:rsidRPr="00E34F14">
        <w:rPr>
          <w:sz w:val="18"/>
          <w:szCs w:val="18"/>
          <w:lang w:val="en-US"/>
        </w:rPr>
        <w:t xml:space="preserve">, </w:t>
      </w:r>
      <w:proofErr w:type="spellStart"/>
      <w:r w:rsidRPr="00E34F14">
        <w:rPr>
          <w:sz w:val="18"/>
          <w:szCs w:val="18"/>
          <w:lang w:val="en-US"/>
        </w:rPr>
        <w:t>por</w:t>
      </w:r>
      <w:proofErr w:type="spellEnd"/>
      <w:r w:rsidRPr="00E34F14">
        <w:rPr>
          <w:sz w:val="18"/>
          <w:szCs w:val="18"/>
          <w:lang w:val="en-US"/>
        </w:rPr>
        <w:t xml:space="preserve"> </w:t>
      </w:r>
      <w:proofErr w:type="spellStart"/>
      <w:r w:rsidRPr="00E34F14">
        <w:rPr>
          <w:sz w:val="18"/>
          <w:szCs w:val="18"/>
          <w:lang w:val="en-US"/>
        </w:rPr>
        <w:t>ejemplo</w:t>
      </w:r>
      <w:proofErr w:type="spellEnd"/>
      <w:r w:rsidRPr="00E34F14">
        <w:rPr>
          <w:sz w:val="18"/>
          <w:szCs w:val="18"/>
          <w:lang w:val="en-US"/>
        </w:rPr>
        <w:t xml:space="preserve">, </w:t>
      </w:r>
      <w:r w:rsidRPr="00E34F14">
        <w:rPr>
          <w:i/>
          <w:sz w:val="18"/>
          <w:szCs w:val="18"/>
          <w:lang w:val="en-US"/>
        </w:rPr>
        <w:t xml:space="preserve">Rural Electrification and Development in the Philippines: Measuring the Social and Economic Benefits </w:t>
      </w:r>
      <w:r w:rsidRPr="00E34F14">
        <w:rPr>
          <w:sz w:val="18"/>
          <w:szCs w:val="18"/>
          <w:lang w:val="en-US"/>
        </w:rPr>
        <w:t xml:space="preserve">(ESMAP, 2002); </w:t>
      </w:r>
      <w:r w:rsidRPr="00E34F14">
        <w:rPr>
          <w:i/>
          <w:sz w:val="18"/>
          <w:szCs w:val="18"/>
          <w:lang w:val="en-US"/>
        </w:rPr>
        <w:t xml:space="preserve">Peru: National Survey of Rural Household Energy Use </w:t>
      </w:r>
      <w:r w:rsidRPr="00E34F14">
        <w:rPr>
          <w:sz w:val="18"/>
          <w:szCs w:val="18"/>
          <w:lang w:val="en-US"/>
        </w:rPr>
        <w:t xml:space="preserve">(ESMAP, 2010); </w:t>
      </w:r>
      <w:r w:rsidRPr="00E34F14">
        <w:rPr>
          <w:i/>
          <w:sz w:val="18"/>
          <w:szCs w:val="18"/>
          <w:lang w:val="en-US"/>
        </w:rPr>
        <w:t xml:space="preserve">Policy Brief: Cost-benefit analysis of rural electrification </w:t>
      </w:r>
      <w:r w:rsidRPr="00E34F14">
        <w:rPr>
          <w:sz w:val="18"/>
          <w:szCs w:val="18"/>
          <w:lang w:val="en-US"/>
        </w:rPr>
        <w:t xml:space="preserve">(NORPLAN, 2012). </w:t>
      </w:r>
    </w:p>
  </w:footnote>
  <w:footnote w:id="18">
    <w:p w14:paraId="3D4B7FC9"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Valor estimado considerando cifras del PBI del Fondo Monetario Internacional para 2012 y valores de consumo de electricidad para el mismo año publicados por EIA.</w:t>
      </w:r>
    </w:p>
  </w:footnote>
  <w:footnote w:id="19">
    <w:p w14:paraId="14721F62"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Este monto corresponde a los costos directos del proyecto más un prorrateo de los costos administrativos.</w:t>
      </w:r>
    </w:p>
  </w:footnote>
  <w:footnote w:id="20">
    <w:p w14:paraId="792AB283"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Este valor corresponde a la inversión económica; esto es, la inversión ajustada por el factor de cuenta.</w:t>
      </w:r>
    </w:p>
  </w:footnote>
  <w:footnote w:id="21">
    <w:p w14:paraId="760F4977"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Estas SE son Estelí, </w:t>
      </w:r>
      <w:proofErr w:type="spellStart"/>
      <w:r w:rsidRPr="00E34F14">
        <w:rPr>
          <w:sz w:val="18"/>
          <w:szCs w:val="18"/>
          <w:lang w:val="es-ES"/>
        </w:rPr>
        <w:t>Yalagüina</w:t>
      </w:r>
      <w:proofErr w:type="spellEnd"/>
      <w:r w:rsidRPr="00E34F14">
        <w:rPr>
          <w:sz w:val="18"/>
          <w:szCs w:val="18"/>
          <w:lang w:val="es-ES"/>
        </w:rPr>
        <w:t xml:space="preserve">, Santa Clara, Centroamérica, Matagalpa, San Ramón, El Tuma, </w:t>
      </w:r>
      <w:proofErr w:type="spellStart"/>
      <w:r w:rsidRPr="00E34F14">
        <w:rPr>
          <w:sz w:val="18"/>
          <w:szCs w:val="18"/>
          <w:lang w:val="es-ES"/>
        </w:rPr>
        <w:t>Matiguás</w:t>
      </w:r>
      <w:proofErr w:type="spellEnd"/>
      <w:r w:rsidRPr="00E34F14">
        <w:rPr>
          <w:sz w:val="18"/>
          <w:szCs w:val="18"/>
          <w:lang w:val="es-ES"/>
        </w:rPr>
        <w:t xml:space="preserve">, </w:t>
      </w:r>
      <w:proofErr w:type="spellStart"/>
      <w:r w:rsidRPr="00E34F14">
        <w:rPr>
          <w:sz w:val="18"/>
          <w:szCs w:val="18"/>
          <w:lang w:val="es-ES"/>
        </w:rPr>
        <w:t>Mulukukú</w:t>
      </w:r>
      <w:proofErr w:type="spellEnd"/>
      <w:r w:rsidRPr="00E34F14">
        <w:rPr>
          <w:sz w:val="18"/>
          <w:szCs w:val="18"/>
          <w:lang w:val="es-ES"/>
        </w:rPr>
        <w:t xml:space="preserve"> y </w:t>
      </w:r>
      <w:proofErr w:type="spellStart"/>
      <w:r w:rsidRPr="00E34F14">
        <w:rPr>
          <w:sz w:val="18"/>
          <w:szCs w:val="18"/>
          <w:lang w:val="es-ES"/>
        </w:rPr>
        <w:t>Siuna</w:t>
      </w:r>
      <w:proofErr w:type="spellEnd"/>
      <w:r w:rsidRPr="00E34F14">
        <w:rPr>
          <w:sz w:val="18"/>
          <w:szCs w:val="18"/>
          <w:lang w:val="es-ES"/>
        </w:rPr>
        <w:t>.</w:t>
      </w:r>
    </w:p>
  </w:footnote>
  <w:footnote w:id="22">
    <w:p w14:paraId="4382606D"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Específicamente, en el escenario con proyecto se supone que las líneas SEBACO-PLANTA CARLOS FONSECA, SEBACO-ESTELI, SEBACO-PLANTA CENTROAMERICA, SEBACO-PLANTA LARREYNAGA, SEBACO-TERRABONA no fallan, como tampoco falla el Transformador 138/24.9 </w:t>
      </w:r>
      <w:proofErr w:type="spellStart"/>
      <w:r w:rsidRPr="00E34F14">
        <w:rPr>
          <w:sz w:val="18"/>
          <w:szCs w:val="18"/>
          <w:lang w:val="es-ES"/>
        </w:rPr>
        <w:t>kV</w:t>
      </w:r>
      <w:proofErr w:type="spellEnd"/>
      <w:r w:rsidRPr="00E34F14">
        <w:rPr>
          <w:sz w:val="18"/>
          <w:szCs w:val="18"/>
          <w:lang w:val="es-ES"/>
        </w:rPr>
        <w:t xml:space="preserve"> </w:t>
      </w:r>
      <w:proofErr w:type="spellStart"/>
      <w:r w:rsidRPr="00E34F14">
        <w:rPr>
          <w:sz w:val="18"/>
          <w:szCs w:val="18"/>
          <w:lang w:val="es-ES"/>
        </w:rPr>
        <w:t>Sébaco</w:t>
      </w:r>
      <w:proofErr w:type="spellEnd"/>
      <w:r w:rsidRPr="00E34F14">
        <w:rPr>
          <w:sz w:val="18"/>
          <w:szCs w:val="18"/>
          <w:lang w:val="es-ES"/>
        </w:rPr>
        <w:t>, y que en la línea SEBACO-MATAGALPA existe falla, pero ésta es menor que en ausencia de proyecto.</w:t>
      </w:r>
    </w:p>
  </w:footnote>
  <w:footnote w:id="23">
    <w:p w14:paraId="7BBA1BB9"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Ese monto corresponde a los costos directos más un prorrateo de los costos de administración.</w:t>
      </w:r>
    </w:p>
  </w:footnote>
  <w:footnote w:id="24">
    <w:p w14:paraId="2DC67827" w14:textId="77777777" w:rsidR="00C92C58" w:rsidRPr="007D4199" w:rsidRDefault="00C92C58" w:rsidP="00C92C58">
      <w:pPr>
        <w:pStyle w:val="FootnoteText"/>
      </w:pPr>
      <w:r>
        <w:rPr>
          <w:rStyle w:val="FootnoteReference"/>
        </w:rPr>
        <w:footnoteRef/>
      </w:r>
      <w:r>
        <w:t xml:space="preserve"> </w:t>
      </w:r>
      <w:r w:rsidRPr="00E34F14">
        <w:rPr>
          <w:sz w:val="18"/>
          <w:szCs w:val="18"/>
        </w:rPr>
        <w:t xml:space="preserve">Este valor de índice de falla fue calculado en base a información histórica provista por </w:t>
      </w:r>
      <w:r>
        <w:rPr>
          <w:sz w:val="18"/>
          <w:szCs w:val="18"/>
        </w:rPr>
        <w:t>ENATREL</w:t>
      </w:r>
      <w:r w:rsidRPr="00E34F14">
        <w:rPr>
          <w:sz w:val="18"/>
          <w:szCs w:val="18"/>
        </w:rPr>
        <w:t xml:space="preserve"> para los años 2010 a 201</w:t>
      </w:r>
      <w:r>
        <w:rPr>
          <w:sz w:val="18"/>
          <w:szCs w:val="18"/>
        </w:rPr>
        <w:t>5 (archivos “</w:t>
      </w:r>
      <w:r w:rsidRPr="004074F6">
        <w:rPr>
          <w:sz w:val="18"/>
          <w:szCs w:val="18"/>
        </w:rPr>
        <w:t>In</w:t>
      </w:r>
      <w:r>
        <w:rPr>
          <w:sz w:val="18"/>
          <w:szCs w:val="18"/>
        </w:rPr>
        <w:t>terruptores SEBACO 2010-2016</w:t>
      </w:r>
      <w:r w:rsidRPr="004074F6">
        <w:rPr>
          <w:sz w:val="18"/>
          <w:szCs w:val="18"/>
        </w:rPr>
        <w:t>.xls</w:t>
      </w:r>
      <w:r>
        <w:rPr>
          <w:sz w:val="18"/>
          <w:szCs w:val="18"/>
        </w:rPr>
        <w:t>” y “</w:t>
      </w:r>
      <w:r w:rsidRPr="004074F6">
        <w:rPr>
          <w:sz w:val="18"/>
          <w:szCs w:val="18"/>
        </w:rPr>
        <w:t>LINEAS SEBACO 2010-2016.xls</w:t>
      </w:r>
      <w:r>
        <w:rPr>
          <w:sz w:val="18"/>
          <w:szCs w:val="18"/>
        </w:rPr>
        <w:t>” del 13 de junio de 2016)</w:t>
      </w:r>
      <w:r w:rsidRPr="00E34F14">
        <w:rPr>
          <w:sz w:val="18"/>
          <w:szCs w:val="18"/>
        </w:rPr>
        <w:t>. Cabe destacar que este valor de índice de fallas corresponde al promedio de los valores registrados, tratándose así de un estimador conservador, puesto que durante estos años se observa una tendencia creciente en las fallas, la cual no se espera</w:t>
      </w:r>
      <w:r>
        <w:rPr>
          <w:sz w:val="18"/>
          <w:szCs w:val="18"/>
        </w:rPr>
        <w:t>ría</w:t>
      </w:r>
      <w:r w:rsidRPr="00E34F14">
        <w:rPr>
          <w:sz w:val="18"/>
          <w:szCs w:val="18"/>
        </w:rPr>
        <w:t xml:space="preserve"> que se revierta en ausencia de proyecto.</w:t>
      </w:r>
    </w:p>
  </w:footnote>
  <w:footnote w:id="25">
    <w:p w14:paraId="31FC31E2"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También se tiene el ahorro en el costo del déficit que se verifica en ausencia de proyecto, dado que los costos térmicos exceden al costo de falla. Esto, según la información contenida en el archivo COSTOS OPERATIVOS_PLANCASOVII_ 2016-2030_SIN Y CON HIDRO_v2.xlsx, se verifica sólo en mayo de 2028.</w:t>
      </w:r>
    </w:p>
  </w:footnote>
  <w:footnote w:id="26">
    <w:p w14:paraId="33126A0B"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Las pérdidas de transmisión se valúan al costo incremental de generación y transmisión, mientras que las de distribución, se valúan al costo incremental total (generación, transmisión y distribución).</w:t>
      </w:r>
    </w:p>
  </w:footnote>
  <w:footnote w:id="27">
    <w:p w14:paraId="647AF1A6"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Este valor corresponde a la inversión económica; esto es, la inversión ajustada por el factor de cuenta.</w:t>
      </w:r>
    </w:p>
  </w:footnote>
  <w:footnote w:id="28">
    <w:p w14:paraId="5B955C59" w14:textId="77777777" w:rsidR="00C92C58" w:rsidRPr="00E34F14" w:rsidRDefault="00C92C58" w:rsidP="00C92C58">
      <w:pPr>
        <w:pStyle w:val="FootnoteText"/>
        <w:rPr>
          <w:sz w:val="18"/>
          <w:szCs w:val="18"/>
        </w:rPr>
      </w:pPr>
      <w:r w:rsidRPr="00E34F14">
        <w:rPr>
          <w:rStyle w:val="FootnoteReference"/>
          <w:sz w:val="18"/>
          <w:szCs w:val="18"/>
        </w:rPr>
        <w:footnoteRef/>
      </w:r>
      <w:r w:rsidRPr="00E34F14">
        <w:rPr>
          <w:sz w:val="18"/>
          <w:szCs w:val="18"/>
        </w:rPr>
        <w:t xml:space="preserve"> En realidad este proyecto engloba el aumento de la capacidad de 5 SE. Sin embargo, sólo se analizarán en este apartado 4, puesto que la evaluación del proyecto de ampliación de capacidad de la SE </w:t>
      </w:r>
      <w:proofErr w:type="spellStart"/>
      <w:r w:rsidRPr="00E34F14">
        <w:rPr>
          <w:sz w:val="18"/>
          <w:szCs w:val="18"/>
        </w:rPr>
        <w:t>Ticuantepe</w:t>
      </w:r>
      <w:proofErr w:type="spellEnd"/>
      <w:r w:rsidRPr="00E34F14">
        <w:rPr>
          <w:sz w:val="18"/>
          <w:szCs w:val="18"/>
        </w:rPr>
        <w:t xml:space="preserve"> II se llevará a cabo conjuntamente con el proyecto de modernización de la SE </w:t>
      </w:r>
      <w:proofErr w:type="spellStart"/>
      <w:r w:rsidRPr="00E34F14">
        <w:rPr>
          <w:sz w:val="18"/>
          <w:szCs w:val="18"/>
        </w:rPr>
        <w:t>Ticuantepe</w:t>
      </w:r>
      <w:proofErr w:type="spellEnd"/>
      <w:r w:rsidRPr="00E34F14">
        <w:rPr>
          <w:sz w:val="18"/>
          <w:szCs w:val="18"/>
        </w:rPr>
        <w:t xml:space="preserve"> I, dada la complementariedad de los mismos.</w:t>
      </w:r>
    </w:p>
  </w:footnote>
  <w:footnote w:id="29">
    <w:p w14:paraId="0C04A384"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De hecho, en el mencionado documento se menciona que el 33% de los transformadores instalados en el sistema nacional de transmisión supera su vida útil. </w:t>
      </w:r>
    </w:p>
  </w:footnote>
  <w:footnote w:id="30">
    <w:p w14:paraId="2901C8FC"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Este monto corresponde a los costos directos más un prorrateo de los costos administrativos.</w:t>
      </w:r>
    </w:p>
  </w:footnote>
  <w:footnote w:id="31">
    <w:p w14:paraId="448830B5"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Las pérdidas de transmisión se valúan al costo incremental de generación y transmisión, mientras que las de distribución, se valúan al costo incremental total (generación, transmisión y distribución).</w:t>
      </w:r>
    </w:p>
  </w:footnote>
  <w:footnote w:id="32">
    <w:p w14:paraId="37C15C55"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Este valor corresponde a la inversión económica; esto es, la inversión ajustada por el factor de cuenta.</w:t>
      </w:r>
    </w:p>
  </w:footnote>
  <w:footnote w:id="33">
    <w:p w14:paraId="0FFFF4C9"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Este monto incluye los costos directos y un prorrateo de los costos administrativos.</w:t>
      </w:r>
    </w:p>
  </w:footnote>
  <w:footnote w:id="34">
    <w:p w14:paraId="695E7691"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Las pérdidas de transmisión se valúan al costo incremental de generación y transmisión, mientras que las de distribución, se valúan al costo incremental total (generación, transmisión y distribución).</w:t>
      </w:r>
    </w:p>
  </w:footnote>
  <w:footnote w:id="35">
    <w:p w14:paraId="67F797AD"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Este valor corresponde a la inversión económica; esto es, la inversión ajustada por el factor de cuenta.</w:t>
      </w:r>
    </w:p>
  </w:footnote>
  <w:footnote w:id="36">
    <w:p w14:paraId="2082C37B"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Este monto incluye los costos directos más un prorrateo de los costos administrativos.</w:t>
      </w:r>
    </w:p>
  </w:footnote>
  <w:footnote w:id="37">
    <w:p w14:paraId="53921448"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Este valor corresponde a la inversión económica; esto es, la inversión ajustada por el factor de cuenta.</w:t>
      </w:r>
    </w:p>
  </w:footnote>
  <w:footnote w:id="38">
    <w:p w14:paraId="2620FCC1" w14:textId="77777777" w:rsidR="00C92C58" w:rsidRPr="00E34F14" w:rsidRDefault="00C92C58" w:rsidP="00C92C58">
      <w:pPr>
        <w:pStyle w:val="FootnoteText"/>
        <w:rPr>
          <w:sz w:val="18"/>
          <w:szCs w:val="18"/>
        </w:rPr>
      </w:pPr>
      <w:r w:rsidRPr="00E34F14">
        <w:rPr>
          <w:rStyle w:val="FootnoteReference"/>
          <w:sz w:val="18"/>
          <w:szCs w:val="18"/>
        </w:rPr>
        <w:footnoteRef/>
      </w:r>
      <w:r w:rsidRPr="00E34F14">
        <w:rPr>
          <w:sz w:val="18"/>
          <w:szCs w:val="18"/>
        </w:rPr>
        <w:t xml:space="preserve"> De acuerdo a corridas recibidas de ENATREL (FLUJOS DE ENERGÍA_SE CATARINA_12042016.xlsx recibido el 13 de abril) habría evidencia de que este proyecto permitiría abastecer una mayor cantidad de energía durante todo el período de análisis. Esta situación, que genera un sustancial aumento de los beneficios del proyecto, se presenta en el </w:t>
      </w:r>
      <w:r w:rsidRPr="00E34F14">
        <w:rPr>
          <w:sz w:val="18"/>
          <w:szCs w:val="18"/>
        </w:rPr>
        <w:fldChar w:fldCharType="begin"/>
      </w:r>
      <w:r w:rsidRPr="00E34F14">
        <w:rPr>
          <w:sz w:val="18"/>
          <w:szCs w:val="18"/>
        </w:rPr>
        <w:instrText xml:space="preserve"> REF _Ref448415595 \h  \* MERGEFORMAT </w:instrText>
      </w:r>
      <w:r w:rsidRPr="00E34F14">
        <w:rPr>
          <w:sz w:val="18"/>
          <w:szCs w:val="18"/>
        </w:rPr>
      </w:r>
      <w:r w:rsidRPr="00E34F14">
        <w:rPr>
          <w:sz w:val="18"/>
          <w:szCs w:val="18"/>
        </w:rPr>
        <w:fldChar w:fldCharType="separate"/>
      </w:r>
      <w:r w:rsidRPr="00E34F14">
        <w:rPr>
          <w:sz w:val="18"/>
          <w:szCs w:val="18"/>
          <w:lang w:val="es-ES"/>
        </w:rPr>
        <w:t>Anexo A – SE Catarina – Aumento de la demanda potencial</w:t>
      </w:r>
      <w:r w:rsidRPr="00E34F14">
        <w:rPr>
          <w:sz w:val="18"/>
          <w:szCs w:val="18"/>
        </w:rPr>
        <w:fldChar w:fldCharType="end"/>
      </w:r>
      <w:r w:rsidRPr="00E34F14">
        <w:rPr>
          <w:sz w:val="18"/>
          <w:szCs w:val="18"/>
        </w:rPr>
        <w:t>.</w:t>
      </w:r>
    </w:p>
  </w:footnote>
  <w:footnote w:id="39">
    <w:p w14:paraId="5A8D2F7C"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Este monto incluye los costos directos, más un prorrateo de los costos administrativos.</w:t>
      </w:r>
    </w:p>
  </w:footnote>
  <w:footnote w:id="40">
    <w:p w14:paraId="75638ACD"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Este valor corresponde al equivalente anual de las tasas de referencia para el período 2017-2030 (cabe mencionar que el período cambia según la SE ya que las restricciones de capacidad se verifican en diferentes momentos en el tiempo).</w:t>
      </w:r>
    </w:p>
  </w:footnote>
  <w:footnote w:id="41">
    <w:p w14:paraId="06D0C3C0"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Este valor corresponde a la inversión económica; esto es, la inversión ajustada por el factor de cuenta.</w:t>
      </w:r>
    </w:p>
  </w:footnote>
  <w:footnote w:id="42">
    <w:p w14:paraId="11F2582C"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Este monto incluye los costos directos y un prorrateo de los costos administrativos.</w:t>
      </w:r>
    </w:p>
  </w:footnote>
  <w:footnote w:id="43">
    <w:p w14:paraId="192D4509"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Las pérdidas de transmisión se valúan al costo incremental de generación y transmisión, mientras que las de distribución, se valúan al costo incremental total (generación, transmisión y distribución).</w:t>
      </w:r>
    </w:p>
  </w:footnote>
  <w:footnote w:id="44">
    <w:p w14:paraId="78BE34D2" w14:textId="77777777" w:rsidR="00C92C58" w:rsidRPr="00E34F14" w:rsidRDefault="00C92C58" w:rsidP="00C92C58">
      <w:pPr>
        <w:pStyle w:val="FootnoteText"/>
        <w:rPr>
          <w:sz w:val="18"/>
          <w:szCs w:val="18"/>
        </w:rPr>
      </w:pPr>
      <w:r w:rsidRPr="00E34F14">
        <w:rPr>
          <w:rStyle w:val="FootnoteReference"/>
          <w:sz w:val="18"/>
          <w:szCs w:val="18"/>
        </w:rPr>
        <w:footnoteRef/>
      </w:r>
      <w:r w:rsidRPr="00E34F14">
        <w:rPr>
          <w:sz w:val="18"/>
          <w:szCs w:val="18"/>
        </w:rPr>
        <w:t xml:space="preserve"> Este supuesto es el que se utilizó como escenario base en las corridas efectuadas por ENATREL.</w:t>
      </w:r>
    </w:p>
  </w:footnote>
  <w:footnote w:id="45">
    <w:p w14:paraId="33FD523A"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Este valor corresponde a la inversión económica; esto es, la inversión ajustada por el factor de cuenta.</w:t>
      </w:r>
    </w:p>
  </w:footnote>
  <w:footnote w:id="46">
    <w:p w14:paraId="1848512A"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Este monto corresponde a los costos directos más un prorrateo de los costos administrativos.</w:t>
      </w:r>
    </w:p>
  </w:footnote>
  <w:footnote w:id="47">
    <w:p w14:paraId="295E86C9" w14:textId="77777777" w:rsidR="00C92C58" w:rsidRPr="00E34F14" w:rsidRDefault="00C92C58" w:rsidP="00C92C58">
      <w:pPr>
        <w:pStyle w:val="FootnoteText"/>
        <w:rPr>
          <w:sz w:val="18"/>
          <w:szCs w:val="18"/>
        </w:rPr>
      </w:pPr>
      <w:r w:rsidRPr="00E34F14">
        <w:rPr>
          <w:rStyle w:val="FootnoteReference"/>
          <w:sz w:val="18"/>
          <w:szCs w:val="18"/>
        </w:rPr>
        <w:footnoteRef/>
      </w:r>
      <w:r w:rsidRPr="00E34F14">
        <w:rPr>
          <w:sz w:val="18"/>
          <w:szCs w:val="18"/>
          <w:lang w:val="es-ES"/>
        </w:rPr>
        <w:t xml:space="preserve"> Cabe mencionar que, según la información remitida por </w:t>
      </w:r>
      <w:proofErr w:type="spellStart"/>
      <w:r w:rsidRPr="00E34F14">
        <w:rPr>
          <w:sz w:val="18"/>
          <w:szCs w:val="18"/>
          <w:lang w:val="es-ES"/>
        </w:rPr>
        <w:t>Enatrel</w:t>
      </w:r>
      <w:proofErr w:type="spellEnd"/>
      <w:r w:rsidRPr="00E34F14">
        <w:rPr>
          <w:sz w:val="18"/>
          <w:szCs w:val="18"/>
          <w:lang w:val="es-ES"/>
        </w:rPr>
        <w:t xml:space="preserve">, el tiempo requerido para el reemplazo del transformador es de 10 </w:t>
      </w:r>
      <w:proofErr w:type="spellStart"/>
      <w:r w:rsidRPr="00E34F14">
        <w:rPr>
          <w:sz w:val="18"/>
          <w:szCs w:val="18"/>
          <w:lang w:val="es-ES"/>
        </w:rPr>
        <w:t>hs</w:t>
      </w:r>
      <w:proofErr w:type="spellEnd"/>
      <w:r w:rsidRPr="00E34F14">
        <w:rPr>
          <w:sz w:val="18"/>
          <w:szCs w:val="18"/>
          <w:lang w:val="es-ES"/>
        </w:rPr>
        <w:t xml:space="preserve">, la razón del cambio en este supuesto se explica más adelante. </w:t>
      </w:r>
    </w:p>
  </w:footnote>
  <w:footnote w:id="48">
    <w:p w14:paraId="2A658E49" w14:textId="77777777" w:rsidR="00C92C58" w:rsidRPr="00E34F14" w:rsidRDefault="00C92C58" w:rsidP="00C92C58">
      <w:pPr>
        <w:pStyle w:val="FootnoteText"/>
        <w:rPr>
          <w:sz w:val="18"/>
          <w:szCs w:val="18"/>
          <w:lang w:val="es-AR"/>
        </w:rPr>
      </w:pPr>
      <w:r w:rsidRPr="00E34F14">
        <w:rPr>
          <w:rStyle w:val="FootnoteReference"/>
          <w:sz w:val="18"/>
          <w:szCs w:val="18"/>
        </w:rPr>
        <w:footnoteRef/>
      </w:r>
      <w:r w:rsidRPr="00E34F14">
        <w:rPr>
          <w:sz w:val="18"/>
          <w:szCs w:val="18"/>
        </w:rPr>
        <w:t xml:space="preserve"> Se ha realizado un cálculo aproximado sobre cuántas interrupciones de 10 horas debería sufrir alguno de los transformadores (específicamente un transformador con una carga “promedio”) para que se justifique la compra del transformador móvil y con sólo una interrupción de esta duración ya es deseable la compra.</w:t>
      </w:r>
    </w:p>
  </w:footnote>
  <w:footnote w:id="49">
    <w:p w14:paraId="15104204"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Las pérdidas de transmisión se valúan al costo incremental de generación y transmisión, mientras que las de distribución, se valúan al costo incremental total (generación, transmisión y distribución).</w:t>
      </w:r>
    </w:p>
  </w:footnote>
  <w:footnote w:id="50">
    <w:p w14:paraId="2BC14F79"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Este valor corresponde a la inversión económica; esto es, la inversión ajustada por el factor de cuenta.</w:t>
      </w:r>
    </w:p>
  </w:footnote>
  <w:footnote w:id="51">
    <w:p w14:paraId="32129B64"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Además, se realiza mediante este proyecto un levantamiento topográfico para identificar la capacidad máxima real de las líneas de 230kV, los claros mínimos y los puntos críticos que generan violaciones, para así poder determinar los refuerzos necesarios y aumentar la capacidad de los tramos internos de las líneas de 230kV de ENATREL, optimizando la infraestructura existente.</w:t>
      </w:r>
    </w:p>
  </w:footnote>
  <w:footnote w:id="52">
    <w:p w14:paraId="0EE01B48"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ESTIMACIÓN DE COSTOS Y PLAN DE INVERSIONES DE LOS REFUERZOS DE TRANSMISIÓN PARA ALCANZAR LA CAPACIDAD OPERATIVA DE 300 MW ENTRE LOS PAÍSES DEL MER</w:t>
      </w:r>
    </w:p>
  </w:footnote>
  <w:footnote w:id="53">
    <w:p w14:paraId="4683455D"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Estimación del impacto económico de los refuerzos de transmisión necesarios para alcanzar 300 MW de capacidad operativa en la Red de Transmisión Regional</w:t>
      </w:r>
    </w:p>
  </w:footnote>
  <w:footnote w:id="54">
    <w:p w14:paraId="3508E112"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EVALUACIÓN Y PERSPECTIVAS DEL PROCESO DE INTEGRACIÓN ELÉCTRICA MESOAMERICANA - ANALISIS EX-ANTE Y EX-POST DE LOS BENEFICIOS DEL PROYECTO SIEPAC - (BORRADOR PARA DISCUSIÓN) – Marzo 21 - 2011</w:t>
      </w:r>
    </w:p>
  </w:footnote>
  <w:footnote w:id="55">
    <w:p w14:paraId="30AF32AD"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Archivos GRAFICOS_Esc_A.xls; GRAFICOS_Esc_B91.xls; GRAFICOS_Esc_C.xls; GRAFICOS_Esc_D.xls; GRAFICOS_Esc_E.xls; GRAFICOS_Esc_F1.xls; GRAFICOS_Esc_G.xls; GRAFICOS_Esc_H.xls; GRAFICOS_Esc_I.xls; GRAFICOS_Esc_J.xls; GRAFICOS_Esc_K.xls; Y GRAFICOS_Esc_L.xls, recibidos con fecha 31 de marzo de 2016.</w:t>
      </w:r>
    </w:p>
  </w:footnote>
  <w:footnote w:id="56">
    <w:p w14:paraId="4C37E718"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PLAN INDICATIVO REGIONAL DE EXPANSIÓN DE LA GENERACIÓN PREPARADO POR EL GTPIR PERIODO 2012-2027. </w:t>
      </w:r>
      <w:hyperlink r:id="rId1" w:history="1">
        <w:r w:rsidRPr="00E34F14">
          <w:rPr>
            <w:rStyle w:val="Hyperlink"/>
            <w:sz w:val="18"/>
            <w:szCs w:val="18"/>
            <w:lang w:val="es-ES"/>
          </w:rPr>
          <w:t>http://www.ceaconline.org/documentos/Plan_Indicativo_Regional_de_Expansin_de_la_Generacin_2012_7.pdf</w:t>
        </w:r>
      </w:hyperlink>
    </w:p>
  </w:footnote>
  <w:footnote w:id="57">
    <w:p w14:paraId="17A9722A" w14:textId="77777777" w:rsidR="00C92C58" w:rsidRPr="00E34F14" w:rsidRDefault="00C92C58" w:rsidP="00C92C58">
      <w:pPr>
        <w:keepNext/>
        <w:keepLines/>
        <w:spacing w:after="120"/>
        <w:rPr>
          <w:sz w:val="18"/>
          <w:szCs w:val="18"/>
          <w:lang w:val="es-ES"/>
        </w:rPr>
      </w:pPr>
      <w:r w:rsidRPr="00E34F14">
        <w:rPr>
          <w:rStyle w:val="FootnoteReference"/>
          <w:sz w:val="18"/>
          <w:szCs w:val="18"/>
          <w:lang w:val="es-ES"/>
        </w:rPr>
        <w:footnoteRef/>
      </w:r>
      <w:r w:rsidRPr="00E34F14">
        <w:rPr>
          <w:sz w:val="18"/>
          <w:szCs w:val="18"/>
          <w:lang w:val="es-ES"/>
        </w:rPr>
        <w:t xml:space="preserve"> En el </w:t>
      </w:r>
      <w:r w:rsidRPr="00E34F14">
        <w:rPr>
          <w:sz w:val="18"/>
          <w:szCs w:val="18"/>
          <w:lang w:val="es-ES"/>
        </w:rPr>
        <w:fldChar w:fldCharType="begin"/>
      </w:r>
      <w:r w:rsidRPr="00E34F14">
        <w:rPr>
          <w:sz w:val="18"/>
          <w:szCs w:val="18"/>
          <w:lang w:val="es-ES"/>
        </w:rPr>
        <w:instrText xml:space="preserve"> REF _Ref448415595 \h  \* MERGEFORMAT </w:instrText>
      </w:r>
      <w:r w:rsidRPr="00E34F14">
        <w:rPr>
          <w:sz w:val="18"/>
          <w:szCs w:val="18"/>
          <w:lang w:val="es-ES"/>
        </w:rPr>
      </w:r>
      <w:r w:rsidRPr="00E34F14">
        <w:rPr>
          <w:sz w:val="18"/>
          <w:szCs w:val="18"/>
          <w:lang w:val="es-ES"/>
        </w:rPr>
        <w:fldChar w:fldCharType="separate"/>
      </w:r>
      <w:r w:rsidRPr="00E34F14">
        <w:rPr>
          <w:sz w:val="18"/>
          <w:szCs w:val="18"/>
          <w:lang w:val="es-ES"/>
        </w:rPr>
        <w:t>Anexo A – SE Catarina – Aumento de la demanda potencial</w:t>
      </w:r>
      <w:r w:rsidRPr="00E34F14">
        <w:rPr>
          <w:sz w:val="18"/>
          <w:szCs w:val="18"/>
          <w:lang w:val="es-ES"/>
        </w:rPr>
        <w:fldChar w:fldCharType="end"/>
      </w:r>
      <w:r w:rsidRPr="00E34F14">
        <w:rPr>
          <w:sz w:val="18"/>
          <w:szCs w:val="18"/>
          <w:lang w:val="es-ES"/>
        </w:rPr>
        <w:t xml:space="preserve"> se presenta el detalle de la información considerada y el detalle de la estimación de la tasa de crecimiento de los beneficios adoptada para el análisis.</w:t>
      </w:r>
    </w:p>
  </w:footnote>
  <w:footnote w:id="58">
    <w:p w14:paraId="5A8D850E"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Manuel </w:t>
      </w:r>
      <w:proofErr w:type="spellStart"/>
      <w:r w:rsidRPr="00E34F14">
        <w:rPr>
          <w:sz w:val="18"/>
          <w:szCs w:val="18"/>
          <w:lang w:val="es-ES"/>
        </w:rPr>
        <w:t>Dussan</w:t>
      </w:r>
      <w:proofErr w:type="spellEnd"/>
      <w:r w:rsidRPr="00E34F14">
        <w:rPr>
          <w:sz w:val="18"/>
          <w:szCs w:val="18"/>
          <w:lang w:val="es-ES"/>
        </w:rPr>
        <w:t>, informe citado página 1 nuestro énfasis</w:t>
      </w:r>
    </w:p>
  </w:footnote>
  <w:footnote w:id="59">
    <w:p w14:paraId="02365516"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Este valor corresponde a la inversión económica; esto es, la inversión ajustada por el factor de cuenta.</w:t>
      </w:r>
    </w:p>
  </w:footnote>
  <w:footnote w:id="60">
    <w:p w14:paraId="796AEF27"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Las pérdidas de transmisión se valúan al costo incremental de generación y transmisión, mientras que las de distribución, se valúan al costo incremental total (generación, transmisión y distribución).</w:t>
      </w:r>
    </w:p>
  </w:footnote>
  <w:footnote w:id="61">
    <w:p w14:paraId="166593EC"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Este valor corresponde a la inversión económica; esto es, la inversión ajustada por el factor de cuenta.</w:t>
      </w:r>
    </w:p>
  </w:footnote>
  <w:footnote w:id="62">
    <w:p w14:paraId="51E88C97"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Este monto corresponde al total de la inversión sin ajustar por factores de cuenta.</w:t>
      </w:r>
    </w:p>
  </w:footnote>
  <w:footnote w:id="63">
    <w:p w14:paraId="61665E1C"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“Estimación del impacto económico de los refuerzos de transmisión necesarios para alcanzar 300 MW de capacidad operativa en la Red de Transmisión Regional”, “Estimación del impacto económico de los refuerzos de transmisión necesarios para alcanzar 300 MW de capacidad operativa en la Red de Transmisión Regional - Resumen de resultados para los casos denominados C y D”, y “Estimación de Costos y Plan de Inversiones de los Refuerzos de Transmisión para Alcanzar la Capacidad Operativa de 300 M W entre los Países del MER”. </w:t>
      </w:r>
    </w:p>
  </w:footnote>
  <w:footnote w:id="64">
    <w:p w14:paraId="2F354F89"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“Plan Indicativo Regional de Expansión de la Generación Periodo 2012-2027”, del Consejo de Electrificación de América Central; “Evaluación y Perspectivas del Proceso de Integración Eléctrica Mesoamericana - ANALISIS EX-ANTE Y EX-POST DE LOS BENEFICIOS DEL PROYECTO SIEPAC” - borrador para discusión 2011, de Manuel </w:t>
      </w:r>
      <w:proofErr w:type="spellStart"/>
      <w:r w:rsidRPr="00E34F14">
        <w:rPr>
          <w:sz w:val="18"/>
          <w:szCs w:val="18"/>
          <w:lang w:val="es-ES"/>
        </w:rPr>
        <w:t>Dussan</w:t>
      </w:r>
      <w:proofErr w:type="spellEnd"/>
      <w:r w:rsidRPr="00E34F14">
        <w:rPr>
          <w:sz w:val="18"/>
          <w:szCs w:val="18"/>
          <w:lang w:val="es-ES"/>
        </w:rPr>
        <w:t xml:space="preserve">; y un conjunto de archivos Excel con diferentes escenarios de análisis utilizados por el Sr. </w:t>
      </w:r>
      <w:proofErr w:type="spellStart"/>
      <w:r w:rsidRPr="00E34F14">
        <w:rPr>
          <w:sz w:val="18"/>
          <w:szCs w:val="18"/>
          <w:lang w:val="es-ES"/>
        </w:rPr>
        <w:t>Dussan</w:t>
      </w:r>
      <w:proofErr w:type="spellEnd"/>
      <w:r w:rsidRPr="00E34F14">
        <w:rPr>
          <w:sz w:val="18"/>
          <w:szCs w:val="18"/>
          <w:lang w:val="es-ES"/>
        </w:rPr>
        <w:t xml:space="preserve"> y basados en el documento del CEAC (GRAFICOS_Esc_A.xls; GRAFICOS_Esc_B91.xls; GRAFICOS_Esc_C.xls; GRAFICOS_Esc_D.xls; GRAFICOS_Esc_E.xls; GRAFICOS_Esc_F1.xls; GRAFICOS_Esc_G.xls; GRAFICOS_Esc_H.xls; GRAFICOS_Esc_I.xls; GRAFICOS_Esc_J.xls; GRAFICOS_Esc_K.xls; Y GRAFICOS_Esc_L.xls).</w:t>
      </w:r>
    </w:p>
  </w:footnote>
  <w:footnote w:id="65">
    <w:p w14:paraId="2B38FBCF" w14:textId="77777777" w:rsidR="00C92C58" w:rsidRPr="00E34F14" w:rsidRDefault="00C92C58" w:rsidP="00C92C58">
      <w:pPr>
        <w:pStyle w:val="FootnoteText"/>
        <w:rPr>
          <w:sz w:val="18"/>
          <w:szCs w:val="18"/>
          <w:lang w:val="es-ES"/>
        </w:rPr>
      </w:pPr>
      <w:r w:rsidRPr="00E34F14">
        <w:rPr>
          <w:rStyle w:val="FootnoteReference"/>
          <w:sz w:val="18"/>
          <w:szCs w:val="18"/>
          <w:lang w:val="es-ES"/>
        </w:rPr>
        <w:footnoteRef/>
      </w:r>
      <w:r w:rsidRPr="00E34F14">
        <w:rPr>
          <w:sz w:val="18"/>
          <w:szCs w:val="18"/>
          <w:lang w:val="es-ES"/>
        </w:rPr>
        <w:t xml:space="preserve"> Se desconoce si esto implica que no se realiza la primer expansión (a 300 MW) o si no se realiza ninguna de las dos expansiones (primero a 300 MW y luego, en 2020, a 600 MW).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Layout w:type="fixed"/>
      <w:tblLook w:val="00A0" w:firstRow="1" w:lastRow="0" w:firstColumn="1" w:lastColumn="0" w:noHBand="0" w:noVBand="0"/>
    </w:tblPr>
    <w:tblGrid>
      <w:gridCol w:w="3484"/>
      <w:gridCol w:w="4988"/>
    </w:tblGrid>
    <w:tr w:rsidR="00C92C58" w:rsidRPr="00E67BF2" w14:paraId="265C585B" w14:textId="77777777" w:rsidTr="003073CD">
      <w:trPr>
        <w:trHeight w:val="450"/>
      </w:trPr>
      <w:tc>
        <w:tcPr>
          <w:tcW w:w="3484" w:type="dxa"/>
          <w:tcBorders>
            <w:bottom w:val="single" w:sz="12" w:space="0" w:color="9C2F24"/>
          </w:tcBorders>
          <w:shd w:val="clear" w:color="auto" w:fill="FFFFFF"/>
          <w:vAlign w:val="center"/>
        </w:tcPr>
        <w:p w14:paraId="50C26EEB" w14:textId="77777777" w:rsidR="00C92C58" w:rsidRPr="00816C29" w:rsidRDefault="00C92C58" w:rsidP="00816C29">
          <w:pPr>
            <w:pStyle w:val="Header"/>
            <w:spacing w:after="0" w:line="240" w:lineRule="auto"/>
            <w:jc w:val="left"/>
            <w:rPr>
              <w:rFonts w:eastAsia="Times New Roman"/>
              <w:b/>
              <w:i/>
              <w:sz w:val="18"/>
            </w:rPr>
          </w:pPr>
        </w:p>
      </w:tc>
      <w:tc>
        <w:tcPr>
          <w:tcW w:w="4988" w:type="dxa"/>
          <w:tcBorders>
            <w:bottom w:val="single" w:sz="12" w:space="0" w:color="9C2F24"/>
          </w:tcBorders>
          <w:shd w:val="clear" w:color="auto" w:fill="FFFFFF"/>
          <w:vAlign w:val="center"/>
        </w:tcPr>
        <w:p w14:paraId="4E261765" w14:textId="77777777" w:rsidR="00C92C58" w:rsidRPr="00B420E6" w:rsidRDefault="00C92C58" w:rsidP="00B420E6">
          <w:pPr>
            <w:pStyle w:val="Header"/>
            <w:spacing w:after="0" w:line="240" w:lineRule="auto"/>
            <w:jc w:val="right"/>
            <w:rPr>
              <w:rFonts w:eastAsia="Times New Roman"/>
              <w:b/>
              <w:sz w:val="18"/>
              <w:lang w:val="es-ES"/>
            </w:rPr>
          </w:pPr>
          <w:r w:rsidRPr="00B420E6">
            <w:rPr>
              <w:rFonts w:eastAsia="Times New Roman"/>
              <w:b/>
              <w:sz w:val="18"/>
              <w:lang w:val="es-ES"/>
            </w:rPr>
            <w:t>Evaluación proyectos priorizados para el Sistema Nacional de Transmisión</w:t>
          </w:r>
        </w:p>
      </w:tc>
    </w:tr>
    <w:tr w:rsidR="00C92C58" w:rsidRPr="00E67BF2" w14:paraId="63BCA37C" w14:textId="77777777" w:rsidTr="003073CD">
      <w:tc>
        <w:tcPr>
          <w:tcW w:w="3484" w:type="dxa"/>
          <w:tcBorders>
            <w:top w:val="single" w:sz="12" w:space="0" w:color="9C2F24"/>
          </w:tcBorders>
          <w:vAlign w:val="center"/>
        </w:tcPr>
        <w:p w14:paraId="3FB66CA8" w14:textId="77777777" w:rsidR="00C92C58" w:rsidRPr="00946FAD" w:rsidRDefault="00C92C58" w:rsidP="00C0226A">
          <w:pPr>
            <w:pStyle w:val="Header"/>
            <w:spacing w:after="0" w:line="240" w:lineRule="auto"/>
            <w:jc w:val="left"/>
            <w:rPr>
              <w:rFonts w:eastAsia="Times New Roman"/>
              <w:sz w:val="2"/>
              <w:lang w:val="es-AR"/>
            </w:rPr>
          </w:pPr>
        </w:p>
      </w:tc>
      <w:tc>
        <w:tcPr>
          <w:tcW w:w="4988" w:type="dxa"/>
          <w:tcBorders>
            <w:top w:val="single" w:sz="12" w:space="0" w:color="9C2F24"/>
          </w:tcBorders>
          <w:vAlign w:val="center"/>
        </w:tcPr>
        <w:p w14:paraId="54733B74" w14:textId="77777777" w:rsidR="00C92C58" w:rsidRPr="00946FAD" w:rsidRDefault="00C92C58" w:rsidP="00C0226A">
          <w:pPr>
            <w:pStyle w:val="Header"/>
            <w:spacing w:after="0" w:line="240" w:lineRule="auto"/>
            <w:jc w:val="left"/>
            <w:rPr>
              <w:rFonts w:eastAsia="Times New Roman"/>
              <w:sz w:val="38"/>
              <w:szCs w:val="38"/>
              <w:lang w:val="es-AR"/>
            </w:rPr>
          </w:pPr>
        </w:p>
      </w:tc>
    </w:tr>
  </w:tbl>
  <w:p w14:paraId="56D8BDC9" w14:textId="77777777" w:rsidR="00C92C58" w:rsidRPr="00946FAD" w:rsidRDefault="00C92C58">
    <w:pPr>
      <w:pStyle w:val="Header"/>
      <w:rPr>
        <w:lang w:val="es-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224B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C"/>
    <w:multiLevelType w:val="singleLevel"/>
    <w:tmpl w:val="0000000C"/>
    <w:name w:val="WW8Num12"/>
    <w:lvl w:ilvl="0">
      <w:start w:val="1"/>
      <w:numFmt w:val="bullet"/>
      <w:pStyle w:val="Logro"/>
      <w:lvlText w:val=""/>
      <w:lvlJc w:val="left"/>
      <w:pPr>
        <w:tabs>
          <w:tab w:val="num" w:pos="0"/>
        </w:tabs>
        <w:ind w:left="240" w:hanging="240"/>
      </w:pPr>
      <w:rPr>
        <w:rFonts w:ascii="Wingdings" w:hAnsi="Wingdings"/>
        <w:sz w:val="12"/>
      </w:rPr>
    </w:lvl>
  </w:abstractNum>
  <w:abstractNum w:abstractNumId="2">
    <w:nsid w:val="00AE39D8"/>
    <w:multiLevelType w:val="hybridMultilevel"/>
    <w:tmpl w:val="B8588F68"/>
    <w:lvl w:ilvl="0" w:tplc="954872A6">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8D21680"/>
    <w:multiLevelType w:val="hybridMultilevel"/>
    <w:tmpl w:val="D9D6968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BA205DE"/>
    <w:multiLevelType w:val="multilevel"/>
    <w:tmpl w:val="00EEF6A2"/>
    <w:lvl w:ilvl="0">
      <w:start w:val="1"/>
      <w:numFmt w:val="upperLetter"/>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DE9571E"/>
    <w:multiLevelType w:val="hybridMultilevel"/>
    <w:tmpl w:val="2BE0ACDA"/>
    <w:lvl w:ilvl="0" w:tplc="D904F0F8">
      <w:start w:val="1"/>
      <w:numFmt w:val="upperRoman"/>
      <w:pStyle w:val="AnexoNiv1"/>
      <w:lvlText w:val="A.%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F4F03"/>
    <w:multiLevelType w:val="multilevel"/>
    <w:tmpl w:val="18E8D2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Heading2"/>
      <w:lvlText w:val="%1.%2.%3.%4."/>
      <w:lvlJc w:val="left"/>
      <w:pPr>
        <w:ind w:left="1134" w:hanging="5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F535EE9"/>
    <w:multiLevelType w:val="hybridMultilevel"/>
    <w:tmpl w:val="083890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EB1F62"/>
    <w:multiLevelType w:val="hybridMultilevel"/>
    <w:tmpl w:val="7924D0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C492055"/>
    <w:multiLevelType w:val="hybridMultilevel"/>
    <w:tmpl w:val="AF88A572"/>
    <w:lvl w:ilvl="0" w:tplc="ADD0B1B6">
      <w:start w:val="1"/>
      <w:numFmt w:val="upperLetter"/>
      <w:pStyle w:val="AnexosNiv2"/>
      <w:lvlText w:val="a. %1 "/>
      <w:lvlJc w:val="left"/>
      <w:pPr>
        <w:ind w:left="1080" w:hanging="360"/>
      </w:pPr>
      <w:rPr>
        <w:rFonts w:hint="default"/>
        <w:b/>
        <w:i w:val="0"/>
        <w:caps/>
      </w:rPr>
    </w:lvl>
    <w:lvl w:ilvl="1" w:tplc="04090019">
      <w:start w:val="1"/>
      <w:numFmt w:val="lowerLetter"/>
      <w:pStyle w:val="AnexosNiv2"/>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pStyle w:val="AnexosNiv2"/>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2B019C"/>
    <w:multiLevelType w:val="hybridMultilevel"/>
    <w:tmpl w:val="B46410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5885866"/>
    <w:multiLevelType w:val="hybridMultilevel"/>
    <w:tmpl w:val="7CF43600"/>
    <w:lvl w:ilvl="0" w:tplc="1EEEEF86">
      <w:start w:val="1"/>
      <w:numFmt w:val="lowerRoman"/>
      <w:pStyle w:val="MarcadorSmboloNvel1"/>
      <w:lvlText w:val="(%1)"/>
      <w:lvlJc w:val="left"/>
      <w:pPr>
        <w:tabs>
          <w:tab w:val="num" w:pos="862"/>
        </w:tabs>
        <w:ind w:left="822" w:hanging="396"/>
      </w:pPr>
      <w:rPr>
        <w:rFonts w:ascii="Arial" w:eastAsia="Times New Roman" w:hAnsi="Arial" w:cs="Gautami"/>
        <w:color w:val="003366"/>
      </w:rPr>
    </w:lvl>
    <w:lvl w:ilvl="1" w:tplc="04090003">
      <w:start w:val="1"/>
      <w:numFmt w:val="bullet"/>
      <w:lvlText w:val="o"/>
      <w:lvlJc w:val="left"/>
      <w:pPr>
        <w:tabs>
          <w:tab w:val="num" w:pos="1326"/>
        </w:tabs>
        <w:ind w:left="1326" w:hanging="360"/>
      </w:pPr>
      <w:rPr>
        <w:rFonts w:ascii="Courier New" w:hAnsi="Courier New" w:hint="default"/>
      </w:rPr>
    </w:lvl>
    <w:lvl w:ilvl="2" w:tplc="04090005" w:tentative="1">
      <w:start w:val="1"/>
      <w:numFmt w:val="bullet"/>
      <w:lvlText w:val=""/>
      <w:lvlJc w:val="left"/>
      <w:pPr>
        <w:tabs>
          <w:tab w:val="num" w:pos="2046"/>
        </w:tabs>
        <w:ind w:left="2046" w:hanging="360"/>
      </w:pPr>
      <w:rPr>
        <w:rFonts w:ascii="Wingdings" w:hAnsi="Wingdings" w:hint="default"/>
      </w:rPr>
    </w:lvl>
    <w:lvl w:ilvl="3" w:tplc="04090001" w:tentative="1">
      <w:start w:val="1"/>
      <w:numFmt w:val="bullet"/>
      <w:lvlText w:val=""/>
      <w:lvlJc w:val="left"/>
      <w:pPr>
        <w:tabs>
          <w:tab w:val="num" w:pos="2766"/>
        </w:tabs>
        <w:ind w:left="2766" w:hanging="360"/>
      </w:pPr>
      <w:rPr>
        <w:rFonts w:ascii="Symbol" w:hAnsi="Symbol" w:hint="default"/>
      </w:rPr>
    </w:lvl>
    <w:lvl w:ilvl="4" w:tplc="04090003" w:tentative="1">
      <w:start w:val="1"/>
      <w:numFmt w:val="bullet"/>
      <w:lvlText w:val="o"/>
      <w:lvlJc w:val="left"/>
      <w:pPr>
        <w:tabs>
          <w:tab w:val="num" w:pos="3486"/>
        </w:tabs>
        <w:ind w:left="3486" w:hanging="360"/>
      </w:pPr>
      <w:rPr>
        <w:rFonts w:ascii="Courier New" w:hAnsi="Courier New" w:hint="default"/>
      </w:rPr>
    </w:lvl>
    <w:lvl w:ilvl="5" w:tplc="04090005" w:tentative="1">
      <w:start w:val="1"/>
      <w:numFmt w:val="bullet"/>
      <w:lvlText w:val=""/>
      <w:lvlJc w:val="left"/>
      <w:pPr>
        <w:tabs>
          <w:tab w:val="num" w:pos="4206"/>
        </w:tabs>
        <w:ind w:left="4206" w:hanging="360"/>
      </w:pPr>
      <w:rPr>
        <w:rFonts w:ascii="Wingdings" w:hAnsi="Wingdings" w:hint="default"/>
      </w:rPr>
    </w:lvl>
    <w:lvl w:ilvl="6" w:tplc="04090001" w:tentative="1">
      <w:start w:val="1"/>
      <w:numFmt w:val="bullet"/>
      <w:lvlText w:val=""/>
      <w:lvlJc w:val="left"/>
      <w:pPr>
        <w:tabs>
          <w:tab w:val="num" w:pos="4926"/>
        </w:tabs>
        <w:ind w:left="4926" w:hanging="360"/>
      </w:pPr>
      <w:rPr>
        <w:rFonts w:ascii="Symbol" w:hAnsi="Symbol" w:hint="default"/>
      </w:rPr>
    </w:lvl>
    <w:lvl w:ilvl="7" w:tplc="04090003" w:tentative="1">
      <w:start w:val="1"/>
      <w:numFmt w:val="bullet"/>
      <w:lvlText w:val="o"/>
      <w:lvlJc w:val="left"/>
      <w:pPr>
        <w:tabs>
          <w:tab w:val="num" w:pos="5646"/>
        </w:tabs>
        <w:ind w:left="5646" w:hanging="360"/>
      </w:pPr>
      <w:rPr>
        <w:rFonts w:ascii="Courier New" w:hAnsi="Courier New" w:hint="default"/>
      </w:rPr>
    </w:lvl>
    <w:lvl w:ilvl="8" w:tplc="04090005" w:tentative="1">
      <w:start w:val="1"/>
      <w:numFmt w:val="bullet"/>
      <w:lvlText w:val=""/>
      <w:lvlJc w:val="left"/>
      <w:pPr>
        <w:tabs>
          <w:tab w:val="num" w:pos="6366"/>
        </w:tabs>
        <w:ind w:left="6366" w:hanging="360"/>
      </w:pPr>
      <w:rPr>
        <w:rFonts w:ascii="Wingdings" w:hAnsi="Wingdings" w:hint="default"/>
      </w:rPr>
    </w:lvl>
  </w:abstractNum>
  <w:abstractNum w:abstractNumId="12">
    <w:nsid w:val="36F107F1"/>
    <w:multiLevelType w:val="hybridMultilevel"/>
    <w:tmpl w:val="346434B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380D7F21"/>
    <w:multiLevelType w:val="hybridMultilevel"/>
    <w:tmpl w:val="B88674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A4222D4"/>
    <w:multiLevelType w:val="hybridMultilevel"/>
    <w:tmpl w:val="C3FAEA06"/>
    <w:lvl w:ilvl="0" w:tplc="9C62FAAA">
      <w:start w:val="1"/>
      <w:numFmt w:val="bullet"/>
      <w:pStyle w:val="vietas1"/>
      <w:lvlText w:val=""/>
      <w:lvlJc w:val="left"/>
      <w:pPr>
        <w:tabs>
          <w:tab w:val="num" w:pos="720"/>
        </w:tabs>
        <w:ind w:left="720" w:hanging="360"/>
      </w:pPr>
      <w:rPr>
        <w:rFonts w:ascii="Wingdings" w:hAnsi="Wingdings" w:hint="default"/>
        <w:color w:val="339966"/>
        <w:sz w:val="16"/>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3A836D86"/>
    <w:multiLevelType w:val="hybridMultilevel"/>
    <w:tmpl w:val="E36889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E5A36B6"/>
    <w:multiLevelType w:val="hybridMultilevel"/>
    <w:tmpl w:val="467C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30686F"/>
    <w:multiLevelType w:val="multilevel"/>
    <w:tmpl w:val="00EEF6A2"/>
    <w:lvl w:ilvl="0">
      <w:start w:val="1"/>
      <w:numFmt w:val="upperLetter"/>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468F119C"/>
    <w:multiLevelType w:val="hybridMultilevel"/>
    <w:tmpl w:val="6836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CA0108"/>
    <w:multiLevelType w:val="hybridMultilevel"/>
    <w:tmpl w:val="8F10BF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578A24C3"/>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F103492"/>
    <w:multiLevelType w:val="hybridMultilevel"/>
    <w:tmpl w:val="C52CD138"/>
    <w:lvl w:ilvl="0" w:tplc="4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nsid w:val="605746CA"/>
    <w:multiLevelType w:val="multilevel"/>
    <w:tmpl w:val="B2A05A10"/>
    <w:lvl w:ilvl="0">
      <w:start w:val="1"/>
      <w:numFmt w:val="upperLetter"/>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6DF06411"/>
    <w:multiLevelType w:val="hybridMultilevel"/>
    <w:tmpl w:val="4DDEB63E"/>
    <w:lvl w:ilvl="0" w:tplc="2C0A0015">
      <w:start w:val="1"/>
      <w:numFmt w:val="upp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4">
    <w:nsid w:val="6E11447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6F747E1A"/>
    <w:multiLevelType w:val="hybridMultilevel"/>
    <w:tmpl w:val="BC9C36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74762A63"/>
    <w:multiLevelType w:val="multilevel"/>
    <w:tmpl w:val="89BEBD46"/>
    <w:lvl w:ilvl="0">
      <w:start w:val="1"/>
      <w:numFmt w:val="decimal"/>
      <w:pStyle w:val="BulletNum"/>
      <w:lvlText w:val="%1."/>
      <w:lvlJc w:val="left"/>
      <w:pPr>
        <w:ind w:left="928" w:hanging="360"/>
      </w:pPr>
      <w:rPr>
        <w:rFonts w:hint="default"/>
        <w:b/>
        <w:i w:val="0"/>
      </w:rPr>
    </w:lvl>
    <w:lvl w:ilvl="1">
      <w:start w:val="1"/>
      <w:numFmt w:val="lowerLetter"/>
      <w:lvlText w:val="%2."/>
      <w:lvlJc w:val="left"/>
      <w:pPr>
        <w:ind w:left="1070" w:hanging="360"/>
      </w:pPr>
      <w:rPr>
        <w:rFonts w:hint="default"/>
        <w:b/>
      </w:rPr>
    </w:lvl>
    <w:lvl w:ilvl="2">
      <w:start w:val="1"/>
      <w:numFmt w:val="upperRoman"/>
      <w:lvlText w:val="%3."/>
      <w:lvlJc w:val="right"/>
      <w:pPr>
        <w:ind w:left="1440" w:hanging="360"/>
      </w:pPr>
      <w:rPr>
        <w:rFonts w:hint="default"/>
        <w:b/>
        <w:i w:val="0"/>
      </w:rPr>
    </w:lvl>
    <w:lvl w:ilvl="3">
      <w:start w:val="1"/>
      <w:numFmt w:val="decimal"/>
      <w:lvlText w:val="%4."/>
      <w:lvlJc w:val="left"/>
      <w:pPr>
        <w:ind w:left="1800" w:hanging="360"/>
      </w:pPr>
      <w:rPr>
        <w:rFonts w:hint="default"/>
        <w:b/>
        <w:i w:val="0"/>
      </w:rPr>
    </w:lvl>
    <w:lvl w:ilvl="4">
      <w:start w:val="1"/>
      <w:numFmt w:val="lowerLetter"/>
      <w:lvlText w:val="%5."/>
      <w:lvlJc w:val="left"/>
      <w:pPr>
        <w:ind w:left="2160" w:hanging="360"/>
      </w:pPr>
      <w:rPr>
        <w:rFonts w:hint="default"/>
        <w:b/>
        <w:i w:val="0"/>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7">
    <w:nsid w:val="79AE58A8"/>
    <w:multiLevelType w:val="hybridMultilevel"/>
    <w:tmpl w:val="D4789C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7D417076"/>
    <w:multiLevelType w:val="hybridMultilevel"/>
    <w:tmpl w:val="78DACB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4"/>
  </w:num>
  <w:num w:numId="5">
    <w:abstractNumId w:val="24"/>
  </w:num>
  <w:num w:numId="6">
    <w:abstractNumId w:val="11"/>
  </w:num>
  <w:num w:numId="7">
    <w:abstractNumId w:val="26"/>
  </w:num>
  <w:num w:numId="8">
    <w:abstractNumId w:val="1"/>
  </w:num>
  <w:num w:numId="9">
    <w:abstractNumId w:val="6"/>
  </w:num>
  <w:num w:numId="10">
    <w:abstractNumId w:val="19"/>
  </w:num>
  <w:num w:numId="11">
    <w:abstractNumId w:val="3"/>
  </w:num>
  <w:num w:numId="12">
    <w:abstractNumId w:val="13"/>
  </w:num>
  <w:num w:numId="13">
    <w:abstractNumId w:val="10"/>
  </w:num>
  <w:num w:numId="14">
    <w:abstractNumId w:val="12"/>
  </w:num>
  <w:num w:numId="15">
    <w:abstractNumId w:val="16"/>
  </w:num>
  <w:num w:numId="16">
    <w:abstractNumId w:val="18"/>
  </w:num>
  <w:num w:numId="17">
    <w:abstractNumId w:val="1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5"/>
  </w:num>
  <w:num w:numId="23">
    <w:abstractNumId w:val="23"/>
  </w:num>
  <w:num w:numId="24">
    <w:abstractNumId w:val="2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2"/>
  </w:num>
  <w:num w:numId="39">
    <w:abstractNumId w:val="17"/>
  </w:num>
  <w:num w:numId="40">
    <w:abstractNumId w:val="4"/>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Rodriguez Pardina">
    <w15:presenceInfo w15:providerId="Windows Live" w15:userId="3e5e74dcb0735a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81"/>
    <w:rsid w:val="00000239"/>
    <w:rsid w:val="0000085A"/>
    <w:rsid w:val="000013B7"/>
    <w:rsid w:val="000013D6"/>
    <w:rsid w:val="00001D4D"/>
    <w:rsid w:val="0000216B"/>
    <w:rsid w:val="00002C21"/>
    <w:rsid w:val="00002E87"/>
    <w:rsid w:val="00002EE3"/>
    <w:rsid w:val="0000331C"/>
    <w:rsid w:val="00004ACC"/>
    <w:rsid w:val="00005206"/>
    <w:rsid w:val="000060A4"/>
    <w:rsid w:val="00006CFE"/>
    <w:rsid w:val="00006E0B"/>
    <w:rsid w:val="00006FA1"/>
    <w:rsid w:val="00007974"/>
    <w:rsid w:val="00011259"/>
    <w:rsid w:val="000116CE"/>
    <w:rsid w:val="00011795"/>
    <w:rsid w:val="00011992"/>
    <w:rsid w:val="000123E0"/>
    <w:rsid w:val="00012ED4"/>
    <w:rsid w:val="000130DA"/>
    <w:rsid w:val="00013CF9"/>
    <w:rsid w:val="000143AB"/>
    <w:rsid w:val="000151E4"/>
    <w:rsid w:val="00015D21"/>
    <w:rsid w:val="00016D9E"/>
    <w:rsid w:val="0001700D"/>
    <w:rsid w:val="00017028"/>
    <w:rsid w:val="0001714B"/>
    <w:rsid w:val="000172F3"/>
    <w:rsid w:val="0001783B"/>
    <w:rsid w:val="00017D11"/>
    <w:rsid w:val="00017F95"/>
    <w:rsid w:val="000209B8"/>
    <w:rsid w:val="00020C41"/>
    <w:rsid w:val="00020E68"/>
    <w:rsid w:val="00021778"/>
    <w:rsid w:val="00022D1E"/>
    <w:rsid w:val="00022F0D"/>
    <w:rsid w:val="000235D0"/>
    <w:rsid w:val="0002391A"/>
    <w:rsid w:val="00023C67"/>
    <w:rsid w:val="000244EF"/>
    <w:rsid w:val="000249C3"/>
    <w:rsid w:val="00024E45"/>
    <w:rsid w:val="00025580"/>
    <w:rsid w:val="000263F3"/>
    <w:rsid w:val="00026CF6"/>
    <w:rsid w:val="000276CA"/>
    <w:rsid w:val="000277B6"/>
    <w:rsid w:val="000304F2"/>
    <w:rsid w:val="00030B7D"/>
    <w:rsid w:val="00031530"/>
    <w:rsid w:val="0003163E"/>
    <w:rsid w:val="00032EE4"/>
    <w:rsid w:val="000334B6"/>
    <w:rsid w:val="00033CCA"/>
    <w:rsid w:val="00033D82"/>
    <w:rsid w:val="00033DAA"/>
    <w:rsid w:val="00034202"/>
    <w:rsid w:val="000343F4"/>
    <w:rsid w:val="00035220"/>
    <w:rsid w:val="00035ACB"/>
    <w:rsid w:val="00036173"/>
    <w:rsid w:val="000363C1"/>
    <w:rsid w:val="0003709F"/>
    <w:rsid w:val="0003721E"/>
    <w:rsid w:val="0003799D"/>
    <w:rsid w:val="0004065E"/>
    <w:rsid w:val="00040F49"/>
    <w:rsid w:val="00041363"/>
    <w:rsid w:val="00041380"/>
    <w:rsid w:val="0004171B"/>
    <w:rsid w:val="0004269C"/>
    <w:rsid w:val="000435DB"/>
    <w:rsid w:val="00043FB5"/>
    <w:rsid w:val="0004479D"/>
    <w:rsid w:val="00044DD3"/>
    <w:rsid w:val="00044F5B"/>
    <w:rsid w:val="000457EF"/>
    <w:rsid w:val="00045CAF"/>
    <w:rsid w:val="00045CBB"/>
    <w:rsid w:val="00045F45"/>
    <w:rsid w:val="00046353"/>
    <w:rsid w:val="00046448"/>
    <w:rsid w:val="00047747"/>
    <w:rsid w:val="000507AB"/>
    <w:rsid w:val="00054614"/>
    <w:rsid w:val="00054CDD"/>
    <w:rsid w:val="00055126"/>
    <w:rsid w:val="00055614"/>
    <w:rsid w:val="00055F14"/>
    <w:rsid w:val="00057176"/>
    <w:rsid w:val="00057B57"/>
    <w:rsid w:val="00057C24"/>
    <w:rsid w:val="00060C87"/>
    <w:rsid w:val="00060FAA"/>
    <w:rsid w:val="000629EF"/>
    <w:rsid w:val="00062F03"/>
    <w:rsid w:val="00063721"/>
    <w:rsid w:val="00063FBF"/>
    <w:rsid w:val="00065115"/>
    <w:rsid w:val="0006562E"/>
    <w:rsid w:val="000656D7"/>
    <w:rsid w:val="00065828"/>
    <w:rsid w:val="00065A80"/>
    <w:rsid w:val="000665D9"/>
    <w:rsid w:val="000667BE"/>
    <w:rsid w:val="000668DE"/>
    <w:rsid w:val="00066BD4"/>
    <w:rsid w:val="00066FE4"/>
    <w:rsid w:val="00067319"/>
    <w:rsid w:val="000678D3"/>
    <w:rsid w:val="00067E37"/>
    <w:rsid w:val="00070034"/>
    <w:rsid w:val="0007076B"/>
    <w:rsid w:val="00071660"/>
    <w:rsid w:val="00071754"/>
    <w:rsid w:val="00071FEB"/>
    <w:rsid w:val="000728B9"/>
    <w:rsid w:val="00072B9D"/>
    <w:rsid w:val="00073DCF"/>
    <w:rsid w:val="0007423C"/>
    <w:rsid w:val="000747AE"/>
    <w:rsid w:val="00074842"/>
    <w:rsid w:val="00074CE2"/>
    <w:rsid w:val="00074DC8"/>
    <w:rsid w:val="00074F1B"/>
    <w:rsid w:val="000750AB"/>
    <w:rsid w:val="000757E8"/>
    <w:rsid w:val="00075835"/>
    <w:rsid w:val="00076E15"/>
    <w:rsid w:val="000771F6"/>
    <w:rsid w:val="000775B3"/>
    <w:rsid w:val="0008054E"/>
    <w:rsid w:val="00080A68"/>
    <w:rsid w:val="00081437"/>
    <w:rsid w:val="00081D72"/>
    <w:rsid w:val="00081F54"/>
    <w:rsid w:val="00082787"/>
    <w:rsid w:val="00082A6A"/>
    <w:rsid w:val="00082D27"/>
    <w:rsid w:val="00082FE4"/>
    <w:rsid w:val="0008300E"/>
    <w:rsid w:val="00084A64"/>
    <w:rsid w:val="0008618F"/>
    <w:rsid w:val="0008639F"/>
    <w:rsid w:val="000867DD"/>
    <w:rsid w:val="00086C3D"/>
    <w:rsid w:val="00087230"/>
    <w:rsid w:val="000872C2"/>
    <w:rsid w:val="00087545"/>
    <w:rsid w:val="000900BE"/>
    <w:rsid w:val="000902EF"/>
    <w:rsid w:val="0009037B"/>
    <w:rsid w:val="000907F1"/>
    <w:rsid w:val="00090BE7"/>
    <w:rsid w:val="00090E48"/>
    <w:rsid w:val="000910C3"/>
    <w:rsid w:val="0009131D"/>
    <w:rsid w:val="00091846"/>
    <w:rsid w:val="00091AE2"/>
    <w:rsid w:val="0009243D"/>
    <w:rsid w:val="000924F9"/>
    <w:rsid w:val="000928C9"/>
    <w:rsid w:val="000930F4"/>
    <w:rsid w:val="00093FAC"/>
    <w:rsid w:val="00094F33"/>
    <w:rsid w:val="0009512D"/>
    <w:rsid w:val="00095358"/>
    <w:rsid w:val="000953E2"/>
    <w:rsid w:val="0009634F"/>
    <w:rsid w:val="000966BC"/>
    <w:rsid w:val="00096E11"/>
    <w:rsid w:val="000A01E2"/>
    <w:rsid w:val="000A043B"/>
    <w:rsid w:val="000A0606"/>
    <w:rsid w:val="000A0F83"/>
    <w:rsid w:val="000A12AB"/>
    <w:rsid w:val="000A1C95"/>
    <w:rsid w:val="000A1DBC"/>
    <w:rsid w:val="000A2132"/>
    <w:rsid w:val="000A216F"/>
    <w:rsid w:val="000A3D0C"/>
    <w:rsid w:val="000A3F01"/>
    <w:rsid w:val="000A4239"/>
    <w:rsid w:val="000A47E9"/>
    <w:rsid w:val="000A53A0"/>
    <w:rsid w:val="000A5A66"/>
    <w:rsid w:val="000A6DB9"/>
    <w:rsid w:val="000A6FA3"/>
    <w:rsid w:val="000A7307"/>
    <w:rsid w:val="000A733C"/>
    <w:rsid w:val="000B0685"/>
    <w:rsid w:val="000B078F"/>
    <w:rsid w:val="000B08A9"/>
    <w:rsid w:val="000B0C1F"/>
    <w:rsid w:val="000B2AA2"/>
    <w:rsid w:val="000B2B29"/>
    <w:rsid w:val="000B31CC"/>
    <w:rsid w:val="000B439D"/>
    <w:rsid w:val="000B59E0"/>
    <w:rsid w:val="000B5CC6"/>
    <w:rsid w:val="000B7387"/>
    <w:rsid w:val="000B7C61"/>
    <w:rsid w:val="000B7E78"/>
    <w:rsid w:val="000C00A3"/>
    <w:rsid w:val="000C0600"/>
    <w:rsid w:val="000C0D34"/>
    <w:rsid w:val="000C1570"/>
    <w:rsid w:val="000C1D2F"/>
    <w:rsid w:val="000C2648"/>
    <w:rsid w:val="000C266C"/>
    <w:rsid w:val="000C3085"/>
    <w:rsid w:val="000C35B2"/>
    <w:rsid w:val="000C36BE"/>
    <w:rsid w:val="000C37ED"/>
    <w:rsid w:val="000C37F5"/>
    <w:rsid w:val="000C3C79"/>
    <w:rsid w:val="000C5009"/>
    <w:rsid w:val="000C53D2"/>
    <w:rsid w:val="000C5ADA"/>
    <w:rsid w:val="000C5CD9"/>
    <w:rsid w:val="000C5F32"/>
    <w:rsid w:val="000C5F91"/>
    <w:rsid w:val="000C65AC"/>
    <w:rsid w:val="000C65D1"/>
    <w:rsid w:val="000C6A8F"/>
    <w:rsid w:val="000C6D4F"/>
    <w:rsid w:val="000C6E34"/>
    <w:rsid w:val="000C711D"/>
    <w:rsid w:val="000D02F4"/>
    <w:rsid w:val="000D047D"/>
    <w:rsid w:val="000D0BD5"/>
    <w:rsid w:val="000D0E62"/>
    <w:rsid w:val="000D17BC"/>
    <w:rsid w:val="000D1DA4"/>
    <w:rsid w:val="000D2080"/>
    <w:rsid w:val="000D2205"/>
    <w:rsid w:val="000D3865"/>
    <w:rsid w:val="000D397E"/>
    <w:rsid w:val="000D4F02"/>
    <w:rsid w:val="000D537B"/>
    <w:rsid w:val="000D5C1C"/>
    <w:rsid w:val="000D6403"/>
    <w:rsid w:val="000D6572"/>
    <w:rsid w:val="000D6AA6"/>
    <w:rsid w:val="000D6F35"/>
    <w:rsid w:val="000D7324"/>
    <w:rsid w:val="000D7884"/>
    <w:rsid w:val="000D7965"/>
    <w:rsid w:val="000E0074"/>
    <w:rsid w:val="000E01E1"/>
    <w:rsid w:val="000E072C"/>
    <w:rsid w:val="000E091E"/>
    <w:rsid w:val="000E0BB0"/>
    <w:rsid w:val="000E15FB"/>
    <w:rsid w:val="000E1992"/>
    <w:rsid w:val="000E1C14"/>
    <w:rsid w:val="000E1F26"/>
    <w:rsid w:val="000E2EFC"/>
    <w:rsid w:val="000E331A"/>
    <w:rsid w:val="000E39F2"/>
    <w:rsid w:val="000E3BAE"/>
    <w:rsid w:val="000E454E"/>
    <w:rsid w:val="000E4A14"/>
    <w:rsid w:val="000E54FC"/>
    <w:rsid w:val="000E5A18"/>
    <w:rsid w:val="000F064D"/>
    <w:rsid w:val="000F0B50"/>
    <w:rsid w:val="000F0DAC"/>
    <w:rsid w:val="000F1006"/>
    <w:rsid w:val="000F12D3"/>
    <w:rsid w:val="000F230D"/>
    <w:rsid w:val="000F26D0"/>
    <w:rsid w:val="000F3828"/>
    <w:rsid w:val="000F4336"/>
    <w:rsid w:val="000F4B78"/>
    <w:rsid w:val="000F571D"/>
    <w:rsid w:val="000F6598"/>
    <w:rsid w:val="000F6929"/>
    <w:rsid w:val="000F6BA0"/>
    <w:rsid w:val="000F6BA3"/>
    <w:rsid w:val="000F6DEF"/>
    <w:rsid w:val="000F6E16"/>
    <w:rsid w:val="001002EB"/>
    <w:rsid w:val="00100393"/>
    <w:rsid w:val="001004DE"/>
    <w:rsid w:val="00100986"/>
    <w:rsid w:val="00101178"/>
    <w:rsid w:val="00101660"/>
    <w:rsid w:val="00101D05"/>
    <w:rsid w:val="00101EBB"/>
    <w:rsid w:val="0010286E"/>
    <w:rsid w:val="00102BB7"/>
    <w:rsid w:val="00103904"/>
    <w:rsid w:val="00103C9F"/>
    <w:rsid w:val="001043D1"/>
    <w:rsid w:val="001044F8"/>
    <w:rsid w:val="00104887"/>
    <w:rsid w:val="00104DFF"/>
    <w:rsid w:val="001051B5"/>
    <w:rsid w:val="00106AF8"/>
    <w:rsid w:val="00107D6E"/>
    <w:rsid w:val="00107EB4"/>
    <w:rsid w:val="00110026"/>
    <w:rsid w:val="001113A3"/>
    <w:rsid w:val="00112357"/>
    <w:rsid w:val="0011277F"/>
    <w:rsid w:val="00112B1E"/>
    <w:rsid w:val="00112C63"/>
    <w:rsid w:val="0011354B"/>
    <w:rsid w:val="00113761"/>
    <w:rsid w:val="00113A78"/>
    <w:rsid w:val="00113C3E"/>
    <w:rsid w:val="00114395"/>
    <w:rsid w:val="00114476"/>
    <w:rsid w:val="001159DC"/>
    <w:rsid w:val="001161DE"/>
    <w:rsid w:val="00116771"/>
    <w:rsid w:val="00116ACB"/>
    <w:rsid w:val="0011797E"/>
    <w:rsid w:val="001200E7"/>
    <w:rsid w:val="00120C6C"/>
    <w:rsid w:val="00122187"/>
    <w:rsid w:val="00122472"/>
    <w:rsid w:val="0012303B"/>
    <w:rsid w:val="001232D9"/>
    <w:rsid w:val="00125374"/>
    <w:rsid w:val="001254B5"/>
    <w:rsid w:val="00125D8E"/>
    <w:rsid w:val="00125D9B"/>
    <w:rsid w:val="00125FD2"/>
    <w:rsid w:val="00126985"/>
    <w:rsid w:val="001275E8"/>
    <w:rsid w:val="00127D2C"/>
    <w:rsid w:val="00130029"/>
    <w:rsid w:val="0013013B"/>
    <w:rsid w:val="00130CFF"/>
    <w:rsid w:val="00132079"/>
    <w:rsid w:val="00132261"/>
    <w:rsid w:val="001329DC"/>
    <w:rsid w:val="001334CB"/>
    <w:rsid w:val="00134023"/>
    <w:rsid w:val="00134410"/>
    <w:rsid w:val="00134E66"/>
    <w:rsid w:val="00135C31"/>
    <w:rsid w:val="00136091"/>
    <w:rsid w:val="001365CA"/>
    <w:rsid w:val="00136CCF"/>
    <w:rsid w:val="00136EC7"/>
    <w:rsid w:val="00137F7A"/>
    <w:rsid w:val="001410B1"/>
    <w:rsid w:val="0014136C"/>
    <w:rsid w:val="001414EF"/>
    <w:rsid w:val="001416A6"/>
    <w:rsid w:val="001418E2"/>
    <w:rsid w:val="001420AB"/>
    <w:rsid w:val="001422FA"/>
    <w:rsid w:val="00142627"/>
    <w:rsid w:val="00142D02"/>
    <w:rsid w:val="00143097"/>
    <w:rsid w:val="00143530"/>
    <w:rsid w:val="00143DFA"/>
    <w:rsid w:val="001440E1"/>
    <w:rsid w:val="00144109"/>
    <w:rsid w:val="001455B4"/>
    <w:rsid w:val="00145C09"/>
    <w:rsid w:val="00146CEB"/>
    <w:rsid w:val="0014701D"/>
    <w:rsid w:val="00147409"/>
    <w:rsid w:val="00147A61"/>
    <w:rsid w:val="0015014E"/>
    <w:rsid w:val="0015186E"/>
    <w:rsid w:val="00152657"/>
    <w:rsid w:val="00154AD5"/>
    <w:rsid w:val="001552A0"/>
    <w:rsid w:val="001552FC"/>
    <w:rsid w:val="001553A6"/>
    <w:rsid w:val="001558CB"/>
    <w:rsid w:val="00155F87"/>
    <w:rsid w:val="0015648D"/>
    <w:rsid w:val="001564E9"/>
    <w:rsid w:val="00156ACB"/>
    <w:rsid w:val="00156F80"/>
    <w:rsid w:val="001570D3"/>
    <w:rsid w:val="001575D7"/>
    <w:rsid w:val="00157C0A"/>
    <w:rsid w:val="00157D43"/>
    <w:rsid w:val="00160310"/>
    <w:rsid w:val="001606A0"/>
    <w:rsid w:val="00161027"/>
    <w:rsid w:val="0016170F"/>
    <w:rsid w:val="00161B72"/>
    <w:rsid w:val="00162622"/>
    <w:rsid w:val="001630A5"/>
    <w:rsid w:val="00163432"/>
    <w:rsid w:val="00163493"/>
    <w:rsid w:val="001642F9"/>
    <w:rsid w:val="001649E2"/>
    <w:rsid w:val="0016619C"/>
    <w:rsid w:val="001669A1"/>
    <w:rsid w:val="00166E3E"/>
    <w:rsid w:val="001677C0"/>
    <w:rsid w:val="00167ACC"/>
    <w:rsid w:val="00167B59"/>
    <w:rsid w:val="00167C5F"/>
    <w:rsid w:val="0017055F"/>
    <w:rsid w:val="00171358"/>
    <w:rsid w:val="00171556"/>
    <w:rsid w:val="001722C2"/>
    <w:rsid w:val="00172A1D"/>
    <w:rsid w:val="00173586"/>
    <w:rsid w:val="001748A0"/>
    <w:rsid w:val="00175451"/>
    <w:rsid w:val="0017598B"/>
    <w:rsid w:val="00176048"/>
    <w:rsid w:val="0017611F"/>
    <w:rsid w:val="0017659F"/>
    <w:rsid w:val="00177CF8"/>
    <w:rsid w:val="0018113B"/>
    <w:rsid w:val="001816F3"/>
    <w:rsid w:val="00181C95"/>
    <w:rsid w:val="00182453"/>
    <w:rsid w:val="00182DE4"/>
    <w:rsid w:val="0018366A"/>
    <w:rsid w:val="00183B4D"/>
    <w:rsid w:val="001846E0"/>
    <w:rsid w:val="001846FF"/>
    <w:rsid w:val="001848DB"/>
    <w:rsid w:val="00184B22"/>
    <w:rsid w:val="00185D88"/>
    <w:rsid w:val="0018607C"/>
    <w:rsid w:val="001873CC"/>
    <w:rsid w:val="00187909"/>
    <w:rsid w:val="00187B6F"/>
    <w:rsid w:val="00187FE7"/>
    <w:rsid w:val="001903C0"/>
    <w:rsid w:val="0019068E"/>
    <w:rsid w:val="001913A0"/>
    <w:rsid w:val="00191495"/>
    <w:rsid w:val="001914BA"/>
    <w:rsid w:val="00191E05"/>
    <w:rsid w:val="00193091"/>
    <w:rsid w:val="0019322C"/>
    <w:rsid w:val="00193690"/>
    <w:rsid w:val="00193CCA"/>
    <w:rsid w:val="00195322"/>
    <w:rsid w:val="001954EB"/>
    <w:rsid w:val="00195ACF"/>
    <w:rsid w:val="00195D47"/>
    <w:rsid w:val="00195FD8"/>
    <w:rsid w:val="00197563"/>
    <w:rsid w:val="001977FA"/>
    <w:rsid w:val="0019784D"/>
    <w:rsid w:val="00197B9F"/>
    <w:rsid w:val="001A0053"/>
    <w:rsid w:val="001A00FC"/>
    <w:rsid w:val="001A066F"/>
    <w:rsid w:val="001A079A"/>
    <w:rsid w:val="001A08FF"/>
    <w:rsid w:val="001A0BBA"/>
    <w:rsid w:val="001A152F"/>
    <w:rsid w:val="001A213D"/>
    <w:rsid w:val="001A2D3D"/>
    <w:rsid w:val="001A2D52"/>
    <w:rsid w:val="001A34A3"/>
    <w:rsid w:val="001A3DF3"/>
    <w:rsid w:val="001A5A14"/>
    <w:rsid w:val="001A5A37"/>
    <w:rsid w:val="001A5A40"/>
    <w:rsid w:val="001A639F"/>
    <w:rsid w:val="001A7CB1"/>
    <w:rsid w:val="001A7D71"/>
    <w:rsid w:val="001A7F33"/>
    <w:rsid w:val="001B11A5"/>
    <w:rsid w:val="001B15BD"/>
    <w:rsid w:val="001B20A1"/>
    <w:rsid w:val="001B419B"/>
    <w:rsid w:val="001B44FB"/>
    <w:rsid w:val="001B4C86"/>
    <w:rsid w:val="001B53EA"/>
    <w:rsid w:val="001B6037"/>
    <w:rsid w:val="001B60C9"/>
    <w:rsid w:val="001B6788"/>
    <w:rsid w:val="001B681E"/>
    <w:rsid w:val="001B6D99"/>
    <w:rsid w:val="001B7150"/>
    <w:rsid w:val="001B747E"/>
    <w:rsid w:val="001B78BB"/>
    <w:rsid w:val="001B7EFF"/>
    <w:rsid w:val="001C1005"/>
    <w:rsid w:val="001C190B"/>
    <w:rsid w:val="001C1A35"/>
    <w:rsid w:val="001C3A01"/>
    <w:rsid w:val="001C41B0"/>
    <w:rsid w:val="001C4547"/>
    <w:rsid w:val="001C45FB"/>
    <w:rsid w:val="001C4D95"/>
    <w:rsid w:val="001C5D69"/>
    <w:rsid w:val="001C6DE5"/>
    <w:rsid w:val="001C7857"/>
    <w:rsid w:val="001D125D"/>
    <w:rsid w:val="001D1CE4"/>
    <w:rsid w:val="001D3179"/>
    <w:rsid w:val="001D443F"/>
    <w:rsid w:val="001D4753"/>
    <w:rsid w:val="001D4AD6"/>
    <w:rsid w:val="001D586D"/>
    <w:rsid w:val="001D6964"/>
    <w:rsid w:val="001D7195"/>
    <w:rsid w:val="001D795B"/>
    <w:rsid w:val="001D7D1C"/>
    <w:rsid w:val="001E07B1"/>
    <w:rsid w:val="001E291B"/>
    <w:rsid w:val="001E36EC"/>
    <w:rsid w:val="001E3E35"/>
    <w:rsid w:val="001E4A8D"/>
    <w:rsid w:val="001E5528"/>
    <w:rsid w:val="001E5F5E"/>
    <w:rsid w:val="001E645E"/>
    <w:rsid w:val="001E70B8"/>
    <w:rsid w:val="001E756E"/>
    <w:rsid w:val="001E79B2"/>
    <w:rsid w:val="001E79DC"/>
    <w:rsid w:val="001E7EBC"/>
    <w:rsid w:val="001F05A5"/>
    <w:rsid w:val="001F0A71"/>
    <w:rsid w:val="001F0BA7"/>
    <w:rsid w:val="001F1B6D"/>
    <w:rsid w:val="001F2861"/>
    <w:rsid w:val="001F2C08"/>
    <w:rsid w:val="001F2D42"/>
    <w:rsid w:val="001F3648"/>
    <w:rsid w:val="001F3F9F"/>
    <w:rsid w:val="001F40AD"/>
    <w:rsid w:val="001F4327"/>
    <w:rsid w:val="001F4618"/>
    <w:rsid w:val="001F4731"/>
    <w:rsid w:val="001F51CC"/>
    <w:rsid w:val="001F666F"/>
    <w:rsid w:val="001F6975"/>
    <w:rsid w:val="001F6C9A"/>
    <w:rsid w:val="001F6F5E"/>
    <w:rsid w:val="002002C1"/>
    <w:rsid w:val="00200511"/>
    <w:rsid w:val="002019D1"/>
    <w:rsid w:val="002023C5"/>
    <w:rsid w:val="0020283B"/>
    <w:rsid w:val="00202BB8"/>
    <w:rsid w:val="0020370C"/>
    <w:rsid w:val="00203F9A"/>
    <w:rsid w:val="002040D9"/>
    <w:rsid w:val="00204530"/>
    <w:rsid w:val="00204D03"/>
    <w:rsid w:val="00204EA0"/>
    <w:rsid w:val="00205061"/>
    <w:rsid w:val="002050B5"/>
    <w:rsid w:val="002068DC"/>
    <w:rsid w:val="00206A5D"/>
    <w:rsid w:val="00206AB1"/>
    <w:rsid w:val="00206BB6"/>
    <w:rsid w:val="00206E15"/>
    <w:rsid w:val="00207400"/>
    <w:rsid w:val="00207C45"/>
    <w:rsid w:val="0021010A"/>
    <w:rsid w:val="002116E7"/>
    <w:rsid w:val="00211B00"/>
    <w:rsid w:val="00211FB5"/>
    <w:rsid w:val="00212CA6"/>
    <w:rsid w:val="00213254"/>
    <w:rsid w:val="00213814"/>
    <w:rsid w:val="00213B52"/>
    <w:rsid w:val="00213ECA"/>
    <w:rsid w:val="002147D1"/>
    <w:rsid w:val="00214A3B"/>
    <w:rsid w:val="00214BD4"/>
    <w:rsid w:val="00214DF1"/>
    <w:rsid w:val="002153D5"/>
    <w:rsid w:val="00215619"/>
    <w:rsid w:val="00215CE8"/>
    <w:rsid w:val="002160CA"/>
    <w:rsid w:val="00216243"/>
    <w:rsid w:val="00216599"/>
    <w:rsid w:val="00216F09"/>
    <w:rsid w:val="00217126"/>
    <w:rsid w:val="00220200"/>
    <w:rsid w:val="00220FFB"/>
    <w:rsid w:val="002213DC"/>
    <w:rsid w:val="00223425"/>
    <w:rsid w:val="00223626"/>
    <w:rsid w:val="00224D5F"/>
    <w:rsid w:val="00224E4C"/>
    <w:rsid w:val="00225FDA"/>
    <w:rsid w:val="00226088"/>
    <w:rsid w:val="002260AC"/>
    <w:rsid w:val="0022631A"/>
    <w:rsid w:val="00226CCC"/>
    <w:rsid w:val="00227411"/>
    <w:rsid w:val="0022755B"/>
    <w:rsid w:val="00227853"/>
    <w:rsid w:val="00230328"/>
    <w:rsid w:val="002305C4"/>
    <w:rsid w:val="00230B80"/>
    <w:rsid w:val="00230E66"/>
    <w:rsid w:val="00231CBA"/>
    <w:rsid w:val="00231F89"/>
    <w:rsid w:val="00232961"/>
    <w:rsid w:val="00232C71"/>
    <w:rsid w:val="0023385E"/>
    <w:rsid w:val="00234995"/>
    <w:rsid w:val="002354A7"/>
    <w:rsid w:val="00235672"/>
    <w:rsid w:val="00235C2D"/>
    <w:rsid w:val="00235C4E"/>
    <w:rsid w:val="00237ADF"/>
    <w:rsid w:val="00237BF2"/>
    <w:rsid w:val="002402F8"/>
    <w:rsid w:val="002406DA"/>
    <w:rsid w:val="00240D30"/>
    <w:rsid w:val="00241320"/>
    <w:rsid w:val="00241A17"/>
    <w:rsid w:val="00241CA0"/>
    <w:rsid w:val="0024249A"/>
    <w:rsid w:val="00243381"/>
    <w:rsid w:val="00243582"/>
    <w:rsid w:val="002435B8"/>
    <w:rsid w:val="0024362F"/>
    <w:rsid w:val="0024369A"/>
    <w:rsid w:val="002443DC"/>
    <w:rsid w:val="002444A2"/>
    <w:rsid w:val="00244615"/>
    <w:rsid w:val="00244670"/>
    <w:rsid w:val="002449AC"/>
    <w:rsid w:val="00244B8A"/>
    <w:rsid w:val="002456A9"/>
    <w:rsid w:val="00245B5F"/>
    <w:rsid w:val="00246034"/>
    <w:rsid w:val="002462F4"/>
    <w:rsid w:val="00246C9E"/>
    <w:rsid w:val="00246E7C"/>
    <w:rsid w:val="00246F23"/>
    <w:rsid w:val="00247676"/>
    <w:rsid w:val="00250216"/>
    <w:rsid w:val="00250331"/>
    <w:rsid w:val="00250F34"/>
    <w:rsid w:val="00251463"/>
    <w:rsid w:val="002518DB"/>
    <w:rsid w:val="00251BAB"/>
    <w:rsid w:val="00251BC3"/>
    <w:rsid w:val="00251D23"/>
    <w:rsid w:val="00251DE9"/>
    <w:rsid w:val="00253411"/>
    <w:rsid w:val="00253FDC"/>
    <w:rsid w:val="002545A5"/>
    <w:rsid w:val="002545D1"/>
    <w:rsid w:val="00255184"/>
    <w:rsid w:val="00255BBC"/>
    <w:rsid w:val="0025799D"/>
    <w:rsid w:val="0026063E"/>
    <w:rsid w:val="002616DD"/>
    <w:rsid w:val="00261A2C"/>
    <w:rsid w:val="00261C3A"/>
    <w:rsid w:val="0026207A"/>
    <w:rsid w:val="0026207D"/>
    <w:rsid w:val="002629E2"/>
    <w:rsid w:val="00262DC3"/>
    <w:rsid w:val="00263468"/>
    <w:rsid w:val="00263B5B"/>
    <w:rsid w:val="00263CE1"/>
    <w:rsid w:val="002647B4"/>
    <w:rsid w:val="002647CF"/>
    <w:rsid w:val="00264DDE"/>
    <w:rsid w:val="00264FED"/>
    <w:rsid w:val="002651EA"/>
    <w:rsid w:val="0026551B"/>
    <w:rsid w:val="00265A45"/>
    <w:rsid w:val="0026618F"/>
    <w:rsid w:val="0026742F"/>
    <w:rsid w:val="002674E6"/>
    <w:rsid w:val="00267735"/>
    <w:rsid w:val="0027036B"/>
    <w:rsid w:val="00270E3F"/>
    <w:rsid w:val="00270E95"/>
    <w:rsid w:val="00270FBF"/>
    <w:rsid w:val="00271451"/>
    <w:rsid w:val="002714A8"/>
    <w:rsid w:val="00271ABB"/>
    <w:rsid w:val="0027261D"/>
    <w:rsid w:val="002727E2"/>
    <w:rsid w:val="00272B2B"/>
    <w:rsid w:val="00272FCB"/>
    <w:rsid w:val="0027371F"/>
    <w:rsid w:val="00273B58"/>
    <w:rsid w:val="00273CCB"/>
    <w:rsid w:val="00273DEC"/>
    <w:rsid w:val="00274892"/>
    <w:rsid w:val="00274C5D"/>
    <w:rsid w:val="002758CF"/>
    <w:rsid w:val="00275A00"/>
    <w:rsid w:val="00275F35"/>
    <w:rsid w:val="00276157"/>
    <w:rsid w:val="00276F0E"/>
    <w:rsid w:val="00277827"/>
    <w:rsid w:val="00280789"/>
    <w:rsid w:val="0028099D"/>
    <w:rsid w:val="00280EB9"/>
    <w:rsid w:val="002812B8"/>
    <w:rsid w:val="00281652"/>
    <w:rsid w:val="002819CF"/>
    <w:rsid w:val="00282262"/>
    <w:rsid w:val="00282B85"/>
    <w:rsid w:val="002832C0"/>
    <w:rsid w:val="002836DD"/>
    <w:rsid w:val="0028443C"/>
    <w:rsid w:val="002844D4"/>
    <w:rsid w:val="002847EA"/>
    <w:rsid w:val="00284BAF"/>
    <w:rsid w:val="00285A91"/>
    <w:rsid w:val="00285B27"/>
    <w:rsid w:val="00285C80"/>
    <w:rsid w:val="002861F7"/>
    <w:rsid w:val="00286351"/>
    <w:rsid w:val="00286502"/>
    <w:rsid w:val="002869AC"/>
    <w:rsid w:val="00286B1C"/>
    <w:rsid w:val="002878F4"/>
    <w:rsid w:val="002879BB"/>
    <w:rsid w:val="00287E69"/>
    <w:rsid w:val="00287F1C"/>
    <w:rsid w:val="0029043A"/>
    <w:rsid w:val="002909A7"/>
    <w:rsid w:val="00291B56"/>
    <w:rsid w:val="00291E55"/>
    <w:rsid w:val="00292C66"/>
    <w:rsid w:val="002930BD"/>
    <w:rsid w:val="00293AB8"/>
    <w:rsid w:val="00293E27"/>
    <w:rsid w:val="00293E84"/>
    <w:rsid w:val="00295324"/>
    <w:rsid w:val="002956DF"/>
    <w:rsid w:val="002956FC"/>
    <w:rsid w:val="00295798"/>
    <w:rsid w:val="00295B5F"/>
    <w:rsid w:val="00295FFC"/>
    <w:rsid w:val="002972F2"/>
    <w:rsid w:val="00297A07"/>
    <w:rsid w:val="002A07B0"/>
    <w:rsid w:val="002A10EE"/>
    <w:rsid w:val="002A1B53"/>
    <w:rsid w:val="002A4782"/>
    <w:rsid w:val="002A5337"/>
    <w:rsid w:val="002A610F"/>
    <w:rsid w:val="002B017C"/>
    <w:rsid w:val="002B0614"/>
    <w:rsid w:val="002B0D9F"/>
    <w:rsid w:val="002B11B5"/>
    <w:rsid w:val="002B131E"/>
    <w:rsid w:val="002B133E"/>
    <w:rsid w:val="002B1647"/>
    <w:rsid w:val="002B296A"/>
    <w:rsid w:val="002B2B6B"/>
    <w:rsid w:val="002B31A8"/>
    <w:rsid w:val="002B38BA"/>
    <w:rsid w:val="002B3DFC"/>
    <w:rsid w:val="002B4B61"/>
    <w:rsid w:val="002B6BB5"/>
    <w:rsid w:val="002B6EC7"/>
    <w:rsid w:val="002B7C8E"/>
    <w:rsid w:val="002C03B9"/>
    <w:rsid w:val="002C07B5"/>
    <w:rsid w:val="002C0F92"/>
    <w:rsid w:val="002C1AA2"/>
    <w:rsid w:val="002C2525"/>
    <w:rsid w:val="002C26B4"/>
    <w:rsid w:val="002C26F2"/>
    <w:rsid w:val="002C27E1"/>
    <w:rsid w:val="002C2FBB"/>
    <w:rsid w:val="002C38D8"/>
    <w:rsid w:val="002C3A4A"/>
    <w:rsid w:val="002C3DCB"/>
    <w:rsid w:val="002C44C9"/>
    <w:rsid w:val="002C44DE"/>
    <w:rsid w:val="002C47EE"/>
    <w:rsid w:val="002C4A08"/>
    <w:rsid w:val="002C5452"/>
    <w:rsid w:val="002C5E5F"/>
    <w:rsid w:val="002C6087"/>
    <w:rsid w:val="002C6731"/>
    <w:rsid w:val="002C6F77"/>
    <w:rsid w:val="002C7256"/>
    <w:rsid w:val="002D0199"/>
    <w:rsid w:val="002D023C"/>
    <w:rsid w:val="002D092C"/>
    <w:rsid w:val="002D0B06"/>
    <w:rsid w:val="002D0B94"/>
    <w:rsid w:val="002D1008"/>
    <w:rsid w:val="002D11B5"/>
    <w:rsid w:val="002D17A7"/>
    <w:rsid w:val="002D1F6A"/>
    <w:rsid w:val="002D246B"/>
    <w:rsid w:val="002D2CBB"/>
    <w:rsid w:val="002D30CA"/>
    <w:rsid w:val="002D3276"/>
    <w:rsid w:val="002D3659"/>
    <w:rsid w:val="002D489F"/>
    <w:rsid w:val="002D49CF"/>
    <w:rsid w:val="002D4E6F"/>
    <w:rsid w:val="002D549E"/>
    <w:rsid w:val="002D55BF"/>
    <w:rsid w:val="002D5C31"/>
    <w:rsid w:val="002D5C6F"/>
    <w:rsid w:val="002D6A7B"/>
    <w:rsid w:val="002D6BD7"/>
    <w:rsid w:val="002D7000"/>
    <w:rsid w:val="002E083C"/>
    <w:rsid w:val="002E0C1F"/>
    <w:rsid w:val="002E13FD"/>
    <w:rsid w:val="002E1479"/>
    <w:rsid w:val="002E1508"/>
    <w:rsid w:val="002E152D"/>
    <w:rsid w:val="002E1E34"/>
    <w:rsid w:val="002E3092"/>
    <w:rsid w:val="002E30CB"/>
    <w:rsid w:val="002E4199"/>
    <w:rsid w:val="002E42BF"/>
    <w:rsid w:val="002E5156"/>
    <w:rsid w:val="002E58A8"/>
    <w:rsid w:val="002E6409"/>
    <w:rsid w:val="002E6928"/>
    <w:rsid w:val="002E7148"/>
    <w:rsid w:val="002E760B"/>
    <w:rsid w:val="002E7678"/>
    <w:rsid w:val="002E7917"/>
    <w:rsid w:val="002E7BDB"/>
    <w:rsid w:val="002F0E48"/>
    <w:rsid w:val="002F162D"/>
    <w:rsid w:val="002F1949"/>
    <w:rsid w:val="002F27CE"/>
    <w:rsid w:val="002F3013"/>
    <w:rsid w:val="002F30E3"/>
    <w:rsid w:val="002F369C"/>
    <w:rsid w:val="002F3A84"/>
    <w:rsid w:val="002F3AC5"/>
    <w:rsid w:val="002F3F4B"/>
    <w:rsid w:val="002F4D0A"/>
    <w:rsid w:val="002F525B"/>
    <w:rsid w:val="002F5C12"/>
    <w:rsid w:val="002F62F2"/>
    <w:rsid w:val="002F6905"/>
    <w:rsid w:val="002F71E9"/>
    <w:rsid w:val="002F76BF"/>
    <w:rsid w:val="002F7A5C"/>
    <w:rsid w:val="0030010B"/>
    <w:rsid w:val="00300421"/>
    <w:rsid w:val="0030052E"/>
    <w:rsid w:val="00300823"/>
    <w:rsid w:val="003016DE"/>
    <w:rsid w:val="0030208C"/>
    <w:rsid w:val="0030288B"/>
    <w:rsid w:val="00302EBB"/>
    <w:rsid w:val="003039C9"/>
    <w:rsid w:val="00303B3B"/>
    <w:rsid w:val="00303E6E"/>
    <w:rsid w:val="00304160"/>
    <w:rsid w:val="00304718"/>
    <w:rsid w:val="0030483D"/>
    <w:rsid w:val="0030551F"/>
    <w:rsid w:val="0030602B"/>
    <w:rsid w:val="003068F7"/>
    <w:rsid w:val="00306E73"/>
    <w:rsid w:val="003073CD"/>
    <w:rsid w:val="003074F9"/>
    <w:rsid w:val="00307838"/>
    <w:rsid w:val="0030797B"/>
    <w:rsid w:val="00307DD8"/>
    <w:rsid w:val="00310513"/>
    <w:rsid w:val="00311B1D"/>
    <w:rsid w:val="003124AA"/>
    <w:rsid w:val="00312671"/>
    <w:rsid w:val="00312F30"/>
    <w:rsid w:val="00313086"/>
    <w:rsid w:val="00313412"/>
    <w:rsid w:val="00313B1A"/>
    <w:rsid w:val="0031580D"/>
    <w:rsid w:val="00315A70"/>
    <w:rsid w:val="00315BE2"/>
    <w:rsid w:val="00320CC7"/>
    <w:rsid w:val="00320FCF"/>
    <w:rsid w:val="00321233"/>
    <w:rsid w:val="003217F5"/>
    <w:rsid w:val="0032185C"/>
    <w:rsid w:val="00322433"/>
    <w:rsid w:val="00323021"/>
    <w:rsid w:val="003235F2"/>
    <w:rsid w:val="00323618"/>
    <w:rsid w:val="00323F5D"/>
    <w:rsid w:val="00324020"/>
    <w:rsid w:val="00326402"/>
    <w:rsid w:val="0032645D"/>
    <w:rsid w:val="003264B3"/>
    <w:rsid w:val="00327C73"/>
    <w:rsid w:val="00327E0C"/>
    <w:rsid w:val="00327E14"/>
    <w:rsid w:val="00330306"/>
    <w:rsid w:val="003307D9"/>
    <w:rsid w:val="00330B9F"/>
    <w:rsid w:val="00330F77"/>
    <w:rsid w:val="00331C6B"/>
    <w:rsid w:val="00332734"/>
    <w:rsid w:val="00332BCA"/>
    <w:rsid w:val="00332E6A"/>
    <w:rsid w:val="00333492"/>
    <w:rsid w:val="00333696"/>
    <w:rsid w:val="00333871"/>
    <w:rsid w:val="003339DD"/>
    <w:rsid w:val="0033693A"/>
    <w:rsid w:val="00336B89"/>
    <w:rsid w:val="00337409"/>
    <w:rsid w:val="00337611"/>
    <w:rsid w:val="00337B9B"/>
    <w:rsid w:val="00337E39"/>
    <w:rsid w:val="00340A68"/>
    <w:rsid w:val="00340AF4"/>
    <w:rsid w:val="00342D1D"/>
    <w:rsid w:val="003433B0"/>
    <w:rsid w:val="0034341E"/>
    <w:rsid w:val="003434E1"/>
    <w:rsid w:val="00343E71"/>
    <w:rsid w:val="00344789"/>
    <w:rsid w:val="003448F4"/>
    <w:rsid w:val="00344949"/>
    <w:rsid w:val="00344F24"/>
    <w:rsid w:val="00345F64"/>
    <w:rsid w:val="00345F7B"/>
    <w:rsid w:val="00345FD4"/>
    <w:rsid w:val="003460A3"/>
    <w:rsid w:val="003468EB"/>
    <w:rsid w:val="003469CE"/>
    <w:rsid w:val="00346E8C"/>
    <w:rsid w:val="003476C8"/>
    <w:rsid w:val="00347C0A"/>
    <w:rsid w:val="0035023C"/>
    <w:rsid w:val="003507C3"/>
    <w:rsid w:val="003518A5"/>
    <w:rsid w:val="0035202E"/>
    <w:rsid w:val="003522F2"/>
    <w:rsid w:val="0035274F"/>
    <w:rsid w:val="003529D2"/>
    <w:rsid w:val="003533F8"/>
    <w:rsid w:val="00354C39"/>
    <w:rsid w:val="00354C5E"/>
    <w:rsid w:val="00354D85"/>
    <w:rsid w:val="00355619"/>
    <w:rsid w:val="00355959"/>
    <w:rsid w:val="00356577"/>
    <w:rsid w:val="00356E33"/>
    <w:rsid w:val="00357308"/>
    <w:rsid w:val="00360767"/>
    <w:rsid w:val="00360A75"/>
    <w:rsid w:val="003625E2"/>
    <w:rsid w:val="0036286B"/>
    <w:rsid w:val="00362AF5"/>
    <w:rsid w:val="00362CD2"/>
    <w:rsid w:val="003632DA"/>
    <w:rsid w:val="00364091"/>
    <w:rsid w:val="0036494B"/>
    <w:rsid w:val="00364B57"/>
    <w:rsid w:val="00365992"/>
    <w:rsid w:val="00365A27"/>
    <w:rsid w:val="00366300"/>
    <w:rsid w:val="003665A3"/>
    <w:rsid w:val="0036669A"/>
    <w:rsid w:val="00366F6B"/>
    <w:rsid w:val="00367176"/>
    <w:rsid w:val="00367428"/>
    <w:rsid w:val="00370746"/>
    <w:rsid w:val="0037236D"/>
    <w:rsid w:val="003726B5"/>
    <w:rsid w:val="003728D2"/>
    <w:rsid w:val="00372B83"/>
    <w:rsid w:val="00373DD0"/>
    <w:rsid w:val="00373E81"/>
    <w:rsid w:val="00374CD8"/>
    <w:rsid w:val="0037562F"/>
    <w:rsid w:val="00376709"/>
    <w:rsid w:val="00376804"/>
    <w:rsid w:val="00376E5B"/>
    <w:rsid w:val="003771D6"/>
    <w:rsid w:val="003776A4"/>
    <w:rsid w:val="00377A75"/>
    <w:rsid w:val="00377B90"/>
    <w:rsid w:val="00377DEF"/>
    <w:rsid w:val="00380236"/>
    <w:rsid w:val="003818E0"/>
    <w:rsid w:val="00382CC0"/>
    <w:rsid w:val="00383B15"/>
    <w:rsid w:val="00385514"/>
    <w:rsid w:val="003855B2"/>
    <w:rsid w:val="00385868"/>
    <w:rsid w:val="00385EC8"/>
    <w:rsid w:val="0038794B"/>
    <w:rsid w:val="00387E9E"/>
    <w:rsid w:val="00387EDC"/>
    <w:rsid w:val="00390684"/>
    <w:rsid w:val="00390FD9"/>
    <w:rsid w:val="0039106F"/>
    <w:rsid w:val="0039286A"/>
    <w:rsid w:val="00393A73"/>
    <w:rsid w:val="00393A9A"/>
    <w:rsid w:val="00394B19"/>
    <w:rsid w:val="00394CC0"/>
    <w:rsid w:val="003954BA"/>
    <w:rsid w:val="00395AF4"/>
    <w:rsid w:val="00396016"/>
    <w:rsid w:val="003967E9"/>
    <w:rsid w:val="00396F19"/>
    <w:rsid w:val="00397530"/>
    <w:rsid w:val="00397965"/>
    <w:rsid w:val="003A04A8"/>
    <w:rsid w:val="003A0555"/>
    <w:rsid w:val="003A15C7"/>
    <w:rsid w:val="003A163A"/>
    <w:rsid w:val="003A1B4D"/>
    <w:rsid w:val="003A261E"/>
    <w:rsid w:val="003A2713"/>
    <w:rsid w:val="003A2937"/>
    <w:rsid w:val="003A29B9"/>
    <w:rsid w:val="003A2BA3"/>
    <w:rsid w:val="003A321B"/>
    <w:rsid w:val="003A42B0"/>
    <w:rsid w:val="003A4785"/>
    <w:rsid w:val="003A5222"/>
    <w:rsid w:val="003A5E93"/>
    <w:rsid w:val="003A5EC2"/>
    <w:rsid w:val="003A64AC"/>
    <w:rsid w:val="003A6C50"/>
    <w:rsid w:val="003A6F56"/>
    <w:rsid w:val="003A7262"/>
    <w:rsid w:val="003A75CF"/>
    <w:rsid w:val="003A7DF4"/>
    <w:rsid w:val="003A7E15"/>
    <w:rsid w:val="003B01C0"/>
    <w:rsid w:val="003B08B5"/>
    <w:rsid w:val="003B0FFE"/>
    <w:rsid w:val="003B1D7F"/>
    <w:rsid w:val="003B27F4"/>
    <w:rsid w:val="003B3570"/>
    <w:rsid w:val="003B3D1F"/>
    <w:rsid w:val="003B41D4"/>
    <w:rsid w:val="003B5673"/>
    <w:rsid w:val="003B5FFA"/>
    <w:rsid w:val="003B6BDA"/>
    <w:rsid w:val="003B6BFA"/>
    <w:rsid w:val="003B7414"/>
    <w:rsid w:val="003B76C5"/>
    <w:rsid w:val="003B7759"/>
    <w:rsid w:val="003C0F24"/>
    <w:rsid w:val="003C1035"/>
    <w:rsid w:val="003C1621"/>
    <w:rsid w:val="003C2892"/>
    <w:rsid w:val="003C31AA"/>
    <w:rsid w:val="003C3E67"/>
    <w:rsid w:val="003C3EFC"/>
    <w:rsid w:val="003C3F65"/>
    <w:rsid w:val="003C4AAF"/>
    <w:rsid w:val="003C536C"/>
    <w:rsid w:val="003C5A00"/>
    <w:rsid w:val="003C6624"/>
    <w:rsid w:val="003C6E77"/>
    <w:rsid w:val="003C738F"/>
    <w:rsid w:val="003C7765"/>
    <w:rsid w:val="003C78FB"/>
    <w:rsid w:val="003C7DFE"/>
    <w:rsid w:val="003D0A78"/>
    <w:rsid w:val="003D0ED7"/>
    <w:rsid w:val="003D1852"/>
    <w:rsid w:val="003D23B8"/>
    <w:rsid w:val="003D3160"/>
    <w:rsid w:val="003D324D"/>
    <w:rsid w:val="003D4E21"/>
    <w:rsid w:val="003D55A5"/>
    <w:rsid w:val="003D5F98"/>
    <w:rsid w:val="003D6158"/>
    <w:rsid w:val="003D6168"/>
    <w:rsid w:val="003D695C"/>
    <w:rsid w:val="003D6ADB"/>
    <w:rsid w:val="003D6BD2"/>
    <w:rsid w:val="003D6D98"/>
    <w:rsid w:val="003D7932"/>
    <w:rsid w:val="003E06C8"/>
    <w:rsid w:val="003E0845"/>
    <w:rsid w:val="003E08B7"/>
    <w:rsid w:val="003E0949"/>
    <w:rsid w:val="003E09C4"/>
    <w:rsid w:val="003E12C3"/>
    <w:rsid w:val="003E1603"/>
    <w:rsid w:val="003E185F"/>
    <w:rsid w:val="003E1A3B"/>
    <w:rsid w:val="003E224A"/>
    <w:rsid w:val="003E2C0F"/>
    <w:rsid w:val="003E3259"/>
    <w:rsid w:val="003E4326"/>
    <w:rsid w:val="003E45EF"/>
    <w:rsid w:val="003E4E91"/>
    <w:rsid w:val="003E5BE0"/>
    <w:rsid w:val="003E6513"/>
    <w:rsid w:val="003E6FF7"/>
    <w:rsid w:val="003E7CA3"/>
    <w:rsid w:val="003F0127"/>
    <w:rsid w:val="003F02BE"/>
    <w:rsid w:val="003F0391"/>
    <w:rsid w:val="003F05C5"/>
    <w:rsid w:val="003F0E8C"/>
    <w:rsid w:val="003F12D6"/>
    <w:rsid w:val="003F143A"/>
    <w:rsid w:val="003F1A80"/>
    <w:rsid w:val="003F1F20"/>
    <w:rsid w:val="003F3148"/>
    <w:rsid w:val="003F3186"/>
    <w:rsid w:val="003F31A3"/>
    <w:rsid w:val="003F4379"/>
    <w:rsid w:val="003F45B2"/>
    <w:rsid w:val="003F45B5"/>
    <w:rsid w:val="003F546B"/>
    <w:rsid w:val="003F556C"/>
    <w:rsid w:val="003F5D67"/>
    <w:rsid w:val="003F668A"/>
    <w:rsid w:val="003F669D"/>
    <w:rsid w:val="003F7647"/>
    <w:rsid w:val="004002E4"/>
    <w:rsid w:val="00400DEB"/>
    <w:rsid w:val="004011AA"/>
    <w:rsid w:val="004011F8"/>
    <w:rsid w:val="00401DFA"/>
    <w:rsid w:val="0040256C"/>
    <w:rsid w:val="004044D5"/>
    <w:rsid w:val="00404C20"/>
    <w:rsid w:val="00404CC7"/>
    <w:rsid w:val="004050D6"/>
    <w:rsid w:val="00405686"/>
    <w:rsid w:val="00405958"/>
    <w:rsid w:val="00405C85"/>
    <w:rsid w:val="00405EA0"/>
    <w:rsid w:val="00406BAC"/>
    <w:rsid w:val="00406F7E"/>
    <w:rsid w:val="00407303"/>
    <w:rsid w:val="0040742D"/>
    <w:rsid w:val="0041086A"/>
    <w:rsid w:val="00412AB5"/>
    <w:rsid w:val="00412EEC"/>
    <w:rsid w:val="00413389"/>
    <w:rsid w:val="00413418"/>
    <w:rsid w:val="00413A0C"/>
    <w:rsid w:val="00413A2A"/>
    <w:rsid w:val="004141CD"/>
    <w:rsid w:val="0041435E"/>
    <w:rsid w:val="00416B4A"/>
    <w:rsid w:val="00416C3A"/>
    <w:rsid w:val="00417216"/>
    <w:rsid w:val="00417856"/>
    <w:rsid w:val="00420649"/>
    <w:rsid w:val="00420B12"/>
    <w:rsid w:val="00420C05"/>
    <w:rsid w:val="00420C1C"/>
    <w:rsid w:val="00420C4A"/>
    <w:rsid w:val="00421BC6"/>
    <w:rsid w:val="00421C0C"/>
    <w:rsid w:val="0042227F"/>
    <w:rsid w:val="00422D5D"/>
    <w:rsid w:val="004233B0"/>
    <w:rsid w:val="00423AB4"/>
    <w:rsid w:val="00423AD2"/>
    <w:rsid w:val="004244B4"/>
    <w:rsid w:val="0042508D"/>
    <w:rsid w:val="004253AB"/>
    <w:rsid w:val="0042553C"/>
    <w:rsid w:val="004277CF"/>
    <w:rsid w:val="00427F01"/>
    <w:rsid w:val="00430368"/>
    <w:rsid w:val="00430872"/>
    <w:rsid w:val="004318D7"/>
    <w:rsid w:val="00431AE4"/>
    <w:rsid w:val="00431D0B"/>
    <w:rsid w:val="00431DEF"/>
    <w:rsid w:val="004324AE"/>
    <w:rsid w:val="00432514"/>
    <w:rsid w:val="004328BB"/>
    <w:rsid w:val="00432CB5"/>
    <w:rsid w:val="0043421F"/>
    <w:rsid w:val="004343BB"/>
    <w:rsid w:val="00434482"/>
    <w:rsid w:val="004347EA"/>
    <w:rsid w:val="0043521B"/>
    <w:rsid w:val="00435E41"/>
    <w:rsid w:val="0043623E"/>
    <w:rsid w:val="00436B7E"/>
    <w:rsid w:val="00436CEB"/>
    <w:rsid w:val="0044244E"/>
    <w:rsid w:val="0044296D"/>
    <w:rsid w:val="004429DF"/>
    <w:rsid w:val="004440E4"/>
    <w:rsid w:val="004441C1"/>
    <w:rsid w:val="004453BD"/>
    <w:rsid w:val="0044558D"/>
    <w:rsid w:val="0044598C"/>
    <w:rsid w:val="00445B07"/>
    <w:rsid w:val="00445DE8"/>
    <w:rsid w:val="00445F9C"/>
    <w:rsid w:val="004462A0"/>
    <w:rsid w:val="004469C5"/>
    <w:rsid w:val="00446A2D"/>
    <w:rsid w:val="00446A89"/>
    <w:rsid w:val="00446AB0"/>
    <w:rsid w:val="00446FA7"/>
    <w:rsid w:val="00450245"/>
    <w:rsid w:val="004515F7"/>
    <w:rsid w:val="00451D40"/>
    <w:rsid w:val="004520FD"/>
    <w:rsid w:val="00452A44"/>
    <w:rsid w:val="00452B11"/>
    <w:rsid w:val="00452B7E"/>
    <w:rsid w:val="00453621"/>
    <w:rsid w:val="004536A6"/>
    <w:rsid w:val="004541FA"/>
    <w:rsid w:val="0045454A"/>
    <w:rsid w:val="004546C4"/>
    <w:rsid w:val="004556AA"/>
    <w:rsid w:val="00455B26"/>
    <w:rsid w:val="00456845"/>
    <w:rsid w:val="0045754F"/>
    <w:rsid w:val="0045777B"/>
    <w:rsid w:val="004600B8"/>
    <w:rsid w:val="004608B0"/>
    <w:rsid w:val="00460B3E"/>
    <w:rsid w:val="00460DC6"/>
    <w:rsid w:val="00461312"/>
    <w:rsid w:val="004616C4"/>
    <w:rsid w:val="00461FA3"/>
    <w:rsid w:val="0046266E"/>
    <w:rsid w:val="004634C4"/>
    <w:rsid w:val="00463712"/>
    <w:rsid w:val="0046379A"/>
    <w:rsid w:val="0046410B"/>
    <w:rsid w:val="004649C6"/>
    <w:rsid w:val="00464AB8"/>
    <w:rsid w:val="004657B4"/>
    <w:rsid w:val="0046587F"/>
    <w:rsid w:val="004659AB"/>
    <w:rsid w:val="00466CD4"/>
    <w:rsid w:val="00466D49"/>
    <w:rsid w:val="00467899"/>
    <w:rsid w:val="0047027F"/>
    <w:rsid w:val="00470345"/>
    <w:rsid w:val="00470360"/>
    <w:rsid w:val="004708B2"/>
    <w:rsid w:val="0047115B"/>
    <w:rsid w:val="004718B2"/>
    <w:rsid w:val="00471E74"/>
    <w:rsid w:val="004722FE"/>
    <w:rsid w:val="00472402"/>
    <w:rsid w:val="00472722"/>
    <w:rsid w:val="00472F19"/>
    <w:rsid w:val="004734D5"/>
    <w:rsid w:val="004737C3"/>
    <w:rsid w:val="004737D5"/>
    <w:rsid w:val="0047426F"/>
    <w:rsid w:val="00474910"/>
    <w:rsid w:val="00474ABB"/>
    <w:rsid w:val="00474C51"/>
    <w:rsid w:val="00474DDE"/>
    <w:rsid w:val="00474E9B"/>
    <w:rsid w:val="004750FF"/>
    <w:rsid w:val="0047543A"/>
    <w:rsid w:val="0047601C"/>
    <w:rsid w:val="0047663A"/>
    <w:rsid w:val="0047664A"/>
    <w:rsid w:val="00476B3C"/>
    <w:rsid w:val="00476C16"/>
    <w:rsid w:val="0047733B"/>
    <w:rsid w:val="0047744A"/>
    <w:rsid w:val="004802FC"/>
    <w:rsid w:val="0048041A"/>
    <w:rsid w:val="00480DAC"/>
    <w:rsid w:val="00482220"/>
    <w:rsid w:val="00482546"/>
    <w:rsid w:val="00483470"/>
    <w:rsid w:val="00483663"/>
    <w:rsid w:val="00483801"/>
    <w:rsid w:val="00483C88"/>
    <w:rsid w:val="00483CB0"/>
    <w:rsid w:val="0048436B"/>
    <w:rsid w:val="0048470D"/>
    <w:rsid w:val="00484C3A"/>
    <w:rsid w:val="00485519"/>
    <w:rsid w:val="00485AC2"/>
    <w:rsid w:val="0049008F"/>
    <w:rsid w:val="00490439"/>
    <w:rsid w:val="0049043A"/>
    <w:rsid w:val="00490F48"/>
    <w:rsid w:val="004913C6"/>
    <w:rsid w:val="004916E6"/>
    <w:rsid w:val="00491DC5"/>
    <w:rsid w:val="00492075"/>
    <w:rsid w:val="0049249C"/>
    <w:rsid w:val="00492CD1"/>
    <w:rsid w:val="00493091"/>
    <w:rsid w:val="00493566"/>
    <w:rsid w:val="00493961"/>
    <w:rsid w:val="00494599"/>
    <w:rsid w:val="00495172"/>
    <w:rsid w:val="00495894"/>
    <w:rsid w:val="004A00C9"/>
    <w:rsid w:val="004A01DE"/>
    <w:rsid w:val="004A0269"/>
    <w:rsid w:val="004A043A"/>
    <w:rsid w:val="004A158B"/>
    <w:rsid w:val="004A1E0B"/>
    <w:rsid w:val="004A259A"/>
    <w:rsid w:val="004A286E"/>
    <w:rsid w:val="004A34C6"/>
    <w:rsid w:val="004A3A1C"/>
    <w:rsid w:val="004A5DFE"/>
    <w:rsid w:val="004A624C"/>
    <w:rsid w:val="004A769F"/>
    <w:rsid w:val="004A7D68"/>
    <w:rsid w:val="004B09C4"/>
    <w:rsid w:val="004B19A9"/>
    <w:rsid w:val="004B1D23"/>
    <w:rsid w:val="004B1E04"/>
    <w:rsid w:val="004B238C"/>
    <w:rsid w:val="004B2914"/>
    <w:rsid w:val="004B32DC"/>
    <w:rsid w:val="004B3373"/>
    <w:rsid w:val="004B3595"/>
    <w:rsid w:val="004B3899"/>
    <w:rsid w:val="004B5090"/>
    <w:rsid w:val="004B5109"/>
    <w:rsid w:val="004B6CEA"/>
    <w:rsid w:val="004B71A0"/>
    <w:rsid w:val="004B71ED"/>
    <w:rsid w:val="004C0912"/>
    <w:rsid w:val="004C15ED"/>
    <w:rsid w:val="004C19A9"/>
    <w:rsid w:val="004C1EF2"/>
    <w:rsid w:val="004C2FC8"/>
    <w:rsid w:val="004C31A1"/>
    <w:rsid w:val="004C347D"/>
    <w:rsid w:val="004C3803"/>
    <w:rsid w:val="004C3FB8"/>
    <w:rsid w:val="004C4510"/>
    <w:rsid w:val="004C459F"/>
    <w:rsid w:val="004C49F9"/>
    <w:rsid w:val="004C4B7C"/>
    <w:rsid w:val="004C5683"/>
    <w:rsid w:val="004C5ACC"/>
    <w:rsid w:val="004C5B3D"/>
    <w:rsid w:val="004C6146"/>
    <w:rsid w:val="004C683A"/>
    <w:rsid w:val="004C7329"/>
    <w:rsid w:val="004C7AFF"/>
    <w:rsid w:val="004D0316"/>
    <w:rsid w:val="004D04C0"/>
    <w:rsid w:val="004D05B9"/>
    <w:rsid w:val="004D0DEB"/>
    <w:rsid w:val="004D132B"/>
    <w:rsid w:val="004D17CB"/>
    <w:rsid w:val="004D1C14"/>
    <w:rsid w:val="004D3367"/>
    <w:rsid w:val="004D3B71"/>
    <w:rsid w:val="004D3F93"/>
    <w:rsid w:val="004D40AF"/>
    <w:rsid w:val="004D4F5A"/>
    <w:rsid w:val="004D54DB"/>
    <w:rsid w:val="004D5B7F"/>
    <w:rsid w:val="004D7C7B"/>
    <w:rsid w:val="004E0D05"/>
    <w:rsid w:val="004E1A36"/>
    <w:rsid w:val="004E246C"/>
    <w:rsid w:val="004E26C4"/>
    <w:rsid w:val="004E29AF"/>
    <w:rsid w:val="004E34B0"/>
    <w:rsid w:val="004E4E64"/>
    <w:rsid w:val="004E4E8F"/>
    <w:rsid w:val="004E4F41"/>
    <w:rsid w:val="004E4F65"/>
    <w:rsid w:val="004E4F92"/>
    <w:rsid w:val="004E55E1"/>
    <w:rsid w:val="004E5AFE"/>
    <w:rsid w:val="004E6989"/>
    <w:rsid w:val="004E722F"/>
    <w:rsid w:val="004E73D8"/>
    <w:rsid w:val="004F1744"/>
    <w:rsid w:val="004F181A"/>
    <w:rsid w:val="004F1D37"/>
    <w:rsid w:val="004F235F"/>
    <w:rsid w:val="004F2395"/>
    <w:rsid w:val="004F2518"/>
    <w:rsid w:val="004F2CD7"/>
    <w:rsid w:val="004F4F0E"/>
    <w:rsid w:val="004F585B"/>
    <w:rsid w:val="004F69CA"/>
    <w:rsid w:val="004F721B"/>
    <w:rsid w:val="005000E2"/>
    <w:rsid w:val="0050038A"/>
    <w:rsid w:val="00500E50"/>
    <w:rsid w:val="0050109A"/>
    <w:rsid w:val="00501AEC"/>
    <w:rsid w:val="00501EE2"/>
    <w:rsid w:val="005023E3"/>
    <w:rsid w:val="00502501"/>
    <w:rsid w:val="00503031"/>
    <w:rsid w:val="00504337"/>
    <w:rsid w:val="00505B35"/>
    <w:rsid w:val="00505B73"/>
    <w:rsid w:val="00505DB6"/>
    <w:rsid w:val="00505E90"/>
    <w:rsid w:val="00506583"/>
    <w:rsid w:val="00506CAB"/>
    <w:rsid w:val="00506E12"/>
    <w:rsid w:val="00506E7C"/>
    <w:rsid w:val="005070E3"/>
    <w:rsid w:val="005073A4"/>
    <w:rsid w:val="00507622"/>
    <w:rsid w:val="00507845"/>
    <w:rsid w:val="00507F81"/>
    <w:rsid w:val="00510F85"/>
    <w:rsid w:val="0051197B"/>
    <w:rsid w:val="00512D36"/>
    <w:rsid w:val="00512E1E"/>
    <w:rsid w:val="005135BE"/>
    <w:rsid w:val="005153BC"/>
    <w:rsid w:val="00516090"/>
    <w:rsid w:val="00516539"/>
    <w:rsid w:val="0051683B"/>
    <w:rsid w:val="0051698D"/>
    <w:rsid w:val="00516F7D"/>
    <w:rsid w:val="00516FB3"/>
    <w:rsid w:val="005172E2"/>
    <w:rsid w:val="00517A3B"/>
    <w:rsid w:val="00517CAF"/>
    <w:rsid w:val="00517E83"/>
    <w:rsid w:val="00517EEA"/>
    <w:rsid w:val="005206C9"/>
    <w:rsid w:val="00520ACA"/>
    <w:rsid w:val="00520D45"/>
    <w:rsid w:val="00521279"/>
    <w:rsid w:val="00521868"/>
    <w:rsid w:val="00522F48"/>
    <w:rsid w:val="00523768"/>
    <w:rsid w:val="005240C6"/>
    <w:rsid w:val="00525359"/>
    <w:rsid w:val="0052554E"/>
    <w:rsid w:val="005258B6"/>
    <w:rsid w:val="0052665F"/>
    <w:rsid w:val="00526896"/>
    <w:rsid w:val="00526F20"/>
    <w:rsid w:val="00530542"/>
    <w:rsid w:val="0053082F"/>
    <w:rsid w:val="00530DD2"/>
    <w:rsid w:val="005312AC"/>
    <w:rsid w:val="005313BC"/>
    <w:rsid w:val="005314A5"/>
    <w:rsid w:val="00531996"/>
    <w:rsid w:val="00531A6B"/>
    <w:rsid w:val="00531BC3"/>
    <w:rsid w:val="00531DBD"/>
    <w:rsid w:val="005320DE"/>
    <w:rsid w:val="0053260D"/>
    <w:rsid w:val="00533187"/>
    <w:rsid w:val="0053407D"/>
    <w:rsid w:val="005346AD"/>
    <w:rsid w:val="00535E6C"/>
    <w:rsid w:val="00535F43"/>
    <w:rsid w:val="005360D7"/>
    <w:rsid w:val="005366F9"/>
    <w:rsid w:val="005373EB"/>
    <w:rsid w:val="00540921"/>
    <w:rsid w:val="00540C03"/>
    <w:rsid w:val="0054100D"/>
    <w:rsid w:val="0054106E"/>
    <w:rsid w:val="00541361"/>
    <w:rsid w:val="0054146C"/>
    <w:rsid w:val="005424B8"/>
    <w:rsid w:val="0054267D"/>
    <w:rsid w:val="00542817"/>
    <w:rsid w:val="00544280"/>
    <w:rsid w:val="00544404"/>
    <w:rsid w:val="00545188"/>
    <w:rsid w:val="005458AD"/>
    <w:rsid w:val="0054628D"/>
    <w:rsid w:val="00547CF0"/>
    <w:rsid w:val="00547FED"/>
    <w:rsid w:val="00551779"/>
    <w:rsid w:val="00551A3A"/>
    <w:rsid w:val="005533A2"/>
    <w:rsid w:val="005535EC"/>
    <w:rsid w:val="005536AB"/>
    <w:rsid w:val="005538C7"/>
    <w:rsid w:val="00553A38"/>
    <w:rsid w:val="005543A3"/>
    <w:rsid w:val="00555BAD"/>
    <w:rsid w:val="0055623B"/>
    <w:rsid w:val="00556969"/>
    <w:rsid w:val="0055713A"/>
    <w:rsid w:val="0055713C"/>
    <w:rsid w:val="0056001B"/>
    <w:rsid w:val="005604BE"/>
    <w:rsid w:val="00560595"/>
    <w:rsid w:val="00560CAA"/>
    <w:rsid w:val="00560E1F"/>
    <w:rsid w:val="0056143E"/>
    <w:rsid w:val="005616FF"/>
    <w:rsid w:val="005617FF"/>
    <w:rsid w:val="00561D45"/>
    <w:rsid w:val="00561E57"/>
    <w:rsid w:val="005623F8"/>
    <w:rsid w:val="00562845"/>
    <w:rsid w:val="00563B90"/>
    <w:rsid w:val="0056492A"/>
    <w:rsid w:val="005649CF"/>
    <w:rsid w:val="00564B5F"/>
    <w:rsid w:val="00565065"/>
    <w:rsid w:val="00565F72"/>
    <w:rsid w:val="005669D6"/>
    <w:rsid w:val="005679B0"/>
    <w:rsid w:val="0057157C"/>
    <w:rsid w:val="00571952"/>
    <w:rsid w:val="0057227E"/>
    <w:rsid w:val="0057419D"/>
    <w:rsid w:val="0057480E"/>
    <w:rsid w:val="00574A22"/>
    <w:rsid w:val="00574D95"/>
    <w:rsid w:val="00575A2F"/>
    <w:rsid w:val="00575ECE"/>
    <w:rsid w:val="00575F9B"/>
    <w:rsid w:val="00576328"/>
    <w:rsid w:val="0057729B"/>
    <w:rsid w:val="00577485"/>
    <w:rsid w:val="005774A6"/>
    <w:rsid w:val="0058027B"/>
    <w:rsid w:val="00580725"/>
    <w:rsid w:val="00581B88"/>
    <w:rsid w:val="00581D01"/>
    <w:rsid w:val="00581EC0"/>
    <w:rsid w:val="0058273E"/>
    <w:rsid w:val="00582866"/>
    <w:rsid w:val="005828EE"/>
    <w:rsid w:val="005828F9"/>
    <w:rsid w:val="00582AAD"/>
    <w:rsid w:val="00582DB9"/>
    <w:rsid w:val="00583A67"/>
    <w:rsid w:val="00584C92"/>
    <w:rsid w:val="00585211"/>
    <w:rsid w:val="005853A2"/>
    <w:rsid w:val="00587562"/>
    <w:rsid w:val="0059053C"/>
    <w:rsid w:val="005906FF"/>
    <w:rsid w:val="00590FA5"/>
    <w:rsid w:val="00591884"/>
    <w:rsid w:val="00592276"/>
    <w:rsid w:val="005929BA"/>
    <w:rsid w:val="00592B43"/>
    <w:rsid w:val="00592BD7"/>
    <w:rsid w:val="00592E6F"/>
    <w:rsid w:val="005944AA"/>
    <w:rsid w:val="00595610"/>
    <w:rsid w:val="00595925"/>
    <w:rsid w:val="00595B3B"/>
    <w:rsid w:val="00596339"/>
    <w:rsid w:val="005967A4"/>
    <w:rsid w:val="00596BDA"/>
    <w:rsid w:val="005A0201"/>
    <w:rsid w:val="005A03BA"/>
    <w:rsid w:val="005A04C1"/>
    <w:rsid w:val="005A0B36"/>
    <w:rsid w:val="005A1204"/>
    <w:rsid w:val="005A1A0E"/>
    <w:rsid w:val="005A1FD4"/>
    <w:rsid w:val="005A2018"/>
    <w:rsid w:val="005A3C27"/>
    <w:rsid w:val="005A4CB5"/>
    <w:rsid w:val="005A6722"/>
    <w:rsid w:val="005A6B92"/>
    <w:rsid w:val="005A6FDE"/>
    <w:rsid w:val="005B00EF"/>
    <w:rsid w:val="005B01FE"/>
    <w:rsid w:val="005B09B0"/>
    <w:rsid w:val="005B1214"/>
    <w:rsid w:val="005B1346"/>
    <w:rsid w:val="005B1EBD"/>
    <w:rsid w:val="005B2085"/>
    <w:rsid w:val="005B30CE"/>
    <w:rsid w:val="005B3280"/>
    <w:rsid w:val="005B36AD"/>
    <w:rsid w:val="005B40E8"/>
    <w:rsid w:val="005B4762"/>
    <w:rsid w:val="005B774A"/>
    <w:rsid w:val="005B7F74"/>
    <w:rsid w:val="005C09BD"/>
    <w:rsid w:val="005C0C3E"/>
    <w:rsid w:val="005C1BB8"/>
    <w:rsid w:val="005C1BD0"/>
    <w:rsid w:val="005C236B"/>
    <w:rsid w:val="005C3377"/>
    <w:rsid w:val="005C38D8"/>
    <w:rsid w:val="005C474F"/>
    <w:rsid w:val="005C4870"/>
    <w:rsid w:val="005C4AE2"/>
    <w:rsid w:val="005C558E"/>
    <w:rsid w:val="005C576E"/>
    <w:rsid w:val="005C6D91"/>
    <w:rsid w:val="005C75E2"/>
    <w:rsid w:val="005C7849"/>
    <w:rsid w:val="005C7BFF"/>
    <w:rsid w:val="005D0AB3"/>
    <w:rsid w:val="005D0EBD"/>
    <w:rsid w:val="005D1747"/>
    <w:rsid w:val="005D1C5E"/>
    <w:rsid w:val="005D3AB3"/>
    <w:rsid w:val="005D4199"/>
    <w:rsid w:val="005D45D2"/>
    <w:rsid w:val="005D522E"/>
    <w:rsid w:val="005D5448"/>
    <w:rsid w:val="005D65C6"/>
    <w:rsid w:val="005D7095"/>
    <w:rsid w:val="005D71AD"/>
    <w:rsid w:val="005D7CD0"/>
    <w:rsid w:val="005D7FDC"/>
    <w:rsid w:val="005E10BE"/>
    <w:rsid w:val="005E25E1"/>
    <w:rsid w:val="005E2658"/>
    <w:rsid w:val="005E3359"/>
    <w:rsid w:val="005E38F5"/>
    <w:rsid w:val="005E459C"/>
    <w:rsid w:val="005E57AF"/>
    <w:rsid w:val="005E5B6C"/>
    <w:rsid w:val="005E709C"/>
    <w:rsid w:val="005E7718"/>
    <w:rsid w:val="005F0253"/>
    <w:rsid w:val="005F080A"/>
    <w:rsid w:val="005F0814"/>
    <w:rsid w:val="005F25EB"/>
    <w:rsid w:val="005F35EA"/>
    <w:rsid w:val="005F3C78"/>
    <w:rsid w:val="005F43B8"/>
    <w:rsid w:val="005F4421"/>
    <w:rsid w:val="005F456C"/>
    <w:rsid w:val="005F4CC2"/>
    <w:rsid w:val="005F50C0"/>
    <w:rsid w:val="005F50FD"/>
    <w:rsid w:val="005F56D6"/>
    <w:rsid w:val="005F58EC"/>
    <w:rsid w:val="005F597B"/>
    <w:rsid w:val="005F5CCE"/>
    <w:rsid w:val="005F6250"/>
    <w:rsid w:val="005F6742"/>
    <w:rsid w:val="005F6D31"/>
    <w:rsid w:val="005F71EA"/>
    <w:rsid w:val="005F78EB"/>
    <w:rsid w:val="006001E1"/>
    <w:rsid w:val="006003CF"/>
    <w:rsid w:val="0060068C"/>
    <w:rsid w:val="00600761"/>
    <w:rsid w:val="00600C09"/>
    <w:rsid w:val="00600D45"/>
    <w:rsid w:val="00600DC1"/>
    <w:rsid w:val="00600F89"/>
    <w:rsid w:val="00601084"/>
    <w:rsid w:val="00601C23"/>
    <w:rsid w:val="00601C5B"/>
    <w:rsid w:val="00601E9B"/>
    <w:rsid w:val="006022BE"/>
    <w:rsid w:val="00602BFE"/>
    <w:rsid w:val="006039D0"/>
    <w:rsid w:val="00604119"/>
    <w:rsid w:val="0060447B"/>
    <w:rsid w:val="006047D0"/>
    <w:rsid w:val="00605675"/>
    <w:rsid w:val="00605C72"/>
    <w:rsid w:val="006061D6"/>
    <w:rsid w:val="006070A0"/>
    <w:rsid w:val="0061042C"/>
    <w:rsid w:val="0061072F"/>
    <w:rsid w:val="00610BE0"/>
    <w:rsid w:val="00610BE9"/>
    <w:rsid w:val="00610F4E"/>
    <w:rsid w:val="0061184F"/>
    <w:rsid w:val="00611B97"/>
    <w:rsid w:val="00611C87"/>
    <w:rsid w:val="00612D36"/>
    <w:rsid w:val="00614047"/>
    <w:rsid w:val="00614BBE"/>
    <w:rsid w:val="00614D95"/>
    <w:rsid w:val="00615183"/>
    <w:rsid w:val="006152F0"/>
    <w:rsid w:val="00615667"/>
    <w:rsid w:val="00616221"/>
    <w:rsid w:val="00616829"/>
    <w:rsid w:val="00616BE1"/>
    <w:rsid w:val="0061779E"/>
    <w:rsid w:val="00617909"/>
    <w:rsid w:val="00617C5C"/>
    <w:rsid w:val="00617F77"/>
    <w:rsid w:val="00617F95"/>
    <w:rsid w:val="00620469"/>
    <w:rsid w:val="006210DD"/>
    <w:rsid w:val="006230B8"/>
    <w:rsid w:val="00623C08"/>
    <w:rsid w:val="00623ECA"/>
    <w:rsid w:val="00624815"/>
    <w:rsid w:val="00624D1B"/>
    <w:rsid w:val="00625261"/>
    <w:rsid w:val="006267F8"/>
    <w:rsid w:val="00626E49"/>
    <w:rsid w:val="006275C1"/>
    <w:rsid w:val="00627880"/>
    <w:rsid w:val="00630853"/>
    <w:rsid w:val="00630D5E"/>
    <w:rsid w:val="006336A6"/>
    <w:rsid w:val="006336F3"/>
    <w:rsid w:val="00633707"/>
    <w:rsid w:val="00634A63"/>
    <w:rsid w:val="00634DB3"/>
    <w:rsid w:val="006354FF"/>
    <w:rsid w:val="006355F3"/>
    <w:rsid w:val="00635AD9"/>
    <w:rsid w:val="006362C3"/>
    <w:rsid w:val="006362D8"/>
    <w:rsid w:val="006365F2"/>
    <w:rsid w:val="00636828"/>
    <w:rsid w:val="006379DC"/>
    <w:rsid w:val="006379EA"/>
    <w:rsid w:val="00637D8D"/>
    <w:rsid w:val="00641298"/>
    <w:rsid w:val="00643456"/>
    <w:rsid w:val="006436BE"/>
    <w:rsid w:val="0064379F"/>
    <w:rsid w:val="00643DCD"/>
    <w:rsid w:val="00645CFE"/>
    <w:rsid w:val="006467CF"/>
    <w:rsid w:val="0064769E"/>
    <w:rsid w:val="00647854"/>
    <w:rsid w:val="00647B39"/>
    <w:rsid w:val="0065083C"/>
    <w:rsid w:val="00650869"/>
    <w:rsid w:val="006511BC"/>
    <w:rsid w:val="00652339"/>
    <w:rsid w:val="00652F69"/>
    <w:rsid w:val="00653362"/>
    <w:rsid w:val="00654297"/>
    <w:rsid w:val="00655086"/>
    <w:rsid w:val="0065527C"/>
    <w:rsid w:val="006556E1"/>
    <w:rsid w:val="0065626D"/>
    <w:rsid w:val="0065643B"/>
    <w:rsid w:val="006565FA"/>
    <w:rsid w:val="006568A7"/>
    <w:rsid w:val="00656AF8"/>
    <w:rsid w:val="00656CC2"/>
    <w:rsid w:val="006578E0"/>
    <w:rsid w:val="0065796C"/>
    <w:rsid w:val="00660671"/>
    <w:rsid w:val="00660A0D"/>
    <w:rsid w:val="00660C1D"/>
    <w:rsid w:val="006613E6"/>
    <w:rsid w:val="00662169"/>
    <w:rsid w:val="00662281"/>
    <w:rsid w:val="006623A3"/>
    <w:rsid w:val="0066299E"/>
    <w:rsid w:val="00663E16"/>
    <w:rsid w:val="0066568E"/>
    <w:rsid w:val="00666062"/>
    <w:rsid w:val="00666104"/>
    <w:rsid w:val="00666B8A"/>
    <w:rsid w:val="00666D37"/>
    <w:rsid w:val="00667151"/>
    <w:rsid w:val="0066777A"/>
    <w:rsid w:val="00667809"/>
    <w:rsid w:val="00667985"/>
    <w:rsid w:val="00667FBE"/>
    <w:rsid w:val="006707D9"/>
    <w:rsid w:val="0067082B"/>
    <w:rsid w:val="006710E6"/>
    <w:rsid w:val="0067198E"/>
    <w:rsid w:val="00672685"/>
    <w:rsid w:val="0067370B"/>
    <w:rsid w:val="00674EA4"/>
    <w:rsid w:val="00675BC7"/>
    <w:rsid w:val="0067630F"/>
    <w:rsid w:val="00676354"/>
    <w:rsid w:val="00676B07"/>
    <w:rsid w:val="00676B2C"/>
    <w:rsid w:val="00676C39"/>
    <w:rsid w:val="006772E8"/>
    <w:rsid w:val="00677898"/>
    <w:rsid w:val="00677EDE"/>
    <w:rsid w:val="00677F65"/>
    <w:rsid w:val="006802D6"/>
    <w:rsid w:val="00680912"/>
    <w:rsid w:val="0068097C"/>
    <w:rsid w:val="00680C89"/>
    <w:rsid w:val="00680F82"/>
    <w:rsid w:val="0068110B"/>
    <w:rsid w:val="00681850"/>
    <w:rsid w:val="00682784"/>
    <w:rsid w:val="006829B3"/>
    <w:rsid w:val="00682CC7"/>
    <w:rsid w:val="00682E56"/>
    <w:rsid w:val="006835E3"/>
    <w:rsid w:val="00683D9A"/>
    <w:rsid w:val="00683DE3"/>
    <w:rsid w:val="00683E1A"/>
    <w:rsid w:val="00684E73"/>
    <w:rsid w:val="00685114"/>
    <w:rsid w:val="00685DC2"/>
    <w:rsid w:val="0068639B"/>
    <w:rsid w:val="00686BDE"/>
    <w:rsid w:val="00687A27"/>
    <w:rsid w:val="00687D0F"/>
    <w:rsid w:val="00690177"/>
    <w:rsid w:val="006904C0"/>
    <w:rsid w:val="006910FC"/>
    <w:rsid w:val="006913BF"/>
    <w:rsid w:val="0069146E"/>
    <w:rsid w:val="006915D9"/>
    <w:rsid w:val="00691BEE"/>
    <w:rsid w:val="00692219"/>
    <w:rsid w:val="0069259D"/>
    <w:rsid w:val="006926CE"/>
    <w:rsid w:val="006930E0"/>
    <w:rsid w:val="00694986"/>
    <w:rsid w:val="00694DC3"/>
    <w:rsid w:val="006951C2"/>
    <w:rsid w:val="00695357"/>
    <w:rsid w:val="0069559C"/>
    <w:rsid w:val="0069563A"/>
    <w:rsid w:val="00695667"/>
    <w:rsid w:val="006957B2"/>
    <w:rsid w:val="00696AFC"/>
    <w:rsid w:val="0069703D"/>
    <w:rsid w:val="006971CD"/>
    <w:rsid w:val="00697C2E"/>
    <w:rsid w:val="006A03B8"/>
    <w:rsid w:val="006A12F7"/>
    <w:rsid w:val="006A140B"/>
    <w:rsid w:val="006A164E"/>
    <w:rsid w:val="006A2593"/>
    <w:rsid w:val="006A269B"/>
    <w:rsid w:val="006A2D3A"/>
    <w:rsid w:val="006A379F"/>
    <w:rsid w:val="006A4159"/>
    <w:rsid w:val="006A4334"/>
    <w:rsid w:val="006A4A33"/>
    <w:rsid w:val="006A4FF9"/>
    <w:rsid w:val="006A5CB5"/>
    <w:rsid w:val="006A6226"/>
    <w:rsid w:val="006A67C2"/>
    <w:rsid w:val="006A75B2"/>
    <w:rsid w:val="006B03F0"/>
    <w:rsid w:val="006B0436"/>
    <w:rsid w:val="006B1330"/>
    <w:rsid w:val="006B3836"/>
    <w:rsid w:val="006B466B"/>
    <w:rsid w:val="006B4C6A"/>
    <w:rsid w:val="006B5422"/>
    <w:rsid w:val="006B5EF6"/>
    <w:rsid w:val="006B64FE"/>
    <w:rsid w:val="006B6719"/>
    <w:rsid w:val="006B727C"/>
    <w:rsid w:val="006B7DDF"/>
    <w:rsid w:val="006C0A94"/>
    <w:rsid w:val="006C0B4F"/>
    <w:rsid w:val="006C11DF"/>
    <w:rsid w:val="006C15C5"/>
    <w:rsid w:val="006C1BFC"/>
    <w:rsid w:val="006C2327"/>
    <w:rsid w:val="006C2C37"/>
    <w:rsid w:val="006C3202"/>
    <w:rsid w:val="006C3778"/>
    <w:rsid w:val="006C40AA"/>
    <w:rsid w:val="006C40EB"/>
    <w:rsid w:val="006C4101"/>
    <w:rsid w:val="006C462F"/>
    <w:rsid w:val="006C500E"/>
    <w:rsid w:val="006C5627"/>
    <w:rsid w:val="006C56BB"/>
    <w:rsid w:val="006C6BF8"/>
    <w:rsid w:val="006C7021"/>
    <w:rsid w:val="006C73F2"/>
    <w:rsid w:val="006C7C50"/>
    <w:rsid w:val="006C7E0C"/>
    <w:rsid w:val="006D09DE"/>
    <w:rsid w:val="006D0B9D"/>
    <w:rsid w:val="006D1C7B"/>
    <w:rsid w:val="006D233C"/>
    <w:rsid w:val="006D287C"/>
    <w:rsid w:val="006D28E9"/>
    <w:rsid w:val="006D2AB9"/>
    <w:rsid w:val="006D38FC"/>
    <w:rsid w:val="006D5B93"/>
    <w:rsid w:val="006D7055"/>
    <w:rsid w:val="006D7596"/>
    <w:rsid w:val="006D7881"/>
    <w:rsid w:val="006D78C0"/>
    <w:rsid w:val="006E0336"/>
    <w:rsid w:val="006E1099"/>
    <w:rsid w:val="006E13EC"/>
    <w:rsid w:val="006E1E1E"/>
    <w:rsid w:val="006E37B5"/>
    <w:rsid w:val="006E3F7C"/>
    <w:rsid w:val="006E56F9"/>
    <w:rsid w:val="006E6190"/>
    <w:rsid w:val="006E63FF"/>
    <w:rsid w:val="006E6912"/>
    <w:rsid w:val="006E6C7F"/>
    <w:rsid w:val="006F03F6"/>
    <w:rsid w:val="006F062B"/>
    <w:rsid w:val="006F0BB2"/>
    <w:rsid w:val="006F0EBC"/>
    <w:rsid w:val="006F10A2"/>
    <w:rsid w:val="006F1B58"/>
    <w:rsid w:val="006F26E9"/>
    <w:rsid w:val="006F3054"/>
    <w:rsid w:val="006F3C87"/>
    <w:rsid w:val="006F3D32"/>
    <w:rsid w:val="006F4A56"/>
    <w:rsid w:val="006F5499"/>
    <w:rsid w:val="006F56C0"/>
    <w:rsid w:val="006F5ABC"/>
    <w:rsid w:val="006F6493"/>
    <w:rsid w:val="006F73E6"/>
    <w:rsid w:val="006F7448"/>
    <w:rsid w:val="006F79A1"/>
    <w:rsid w:val="006F7C70"/>
    <w:rsid w:val="00700B1C"/>
    <w:rsid w:val="00700DB9"/>
    <w:rsid w:val="00701023"/>
    <w:rsid w:val="0070105A"/>
    <w:rsid w:val="00703091"/>
    <w:rsid w:val="0070382A"/>
    <w:rsid w:val="00703B5E"/>
    <w:rsid w:val="00703C16"/>
    <w:rsid w:val="0070473A"/>
    <w:rsid w:val="00704D61"/>
    <w:rsid w:val="007058F2"/>
    <w:rsid w:val="00707663"/>
    <w:rsid w:val="007079B3"/>
    <w:rsid w:val="00707CDC"/>
    <w:rsid w:val="007115DF"/>
    <w:rsid w:val="0071174F"/>
    <w:rsid w:val="0071185F"/>
    <w:rsid w:val="0071204D"/>
    <w:rsid w:val="007124A4"/>
    <w:rsid w:val="0071321F"/>
    <w:rsid w:val="0071345C"/>
    <w:rsid w:val="0071354E"/>
    <w:rsid w:val="00713731"/>
    <w:rsid w:val="00713B84"/>
    <w:rsid w:val="00714882"/>
    <w:rsid w:val="007159B3"/>
    <w:rsid w:val="00715F0B"/>
    <w:rsid w:val="0071734F"/>
    <w:rsid w:val="007175FF"/>
    <w:rsid w:val="00717C51"/>
    <w:rsid w:val="0072112C"/>
    <w:rsid w:val="007215B6"/>
    <w:rsid w:val="00721CE9"/>
    <w:rsid w:val="00721DF3"/>
    <w:rsid w:val="00723318"/>
    <w:rsid w:val="007234B2"/>
    <w:rsid w:val="007234F0"/>
    <w:rsid w:val="007242AA"/>
    <w:rsid w:val="007256B0"/>
    <w:rsid w:val="00725CFE"/>
    <w:rsid w:val="007306F6"/>
    <w:rsid w:val="00731E26"/>
    <w:rsid w:val="00731E81"/>
    <w:rsid w:val="007328D5"/>
    <w:rsid w:val="00732B53"/>
    <w:rsid w:val="00732BA9"/>
    <w:rsid w:val="00733358"/>
    <w:rsid w:val="0073366C"/>
    <w:rsid w:val="00733D72"/>
    <w:rsid w:val="00733D7F"/>
    <w:rsid w:val="0073413A"/>
    <w:rsid w:val="007348EE"/>
    <w:rsid w:val="00734992"/>
    <w:rsid w:val="00734E3C"/>
    <w:rsid w:val="00734F7D"/>
    <w:rsid w:val="00735F93"/>
    <w:rsid w:val="007360D1"/>
    <w:rsid w:val="007369E6"/>
    <w:rsid w:val="00737619"/>
    <w:rsid w:val="00737779"/>
    <w:rsid w:val="007406B1"/>
    <w:rsid w:val="007412BD"/>
    <w:rsid w:val="00742B2D"/>
    <w:rsid w:val="00744DC7"/>
    <w:rsid w:val="00745290"/>
    <w:rsid w:val="007454DC"/>
    <w:rsid w:val="00745979"/>
    <w:rsid w:val="007462B4"/>
    <w:rsid w:val="007467C9"/>
    <w:rsid w:val="00746E3E"/>
    <w:rsid w:val="007470B9"/>
    <w:rsid w:val="007477E7"/>
    <w:rsid w:val="00747939"/>
    <w:rsid w:val="00747DF4"/>
    <w:rsid w:val="00747FDD"/>
    <w:rsid w:val="00750B6D"/>
    <w:rsid w:val="00752320"/>
    <w:rsid w:val="00752AFB"/>
    <w:rsid w:val="0075385C"/>
    <w:rsid w:val="007541EE"/>
    <w:rsid w:val="00754E09"/>
    <w:rsid w:val="00754E77"/>
    <w:rsid w:val="007552BC"/>
    <w:rsid w:val="00755327"/>
    <w:rsid w:val="00756685"/>
    <w:rsid w:val="00756E7C"/>
    <w:rsid w:val="00757424"/>
    <w:rsid w:val="007577A7"/>
    <w:rsid w:val="00757BF8"/>
    <w:rsid w:val="00757DCB"/>
    <w:rsid w:val="007603D5"/>
    <w:rsid w:val="007618FB"/>
    <w:rsid w:val="00761A81"/>
    <w:rsid w:val="00761F66"/>
    <w:rsid w:val="0076216E"/>
    <w:rsid w:val="007627A4"/>
    <w:rsid w:val="00763966"/>
    <w:rsid w:val="00764CBE"/>
    <w:rsid w:val="00765284"/>
    <w:rsid w:val="00765C6F"/>
    <w:rsid w:val="00766253"/>
    <w:rsid w:val="007668A6"/>
    <w:rsid w:val="0076710A"/>
    <w:rsid w:val="00767281"/>
    <w:rsid w:val="00767458"/>
    <w:rsid w:val="007674A7"/>
    <w:rsid w:val="0076783C"/>
    <w:rsid w:val="00770039"/>
    <w:rsid w:val="0077026B"/>
    <w:rsid w:val="00770442"/>
    <w:rsid w:val="00770BD9"/>
    <w:rsid w:val="007713D8"/>
    <w:rsid w:val="00771758"/>
    <w:rsid w:val="00771E12"/>
    <w:rsid w:val="00771F62"/>
    <w:rsid w:val="00771FF1"/>
    <w:rsid w:val="00772352"/>
    <w:rsid w:val="00772B21"/>
    <w:rsid w:val="00772C00"/>
    <w:rsid w:val="00772F88"/>
    <w:rsid w:val="007730F2"/>
    <w:rsid w:val="007736CA"/>
    <w:rsid w:val="007740D0"/>
    <w:rsid w:val="00775B7B"/>
    <w:rsid w:val="007770B7"/>
    <w:rsid w:val="00777595"/>
    <w:rsid w:val="007779AD"/>
    <w:rsid w:val="00777E1B"/>
    <w:rsid w:val="00777E3C"/>
    <w:rsid w:val="00777FB0"/>
    <w:rsid w:val="0078060E"/>
    <w:rsid w:val="007806E9"/>
    <w:rsid w:val="007808BB"/>
    <w:rsid w:val="00781238"/>
    <w:rsid w:val="0078124B"/>
    <w:rsid w:val="00781587"/>
    <w:rsid w:val="007834CF"/>
    <w:rsid w:val="007836B8"/>
    <w:rsid w:val="00783B21"/>
    <w:rsid w:val="00784F1C"/>
    <w:rsid w:val="00785345"/>
    <w:rsid w:val="00785387"/>
    <w:rsid w:val="00785494"/>
    <w:rsid w:val="007856F9"/>
    <w:rsid w:val="00785BCD"/>
    <w:rsid w:val="00785CD8"/>
    <w:rsid w:val="0078631C"/>
    <w:rsid w:val="00786A14"/>
    <w:rsid w:val="00787C7B"/>
    <w:rsid w:val="00790841"/>
    <w:rsid w:val="00790989"/>
    <w:rsid w:val="00790A98"/>
    <w:rsid w:val="00790CFD"/>
    <w:rsid w:val="00790E49"/>
    <w:rsid w:val="00790ECF"/>
    <w:rsid w:val="00791253"/>
    <w:rsid w:val="007912E1"/>
    <w:rsid w:val="00791647"/>
    <w:rsid w:val="00791BCE"/>
    <w:rsid w:val="007927C9"/>
    <w:rsid w:val="00794923"/>
    <w:rsid w:val="007949B9"/>
    <w:rsid w:val="00794C2E"/>
    <w:rsid w:val="00794EC1"/>
    <w:rsid w:val="0079543A"/>
    <w:rsid w:val="00795877"/>
    <w:rsid w:val="00795A67"/>
    <w:rsid w:val="007962BC"/>
    <w:rsid w:val="007962F4"/>
    <w:rsid w:val="00796958"/>
    <w:rsid w:val="0079735F"/>
    <w:rsid w:val="00797E71"/>
    <w:rsid w:val="007A16CD"/>
    <w:rsid w:val="007A305D"/>
    <w:rsid w:val="007A3429"/>
    <w:rsid w:val="007A47A6"/>
    <w:rsid w:val="007A51BF"/>
    <w:rsid w:val="007A546C"/>
    <w:rsid w:val="007A62D0"/>
    <w:rsid w:val="007A668E"/>
    <w:rsid w:val="007A7E6E"/>
    <w:rsid w:val="007B02A6"/>
    <w:rsid w:val="007B0545"/>
    <w:rsid w:val="007B1DD7"/>
    <w:rsid w:val="007B28EB"/>
    <w:rsid w:val="007B2B11"/>
    <w:rsid w:val="007B2CA3"/>
    <w:rsid w:val="007B3D6B"/>
    <w:rsid w:val="007B4AB9"/>
    <w:rsid w:val="007B53D6"/>
    <w:rsid w:val="007B6AC9"/>
    <w:rsid w:val="007B7E15"/>
    <w:rsid w:val="007C010A"/>
    <w:rsid w:val="007C01DA"/>
    <w:rsid w:val="007C035F"/>
    <w:rsid w:val="007C06C0"/>
    <w:rsid w:val="007C0C83"/>
    <w:rsid w:val="007C0C9B"/>
    <w:rsid w:val="007C2357"/>
    <w:rsid w:val="007C2461"/>
    <w:rsid w:val="007C2B0F"/>
    <w:rsid w:val="007C4306"/>
    <w:rsid w:val="007C5584"/>
    <w:rsid w:val="007C6E13"/>
    <w:rsid w:val="007C6F42"/>
    <w:rsid w:val="007C7C7D"/>
    <w:rsid w:val="007D0559"/>
    <w:rsid w:val="007D0B0A"/>
    <w:rsid w:val="007D195F"/>
    <w:rsid w:val="007D2870"/>
    <w:rsid w:val="007D3052"/>
    <w:rsid w:val="007D3617"/>
    <w:rsid w:val="007D37D0"/>
    <w:rsid w:val="007D3A23"/>
    <w:rsid w:val="007D3C8D"/>
    <w:rsid w:val="007D43A0"/>
    <w:rsid w:val="007D5817"/>
    <w:rsid w:val="007D5E2B"/>
    <w:rsid w:val="007D66F3"/>
    <w:rsid w:val="007D6784"/>
    <w:rsid w:val="007E04B0"/>
    <w:rsid w:val="007E11E4"/>
    <w:rsid w:val="007E1380"/>
    <w:rsid w:val="007E1642"/>
    <w:rsid w:val="007E1AE7"/>
    <w:rsid w:val="007E1F1F"/>
    <w:rsid w:val="007E2069"/>
    <w:rsid w:val="007E26F8"/>
    <w:rsid w:val="007E2FB5"/>
    <w:rsid w:val="007E3CF5"/>
    <w:rsid w:val="007E44D6"/>
    <w:rsid w:val="007E4FE9"/>
    <w:rsid w:val="007E5421"/>
    <w:rsid w:val="007E7021"/>
    <w:rsid w:val="007F04EF"/>
    <w:rsid w:val="007F0D2F"/>
    <w:rsid w:val="007F11BF"/>
    <w:rsid w:val="007F11C3"/>
    <w:rsid w:val="007F1B96"/>
    <w:rsid w:val="007F1F48"/>
    <w:rsid w:val="007F337E"/>
    <w:rsid w:val="007F3563"/>
    <w:rsid w:val="007F3BF4"/>
    <w:rsid w:val="007F3FFB"/>
    <w:rsid w:val="007F4435"/>
    <w:rsid w:val="007F57CA"/>
    <w:rsid w:val="007F65F5"/>
    <w:rsid w:val="007F6978"/>
    <w:rsid w:val="007F6EBC"/>
    <w:rsid w:val="00800383"/>
    <w:rsid w:val="00800D92"/>
    <w:rsid w:val="00800FD8"/>
    <w:rsid w:val="00801B93"/>
    <w:rsid w:val="00801C04"/>
    <w:rsid w:val="00801E25"/>
    <w:rsid w:val="00803ACB"/>
    <w:rsid w:val="00803E18"/>
    <w:rsid w:val="00805DA4"/>
    <w:rsid w:val="008064B9"/>
    <w:rsid w:val="008066BC"/>
    <w:rsid w:val="0080796A"/>
    <w:rsid w:val="00807EFF"/>
    <w:rsid w:val="008101A5"/>
    <w:rsid w:val="0081035C"/>
    <w:rsid w:val="00810ACE"/>
    <w:rsid w:val="00810AE9"/>
    <w:rsid w:val="00810B8A"/>
    <w:rsid w:val="0081124B"/>
    <w:rsid w:val="0081124F"/>
    <w:rsid w:val="00811437"/>
    <w:rsid w:val="0081158E"/>
    <w:rsid w:val="00811705"/>
    <w:rsid w:val="00811D1C"/>
    <w:rsid w:val="00812C37"/>
    <w:rsid w:val="00814046"/>
    <w:rsid w:val="0081437A"/>
    <w:rsid w:val="0081452C"/>
    <w:rsid w:val="008145FC"/>
    <w:rsid w:val="008148C0"/>
    <w:rsid w:val="00815541"/>
    <w:rsid w:val="0081632B"/>
    <w:rsid w:val="00816C29"/>
    <w:rsid w:val="00816C78"/>
    <w:rsid w:val="00816EFD"/>
    <w:rsid w:val="008171D4"/>
    <w:rsid w:val="00817697"/>
    <w:rsid w:val="008177E1"/>
    <w:rsid w:val="00817955"/>
    <w:rsid w:val="00817F18"/>
    <w:rsid w:val="00817F25"/>
    <w:rsid w:val="008200BF"/>
    <w:rsid w:val="00821180"/>
    <w:rsid w:val="00821678"/>
    <w:rsid w:val="008216C8"/>
    <w:rsid w:val="008233C5"/>
    <w:rsid w:val="0082390E"/>
    <w:rsid w:val="00823912"/>
    <w:rsid w:val="00824096"/>
    <w:rsid w:val="0082434E"/>
    <w:rsid w:val="0082476E"/>
    <w:rsid w:val="00825AFE"/>
    <w:rsid w:val="0082629E"/>
    <w:rsid w:val="008269C9"/>
    <w:rsid w:val="00826E1B"/>
    <w:rsid w:val="008273B9"/>
    <w:rsid w:val="00827B54"/>
    <w:rsid w:val="00827CFF"/>
    <w:rsid w:val="00827E43"/>
    <w:rsid w:val="008304E4"/>
    <w:rsid w:val="0083057D"/>
    <w:rsid w:val="0083085F"/>
    <w:rsid w:val="00830E4D"/>
    <w:rsid w:val="00830E68"/>
    <w:rsid w:val="00831075"/>
    <w:rsid w:val="00832210"/>
    <w:rsid w:val="008324DF"/>
    <w:rsid w:val="008327D6"/>
    <w:rsid w:val="00832BB2"/>
    <w:rsid w:val="008330E8"/>
    <w:rsid w:val="0083322D"/>
    <w:rsid w:val="00833231"/>
    <w:rsid w:val="00833346"/>
    <w:rsid w:val="008333DB"/>
    <w:rsid w:val="00834830"/>
    <w:rsid w:val="00834FD1"/>
    <w:rsid w:val="0083564D"/>
    <w:rsid w:val="00835CAE"/>
    <w:rsid w:val="00835D53"/>
    <w:rsid w:val="00835F8A"/>
    <w:rsid w:val="00836078"/>
    <w:rsid w:val="0083618D"/>
    <w:rsid w:val="0083622A"/>
    <w:rsid w:val="008367EA"/>
    <w:rsid w:val="00837313"/>
    <w:rsid w:val="00837495"/>
    <w:rsid w:val="00840100"/>
    <w:rsid w:val="00840641"/>
    <w:rsid w:val="00840B2F"/>
    <w:rsid w:val="00840BEF"/>
    <w:rsid w:val="0084100A"/>
    <w:rsid w:val="00841B37"/>
    <w:rsid w:val="008421C4"/>
    <w:rsid w:val="00842DF1"/>
    <w:rsid w:val="00843188"/>
    <w:rsid w:val="00844F4D"/>
    <w:rsid w:val="0084513A"/>
    <w:rsid w:val="008451E2"/>
    <w:rsid w:val="00845A72"/>
    <w:rsid w:val="00845B2C"/>
    <w:rsid w:val="00846182"/>
    <w:rsid w:val="0084625C"/>
    <w:rsid w:val="00846434"/>
    <w:rsid w:val="00846884"/>
    <w:rsid w:val="008471B6"/>
    <w:rsid w:val="008472BA"/>
    <w:rsid w:val="00847C6F"/>
    <w:rsid w:val="00850BCA"/>
    <w:rsid w:val="008510BA"/>
    <w:rsid w:val="00851D52"/>
    <w:rsid w:val="00851FA6"/>
    <w:rsid w:val="00852124"/>
    <w:rsid w:val="008522A7"/>
    <w:rsid w:val="008522DA"/>
    <w:rsid w:val="0085284C"/>
    <w:rsid w:val="008545FD"/>
    <w:rsid w:val="008548A0"/>
    <w:rsid w:val="00854CFE"/>
    <w:rsid w:val="00856819"/>
    <w:rsid w:val="00857048"/>
    <w:rsid w:val="0085717E"/>
    <w:rsid w:val="0086011B"/>
    <w:rsid w:val="008604A9"/>
    <w:rsid w:val="00860630"/>
    <w:rsid w:val="00860B12"/>
    <w:rsid w:val="00860BBA"/>
    <w:rsid w:val="00861036"/>
    <w:rsid w:val="0086175E"/>
    <w:rsid w:val="00862105"/>
    <w:rsid w:val="00862352"/>
    <w:rsid w:val="00862B05"/>
    <w:rsid w:val="00862B8E"/>
    <w:rsid w:val="00862EE1"/>
    <w:rsid w:val="00862FF2"/>
    <w:rsid w:val="00863420"/>
    <w:rsid w:val="00863E22"/>
    <w:rsid w:val="00864270"/>
    <w:rsid w:val="00865388"/>
    <w:rsid w:val="00865796"/>
    <w:rsid w:val="00865D24"/>
    <w:rsid w:val="00867FF1"/>
    <w:rsid w:val="008701D5"/>
    <w:rsid w:val="0087063A"/>
    <w:rsid w:val="00870AF3"/>
    <w:rsid w:val="00870AFD"/>
    <w:rsid w:val="00871457"/>
    <w:rsid w:val="00872410"/>
    <w:rsid w:val="00873466"/>
    <w:rsid w:val="008737FB"/>
    <w:rsid w:val="00873DA5"/>
    <w:rsid w:val="00874177"/>
    <w:rsid w:val="008747E4"/>
    <w:rsid w:val="008752FA"/>
    <w:rsid w:val="008759EE"/>
    <w:rsid w:val="00875C50"/>
    <w:rsid w:val="0087629E"/>
    <w:rsid w:val="00876720"/>
    <w:rsid w:val="00877206"/>
    <w:rsid w:val="008772F3"/>
    <w:rsid w:val="00877E88"/>
    <w:rsid w:val="00877F91"/>
    <w:rsid w:val="00880324"/>
    <w:rsid w:val="00880C47"/>
    <w:rsid w:val="00881AEF"/>
    <w:rsid w:val="0088205C"/>
    <w:rsid w:val="00882638"/>
    <w:rsid w:val="00882A54"/>
    <w:rsid w:val="00883DE8"/>
    <w:rsid w:val="00883F8D"/>
    <w:rsid w:val="00883FE4"/>
    <w:rsid w:val="00884B04"/>
    <w:rsid w:val="00885514"/>
    <w:rsid w:val="008856B0"/>
    <w:rsid w:val="00885EB7"/>
    <w:rsid w:val="00886276"/>
    <w:rsid w:val="008873E3"/>
    <w:rsid w:val="008877C2"/>
    <w:rsid w:val="00887D34"/>
    <w:rsid w:val="008901D3"/>
    <w:rsid w:val="0089072D"/>
    <w:rsid w:val="00890D8E"/>
    <w:rsid w:val="00891389"/>
    <w:rsid w:val="00892360"/>
    <w:rsid w:val="008924C9"/>
    <w:rsid w:val="008927F6"/>
    <w:rsid w:val="0089351E"/>
    <w:rsid w:val="008938CB"/>
    <w:rsid w:val="00893AA3"/>
    <w:rsid w:val="00894810"/>
    <w:rsid w:val="00896176"/>
    <w:rsid w:val="00896CA5"/>
    <w:rsid w:val="00896DA7"/>
    <w:rsid w:val="0089729C"/>
    <w:rsid w:val="008A062D"/>
    <w:rsid w:val="008A06A8"/>
    <w:rsid w:val="008A0A42"/>
    <w:rsid w:val="008A152C"/>
    <w:rsid w:val="008A18EC"/>
    <w:rsid w:val="008A1B26"/>
    <w:rsid w:val="008A1C2F"/>
    <w:rsid w:val="008A1D04"/>
    <w:rsid w:val="008A2182"/>
    <w:rsid w:val="008A25A1"/>
    <w:rsid w:val="008A28C7"/>
    <w:rsid w:val="008A2E60"/>
    <w:rsid w:val="008A386F"/>
    <w:rsid w:val="008A387C"/>
    <w:rsid w:val="008A3B9B"/>
    <w:rsid w:val="008A4236"/>
    <w:rsid w:val="008A4376"/>
    <w:rsid w:val="008A4868"/>
    <w:rsid w:val="008A5475"/>
    <w:rsid w:val="008A5663"/>
    <w:rsid w:val="008A5B02"/>
    <w:rsid w:val="008A60FB"/>
    <w:rsid w:val="008A61CE"/>
    <w:rsid w:val="008A6572"/>
    <w:rsid w:val="008A6AB6"/>
    <w:rsid w:val="008B1636"/>
    <w:rsid w:val="008B1FF9"/>
    <w:rsid w:val="008B2258"/>
    <w:rsid w:val="008B2DA4"/>
    <w:rsid w:val="008B30E1"/>
    <w:rsid w:val="008B316C"/>
    <w:rsid w:val="008B35FF"/>
    <w:rsid w:val="008B4673"/>
    <w:rsid w:val="008B4D55"/>
    <w:rsid w:val="008B5D92"/>
    <w:rsid w:val="008B5E11"/>
    <w:rsid w:val="008B602F"/>
    <w:rsid w:val="008B68B1"/>
    <w:rsid w:val="008B6A7E"/>
    <w:rsid w:val="008B6D22"/>
    <w:rsid w:val="008B77CE"/>
    <w:rsid w:val="008B7B7D"/>
    <w:rsid w:val="008C0EDE"/>
    <w:rsid w:val="008C0F19"/>
    <w:rsid w:val="008C134D"/>
    <w:rsid w:val="008C1617"/>
    <w:rsid w:val="008C170D"/>
    <w:rsid w:val="008C273F"/>
    <w:rsid w:val="008C277B"/>
    <w:rsid w:val="008C2D84"/>
    <w:rsid w:val="008C329A"/>
    <w:rsid w:val="008C3428"/>
    <w:rsid w:val="008C36CB"/>
    <w:rsid w:val="008C3A21"/>
    <w:rsid w:val="008C4196"/>
    <w:rsid w:val="008C49E3"/>
    <w:rsid w:val="008C4A37"/>
    <w:rsid w:val="008C4AFC"/>
    <w:rsid w:val="008C5076"/>
    <w:rsid w:val="008C53D5"/>
    <w:rsid w:val="008C5779"/>
    <w:rsid w:val="008C5833"/>
    <w:rsid w:val="008C65FA"/>
    <w:rsid w:val="008C6CBA"/>
    <w:rsid w:val="008C7DC0"/>
    <w:rsid w:val="008D08BB"/>
    <w:rsid w:val="008D0A72"/>
    <w:rsid w:val="008D13F8"/>
    <w:rsid w:val="008D22E3"/>
    <w:rsid w:val="008D349F"/>
    <w:rsid w:val="008D3653"/>
    <w:rsid w:val="008D3AB2"/>
    <w:rsid w:val="008D3B92"/>
    <w:rsid w:val="008D40C6"/>
    <w:rsid w:val="008D41A4"/>
    <w:rsid w:val="008D4241"/>
    <w:rsid w:val="008D5788"/>
    <w:rsid w:val="008D5CD7"/>
    <w:rsid w:val="008D5DCF"/>
    <w:rsid w:val="008D639D"/>
    <w:rsid w:val="008D6B74"/>
    <w:rsid w:val="008D7430"/>
    <w:rsid w:val="008D773A"/>
    <w:rsid w:val="008E025E"/>
    <w:rsid w:val="008E0D5D"/>
    <w:rsid w:val="008E1D66"/>
    <w:rsid w:val="008E30B1"/>
    <w:rsid w:val="008E3C94"/>
    <w:rsid w:val="008E40F5"/>
    <w:rsid w:val="008E42EA"/>
    <w:rsid w:val="008E4600"/>
    <w:rsid w:val="008E56A6"/>
    <w:rsid w:val="008E6A62"/>
    <w:rsid w:val="008E6B17"/>
    <w:rsid w:val="008E7F5C"/>
    <w:rsid w:val="008F0153"/>
    <w:rsid w:val="008F0E0E"/>
    <w:rsid w:val="008F14BD"/>
    <w:rsid w:val="008F18E0"/>
    <w:rsid w:val="008F1C6C"/>
    <w:rsid w:val="008F1CB7"/>
    <w:rsid w:val="008F2BAB"/>
    <w:rsid w:val="008F40A0"/>
    <w:rsid w:val="008F4EE1"/>
    <w:rsid w:val="008F5519"/>
    <w:rsid w:val="008F5733"/>
    <w:rsid w:val="008F5E40"/>
    <w:rsid w:val="008F67A8"/>
    <w:rsid w:val="008F6ED5"/>
    <w:rsid w:val="008F724A"/>
    <w:rsid w:val="008F73FD"/>
    <w:rsid w:val="008F7709"/>
    <w:rsid w:val="008F7752"/>
    <w:rsid w:val="008F79EF"/>
    <w:rsid w:val="009001A9"/>
    <w:rsid w:val="00900A0C"/>
    <w:rsid w:val="00900CEF"/>
    <w:rsid w:val="00901B71"/>
    <w:rsid w:val="009023BA"/>
    <w:rsid w:val="0090320A"/>
    <w:rsid w:val="00903928"/>
    <w:rsid w:val="00903CC1"/>
    <w:rsid w:val="00904693"/>
    <w:rsid w:val="00905076"/>
    <w:rsid w:val="00905B88"/>
    <w:rsid w:val="00905EFE"/>
    <w:rsid w:val="0090612A"/>
    <w:rsid w:val="0090655B"/>
    <w:rsid w:val="0090655C"/>
    <w:rsid w:val="009066B5"/>
    <w:rsid w:val="009068CC"/>
    <w:rsid w:val="0090755C"/>
    <w:rsid w:val="00907D9C"/>
    <w:rsid w:val="0091126D"/>
    <w:rsid w:val="009116D3"/>
    <w:rsid w:val="0091185B"/>
    <w:rsid w:val="009119EC"/>
    <w:rsid w:val="00911B5A"/>
    <w:rsid w:val="00912027"/>
    <w:rsid w:val="0091238E"/>
    <w:rsid w:val="009132B3"/>
    <w:rsid w:val="009135FF"/>
    <w:rsid w:val="00914463"/>
    <w:rsid w:val="00914718"/>
    <w:rsid w:val="00914B09"/>
    <w:rsid w:val="00914E4D"/>
    <w:rsid w:val="00915345"/>
    <w:rsid w:val="00916D34"/>
    <w:rsid w:val="009172B7"/>
    <w:rsid w:val="00921B9F"/>
    <w:rsid w:val="00923EC3"/>
    <w:rsid w:val="00924266"/>
    <w:rsid w:val="009246CB"/>
    <w:rsid w:val="009251E9"/>
    <w:rsid w:val="00925316"/>
    <w:rsid w:val="00925682"/>
    <w:rsid w:val="00925B6F"/>
    <w:rsid w:val="00925CF7"/>
    <w:rsid w:val="00926DFD"/>
    <w:rsid w:val="00927311"/>
    <w:rsid w:val="009301C5"/>
    <w:rsid w:val="009315C4"/>
    <w:rsid w:val="00931C18"/>
    <w:rsid w:val="00932DC8"/>
    <w:rsid w:val="0093309B"/>
    <w:rsid w:val="009339C7"/>
    <w:rsid w:val="00933A47"/>
    <w:rsid w:val="009342A5"/>
    <w:rsid w:val="00934D21"/>
    <w:rsid w:val="00934EBA"/>
    <w:rsid w:val="00934F34"/>
    <w:rsid w:val="00936D4B"/>
    <w:rsid w:val="009372EB"/>
    <w:rsid w:val="00937A48"/>
    <w:rsid w:val="00937D5B"/>
    <w:rsid w:val="00937ECB"/>
    <w:rsid w:val="009400E9"/>
    <w:rsid w:val="009402D0"/>
    <w:rsid w:val="00940DA7"/>
    <w:rsid w:val="009412FC"/>
    <w:rsid w:val="009414A6"/>
    <w:rsid w:val="00941612"/>
    <w:rsid w:val="0094192F"/>
    <w:rsid w:val="00941CB6"/>
    <w:rsid w:val="009421B4"/>
    <w:rsid w:val="00942739"/>
    <w:rsid w:val="00942E87"/>
    <w:rsid w:val="00943640"/>
    <w:rsid w:val="00944211"/>
    <w:rsid w:val="00944681"/>
    <w:rsid w:val="00944F2D"/>
    <w:rsid w:val="009459B1"/>
    <w:rsid w:val="00946A2D"/>
    <w:rsid w:val="00946FAD"/>
    <w:rsid w:val="00947E9D"/>
    <w:rsid w:val="00950D2A"/>
    <w:rsid w:val="00950FA1"/>
    <w:rsid w:val="00953063"/>
    <w:rsid w:val="009532D1"/>
    <w:rsid w:val="009538B4"/>
    <w:rsid w:val="00954424"/>
    <w:rsid w:val="009547B6"/>
    <w:rsid w:val="00954861"/>
    <w:rsid w:val="009549E5"/>
    <w:rsid w:val="00955203"/>
    <w:rsid w:val="0095563A"/>
    <w:rsid w:val="00955CDF"/>
    <w:rsid w:val="00955F32"/>
    <w:rsid w:val="00955FB1"/>
    <w:rsid w:val="00956A69"/>
    <w:rsid w:val="00956E8A"/>
    <w:rsid w:val="00961238"/>
    <w:rsid w:val="00961BCB"/>
    <w:rsid w:val="00962218"/>
    <w:rsid w:val="00962632"/>
    <w:rsid w:val="009627A8"/>
    <w:rsid w:val="00962D49"/>
    <w:rsid w:val="00963239"/>
    <w:rsid w:val="00963852"/>
    <w:rsid w:val="009645E5"/>
    <w:rsid w:val="00964A56"/>
    <w:rsid w:val="00964DD1"/>
    <w:rsid w:val="00964F18"/>
    <w:rsid w:val="00965A83"/>
    <w:rsid w:val="00965EE1"/>
    <w:rsid w:val="009663F6"/>
    <w:rsid w:val="00966F0C"/>
    <w:rsid w:val="00967038"/>
    <w:rsid w:val="00967372"/>
    <w:rsid w:val="00967543"/>
    <w:rsid w:val="009676E9"/>
    <w:rsid w:val="00967EB1"/>
    <w:rsid w:val="00967FE5"/>
    <w:rsid w:val="00970296"/>
    <w:rsid w:val="00971E29"/>
    <w:rsid w:val="009725FD"/>
    <w:rsid w:val="009736C1"/>
    <w:rsid w:val="0097413C"/>
    <w:rsid w:val="00974657"/>
    <w:rsid w:val="0097499E"/>
    <w:rsid w:val="00974B7D"/>
    <w:rsid w:val="00974E33"/>
    <w:rsid w:val="00975E60"/>
    <w:rsid w:val="00976B3D"/>
    <w:rsid w:val="00976EBA"/>
    <w:rsid w:val="00976FF1"/>
    <w:rsid w:val="00977CD3"/>
    <w:rsid w:val="00977D14"/>
    <w:rsid w:val="009815F7"/>
    <w:rsid w:val="00981ACC"/>
    <w:rsid w:val="00981D6B"/>
    <w:rsid w:val="00981F30"/>
    <w:rsid w:val="00982470"/>
    <w:rsid w:val="00982B83"/>
    <w:rsid w:val="00982C22"/>
    <w:rsid w:val="00982F24"/>
    <w:rsid w:val="009838DE"/>
    <w:rsid w:val="0098497A"/>
    <w:rsid w:val="00984A74"/>
    <w:rsid w:val="00984DC5"/>
    <w:rsid w:val="009856DB"/>
    <w:rsid w:val="00985EA9"/>
    <w:rsid w:val="0098664E"/>
    <w:rsid w:val="009876C5"/>
    <w:rsid w:val="00990092"/>
    <w:rsid w:val="009902A8"/>
    <w:rsid w:val="00990846"/>
    <w:rsid w:val="00990CA1"/>
    <w:rsid w:val="00991104"/>
    <w:rsid w:val="0099293E"/>
    <w:rsid w:val="009929E5"/>
    <w:rsid w:val="00992D60"/>
    <w:rsid w:val="00993133"/>
    <w:rsid w:val="009934FF"/>
    <w:rsid w:val="00995253"/>
    <w:rsid w:val="00995288"/>
    <w:rsid w:val="00996B51"/>
    <w:rsid w:val="00996EC4"/>
    <w:rsid w:val="009975AE"/>
    <w:rsid w:val="009A0268"/>
    <w:rsid w:val="009A03E4"/>
    <w:rsid w:val="009A03FD"/>
    <w:rsid w:val="009A0A8F"/>
    <w:rsid w:val="009A0C3E"/>
    <w:rsid w:val="009A0D04"/>
    <w:rsid w:val="009A140B"/>
    <w:rsid w:val="009A1498"/>
    <w:rsid w:val="009A1519"/>
    <w:rsid w:val="009A1B2D"/>
    <w:rsid w:val="009A1C13"/>
    <w:rsid w:val="009A2987"/>
    <w:rsid w:val="009A38F3"/>
    <w:rsid w:val="009A4146"/>
    <w:rsid w:val="009A424B"/>
    <w:rsid w:val="009A4DA9"/>
    <w:rsid w:val="009A5AC3"/>
    <w:rsid w:val="009A7086"/>
    <w:rsid w:val="009A714F"/>
    <w:rsid w:val="009A7B87"/>
    <w:rsid w:val="009B01B5"/>
    <w:rsid w:val="009B09B4"/>
    <w:rsid w:val="009B16E4"/>
    <w:rsid w:val="009B19C6"/>
    <w:rsid w:val="009B1A46"/>
    <w:rsid w:val="009B22E7"/>
    <w:rsid w:val="009B41D2"/>
    <w:rsid w:val="009B4558"/>
    <w:rsid w:val="009B627C"/>
    <w:rsid w:val="009B6467"/>
    <w:rsid w:val="009B66E9"/>
    <w:rsid w:val="009C067D"/>
    <w:rsid w:val="009C210F"/>
    <w:rsid w:val="009C257C"/>
    <w:rsid w:val="009C2BF7"/>
    <w:rsid w:val="009C39B2"/>
    <w:rsid w:val="009C4885"/>
    <w:rsid w:val="009C502E"/>
    <w:rsid w:val="009C685F"/>
    <w:rsid w:val="009C6EBC"/>
    <w:rsid w:val="009C766E"/>
    <w:rsid w:val="009C7B4E"/>
    <w:rsid w:val="009C7C87"/>
    <w:rsid w:val="009D006B"/>
    <w:rsid w:val="009D07DA"/>
    <w:rsid w:val="009D13F6"/>
    <w:rsid w:val="009D18AD"/>
    <w:rsid w:val="009D1EC2"/>
    <w:rsid w:val="009D39C6"/>
    <w:rsid w:val="009D4306"/>
    <w:rsid w:val="009D46C4"/>
    <w:rsid w:val="009D4AEF"/>
    <w:rsid w:val="009D514F"/>
    <w:rsid w:val="009D56AA"/>
    <w:rsid w:val="009D6300"/>
    <w:rsid w:val="009D6DB9"/>
    <w:rsid w:val="009D7852"/>
    <w:rsid w:val="009D790C"/>
    <w:rsid w:val="009E079C"/>
    <w:rsid w:val="009E0A0A"/>
    <w:rsid w:val="009E0BA8"/>
    <w:rsid w:val="009E0BCB"/>
    <w:rsid w:val="009E2793"/>
    <w:rsid w:val="009E289C"/>
    <w:rsid w:val="009E2AB9"/>
    <w:rsid w:val="009E3133"/>
    <w:rsid w:val="009E3BB3"/>
    <w:rsid w:val="009E3CD3"/>
    <w:rsid w:val="009E4F8B"/>
    <w:rsid w:val="009E52C8"/>
    <w:rsid w:val="009E5554"/>
    <w:rsid w:val="009E5BEE"/>
    <w:rsid w:val="009E5F02"/>
    <w:rsid w:val="009E6589"/>
    <w:rsid w:val="009E6C66"/>
    <w:rsid w:val="009E7445"/>
    <w:rsid w:val="009F0523"/>
    <w:rsid w:val="009F0723"/>
    <w:rsid w:val="009F0BFE"/>
    <w:rsid w:val="009F1190"/>
    <w:rsid w:val="009F1B0B"/>
    <w:rsid w:val="009F1F62"/>
    <w:rsid w:val="009F23F9"/>
    <w:rsid w:val="009F2406"/>
    <w:rsid w:val="009F2FDC"/>
    <w:rsid w:val="009F312C"/>
    <w:rsid w:val="009F3CE5"/>
    <w:rsid w:val="009F3DE2"/>
    <w:rsid w:val="009F4AF3"/>
    <w:rsid w:val="009F51BC"/>
    <w:rsid w:val="009F5F48"/>
    <w:rsid w:val="009F61DD"/>
    <w:rsid w:val="009F6E51"/>
    <w:rsid w:val="009F7680"/>
    <w:rsid w:val="009F7D58"/>
    <w:rsid w:val="00A003C4"/>
    <w:rsid w:val="00A00840"/>
    <w:rsid w:val="00A00882"/>
    <w:rsid w:val="00A008E2"/>
    <w:rsid w:val="00A00C1B"/>
    <w:rsid w:val="00A012D0"/>
    <w:rsid w:val="00A01672"/>
    <w:rsid w:val="00A021F7"/>
    <w:rsid w:val="00A022E7"/>
    <w:rsid w:val="00A0231B"/>
    <w:rsid w:val="00A02444"/>
    <w:rsid w:val="00A02AE0"/>
    <w:rsid w:val="00A02C23"/>
    <w:rsid w:val="00A02DF1"/>
    <w:rsid w:val="00A03544"/>
    <w:rsid w:val="00A0399C"/>
    <w:rsid w:val="00A03B41"/>
    <w:rsid w:val="00A03C25"/>
    <w:rsid w:val="00A04886"/>
    <w:rsid w:val="00A04D44"/>
    <w:rsid w:val="00A04D82"/>
    <w:rsid w:val="00A06532"/>
    <w:rsid w:val="00A0692B"/>
    <w:rsid w:val="00A0749A"/>
    <w:rsid w:val="00A07780"/>
    <w:rsid w:val="00A0799A"/>
    <w:rsid w:val="00A100FA"/>
    <w:rsid w:val="00A1103D"/>
    <w:rsid w:val="00A11055"/>
    <w:rsid w:val="00A1148F"/>
    <w:rsid w:val="00A11755"/>
    <w:rsid w:val="00A12490"/>
    <w:rsid w:val="00A12A1D"/>
    <w:rsid w:val="00A12EB5"/>
    <w:rsid w:val="00A13259"/>
    <w:rsid w:val="00A1458F"/>
    <w:rsid w:val="00A14C92"/>
    <w:rsid w:val="00A15568"/>
    <w:rsid w:val="00A15BE5"/>
    <w:rsid w:val="00A16814"/>
    <w:rsid w:val="00A16B7A"/>
    <w:rsid w:val="00A16E01"/>
    <w:rsid w:val="00A208D9"/>
    <w:rsid w:val="00A20AB0"/>
    <w:rsid w:val="00A220CF"/>
    <w:rsid w:val="00A225EF"/>
    <w:rsid w:val="00A23E3A"/>
    <w:rsid w:val="00A24C96"/>
    <w:rsid w:val="00A24D65"/>
    <w:rsid w:val="00A258A3"/>
    <w:rsid w:val="00A259EB"/>
    <w:rsid w:val="00A25DC9"/>
    <w:rsid w:val="00A25F5C"/>
    <w:rsid w:val="00A260F0"/>
    <w:rsid w:val="00A26A60"/>
    <w:rsid w:val="00A273B7"/>
    <w:rsid w:val="00A27430"/>
    <w:rsid w:val="00A27F60"/>
    <w:rsid w:val="00A3008E"/>
    <w:rsid w:val="00A302F3"/>
    <w:rsid w:val="00A30724"/>
    <w:rsid w:val="00A31462"/>
    <w:rsid w:val="00A32D8F"/>
    <w:rsid w:val="00A332DF"/>
    <w:rsid w:val="00A3407C"/>
    <w:rsid w:val="00A347C6"/>
    <w:rsid w:val="00A34DE6"/>
    <w:rsid w:val="00A35551"/>
    <w:rsid w:val="00A355A8"/>
    <w:rsid w:val="00A362C3"/>
    <w:rsid w:val="00A36C8C"/>
    <w:rsid w:val="00A372BE"/>
    <w:rsid w:val="00A377B9"/>
    <w:rsid w:val="00A37B94"/>
    <w:rsid w:val="00A40177"/>
    <w:rsid w:val="00A41891"/>
    <w:rsid w:val="00A41F02"/>
    <w:rsid w:val="00A4288E"/>
    <w:rsid w:val="00A43690"/>
    <w:rsid w:val="00A47D89"/>
    <w:rsid w:val="00A504CE"/>
    <w:rsid w:val="00A520E2"/>
    <w:rsid w:val="00A52279"/>
    <w:rsid w:val="00A522AA"/>
    <w:rsid w:val="00A528B0"/>
    <w:rsid w:val="00A5386E"/>
    <w:rsid w:val="00A54928"/>
    <w:rsid w:val="00A55058"/>
    <w:rsid w:val="00A55EA1"/>
    <w:rsid w:val="00A56456"/>
    <w:rsid w:val="00A5650A"/>
    <w:rsid w:val="00A5673D"/>
    <w:rsid w:val="00A56FBE"/>
    <w:rsid w:val="00A57067"/>
    <w:rsid w:val="00A5741A"/>
    <w:rsid w:val="00A5790E"/>
    <w:rsid w:val="00A579A1"/>
    <w:rsid w:val="00A618C3"/>
    <w:rsid w:val="00A61A4A"/>
    <w:rsid w:val="00A61E0A"/>
    <w:rsid w:val="00A62652"/>
    <w:rsid w:val="00A62874"/>
    <w:rsid w:val="00A62C44"/>
    <w:rsid w:val="00A62CEE"/>
    <w:rsid w:val="00A6350F"/>
    <w:rsid w:val="00A64705"/>
    <w:rsid w:val="00A65A39"/>
    <w:rsid w:val="00A65F1B"/>
    <w:rsid w:val="00A6688B"/>
    <w:rsid w:val="00A6760B"/>
    <w:rsid w:val="00A677D7"/>
    <w:rsid w:val="00A67B0C"/>
    <w:rsid w:val="00A67CB0"/>
    <w:rsid w:val="00A67F0B"/>
    <w:rsid w:val="00A719EE"/>
    <w:rsid w:val="00A71FB7"/>
    <w:rsid w:val="00A72BE5"/>
    <w:rsid w:val="00A7336D"/>
    <w:rsid w:val="00A7344C"/>
    <w:rsid w:val="00A73574"/>
    <w:rsid w:val="00A73852"/>
    <w:rsid w:val="00A73F35"/>
    <w:rsid w:val="00A75B9E"/>
    <w:rsid w:val="00A75BBA"/>
    <w:rsid w:val="00A75BCF"/>
    <w:rsid w:val="00A7601C"/>
    <w:rsid w:val="00A76379"/>
    <w:rsid w:val="00A764CA"/>
    <w:rsid w:val="00A769AF"/>
    <w:rsid w:val="00A76E0C"/>
    <w:rsid w:val="00A77273"/>
    <w:rsid w:val="00A806FD"/>
    <w:rsid w:val="00A80A43"/>
    <w:rsid w:val="00A81711"/>
    <w:rsid w:val="00A82151"/>
    <w:rsid w:val="00A82590"/>
    <w:rsid w:val="00A8259F"/>
    <w:rsid w:val="00A826F4"/>
    <w:rsid w:val="00A82763"/>
    <w:rsid w:val="00A82F3D"/>
    <w:rsid w:val="00A83A77"/>
    <w:rsid w:val="00A841D2"/>
    <w:rsid w:val="00A8422B"/>
    <w:rsid w:val="00A8457B"/>
    <w:rsid w:val="00A845C5"/>
    <w:rsid w:val="00A85260"/>
    <w:rsid w:val="00A8549E"/>
    <w:rsid w:val="00A857BA"/>
    <w:rsid w:val="00A8676F"/>
    <w:rsid w:val="00A868EC"/>
    <w:rsid w:val="00A86FE9"/>
    <w:rsid w:val="00A86FEC"/>
    <w:rsid w:val="00A8768D"/>
    <w:rsid w:val="00A87938"/>
    <w:rsid w:val="00A87B07"/>
    <w:rsid w:val="00A87D76"/>
    <w:rsid w:val="00A901A1"/>
    <w:rsid w:val="00A90625"/>
    <w:rsid w:val="00A906E0"/>
    <w:rsid w:val="00A90D47"/>
    <w:rsid w:val="00A910D0"/>
    <w:rsid w:val="00A9185D"/>
    <w:rsid w:val="00A91981"/>
    <w:rsid w:val="00A91C29"/>
    <w:rsid w:val="00A91D42"/>
    <w:rsid w:val="00A92A5A"/>
    <w:rsid w:val="00A92DAB"/>
    <w:rsid w:val="00A9367F"/>
    <w:rsid w:val="00A948F4"/>
    <w:rsid w:val="00A94BC5"/>
    <w:rsid w:val="00A9531F"/>
    <w:rsid w:val="00A95566"/>
    <w:rsid w:val="00A95DC4"/>
    <w:rsid w:val="00A963BE"/>
    <w:rsid w:val="00A969FA"/>
    <w:rsid w:val="00A9755A"/>
    <w:rsid w:val="00AA0DD7"/>
    <w:rsid w:val="00AA0E76"/>
    <w:rsid w:val="00AA14AF"/>
    <w:rsid w:val="00AA1C28"/>
    <w:rsid w:val="00AA2252"/>
    <w:rsid w:val="00AA2523"/>
    <w:rsid w:val="00AA2638"/>
    <w:rsid w:val="00AA2898"/>
    <w:rsid w:val="00AA2995"/>
    <w:rsid w:val="00AA2F3C"/>
    <w:rsid w:val="00AA3C74"/>
    <w:rsid w:val="00AA41FD"/>
    <w:rsid w:val="00AA4603"/>
    <w:rsid w:val="00AA4D0C"/>
    <w:rsid w:val="00AA4DE0"/>
    <w:rsid w:val="00AA4F34"/>
    <w:rsid w:val="00AA54A1"/>
    <w:rsid w:val="00AA5D9F"/>
    <w:rsid w:val="00AA65CE"/>
    <w:rsid w:val="00AA6D94"/>
    <w:rsid w:val="00AA71A9"/>
    <w:rsid w:val="00AA7238"/>
    <w:rsid w:val="00AA7E4E"/>
    <w:rsid w:val="00AB040D"/>
    <w:rsid w:val="00AB0506"/>
    <w:rsid w:val="00AB0C0F"/>
    <w:rsid w:val="00AB0F15"/>
    <w:rsid w:val="00AB1E7E"/>
    <w:rsid w:val="00AB27EB"/>
    <w:rsid w:val="00AB2FBE"/>
    <w:rsid w:val="00AB383F"/>
    <w:rsid w:val="00AB3921"/>
    <w:rsid w:val="00AB39C3"/>
    <w:rsid w:val="00AB4B8A"/>
    <w:rsid w:val="00AB6302"/>
    <w:rsid w:val="00AB687F"/>
    <w:rsid w:val="00AB6BAE"/>
    <w:rsid w:val="00AB6C11"/>
    <w:rsid w:val="00AC120F"/>
    <w:rsid w:val="00AC32C5"/>
    <w:rsid w:val="00AC3358"/>
    <w:rsid w:val="00AC3E49"/>
    <w:rsid w:val="00AC4CF8"/>
    <w:rsid w:val="00AC4F0A"/>
    <w:rsid w:val="00AC5504"/>
    <w:rsid w:val="00AC5A62"/>
    <w:rsid w:val="00AC642A"/>
    <w:rsid w:val="00AC7C8A"/>
    <w:rsid w:val="00AD06FB"/>
    <w:rsid w:val="00AD098D"/>
    <w:rsid w:val="00AD0C3C"/>
    <w:rsid w:val="00AD1041"/>
    <w:rsid w:val="00AD11CF"/>
    <w:rsid w:val="00AD1675"/>
    <w:rsid w:val="00AD26E7"/>
    <w:rsid w:val="00AD2D14"/>
    <w:rsid w:val="00AD2DA4"/>
    <w:rsid w:val="00AD3341"/>
    <w:rsid w:val="00AD4CDF"/>
    <w:rsid w:val="00AD516A"/>
    <w:rsid w:val="00AD5598"/>
    <w:rsid w:val="00AD5CE1"/>
    <w:rsid w:val="00AD6B17"/>
    <w:rsid w:val="00AD6B9B"/>
    <w:rsid w:val="00AD7D48"/>
    <w:rsid w:val="00AE002D"/>
    <w:rsid w:val="00AE0AB6"/>
    <w:rsid w:val="00AE1970"/>
    <w:rsid w:val="00AE2038"/>
    <w:rsid w:val="00AE293E"/>
    <w:rsid w:val="00AE2B4D"/>
    <w:rsid w:val="00AE30CA"/>
    <w:rsid w:val="00AE3812"/>
    <w:rsid w:val="00AE43F7"/>
    <w:rsid w:val="00AE4540"/>
    <w:rsid w:val="00AE4912"/>
    <w:rsid w:val="00AE4F92"/>
    <w:rsid w:val="00AE517F"/>
    <w:rsid w:val="00AE5376"/>
    <w:rsid w:val="00AE56F3"/>
    <w:rsid w:val="00AE5CA2"/>
    <w:rsid w:val="00AE5DB7"/>
    <w:rsid w:val="00AE6141"/>
    <w:rsid w:val="00AE74B7"/>
    <w:rsid w:val="00AE78A3"/>
    <w:rsid w:val="00AF0080"/>
    <w:rsid w:val="00AF0AFD"/>
    <w:rsid w:val="00AF0FFC"/>
    <w:rsid w:val="00AF1E76"/>
    <w:rsid w:val="00AF2468"/>
    <w:rsid w:val="00AF304B"/>
    <w:rsid w:val="00AF3182"/>
    <w:rsid w:val="00AF33D6"/>
    <w:rsid w:val="00AF3985"/>
    <w:rsid w:val="00AF3998"/>
    <w:rsid w:val="00AF4EDC"/>
    <w:rsid w:val="00AF5035"/>
    <w:rsid w:val="00AF5BA2"/>
    <w:rsid w:val="00AF5D15"/>
    <w:rsid w:val="00AF6B15"/>
    <w:rsid w:val="00B00847"/>
    <w:rsid w:val="00B0141E"/>
    <w:rsid w:val="00B01879"/>
    <w:rsid w:val="00B01D44"/>
    <w:rsid w:val="00B02211"/>
    <w:rsid w:val="00B02DEF"/>
    <w:rsid w:val="00B02F23"/>
    <w:rsid w:val="00B03BB5"/>
    <w:rsid w:val="00B03C04"/>
    <w:rsid w:val="00B042DB"/>
    <w:rsid w:val="00B04347"/>
    <w:rsid w:val="00B04A6B"/>
    <w:rsid w:val="00B04DF1"/>
    <w:rsid w:val="00B057D9"/>
    <w:rsid w:val="00B06799"/>
    <w:rsid w:val="00B06C1C"/>
    <w:rsid w:val="00B072A7"/>
    <w:rsid w:val="00B0791C"/>
    <w:rsid w:val="00B1049A"/>
    <w:rsid w:val="00B1077D"/>
    <w:rsid w:val="00B1156B"/>
    <w:rsid w:val="00B1177C"/>
    <w:rsid w:val="00B12644"/>
    <w:rsid w:val="00B1343F"/>
    <w:rsid w:val="00B14E5D"/>
    <w:rsid w:val="00B15044"/>
    <w:rsid w:val="00B15164"/>
    <w:rsid w:val="00B152EB"/>
    <w:rsid w:val="00B1576D"/>
    <w:rsid w:val="00B15EF8"/>
    <w:rsid w:val="00B1728F"/>
    <w:rsid w:val="00B174C4"/>
    <w:rsid w:val="00B176CF"/>
    <w:rsid w:val="00B179A3"/>
    <w:rsid w:val="00B17CA5"/>
    <w:rsid w:val="00B2049E"/>
    <w:rsid w:val="00B207E6"/>
    <w:rsid w:val="00B21E6B"/>
    <w:rsid w:val="00B2283C"/>
    <w:rsid w:val="00B22D2E"/>
    <w:rsid w:val="00B2390C"/>
    <w:rsid w:val="00B23AE7"/>
    <w:rsid w:val="00B23C12"/>
    <w:rsid w:val="00B24098"/>
    <w:rsid w:val="00B244AC"/>
    <w:rsid w:val="00B24A7E"/>
    <w:rsid w:val="00B25271"/>
    <w:rsid w:val="00B2579B"/>
    <w:rsid w:val="00B25D93"/>
    <w:rsid w:val="00B26429"/>
    <w:rsid w:val="00B26483"/>
    <w:rsid w:val="00B2670B"/>
    <w:rsid w:val="00B2674B"/>
    <w:rsid w:val="00B268B7"/>
    <w:rsid w:val="00B26CCD"/>
    <w:rsid w:val="00B27076"/>
    <w:rsid w:val="00B27697"/>
    <w:rsid w:val="00B27CCE"/>
    <w:rsid w:val="00B3067E"/>
    <w:rsid w:val="00B30C2C"/>
    <w:rsid w:val="00B310EF"/>
    <w:rsid w:val="00B31CA0"/>
    <w:rsid w:val="00B32A22"/>
    <w:rsid w:val="00B32A55"/>
    <w:rsid w:val="00B333B7"/>
    <w:rsid w:val="00B33B9D"/>
    <w:rsid w:val="00B33F2D"/>
    <w:rsid w:val="00B351DC"/>
    <w:rsid w:val="00B361D3"/>
    <w:rsid w:val="00B3685F"/>
    <w:rsid w:val="00B36D52"/>
    <w:rsid w:val="00B36E85"/>
    <w:rsid w:val="00B37027"/>
    <w:rsid w:val="00B374A2"/>
    <w:rsid w:val="00B378E0"/>
    <w:rsid w:val="00B37AE8"/>
    <w:rsid w:val="00B408FD"/>
    <w:rsid w:val="00B40CB4"/>
    <w:rsid w:val="00B420E6"/>
    <w:rsid w:val="00B42302"/>
    <w:rsid w:val="00B42985"/>
    <w:rsid w:val="00B42A09"/>
    <w:rsid w:val="00B4359A"/>
    <w:rsid w:val="00B44093"/>
    <w:rsid w:val="00B4581B"/>
    <w:rsid w:val="00B45C09"/>
    <w:rsid w:val="00B45EEA"/>
    <w:rsid w:val="00B46F83"/>
    <w:rsid w:val="00B470D9"/>
    <w:rsid w:val="00B4767E"/>
    <w:rsid w:val="00B47E24"/>
    <w:rsid w:val="00B50351"/>
    <w:rsid w:val="00B51905"/>
    <w:rsid w:val="00B51AB9"/>
    <w:rsid w:val="00B51C2B"/>
    <w:rsid w:val="00B522B9"/>
    <w:rsid w:val="00B524D3"/>
    <w:rsid w:val="00B542AB"/>
    <w:rsid w:val="00B543BE"/>
    <w:rsid w:val="00B544B1"/>
    <w:rsid w:val="00B557B4"/>
    <w:rsid w:val="00B56031"/>
    <w:rsid w:val="00B56041"/>
    <w:rsid w:val="00B564F6"/>
    <w:rsid w:val="00B574DE"/>
    <w:rsid w:val="00B57BBD"/>
    <w:rsid w:val="00B606B2"/>
    <w:rsid w:val="00B60A34"/>
    <w:rsid w:val="00B610DE"/>
    <w:rsid w:val="00B62787"/>
    <w:rsid w:val="00B62C54"/>
    <w:rsid w:val="00B6325C"/>
    <w:rsid w:val="00B638BC"/>
    <w:rsid w:val="00B63CB3"/>
    <w:rsid w:val="00B63F16"/>
    <w:rsid w:val="00B64B4C"/>
    <w:rsid w:val="00B64ED2"/>
    <w:rsid w:val="00B6738B"/>
    <w:rsid w:val="00B71957"/>
    <w:rsid w:val="00B71B77"/>
    <w:rsid w:val="00B72E31"/>
    <w:rsid w:val="00B73050"/>
    <w:rsid w:val="00B75934"/>
    <w:rsid w:val="00B76C73"/>
    <w:rsid w:val="00B7770A"/>
    <w:rsid w:val="00B7797D"/>
    <w:rsid w:val="00B77C25"/>
    <w:rsid w:val="00B81687"/>
    <w:rsid w:val="00B81B6D"/>
    <w:rsid w:val="00B81E6E"/>
    <w:rsid w:val="00B824FC"/>
    <w:rsid w:val="00B83156"/>
    <w:rsid w:val="00B84120"/>
    <w:rsid w:val="00B8426B"/>
    <w:rsid w:val="00B85207"/>
    <w:rsid w:val="00B85659"/>
    <w:rsid w:val="00B85738"/>
    <w:rsid w:val="00B85BF8"/>
    <w:rsid w:val="00B85D25"/>
    <w:rsid w:val="00B8647C"/>
    <w:rsid w:val="00B87986"/>
    <w:rsid w:val="00B879E0"/>
    <w:rsid w:val="00B9116F"/>
    <w:rsid w:val="00B916C0"/>
    <w:rsid w:val="00B924C7"/>
    <w:rsid w:val="00B9272C"/>
    <w:rsid w:val="00B93450"/>
    <w:rsid w:val="00B936FB"/>
    <w:rsid w:val="00B9392E"/>
    <w:rsid w:val="00B93B29"/>
    <w:rsid w:val="00B94AF0"/>
    <w:rsid w:val="00B94D3F"/>
    <w:rsid w:val="00B9508A"/>
    <w:rsid w:val="00B958D9"/>
    <w:rsid w:val="00B95AE0"/>
    <w:rsid w:val="00B967AA"/>
    <w:rsid w:val="00B96BB3"/>
    <w:rsid w:val="00B96ED9"/>
    <w:rsid w:val="00B96F24"/>
    <w:rsid w:val="00B96FDB"/>
    <w:rsid w:val="00B972A6"/>
    <w:rsid w:val="00B9734D"/>
    <w:rsid w:val="00B974FE"/>
    <w:rsid w:val="00B97F10"/>
    <w:rsid w:val="00BA05F7"/>
    <w:rsid w:val="00BA1404"/>
    <w:rsid w:val="00BA143D"/>
    <w:rsid w:val="00BA1A03"/>
    <w:rsid w:val="00BA2497"/>
    <w:rsid w:val="00BA24C9"/>
    <w:rsid w:val="00BA27E5"/>
    <w:rsid w:val="00BA2A75"/>
    <w:rsid w:val="00BA2C76"/>
    <w:rsid w:val="00BA346C"/>
    <w:rsid w:val="00BA4304"/>
    <w:rsid w:val="00BA58E3"/>
    <w:rsid w:val="00BA5964"/>
    <w:rsid w:val="00BA5E45"/>
    <w:rsid w:val="00BA5EC9"/>
    <w:rsid w:val="00BA609F"/>
    <w:rsid w:val="00BA628A"/>
    <w:rsid w:val="00BA6401"/>
    <w:rsid w:val="00BA6C16"/>
    <w:rsid w:val="00BA6D93"/>
    <w:rsid w:val="00BA72B9"/>
    <w:rsid w:val="00BB0131"/>
    <w:rsid w:val="00BB0E84"/>
    <w:rsid w:val="00BB0FE2"/>
    <w:rsid w:val="00BB249C"/>
    <w:rsid w:val="00BB325D"/>
    <w:rsid w:val="00BB35F6"/>
    <w:rsid w:val="00BB4236"/>
    <w:rsid w:val="00BB4364"/>
    <w:rsid w:val="00BB44FD"/>
    <w:rsid w:val="00BB4563"/>
    <w:rsid w:val="00BB4676"/>
    <w:rsid w:val="00BB70D6"/>
    <w:rsid w:val="00BB724C"/>
    <w:rsid w:val="00BB7D34"/>
    <w:rsid w:val="00BC0127"/>
    <w:rsid w:val="00BC0B5E"/>
    <w:rsid w:val="00BC0E79"/>
    <w:rsid w:val="00BC1076"/>
    <w:rsid w:val="00BC195F"/>
    <w:rsid w:val="00BC1975"/>
    <w:rsid w:val="00BC1B1B"/>
    <w:rsid w:val="00BC1EA5"/>
    <w:rsid w:val="00BC2A0E"/>
    <w:rsid w:val="00BC3749"/>
    <w:rsid w:val="00BC40DB"/>
    <w:rsid w:val="00BC43DF"/>
    <w:rsid w:val="00BC5634"/>
    <w:rsid w:val="00BC5DED"/>
    <w:rsid w:val="00BC6611"/>
    <w:rsid w:val="00BC7363"/>
    <w:rsid w:val="00BC7DD1"/>
    <w:rsid w:val="00BC7EDC"/>
    <w:rsid w:val="00BD0212"/>
    <w:rsid w:val="00BD0FE1"/>
    <w:rsid w:val="00BD36D9"/>
    <w:rsid w:val="00BD4E98"/>
    <w:rsid w:val="00BD50FF"/>
    <w:rsid w:val="00BD55A6"/>
    <w:rsid w:val="00BD598D"/>
    <w:rsid w:val="00BD5D17"/>
    <w:rsid w:val="00BD6970"/>
    <w:rsid w:val="00BD7308"/>
    <w:rsid w:val="00BD789D"/>
    <w:rsid w:val="00BE04D1"/>
    <w:rsid w:val="00BE0E7A"/>
    <w:rsid w:val="00BE0F49"/>
    <w:rsid w:val="00BE0FFC"/>
    <w:rsid w:val="00BE127F"/>
    <w:rsid w:val="00BE22C4"/>
    <w:rsid w:val="00BE2C1C"/>
    <w:rsid w:val="00BE30A3"/>
    <w:rsid w:val="00BE31CF"/>
    <w:rsid w:val="00BE35F9"/>
    <w:rsid w:val="00BE3637"/>
    <w:rsid w:val="00BE3C51"/>
    <w:rsid w:val="00BE56B6"/>
    <w:rsid w:val="00BE571A"/>
    <w:rsid w:val="00BE59B4"/>
    <w:rsid w:val="00BE6161"/>
    <w:rsid w:val="00BE6273"/>
    <w:rsid w:val="00BE6F76"/>
    <w:rsid w:val="00BF0095"/>
    <w:rsid w:val="00BF0916"/>
    <w:rsid w:val="00BF197A"/>
    <w:rsid w:val="00BF1AC1"/>
    <w:rsid w:val="00BF1D2F"/>
    <w:rsid w:val="00BF1F8E"/>
    <w:rsid w:val="00BF248A"/>
    <w:rsid w:val="00BF2AC9"/>
    <w:rsid w:val="00BF3023"/>
    <w:rsid w:val="00BF3D77"/>
    <w:rsid w:val="00BF4B61"/>
    <w:rsid w:val="00BF5125"/>
    <w:rsid w:val="00BF5CD6"/>
    <w:rsid w:val="00BF6974"/>
    <w:rsid w:val="00BF6A58"/>
    <w:rsid w:val="00BF770C"/>
    <w:rsid w:val="00BF7CEF"/>
    <w:rsid w:val="00C00BC9"/>
    <w:rsid w:val="00C0108F"/>
    <w:rsid w:val="00C0191C"/>
    <w:rsid w:val="00C01C11"/>
    <w:rsid w:val="00C0226A"/>
    <w:rsid w:val="00C02471"/>
    <w:rsid w:val="00C03193"/>
    <w:rsid w:val="00C05BAA"/>
    <w:rsid w:val="00C063BD"/>
    <w:rsid w:val="00C06498"/>
    <w:rsid w:val="00C06B20"/>
    <w:rsid w:val="00C07618"/>
    <w:rsid w:val="00C07FE0"/>
    <w:rsid w:val="00C10781"/>
    <w:rsid w:val="00C10AA4"/>
    <w:rsid w:val="00C10D32"/>
    <w:rsid w:val="00C11184"/>
    <w:rsid w:val="00C11AF8"/>
    <w:rsid w:val="00C11D40"/>
    <w:rsid w:val="00C11FDF"/>
    <w:rsid w:val="00C1251D"/>
    <w:rsid w:val="00C129D9"/>
    <w:rsid w:val="00C13673"/>
    <w:rsid w:val="00C13C77"/>
    <w:rsid w:val="00C14067"/>
    <w:rsid w:val="00C1413F"/>
    <w:rsid w:val="00C1536E"/>
    <w:rsid w:val="00C15AC6"/>
    <w:rsid w:val="00C174D5"/>
    <w:rsid w:val="00C176FB"/>
    <w:rsid w:val="00C1794E"/>
    <w:rsid w:val="00C17B0D"/>
    <w:rsid w:val="00C17E70"/>
    <w:rsid w:val="00C20AA6"/>
    <w:rsid w:val="00C20DAE"/>
    <w:rsid w:val="00C214EC"/>
    <w:rsid w:val="00C21543"/>
    <w:rsid w:val="00C217B7"/>
    <w:rsid w:val="00C22600"/>
    <w:rsid w:val="00C22D38"/>
    <w:rsid w:val="00C23C9B"/>
    <w:rsid w:val="00C23E9E"/>
    <w:rsid w:val="00C24017"/>
    <w:rsid w:val="00C245CD"/>
    <w:rsid w:val="00C24839"/>
    <w:rsid w:val="00C2576B"/>
    <w:rsid w:val="00C25FFF"/>
    <w:rsid w:val="00C2607B"/>
    <w:rsid w:val="00C26086"/>
    <w:rsid w:val="00C26249"/>
    <w:rsid w:val="00C26417"/>
    <w:rsid w:val="00C268B1"/>
    <w:rsid w:val="00C27B4E"/>
    <w:rsid w:val="00C30039"/>
    <w:rsid w:val="00C3046B"/>
    <w:rsid w:val="00C3059C"/>
    <w:rsid w:val="00C30F4D"/>
    <w:rsid w:val="00C317CC"/>
    <w:rsid w:val="00C31D17"/>
    <w:rsid w:val="00C328B8"/>
    <w:rsid w:val="00C32B7A"/>
    <w:rsid w:val="00C32DC3"/>
    <w:rsid w:val="00C3421A"/>
    <w:rsid w:val="00C34A99"/>
    <w:rsid w:val="00C34CB7"/>
    <w:rsid w:val="00C36614"/>
    <w:rsid w:val="00C3695F"/>
    <w:rsid w:val="00C36F18"/>
    <w:rsid w:val="00C40310"/>
    <w:rsid w:val="00C414D7"/>
    <w:rsid w:val="00C433ED"/>
    <w:rsid w:val="00C4377D"/>
    <w:rsid w:val="00C4392C"/>
    <w:rsid w:val="00C43B40"/>
    <w:rsid w:val="00C43C6F"/>
    <w:rsid w:val="00C44743"/>
    <w:rsid w:val="00C44F73"/>
    <w:rsid w:val="00C45B1D"/>
    <w:rsid w:val="00C45E95"/>
    <w:rsid w:val="00C46064"/>
    <w:rsid w:val="00C466F6"/>
    <w:rsid w:val="00C503C6"/>
    <w:rsid w:val="00C51534"/>
    <w:rsid w:val="00C515E5"/>
    <w:rsid w:val="00C52487"/>
    <w:rsid w:val="00C53857"/>
    <w:rsid w:val="00C53AC0"/>
    <w:rsid w:val="00C54207"/>
    <w:rsid w:val="00C55123"/>
    <w:rsid w:val="00C551E7"/>
    <w:rsid w:val="00C55DFE"/>
    <w:rsid w:val="00C5681E"/>
    <w:rsid w:val="00C575C6"/>
    <w:rsid w:val="00C57F76"/>
    <w:rsid w:val="00C60377"/>
    <w:rsid w:val="00C60B0C"/>
    <w:rsid w:val="00C61DFF"/>
    <w:rsid w:val="00C6255D"/>
    <w:rsid w:val="00C62943"/>
    <w:rsid w:val="00C62EA9"/>
    <w:rsid w:val="00C640B3"/>
    <w:rsid w:val="00C644D0"/>
    <w:rsid w:val="00C65140"/>
    <w:rsid w:val="00C651D5"/>
    <w:rsid w:val="00C6643B"/>
    <w:rsid w:val="00C666D7"/>
    <w:rsid w:val="00C66F60"/>
    <w:rsid w:val="00C67027"/>
    <w:rsid w:val="00C7008F"/>
    <w:rsid w:val="00C70C9B"/>
    <w:rsid w:val="00C70CF2"/>
    <w:rsid w:val="00C7110C"/>
    <w:rsid w:val="00C718D7"/>
    <w:rsid w:val="00C71CD8"/>
    <w:rsid w:val="00C72D03"/>
    <w:rsid w:val="00C72E03"/>
    <w:rsid w:val="00C72F79"/>
    <w:rsid w:val="00C74844"/>
    <w:rsid w:val="00C74904"/>
    <w:rsid w:val="00C74AD3"/>
    <w:rsid w:val="00C74C2C"/>
    <w:rsid w:val="00C75834"/>
    <w:rsid w:val="00C7630A"/>
    <w:rsid w:val="00C774ED"/>
    <w:rsid w:val="00C7791F"/>
    <w:rsid w:val="00C77C23"/>
    <w:rsid w:val="00C81898"/>
    <w:rsid w:val="00C82133"/>
    <w:rsid w:val="00C82350"/>
    <w:rsid w:val="00C8270C"/>
    <w:rsid w:val="00C82B0B"/>
    <w:rsid w:val="00C82BE3"/>
    <w:rsid w:val="00C83068"/>
    <w:rsid w:val="00C83620"/>
    <w:rsid w:val="00C8390E"/>
    <w:rsid w:val="00C83A5E"/>
    <w:rsid w:val="00C8427A"/>
    <w:rsid w:val="00C84500"/>
    <w:rsid w:val="00C8477F"/>
    <w:rsid w:val="00C85308"/>
    <w:rsid w:val="00C85376"/>
    <w:rsid w:val="00C855CB"/>
    <w:rsid w:val="00C85607"/>
    <w:rsid w:val="00C85A29"/>
    <w:rsid w:val="00C8679E"/>
    <w:rsid w:val="00C86C9F"/>
    <w:rsid w:val="00C86D5B"/>
    <w:rsid w:val="00C86F81"/>
    <w:rsid w:val="00C87613"/>
    <w:rsid w:val="00C90F3C"/>
    <w:rsid w:val="00C90FAB"/>
    <w:rsid w:val="00C918B6"/>
    <w:rsid w:val="00C91E8B"/>
    <w:rsid w:val="00C928E4"/>
    <w:rsid w:val="00C92B6C"/>
    <w:rsid w:val="00C92C58"/>
    <w:rsid w:val="00C9338F"/>
    <w:rsid w:val="00C9353D"/>
    <w:rsid w:val="00C93774"/>
    <w:rsid w:val="00C93EE9"/>
    <w:rsid w:val="00C94170"/>
    <w:rsid w:val="00C94F2B"/>
    <w:rsid w:val="00C951AF"/>
    <w:rsid w:val="00C96194"/>
    <w:rsid w:val="00CA0177"/>
    <w:rsid w:val="00CA0722"/>
    <w:rsid w:val="00CA2614"/>
    <w:rsid w:val="00CA2A34"/>
    <w:rsid w:val="00CA2E06"/>
    <w:rsid w:val="00CA3760"/>
    <w:rsid w:val="00CA3D9B"/>
    <w:rsid w:val="00CA42A5"/>
    <w:rsid w:val="00CA5528"/>
    <w:rsid w:val="00CA570F"/>
    <w:rsid w:val="00CA633E"/>
    <w:rsid w:val="00CA65A0"/>
    <w:rsid w:val="00CB07F5"/>
    <w:rsid w:val="00CB0C77"/>
    <w:rsid w:val="00CB28FB"/>
    <w:rsid w:val="00CB2908"/>
    <w:rsid w:val="00CB2BC6"/>
    <w:rsid w:val="00CB36E1"/>
    <w:rsid w:val="00CB3DC4"/>
    <w:rsid w:val="00CB3DD0"/>
    <w:rsid w:val="00CB4214"/>
    <w:rsid w:val="00CB4910"/>
    <w:rsid w:val="00CB681F"/>
    <w:rsid w:val="00CB716C"/>
    <w:rsid w:val="00CB78FE"/>
    <w:rsid w:val="00CB79EC"/>
    <w:rsid w:val="00CC00E6"/>
    <w:rsid w:val="00CC04E1"/>
    <w:rsid w:val="00CC12B8"/>
    <w:rsid w:val="00CC13FC"/>
    <w:rsid w:val="00CC1B68"/>
    <w:rsid w:val="00CC1FB5"/>
    <w:rsid w:val="00CC222A"/>
    <w:rsid w:val="00CC2C3B"/>
    <w:rsid w:val="00CC2DF2"/>
    <w:rsid w:val="00CC31D8"/>
    <w:rsid w:val="00CC3CEE"/>
    <w:rsid w:val="00CC3FE0"/>
    <w:rsid w:val="00CC550A"/>
    <w:rsid w:val="00CC57A2"/>
    <w:rsid w:val="00CC5E09"/>
    <w:rsid w:val="00CC7254"/>
    <w:rsid w:val="00CC7DD9"/>
    <w:rsid w:val="00CD0008"/>
    <w:rsid w:val="00CD06AE"/>
    <w:rsid w:val="00CD1695"/>
    <w:rsid w:val="00CD2745"/>
    <w:rsid w:val="00CD2803"/>
    <w:rsid w:val="00CD28CC"/>
    <w:rsid w:val="00CD43BC"/>
    <w:rsid w:val="00CD44FB"/>
    <w:rsid w:val="00CD5BCD"/>
    <w:rsid w:val="00CD78EA"/>
    <w:rsid w:val="00CD7CD5"/>
    <w:rsid w:val="00CE068C"/>
    <w:rsid w:val="00CE1AE8"/>
    <w:rsid w:val="00CE2ADD"/>
    <w:rsid w:val="00CE5014"/>
    <w:rsid w:val="00CE50B3"/>
    <w:rsid w:val="00CE6383"/>
    <w:rsid w:val="00CE63E5"/>
    <w:rsid w:val="00CE6DBB"/>
    <w:rsid w:val="00CE6EE8"/>
    <w:rsid w:val="00CE70CD"/>
    <w:rsid w:val="00CE7F07"/>
    <w:rsid w:val="00CF0E07"/>
    <w:rsid w:val="00CF120B"/>
    <w:rsid w:val="00CF1B5B"/>
    <w:rsid w:val="00CF1C17"/>
    <w:rsid w:val="00CF1C59"/>
    <w:rsid w:val="00CF1D9D"/>
    <w:rsid w:val="00CF2460"/>
    <w:rsid w:val="00CF2B41"/>
    <w:rsid w:val="00CF3963"/>
    <w:rsid w:val="00CF3B47"/>
    <w:rsid w:val="00CF4240"/>
    <w:rsid w:val="00CF476F"/>
    <w:rsid w:val="00CF48AF"/>
    <w:rsid w:val="00CF6C23"/>
    <w:rsid w:val="00CF6C75"/>
    <w:rsid w:val="00CF7257"/>
    <w:rsid w:val="00CF756B"/>
    <w:rsid w:val="00CF79CD"/>
    <w:rsid w:val="00CF7BB2"/>
    <w:rsid w:val="00D006A1"/>
    <w:rsid w:val="00D00797"/>
    <w:rsid w:val="00D00B1E"/>
    <w:rsid w:val="00D0104A"/>
    <w:rsid w:val="00D03BD4"/>
    <w:rsid w:val="00D04265"/>
    <w:rsid w:val="00D042D7"/>
    <w:rsid w:val="00D04477"/>
    <w:rsid w:val="00D04B94"/>
    <w:rsid w:val="00D051BC"/>
    <w:rsid w:val="00D0560F"/>
    <w:rsid w:val="00D05AE6"/>
    <w:rsid w:val="00D05EB6"/>
    <w:rsid w:val="00D076A7"/>
    <w:rsid w:val="00D10251"/>
    <w:rsid w:val="00D11041"/>
    <w:rsid w:val="00D123A1"/>
    <w:rsid w:val="00D124A5"/>
    <w:rsid w:val="00D13076"/>
    <w:rsid w:val="00D132C2"/>
    <w:rsid w:val="00D13E6D"/>
    <w:rsid w:val="00D1445B"/>
    <w:rsid w:val="00D14E3C"/>
    <w:rsid w:val="00D1556B"/>
    <w:rsid w:val="00D15E59"/>
    <w:rsid w:val="00D167DD"/>
    <w:rsid w:val="00D1695D"/>
    <w:rsid w:val="00D20CC9"/>
    <w:rsid w:val="00D21F2C"/>
    <w:rsid w:val="00D22065"/>
    <w:rsid w:val="00D22710"/>
    <w:rsid w:val="00D2286A"/>
    <w:rsid w:val="00D22A98"/>
    <w:rsid w:val="00D22B63"/>
    <w:rsid w:val="00D236BC"/>
    <w:rsid w:val="00D2477C"/>
    <w:rsid w:val="00D24E73"/>
    <w:rsid w:val="00D25094"/>
    <w:rsid w:val="00D252BE"/>
    <w:rsid w:val="00D26618"/>
    <w:rsid w:val="00D266E5"/>
    <w:rsid w:val="00D26AE0"/>
    <w:rsid w:val="00D272F1"/>
    <w:rsid w:val="00D30612"/>
    <w:rsid w:val="00D30775"/>
    <w:rsid w:val="00D312BD"/>
    <w:rsid w:val="00D31381"/>
    <w:rsid w:val="00D31495"/>
    <w:rsid w:val="00D31957"/>
    <w:rsid w:val="00D319AD"/>
    <w:rsid w:val="00D31E07"/>
    <w:rsid w:val="00D32A60"/>
    <w:rsid w:val="00D338B1"/>
    <w:rsid w:val="00D342B4"/>
    <w:rsid w:val="00D3447B"/>
    <w:rsid w:val="00D34CCF"/>
    <w:rsid w:val="00D354B2"/>
    <w:rsid w:val="00D366A8"/>
    <w:rsid w:val="00D367DF"/>
    <w:rsid w:val="00D37F4B"/>
    <w:rsid w:val="00D401BF"/>
    <w:rsid w:val="00D40934"/>
    <w:rsid w:val="00D412F9"/>
    <w:rsid w:val="00D41A6B"/>
    <w:rsid w:val="00D41FF5"/>
    <w:rsid w:val="00D42611"/>
    <w:rsid w:val="00D4262B"/>
    <w:rsid w:val="00D4279A"/>
    <w:rsid w:val="00D42981"/>
    <w:rsid w:val="00D440C0"/>
    <w:rsid w:val="00D44961"/>
    <w:rsid w:val="00D459AB"/>
    <w:rsid w:val="00D4617E"/>
    <w:rsid w:val="00D46C9B"/>
    <w:rsid w:val="00D4758D"/>
    <w:rsid w:val="00D47CBC"/>
    <w:rsid w:val="00D47EED"/>
    <w:rsid w:val="00D508B3"/>
    <w:rsid w:val="00D51AC7"/>
    <w:rsid w:val="00D521A3"/>
    <w:rsid w:val="00D525E1"/>
    <w:rsid w:val="00D527C6"/>
    <w:rsid w:val="00D540C0"/>
    <w:rsid w:val="00D54A8B"/>
    <w:rsid w:val="00D54CE8"/>
    <w:rsid w:val="00D54EA8"/>
    <w:rsid w:val="00D554BB"/>
    <w:rsid w:val="00D55CD1"/>
    <w:rsid w:val="00D56940"/>
    <w:rsid w:val="00D5785E"/>
    <w:rsid w:val="00D57B77"/>
    <w:rsid w:val="00D60C03"/>
    <w:rsid w:val="00D61A48"/>
    <w:rsid w:val="00D6241E"/>
    <w:rsid w:val="00D62BB8"/>
    <w:rsid w:val="00D63FEF"/>
    <w:rsid w:val="00D64476"/>
    <w:rsid w:val="00D6452F"/>
    <w:rsid w:val="00D65ECC"/>
    <w:rsid w:val="00D6713C"/>
    <w:rsid w:val="00D67176"/>
    <w:rsid w:val="00D7011D"/>
    <w:rsid w:val="00D702EA"/>
    <w:rsid w:val="00D70796"/>
    <w:rsid w:val="00D71115"/>
    <w:rsid w:val="00D7177E"/>
    <w:rsid w:val="00D71E22"/>
    <w:rsid w:val="00D71F33"/>
    <w:rsid w:val="00D729C3"/>
    <w:rsid w:val="00D72CE7"/>
    <w:rsid w:val="00D72E88"/>
    <w:rsid w:val="00D73409"/>
    <w:rsid w:val="00D73A4D"/>
    <w:rsid w:val="00D73A98"/>
    <w:rsid w:val="00D74029"/>
    <w:rsid w:val="00D74145"/>
    <w:rsid w:val="00D74A18"/>
    <w:rsid w:val="00D74D24"/>
    <w:rsid w:val="00D768BD"/>
    <w:rsid w:val="00D77FDC"/>
    <w:rsid w:val="00D80C4B"/>
    <w:rsid w:val="00D80DA8"/>
    <w:rsid w:val="00D80E0C"/>
    <w:rsid w:val="00D81382"/>
    <w:rsid w:val="00D83654"/>
    <w:rsid w:val="00D83DCB"/>
    <w:rsid w:val="00D84F6B"/>
    <w:rsid w:val="00D8514F"/>
    <w:rsid w:val="00D864DF"/>
    <w:rsid w:val="00D87533"/>
    <w:rsid w:val="00D901D6"/>
    <w:rsid w:val="00D903BF"/>
    <w:rsid w:val="00D90906"/>
    <w:rsid w:val="00D90DBF"/>
    <w:rsid w:val="00D9156E"/>
    <w:rsid w:val="00D9160D"/>
    <w:rsid w:val="00D9163C"/>
    <w:rsid w:val="00D92746"/>
    <w:rsid w:val="00D9319D"/>
    <w:rsid w:val="00D936D0"/>
    <w:rsid w:val="00D9419E"/>
    <w:rsid w:val="00D952CC"/>
    <w:rsid w:val="00D95533"/>
    <w:rsid w:val="00D957CA"/>
    <w:rsid w:val="00D9593F"/>
    <w:rsid w:val="00D95E18"/>
    <w:rsid w:val="00D97854"/>
    <w:rsid w:val="00D97CE1"/>
    <w:rsid w:val="00D97EB8"/>
    <w:rsid w:val="00DA01F5"/>
    <w:rsid w:val="00DA03A5"/>
    <w:rsid w:val="00DA053D"/>
    <w:rsid w:val="00DA2472"/>
    <w:rsid w:val="00DA2931"/>
    <w:rsid w:val="00DA29A8"/>
    <w:rsid w:val="00DA3863"/>
    <w:rsid w:val="00DA3A8D"/>
    <w:rsid w:val="00DA3B7C"/>
    <w:rsid w:val="00DA406C"/>
    <w:rsid w:val="00DA4415"/>
    <w:rsid w:val="00DA47B5"/>
    <w:rsid w:val="00DA57CF"/>
    <w:rsid w:val="00DA6333"/>
    <w:rsid w:val="00DA6B91"/>
    <w:rsid w:val="00DA7ACD"/>
    <w:rsid w:val="00DB0432"/>
    <w:rsid w:val="00DB066C"/>
    <w:rsid w:val="00DB119D"/>
    <w:rsid w:val="00DB153D"/>
    <w:rsid w:val="00DB17B4"/>
    <w:rsid w:val="00DB25A8"/>
    <w:rsid w:val="00DB2617"/>
    <w:rsid w:val="00DB3C6A"/>
    <w:rsid w:val="00DB3C9F"/>
    <w:rsid w:val="00DB418B"/>
    <w:rsid w:val="00DB45CD"/>
    <w:rsid w:val="00DB48A0"/>
    <w:rsid w:val="00DB5ACA"/>
    <w:rsid w:val="00DB5B66"/>
    <w:rsid w:val="00DB5DCB"/>
    <w:rsid w:val="00DB6CF3"/>
    <w:rsid w:val="00DB74AC"/>
    <w:rsid w:val="00DC056B"/>
    <w:rsid w:val="00DC0CA0"/>
    <w:rsid w:val="00DC0EBC"/>
    <w:rsid w:val="00DC2940"/>
    <w:rsid w:val="00DC48AA"/>
    <w:rsid w:val="00DC5368"/>
    <w:rsid w:val="00DC55BF"/>
    <w:rsid w:val="00DC59AB"/>
    <w:rsid w:val="00DC6473"/>
    <w:rsid w:val="00DC7EF2"/>
    <w:rsid w:val="00DD025D"/>
    <w:rsid w:val="00DD02F0"/>
    <w:rsid w:val="00DD0796"/>
    <w:rsid w:val="00DD0DD1"/>
    <w:rsid w:val="00DD0F82"/>
    <w:rsid w:val="00DD1F05"/>
    <w:rsid w:val="00DD3469"/>
    <w:rsid w:val="00DD4EBC"/>
    <w:rsid w:val="00DD4FB7"/>
    <w:rsid w:val="00DD5769"/>
    <w:rsid w:val="00DD7648"/>
    <w:rsid w:val="00DD770D"/>
    <w:rsid w:val="00DD7B0D"/>
    <w:rsid w:val="00DD7C7E"/>
    <w:rsid w:val="00DD7E5A"/>
    <w:rsid w:val="00DE0340"/>
    <w:rsid w:val="00DE0929"/>
    <w:rsid w:val="00DE1290"/>
    <w:rsid w:val="00DE1609"/>
    <w:rsid w:val="00DE16D7"/>
    <w:rsid w:val="00DE2AF4"/>
    <w:rsid w:val="00DE32B3"/>
    <w:rsid w:val="00DE3642"/>
    <w:rsid w:val="00DE3DB9"/>
    <w:rsid w:val="00DE46D7"/>
    <w:rsid w:val="00DE476E"/>
    <w:rsid w:val="00DE4814"/>
    <w:rsid w:val="00DE540E"/>
    <w:rsid w:val="00DE5761"/>
    <w:rsid w:val="00DE60D2"/>
    <w:rsid w:val="00DE6FCB"/>
    <w:rsid w:val="00DE7529"/>
    <w:rsid w:val="00DE7859"/>
    <w:rsid w:val="00DE7877"/>
    <w:rsid w:val="00DE7C16"/>
    <w:rsid w:val="00DF02FC"/>
    <w:rsid w:val="00DF101C"/>
    <w:rsid w:val="00DF11F4"/>
    <w:rsid w:val="00DF1633"/>
    <w:rsid w:val="00DF1C62"/>
    <w:rsid w:val="00DF1FF2"/>
    <w:rsid w:val="00DF20F4"/>
    <w:rsid w:val="00DF2655"/>
    <w:rsid w:val="00DF3AFC"/>
    <w:rsid w:val="00DF41A5"/>
    <w:rsid w:val="00DF597D"/>
    <w:rsid w:val="00DF5C91"/>
    <w:rsid w:val="00DF5E1D"/>
    <w:rsid w:val="00DF7459"/>
    <w:rsid w:val="00E00235"/>
    <w:rsid w:val="00E02C46"/>
    <w:rsid w:val="00E03103"/>
    <w:rsid w:val="00E035BC"/>
    <w:rsid w:val="00E03A91"/>
    <w:rsid w:val="00E046C0"/>
    <w:rsid w:val="00E048CC"/>
    <w:rsid w:val="00E04BF7"/>
    <w:rsid w:val="00E04F0F"/>
    <w:rsid w:val="00E051B8"/>
    <w:rsid w:val="00E05C16"/>
    <w:rsid w:val="00E05CAE"/>
    <w:rsid w:val="00E066BF"/>
    <w:rsid w:val="00E067F1"/>
    <w:rsid w:val="00E06D32"/>
    <w:rsid w:val="00E07F20"/>
    <w:rsid w:val="00E112D8"/>
    <w:rsid w:val="00E119D0"/>
    <w:rsid w:val="00E1383B"/>
    <w:rsid w:val="00E14247"/>
    <w:rsid w:val="00E14997"/>
    <w:rsid w:val="00E1509E"/>
    <w:rsid w:val="00E15670"/>
    <w:rsid w:val="00E15862"/>
    <w:rsid w:val="00E15890"/>
    <w:rsid w:val="00E1598A"/>
    <w:rsid w:val="00E16BBB"/>
    <w:rsid w:val="00E16EAF"/>
    <w:rsid w:val="00E1760D"/>
    <w:rsid w:val="00E20B0C"/>
    <w:rsid w:val="00E21481"/>
    <w:rsid w:val="00E2285B"/>
    <w:rsid w:val="00E2350E"/>
    <w:rsid w:val="00E23668"/>
    <w:rsid w:val="00E24229"/>
    <w:rsid w:val="00E26C4A"/>
    <w:rsid w:val="00E26FFC"/>
    <w:rsid w:val="00E27F4E"/>
    <w:rsid w:val="00E3034C"/>
    <w:rsid w:val="00E31589"/>
    <w:rsid w:val="00E323FF"/>
    <w:rsid w:val="00E344EE"/>
    <w:rsid w:val="00E346B8"/>
    <w:rsid w:val="00E34752"/>
    <w:rsid w:val="00E3494D"/>
    <w:rsid w:val="00E34D24"/>
    <w:rsid w:val="00E34D4C"/>
    <w:rsid w:val="00E3510D"/>
    <w:rsid w:val="00E35E5E"/>
    <w:rsid w:val="00E3664F"/>
    <w:rsid w:val="00E367D9"/>
    <w:rsid w:val="00E368AA"/>
    <w:rsid w:val="00E3799B"/>
    <w:rsid w:val="00E37E0C"/>
    <w:rsid w:val="00E4060F"/>
    <w:rsid w:val="00E41EDB"/>
    <w:rsid w:val="00E42A7D"/>
    <w:rsid w:val="00E44082"/>
    <w:rsid w:val="00E446A0"/>
    <w:rsid w:val="00E4475B"/>
    <w:rsid w:val="00E4519C"/>
    <w:rsid w:val="00E45757"/>
    <w:rsid w:val="00E45FC9"/>
    <w:rsid w:val="00E4649E"/>
    <w:rsid w:val="00E47012"/>
    <w:rsid w:val="00E478A8"/>
    <w:rsid w:val="00E47E35"/>
    <w:rsid w:val="00E47E5E"/>
    <w:rsid w:val="00E50045"/>
    <w:rsid w:val="00E5081D"/>
    <w:rsid w:val="00E50855"/>
    <w:rsid w:val="00E50F90"/>
    <w:rsid w:val="00E51113"/>
    <w:rsid w:val="00E514A6"/>
    <w:rsid w:val="00E52166"/>
    <w:rsid w:val="00E52867"/>
    <w:rsid w:val="00E52A93"/>
    <w:rsid w:val="00E52ED0"/>
    <w:rsid w:val="00E53318"/>
    <w:rsid w:val="00E540C8"/>
    <w:rsid w:val="00E54314"/>
    <w:rsid w:val="00E54430"/>
    <w:rsid w:val="00E54AC7"/>
    <w:rsid w:val="00E54CAA"/>
    <w:rsid w:val="00E54DC2"/>
    <w:rsid w:val="00E551C4"/>
    <w:rsid w:val="00E55C31"/>
    <w:rsid w:val="00E55EA9"/>
    <w:rsid w:val="00E568DC"/>
    <w:rsid w:val="00E56A44"/>
    <w:rsid w:val="00E56F94"/>
    <w:rsid w:val="00E57F60"/>
    <w:rsid w:val="00E60487"/>
    <w:rsid w:val="00E620A9"/>
    <w:rsid w:val="00E624DC"/>
    <w:rsid w:val="00E633CA"/>
    <w:rsid w:val="00E63902"/>
    <w:rsid w:val="00E63B0A"/>
    <w:rsid w:val="00E63C96"/>
    <w:rsid w:val="00E65034"/>
    <w:rsid w:val="00E656CC"/>
    <w:rsid w:val="00E66522"/>
    <w:rsid w:val="00E66DAD"/>
    <w:rsid w:val="00E6769E"/>
    <w:rsid w:val="00E67BF2"/>
    <w:rsid w:val="00E7055A"/>
    <w:rsid w:val="00E7140E"/>
    <w:rsid w:val="00E723FF"/>
    <w:rsid w:val="00E72EE3"/>
    <w:rsid w:val="00E7364E"/>
    <w:rsid w:val="00E74058"/>
    <w:rsid w:val="00E74361"/>
    <w:rsid w:val="00E7487A"/>
    <w:rsid w:val="00E76DDC"/>
    <w:rsid w:val="00E76DF3"/>
    <w:rsid w:val="00E77511"/>
    <w:rsid w:val="00E77545"/>
    <w:rsid w:val="00E776B8"/>
    <w:rsid w:val="00E7784E"/>
    <w:rsid w:val="00E80307"/>
    <w:rsid w:val="00E80F42"/>
    <w:rsid w:val="00E815C2"/>
    <w:rsid w:val="00E821D8"/>
    <w:rsid w:val="00E83759"/>
    <w:rsid w:val="00E841EB"/>
    <w:rsid w:val="00E84479"/>
    <w:rsid w:val="00E846D1"/>
    <w:rsid w:val="00E8490B"/>
    <w:rsid w:val="00E85311"/>
    <w:rsid w:val="00E858CE"/>
    <w:rsid w:val="00E86401"/>
    <w:rsid w:val="00E86B08"/>
    <w:rsid w:val="00E871C2"/>
    <w:rsid w:val="00E90730"/>
    <w:rsid w:val="00E90833"/>
    <w:rsid w:val="00E90C36"/>
    <w:rsid w:val="00E91525"/>
    <w:rsid w:val="00E92E50"/>
    <w:rsid w:val="00E932F3"/>
    <w:rsid w:val="00E93493"/>
    <w:rsid w:val="00E937EA"/>
    <w:rsid w:val="00E93870"/>
    <w:rsid w:val="00E938A5"/>
    <w:rsid w:val="00E95193"/>
    <w:rsid w:val="00E961C4"/>
    <w:rsid w:val="00E962E3"/>
    <w:rsid w:val="00E965F5"/>
    <w:rsid w:val="00E978C5"/>
    <w:rsid w:val="00E9792B"/>
    <w:rsid w:val="00E97C22"/>
    <w:rsid w:val="00EA08E1"/>
    <w:rsid w:val="00EA1261"/>
    <w:rsid w:val="00EA16C5"/>
    <w:rsid w:val="00EA188A"/>
    <w:rsid w:val="00EA1A0A"/>
    <w:rsid w:val="00EA21FA"/>
    <w:rsid w:val="00EA2A39"/>
    <w:rsid w:val="00EA2AEC"/>
    <w:rsid w:val="00EA3BCA"/>
    <w:rsid w:val="00EA4193"/>
    <w:rsid w:val="00EA4692"/>
    <w:rsid w:val="00EA46EF"/>
    <w:rsid w:val="00EA4E0A"/>
    <w:rsid w:val="00EA5129"/>
    <w:rsid w:val="00EA55D9"/>
    <w:rsid w:val="00EA57CD"/>
    <w:rsid w:val="00EA5DFD"/>
    <w:rsid w:val="00EA6ABA"/>
    <w:rsid w:val="00EA7111"/>
    <w:rsid w:val="00EA745A"/>
    <w:rsid w:val="00EB052A"/>
    <w:rsid w:val="00EB06C3"/>
    <w:rsid w:val="00EB0CFB"/>
    <w:rsid w:val="00EB1DE5"/>
    <w:rsid w:val="00EB307F"/>
    <w:rsid w:val="00EB3080"/>
    <w:rsid w:val="00EB327A"/>
    <w:rsid w:val="00EB32A9"/>
    <w:rsid w:val="00EB4784"/>
    <w:rsid w:val="00EB500E"/>
    <w:rsid w:val="00EB645D"/>
    <w:rsid w:val="00EB737F"/>
    <w:rsid w:val="00EB779B"/>
    <w:rsid w:val="00EB77E2"/>
    <w:rsid w:val="00EC007A"/>
    <w:rsid w:val="00EC0623"/>
    <w:rsid w:val="00EC1DAE"/>
    <w:rsid w:val="00EC21C6"/>
    <w:rsid w:val="00EC2488"/>
    <w:rsid w:val="00EC28B8"/>
    <w:rsid w:val="00EC2EBE"/>
    <w:rsid w:val="00EC2FA6"/>
    <w:rsid w:val="00EC4C05"/>
    <w:rsid w:val="00EC5737"/>
    <w:rsid w:val="00EC5E2F"/>
    <w:rsid w:val="00EC61F7"/>
    <w:rsid w:val="00EC714D"/>
    <w:rsid w:val="00EC7372"/>
    <w:rsid w:val="00EC7550"/>
    <w:rsid w:val="00EC7705"/>
    <w:rsid w:val="00EC794C"/>
    <w:rsid w:val="00EC7AF4"/>
    <w:rsid w:val="00EC7CAC"/>
    <w:rsid w:val="00ED17DE"/>
    <w:rsid w:val="00ED1871"/>
    <w:rsid w:val="00ED1F6A"/>
    <w:rsid w:val="00ED1FEF"/>
    <w:rsid w:val="00ED2075"/>
    <w:rsid w:val="00ED2870"/>
    <w:rsid w:val="00ED4A9C"/>
    <w:rsid w:val="00ED5B47"/>
    <w:rsid w:val="00ED5BDA"/>
    <w:rsid w:val="00ED6551"/>
    <w:rsid w:val="00ED66FB"/>
    <w:rsid w:val="00ED6B74"/>
    <w:rsid w:val="00ED6C8C"/>
    <w:rsid w:val="00ED6F7F"/>
    <w:rsid w:val="00ED7229"/>
    <w:rsid w:val="00ED7F8B"/>
    <w:rsid w:val="00EE1F8F"/>
    <w:rsid w:val="00EE20FA"/>
    <w:rsid w:val="00EE298F"/>
    <w:rsid w:val="00EE341F"/>
    <w:rsid w:val="00EE35C4"/>
    <w:rsid w:val="00EE38BE"/>
    <w:rsid w:val="00EE44D8"/>
    <w:rsid w:val="00EE4ECC"/>
    <w:rsid w:val="00EE4EDB"/>
    <w:rsid w:val="00EE65FB"/>
    <w:rsid w:val="00EE77D3"/>
    <w:rsid w:val="00EE7930"/>
    <w:rsid w:val="00EE7CE7"/>
    <w:rsid w:val="00EE7FE8"/>
    <w:rsid w:val="00EF0EF8"/>
    <w:rsid w:val="00EF0F10"/>
    <w:rsid w:val="00EF3BE9"/>
    <w:rsid w:val="00EF3EF6"/>
    <w:rsid w:val="00EF3F1B"/>
    <w:rsid w:val="00EF4173"/>
    <w:rsid w:val="00EF4237"/>
    <w:rsid w:val="00EF4560"/>
    <w:rsid w:val="00EF4974"/>
    <w:rsid w:val="00EF4BFC"/>
    <w:rsid w:val="00EF636D"/>
    <w:rsid w:val="00EF67F1"/>
    <w:rsid w:val="00EF6B1B"/>
    <w:rsid w:val="00EF71E3"/>
    <w:rsid w:val="00F00352"/>
    <w:rsid w:val="00F008D9"/>
    <w:rsid w:val="00F0219B"/>
    <w:rsid w:val="00F02E6A"/>
    <w:rsid w:val="00F03A99"/>
    <w:rsid w:val="00F0493E"/>
    <w:rsid w:val="00F04A58"/>
    <w:rsid w:val="00F06536"/>
    <w:rsid w:val="00F066AE"/>
    <w:rsid w:val="00F0704C"/>
    <w:rsid w:val="00F07A1A"/>
    <w:rsid w:val="00F107BF"/>
    <w:rsid w:val="00F10AE9"/>
    <w:rsid w:val="00F10BBA"/>
    <w:rsid w:val="00F120ED"/>
    <w:rsid w:val="00F12DD0"/>
    <w:rsid w:val="00F12F9E"/>
    <w:rsid w:val="00F13929"/>
    <w:rsid w:val="00F13D9D"/>
    <w:rsid w:val="00F140A2"/>
    <w:rsid w:val="00F14271"/>
    <w:rsid w:val="00F14AA9"/>
    <w:rsid w:val="00F14DA2"/>
    <w:rsid w:val="00F1573E"/>
    <w:rsid w:val="00F161A4"/>
    <w:rsid w:val="00F16BED"/>
    <w:rsid w:val="00F203FB"/>
    <w:rsid w:val="00F2074E"/>
    <w:rsid w:val="00F214DA"/>
    <w:rsid w:val="00F21AD9"/>
    <w:rsid w:val="00F21DBB"/>
    <w:rsid w:val="00F221FF"/>
    <w:rsid w:val="00F23290"/>
    <w:rsid w:val="00F233F6"/>
    <w:rsid w:val="00F23B91"/>
    <w:rsid w:val="00F246CC"/>
    <w:rsid w:val="00F24B10"/>
    <w:rsid w:val="00F254D2"/>
    <w:rsid w:val="00F25791"/>
    <w:rsid w:val="00F2601F"/>
    <w:rsid w:val="00F26046"/>
    <w:rsid w:val="00F2622F"/>
    <w:rsid w:val="00F26BD2"/>
    <w:rsid w:val="00F270F3"/>
    <w:rsid w:val="00F27A2A"/>
    <w:rsid w:val="00F30AE8"/>
    <w:rsid w:val="00F31D03"/>
    <w:rsid w:val="00F31DF6"/>
    <w:rsid w:val="00F31FF5"/>
    <w:rsid w:val="00F327D5"/>
    <w:rsid w:val="00F328CB"/>
    <w:rsid w:val="00F32E49"/>
    <w:rsid w:val="00F32F00"/>
    <w:rsid w:val="00F33960"/>
    <w:rsid w:val="00F34FB4"/>
    <w:rsid w:val="00F3526D"/>
    <w:rsid w:val="00F35558"/>
    <w:rsid w:val="00F35567"/>
    <w:rsid w:val="00F3563B"/>
    <w:rsid w:val="00F35C62"/>
    <w:rsid w:val="00F36A55"/>
    <w:rsid w:val="00F36B9F"/>
    <w:rsid w:val="00F37466"/>
    <w:rsid w:val="00F37477"/>
    <w:rsid w:val="00F378B3"/>
    <w:rsid w:val="00F4172E"/>
    <w:rsid w:val="00F41A99"/>
    <w:rsid w:val="00F42023"/>
    <w:rsid w:val="00F4226B"/>
    <w:rsid w:val="00F424BF"/>
    <w:rsid w:val="00F42DE6"/>
    <w:rsid w:val="00F42E96"/>
    <w:rsid w:val="00F432E0"/>
    <w:rsid w:val="00F435AB"/>
    <w:rsid w:val="00F44DE9"/>
    <w:rsid w:val="00F450AB"/>
    <w:rsid w:val="00F45BE6"/>
    <w:rsid w:val="00F45F84"/>
    <w:rsid w:val="00F462F2"/>
    <w:rsid w:val="00F4631E"/>
    <w:rsid w:val="00F46D63"/>
    <w:rsid w:val="00F47252"/>
    <w:rsid w:val="00F476F2"/>
    <w:rsid w:val="00F47F14"/>
    <w:rsid w:val="00F50067"/>
    <w:rsid w:val="00F50392"/>
    <w:rsid w:val="00F508D2"/>
    <w:rsid w:val="00F51094"/>
    <w:rsid w:val="00F51AB1"/>
    <w:rsid w:val="00F51C90"/>
    <w:rsid w:val="00F52414"/>
    <w:rsid w:val="00F53A5E"/>
    <w:rsid w:val="00F53F3D"/>
    <w:rsid w:val="00F54BCE"/>
    <w:rsid w:val="00F54D58"/>
    <w:rsid w:val="00F5534D"/>
    <w:rsid w:val="00F554B1"/>
    <w:rsid w:val="00F55620"/>
    <w:rsid w:val="00F55938"/>
    <w:rsid w:val="00F55A9B"/>
    <w:rsid w:val="00F56FEB"/>
    <w:rsid w:val="00F57252"/>
    <w:rsid w:val="00F572D2"/>
    <w:rsid w:val="00F57899"/>
    <w:rsid w:val="00F57D5E"/>
    <w:rsid w:val="00F606FB"/>
    <w:rsid w:val="00F6095D"/>
    <w:rsid w:val="00F60E07"/>
    <w:rsid w:val="00F61BE3"/>
    <w:rsid w:val="00F61E43"/>
    <w:rsid w:val="00F621E4"/>
    <w:rsid w:val="00F62585"/>
    <w:rsid w:val="00F62676"/>
    <w:rsid w:val="00F63179"/>
    <w:rsid w:val="00F6352D"/>
    <w:rsid w:val="00F63732"/>
    <w:rsid w:val="00F638D0"/>
    <w:rsid w:val="00F63AB7"/>
    <w:rsid w:val="00F643AB"/>
    <w:rsid w:val="00F64965"/>
    <w:rsid w:val="00F649F3"/>
    <w:rsid w:val="00F64A10"/>
    <w:rsid w:val="00F64D8E"/>
    <w:rsid w:val="00F652B1"/>
    <w:rsid w:val="00F6551E"/>
    <w:rsid w:val="00F65B4B"/>
    <w:rsid w:val="00F65D1F"/>
    <w:rsid w:val="00F66D9D"/>
    <w:rsid w:val="00F66FFD"/>
    <w:rsid w:val="00F6729A"/>
    <w:rsid w:val="00F67F7C"/>
    <w:rsid w:val="00F7110D"/>
    <w:rsid w:val="00F7129A"/>
    <w:rsid w:val="00F71884"/>
    <w:rsid w:val="00F71C8D"/>
    <w:rsid w:val="00F71F9F"/>
    <w:rsid w:val="00F7256E"/>
    <w:rsid w:val="00F72A55"/>
    <w:rsid w:val="00F72BDF"/>
    <w:rsid w:val="00F72D82"/>
    <w:rsid w:val="00F72E1E"/>
    <w:rsid w:val="00F74401"/>
    <w:rsid w:val="00F7463B"/>
    <w:rsid w:val="00F75219"/>
    <w:rsid w:val="00F76171"/>
    <w:rsid w:val="00F76467"/>
    <w:rsid w:val="00F76D93"/>
    <w:rsid w:val="00F77977"/>
    <w:rsid w:val="00F80088"/>
    <w:rsid w:val="00F802E8"/>
    <w:rsid w:val="00F8096C"/>
    <w:rsid w:val="00F80A90"/>
    <w:rsid w:val="00F80F0C"/>
    <w:rsid w:val="00F81602"/>
    <w:rsid w:val="00F817CA"/>
    <w:rsid w:val="00F81C48"/>
    <w:rsid w:val="00F81C64"/>
    <w:rsid w:val="00F83248"/>
    <w:rsid w:val="00F83861"/>
    <w:rsid w:val="00F83BE8"/>
    <w:rsid w:val="00F84A1B"/>
    <w:rsid w:val="00F84CA3"/>
    <w:rsid w:val="00F855C5"/>
    <w:rsid w:val="00F862AB"/>
    <w:rsid w:val="00F862F7"/>
    <w:rsid w:val="00F8634D"/>
    <w:rsid w:val="00F86FE2"/>
    <w:rsid w:val="00F871B8"/>
    <w:rsid w:val="00F87D99"/>
    <w:rsid w:val="00F90730"/>
    <w:rsid w:val="00F90AFD"/>
    <w:rsid w:val="00F90E96"/>
    <w:rsid w:val="00F91999"/>
    <w:rsid w:val="00F91EF9"/>
    <w:rsid w:val="00F93AE4"/>
    <w:rsid w:val="00F93FC2"/>
    <w:rsid w:val="00F94BAC"/>
    <w:rsid w:val="00F95035"/>
    <w:rsid w:val="00F95316"/>
    <w:rsid w:val="00F95411"/>
    <w:rsid w:val="00F954AD"/>
    <w:rsid w:val="00F95763"/>
    <w:rsid w:val="00F9581D"/>
    <w:rsid w:val="00F96094"/>
    <w:rsid w:val="00F962C3"/>
    <w:rsid w:val="00F96761"/>
    <w:rsid w:val="00F9693E"/>
    <w:rsid w:val="00F96A21"/>
    <w:rsid w:val="00F96AE8"/>
    <w:rsid w:val="00F96C37"/>
    <w:rsid w:val="00F97EAF"/>
    <w:rsid w:val="00FA02B3"/>
    <w:rsid w:val="00FA0455"/>
    <w:rsid w:val="00FA05CC"/>
    <w:rsid w:val="00FA0FDE"/>
    <w:rsid w:val="00FA1475"/>
    <w:rsid w:val="00FA204E"/>
    <w:rsid w:val="00FA22A7"/>
    <w:rsid w:val="00FA25B2"/>
    <w:rsid w:val="00FA27E5"/>
    <w:rsid w:val="00FA2C4A"/>
    <w:rsid w:val="00FA377F"/>
    <w:rsid w:val="00FA38A4"/>
    <w:rsid w:val="00FA3B6C"/>
    <w:rsid w:val="00FA453F"/>
    <w:rsid w:val="00FA46B5"/>
    <w:rsid w:val="00FA4792"/>
    <w:rsid w:val="00FA4957"/>
    <w:rsid w:val="00FA4EB1"/>
    <w:rsid w:val="00FA4F9F"/>
    <w:rsid w:val="00FA53CF"/>
    <w:rsid w:val="00FA6077"/>
    <w:rsid w:val="00FA6197"/>
    <w:rsid w:val="00FA6E45"/>
    <w:rsid w:val="00FA70B5"/>
    <w:rsid w:val="00FA7812"/>
    <w:rsid w:val="00FA7BAC"/>
    <w:rsid w:val="00FB0C06"/>
    <w:rsid w:val="00FB0C8C"/>
    <w:rsid w:val="00FB194E"/>
    <w:rsid w:val="00FB1B51"/>
    <w:rsid w:val="00FB2013"/>
    <w:rsid w:val="00FB2447"/>
    <w:rsid w:val="00FB24B0"/>
    <w:rsid w:val="00FB285B"/>
    <w:rsid w:val="00FB2931"/>
    <w:rsid w:val="00FB360C"/>
    <w:rsid w:val="00FB3A84"/>
    <w:rsid w:val="00FB64A7"/>
    <w:rsid w:val="00FB6CEC"/>
    <w:rsid w:val="00FB74D1"/>
    <w:rsid w:val="00FB7539"/>
    <w:rsid w:val="00FC19CA"/>
    <w:rsid w:val="00FC1E08"/>
    <w:rsid w:val="00FC1E55"/>
    <w:rsid w:val="00FC1F40"/>
    <w:rsid w:val="00FC3268"/>
    <w:rsid w:val="00FC3E34"/>
    <w:rsid w:val="00FC3F97"/>
    <w:rsid w:val="00FC4D61"/>
    <w:rsid w:val="00FC5C4C"/>
    <w:rsid w:val="00FC6172"/>
    <w:rsid w:val="00FC64D7"/>
    <w:rsid w:val="00FC6DB2"/>
    <w:rsid w:val="00FD00DA"/>
    <w:rsid w:val="00FD092B"/>
    <w:rsid w:val="00FD1186"/>
    <w:rsid w:val="00FD1AC1"/>
    <w:rsid w:val="00FD2922"/>
    <w:rsid w:val="00FD3020"/>
    <w:rsid w:val="00FD32C2"/>
    <w:rsid w:val="00FD365A"/>
    <w:rsid w:val="00FD3EBA"/>
    <w:rsid w:val="00FD477A"/>
    <w:rsid w:val="00FD5279"/>
    <w:rsid w:val="00FD565B"/>
    <w:rsid w:val="00FD5AA0"/>
    <w:rsid w:val="00FD6261"/>
    <w:rsid w:val="00FD6607"/>
    <w:rsid w:val="00FD701C"/>
    <w:rsid w:val="00FD736E"/>
    <w:rsid w:val="00FE0292"/>
    <w:rsid w:val="00FE0781"/>
    <w:rsid w:val="00FE1A5F"/>
    <w:rsid w:val="00FE1EED"/>
    <w:rsid w:val="00FE26C7"/>
    <w:rsid w:val="00FE2723"/>
    <w:rsid w:val="00FE29F3"/>
    <w:rsid w:val="00FE2AA9"/>
    <w:rsid w:val="00FE3670"/>
    <w:rsid w:val="00FE3D1A"/>
    <w:rsid w:val="00FE57BA"/>
    <w:rsid w:val="00FE5AC4"/>
    <w:rsid w:val="00FE5F9E"/>
    <w:rsid w:val="00FE6424"/>
    <w:rsid w:val="00FE6AEB"/>
    <w:rsid w:val="00FE6D7B"/>
    <w:rsid w:val="00FE7448"/>
    <w:rsid w:val="00FE77F3"/>
    <w:rsid w:val="00FE7ECE"/>
    <w:rsid w:val="00FF0034"/>
    <w:rsid w:val="00FF00E5"/>
    <w:rsid w:val="00FF07C9"/>
    <w:rsid w:val="00FF1370"/>
    <w:rsid w:val="00FF1BE7"/>
    <w:rsid w:val="00FF1FB6"/>
    <w:rsid w:val="00FF23A4"/>
    <w:rsid w:val="00FF245D"/>
    <w:rsid w:val="00FF3614"/>
    <w:rsid w:val="00FF3654"/>
    <w:rsid w:val="00FF3922"/>
    <w:rsid w:val="00FF3CAF"/>
    <w:rsid w:val="00FF3E8D"/>
    <w:rsid w:val="00FF460E"/>
    <w:rsid w:val="00FF47C4"/>
    <w:rsid w:val="00FF4E88"/>
    <w:rsid w:val="00FF5BFB"/>
    <w:rsid w:val="00FF5E7B"/>
    <w:rsid w:val="00FF6192"/>
    <w:rsid w:val="00FF674D"/>
    <w:rsid w:val="00FF682B"/>
    <w:rsid w:val="00FF7027"/>
    <w:rsid w:val="00FF7033"/>
    <w:rsid w:val="00FF7831"/>
    <w:rsid w:val="00FF7A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E4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index heading" w:uiPriority="0"/>
    <w:lsdException w:name="caption" w:uiPriority="0" w:qFormat="1"/>
    <w:lsdException w:name="table of figures" w:qFormat="1"/>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aliases w:val="Texto"/>
    <w:qFormat/>
    <w:rsid w:val="00F81C64"/>
    <w:pPr>
      <w:jc w:val="both"/>
    </w:pPr>
    <w:rPr>
      <w:rFonts w:ascii="Trebuchet MS" w:hAnsi="Trebuchet MS"/>
      <w:lang w:val="en-US"/>
    </w:rPr>
  </w:style>
  <w:style w:type="paragraph" w:styleId="Heading1">
    <w:name w:val="heading 1"/>
    <w:basedOn w:val="Normal"/>
    <w:next w:val="Normal"/>
    <w:link w:val="Heading1Char"/>
    <w:qFormat/>
    <w:rsid w:val="00366F6B"/>
    <w:pPr>
      <w:keepNext/>
      <w:keepLines/>
      <w:pageBreakBefore/>
      <w:spacing w:before="480" w:after="240"/>
      <w:outlineLvl w:val="0"/>
    </w:pPr>
    <w:rPr>
      <w:rFonts w:eastAsiaTheme="majorEastAsia" w:cstheme="majorBidi"/>
      <w:b/>
      <w:bCs/>
      <w:smallCaps/>
      <w:sz w:val="28"/>
      <w:szCs w:val="28"/>
    </w:rPr>
  </w:style>
  <w:style w:type="paragraph" w:styleId="Heading2">
    <w:name w:val="heading 2"/>
    <w:aliases w:val="Subchapter 1.1,1.1 HEADING 2,2,Major,2 headline,h,Subchapter 1.1 Car Car,h2,2/1,Titre 2,l2,list + change bar,???,h21,LetHead2,MisHead2,Normalhead2,Normal Heading 2,Z_hanging_2,heading 2,A,Subchapter ..."/>
    <w:basedOn w:val="Normal"/>
    <w:next w:val="Normal"/>
    <w:link w:val="Heading2Char"/>
    <w:autoRedefine/>
    <w:unhideWhenUsed/>
    <w:qFormat/>
    <w:rsid w:val="00195D47"/>
    <w:pPr>
      <w:keepNext/>
      <w:keepLines/>
      <w:numPr>
        <w:ilvl w:val="3"/>
        <w:numId w:val="9"/>
      </w:numPr>
      <w:spacing w:before="360"/>
      <w:outlineLvl w:val="1"/>
    </w:pPr>
    <w:rPr>
      <w:rFonts w:eastAsiaTheme="majorEastAsia" w:cstheme="majorBidi"/>
      <w:b/>
      <w:bCs/>
      <w:smallCaps/>
      <w:sz w:val="24"/>
      <w:szCs w:val="26"/>
    </w:rPr>
  </w:style>
  <w:style w:type="paragraph" w:styleId="Heading3">
    <w:name w:val="heading 3"/>
    <w:basedOn w:val="Normal"/>
    <w:next w:val="Normal"/>
    <w:link w:val="Heading3Char"/>
    <w:unhideWhenUsed/>
    <w:qFormat/>
    <w:rsid w:val="00366F6B"/>
    <w:pPr>
      <w:keepNext/>
      <w:keepLines/>
      <w:spacing w:before="240" w:after="240"/>
      <w:outlineLvl w:val="2"/>
    </w:pPr>
    <w:rPr>
      <w:rFonts w:eastAsiaTheme="majorEastAsia" w:cstheme="majorBidi"/>
      <w:b/>
      <w:bCs/>
      <w:smallCaps/>
    </w:rPr>
  </w:style>
  <w:style w:type="paragraph" w:styleId="Heading4">
    <w:name w:val="heading 4"/>
    <w:basedOn w:val="Normal"/>
    <w:next w:val="Normal"/>
    <w:link w:val="Heading4Char"/>
    <w:unhideWhenUsed/>
    <w:qFormat/>
    <w:rsid w:val="00366F6B"/>
    <w:pPr>
      <w:keepNext/>
      <w:keepLines/>
      <w:spacing w:before="240" w:after="120"/>
      <w:outlineLvl w:val="3"/>
    </w:pPr>
    <w:rPr>
      <w:rFonts w:eastAsiaTheme="majorEastAsia" w:cstheme="majorBidi"/>
      <w:b/>
      <w:bCs/>
      <w:i/>
      <w:iCs/>
      <w:smallCaps/>
    </w:rPr>
  </w:style>
  <w:style w:type="paragraph" w:styleId="Heading5">
    <w:name w:val="heading 5"/>
    <w:aliases w:val="Indice Ref"/>
    <w:basedOn w:val="Normal"/>
    <w:next w:val="Normal"/>
    <w:link w:val="Heading5Char"/>
    <w:unhideWhenUsed/>
    <w:qFormat/>
    <w:rsid w:val="005A6722"/>
    <w:pPr>
      <w:keepNext/>
      <w:keepLines/>
      <w:spacing w:before="360" w:after="240"/>
      <w:jc w:val="left"/>
      <w:outlineLvl w:val="4"/>
    </w:pPr>
    <w:rPr>
      <w:rFonts w:eastAsiaTheme="majorEastAsia" w:cstheme="majorBidi"/>
      <w:b/>
      <w:smallCaps/>
    </w:rPr>
  </w:style>
  <w:style w:type="paragraph" w:styleId="Heading6">
    <w:name w:val="heading 6"/>
    <w:basedOn w:val="Normal"/>
    <w:next w:val="Normal"/>
    <w:link w:val="Heading6Char"/>
    <w:uiPriority w:val="9"/>
    <w:unhideWhenUsed/>
    <w:qFormat/>
    <w:rsid w:val="00EF4974"/>
    <w:pPr>
      <w:keepNext/>
      <w:keepLines/>
      <w:spacing w:before="200" w:after="240"/>
      <w:outlineLvl w:val="5"/>
    </w:pPr>
    <w:rPr>
      <w:rFonts w:eastAsiaTheme="majorEastAsia" w:cstheme="majorBidi"/>
      <w:b/>
      <w:i/>
      <w:iCs/>
      <w:lang w:val="pt-BR"/>
    </w:rPr>
  </w:style>
  <w:style w:type="paragraph" w:styleId="Heading7">
    <w:name w:val="heading 7"/>
    <w:basedOn w:val="Normal"/>
    <w:next w:val="Normal"/>
    <w:link w:val="Heading7Char"/>
    <w:uiPriority w:val="9"/>
    <w:unhideWhenUsed/>
    <w:qFormat/>
    <w:rsid w:val="00295B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95B5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95B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86F81"/>
    <w:pPr>
      <w:ind w:firstLine="708"/>
    </w:pPr>
    <w:rPr>
      <w:lang w:val="es-ES_tradnl"/>
    </w:rPr>
  </w:style>
  <w:style w:type="character" w:customStyle="1" w:styleId="BodyTextIndentChar">
    <w:name w:val="Body Text Indent Char"/>
    <w:basedOn w:val="DefaultParagraphFont"/>
    <w:link w:val="BodyTextIndent"/>
    <w:uiPriority w:val="99"/>
    <w:rsid w:val="00C86F81"/>
    <w:rPr>
      <w:rFonts w:ascii="Times New Roman" w:eastAsia="Times New Roman" w:hAnsi="Times New Roman" w:cs="Times New Roman"/>
      <w:sz w:val="24"/>
      <w:szCs w:val="24"/>
      <w:lang w:val="es-ES_tradnl" w:eastAsia="es-ES"/>
    </w:rPr>
  </w:style>
  <w:style w:type="paragraph" w:styleId="FootnoteText">
    <w:name w:val="footnote text"/>
    <w:aliases w:val="Footnotes,DTE-Voetnoottekst Car,DTE-Voetnoottekst,Footnote Text1,footnote"/>
    <w:basedOn w:val="Normal"/>
    <w:link w:val="FootnoteTextChar"/>
    <w:uiPriority w:val="99"/>
    <w:semiHidden/>
    <w:rsid w:val="00C86F81"/>
    <w:pPr>
      <w:widowControl w:val="0"/>
      <w:autoSpaceDE w:val="0"/>
      <w:autoSpaceDN w:val="0"/>
    </w:pPr>
    <w:rPr>
      <w:sz w:val="20"/>
      <w:szCs w:val="20"/>
      <w:lang w:val="es-ES_tradnl"/>
    </w:rPr>
  </w:style>
  <w:style w:type="character" w:customStyle="1" w:styleId="FootnoteTextChar">
    <w:name w:val="Footnote Text Char"/>
    <w:aliases w:val="Footnotes Char,DTE-Voetnoottekst Car Char,DTE-Voetnoottekst Char,Footnote Text1 Char,footnote Char"/>
    <w:basedOn w:val="DefaultParagraphFont"/>
    <w:link w:val="FootnoteText"/>
    <w:uiPriority w:val="99"/>
    <w:rsid w:val="00C86F81"/>
    <w:rPr>
      <w:rFonts w:ascii="Times New Roman" w:eastAsia="Times New Roman" w:hAnsi="Times New Roman" w:cs="Times New Roman"/>
      <w:sz w:val="20"/>
      <w:szCs w:val="20"/>
      <w:lang w:val="es-ES_tradnl" w:eastAsia="es-ES"/>
    </w:rPr>
  </w:style>
  <w:style w:type="paragraph" w:styleId="BodyText3">
    <w:name w:val="Body Text 3"/>
    <w:basedOn w:val="Normal"/>
    <w:link w:val="BodyText3Char"/>
    <w:rsid w:val="00C86F81"/>
    <w:pPr>
      <w:spacing w:after="120"/>
    </w:pPr>
    <w:rPr>
      <w:sz w:val="16"/>
      <w:szCs w:val="16"/>
    </w:rPr>
  </w:style>
  <w:style w:type="character" w:customStyle="1" w:styleId="BodyText3Char">
    <w:name w:val="Body Text 3 Char"/>
    <w:basedOn w:val="DefaultParagraphFont"/>
    <w:link w:val="BodyText3"/>
    <w:rsid w:val="00C86F81"/>
    <w:rPr>
      <w:rFonts w:ascii="Times New Roman" w:eastAsia="Times New Roman" w:hAnsi="Times New Roman" w:cs="Times New Roman"/>
      <w:sz w:val="16"/>
      <w:szCs w:val="16"/>
      <w:lang w:val="en-US" w:eastAsia="es-ES"/>
    </w:rPr>
  </w:style>
  <w:style w:type="character" w:styleId="FootnoteReference">
    <w:name w:val="footnote reference"/>
    <w:aliases w:val="(Ref. de nota al pie),Ref,de nota al pie"/>
    <w:basedOn w:val="DefaultParagraphFont"/>
    <w:uiPriority w:val="99"/>
    <w:rsid w:val="00C86F81"/>
    <w:rPr>
      <w:vertAlign w:val="superscript"/>
    </w:rPr>
  </w:style>
  <w:style w:type="paragraph" w:styleId="BalloonText">
    <w:name w:val="Balloon Text"/>
    <w:basedOn w:val="Normal"/>
    <w:link w:val="BalloonTextChar"/>
    <w:uiPriority w:val="99"/>
    <w:rsid w:val="00C86F81"/>
    <w:rPr>
      <w:rFonts w:ascii="Tahoma" w:hAnsi="Tahoma" w:cs="Tahoma"/>
      <w:sz w:val="16"/>
      <w:szCs w:val="16"/>
    </w:rPr>
  </w:style>
  <w:style w:type="character" w:customStyle="1" w:styleId="BalloonTextChar">
    <w:name w:val="Balloon Text Char"/>
    <w:basedOn w:val="DefaultParagraphFont"/>
    <w:link w:val="BalloonText"/>
    <w:uiPriority w:val="99"/>
    <w:rsid w:val="00C86F81"/>
    <w:rPr>
      <w:rFonts w:ascii="Tahoma" w:eastAsia="Times New Roman" w:hAnsi="Tahoma" w:cs="Tahoma"/>
      <w:sz w:val="16"/>
      <w:szCs w:val="16"/>
      <w:lang w:val="en-US" w:eastAsia="es-ES"/>
    </w:rPr>
  </w:style>
  <w:style w:type="character" w:styleId="CommentReference">
    <w:name w:val="annotation reference"/>
    <w:basedOn w:val="DefaultParagraphFont"/>
    <w:uiPriority w:val="99"/>
    <w:rsid w:val="00C86F81"/>
    <w:rPr>
      <w:sz w:val="16"/>
      <w:szCs w:val="16"/>
    </w:rPr>
  </w:style>
  <w:style w:type="paragraph" w:styleId="CommentText">
    <w:name w:val="annotation text"/>
    <w:basedOn w:val="Normal"/>
    <w:link w:val="CommentTextChar"/>
    <w:uiPriority w:val="99"/>
    <w:rsid w:val="00C86F81"/>
    <w:rPr>
      <w:sz w:val="20"/>
      <w:szCs w:val="20"/>
    </w:rPr>
  </w:style>
  <w:style w:type="character" w:customStyle="1" w:styleId="CommentTextChar">
    <w:name w:val="Comment Text Char"/>
    <w:basedOn w:val="DefaultParagraphFont"/>
    <w:link w:val="CommentText"/>
    <w:uiPriority w:val="99"/>
    <w:rsid w:val="00C86F81"/>
    <w:rPr>
      <w:rFonts w:ascii="Times New Roman" w:eastAsia="Times New Roman" w:hAnsi="Times New Roman" w:cs="Times New Roman"/>
      <w:sz w:val="20"/>
      <w:szCs w:val="20"/>
      <w:lang w:val="en-US" w:eastAsia="es-ES"/>
    </w:rPr>
  </w:style>
  <w:style w:type="paragraph" w:styleId="CommentSubject">
    <w:name w:val="annotation subject"/>
    <w:basedOn w:val="CommentText"/>
    <w:next w:val="CommentText"/>
    <w:link w:val="CommentSubjectChar"/>
    <w:uiPriority w:val="99"/>
    <w:rsid w:val="00C86F81"/>
    <w:rPr>
      <w:b/>
      <w:bCs/>
    </w:rPr>
  </w:style>
  <w:style w:type="character" w:customStyle="1" w:styleId="CommentSubjectChar">
    <w:name w:val="Comment Subject Char"/>
    <w:basedOn w:val="CommentTextChar"/>
    <w:link w:val="CommentSubject"/>
    <w:uiPriority w:val="99"/>
    <w:rsid w:val="00C86F81"/>
    <w:rPr>
      <w:rFonts w:ascii="Times New Roman" w:eastAsia="Times New Roman" w:hAnsi="Times New Roman" w:cs="Times New Roman"/>
      <w:b/>
      <w:bCs/>
      <w:sz w:val="20"/>
      <w:szCs w:val="20"/>
      <w:lang w:val="en-US" w:eastAsia="es-ES"/>
    </w:rPr>
  </w:style>
  <w:style w:type="paragraph" w:styleId="TOC1">
    <w:name w:val="toc 1"/>
    <w:basedOn w:val="Normal"/>
    <w:next w:val="Normal"/>
    <w:autoRedefine/>
    <w:uiPriority w:val="39"/>
    <w:unhideWhenUsed/>
    <w:qFormat/>
    <w:rsid w:val="00FF7027"/>
    <w:pPr>
      <w:tabs>
        <w:tab w:val="left" w:pos="362"/>
        <w:tab w:val="right" w:leader="dot" w:pos="9017"/>
      </w:tabs>
      <w:spacing w:before="240" w:after="60"/>
    </w:pPr>
    <w:rPr>
      <w:rFonts w:eastAsiaTheme="minorEastAsia"/>
      <w:b/>
      <w:lang w:eastAsia="ja-JP"/>
    </w:rPr>
  </w:style>
  <w:style w:type="paragraph" w:styleId="TOC2">
    <w:name w:val="toc 2"/>
    <w:basedOn w:val="Normal"/>
    <w:next w:val="Normal"/>
    <w:uiPriority w:val="39"/>
    <w:unhideWhenUsed/>
    <w:qFormat/>
    <w:rsid w:val="00FF3614"/>
    <w:pPr>
      <w:spacing w:after="60"/>
      <w:ind w:left="216"/>
    </w:pPr>
    <w:rPr>
      <w:rFonts w:eastAsiaTheme="minorEastAsia"/>
      <w:lang w:eastAsia="ja-JP"/>
    </w:rPr>
  </w:style>
  <w:style w:type="paragraph" w:styleId="TOC3">
    <w:name w:val="toc 3"/>
    <w:basedOn w:val="Normal"/>
    <w:next w:val="Normal"/>
    <w:autoRedefine/>
    <w:uiPriority w:val="39"/>
    <w:rsid w:val="00FF3614"/>
    <w:pPr>
      <w:spacing w:after="60"/>
      <w:ind w:left="360"/>
    </w:pPr>
  </w:style>
  <w:style w:type="paragraph" w:styleId="TOC4">
    <w:name w:val="toc 4"/>
    <w:basedOn w:val="Normal"/>
    <w:next w:val="Normal"/>
    <w:autoRedefine/>
    <w:rsid w:val="00C86F81"/>
  </w:style>
  <w:style w:type="paragraph" w:styleId="TOC5">
    <w:name w:val="toc 5"/>
    <w:basedOn w:val="Normal"/>
    <w:next w:val="Normal"/>
    <w:autoRedefine/>
    <w:uiPriority w:val="39"/>
    <w:rsid w:val="00C86F81"/>
  </w:style>
  <w:style w:type="paragraph" w:styleId="TOC6">
    <w:name w:val="toc 6"/>
    <w:basedOn w:val="Normal"/>
    <w:next w:val="Normal"/>
    <w:autoRedefine/>
    <w:uiPriority w:val="39"/>
    <w:rsid w:val="00C86F81"/>
  </w:style>
  <w:style w:type="paragraph" w:styleId="TOC7">
    <w:name w:val="toc 7"/>
    <w:basedOn w:val="Normal"/>
    <w:next w:val="Normal"/>
    <w:autoRedefine/>
    <w:uiPriority w:val="39"/>
    <w:rsid w:val="00C86F81"/>
  </w:style>
  <w:style w:type="paragraph" w:styleId="TOC8">
    <w:name w:val="toc 8"/>
    <w:basedOn w:val="Normal"/>
    <w:next w:val="Normal"/>
    <w:autoRedefine/>
    <w:uiPriority w:val="39"/>
    <w:rsid w:val="00C86F81"/>
  </w:style>
  <w:style w:type="paragraph" w:styleId="TOC9">
    <w:name w:val="toc 9"/>
    <w:basedOn w:val="Normal"/>
    <w:next w:val="Normal"/>
    <w:autoRedefine/>
    <w:uiPriority w:val="39"/>
    <w:rsid w:val="00C86F81"/>
  </w:style>
  <w:style w:type="paragraph" w:styleId="Footer">
    <w:name w:val="footer"/>
    <w:basedOn w:val="Normal"/>
    <w:link w:val="FooterChar"/>
    <w:uiPriority w:val="99"/>
    <w:qFormat/>
    <w:rsid w:val="00C86F81"/>
    <w:pPr>
      <w:tabs>
        <w:tab w:val="center" w:pos="4252"/>
        <w:tab w:val="right" w:pos="8504"/>
      </w:tabs>
    </w:pPr>
  </w:style>
  <w:style w:type="character" w:customStyle="1" w:styleId="FooterChar">
    <w:name w:val="Footer Char"/>
    <w:basedOn w:val="DefaultParagraphFont"/>
    <w:link w:val="Footer"/>
    <w:uiPriority w:val="99"/>
    <w:rsid w:val="00C86F81"/>
    <w:rPr>
      <w:rFonts w:ascii="Times New Roman" w:eastAsia="Times New Roman" w:hAnsi="Times New Roman" w:cs="Times New Roman"/>
      <w:sz w:val="24"/>
      <w:szCs w:val="24"/>
      <w:lang w:val="en-US" w:eastAsia="es-ES"/>
    </w:rPr>
  </w:style>
  <w:style w:type="character" w:styleId="PageNumber">
    <w:name w:val="page number"/>
    <w:basedOn w:val="DefaultParagraphFont"/>
    <w:rsid w:val="00C86F81"/>
  </w:style>
  <w:style w:type="character" w:styleId="Hyperlink">
    <w:name w:val="Hyperlink"/>
    <w:basedOn w:val="DefaultParagraphFont"/>
    <w:uiPriority w:val="99"/>
    <w:rsid w:val="00C86F81"/>
    <w:rPr>
      <w:color w:val="0000FF"/>
      <w:u w:val="single"/>
    </w:rPr>
  </w:style>
  <w:style w:type="paragraph" w:styleId="Index1">
    <w:name w:val="index 1"/>
    <w:basedOn w:val="Normal"/>
    <w:next w:val="Normal"/>
    <w:autoRedefine/>
    <w:semiHidden/>
    <w:rsid w:val="00C86F81"/>
    <w:pPr>
      <w:ind w:left="240" w:hanging="240"/>
    </w:pPr>
    <w:rPr>
      <w:sz w:val="18"/>
      <w:szCs w:val="18"/>
    </w:rPr>
  </w:style>
  <w:style w:type="paragraph" w:styleId="Index2">
    <w:name w:val="index 2"/>
    <w:basedOn w:val="Normal"/>
    <w:next w:val="Normal"/>
    <w:autoRedefine/>
    <w:semiHidden/>
    <w:rsid w:val="00C86F81"/>
    <w:pPr>
      <w:ind w:left="480" w:hanging="240"/>
    </w:pPr>
    <w:rPr>
      <w:sz w:val="18"/>
      <w:szCs w:val="18"/>
    </w:rPr>
  </w:style>
  <w:style w:type="paragraph" w:styleId="Index3">
    <w:name w:val="index 3"/>
    <w:basedOn w:val="Normal"/>
    <w:next w:val="Normal"/>
    <w:autoRedefine/>
    <w:semiHidden/>
    <w:rsid w:val="00C86F81"/>
    <w:pPr>
      <w:ind w:left="720" w:hanging="240"/>
    </w:pPr>
    <w:rPr>
      <w:sz w:val="18"/>
      <w:szCs w:val="18"/>
    </w:rPr>
  </w:style>
  <w:style w:type="paragraph" w:styleId="Index4">
    <w:name w:val="index 4"/>
    <w:basedOn w:val="Normal"/>
    <w:next w:val="Normal"/>
    <w:autoRedefine/>
    <w:semiHidden/>
    <w:rsid w:val="00C86F81"/>
    <w:pPr>
      <w:ind w:left="960" w:hanging="240"/>
    </w:pPr>
    <w:rPr>
      <w:sz w:val="18"/>
      <w:szCs w:val="18"/>
    </w:rPr>
  </w:style>
  <w:style w:type="paragraph" w:styleId="Index5">
    <w:name w:val="index 5"/>
    <w:basedOn w:val="Normal"/>
    <w:next w:val="Normal"/>
    <w:autoRedefine/>
    <w:semiHidden/>
    <w:rsid w:val="00C86F81"/>
    <w:pPr>
      <w:ind w:left="1200" w:hanging="240"/>
    </w:pPr>
    <w:rPr>
      <w:sz w:val="18"/>
      <w:szCs w:val="18"/>
    </w:rPr>
  </w:style>
  <w:style w:type="paragraph" w:styleId="Index6">
    <w:name w:val="index 6"/>
    <w:basedOn w:val="Normal"/>
    <w:next w:val="Normal"/>
    <w:autoRedefine/>
    <w:semiHidden/>
    <w:rsid w:val="00C86F81"/>
    <w:pPr>
      <w:ind w:left="1440" w:hanging="240"/>
    </w:pPr>
    <w:rPr>
      <w:sz w:val="18"/>
      <w:szCs w:val="18"/>
    </w:rPr>
  </w:style>
  <w:style w:type="paragraph" w:styleId="Index7">
    <w:name w:val="index 7"/>
    <w:basedOn w:val="Normal"/>
    <w:next w:val="Normal"/>
    <w:autoRedefine/>
    <w:semiHidden/>
    <w:rsid w:val="00C86F81"/>
    <w:pPr>
      <w:ind w:left="1680" w:hanging="240"/>
    </w:pPr>
    <w:rPr>
      <w:sz w:val="18"/>
      <w:szCs w:val="18"/>
    </w:rPr>
  </w:style>
  <w:style w:type="paragraph" w:styleId="Index8">
    <w:name w:val="index 8"/>
    <w:basedOn w:val="Normal"/>
    <w:next w:val="Normal"/>
    <w:autoRedefine/>
    <w:semiHidden/>
    <w:rsid w:val="00C86F81"/>
    <w:pPr>
      <w:ind w:left="1920" w:hanging="240"/>
    </w:pPr>
    <w:rPr>
      <w:sz w:val="18"/>
      <w:szCs w:val="18"/>
    </w:rPr>
  </w:style>
  <w:style w:type="paragraph" w:styleId="Index9">
    <w:name w:val="index 9"/>
    <w:basedOn w:val="Normal"/>
    <w:next w:val="Normal"/>
    <w:autoRedefine/>
    <w:semiHidden/>
    <w:rsid w:val="00C86F81"/>
    <w:pPr>
      <w:ind w:left="2160" w:hanging="240"/>
    </w:pPr>
    <w:rPr>
      <w:sz w:val="18"/>
      <w:szCs w:val="18"/>
    </w:rPr>
  </w:style>
  <w:style w:type="paragraph" w:styleId="IndexHeading">
    <w:name w:val="index heading"/>
    <w:basedOn w:val="Normal"/>
    <w:next w:val="Index1"/>
    <w:semiHidden/>
    <w:rsid w:val="00C86F81"/>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rPr>
  </w:style>
  <w:style w:type="paragraph" w:styleId="Caption">
    <w:name w:val="caption"/>
    <w:basedOn w:val="Normal"/>
    <w:next w:val="Normal"/>
    <w:qFormat/>
    <w:rsid w:val="00C86F81"/>
    <w:rPr>
      <w:b/>
      <w:bCs/>
      <w:sz w:val="20"/>
      <w:szCs w:val="20"/>
    </w:rPr>
  </w:style>
  <w:style w:type="paragraph" w:styleId="TableofFigures">
    <w:name w:val="table of figures"/>
    <w:basedOn w:val="Normal"/>
    <w:next w:val="Normal"/>
    <w:uiPriority w:val="99"/>
    <w:unhideWhenUsed/>
    <w:qFormat/>
    <w:rsid w:val="00295B5F"/>
    <w:pPr>
      <w:spacing w:after="120"/>
    </w:pPr>
  </w:style>
  <w:style w:type="paragraph" w:styleId="Header">
    <w:name w:val="header"/>
    <w:basedOn w:val="Normal"/>
    <w:link w:val="HeaderChar"/>
    <w:rsid w:val="00C86F81"/>
    <w:pPr>
      <w:tabs>
        <w:tab w:val="center" w:pos="4252"/>
        <w:tab w:val="right" w:pos="8504"/>
      </w:tabs>
    </w:pPr>
  </w:style>
  <w:style w:type="character" w:customStyle="1" w:styleId="HeaderChar">
    <w:name w:val="Header Char"/>
    <w:basedOn w:val="DefaultParagraphFont"/>
    <w:link w:val="Header"/>
    <w:rsid w:val="00C86F81"/>
    <w:rPr>
      <w:rFonts w:ascii="Times New Roman" w:eastAsia="Times New Roman" w:hAnsi="Times New Roman" w:cs="Times New Roman"/>
      <w:sz w:val="24"/>
      <w:szCs w:val="24"/>
      <w:lang w:val="en-US" w:eastAsia="es-ES"/>
    </w:rPr>
  </w:style>
  <w:style w:type="character" w:styleId="LineNumber">
    <w:name w:val="line number"/>
    <w:basedOn w:val="DefaultParagraphFont"/>
    <w:rsid w:val="00C86F81"/>
  </w:style>
  <w:style w:type="paragraph" w:styleId="ListParagraph">
    <w:name w:val="List Paragraph"/>
    <w:basedOn w:val="Normal"/>
    <w:link w:val="ListParagraphChar"/>
    <w:uiPriority w:val="34"/>
    <w:qFormat/>
    <w:rsid w:val="007E1642"/>
    <w:pPr>
      <w:ind w:left="720"/>
      <w:contextualSpacing/>
    </w:pPr>
  </w:style>
  <w:style w:type="paragraph" w:styleId="Title">
    <w:name w:val="Title"/>
    <w:basedOn w:val="Normal"/>
    <w:next w:val="Normal"/>
    <w:link w:val="TitleChar"/>
    <w:qFormat/>
    <w:rsid w:val="00295B5F"/>
    <w:pPr>
      <w:keepNext/>
      <w:keepLines/>
      <w:pBdr>
        <w:bottom w:val="single" w:sz="18" w:space="4" w:color="9C2F24"/>
      </w:pBdr>
      <w:spacing w:before="6600" w:after="2640" w:line="240" w:lineRule="auto"/>
      <w:contextualSpacing/>
      <w:jc w:val="left"/>
    </w:pPr>
    <w:rPr>
      <w:rFonts w:eastAsiaTheme="majorEastAsia" w:cstheme="majorBidi"/>
      <w:smallCaps/>
      <w:spacing w:val="5"/>
      <w:kern w:val="28"/>
      <w:sz w:val="52"/>
      <w:szCs w:val="52"/>
    </w:rPr>
  </w:style>
  <w:style w:type="character" w:customStyle="1" w:styleId="TitleChar">
    <w:name w:val="Title Char"/>
    <w:basedOn w:val="DefaultParagraphFont"/>
    <w:link w:val="Title"/>
    <w:uiPriority w:val="10"/>
    <w:rsid w:val="00295B5F"/>
    <w:rPr>
      <w:rFonts w:ascii="Trebuchet MS" w:eastAsiaTheme="majorEastAsia" w:hAnsi="Trebuchet MS" w:cstheme="majorBidi"/>
      <w:smallCaps/>
      <w:spacing w:val="5"/>
      <w:kern w:val="28"/>
      <w:sz w:val="52"/>
      <w:szCs w:val="52"/>
    </w:rPr>
  </w:style>
  <w:style w:type="paragraph" w:customStyle="1" w:styleId="FechaTit">
    <w:name w:val="Fecha Tit"/>
    <w:basedOn w:val="Normal"/>
    <w:qFormat/>
    <w:rsid w:val="00295B5F"/>
    <w:pPr>
      <w:keepNext/>
      <w:keepLines/>
      <w:jc w:val="right"/>
    </w:pPr>
    <w:rPr>
      <w:sz w:val="36"/>
    </w:rPr>
  </w:style>
  <w:style w:type="character" w:styleId="PlaceholderText">
    <w:name w:val="Placeholder Text"/>
    <w:basedOn w:val="DefaultParagraphFont"/>
    <w:uiPriority w:val="99"/>
    <w:semiHidden/>
    <w:rsid w:val="008D7430"/>
    <w:rPr>
      <w:color w:val="808080"/>
    </w:rPr>
  </w:style>
  <w:style w:type="table" w:customStyle="1" w:styleId="Style1">
    <w:name w:val="Style1"/>
    <w:basedOn w:val="TableNormal"/>
    <w:uiPriority w:val="99"/>
    <w:rsid w:val="008D7430"/>
    <w:pPr>
      <w:spacing w:after="0" w:line="240" w:lineRule="auto"/>
    </w:pPr>
    <w:rPr>
      <w:rFonts w:ascii="Trebuchet MS" w:hAnsi="Trebuchet MS"/>
      <w:lang w:val="en-US"/>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vAlign w:val="center"/>
    </w:tcPr>
    <w:tblStylePr w:type="firstRow">
      <w:rPr>
        <w:rFonts w:ascii="ff8" w:hAnsi="ff8"/>
        <w:b/>
      </w:rPr>
      <w:tblPr/>
      <w:tcPr>
        <w:shd w:val="clear" w:color="auto" w:fill="FFFFFF" w:themeFill="background1"/>
      </w:tcPr>
    </w:tblStylePr>
    <w:tblStylePr w:type="lastRow">
      <w:rPr>
        <w:b/>
      </w:rPr>
    </w:tblStylePr>
  </w:style>
  <w:style w:type="character" w:customStyle="1" w:styleId="Heading5Char">
    <w:name w:val="Heading 5 Char"/>
    <w:aliases w:val="Indice Ref Char"/>
    <w:basedOn w:val="DefaultParagraphFont"/>
    <w:link w:val="Heading5"/>
    <w:rsid w:val="005A6722"/>
    <w:rPr>
      <w:rFonts w:ascii="Trebuchet MS" w:eastAsiaTheme="majorEastAsia" w:hAnsi="Trebuchet MS" w:cstheme="majorBidi"/>
      <w:b/>
      <w:smallCaps/>
      <w:lang w:val="en-US"/>
    </w:rPr>
  </w:style>
  <w:style w:type="character" w:customStyle="1" w:styleId="Heading1Char">
    <w:name w:val="Heading 1 Char"/>
    <w:basedOn w:val="DefaultParagraphFont"/>
    <w:link w:val="Heading1"/>
    <w:rsid w:val="00366F6B"/>
    <w:rPr>
      <w:rFonts w:ascii="Trebuchet MS" w:eastAsiaTheme="majorEastAsia" w:hAnsi="Trebuchet MS" w:cstheme="majorBidi"/>
      <w:b/>
      <w:bCs/>
      <w:smallCaps/>
      <w:sz w:val="28"/>
      <w:szCs w:val="28"/>
      <w:lang w:val="en-US"/>
    </w:rPr>
  </w:style>
  <w:style w:type="character" w:customStyle="1" w:styleId="Heading2Char">
    <w:name w:val="Heading 2 Char"/>
    <w:aliases w:val="Subchapter 1.1 Char,1.1 HEADING 2 Char,2 Char,Major Char,2 headline Char,h Char,Subchapter 1.1 Car Car Char,h2 Char,2/1 Char,Titre 2 Char,l2 Char,list + change bar Char,??? Char,h21 Char,LetHead2 Char,MisHead2 Char,Normalhead2 Char,A Char"/>
    <w:basedOn w:val="DefaultParagraphFont"/>
    <w:link w:val="Heading2"/>
    <w:rsid w:val="00195D47"/>
    <w:rPr>
      <w:rFonts w:ascii="Trebuchet MS" w:eastAsiaTheme="majorEastAsia" w:hAnsi="Trebuchet MS" w:cstheme="majorBidi"/>
      <w:b/>
      <w:bCs/>
      <w:smallCaps/>
      <w:sz w:val="24"/>
      <w:szCs w:val="26"/>
      <w:lang w:val="en-US"/>
    </w:rPr>
  </w:style>
  <w:style w:type="character" w:customStyle="1" w:styleId="Heading3Char">
    <w:name w:val="Heading 3 Char"/>
    <w:basedOn w:val="DefaultParagraphFont"/>
    <w:link w:val="Heading3"/>
    <w:rsid w:val="00366F6B"/>
    <w:rPr>
      <w:rFonts w:ascii="Trebuchet MS" w:eastAsiaTheme="majorEastAsia" w:hAnsi="Trebuchet MS" w:cstheme="majorBidi"/>
      <w:b/>
      <w:bCs/>
      <w:smallCaps/>
      <w:lang w:val="en-US"/>
    </w:rPr>
  </w:style>
  <w:style w:type="character" w:customStyle="1" w:styleId="Heading4Char">
    <w:name w:val="Heading 4 Char"/>
    <w:basedOn w:val="DefaultParagraphFont"/>
    <w:link w:val="Heading4"/>
    <w:rsid w:val="00366F6B"/>
    <w:rPr>
      <w:rFonts w:ascii="Trebuchet MS" w:eastAsiaTheme="majorEastAsia" w:hAnsi="Trebuchet MS" w:cstheme="majorBidi"/>
      <w:b/>
      <w:bCs/>
      <w:i/>
      <w:iCs/>
      <w:smallCaps/>
      <w:lang w:val="en-US"/>
    </w:rPr>
  </w:style>
  <w:style w:type="character" w:customStyle="1" w:styleId="Heading6Char">
    <w:name w:val="Heading 6 Char"/>
    <w:basedOn w:val="DefaultParagraphFont"/>
    <w:link w:val="Heading6"/>
    <w:uiPriority w:val="9"/>
    <w:rsid w:val="00EF4974"/>
    <w:rPr>
      <w:rFonts w:ascii="Trebuchet MS" w:eastAsiaTheme="majorEastAsia" w:hAnsi="Trebuchet MS" w:cstheme="majorBidi"/>
      <w:b/>
      <w:i/>
      <w:iCs/>
      <w:lang w:val="pt-BR"/>
    </w:rPr>
  </w:style>
  <w:style w:type="paragraph" w:customStyle="1" w:styleId="TtuloTabla">
    <w:name w:val="Título Tabla"/>
    <w:basedOn w:val="Normal"/>
    <w:qFormat/>
    <w:rsid w:val="00295B5F"/>
    <w:pPr>
      <w:keepNext/>
      <w:keepLines/>
      <w:spacing w:before="240" w:after="0"/>
      <w:jc w:val="center"/>
    </w:pPr>
    <w:rPr>
      <w:b/>
    </w:rPr>
  </w:style>
  <w:style w:type="paragraph" w:customStyle="1" w:styleId="Fuente">
    <w:name w:val="Fuente"/>
    <w:basedOn w:val="Normal"/>
    <w:qFormat/>
    <w:rsid w:val="002B38BA"/>
    <w:pPr>
      <w:keepLines/>
      <w:spacing w:before="60" w:after="240" w:line="240" w:lineRule="auto"/>
      <w:contextualSpacing/>
      <w:jc w:val="center"/>
    </w:pPr>
    <w:rPr>
      <w:sz w:val="20"/>
    </w:rPr>
  </w:style>
  <w:style w:type="paragraph" w:customStyle="1" w:styleId="BulletNum">
    <w:name w:val="Bullet Num"/>
    <w:basedOn w:val="Normal"/>
    <w:qFormat/>
    <w:rsid w:val="00295B5F"/>
    <w:pPr>
      <w:numPr>
        <w:numId w:val="7"/>
      </w:numPr>
      <w:spacing w:before="240" w:after="240"/>
      <w:contextualSpacing/>
    </w:pPr>
  </w:style>
  <w:style w:type="paragraph" w:customStyle="1" w:styleId="BulletOtro">
    <w:name w:val="Bullet Otro"/>
    <w:basedOn w:val="ListBullet"/>
    <w:qFormat/>
    <w:rsid w:val="00295B5F"/>
    <w:pPr>
      <w:numPr>
        <w:numId w:val="0"/>
      </w:numPr>
      <w:tabs>
        <w:tab w:val="left" w:pos="720"/>
        <w:tab w:val="left" w:pos="1440"/>
      </w:tabs>
      <w:spacing w:before="240" w:after="240"/>
    </w:pPr>
  </w:style>
  <w:style w:type="paragraph" w:styleId="ListBullet">
    <w:name w:val="List Bullet"/>
    <w:basedOn w:val="Normal"/>
    <w:uiPriority w:val="99"/>
    <w:unhideWhenUsed/>
    <w:rsid w:val="00DF5C91"/>
    <w:pPr>
      <w:numPr>
        <w:numId w:val="1"/>
      </w:numPr>
      <w:contextualSpacing/>
    </w:pPr>
  </w:style>
  <w:style w:type="paragraph" w:customStyle="1" w:styleId="AnexosNiv2">
    <w:name w:val="Anexos Niv2"/>
    <w:basedOn w:val="Heading2"/>
    <w:next w:val="Normal"/>
    <w:link w:val="AnexosNiv2Char"/>
    <w:autoRedefine/>
    <w:qFormat/>
    <w:rsid w:val="00357308"/>
    <w:pPr>
      <w:numPr>
        <w:numId w:val="3"/>
      </w:numPr>
    </w:pPr>
    <w:rPr>
      <w:lang w:val="es-ES"/>
    </w:rPr>
  </w:style>
  <w:style w:type="character" w:customStyle="1" w:styleId="AnexosNiv2Char">
    <w:name w:val="Anexos Niv2 Char"/>
    <w:basedOn w:val="Heading2Char"/>
    <w:link w:val="AnexosNiv2"/>
    <w:rsid w:val="00357308"/>
    <w:rPr>
      <w:rFonts w:ascii="Trebuchet MS" w:eastAsiaTheme="majorEastAsia" w:hAnsi="Trebuchet MS" w:cstheme="majorBidi"/>
      <w:b/>
      <w:bCs/>
      <w:smallCaps/>
      <w:sz w:val="24"/>
      <w:szCs w:val="26"/>
      <w:lang w:val="es-ES"/>
    </w:rPr>
  </w:style>
  <w:style w:type="paragraph" w:customStyle="1" w:styleId="Footnote">
    <w:name w:val="Footnote"/>
    <w:basedOn w:val="FootnoteText"/>
    <w:link w:val="Footnote0"/>
    <w:qFormat/>
    <w:rsid w:val="00F55620"/>
    <w:pPr>
      <w:widowControl/>
      <w:autoSpaceDE/>
      <w:autoSpaceDN/>
      <w:spacing w:after="120" w:line="240" w:lineRule="auto"/>
    </w:pPr>
    <w:rPr>
      <w:lang w:val="es-AR"/>
    </w:rPr>
  </w:style>
  <w:style w:type="paragraph" w:customStyle="1" w:styleId="Cita1">
    <w:name w:val="Cita1"/>
    <w:basedOn w:val="Normal"/>
    <w:qFormat/>
    <w:rsid w:val="00DF5C91"/>
    <w:pPr>
      <w:spacing w:before="240" w:after="240"/>
      <w:ind w:left="720"/>
    </w:pPr>
  </w:style>
  <w:style w:type="paragraph" w:customStyle="1" w:styleId="TituloGraf">
    <w:name w:val="Titulo Graf"/>
    <w:basedOn w:val="TtuloTabla"/>
    <w:qFormat/>
    <w:rsid w:val="00295B5F"/>
  </w:style>
  <w:style w:type="paragraph" w:customStyle="1" w:styleId="TituloBox">
    <w:name w:val="Titulo Box"/>
    <w:basedOn w:val="TituloGraf"/>
    <w:qFormat/>
    <w:rsid w:val="00295B5F"/>
    <w:pPr>
      <w:spacing w:before="360" w:after="120"/>
      <w:jc w:val="left"/>
    </w:pPr>
  </w:style>
  <w:style w:type="paragraph" w:customStyle="1" w:styleId="TextoBox">
    <w:name w:val="Texto Box"/>
    <w:basedOn w:val="Normal"/>
    <w:qFormat/>
    <w:rsid w:val="00295B5F"/>
    <w:pPr>
      <w:keepNext/>
      <w:keepLines/>
      <w:pBdr>
        <w:top w:val="single" w:sz="24" w:space="1" w:color="auto"/>
        <w:left w:val="single" w:sz="24" w:space="4" w:color="auto"/>
        <w:bottom w:val="single" w:sz="24" w:space="1" w:color="auto"/>
        <w:right w:val="single" w:sz="24" w:space="4" w:color="auto"/>
      </w:pBdr>
      <w:spacing w:after="360" w:line="360" w:lineRule="auto"/>
      <w:contextualSpacing/>
    </w:pPr>
  </w:style>
  <w:style w:type="paragraph" w:customStyle="1" w:styleId="AnexoTit2">
    <w:name w:val="Anexo Tit2"/>
    <w:basedOn w:val="Heading2"/>
    <w:link w:val="AnexoTit2Char"/>
    <w:qFormat/>
    <w:rsid w:val="00295B5F"/>
    <w:pPr>
      <w:numPr>
        <w:numId w:val="0"/>
      </w:numPr>
      <w:ind w:left="720" w:hanging="360"/>
    </w:pPr>
  </w:style>
  <w:style w:type="character" w:customStyle="1" w:styleId="AnexoTit2Char">
    <w:name w:val="Anexo Tit2 Char"/>
    <w:basedOn w:val="Heading2Char"/>
    <w:link w:val="AnexoTit2"/>
    <w:rsid w:val="00295B5F"/>
    <w:rPr>
      <w:rFonts w:ascii="Trebuchet MS" w:eastAsiaTheme="majorEastAsia" w:hAnsi="Trebuchet MS" w:cstheme="majorBidi"/>
      <w:b/>
      <w:bCs/>
      <w:smallCaps/>
      <w:sz w:val="24"/>
      <w:szCs w:val="26"/>
      <w:lang w:val="en-US"/>
    </w:rPr>
  </w:style>
  <w:style w:type="paragraph" w:customStyle="1" w:styleId="AnexoNiv3">
    <w:name w:val="Anexo Niv 3"/>
    <w:basedOn w:val="Heading3"/>
    <w:link w:val="AnexoNiv3Char"/>
    <w:qFormat/>
    <w:rsid w:val="00DE16D7"/>
    <w:pPr>
      <w:ind w:left="720" w:hanging="180"/>
    </w:pPr>
  </w:style>
  <w:style w:type="character" w:customStyle="1" w:styleId="AnexoNiv3Char">
    <w:name w:val="Anexo Niv 3 Char"/>
    <w:basedOn w:val="Heading3Char"/>
    <w:link w:val="AnexoNiv3"/>
    <w:rsid w:val="00DE16D7"/>
    <w:rPr>
      <w:rFonts w:ascii="Trebuchet MS" w:eastAsiaTheme="majorEastAsia" w:hAnsi="Trebuchet MS" w:cstheme="majorBidi"/>
      <w:b/>
      <w:bCs/>
      <w:smallCaps/>
      <w:lang w:val="en-US"/>
    </w:rPr>
  </w:style>
  <w:style w:type="paragraph" w:customStyle="1" w:styleId="AnexoNiv1">
    <w:name w:val="Anexo Niv1"/>
    <w:basedOn w:val="Heading1"/>
    <w:link w:val="AnexoNiv1Char"/>
    <w:qFormat/>
    <w:rsid w:val="00EF67F1"/>
    <w:pPr>
      <w:pageBreakBefore w:val="0"/>
      <w:numPr>
        <w:numId w:val="2"/>
      </w:numPr>
    </w:pPr>
  </w:style>
  <w:style w:type="character" w:customStyle="1" w:styleId="AnexoNiv1Char">
    <w:name w:val="Anexo Niv1 Char"/>
    <w:basedOn w:val="Heading1Char"/>
    <w:link w:val="AnexoNiv1"/>
    <w:rsid w:val="00EF67F1"/>
    <w:rPr>
      <w:rFonts w:ascii="Trebuchet MS" w:eastAsiaTheme="majorEastAsia" w:hAnsi="Trebuchet MS" w:cstheme="majorBidi"/>
      <w:b/>
      <w:bCs/>
      <w:smallCaps/>
      <w:sz w:val="28"/>
      <w:szCs w:val="28"/>
      <w:lang w:val="en-US"/>
    </w:rPr>
  </w:style>
  <w:style w:type="character" w:customStyle="1" w:styleId="Heading7Char">
    <w:name w:val="Heading 7 Char"/>
    <w:basedOn w:val="DefaultParagraphFont"/>
    <w:link w:val="Heading7"/>
    <w:uiPriority w:val="9"/>
    <w:rsid w:val="00295B5F"/>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295B5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295B5F"/>
    <w:rPr>
      <w:rFonts w:asciiTheme="majorHAnsi" w:eastAsiaTheme="majorEastAsia" w:hAnsiTheme="majorHAnsi" w:cstheme="majorBidi"/>
      <w:i/>
      <w:iCs/>
      <w:color w:val="404040" w:themeColor="text1" w:themeTint="BF"/>
      <w:sz w:val="20"/>
      <w:szCs w:val="20"/>
      <w:lang w:val="en-US"/>
    </w:rPr>
  </w:style>
  <w:style w:type="paragraph" w:styleId="Subtitle">
    <w:name w:val="Subtitle"/>
    <w:aliases w:val="Anexos Niv1"/>
    <w:basedOn w:val="Heading3"/>
    <w:next w:val="Normal"/>
    <w:link w:val="SubtitleChar"/>
    <w:uiPriority w:val="11"/>
    <w:qFormat/>
    <w:rsid w:val="00295B5F"/>
    <w:pPr>
      <w:ind w:left="1080" w:hanging="360"/>
      <w:contextualSpacing/>
    </w:pPr>
    <w:rPr>
      <w:iCs/>
      <w:spacing w:val="15"/>
      <w:szCs w:val="24"/>
    </w:rPr>
  </w:style>
  <w:style w:type="character" w:customStyle="1" w:styleId="SubtitleChar">
    <w:name w:val="Subtitle Char"/>
    <w:aliases w:val="Anexos Niv1 Char"/>
    <w:basedOn w:val="DefaultParagraphFont"/>
    <w:link w:val="Subtitle"/>
    <w:uiPriority w:val="11"/>
    <w:rsid w:val="00295B5F"/>
    <w:rPr>
      <w:rFonts w:ascii="Trebuchet MS" w:eastAsiaTheme="majorEastAsia" w:hAnsi="Trebuchet MS" w:cstheme="majorBidi"/>
      <w:b/>
      <w:bCs/>
      <w:iCs/>
      <w:smallCaps/>
      <w:spacing w:val="15"/>
      <w:szCs w:val="24"/>
    </w:rPr>
  </w:style>
  <w:style w:type="character" w:styleId="Strong">
    <w:name w:val="Strong"/>
    <w:basedOn w:val="DefaultParagraphFont"/>
    <w:uiPriority w:val="22"/>
    <w:qFormat/>
    <w:rsid w:val="00295B5F"/>
    <w:rPr>
      <w:b/>
      <w:bCs/>
    </w:rPr>
  </w:style>
  <w:style w:type="paragraph" w:styleId="NoSpacing">
    <w:name w:val="No Spacing"/>
    <w:aliases w:val="Destacado,No Spacing1,Sem Espaçamento1"/>
    <w:basedOn w:val="Normal"/>
    <w:next w:val="Normal"/>
    <w:link w:val="NoSpacingChar"/>
    <w:uiPriority w:val="1"/>
    <w:qFormat/>
    <w:rsid w:val="00295B5F"/>
    <w:pPr>
      <w:spacing w:before="360" w:after="360" w:line="240" w:lineRule="auto"/>
    </w:pPr>
    <w:rPr>
      <w:i/>
    </w:rPr>
  </w:style>
  <w:style w:type="paragraph" w:customStyle="1" w:styleId="TableHeader">
    <w:name w:val="TableHeader"/>
    <w:basedOn w:val="Normal"/>
    <w:rsid w:val="008101A5"/>
    <w:pPr>
      <w:spacing w:before="480" w:after="120"/>
      <w:jc w:val="center"/>
    </w:pPr>
    <w:rPr>
      <w:rFonts w:eastAsia="Times New Roman" w:cs="Times New Roman"/>
      <w:b/>
      <w:sz w:val="20"/>
      <w:szCs w:val="20"/>
    </w:rPr>
  </w:style>
  <w:style w:type="paragraph" w:customStyle="1" w:styleId="Source">
    <w:name w:val="Source"/>
    <w:basedOn w:val="Normal"/>
    <w:rsid w:val="008101A5"/>
    <w:pPr>
      <w:spacing w:before="120" w:after="480"/>
    </w:pPr>
    <w:rPr>
      <w:rFonts w:eastAsia="Times New Roman" w:cs="Times New Roman"/>
      <w:sz w:val="20"/>
      <w:szCs w:val="24"/>
    </w:rPr>
  </w:style>
  <w:style w:type="table" w:customStyle="1" w:styleId="Tabla">
    <w:name w:val="Tabla"/>
    <w:basedOn w:val="TableNormal"/>
    <w:uiPriority w:val="99"/>
    <w:rsid w:val="00D81382"/>
    <w:pPr>
      <w:keepNext/>
      <w:keepLines/>
      <w:spacing w:after="0" w:line="240" w:lineRule="auto"/>
    </w:pPr>
    <w:rPr>
      <w:rFonts w:ascii="Trebuchet MS" w:hAnsi="Trebuchet MS"/>
      <w:lang w:val="en-US"/>
    </w:rPr>
    <w:tblPr>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
    <w:trPr>
      <w:cantSplit/>
      <w:jc w:val="center"/>
    </w:trPr>
    <w:tcPr>
      <w:shd w:val="clear" w:color="auto" w:fill="auto"/>
      <w:vAlign w:val="center"/>
    </w:tcPr>
    <w:tblStylePr w:type="firstRow">
      <w:rPr>
        <w:rFonts w:ascii="ff8" w:hAnsi="ff8"/>
        <w:b/>
      </w:rPr>
      <w:tblPr/>
      <w:tcPr>
        <w:tcBorders>
          <w:top w:val="single" w:sz="24" w:space="0" w:color="auto"/>
          <w:left w:val="single" w:sz="24" w:space="0" w:color="auto"/>
          <w:bottom w:val="single" w:sz="24" w:space="0" w:color="auto"/>
          <w:right w:val="single" w:sz="24" w:space="0" w:color="auto"/>
          <w:insideH w:val="nil"/>
          <w:insideV w:val="single" w:sz="2" w:space="0" w:color="auto"/>
          <w:tl2br w:val="nil"/>
          <w:tr2bl w:val="nil"/>
        </w:tcBorders>
        <w:shd w:val="pct20" w:color="auto" w:fill="FFFFFF" w:themeFill="background1"/>
      </w:tcPr>
    </w:tblStylePr>
    <w:tblStylePr w:type="lastRow">
      <w:rPr>
        <w:b/>
      </w:rPr>
      <w:tblPr/>
      <w:tcPr>
        <w:tcBorders>
          <w:top w:val="single" w:sz="4" w:space="0" w:color="auto"/>
          <w:left w:val="single" w:sz="24" w:space="0" w:color="auto"/>
          <w:bottom w:val="single" w:sz="24" w:space="0" w:color="auto"/>
          <w:right w:val="single" w:sz="24" w:space="0" w:color="auto"/>
          <w:insideH w:val="nil"/>
          <w:insideV w:val="single" w:sz="4" w:space="0" w:color="auto"/>
          <w:tl2br w:val="nil"/>
          <w:tr2bl w:val="nil"/>
        </w:tcBorders>
        <w:shd w:val="pct15" w:color="auto" w:fill="auto"/>
      </w:tcPr>
    </w:tblStylePr>
    <w:tblStylePr w:type="firstCol">
      <w:rPr>
        <w:rFonts w:ascii="ff8" w:hAnsi="ff8"/>
        <w:b/>
        <w:sz w:val="22"/>
      </w:rPr>
    </w:tblStylePr>
    <w:tblStylePr w:type="lastCol">
      <w:rPr>
        <w:rFonts w:ascii="ff8" w:hAnsi="ff8"/>
        <w:b/>
        <w:sz w:val="22"/>
      </w:rPr>
    </w:tblStylePr>
  </w:style>
  <w:style w:type="paragraph" w:customStyle="1" w:styleId="Cita2">
    <w:name w:val="Cita2"/>
    <w:basedOn w:val="Normal"/>
    <w:qFormat/>
    <w:rsid w:val="002B38BA"/>
    <w:pPr>
      <w:spacing w:before="240" w:after="240"/>
      <w:ind w:left="720"/>
    </w:pPr>
    <w:rPr>
      <w:i/>
    </w:rPr>
  </w:style>
  <w:style w:type="character" w:styleId="Emphasis">
    <w:name w:val="Emphasis"/>
    <w:qFormat/>
    <w:rsid w:val="00ED6C8C"/>
    <w:rPr>
      <w:b/>
      <w:bCs/>
      <w:smallCaps/>
      <w:dstrike w:val="0"/>
      <w:color w:val="5A5A5A" w:themeColor="text1" w:themeTint="A5"/>
      <w:spacing w:val="20"/>
      <w:kern w:val="0"/>
      <w:vertAlign w:val="baseline"/>
    </w:rPr>
  </w:style>
  <w:style w:type="paragraph" w:customStyle="1" w:styleId="Style2">
    <w:name w:val="Style2"/>
    <w:basedOn w:val="Normal"/>
    <w:autoRedefine/>
    <w:rsid w:val="00ED6C8C"/>
    <w:pPr>
      <w:keepNext/>
      <w:keepLines/>
      <w:spacing w:before="240" w:after="0"/>
      <w:jc w:val="center"/>
    </w:pPr>
    <w:rPr>
      <w:b/>
    </w:rPr>
  </w:style>
  <w:style w:type="paragraph" w:customStyle="1" w:styleId="TtuloTablaGraf">
    <w:name w:val="Título Tabla/Graf"/>
    <w:basedOn w:val="Normal"/>
    <w:autoRedefine/>
    <w:rsid w:val="00ED6C8C"/>
    <w:pPr>
      <w:keepNext/>
      <w:keepLines/>
      <w:spacing w:before="240" w:after="0"/>
      <w:jc w:val="center"/>
    </w:pPr>
    <w:rPr>
      <w:b/>
    </w:rPr>
  </w:style>
  <w:style w:type="paragraph" w:customStyle="1" w:styleId="Box">
    <w:name w:val="Box"/>
    <w:basedOn w:val="TituloGraf"/>
    <w:autoRedefine/>
    <w:rsid w:val="00ED6C8C"/>
    <w:pPr>
      <w:spacing w:before="360" w:after="120"/>
      <w:jc w:val="left"/>
    </w:pPr>
  </w:style>
  <w:style w:type="paragraph" w:styleId="Bibliography">
    <w:name w:val="Bibliography"/>
    <w:basedOn w:val="Normal"/>
    <w:next w:val="Normal"/>
    <w:autoRedefine/>
    <w:uiPriority w:val="37"/>
    <w:unhideWhenUsed/>
    <w:rsid w:val="00ED6C8C"/>
  </w:style>
  <w:style w:type="paragraph" w:styleId="Quote">
    <w:name w:val="Quote"/>
    <w:basedOn w:val="Normal"/>
    <w:next w:val="Normal"/>
    <w:link w:val="QuoteChar"/>
    <w:qFormat/>
    <w:rsid w:val="00ED6C8C"/>
    <w:rPr>
      <w:i/>
      <w:iCs/>
    </w:rPr>
  </w:style>
  <w:style w:type="character" w:customStyle="1" w:styleId="QuoteChar">
    <w:name w:val="Quote Char"/>
    <w:basedOn w:val="DefaultParagraphFont"/>
    <w:link w:val="Quote"/>
    <w:rsid w:val="00ED6C8C"/>
    <w:rPr>
      <w:rFonts w:ascii="Trebuchet MS" w:hAnsi="Trebuchet MS"/>
      <w:i/>
      <w:iCs/>
      <w:lang w:val="en-US"/>
    </w:rPr>
  </w:style>
  <w:style w:type="paragraph" w:styleId="IntenseQuote">
    <w:name w:val="Intense Quote"/>
    <w:basedOn w:val="Normal"/>
    <w:next w:val="Normal"/>
    <w:link w:val="IntenseQuoteChar"/>
    <w:qFormat/>
    <w:rsid w:val="00ED6C8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rsid w:val="00ED6C8C"/>
    <w:rPr>
      <w:rFonts w:asciiTheme="majorHAnsi" w:eastAsiaTheme="majorEastAsia" w:hAnsiTheme="majorHAnsi" w:cstheme="majorBidi"/>
      <w:smallCaps/>
      <w:color w:val="365F91" w:themeColor="accent1" w:themeShade="BF"/>
      <w:lang w:val="en-US"/>
    </w:rPr>
  </w:style>
  <w:style w:type="character" w:styleId="SubtleEmphasis">
    <w:name w:val="Subtle Emphasis"/>
    <w:qFormat/>
    <w:rsid w:val="00ED6C8C"/>
    <w:rPr>
      <w:smallCaps/>
      <w:dstrike w:val="0"/>
      <w:color w:val="5A5A5A" w:themeColor="text1" w:themeTint="A5"/>
      <w:vertAlign w:val="baseline"/>
    </w:rPr>
  </w:style>
  <w:style w:type="character" w:styleId="IntenseEmphasis">
    <w:name w:val="Intense Emphasis"/>
    <w:qFormat/>
    <w:rsid w:val="00ED6C8C"/>
    <w:rPr>
      <w:b/>
      <w:bCs/>
      <w:smallCaps/>
      <w:color w:val="4F81BD" w:themeColor="accent1"/>
      <w:spacing w:val="40"/>
    </w:rPr>
  </w:style>
  <w:style w:type="character" w:styleId="SubtleReference">
    <w:name w:val="Subtle Reference"/>
    <w:qFormat/>
    <w:rsid w:val="00ED6C8C"/>
    <w:rPr>
      <w:rFonts w:asciiTheme="majorHAnsi" w:eastAsiaTheme="majorEastAsia" w:hAnsiTheme="majorHAnsi" w:cstheme="majorBidi"/>
      <w:i/>
      <w:iCs/>
      <w:smallCaps/>
      <w:color w:val="5A5A5A" w:themeColor="text1" w:themeTint="A5"/>
      <w:spacing w:val="20"/>
    </w:rPr>
  </w:style>
  <w:style w:type="character" w:styleId="IntenseReference">
    <w:name w:val="Intense Reference"/>
    <w:qFormat/>
    <w:rsid w:val="00ED6C8C"/>
    <w:rPr>
      <w:rFonts w:asciiTheme="majorHAnsi" w:eastAsiaTheme="majorEastAsia" w:hAnsiTheme="majorHAnsi" w:cstheme="majorBidi"/>
      <w:b/>
      <w:bCs/>
      <w:i/>
      <w:iCs/>
      <w:smallCaps/>
      <w:color w:val="17365D" w:themeColor="text2" w:themeShade="BF"/>
      <w:spacing w:val="20"/>
    </w:rPr>
  </w:style>
  <w:style w:type="character" w:styleId="BookTitle">
    <w:name w:val="Book Title"/>
    <w:qFormat/>
    <w:rsid w:val="00ED6C8C"/>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unhideWhenUsed/>
    <w:qFormat/>
    <w:rsid w:val="00ED6C8C"/>
    <w:pPr>
      <w:tabs>
        <w:tab w:val="num" w:pos="1068"/>
      </w:tabs>
      <w:ind w:left="1068" w:hanging="360"/>
      <w:outlineLvl w:val="9"/>
    </w:pPr>
    <w:rPr>
      <w:lang w:bidi="en-US"/>
    </w:rPr>
  </w:style>
  <w:style w:type="character" w:customStyle="1" w:styleId="NoSpacingChar">
    <w:name w:val="No Spacing Char"/>
    <w:aliases w:val="Destacado Char,No Spacing1 Char,Sem Espaçamento1 Char"/>
    <w:basedOn w:val="DefaultParagraphFont"/>
    <w:link w:val="NoSpacing"/>
    <w:uiPriority w:val="1"/>
    <w:rsid w:val="00ED6C8C"/>
    <w:rPr>
      <w:rFonts w:ascii="Trebuchet MS" w:hAnsi="Trebuchet MS"/>
      <w:i/>
    </w:rPr>
  </w:style>
  <w:style w:type="paragraph" w:customStyle="1" w:styleId="AnexoTit3">
    <w:name w:val="Anexo Tit 3"/>
    <w:basedOn w:val="Heading3"/>
    <w:link w:val="AnexoTit3Char"/>
    <w:qFormat/>
    <w:rsid w:val="00ED6C8C"/>
    <w:pPr>
      <w:ind w:hanging="360"/>
    </w:pPr>
  </w:style>
  <w:style w:type="character" w:customStyle="1" w:styleId="AnexoTit3Char">
    <w:name w:val="Anexo Tit 3 Char"/>
    <w:basedOn w:val="Heading3Char"/>
    <w:link w:val="AnexoTit3"/>
    <w:rsid w:val="00ED6C8C"/>
    <w:rPr>
      <w:rFonts w:ascii="Trebuchet MS" w:eastAsiaTheme="majorEastAsia" w:hAnsi="Trebuchet MS" w:cstheme="majorBidi"/>
      <w:b/>
      <w:bCs/>
      <w:smallCaps/>
      <w:lang w:val="en-US"/>
    </w:rPr>
  </w:style>
  <w:style w:type="paragraph" w:customStyle="1" w:styleId="Default">
    <w:name w:val="Default"/>
    <w:rsid w:val="00ED6C8C"/>
    <w:pPr>
      <w:autoSpaceDE w:val="0"/>
      <w:autoSpaceDN w:val="0"/>
      <w:adjustRightInd w:val="0"/>
      <w:spacing w:after="0" w:line="240" w:lineRule="auto"/>
    </w:pPr>
    <w:rPr>
      <w:rFonts w:ascii="Calibri" w:hAnsi="Calibri" w:cs="Calibri"/>
      <w:color w:val="000000"/>
      <w:sz w:val="24"/>
      <w:szCs w:val="24"/>
      <w:lang w:val="en-US"/>
    </w:rPr>
  </w:style>
  <w:style w:type="paragraph" w:customStyle="1" w:styleId="Tapa">
    <w:name w:val="Tapa"/>
    <w:rsid w:val="00ED6C8C"/>
    <w:pPr>
      <w:spacing w:after="0" w:line="288" w:lineRule="auto"/>
      <w:jc w:val="center"/>
    </w:pPr>
    <w:rPr>
      <w:rFonts w:ascii="Arial" w:eastAsia="Times New Roman" w:hAnsi="Arial" w:cs="Times New Roman"/>
      <w:b/>
      <w:caps/>
      <w:sz w:val="32"/>
      <w:szCs w:val="20"/>
      <w:lang w:val="es-ES" w:eastAsia="es-ES"/>
    </w:rPr>
  </w:style>
  <w:style w:type="paragraph" w:styleId="NormalWeb">
    <w:name w:val="Normal (Web)"/>
    <w:basedOn w:val="Normal"/>
    <w:uiPriority w:val="99"/>
    <w:unhideWhenUsed/>
    <w:rsid w:val="00ED6C8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rrafodelista1">
    <w:name w:val="Párrafo de lista1"/>
    <w:basedOn w:val="Normal"/>
    <w:qFormat/>
    <w:rsid w:val="00ED6C8C"/>
    <w:pPr>
      <w:ind w:left="720"/>
      <w:contextualSpacing/>
    </w:pPr>
    <w:rPr>
      <w:rFonts w:ascii="Calibri" w:eastAsia="Calibri" w:hAnsi="Calibri" w:cs="Times New Roman"/>
      <w:lang w:val="es-ES"/>
    </w:rPr>
  </w:style>
  <w:style w:type="paragraph" w:styleId="BodyText2">
    <w:name w:val="Body Text 2"/>
    <w:basedOn w:val="Normal"/>
    <w:link w:val="BodyText2Char"/>
    <w:uiPriority w:val="99"/>
    <w:rsid w:val="00ED6C8C"/>
    <w:pPr>
      <w:tabs>
        <w:tab w:val="left" w:pos="1843"/>
      </w:tabs>
      <w:spacing w:after="0" w:line="240" w:lineRule="auto"/>
    </w:pPr>
    <w:rPr>
      <w:rFonts w:ascii="Times New Roman" w:eastAsia="Times New Roman" w:hAnsi="Times New Roman" w:cs="Times New Roman"/>
      <w:b/>
      <w:bCs/>
      <w:sz w:val="24"/>
      <w:szCs w:val="24"/>
      <w:lang w:val="es-ES" w:eastAsia="es-ES"/>
    </w:rPr>
  </w:style>
  <w:style w:type="character" w:customStyle="1" w:styleId="BodyText2Char">
    <w:name w:val="Body Text 2 Char"/>
    <w:basedOn w:val="DefaultParagraphFont"/>
    <w:link w:val="BodyText2"/>
    <w:uiPriority w:val="99"/>
    <w:rsid w:val="00ED6C8C"/>
    <w:rPr>
      <w:rFonts w:ascii="Times New Roman" w:eastAsia="Times New Roman" w:hAnsi="Times New Roman" w:cs="Times New Roman"/>
      <w:b/>
      <w:bCs/>
      <w:sz w:val="24"/>
      <w:szCs w:val="24"/>
      <w:lang w:val="es-ES" w:eastAsia="es-ES"/>
    </w:rPr>
  </w:style>
  <w:style w:type="character" w:customStyle="1" w:styleId="apple-style-span">
    <w:name w:val="apple-style-span"/>
    <w:basedOn w:val="DefaultParagraphFont"/>
    <w:rsid w:val="00ED6C8C"/>
  </w:style>
  <w:style w:type="paragraph" w:styleId="BodyTextIndent2">
    <w:name w:val="Body Text Indent 2"/>
    <w:basedOn w:val="Normal"/>
    <w:link w:val="BodyTextIndent2Char"/>
    <w:unhideWhenUsed/>
    <w:rsid w:val="00ED6C8C"/>
    <w:pPr>
      <w:spacing w:after="120" w:line="480" w:lineRule="auto"/>
      <w:ind w:left="360"/>
    </w:pPr>
  </w:style>
  <w:style w:type="character" w:customStyle="1" w:styleId="BodyTextIndent2Char">
    <w:name w:val="Body Text Indent 2 Char"/>
    <w:basedOn w:val="DefaultParagraphFont"/>
    <w:link w:val="BodyTextIndent2"/>
    <w:rsid w:val="00ED6C8C"/>
    <w:rPr>
      <w:rFonts w:ascii="Trebuchet MS" w:hAnsi="Trebuchet MS"/>
      <w:lang w:val="en-US"/>
    </w:rPr>
  </w:style>
  <w:style w:type="table" w:styleId="TableGrid">
    <w:name w:val="Table Grid"/>
    <w:basedOn w:val="TableNormal"/>
    <w:uiPriority w:val="39"/>
    <w:rsid w:val="00330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022D1E"/>
    <w:rPr>
      <w:color w:val="800080" w:themeColor="followedHyperlink"/>
      <w:u w:val="single"/>
    </w:rPr>
  </w:style>
  <w:style w:type="character" w:customStyle="1" w:styleId="Heading5Char1">
    <w:name w:val="Heading 5 Char1"/>
    <w:aliases w:val="Indice Ref Char1"/>
    <w:basedOn w:val="DefaultParagraphFont"/>
    <w:uiPriority w:val="9"/>
    <w:semiHidden/>
    <w:rsid w:val="00703C16"/>
    <w:rPr>
      <w:rFonts w:asciiTheme="majorHAnsi" w:eastAsiaTheme="majorEastAsia" w:hAnsiTheme="majorHAnsi" w:cstheme="majorBidi"/>
      <w:color w:val="243F60" w:themeColor="accent1" w:themeShade="7F"/>
      <w:sz w:val="22"/>
      <w:szCs w:val="22"/>
    </w:rPr>
  </w:style>
  <w:style w:type="character" w:customStyle="1" w:styleId="SubtitleChar1">
    <w:name w:val="Subtitle Char1"/>
    <w:aliases w:val="Anexos Niv1 Char1"/>
    <w:basedOn w:val="DefaultParagraphFont"/>
    <w:uiPriority w:val="11"/>
    <w:rsid w:val="00703C16"/>
    <w:rPr>
      <w:rFonts w:asciiTheme="majorHAnsi" w:eastAsiaTheme="majorEastAsia" w:hAnsiTheme="majorHAnsi" w:cstheme="majorBidi"/>
      <w:i/>
      <w:iCs/>
      <w:color w:val="4F81BD" w:themeColor="accent1"/>
      <w:spacing w:val="15"/>
      <w:sz w:val="24"/>
      <w:szCs w:val="24"/>
    </w:rPr>
  </w:style>
  <w:style w:type="paragraph" w:customStyle="1" w:styleId="Cita3">
    <w:name w:val="Cita3"/>
    <w:basedOn w:val="Normal"/>
    <w:qFormat/>
    <w:rsid w:val="00703C16"/>
    <w:pPr>
      <w:spacing w:before="240" w:after="240"/>
      <w:ind w:left="720"/>
    </w:pPr>
    <w:rPr>
      <w:i/>
    </w:rPr>
  </w:style>
  <w:style w:type="paragraph" w:customStyle="1" w:styleId="Prrafodelista2">
    <w:name w:val="Párrafo de lista2"/>
    <w:basedOn w:val="Normal"/>
    <w:qFormat/>
    <w:rsid w:val="00703C16"/>
    <w:pPr>
      <w:ind w:left="720"/>
      <w:contextualSpacing/>
    </w:pPr>
    <w:rPr>
      <w:rFonts w:ascii="Calibri" w:eastAsia="Calibri" w:hAnsi="Calibri" w:cs="Times New Roman"/>
      <w:lang w:val="es-ES"/>
    </w:rPr>
  </w:style>
  <w:style w:type="character" w:customStyle="1" w:styleId="apple-converted-space">
    <w:name w:val="apple-converted-space"/>
    <w:basedOn w:val="DefaultParagraphFont"/>
    <w:rsid w:val="00703C16"/>
  </w:style>
  <w:style w:type="character" w:customStyle="1" w:styleId="hps">
    <w:name w:val="hps"/>
    <w:basedOn w:val="DefaultParagraphFont"/>
    <w:rsid w:val="00703C16"/>
  </w:style>
  <w:style w:type="character" w:customStyle="1" w:styleId="longtext">
    <w:name w:val="long_text"/>
    <w:basedOn w:val="DefaultParagraphFont"/>
    <w:rsid w:val="00703C16"/>
  </w:style>
  <w:style w:type="paragraph" w:customStyle="1" w:styleId="vietas1">
    <w:name w:val="viñetas1"/>
    <w:basedOn w:val="BodyText"/>
    <w:rsid w:val="00345F64"/>
    <w:pPr>
      <w:numPr>
        <w:numId w:val="4"/>
      </w:numPr>
      <w:tabs>
        <w:tab w:val="clear" w:pos="720"/>
      </w:tabs>
      <w:spacing w:line="240" w:lineRule="auto"/>
      <w:ind w:left="432" w:hanging="432"/>
    </w:pPr>
    <w:rPr>
      <w:rFonts w:ascii="Book Antiqua" w:eastAsia="Times New Roman" w:hAnsi="Book Antiqua" w:cs="Times New Roman"/>
      <w:i/>
      <w:iCs/>
      <w:szCs w:val="24"/>
      <w:lang w:eastAsia="es-ES"/>
    </w:rPr>
  </w:style>
  <w:style w:type="paragraph" w:styleId="BodyText">
    <w:name w:val="Body Text"/>
    <w:basedOn w:val="Normal"/>
    <w:link w:val="BodyTextChar"/>
    <w:unhideWhenUsed/>
    <w:rsid w:val="00345F64"/>
    <w:pPr>
      <w:spacing w:after="120"/>
    </w:pPr>
  </w:style>
  <w:style w:type="character" w:customStyle="1" w:styleId="BodyTextChar">
    <w:name w:val="Body Text Char"/>
    <w:basedOn w:val="DefaultParagraphFont"/>
    <w:link w:val="BodyText"/>
    <w:rsid w:val="00345F64"/>
    <w:rPr>
      <w:rFonts w:ascii="Trebuchet MS" w:hAnsi="Trebuchet MS"/>
    </w:rPr>
  </w:style>
  <w:style w:type="paragraph" w:customStyle="1" w:styleId="Tabla2">
    <w:name w:val="Tabla 2"/>
    <w:next w:val="Normal"/>
    <w:autoRedefine/>
    <w:rsid w:val="00345F64"/>
    <w:pPr>
      <w:spacing w:after="0" w:line="240" w:lineRule="auto"/>
    </w:pPr>
    <w:rPr>
      <w:rFonts w:ascii="Times New Roman" w:eastAsia="Times New Roman" w:hAnsi="Times New Roman" w:cs="Times New Roman"/>
      <w:snapToGrid w:val="0"/>
      <w:sz w:val="18"/>
      <w:szCs w:val="20"/>
      <w:lang w:eastAsia="es-ES"/>
    </w:rPr>
  </w:style>
  <w:style w:type="paragraph" w:customStyle="1" w:styleId="Fuentes">
    <w:name w:val="Fuentes"/>
    <w:basedOn w:val="Normal"/>
    <w:next w:val="Normal"/>
    <w:autoRedefine/>
    <w:rsid w:val="00F53A5E"/>
    <w:pPr>
      <w:spacing w:before="120" w:after="240" w:line="240" w:lineRule="auto"/>
      <w:ind w:firstLine="374"/>
    </w:pPr>
    <w:rPr>
      <w:rFonts w:ascii="Book Antiqua" w:eastAsia="Times New Roman" w:hAnsi="Book Antiqua" w:cs="Times New Roman"/>
      <w:i/>
      <w:snapToGrid w:val="0"/>
      <w:sz w:val="20"/>
      <w:szCs w:val="24"/>
      <w:lang w:eastAsia="es-ES"/>
    </w:rPr>
  </w:style>
  <w:style w:type="paragraph" w:customStyle="1" w:styleId="tabla1">
    <w:name w:val="tabla1"/>
    <w:basedOn w:val="NormalWeb"/>
    <w:rsid w:val="008D349F"/>
    <w:pPr>
      <w:spacing w:before="0" w:beforeAutospacing="0" w:after="0" w:afterAutospacing="0"/>
      <w:ind w:firstLine="567"/>
      <w:jc w:val="both"/>
    </w:pPr>
    <w:rPr>
      <w:sz w:val="18"/>
      <w:lang w:val="es-AR" w:eastAsia="es-ES"/>
    </w:rPr>
  </w:style>
  <w:style w:type="paragraph" w:customStyle="1" w:styleId="Nortxt">
    <w:name w:val="Nor_txt"/>
    <w:basedOn w:val="BodyText"/>
    <w:rsid w:val="00905EFE"/>
    <w:pPr>
      <w:spacing w:after="100" w:line="264" w:lineRule="auto"/>
      <w:ind w:firstLine="709"/>
    </w:pPr>
    <w:rPr>
      <w:rFonts w:ascii="Book Antiqua" w:eastAsia="Calibri" w:hAnsi="Book Antiqua" w:cs="Times New Roman"/>
      <w:sz w:val="24"/>
      <w:szCs w:val="24"/>
      <w:lang w:val="es-ES" w:eastAsia="es-ES"/>
    </w:rPr>
  </w:style>
  <w:style w:type="paragraph" w:styleId="Revision">
    <w:name w:val="Revision"/>
    <w:hidden/>
    <w:uiPriority w:val="99"/>
    <w:semiHidden/>
    <w:rsid w:val="00905EFE"/>
    <w:pPr>
      <w:spacing w:after="0" w:line="240" w:lineRule="auto"/>
    </w:pPr>
    <w:rPr>
      <w:rFonts w:ascii="Trebuchet MS" w:eastAsia="Times New Roman" w:hAnsi="Trebuchet MS" w:cs="Times New Roman"/>
    </w:rPr>
  </w:style>
  <w:style w:type="numbering" w:styleId="111111">
    <w:name w:val="Outline List 2"/>
    <w:aliases w:val="/ 1.1 / 1.1.1"/>
    <w:basedOn w:val="NoList"/>
    <w:rsid w:val="00905EFE"/>
    <w:pPr>
      <w:numPr>
        <w:numId w:val="5"/>
      </w:numPr>
    </w:pPr>
  </w:style>
  <w:style w:type="character" w:customStyle="1" w:styleId="shorttext">
    <w:name w:val="short_text"/>
    <w:basedOn w:val="DefaultParagraphFont"/>
    <w:rsid w:val="00905EFE"/>
  </w:style>
  <w:style w:type="paragraph" w:customStyle="1" w:styleId="MarcadorSmboloNvel1">
    <w:name w:val="Marcador Símbolo Nível 1"/>
    <w:basedOn w:val="Normal"/>
    <w:uiPriority w:val="99"/>
    <w:rsid w:val="00581B88"/>
    <w:pPr>
      <w:numPr>
        <w:numId w:val="6"/>
      </w:numPr>
      <w:spacing w:after="0"/>
      <w:jc w:val="left"/>
    </w:pPr>
    <w:rPr>
      <w:rFonts w:ascii="Arial" w:eastAsia="Times New Roman" w:hAnsi="Arial" w:cs="Gautami"/>
      <w:lang w:val="pt-BR" w:eastAsia="pt-BR"/>
    </w:rPr>
  </w:style>
  <w:style w:type="paragraph" w:customStyle="1" w:styleId="Pargrafo">
    <w:name w:val="Parágrafo"/>
    <w:basedOn w:val="Normal"/>
    <w:link w:val="PargrafoChar"/>
    <w:uiPriority w:val="99"/>
    <w:rsid w:val="00581B88"/>
    <w:pPr>
      <w:spacing w:after="0"/>
      <w:jc w:val="left"/>
    </w:pPr>
    <w:rPr>
      <w:rFonts w:ascii="Arial" w:eastAsia="Times New Roman" w:hAnsi="Arial" w:cs="Times New Roman"/>
      <w:szCs w:val="24"/>
      <w:lang w:val="pt-BR" w:eastAsia="pt-BR"/>
    </w:rPr>
  </w:style>
  <w:style w:type="paragraph" w:customStyle="1" w:styleId="TTULOPARAETAPAS">
    <w:name w:val="TÍTULO PARA ETAPAS"/>
    <w:basedOn w:val="Normal"/>
    <w:uiPriority w:val="99"/>
    <w:rsid w:val="00581B88"/>
    <w:pPr>
      <w:spacing w:after="0"/>
      <w:jc w:val="left"/>
    </w:pPr>
    <w:rPr>
      <w:rFonts w:ascii="Arial" w:eastAsia="Times New Roman" w:hAnsi="Arial" w:cs="Times New Roman"/>
      <w:b/>
      <w:bCs/>
      <w:caps/>
      <w:color w:val="003366"/>
      <w:szCs w:val="20"/>
      <w:lang w:val="pt-BR" w:eastAsia="pt-BR"/>
    </w:rPr>
  </w:style>
  <w:style w:type="character" w:customStyle="1" w:styleId="PargrafoChar">
    <w:name w:val="Parágrafo Char"/>
    <w:basedOn w:val="DefaultParagraphFont"/>
    <w:link w:val="Pargrafo"/>
    <w:uiPriority w:val="99"/>
    <w:locked/>
    <w:rsid w:val="00581B88"/>
    <w:rPr>
      <w:rFonts w:ascii="Arial" w:eastAsia="Times New Roman" w:hAnsi="Arial" w:cs="Times New Roman"/>
      <w:szCs w:val="24"/>
      <w:lang w:val="pt-BR" w:eastAsia="pt-BR"/>
    </w:rPr>
  </w:style>
  <w:style w:type="table" w:customStyle="1" w:styleId="LightShading-Accent11">
    <w:name w:val="Light Shading - Accent 11"/>
    <w:basedOn w:val="TableNormal"/>
    <w:uiPriority w:val="99"/>
    <w:rsid w:val="00581B88"/>
    <w:pPr>
      <w:spacing w:after="0" w:line="240" w:lineRule="auto"/>
    </w:pPr>
    <w:rPr>
      <w:rFonts w:ascii="Calibri" w:eastAsia="Calibri" w:hAnsi="Calibri" w:cs="Times New Roman"/>
      <w:color w:val="365F91"/>
      <w:sz w:val="20"/>
      <w:szCs w:val="20"/>
      <w:lang w:val="pt-BR" w:eastAsia="pt-BR"/>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Accent5">
    <w:name w:val="Light List Accent 5"/>
    <w:basedOn w:val="TableNormal"/>
    <w:uiPriority w:val="99"/>
    <w:rsid w:val="00581B88"/>
    <w:pPr>
      <w:spacing w:after="0" w:line="240" w:lineRule="auto"/>
    </w:pPr>
    <w:rPr>
      <w:rFonts w:ascii="Calibri" w:eastAsia="Calibri" w:hAnsi="Calibri" w:cs="Times New Roman"/>
      <w:sz w:val="20"/>
      <w:szCs w:val="20"/>
      <w:lang w:val="pt-BR" w:eastAsia="pt-B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p6">
    <w:name w:val="p6"/>
    <w:basedOn w:val="Normal"/>
    <w:uiPriority w:val="99"/>
    <w:rsid w:val="00581B88"/>
    <w:pPr>
      <w:spacing w:before="240" w:after="240" w:line="240" w:lineRule="auto"/>
      <w:ind w:firstLine="567"/>
      <w:jc w:val="center"/>
    </w:pPr>
    <w:rPr>
      <w:rFonts w:ascii="Arial" w:eastAsia="Times New Roman" w:hAnsi="Arial" w:cs="Arial"/>
      <w:b/>
      <w:bCs/>
      <w:sz w:val="20"/>
      <w:szCs w:val="20"/>
      <w:lang w:val="pt-BR" w:eastAsia="pt-BR"/>
    </w:rPr>
  </w:style>
  <w:style w:type="character" w:styleId="HTMLCite">
    <w:name w:val="HTML Cite"/>
    <w:basedOn w:val="DefaultParagraphFont"/>
    <w:uiPriority w:val="99"/>
    <w:semiHidden/>
    <w:rsid w:val="00581B88"/>
    <w:rPr>
      <w:rFonts w:cs="Times New Roman"/>
      <w:color w:val="009933"/>
    </w:rPr>
  </w:style>
  <w:style w:type="character" w:customStyle="1" w:styleId="atn">
    <w:name w:val="atn"/>
    <w:basedOn w:val="DefaultParagraphFont"/>
    <w:rsid w:val="00B33B9D"/>
  </w:style>
  <w:style w:type="table" w:styleId="LightList">
    <w:name w:val="Light List"/>
    <w:basedOn w:val="TableNormal"/>
    <w:uiPriority w:val="61"/>
    <w:rsid w:val="006022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6022B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ff81">
    <w:name w:val="ff81"/>
    <w:rsid w:val="00962218"/>
    <w:rPr>
      <w:rFonts w:ascii="ff8" w:hAnsi="ff8" w:hint="default"/>
    </w:rPr>
  </w:style>
  <w:style w:type="character" w:customStyle="1" w:styleId="ff121">
    <w:name w:val="ff121"/>
    <w:rsid w:val="00962218"/>
    <w:rPr>
      <w:rFonts w:ascii="ff12" w:hAnsi="ff12" w:hint="default"/>
    </w:rPr>
  </w:style>
  <w:style w:type="character" w:customStyle="1" w:styleId="nw1">
    <w:name w:val="nw1"/>
    <w:basedOn w:val="DefaultParagraphFont"/>
    <w:rsid w:val="00962218"/>
  </w:style>
  <w:style w:type="paragraph" w:customStyle="1" w:styleId="Cita30">
    <w:name w:val="Cita3"/>
    <w:basedOn w:val="Normal"/>
    <w:uiPriority w:val="99"/>
    <w:qFormat/>
    <w:rsid w:val="00924266"/>
    <w:pPr>
      <w:spacing w:before="240" w:after="240"/>
      <w:ind w:left="720"/>
    </w:pPr>
    <w:rPr>
      <w:i/>
    </w:rPr>
  </w:style>
  <w:style w:type="paragraph" w:customStyle="1" w:styleId="Prrafodelista20">
    <w:name w:val="Párrafo de lista2"/>
    <w:basedOn w:val="Normal"/>
    <w:uiPriority w:val="99"/>
    <w:qFormat/>
    <w:rsid w:val="00924266"/>
    <w:pPr>
      <w:ind w:left="720"/>
      <w:contextualSpacing/>
    </w:pPr>
    <w:rPr>
      <w:rFonts w:ascii="Calibri" w:eastAsia="Calibri" w:hAnsi="Calibri" w:cs="Times New Roman"/>
      <w:lang w:val="es-ES"/>
    </w:rPr>
  </w:style>
  <w:style w:type="paragraph" w:customStyle="1" w:styleId="texto1">
    <w:name w:val="texto1"/>
    <w:basedOn w:val="Normal"/>
    <w:rsid w:val="001558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
    <w:name w:val="Tabela"/>
    <w:basedOn w:val="BodyText"/>
    <w:link w:val="TabelaChar"/>
    <w:rsid w:val="001A152F"/>
    <w:pPr>
      <w:keepLines/>
      <w:tabs>
        <w:tab w:val="left" w:pos="3969"/>
      </w:tabs>
      <w:spacing w:before="60" w:after="60" w:line="240" w:lineRule="auto"/>
      <w:jc w:val="center"/>
    </w:pPr>
    <w:rPr>
      <w:rFonts w:ascii="Tahoma" w:eastAsia="Times New Roman" w:hAnsi="Tahoma" w:cs="Tahoma"/>
      <w:noProof/>
      <w:sz w:val="16"/>
      <w:szCs w:val="16"/>
      <w:lang w:val="pt-PT" w:eastAsia="pt-BR"/>
    </w:rPr>
  </w:style>
  <w:style w:type="character" w:customStyle="1" w:styleId="TabelaChar">
    <w:name w:val="Tabela Char"/>
    <w:link w:val="Tabela"/>
    <w:locked/>
    <w:rsid w:val="001A152F"/>
    <w:rPr>
      <w:rFonts w:ascii="Tahoma" w:eastAsia="Times New Roman" w:hAnsi="Tahoma" w:cs="Tahoma"/>
      <w:noProof/>
      <w:sz w:val="16"/>
      <w:szCs w:val="16"/>
      <w:lang w:val="pt-PT" w:eastAsia="pt-BR"/>
    </w:rPr>
  </w:style>
  <w:style w:type="paragraph" w:customStyle="1" w:styleId="Atitfigura">
    <w:name w:val="A tit figura"/>
    <w:link w:val="AtitfiguraChar"/>
    <w:rsid w:val="001A152F"/>
    <w:pPr>
      <w:spacing w:before="360" w:line="260" w:lineRule="exact"/>
      <w:jc w:val="center"/>
    </w:pPr>
    <w:rPr>
      <w:rFonts w:ascii="Verdana" w:eastAsia="MS Mincho" w:hAnsi="Verdana" w:cs="Arial"/>
      <w:b/>
      <w:sz w:val="20"/>
      <w:szCs w:val="20"/>
      <w:lang w:val="pt-BR" w:eastAsia="ja-JP"/>
    </w:rPr>
  </w:style>
  <w:style w:type="character" w:customStyle="1" w:styleId="AtitfiguraChar">
    <w:name w:val="A tit figura Char"/>
    <w:link w:val="Atitfigura"/>
    <w:rsid w:val="001A152F"/>
    <w:rPr>
      <w:rFonts w:ascii="Verdana" w:eastAsia="MS Mincho" w:hAnsi="Verdana" w:cs="Arial"/>
      <w:b/>
      <w:sz w:val="20"/>
      <w:szCs w:val="20"/>
      <w:lang w:val="pt-BR" w:eastAsia="ja-JP"/>
    </w:rPr>
  </w:style>
  <w:style w:type="paragraph" w:customStyle="1" w:styleId="Estilo1">
    <w:name w:val="Estilo1"/>
    <w:basedOn w:val="ListContinue"/>
    <w:rsid w:val="001A152F"/>
    <w:pPr>
      <w:tabs>
        <w:tab w:val="num" w:pos="612"/>
      </w:tabs>
      <w:spacing w:before="360" w:line="240" w:lineRule="auto"/>
      <w:ind w:left="612" w:hanging="432"/>
      <w:contextualSpacing w:val="0"/>
      <w:jc w:val="left"/>
    </w:pPr>
    <w:rPr>
      <w:rFonts w:ascii="Arial" w:eastAsia="Times New Roman" w:hAnsi="Arial" w:cs="Arial"/>
      <w:b/>
      <w:sz w:val="24"/>
      <w:szCs w:val="24"/>
      <w:lang w:val="pt-BR" w:eastAsia="pt-BR"/>
    </w:rPr>
  </w:style>
  <w:style w:type="paragraph" w:styleId="ListContinue">
    <w:name w:val="List Continue"/>
    <w:basedOn w:val="Normal"/>
    <w:uiPriority w:val="99"/>
    <w:semiHidden/>
    <w:unhideWhenUsed/>
    <w:rsid w:val="001A152F"/>
    <w:pPr>
      <w:spacing w:after="120"/>
      <w:ind w:left="283"/>
      <w:contextualSpacing/>
    </w:pPr>
  </w:style>
  <w:style w:type="paragraph" w:customStyle="1" w:styleId="Fonte">
    <w:name w:val="Fonte"/>
    <w:basedOn w:val="BodyText"/>
    <w:rsid w:val="001A152F"/>
    <w:pPr>
      <w:overflowPunct w:val="0"/>
      <w:autoSpaceDE w:val="0"/>
      <w:autoSpaceDN w:val="0"/>
      <w:adjustRightInd w:val="0"/>
      <w:spacing w:before="80" w:after="80" w:line="240" w:lineRule="auto"/>
      <w:jc w:val="left"/>
      <w:textAlignment w:val="baseline"/>
    </w:pPr>
    <w:rPr>
      <w:rFonts w:ascii="Tahoma" w:eastAsia="Times New Roman" w:hAnsi="Tahoma" w:cs="Tahoma"/>
      <w:i/>
      <w:iCs/>
      <w:sz w:val="16"/>
      <w:szCs w:val="16"/>
      <w:lang w:eastAsia="pt-BR"/>
    </w:rPr>
  </w:style>
  <w:style w:type="paragraph" w:customStyle="1" w:styleId="referencia">
    <w:name w:val="referencia"/>
    <w:basedOn w:val="Normal"/>
    <w:next w:val="Normal"/>
    <w:rsid w:val="00055F14"/>
    <w:pPr>
      <w:spacing w:after="120" w:line="240" w:lineRule="auto"/>
      <w:ind w:left="567" w:hanging="567"/>
    </w:pPr>
    <w:rPr>
      <w:rFonts w:ascii="Times New Roman" w:eastAsia="Times New Roman" w:hAnsi="Times New Roman" w:cs="Times New Roman"/>
      <w:szCs w:val="24"/>
      <w:lang w:val="es-ES" w:eastAsia="es-ES"/>
    </w:rPr>
  </w:style>
  <w:style w:type="paragraph" w:customStyle="1" w:styleId="Fuentes1">
    <w:name w:val="Fuentes1"/>
    <w:basedOn w:val="Fuentes"/>
    <w:rsid w:val="00BB44FD"/>
    <w:pPr>
      <w:spacing w:before="60" w:after="160"/>
      <w:ind w:firstLine="11"/>
      <w:jc w:val="left"/>
    </w:pPr>
  </w:style>
  <w:style w:type="character" w:customStyle="1" w:styleId="FootnoteTextChar1">
    <w:name w:val="Footnote Text Char1"/>
    <w:aliases w:val="Footnote Text Char Char"/>
    <w:basedOn w:val="DefaultParagraphFont"/>
    <w:semiHidden/>
    <w:rsid w:val="00840100"/>
    <w:rPr>
      <w:sz w:val="20"/>
      <w:szCs w:val="20"/>
    </w:rPr>
  </w:style>
  <w:style w:type="paragraph" w:customStyle="1" w:styleId="StataStyle">
    <w:name w:val="Stata Style"/>
    <w:basedOn w:val="Normal"/>
    <w:link w:val="StataStyleChar"/>
    <w:qFormat/>
    <w:rsid w:val="00167ACC"/>
    <w:pPr>
      <w:keepNext/>
      <w:keepLines/>
      <w:pBdr>
        <w:top w:val="single" w:sz="4" w:space="1" w:color="auto"/>
        <w:left w:val="single" w:sz="4" w:space="4" w:color="auto"/>
        <w:bottom w:val="single" w:sz="4" w:space="1" w:color="auto"/>
        <w:right w:val="single" w:sz="4" w:space="4" w:color="auto"/>
      </w:pBdr>
      <w:spacing w:after="0" w:line="240" w:lineRule="auto"/>
    </w:pPr>
    <w:rPr>
      <w:rFonts w:ascii="Courier New" w:hAnsi="Courier New" w:cs="Courier New"/>
      <w:sz w:val="12"/>
    </w:rPr>
  </w:style>
  <w:style w:type="character" w:customStyle="1" w:styleId="StataStyleChar">
    <w:name w:val="Stata Style Char"/>
    <w:basedOn w:val="DefaultParagraphFont"/>
    <w:link w:val="StataStyle"/>
    <w:rsid w:val="00167ACC"/>
    <w:rPr>
      <w:rFonts w:ascii="Courier New" w:hAnsi="Courier New" w:cs="Courier New"/>
      <w:sz w:val="12"/>
      <w:lang w:val="en-US"/>
    </w:rPr>
  </w:style>
  <w:style w:type="paragraph" w:styleId="EndnoteText">
    <w:name w:val="endnote text"/>
    <w:basedOn w:val="Normal"/>
    <w:link w:val="EndnoteTextChar"/>
    <w:uiPriority w:val="99"/>
    <w:semiHidden/>
    <w:unhideWhenUsed/>
    <w:rsid w:val="00167A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7ACC"/>
    <w:rPr>
      <w:rFonts w:ascii="Trebuchet MS" w:hAnsi="Trebuchet MS"/>
      <w:sz w:val="20"/>
      <w:szCs w:val="20"/>
    </w:rPr>
  </w:style>
  <w:style w:type="character" w:styleId="EndnoteReference">
    <w:name w:val="endnote reference"/>
    <w:basedOn w:val="DefaultParagraphFont"/>
    <w:uiPriority w:val="99"/>
    <w:semiHidden/>
    <w:unhideWhenUsed/>
    <w:rsid w:val="00167ACC"/>
    <w:rPr>
      <w:vertAlign w:val="superscript"/>
    </w:rPr>
  </w:style>
  <w:style w:type="character" w:customStyle="1" w:styleId="mediumtext">
    <w:name w:val="medium_text"/>
    <w:basedOn w:val="DefaultParagraphFont"/>
    <w:rsid w:val="00167ACC"/>
  </w:style>
  <w:style w:type="character" w:customStyle="1" w:styleId="longtext1">
    <w:name w:val="long_text1"/>
    <w:rsid w:val="00167ACC"/>
    <w:rPr>
      <w:sz w:val="20"/>
      <w:szCs w:val="20"/>
    </w:rPr>
  </w:style>
  <w:style w:type="paragraph" w:styleId="EnvelopeReturn">
    <w:name w:val="envelope return"/>
    <w:basedOn w:val="Normal"/>
    <w:rsid w:val="00167ACC"/>
    <w:pPr>
      <w:spacing w:after="0" w:line="240" w:lineRule="auto"/>
      <w:jc w:val="left"/>
    </w:pPr>
    <w:rPr>
      <w:rFonts w:ascii="Lucida Blackletter" w:eastAsia="Times New Roman" w:hAnsi="Lucida Blackletter" w:cs="Times New Roman"/>
      <w:b/>
      <w:sz w:val="28"/>
      <w:szCs w:val="20"/>
      <w:lang w:val="es-ES_tradnl" w:eastAsia="es-ES"/>
    </w:rPr>
  </w:style>
  <w:style w:type="paragraph" w:customStyle="1" w:styleId="Logro">
    <w:name w:val="Logro"/>
    <w:basedOn w:val="BodyText"/>
    <w:rsid w:val="00167ACC"/>
    <w:pPr>
      <w:numPr>
        <w:numId w:val="8"/>
      </w:numPr>
      <w:suppressAutoHyphens/>
      <w:spacing w:after="60" w:line="240" w:lineRule="atLeast"/>
    </w:pPr>
    <w:rPr>
      <w:rFonts w:ascii="Garamond" w:eastAsia="Batang" w:hAnsi="Garamond" w:cs="Times New Roman"/>
      <w:szCs w:val="20"/>
      <w:lang w:eastAsia="ar-SA"/>
    </w:rPr>
  </w:style>
  <w:style w:type="paragraph" w:customStyle="1" w:styleId="Section3-Heading2">
    <w:name w:val="Section 3 - Heading 2"/>
    <w:basedOn w:val="Heading4"/>
    <w:rsid w:val="00A64705"/>
    <w:pPr>
      <w:keepNext w:val="0"/>
      <w:spacing w:before="120" w:after="240" w:line="240" w:lineRule="auto"/>
      <w:jc w:val="center"/>
    </w:pPr>
    <w:rPr>
      <w:rFonts w:ascii="Times New Roman" w:eastAsia="Times New Roman" w:hAnsi="Times New Roman" w:cs="Times New Roman"/>
      <w:bCs w:val="0"/>
      <w:iCs w:val="0"/>
      <w:smallCaps w:val="0"/>
      <w:sz w:val="28"/>
      <w:szCs w:val="20"/>
    </w:rPr>
  </w:style>
  <w:style w:type="character" w:customStyle="1" w:styleId="TextoindependienteCar1">
    <w:name w:val="Texto independiente Car1"/>
    <w:basedOn w:val="DefaultParagraphFont"/>
    <w:uiPriority w:val="99"/>
    <w:semiHidden/>
    <w:rsid w:val="00A64705"/>
  </w:style>
  <w:style w:type="paragraph" w:customStyle="1" w:styleId="CEPAReportText">
    <w:name w:val="CEPA Report Text"/>
    <w:basedOn w:val="Normal"/>
    <w:link w:val="CEPAReportTextChar"/>
    <w:qFormat/>
    <w:rsid w:val="00A64705"/>
    <w:pPr>
      <w:spacing w:before="120" w:after="120"/>
    </w:pPr>
    <w:rPr>
      <w:rFonts w:ascii="Garamond" w:eastAsia="Times New Roman" w:hAnsi="Garamond" w:cs="Times New Roman"/>
      <w:sz w:val="24"/>
      <w:szCs w:val="24"/>
      <w:lang w:val="en-GB"/>
    </w:rPr>
  </w:style>
  <w:style w:type="character" w:customStyle="1" w:styleId="CEPAReportTextChar">
    <w:name w:val="CEPA Report Text Char"/>
    <w:link w:val="CEPAReportText"/>
    <w:rsid w:val="00A64705"/>
    <w:rPr>
      <w:rFonts w:ascii="Garamond" w:eastAsia="Times New Roman" w:hAnsi="Garamond" w:cs="Times New Roman"/>
      <w:sz w:val="24"/>
      <w:szCs w:val="24"/>
      <w:lang w:val="en-GB"/>
    </w:rPr>
  </w:style>
  <w:style w:type="paragraph" w:customStyle="1" w:styleId="Section3-Heading1">
    <w:name w:val="Section 3 - Heading 1"/>
    <w:basedOn w:val="Normal"/>
    <w:rsid w:val="00A64705"/>
    <w:pPr>
      <w:pBdr>
        <w:bottom w:val="single" w:sz="4" w:space="1" w:color="auto"/>
      </w:pBdr>
      <w:spacing w:before="120" w:after="240" w:line="240" w:lineRule="auto"/>
      <w:jc w:val="center"/>
    </w:pPr>
    <w:rPr>
      <w:rFonts w:ascii="Times New Roman" w:eastAsia="Times New Roman" w:hAnsi="Times New Roman" w:cs="Times New Roman"/>
      <w:smallCaps/>
      <w:sz w:val="32"/>
      <w:szCs w:val="20"/>
    </w:rPr>
  </w:style>
  <w:style w:type="character" w:customStyle="1" w:styleId="Hydroconseil">
    <w:name w:val="Hydroconseil"/>
    <w:rsid w:val="00A64705"/>
    <w:rPr>
      <w:rFonts w:ascii="Arial Rounded MT Bold" w:hAnsi="Arial Rounded MT Bold"/>
      <w:i/>
      <w:caps/>
      <w:color w:val="0000FF"/>
    </w:rPr>
  </w:style>
  <w:style w:type="character" w:customStyle="1" w:styleId="Footnote0">
    <w:name w:val="Footnote_"/>
    <w:link w:val="Footnote"/>
    <w:rsid w:val="007E4FE9"/>
    <w:rPr>
      <w:rFonts w:ascii="Trebuchet MS" w:hAnsi="Trebuchet MS"/>
      <w:sz w:val="20"/>
      <w:szCs w:val="20"/>
    </w:rPr>
  </w:style>
  <w:style w:type="character" w:customStyle="1" w:styleId="Bodytext30">
    <w:name w:val="Body text (3)_"/>
    <w:link w:val="Bodytext31"/>
    <w:rsid w:val="007E4FE9"/>
    <w:rPr>
      <w:b/>
      <w:bCs/>
      <w:sz w:val="24"/>
      <w:szCs w:val="24"/>
      <w:shd w:val="clear" w:color="auto" w:fill="FFFFFF"/>
    </w:rPr>
  </w:style>
  <w:style w:type="character" w:customStyle="1" w:styleId="Heading22">
    <w:name w:val="Heading #2 (2)_"/>
    <w:link w:val="Heading220"/>
    <w:rsid w:val="007E4FE9"/>
    <w:rPr>
      <w:b/>
      <w:bCs/>
      <w:sz w:val="21"/>
      <w:szCs w:val="21"/>
      <w:shd w:val="clear" w:color="auto" w:fill="FFFFFF"/>
    </w:rPr>
  </w:style>
  <w:style w:type="character" w:customStyle="1" w:styleId="Heading22135pt">
    <w:name w:val="Heading #2 (2) + 13.5 pt"/>
    <w:rsid w:val="007E4FE9"/>
    <w:rPr>
      <w:b/>
      <w:bCs/>
      <w:spacing w:val="0"/>
      <w:sz w:val="27"/>
      <w:szCs w:val="27"/>
    </w:rPr>
  </w:style>
  <w:style w:type="character" w:customStyle="1" w:styleId="Heading2212pt">
    <w:name w:val="Heading #2 (2) + 12 pt"/>
    <w:rsid w:val="007E4FE9"/>
    <w:rPr>
      <w:b/>
      <w:bCs/>
      <w:spacing w:val="0"/>
      <w:sz w:val="24"/>
      <w:szCs w:val="24"/>
    </w:rPr>
  </w:style>
  <w:style w:type="character" w:customStyle="1" w:styleId="Heading10">
    <w:name w:val="Heading #1_"/>
    <w:link w:val="Heading11"/>
    <w:rsid w:val="007E4FE9"/>
    <w:rPr>
      <w:b/>
      <w:bCs/>
      <w:sz w:val="27"/>
      <w:szCs w:val="27"/>
      <w:shd w:val="clear" w:color="auto" w:fill="FFFFFF"/>
    </w:rPr>
  </w:style>
  <w:style w:type="character" w:customStyle="1" w:styleId="Heading20">
    <w:name w:val="Heading #2_"/>
    <w:link w:val="Heading21"/>
    <w:rsid w:val="007E4FE9"/>
    <w:rPr>
      <w:b/>
      <w:bCs/>
      <w:sz w:val="24"/>
      <w:szCs w:val="24"/>
      <w:shd w:val="clear" w:color="auto" w:fill="FFFFFF"/>
    </w:rPr>
  </w:style>
  <w:style w:type="character" w:customStyle="1" w:styleId="Bodytext20">
    <w:name w:val="Body text (2)_"/>
    <w:link w:val="Bodytext21"/>
    <w:rsid w:val="007E4FE9"/>
    <w:rPr>
      <w:shd w:val="clear" w:color="auto" w:fill="FFFFFF"/>
    </w:rPr>
  </w:style>
  <w:style w:type="character" w:customStyle="1" w:styleId="Bodytext212pt">
    <w:name w:val="Body text (2) + 12 pt"/>
    <w:aliases w:val="Bold"/>
    <w:rsid w:val="007E4FE9"/>
    <w:rPr>
      <w:b/>
      <w:bCs/>
      <w:spacing w:val="0"/>
      <w:sz w:val="24"/>
      <w:szCs w:val="24"/>
    </w:rPr>
  </w:style>
  <w:style w:type="character" w:customStyle="1" w:styleId="Heading211pt">
    <w:name w:val="Heading #2 + 11 pt"/>
    <w:aliases w:val="Not Bold"/>
    <w:rsid w:val="007E4FE9"/>
    <w:rPr>
      <w:b/>
      <w:bCs/>
      <w:spacing w:val="0"/>
      <w:sz w:val="22"/>
      <w:szCs w:val="22"/>
    </w:rPr>
  </w:style>
  <w:style w:type="character" w:customStyle="1" w:styleId="Heading30">
    <w:name w:val="Heading #3_"/>
    <w:link w:val="Heading31"/>
    <w:rsid w:val="007E4FE9"/>
    <w:rPr>
      <w:rFonts w:ascii="Arial Narrow" w:hAnsi="Arial Narrow" w:cs="Arial Narrow"/>
      <w:b/>
      <w:bCs/>
      <w:sz w:val="18"/>
      <w:szCs w:val="18"/>
      <w:shd w:val="clear" w:color="auto" w:fill="FFFFFF"/>
    </w:rPr>
  </w:style>
  <w:style w:type="character" w:customStyle="1" w:styleId="Headerorfooter">
    <w:name w:val="Header or footer_"/>
    <w:link w:val="Headerorfooter0"/>
    <w:rsid w:val="007E4FE9"/>
    <w:rPr>
      <w:rFonts w:ascii="Times New Roman" w:hAnsi="Times New Roman" w:cs="Times New Roman"/>
      <w:sz w:val="20"/>
      <w:szCs w:val="20"/>
      <w:shd w:val="clear" w:color="auto" w:fill="FFFFFF"/>
    </w:rPr>
  </w:style>
  <w:style w:type="character" w:customStyle="1" w:styleId="HeaderorfooterArialUnicodeMS">
    <w:name w:val="Header or footer + Arial Unicode MS"/>
    <w:aliases w:val="7.5 pt"/>
    <w:rsid w:val="007E4FE9"/>
    <w:rPr>
      <w:rFonts w:ascii="Arial Unicode MS" w:eastAsia="Arial Unicode MS" w:hAnsi="Times New Roman" w:cs="Arial Unicode MS"/>
      <w:spacing w:val="0"/>
      <w:sz w:val="15"/>
      <w:szCs w:val="15"/>
    </w:rPr>
  </w:style>
  <w:style w:type="character" w:customStyle="1" w:styleId="HeaderorfooterArialUnicodeMS1">
    <w:name w:val="Header or footer + Arial Unicode MS1"/>
    <w:aliases w:val="7.5 pt1"/>
    <w:rsid w:val="007E4FE9"/>
    <w:rPr>
      <w:rFonts w:ascii="Arial Unicode MS" w:eastAsia="Arial Unicode MS" w:hAnsi="Times New Roman" w:cs="Arial Unicode MS"/>
      <w:spacing w:val="0"/>
      <w:sz w:val="15"/>
      <w:szCs w:val="15"/>
      <w:u w:val="single"/>
      <w:lang w:val="es-ES_tradnl" w:eastAsia="es-ES_tradnl"/>
    </w:rPr>
  </w:style>
  <w:style w:type="character" w:customStyle="1" w:styleId="Bodytext0">
    <w:name w:val="Body text_"/>
    <w:link w:val="Bodytext1"/>
    <w:rsid w:val="007E4FE9"/>
    <w:rPr>
      <w:rFonts w:ascii="Arial Narrow" w:hAnsi="Arial Narrow" w:cs="Arial Narrow"/>
      <w:sz w:val="18"/>
      <w:szCs w:val="18"/>
      <w:shd w:val="clear" w:color="auto" w:fill="FFFFFF"/>
    </w:rPr>
  </w:style>
  <w:style w:type="character" w:customStyle="1" w:styleId="BodytextBold">
    <w:name w:val="Body text + Bold"/>
    <w:rsid w:val="007E4FE9"/>
    <w:rPr>
      <w:rFonts w:ascii="Arial Narrow" w:hAnsi="Arial Narrow" w:cs="Arial Narrow"/>
      <w:b/>
      <w:bCs/>
      <w:spacing w:val="0"/>
      <w:sz w:val="18"/>
      <w:szCs w:val="18"/>
    </w:rPr>
  </w:style>
  <w:style w:type="character" w:customStyle="1" w:styleId="BodytextBold6">
    <w:name w:val="Body text + Bold6"/>
    <w:rsid w:val="007E4FE9"/>
    <w:rPr>
      <w:rFonts w:ascii="Arial Narrow" w:hAnsi="Arial Narrow" w:cs="Arial Narrow"/>
      <w:b/>
      <w:bCs/>
      <w:spacing w:val="0"/>
      <w:sz w:val="18"/>
      <w:szCs w:val="18"/>
    </w:rPr>
  </w:style>
  <w:style w:type="character" w:customStyle="1" w:styleId="BodytextBold5">
    <w:name w:val="Body text + Bold5"/>
    <w:rsid w:val="007E4FE9"/>
    <w:rPr>
      <w:rFonts w:ascii="Arial Narrow" w:hAnsi="Arial Narrow" w:cs="Arial Narrow"/>
      <w:b/>
      <w:bCs/>
      <w:spacing w:val="0"/>
      <w:sz w:val="18"/>
      <w:szCs w:val="18"/>
    </w:rPr>
  </w:style>
  <w:style w:type="character" w:customStyle="1" w:styleId="BodytextBold4">
    <w:name w:val="Body text + Bold4"/>
    <w:rsid w:val="007E4FE9"/>
    <w:rPr>
      <w:rFonts w:ascii="Arial Narrow" w:hAnsi="Arial Narrow" w:cs="Arial Narrow"/>
      <w:b/>
      <w:bCs/>
      <w:spacing w:val="0"/>
      <w:sz w:val="18"/>
      <w:szCs w:val="18"/>
    </w:rPr>
  </w:style>
  <w:style w:type="character" w:customStyle="1" w:styleId="BodytextBold3">
    <w:name w:val="Body text + Bold3"/>
    <w:rsid w:val="007E4FE9"/>
    <w:rPr>
      <w:rFonts w:ascii="Arial Narrow" w:hAnsi="Arial Narrow" w:cs="Arial Narrow"/>
      <w:b/>
      <w:bCs/>
      <w:spacing w:val="0"/>
      <w:sz w:val="18"/>
      <w:szCs w:val="18"/>
    </w:rPr>
  </w:style>
  <w:style w:type="character" w:customStyle="1" w:styleId="BodytextBold2">
    <w:name w:val="Body text + Bold2"/>
    <w:rsid w:val="007E4FE9"/>
    <w:rPr>
      <w:rFonts w:ascii="Arial Narrow" w:hAnsi="Arial Narrow" w:cs="Arial Narrow"/>
      <w:b/>
      <w:bCs/>
      <w:spacing w:val="0"/>
      <w:sz w:val="18"/>
      <w:szCs w:val="18"/>
    </w:rPr>
  </w:style>
  <w:style w:type="character" w:customStyle="1" w:styleId="BodyText10">
    <w:name w:val="Body Text1"/>
    <w:rsid w:val="007E4FE9"/>
    <w:rPr>
      <w:rFonts w:ascii="Arial Narrow" w:hAnsi="Arial Narrow" w:cs="Arial Narrow"/>
      <w:spacing w:val="0"/>
      <w:sz w:val="18"/>
      <w:szCs w:val="18"/>
      <w:u w:val="single"/>
      <w:lang w:val="es-ES_tradnl" w:eastAsia="es-ES_tradnl"/>
    </w:rPr>
  </w:style>
  <w:style w:type="character" w:customStyle="1" w:styleId="Bodytext4">
    <w:name w:val="Body text (4)_"/>
    <w:link w:val="Bodytext40"/>
    <w:rsid w:val="007E4FE9"/>
    <w:rPr>
      <w:rFonts w:ascii="Arial Narrow" w:hAnsi="Arial Narrow" w:cs="Arial Narrow"/>
      <w:i/>
      <w:iCs/>
      <w:sz w:val="18"/>
      <w:szCs w:val="18"/>
      <w:shd w:val="clear" w:color="auto" w:fill="FFFFFF"/>
      <w:lang w:val="es-ES_tradnl" w:eastAsia="es-ES_tradnl"/>
    </w:rPr>
  </w:style>
  <w:style w:type="character" w:customStyle="1" w:styleId="Bodytext4NotItalic">
    <w:name w:val="Body text (4) + Not Italic"/>
    <w:basedOn w:val="Bodytext4"/>
    <w:rsid w:val="007E4FE9"/>
    <w:rPr>
      <w:rFonts w:ascii="Arial Narrow" w:hAnsi="Arial Narrow" w:cs="Arial Narrow"/>
      <w:i/>
      <w:iCs/>
      <w:sz w:val="18"/>
      <w:szCs w:val="18"/>
      <w:shd w:val="clear" w:color="auto" w:fill="FFFFFF"/>
      <w:lang w:val="es-ES_tradnl" w:eastAsia="es-ES_tradnl"/>
    </w:rPr>
  </w:style>
  <w:style w:type="character" w:customStyle="1" w:styleId="Tablecaption">
    <w:name w:val="Table caption_"/>
    <w:link w:val="Tablecaption0"/>
    <w:rsid w:val="007E4FE9"/>
    <w:rPr>
      <w:rFonts w:ascii="Arial Narrow" w:hAnsi="Arial Narrow" w:cs="Arial Narrow"/>
      <w:b/>
      <w:bCs/>
      <w:sz w:val="18"/>
      <w:szCs w:val="18"/>
      <w:shd w:val="clear" w:color="auto" w:fill="FFFFFF"/>
    </w:rPr>
  </w:style>
  <w:style w:type="character" w:customStyle="1" w:styleId="Bodytext5">
    <w:name w:val="Body text (5)_"/>
    <w:link w:val="Bodytext50"/>
    <w:rsid w:val="007E4FE9"/>
    <w:rPr>
      <w:rFonts w:ascii="Arial Narrow" w:hAnsi="Arial Narrow" w:cs="Arial Narrow"/>
      <w:b/>
      <w:bCs/>
      <w:sz w:val="18"/>
      <w:szCs w:val="18"/>
      <w:shd w:val="clear" w:color="auto" w:fill="FFFFFF"/>
      <w:lang w:val="fr-FR" w:eastAsia="fr-FR"/>
    </w:rPr>
  </w:style>
  <w:style w:type="character" w:customStyle="1" w:styleId="Bodytext6">
    <w:name w:val="Body text (6)_"/>
    <w:link w:val="Bodytext60"/>
    <w:rsid w:val="007E4FE9"/>
    <w:rPr>
      <w:rFonts w:ascii="Times New Roman" w:hAnsi="Times New Roman" w:cs="Times New Roman"/>
      <w:noProof/>
      <w:sz w:val="20"/>
      <w:szCs w:val="20"/>
      <w:shd w:val="clear" w:color="auto" w:fill="FFFFFF"/>
    </w:rPr>
  </w:style>
  <w:style w:type="character" w:customStyle="1" w:styleId="BodytextBold1">
    <w:name w:val="Body text + Bold1"/>
    <w:rsid w:val="007E4FE9"/>
    <w:rPr>
      <w:rFonts w:ascii="Arial Narrow" w:hAnsi="Arial Narrow" w:cs="Arial Narrow"/>
      <w:b/>
      <w:bCs/>
      <w:spacing w:val="0"/>
      <w:sz w:val="18"/>
      <w:szCs w:val="18"/>
    </w:rPr>
  </w:style>
  <w:style w:type="character" w:customStyle="1" w:styleId="Bodytext7">
    <w:name w:val="Body text (7)_"/>
    <w:link w:val="Bodytext70"/>
    <w:rsid w:val="007E4FE9"/>
    <w:rPr>
      <w:rFonts w:ascii="Times New Roman" w:hAnsi="Times New Roman" w:cs="Times New Roman"/>
      <w:sz w:val="15"/>
      <w:szCs w:val="15"/>
      <w:shd w:val="clear" w:color="auto" w:fill="FFFFFF"/>
    </w:rPr>
  </w:style>
  <w:style w:type="paragraph" w:customStyle="1" w:styleId="Bodytext31">
    <w:name w:val="Body text (3)"/>
    <w:basedOn w:val="Normal"/>
    <w:link w:val="Bodytext30"/>
    <w:rsid w:val="007E4FE9"/>
    <w:pPr>
      <w:shd w:val="clear" w:color="auto" w:fill="FFFFFF"/>
      <w:spacing w:after="0" w:line="240" w:lineRule="atLeast"/>
      <w:jc w:val="left"/>
    </w:pPr>
    <w:rPr>
      <w:rFonts w:asciiTheme="minorHAnsi" w:hAnsiTheme="minorHAnsi"/>
      <w:b/>
      <w:bCs/>
      <w:sz w:val="24"/>
      <w:szCs w:val="24"/>
      <w:lang w:val="es-AR"/>
    </w:rPr>
  </w:style>
  <w:style w:type="paragraph" w:customStyle="1" w:styleId="Heading220">
    <w:name w:val="Heading #2 (2)"/>
    <w:basedOn w:val="Normal"/>
    <w:link w:val="Heading22"/>
    <w:rsid w:val="007E4FE9"/>
    <w:pPr>
      <w:shd w:val="clear" w:color="auto" w:fill="FFFFFF"/>
      <w:spacing w:after="840" w:line="278" w:lineRule="exact"/>
      <w:jc w:val="left"/>
      <w:outlineLvl w:val="1"/>
    </w:pPr>
    <w:rPr>
      <w:rFonts w:asciiTheme="minorHAnsi" w:hAnsiTheme="minorHAnsi"/>
      <w:b/>
      <w:bCs/>
      <w:sz w:val="21"/>
      <w:szCs w:val="21"/>
      <w:lang w:val="es-AR"/>
    </w:rPr>
  </w:style>
  <w:style w:type="paragraph" w:customStyle="1" w:styleId="Heading11">
    <w:name w:val="Heading #1"/>
    <w:basedOn w:val="Normal"/>
    <w:link w:val="Heading10"/>
    <w:rsid w:val="007E4FE9"/>
    <w:pPr>
      <w:shd w:val="clear" w:color="auto" w:fill="FFFFFF"/>
      <w:spacing w:before="840" w:after="1140" w:line="240" w:lineRule="atLeast"/>
      <w:jc w:val="center"/>
      <w:outlineLvl w:val="0"/>
    </w:pPr>
    <w:rPr>
      <w:rFonts w:asciiTheme="minorHAnsi" w:hAnsiTheme="minorHAnsi"/>
      <w:b/>
      <w:bCs/>
      <w:sz w:val="27"/>
      <w:szCs w:val="27"/>
      <w:lang w:val="es-AR"/>
    </w:rPr>
  </w:style>
  <w:style w:type="paragraph" w:customStyle="1" w:styleId="Heading21">
    <w:name w:val="Heading #2"/>
    <w:basedOn w:val="Normal"/>
    <w:link w:val="Heading20"/>
    <w:rsid w:val="007E4FE9"/>
    <w:pPr>
      <w:shd w:val="clear" w:color="auto" w:fill="FFFFFF"/>
      <w:spacing w:before="1140" w:after="180" w:line="240" w:lineRule="atLeast"/>
      <w:outlineLvl w:val="1"/>
    </w:pPr>
    <w:rPr>
      <w:rFonts w:asciiTheme="minorHAnsi" w:hAnsiTheme="minorHAnsi"/>
      <w:b/>
      <w:bCs/>
      <w:sz w:val="24"/>
      <w:szCs w:val="24"/>
      <w:lang w:val="es-AR"/>
    </w:rPr>
  </w:style>
  <w:style w:type="paragraph" w:customStyle="1" w:styleId="Bodytext21">
    <w:name w:val="Body text (2)"/>
    <w:basedOn w:val="Normal"/>
    <w:link w:val="Bodytext20"/>
    <w:rsid w:val="007E4FE9"/>
    <w:pPr>
      <w:shd w:val="clear" w:color="auto" w:fill="FFFFFF"/>
      <w:spacing w:before="180" w:after="60" w:line="274" w:lineRule="exact"/>
      <w:ind w:hanging="360"/>
      <w:jc w:val="left"/>
    </w:pPr>
    <w:rPr>
      <w:rFonts w:asciiTheme="minorHAnsi" w:hAnsiTheme="minorHAnsi"/>
      <w:lang w:val="es-AR"/>
    </w:rPr>
  </w:style>
  <w:style w:type="paragraph" w:customStyle="1" w:styleId="Heading31">
    <w:name w:val="Heading #3"/>
    <w:basedOn w:val="Normal"/>
    <w:link w:val="Heading30"/>
    <w:rsid w:val="007E4FE9"/>
    <w:pPr>
      <w:shd w:val="clear" w:color="auto" w:fill="FFFFFF"/>
      <w:spacing w:after="180" w:line="240" w:lineRule="atLeast"/>
      <w:outlineLvl w:val="2"/>
    </w:pPr>
    <w:rPr>
      <w:rFonts w:ascii="Arial Narrow" w:hAnsi="Arial Narrow" w:cs="Arial Narrow"/>
      <w:b/>
      <w:bCs/>
      <w:sz w:val="18"/>
      <w:szCs w:val="18"/>
      <w:lang w:val="es-AR"/>
    </w:rPr>
  </w:style>
  <w:style w:type="paragraph" w:customStyle="1" w:styleId="Headerorfooter0">
    <w:name w:val="Header or footer"/>
    <w:basedOn w:val="Normal"/>
    <w:link w:val="Headerorfooter"/>
    <w:rsid w:val="007E4FE9"/>
    <w:pPr>
      <w:shd w:val="clear" w:color="auto" w:fill="FFFFFF"/>
      <w:spacing w:after="0" w:line="240" w:lineRule="auto"/>
      <w:jc w:val="left"/>
    </w:pPr>
    <w:rPr>
      <w:rFonts w:ascii="Times New Roman" w:hAnsi="Times New Roman" w:cs="Times New Roman"/>
      <w:sz w:val="20"/>
      <w:szCs w:val="20"/>
      <w:lang w:val="es-AR"/>
    </w:rPr>
  </w:style>
  <w:style w:type="paragraph" w:customStyle="1" w:styleId="Bodytext1">
    <w:name w:val="Body text1"/>
    <w:basedOn w:val="Normal"/>
    <w:link w:val="Bodytext0"/>
    <w:rsid w:val="007E4FE9"/>
    <w:pPr>
      <w:shd w:val="clear" w:color="auto" w:fill="FFFFFF"/>
      <w:spacing w:before="180" w:after="180" w:line="226" w:lineRule="exact"/>
    </w:pPr>
    <w:rPr>
      <w:rFonts w:ascii="Arial Narrow" w:hAnsi="Arial Narrow" w:cs="Arial Narrow"/>
      <w:sz w:val="18"/>
      <w:szCs w:val="18"/>
      <w:lang w:val="es-AR"/>
    </w:rPr>
  </w:style>
  <w:style w:type="paragraph" w:customStyle="1" w:styleId="Bodytext40">
    <w:name w:val="Body text (4)"/>
    <w:basedOn w:val="Normal"/>
    <w:link w:val="Bodytext4"/>
    <w:rsid w:val="007E4FE9"/>
    <w:pPr>
      <w:shd w:val="clear" w:color="auto" w:fill="FFFFFF"/>
      <w:spacing w:after="0" w:line="230" w:lineRule="exact"/>
      <w:jc w:val="left"/>
    </w:pPr>
    <w:rPr>
      <w:rFonts w:ascii="Arial Narrow" w:hAnsi="Arial Narrow" w:cs="Arial Narrow"/>
      <w:i/>
      <w:iCs/>
      <w:sz w:val="18"/>
      <w:szCs w:val="18"/>
      <w:lang w:val="es-ES_tradnl" w:eastAsia="es-ES_tradnl"/>
    </w:rPr>
  </w:style>
  <w:style w:type="paragraph" w:customStyle="1" w:styleId="Tablecaption0">
    <w:name w:val="Table caption"/>
    <w:basedOn w:val="Normal"/>
    <w:link w:val="Tablecaption"/>
    <w:rsid w:val="007E4FE9"/>
    <w:pPr>
      <w:shd w:val="clear" w:color="auto" w:fill="FFFFFF"/>
      <w:spacing w:after="0" w:line="240" w:lineRule="atLeast"/>
      <w:jc w:val="left"/>
    </w:pPr>
    <w:rPr>
      <w:rFonts w:ascii="Arial Narrow" w:hAnsi="Arial Narrow" w:cs="Arial Narrow"/>
      <w:b/>
      <w:bCs/>
      <w:sz w:val="18"/>
      <w:szCs w:val="18"/>
      <w:lang w:val="es-AR"/>
    </w:rPr>
  </w:style>
  <w:style w:type="paragraph" w:customStyle="1" w:styleId="Bodytext50">
    <w:name w:val="Body text (5)"/>
    <w:basedOn w:val="Normal"/>
    <w:link w:val="Bodytext5"/>
    <w:rsid w:val="007E4FE9"/>
    <w:pPr>
      <w:shd w:val="clear" w:color="auto" w:fill="FFFFFF"/>
      <w:spacing w:after="0" w:line="240" w:lineRule="atLeast"/>
      <w:jc w:val="right"/>
    </w:pPr>
    <w:rPr>
      <w:rFonts w:ascii="Arial Narrow" w:hAnsi="Arial Narrow" w:cs="Arial Narrow"/>
      <w:b/>
      <w:bCs/>
      <w:sz w:val="18"/>
      <w:szCs w:val="18"/>
      <w:lang w:val="fr-FR" w:eastAsia="fr-FR"/>
    </w:rPr>
  </w:style>
  <w:style w:type="paragraph" w:customStyle="1" w:styleId="Bodytext60">
    <w:name w:val="Body text (6)"/>
    <w:basedOn w:val="Normal"/>
    <w:link w:val="Bodytext6"/>
    <w:rsid w:val="007E4FE9"/>
    <w:pPr>
      <w:shd w:val="clear" w:color="auto" w:fill="FFFFFF"/>
      <w:spacing w:after="0" w:line="240" w:lineRule="atLeast"/>
      <w:jc w:val="left"/>
    </w:pPr>
    <w:rPr>
      <w:rFonts w:ascii="Times New Roman" w:hAnsi="Times New Roman" w:cs="Times New Roman"/>
      <w:noProof/>
      <w:sz w:val="20"/>
      <w:szCs w:val="20"/>
      <w:lang w:val="es-AR"/>
    </w:rPr>
  </w:style>
  <w:style w:type="paragraph" w:customStyle="1" w:styleId="Bodytext70">
    <w:name w:val="Body text (7)"/>
    <w:basedOn w:val="Normal"/>
    <w:link w:val="Bodytext7"/>
    <w:rsid w:val="007E4FE9"/>
    <w:pPr>
      <w:shd w:val="clear" w:color="auto" w:fill="FFFFFF"/>
      <w:spacing w:before="720" w:after="0" w:line="182" w:lineRule="exact"/>
      <w:jc w:val="left"/>
    </w:pPr>
    <w:rPr>
      <w:rFonts w:ascii="Times New Roman" w:hAnsi="Times New Roman" w:cs="Times New Roman"/>
      <w:sz w:val="15"/>
      <w:szCs w:val="15"/>
      <w:lang w:val="es-AR"/>
    </w:rPr>
  </w:style>
  <w:style w:type="paragraph" w:customStyle="1" w:styleId="ROMANIFORMATOINTER">
    <w:name w:val="ROMANI FORMATO INTER"/>
    <w:rsid w:val="002727E2"/>
    <w:pPr>
      <w:spacing w:after="0" w:line="480" w:lineRule="exact"/>
      <w:jc w:val="both"/>
    </w:pPr>
    <w:rPr>
      <w:rFonts w:ascii="Bookman" w:eastAsia="Times New Roman" w:hAnsi="Bookman" w:cs="Times New Roman"/>
      <w:sz w:val="24"/>
      <w:szCs w:val="20"/>
      <w:lang w:val="es-ES_tradnl" w:eastAsia="ja-JP"/>
    </w:rPr>
  </w:style>
  <w:style w:type="paragraph" w:customStyle="1" w:styleId="Estilo2">
    <w:name w:val="Estilo2"/>
    <w:basedOn w:val="Heading2"/>
    <w:link w:val="Estilo2Car"/>
    <w:qFormat/>
    <w:rsid w:val="00C26417"/>
    <w:pPr>
      <w:keepLines w:val="0"/>
      <w:numPr>
        <w:ilvl w:val="0"/>
        <w:numId w:val="0"/>
      </w:numPr>
      <w:spacing w:before="240" w:after="60" w:line="240" w:lineRule="auto"/>
      <w:jc w:val="left"/>
    </w:pPr>
    <w:rPr>
      <w:rFonts w:ascii="Verdana" w:eastAsia="Times New Roman" w:hAnsi="Verdana" w:cs="Arial"/>
      <w:i/>
      <w:iCs/>
      <w:smallCaps w:val="0"/>
      <w:szCs w:val="24"/>
      <w:lang w:val="es-NI" w:eastAsia="es-ES"/>
    </w:rPr>
  </w:style>
  <w:style w:type="character" w:customStyle="1" w:styleId="Estilo2Car">
    <w:name w:val="Estilo2 Car"/>
    <w:link w:val="Estilo2"/>
    <w:rsid w:val="00C26417"/>
    <w:rPr>
      <w:rFonts w:ascii="Verdana" w:eastAsia="Times New Roman" w:hAnsi="Verdana" w:cs="Arial"/>
      <w:b/>
      <w:bCs/>
      <w:i/>
      <w:iCs/>
      <w:sz w:val="24"/>
      <w:szCs w:val="24"/>
      <w:lang w:val="es-NI" w:eastAsia="es-ES"/>
    </w:rPr>
  </w:style>
  <w:style w:type="character" w:customStyle="1" w:styleId="ListParagraphChar">
    <w:name w:val="List Paragraph Char"/>
    <w:basedOn w:val="DefaultParagraphFont"/>
    <w:link w:val="ListParagraph"/>
    <w:uiPriority w:val="34"/>
    <w:rsid w:val="00C22D38"/>
    <w:rPr>
      <w:rFonts w:ascii="Trebuchet MS" w:hAnsi="Trebuchet M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index heading" w:uiPriority="0"/>
    <w:lsdException w:name="caption" w:uiPriority="0" w:qFormat="1"/>
    <w:lsdException w:name="table of figures" w:qFormat="1"/>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aliases w:val="Texto"/>
    <w:qFormat/>
    <w:rsid w:val="00F81C64"/>
    <w:pPr>
      <w:jc w:val="both"/>
    </w:pPr>
    <w:rPr>
      <w:rFonts w:ascii="Trebuchet MS" w:hAnsi="Trebuchet MS"/>
      <w:lang w:val="en-US"/>
    </w:rPr>
  </w:style>
  <w:style w:type="paragraph" w:styleId="Heading1">
    <w:name w:val="heading 1"/>
    <w:basedOn w:val="Normal"/>
    <w:next w:val="Normal"/>
    <w:link w:val="Heading1Char"/>
    <w:qFormat/>
    <w:rsid w:val="00366F6B"/>
    <w:pPr>
      <w:keepNext/>
      <w:keepLines/>
      <w:pageBreakBefore/>
      <w:spacing w:before="480" w:after="240"/>
      <w:outlineLvl w:val="0"/>
    </w:pPr>
    <w:rPr>
      <w:rFonts w:eastAsiaTheme="majorEastAsia" w:cstheme="majorBidi"/>
      <w:b/>
      <w:bCs/>
      <w:smallCaps/>
      <w:sz w:val="28"/>
      <w:szCs w:val="28"/>
    </w:rPr>
  </w:style>
  <w:style w:type="paragraph" w:styleId="Heading2">
    <w:name w:val="heading 2"/>
    <w:aliases w:val="Subchapter 1.1,1.1 HEADING 2,2,Major,2 headline,h,Subchapter 1.1 Car Car,h2,2/1,Titre 2,l2,list + change bar,???,h21,LetHead2,MisHead2,Normalhead2,Normal Heading 2,Z_hanging_2,heading 2,A,Subchapter ..."/>
    <w:basedOn w:val="Normal"/>
    <w:next w:val="Normal"/>
    <w:link w:val="Heading2Char"/>
    <w:autoRedefine/>
    <w:unhideWhenUsed/>
    <w:qFormat/>
    <w:rsid w:val="00195D47"/>
    <w:pPr>
      <w:keepNext/>
      <w:keepLines/>
      <w:numPr>
        <w:ilvl w:val="3"/>
        <w:numId w:val="9"/>
      </w:numPr>
      <w:spacing w:before="360"/>
      <w:outlineLvl w:val="1"/>
    </w:pPr>
    <w:rPr>
      <w:rFonts w:eastAsiaTheme="majorEastAsia" w:cstheme="majorBidi"/>
      <w:b/>
      <w:bCs/>
      <w:smallCaps/>
      <w:sz w:val="24"/>
      <w:szCs w:val="26"/>
    </w:rPr>
  </w:style>
  <w:style w:type="paragraph" w:styleId="Heading3">
    <w:name w:val="heading 3"/>
    <w:basedOn w:val="Normal"/>
    <w:next w:val="Normal"/>
    <w:link w:val="Heading3Char"/>
    <w:unhideWhenUsed/>
    <w:qFormat/>
    <w:rsid w:val="00366F6B"/>
    <w:pPr>
      <w:keepNext/>
      <w:keepLines/>
      <w:spacing w:before="240" w:after="240"/>
      <w:outlineLvl w:val="2"/>
    </w:pPr>
    <w:rPr>
      <w:rFonts w:eastAsiaTheme="majorEastAsia" w:cstheme="majorBidi"/>
      <w:b/>
      <w:bCs/>
      <w:smallCaps/>
    </w:rPr>
  </w:style>
  <w:style w:type="paragraph" w:styleId="Heading4">
    <w:name w:val="heading 4"/>
    <w:basedOn w:val="Normal"/>
    <w:next w:val="Normal"/>
    <w:link w:val="Heading4Char"/>
    <w:unhideWhenUsed/>
    <w:qFormat/>
    <w:rsid w:val="00366F6B"/>
    <w:pPr>
      <w:keepNext/>
      <w:keepLines/>
      <w:spacing w:before="240" w:after="120"/>
      <w:outlineLvl w:val="3"/>
    </w:pPr>
    <w:rPr>
      <w:rFonts w:eastAsiaTheme="majorEastAsia" w:cstheme="majorBidi"/>
      <w:b/>
      <w:bCs/>
      <w:i/>
      <w:iCs/>
      <w:smallCaps/>
    </w:rPr>
  </w:style>
  <w:style w:type="paragraph" w:styleId="Heading5">
    <w:name w:val="heading 5"/>
    <w:aliases w:val="Indice Ref"/>
    <w:basedOn w:val="Normal"/>
    <w:next w:val="Normal"/>
    <w:link w:val="Heading5Char"/>
    <w:unhideWhenUsed/>
    <w:qFormat/>
    <w:rsid w:val="005A6722"/>
    <w:pPr>
      <w:keepNext/>
      <w:keepLines/>
      <w:spacing w:before="360" w:after="240"/>
      <w:jc w:val="left"/>
      <w:outlineLvl w:val="4"/>
    </w:pPr>
    <w:rPr>
      <w:rFonts w:eastAsiaTheme="majorEastAsia" w:cstheme="majorBidi"/>
      <w:b/>
      <w:smallCaps/>
    </w:rPr>
  </w:style>
  <w:style w:type="paragraph" w:styleId="Heading6">
    <w:name w:val="heading 6"/>
    <w:basedOn w:val="Normal"/>
    <w:next w:val="Normal"/>
    <w:link w:val="Heading6Char"/>
    <w:uiPriority w:val="9"/>
    <w:unhideWhenUsed/>
    <w:qFormat/>
    <w:rsid w:val="00EF4974"/>
    <w:pPr>
      <w:keepNext/>
      <w:keepLines/>
      <w:spacing w:before="200" w:after="240"/>
      <w:outlineLvl w:val="5"/>
    </w:pPr>
    <w:rPr>
      <w:rFonts w:eastAsiaTheme="majorEastAsia" w:cstheme="majorBidi"/>
      <w:b/>
      <w:i/>
      <w:iCs/>
      <w:lang w:val="pt-BR"/>
    </w:rPr>
  </w:style>
  <w:style w:type="paragraph" w:styleId="Heading7">
    <w:name w:val="heading 7"/>
    <w:basedOn w:val="Normal"/>
    <w:next w:val="Normal"/>
    <w:link w:val="Heading7Char"/>
    <w:uiPriority w:val="9"/>
    <w:unhideWhenUsed/>
    <w:qFormat/>
    <w:rsid w:val="00295B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95B5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95B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86F81"/>
    <w:pPr>
      <w:ind w:firstLine="708"/>
    </w:pPr>
    <w:rPr>
      <w:lang w:val="es-ES_tradnl"/>
    </w:rPr>
  </w:style>
  <w:style w:type="character" w:customStyle="1" w:styleId="BodyTextIndentChar">
    <w:name w:val="Body Text Indent Char"/>
    <w:basedOn w:val="DefaultParagraphFont"/>
    <w:link w:val="BodyTextIndent"/>
    <w:uiPriority w:val="99"/>
    <w:rsid w:val="00C86F81"/>
    <w:rPr>
      <w:rFonts w:ascii="Times New Roman" w:eastAsia="Times New Roman" w:hAnsi="Times New Roman" w:cs="Times New Roman"/>
      <w:sz w:val="24"/>
      <w:szCs w:val="24"/>
      <w:lang w:val="es-ES_tradnl" w:eastAsia="es-ES"/>
    </w:rPr>
  </w:style>
  <w:style w:type="paragraph" w:styleId="FootnoteText">
    <w:name w:val="footnote text"/>
    <w:aliases w:val="Footnotes,DTE-Voetnoottekst Car,DTE-Voetnoottekst,Footnote Text1,footnote"/>
    <w:basedOn w:val="Normal"/>
    <w:link w:val="FootnoteTextChar"/>
    <w:uiPriority w:val="99"/>
    <w:semiHidden/>
    <w:rsid w:val="00C86F81"/>
    <w:pPr>
      <w:widowControl w:val="0"/>
      <w:autoSpaceDE w:val="0"/>
      <w:autoSpaceDN w:val="0"/>
    </w:pPr>
    <w:rPr>
      <w:sz w:val="20"/>
      <w:szCs w:val="20"/>
      <w:lang w:val="es-ES_tradnl"/>
    </w:rPr>
  </w:style>
  <w:style w:type="character" w:customStyle="1" w:styleId="FootnoteTextChar">
    <w:name w:val="Footnote Text Char"/>
    <w:aliases w:val="Footnotes Char,DTE-Voetnoottekst Car Char,DTE-Voetnoottekst Char,Footnote Text1 Char,footnote Char"/>
    <w:basedOn w:val="DefaultParagraphFont"/>
    <w:link w:val="FootnoteText"/>
    <w:uiPriority w:val="99"/>
    <w:rsid w:val="00C86F81"/>
    <w:rPr>
      <w:rFonts w:ascii="Times New Roman" w:eastAsia="Times New Roman" w:hAnsi="Times New Roman" w:cs="Times New Roman"/>
      <w:sz w:val="20"/>
      <w:szCs w:val="20"/>
      <w:lang w:val="es-ES_tradnl" w:eastAsia="es-ES"/>
    </w:rPr>
  </w:style>
  <w:style w:type="paragraph" w:styleId="BodyText3">
    <w:name w:val="Body Text 3"/>
    <w:basedOn w:val="Normal"/>
    <w:link w:val="BodyText3Char"/>
    <w:rsid w:val="00C86F81"/>
    <w:pPr>
      <w:spacing w:after="120"/>
    </w:pPr>
    <w:rPr>
      <w:sz w:val="16"/>
      <w:szCs w:val="16"/>
    </w:rPr>
  </w:style>
  <w:style w:type="character" w:customStyle="1" w:styleId="BodyText3Char">
    <w:name w:val="Body Text 3 Char"/>
    <w:basedOn w:val="DefaultParagraphFont"/>
    <w:link w:val="BodyText3"/>
    <w:rsid w:val="00C86F81"/>
    <w:rPr>
      <w:rFonts w:ascii="Times New Roman" w:eastAsia="Times New Roman" w:hAnsi="Times New Roman" w:cs="Times New Roman"/>
      <w:sz w:val="16"/>
      <w:szCs w:val="16"/>
      <w:lang w:val="en-US" w:eastAsia="es-ES"/>
    </w:rPr>
  </w:style>
  <w:style w:type="character" w:styleId="FootnoteReference">
    <w:name w:val="footnote reference"/>
    <w:aliases w:val="(Ref. de nota al pie),Ref,de nota al pie"/>
    <w:basedOn w:val="DefaultParagraphFont"/>
    <w:uiPriority w:val="99"/>
    <w:rsid w:val="00C86F81"/>
    <w:rPr>
      <w:vertAlign w:val="superscript"/>
    </w:rPr>
  </w:style>
  <w:style w:type="paragraph" w:styleId="BalloonText">
    <w:name w:val="Balloon Text"/>
    <w:basedOn w:val="Normal"/>
    <w:link w:val="BalloonTextChar"/>
    <w:uiPriority w:val="99"/>
    <w:rsid w:val="00C86F81"/>
    <w:rPr>
      <w:rFonts w:ascii="Tahoma" w:hAnsi="Tahoma" w:cs="Tahoma"/>
      <w:sz w:val="16"/>
      <w:szCs w:val="16"/>
    </w:rPr>
  </w:style>
  <w:style w:type="character" w:customStyle="1" w:styleId="BalloonTextChar">
    <w:name w:val="Balloon Text Char"/>
    <w:basedOn w:val="DefaultParagraphFont"/>
    <w:link w:val="BalloonText"/>
    <w:uiPriority w:val="99"/>
    <w:rsid w:val="00C86F81"/>
    <w:rPr>
      <w:rFonts w:ascii="Tahoma" w:eastAsia="Times New Roman" w:hAnsi="Tahoma" w:cs="Tahoma"/>
      <w:sz w:val="16"/>
      <w:szCs w:val="16"/>
      <w:lang w:val="en-US" w:eastAsia="es-ES"/>
    </w:rPr>
  </w:style>
  <w:style w:type="character" w:styleId="CommentReference">
    <w:name w:val="annotation reference"/>
    <w:basedOn w:val="DefaultParagraphFont"/>
    <w:uiPriority w:val="99"/>
    <w:rsid w:val="00C86F81"/>
    <w:rPr>
      <w:sz w:val="16"/>
      <w:szCs w:val="16"/>
    </w:rPr>
  </w:style>
  <w:style w:type="paragraph" w:styleId="CommentText">
    <w:name w:val="annotation text"/>
    <w:basedOn w:val="Normal"/>
    <w:link w:val="CommentTextChar"/>
    <w:uiPriority w:val="99"/>
    <w:rsid w:val="00C86F81"/>
    <w:rPr>
      <w:sz w:val="20"/>
      <w:szCs w:val="20"/>
    </w:rPr>
  </w:style>
  <w:style w:type="character" w:customStyle="1" w:styleId="CommentTextChar">
    <w:name w:val="Comment Text Char"/>
    <w:basedOn w:val="DefaultParagraphFont"/>
    <w:link w:val="CommentText"/>
    <w:uiPriority w:val="99"/>
    <w:rsid w:val="00C86F81"/>
    <w:rPr>
      <w:rFonts w:ascii="Times New Roman" w:eastAsia="Times New Roman" w:hAnsi="Times New Roman" w:cs="Times New Roman"/>
      <w:sz w:val="20"/>
      <w:szCs w:val="20"/>
      <w:lang w:val="en-US" w:eastAsia="es-ES"/>
    </w:rPr>
  </w:style>
  <w:style w:type="paragraph" w:styleId="CommentSubject">
    <w:name w:val="annotation subject"/>
    <w:basedOn w:val="CommentText"/>
    <w:next w:val="CommentText"/>
    <w:link w:val="CommentSubjectChar"/>
    <w:uiPriority w:val="99"/>
    <w:rsid w:val="00C86F81"/>
    <w:rPr>
      <w:b/>
      <w:bCs/>
    </w:rPr>
  </w:style>
  <w:style w:type="character" w:customStyle="1" w:styleId="CommentSubjectChar">
    <w:name w:val="Comment Subject Char"/>
    <w:basedOn w:val="CommentTextChar"/>
    <w:link w:val="CommentSubject"/>
    <w:uiPriority w:val="99"/>
    <w:rsid w:val="00C86F81"/>
    <w:rPr>
      <w:rFonts w:ascii="Times New Roman" w:eastAsia="Times New Roman" w:hAnsi="Times New Roman" w:cs="Times New Roman"/>
      <w:b/>
      <w:bCs/>
      <w:sz w:val="20"/>
      <w:szCs w:val="20"/>
      <w:lang w:val="en-US" w:eastAsia="es-ES"/>
    </w:rPr>
  </w:style>
  <w:style w:type="paragraph" w:styleId="TOC1">
    <w:name w:val="toc 1"/>
    <w:basedOn w:val="Normal"/>
    <w:next w:val="Normal"/>
    <w:autoRedefine/>
    <w:uiPriority w:val="39"/>
    <w:unhideWhenUsed/>
    <w:qFormat/>
    <w:rsid w:val="00FF7027"/>
    <w:pPr>
      <w:tabs>
        <w:tab w:val="left" w:pos="362"/>
        <w:tab w:val="right" w:leader="dot" w:pos="9017"/>
      </w:tabs>
      <w:spacing w:before="240" w:after="60"/>
    </w:pPr>
    <w:rPr>
      <w:rFonts w:eastAsiaTheme="minorEastAsia"/>
      <w:b/>
      <w:lang w:eastAsia="ja-JP"/>
    </w:rPr>
  </w:style>
  <w:style w:type="paragraph" w:styleId="TOC2">
    <w:name w:val="toc 2"/>
    <w:basedOn w:val="Normal"/>
    <w:next w:val="Normal"/>
    <w:uiPriority w:val="39"/>
    <w:unhideWhenUsed/>
    <w:qFormat/>
    <w:rsid w:val="00FF3614"/>
    <w:pPr>
      <w:spacing w:after="60"/>
      <w:ind w:left="216"/>
    </w:pPr>
    <w:rPr>
      <w:rFonts w:eastAsiaTheme="minorEastAsia"/>
      <w:lang w:eastAsia="ja-JP"/>
    </w:rPr>
  </w:style>
  <w:style w:type="paragraph" w:styleId="TOC3">
    <w:name w:val="toc 3"/>
    <w:basedOn w:val="Normal"/>
    <w:next w:val="Normal"/>
    <w:autoRedefine/>
    <w:uiPriority w:val="39"/>
    <w:rsid w:val="00FF3614"/>
    <w:pPr>
      <w:spacing w:after="60"/>
      <w:ind w:left="360"/>
    </w:pPr>
  </w:style>
  <w:style w:type="paragraph" w:styleId="TOC4">
    <w:name w:val="toc 4"/>
    <w:basedOn w:val="Normal"/>
    <w:next w:val="Normal"/>
    <w:autoRedefine/>
    <w:rsid w:val="00C86F81"/>
  </w:style>
  <w:style w:type="paragraph" w:styleId="TOC5">
    <w:name w:val="toc 5"/>
    <w:basedOn w:val="Normal"/>
    <w:next w:val="Normal"/>
    <w:autoRedefine/>
    <w:uiPriority w:val="39"/>
    <w:rsid w:val="00C86F81"/>
  </w:style>
  <w:style w:type="paragraph" w:styleId="TOC6">
    <w:name w:val="toc 6"/>
    <w:basedOn w:val="Normal"/>
    <w:next w:val="Normal"/>
    <w:autoRedefine/>
    <w:uiPriority w:val="39"/>
    <w:rsid w:val="00C86F81"/>
  </w:style>
  <w:style w:type="paragraph" w:styleId="TOC7">
    <w:name w:val="toc 7"/>
    <w:basedOn w:val="Normal"/>
    <w:next w:val="Normal"/>
    <w:autoRedefine/>
    <w:uiPriority w:val="39"/>
    <w:rsid w:val="00C86F81"/>
  </w:style>
  <w:style w:type="paragraph" w:styleId="TOC8">
    <w:name w:val="toc 8"/>
    <w:basedOn w:val="Normal"/>
    <w:next w:val="Normal"/>
    <w:autoRedefine/>
    <w:uiPriority w:val="39"/>
    <w:rsid w:val="00C86F81"/>
  </w:style>
  <w:style w:type="paragraph" w:styleId="TOC9">
    <w:name w:val="toc 9"/>
    <w:basedOn w:val="Normal"/>
    <w:next w:val="Normal"/>
    <w:autoRedefine/>
    <w:uiPriority w:val="39"/>
    <w:rsid w:val="00C86F81"/>
  </w:style>
  <w:style w:type="paragraph" w:styleId="Footer">
    <w:name w:val="footer"/>
    <w:basedOn w:val="Normal"/>
    <w:link w:val="FooterChar"/>
    <w:uiPriority w:val="99"/>
    <w:qFormat/>
    <w:rsid w:val="00C86F81"/>
    <w:pPr>
      <w:tabs>
        <w:tab w:val="center" w:pos="4252"/>
        <w:tab w:val="right" w:pos="8504"/>
      </w:tabs>
    </w:pPr>
  </w:style>
  <w:style w:type="character" w:customStyle="1" w:styleId="FooterChar">
    <w:name w:val="Footer Char"/>
    <w:basedOn w:val="DefaultParagraphFont"/>
    <w:link w:val="Footer"/>
    <w:uiPriority w:val="99"/>
    <w:rsid w:val="00C86F81"/>
    <w:rPr>
      <w:rFonts w:ascii="Times New Roman" w:eastAsia="Times New Roman" w:hAnsi="Times New Roman" w:cs="Times New Roman"/>
      <w:sz w:val="24"/>
      <w:szCs w:val="24"/>
      <w:lang w:val="en-US" w:eastAsia="es-ES"/>
    </w:rPr>
  </w:style>
  <w:style w:type="character" w:styleId="PageNumber">
    <w:name w:val="page number"/>
    <w:basedOn w:val="DefaultParagraphFont"/>
    <w:rsid w:val="00C86F81"/>
  </w:style>
  <w:style w:type="character" w:styleId="Hyperlink">
    <w:name w:val="Hyperlink"/>
    <w:basedOn w:val="DefaultParagraphFont"/>
    <w:uiPriority w:val="99"/>
    <w:rsid w:val="00C86F81"/>
    <w:rPr>
      <w:color w:val="0000FF"/>
      <w:u w:val="single"/>
    </w:rPr>
  </w:style>
  <w:style w:type="paragraph" w:styleId="Index1">
    <w:name w:val="index 1"/>
    <w:basedOn w:val="Normal"/>
    <w:next w:val="Normal"/>
    <w:autoRedefine/>
    <w:semiHidden/>
    <w:rsid w:val="00C86F81"/>
    <w:pPr>
      <w:ind w:left="240" w:hanging="240"/>
    </w:pPr>
    <w:rPr>
      <w:sz w:val="18"/>
      <w:szCs w:val="18"/>
    </w:rPr>
  </w:style>
  <w:style w:type="paragraph" w:styleId="Index2">
    <w:name w:val="index 2"/>
    <w:basedOn w:val="Normal"/>
    <w:next w:val="Normal"/>
    <w:autoRedefine/>
    <w:semiHidden/>
    <w:rsid w:val="00C86F81"/>
    <w:pPr>
      <w:ind w:left="480" w:hanging="240"/>
    </w:pPr>
    <w:rPr>
      <w:sz w:val="18"/>
      <w:szCs w:val="18"/>
    </w:rPr>
  </w:style>
  <w:style w:type="paragraph" w:styleId="Index3">
    <w:name w:val="index 3"/>
    <w:basedOn w:val="Normal"/>
    <w:next w:val="Normal"/>
    <w:autoRedefine/>
    <w:semiHidden/>
    <w:rsid w:val="00C86F81"/>
    <w:pPr>
      <w:ind w:left="720" w:hanging="240"/>
    </w:pPr>
    <w:rPr>
      <w:sz w:val="18"/>
      <w:szCs w:val="18"/>
    </w:rPr>
  </w:style>
  <w:style w:type="paragraph" w:styleId="Index4">
    <w:name w:val="index 4"/>
    <w:basedOn w:val="Normal"/>
    <w:next w:val="Normal"/>
    <w:autoRedefine/>
    <w:semiHidden/>
    <w:rsid w:val="00C86F81"/>
    <w:pPr>
      <w:ind w:left="960" w:hanging="240"/>
    </w:pPr>
    <w:rPr>
      <w:sz w:val="18"/>
      <w:szCs w:val="18"/>
    </w:rPr>
  </w:style>
  <w:style w:type="paragraph" w:styleId="Index5">
    <w:name w:val="index 5"/>
    <w:basedOn w:val="Normal"/>
    <w:next w:val="Normal"/>
    <w:autoRedefine/>
    <w:semiHidden/>
    <w:rsid w:val="00C86F81"/>
    <w:pPr>
      <w:ind w:left="1200" w:hanging="240"/>
    </w:pPr>
    <w:rPr>
      <w:sz w:val="18"/>
      <w:szCs w:val="18"/>
    </w:rPr>
  </w:style>
  <w:style w:type="paragraph" w:styleId="Index6">
    <w:name w:val="index 6"/>
    <w:basedOn w:val="Normal"/>
    <w:next w:val="Normal"/>
    <w:autoRedefine/>
    <w:semiHidden/>
    <w:rsid w:val="00C86F81"/>
    <w:pPr>
      <w:ind w:left="1440" w:hanging="240"/>
    </w:pPr>
    <w:rPr>
      <w:sz w:val="18"/>
      <w:szCs w:val="18"/>
    </w:rPr>
  </w:style>
  <w:style w:type="paragraph" w:styleId="Index7">
    <w:name w:val="index 7"/>
    <w:basedOn w:val="Normal"/>
    <w:next w:val="Normal"/>
    <w:autoRedefine/>
    <w:semiHidden/>
    <w:rsid w:val="00C86F81"/>
    <w:pPr>
      <w:ind w:left="1680" w:hanging="240"/>
    </w:pPr>
    <w:rPr>
      <w:sz w:val="18"/>
      <w:szCs w:val="18"/>
    </w:rPr>
  </w:style>
  <w:style w:type="paragraph" w:styleId="Index8">
    <w:name w:val="index 8"/>
    <w:basedOn w:val="Normal"/>
    <w:next w:val="Normal"/>
    <w:autoRedefine/>
    <w:semiHidden/>
    <w:rsid w:val="00C86F81"/>
    <w:pPr>
      <w:ind w:left="1920" w:hanging="240"/>
    </w:pPr>
    <w:rPr>
      <w:sz w:val="18"/>
      <w:szCs w:val="18"/>
    </w:rPr>
  </w:style>
  <w:style w:type="paragraph" w:styleId="Index9">
    <w:name w:val="index 9"/>
    <w:basedOn w:val="Normal"/>
    <w:next w:val="Normal"/>
    <w:autoRedefine/>
    <w:semiHidden/>
    <w:rsid w:val="00C86F81"/>
    <w:pPr>
      <w:ind w:left="2160" w:hanging="240"/>
    </w:pPr>
    <w:rPr>
      <w:sz w:val="18"/>
      <w:szCs w:val="18"/>
    </w:rPr>
  </w:style>
  <w:style w:type="paragraph" w:styleId="IndexHeading">
    <w:name w:val="index heading"/>
    <w:basedOn w:val="Normal"/>
    <w:next w:val="Index1"/>
    <w:semiHidden/>
    <w:rsid w:val="00C86F81"/>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rPr>
  </w:style>
  <w:style w:type="paragraph" w:styleId="Caption">
    <w:name w:val="caption"/>
    <w:basedOn w:val="Normal"/>
    <w:next w:val="Normal"/>
    <w:qFormat/>
    <w:rsid w:val="00C86F81"/>
    <w:rPr>
      <w:b/>
      <w:bCs/>
      <w:sz w:val="20"/>
      <w:szCs w:val="20"/>
    </w:rPr>
  </w:style>
  <w:style w:type="paragraph" w:styleId="TableofFigures">
    <w:name w:val="table of figures"/>
    <w:basedOn w:val="Normal"/>
    <w:next w:val="Normal"/>
    <w:uiPriority w:val="99"/>
    <w:unhideWhenUsed/>
    <w:qFormat/>
    <w:rsid w:val="00295B5F"/>
    <w:pPr>
      <w:spacing w:after="120"/>
    </w:pPr>
  </w:style>
  <w:style w:type="paragraph" w:styleId="Header">
    <w:name w:val="header"/>
    <w:basedOn w:val="Normal"/>
    <w:link w:val="HeaderChar"/>
    <w:rsid w:val="00C86F81"/>
    <w:pPr>
      <w:tabs>
        <w:tab w:val="center" w:pos="4252"/>
        <w:tab w:val="right" w:pos="8504"/>
      </w:tabs>
    </w:pPr>
  </w:style>
  <w:style w:type="character" w:customStyle="1" w:styleId="HeaderChar">
    <w:name w:val="Header Char"/>
    <w:basedOn w:val="DefaultParagraphFont"/>
    <w:link w:val="Header"/>
    <w:rsid w:val="00C86F81"/>
    <w:rPr>
      <w:rFonts w:ascii="Times New Roman" w:eastAsia="Times New Roman" w:hAnsi="Times New Roman" w:cs="Times New Roman"/>
      <w:sz w:val="24"/>
      <w:szCs w:val="24"/>
      <w:lang w:val="en-US" w:eastAsia="es-ES"/>
    </w:rPr>
  </w:style>
  <w:style w:type="character" w:styleId="LineNumber">
    <w:name w:val="line number"/>
    <w:basedOn w:val="DefaultParagraphFont"/>
    <w:rsid w:val="00C86F81"/>
  </w:style>
  <w:style w:type="paragraph" w:styleId="ListParagraph">
    <w:name w:val="List Paragraph"/>
    <w:basedOn w:val="Normal"/>
    <w:link w:val="ListParagraphChar"/>
    <w:uiPriority w:val="34"/>
    <w:qFormat/>
    <w:rsid w:val="007E1642"/>
    <w:pPr>
      <w:ind w:left="720"/>
      <w:contextualSpacing/>
    </w:pPr>
  </w:style>
  <w:style w:type="paragraph" w:styleId="Title">
    <w:name w:val="Title"/>
    <w:basedOn w:val="Normal"/>
    <w:next w:val="Normal"/>
    <w:link w:val="TitleChar"/>
    <w:qFormat/>
    <w:rsid w:val="00295B5F"/>
    <w:pPr>
      <w:keepNext/>
      <w:keepLines/>
      <w:pBdr>
        <w:bottom w:val="single" w:sz="18" w:space="4" w:color="9C2F24"/>
      </w:pBdr>
      <w:spacing w:before="6600" w:after="2640" w:line="240" w:lineRule="auto"/>
      <w:contextualSpacing/>
      <w:jc w:val="left"/>
    </w:pPr>
    <w:rPr>
      <w:rFonts w:eastAsiaTheme="majorEastAsia" w:cstheme="majorBidi"/>
      <w:smallCaps/>
      <w:spacing w:val="5"/>
      <w:kern w:val="28"/>
      <w:sz w:val="52"/>
      <w:szCs w:val="52"/>
    </w:rPr>
  </w:style>
  <w:style w:type="character" w:customStyle="1" w:styleId="TitleChar">
    <w:name w:val="Title Char"/>
    <w:basedOn w:val="DefaultParagraphFont"/>
    <w:link w:val="Title"/>
    <w:uiPriority w:val="10"/>
    <w:rsid w:val="00295B5F"/>
    <w:rPr>
      <w:rFonts w:ascii="Trebuchet MS" w:eastAsiaTheme="majorEastAsia" w:hAnsi="Trebuchet MS" w:cstheme="majorBidi"/>
      <w:smallCaps/>
      <w:spacing w:val="5"/>
      <w:kern w:val="28"/>
      <w:sz w:val="52"/>
      <w:szCs w:val="52"/>
    </w:rPr>
  </w:style>
  <w:style w:type="paragraph" w:customStyle="1" w:styleId="FechaTit">
    <w:name w:val="Fecha Tit"/>
    <w:basedOn w:val="Normal"/>
    <w:qFormat/>
    <w:rsid w:val="00295B5F"/>
    <w:pPr>
      <w:keepNext/>
      <w:keepLines/>
      <w:jc w:val="right"/>
    </w:pPr>
    <w:rPr>
      <w:sz w:val="36"/>
    </w:rPr>
  </w:style>
  <w:style w:type="character" w:styleId="PlaceholderText">
    <w:name w:val="Placeholder Text"/>
    <w:basedOn w:val="DefaultParagraphFont"/>
    <w:uiPriority w:val="99"/>
    <w:semiHidden/>
    <w:rsid w:val="008D7430"/>
    <w:rPr>
      <w:color w:val="808080"/>
    </w:rPr>
  </w:style>
  <w:style w:type="table" w:customStyle="1" w:styleId="Style1">
    <w:name w:val="Style1"/>
    <w:basedOn w:val="TableNormal"/>
    <w:uiPriority w:val="99"/>
    <w:rsid w:val="008D7430"/>
    <w:pPr>
      <w:spacing w:after="0" w:line="240" w:lineRule="auto"/>
    </w:pPr>
    <w:rPr>
      <w:rFonts w:ascii="Trebuchet MS" w:hAnsi="Trebuchet MS"/>
      <w:lang w:val="en-US"/>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vAlign w:val="center"/>
    </w:tcPr>
    <w:tblStylePr w:type="firstRow">
      <w:rPr>
        <w:rFonts w:ascii="ff8" w:hAnsi="ff8"/>
        <w:b/>
      </w:rPr>
      <w:tblPr/>
      <w:tcPr>
        <w:shd w:val="clear" w:color="auto" w:fill="FFFFFF" w:themeFill="background1"/>
      </w:tcPr>
    </w:tblStylePr>
    <w:tblStylePr w:type="lastRow">
      <w:rPr>
        <w:b/>
      </w:rPr>
    </w:tblStylePr>
  </w:style>
  <w:style w:type="character" w:customStyle="1" w:styleId="Heading5Char">
    <w:name w:val="Heading 5 Char"/>
    <w:aliases w:val="Indice Ref Char"/>
    <w:basedOn w:val="DefaultParagraphFont"/>
    <w:link w:val="Heading5"/>
    <w:rsid w:val="005A6722"/>
    <w:rPr>
      <w:rFonts w:ascii="Trebuchet MS" w:eastAsiaTheme="majorEastAsia" w:hAnsi="Trebuchet MS" w:cstheme="majorBidi"/>
      <w:b/>
      <w:smallCaps/>
      <w:lang w:val="en-US"/>
    </w:rPr>
  </w:style>
  <w:style w:type="character" w:customStyle="1" w:styleId="Heading1Char">
    <w:name w:val="Heading 1 Char"/>
    <w:basedOn w:val="DefaultParagraphFont"/>
    <w:link w:val="Heading1"/>
    <w:rsid w:val="00366F6B"/>
    <w:rPr>
      <w:rFonts w:ascii="Trebuchet MS" w:eastAsiaTheme="majorEastAsia" w:hAnsi="Trebuchet MS" w:cstheme="majorBidi"/>
      <w:b/>
      <w:bCs/>
      <w:smallCaps/>
      <w:sz w:val="28"/>
      <w:szCs w:val="28"/>
      <w:lang w:val="en-US"/>
    </w:rPr>
  </w:style>
  <w:style w:type="character" w:customStyle="1" w:styleId="Heading2Char">
    <w:name w:val="Heading 2 Char"/>
    <w:aliases w:val="Subchapter 1.1 Char,1.1 HEADING 2 Char,2 Char,Major Char,2 headline Char,h Char,Subchapter 1.1 Car Car Char,h2 Char,2/1 Char,Titre 2 Char,l2 Char,list + change bar Char,??? Char,h21 Char,LetHead2 Char,MisHead2 Char,Normalhead2 Char,A Char"/>
    <w:basedOn w:val="DefaultParagraphFont"/>
    <w:link w:val="Heading2"/>
    <w:rsid w:val="00195D47"/>
    <w:rPr>
      <w:rFonts w:ascii="Trebuchet MS" w:eastAsiaTheme="majorEastAsia" w:hAnsi="Trebuchet MS" w:cstheme="majorBidi"/>
      <w:b/>
      <w:bCs/>
      <w:smallCaps/>
      <w:sz w:val="24"/>
      <w:szCs w:val="26"/>
      <w:lang w:val="en-US"/>
    </w:rPr>
  </w:style>
  <w:style w:type="character" w:customStyle="1" w:styleId="Heading3Char">
    <w:name w:val="Heading 3 Char"/>
    <w:basedOn w:val="DefaultParagraphFont"/>
    <w:link w:val="Heading3"/>
    <w:rsid w:val="00366F6B"/>
    <w:rPr>
      <w:rFonts w:ascii="Trebuchet MS" w:eastAsiaTheme="majorEastAsia" w:hAnsi="Trebuchet MS" w:cstheme="majorBidi"/>
      <w:b/>
      <w:bCs/>
      <w:smallCaps/>
      <w:lang w:val="en-US"/>
    </w:rPr>
  </w:style>
  <w:style w:type="character" w:customStyle="1" w:styleId="Heading4Char">
    <w:name w:val="Heading 4 Char"/>
    <w:basedOn w:val="DefaultParagraphFont"/>
    <w:link w:val="Heading4"/>
    <w:rsid w:val="00366F6B"/>
    <w:rPr>
      <w:rFonts w:ascii="Trebuchet MS" w:eastAsiaTheme="majorEastAsia" w:hAnsi="Trebuchet MS" w:cstheme="majorBidi"/>
      <w:b/>
      <w:bCs/>
      <w:i/>
      <w:iCs/>
      <w:smallCaps/>
      <w:lang w:val="en-US"/>
    </w:rPr>
  </w:style>
  <w:style w:type="character" w:customStyle="1" w:styleId="Heading6Char">
    <w:name w:val="Heading 6 Char"/>
    <w:basedOn w:val="DefaultParagraphFont"/>
    <w:link w:val="Heading6"/>
    <w:uiPriority w:val="9"/>
    <w:rsid w:val="00EF4974"/>
    <w:rPr>
      <w:rFonts w:ascii="Trebuchet MS" w:eastAsiaTheme="majorEastAsia" w:hAnsi="Trebuchet MS" w:cstheme="majorBidi"/>
      <w:b/>
      <w:i/>
      <w:iCs/>
      <w:lang w:val="pt-BR"/>
    </w:rPr>
  </w:style>
  <w:style w:type="paragraph" w:customStyle="1" w:styleId="TtuloTabla">
    <w:name w:val="Título Tabla"/>
    <w:basedOn w:val="Normal"/>
    <w:qFormat/>
    <w:rsid w:val="00295B5F"/>
    <w:pPr>
      <w:keepNext/>
      <w:keepLines/>
      <w:spacing w:before="240" w:after="0"/>
      <w:jc w:val="center"/>
    </w:pPr>
    <w:rPr>
      <w:b/>
    </w:rPr>
  </w:style>
  <w:style w:type="paragraph" w:customStyle="1" w:styleId="Fuente">
    <w:name w:val="Fuente"/>
    <w:basedOn w:val="Normal"/>
    <w:qFormat/>
    <w:rsid w:val="002B38BA"/>
    <w:pPr>
      <w:keepLines/>
      <w:spacing w:before="60" w:after="240" w:line="240" w:lineRule="auto"/>
      <w:contextualSpacing/>
      <w:jc w:val="center"/>
    </w:pPr>
    <w:rPr>
      <w:sz w:val="20"/>
    </w:rPr>
  </w:style>
  <w:style w:type="paragraph" w:customStyle="1" w:styleId="BulletNum">
    <w:name w:val="Bullet Num"/>
    <w:basedOn w:val="Normal"/>
    <w:qFormat/>
    <w:rsid w:val="00295B5F"/>
    <w:pPr>
      <w:numPr>
        <w:numId w:val="7"/>
      </w:numPr>
      <w:spacing w:before="240" w:after="240"/>
      <w:contextualSpacing/>
    </w:pPr>
  </w:style>
  <w:style w:type="paragraph" w:customStyle="1" w:styleId="BulletOtro">
    <w:name w:val="Bullet Otro"/>
    <w:basedOn w:val="ListBullet"/>
    <w:qFormat/>
    <w:rsid w:val="00295B5F"/>
    <w:pPr>
      <w:numPr>
        <w:numId w:val="0"/>
      </w:numPr>
      <w:tabs>
        <w:tab w:val="left" w:pos="720"/>
        <w:tab w:val="left" w:pos="1440"/>
      </w:tabs>
      <w:spacing w:before="240" w:after="240"/>
    </w:pPr>
  </w:style>
  <w:style w:type="paragraph" w:styleId="ListBullet">
    <w:name w:val="List Bullet"/>
    <w:basedOn w:val="Normal"/>
    <w:uiPriority w:val="99"/>
    <w:unhideWhenUsed/>
    <w:rsid w:val="00DF5C91"/>
    <w:pPr>
      <w:numPr>
        <w:numId w:val="1"/>
      </w:numPr>
      <w:contextualSpacing/>
    </w:pPr>
  </w:style>
  <w:style w:type="paragraph" w:customStyle="1" w:styleId="AnexosNiv2">
    <w:name w:val="Anexos Niv2"/>
    <w:basedOn w:val="Heading2"/>
    <w:next w:val="Normal"/>
    <w:link w:val="AnexosNiv2Char"/>
    <w:autoRedefine/>
    <w:qFormat/>
    <w:rsid w:val="00357308"/>
    <w:pPr>
      <w:numPr>
        <w:numId w:val="3"/>
      </w:numPr>
    </w:pPr>
    <w:rPr>
      <w:lang w:val="es-ES"/>
    </w:rPr>
  </w:style>
  <w:style w:type="character" w:customStyle="1" w:styleId="AnexosNiv2Char">
    <w:name w:val="Anexos Niv2 Char"/>
    <w:basedOn w:val="Heading2Char"/>
    <w:link w:val="AnexosNiv2"/>
    <w:rsid w:val="00357308"/>
    <w:rPr>
      <w:rFonts w:ascii="Trebuchet MS" w:eastAsiaTheme="majorEastAsia" w:hAnsi="Trebuchet MS" w:cstheme="majorBidi"/>
      <w:b/>
      <w:bCs/>
      <w:smallCaps/>
      <w:sz w:val="24"/>
      <w:szCs w:val="26"/>
      <w:lang w:val="es-ES"/>
    </w:rPr>
  </w:style>
  <w:style w:type="paragraph" w:customStyle="1" w:styleId="Footnote">
    <w:name w:val="Footnote"/>
    <w:basedOn w:val="FootnoteText"/>
    <w:link w:val="Footnote0"/>
    <w:qFormat/>
    <w:rsid w:val="00F55620"/>
    <w:pPr>
      <w:widowControl/>
      <w:autoSpaceDE/>
      <w:autoSpaceDN/>
      <w:spacing w:after="120" w:line="240" w:lineRule="auto"/>
    </w:pPr>
    <w:rPr>
      <w:lang w:val="es-AR"/>
    </w:rPr>
  </w:style>
  <w:style w:type="paragraph" w:customStyle="1" w:styleId="Cita1">
    <w:name w:val="Cita1"/>
    <w:basedOn w:val="Normal"/>
    <w:qFormat/>
    <w:rsid w:val="00DF5C91"/>
    <w:pPr>
      <w:spacing w:before="240" w:after="240"/>
      <w:ind w:left="720"/>
    </w:pPr>
  </w:style>
  <w:style w:type="paragraph" w:customStyle="1" w:styleId="TituloGraf">
    <w:name w:val="Titulo Graf"/>
    <w:basedOn w:val="TtuloTabla"/>
    <w:qFormat/>
    <w:rsid w:val="00295B5F"/>
  </w:style>
  <w:style w:type="paragraph" w:customStyle="1" w:styleId="TituloBox">
    <w:name w:val="Titulo Box"/>
    <w:basedOn w:val="TituloGraf"/>
    <w:qFormat/>
    <w:rsid w:val="00295B5F"/>
    <w:pPr>
      <w:spacing w:before="360" w:after="120"/>
      <w:jc w:val="left"/>
    </w:pPr>
  </w:style>
  <w:style w:type="paragraph" w:customStyle="1" w:styleId="TextoBox">
    <w:name w:val="Texto Box"/>
    <w:basedOn w:val="Normal"/>
    <w:qFormat/>
    <w:rsid w:val="00295B5F"/>
    <w:pPr>
      <w:keepNext/>
      <w:keepLines/>
      <w:pBdr>
        <w:top w:val="single" w:sz="24" w:space="1" w:color="auto"/>
        <w:left w:val="single" w:sz="24" w:space="4" w:color="auto"/>
        <w:bottom w:val="single" w:sz="24" w:space="1" w:color="auto"/>
        <w:right w:val="single" w:sz="24" w:space="4" w:color="auto"/>
      </w:pBdr>
      <w:spacing w:after="360" w:line="360" w:lineRule="auto"/>
      <w:contextualSpacing/>
    </w:pPr>
  </w:style>
  <w:style w:type="paragraph" w:customStyle="1" w:styleId="AnexoTit2">
    <w:name w:val="Anexo Tit2"/>
    <w:basedOn w:val="Heading2"/>
    <w:link w:val="AnexoTit2Char"/>
    <w:qFormat/>
    <w:rsid w:val="00295B5F"/>
    <w:pPr>
      <w:numPr>
        <w:numId w:val="0"/>
      </w:numPr>
      <w:ind w:left="720" w:hanging="360"/>
    </w:pPr>
  </w:style>
  <w:style w:type="character" w:customStyle="1" w:styleId="AnexoTit2Char">
    <w:name w:val="Anexo Tit2 Char"/>
    <w:basedOn w:val="Heading2Char"/>
    <w:link w:val="AnexoTit2"/>
    <w:rsid w:val="00295B5F"/>
    <w:rPr>
      <w:rFonts w:ascii="Trebuchet MS" w:eastAsiaTheme="majorEastAsia" w:hAnsi="Trebuchet MS" w:cstheme="majorBidi"/>
      <w:b/>
      <w:bCs/>
      <w:smallCaps/>
      <w:sz w:val="24"/>
      <w:szCs w:val="26"/>
      <w:lang w:val="en-US"/>
    </w:rPr>
  </w:style>
  <w:style w:type="paragraph" w:customStyle="1" w:styleId="AnexoNiv3">
    <w:name w:val="Anexo Niv 3"/>
    <w:basedOn w:val="Heading3"/>
    <w:link w:val="AnexoNiv3Char"/>
    <w:qFormat/>
    <w:rsid w:val="00DE16D7"/>
    <w:pPr>
      <w:ind w:left="720" w:hanging="180"/>
    </w:pPr>
  </w:style>
  <w:style w:type="character" w:customStyle="1" w:styleId="AnexoNiv3Char">
    <w:name w:val="Anexo Niv 3 Char"/>
    <w:basedOn w:val="Heading3Char"/>
    <w:link w:val="AnexoNiv3"/>
    <w:rsid w:val="00DE16D7"/>
    <w:rPr>
      <w:rFonts w:ascii="Trebuchet MS" w:eastAsiaTheme="majorEastAsia" w:hAnsi="Trebuchet MS" w:cstheme="majorBidi"/>
      <w:b/>
      <w:bCs/>
      <w:smallCaps/>
      <w:lang w:val="en-US"/>
    </w:rPr>
  </w:style>
  <w:style w:type="paragraph" w:customStyle="1" w:styleId="AnexoNiv1">
    <w:name w:val="Anexo Niv1"/>
    <w:basedOn w:val="Heading1"/>
    <w:link w:val="AnexoNiv1Char"/>
    <w:qFormat/>
    <w:rsid w:val="00EF67F1"/>
    <w:pPr>
      <w:pageBreakBefore w:val="0"/>
      <w:numPr>
        <w:numId w:val="2"/>
      </w:numPr>
    </w:pPr>
  </w:style>
  <w:style w:type="character" w:customStyle="1" w:styleId="AnexoNiv1Char">
    <w:name w:val="Anexo Niv1 Char"/>
    <w:basedOn w:val="Heading1Char"/>
    <w:link w:val="AnexoNiv1"/>
    <w:rsid w:val="00EF67F1"/>
    <w:rPr>
      <w:rFonts w:ascii="Trebuchet MS" w:eastAsiaTheme="majorEastAsia" w:hAnsi="Trebuchet MS" w:cstheme="majorBidi"/>
      <w:b/>
      <w:bCs/>
      <w:smallCaps/>
      <w:sz w:val="28"/>
      <w:szCs w:val="28"/>
      <w:lang w:val="en-US"/>
    </w:rPr>
  </w:style>
  <w:style w:type="character" w:customStyle="1" w:styleId="Heading7Char">
    <w:name w:val="Heading 7 Char"/>
    <w:basedOn w:val="DefaultParagraphFont"/>
    <w:link w:val="Heading7"/>
    <w:uiPriority w:val="9"/>
    <w:rsid w:val="00295B5F"/>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295B5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295B5F"/>
    <w:rPr>
      <w:rFonts w:asciiTheme="majorHAnsi" w:eastAsiaTheme="majorEastAsia" w:hAnsiTheme="majorHAnsi" w:cstheme="majorBidi"/>
      <w:i/>
      <w:iCs/>
      <w:color w:val="404040" w:themeColor="text1" w:themeTint="BF"/>
      <w:sz w:val="20"/>
      <w:szCs w:val="20"/>
      <w:lang w:val="en-US"/>
    </w:rPr>
  </w:style>
  <w:style w:type="paragraph" w:styleId="Subtitle">
    <w:name w:val="Subtitle"/>
    <w:aliases w:val="Anexos Niv1"/>
    <w:basedOn w:val="Heading3"/>
    <w:next w:val="Normal"/>
    <w:link w:val="SubtitleChar"/>
    <w:uiPriority w:val="11"/>
    <w:qFormat/>
    <w:rsid w:val="00295B5F"/>
    <w:pPr>
      <w:ind w:left="1080" w:hanging="360"/>
      <w:contextualSpacing/>
    </w:pPr>
    <w:rPr>
      <w:iCs/>
      <w:spacing w:val="15"/>
      <w:szCs w:val="24"/>
    </w:rPr>
  </w:style>
  <w:style w:type="character" w:customStyle="1" w:styleId="SubtitleChar">
    <w:name w:val="Subtitle Char"/>
    <w:aliases w:val="Anexos Niv1 Char"/>
    <w:basedOn w:val="DefaultParagraphFont"/>
    <w:link w:val="Subtitle"/>
    <w:uiPriority w:val="11"/>
    <w:rsid w:val="00295B5F"/>
    <w:rPr>
      <w:rFonts w:ascii="Trebuchet MS" w:eastAsiaTheme="majorEastAsia" w:hAnsi="Trebuchet MS" w:cstheme="majorBidi"/>
      <w:b/>
      <w:bCs/>
      <w:iCs/>
      <w:smallCaps/>
      <w:spacing w:val="15"/>
      <w:szCs w:val="24"/>
    </w:rPr>
  </w:style>
  <w:style w:type="character" w:styleId="Strong">
    <w:name w:val="Strong"/>
    <w:basedOn w:val="DefaultParagraphFont"/>
    <w:uiPriority w:val="22"/>
    <w:qFormat/>
    <w:rsid w:val="00295B5F"/>
    <w:rPr>
      <w:b/>
      <w:bCs/>
    </w:rPr>
  </w:style>
  <w:style w:type="paragraph" w:styleId="NoSpacing">
    <w:name w:val="No Spacing"/>
    <w:aliases w:val="Destacado,No Spacing1,Sem Espaçamento1"/>
    <w:basedOn w:val="Normal"/>
    <w:next w:val="Normal"/>
    <w:link w:val="NoSpacingChar"/>
    <w:uiPriority w:val="1"/>
    <w:qFormat/>
    <w:rsid w:val="00295B5F"/>
    <w:pPr>
      <w:spacing w:before="360" w:after="360" w:line="240" w:lineRule="auto"/>
    </w:pPr>
    <w:rPr>
      <w:i/>
    </w:rPr>
  </w:style>
  <w:style w:type="paragraph" w:customStyle="1" w:styleId="TableHeader">
    <w:name w:val="TableHeader"/>
    <w:basedOn w:val="Normal"/>
    <w:rsid w:val="008101A5"/>
    <w:pPr>
      <w:spacing w:before="480" w:after="120"/>
      <w:jc w:val="center"/>
    </w:pPr>
    <w:rPr>
      <w:rFonts w:eastAsia="Times New Roman" w:cs="Times New Roman"/>
      <w:b/>
      <w:sz w:val="20"/>
      <w:szCs w:val="20"/>
    </w:rPr>
  </w:style>
  <w:style w:type="paragraph" w:customStyle="1" w:styleId="Source">
    <w:name w:val="Source"/>
    <w:basedOn w:val="Normal"/>
    <w:rsid w:val="008101A5"/>
    <w:pPr>
      <w:spacing w:before="120" w:after="480"/>
    </w:pPr>
    <w:rPr>
      <w:rFonts w:eastAsia="Times New Roman" w:cs="Times New Roman"/>
      <w:sz w:val="20"/>
      <w:szCs w:val="24"/>
    </w:rPr>
  </w:style>
  <w:style w:type="table" w:customStyle="1" w:styleId="Tabla">
    <w:name w:val="Tabla"/>
    <w:basedOn w:val="TableNormal"/>
    <w:uiPriority w:val="99"/>
    <w:rsid w:val="00D81382"/>
    <w:pPr>
      <w:keepNext/>
      <w:keepLines/>
      <w:spacing w:after="0" w:line="240" w:lineRule="auto"/>
    </w:pPr>
    <w:rPr>
      <w:rFonts w:ascii="Trebuchet MS" w:hAnsi="Trebuchet MS"/>
      <w:lang w:val="en-US"/>
    </w:rPr>
    <w:tblPr>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
    <w:trPr>
      <w:cantSplit/>
      <w:jc w:val="center"/>
    </w:trPr>
    <w:tcPr>
      <w:shd w:val="clear" w:color="auto" w:fill="auto"/>
      <w:vAlign w:val="center"/>
    </w:tcPr>
    <w:tblStylePr w:type="firstRow">
      <w:rPr>
        <w:rFonts w:ascii="ff8" w:hAnsi="ff8"/>
        <w:b/>
      </w:rPr>
      <w:tblPr/>
      <w:tcPr>
        <w:tcBorders>
          <w:top w:val="single" w:sz="24" w:space="0" w:color="auto"/>
          <w:left w:val="single" w:sz="24" w:space="0" w:color="auto"/>
          <w:bottom w:val="single" w:sz="24" w:space="0" w:color="auto"/>
          <w:right w:val="single" w:sz="24" w:space="0" w:color="auto"/>
          <w:insideH w:val="nil"/>
          <w:insideV w:val="single" w:sz="2" w:space="0" w:color="auto"/>
          <w:tl2br w:val="nil"/>
          <w:tr2bl w:val="nil"/>
        </w:tcBorders>
        <w:shd w:val="pct20" w:color="auto" w:fill="FFFFFF" w:themeFill="background1"/>
      </w:tcPr>
    </w:tblStylePr>
    <w:tblStylePr w:type="lastRow">
      <w:rPr>
        <w:b/>
      </w:rPr>
      <w:tblPr/>
      <w:tcPr>
        <w:tcBorders>
          <w:top w:val="single" w:sz="4" w:space="0" w:color="auto"/>
          <w:left w:val="single" w:sz="24" w:space="0" w:color="auto"/>
          <w:bottom w:val="single" w:sz="24" w:space="0" w:color="auto"/>
          <w:right w:val="single" w:sz="24" w:space="0" w:color="auto"/>
          <w:insideH w:val="nil"/>
          <w:insideV w:val="single" w:sz="4" w:space="0" w:color="auto"/>
          <w:tl2br w:val="nil"/>
          <w:tr2bl w:val="nil"/>
        </w:tcBorders>
        <w:shd w:val="pct15" w:color="auto" w:fill="auto"/>
      </w:tcPr>
    </w:tblStylePr>
    <w:tblStylePr w:type="firstCol">
      <w:rPr>
        <w:rFonts w:ascii="ff8" w:hAnsi="ff8"/>
        <w:b/>
        <w:sz w:val="22"/>
      </w:rPr>
    </w:tblStylePr>
    <w:tblStylePr w:type="lastCol">
      <w:rPr>
        <w:rFonts w:ascii="ff8" w:hAnsi="ff8"/>
        <w:b/>
        <w:sz w:val="22"/>
      </w:rPr>
    </w:tblStylePr>
  </w:style>
  <w:style w:type="paragraph" w:customStyle="1" w:styleId="Cita2">
    <w:name w:val="Cita2"/>
    <w:basedOn w:val="Normal"/>
    <w:qFormat/>
    <w:rsid w:val="002B38BA"/>
    <w:pPr>
      <w:spacing w:before="240" w:after="240"/>
      <w:ind w:left="720"/>
    </w:pPr>
    <w:rPr>
      <w:i/>
    </w:rPr>
  </w:style>
  <w:style w:type="character" w:styleId="Emphasis">
    <w:name w:val="Emphasis"/>
    <w:qFormat/>
    <w:rsid w:val="00ED6C8C"/>
    <w:rPr>
      <w:b/>
      <w:bCs/>
      <w:smallCaps/>
      <w:dstrike w:val="0"/>
      <w:color w:val="5A5A5A" w:themeColor="text1" w:themeTint="A5"/>
      <w:spacing w:val="20"/>
      <w:kern w:val="0"/>
      <w:vertAlign w:val="baseline"/>
    </w:rPr>
  </w:style>
  <w:style w:type="paragraph" w:customStyle="1" w:styleId="Style2">
    <w:name w:val="Style2"/>
    <w:basedOn w:val="Normal"/>
    <w:autoRedefine/>
    <w:rsid w:val="00ED6C8C"/>
    <w:pPr>
      <w:keepNext/>
      <w:keepLines/>
      <w:spacing w:before="240" w:after="0"/>
      <w:jc w:val="center"/>
    </w:pPr>
    <w:rPr>
      <w:b/>
    </w:rPr>
  </w:style>
  <w:style w:type="paragraph" w:customStyle="1" w:styleId="TtuloTablaGraf">
    <w:name w:val="Título Tabla/Graf"/>
    <w:basedOn w:val="Normal"/>
    <w:autoRedefine/>
    <w:rsid w:val="00ED6C8C"/>
    <w:pPr>
      <w:keepNext/>
      <w:keepLines/>
      <w:spacing w:before="240" w:after="0"/>
      <w:jc w:val="center"/>
    </w:pPr>
    <w:rPr>
      <w:b/>
    </w:rPr>
  </w:style>
  <w:style w:type="paragraph" w:customStyle="1" w:styleId="Box">
    <w:name w:val="Box"/>
    <w:basedOn w:val="TituloGraf"/>
    <w:autoRedefine/>
    <w:rsid w:val="00ED6C8C"/>
    <w:pPr>
      <w:spacing w:before="360" w:after="120"/>
      <w:jc w:val="left"/>
    </w:pPr>
  </w:style>
  <w:style w:type="paragraph" w:styleId="Bibliography">
    <w:name w:val="Bibliography"/>
    <w:basedOn w:val="Normal"/>
    <w:next w:val="Normal"/>
    <w:autoRedefine/>
    <w:uiPriority w:val="37"/>
    <w:unhideWhenUsed/>
    <w:rsid w:val="00ED6C8C"/>
  </w:style>
  <w:style w:type="paragraph" w:styleId="Quote">
    <w:name w:val="Quote"/>
    <w:basedOn w:val="Normal"/>
    <w:next w:val="Normal"/>
    <w:link w:val="QuoteChar"/>
    <w:qFormat/>
    <w:rsid w:val="00ED6C8C"/>
    <w:rPr>
      <w:i/>
      <w:iCs/>
    </w:rPr>
  </w:style>
  <w:style w:type="character" w:customStyle="1" w:styleId="QuoteChar">
    <w:name w:val="Quote Char"/>
    <w:basedOn w:val="DefaultParagraphFont"/>
    <w:link w:val="Quote"/>
    <w:rsid w:val="00ED6C8C"/>
    <w:rPr>
      <w:rFonts w:ascii="Trebuchet MS" w:hAnsi="Trebuchet MS"/>
      <w:i/>
      <w:iCs/>
      <w:lang w:val="en-US"/>
    </w:rPr>
  </w:style>
  <w:style w:type="paragraph" w:styleId="IntenseQuote">
    <w:name w:val="Intense Quote"/>
    <w:basedOn w:val="Normal"/>
    <w:next w:val="Normal"/>
    <w:link w:val="IntenseQuoteChar"/>
    <w:qFormat/>
    <w:rsid w:val="00ED6C8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rsid w:val="00ED6C8C"/>
    <w:rPr>
      <w:rFonts w:asciiTheme="majorHAnsi" w:eastAsiaTheme="majorEastAsia" w:hAnsiTheme="majorHAnsi" w:cstheme="majorBidi"/>
      <w:smallCaps/>
      <w:color w:val="365F91" w:themeColor="accent1" w:themeShade="BF"/>
      <w:lang w:val="en-US"/>
    </w:rPr>
  </w:style>
  <w:style w:type="character" w:styleId="SubtleEmphasis">
    <w:name w:val="Subtle Emphasis"/>
    <w:qFormat/>
    <w:rsid w:val="00ED6C8C"/>
    <w:rPr>
      <w:smallCaps/>
      <w:dstrike w:val="0"/>
      <w:color w:val="5A5A5A" w:themeColor="text1" w:themeTint="A5"/>
      <w:vertAlign w:val="baseline"/>
    </w:rPr>
  </w:style>
  <w:style w:type="character" w:styleId="IntenseEmphasis">
    <w:name w:val="Intense Emphasis"/>
    <w:qFormat/>
    <w:rsid w:val="00ED6C8C"/>
    <w:rPr>
      <w:b/>
      <w:bCs/>
      <w:smallCaps/>
      <w:color w:val="4F81BD" w:themeColor="accent1"/>
      <w:spacing w:val="40"/>
    </w:rPr>
  </w:style>
  <w:style w:type="character" w:styleId="SubtleReference">
    <w:name w:val="Subtle Reference"/>
    <w:qFormat/>
    <w:rsid w:val="00ED6C8C"/>
    <w:rPr>
      <w:rFonts w:asciiTheme="majorHAnsi" w:eastAsiaTheme="majorEastAsia" w:hAnsiTheme="majorHAnsi" w:cstheme="majorBidi"/>
      <w:i/>
      <w:iCs/>
      <w:smallCaps/>
      <w:color w:val="5A5A5A" w:themeColor="text1" w:themeTint="A5"/>
      <w:spacing w:val="20"/>
    </w:rPr>
  </w:style>
  <w:style w:type="character" w:styleId="IntenseReference">
    <w:name w:val="Intense Reference"/>
    <w:qFormat/>
    <w:rsid w:val="00ED6C8C"/>
    <w:rPr>
      <w:rFonts w:asciiTheme="majorHAnsi" w:eastAsiaTheme="majorEastAsia" w:hAnsiTheme="majorHAnsi" w:cstheme="majorBidi"/>
      <w:b/>
      <w:bCs/>
      <w:i/>
      <w:iCs/>
      <w:smallCaps/>
      <w:color w:val="17365D" w:themeColor="text2" w:themeShade="BF"/>
      <w:spacing w:val="20"/>
    </w:rPr>
  </w:style>
  <w:style w:type="character" w:styleId="BookTitle">
    <w:name w:val="Book Title"/>
    <w:qFormat/>
    <w:rsid w:val="00ED6C8C"/>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unhideWhenUsed/>
    <w:qFormat/>
    <w:rsid w:val="00ED6C8C"/>
    <w:pPr>
      <w:tabs>
        <w:tab w:val="num" w:pos="1068"/>
      </w:tabs>
      <w:ind w:left="1068" w:hanging="360"/>
      <w:outlineLvl w:val="9"/>
    </w:pPr>
    <w:rPr>
      <w:lang w:bidi="en-US"/>
    </w:rPr>
  </w:style>
  <w:style w:type="character" w:customStyle="1" w:styleId="NoSpacingChar">
    <w:name w:val="No Spacing Char"/>
    <w:aliases w:val="Destacado Char,No Spacing1 Char,Sem Espaçamento1 Char"/>
    <w:basedOn w:val="DefaultParagraphFont"/>
    <w:link w:val="NoSpacing"/>
    <w:uiPriority w:val="1"/>
    <w:rsid w:val="00ED6C8C"/>
    <w:rPr>
      <w:rFonts w:ascii="Trebuchet MS" w:hAnsi="Trebuchet MS"/>
      <w:i/>
    </w:rPr>
  </w:style>
  <w:style w:type="paragraph" w:customStyle="1" w:styleId="AnexoTit3">
    <w:name w:val="Anexo Tit 3"/>
    <w:basedOn w:val="Heading3"/>
    <w:link w:val="AnexoTit3Char"/>
    <w:qFormat/>
    <w:rsid w:val="00ED6C8C"/>
    <w:pPr>
      <w:ind w:hanging="360"/>
    </w:pPr>
  </w:style>
  <w:style w:type="character" w:customStyle="1" w:styleId="AnexoTit3Char">
    <w:name w:val="Anexo Tit 3 Char"/>
    <w:basedOn w:val="Heading3Char"/>
    <w:link w:val="AnexoTit3"/>
    <w:rsid w:val="00ED6C8C"/>
    <w:rPr>
      <w:rFonts w:ascii="Trebuchet MS" w:eastAsiaTheme="majorEastAsia" w:hAnsi="Trebuchet MS" w:cstheme="majorBidi"/>
      <w:b/>
      <w:bCs/>
      <w:smallCaps/>
      <w:lang w:val="en-US"/>
    </w:rPr>
  </w:style>
  <w:style w:type="paragraph" w:customStyle="1" w:styleId="Default">
    <w:name w:val="Default"/>
    <w:rsid w:val="00ED6C8C"/>
    <w:pPr>
      <w:autoSpaceDE w:val="0"/>
      <w:autoSpaceDN w:val="0"/>
      <w:adjustRightInd w:val="0"/>
      <w:spacing w:after="0" w:line="240" w:lineRule="auto"/>
    </w:pPr>
    <w:rPr>
      <w:rFonts w:ascii="Calibri" w:hAnsi="Calibri" w:cs="Calibri"/>
      <w:color w:val="000000"/>
      <w:sz w:val="24"/>
      <w:szCs w:val="24"/>
      <w:lang w:val="en-US"/>
    </w:rPr>
  </w:style>
  <w:style w:type="paragraph" w:customStyle="1" w:styleId="Tapa">
    <w:name w:val="Tapa"/>
    <w:rsid w:val="00ED6C8C"/>
    <w:pPr>
      <w:spacing w:after="0" w:line="288" w:lineRule="auto"/>
      <w:jc w:val="center"/>
    </w:pPr>
    <w:rPr>
      <w:rFonts w:ascii="Arial" w:eastAsia="Times New Roman" w:hAnsi="Arial" w:cs="Times New Roman"/>
      <w:b/>
      <w:caps/>
      <w:sz w:val="32"/>
      <w:szCs w:val="20"/>
      <w:lang w:val="es-ES" w:eastAsia="es-ES"/>
    </w:rPr>
  </w:style>
  <w:style w:type="paragraph" w:styleId="NormalWeb">
    <w:name w:val="Normal (Web)"/>
    <w:basedOn w:val="Normal"/>
    <w:uiPriority w:val="99"/>
    <w:unhideWhenUsed/>
    <w:rsid w:val="00ED6C8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rrafodelista1">
    <w:name w:val="Párrafo de lista1"/>
    <w:basedOn w:val="Normal"/>
    <w:qFormat/>
    <w:rsid w:val="00ED6C8C"/>
    <w:pPr>
      <w:ind w:left="720"/>
      <w:contextualSpacing/>
    </w:pPr>
    <w:rPr>
      <w:rFonts w:ascii="Calibri" w:eastAsia="Calibri" w:hAnsi="Calibri" w:cs="Times New Roman"/>
      <w:lang w:val="es-ES"/>
    </w:rPr>
  </w:style>
  <w:style w:type="paragraph" w:styleId="BodyText2">
    <w:name w:val="Body Text 2"/>
    <w:basedOn w:val="Normal"/>
    <w:link w:val="BodyText2Char"/>
    <w:uiPriority w:val="99"/>
    <w:rsid w:val="00ED6C8C"/>
    <w:pPr>
      <w:tabs>
        <w:tab w:val="left" w:pos="1843"/>
      </w:tabs>
      <w:spacing w:after="0" w:line="240" w:lineRule="auto"/>
    </w:pPr>
    <w:rPr>
      <w:rFonts w:ascii="Times New Roman" w:eastAsia="Times New Roman" w:hAnsi="Times New Roman" w:cs="Times New Roman"/>
      <w:b/>
      <w:bCs/>
      <w:sz w:val="24"/>
      <w:szCs w:val="24"/>
      <w:lang w:val="es-ES" w:eastAsia="es-ES"/>
    </w:rPr>
  </w:style>
  <w:style w:type="character" w:customStyle="1" w:styleId="BodyText2Char">
    <w:name w:val="Body Text 2 Char"/>
    <w:basedOn w:val="DefaultParagraphFont"/>
    <w:link w:val="BodyText2"/>
    <w:uiPriority w:val="99"/>
    <w:rsid w:val="00ED6C8C"/>
    <w:rPr>
      <w:rFonts w:ascii="Times New Roman" w:eastAsia="Times New Roman" w:hAnsi="Times New Roman" w:cs="Times New Roman"/>
      <w:b/>
      <w:bCs/>
      <w:sz w:val="24"/>
      <w:szCs w:val="24"/>
      <w:lang w:val="es-ES" w:eastAsia="es-ES"/>
    </w:rPr>
  </w:style>
  <w:style w:type="character" w:customStyle="1" w:styleId="apple-style-span">
    <w:name w:val="apple-style-span"/>
    <w:basedOn w:val="DefaultParagraphFont"/>
    <w:rsid w:val="00ED6C8C"/>
  </w:style>
  <w:style w:type="paragraph" w:styleId="BodyTextIndent2">
    <w:name w:val="Body Text Indent 2"/>
    <w:basedOn w:val="Normal"/>
    <w:link w:val="BodyTextIndent2Char"/>
    <w:unhideWhenUsed/>
    <w:rsid w:val="00ED6C8C"/>
    <w:pPr>
      <w:spacing w:after="120" w:line="480" w:lineRule="auto"/>
      <w:ind w:left="360"/>
    </w:pPr>
  </w:style>
  <w:style w:type="character" w:customStyle="1" w:styleId="BodyTextIndent2Char">
    <w:name w:val="Body Text Indent 2 Char"/>
    <w:basedOn w:val="DefaultParagraphFont"/>
    <w:link w:val="BodyTextIndent2"/>
    <w:rsid w:val="00ED6C8C"/>
    <w:rPr>
      <w:rFonts w:ascii="Trebuchet MS" w:hAnsi="Trebuchet MS"/>
      <w:lang w:val="en-US"/>
    </w:rPr>
  </w:style>
  <w:style w:type="table" w:styleId="TableGrid">
    <w:name w:val="Table Grid"/>
    <w:basedOn w:val="TableNormal"/>
    <w:uiPriority w:val="39"/>
    <w:rsid w:val="00330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022D1E"/>
    <w:rPr>
      <w:color w:val="800080" w:themeColor="followedHyperlink"/>
      <w:u w:val="single"/>
    </w:rPr>
  </w:style>
  <w:style w:type="character" w:customStyle="1" w:styleId="Heading5Char1">
    <w:name w:val="Heading 5 Char1"/>
    <w:aliases w:val="Indice Ref Char1"/>
    <w:basedOn w:val="DefaultParagraphFont"/>
    <w:uiPriority w:val="9"/>
    <w:semiHidden/>
    <w:rsid w:val="00703C16"/>
    <w:rPr>
      <w:rFonts w:asciiTheme="majorHAnsi" w:eastAsiaTheme="majorEastAsia" w:hAnsiTheme="majorHAnsi" w:cstheme="majorBidi"/>
      <w:color w:val="243F60" w:themeColor="accent1" w:themeShade="7F"/>
      <w:sz w:val="22"/>
      <w:szCs w:val="22"/>
    </w:rPr>
  </w:style>
  <w:style w:type="character" w:customStyle="1" w:styleId="SubtitleChar1">
    <w:name w:val="Subtitle Char1"/>
    <w:aliases w:val="Anexos Niv1 Char1"/>
    <w:basedOn w:val="DefaultParagraphFont"/>
    <w:uiPriority w:val="11"/>
    <w:rsid w:val="00703C16"/>
    <w:rPr>
      <w:rFonts w:asciiTheme="majorHAnsi" w:eastAsiaTheme="majorEastAsia" w:hAnsiTheme="majorHAnsi" w:cstheme="majorBidi"/>
      <w:i/>
      <w:iCs/>
      <w:color w:val="4F81BD" w:themeColor="accent1"/>
      <w:spacing w:val="15"/>
      <w:sz w:val="24"/>
      <w:szCs w:val="24"/>
    </w:rPr>
  </w:style>
  <w:style w:type="paragraph" w:customStyle="1" w:styleId="Cita3">
    <w:name w:val="Cita3"/>
    <w:basedOn w:val="Normal"/>
    <w:qFormat/>
    <w:rsid w:val="00703C16"/>
    <w:pPr>
      <w:spacing w:before="240" w:after="240"/>
      <w:ind w:left="720"/>
    </w:pPr>
    <w:rPr>
      <w:i/>
    </w:rPr>
  </w:style>
  <w:style w:type="paragraph" w:customStyle="1" w:styleId="Prrafodelista2">
    <w:name w:val="Párrafo de lista2"/>
    <w:basedOn w:val="Normal"/>
    <w:qFormat/>
    <w:rsid w:val="00703C16"/>
    <w:pPr>
      <w:ind w:left="720"/>
      <w:contextualSpacing/>
    </w:pPr>
    <w:rPr>
      <w:rFonts w:ascii="Calibri" w:eastAsia="Calibri" w:hAnsi="Calibri" w:cs="Times New Roman"/>
      <w:lang w:val="es-ES"/>
    </w:rPr>
  </w:style>
  <w:style w:type="character" w:customStyle="1" w:styleId="apple-converted-space">
    <w:name w:val="apple-converted-space"/>
    <w:basedOn w:val="DefaultParagraphFont"/>
    <w:rsid w:val="00703C16"/>
  </w:style>
  <w:style w:type="character" w:customStyle="1" w:styleId="hps">
    <w:name w:val="hps"/>
    <w:basedOn w:val="DefaultParagraphFont"/>
    <w:rsid w:val="00703C16"/>
  </w:style>
  <w:style w:type="character" w:customStyle="1" w:styleId="longtext">
    <w:name w:val="long_text"/>
    <w:basedOn w:val="DefaultParagraphFont"/>
    <w:rsid w:val="00703C16"/>
  </w:style>
  <w:style w:type="paragraph" w:customStyle="1" w:styleId="vietas1">
    <w:name w:val="viñetas1"/>
    <w:basedOn w:val="BodyText"/>
    <w:rsid w:val="00345F64"/>
    <w:pPr>
      <w:numPr>
        <w:numId w:val="4"/>
      </w:numPr>
      <w:tabs>
        <w:tab w:val="clear" w:pos="720"/>
      </w:tabs>
      <w:spacing w:line="240" w:lineRule="auto"/>
      <w:ind w:left="432" w:hanging="432"/>
    </w:pPr>
    <w:rPr>
      <w:rFonts w:ascii="Book Antiqua" w:eastAsia="Times New Roman" w:hAnsi="Book Antiqua" w:cs="Times New Roman"/>
      <w:i/>
      <w:iCs/>
      <w:szCs w:val="24"/>
      <w:lang w:eastAsia="es-ES"/>
    </w:rPr>
  </w:style>
  <w:style w:type="paragraph" w:styleId="BodyText">
    <w:name w:val="Body Text"/>
    <w:basedOn w:val="Normal"/>
    <w:link w:val="BodyTextChar"/>
    <w:unhideWhenUsed/>
    <w:rsid w:val="00345F64"/>
    <w:pPr>
      <w:spacing w:after="120"/>
    </w:pPr>
  </w:style>
  <w:style w:type="character" w:customStyle="1" w:styleId="BodyTextChar">
    <w:name w:val="Body Text Char"/>
    <w:basedOn w:val="DefaultParagraphFont"/>
    <w:link w:val="BodyText"/>
    <w:rsid w:val="00345F64"/>
    <w:rPr>
      <w:rFonts w:ascii="Trebuchet MS" w:hAnsi="Trebuchet MS"/>
    </w:rPr>
  </w:style>
  <w:style w:type="paragraph" w:customStyle="1" w:styleId="Tabla2">
    <w:name w:val="Tabla 2"/>
    <w:next w:val="Normal"/>
    <w:autoRedefine/>
    <w:rsid w:val="00345F64"/>
    <w:pPr>
      <w:spacing w:after="0" w:line="240" w:lineRule="auto"/>
    </w:pPr>
    <w:rPr>
      <w:rFonts w:ascii="Times New Roman" w:eastAsia="Times New Roman" w:hAnsi="Times New Roman" w:cs="Times New Roman"/>
      <w:snapToGrid w:val="0"/>
      <w:sz w:val="18"/>
      <w:szCs w:val="20"/>
      <w:lang w:eastAsia="es-ES"/>
    </w:rPr>
  </w:style>
  <w:style w:type="paragraph" w:customStyle="1" w:styleId="Fuentes">
    <w:name w:val="Fuentes"/>
    <w:basedOn w:val="Normal"/>
    <w:next w:val="Normal"/>
    <w:autoRedefine/>
    <w:rsid w:val="00F53A5E"/>
    <w:pPr>
      <w:spacing w:before="120" w:after="240" w:line="240" w:lineRule="auto"/>
      <w:ind w:firstLine="374"/>
    </w:pPr>
    <w:rPr>
      <w:rFonts w:ascii="Book Antiqua" w:eastAsia="Times New Roman" w:hAnsi="Book Antiqua" w:cs="Times New Roman"/>
      <w:i/>
      <w:snapToGrid w:val="0"/>
      <w:sz w:val="20"/>
      <w:szCs w:val="24"/>
      <w:lang w:eastAsia="es-ES"/>
    </w:rPr>
  </w:style>
  <w:style w:type="paragraph" w:customStyle="1" w:styleId="tabla1">
    <w:name w:val="tabla1"/>
    <w:basedOn w:val="NormalWeb"/>
    <w:rsid w:val="008D349F"/>
    <w:pPr>
      <w:spacing w:before="0" w:beforeAutospacing="0" w:after="0" w:afterAutospacing="0"/>
      <w:ind w:firstLine="567"/>
      <w:jc w:val="both"/>
    </w:pPr>
    <w:rPr>
      <w:sz w:val="18"/>
      <w:lang w:val="es-AR" w:eastAsia="es-ES"/>
    </w:rPr>
  </w:style>
  <w:style w:type="paragraph" w:customStyle="1" w:styleId="Nortxt">
    <w:name w:val="Nor_txt"/>
    <w:basedOn w:val="BodyText"/>
    <w:rsid w:val="00905EFE"/>
    <w:pPr>
      <w:spacing w:after="100" w:line="264" w:lineRule="auto"/>
      <w:ind w:firstLine="709"/>
    </w:pPr>
    <w:rPr>
      <w:rFonts w:ascii="Book Antiqua" w:eastAsia="Calibri" w:hAnsi="Book Antiqua" w:cs="Times New Roman"/>
      <w:sz w:val="24"/>
      <w:szCs w:val="24"/>
      <w:lang w:val="es-ES" w:eastAsia="es-ES"/>
    </w:rPr>
  </w:style>
  <w:style w:type="paragraph" w:styleId="Revision">
    <w:name w:val="Revision"/>
    <w:hidden/>
    <w:uiPriority w:val="99"/>
    <w:semiHidden/>
    <w:rsid w:val="00905EFE"/>
    <w:pPr>
      <w:spacing w:after="0" w:line="240" w:lineRule="auto"/>
    </w:pPr>
    <w:rPr>
      <w:rFonts w:ascii="Trebuchet MS" w:eastAsia="Times New Roman" w:hAnsi="Trebuchet MS" w:cs="Times New Roman"/>
    </w:rPr>
  </w:style>
  <w:style w:type="numbering" w:styleId="111111">
    <w:name w:val="Outline List 2"/>
    <w:aliases w:val="/ 1.1 / 1.1.1"/>
    <w:basedOn w:val="NoList"/>
    <w:rsid w:val="00905EFE"/>
    <w:pPr>
      <w:numPr>
        <w:numId w:val="5"/>
      </w:numPr>
    </w:pPr>
  </w:style>
  <w:style w:type="character" w:customStyle="1" w:styleId="shorttext">
    <w:name w:val="short_text"/>
    <w:basedOn w:val="DefaultParagraphFont"/>
    <w:rsid w:val="00905EFE"/>
  </w:style>
  <w:style w:type="paragraph" w:customStyle="1" w:styleId="MarcadorSmboloNvel1">
    <w:name w:val="Marcador Símbolo Nível 1"/>
    <w:basedOn w:val="Normal"/>
    <w:uiPriority w:val="99"/>
    <w:rsid w:val="00581B88"/>
    <w:pPr>
      <w:numPr>
        <w:numId w:val="6"/>
      </w:numPr>
      <w:spacing w:after="0"/>
      <w:jc w:val="left"/>
    </w:pPr>
    <w:rPr>
      <w:rFonts w:ascii="Arial" w:eastAsia="Times New Roman" w:hAnsi="Arial" w:cs="Gautami"/>
      <w:lang w:val="pt-BR" w:eastAsia="pt-BR"/>
    </w:rPr>
  </w:style>
  <w:style w:type="paragraph" w:customStyle="1" w:styleId="Pargrafo">
    <w:name w:val="Parágrafo"/>
    <w:basedOn w:val="Normal"/>
    <w:link w:val="PargrafoChar"/>
    <w:uiPriority w:val="99"/>
    <w:rsid w:val="00581B88"/>
    <w:pPr>
      <w:spacing w:after="0"/>
      <w:jc w:val="left"/>
    </w:pPr>
    <w:rPr>
      <w:rFonts w:ascii="Arial" w:eastAsia="Times New Roman" w:hAnsi="Arial" w:cs="Times New Roman"/>
      <w:szCs w:val="24"/>
      <w:lang w:val="pt-BR" w:eastAsia="pt-BR"/>
    </w:rPr>
  </w:style>
  <w:style w:type="paragraph" w:customStyle="1" w:styleId="TTULOPARAETAPAS">
    <w:name w:val="TÍTULO PARA ETAPAS"/>
    <w:basedOn w:val="Normal"/>
    <w:uiPriority w:val="99"/>
    <w:rsid w:val="00581B88"/>
    <w:pPr>
      <w:spacing w:after="0"/>
      <w:jc w:val="left"/>
    </w:pPr>
    <w:rPr>
      <w:rFonts w:ascii="Arial" w:eastAsia="Times New Roman" w:hAnsi="Arial" w:cs="Times New Roman"/>
      <w:b/>
      <w:bCs/>
      <w:caps/>
      <w:color w:val="003366"/>
      <w:szCs w:val="20"/>
      <w:lang w:val="pt-BR" w:eastAsia="pt-BR"/>
    </w:rPr>
  </w:style>
  <w:style w:type="character" w:customStyle="1" w:styleId="PargrafoChar">
    <w:name w:val="Parágrafo Char"/>
    <w:basedOn w:val="DefaultParagraphFont"/>
    <w:link w:val="Pargrafo"/>
    <w:uiPriority w:val="99"/>
    <w:locked/>
    <w:rsid w:val="00581B88"/>
    <w:rPr>
      <w:rFonts w:ascii="Arial" w:eastAsia="Times New Roman" w:hAnsi="Arial" w:cs="Times New Roman"/>
      <w:szCs w:val="24"/>
      <w:lang w:val="pt-BR" w:eastAsia="pt-BR"/>
    </w:rPr>
  </w:style>
  <w:style w:type="table" w:customStyle="1" w:styleId="LightShading-Accent11">
    <w:name w:val="Light Shading - Accent 11"/>
    <w:basedOn w:val="TableNormal"/>
    <w:uiPriority w:val="99"/>
    <w:rsid w:val="00581B88"/>
    <w:pPr>
      <w:spacing w:after="0" w:line="240" w:lineRule="auto"/>
    </w:pPr>
    <w:rPr>
      <w:rFonts w:ascii="Calibri" w:eastAsia="Calibri" w:hAnsi="Calibri" w:cs="Times New Roman"/>
      <w:color w:val="365F91"/>
      <w:sz w:val="20"/>
      <w:szCs w:val="20"/>
      <w:lang w:val="pt-BR" w:eastAsia="pt-BR"/>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Accent5">
    <w:name w:val="Light List Accent 5"/>
    <w:basedOn w:val="TableNormal"/>
    <w:uiPriority w:val="99"/>
    <w:rsid w:val="00581B88"/>
    <w:pPr>
      <w:spacing w:after="0" w:line="240" w:lineRule="auto"/>
    </w:pPr>
    <w:rPr>
      <w:rFonts w:ascii="Calibri" w:eastAsia="Calibri" w:hAnsi="Calibri" w:cs="Times New Roman"/>
      <w:sz w:val="20"/>
      <w:szCs w:val="20"/>
      <w:lang w:val="pt-BR" w:eastAsia="pt-B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p6">
    <w:name w:val="p6"/>
    <w:basedOn w:val="Normal"/>
    <w:uiPriority w:val="99"/>
    <w:rsid w:val="00581B88"/>
    <w:pPr>
      <w:spacing w:before="240" w:after="240" w:line="240" w:lineRule="auto"/>
      <w:ind w:firstLine="567"/>
      <w:jc w:val="center"/>
    </w:pPr>
    <w:rPr>
      <w:rFonts w:ascii="Arial" w:eastAsia="Times New Roman" w:hAnsi="Arial" w:cs="Arial"/>
      <w:b/>
      <w:bCs/>
      <w:sz w:val="20"/>
      <w:szCs w:val="20"/>
      <w:lang w:val="pt-BR" w:eastAsia="pt-BR"/>
    </w:rPr>
  </w:style>
  <w:style w:type="character" w:styleId="HTMLCite">
    <w:name w:val="HTML Cite"/>
    <w:basedOn w:val="DefaultParagraphFont"/>
    <w:uiPriority w:val="99"/>
    <w:semiHidden/>
    <w:rsid w:val="00581B88"/>
    <w:rPr>
      <w:rFonts w:cs="Times New Roman"/>
      <w:color w:val="009933"/>
    </w:rPr>
  </w:style>
  <w:style w:type="character" w:customStyle="1" w:styleId="atn">
    <w:name w:val="atn"/>
    <w:basedOn w:val="DefaultParagraphFont"/>
    <w:rsid w:val="00B33B9D"/>
  </w:style>
  <w:style w:type="table" w:styleId="LightList">
    <w:name w:val="Light List"/>
    <w:basedOn w:val="TableNormal"/>
    <w:uiPriority w:val="61"/>
    <w:rsid w:val="006022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6022B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ff81">
    <w:name w:val="ff81"/>
    <w:rsid w:val="00962218"/>
    <w:rPr>
      <w:rFonts w:ascii="ff8" w:hAnsi="ff8" w:hint="default"/>
    </w:rPr>
  </w:style>
  <w:style w:type="character" w:customStyle="1" w:styleId="ff121">
    <w:name w:val="ff121"/>
    <w:rsid w:val="00962218"/>
    <w:rPr>
      <w:rFonts w:ascii="ff12" w:hAnsi="ff12" w:hint="default"/>
    </w:rPr>
  </w:style>
  <w:style w:type="character" w:customStyle="1" w:styleId="nw1">
    <w:name w:val="nw1"/>
    <w:basedOn w:val="DefaultParagraphFont"/>
    <w:rsid w:val="00962218"/>
  </w:style>
  <w:style w:type="paragraph" w:customStyle="1" w:styleId="Cita30">
    <w:name w:val="Cita3"/>
    <w:basedOn w:val="Normal"/>
    <w:uiPriority w:val="99"/>
    <w:qFormat/>
    <w:rsid w:val="00924266"/>
    <w:pPr>
      <w:spacing w:before="240" w:after="240"/>
      <w:ind w:left="720"/>
    </w:pPr>
    <w:rPr>
      <w:i/>
    </w:rPr>
  </w:style>
  <w:style w:type="paragraph" w:customStyle="1" w:styleId="Prrafodelista20">
    <w:name w:val="Párrafo de lista2"/>
    <w:basedOn w:val="Normal"/>
    <w:uiPriority w:val="99"/>
    <w:qFormat/>
    <w:rsid w:val="00924266"/>
    <w:pPr>
      <w:ind w:left="720"/>
      <w:contextualSpacing/>
    </w:pPr>
    <w:rPr>
      <w:rFonts w:ascii="Calibri" w:eastAsia="Calibri" w:hAnsi="Calibri" w:cs="Times New Roman"/>
      <w:lang w:val="es-ES"/>
    </w:rPr>
  </w:style>
  <w:style w:type="paragraph" w:customStyle="1" w:styleId="texto1">
    <w:name w:val="texto1"/>
    <w:basedOn w:val="Normal"/>
    <w:rsid w:val="001558C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
    <w:name w:val="Tabela"/>
    <w:basedOn w:val="BodyText"/>
    <w:link w:val="TabelaChar"/>
    <w:rsid w:val="001A152F"/>
    <w:pPr>
      <w:keepLines/>
      <w:tabs>
        <w:tab w:val="left" w:pos="3969"/>
      </w:tabs>
      <w:spacing w:before="60" w:after="60" w:line="240" w:lineRule="auto"/>
      <w:jc w:val="center"/>
    </w:pPr>
    <w:rPr>
      <w:rFonts w:ascii="Tahoma" w:eastAsia="Times New Roman" w:hAnsi="Tahoma" w:cs="Tahoma"/>
      <w:noProof/>
      <w:sz w:val="16"/>
      <w:szCs w:val="16"/>
      <w:lang w:val="pt-PT" w:eastAsia="pt-BR"/>
    </w:rPr>
  </w:style>
  <w:style w:type="character" w:customStyle="1" w:styleId="TabelaChar">
    <w:name w:val="Tabela Char"/>
    <w:link w:val="Tabela"/>
    <w:locked/>
    <w:rsid w:val="001A152F"/>
    <w:rPr>
      <w:rFonts w:ascii="Tahoma" w:eastAsia="Times New Roman" w:hAnsi="Tahoma" w:cs="Tahoma"/>
      <w:noProof/>
      <w:sz w:val="16"/>
      <w:szCs w:val="16"/>
      <w:lang w:val="pt-PT" w:eastAsia="pt-BR"/>
    </w:rPr>
  </w:style>
  <w:style w:type="paragraph" w:customStyle="1" w:styleId="Atitfigura">
    <w:name w:val="A tit figura"/>
    <w:link w:val="AtitfiguraChar"/>
    <w:rsid w:val="001A152F"/>
    <w:pPr>
      <w:spacing w:before="360" w:line="260" w:lineRule="exact"/>
      <w:jc w:val="center"/>
    </w:pPr>
    <w:rPr>
      <w:rFonts w:ascii="Verdana" w:eastAsia="MS Mincho" w:hAnsi="Verdana" w:cs="Arial"/>
      <w:b/>
      <w:sz w:val="20"/>
      <w:szCs w:val="20"/>
      <w:lang w:val="pt-BR" w:eastAsia="ja-JP"/>
    </w:rPr>
  </w:style>
  <w:style w:type="character" w:customStyle="1" w:styleId="AtitfiguraChar">
    <w:name w:val="A tit figura Char"/>
    <w:link w:val="Atitfigura"/>
    <w:rsid w:val="001A152F"/>
    <w:rPr>
      <w:rFonts w:ascii="Verdana" w:eastAsia="MS Mincho" w:hAnsi="Verdana" w:cs="Arial"/>
      <w:b/>
      <w:sz w:val="20"/>
      <w:szCs w:val="20"/>
      <w:lang w:val="pt-BR" w:eastAsia="ja-JP"/>
    </w:rPr>
  </w:style>
  <w:style w:type="paragraph" w:customStyle="1" w:styleId="Estilo1">
    <w:name w:val="Estilo1"/>
    <w:basedOn w:val="ListContinue"/>
    <w:rsid w:val="001A152F"/>
    <w:pPr>
      <w:tabs>
        <w:tab w:val="num" w:pos="612"/>
      </w:tabs>
      <w:spacing w:before="360" w:line="240" w:lineRule="auto"/>
      <w:ind w:left="612" w:hanging="432"/>
      <w:contextualSpacing w:val="0"/>
      <w:jc w:val="left"/>
    </w:pPr>
    <w:rPr>
      <w:rFonts w:ascii="Arial" w:eastAsia="Times New Roman" w:hAnsi="Arial" w:cs="Arial"/>
      <w:b/>
      <w:sz w:val="24"/>
      <w:szCs w:val="24"/>
      <w:lang w:val="pt-BR" w:eastAsia="pt-BR"/>
    </w:rPr>
  </w:style>
  <w:style w:type="paragraph" w:styleId="ListContinue">
    <w:name w:val="List Continue"/>
    <w:basedOn w:val="Normal"/>
    <w:uiPriority w:val="99"/>
    <w:semiHidden/>
    <w:unhideWhenUsed/>
    <w:rsid w:val="001A152F"/>
    <w:pPr>
      <w:spacing w:after="120"/>
      <w:ind w:left="283"/>
      <w:contextualSpacing/>
    </w:pPr>
  </w:style>
  <w:style w:type="paragraph" w:customStyle="1" w:styleId="Fonte">
    <w:name w:val="Fonte"/>
    <w:basedOn w:val="BodyText"/>
    <w:rsid w:val="001A152F"/>
    <w:pPr>
      <w:overflowPunct w:val="0"/>
      <w:autoSpaceDE w:val="0"/>
      <w:autoSpaceDN w:val="0"/>
      <w:adjustRightInd w:val="0"/>
      <w:spacing w:before="80" w:after="80" w:line="240" w:lineRule="auto"/>
      <w:jc w:val="left"/>
      <w:textAlignment w:val="baseline"/>
    </w:pPr>
    <w:rPr>
      <w:rFonts w:ascii="Tahoma" w:eastAsia="Times New Roman" w:hAnsi="Tahoma" w:cs="Tahoma"/>
      <w:i/>
      <w:iCs/>
      <w:sz w:val="16"/>
      <w:szCs w:val="16"/>
      <w:lang w:eastAsia="pt-BR"/>
    </w:rPr>
  </w:style>
  <w:style w:type="paragraph" w:customStyle="1" w:styleId="referencia">
    <w:name w:val="referencia"/>
    <w:basedOn w:val="Normal"/>
    <w:next w:val="Normal"/>
    <w:rsid w:val="00055F14"/>
    <w:pPr>
      <w:spacing w:after="120" w:line="240" w:lineRule="auto"/>
      <w:ind w:left="567" w:hanging="567"/>
    </w:pPr>
    <w:rPr>
      <w:rFonts w:ascii="Times New Roman" w:eastAsia="Times New Roman" w:hAnsi="Times New Roman" w:cs="Times New Roman"/>
      <w:szCs w:val="24"/>
      <w:lang w:val="es-ES" w:eastAsia="es-ES"/>
    </w:rPr>
  </w:style>
  <w:style w:type="paragraph" w:customStyle="1" w:styleId="Fuentes1">
    <w:name w:val="Fuentes1"/>
    <w:basedOn w:val="Fuentes"/>
    <w:rsid w:val="00BB44FD"/>
    <w:pPr>
      <w:spacing w:before="60" w:after="160"/>
      <w:ind w:firstLine="11"/>
      <w:jc w:val="left"/>
    </w:pPr>
  </w:style>
  <w:style w:type="character" w:customStyle="1" w:styleId="FootnoteTextChar1">
    <w:name w:val="Footnote Text Char1"/>
    <w:aliases w:val="Footnote Text Char Char"/>
    <w:basedOn w:val="DefaultParagraphFont"/>
    <w:semiHidden/>
    <w:rsid w:val="00840100"/>
    <w:rPr>
      <w:sz w:val="20"/>
      <w:szCs w:val="20"/>
    </w:rPr>
  </w:style>
  <w:style w:type="paragraph" w:customStyle="1" w:styleId="StataStyle">
    <w:name w:val="Stata Style"/>
    <w:basedOn w:val="Normal"/>
    <w:link w:val="StataStyleChar"/>
    <w:qFormat/>
    <w:rsid w:val="00167ACC"/>
    <w:pPr>
      <w:keepNext/>
      <w:keepLines/>
      <w:pBdr>
        <w:top w:val="single" w:sz="4" w:space="1" w:color="auto"/>
        <w:left w:val="single" w:sz="4" w:space="4" w:color="auto"/>
        <w:bottom w:val="single" w:sz="4" w:space="1" w:color="auto"/>
        <w:right w:val="single" w:sz="4" w:space="4" w:color="auto"/>
      </w:pBdr>
      <w:spacing w:after="0" w:line="240" w:lineRule="auto"/>
    </w:pPr>
    <w:rPr>
      <w:rFonts w:ascii="Courier New" w:hAnsi="Courier New" w:cs="Courier New"/>
      <w:sz w:val="12"/>
    </w:rPr>
  </w:style>
  <w:style w:type="character" w:customStyle="1" w:styleId="StataStyleChar">
    <w:name w:val="Stata Style Char"/>
    <w:basedOn w:val="DefaultParagraphFont"/>
    <w:link w:val="StataStyle"/>
    <w:rsid w:val="00167ACC"/>
    <w:rPr>
      <w:rFonts w:ascii="Courier New" w:hAnsi="Courier New" w:cs="Courier New"/>
      <w:sz w:val="12"/>
      <w:lang w:val="en-US"/>
    </w:rPr>
  </w:style>
  <w:style w:type="paragraph" w:styleId="EndnoteText">
    <w:name w:val="endnote text"/>
    <w:basedOn w:val="Normal"/>
    <w:link w:val="EndnoteTextChar"/>
    <w:uiPriority w:val="99"/>
    <w:semiHidden/>
    <w:unhideWhenUsed/>
    <w:rsid w:val="00167A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7ACC"/>
    <w:rPr>
      <w:rFonts w:ascii="Trebuchet MS" w:hAnsi="Trebuchet MS"/>
      <w:sz w:val="20"/>
      <w:szCs w:val="20"/>
    </w:rPr>
  </w:style>
  <w:style w:type="character" w:styleId="EndnoteReference">
    <w:name w:val="endnote reference"/>
    <w:basedOn w:val="DefaultParagraphFont"/>
    <w:uiPriority w:val="99"/>
    <w:semiHidden/>
    <w:unhideWhenUsed/>
    <w:rsid w:val="00167ACC"/>
    <w:rPr>
      <w:vertAlign w:val="superscript"/>
    </w:rPr>
  </w:style>
  <w:style w:type="character" w:customStyle="1" w:styleId="mediumtext">
    <w:name w:val="medium_text"/>
    <w:basedOn w:val="DefaultParagraphFont"/>
    <w:rsid w:val="00167ACC"/>
  </w:style>
  <w:style w:type="character" w:customStyle="1" w:styleId="longtext1">
    <w:name w:val="long_text1"/>
    <w:rsid w:val="00167ACC"/>
    <w:rPr>
      <w:sz w:val="20"/>
      <w:szCs w:val="20"/>
    </w:rPr>
  </w:style>
  <w:style w:type="paragraph" w:styleId="EnvelopeReturn">
    <w:name w:val="envelope return"/>
    <w:basedOn w:val="Normal"/>
    <w:rsid w:val="00167ACC"/>
    <w:pPr>
      <w:spacing w:after="0" w:line="240" w:lineRule="auto"/>
      <w:jc w:val="left"/>
    </w:pPr>
    <w:rPr>
      <w:rFonts w:ascii="Lucida Blackletter" w:eastAsia="Times New Roman" w:hAnsi="Lucida Blackletter" w:cs="Times New Roman"/>
      <w:b/>
      <w:sz w:val="28"/>
      <w:szCs w:val="20"/>
      <w:lang w:val="es-ES_tradnl" w:eastAsia="es-ES"/>
    </w:rPr>
  </w:style>
  <w:style w:type="paragraph" w:customStyle="1" w:styleId="Logro">
    <w:name w:val="Logro"/>
    <w:basedOn w:val="BodyText"/>
    <w:rsid w:val="00167ACC"/>
    <w:pPr>
      <w:numPr>
        <w:numId w:val="8"/>
      </w:numPr>
      <w:suppressAutoHyphens/>
      <w:spacing w:after="60" w:line="240" w:lineRule="atLeast"/>
    </w:pPr>
    <w:rPr>
      <w:rFonts w:ascii="Garamond" w:eastAsia="Batang" w:hAnsi="Garamond" w:cs="Times New Roman"/>
      <w:szCs w:val="20"/>
      <w:lang w:eastAsia="ar-SA"/>
    </w:rPr>
  </w:style>
  <w:style w:type="paragraph" w:customStyle="1" w:styleId="Section3-Heading2">
    <w:name w:val="Section 3 - Heading 2"/>
    <w:basedOn w:val="Heading4"/>
    <w:rsid w:val="00A64705"/>
    <w:pPr>
      <w:keepNext w:val="0"/>
      <w:spacing w:before="120" w:after="240" w:line="240" w:lineRule="auto"/>
      <w:jc w:val="center"/>
    </w:pPr>
    <w:rPr>
      <w:rFonts w:ascii="Times New Roman" w:eastAsia="Times New Roman" w:hAnsi="Times New Roman" w:cs="Times New Roman"/>
      <w:bCs w:val="0"/>
      <w:iCs w:val="0"/>
      <w:smallCaps w:val="0"/>
      <w:sz w:val="28"/>
      <w:szCs w:val="20"/>
    </w:rPr>
  </w:style>
  <w:style w:type="character" w:customStyle="1" w:styleId="TextoindependienteCar1">
    <w:name w:val="Texto independiente Car1"/>
    <w:basedOn w:val="DefaultParagraphFont"/>
    <w:uiPriority w:val="99"/>
    <w:semiHidden/>
    <w:rsid w:val="00A64705"/>
  </w:style>
  <w:style w:type="paragraph" w:customStyle="1" w:styleId="CEPAReportText">
    <w:name w:val="CEPA Report Text"/>
    <w:basedOn w:val="Normal"/>
    <w:link w:val="CEPAReportTextChar"/>
    <w:qFormat/>
    <w:rsid w:val="00A64705"/>
    <w:pPr>
      <w:spacing w:before="120" w:after="120"/>
    </w:pPr>
    <w:rPr>
      <w:rFonts w:ascii="Garamond" w:eastAsia="Times New Roman" w:hAnsi="Garamond" w:cs="Times New Roman"/>
      <w:sz w:val="24"/>
      <w:szCs w:val="24"/>
      <w:lang w:val="en-GB"/>
    </w:rPr>
  </w:style>
  <w:style w:type="character" w:customStyle="1" w:styleId="CEPAReportTextChar">
    <w:name w:val="CEPA Report Text Char"/>
    <w:link w:val="CEPAReportText"/>
    <w:rsid w:val="00A64705"/>
    <w:rPr>
      <w:rFonts w:ascii="Garamond" w:eastAsia="Times New Roman" w:hAnsi="Garamond" w:cs="Times New Roman"/>
      <w:sz w:val="24"/>
      <w:szCs w:val="24"/>
      <w:lang w:val="en-GB"/>
    </w:rPr>
  </w:style>
  <w:style w:type="paragraph" w:customStyle="1" w:styleId="Section3-Heading1">
    <w:name w:val="Section 3 - Heading 1"/>
    <w:basedOn w:val="Normal"/>
    <w:rsid w:val="00A64705"/>
    <w:pPr>
      <w:pBdr>
        <w:bottom w:val="single" w:sz="4" w:space="1" w:color="auto"/>
      </w:pBdr>
      <w:spacing w:before="120" w:after="240" w:line="240" w:lineRule="auto"/>
      <w:jc w:val="center"/>
    </w:pPr>
    <w:rPr>
      <w:rFonts w:ascii="Times New Roman" w:eastAsia="Times New Roman" w:hAnsi="Times New Roman" w:cs="Times New Roman"/>
      <w:smallCaps/>
      <w:sz w:val="32"/>
      <w:szCs w:val="20"/>
    </w:rPr>
  </w:style>
  <w:style w:type="character" w:customStyle="1" w:styleId="Hydroconseil">
    <w:name w:val="Hydroconseil"/>
    <w:rsid w:val="00A64705"/>
    <w:rPr>
      <w:rFonts w:ascii="Arial Rounded MT Bold" w:hAnsi="Arial Rounded MT Bold"/>
      <w:i/>
      <w:caps/>
      <w:color w:val="0000FF"/>
    </w:rPr>
  </w:style>
  <w:style w:type="character" w:customStyle="1" w:styleId="Footnote0">
    <w:name w:val="Footnote_"/>
    <w:link w:val="Footnote"/>
    <w:rsid w:val="007E4FE9"/>
    <w:rPr>
      <w:rFonts w:ascii="Trebuchet MS" w:hAnsi="Trebuchet MS"/>
      <w:sz w:val="20"/>
      <w:szCs w:val="20"/>
    </w:rPr>
  </w:style>
  <w:style w:type="character" w:customStyle="1" w:styleId="Bodytext30">
    <w:name w:val="Body text (3)_"/>
    <w:link w:val="Bodytext31"/>
    <w:rsid w:val="007E4FE9"/>
    <w:rPr>
      <w:b/>
      <w:bCs/>
      <w:sz w:val="24"/>
      <w:szCs w:val="24"/>
      <w:shd w:val="clear" w:color="auto" w:fill="FFFFFF"/>
    </w:rPr>
  </w:style>
  <w:style w:type="character" w:customStyle="1" w:styleId="Heading22">
    <w:name w:val="Heading #2 (2)_"/>
    <w:link w:val="Heading220"/>
    <w:rsid w:val="007E4FE9"/>
    <w:rPr>
      <w:b/>
      <w:bCs/>
      <w:sz w:val="21"/>
      <w:szCs w:val="21"/>
      <w:shd w:val="clear" w:color="auto" w:fill="FFFFFF"/>
    </w:rPr>
  </w:style>
  <w:style w:type="character" w:customStyle="1" w:styleId="Heading22135pt">
    <w:name w:val="Heading #2 (2) + 13.5 pt"/>
    <w:rsid w:val="007E4FE9"/>
    <w:rPr>
      <w:b/>
      <w:bCs/>
      <w:spacing w:val="0"/>
      <w:sz w:val="27"/>
      <w:szCs w:val="27"/>
    </w:rPr>
  </w:style>
  <w:style w:type="character" w:customStyle="1" w:styleId="Heading2212pt">
    <w:name w:val="Heading #2 (2) + 12 pt"/>
    <w:rsid w:val="007E4FE9"/>
    <w:rPr>
      <w:b/>
      <w:bCs/>
      <w:spacing w:val="0"/>
      <w:sz w:val="24"/>
      <w:szCs w:val="24"/>
    </w:rPr>
  </w:style>
  <w:style w:type="character" w:customStyle="1" w:styleId="Heading10">
    <w:name w:val="Heading #1_"/>
    <w:link w:val="Heading11"/>
    <w:rsid w:val="007E4FE9"/>
    <w:rPr>
      <w:b/>
      <w:bCs/>
      <w:sz w:val="27"/>
      <w:szCs w:val="27"/>
      <w:shd w:val="clear" w:color="auto" w:fill="FFFFFF"/>
    </w:rPr>
  </w:style>
  <w:style w:type="character" w:customStyle="1" w:styleId="Heading20">
    <w:name w:val="Heading #2_"/>
    <w:link w:val="Heading21"/>
    <w:rsid w:val="007E4FE9"/>
    <w:rPr>
      <w:b/>
      <w:bCs/>
      <w:sz w:val="24"/>
      <w:szCs w:val="24"/>
      <w:shd w:val="clear" w:color="auto" w:fill="FFFFFF"/>
    </w:rPr>
  </w:style>
  <w:style w:type="character" w:customStyle="1" w:styleId="Bodytext20">
    <w:name w:val="Body text (2)_"/>
    <w:link w:val="Bodytext21"/>
    <w:rsid w:val="007E4FE9"/>
    <w:rPr>
      <w:shd w:val="clear" w:color="auto" w:fill="FFFFFF"/>
    </w:rPr>
  </w:style>
  <w:style w:type="character" w:customStyle="1" w:styleId="Bodytext212pt">
    <w:name w:val="Body text (2) + 12 pt"/>
    <w:aliases w:val="Bold"/>
    <w:rsid w:val="007E4FE9"/>
    <w:rPr>
      <w:b/>
      <w:bCs/>
      <w:spacing w:val="0"/>
      <w:sz w:val="24"/>
      <w:szCs w:val="24"/>
    </w:rPr>
  </w:style>
  <w:style w:type="character" w:customStyle="1" w:styleId="Heading211pt">
    <w:name w:val="Heading #2 + 11 pt"/>
    <w:aliases w:val="Not Bold"/>
    <w:rsid w:val="007E4FE9"/>
    <w:rPr>
      <w:b/>
      <w:bCs/>
      <w:spacing w:val="0"/>
      <w:sz w:val="22"/>
      <w:szCs w:val="22"/>
    </w:rPr>
  </w:style>
  <w:style w:type="character" w:customStyle="1" w:styleId="Heading30">
    <w:name w:val="Heading #3_"/>
    <w:link w:val="Heading31"/>
    <w:rsid w:val="007E4FE9"/>
    <w:rPr>
      <w:rFonts w:ascii="Arial Narrow" w:hAnsi="Arial Narrow" w:cs="Arial Narrow"/>
      <w:b/>
      <w:bCs/>
      <w:sz w:val="18"/>
      <w:szCs w:val="18"/>
      <w:shd w:val="clear" w:color="auto" w:fill="FFFFFF"/>
    </w:rPr>
  </w:style>
  <w:style w:type="character" w:customStyle="1" w:styleId="Headerorfooter">
    <w:name w:val="Header or footer_"/>
    <w:link w:val="Headerorfooter0"/>
    <w:rsid w:val="007E4FE9"/>
    <w:rPr>
      <w:rFonts w:ascii="Times New Roman" w:hAnsi="Times New Roman" w:cs="Times New Roman"/>
      <w:sz w:val="20"/>
      <w:szCs w:val="20"/>
      <w:shd w:val="clear" w:color="auto" w:fill="FFFFFF"/>
    </w:rPr>
  </w:style>
  <w:style w:type="character" w:customStyle="1" w:styleId="HeaderorfooterArialUnicodeMS">
    <w:name w:val="Header or footer + Arial Unicode MS"/>
    <w:aliases w:val="7.5 pt"/>
    <w:rsid w:val="007E4FE9"/>
    <w:rPr>
      <w:rFonts w:ascii="Arial Unicode MS" w:eastAsia="Arial Unicode MS" w:hAnsi="Times New Roman" w:cs="Arial Unicode MS"/>
      <w:spacing w:val="0"/>
      <w:sz w:val="15"/>
      <w:szCs w:val="15"/>
    </w:rPr>
  </w:style>
  <w:style w:type="character" w:customStyle="1" w:styleId="HeaderorfooterArialUnicodeMS1">
    <w:name w:val="Header or footer + Arial Unicode MS1"/>
    <w:aliases w:val="7.5 pt1"/>
    <w:rsid w:val="007E4FE9"/>
    <w:rPr>
      <w:rFonts w:ascii="Arial Unicode MS" w:eastAsia="Arial Unicode MS" w:hAnsi="Times New Roman" w:cs="Arial Unicode MS"/>
      <w:spacing w:val="0"/>
      <w:sz w:val="15"/>
      <w:szCs w:val="15"/>
      <w:u w:val="single"/>
      <w:lang w:val="es-ES_tradnl" w:eastAsia="es-ES_tradnl"/>
    </w:rPr>
  </w:style>
  <w:style w:type="character" w:customStyle="1" w:styleId="Bodytext0">
    <w:name w:val="Body text_"/>
    <w:link w:val="Bodytext1"/>
    <w:rsid w:val="007E4FE9"/>
    <w:rPr>
      <w:rFonts w:ascii="Arial Narrow" w:hAnsi="Arial Narrow" w:cs="Arial Narrow"/>
      <w:sz w:val="18"/>
      <w:szCs w:val="18"/>
      <w:shd w:val="clear" w:color="auto" w:fill="FFFFFF"/>
    </w:rPr>
  </w:style>
  <w:style w:type="character" w:customStyle="1" w:styleId="BodytextBold">
    <w:name w:val="Body text + Bold"/>
    <w:rsid w:val="007E4FE9"/>
    <w:rPr>
      <w:rFonts w:ascii="Arial Narrow" w:hAnsi="Arial Narrow" w:cs="Arial Narrow"/>
      <w:b/>
      <w:bCs/>
      <w:spacing w:val="0"/>
      <w:sz w:val="18"/>
      <w:szCs w:val="18"/>
    </w:rPr>
  </w:style>
  <w:style w:type="character" w:customStyle="1" w:styleId="BodytextBold6">
    <w:name w:val="Body text + Bold6"/>
    <w:rsid w:val="007E4FE9"/>
    <w:rPr>
      <w:rFonts w:ascii="Arial Narrow" w:hAnsi="Arial Narrow" w:cs="Arial Narrow"/>
      <w:b/>
      <w:bCs/>
      <w:spacing w:val="0"/>
      <w:sz w:val="18"/>
      <w:szCs w:val="18"/>
    </w:rPr>
  </w:style>
  <w:style w:type="character" w:customStyle="1" w:styleId="BodytextBold5">
    <w:name w:val="Body text + Bold5"/>
    <w:rsid w:val="007E4FE9"/>
    <w:rPr>
      <w:rFonts w:ascii="Arial Narrow" w:hAnsi="Arial Narrow" w:cs="Arial Narrow"/>
      <w:b/>
      <w:bCs/>
      <w:spacing w:val="0"/>
      <w:sz w:val="18"/>
      <w:szCs w:val="18"/>
    </w:rPr>
  </w:style>
  <w:style w:type="character" w:customStyle="1" w:styleId="BodytextBold4">
    <w:name w:val="Body text + Bold4"/>
    <w:rsid w:val="007E4FE9"/>
    <w:rPr>
      <w:rFonts w:ascii="Arial Narrow" w:hAnsi="Arial Narrow" w:cs="Arial Narrow"/>
      <w:b/>
      <w:bCs/>
      <w:spacing w:val="0"/>
      <w:sz w:val="18"/>
      <w:szCs w:val="18"/>
    </w:rPr>
  </w:style>
  <w:style w:type="character" w:customStyle="1" w:styleId="BodytextBold3">
    <w:name w:val="Body text + Bold3"/>
    <w:rsid w:val="007E4FE9"/>
    <w:rPr>
      <w:rFonts w:ascii="Arial Narrow" w:hAnsi="Arial Narrow" w:cs="Arial Narrow"/>
      <w:b/>
      <w:bCs/>
      <w:spacing w:val="0"/>
      <w:sz w:val="18"/>
      <w:szCs w:val="18"/>
    </w:rPr>
  </w:style>
  <w:style w:type="character" w:customStyle="1" w:styleId="BodytextBold2">
    <w:name w:val="Body text + Bold2"/>
    <w:rsid w:val="007E4FE9"/>
    <w:rPr>
      <w:rFonts w:ascii="Arial Narrow" w:hAnsi="Arial Narrow" w:cs="Arial Narrow"/>
      <w:b/>
      <w:bCs/>
      <w:spacing w:val="0"/>
      <w:sz w:val="18"/>
      <w:szCs w:val="18"/>
    </w:rPr>
  </w:style>
  <w:style w:type="character" w:customStyle="1" w:styleId="BodyText10">
    <w:name w:val="Body Text1"/>
    <w:rsid w:val="007E4FE9"/>
    <w:rPr>
      <w:rFonts w:ascii="Arial Narrow" w:hAnsi="Arial Narrow" w:cs="Arial Narrow"/>
      <w:spacing w:val="0"/>
      <w:sz w:val="18"/>
      <w:szCs w:val="18"/>
      <w:u w:val="single"/>
      <w:lang w:val="es-ES_tradnl" w:eastAsia="es-ES_tradnl"/>
    </w:rPr>
  </w:style>
  <w:style w:type="character" w:customStyle="1" w:styleId="Bodytext4">
    <w:name w:val="Body text (4)_"/>
    <w:link w:val="Bodytext40"/>
    <w:rsid w:val="007E4FE9"/>
    <w:rPr>
      <w:rFonts w:ascii="Arial Narrow" w:hAnsi="Arial Narrow" w:cs="Arial Narrow"/>
      <w:i/>
      <w:iCs/>
      <w:sz w:val="18"/>
      <w:szCs w:val="18"/>
      <w:shd w:val="clear" w:color="auto" w:fill="FFFFFF"/>
      <w:lang w:val="es-ES_tradnl" w:eastAsia="es-ES_tradnl"/>
    </w:rPr>
  </w:style>
  <w:style w:type="character" w:customStyle="1" w:styleId="Bodytext4NotItalic">
    <w:name w:val="Body text (4) + Not Italic"/>
    <w:basedOn w:val="Bodytext4"/>
    <w:rsid w:val="007E4FE9"/>
    <w:rPr>
      <w:rFonts w:ascii="Arial Narrow" w:hAnsi="Arial Narrow" w:cs="Arial Narrow"/>
      <w:i/>
      <w:iCs/>
      <w:sz w:val="18"/>
      <w:szCs w:val="18"/>
      <w:shd w:val="clear" w:color="auto" w:fill="FFFFFF"/>
      <w:lang w:val="es-ES_tradnl" w:eastAsia="es-ES_tradnl"/>
    </w:rPr>
  </w:style>
  <w:style w:type="character" w:customStyle="1" w:styleId="Tablecaption">
    <w:name w:val="Table caption_"/>
    <w:link w:val="Tablecaption0"/>
    <w:rsid w:val="007E4FE9"/>
    <w:rPr>
      <w:rFonts w:ascii="Arial Narrow" w:hAnsi="Arial Narrow" w:cs="Arial Narrow"/>
      <w:b/>
      <w:bCs/>
      <w:sz w:val="18"/>
      <w:szCs w:val="18"/>
      <w:shd w:val="clear" w:color="auto" w:fill="FFFFFF"/>
    </w:rPr>
  </w:style>
  <w:style w:type="character" w:customStyle="1" w:styleId="Bodytext5">
    <w:name w:val="Body text (5)_"/>
    <w:link w:val="Bodytext50"/>
    <w:rsid w:val="007E4FE9"/>
    <w:rPr>
      <w:rFonts w:ascii="Arial Narrow" w:hAnsi="Arial Narrow" w:cs="Arial Narrow"/>
      <w:b/>
      <w:bCs/>
      <w:sz w:val="18"/>
      <w:szCs w:val="18"/>
      <w:shd w:val="clear" w:color="auto" w:fill="FFFFFF"/>
      <w:lang w:val="fr-FR" w:eastAsia="fr-FR"/>
    </w:rPr>
  </w:style>
  <w:style w:type="character" w:customStyle="1" w:styleId="Bodytext6">
    <w:name w:val="Body text (6)_"/>
    <w:link w:val="Bodytext60"/>
    <w:rsid w:val="007E4FE9"/>
    <w:rPr>
      <w:rFonts w:ascii="Times New Roman" w:hAnsi="Times New Roman" w:cs="Times New Roman"/>
      <w:noProof/>
      <w:sz w:val="20"/>
      <w:szCs w:val="20"/>
      <w:shd w:val="clear" w:color="auto" w:fill="FFFFFF"/>
    </w:rPr>
  </w:style>
  <w:style w:type="character" w:customStyle="1" w:styleId="BodytextBold1">
    <w:name w:val="Body text + Bold1"/>
    <w:rsid w:val="007E4FE9"/>
    <w:rPr>
      <w:rFonts w:ascii="Arial Narrow" w:hAnsi="Arial Narrow" w:cs="Arial Narrow"/>
      <w:b/>
      <w:bCs/>
      <w:spacing w:val="0"/>
      <w:sz w:val="18"/>
      <w:szCs w:val="18"/>
    </w:rPr>
  </w:style>
  <w:style w:type="character" w:customStyle="1" w:styleId="Bodytext7">
    <w:name w:val="Body text (7)_"/>
    <w:link w:val="Bodytext70"/>
    <w:rsid w:val="007E4FE9"/>
    <w:rPr>
      <w:rFonts w:ascii="Times New Roman" w:hAnsi="Times New Roman" w:cs="Times New Roman"/>
      <w:sz w:val="15"/>
      <w:szCs w:val="15"/>
      <w:shd w:val="clear" w:color="auto" w:fill="FFFFFF"/>
    </w:rPr>
  </w:style>
  <w:style w:type="paragraph" w:customStyle="1" w:styleId="Bodytext31">
    <w:name w:val="Body text (3)"/>
    <w:basedOn w:val="Normal"/>
    <w:link w:val="Bodytext30"/>
    <w:rsid w:val="007E4FE9"/>
    <w:pPr>
      <w:shd w:val="clear" w:color="auto" w:fill="FFFFFF"/>
      <w:spacing w:after="0" w:line="240" w:lineRule="atLeast"/>
      <w:jc w:val="left"/>
    </w:pPr>
    <w:rPr>
      <w:rFonts w:asciiTheme="minorHAnsi" w:hAnsiTheme="minorHAnsi"/>
      <w:b/>
      <w:bCs/>
      <w:sz w:val="24"/>
      <w:szCs w:val="24"/>
      <w:lang w:val="es-AR"/>
    </w:rPr>
  </w:style>
  <w:style w:type="paragraph" w:customStyle="1" w:styleId="Heading220">
    <w:name w:val="Heading #2 (2)"/>
    <w:basedOn w:val="Normal"/>
    <w:link w:val="Heading22"/>
    <w:rsid w:val="007E4FE9"/>
    <w:pPr>
      <w:shd w:val="clear" w:color="auto" w:fill="FFFFFF"/>
      <w:spacing w:after="840" w:line="278" w:lineRule="exact"/>
      <w:jc w:val="left"/>
      <w:outlineLvl w:val="1"/>
    </w:pPr>
    <w:rPr>
      <w:rFonts w:asciiTheme="minorHAnsi" w:hAnsiTheme="minorHAnsi"/>
      <w:b/>
      <w:bCs/>
      <w:sz w:val="21"/>
      <w:szCs w:val="21"/>
      <w:lang w:val="es-AR"/>
    </w:rPr>
  </w:style>
  <w:style w:type="paragraph" w:customStyle="1" w:styleId="Heading11">
    <w:name w:val="Heading #1"/>
    <w:basedOn w:val="Normal"/>
    <w:link w:val="Heading10"/>
    <w:rsid w:val="007E4FE9"/>
    <w:pPr>
      <w:shd w:val="clear" w:color="auto" w:fill="FFFFFF"/>
      <w:spacing w:before="840" w:after="1140" w:line="240" w:lineRule="atLeast"/>
      <w:jc w:val="center"/>
      <w:outlineLvl w:val="0"/>
    </w:pPr>
    <w:rPr>
      <w:rFonts w:asciiTheme="minorHAnsi" w:hAnsiTheme="minorHAnsi"/>
      <w:b/>
      <w:bCs/>
      <w:sz w:val="27"/>
      <w:szCs w:val="27"/>
      <w:lang w:val="es-AR"/>
    </w:rPr>
  </w:style>
  <w:style w:type="paragraph" w:customStyle="1" w:styleId="Heading21">
    <w:name w:val="Heading #2"/>
    <w:basedOn w:val="Normal"/>
    <w:link w:val="Heading20"/>
    <w:rsid w:val="007E4FE9"/>
    <w:pPr>
      <w:shd w:val="clear" w:color="auto" w:fill="FFFFFF"/>
      <w:spacing w:before="1140" w:after="180" w:line="240" w:lineRule="atLeast"/>
      <w:outlineLvl w:val="1"/>
    </w:pPr>
    <w:rPr>
      <w:rFonts w:asciiTheme="minorHAnsi" w:hAnsiTheme="minorHAnsi"/>
      <w:b/>
      <w:bCs/>
      <w:sz w:val="24"/>
      <w:szCs w:val="24"/>
      <w:lang w:val="es-AR"/>
    </w:rPr>
  </w:style>
  <w:style w:type="paragraph" w:customStyle="1" w:styleId="Bodytext21">
    <w:name w:val="Body text (2)"/>
    <w:basedOn w:val="Normal"/>
    <w:link w:val="Bodytext20"/>
    <w:rsid w:val="007E4FE9"/>
    <w:pPr>
      <w:shd w:val="clear" w:color="auto" w:fill="FFFFFF"/>
      <w:spacing w:before="180" w:after="60" w:line="274" w:lineRule="exact"/>
      <w:ind w:hanging="360"/>
      <w:jc w:val="left"/>
    </w:pPr>
    <w:rPr>
      <w:rFonts w:asciiTheme="minorHAnsi" w:hAnsiTheme="minorHAnsi"/>
      <w:lang w:val="es-AR"/>
    </w:rPr>
  </w:style>
  <w:style w:type="paragraph" w:customStyle="1" w:styleId="Heading31">
    <w:name w:val="Heading #3"/>
    <w:basedOn w:val="Normal"/>
    <w:link w:val="Heading30"/>
    <w:rsid w:val="007E4FE9"/>
    <w:pPr>
      <w:shd w:val="clear" w:color="auto" w:fill="FFFFFF"/>
      <w:spacing w:after="180" w:line="240" w:lineRule="atLeast"/>
      <w:outlineLvl w:val="2"/>
    </w:pPr>
    <w:rPr>
      <w:rFonts w:ascii="Arial Narrow" w:hAnsi="Arial Narrow" w:cs="Arial Narrow"/>
      <w:b/>
      <w:bCs/>
      <w:sz w:val="18"/>
      <w:szCs w:val="18"/>
      <w:lang w:val="es-AR"/>
    </w:rPr>
  </w:style>
  <w:style w:type="paragraph" w:customStyle="1" w:styleId="Headerorfooter0">
    <w:name w:val="Header or footer"/>
    <w:basedOn w:val="Normal"/>
    <w:link w:val="Headerorfooter"/>
    <w:rsid w:val="007E4FE9"/>
    <w:pPr>
      <w:shd w:val="clear" w:color="auto" w:fill="FFFFFF"/>
      <w:spacing w:after="0" w:line="240" w:lineRule="auto"/>
      <w:jc w:val="left"/>
    </w:pPr>
    <w:rPr>
      <w:rFonts w:ascii="Times New Roman" w:hAnsi="Times New Roman" w:cs="Times New Roman"/>
      <w:sz w:val="20"/>
      <w:szCs w:val="20"/>
      <w:lang w:val="es-AR"/>
    </w:rPr>
  </w:style>
  <w:style w:type="paragraph" w:customStyle="1" w:styleId="Bodytext1">
    <w:name w:val="Body text1"/>
    <w:basedOn w:val="Normal"/>
    <w:link w:val="Bodytext0"/>
    <w:rsid w:val="007E4FE9"/>
    <w:pPr>
      <w:shd w:val="clear" w:color="auto" w:fill="FFFFFF"/>
      <w:spacing w:before="180" w:after="180" w:line="226" w:lineRule="exact"/>
    </w:pPr>
    <w:rPr>
      <w:rFonts w:ascii="Arial Narrow" w:hAnsi="Arial Narrow" w:cs="Arial Narrow"/>
      <w:sz w:val="18"/>
      <w:szCs w:val="18"/>
      <w:lang w:val="es-AR"/>
    </w:rPr>
  </w:style>
  <w:style w:type="paragraph" w:customStyle="1" w:styleId="Bodytext40">
    <w:name w:val="Body text (4)"/>
    <w:basedOn w:val="Normal"/>
    <w:link w:val="Bodytext4"/>
    <w:rsid w:val="007E4FE9"/>
    <w:pPr>
      <w:shd w:val="clear" w:color="auto" w:fill="FFFFFF"/>
      <w:spacing w:after="0" w:line="230" w:lineRule="exact"/>
      <w:jc w:val="left"/>
    </w:pPr>
    <w:rPr>
      <w:rFonts w:ascii="Arial Narrow" w:hAnsi="Arial Narrow" w:cs="Arial Narrow"/>
      <w:i/>
      <w:iCs/>
      <w:sz w:val="18"/>
      <w:szCs w:val="18"/>
      <w:lang w:val="es-ES_tradnl" w:eastAsia="es-ES_tradnl"/>
    </w:rPr>
  </w:style>
  <w:style w:type="paragraph" w:customStyle="1" w:styleId="Tablecaption0">
    <w:name w:val="Table caption"/>
    <w:basedOn w:val="Normal"/>
    <w:link w:val="Tablecaption"/>
    <w:rsid w:val="007E4FE9"/>
    <w:pPr>
      <w:shd w:val="clear" w:color="auto" w:fill="FFFFFF"/>
      <w:spacing w:after="0" w:line="240" w:lineRule="atLeast"/>
      <w:jc w:val="left"/>
    </w:pPr>
    <w:rPr>
      <w:rFonts w:ascii="Arial Narrow" w:hAnsi="Arial Narrow" w:cs="Arial Narrow"/>
      <w:b/>
      <w:bCs/>
      <w:sz w:val="18"/>
      <w:szCs w:val="18"/>
      <w:lang w:val="es-AR"/>
    </w:rPr>
  </w:style>
  <w:style w:type="paragraph" w:customStyle="1" w:styleId="Bodytext50">
    <w:name w:val="Body text (5)"/>
    <w:basedOn w:val="Normal"/>
    <w:link w:val="Bodytext5"/>
    <w:rsid w:val="007E4FE9"/>
    <w:pPr>
      <w:shd w:val="clear" w:color="auto" w:fill="FFFFFF"/>
      <w:spacing w:after="0" w:line="240" w:lineRule="atLeast"/>
      <w:jc w:val="right"/>
    </w:pPr>
    <w:rPr>
      <w:rFonts w:ascii="Arial Narrow" w:hAnsi="Arial Narrow" w:cs="Arial Narrow"/>
      <w:b/>
      <w:bCs/>
      <w:sz w:val="18"/>
      <w:szCs w:val="18"/>
      <w:lang w:val="fr-FR" w:eastAsia="fr-FR"/>
    </w:rPr>
  </w:style>
  <w:style w:type="paragraph" w:customStyle="1" w:styleId="Bodytext60">
    <w:name w:val="Body text (6)"/>
    <w:basedOn w:val="Normal"/>
    <w:link w:val="Bodytext6"/>
    <w:rsid w:val="007E4FE9"/>
    <w:pPr>
      <w:shd w:val="clear" w:color="auto" w:fill="FFFFFF"/>
      <w:spacing w:after="0" w:line="240" w:lineRule="atLeast"/>
      <w:jc w:val="left"/>
    </w:pPr>
    <w:rPr>
      <w:rFonts w:ascii="Times New Roman" w:hAnsi="Times New Roman" w:cs="Times New Roman"/>
      <w:noProof/>
      <w:sz w:val="20"/>
      <w:szCs w:val="20"/>
      <w:lang w:val="es-AR"/>
    </w:rPr>
  </w:style>
  <w:style w:type="paragraph" w:customStyle="1" w:styleId="Bodytext70">
    <w:name w:val="Body text (7)"/>
    <w:basedOn w:val="Normal"/>
    <w:link w:val="Bodytext7"/>
    <w:rsid w:val="007E4FE9"/>
    <w:pPr>
      <w:shd w:val="clear" w:color="auto" w:fill="FFFFFF"/>
      <w:spacing w:before="720" w:after="0" w:line="182" w:lineRule="exact"/>
      <w:jc w:val="left"/>
    </w:pPr>
    <w:rPr>
      <w:rFonts w:ascii="Times New Roman" w:hAnsi="Times New Roman" w:cs="Times New Roman"/>
      <w:sz w:val="15"/>
      <w:szCs w:val="15"/>
      <w:lang w:val="es-AR"/>
    </w:rPr>
  </w:style>
  <w:style w:type="paragraph" w:customStyle="1" w:styleId="ROMANIFORMATOINTER">
    <w:name w:val="ROMANI FORMATO INTER"/>
    <w:rsid w:val="002727E2"/>
    <w:pPr>
      <w:spacing w:after="0" w:line="480" w:lineRule="exact"/>
      <w:jc w:val="both"/>
    </w:pPr>
    <w:rPr>
      <w:rFonts w:ascii="Bookman" w:eastAsia="Times New Roman" w:hAnsi="Bookman" w:cs="Times New Roman"/>
      <w:sz w:val="24"/>
      <w:szCs w:val="20"/>
      <w:lang w:val="es-ES_tradnl" w:eastAsia="ja-JP"/>
    </w:rPr>
  </w:style>
  <w:style w:type="paragraph" w:customStyle="1" w:styleId="Estilo2">
    <w:name w:val="Estilo2"/>
    <w:basedOn w:val="Heading2"/>
    <w:link w:val="Estilo2Car"/>
    <w:qFormat/>
    <w:rsid w:val="00C26417"/>
    <w:pPr>
      <w:keepLines w:val="0"/>
      <w:numPr>
        <w:ilvl w:val="0"/>
        <w:numId w:val="0"/>
      </w:numPr>
      <w:spacing w:before="240" w:after="60" w:line="240" w:lineRule="auto"/>
      <w:jc w:val="left"/>
    </w:pPr>
    <w:rPr>
      <w:rFonts w:ascii="Verdana" w:eastAsia="Times New Roman" w:hAnsi="Verdana" w:cs="Arial"/>
      <w:i/>
      <w:iCs/>
      <w:smallCaps w:val="0"/>
      <w:szCs w:val="24"/>
      <w:lang w:val="es-NI" w:eastAsia="es-ES"/>
    </w:rPr>
  </w:style>
  <w:style w:type="character" w:customStyle="1" w:styleId="Estilo2Car">
    <w:name w:val="Estilo2 Car"/>
    <w:link w:val="Estilo2"/>
    <w:rsid w:val="00C26417"/>
    <w:rPr>
      <w:rFonts w:ascii="Verdana" w:eastAsia="Times New Roman" w:hAnsi="Verdana" w:cs="Arial"/>
      <w:b/>
      <w:bCs/>
      <w:i/>
      <w:iCs/>
      <w:sz w:val="24"/>
      <w:szCs w:val="24"/>
      <w:lang w:val="es-NI" w:eastAsia="es-ES"/>
    </w:rPr>
  </w:style>
  <w:style w:type="character" w:customStyle="1" w:styleId="ListParagraphChar">
    <w:name w:val="List Paragraph Char"/>
    <w:basedOn w:val="DefaultParagraphFont"/>
    <w:link w:val="ListParagraph"/>
    <w:uiPriority w:val="34"/>
    <w:rsid w:val="00C22D38"/>
    <w:rPr>
      <w:rFonts w:ascii="Trebuchet MS" w:hAnsi="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088">
      <w:bodyDiv w:val="1"/>
      <w:marLeft w:val="0"/>
      <w:marRight w:val="0"/>
      <w:marTop w:val="0"/>
      <w:marBottom w:val="0"/>
      <w:divBdr>
        <w:top w:val="none" w:sz="0" w:space="0" w:color="auto"/>
        <w:left w:val="none" w:sz="0" w:space="0" w:color="auto"/>
        <w:bottom w:val="none" w:sz="0" w:space="0" w:color="auto"/>
        <w:right w:val="none" w:sz="0" w:space="0" w:color="auto"/>
      </w:divBdr>
    </w:div>
    <w:div w:id="5376155">
      <w:bodyDiv w:val="1"/>
      <w:marLeft w:val="0"/>
      <w:marRight w:val="0"/>
      <w:marTop w:val="0"/>
      <w:marBottom w:val="0"/>
      <w:divBdr>
        <w:top w:val="none" w:sz="0" w:space="0" w:color="auto"/>
        <w:left w:val="none" w:sz="0" w:space="0" w:color="auto"/>
        <w:bottom w:val="none" w:sz="0" w:space="0" w:color="auto"/>
        <w:right w:val="none" w:sz="0" w:space="0" w:color="auto"/>
      </w:divBdr>
    </w:div>
    <w:div w:id="7561698">
      <w:bodyDiv w:val="1"/>
      <w:marLeft w:val="0"/>
      <w:marRight w:val="0"/>
      <w:marTop w:val="0"/>
      <w:marBottom w:val="0"/>
      <w:divBdr>
        <w:top w:val="none" w:sz="0" w:space="0" w:color="auto"/>
        <w:left w:val="none" w:sz="0" w:space="0" w:color="auto"/>
        <w:bottom w:val="none" w:sz="0" w:space="0" w:color="auto"/>
        <w:right w:val="none" w:sz="0" w:space="0" w:color="auto"/>
      </w:divBdr>
    </w:div>
    <w:div w:id="9263779">
      <w:bodyDiv w:val="1"/>
      <w:marLeft w:val="0"/>
      <w:marRight w:val="0"/>
      <w:marTop w:val="0"/>
      <w:marBottom w:val="0"/>
      <w:divBdr>
        <w:top w:val="none" w:sz="0" w:space="0" w:color="auto"/>
        <w:left w:val="none" w:sz="0" w:space="0" w:color="auto"/>
        <w:bottom w:val="none" w:sz="0" w:space="0" w:color="auto"/>
        <w:right w:val="none" w:sz="0" w:space="0" w:color="auto"/>
      </w:divBdr>
    </w:div>
    <w:div w:id="11762772">
      <w:bodyDiv w:val="1"/>
      <w:marLeft w:val="0"/>
      <w:marRight w:val="0"/>
      <w:marTop w:val="0"/>
      <w:marBottom w:val="0"/>
      <w:divBdr>
        <w:top w:val="none" w:sz="0" w:space="0" w:color="auto"/>
        <w:left w:val="none" w:sz="0" w:space="0" w:color="auto"/>
        <w:bottom w:val="none" w:sz="0" w:space="0" w:color="auto"/>
        <w:right w:val="none" w:sz="0" w:space="0" w:color="auto"/>
      </w:divBdr>
    </w:div>
    <w:div w:id="12267271">
      <w:bodyDiv w:val="1"/>
      <w:marLeft w:val="0"/>
      <w:marRight w:val="0"/>
      <w:marTop w:val="0"/>
      <w:marBottom w:val="0"/>
      <w:divBdr>
        <w:top w:val="none" w:sz="0" w:space="0" w:color="auto"/>
        <w:left w:val="none" w:sz="0" w:space="0" w:color="auto"/>
        <w:bottom w:val="none" w:sz="0" w:space="0" w:color="auto"/>
        <w:right w:val="none" w:sz="0" w:space="0" w:color="auto"/>
      </w:divBdr>
    </w:div>
    <w:div w:id="12533551">
      <w:bodyDiv w:val="1"/>
      <w:marLeft w:val="0"/>
      <w:marRight w:val="0"/>
      <w:marTop w:val="0"/>
      <w:marBottom w:val="0"/>
      <w:divBdr>
        <w:top w:val="none" w:sz="0" w:space="0" w:color="auto"/>
        <w:left w:val="none" w:sz="0" w:space="0" w:color="auto"/>
        <w:bottom w:val="none" w:sz="0" w:space="0" w:color="auto"/>
        <w:right w:val="none" w:sz="0" w:space="0" w:color="auto"/>
      </w:divBdr>
    </w:div>
    <w:div w:id="12928227">
      <w:bodyDiv w:val="1"/>
      <w:marLeft w:val="0"/>
      <w:marRight w:val="0"/>
      <w:marTop w:val="0"/>
      <w:marBottom w:val="0"/>
      <w:divBdr>
        <w:top w:val="none" w:sz="0" w:space="0" w:color="auto"/>
        <w:left w:val="none" w:sz="0" w:space="0" w:color="auto"/>
        <w:bottom w:val="none" w:sz="0" w:space="0" w:color="auto"/>
        <w:right w:val="none" w:sz="0" w:space="0" w:color="auto"/>
      </w:divBdr>
    </w:div>
    <w:div w:id="15695615">
      <w:bodyDiv w:val="1"/>
      <w:marLeft w:val="0"/>
      <w:marRight w:val="0"/>
      <w:marTop w:val="0"/>
      <w:marBottom w:val="0"/>
      <w:divBdr>
        <w:top w:val="none" w:sz="0" w:space="0" w:color="auto"/>
        <w:left w:val="none" w:sz="0" w:space="0" w:color="auto"/>
        <w:bottom w:val="none" w:sz="0" w:space="0" w:color="auto"/>
        <w:right w:val="none" w:sz="0" w:space="0" w:color="auto"/>
      </w:divBdr>
    </w:div>
    <w:div w:id="17314406">
      <w:bodyDiv w:val="1"/>
      <w:marLeft w:val="0"/>
      <w:marRight w:val="0"/>
      <w:marTop w:val="0"/>
      <w:marBottom w:val="0"/>
      <w:divBdr>
        <w:top w:val="none" w:sz="0" w:space="0" w:color="auto"/>
        <w:left w:val="none" w:sz="0" w:space="0" w:color="auto"/>
        <w:bottom w:val="none" w:sz="0" w:space="0" w:color="auto"/>
        <w:right w:val="none" w:sz="0" w:space="0" w:color="auto"/>
      </w:divBdr>
    </w:div>
    <w:div w:id="17632713">
      <w:bodyDiv w:val="1"/>
      <w:marLeft w:val="0"/>
      <w:marRight w:val="0"/>
      <w:marTop w:val="0"/>
      <w:marBottom w:val="0"/>
      <w:divBdr>
        <w:top w:val="none" w:sz="0" w:space="0" w:color="auto"/>
        <w:left w:val="none" w:sz="0" w:space="0" w:color="auto"/>
        <w:bottom w:val="none" w:sz="0" w:space="0" w:color="auto"/>
        <w:right w:val="none" w:sz="0" w:space="0" w:color="auto"/>
      </w:divBdr>
    </w:div>
    <w:div w:id="28847384">
      <w:bodyDiv w:val="1"/>
      <w:marLeft w:val="0"/>
      <w:marRight w:val="0"/>
      <w:marTop w:val="0"/>
      <w:marBottom w:val="0"/>
      <w:divBdr>
        <w:top w:val="none" w:sz="0" w:space="0" w:color="auto"/>
        <w:left w:val="none" w:sz="0" w:space="0" w:color="auto"/>
        <w:bottom w:val="none" w:sz="0" w:space="0" w:color="auto"/>
        <w:right w:val="none" w:sz="0" w:space="0" w:color="auto"/>
      </w:divBdr>
    </w:div>
    <w:div w:id="29308583">
      <w:bodyDiv w:val="1"/>
      <w:marLeft w:val="0"/>
      <w:marRight w:val="0"/>
      <w:marTop w:val="0"/>
      <w:marBottom w:val="0"/>
      <w:divBdr>
        <w:top w:val="none" w:sz="0" w:space="0" w:color="auto"/>
        <w:left w:val="none" w:sz="0" w:space="0" w:color="auto"/>
        <w:bottom w:val="none" w:sz="0" w:space="0" w:color="auto"/>
        <w:right w:val="none" w:sz="0" w:space="0" w:color="auto"/>
      </w:divBdr>
    </w:div>
    <w:div w:id="30036811">
      <w:bodyDiv w:val="1"/>
      <w:marLeft w:val="0"/>
      <w:marRight w:val="0"/>
      <w:marTop w:val="0"/>
      <w:marBottom w:val="0"/>
      <w:divBdr>
        <w:top w:val="none" w:sz="0" w:space="0" w:color="auto"/>
        <w:left w:val="none" w:sz="0" w:space="0" w:color="auto"/>
        <w:bottom w:val="none" w:sz="0" w:space="0" w:color="auto"/>
        <w:right w:val="none" w:sz="0" w:space="0" w:color="auto"/>
      </w:divBdr>
      <w:divsChild>
        <w:div w:id="3830021">
          <w:marLeft w:val="0"/>
          <w:marRight w:val="0"/>
          <w:marTop w:val="0"/>
          <w:marBottom w:val="0"/>
          <w:divBdr>
            <w:top w:val="none" w:sz="0" w:space="0" w:color="auto"/>
            <w:left w:val="none" w:sz="0" w:space="0" w:color="auto"/>
            <w:bottom w:val="none" w:sz="0" w:space="0" w:color="auto"/>
            <w:right w:val="none" w:sz="0" w:space="0" w:color="auto"/>
          </w:divBdr>
          <w:divsChild>
            <w:div w:id="849485889">
              <w:marLeft w:val="0"/>
              <w:marRight w:val="0"/>
              <w:marTop w:val="0"/>
              <w:marBottom w:val="0"/>
              <w:divBdr>
                <w:top w:val="none" w:sz="0" w:space="0" w:color="auto"/>
                <w:left w:val="none" w:sz="0" w:space="0" w:color="auto"/>
                <w:bottom w:val="none" w:sz="0" w:space="0" w:color="auto"/>
                <w:right w:val="none" w:sz="0" w:space="0" w:color="auto"/>
              </w:divBdr>
              <w:divsChild>
                <w:div w:id="17830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1569">
      <w:bodyDiv w:val="1"/>
      <w:marLeft w:val="0"/>
      <w:marRight w:val="0"/>
      <w:marTop w:val="0"/>
      <w:marBottom w:val="0"/>
      <w:divBdr>
        <w:top w:val="none" w:sz="0" w:space="0" w:color="auto"/>
        <w:left w:val="none" w:sz="0" w:space="0" w:color="auto"/>
        <w:bottom w:val="none" w:sz="0" w:space="0" w:color="auto"/>
        <w:right w:val="none" w:sz="0" w:space="0" w:color="auto"/>
      </w:divBdr>
    </w:div>
    <w:div w:id="31923354">
      <w:bodyDiv w:val="1"/>
      <w:marLeft w:val="0"/>
      <w:marRight w:val="0"/>
      <w:marTop w:val="0"/>
      <w:marBottom w:val="0"/>
      <w:divBdr>
        <w:top w:val="none" w:sz="0" w:space="0" w:color="auto"/>
        <w:left w:val="none" w:sz="0" w:space="0" w:color="auto"/>
        <w:bottom w:val="none" w:sz="0" w:space="0" w:color="auto"/>
        <w:right w:val="none" w:sz="0" w:space="0" w:color="auto"/>
      </w:divBdr>
    </w:div>
    <w:div w:id="34234477">
      <w:bodyDiv w:val="1"/>
      <w:marLeft w:val="0"/>
      <w:marRight w:val="0"/>
      <w:marTop w:val="0"/>
      <w:marBottom w:val="0"/>
      <w:divBdr>
        <w:top w:val="none" w:sz="0" w:space="0" w:color="auto"/>
        <w:left w:val="none" w:sz="0" w:space="0" w:color="auto"/>
        <w:bottom w:val="none" w:sz="0" w:space="0" w:color="auto"/>
        <w:right w:val="none" w:sz="0" w:space="0" w:color="auto"/>
      </w:divBdr>
    </w:div>
    <w:div w:id="35325331">
      <w:bodyDiv w:val="1"/>
      <w:marLeft w:val="0"/>
      <w:marRight w:val="0"/>
      <w:marTop w:val="0"/>
      <w:marBottom w:val="0"/>
      <w:divBdr>
        <w:top w:val="none" w:sz="0" w:space="0" w:color="auto"/>
        <w:left w:val="none" w:sz="0" w:space="0" w:color="auto"/>
        <w:bottom w:val="none" w:sz="0" w:space="0" w:color="auto"/>
        <w:right w:val="none" w:sz="0" w:space="0" w:color="auto"/>
      </w:divBdr>
    </w:div>
    <w:div w:id="35662918">
      <w:bodyDiv w:val="1"/>
      <w:marLeft w:val="0"/>
      <w:marRight w:val="0"/>
      <w:marTop w:val="0"/>
      <w:marBottom w:val="0"/>
      <w:divBdr>
        <w:top w:val="none" w:sz="0" w:space="0" w:color="auto"/>
        <w:left w:val="none" w:sz="0" w:space="0" w:color="auto"/>
        <w:bottom w:val="none" w:sz="0" w:space="0" w:color="auto"/>
        <w:right w:val="none" w:sz="0" w:space="0" w:color="auto"/>
      </w:divBdr>
    </w:div>
    <w:div w:id="38281192">
      <w:bodyDiv w:val="1"/>
      <w:marLeft w:val="0"/>
      <w:marRight w:val="0"/>
      <w:marTop w:val="0"/>
      <w:marBottom w:val="0"/>
      <w:divBdr>
        <w:top w:val="none" w:sz="0" w:space="0" w:color="auto"/>
        <w:left w:val="none" w:sz="0" w:space="0" w:color="auto"/>
        <w:bottom w:val="none" w:sz="0" w:space="0" w:color="auto"/>
        <w:right w:val="none" w:sz="0" w:space="0" w:color="auto"/>
      </w:divBdr>
    </w:div>
    <w:div w:id="39524060">
      <w:bodyDiv w:val="1"/>
      <w:marLeft w:val="0"/>
      <w:marRight w:val="0"/>
      <w:marTop w:val="0"/>
      <w:marBottom w:val="0"/>
      <w:divBdr>
        <w:top w:val="none" w:sz="0" w:space="0" w:color="auto"/>
        <w:left w:val="none" w:sz="0" w:space="0" w:color="auto"/>
        <w:bottom w:val="none" w:sz="0" w:space="0" w:color="auto"/>
        <w:right w:val="none" w:sz="0" w:space="0" w:color="auto"/>
      </w:divBdr>
    </w:div>
    <w:div w:id="42600502">
      <w:bodyDiv w:val="1"/>
      <w:marLeft w:val="0"/>
      <w:marRight w:val="0"/>
      <w:marTop w:val="0"/>
      <w:marBottom w:val="0"/>
      <w:divBdr>
        <w:top w:val="none" w:sz="0" w:space="0" w:color="auto"/>
        <w:left w:val="none" w:sz="0" w:space="0" w:color="auto"/>
        <w:bottom w:val="none" w:sz="0" w:space="0" w:color="auto"/>
        <w:right w:val="none" w:sz="0" w:space="0" w:color="auto"/>
      </w:divBdr>
    </w:div>
    <w:div w:id="45033182">
      <w:marLeft w:val="0"/>
      <w:marRight w:val="0"/>
      <w:marTop w:val="0"/>
      <w:marBottom w:val="0"/>
      <w:divBdr>
        <w:top w:val="none" w:sz="0" w:space="0" w:color="auto"/>
        <w:left w:val="none" w:sz="0" w:space="0" w:color="auto"/>
        <w:bottom w:val="none" w:sz="0" w:space="0" w:color="auto"/>
        <w:right w:val="none" w:sz="0" w:space="0" w:color="auto"/>
      </w:divBdr>
    </w:div>
    <w:div w:id="46952226">
      <w:bodyDiv w:val="1"/>
      <w:marLeft w:val="0"/>
      <w:marRight w:val="0"/>
      <w:marTop w:val="0"/>
      <w:marBottom w:val="0"/>
      <w:divBdr>
        <w:top w:val="none" w:sz="0" w:space="0" w:color="auto"/>
        <w:left w:val="none" w:sz="0" w:space="0" w:color="auto"/>
        <w:bottom w:val="none" w:sz="0" w:space="0" w:color="auto"/>
        <w:right w:val="none" w:sz="0" w:space="0" w:color="auto"/>
      </w:divBdr>
    </w:div>
    <w:div w:id="47800416">
      <w:marLeft w:val="0"/>
      <w:marRight w:val="0"/>
      <w:marTop w:val="0"/>
      <w:marBottom w:val="0"/>
      <w:divBdr>
        <w:top w:val="none" w:sz="0" w:space="0" w:color="auto"/>
        <w:left w:val="none" w:sz="0" w:space="0" w:color="auto"/>
        <w:bottom w:val="none" w:sz="0" w:space="0" w:color="auto"/>
        <w:right w:val="none" w:sz="0" w:space="0" w:color="auto"/>
      </w:divBdr>
    </w:div>
    <w:div w:id="49503399">
      <w:bodyDiv w:val="1"/>
      <w:marLeft w:val="0"/>
      <w:marRight w:val="0"/>
      <w:marTop w:val="0"/>
      <w:marBottom w:val="0"/>
      <w:divBdr>
        <w:top w:val="none" w:sz="0" w:space="0" w:color="auto"/>
        <w:left w:val="none" w:sz="0" w:space="0" w:color="auto"/>
        <w:bottom w:val="none" w:sz="0" w:space="0" w:color="auto"/>
        <w:right w:val="none" w:sz="0" w:space="0" w:color="auto"/>
      </w:divBdr>
    </w:div>
    <w:div w:id="55203820">
      <w:bodyDiv w:val="1"/>
      <w:marLeft w:val="0"/>
      <w:marRight w:val="0"/>
      <w:marTop w:val="0"/>
      <w:marBottom w:val="0"/>
      <w:divBdr>
        <w:top w:val="none" w:sz="0" w:space="0" w:color="auto"/>
        <w:left w:val="none" w:sz="0" w:space="0" w:color="auto"/>
        <w:bottom w:val="none" w:sz="0" w:space="0" w:color="auto"/>
        <w:right w:val="none" w:sz="0" w:space="0" w:color="auto"/>
      </w:divBdr>
    </w:div>
    <w:div w:id="56636494">
      <w:bodyDiv w:val="1"/>
      <w:marLeft w:val="0"/>
      <w:marRight w:val="0"/>
      <w:marTop w:val="0"/>
      <w:marBottom w:val="0"/>
      <w:divBdr>
        <w:top w:val="none" w:sz="0" w:space="0" w:color="auto"/>
        <w:left w:val="none" w:sz="0" w:space="0" w:color="auto"/>
        <w:bottom w:val="none" w:sz="0" w:space="0" w:color="auto"/>
        <w:right w:val="none" w:sz="0" w:space="0" w:color="auto"/>
      </w:divBdr>
    </w:div>
    <w:div w:id="57284506">
      <w:bodyDiv w:val="1"/>
      <w:marLeft w:val="0"/>
      <w:marRight w:val="0"/>
      <w:marTop w:val="0"/>
      <w:marBottom w:val="0"/>
      <w:divBdr>
        <w:top w:val="none" w:sz="0" w:space="0" w:color="auto"/>
        <w:left w:val="none" w:sz="0" w:space="0" w:color="auto"/>
        <w:bottom w:val="none" w:sz="0" w:space="0" w:color="auto"/>
        <w:right w:val="none" w:sz="0" w:space="0" w:color="auto"/>
      </w:divBdr>
    </w:div>
    <w:div w:id="57748434">
      <w:bodyDiv w:val="1"/>
      <w:marLeft w:val="0"/>
      <w:marRight w:val="0"/>
      <w:marTop w:val="0"/>
      <w:marBottom w:val="0"/>
      <w:divBdr>
        <w:top w:val="none" w:sz="0" w:space="0" w:color="auto"/>
        <w:left w:val="none" w:sz="0" w:space="0" w:color="auto"/>
        <w:bottom w:val="none" w:sz="0" w:space="0" w:color="auto"/>
        <w:right w:val="none" w:sz="0" w:space="0" w:color="auto"/>
      </w:divBdr>
    </w:div>
    <w:div w:id="58484074">
      <w:bodyDiv w:val="1"/>
      <w:marLeft w:val="0"/>
      <w:marRight w:val="0"/>
      <w:marTop w:val="0"/>
      <w:marBottom w:val="0"/>
      <w:divBdr>
        <w:top w:val="none" w:sz="0" w:space="0" w:color="auto"/>
        <w:left w:val="none" w:sz="0" w:space="0" w:color="auto"/>
        <w:bottom w:val="none" w:sz="0" w:space="0" w:color="auto"/>
        <w:right w:val="none" w:sz="0" w:space="0" w:color="auto"/>
      </w:divBdr>
    </w:div>
    <w:div w:id="60257731">
      <w:bodyDiv w:val="1"/>
      <w:marLeft w:val="0"/>
      <w:marRight w:val="0"/>
      <w:marTop w:val="0"/>
      <w:marBottom w:val="0"/>
      <w:divBdr>
        <w:top w:val="none" w:sz="0" w:space="0" w:color="auto"/>
        <w:left w:val="none" w:sz="0" w:space="0" w:color="auto"/>
        <w:bottom w:val="none" w:sz="0" w:space="0" w:color="auto"/>
        <w:right w:val="none" w:sz="0" w:space="0" w:color="auto"/>
      </w:divBdr>
    </w:div>
    <w:div w:id="62727348">
      <w:bodyDiv w:val="1"/>
      <w:marLeft w:val="0"/>
      <w:marRight w:val="0"/>
      <w:marTop w:val="0"/>
      <w:marBottom w:val="0"/>
      <w:divBdr>
        <w:top w:val="none" w:sz="0" w:space="0" w:color="auto"/>
        <w:left w:val="none" w:sz="0" w:space="0" w:color="auto"/>
        <w:bottom w:val="none" w:sz="0" w:space="0" w:color="auto"/>
        <w:right w:val="none" w:sz="0" w:space="0" w:color="auto"/>
      </w:divBdr>
    </w:div>
    <w:div w:id="64836673">
      <w:bodyDiv w:val="1"/>
      <w:marLeft w:val="0"/>
      <w:marRight w:val="0"/>
      <w:marTop w:val="0"/>
      <w:marBottom w:val="0"/>
      <w:divBdr>
        <w:top w:val="none" w:sz="0" w:space="0" w:color="auto"/>
        <w:left w:val="none" w:sz="0" w:space="0" w:color="auto"/>
        <w:bottom w:val="none" w:sz="0" w:space="0" w:color="auto"/>
        <w:right w:val="none" w:sz="0" w:space="0" w:color="auto"/>
      </w:divBdr>
    </w:div>
    <w:div w:id="65109229">
      <w:bodyDiv w:val="1"/>
      <w:marLeft w:val="0"/>
      <w:marRight w:val="0"/>
      <w:marTop w:val="0"/>
      <w:marBottom w:val="0"/>
      <w:divBdr>
        <w:top w:val="none" w:sz="0" w:space="0" w:color="auto"/>
        <w:left w:val="none" w:sz="0" w:space="0" w:color="auto"/>
        <w:bottom w:val="none" w:sz="0" w:space="0" w:color="auto"/>
        <w:right w:val="none" w:sz="0" w:space="0" w:color="auto"/>
      </w:divBdr>
    </w:div>
    <w:div w:id="65226795">
      <w:bodyDiv w:val="1"/>
      <w:marLeft w:val="0"/>
      <w:marRight w:val="0"/>
      <w:marTop w:val="0"/>
      <w:marBottom w:val="0"/>
      <w:divBdr>
        <w:top w:val="none" w:sz="0" w:space="0" w:color="auto"/>
        <w:left w:val="none" w:sz="0" w:space="0" w:color="auto"/>
        <w:bottom w:val="none" w:sz="0" w:space="0" w:color="auto"/>
        <w:right w:val="none" w:sz="0" w:space="0" w:color="auto"/>
      </w:divBdr>
    </w:div>
    <w:div w:id="65301203">
      <w:bodyDiv w:val="1"/>
      <w:marLeft w:val="0"/>
      <w:marRight w:val="0"/>
      <w:marTop w:val="0"/>
      <w:marBottom w:val="0"/>
      <w:divBdr>
        <w:top w:val="none" w:sz="0" w:space="0" w:color="auto"/>
        <w:left w:val="none" w:sz="0" w:space="0" w:color="auto"/>
        <w:bottom w:val="none" w:sz="0" w:space="0" w:color="auto"/>
        <w:right w:val="none" w:sz="0" w:space="0" w:color="auto"/>
      </w:divBdr>
    </w:div>
    <w:div w:id="66391693">
      <w:bodyDiv w:val="1"/>
      <w:marLeft w:val="0"/>
      <w:marRight w:val="0"/>
      <w:marTop w:val="0"/>
      <w:marBottom w:val="0"/>
      <w:divBdr>
        <w:top w:val="none" w:sz="0" w:space="0" w:color="auto"/>
        <w:left w:val="none" w:sz="0" w:space="0" w:color="auto"/>
        <w:bottom w:val="none" w:sz="0" w:space="0" w:color="auto"/>
        <w:right w:val="none" w:sz="0" w:space="0" w:color="auto"/>
      </w:divBdr>
    </w:div>
    <w:div w:id="67727616">
      <w:bodyDiv w:val="1"/>
      <w:marLeft w:val="0"/>
      <w:marRight w:val="0"/>
      <w:marTop w:val="0"/>
      <w:marBottom w:val="0"/>
      <w:divBdr>
        <w:top w:val="none" w:sz="0" w:space="0" w:color="auto"/>
        <w:left w:val="none" w:sz="0" w:space="0" w:color="auto"/>
        <w:bottom w:val="none" w:sz="0" w:space="0" w:color="auto"/>
        <w:right w:val="none" w:sz="0" w:space="0" w:color="auto"/>
      </w:divBdr>
    </w:div>
    <w:div w:id="68116455">
      <w:bodyDiv w:val="1"/>
      <w:marLeft w:val="0"/>
      <w:marRight w:val="0"/>
      <w:marTop w:val="0"/>
      <w:marBottom w:val="0"/>
      <w:divBdr>
        <w:top w:val="none" w:sz="0" w:space="0" w:color="auto"/>
        <w:left w:val="none" w:sz="0" w:space="0" w:color="auto"/>
        <w:bottom w:val="none" w:sz="0" w:space="0" w:color="auto"/>
        <w:right w:val="none" w:sz="0" w:space="0" w:color="auto"/>
      </w:divBdr>
    </w:div>
    <w:div w:id="69933581">
      <w:bodyDiv w:val="1"/>
      <w:marLeft w:val="0"/>
      <w:marRight w:val="0"/>
      <w:marTop w:val="0"/>
      <w:marBottom w:val="0"/>
      <w:divBdr>
        <w:top w:val="none" w:sz="0" w:space="0" w:color="auto"/>
        <w:left w:val="none" w:sz="0" w:space="0" w:color="auto"/>
        <w:bottom w:val="none" w:sz="0" w:space="0" w:color="auto"/>
        <w:right w:val="none" w:sz="0" w:space="0" w:color="auto"/>
      </w:divBdr>
    </w:div>
    <w:div w:id="70008035">
      <w:bodyDiv w:val="1"/>
      <w:marLeft w:val="0"/>
      <w:marRight w:val="0"/>
      <w:marTop w:val="0"/>
      <w:marBottom w:val="0"/>
      <w:divBdr>
        <w:top w:val="none" w:sz="0" w:space="0" w:color="auto"/>
        <w:left w:val="none" w:sz="0" w:space="0" w:color="auto"/>
        <w:bottom w:val="none" w:sz="0" w:space="0" w:color="auto"/>
        <w:right w:val="none" w:sz="0" w:space="0" w:color="auto"/>
      </w:divBdr>
    </w:div>
    <w:div w:id="71978141">
      <w:bodyDiv w:val="1"/>
      <w:marLeft w:val="0"/>
      <w:marRight w:val="0"/>
      <w:marTop w:val="0"/>
      <w:marBottom w:val="0"/>
      <w:divBdr>
        <w:top w:val="none" w:sz="0" w:space="0" w:color="auto"/>
        <w:left w:val="none" w:sz="0" w:space="0" w:color="auto"/>
        <w:bottom w:val="none" w:sz="0" w:space="0" w:color="auto"/>
        <w:right w:val="none" w:sz="0" w:space="0" w:color="auto"/>
      </w:divBdr>
    </w:div>
    <w:div w:id="72044858">
      <w:marLeft w:val="0"/>
      <w:marRight w:val="0"/>
      <w:marTop w:val="0"/>
      <w:marBottom w:val="0"/>
      <w:divBdr>
        <w:top w:val="none" w:sz="0" w:space="0" w:color="auto"/>
        <w:left w:val="none" w:sz="0" w:space="0" w:color="auto"/>
        <w:bottom w:val="none" w:sz="0" w:space="0" w:color="auto"/>
        <w:right w:val="none" w:sz="0" w:space="0" w:color="auto"/>
      </w:divBdr>
    </w:div>
    <w:div w:id="74131752">
      <w:bodyDiv w:val="1"/>
      <w:marLeft w:val="0"/>
      <w:marRight w:val="0"/>
      <w:marTop w:val="0"/>
      <w:marBottom w:val="0"/>
      <w:divBdr>
        <w:top w:val="none" w:sz="0" w:space="0" w:color="auto"/>
        <w:left w:val="none" w:sz="0" w:space="0" w:color="auto"/>
        <w:bottom w:val="none" w:sz="0" w:space="0" w:color="auto"/>
        <w:right w:val="none" w:sz="0" w:space="0" w:color="auto"/>
      </w:divBdr>
    </w:div>
    <w:div w:id="74935461">
      <w:bodyDiv w:val="1"/>
      <w:marLeft w:val="0"/>
      <w:marRight w:val="0"/>
      <w:marTop w:val="0"/>
      <w:marBottom w:val="0"/>
      <w:divBdr>
        <w:top w:val="none" w:sz="0" w:space="0" w:color="auto"/>
        <w:left w:val="none" w:sz="0" w:space="0" w:color="auto"/>
        <w:bottom w:val="none" w:sz="0" w:space="0" w:color="auto"/>
        <w:right w:val="none" w:sz="0" w:space="0" w:color="auto"/>
      </w:divBdr>
    </w:div>
    <w:div w:id="75443037">
      <w:bodyDiv w:val="1"/>
      <w:marLeft w:val="0"/>
      <w:marRight w:val="0"/>
      <w:marTop w:val="0"/>
      <w:marBottom w:val="0"/>
      <w:divBdr>
        <w:top w:val="none" w:sz="0" w:space="0" w:color="auto"/>
        <w:left w:val="none" w:sz="0" w:space="0" w:color="auto"/>
        <w:bottom w:val="none" w:sz="0" w:space="0" w:color="auto"/>
        <w:right w:val="none" w:sz="0" w:space="0" w:color="auto"/>
      </w:divBdr>
    </w:div>
    <w:div w:id="75589350">
      <w:bodyDiv w:val="1"/>
      <w:marLeft w:val="0"/>
      <w:marRight w:val="0"/>
      <w:marTop w:val="0"/>
      <w:marBottom w:val="0"/>
      <w:divBdr>
        <w:top w:val="none" w:sz="0" w:space="0" w:color="auto"/>
        <w:left w:val="none" w:sz="0" w:space="0" w:color="auto"/>
        <w:bottom w:val="none" w:sz="0" w:space="0" w:color="auto"/>
        <w:right w:val="none" w:sz="0" w:space="0" w:color="auto"/>
      </w:divBdr>
    </w:div>
    <w:div w:id="79645824">
      <w:bodyDiv w:val="1"/>
      <w:marLeft w:val="0"/>
      <w:marRight w:val="0"/>
      <w:marTop w:val="0"/>
      <w:marBottom w:val="0"/>
      <w:divBdr>
        <w:top w:val="none" w:sz="0" w:space="0" w:color="auto"/>
        <w:left w:val="none" w:sz="0" w:space="0" w:color="auto"/>
        <w:bottom w:val="none" w:sz="0" w:space="0" w:color="auto"/>
        <w:right w:val="none" w:sz="0" w:space="0" w:color="auto"/>
      </w:divBdr>
    </w:div>
    <w:div w:id="79915217">
      <w:bodyDiv w:val="1"/>
      <w:marLeft w:val="0"/>
      <w:marRight w:val="0"/>
      <w:marTop w:val="0"/>
      <w:marBottom w:val="0"/>
      <w:divBdr>
        <w:top w:val="none" w:sz="0" w:space="0" w:color="auto"/>
        <w:left w:val="none" w:sz="0" w:space="0" w:color="auto"/>
        <w:bottom w:val="none" w:sz="0" w:space="0" w:color="auto"/>
        <w:right w:val="none" w:sz="0" w:space="0" w:color="auto"/>
      </w:divBdr>
    </w:div>
    <w:div w:id="81416221">
      <w:bodyDiv w:val="1"/>
      <w:marLeft w:val="0"/>
      <w:marRight w:val="0"/>
      <w:marTop w:val="0"/>
      <w:marBottom w:val="0"/>
      <w:divBdr>
        <w:top w:val="none" w:sz="0" w:space="0" w:color="auto"/>
        <w:left w:val="none" w:sz="0" w:space="0" w:color="auto"/>
        <w:bottom w:val="none" w:sz="0" w:space="0" w:color="auto"/>
        <w:right w:val="none" w:sz="0" w:space="0" w:color="auto"/>
      </w:divBdr>
    </w:div>
    <w:div w:id="81801079">
      <w:bodyDiv w:val="1"/>
      <w:marLeft w:val="0"/>
      <w:marRight w:val="0"/>
      <w:marTop w:val="0"/>
      <w:marBottom w:val="0"/>
      <w:divBdr>
        <w:top w:val="none" w:sz="0" w:space="0" w:color="auto"/>
        <w:left w:val="none" w:sz="0" w:space="0" w:color="auto"/>
        <w:bottom w:val="none" w:sz="0" w:space="0" w:color="auto"/>
        <w:right w:val="none" w:sz="0" w:space="0" w:color="auto"/>
      </w:divBdr>
    </w:div>
    <w:div w:id="81877497">
      <w:bodyDiv w:val="1"/>
      <w:marLeft w:val="0"/>
      <w:marRight w:val="0"/>
      <w:marTop w:val="0"/>
      <w:marBottom w:val="0"/>
      <w:divBdr>
        <w:top w:val="none" w:sz="0" w:space="0" w:color="auto"/>
        <w:left w:val="none" w:sz="0" w:space="0" w:color="auto"/>
        <w:bottom w:val="none" w:sz="0" w:space="0" w:color="auto"/>
        <w:right w:val="none" w:sz="0" w:space="0" w:color="auto"/>
      </w:divBdr>
    </w:div>
    <w:div w:id="82578176">
      <w:bodyDiv w:val="1"/>
      <w:marLeft w:val="0"/>
      <w:marRight w:val="0"/>
      <w:marTop w:val="0"/>
      <w:marBottom w:val="0"/>
      <w:divBdr>
        <w:top w:val="none" w:sz="0" w:space="0" w:color="auto"/>
        <w:left w:val="none" w:sz="0" w:space="0" w:color="auto"/>
        <w:bottom w:val="none" w:sz="0" w:space="0" w:color="auto"/>
        <w:right w:val="none" w:sz="0" w:space="0" w:color="auto"/>
      </w:divBdr>
    </w:div>
    <w:div w:id="82844921">
      <w:marLeft w:val="0"/>
      <w:marRight w:val="0"/>
      <w:marTop w:val="0"/>
      <w:marBottom w:val="0"/>
      <w:divBdr>
        <w:top w:val="none" w:sz="0" w:space="0" w:color="auto"/>
        <w:left w:val="none" w:sz="0" w:space="0" w:color="auto"/>
        <w:bottom w:val="none" w:sz="0" w:space="0" w:color="auto"/>
        <w:right w:val="none" w:sz="0" w:space="0" w:color="auto"/>
      </w:divBdr>
    </w:div>
    <w:div w:id="84352008">
      <w:bodyDiv w:val="1"/>
      <w:marLeft w:val="0"/>
      <w:marRight w:val="0"/>
      <w:marTop w:val="0"/>
      <w:marBottom w:val="0"/>
      <w:divBdr>
        <w:top w:val="none" w:sz="0" w:space="0" w:color="auto"/>
        <w:left w:val="none" w:sz="0" w:space="0" w:color="auto"/>
        <w:bottom w:val="none" w:sz="0" w:space="0" w:color="auto"/>
        <w:right w:val="none" w:sz="0" w:space="0" w:color="auto"/>
      </w:divBdr>
    </w:div>
    <w:div w:id="87045191">
      <w:bodyDiv w:val="1"/>
      <w:marLeft w:val="0"/>
      <w:marRight w:val="0"/>
      <w:marTop w:val="0"/>
      <w:marBottom w:val="0"/>
      <w:divBdr>
        <w:top w:val="none" w:sz="0" w:space="0" w:color="auto"/>
        <w:left w:val="none" w:sz="0" w:space="0" w:color="auto"/>
        <w:bottom w:val="none" w:sz="0" w:space="0" w:color="auto"/>
        <w:right w:val="none" w:sz="0" w:space="0" w:color="auto"/>
      </w:divBdr>
    </w:div>
    <w:div w:id="87193424">
      <w:bodyDiv w:val="1"/>
      <w:marLeft w:val="0"/>
      <w:marRight w:val="0"/>
      <w:marTop w:val="0"/>
      <w:marBottom w:val="0"/>
      <w:divBdr>
        <w:top w:val="none" w:sz="0" w:space="0" w:color="auto"/>
        <w:left w:val="none" w:sz="0" w:space="0" w:color="auto"/>
        <w:bottom w:val="none" w:sz="0" w:space="0" w:color="auto"/>
        <w:right w:val="none" w:sz="0" w:space="0" w:color="auto"/>
      </w:divBdr>
    </w:div>
    <w:div w:id="89544871">
      <w:bodyDiv w:val="1"/>
      <w:marLeft w:val="0"/>
      <w:marRight w:val="0"/>
      <w:marTop w:val="0"/>
      <w:marBottom w:val="0"/>
      <w:divBdr>
        <w:top w:val="none" w:sz="0" w:space="0" w:color="auto"/>
        <w:left w:val="none" w:sz="0" w:space="0" w:color="auto"/>
        <w:bottom w:val="none" w:sz="0" w:space="0" w:color="auto"/>
        <w:right w:val="none" w:sz="0" w:space="0" w:color="auto"/>
      </w:divBdr>
    </w:div>
    <w:div w:id="93400035">
      <w:marLeft w:val="0"/>
      <w:marRight w:val="0"/>
      <w:marTop w:val="0"/>
      <w:marBottom w:val="0"/>
      <w:divBdr>
        <w:top w:val="none" w:sz="0" w:space="0" w:color="auto"/>
        <w:left w:val="none" w:sz="0" w:space="0" w:color="auto"/>
        <w:bottom w:val="none" w:sz="0" w:space="0" w:color="auto"/>
        <w:right w:val="none" w:sz="0" w:space="0" w:color="auto"/>
      </w:divBdr>
    </w:div>
    <w:div w:id="94717513">
      <w:bodyDiv w:val="1"/>
      <w:marLeft w:val="0"/>
      <w:marRight w:val="0"/>
      <w:marTop w:val="0"/>
      <w:marBottom w:val="0"/>
      <w:divBdr>
        <w:top w:val="none" w:sz="0" w:space="0" w:color="auto"/>
        <w:left w:val="none" w:sz="0" w:space="0" w:color="auto"/>
        <w:bottom w:val="none" w:sz="0" w:space="0" w:color="auto"/>
        <w:right w:val="none" w:sz="0" w:space="0" w:color="auto"/>
      </w:divBdr>
    </w:div>
    <w:div w:id="103381695">
      <w:bodyDiv w:val="1"/>
      <w:marLeft w:val="0"/>
      <w:marRight w:val="0"/>
      <w:marTop w:val="0"/>
      <w:marBottom w:val="0"/>
      <w:divBdr>
        <w:top w:val="none" w:sz="0" w:space="0" w:color="auto"/>
        <w:left w:val="none" w:sz="0" w:space="0" w:color="auto"/>
        <w:bottom w:val="none" w:sz="0" w:space="0" w:color="auto"/>
        <w:right w:val="none" w:sz="0" w:space="0" w:color="auto"/>
      </w:divBdr>
    </w:div>
    <w:div w:id="104539834">
      <w:bodyDiv w:val="1"/>
      <w:marLeft w:val="0"/>
      <w:marRight w:val="0"/>
      <w:marTop w:val="0"/>
      <w:marBottom w:val="0"/>
      <w:divBdr>
        <w:top w:val="none" w:sz="0" w:space="0" w:color="auto"/>
        <w:left w:val="none" w:sz="0" w:space="0" w:color="auto"/>
        <w:bottom w:val="none" w:sz="0" w:space="0" w:color="auto"/>
        <w:right w:val="none" w:sz="0" w:space="0" w:color="auto"/>
      </w:divBdr>
    </w:div>
    <w:div w:id="107041898">
      <w:bodyDiv w:val="1"/>
      <w:marLeft w:val="0"/>
      <w:marRight w:val="0"/>
      <w:marTop w:val="0"/>
      <w:marBottom w:val="0"/>
      <w:divBdr>
        <w:top w:val="none" w:sz="0" w:space="0" w:color="auto"/>
        <w:left w:val="none" w:sz="0" w:space="0" w:color="auto"/>
        <w:bottom w:val="none" w:sz="0" w:space="0" w:color="auto"/>
        <w:right w:val="none" w:sz="0" w:space="0" w:color="auto"/>
      </w:divBdr>
    </w:div>
    <w:div w:id="107162602">
      <w:bodyDiv w:val="1"/>
      <w:marLeft w:val="0"/>
      <w:marRight w:val="0"/>
      <w:marTop w:val="0"/>
      <w:marBottom w:val="0"/>
      <w:divBdr>
        <w:top w:val="none" w:sz="0" w:space="0" w:color="auto"/>
        <w:left w:val="none" w:sz="0" w:space="0" w:color="auto"/>
        <w:bottom w:val="none" w:sz="0" w:space="0" w:color="auto"/>
        <w:right w:val="none" w:sz="0" w:space="0" w:color="auto"/>
      </w:divBdr>
    </w:div>
    <w:div w:id="108596098">
      <w:bodyDiv w:val="1"/>
      <w:marLeft w:val="0"/>
      <w:marRight w:val="0"/>
      <w:marTop w:val="0"/>
      <w:marBottom w:val="0"/>
      <w:divBdr>
        <w:top w:val="none" w:sz="0" w:space="0" w:color="auto"/>
        <w:left w:val="none" w:sz="0" w:space="0" w:color="auto"/>
        <w:bottom w:val="none" w:sz="0" w:space="0" w:color="auto"/>
        <w:right w:val="none" w:sz="0" w:space="0" w:color="auto"/>
      </w:divBdr>
    </w:div>
    <w:div w:id="109015015">
      <w:bodyDiv w:val="1"/>
      <w:marLeft w:val="0"/>
      <w:marRight w:val="0"/>
      <w:marTop w:val="0"/>
      <w:marBottom w:val="0"/>
      <w:divBdr>
        <w:top w:val="none" w:sz="0" w:space="0" w:color="auto"/>
        <w:left w:val="none" w:sz="0" w:space="0" w:color="auto"/>
        <w:bottom w:val="none" w:sz="0" w:space="0" w:color="auto"/>
        <w:right w:val="none" w:sz="0" w:space="0" w:color="auto"/>
      </w:divBdr>
    </w:div>
    <w:div w:id="109249907">
      <w:bodyDiv w:val="1"/>
      <w:marLeft w:val="0"/>
      <w:marRight w:val="0"/>
      <w:marTop w:val="0"/>
      <w:marBottom w:val="0"/>
      <w:divBdr>
        <w:top w:val="none" w:sz="0" w:space="0" w:color="auto"/>
        <w:left w:val="none" w:sz="0" w:space="0" w:color="auto"/>
        <w:bottom w:val="none" w:sz="0" w:space="0" w:color="auto"/>
        <w:right w:val="none" w:sz="0" w:space="0" w:color="auto"/>
      </w:divBdr>
    </w:div>
    <w:div w:id="110100936">
      <w:bodyDiv w:val="1"/>
      <w:marLeft w:val="0"/>
      <w:marRight w:val="0"/>
      <w:marTop w:val="0"/>
      <w:marBottom w:val="0"/>
      <w:divBdr>
        <w:top w:val="none" w:sz="0" w:space="0" w:color="auto"/>
        <w:left w:val="none" w:sz="0" w:space="0" w:color="auto"/>
        <w:bottom w:val="none" w:sz="0" w:space="0" w:color="auto"/>
        <w:right w:val="none" w:sz="0" w:space="0" w:color="auto"/>
      </w:divBdr>
    </w:div>
    <w:div w:id="115374851">
      <w:bodyDiv w:val="1"/>
      <w:marLeft w:val="0"/>
      <w:marRight w:val="0"/>
      <w:marTop w:val="0"/>
      <w:marBottom w:val="0"/>
      <w:divBdr>
        <w:top w:val="none" w:sz="0" w:space="0" w:color="auto"/>
        <w:left w:val="none" w:sz="0" w:space="0" w:color="auto"/>
        <w:bottom w:val="none" w:sz="0" w:space="0" w:color="auto"/>
        <w:right w:val="none" w:sz="0" w:space="0" w:color="auto"/>
      </w:divBdr>
    </w:div>
    <w:div w:id="118501746">
      <w:bodyDiv w:val="1"/>
      <w:marLeft w:val="0"/>
      <w:marRight w:val="0"/>
      <w:marTop w:val="0"/>
      <w:marBottom w:val="0"/>
      <w:divBdr>
        <w:top w:val="none" w:sz="0" w:space="0" w:color="auto"/>
        <w:left w:val="none" w:sz="0" w:space="0" w:color="auto"/>
        <w:bottom w:val="none" w:sz="0" w:space="0" w:color="auto"/>
        <w:right w:val="none" w:sz="0" w:space="0" w:color="auto"/>
      </w:divBdr>
    </w:div>
    <w:div w:id="127018785">
      <w:bodyDiv w:val="1"/>
      <w:marLeft w:val="0"/>
      <w:marRight w:val="0"/>
      <w:marTop w:val="0"/>
      <w:marBottom w:val="0"/>
      <w:divBdr>
        <w:top w:val="none" w:sz="0" w:space="0" w:color="auto"/>
        <w:left w:val="none" w:sz="0" w:space="0" w:color="auto"/>
        <w:bottom w:val="none" w:sz="0" w:space="0" w:color="auto"/>
        <w:right w:val="none" w:sz="0" w:space="0" w:color="auto"/>
      </w:divBdr>
    </w:div>
    <w:div w:id="128212237">
      <w:bodyDiv w:val="1"/>
      <w:marLeft w:val="0"/>
      <w:marRight w:val="0"/>
      <w:marTop w:val="0"/>
      <w:marBottom w:val="0"/>
      <w:divBdr>
        <w:top w:val="none" w:sz="0" w:space="0" w:color="auto"/>
        <w:left w:val="none" w:sz="0" w:space="0" w:color="auto"/>
        <w:bottom w:val="none" w:sz="0" w:space="0" w:color="auto"/>
        <w:right w:val="none" w:sz="0" w:space="0" w:color="auto"/>
      </w:divBdr>
    </w:div>
    <w:div w:id="131560325">
      <w:bodyDiv w:val="1"/>
      <w:marLeft w:val="0"/>
      <w:marRight w:val="0"/>
      <w:marTop w:val="0"/>
      <w:marBottom w:val="0"/>
      <w:divBdr>
        <w:top w:val="none" w:sz="0" w:space="0" w:color="auto"/>
        <w:left w:val="none" w:sz="0" w:space="0" w:color="auto"/>
        <w:bottom w:val="none" w:sz="0" w:space="0" w:color="auto"/>
        <w:right w:val="none" w:sz="0" w:space="0" w:color="auto"/>
      </w:divBdr>
    </w:div>
    <w:div w:id="138769308">
      <w:bodyDiv w:val="1"/>
      <w:marLeft w:val="0"/>
      <w:marRight w:val="0"/>
      <w:marTop w:val="0"/>
      <w:marBottom w:val="0"/>
      <w:divBdr>
        <w:top w:val="none" w:sz="0" w:space="0" w:color="auto"/>
        <w:left w:val="none" w:sz="0" w:space="0" w:color="auto"/>
        <w:bottom w:val="none" w:sz="0" w:space="0" w:color="auto"/>
        <w:right w:val="none" w:sz="0" w:space="0" w:color="auto"/>
      </w:divBdr>
    </w:div>
    <w:div w:id="142090267">
      <w:bodyDiv w:val="1"/>
      <w:marLeft w:val="0"/>
      <w:marRight w:val="0"/>
      <w:marTop w:val="0"/>
      <w:marBottom w:val="0"/>
      <w:divBdr>
        <w:top w:val="none" w:sz="0" w:space="0" w:color="auto"/>
        <w:left w:val="none" w:sz="0" w:space="0" w:color="auto"/>
        <w:bottom w:val="none" w:sz="0" w:space="0" w:color="auto"/>
        <w:right w:val="none" w:sz="0" w:space="0" w:color="auto"/>
      </w:divBdr>
    </w:div>
    <w:div w:id="143090659">
      <w:bodyDiv w:val="1"/>
      <w:marLeft w:val="0"/>
      <w:marRight w:val="0"/>
      <w:marTop w:val="0"/>
      <w:marBottom w:val="0"/>
      <w:divBdr>
        <w:top w:val="none" w:sz="0" w:space="0" w:color="auto"/>
        <w:left w:val="none" w:sz="0" w:space="0" w:color="auto"/>
        <w:bottom w:val="none" w:sz="0" w:space="0" w:color="auto"/>
        <w:right w:val="none" w:sz="0" w:space="0" w:color="auto"/>
      </w:divBdr>
    </w:div>
    <w:div w:id="143787000">
      <w:bodyDiv w:val="1"/>
      <w:marLeft w:val="0"/>
      <w:marRight w:val="0"/>
      <w:marTop w:val="0"/>
      <w:marBottom w:val="0"/>
      <w:divBdr>
        <w:top w:val="none" w:sz="0" w:space="0" w:color="auto"/>
        <w:left w:val="none" w:sz="0" w:space="0" w:color="auto"/>
        <w:bottom w:val="none" w:sz="0" w:space="0" w:color="auto"/>
        <w:right w:val="none" w:sz="0" w:space="0" w:color="auto"/>
      </w:divBdr>
    </w:div>
    <w:div w:id="144048764">
      <w:bodyDiv w:val="1"/>
      <w:marLeft w:val="0"/>
      <w:marRight w:val="0"/>
      <w:marTop w:val="0"/>
      <w:marBottom w:val="0"/>
      <w:divBdr>
        <w:top w:val="none" w:sz="0" w:space="0" w:color="auto"/>
        <w:left w:val="none" w:sz="0" w:space="0" w:color="auto"/>
        <w:bottom w:val="none" w:sz="0" w:space="0" w:color="auto"/>
        <w:right w:val="none" w:sz="0" w:space="0" w:color="auto"/>
      </w:divBdr>
    </w:div>
    <w:div w:id="145709826">
      <w:marLeft w:val="0"/>
      <w:marRight w:val="0"/>
      <w:marTop w:val="0"/>
      <w:marBottom w:val="0"/>
      <w:divBdr>
        <w:top w:val="none" w:sz="0" w:space="0" w:color="auto"/>
        <w:left w:val="none" w:sz="0" w:space="0" w:color="auto"/>
        <w:bottom w:val="none" w:sz="0" w:space="0" w:color="auto"/>
        <w:right w:val="none" w:sz="0" w:space="0" w:color="auto"/>
      </w:divBdr>
    </w:div>
    <w:div w:id="146439627">
      <w:bodyDiv w:val="1"/>
      <w:marLeft w:val="0"/>
      <w:marRight w:val="0"/>
      <w:marTop w:val="0"/>
      <w:marBottom w:val="0"/>
      <w:divBdr>
        <w:top w:val="none" w:sz="0" w:space="0" w:color="auto"/>
        <w:left w:val="none" w:sz="0" w:space="0" w:color="auto"/>
        <w:bottom w:val="none" w:sz="0" w:space="0" w:color="auto"/>
        <w:right w:val="none" w:sz="0" w:space="0" w:color="auto"/>
      </w:divBdr>
    </w:div>
    <w:div w:id="151725173">
      <w:bodyDiv w:val="1"/>
      <w:marLeft w:val="0"/>
      <w:marRight w:val="0"/>
      <w:marTop w:val="0"/>
      <w:marBottom w:val="0"/>
      <w:divBdr>
        <w:top w:val="none" w:sz="0" w:space="0" w:color="auto"/>
        <w:left w:val="none" w:sz="0" w:space="0" w:color="auto"/>
        <w:bottom w:val="none" w:sz="0" w:space="0" w:color="auto"/>
        <w:right w:val="none" w:sz="0" w:space="0" w:color="auto"/>
      </w:divBdr>
    </w:div>
    <w:div w:id="152336929">
      <w:bodyDiv w:val="1"/>
      <w:marLeft w:val="0"/>
      <w:marRight w:val="0"/>
      <w:marTop w:val="0"/>
      <w:marBottom w:val="0"/>
      <w:divBdr>
        <w:top w:val="none" w:sz="0" w:space="0" w:color="auto"/>
        <w:left w:val="none" w:sz="0" w:space="0" w:color="auto"/>
        <w:bottom w:val="none" w:sz="0" w:space="0" w:color="auto"/>
        <w:right w:val="none" w:sz="0" w:space="0" w:color="auto"/>
      </w:divBdr>
    </w:div>
    <w:div w:id="162166479">
      <w:bodyDiv w:val="1"/>
      <w:marLeft w:val="0"/>
      <w:marRight w:val="0"/>
      <w:marTop w:val="0"/>
      <w:marBottom w:val="0"/>
      <w:divBdr>
        <w:top w:val="none" w:sz="0" w:space="0" w:color="auto"/>
        <w:left w:val="none" w:sz="0" w:space="0" w:color="auto"/>
        <w:bottom w:val="none" w:sz="0" w:space="0" w:color="auto"/>
        <w:right w:val="none" w:sz="0" w:space="0" w:color="auto"/>
      </w:divBdr>
    </w:div>
    <w:div w:id="164320994">
      <w:bodyDiv w:val="1"/>
      <w:marLeft w:val="0"/>
      <w:marRight w:val="0"/>
      <w:marTop w:val="0"/>
      <w:marBottom w:val="0"/>
      <w:divBdr>
        <w:top w:val="none" w:sz="0" w:space="0" w:color="auto"/>
        <w:left w:val="none" w:sz="0" w:space="0" w:color="auto"/>
        <w:bottom w:val="none" w:sz="0" w:space="0" w:color="auto"/>
        <w:right w:val="none" w:sz="0" w:space="0" w:color="auto"/>
      </w:divBdr>
    </w:div>
    <w:div w:id="168570683">
      <w:bodyDiv w:val="1"/>
      <w:marLeft w:val="0"/>
      <w:marRight w:val="0"/>
      <w:marTop w:val="0"/>
      <w:marBottom w:val="0"/>
      <w:divBdr>
        <w:top w:val="none" w:sz="0" w:space="0" w:color="auto"/>
        <w:left w:val="none" w:sz="0" w:space="0" w:color="auto"/>
        <w:bottom w:val="none" w:sz="0" w:space="0" w:color="auto"/>
        <w:right w:val="none" w:sz="0" w:space="0" w:color="auto"/>
      </w:divBdr>
    </w:div>
    <w:div w:id="168831557">
      <w:bodyDiv w:val="1"/>
      <w:marLeft w:val="0"/>
      <w:marRight w:val="0"/>
      <w:marTop w:val="0"/>
      <w:marBottom w:val="0"/>
      <w:divBdr>
        <w:top w:val="none" w:sz="0" w:space="0" w:color="auto"/>
        <w:left w:val="none" w:sz="0" w:space="0" w:color="auto"/>
        <w:bottom w:val="none" w:sz="0" w:space="0" w:color="auto"/>
        <w:right w:val="none" w:sz="0" w:space="0" w:color="auto"/>
      </w:divBdr>
    </w:div>
    <w:div w:id="175924344">
      <w:marLeft w:val="0"/>
      <w:marRight w:val="0"/>
      <w:marTop w:val="0"/>
      <w:marBottom w:val="0"/>
      <w:divBdr>
        <w:top w:val="none" w:sz="0" w:space="0" w:color="auto"/>
        <w:left w:val="none" w:sz="0" w:space="0" w:color="auto"/>
        <w:bottom w:val="none" w:sz="0" w:space="0" w:color="auto"/>
        <w:right w:val="none" w:sz="0" w:space="0" w:color="auto"/>
      </w:divBdr>
    </w:div>
    <w:div w:id="176235483">
      <w:bodyDiv w:val="1"/>
      <w:marLeft w:val="0"/>
      <w:marRight w:val="0"/>
      <w:marTop w:val="0"/>
      <w:marBottom w:val="0"/>
      <w:divBdr>
        <w:top w:val="none" w:sz="0" w:space="0" w:color="auto"/>
        <w:left w:val="none" w:sz="0" w:space="0" w:color="auto"/>
        <w:bottom w:val="none" w:sz="0" w:space="0" w:color="auto"/>
        <w:right w:val="none" w:sz="0" w:space="0" w:color="auto"/>
      </w:divBdr>
    </w:div>
    <w:div w:id="177040402">
      <w:bodyDiv w:val="1"/>
      <w:marLeft w:val="0"/>
      <w:marRight w:val="0"/>
      <w:marTop w:val="0"/>
      <w:marBottom w:val="0"/>
      <w:divBdr>
        <w:top w:val="none" w:sz="0" w:space="0" w:color="auto"/>
        <w:left w:val="none" w:sz="0" w:space="0" w:color="auto"/>
        <w:bottom w:val="none" w:sz="0" w:space="0" w:color="auto"/>
        <w:right w:val="none" w:sz="0" w:space="0" w:color="auto"/>
      </w:divBdr>
    </w:div>
    <w:div w:id="177237003">
      <w:bodyDiv w:val="1"/>
      <w:marLeft w:val="0"/>
      <w:marRight w:val="0"/>
      <w:marTop w:val="0"/>
      <w:marBottom w:val="0"/>
      <w:divBdr>
        <w:top w:val="none" w:sz="0" w:space="0" w:color="auto"/>
        <w:left w:val="none" w:sz="0" w:space="0" w:color="auto"/>
        <w:bottom w:val="none" w:sz="0" w:space="0" w:color="auto"/>
        <w:right w:val="none" w:sz="0" w:space="0" w:color="auto"/>
      </w:divBdr>
    </w:div>
    <w:div w:id="179010198">
      <w:bodyDiv w:val="1"/>
      <w:marLeft w:val="0"/>
      <w:marRight w:val="0"/>
      <w:marTop w:val="0"/>
      <w:marBottom w:val="0"/>
      <w:divBdr>
        <w:top w:val="none" w:sz="0" w:space="0" w:color="auto"/>
        <w:left w:val="none" w:sz="0" w:space="0" w:color="auto"/>
        <w:bottom w:val="none" w:sz="0" w:space="0" w:color="auto"/>
        <w:right w:val="none" w:sz="0" w:space="0" w:color="auto"/>
      </w:divBdr>
    </w:div>
    <w:div w:id="184831514">
      <w:bodyDiv w:val="1"/>
      <w:marLeft w:val="0"/>
      <w:marRight w:val="0"/>
      <w:marTop w:val="0"/>
      <w:marBottom w:val="0"/>
      <w:divBdr>
        <w:top w:val="none" w:sz="0" w:space="0" w:color="auto"/>
        <w:left w:val="none" w:sz="0" w:space="0" w:color="auto"/>
        <w:bottom w:val="none" w:sz="0" w:space="0" w:color="auto"/>
        <w:right w:val="none" w:sz="0" w:space="0" w:color="auto"/>
      </w:divBdr>
    </w:div>
    <w:div w:id="187841932">
      <w:marLeft w:val="0"/>
      <w:marRight w:val="0"/>
      <w:marTop w:val="0"/>
      <w:marBottom w:val="0"/>
      <w:divBdr>
        <w:top w:val="none" w:sz="0" w:space="0" w:color="auto"/>
        <w:left w:val="none" w:sz="0" w:space="0" w:color="auto"/>
        <w:bottom w:val="none" w:sz="0" w:space="0" w:color="auto"/>
        <w:right w:val="none" w:sz="0" w:space="0" w:color="auto"/>
      </w:divBdr>
    </w:div>
    <w:div w:id="190386618">
      <w:bodyDiv w:val="1"/>
      <w:marLeft w:val="0"/>
      <w:marRight w:val="0"/>
      <w:marTop w:val="0"/>
      <w:marBottom w:val="0"/>
      <w:divBdr>
        <w:top w:val="none" w:sz="0" w:space="0" w:color="auto"/>
        <w:left w:val="none" w:sz="0" w:space="0" w:color="auto"/>
        <w:bottom w:val="none" w:sz="0" w:space="0" w:color="auto"/>
        <w:right w:val="none" w:sz="0" w:space="0" w:color="auto"/>
      </w:divBdr>
    </w:div>
    <w:div w:id="195625840">
      <w:bodyDiv w:val="1"/>
      <w:marLeft w:val="0"/>
      <w:marRight w:val="0"/>
      <w:marTop w:val="0"/>
      <w:marBottom w:val="0"/>
      <w:divBdr>
        <w:top w:val="none" w:sz="0" w:space="0" w:color="auto"/>
        <w:left w:val="none" w:sz="0" w:space="0" w:color="auto"/>
        <w:bottom w:val="none" w:sz="0" w:space="0" w:color="auto"/>
        <w:right w:val="none" w:sz="0" w:space="0" w:color="auto"/>
      </w:divBdr>
    </w:div>
    <w:div w:id="198251393">
      <w:bodyDiv w:val="1"/>
      <w:marLeft w:val="0"/>
      <w:marRight w:val="0"/>
      <w:marTop w:val="0"/>
      <w:marBottom w:val="0"/>
      <w:divBdr>
        <w:top w:val="none" w:sz="0" w:space="0" w:color="auto"/>
        <w:left w:val="none" w:sz="0" w:space="0" w:color="auto"/>
        <w:bottom w:val="none" w:sz="0" w:space="0" w:color="auto"/>
        <w:right w:val="none" w:sz="0" w:space="0" w:color="auto"/>
      </w:divBdr>
    </w:div>
    <w:div w:id="203644373">
      <w:bodyDiv w:val="1"/>
      <w:marLeft w:val="0"/>
      <w:marRight w:val="0"/>
      <w:marTop w:val="0"/>
      <w:marBottom w:val="0"/>
      <w:divBdr>
        <w:top w:val="none" w:sz="0" w:space="0" w:color="auto"/>
        <w:left w:val="none" w:sz="0" w:space="0" w:color="auto"/>
        <w:bottom w:val="none" w:sz="0" w:space="0" w:color="auto"/>
        <w:right w:val="none" w:sz="0" w:space="0" w:color="auto"/>
      </w:divBdr>
    </w:div>
    <w:div w:id="209419279">
      <w:bodyDiv w:val="1"/>
      <w:marLeft w:val="0"/>
      <w:marRight w:val="0"/>
      <w:marTop w:val="0"/>
      <w:marBottom w:val="0"/>
      <w:divBdr>
        <w:top w:val="none" w:sz="0" w:space="0" w:color="auto"/>
        <w:left w:val="none" w:sz="0" w:space="0" w:color="auto"/>
        <w:bottom w:val="none" w:sz="0" w:space="0" w:color="auto"/>
        <w:right w:val="none" w:sz="0" w:space="0" w:color="auto"/>
      </w:divBdr>
    </w:div>
    <w:div w:id="210852171">
      <w:bodyDiv w:val="1"/>
      <w:marLeft w:val="0"/>
      <w:marRight w:val="0"/>
      <w:marTop w:val="0"/>
      <w:marBottom w:val="0"/>
      <w:divBdr>
        <w:top w:val="none" w:sz="0" w:space="0" w:color="auto"/>
        <w:left w:val="none" w:sz="0" w:space="0" w:color="auto"/>
        <w:bottom w:val="none" w:sz="0" w:space="0" w:color="auto"/>
        <w:right w:val="none" w:sz="0" w:space="0" w:color="auto"/>
      </w:divBdr>
    </w:div>
    <w:div w:id="211582961">
      <w:bodyDiv w:val="1"/>
      <w:marLeft w:val="0"/>
      <w:marRight w:val="0"/>
      <w:marTop w:val="0"/>
      <w:marBottom w:val="0"/>
      <w:divBdr>
        <w:top w:val="none" w:sz="0" w:space="0" w:color="auto"/>
        <w:left w:val="none" w:sz="0" w:space="0" w:color="auto"/>
        <w:bottom w:val="none" w:sz="0" w:space="0" w:color="auto"/>
        <w:right w:val="none" w:sz="0" w:space="0" w:color="auto"/>
      </w:divBdr>
    </w:div>
    <w:div w:id="213124668">
      <w:bodyDiv w:val="1"/>
      <w:marLeft w:val="0"/>
      <w:marRight w:val="0"/>
      <w:marTop w:val="0"/>
      <w:marBottom w:val="0"/>
      <w:divBdr>
        <w:top w:val="none" w:sz="0" w:space="0" w:color="auto"/>
        <w:left w:val="none" w:sz="0" w:space="0" w:color="auto"/>
        <w:bottom w:val="none" w:sz="0" w:space="0" w:color="auto"/>
        <w:right w:val="none" w:sz="0" w:space="0" w:color="auto"/>
      </w:divBdr>
    </w:div>
    <w:div w:id="217087354">
      <w:bodyDiv w:val="1"/>
      <w:marLeft w:val="0"/>
      <w:marRight w:val="0"/>
      <w:marTop w:val="0"/>
      <w:marBottom w:val="0"/>
      <w:divBdr>
        <w:top w:val="none" w:sz="0" w:space="0" w:color="auto"/>
        <w:left w:val="none" w:sz="0" w:space="0" w:color="auto"/>
        <w:bottom w:val="none" w:sz="0" w:space="0" w:color="auto"/>
        <w:right w:val="none" w:sz="0" w:space="0" w:color="auto"/>
      </w:divBdr>
    </w:div>
    <w:div w:id="217324108">
      <w:bodyDiv w:val="1"/>
      <w:marLeft w:val="0"/>
      <w:marRight w:val="0"/>
      <w:marTop w:val="0"/>
      <w:marBottom w:val="0"/>
      <w:divBdr>
        <w:top w:val="none" w:sz="0" w:space="0" w:color="auto"/>
        <w:left w:val="none" w:sz="0" w:space="0" w:color="auto"/>
        <w:bottom w:val="none" w:sz="0" w:space="0" w:color="auto"/>
        <w:right w:val="none" w:sz="0" w:space="0" w:color="auto"/>
      </w:divBdr>
    </w:div>
    <w:div w:id="219440894">
      <w:bodyDiv w:val="1"/>
      <w:marLeft w:val="0"/>
      <w:marRight w:val="0"/>
      <w:marTop w:val="0"/>
      <w:marBottom w:val="0"/>
      <w:divBdr>
        <w:top w:val="none" w:sz="0" w:space="0" w:color="auto"/>
        <w:left w:val="none" w:sz="0" w:space="0" w:color="auto"/>
        <w:bottom w:val="none" w:sz="0" w:space="0" w:color="auto"/>
        <w:right w:val="none" w:sz="0" w:space="0" w:color="auto"/>
      </w:divBdr>
    </w:div>
    <w:div w:id="220529465">
      <w:bodyDiv w:val="1"/>
      <w:marLeft w:val="0"/>
      <w:marRight w:val="0"/>
      <w:marTop w:val="0"/>
      <w:marBottom w:val="0"/>
      <w:divBdr>
        <w:top w:val="none" w:sz="0" w:space="0" w:color="auto"/>
        <w:left w:val="none" w:sz="0" w:space="0" w:color="auto"/>
        <w:bottom w:val="none" w:sz="0" w:space="0" w:color="auto"/>
        <w:right w:val="none" w:sz="0" w:space="0" w:color="auto"/>
      </w:divBdr>
    </w:div>
    <w:div w:id="221596518">
      <w:bodyDiv w:val="1"/>
      <w:marLeft w:val="0"/>
      <w:marRight w:val="0"/>
      <w:marTop w:val="0"/>
      <w:marBottom w:val="0"/>
      <w:divBdr>
        <w:top w:val="none" w:sz="0" w:space="0" w:color="auto"/>
        <w:left w:val="none" w:sz="0" w:space="0" w:color="auto"/>
        <w:bottom w:val="none" w:sz="0" w:space="0" w:color="auto"/>
        <w:right w:val="none" w:sz="0" w:space="0" w:color="auto"/>
      </w:divBdr>
    </w:div>
    <w:div w:id="223764520">
      <w:bodyDiv w:val="1"/>
      <w:marLeft w:val="0"/>
      <w:marRight w:val="0"/>
      <w:marTop w:val="0"/>
      <w:marBottom w:val="0"/>
      <w:divBdr>
        <w:top w:val="none" w:sz="0" w:space="0" w:color="auto"/>
        <w:left w:val="none" w:sz="0" w:space="0" w:color="auto"/>
        <w:bottom w:val="none" w:sz="0" w:space="0" w:color="auto"/>
        <w:right w:val="none" w:sz="0" w:space="0" w:color="auto"/>
      </w:divBdr>
    </w:div>
    <w:div w:id="225796335">
      <w:marLeft w:val="0"/>
      <w:marRight w:val="0"/>
      <w:marTop w:val="0"/>
      <w:marBottom w:val="0"/>
      <w:divBdr>
        <w:top w:val="none" w:sz="0" w:space="0" w:color="auto"/>
        <w:left w:val="none" w:sz="0" w:space="0" w:color="auto"/>
        <w:bottom w:val="none" w:sz="0" w:space="0" w:color="auto"/>
        <w:right w:val="none" w:sz="0" w:space="0" w:color="auto"/>
      </w:divBdr>
    </w:div>
    <w:div w:id="227230589">
      <w:bodyDiv w:val="1"/>
      <w:marLeft w:val="0"/>
      <w:marRight w:val="0"/>
      <w:marTop w:val="0"/>
      <w:marBottom w:val="0"/>
      <w:divBdr>
        <w:top w:val="none" w:sz="0" w:space="0" w:color="auto"/>
        <w:left w:val="none" w:sz="0" w:space="0" w:color="auto"/>
        <w:bottom w:val="none" w:sz="0" w:space="0" w:color="auto"/>
        <w:right w:val="none" w:sz="0" w:space="0" w:color="auto"/>
      </w:divBdr>
    </w:div>
    <w:div w:id="230426065">
      <w:bodyDiv w:val="1"/>
      <w:marLeft w:val="0"/>
      <w:marRight w:val="0"/>
      <w:marTop w:val="0"/>
      <w:marBottom w:val="0"/>
      <w:divBdr>
        <w:top w:val="none" w:sz="0" w:space="0" w:color="auto"/>
        <w:left w:val="none" w:sz="0" w:space="0" w:color="auto"/>
        <w:bottom w:val="none" w:sz="0" w:space="0" w:color="auto"/>
        <w:right w:val="none" w:sz="0" w:space="0" w:color="auto"/>
      </w:divBdr>
    </w:div>
    <w:div w:id="234708715">
      <w:bodyDiv w:val="1"/>
      <w:marLeft w:val="0"/>
      <w:marRight w:val="0"/>
      <w:marTop w:val="0"/>
      <w:marBottom w:val="0"/>
      <w:divBdr>
        <w:top w:val="none" w:sz="0" w:space="0" w:color="auto"/>
        <w:left w:val="none" w:sz="0" w:space="0" w:color="auto"/>
        <w:bottom w:val="none" w:sz="0" w:space="0" w:color="auto"/>
        <w:right w:val="none" w:sz="0" w:space="0" w:color="auto"/>
      </w:divBdr>
    </w:div>
    <w:div w:id="235744057">
      <w:bodyDiv w:val="1"/>
      <w:marLeft w:val="0"/>
      <w:marRight w:val="0"/>
      <w:marTop w:val="0"/>
      <w:marBottom w:val="0"/>
      <w:divBdr>
        <w:top w:val="none" w:sz="0" w:space="0" w:color="auto"/>
        <w:left w:val="none" w:sz="0" w:space="0" w:color="auto"/>
        <w:bottom w:val="none" w:sz="0" w:space="0" w:color="auto"/>
        <w:right w:val="none" w:sz="0" w:space="0" w:color="auto"/>
      </w:divBdr>
    </w:div>
    <w:div w:id="236550629">
      <w:bodyDiv w:val="1"/>
      <w:marLeft w:val="0"/>
      <w:marRight w:val="0"/>
      <w:marTop w:val="0"/>
      <w:marBottom w:val="0"/>
      <w:divBdr>
        <w:top w:val="none" w:sz="0" w:space="0" w:color="auto"/>
        <w:left w:val="none" w:sz="0" w:space="0" w:color="auto"/>
        <w:bottom w:val="none" w:sz="0" w:space="0" w:color="auto"/>
        <w:right w:val="none" w:sz="0" w:space="0" w:color="auto"/>
      </w:divBdr>
    </w:div>
    <w:div w:id="239484336">
      <w:marLeft w:val="0"/>
      <w:marRight w:val="0"/>
      <w:marTop w:val="0"/>
      <w:marBottom w:val="0"/>
      <w:divBdr>
        <w:top w:val="none" w:sz="0" w:space="0" w:color="auto"/>
        <w:left w:val="none" w:sz="0" w:space="0" w:color="auto"/>
        <w:bottom w:val="none" w:sz="0" w:space="0" w:color="auto"/>
        <w:right w:val="none" w:sz="0" w:space="0" w:color="auto"/>
      </w:divBdr>
    </w:div>
    <w:div w:id="240259623">
      <w:bodyDiv w:val="1"/>
      <w:marLeft w:val="0"/>
      <w:marRight w:val="0"/>
      <w:marTop w:val="0"/>
      <w:marBottom w:val="0"/>
      <w:divBdr>
        <w:top w:val="none" w:sz="0" w:space="0" w:color="auto"/>
        <w:left w:val="none" w:sz="0" w:space="0" w:color="auto"/>
        <w:bottom w:val="none" w:sz="0" w:space="0" w:color="auto"/>
        <w:right w:val="none" w:sz="0" w:space="0" w:color="auto"/>
      </w:divBdr>
    </w:div>
    <w:div w:id="245188834">
      <w:bodyDiv w:val="1"/>
      <w:marLeft w:val="0"/>
      <w:marRight w:val="0"/>
      <w:marTop w:val="0"/>
      <w:marBottom w:val="0"/>
      <w:divBdr>
        <w:top w:val="none" w:sz="0" w:space="0" w:color="auto"/>
        <w:left w:val="none" w:sz="0" w:space="0" w:color="auto"/>
        <w:bottom w:val="none" w:sz="0" w:space="0" w:color="auto"/>
        <w:right w:val="none" w:sz="0" w:space="0" w:color="auto"/>
      </w:divBdr>
    </w:div>
    <w:div w:id="249898725">
      <w:bodyDiv w:val="1"/>
      <w:marLeft w:val="0"/>
      <w:marRight w:val="0"/>
      <w:marTop w:val="0"/>
      <w:marBottom w:val="0"/>
      <w:divBdr>
        <w:top w:val="none" w:sz="0" w:space="0" w:color="auto"/>
        <w:left w:val="none" w:sz="0" w:space="0" w:color="auto"/>
        <w:bottom w:val="none" w:sz="0" w:space="0" w:color="auto"/>
        <w:right w:val="none" w:sz="0" w:space="0" w:color="auto"/>
      </w:divBdr>
    </w:div>
    <w:div w:id="253822757">
      <w:bodyDiv w:val="1"/>
      <w:marLeft w:val="0"/>
      <w:marRight w:val="0"/>
      <w:marTop w:val="0"/>
      <w:marBottom w:val="0"/>
      <w:divBdr>
        <w:top w:val="none" w:sz="0" w:space="0" w:color="auto"/>
        <w:left w:val="none" w:sz="0" w:space="0" w:color="auto"/>
        <w:bottom w:val="none" w:sz="0" w:space="0" w:color="auto"/>
        <w:right w:val="none" w:sz="0" w:space="0" w:color="auto"/>
      </w:divBdr>
    </w:div>
    <w:div w:id="258679921">
      <w:marLeft w:val="0"/>
      <w:marRight w:val="0"/>
      <w:marTop w:val="0"/>
      <w:marBottom w:val="0"/>
      <w:divBdr>
        <w:top w:val="none" w:sz="0" w:space="0" w:color="auto"/>
        <w:left w:val="none" w:sz="0" w:space="0" w:color="auto"/>
        <w:bottom w:val="none" w:sz="0" w:space="0" w:color="auto"/>
        <w:right w:val="none" w:sz="0" w:space="0" w:color="auto"/>
      </w:divBdr>
    </w:div>
    <w:div w:id="260721361">
      <w:marLeft w:val="0"/>
      <w:marRight w:val="0"/>
      <w:marTop w:val="0"/>
      <w:marBottom w:val="0"/>
      <w:divBdr>
        <w:top w:val="none" w:sz="0" w:space="0" w:color="auto"/>
        <w:left w:val="none" w:sz="0" w:space="0" w:color="auto"/>
        <w:bottom w:val="none" w:sz="0" w:space="0" w:color="auto"/>
        <w:right w:val="none" w:sz="0" w:space="0" w:color="auto"/>
      </w:divBdr>
    </w:div>
    <w:div w:id="264115492">
      <w:bodyDiv w:val="1"/>
      <w:marLeft w:val="0"/>
      <w:marRight w:val="0"/>
      <w:marTop w:val="0"/>
      <w:marBottom w:val="0"/>
      <w:divBdr>
        <w:top w:val="none" w:sz="0" w:space="0" w:color="auto"/>
        <w:left w:val="none" w:sz="0" w:space="0" w:color="auto"/>
        <w:bottom w:val="none" w:sz="0" w:space="0" w:color="auto"/>
        <w:right w:val="none" w:sz="0" w:space="0" w:color="auto"/>
      </w:divBdr>
    </w:div>
    <w:div w:id="266692544">
      <w:bodyDiv w:val="1"/>
      <w:marLeft w:val="0"/>
      <w:marRight w:val="0"/>
      <w:marTop w:val="0"/>
      <w:marBottom w:val="0"/>
      <w:divBdr>
        <w:top w:val="none" w:sz="0" w:space="0" w:color="auto"/>
        <w:left w:val="none" w:sz="0" w:space="0" w:color="auto"/>
        <w:bottom w:val="none" w:sz="0" w:space="0" w:color="auto"/>
        <w:right w:val="none" w:sz="0" w:space="0" w:color="auto"/>
      </w:divBdr>
    </w:div>
    <w:div w:id="266735278">
      <w:bodyDiv w:val="1"/>
      <w:marLeft w:val="0"/>
      <w:marRight w:val="0"/>
      <w:marTop w:val="0"/>
      <w:marBottom w:val="0"/>
      <w:divBdr>
        <w:top w:val="none" w:sz="0" w:space="0" w:color="auto"/>
        <w:left w:val="none" w:sz="0" w:space="0" w:color="auto"/>
        <w:bottom w:val="none" w:sz="0" w:space="0" w:color="auto"/>
        <w:right w:val="none" w:sz="0" w:space="0" w:color="auto"/>
      </w:divBdr>
    </w:div>
    <w:div w:id="267467910">
      <w:bodyDiv w:val="1"/>
      <w:marLeft w:val="0"/>
      <w:marRight w:val="0"/>
      <w:marTop w:val="0"/>
      <w:marBottom w:val="0"/>
      <w:divBdr>
        <w:top w:val="none" w:sz="0" w:space="0" w:color="auto"/>
        <w:left w:val="none" w:sz="0" w:space="0" w:color="auto"/>
        <w:bottom w:val="none" w:sz="0" w:space="0" w:color="auto"/>
        <w:right w:val="none" w:sz="0" w:space="0" w:color="auto"/>
      </w:divBdr>
    </w:div>
    <w:div w:id="268315583">
      <w:bodyDiv w:val="1"/>
      <w:marLeft w:val="0"/>
      <w:marRight w:val="0"/>
      <w:marTop w:val="0"/>
      <w:marBottom w:val="0"/>
      <w:divBdr>
        <w:top w:val="none" w:sz="0" w:space="0" w:color="auto"/>
        <w:left w:val="none" w:sz="0" w:space="0" w:color="auto"/>
        <w:bottom w:val="none" w:sz="0" w:space="0" w:color="auto"/>
        <w:right w:val="none" w:sz="0" w:space="0" w:color="auto"/>
      </w:divBdr>
    </w:div>
    <w:div w:id="269513679">
      <w:bodyDiv w:val="1"/>
      <w:marLeft w:val="0"/>
      <w:marRight w:val="0"/>
      <w:marTop w:val="0"/>
      <w:marBottom w:val="0"/>
      <w:divBdr>
        <w:top w:val="none" w:sz="0" w:space="0" w:color="auto"/>
        <w:left w:val="none" w:sz="0" w:space="0" w:color="auto"/>
        <w:bottom w:val="none" w:sz="0" w:space="0" w:color="auto"/>
        <w:right w:val="none" w:sz="0" w:space="0" w:color="auto"/>
      </w:divBdr>
    </w:div>
    <w:div w:id="270012254">
      <w:bodyDiv w:val="1"/>
      <w:marLeft w:val="0"/>
      <w:marRight w:val="0"/>
      <w:marTop w:val="0"/>
      <w:marBottom w:val="0"/>
      <w:divBdr>
        <w:top w:val="none" w:sz="0" w:space="0" w:color="auto"/>
        <w:left w:val="none" w:sz="0" w:space="0" w:color="auto"/>
        <w:bottom w:val="none" w:sz="0" w:space="0" w:color="auto"/>
        <w:right w:val="none" w:sz="0" w:space="0" w:color="auto"/>
      </w:divBdr>
    </w:div>
    <w:div w:id="273052812">
      <w:bodyDiv w:val="1"/>
      <w:marLeft w:val="0"/>
      <w:marRight w:val="0"/>
      <w:marTop w:val="0"/>
      <w:marBottom w:val="0"/>
      <w:divBdr>
        <w:top w:val="none" w:sz="0" w:space="0" w:color="auto"/>
        <w:left w:val="none" w:sz="0" w:space="0" w:color="auto"/>
        <w:bottom w:val="none" w:sz="0" w:space="0" w:color="auto"/>
        <w:right w:val="none" w:sz="0" w:space="0" w:color="auto"/>
      </w:divBdr>
    </w:div>
    <w:div w:id="275216277">
      <w:bodyDiv w:val="1"/>
      <w:marLeft w:val="0"/>
      <w:marRight w:val="0"/>
      <w:marTop w:val="0"/>
      <w:marBottom w:val="0"/>
      <w:divBdr>
        <w:top w:val="none" w:sz="0" w:space="0" w:color="auto"/>
        <w:left w:val="none" w:sz="0" w:space="0" w:color="auto"/>
        <w:bottom w:val="none" w:sz="0" w:space="0" w:color="auto"/>
        <w:right w:val="none" w:sz="0" w:space="0" w:color="auto"/>
      </w:divBdr>
    </w:div>
    <w:div w:id="277030306">
      <w:bodyDiv w:val="1"/>
      <w:marLeft w:val="0"/>
      <w:marRight w:val="0"/>
      <w:marTop w:val="0"/>
      <w:marBottom w:val="0"/>
      <w:divBdr>
        <w:top w:val="none" w:sz="0" w:space="0" w:color="auto"/>
        <w:left w:val="none" w:sz="0" w:space="0" w:color="auto"/>
        <w:bottom w:val="none" w:sz="0" w:space="0" w:color="auto"/>
        <w:right w:val="none" w:sz="0" w:space="0" w:color="auto"/>
      </w:divBdr>
    </w:div>
    <w:div w:id="278032243">
      <w:bodyDiv w:val="1"/>
      <w:marLeft w:val="0"/>
      <w:marRight w:val="0"/>
      <w:marTop w:val="0"/>
      <w:marBottom w:val="0"/>
      <w:divBdr>
        <w:top w:val="none" w:sz="0" w:space="0" w:color="auto"/>
        <w:left w:val="none" w:sz="0" w:space="0" w:color="auto"/>
        <w:bottom w:val="none" w:sz="0" w:space="0" w:color="auto"/>
        <w:right w:val="none" w:sz="0" w:space="0" w:color="auto"/>
      </w:divBdr>
    </w:div>
    <w:div w:id="278686013">
      <w:bodyDiv w:val="1"/>
      <w:marLeft w:val="0"/>
      <w:marRight w:val="0"/>
      <w:marTop w:val="0"/>
      <w:marBottom w:val="0"/>
      <w:divBdr>
        <w:top w:val="none" w:sz="0" w:space="0" w:color="auto"/>
        <w:left w:val="none" w:sz="0" w:space="0" w:color="auto"/>
        <w:bottom w:val="none" w:sz="0" w:space="0" w:color="auto"/>
        <w:right w:val="none" w:sz="0" w:space="0" w:color="auto"/>
      </w:divBdr>
    </w:div>
    <w:div w:id="279385662">
      <w:bodyDiv w:val="1"/>
      <w:marLeft w:val="0"/>
      <w:marRight w:val="0"/>
      <w:marTop w:val="0"/>
      <w:marBottom w:val="0"/>
      <w:divBdr>
        <w:top w:val="none" w:sz="0" w:space="0" w:color="auto"/>
        <w:left w:val="none" w:sz="0" w:space="0" w:color="auto"/>
        <w:bottom w:val="none" w:sz="0" w:space="0" w:color="auto"/>
        <w:right w:val="none" w:sz="0" w:space="0" w:color="auto"/>
      </w:divBdr>
    </w:div>
    <w:div w:id="283970218">
      <w:bodyDiv w:val="1"/>
      <w:marLeft w:val="0"/>
      <w:marRight w:val="0"/>
      <w:marTop w:val="0"/>
      <w:marBottom w:val="0"/>
      <w:divBdr>
        <w:top w:val="none" w:sz="0" w:space="0" w:color="auto"/>
        <w:left w:val="none" w:sz="0" w:space="0" w:color="auto"/>
        <w:bottom w:val="none" w:sz="0" w:space="0" w:color="auto"/>
        <w:right w:val="none" w:sz="0" w:space="0" w:color="auto"/>
      </w:divBdr>
    </w:div>
    <w:div w:id="284042046">
      <w:bodyDiv w:val="1"/>
      <w:marLeft w:val="0"/>
      <w:marRight w:val="0"/>
      <w:marTop w:val="0"/>
      <w:marBottom w:val="0"/>
      <w:divBdr>
        <w:top w:val="none" w:sz="0" w:space="0" w:color="auto"/>
        <w:left w:val="none" w:sz="0" w:space="0" w:color="auto"/>
        <w:bottom w:val="none" w:sz="0" w:space="0" w:color="auto"/>
        <w:right w:val="none" w:sz="0" w:space="0" w:color="auto"/>
      </w:divBdr>
    </w:div>
    <w:div w:id="284776647">
      <w:bodyDiv w:val="1"/>
      <w:marLeft w:val="0"/>
      <w:marRight w:val="0"/>
      <w:marTop w:val="0"/>
      <w:marBottom w:val="0"/>
      <w:divBdr>
        <w:top w:val="none" w:sz="0" w:space="0" w:color="auto"/>
        <w:left w:val="none" w:sz="0" w:space="0" w:color="auto"/>
        <w:bottom w:val="none" w:sz="0" w:space="0" w:color="auto"/>
        <w:right w:val="none" w:sz="0" w:space="0" w:color="auto"/>
      </w:divBdr>
    </w:div>
    <w:div w:id="284966012">
      <w:bodyDiv w:val="1"/>
      <w:marLeft w:val="0"/>
      <w:marRight w:val="0"/>
      <w:marTop w:val="0"/>
      <w:marBottom w:val="0"/>
      <w:divBdr>
        <w:top w:val="none" w:sz="0" w:space="0" w:color="auto"/>
        <w:left w:val="none" w:sz="0" w:space="0" w:color="auto"/>
        <w:bottom w:val="none" w:sz="0" w:space="0" w:color="auto"/>
        <w:right w:val="none" w:sz="0" w:space="0" w:color="auto"/>
      </w:divBdr>
    </w:div>
    <w:div w:id="285698753">
      <w:bodyDiv w:val="1"/>
      <w:marLeft w:val="0"/>
      <w:marRight w:val="0"/>
      <w:marTop w:val="0"/>
      <w:marBottom w:val="0"/>
      <w:divBdr>
        <w:top w:val="none" w:sz="0" w:space="0" w:color="auto"/>
        <w:left w:val="none" w:sz="0" w:space="0" w:color="auto"/>
        <w:bottom w:val="none" w:sz="0" w:space="0" w:color="auto"/>
        <w:right w:val="none" w:sz="0" w:space="0" w:color="auto"/>
      </w:divBdr>
    </w:div>
    <w:div w:id="288753071">
      <w:bodyDiv w:val="1"/>
      <w:marLeft w:val="0"/>
      <w:marRight w:val="0"/>
      <w:marTop w:val="0"/>
      <w:marBottom w:val="0"/>
      <w:divBdr>
        <w:top w:val="none" w:sz="0" w:space="0" w:color="auto"/>
        <w:left w:val="none" w:sz="0" w:space="0" w:color="auto"/>
        <w:bottom w:val="none" w:sz="0" w:space="0" w:color="auto"/>
        <w:right w:val="none" w:sz="0" w:space="0" w:color="auto"/>
      </w:divBdr>
    </w:div>
    <w:div w:id="295643723">
      <w:marLeft w:val="0"/>
      <w:marRight w:val="0"/>
      <w:marTop w:val="0"/>
      <w:marBottom w:val="0"/>
      <w:divBdr>
        <w:top w:val="none" w:sz="0" w:space="0" w:color="auto"/>
        <w:left w:val="none" w:sz="0" w:space="0" w:color="auto"/>
        <w:bottom w:val="none" w:sz="0" w:space="0" w:color="auto"/>
        <w:right w:val="none" w:sz="0" w:space="0" w:color="auto"/>
      </w:divBdr>
    </w:div>
    <w:div w:id="298732663">
      <w:bodyDiv w:val="1"/>
      <w:marLeft w:val="0"/>
      <w:marRight w:val="0"/>
      <w:marTop w:val="0"/>
      <w:marBottom w:val="0"/>
      <w:divBdr>
        <w:top w:val="none" w:sz="0" w:space="0" w:color="auto"/>
        <w:left w:val="none" w:sz="0" w:space="0" w:color="auto"/>
        <w:bottom w:val="none" w:sz="0" w:space="0" w:color="auto"/>
        <w:right w:val="none" w:sz="0" w:space="0" w:color="auto"/>
      </w:divBdr>
    </w:div>
    <w:div w:id="301009422">
      <w:bodyDiv w:val="1"/>
      <w:marLeft w:val="0"/>
      <w:marRight w:val="0"/>
      <w:marTop w:val="0"/>
      <w:marBottom w:val="0"/>
      <w:divBdr>
        <w:top w:val="none" w:sz="0" w:space="0" w:color="auto"/>
        <w:left w:val="none" w:sz="0" w:space="0" w:color="auto"/>
        <w:bottom w:val="none" w:sz="0" w:space="0" w:color="auto"/>
        <w:right w:val="none" w:sz="0" w:space="0" w:color="auto"/>
      </w:divBdr>
    </w:div>
    <w:div w:id="302587957">
      <w:bodyDiv w:val="1"/>
      <w:marLeft w:val="0"/>
      <w:marRight w:val="0"/>
      <w:marTop w:val="0"/>
      <w:marBottom w:val="0"/>
      <w:divBdr>
        <w:top w:val="none" w:sz="0" w:space="0" w:color="auto"/>
        <w:left w:val="none" w:sz="0" w:space="0" w:color="auto"/>
        <w:bottom w:val="none" w:sz="0" w:space="0" w:color="auto"/>
        <w:right w:val="none" w:sz="0" w:space="0" w:color="auto"/>
      </w:divBdr>
    </w:div>
    <w:div w:id="303657174">
      <w:bodyDiv w:val="1"/>
      <w:marLeft w:val="0"/>
      <w:marRight w:val="0"/>
      <w:marTop w:val="0"/>
      <w:marBottom w:val="0"/>
      <w:divBdr>
        <w:top w:val="none" w:sz="0" w:space="0" w:color="auto"/>
        <w:left w:val="none" w:sz="0" w:space="0" w:color="auto"/>
        <w:bottom w:val="none" w:sz="0" w:space="0" w:color="auto"/>
        <w:right w:val="none" w:sz="0" w:space="0" w:color="auto"/>
      </w:divBdr>
    </w:div>
    <w:div w:id="308707085">
      <w:bodyDiv w:val="1"/>
      <w:marLeft w:val="0"/>
      <w:marRight w:val="0"/>
      <w:marTop w:val="0"/>
      <w:marBottom w:val="0"/>
      <w:divBdr>
        <w:top w:val="none" w:sz="0" w:space="0" w:color="auto"/>
        <w:left w:val="none" w:sz="0" w:space="0" w:color="auto"/>
        <w:bottom w:val="none" w:sz="0" w:space="0" w:color="auto"/>
        <w:right w:val="none" w:sz="0" w:space="0" w:color="auto"/>
      </w:divBdr>
    </w:div>
    <w:div w:id="313683961">
      <w:bodyDiv w:val="1"/>
      <w:marLeft w:val="0"/>
      <w:marRight w:val="0"/>
      <w:marTop w:val="0"/>
      <w:marBottom w:val="0"/>
      <w:divBdr>
        <w:top w:val="none" w:sz="0" w:space="0" w:color="auto"/>
        <w:left w:val="none" w:sz="0" w:space="0" w:color="auto"/>
        <w:bottom w:val="none" w:sz="0" w:space="0" w:color="auto"/>
        <w:right w:val="none" w:sz="0" w:space="0" w:color="auto"/>
      </w:divBdr>
    </w:div>
    <w:div w:id="314650370">
      <w:bodyDiv w:val="1"/>
      <w:marLeft w:val="0"/>
      <w:marRight w:val="0"/>
      <w:marTop w:val="0"/>
      <w:marBottom w:val="0"/>
      <w:divBdr>
        <w:top w:val="none" w:sz="0" w:space="0" w:color="auto"/>
        <w:left w:val="none" w:sz="0" w:space="0" w:color="auto"/>
        <w:bottom w:val="none" w:sz="0" w:space="0" w:color="auto"/>
        <w:right w:val="none" w:sz="0" w:space="0" w:color="auto"/>
      </w:divBdr>
    </w:div>
    <w:div w:id="316493648">
      <w:bodyDiv w:val="1"/>
      <w:marLeft w:val="0"/>
      <w:marRight w:val="0"/>
      <w:marTop w:val="0"/>
      <w:marBottom w:val="0"/>
      <w:divBdr>
        <w:top w:val="none" w:sz="0" w:space="0" w:color="auto"/>
        <w:left w:val="none" w:sz="0" w:space="0" w:color="auto"/>
        <w:bottom w:val="none" w:sz="0" w:space="0" w:color="auto"/>
        <w:right w:val="none" w:sz="0" w:space="0" w:color="auto"/>
      </w:divBdr>
    </w:div>
    <w:div w:id="316884731">
      <w:bodyDiv w:val="1"/>
      <w:marLeft w:val="0"/>
      <w:marRight w:val="0"/>
      <w:marTop w:val="0"/>
      <w:marBottom w:val="0"/>
      <w:divBdr>
        <w:top w:val="none" w:sz="0" w:space="0" w:color="auto"/>
        <w:left w:val="none" w:sz="0" w:space="0" w:color="auto"/>
        <w:bottom w:val="none" w:sz="0" w:space="0" w:color="auto"/>
        <w:right w:val="none" w:sz="0" w:space="0" w:color="auto"/>
      </w:divBdr>
    </w:div>
    <w:div w:id="317880768">
      <w:bodyDiv w:val="1"/>
      <w:marLeft w:val="0"/>
      <w:marRight w:val="0"/>
      <w:marTop w:val="0"/>
      <w:marBottom w:val="0"/>
      <w:divBdr>
        <w:top w:val="none" w:sz="0" w:space="0" w:color="auto"/>
        <w:left w:val="none" w:sz="0" w:space="0" w:color="auto"/>
        <w:bottom w:val="none" w:sz="0" w:space="0" w:color="auto"/>
        <w:right w:val="none" w:sz="0" w:space="0" w:color="auto"/>
      </w:divBdr>
    </w:div>
    <w:div w:id="320424515">
      <w:marLeft w:val="0"/>
      <w:marRight w:val="0"/>
      <w:marTop w:val="0"/>
      <w:marBottom w:val="0"/>
      <w:divBdr>
        <w:top w:val="none" w:sz="0" w:space="0" w:color="auto"/>
        <w:left w:val="none" w:sz="0" w:space="0" w:color="auto"/>
        <w:bottom w:val="none" w:sz="0" w:space="0" w:color="auto"/>
        <w:right w:val="none" w:sz="0" w:space="0" w:color="auto"/>
      </w:divBdr>
    </w:div>
    <w:div w:id="324405425">
      <w:bodyDiv w:val="1"/>
      <w:marLeft w:val="0"/>
      <w:marRight w:val="0"/>
      <w:marTop w:val="0"/>
      <w:marBottom w:val="0"/>
      <w:divBdr>
        <w:top w:val="none" w:sz="0" w:space="0" w:color="auto"/>
        <w:left w:val="none" w:sz="0" w:space="0" w:color="auto"/>
        <w:bottom w:val="none" w:sz="0" w:space="0" w:color="auto"/>
        <w:right w:val="none" w:sz="0" w:space="0" w:color="auto"/>
      </w:divBdr>
    </w:div>
    <w:div w:id="329988229">
      <w:bodyDiv w:val="1"/>
      <w:marLeft w:val="0"/>
      <w:marRight w:val="0"/>
      <w:marTop w:val="0"/>
      <w:marBottom w:val="0"/>
      <w:divBdr>
        <w:top w:val="none" w:sz="0" w:space="0" w:color="auto"/>
        <w:left w:val="none" w:sz="0" w:space="0" w:color="auto"/>
        <w:bottom w:val="none" w:sz="0" w:space="0" w:color="auto"/>
        <w:right w:val="none" w:sz="0" w:space="0" w:color="auto"/>
      </w:divBdr>
    </w:div>
    <w:div w:id="331109729">
      <w:marLeft w:val="0"/>
      <w:marRight w:val="0"/>
      <w:marTop w:val="0"/>
      <w:marBottom w:val="0"/>
      <w:divBdr>
        <w:top w:val="none" w:sz="0" w:space="0" w:color="auto"/>
        <w:left w:val="none" w:sz="0" w:space="0" w:color="auto"/>
        <w:bottom w:val="none" w:sz="0" w:space="0" w:color="auto"/>
        <w:right w:val="none" w:sz="0" w:space="0" w:color="auto"/>
      </w:divBdr>
    </w:div>
    <w:div w:id="339628073">
      <w:bodyDiv w:val="1"/>
      <w:marLeft w:val="0"/>
      <w:marRight w:val="0"/>
      <w:marTop w:val="0"/>
      <w:marBottom w:val="0"/>
      <w:divBdr>
        <w:top w:val="none" w:sz="0" w:space="0" w:color="auto"/>
        <w:left w:val="none" w:sz="0" w:space="0" w:color="auto"/>
        <w:bottom w:val="none" w:sz="0" w:space="0" w:color="auto"/>
        <w:right w:val="none" w:sz="0" w:space="0" w:color="auto"/>
      </w:divBdr>
    </w:div>
    <w:div w:id="340400107">
      <w:bodyDiv w:val="1"/>
      <w:marLeft w:val="0"/>
      <w:marRight w:val="0"/>
      <w:marTop w:val="0"/>
      <w:marBottom w:val="0"/>
      <w:divBdr>
        <w:top w:val="none" w:sz="0" w:space="0" w:color="auto"/>
        <w:left w:val="none" w:sz="0" w:space="0" w:color="auto"/>
        <w:bottom w:val="none" w:sz="0" w:space="0" w:color="auto"/>
        <w:right w:val="none" w:sz="0" w:space="0" w:color="auto"/>
      </w:divBdr>
    </w:div>
    <w:div w:id="345333354">
      <w:marLeft w:val="0"/>
      <w:marRight w:val="0"/>
      <w:marTop w:val="0"/>
      <w:marBottom w:val="0"/>
      <w:divBdr>
        <w:top w:val="none" w:sz="0" w:space="0" w:color="auto"/>
        <w:left w:val="none" w:sz="0" w:space="0" w:color="auto"/>
        <w:bottom w:val="none" w:sz="0" w:space="0" w:color="auto"/>
        <w:right w:val="none" w:sz="0" w:space="0" w:color="auto"/>
      </w:divBdr>
    </w:div>
    <w:div w:id="345911440">
      <w:bodyDiv w:val="1"/>
      <w:marLeft w:val="0"/>
      <w:marRight w:val="0"/>
      <w:marTop w:val="0"/>
      <w:marBottom w:val="0"/>
      <w:divBdr>
        <w:top w:val="none" w:sz="0" w:space="0" w:color="auto"/>
        <w:left w:val="none" w:sz="0" w:space="0" w:color="auto"/>
        <w:bottom w:val="none" w:sz="0" w:space="0" w:color="auto"/>
        <w:right w:val="none" w:sz="0" w:space="0" w:color="auto"/>
      </w:divBdr>
    </w:div>
    <w:div w:id="347944955">
      <w:bodyDiv w:val="1"/>
      <w:marLeft w:val="0"/>
      <w:marRight w:val="0"/>
      <w:marTop w:val="0"/>
      <w:marBottom w:val="0"/>
      <w:divBdr>
        <w:top w:val="none" w:sz="0" w:space="0" w:color="auto"/>
        <w:left w:val="none" w:sz="0" w:space="0" w:color="auto"/>
        <w:bottom w:val="none" w:sz="0" w:space="0" w:color="auto"/>
        <w:right w:val="none" w:sz="0" w:space="0" w:color="auto"/>
      </w:divBdr>
    </w:div>
    <w:div w:id="351076503">
      <w:marLeft w:val="0"/>
      <w:marRight w:val="0"/>
      <w:marTop w:val="0"/>
      <w:marBottom w:val="0"/>
      <w:divBdr>
        <w:top w:val="none" w:sz="0" w:space="0" w:color="auto"/>
        <w:left w:val="none" w:sz="0" w:space="0" w:color="auto"/>
        <w:bottom w:val="none" w:sz="0" w:space="0" w:color="auto"/>
        <w:right w:val="none" w:sz="0" w:space="0" w:color="auto"/>
      </w:divBdr>
    </w:div>
    <w:div w:id="355693800">
      <w:bodyDiv w:val="1"/>
      <w:marLeft w:val="0"/>
      <w:marRight w:val="0"/>
      <w:marTop w:val="0"/>
      <w:marBottom w:val="0"/>
      <w:divBdr>
        <w:top w:val="none" w:sz="0" w:space="0" w:color="auto"/>
        <w:left w:val="none" w:sz="0" w:space="0" w:color="auto"/>
        <w:bottom w:val="none" w:sz="0" w:space="0" w:color="auto"/>
        <w:right w:val="none" w:sz="0" w:space="0" w:color="auto"/>
      </w:divBdr>
    </w:div>
    <w:div w:id="357512483">
      <w:bodyDiv w:val="1"/>
      <w:marLeft w:val="0"/>
      <w:marRight w:val="0"/>
      <w:marTop w:val="0"/>
      <w:marBottom w:val="0"/>
      <w:divBdr>
        <w:top w:val="none" w:sz="0" w:space="0" w:color="auto"/>
        <w:left w:val="none" w:sz="0" w:space="0" w:color="auto"/>
        <w:bottom w:val="none" w:sz="0" w:space="0" w:color="auto"/>
        <w:right w:val="none" w:sz="0" w:space="0" w:color="auto"/>
      </w:divBdr>
    </w:div>
    <w:div w:id="360472551">
      <w:bodyDiv w:val="1"/>
      <w:marLeft w:val="0"/>
      <w:marRight w:val="0"/>
      <w:marTop w:val="0"/>
      <w:marBottom w:val="0"/>
      <w:divBdr>
        <w:top w:val="none" w:sz="0" w:space="0" w:color="auto"/>
        <w:left w:val="none" w:sz="0" w:space="0" w:color="auto"/>
        <w:bottom w:val="none" w:sz="0" w:space="0" w:color="auto"/>
        <w:right w:val="none" w:sz="0" w:space="0" w:color="auto"/>
      </w:divBdr>
    </w:div>
    <w:div w:id="361440660">
      <w:bodyDiv w:val="1"/>
      <w:marLeft w:val="0"/>
      <w:marRight w:val="0"/>
      <w:marTop w:val="0"/>
      <w:marBottom w:val="0"/>
      <w:divBdr>
        <w:top w:val="none" w:sz="0" w:space="0" w:color="auto"/>
        <w:left w:val="none" w:sz="0" w:space="0" w:color="auto"/>
        <w:bottom w:val="none" w:sz="0" w:space="0" w:color="auto"/>
        <w:right w:val="none" w:sz="0" w:space="0" w:color="auto"/>
      </w:divBdr>
    </w:div>
    <w:div w:id="361831488">
      <w:bodyDiv w:val="1"/>
      <w:marLeft w:val="0"/>
      <w:marRight w:val="0"/>
      <w:marTop w:val="0"/>
      <w:marBottom w:val="0"/>
      <w:divBdr>
        <w:top w:val="none" w:sz="0" w:space="0" w:color="auto"/>
        <w:left w:val="none" w:sz="0" w:space="0" w:color="auto"/>
        <w:bottom w:val="none" w:sz="0" w:space="0" w:color="auto"/>
        <w:right w:val="none" w:sz="0" w:space="0" w:color="auto"/>
      </w:divBdr>
    </w:div>
    <w:div w:id="362823404">
      <w:bodyDiv w:val="1"/>
      <w:marLeft w:val="0"/>
      <w:marRight w:val="0"/>
      <w:marTop w:val="0"/>
      <w:marBottom w:val="0"/>
      <w:divBdr>
        <w:top w:val="none" w:sz="0" w:space="0" w:color="auto"/>
        <w:left w:val="none" w:sz="0" w:space="0" w:color="auto"/>
        <w:bottom w:val="none" w:sz="0" w:space="0" w:color="auto"/>
        <w:right w:val="none" w:sz="0" w:space="0" w:color="auto"/>
      </w:divBdr>
    </w:div>
    <w:div w:id="364645860">
      <w:bodyDiv w:val="1"/>
      <w:marLeft w:val="0"/>
      <w:marRight w:val="0"/>
      <w:marTop w:val="0"/>
      <w:marBottom w:val="0"/>
      <w:divBdr>
        <w:top w:val="none" w:sz="0" w:space="0" w:color="auto"/>
        <w:left w:val="none" w:sz="0" w:space="0" w:color="auto"/>
        <w:bottom w:val="none" w:sz="0" w:space="0" w:color="auto"/>
        <w:right w:val="none" w:sz="0" w:space="0" w:color="auto"/>
      </w:divBdr>
    </w:div>
    <w:div w:id="364867969">
      <w:bodyDiv w:val="1"/>
      <w:marLeft w:val="0"/>
      <w:marRight w:val="0"/>
      <w:marTop w:val="0"/>
      <w:marBottom w:val="0"/>
      <w:divBdr>
        <w:top w:val="none" w:sz="0" w:space="0" w:color="auto"/>
        <w:left w:val="none" w:sz="0" w:space="0" w:color="auto"/>
        <w:bottom w:val="none" w:sz="0" w:space="0" w:color="auto"/>
        <w:right w:val="none" w:sz="0" w:space="0" w:color="auto"/>
      </w:divBdr>
    </w:div>
    <w:div w:id="370569164">
      <w:bodyDiv w:val="1"/>
      <w:marLeft w:val="0"/>
      <w:marRight w:val="0"/>
      <w:marTop w:val="0"/>
      <w:marBottom w:val="0"/>
      <w:divBdr>
        <w:top w:val="none" w:sz="0" w:space="0" w:color="auto"/>
        <w:left w:val="none" w:sz="0" w:space="0" w:color="auto"/>
        <w:bottom w:val="none" w:sz="0" w:space="0" w:color="auto"/>
        <w:right w:val="none" w:sz="0" w:space="0" w:color="auto"/>
      </w:divBdr>
    </w:div>
    <w:div w:id="376048906">
      <w:bodyDiv w:val="1"/>
      <w:marLeft w:val="0"/>
      <w:marRight w:val="0"/>
      <w:marTop w:val="0"/>
      <w:marBottom w:val="0"/>
      <w:divBdr>
        <w:top w:val="none" w:sz="0" w:space="0" w:color="auto"/>
        <w:left w:val="none" w:sz="0" w:space="0" w:color="auto"/>
        <w:bottom w:val="none" w:sz="0" w:space="0" w:color="auto"/>
        <w:right w:val="none" w:sz="0" w:space="0" w:color="auto"/>
      </w:divBdr>
    </w:div>
    <w:div w:id="376854578">
      <w:bodyDiv w:val="1"/>
      <w:marLeft w:val="0"/>
      <w:marRight w:val="0"/>
      <w:marTop w:val="0"/>
      <w:marBottom w:val="0"/>
      <w:divBdr>
        <w:top w:val="none" w:sz="0" w:space="0" w:color="auto"/>
        <w:left w:val="none" w:sz="0" w:space="0" w:color="auto"/>
        <w:bottom w:val="none" w:sz="0" w:space="0" w:color="auto"/>
        <w:right w:val="none" w:sz="0" w:space="0" w:color="auto"/>
      </w:divBdr>
    </w:div>
    <w:div w:id="377973526">
      <w:bodyDiv w:val="1"/>
      <w:marLeft w:val="0"/>
      <w:marRight w:val="0"/>
      <w:marTop w:val="0"/>
      <w:marBottom w:val="0"/>
      <w:divBdr>
        <w:top w:val="none" w:sz="0" w:space="0" w:color="auto"/>
        <w:left w:val="none" w:sz="0" w:space="0" w:color="auto"/>
        <w:bottom w:val="none" w:sz="0" w:space="0" w:color="auto"/>
        <w:right w:val="none" w:sz="0" w:space="0" w:color="auto"/>
      </w:divBdr>
    </w:div>
    <w:div w:id="381708101">
      <w:bodyDiv w:val="1"/>
      <w:marLeft w:val="0"/>
      <w:marRight w:val="0"/>
      <w:marTop w:val="0"/>
      <w:marBottom w:val="0"/>
      <w:divBdr>
        <w:top w:val="none" w:sz="0" w:space="0" w:color="auto"/>
        <w:left w:val="none" w:sz="0" w:space="0" w:color="auto"/>
        <w:bottom w:val="none" w:sz="0" w:space="0" w:color="auto"/>
        <w:right w:val="none" w:sz="0" w:space="0" w:color="auto"/>
      </w:divBdr>
    </w:div>
    <w:div w:id="383870387">
      <w:marLeft w:val="0"/>
      <w:marRight w:val="0"/>
      <w:marTop w:val="0"/>
      <w:marBottom w:val="0"/>
      <w:divBdr>
        <w:top w:val="none" w:sz="0" w:space="0" w:color="auto"/>
        <w:left w:val="none" w:sz="0" w:space="0" w:color="auto"/>
        <w:bottom w:val="none" w:sz="0" w:space="0" w:color="auto"/>
        <w:right w:val="none" w:sz="0" w:space="0" w:color="auto"/>
      </w:divBdr>
    </w:div>
    <w:div w:id="385766380">
      <w:bodyDiv w:val="1"/>
      <w:marLeft w:val="0"/>
      <w:marRight w:val="0"/>
      <w:marTop w:val="0"/>
      <w:marBottom w:val="0"/>
      <w:divBdr>
        <w:top w:val="none" w:sz="0" w:space="0" w:color="auto"/>
        <w:left w:val="none" w:sz="0" w:space="0" w:color="auto"/>
        <w:bottom w:val="none" w:sz="0" w:space="0" w:color="auto"/>
        <w:right w:val="none" w:sz="0" w:space="0" w:color="auto"/>
      </w:divBdr>
    </w:div>
    <w:div w:id="388647040">
      <w:bodyDiv w:val="1"/>
      <w:marLeft w:val="0"/>
      <w:marRight w:val="0"/>
      <w:marTop w:val="0"/>
      <w:marBottom w:val="0"/>
      <w:divBdr>
        <w:top w:val="none" w:sz="0" w:space="0" w:color="auto"/>
        <w:left w:val="none" w:sz="0" w:space="0" w:color="auto"/>
        <w:bottom w:val="none" w:sz="0" w:space="0" w:color="auto"/>
        <w:right w:val="none" w:sz="0" w:space="0" w:color="auto"/>
      </w:divBdr>
    </w:div>
    <w:div w:id="388960366">
      <w:bodyDiv w:val="1"/>
      <w:marLeft w:val="0"/>
      <w:marRight w:val="0"/>
      <w:marTop w:val="0"/>
      <w:marBottom w:val="0"/>
      <w:divBdr>
        <w:top w:val="none" w:sz="0" w:space="0" w:color="auto"/>
        <w:left w:val="none" w:sz="0" w:space="0" w:color="auto"/>
        <w:bottom w:val="none" w:sz="0" w:space="0" w:color="auto"/>
        <w:right w:val="none" w:sz="0" w:space="0" w:color="auto"/>
      </w:divBdr>
    </w:div>
    <w:div w:id="389037448">
      <w:bodyDiv w:val="1"/>
      <w:marLeft w:val="0"/>
      <w:marRight w:val="0"/>
      <w:marTop w:val="0"/>
      <w:marBottom w:val="0"/>
      <w:divBdr>
        <w:top w:val="none" w:sz="0" w:space="0" w:color="auto"/>
        <w:left w:val="none" w:sz="0" w:space="0" w:color="auto"/>
        <w:bottom w:val="none" w:sz="0" w:space="0" w:color="auto"/>
        <w:right w:val="none" w:sz="0" w:space="0" w:color="auto"/>
      </w:divBdr>
    </w:div>
    <w:div w:id="390346333">
      <w:bodyDiv w:val="1"/>
      <w:marLeft w:val="0"/>
      <w:marRight w:val="0"/>
      <w:marTop w:val="0"/>
      <w:marBottom w:val="0"/>
      <w:divBdr>
        <w:top w:val="none" w:sz="0" w:space="0" w:color="auto"/>
        <w:left w:val="none" w:sz="0" w:space="0" w:color="auto"/>
        <w:bottom w:val="none" w:sz="0" w:space="0" w:color="auto"/>
        <w:right w:val="none" w:sz="0" w:space="0" w:color="auto"/>
      </w:divBdr>
    </w:div>
    <w:div w:id="391389940">
      <w:marLeft w:val="0"/>
      <w:marRight w:val="0"/>
      <w:marTop w:val="0"/>
      <w:marBottom w:val="0"/>
      <w:divBdr>
        <w:top w:val="none" w:sz="0" w:space="0" w:color="auto"/>
        <w:left w:val="none" w:sz="0" w:space="0" w:color="auto"/>
        <w:bottom w:val="none" w:sz="0" w:space="0" w:color="auto"/>
        <w:right w:val="none" w:sz="0" w:space="0" w:color="auto"/>
      </w:divBdr>
    </w:div>
    <w:div w:id="395318530">
      <w:bodyDiv w:val="1"/>
      <w:marLeft w:val="0"/>
      <w:marRight w:val="0"/>
      <w:marTop w:val="0"/>
      <w:marBottom w:val="0"/>
      <w:divBdr>
        <w:top w:val="none" w:sz="0" w:space="0" w:color="auto"/>
        <w:left w:val="none" w:sz="0" w:space="0" w:color="auto"/>
        <w:bottom w:val="none" w:sz="0" w:space="0" w:color="auto"/>
        <w:right w:val="none" w:sz="0" w:space="0" w:color="auto"/>
      </w:divBdr>
    </w:div>
    <w:div w:id="397483389">
      <w:bodyDiv w:val="1"/>
      <w:marLeft w:val="0"/>
      <w:marRight w:val="0"/>
      <w:marTop w:val="0"/>
      <w:marBottom w:val="0"/>
      <w:divBdr>
        <w:top w:val="none" w:sz="0" w:space="0" w:color="auto"/>
        <w:left w:val="none" w:sz="0" w:space="0" w:color="auto"/>
        <w:bottom w:val="none" w:sz="0" w:space="0" w:color="auto"/>
        <w:right w:val="none" w:sz="0" w:space="0" w:color="auto"/>
      </w:divBdr>
    </w:div>
    <w:div w:id="398944614">
      <w:bodyDiv w:val="1"/>
      <w:marLeft w:val="0"/>
      <w:marRight w:val="0"/>
      <w:marTop w:val="0"/>
      <w:marBottom w:val="0"/>
      <w:divBdr>
        <w:top w:val="none" w:sz="0" w:space="0" w:color="auto"/>
        <w:left w:val="none" w:sz="0" w:space="0" w:color="auto"/>
        <w:bottom w:val="none" w:sz="0" w:space="0" w:color="auto"/>
        <w:right w:val="none" w:sz="0" w:space="0" w:color="auto"/>
      </w:divBdr>
    </w:div>
    <w:div w:id="402873678">
      <w:bodyDiv w:val="1"/>
      <w:marLeft w:val="0"/>
      <w:marRight w:val="0"/>
      <w:marTop w:val="0"/>
      <w:marBottom w:val="0"/>
      <w:divBdr>
        <w:top w:val="none" w:sz="0" w:space="0" w:color="auto"/>
        <w:left w:val="none" w:sz="0" w:space="0" w:color="auto"/>
        <w:bottom w:val="none" w:sz="0" w:space="0" w:color="auto"/>
        <w:right w:val="none" w:sz="0" w:space="0" w:color="auto"/>
      </w:divBdr>
    </w:div>
    <w:div w:id="404036371">
      <w:bodyDiv w:val="1"/>
      <w:marLeft w:val="0"/>
      <w:marRight w:val="0"/>
      <w:marTop w:val="0"/>
      <w:marBottom w:val="0"/>
      <w:divBdr>
        <w:top w:val="none" w:sz="0" w:space="0" w:color="auto"/>
        <w:left w:val="none" w:sz="0" w:space="0" w:color="auto"/>
        <w:bottom w:val="none" w:sz="0" w:space="0" w:color="auto"/>
        <w:right w:val="none" w:sz="0" w:space="0" w:color="auto"/>
      </w:divBdr>
    </w:div>
    <w:div w:id="405616591">
      <w:bodyDiv w:val="1"/>
      <w:marLeft w:val="0"/>
      <w:marRight w:val="0"/>
      <w:marTop w:val="0"/>
      <w:marBottom w:val="0"/>
      <w:divBdr>
        <w:top w:val="none" w:sz="0" w:space="0" w:color="auto"/>
        <w:left w:val="none" w:sz="0" w:space="0" w:color="auto"/>
        <w:bottom w:val="none" w:sz="0" w:space="0" w:color="auto"/>
        <w:right w:val="none" w:sz="0" w:space="0" w:color="auto"/>
      </w:divBdr>
    </w:div>
    <w:div w:id="406270062">
      <w:bodyDiv w:val="1"/>
      <w:marLeft w:val="0"/>
      <w:marRight w:val="0"/>
      <w:marTop w:val="0"/>
      <w:marBottom w:val="0"/>
      <w:divBdr>
        <w:top w:val="none" w:sz="0" w:space="0" w:color="auto"/>
        <w:left w:val="none" w:sz="0" w:space="0" w:color="auto"/>
        <w:bottom w:val="none" w:sz="0" w:space="0" w:color="auto"/>
        <w:right w:val="none" w:sz="0" w:space="0" w:color="auto"/>
      </w:divBdr>
    </w:div>
    <w:div w:id="409617423">
      <w:bodyDiv w:val="1"/>
      <w:marLeft w:val="0"/>
      <w:marRight w:val="0"/>
      <w:marTop w:val="0"/>
      <w:marBottom w:val="0"/>
      <w:divBdr>
        <w:top w:val="none" w:sz="0" w:space="0" w:color="auto"/>
        <w:left w:val="none" w:sz="0" w:space="0" w:color="auto"/>
        <w:bottom w:val="none" w:sz="0" w:space="0" w:color="auto"/>
        <w:right w:val="none" w:sz="0" w:space="0" w:color="auto"/>
      </w:divBdr>
    </w:div>
    <w:div w:id="410394206">
      <w:bodyDiv w:val="1"/>
      <w:marLeft w:val="0"/>
      <w:marRight w:val="0"/>
      <w:marTop w:val="0"/>
      <w:marBottom w:val="0"/>
      <w:divBdr>
        <w:top w:val="none" w:sz="0" w:space="0" w:color="auto"/>
        <w:left w:val="none" w:sz="0" w:space="0" w:color="auto"/>
        <w:bottom w:val="none" w:sz="0" w:space="0" w:color="auto"/>
        <w:right w:val="none" w:sz="0" w:space="0" w:color="auto"/>
      </w:divBdr>
    </w:div>
    <w:div w:id="411391343">
      <w:bodyDiv w:val="1"/>
      <w:marLeft w:val="0"/>
      <w:marRight w:val="0"/>
      <w:marTop w:val="0"/>
      <w:marBottom w:val="0"/>
      <w:divBdr>
        <w:top w:val="none" w:sz="0" w:space="0" w:color="auto"/>
        <w:left w:val="none" w:sz="0" w:space="0" w:color="auto"/>
        <w:bottom w:val="none" w:sz="0" w:space="0" w:color="auto"/>
        <w:right w:val="none" w:sz="0" w:space="0" w:color="auto"/>
      </w:divBdr>
    </w:div>
    <w:div w:id="413354884">
      <w:bodyDiv w:val="1"/>
      <w:marLeft w:val="0"/>
      <w:marRight w:val="0"/>
      <w:marTop w:val="0"/>
      <w:marBottom w:val="0"/>
      <w:divBdr>
        <w:top w:val="none" w:sz="0" w:space="0" w:color="auto"/>
        <w:left w:val="none" w:sz="0" w:space="0" w:color="auto"/>
        <w:bottom w:val="none" w:sz="0" w:space="0" w:color="auto"/>
        <w:right w:val="none" w:sz="0" w:space="0" w:color="auto"/>
      </w:divBdr>
    </w:div>
    <w:div w:id="414519149">
      <w:marLeft w:val="0"/>
      <w:marRight w:val="0"/>
      <w:marTop w:val="0"/>
      <w:marBottom w:val="0"/>
      <w:divBdr>
        <w:top w:val="none" w:sz="0" w:space="0" w:color="auto"/>
        <w:left w:val="none" w:sz="0" w:space="0" w:color="auto"/>
        <w:bottom w:val="none" w:sz="0" w:space="0" w:color="auto"/>
        <w:right w:val="none" w:sz="0" w:space="0" w:color="auto"/>
      </w:divBdr>
    </w:div>
    <w:div w:id="419958578">
      <w:bodyDiv w:val="1"/>
      <w:marLeft w:val="0"/>
      <w:marRight w:val="0"/>
      <w:marTop w:val="0"/>
      <w:marBottom w:val="0"/>
      <w:divBdr>
        <w:top w:val="none" w:sz="0" w:space="0" w:color="auto"/>
        <w:left w:val="none" w:sz="0" w:space="0" w:color="auto"/>
        <w:bottom w:val="none" w:sz="0" w:space="0" w:color="auto"/>
        <w:right w:val="none" w:sz="0" w:space="0" w:color="auto"/>
      </w:divBdr>
    </w:div>
    <w:div w:id="425688447">
      <w:bodyDiv w:val="1"/>
      <w:marLeft w:val="0"/>
      <w:marRight w:val="0"/>
      <w:marTop w:val="0"/>
      <w:marBottom w:val="0"/>
      <w:divBdr>
        <w:top w:val="none" w:sz="0" w:space="0" w:color="auto"/>
        <w:left w:val="none" w:sz="0" w:space="0" w:color="auto"/>
        <w:bottom w:val="none" w:sz="0" w:space="0" w:color="auto"/>
        <w:right w:val="none" w:sz="0" w:space="0" w:color="auto"/>
      </w:divBdr>
    </w:div>
    <w:div w:id="426268908">
      <w:bodyDiv w:val="1"/>
      <w:marLeft w:val="0"/>
      <w:marRight w:val="0"/>
      <w:marTop w:val="0"/>
      <w:marBottom w:val="0"/>
      <w:divBdr>
        <w:top w:val="none" w:sz="0" w:space="0" w:color="auto"/>
        <w:left w:val="none" w:sz="0" w:space="0" w:color="auto"/>
        <w:bottom w:val="none" w:sz="0" w:space="0" w:color="auto"/>
        <w:right w:val="none" w:sz="0" w:space="0" w:color="auto"/>
      </w:divBdr>
    </w:div>
    <w:div w:id="427845859">
      <w:bodyDiv w:val="1"/>
      <w:marLeft w:val="0"/>
      <w:marRight w:val="0"/>
      <w:marTop w:val="0"/>
      <w:marBottom w:val="0"/>
      <w:divBdr>
        <w:top w:val="none" w:sz="0" w:space="0" w:color="auto"/>
        <w:left w:val="none" w:sz="0" w:space="0" w:color="auto"/>
        <w:bottom w:val="none" w:sz="0" w:space="0" w:color="auto"/>
        <w:right w:val="none" w:sz="0" w:space="0" w:color="auto"/>
      </w:divBdr>
    </w:div>
    <w:div w:id="428890196">
      <w:bodyDiv w:val="1"/>
      <w:marLeft w:val="0"/>
      <w:marRight w:val="0"/>
      <w:marTop w:val="0"/>
      <w:marBottom w:val="0"/>
      <w:divBdr>
        <w:top w:val="none" w:sz="0" w:space="0" w:color="auto"/>
        <w:left w:val="none" w:sz="0" w:space="0" w:color="auto"/>
        <w:bottom w:val="none" w:sz="0" w:space="0" w:color="auto"/>
        <w:right w:val="none" w:sz="0" w:space="0" w:color="auto"/>
      </w:divBdr>
    </w:div>
    <w:div w:id="430469178">
      <w:bodyDiv w:val="1"/>
      <w:marLeft w:val="0"/>
      <w:marRight w:val="0"/>
      <w:marTop w:val="0"/>
      <w:marBottom w:val="0"/>
      <w:divBdr>
        <w:top w:val="none" w:sz="0" w:space="0" w:color="auto"/>
        <w:left w:val="none" w:sz="0" w:space="0" w:color="auto"/>
        <w:bottom w:val="none" w:sz="0" w:space="0" w:color="auto"/>
        <w:right w:val="none" w:sz="0" w:space="0" w:color="auto"/>
      </w:divBdr>
    </w:div>
    <w:div w:id="431172018">
      <w:bodyDiv w:val="1"/>
      <w:marLeft w:val="0"/>
      <w:marRight w:val="0"/>
      <w:marTop w:val="0"/>
      <w:marBottom w:val="0"/>
      <w:divBdr>
        <w:top w:val="none" w:sz="0" w:space="0" w:color="auto"/>
        <w:left w:val="none" w:sz="0" w:space="0" w:color="auto"/>
        <w:bottom w:val="none" w:sz="0" w:space="0" w:color="auto"/>
        <w:right w:val="none" w:sz="0" w:space="0" w:color="auto"/>
      </w:divBdr>
    </w:div>
    <w:div w:id="432866101">
      <w:marLeft w:val="0"/>
      <w:marRight w:val="0"/>
      <w:marTop w:val="0"/>
      <w:marBottom w:val="0"/>
      <w:divBdr>
        <w:top w:val="none" w:sz="0" w:space="0" w:color="auto"/>
        <w:left w:val="none" w:sz="0" w:space="0" w:color="auto"/>
        <w:bottom w:val="none" w:sz="0" w:space="0" w:color="auto"/>
        <w:right w:val="none" w:sz="0" w:space="0" w:color="auto"/>
      </w:divBdr>
    </w:div>
    <w:div w:id="433094592">
      <w:bodyDiv w:val="1"/>
      <w:marLeft w:val="0"/>
      <w:marRight w:val="0"/>
      <w:marTop w:val="0"/>
      <w:marBottom w:val="0"/>
      <w:divBdr>
        <w:top w:val="none" w:sz="0" w:space="0" w:color="auto"/>
        <w:left w:val="none" w:sz="0" w:space="0" w:color="auto"/>
        <w:bottom w:val="none" w:sz="0" w:space="0" w:color="auto"/>
        <w:right w:val="none" w:sz="0" w:space="0" w:color="auto"/>
      </w:divBdr>
    </w:div>
    <w:div w:id="436632393">
      <w:bodyDiv w:val="1"/>
      <w:marLeft w:val="0"/>
      <w:marRight w:val="0"/>
      <w:marTop w:val="0"/>
      <w:marBottom w:val="0"/>
      <w:divBdr>
        <w:top w:val="none" w:sz="0" w:space="0" w:color="auto"/>
        <w:left w:val="none" w:sz="0" w:space="0" w:color="auto"/>
        <w:bottom w:val="none" w:sz="0" w:space="0" w:color="auto"/>
        <w:right w:val="none" w:sz="0" w:space="0" w:color="auto"/>
      </w:divBdr>
    </w:div>
    <w:div w:id="436946812">
      <w:bodyDiv w:val="1"/>
      <w:marLeft w:val="0"/>
      <w:marRight w:val="0"/>
      <w:marTop w:val="0"/>
      <w:marBottom w:val="0"/>
      <w:divBdr>
        <w:top w:val="none" w:sz="0" w:space="0" w:color="auto"/>
        <w:left w:val="none" w:sz="0" w:space="0" w:color="auto"/>
        <w:bottom w:val="none" w:sz="0" w:space="0" w:color="auto"/>
        <w:right w:val="none" w:sz="0" w:space="0" w:color="auto"/>
      </w:divBdr>
    </w:div>
    <w:div w:id="437214571">
      <w:bodyDiv w:val="1"/>
      <w:marLeft w:val="0"/>
      <w:marRight w:val="0"/>
      <w:marTop w:val="0"/>
      <w:marBottom w:val="0"/>
      <w:divBdr>
        <w:top w:val="none" w:sz="0" w:space="0" w:color="auto"/>
        <w:left w:val="none" w:sz="0" w:space="0" w:color="auto"/>
        <w:bottom w:val="none" w:sz="0" w:space="0" w:color="auto"/>
        <w:right w:val="none" w:sz="0" w:space="0" w:color="auto"/>
      </w:divBdr>
    </w:div>
    <w:div w:id="438599189">
      <w:bodyDiv w:val="1"/>
      <w:marLeft w:val="0"/>
      <w:marRight w:val="0"/>
      <w:marTop w:val="0"/>
      <w:marBottom w:val="0"/>
      <w:divBdr>
        <w:top w:val="none" w:sz="0" w:space="0" w:color="auto"/>
        <w:left w:val="none" w:sz="0" w:space="0" w:color="auto"/>
        <w:bottom w:val="none" w:sz="0" w:space="0" w:color="auto"/>
        <w:right w:val="none" w:sz="0" w:space="0" w:color="auto"/>
      </w:divBdr>
    </w:div>
    <w:div w:id="441922912">
      <w:bodyDiv w:val="1"/>
      <w:marLeft w:val="0"/>
      <w:marRight w:val="0"/>
      <w:marTop w:val="0"/>
      <w:marBottom w:val="0"/>
      <w:divBdr>
        <w:top w:val="none" w:sz="0" w:space="0" w:color="auto"/>
        <w:left w:val="none" w:sz="0" w:space="0" w:color="auto"/>
        <w:bottom w:val="none" w:sz="0" w:space="0" w:color="auto"/>
        <w:right w:val="none" w:sz="0" w:space="0" w:color="auto"/>
      </w:divBdr>
    </w:div>
    <w:div w:id="445655850">
      <w:bodyDiv w:val="1"/>
      <w:marLeft w:val="0"/>
      <w:marRight w:val="0"/>
      <w:marTop w:val="0"/>
      <w:marBottom w:val="0"/>
      <w:divBdr>
        <w:top w:val="none" w:sz="0" w:space="0" w:color="auto"/>
        <w:left w:val="none" w:sz="0" w:space="0" w:color="auto"/>
        <w:bottom w:val="none" w:sz="0" w:space="0" w:color="auto"/>
        <w:right w:val="none" w:sz="0" w:space="0" w:color="auto"/>
      </w:divBdr>
    </w:div>
    <w:div w:id="445854749">
      <w:bodyDiv w:val="1"/>
      <w:marLeft w:val="0"/>
      <w:marRight w:val="0"/>
      <w:marTop w:val="0"/>
      <w:marBottom w:val="0"/>
      <w:divBdr>
        <w:top w:val="none" w:sz="0" w:space="0" w:color="auto"/>
        <w:left w:val="none" w:sz="0" w:space="0" w:color="auto"/>
        <w:bottom w:val="none" w:sz="0" w:space="0" w:color="auto"/>
        <w:right w:val="none" w:sz="0" w:space="0" w:color="auto"/>
      </w:divBdr>
    </w:div>
    <w:div w:id="446585793">
      <w:bodyDiv w:val="1"/>
      <w:marLeft w:val="0"/>
      <w:marRight w:val="0"/>
      <w:marTop w:val="0"/>
      <w:marBottom w:val="0"/>
      <w:divBdr>
        <w:top w:val="none" w:sz="0" w:space="0" w:color="auto"/>
        <w:left w:val="none" w:sz="0" w:space="0" w:color="auto"/>
        <w:bottom w:val="none" w:sz="0" w:space="0" w:color="auto"/>
        <w:right w:val="none" w:sz="0" w:space="0" w:color="auto"/>
      </w:divBdr>
    </w:div>
    <w:div w:id="449125214">
      <w:bodyDiv w:val="1"/>
      <w:marLeft w:val="0"/>
      <w:marRight w:val="0"/>
      <w:marTop w:val="0"/>
      <w:marBottom w:val="0"/>
      <w:divBdr>
        <w:top w:val="none" w:sz="0" w:space="0" w:color="auto"/>
        <w:left w:val="none" w:sz="0" w:space="0" w:color="auto"/>
        <w:bottom w:val="none" w:sz="0" w:space="0" w:color="auto"/>
        <w:right w:val="none" w:sz="0" w:space="0" w:color="auto"/>
      </w:divBdr>
    </w:div>
    <w:div w:id="449976257">
      <w:bodyDiv w:val="1"/>
      <w:marLeft w:val="0"/>
      <w:marRight w:val="0"/>
      <w:marTop w:val="0"/>
      <w:marBottom w:val="0"/>
      <w:divBdr>
        <w:top w:val="none" w:sz="0" w:space="0" w:color="auto"/>
        <w:left w:val="none" w:sz="0" w:space="0" w:color="auto"/>
        <w:bottom w:val="none" w:sz="0" w:space="0" w:color="auto"/>
        <w:right w:val="none" w:sz="0" w:space="0" w:color="auto"/>
      </w:divBdr>
    </w:div>
    <w:div w:id="455031933">
      <w:marLeft w:val="0"/>
      <w:marRight w:val="0"/>
      <w:marTop w:val="0"/>
      <w:marBottom w:val="0"/>
      <w:divBdr>
        <w:top w:val="none" w:sz="0" w:space="0" w:color="auto"/>
        <w:left w:val="none" w:sz="0" w:space="0" w:color="auto"/>
        <w:bottom w:val="none" w:sz="0" w:space="0" w:color="auto"/>
        <w:right w:val="none" w:sz="0" w:space="0" w:color="auto"/>
      </w:divBdr>
    </w:div>
    <w:div w:id="455223346">
      <w:bodyDiv w:val="1"/>
      <w:marLeft w:val="0"/>
      <w:marRight w:val="0"/>
      <w:marTop w:val="0"/>
      <w:marBottom w:val="0"/>
      <w:divBdr>
        <w:top w:val="none" w:sz="0" w:space="0" w:color="auto"/>
        <w:left w:val="none" w:sz="0" w:space="0" w:color="auto"/>
        <w:bottom w:val="none" w:sz="0" w:space="0" w:color="auto"/>
        <w:right w:val="none" w:sz="0" w:space="0" w:color="auto"/>
      </w:divBdr>
    </w:div>
    <w:div w:id="455294734">
      <w:bodyDiv w:val="1"/>
      <w:marLeft w:val="0"/>
      <w:marRight w:val="0"/>
      <w:marTop w:val="0"/>
      <w:marBottom w:val="0"/>
      <w:divBdr>
        <w:top w:val="none" w:sz="0" w:space="0" w:color="auto"/>
        <w:left w:val="none" w:sz="0" w:space="0" w:color="auto"/>
        <w:bottom w:val="none" w:sz="0" w:space="0" w:color="auto"/>
        <w:right w:val="none" w:sz="0" w:space="0" w:color="auto"/>
      </w:divBdr>
    </w:div>
    <w:div w:id="457381293">
      <w:bodyDiv w:val="1"/>
      <w:marLeft w:val="0"/>
      <w:marRight w:val="0"/>
      <w:marTop w:val="0"/>
      <w:marBottom w:val="0"/>
      <w:divBdr>
        <w:top w:val="none" w:sz="0" w:space="0" w:color="auto"/>
        <w:left w:val="none" w:sz="0" w:space="0" w:color="auto"/>
        <w:bottom w:val="none" w:sz="0" w:space="0" w:color="auto"/>
        <w:right w:val="none" w:sz="0" w:space="0" w:color="auto"/>
      </w:divBdr>
    </w:div>
    <w:div w:id="458451866">
      <w:bodyDiv w:val="1"/>
      <w:marLeft w:val="0"/>
      <w:marRight w:val="0"/>
      <w:marTop w:val="0"/>
      <w:marBottom w:val="0"/>
      <w:divBdr>
        <w:top w:val="none" w:sz="0" w:space="0" w:color="auto"/>
        <w:left w:val="none" w:sz="0" w:space="0" w:color="auto"/>
        <w:bottom w:val="none" w:sz="0" w:space="0" w:color="auto"/>
        <w:right w:val="none" w:sz="0" w:space="0" w:color="auto"/>
      </w:divBdr>
    </w:div>
    <w:div w:id="460195354">
      <w:bodyDiv w:val="1"/>
      <w:marLeft w:val="0"/>
      <w:marRight w:val="0"/>
      <w:marTop w:val="0"/>
      <w:marBottom w:val="0"/>
      <w:divBdr>
        <w:top w:val="none" w:sz="0" w:space="0" w:color="auto"/>
        <w:left w:val="none" w:sz="0" w:space="0" w:color="auto"/>
        <w:bottom w:val="none" w:sz="0" w:space="0" w:color="auto"/>
        <w:right w:val="none" w:sz="0" w:space="0" w:color="auto"/>
      </w:divBdr>
    </w:div>
    <w:div w:id="462382267">
      <w:bodyDiv w:val="1"/>
      <w:marLeft w:val="0"/>
      <w:marRight w:val="0"/>
      <w:marTop w:val="0"/>
      <w:marBottom w:val="0"/>
      <w:divBdr>
        <w:top w:val="none" w:sz="0" w:space="0" w:color="auto"/>
        <w:left w:val="none" w:sz="0" w:space="0" w:color="auto"/>
        <w:bottom w:val="none" w:sz="0" w:space="0" w:color="auto"/>
        <w:right w:val="none" w:sz="0" w:space="0" w:color="auto"/>
      </w:divBdr>
    </w:div>
    <w:div w:id="462429057">
      <w:bodyDiv w:val="1"/>
      <w:marLeft w:val="0"/>
      <w:marRight w:val="0"/>
      <w:marTop w:val="0"/>
      <w:marBottom w:val="0"/>
      <w:divBdr>
        <w:top w:val="none" w:sz="0" w:space="0" w:color="auto"/>
        <w:left w:val="none" w:sz="0" w:space="0" w:color="auto"/>
        <w:bottom w:val="none" w:sz="0" w:space="0" w:color="auto"/>
        <w:right w:val="none" w:sz="0" w:space="0" w:color="auto"/>
      </w:divBdr>
    </w:div>
    <w:div w:id="462500299">
      <w:bodyDiv w:val="1"/>
      <w:marLeft w:val="0"/>
      <w:marRight w:val="0"/>
      <w:marTop w:val="0"/>
      <w:marBottom w:val="0"/>
      <w:divBdr>
        <w:top w:val="none" w:sz="0" w:space="0" w:color="auto"/>
        <w:left w:val="none" w:sz="0" w:space="0" w:color="auto"/>
        <w:bottom w:val="none" w:sz="0" w:space="0" w:color="auto"/>
        <w:right w:val="none" w:sz="0" w:space="0" w:color="auto"/>
      </w:divBdr>
    </w:div>
    <w:div w:id="466822062">
      <w:bodyDiv w:val="1"/>
      <w:marLeft w:val="0"/>
      <w:marRight w:val="0"/>
      <w:marTop w:val="0"/>
      <w:marBottom w:val="0"/>
      <w:divBdr>
        <w:top w:val="none" w:sz="0" w:space="0" w:color="auto"/>
        <w:left w:val="none" w:sz="0" w:space="0" w:color="auto"/>
        <w:bottom w:val="none" w:sz="0" w:space="0" w:color="auto"/>
        <w:right w:val="none" w:sz="0" w:space="0" w:color="auto"/>
      </w:divBdr>
    </w:div>
    <w:div w:id="467406907">
      <w:bodyDiv w:val="1"/>
      <w:marLeft w:val="0"/>
      <w:marRight w:val="0"/>
      <w:marTop w:val="0"/>
      <w:marBottom w:val="0"/>
      <w:divBdr>
        <w:top w:val="none" w:sz="0" w:space="0" w:color="auto"/>
        <w:left w:val="none" w:sz="0" w:space="0" w:color="auto"/>
        <w:bottom w:val="none" w:sz="0" w:space="0" w:color="auto"/>
        <w:right w:val="none" w:sz="0" w:space="0" w:color="auto"/>
      </w:divBdr>
    </w:div>
    <w:div w:id="472143706">
      <w:bodyDiv w:val="1"/>
      <w:marLeft w:val="0"/>
      <w:marRight w:val="0"/>
      <w:marTop w:val="0"/>
      <w:marBottom w:val="0"/>
      <w:divBdr>
        <w:top w:val="none" w:sz="0" w:space="0" w:color="auto"/>
        <w:left w:val="none" w:sz="0" w:space="0" w:color="auto"/>
        <w:bottom w:val="none" w:sz="0" w:space="0" w:color="auto"/>
        <w:right w:val="none" w:sz="0" w:space="0" w:color="auto"/>
      </w:divBdr>
    </w:div>
    <w:div w:id="477495542">
      <w:bodyDiv w:val="1"/>
      <w:marLeft w:val="0"/>
      <w:marRight w:val="0"/>
      <w:marTop w:val="0"/>
      <w:marBottom w:val="0"/>
      <w:divBdr>
        <w:top w:val="none" w:sz="0" w:space="0" w:color="auto"/>
        <w:left w:val="none" w:sz="0" w:space="0" w:color="auto"/>
        <w:bottom w:val="none" w:sz="0" w:space="0" w:color="auto"/>
        <w:right w:val="none" w:sz="0" w:space="0" w:color="auto"/>
      </w:divBdr>
    </w:div>
    <w:div w:id="478428396">
      <w:bodyDiv w:val="1"/>
      <w:marLeft w:val="0"/>
      <w:marRight w:val="0"/>
      <w:marTop w:val="0"/>
      <w:marBottom w:val="0"/>
      <w:divBdr>
        <w:top w:val="none" w:sz="0" w:space="0" w:color="auto"/>
        <w:left w:val="none" w:sz="0" w:space="0" w:color="auto"/>
        <w:bottom w:val="none" w:sz="0" w:space="0" w:color="auto"/>
        <w:right w:val="none" w:sz="0" w:space="0" w:color="auto"/>
      </w:divBdr>
    </w:div>
    <w:div w:id="479882324">
      <w:bodyDiv w:val="1"/>
      <w:marLeft w:val="0"/>
      <w:marRight w:val="0"/>
      <w:marTop w:val="0"/>
      <w:marBottom w:val="0"/>
      <w:divBdr>
        <w:top w:val="none" w:sz="0" w:space="0" w:color="auto"/>
        <w:left w:val="none" w:sz="0" w:space="0" w:color="auto"/>
        <w:bottom w:val="none" w:sz="0" w:space="0" w:color="auto"/>
        <w:right w:val="none" w:sz="0" w:space="0" w:color="auto"/>
      </w:divBdr>
    </w:div>
    <w:div w:id="482045337">
      <w:bodyDiv w:val="1"/>
      <w:marLeft w:val="0"/>
      <w:marRight w:val="0"/>
      <w:marTop w:val="0"/>
      <w:marBottom w:val="0"/>
      <w:divBdr>
        <w:top w:val="none" w:sz="0" w:space="0" w:color="auto"/>
        <w:left w:val="none" w:sz="0" w:space="0" w:color="auto"/>
        <w:bottom w:val="none" w:sz="0" w:space="0" w:color="auto"/>
        <w:right w:val="none" w:sz="0" w:space="0" w:color="auto"/>
      </w:divBdr>
    </w:div>
    <w:div w:id="483204595">
      <w:bodyDiv w:val="1"/>
      <w:marLeft w:val="0"/>
      <w:marRight w:val="0"/>
      <w:marTop w:val="0"/>
      <w:marBottom w:val="0"/>
      <w:divBdr>
        <w:top w:val="none" w:sz="0" w:space="0" w:color="auto"/>
        <w:left w:val="none" w:sz="0" w:space="0" w:color="auto"/>
        <w:bottom w:val="none" w:sz="0" w:space="0" w:color="auto"/>
        <w:right w:val="none" w:sz="0" w:space="0" w:color="auto"/>
      </w:divBdr>
    </w:div>
    <w:div w:id="484274344">
      <w:bodyDiv w:val="1"/>
      <w:marLeft w:val="0"/>
      <w:marRight w:val="0"/>
      <w:marTop w:val="0"/>
      <w:marBottom w:val="0"/>
      <w:divBdr>
        <w:top w:val="none" w:sz="0" w:space="0" w:color="auto"/>
        <w:left w:val="none" w:sz="0" w:space="0" w:color="auto"/>
        <w:bottom w:val="none" w:sz="0" w:space="0" w:color="auto"/>
        <w:right w:val="none" w:sz="0" w:space="0" w:color="auto"/>
      </w:divBdr>
    </w:div>
    <w:div w:id="485434873">
      <w:bodyDiv w:val="1"/>
      <w:marLeft w:val="0"/>
      <w:marRight w:val="0"/>
      <w:marTop w:val="0"/>
      <w:marBottom w:val="0"/>
      <w:divBdr>
        <w:top w:val="none" w:sz="0" w:space="0" w:color="auto"/>
        <w:left w:val="none" w:sz="0" w:space="0" w:color="auto"/>
        <w:bottom w:val="none" w:sz="0" w:space="0" w:color="auto"/>
        <w:right w:val="none" w:sz="0" w:space="0" w:color="auto"/>
      </w:divBdr>
    </w:div>
    <w:div w:id="488906426">
      <w:bodyDiv w:val="1"/>
      <w:marLeft w:val="0"/>
      <w:marRight w:val="0"/>
      <w:marTop w:val="0"/>
      <w:marBottom w:val="0"/>
      <w:divBdr>
        <w:top w:val="none" w:sz="0" w:space="0" w:color="auto"/>
        <w:left w:val="none" w:sz="0" w:space="0" w:color="auto"/>
        <w:bottom w:val="none" w:sz="0" w:space="0" w:color="auto"/>
        <w:right w:val="none" w:sz="0" w:space="0" w:color="auto"/>
      </w:divBdr>
    </w:div>
    <w:div w:id="489906405">
      <w:bodyDiv w:val="1"/>
      <w:marLeft w:val="0"/>
      <w:marRight w:val="0"/>
      <w:marTop w:val="0"/>
      <w:marBottom w:val="0"/>
      <w:divBdr>
        <w:top w:val="none" w:sz="0" w:space="0" w:color="auto"/>
        <w:left w:val="none" w:sz="0" w:space="0" w:color="auto"/>
        <w:bottom w:val="none" w:sz="0" w:space="0" w:color="auto"/>
        <w:right w:val="none" w:sz="0" w:space="0" w:color="auto"/>
      </w:divBdr>
    </w:div>
    <w:div w:id="490678481">
      <w:marLeft w:val="0"/>
      <w:marRight w:val="0"/>
      <w:marTop w:val="0"/>
      <w:marBottom w:val="0"/>
      <w:divBdr>
        <w:top w:val="none" w:sz="0" w:space="0" w:color="auto"/>
        <w:left w:val="none" w:sz="0" w:space="0" w:color="auto"/>
        <w:bottom w:val="none" w:sz="0" w:space="0" w:color="auto"/>
        <w:right w:val="none" w:sz="0" w:space="0" w:color="auto"/>
      </w:divBdr>
    </w:div>
    <w:div w:id="491288986">
      <w:bodyDiv w:val="1"/>
      <w:marLeft w:val="0"/>
      <w:marRight w:val="0"/>
      <w:marTop w:val="0"/>
      <w:marBottom w:val="0"/>
      <w:divBdr>
        <w:top w:val="none" w:sz="0" w:space="0" w:color="auto"/>
        <w:left w:val="none" w:sz="0" w:space="0" w:color="auto"/>
        <w:bottom w:val="none" w:sz="0" w:space="0" w:color="auto"/>
        <w:right w:val="none" w:sz="0" w:space="0" w:color="auto"/>
      </w:divBdr>
    </w:div>
    <w:div w:id="492989497">
      <w:bodyDiv w:val="1"/>
      <w:marLeft w:val="0"/>
      <w:marRight w:val="0"/>
      <w:marTop w:val="0"/>
      <w:marBottom w:val="0"/>
      <w:divBdr>
        <w:top w:val="none" w:sz="0" w:space="0" w:color="auto"/>
        <w:left w:val="none" w:sz="0" w:space="0" w:color="auto"/>
        <w:bottom w:val="none" w:sz="0" w:space="0" w:color="auto"/>
        <w:right w:val="none" w:sz="0" w:space="0" w:color="auto"/>
      </w:divBdr>
    </w:div>
    <w:div w:id="494491902">
      <w:bodyDiv w:val="1"/>
      <w:marLeft w:val="0"/>
      <w:marRight w:val="0"/>
      <w:marTop w:val="0"/>
      <w:marBottom w:val="0"/>
      <w:divBdr>
        <w:top w:val="none" w:sz="0" w:space="0" w:color="auto"/>
        <w:left w:val="none" w:sz="0" w:space="0" w:color="auto"/>
        <w:bottom w:val="none" w:sz="0" w:space="0" w:color="auto"/>
        <w:right w:val="none" w:sz="0" w:space="0" w:color="auto"/>
      </w:divBdr>
    </w:div>
    <w:div w:id="494492996">
      <w:bodyDiv w:val="1"/>
      <w:marLeft w:val="0"/>
      <w:marRight w:val="0"/>
      <w:marTop w:val="0"/>
      <w:marBottom w:val="0"/>
      <w:divBdr>
        <w:top w:val="none" w:sz="0" w:space="0" w:color="auto"/>
        <w:left w:val="none" w:sz="0" w:space="0" w:color="auto"/>
        <w:bottom w:val="none" w:sz="0" w:space="0" w:color="auto"/>
        <w:right w:val="none" w:sz="0" w:space="0" w:color="auto"/>
      </w:divBdr>
    </w:div>
    <w:div w:id="497308315">
      <w:bodyDiv w:val="1"/>
      <w:marLeft w:val="0"/>
      <w:marRight w:val="0"/>
      <w:marTop w:val="0"/>
      <w:marBottom w:val="0"/>
      <w:divBdr>
        <w:top w:val="none" w:sz="0" w:space="0" w:color="auto"/>
        <w:left w:val="none" w:sz="0" w:space="0" w:color="auto"/>
        <w:bottom w:val="none" w:sz="0" w:space="0" w:color="auto"/>
        <w:right w:val="none" w:sz="0" w:space="0" w:color="auto"/>
      </w:divBdr>
    </w:div>
    <w:div w:id="500000817">
      <w:bodyDiv w:val="1"/>
      <w:marLeft w:val="0"/>
      <w:marRight w:val="0"/>
      <w:marTop w:val="0"/>
      <w:marBottom w:val="0"/>
      <w:divBdr>
        <w:top w:val="none" w:sz="0" w:space="0" w:color="auto"/>
        <w:left w:val="none" w:sz="0" w:space="0" w:color="auto"/>
        <w:bottom w:val="none" w:sz="0" w:space="0" w:color="auto"/>
        <w:right w:val="none" w:sz="0" w:space="0" w:color="auto"/>
      </w:divBdr>
    </w:div>
    <w:div w:id="502669019">
      <w:bodyDiv w:val="1"/>
      <w:marLeft w:val="0"/>
      <w:marRight w:val="0"/>
      <w:marTop w:val="0"/>
      <w:marBottom w:val="0"/>
      <w:divBdr>
        <w:top w:val="none" w:sz="0" w:space="0" w:color="auto"/>
        <w:left w:val="none" w:sz="0" w:space="0" w:color="auto"/>
        <w:bottom w:val="none" w:sz="0" w:space="0" w:color="auto"/>
        <w:right w:val="none" w:sz="0" w:space="0" w:color="auto"/>
      </w:divBdr>
    </w:div>
    <w:div w:id="502741631">
      <w:bodyDiv w:val="1"/>
      <w:marLeft w:val="0"/>
      <w:marRight w:val="0"/>
      <w:marTop w:val="0"/>
      <w:marBottom w:val="0"/>
      <w:divBdr>
        <w:top w:val="none" w:sz="0" w:space="0" w:color="auto"/>
        <w:left w:val="none" w:sz="0" w:space="0" w:color="auto"/>
        <w:bottom w:val="none" w:sz="0" w:space="0" w:color="auto"/>
        <w:right w:val="none" w:sz="0" w:space="0" w:color="auto"/>
      </w:divBdr>
    </w:div>
    <w:div w:id="503473571">
      <w:bodyDiv w:val="1"/>
      <w:marLeft w:val="0"/>
      <w:marRight w:val="0"/>
      <w:marTop w:val="0"/>
      <w:marBottom w:val="0"/>
      <w:divBdr>
        <w:top w:val="none" w:sz="0" w:space="0" w:color="auto"/>
        <w:left w:val="none" w:sz="0" w:space="0" w:color="auto"/>
        <w:bottom w:val="none" w:sz="0" w:space="0" w:color="auto"/>
        <w:right w:val="none" w:sz="0" w:space="0" w:color="auto"/>
      </w:divBdr>
    </w:div>
    <w:div w:id="504438372">
      <w:bodyDiv w:val="1"/>
      <w:marLeft w:val="0"/>
      <w:marRight w:val="0"/>
      <w:marTop w:val="0"/>
      <w:marBottom w:val="0"/>
      <w:divBdr>
        <w:top w:val="none" w:sz="0" w:space="0" w:color="auto"/>
        <w:left w:val="none" w:sz="0" w:space="0" w:color="auto"/>
        <w:bottom w:val="none" w:sz="0" w:space="0" w:color="auto"/>
        <w:right w:val="none" w:sz="0" w:space="0" w:color="auto"/>
      </w:divBdr>
    </w:div>
    <w:div w:id="506790218">
      <w:bodyDiv w:val="1"/>
      <w:marLeft w:val="0"/>
      <w:marRight w:val="0"/>
      <w:marTop w:val="0"/>
      <w:marBottom w:val="0"/>
      <w:divBdr>
        <w:top w:val="none" w:sz="0" w:space="0" w:color="auto"/>
        <w:left w:val="none" w:sz="0" w:space="0" w:color="auto"/>
        <w:bottom w:val="none" w:sz="0" w:space="0" w:color="auto"/>
        <w:right w:val="none" w:sz="0" w:space="0" w:color="auto"/>
      </w:divBdr>
    </w:div>
    <w:div w:id="509952366">
      <w:bodyDiv w:val="1"/>
      <w:marLeft w:val="0"/>
      <w:marRight w:val="0"/>
      <w:marTop w:val="0"/>
      <w:marBottom w:val="0"/>
      <w:divBdr>
        <w:top w:val="none" w:sz="0" w:space="0" w:color="auto"/>
        <w:left w:val="none" w:sz="0" w:space="0" w:color="auto"/>
        <w:bottom w:val="none" w:sz="0" w:space="0" w:color="auto"/>
        <w:right w:val="none" w:sz="0" w:space="0" w:color="auto"/>
      </w:divBdr>
    </w:div>
    <w:div w:id="510949554">
      <w:bodyDiv w:val="1"/>
      <w:marLeft w:val="0"/>
      <w:marRight w:val="0"/>
      <w:marTop w:val="0"/>
      <w:marBottom w:val="0"/>
      <w:divBdr>
        <w:top w:val="none" w:sz="0" w:space="0" w:color="auto"/>
        <w:left w:val="none" w:sz="0" w:space="0" w:color="auto"/>
        <w:bottom w:val="none" w:sz="0" w:space="0" w:color="auto"/>
        <w:right w:val="none" w:sz="0" w:space="0" w:color="auto"/>
      </w:divBdr>
    </w:div>
    <w:div w:id="514270856">
      <w:bodyDiv w:val="1"/>
      <w:marLeft w:val="0"/>
      <w:marRight w:val="0"/>
      <w:marTop w:val="0"/>
      <w:marBottom w:val="0"/>
      <w:divBdr>
        <w:top w:val="none" w:sz="0" w:space="0" w:color="auto"/>
        <w:left w:val="none" w:sz="0" w:space="0" w:color="auto"/>
        <w:bottom w:val="none" w:sz="0" w:space="0" w:color="auto"/>
        <w:right w:val="none" w:sz="0" w:space="0" w:color="auto"/>
      </w:divBdr>
    </w:div>
    <w:div w:id="518197514">
      <w:bodyDiv w:val="1"/>
      <w:marLeft w:val="0"/>
      <w:marRight w:val="0"/>
      <w:marTop w:val="0"/>
      <w:marBottom w:val="0"/>
      <w:divBdr>
        <w:top w:val="none" w:sz="0" w:space="0" w:color="auto"/>
        <w:left w:val="none" w:sz="0" w:space="0" w:color="auto"/>
        <w:bottom w:val="none" w:sz="0" w:space="0" w:color="auto"/>
        <w:right w:val="none" w:sz="0" w:space="0" w:color="auto"/>
      </w:divBdr>
    </w:div>
    <w:div w:id="525754225">
      <w:bodyDiv w:val="1"/>
      <w:marLeft w:val="0"/>
      <w:marRight w:val="0"/>
      <w:marTop w:val="0"/>
      <w:marBottom w:val="0"/>
      <w:divBdr>
        <w:top w:val="none" w:sz="0" w:space="0" w:color="auto"/>
        <w:left w:val="none" w:sz="0" w:space="0" w:color="auto"/>
        <w:bottom w:val="none" w:sz="0" w:space="0" w:color="auto"/>
        <w:right w:val="none" w:sz="0" w:space="0" w:color="auto"/>
      </w:divBdr>
    </w:div>
    <w:div w:id="528447504">
      <w:bodyDiv w:val="1"/>
      <w:marLeft w:val="0"/>
      <w:marRight w:val="0"/>
      <w:marTop w:val="0"/>
      <w:marBottom w:val="0"/>
      <w:divBdr>
        <w:top w:val="none" w:sz="0" w:space="0" w:color="auto"/>
        <w:left w:val="none" w:sz="0" w:space="0" w:color="auto"/>
        <w:bottom w:val="none" w:sz="0" w:space="0" w:color="auto"/>
        <w:right w:val="none" w:sz="0" w:space="0" w:color="auto"/>
      </w:divBdr>
    </w:div>
    <w:div w:id="529221525">
      <w:marLeft w:val="0"/>
      <w:marRight w:val="0"/>
      <w:marTop w:val="0"/>
      <w:marBottom w:val="0"/>
      <w:divBdr>
        <w:top w:val="none" w:sz="0" w:space="0" w:color="auto"/>
        <w:left w:val="none" w:sz="0" w:space="0" w:color="auto"/>
        <w:bottom w:val="none" w:sz="0" w:space="0" w:color="auto"/>
        <w:right w:val="none" w:sz="0" w:space="0" w:color="auto"/>
      </w:divBdr>
    </w:div>
    <w:div w:id="532381333">
      <w:bodyDiv w:val="1"/>
      <w:marLeft w:val="0"/>
      <w:marRight w:val="0"/>
      <w:marTop w:val="0"/>
      <w:marBottom w:val="0"/>
      <w:divBdr>
        <w:top w:val="none" w:sz="0" w:space="0" w:color="auto"/>
        <w:left w:val="none" w:sz="0" w:space="0" w:color="auto"/>
        <w:bottom w:val="none" w:sz="0" w:space="0" w:color="auto"/>
        <w:right w:val="none" w:sz="0" w:space="0" w:color="auto"/>
      </w:divBdr>
    </w:div>
    <w:div w:id="539317429">
      <w:bodyDiv w:val="1"/>
      <w:marLeft w:val="0"/>
      <w:marRight w:val="0"/>
      <w:marTop w:val="0"/>
      <w:marBottom w:val="0"/>
      <w:divBdr>
        <w:top w:val="none" w:sz="0" w:space="0" w:color="auto"/>
        <w:left w:val="none" w:sz="0" w:space="0" w:color="auto"/>
        <w:bottom w:val="none" w:sz="0" w:space="0" w:color="auto"/>
        <w:right w:val="none" w:sz="0" w:space="0" w:color="auto"/>
      </w:divBdr>
    </w:div>
    <w:div w:id="540826819">
      <w:bodyDiv w:val="1"/>
      <w:marLeft w:val="0"/>
      <w:marRight w:val="0"/>
      <w:marTop w:val="0"/>
      <w:marBottom w:val="0"/>
      <w:divBdr>
        <w:top w:val="none" w:sz="0" w:space="0" w:color="auto"/>
        <w:left w:val="none" w:sz="0" w:space="0" w:color="auto"/>
        <w:bottom w:val="none" w:sz="0" w:space="0" w:color="auto"/>
        <w:right w:val="none" w:sz="0" w:space="0" w:color="auto"/>
      </w:divBdr>
    </w:div>
    <w:div w:id="542257598">
      <w:bodyDiv w:val="1"/>
      <w:marLeft w:val="0"/>
      <w:marRight w:val="0"/>
      <w:marTop w:val="0"/>
      <w:marBottom w:val="0"/>
      <w:divBdr>
        <w:top w:val="none" w:sz="0" w:space="0" w:color="auto"/>
        <w:left w:val="none" w:sz="0" w:space="0" w:color="auto"/>
        <w:bottom w:val="none" w:sz="0" w:space="0" w:color="auto"/>
        <w:right w:val="none" w:sz="0" w:space="0" w:color="auto"/>
      </w:divBdr>
    </w:div>
    <w:div w:id="545219528">
      <w:bodyDiv w:val="1"/>
      <w:marLeft w:val="0"/>
      <w:marRight w:val="0"/>
      <w:marTop w:val="0"/>
      <w:marBottom w:val="0"/>
      <w:divBdr>
        <w:top w:val="none" w:sz="0" w:space="0" w:color="auto"/>
        <w:left w:val="none" w:sz="0" w:space="0" w:color="auto"/>
        <w:bottom w:val="none" w:sz="0" w:space="0" w:color="auto"/>
        <w:right w:val="none" w:sz="0" w:space="0" w:color="auto"/>
      </w:divBdr>
    </w:div>
    <w:div w:id="547449347">
      <w:bodyDiv w:val="1"/>
      <w:marLeft w:val="0"/>
      <w:marRight w:val="0"/>
      <w:marTop w:val="0"/>
      <w:marBottom w:val="0"/>
      <w:divBdr>
        <w:top w:val="none" w:sz="0" w:space="0" w:color="auto"/>
        <w:left w:val="none" w:sz="0" w:space="0" w:color="auto"/>
        <w:bottom w:val="none" w:sz="0" w:space="0" w:color="auto"/>
        <w:right w:val="none" w:sz="0" w:space="0" w:color="auto"/>
      </w:divBdr>
    </w:div>
    <w:div w:id="548995421">
      <w:bodyDiv w:val="1"/>
      <w:marLeft w:val="0"/>
      <w:marRight w:val="0"/>
      <w:marTop w:val="0"/>
      <w:marBottom w:val="0"/>
      <w:divBdr>
        <w:top w:val="none" w:sz="0" w:space="0" w:color="auto"/>
        <w:left w:val="none" w:sz="0" w:space="0" w:color="auto"/>
        <w:bottom w:val="none" w:sz="0" w:space="0" w:color="auto"/>
        <w:right w:val="none" w:sz="0" w:space="0" w:color="auto"/>
      </w:divBdr>
    </w:div>
    <w:div w:id="551354928">
      <w:bodyDiv w:val="1"/>
      <w:marLeft w:val="0"/>
      <w:marRight w:val="0"/>
      <w:marTop w:val="0"/>
      <w:marBottom w:val="0"/>
      <w:divBdr>
        <w:top w:val="none" w:sz="0" w:space="0" w:color="auto"/>
        <w:left w:val="none" w:sz="0" w:space="0" w:color="auto"/>
        <w:bottom w:val="none" w:sz="0" w:space="0" w:color="auto"/>
        <w:right w:val="none" w:sz="0" w:space="0" w:color="auto"/>
      </w:divBdr>
    </w:div>
    <w:div w:id="551965333">
      <w:bodyDiv w:val="1"/>
      <w:marLeft w:val="0"/>
      <w:marRight w:val="0"/>
      <w:marTop w:val="0"/>
      <w:marBottom w:val="0"/>
      <w:divBdr>
        <w:top w:val="none" w:sz="0" w:space="0" w:color="auto"/>
        <w:left w:val="none" w:sz="0" w:space="0" w:color="auto"/>
        <w:bottom w:val="none" w:sz="0" w:space="0" w:color="auto"/>
        <w:right w:val="none" w:sz="0" w:space="0" w:color="auto"/>
      </w:divBdr>
    </w:div>
    <w:div w:id="552885956">
      <w:bodyDiv w:val="1"/>
      <w:marLeft w:val="0"/>
      <w:marRight w:val="0"/>
      <w:marTop w:val="0"/>
      <w:marBottom w:val="0"/>
      <w:divBdr>
        <w:top w:val="none" w:sz="0" w:space="0" w:color="auto"/>
        <w:left w:val="none" w:sz="0" w:space="0" w:color="auto"/>
        <w:bottom w:val="none" w:sz="0" w:space="0" w:color="auto"/>
        <w:right w:val="none" w:sz="0" w:space="0" w:color="auto"/>
      </w:divBdr>
    </w:div>
    <w:div w:id="554971687">
      <w:bodyDiv w:val="1"/>
      <w:marLeft w:val="0"/>
      <w:marRight w:val="0"/>
      <w:marTop w:val="0"/>
      <w:marBottom w:val="0"/>
      <w:divBdr>
        <w:top w:val="none" w:sz="0" w:space="0" w:color="auto"/>
        <w:left w:val="none" w:sz="0" w:space="0" w:color="auto"/>
        <w:bottom w:val="none" w:sz="0" w:space="0" w:color="auto"/>
        <w:right w:val="none" w:sz="0" w:space="0" w:color="auto"/>
      </w:divBdr>
    </w:div>
    <w:div w:id="556625625">
      <w:bodyDiv w:val="1"/>
      <w:marLeft w:val="0"/>
      <w:marRight w:val="0"/>
      <w:marTop w:val="0"/>
      <w:marBottom w:val="0"/>
      <w:divBdr>
        <w:top w:val="none" w:sz="0" w:space="0" w:color="auto"/>
        <w:left w:val="none" w:sz="0" w:space="0" w:color="auto"/>
        <w:bottom w:val="none" w:sz="0" w:space="0" w:color="auto"/>
        <w:right w:val="none" w:sz="0" w:space="0" w:color="auto"/>
      </w:divBdr>
    </w:div>
    <w:div w:id="557011733">
      <w:bodyDiv w:val="1"/>
      <w:marLeft w:val="0"/>
      <w:marRight w:val="0"/>
      <w:marTop w:val="0"/>
      <w:marBottom w:val="0"/>
      <w:divBdr>
        <w:top w:val="none" w:sz="0" w:space="0" w:color="auto"/>
        <w:left w:val="none" w:sz="0" w:space="0" w:color="auto"/>
        <w:bottom w:val="none" w:sz="0" w:space="0" w:color="auto"/>
        <w:right w:val="none" w:sz="0" w:space="0" w:color="auto"/>
      </w:divBdr>
    </w:div>
    <w:div w:id="559631418">
      <w:bodyDiv w:val="1"/>
      <w:marLeft w:val="0"/>
      <w:marRight w:val="0"/>
      <w:marTop w:val="0"/>
      <w:marBottom w:val="0"/>
      <w:divBdr>
        <w:top w:val="none" w:sz="0" w:space="0" w:color="auto"/>
        <w:left w:val="none" w:sz="0" w:space="0" w:color="auto"/>
        <w:bottom w:val="none" w:sz="0" w:space="0" w:color="auto"/>
        <w:right w:val="none" w:sz="0" w:space="0" w:color="auto"/>
      </w:divBdr>
    </w:div>
    <w:div w:id="559709465">
      <w:bodyDiv w:val="1"/>
      <w:marLeft w:val="0"/>
      <w:marRight w:val="0"/>
      <w:marTop w:val="0"/>
      <w:marBottom w:val="0"/>
      <w:divBdr>
        <w:top w:val="none" w:sz="0" w:space="0" w:color="auto"/>
        <w:left w:val="none" w:sz="0" w:space="0" w:color="auto"/>
        <w:bottom w:val="none" w:sz="0" w:space="0" w:color="auto"/>
        <w:right w:val="none" w:sz="0" w:space="0" w:color="auto"/>
      </w:divBdr>
    </w:div>
    <w:div w:id="561215599">
      <w:bodyDiv w:val="1"/>
      <w:marLeft w:val="0"/>
      <w:marRight w:val="0"/>
      <w:marTop w:val="0"/>
      <w:marBottom w:val="0"/>
      <w:divBdr>
        <w:top w:val="none" w:sz="0" w:space="0" w:color="auto"/>
        <w:left w:val="none" w:sz="0" w:space="0" w:color="auto"/>
        <w:bottom w:val="none" w:sz="0" w:space="0" w:color="auto"/>
        <w:right w:val="none" w:sz="0" w:space="0" w:color="auto"/>
      </w:divBdr>
    </w:div>
    <w:div w:id="564730441">
      <w:bodyDiv w:val="1"/>
      <w:marLeft w:val="0"/>
      <w:marRight w:val="0"/>
      <w:marTop w:val="0"/>
      <w:marBottom w:val="0"/>
      <w:divBdr>
        <w:top w:val="none" w:sz="0" w:space="0" w:color="auto"/>
        <w:left w:val="none" w:sz="0" w:space="0" w:color="auto"/>
        <w:bottom w:val="none" w:sz="0" w:space="0" w:color="auto"/>
        <w:right w:val="none" w:sz="0" w:space="0" w:color="auto"/>
      </w:divBdr>
    </w:div>
    <w:div w:id="567375274">
      <w:bodyDiv w:val="1"/>
      <w:marLeft w:val="0"/>
      <w:marRight w:val="0"/>
      <w:marTop w:val="0"/>
      <w:marBottom w:val="0"/>
      <w:divBdr>
        <w:top w:val="none" w:sz="0" w:space="0" w:color="auto"/>
        <w:left w:val="none" w:sz="0" w:space="0" w:color="auto"/>
        <w:bottom w:val="none" w:sz="0" w:space="0" w:color="auto"/>
        <w:right w:val="none" w:sz="0" w:space="0" w:color="auto"/>
      </w:divBdr>
    </w:div>
    <w:div w:id="567804165">
      <w:bodyDiv w:val="1"/>
      <w:marLeft w:val="0"/>
      <w:marRight w:val="0"/>
      <w:marTop w:val="0"/>
      <w:marBottom w:val="0"/>
      <w:divBdr>
        <w:top w:val="none" w:sz="0" w:space="0" w:color="auto"/>
        <w:left w:val="none" w:sz="0" w:space="0" w:color="auto"/>
        <w:bottom w:val="none" w:sz="0" w:space="0" w:color="auto"/>
        <w:right w:val="none" w:sz="0" w:space="0" w:color="auto"/>
      </w:divBdr>
    </w:div>
    <w:div w:id="568031709">
      <w:bodyDiv w:val="1"/>
      <w:marLeft w:val="0"/>
      <w:marRight w:val="0"/>
      <w:marTop w:val="0"/>
      <w:marBottom w:val="0"/>
      <w:divBdr>
        <w:top w:val="none" w:sz="0" w:space="0" w:color="auto"/>
        <w:left w:val="none" w:sz="0" w:space="0" w:color="auto"/>
        <w:bottom w:val="none" w:sz="0" w:space="0" w:color="auto"/>
        <w:right w:val="none" w:sz="0" w:space="0" w:color="auto"/>
      </w:divBdr>
    </w:div>
    <w:div w:id="569073553">
      <w:bodyDiv w:val="1"/>
      <w:marLeft w:val="0"/>
      <w:marRight w:val="0"/>
      <w:marTop w:val="0"/>
      <w:marBottom w:val="0"/>
      <w:divBdr>
        <w:top w:val="none" w:sz="0" w:space="0" w:color="auto"/>
        <w:left w:val="none" w:sz="0" w:space="0" w:color="auto"/>
        <w:bottom w:val="none" w:sz="0" w:space="0" w:color="auto"/>
        <w:right w:val="none" w:sz="0" w:space="0" w:color="auto"/>
      </w:divBdr>
    </w:div>
    <w:div w:id="570195778">
      <w:bodyDiv w:val="1"/>
      <w:marLeft w:val="0"/>
      <w:marRight w:val="0"/>
      <w:marTop w:val="0"/>
      <w:marBottom w:val="0"/>
      <w:divBdr>
        <w:top w:val="none" w:sz="0" w:space="0" w:color="auto"/>
        <w:left w:val="none" w:sz="0" w:space="0" w:color="auto"/>
        <w:bottom w:val="none" w:sz="0" w:space="0" w:color="auto"/>
        <w:right w:val="none" w:sz="0" w:space="0" w:color="auto"/>
      </w:divBdr>
    </w:div>
    <w:div w:id="570694118">
      <w:bodyDiv w:val="1"/>
      <w:marLeft w:val="0"/>
      <w:marRight w:val="0"/>
      <w:marTop w:val="0"/>
      <w:marBottom w:val="0"/>
      <w:divBdr>
        <w:top w:val="none" w:sz="0" w:space="0" w:color="auto"/>
        <w:left w:val="none" w:sz="0" w:space="0" w:color="auto"/>
        <w:bottom w:val="none" w:sz="0" w:space="0" w:color="auto"/>
        <w:right w:val="none" w:sz="0" w:space="0" w:color="auto"/>
      </w:divBdr>
    </w:div>
    <w:div w:id="572010457">
      <w:marLeft w:val="0"/>
      <w:marRight w:val="0"/>
      <w:marTop w:val="0"/>
      <w:marBottom w:val="0"/>
      <w:divBdr>
        <w:top w:val="none" w:sz="0" w:space="0" w:color="auto"/>
        <w:left w:val="none" w:sz="0" w:space="0" w:color="auto"/>
        <w:bottom w:val="none" w:sz="0" w:space="0" w:color="auto"/>
        <w:right w:val="none" w:sz="0" w:space="0" w:color="auto"/>
      </w:divBdr>
    </w:div>
    <w:div w:id="574901863">
      <w:bodyDiv w:val="1"/>
      <w:marLeft w:val="0"/>
      <w:marRight w:val="0"/>
      <w:marTop w:val="0"/>
      <w:marBottom w:val="0"/>
      <w:divBdr>
        <w:top w:val="none" w:sz="0" w:space="0" w:color="auto"/>
        <w:left w:val="none" w:sz="0" w:space="0" w:color="auto"/>
        <w:bottom w:val="none" w:sz="0" w:space="0" w:color="auto"/>
        <w:right w:val="none" w:sz="0" w:space="0" w:color="auto"/>
      </w:divBdr>
    </w:div>
    <w:div w:id="577132755">
      <w:bodyDiv w:val="1"/>
      <w:marLeft w:val="0"/>
      <w:marRight w:val="0"/>
      <w:marTop w:val="0"/>
      <w:marBottom w:val="0"/>
      <w:divBdr>
        <w:top w:val="none" w:sz="0" w:space="0" w:color="auto"/>
        <w:left w:val="none" w:sz="0" w:space="0" w:color="auto"/>
        <w:bottom w:val="none" w:sz="0" w:space="0" w:color="auto"/>
        <w:right w:val="none" w:sz="0" w:space="0" w:color="auto"/>
      </w:divBdr>
    </w:div>
    <w:div w:id="578712918">
      <w:bodyDiv w:val="1"/>
      <w:marLeft w:val="0"/>
      <w:marRight w:val="0"/>
      <w:marTop w:val="0"/>
      <w:marBottom w:val="0"/>
      <w:divBdr>
        <w:top w:val="none" w:sz="0" w:space="0" w:color="auto"/>
        <w:left w:val="none" w:sz="0" w:space="0" w:color="auto"/>
        <w:bottom w:val="none" w:sz="0" w:space="0" w:color="auto"/>
        <w:right w:val="none" w:sz="0" w:space="0" w:color="auto"/>
      </w:divBdr>
    </w:div>
    <w:div w:id="580602505">
      <w:bodyDiv w:val="1"/>
      <w:marLeft w:val="0"/>
      <w:marRight w:val="0"/>
      <w:marTop w:val="0"/>
      <w:marBottom w:val="0"/>
      <w:divBdr>
        <w:top w:val="none" w:sz="0" w:space="0" w:color="auto"/>
        <w:left w:val="none" w:sz="0" w:space="0" w:color="auto"/>
        <w:bottom w:val="none" w:sz="0" w:space="0" w:color="auto"/>
        <w:right w:val="none" w:sz="0" w:space="0" w:color="auto"/>
      </w:divBdr>
    </w:div>
    <w:div w:id="581335958">
      <w:bodyDiv w:val="1"/>
      <w:marLeft w:val="0"/>
      <w:marRight w:val="0"/>
      <w:marTop w:val="0"/>
      <w:marBottom w:val="0"/>
      <w:divBdr>
        <w:top w:val="none" w:sz="0" w:space="0" w:color="auto"/>
        <w:left w:val="none" w:sz="0" w:space="0" w:color="auto"/>
        <w:bottom w:val="none" w:sz="0" w:space="0" w:color="auto"/>
        <w:right w:val="none" w:sz="0" w:space="0" w:color="auto"/>
      </w:divBdr>
    </w:div>
    <w:div w:id="587618149">
      <w:bodyDiv w:val="1"/>
      <w:marLeft w:val="0"/>
      <w:marRight w:val="0"/>
      <w:marTop w:val="0"/>
      <w:marBottom w:val="0"/>
      <w:divBdr>
        <w:top w:val="none" w:sz="0" w:space="0" w:color="auto"/>
        <w:left w:val="none" w:sz="0" w:space="0" w:color="auto"/>
        <w:bottom w:val="none" w:sz="0" w:space="0" w:color="auto"/>
        <w:right w:val="none" w:sz="0" w:space="0" w:color="auto"/>
      </w:divBdr>
    </w:div>
    <w:div w:id="588002174">
      <w:bodyDiv w:val="1"/>
      <w:marLeft w:val="0"/>
      <w:marRight w:val="0"/>
      <w:marTop w:val="0"/>
      <w:marBottom w:val="0"/>
      <w:divBdr>
        <w:top w:val="none" w:sz="0" w:space="0" w:color="auto"/>
        <w:left w:val="none" w:sz="0" w:space="0" w:color="auto"/>
        <w:bottom w:val="none" w:sz="0" w:space="0" w:color="auto"/>
        <w:right w:val="none" w:sz="0" w:space="0" w:color="auto"/>
      </w:divBdr>
    </w:div>
    <w:div w:id="590701491">
      <w:bodyDiv w:val="1"/>
      <w:marLeft w:val="0"/>
      <w:marRight w:val="0"/>
      <w:marTop w:val="0"/>
      <w:marBottom w:val="0"/>
      <w:divBdr>
        <w:top w:val="none" w:sz="0" w:space="0" w:color="auto"/>
        <w:left w:val="none" w:sz="0" w:space="0" w:color="auto"/>
        <w:bottom w:val="none" w:sz="0" w:space="0" w:color="auto"/>
        <w:right w:val="none" w:sz="0" w:space="0" w:color="auto"/>
      </w:divBdr>
    </w:div>
    <w:div w:id="591664556">
      <w:bodyDiv w:val="1"/>
      <w:marLeft w:val="0"/>
      <w:marRight w:val="0"/>
      <w:marTop w:val="0"/>
      <w:marBottom w:val="0"/>
      <w:divBdr>
        <w:top w:val="none" w:sz="0" w:space="0" w:color="auto"/>
        <w:left w:val="none" w:sz="0" w:space="0" w:color="auto"/>
        <w:bottom w:val="none" w:sz="0" w:space="0" w:color="auto"/>
        <w:right w:val="none" w:sz="0" w:space="0" w:color="auto"/>
      </w:divBdr>
    </w:div>
    <w:div w:id="597446085">
      <w:marLeft w:val="0"/>
      <w:marRight w:val="0"/>
      <w:marTop w:val="0"/>
      <w:marBottom w:val="0"/>
      <w:divBdr>
        <w:top w:val="none" w:sz="0" w:space="0" w:color="auto"/>
        <w:left w:val="none" w:sz="0" w:space="0" w:color="auto"/>
        <w:bottom w:val="none" w:sz="0" w:space="0" w:color="auto"/>
        <w:right w:val="none" w:sz="0" w:space="0" w:color="auto"/>
      </w:divBdr>
    </w:div>
    <w:div w:id="598686287">
      <w:bodyDiv w:val="1"/>
      <w:marLeft w:val="0"/>
      <w:marRight w:val="0"/>
      <w:marTop w:val="0"/>
      <w:marBottom w:val="0"/>
      <w:divBdr>
        <w:top w:val="none" w:sz="0" w:space="0" w:color="auto"/>
        <w:left w:val="none" w:sz="0" w:space="0" w:color="auto"/>
        <w:bottom w:val="none" w:sz="0" w:space="0" w:color="auto"/>
        <w:right w:val="none" w:sz="0" w:space="0" w:color="auto"/>
      </w:divBdr>
    </w:div>
    <w:div w:id="599682843">
      <w:bodyDiv w:val="1"/>
      <w:marLeft w:val="0"/>
      <w:marRight w:val="0"/>
      <w:marTop w:val="0"/>
      <w:marBottom w:val="0"/>
      <w:divBdr>
        <w:top w:val="none" w:sz="0" w:space="0" w:color="auto"/>
        <w:left w:val="none" w:sz="0" w:space="0" w:color="auto"/>
        <w:bottom w:val="none" w:sz="0" w:space="0" w:color="auto"/>
        <w:right w:val="none" w:sz="0" w:space="0" w:color="auto"/>
      </w:divBdr>
    </w:div>
    <w:div w:id="605236370">
      <w:bodyDiv w:val="1"/>
      <w:marLeft w:val="0"/>
      <w:marRight w:val="0"/>
      <w:marTop w:val="0"/>
      <w:marBottom w:val="0"/>
      <w:divBdr>
        <w:top w:val="none" w:sz="0" w:space="0" w:color="auto"/>
        <w:left w:val="none" w:sz="0" w:space="0" w:color="auto"/>
        <w:bottom w:val="none" w:sz="0" w:space="0" w:color="auto"/>
        <w:right w:val="none" w:sz="0" w:space="0" w:color="auto"/>
      </w:divBdr>
    </w:div>
    <w:div w:id="610162092">
      <w:bodyDiv w:val="1"/>
      <w:marLeft w:val="0"/>
      <w:marRight w:val="0"/>
      <w:marTop w:val="0"/>
      <w:marBottom w:val="0"/>
      <w:divBdr>
        <w:top w:val="none" w:sz="0" w:space="0" w:color="auto"/>
        <w:left w:val="none" w:sz="0" w:space="0" w:color="auto"/>
        <w:bottom w:val="none" w:sz="0" w:space="0" w:color="auto"/>
        <w:right w:val="none" w:sz="0" w:space="0" w:color="auto"/>
      </w:divBdr>
    </w:div>
    <w:div w:id="615135318">
      <w:bodyDiv w:val="1"/>
      <w:marLeft w:val="0"/>
      <w:marRight w:val="0"/>
      <w:marTop w:val="0"/>
      <w:marBottom w:val="0"/>
      <w:divBdr>
        <w:top w:val="none" w:sz="0" w:space="0" w:color="auto"/>
        <w:left w:val="none" w:sz="0" w:space="0" w:color="auto"/>
        <w:bottom w:val="none" w:sz="0" w:space="0" w:color="auto"/>
        <w:right w:val="none" w:sz="0" w:space="0" w:color="auto"/>
      </w:divBdr>
    </w:div>
    <w:div w:id="615479434">
      <w:marLeft w:val="0"/>
      <w:marRight w:val="0"/>
      <w:marTop w:val="0"/>
      <w:marBottom w:val="0"/>
      <w:divBdr>
        <w:top w:val="none" w:sz="0" w:space="0" w:color="auto"/>
        <w:left w:val="none" w:sz="0" w:space="0" w:color="auto"/>
        <w:bottom w:val="none" w:sz="0" w:space="0" w:color="auto"/>
        <w:right w:val="none" w:sz="0" w:space="0" w:color="auto"/>
      </w:divBdr>
    </w:div>
    <w:div w:id="617416965">
      <w:bodyDiv w:val="1"/>
      <w:marLeft w:val="0"/>
      <w:marRight w:val="0"/>
      <w:marTop w:val="0"/>
      <w:marBottom w:val="0"/>
      <w:divBdr>
        <w:top w:val="none" w:sz="0" w:space="0" w:color="auto"/>
        <w:left w:val="none" w:sz="0" w:space="0" w:color="auto"/>
        <w:bottom w:val="none" w:sz="0" w:space="0" w:color="auto"/>
        <w:right w:val="none" w:sz="0" w:space="0" w:color="auto"/>
      </w:divBdr>
    </w:div>
    <w:div w:id="620186282">
      <w:bodyDiv w:val="1"/>
      <w:marLeft w:val="0"/>
      <w:marRight w:val="0"/>
      <w:marTop w:val="0"/>
      <w:marBottom w:val="0"/>
      <w:divBdr>
        <w:top w:val="none" w:sz="0" w:space="0" w:color="auto"/>
        <w:left w:val="none" w:sz="0" w:space="0" w:color="auto"/>
        <w:bottom w:val="none" w:sz="0" w:space="0" w:color="auto"/>
        <w:right w:val="none" w:sz="0" w:space="0" w:color="auto"/>
      </w:divBdr>
    </w:div>
    <w:div w:id="620763444">
      <w:bodyDiv w:val="1"/>
      <w:marLeft w:val="0"/>
      <w:marRight w:val="0"/>
      <w:marTop w:val="0"/>
      <w:marBottom w:val="0"/>
      <w:divBdr>
        <w:top w:val="none" w:sz="0" w:space="0" w:color="auto"/>
        <w:left w:val="none" w:sz="0" w:space="0" w:color="auto"/>
        <w:bottom w:val="none" w:sz="0" w:space="0" w:color="auto"/>
        <w:right w:val="none" w:sz="0" w:space="0" w:color="auto"/>
      </w:divBdr>
    </w:div>
    <w:div w:id="623124664">
      <w:bodyDiv w:val="1"/>
      <w:marLeft w:val="0"/>
      <w:marRight w:val="0"/>
      <w:marTop w:val="0"/>
      <w:marBottom w:val="0"/>
      <w:divBdr>
        <w:top w:val="none" w:sz="0" w:space="0" w:color="auto"/>
        <w:left w:val="none" w:sz="0" w:space="0" w:color="auto"/>
        <w:bottom w:val="none" w:sz="0" w:space="0" w:color="auto"/>
        <w:right w:val="none" w:sz="0" w:space="0" w:color="auto"/>
      </w:divBdr>
    </w:div>
    <w:div w:id="623996843">
      <w:bodyDiv w:val="1"/>
      <w:marLeft w:val="0"/>
      <w:marRight w:val="0"/>
      <w:marTop w:val="0"/>
      <w:marBottom w:val="0"/>
      <w:divBdr>
        <w:top w:val="none" w:sz="0" w:space="0" w:color="auto"/>
        <w:left w:val="none" w:sz="0" w:space="0" w:color="auto"/>
        <w:bottom w:val="none" w:sz="0" w:space="0" w:color="auto"/>
        <w:right w:val="none" w:sz="0" w:space="0" w:color="auto"/>
      </w:divBdr>
    </w:div>
    <w:div w:id="627708532">
      <w:bodyDiv w:val="1"/>
      <w:marLeft w:val="0"/>
      <w:marRight w:val="0"/>
      <w:marTop w:val="0"/>
      <w:marBottom w:val="0"/>
      <w:divBdr>
        <w:top w:val="none" w:sz="0" w:space="0" w:color="auto"/>
        <w:left w:val="none" w:sz="0" w:space="0" w:color="auto"/>
        <w:bottom w:val="none" w:sz="0" w:space="0" w:color="auto"/>
        <w:right w:val="none" w:sz="0" w:space="0" w:color="auto"/>
      </w:divBdr>
    </w:div>
    <w:div w:id="629476088">
      <w:bodyDiv w:val="1"/>
      <w:marLeft w:val="0"/>
      <w:marRight w:val="0"/>
      <w:marTop w:val="0"/>
      <w:marBottom w:val="0"/>
      <w:divBdr>
        <w:top w:val="none" w:sz="0" w:space="0" w:color="auto"/>
        <w:left w:val="none" w:sz="0" w:space="0" w:color="auto"/>
        <w:bottom w:val="none" w:sz="0" w:space="0" w:color="auto"/>
        <w:right w:val="none" w:sz="0" w:space="0" w:color="auto"/>
      </w:divBdr>
    </w:div>
    <w:div w:id="633758664">
      <w:bodyDiv w:val="1"/>
      <w:marLeft w:val="0"/>
      <w:marRight w:val="0"/>
      <w:marTop w:val="0"/>
      <w:marBottom w:val="0"/>
      <w:divBdr>
        <w:top w:val="none" w:sz="0" w:space="0" w:color="auto"/>
        <w:left w:val="none" w:sz="0" w:space="0" w:color="auto"/>
        <w:bottom w:val="none" w:sz="0" w:space="0" w:color="auto"/>
        <w:right w:val="none" w:sz="0" w:space="0" w:color="auto"/>
      </w:divBdr>
    </w:div>
    <w:div w:id="634137969">
      <w:marLeft w:val="0"/>
      <w:marRight w:val="0"/>
      <w:marTop w:val="0"/>
      <w:marBottom w:val="0"/>
      <w:divBdr>
        <w:top w:val="none" w:sz="0" w:space="0" w:color="auto"/>
        <w:left w:val="none" w:sz="0" w:space="0" w:color="auto"/>
        <w:bottom w:val="none" w:sz="0" w:space="0" w:color="auto"/>
        <w:right w:val="none" w:sz="0" w:space="0" w:color="auto"/>
      </w:divBdr>
    </w:div>
    <w:div w:id="637877084">
      <w:bodyDiv w:val="1"/>
      <w:marLeft w:val="0"/>
      <w:marRight w:val="0"/>
      <w:marTop w:val="0"/>
      <w:marBottom w:val="0"/>
      <w:divBdr>
        <w:top w:val="none" w:sz="0" w:space="0" w:color="auto"/>
        <w:left w:val="none" w:sz="0" w:space="0" w:color="auto"/>
        <w:bottom w:val="none" w:sz="0" w:space="0" w:color="auto"/>
        <w:right w:val="none" w:sz="0" w:space="0" w:color="auto"/>
      </w:divBdr>
    </w:div>
    <w:div w:id="638920127">
      <w:bodyDiv w:val="1"/>
      <w:marLeft w:val="0"/>
      <w:marRight w:val="0"/>
      <w:marTop w:val="0"/>
      <w:marBottom w:val="0"/>
      <w:divBdr>
        <w:top w:val="none" w:sz="0" w:space="0" w:color="auto"/>
        <w:left w:val="none" w:sz="0" w:space="0" w:color="auto"/>
        <w:bottom w:val="none" w:sz="0" w:space="0" w:color="auto"/>
        <w:right w:val="none" w:sz="0" w:space="0" w:color="auto"/>
      </w:divBdr>
    </w:div>
    <w:div w:id="642806656">
      <w:bodyDiv w:val="1"/>
      <w:marLeft w:val="0"/>
      <w:marRight w:val="0"/>
      <w:marTop w:val="0"/>
      <w:marBottom w:val="0"/>
      <w:divBdr>
        <w:top w:val="none" w:sz="0" w:space="0" w:color="auto"/>
        <w:left w:val="none" w:sz="0" w:space="0" w:color="auto"/>
        <w:bottom w:val="none" w:sz="0" w:space="0" w:color="auto"/>
        <w:right w:val="none" w:sz="0" w:space="0" w:color="auto"/>
      </w:divBdr>
    </w:div>
    <w:div w:id="647248578">
      <w:bodyDiv w:val="1"/>
      <w:marLeft w:val="0"/>
      <w:marRight w:val="0"/>
      <w:marTop w:val="0"/>
      <w:marBottom w:val="0"/>
      <w:divBdr>
        <w:top w:val="none" w:sz="0" w:space="0" w:color="auto"/>
        <w:left w:val="none" w:sz="0" w:space="0" w:color="auto"/>
        <w:bottom w:val="none" w:sz="0" w:space="0" w:color="auto"/>
        <w:right w:val="none" w:sz="0" w:space="0" w:color="auto"/>
      </w:divBdr>
    </w:div>
    <w:div w:id="650791722">
      <w:bodyDiv w:val="1"/>
      <w:marLeft w:val="0"/>
      <w:marRight w:val="0"/>
      <w:marTop w:val="0"/>
      <w:marBottom w:val="0"/>
      <w:divBdr>
        <w:top w:val="none" w:sz="0" w:space="0" w:color="auto"/>
        <w:left w:val="none" w:sz="0" w:space="0" w:color="auto"/>
        <w:bottom w:val="none" w:sz="0" w:space="0" w:color="auto"/>
        <w:right w:val="none" w:sz="0" w:space="0" w:color="auto"/>
      </w:divBdr>
    </w:div>
    <w:div w:id="653872169">
      <w:bodyDiv w:val="1"/>
      <w:marLeft w:val="0"/>
      <w:marRight w:val="0"/>
      <w:marTop w:val="0"/>
      <w:marBottom w:val="0"/>
      <w:divBdr>
        <w:top w:val="none" w:sz="0" w:space="0" w:color="auto"/>
        <w:left w:val="none" w:sz="0" w:space="0" w:color="auto"/>
        <w:bottom w:val="none" w:sz="0" w:space="0" w:color="auto"/>
        <w:right w:val="none" w:sz="0" w:space="0" w:color="auto"/>
      </w:divBdr>
    </w:div>
    <w:div w:id="655844710">
      <w:bodyDiv w:val="1"/>
      <w:marLeft w:val="0"/>
      <w:marRight w:val="0"/>
      <w:marTop w:val="0"/>
      <w:marBottom w:val="0"/>
      <w:divBdr>
        <w:top w:val="none" w:sz="0" w:space="0" w:color="auto"/>
        <w:left w:val="none" w:sz="0" w:space="0" w:color="auto"/>
        <w:bottom w:val="none" w:sz="0" w:space="0" w:color="auto"/>
        <w:right w:val="none" w:sz="0" w:space="0" w:color="auto"/>
      </w:divBdr>
    </w:div>
    <w:div w:id="657223223">
      <w:bodyDiv w:val="1"/>
      <w:marLeft w:val="0"/>
      <w:marRight w:val="0"/>
      <w:marTop w:val="0"/>
      <w:marBottom w:val="0"/>
      <w:divBdr>
        <w:top w:val="none" w:sz="0" w:space="0" w:color="auto"/>
        <w:left w:val="none" w:sz="0" w:space="0" w:color="auto"/>
        <w:bottom w:val="none" w:sz="0" w:space="0" w:color="auto"/>
        <w:right w:val="none" w:sz="0" w:space="0" w:color="auto"/>
      </w:divBdr>
    </w:div>
    <w:div w:id="657612329">
      <w:bodyDiv w:val="1"/>
      <w:marLeft w:val="0"/>
      <w:marRight w:val="0"/>
      <w:marTop w:val="0"/>
      <w:marBottom w:val="0"/>
      <w:divBdr>
        <w:top w:val="none" w:sz="0" w:space="0" w:color="auto"/>
        <w:left w:val="none" w:sz="0" w:space="0" w:color="auto"/>
        <w:bottom w:val="none" w:sz="0" w:space="0" w:color="auto"/>
        <w:right w:val="none" w:sz="0" w:space="0" w:color="auto"/>
      </w:divBdr>
    </w:div>
    <w:div w:id="657997443">
      <w:bodyDiv w:val="1"/>
      <w:marLeft w:val="0"/>
      <w:marRight w:val="0"/>
      <w:marTop w:val="0"/>
      <w:marBottom w:val="0"/>
      <w:divBdr>
        <w:top w:val="none" w:sz="0" w:space="0" w:color="auto"/>
        <w:left w:val="none" w:sz="0" w:space="0" w:color="auto"/>
        <w:bottom w:val="none" w:sz="0" w:space="0" w:color="auto"/>
        <w:right w:val="none" w:sz="0" w:space="0" w:color="auto"/>
      </w:divBdr>
    </w:div>
    <w:div w:id="659308125">
      <w:marLeft w:val="0"/>
      <w:marRight w:val="0"/>
      <w:marTop w:val="0"/>
      <w:marBottom w:val="0"/>
      <w:divBdr>
        <w:top w:val="none" w:sz="0" w:space="0" w:color="auto"/>
        <w:left w:val="none" w:sz="0" w:space="0" w:color="auto"/>
        <w:bottom w:val="none" w:sz="0" w:space="0" w:color="auto"/>
        <w:right w:val="none" w:sz="0" w:space="0" w:color="auto"/>
      </w:divBdr>
    </w:div>
    <w:div w:id="665984177">
      <w:bodyDiv w:val="1"/>
      <w:marLeft w:val="0"/>
      <w:marRight w:val="0"/>
      <w:marTop w:val="0"/>
      <w:marBottom w:val="0"/>
      <w:divBdr>
        <w:top w:val="none" w:sz="0" w:space="0" w:color="auto"/>
        <w:left w:val="none" w:sz="0" w:space="0" w:color="auto"/>
        <w:bottom w:val="none" w:sz="0" w:space="0" w:color="auto"/>
        <w:right w:val="none" w:sz="0" w:space="0" w:color="auto"/>
      </w:divBdr>
    </w:div>
    <w:div w:id="666136137">
      <w:bodyDiv w:val="1"/>
      <w:marLeft w:val="0"/>
      <w:marRight w:val="0"/>
      <w:marTop w:val="0"/>
      <w:marBottom w:val="0"/>
      <w:divBdr>
        <w:top w:val="none" w:sz="0" w:space="0" w:color="auto"/>
        <w:left w:val="none" w:sz="0" w:space="0" w:color="auto"/>
        <w:bottom w:val="none" w:sz="0" w:space="0" w:color="auto"/>
        <w:right w:val="none" w:sz="0" w:space="0" w:color="auto"/>
      </w:divBdr>
    </w:div>
    <w:div w:id="668682629">
      <w:bodyDiv w:val="1"/>
      <w:marLeft w:val="0"/>
      <w:marRight w:val="0"/>
      <w:marTop w:val="0"/>
      <w:marBottom w:val="0"/>
      <w:divBdr>
        <w:top w:val="none" w:sz="0" w:space="0" w:color="auto"/>
        <w:left w:val="none" w:sz="0" w:space="0" w:color="auto"/>
        <w:bottom w:val="none" w:sz="0" w:space="0" w:color="auto"/>
        <w:right w:val="none" w:sz="0" w:space="0" w:color="auto"/>
      </w:divBdr>
    </w:div>
    <w:div w:id="670067685">
      <w:bodyDiv w:val="1"/>
      <w:marLeft w:val="0"/>
      <w:marRight w:val="0"/>
      <w:marTop w:val="0"/>
      <w:marBottom w:val="0"/>
      <w:divBdr>
        <w:top w:val="none" w:sz="0" w:space="0" w:color="auto"/>
        <w:left w:val="none" w:sz="0" w:space="0" w:color="auto"/>
        <w:bottom w:val="none" w:sz="0" w:space="0" w:color="auto"/>
        <w:right w:val="none" w:sz="0" w:space="0" w:color="auto"/>
      </w:divBdr>
    </w:div>
    <w:div w:id="671448539">
      <w:bodyDiv w:val="1"/>
      <w:marLeft w:val="0"/>
      <w:marRight w:val="0"/>
      <w:marTop w:val="0"/>
      <w:marBottom w:val="0"/>
      <w:divBdr>
        <w:top w:val="none" w:sz="0" w:space="0" w:color="auto"/>
        <w:left w:val="none" w:sz="0" w:space="0" w:color="auto"/>
        <w:bottom w:val="none" w:sz="0" w:space="0" w:color="auto"/>
        <w:right w:val="none" w:sz="0" w:space="0" w:color="auto"/>
      </w:divBdr>
    </w:div>
    <w:div w:id="673457606">
      <w:bodyDiv w:val="1"/>
      <w:marLeft w:val="0"/>
      <w:marRight w:val="0"/>
      <w:marTop w:val="0"/>
      <w:marBottom w:val="0"/>
      <w:divBdr>
        <w:top w:val="none" w:sz="0" w:space="0" w:color="auto"/>
        <w:left w:val="none" w:sz="0" w:space="0" w:color="auto"/>
        <w:bottom w:val="none" w:sz="0" w:space="0" w:color="auto"/>
        <w:right w:val="none" w:sz="0" w:space="0" w:color="auto"/>
      </w:divBdr>
    </w:div>
    <w:div w:id="678702694">
      <w:bodyDiv w:val="1"/>
      <w:marLeft w:val="0"/>
      <w:marRight w:val="0"/>
      <w:marTop w:val="0"/>
      <w:marBottom w:val="0"/>
      <w:divBdr>
        <w:top w:val="none" w:sz="0" w:space="0" w:color="auto"/>
        <w:left w:val="none" w:sz="0" w:space="0" w:color="auto"/>
        <w:bottom w:val="none" w:sz="0" w:space="0" w:color="auto"/>
        <w:right w:val="none" w:sz="0" w:space="0" w:color="auto"/>
      </w:divBdr>
    </w:div>
    <w:div w:id="683824385">
      <w:bodyDiv w:val="1"/>
      <w:marLeft w:val="0"/>
      <w:marRight w:val="0"/>
      <w:marTop w:val="0"/>
      <w:marBottom w:val="0"/>
      <w:divBdr>
        <w:top w:val="none" w:sz="0" w:space="0" w:color="auto"/>
        <w:left w:val="none" w:sz="0" w:space="0" w:color="auto"/>
        <w:bottom w:val="none" w:sz="0" w:space="0" w:color="auto"/>
        <w:right w:val="none" w:sz="0" w:space="0" w:color="auto"/>
      </w:divBdr>
    </w:div>
    <w:div w:id="684864829">
      <w:bodyDiv w:val="1"/>
      <w:marLeft w:val="0"/>
      <w:marRight w:val="0"/>
      <w:marTop w:val="0"/>
      <w:marBottom w:val="0"/>
      <w:divBdr>
        <w:top w:val="none" w:sz="0" w:space="0" w:color="auto"/>
        <w:left w:val="none" w:sz="0" w:space="0" w:color="auto"/>
        <w:bottom w:val="none" w:sz="0" w:space="0" w:color="auto"/>
        <w:right w:val="none" w:sz="0" w:space="0" w:color="auto"/>
      </w:divBdr>
    </w:div>
    <w:div w:id="687802409">
      <w:bodyDiv w:val="1"/>
      <w:marLeft w:val="0"/>
      <w:marRight w:val="0"/>
      <w:marTop w:val="0"/>
      <w:marBottom w:val="0"/>
      <w:divBdr>
        <w:top w:val="none" w:sz="0" w:space="0" w:color="auto"/>
        <w:left w:val="none" w:sz="0" w:space="0" w:color="auto"/>
        <w:bottom w:val="none" w:sz="0" w:space="0" w:color="auto"/>
        <w:right w:val="none" w:sz="0" w:space="0" w:color="auto"/>
      </w:divBdr>
    </w:div>
    <w:div w:id="689726464">
      <w:bodyDiv w:val="1"/>
      <w:marLeft w:val="0"/>
      <w:marRight w:val="0"/>
      <w:marTop w:val="0"/>
      <w:marBottom w:val="0"/>
      <w:divBdr>
        <w:top w:val="none" w:sz="0" w:space="0" w:color="auto"/>
        <w:left w:val="none" w:sz="0" w:space="0" w:color="auto"/>
        <w:bottom w:val="none" w:sz="0" w:space="0" w:color="auto"/>
        <w:right w:val="none" w:sz="0" w:space="0" w:color="auto"/>
      </w:divBdr>
    </w:div>
    <w:div w:id="690111192">
      <w:marLeft w:val="0"/>
      <w:marRight w:val="0"/>
      <w:marTop w:val="0"/>
      <w:marBottom w:val="0"/>
      <w:divBdr>
        <w:top w:val="none" w:sz="0" w:space="0" w:color="auto"/>
        <w:left w:val="none" w:sz="0" w:space="0" w:color="auto"/>
        <w:bottom w:val="none" w:sz="0" w:space="0" w:color="auto"/>
        <w:right w:val="none" w:sz="0" w:space="0" w:color="auto"/>
      </w:divBdr>
    </w:div>
    <w:div w:id="692997304">
      <w:marLeft w:val="0"/>
      <w:marRight w:val="0"/>
      <w:marTop w:val="0"/>
      <w:marBottom w:val="0"/>
      <w:divBdr>
        <w:top w:val="none" w:sz="0" w:space="0" w:color="auto"/>
        <w:left w:val="none" w:sz="0" w:space="0" w:color="auto"/>
        <w:bottom w:val="none" w:sz="0" w:space="0" w:color="auto"/>
        <w:right w:val="none" w:sz="0" w:space="0" w:color="auto"/>
      </w:divBdr>
    </w:div>
    <w:div w:id="694772329">
      <w:bodyDiv w:val="1"/>
      <w:marLeft w:val="0"/>
      <w:marRight w:val="0"/>
      <w:marTop w:val="0"/>
      <w:marBottom w:val="0"/>
      <w:divBdr>
        <w:top w:val="none" w:sz="0" w:space="0" w:color="auto"/>
        <w:left w:val="none" w:sz="0" w:space="0" w:color="auto"/>
        <w:bottom w:val="none" w:sz="0" w:space="0" w:color="auto"/>
        <w:right w:val="none" w:sz="0" w:space="0" w:color="auto"/>
      </w:divBdr>
    </w:div>
    <w:div w:id="696545636">
      <w:bodyDiv w:val="1"/>
      <w:marLeft w:val="0"/>
      <w:marRight w:val="0"/>
      <w:marTop w:val="0"/>
      <w:marBottom w:val="0"/>
      <w:divBdr>
        <w:top w:val="none" w:sz="0" w:space="0" w:color="auto"/>
        <w:left w:val="none" w:sz="0" w:space="0" w:color="auto"/>
        <w:bottom w:val="none" w:sz="0" w:space="0" w:color="auto"/>
        <w:right w:val="none" w:sz="0" w:space="0" w:color="auto"/>
      </w:divBdr>
    </w:div>
    <w:div w:id="696854084">
      <w:bodyDiv w:val="1"/>
      <w:marLeft w:val="0"/>
      <w:marRight w:val="0"/>
      <w:marTop w:val="0"/>
      <w:marBottom w:val="0"/>
      <w:divBdr>
        <w:top w:val="none" w:sz="0" w:space="0" w:color="auto"/>
        <w:left w:val="none" w:sz="0" w:space="0" w:color="auto"/>
        <w:bottom w:val="none" w:sz="0" w:space="0" w:color="auto"/>
        <w:right w:val="none" w:sz="0" w:space="0" w:color="auto"/>
      </w:divBdr>
    </w:div>
    <w:div w:id="698511430">
      <w:bodyDiv w:val="1"/>
      <w:marLeft w:val="0"/>
      <w:marRight w:val="0"/>
      <w:marTop w:val="0"/>
      <w:marBottom w:val="0"/>
      <w:divBdr>
        <w:top w:val="none" w:sz="0" w:space="0" w:color="auto"/>
        <w:left w:val="none" w:sz="0" w:space="0" w:color="auto"/>
        <w:bottom w:val="none" w:sz="0" w:space="0" w:color="auto"/>
        <w:right w:val="none" w:sz="0" w:space="0" w:color="auto"/>
      </w:divBdr>
    </w:div>
    <w:div w:id="700133430">
      <w:bodyDiv w:val="1"/>
      <w:marLeft w:val="0"/>
      <w:marRight w:val="0"/>
      <w:marTop w:val="0"/>
      <w:marBottom w:val="0"/>
      <w:divBdr>
        <w:top w:val="none" w:sz="0" w:space="0" w:color="auto"/>
        <w:left w:val="none" w:sz="0" w:space="0" w:color="auto"/>
        <w:bottom w:val="none" w:sz="0" w:space="0" w:color="auto"/>
        <w:right w:val="none" w:sz="0" w:space="0" w:color="auto"/>
      </w:divBdr>
    </w:div>
    <w:div w:id="700520826">
      <w:bodyDiv w:val="1"/>
      <w:marLeft w:val="0"/>
      <w:marRight w:val="0"/>
      <w:marTop w:val="0"/>
      <w:marBottom w:val="0"/>
      <w:divBdr>
        <w:top w:val="none" w:sz="0" w:space="0" w:color="auto"/>
        <w:left w:val="none" w:sz="0" w:space="0" w:color="auto"/>
        <w:bottom w:val="none" w:sz="0" w:space="0" w:color="auto"/>
        <w:right w:val="none" w:sz="0" w:space="0" w:color="auto"/>
      </w:divBdr>
    </w:div>
    <w:div w:id="703409125">
      <w:bodyDiv w:val="1"/>
      <w:marLeft w:val="0"/>
      <w:marRight w:val="0"/>
      <w:marTop w:val="0"/>
      <w:marBottom w:val="0"/>
      <w:divBdr>
        <w:top w:val="none" w:sz="0" w:space="0" w:color="auto"/>
        <w:left w:val="none" w:sz="0" w:space="0" w:color="auto"/>
        <w:bottom w:val="none" w:sz="0" w:space="0" w:color="auto"/>
        <w:right w:val="none" w:sz="0" w:space="0" w:color="auto"/>
      </w:divBdr>
    </w:div>
    <w:div w:id="704911152">
      <w:bodyDiv w:val="1"/>
      <w:marLeft w:val="0"/>
      <w:marRight w:val="0"/>
      <w:marTop w:val="0"/>
      <w:marBottom w:val="0"/>
      <w:divBdr>
        <w:top w:val="none" w:sz="0" w:space="0" w:color="auto"/>
        <w:left w:val="none" w:sz="0" w:space="0" w:color="auto"/>
        <w:bottom w:val="none" w:sz="0" w:space="0" w:color="auto"/>
        <w:right w:val="none" w:sz="0" w:space="0" w:color="auto"/>
      </w:divBdr>
    </w:div>
    <w:div w:id="706295049">
      <w:bodyDiv w:val="1"/>
      <w:marLeft w:val="0"/>
      <w:marRight w:val="0"/>
      <w:marTop w:val="0"/>
      <w:marBottom w:val="0"/>
      <w:divBdr>
        <w:top w:val="none" w:sz="0" w:space="0" w:color="auto"/>
        <w:left w:val="none" w:sz="0" w:space="0" w:color="auto"/>
        <w:bottom w:val="none" w:sz="0" w:space="0" w:color="auto"/>
        <w:right w:val="none" w:sz="0" w:space="0" w:color="auto"/>
      </w:divBdr>
    </w:div>
    <w:div w:id="707068168">
      <w:bodyDiv w:val="1"/>
      <w:marLeft w:val="0"/>
      <w:marRight w:val="0"/>
      <w:marTop w:val="0"/>
      <w:marBottom w:val="0"/>
      <w:divBdr>
        <w:top w:val="none" w:sz="0" w:space="0" w:color="auto"/>
        <w:left w:val="none" w:sz="0" w:space="0" w:color="auto"/>
        <w:bottom w:val="none" w:sz="0" w:space="0" w:color="auto"/>
        <w:right w:val="none" w:sz="0" w:space="0" w:color="auto"/>
      </w:divBdr>
    </w:div>
    <w:div w:id="707150083">
      <w:bodyDiv w:val="1"/>
      <w:marLeft w:val="0"/>
      <w:marRight w:val="0"/>
      <w:marTop w:val="0"/>
      <w:marBottom w:val="0"/>
      <w:divBdr>
        <w:top w:val="none" w:sz="0" w:space="0" w:color="auto"/>
        <w:left w:val="none" w:sz="0" w:space="0" w:color="auto"/>
        <w:bottom w:val="none" w:sz="0" w:space="0" w:color="auto"/>
        <w:right w:val="none" w:sz="0" w:space="0" w:color="auto"/>
      </w:divBdr>
    </w:div>
    <w:div w:id="709840844">
      <w:bodyDiv w:val="1"/>
      <w:marLeft w:val="0"/>
      <w:marRight w:val="0"/>
      <w:marTop w:val="0"/>
      <w:marBottom w:val="0"/>
      <w:divBdr>
        <w:top w:val="none" w:sz="0" w:space="0" w:color="auto"/>
        <w:left w:val="none" w:sz="0" w:space="0" w:color="auto"/>
        <w:bottom w:val="none" w:sz="0" w:space="0" w:color="auto"/>
        <w:right w:val="none" w:sz="0" w:space="0" w:color="auto"/>
      </w:divBdr>
    </w:div>
    <w:div w:id="716047692">
      <w:bodyDiv w:val="1"/>
      <w:marLeft w:val="0"/>
      <w:marRight w:val="0"/>
      <w:marTop w:val="0"/>
      <w:marBottom w:val="0"/>
      <w:divBdr>
        <w:top w:val="none" w:sz="0" w:space="0" w:color="auto"/>
        <w:left w:val="none" w:sz="0" w:space="0" w:color="auto"/>
        <w:bottom w:val="none" w:sz="0" w:space="0" w:color="auto"/>
        <w:right w:val="none" w:sz="0" w:space="0" w:color="auto"/>
      </w:divBdr>
    </w:div>
    <w:div w:id="717167711">
      <w:bodyDiv w:val="1"/>
      <w:marLeft w:val="0"/>
      <w:marRight w:val="0"/>
      <w:marTop w:val="0"/>
      <w:marBottom w:val="0"/>
      <w:divBdr>
        <w:top w:val="none" w:sz="0" w:space="0" w:color="auto"/>
        <w:left w:val="none" w:sz="0" w:space="0" w:color="auto"/>
        <w:bottom w:val="none" w:sz="0" w:space="0" w:color="auto"/>
        <w:right w:val="none" w:sz="0" w:space="0" w:color="auto"/>
      </w:divBdr>
    </w:div>
    <w:div w:id="720521319">
      <w:bodyDiv w:val="1"/>
      <w:marLeft w:val="0"/>
      <w:marRight w:val="0"/>
      <w:marTop w:val="0"/>
      <w:marBottom w:val="0"/>
      <w:divBdr>
        <w:top w:val="none" w:sz="0" w:space="0" w:color="auto"/>
        <w:left w:val="none" w:sz="0" w:space="0" w:color="auto"/>
        <w:bottom w:val="none" w:sz="0" w:space="0" w:color="auto"/>
        <w:right w:val="none" w:sz="0" w:space="0" w:color="auto"/>
      </w:divBdr>
    </w:div>
    <w:div w:id="722368286">
      <w:bodyDiv w:val="1"/>
      <w:marLeft w:val="0"/>
      <w:marRight w:val="0"/>
      <w:marTop w:val="0"/>
      <w:marBottom w:val="0"/>
      <w:divBdr>
        <w:top w:val="none" w:sz="0" w:space="0" w:color="auto"/>
        <w:left w:val="none" w:sz="0" w:space="0" w:color="auto"/>
        <w:bottom w:val="none" w:sz="0" w:space="0" w:color="auto"/>
        <w:right w:val="none" w:sz="0" w:space="0" w:color="auto"/>
      </w:divBdr>
    </w:div>
    <w:div w:id="729617586">
      <w:bodyDiv w:val="1"/>
      <w:marLeft w:val="0"/>
      <w:marRight w:val="0"/>
      <w:marTop w:val="0"/>
      <w:marBottom w:val="0"/>
      <w:divBdr>
        <w:top w:val="none" w:sz="0" w:space="0" w:color="auto"/>
        <w:left w:val="none" w:sz="0" w:space="0" w:color="auto"/>
        <w:bottom w:val="none" w:sz="0" w:space="0" w:color="auto"/>
        <w:right w:val="none" w:sz="0" w:space="0" w:color="auto"/>
      </w:divBdr>
    </w:div>
    <w:div w:id="729768326">
      <w:bodyDiv w:val="1"/>
      <w:marLeft w:val="0"/>
      <w:marRight w:val="0"/>
      <w:marTop w:val="0"/>
      <w:marBottom w:val="0"/>
      <w:divBdr>
        <w:top w:val="none" w:sz="0" w:space="0" w:color="auto"/>
        <w:left w:val="none" w:sz="0" w:space="0" w:color="auto"/>
        <w:bottom w:val="none" w:sz="0" w:space="0" w:color="auto"/>
        <w:right w:val="none" w:sz="0" w:space="0" w:color="auto"/>
      </w:divBdr>
    </w:div>
    <w:div w:id="734398070">
      <w:bodyDiv w:val="1"/>
      <w:marLeft w:val="0"/>
      <w:marRight w:val="0"/>
      <w:marTop w:val="0"/>
      <w:marBottom w:val="0"/>
      <w:divBdr>
        <w:top w:val="none" w:sz="0" w:space="0" w:color="auto"/>
        <w:left w:val="none" w:sz="0" w:space="0" w:color="auto"/>
        <w:bottom w:val="none" w:sz="0" w:space="0" w:color="auto"/>
        <w:right w:val="none" w:sz="0" w:space="0" w:color="auto"/>
      </w:divBdr>
    </w:div>
    <w:div w:id="738017464">
      <w:marLeft w:val="0"/>
      <w:marRight w:val="0"/>
      <w:marTop w:val="0"/>
      <w:marBottom w:val="0"/>
      <w:divBdr>
        <w:top w:val="none" w:sz="0" w:space="0" w:color="auto"/>
        <w:left w:val="none" w:sz="0" w:space="0" w:color="auto"/>
        <w:bottom w:val="none" w:sz="0" w:space="0" w:color="auto"/>
        <w:right w:val="none" w:sz="0" w:space="0" w:color="auto"/>
      </w:divBdr>
    </w:div>
    <w:div w:id="738334341">
      <w:bodyDiv w:val="1"/>
      <w:marLeft w:val="0"/>
      <w:marRight w:val="0"/>
      <w:marTop w:val="0"/>
      <w:marBottom w:val="0"/>
      <w:divBdr>
        <w:top w:val="none" w:sz="0" w:space="0" w:color="auto"/>
        <w:left w:val="none" w:sz="0" w:space="0" w:color="auto"/>
        <w:bottom w:val="none" w:sz="0" w:space="0" w:color="auto"/>
        <w:right w:val="none" w:sz="0" w:space="0" w:color="auto"/>
      </w:divBdr>
    </w:div>
    <w:div w:id="739061455">
      <w:bodyDiv w:val="1"/>
      <w:marLeft w:val="0"/>
      <w:marRight w:val="0"/>
      <w:marTop w:val="0"/>
      <w:marBottom w:val="0"/>
      <w:divBdr>
        <w:top w:val="none" w:sz="0" w:space="0" w:color="auto"/>
        <w:left w:val="none" w:sz="0" w:space="0" w:color="auto"/>
        <w:bottom w:val="none" w:sz="0" w:space="0" w:color="auto"/>
        <w:right w:val="none" w:sz="0" w:space="0" w:color="auto"/>
      </w:divBdr>
    </w:div>
    <w:div w:id="740716895">
      <w:bodyDiv w:val="1"/>
      <w:marLeft w:val="0"/>
      <w:marRight w:val="0"/>
      <w:marTop w:val="0"/>
      <w:marBottom w:val="0"/>
      <w:divBdr>
        <w:top w:val="none" w:sz="0" w:space="0" w:color="auto"/>
        <w:left w:val="none" w:sz="0" w:space="0" w:color="auto"/>
        <w:bottom w:val="none" w:sz="0" w:space="0" w:color="auto"/>
        <w:right w:val="none" w:sz="0" w:space="0" w:color="auto"/>
      </w:divBdr>
    </w:div>
    <w:div w:id="743530268">
      <w:bodyDiv w:val="1"/>
      <w:marLeft w:val="0"/>
      <w:marRight w:val="0"/>
      <w:marTop w:val="0"/>
      <w:marBottom w:val="0"/>
      <w:divBdr>
        <w:top w:val="none" w:sz="0" w:space="0" w:color="auto"/>
        <w:left w:val="none" w:sz="0" w:space="0" w:color="auto"/>
        <w:bottom w:val="none" w:sz="0" w:space="0" w:color="auto"/>
        <w:right w:val="none" w:sz="0" w:space="0" w:color="auto"/>
      </w:divBdr>
    </w:div>
    <w:div w:id="743530452">
      <w:bodyDiv w:val="1"/>
      <w:marLeft w:val="0"/>
      <w:marRight w:val="0"/>
      <w:marTop w:val="0"/>
      <w:marBottom w:val="0"/>
      <w:divBdr>
        <w:top w:val="none" w:sz="0" w:space="0" w:color="auto"/>
        <w:left w:val="none" w:sz="0" w:space="0" w:color="auto"/>
        <w:bottom w:val="none" w:sz="0" w:space="0" w:color="auto"/>
        <w:right w:val="none" w:sz="0" w:space="0" w:color="auto"/>
      </w:divBdr>
    </w:div>
    <w:div w:id="747269883">
      <w:bodyDiv w:val="1"/>
      <w:marLeft w:val="0"/>
      <w:marRight w:val="0"/>
      <w:marTop w:val="0"/>
      <w:marBottom w:val="0"/>
      <w:divBdr>
        <w:top w:val="none" w:sz="0" w:space="0" w:color="auto"/>
        <w:left w:val="none" w:sz="0" w:space="0" w:color="auto"/>
        <w:bottom w:val="none" w:sz="0" w:space="0" w:color="auto"/>
        <w:right w:val="none" w:sz="0" w:space="0" w:color="auto"/>
      </w:divBdr>
    </w:div>
    <w:div w:id="747533192">
      <w:bodyDiv w:val="1"/>
      <w:marLeft w:val="0"/>
      <w:marRight w:val="0"/>
      <w:marTop w:val="0"/>
      <w:marBottom w:val="0"/>
      <w:divBdr>
        <w:top w:val="none" w:sz="0" w:space="0" w:color="auto"/>
        <w:left w:val="none" w:sz="0" w:space="0" w:color="auto"/>
        <w:bottom w:val="none" w:sz="0" w:space="0" w:color="auto"/>
        <w:right w:val="none" w:sz="0" w:space="0" w:color="auto"/>
      </w:divBdr>
    </w:div>
    <w:div w:id="748618801">
      <w:bodyDiv w:val="1"/>
      <w:marLeft w:val="0"/>
      <w:marRight w:val="0"/>
      <w:marTop w:val="0"/>
      <w:marBottom w:val="0"/>
      <w:divBdr>
        <w:top w:val="none" w:sz="0" w:space="0" w:color="auto"/>
        <w:left w:val="none" w:sz="0" w:space="0" w:color="auto"/>
        <w:bottom w:val="none" w:sz="0" w:space="0" w:color="auto"/>
        <w:right w:val="none" w:sz="0" w:space="0" w:color="auto"/>
      </w:divBdr>
    </w:div>
    <w:div w:id="750469849">
      <w:bodyDiv w:val="1"/>
      <w:marLeft w:val="0"/>
      <w:marRight w:val="0"/>
      <w:marTop w:val="0"/>
      <w:marBottom w:val="0"/>
      <w:divBdr>
        <w:top w:val="none" w:sz="0" w:space="0" w:color="auto"/>
        <w:left w:val="none" w:sz="0" w:space="0" w:color="auto"/>
        <w:bottom w:val="none" w:sz="0" w:space="0" w:color="auto"/>
        <w:right w:val="none" w:sz="0" w:space="0" w:color="auto"/>
      </w:divBdr>
    </w:div>
    <w:div w:id="752822572">
      <w:bodyDiv w:val="1"/>
      <w:marLeft w:val="0"/>
      <w:marRight w:val="0"/>
      <w:marTop w:val="0"/>
      <w:marBottom w:val="0"/>
      <w:divBdr>
        <w:top w:val="none" w:sz="0" w:space="0" w:color="auto"/>
        <w:left w:val="none" w:sz="0" w:space="0" w:color="auto"/>
        <w:bottom w:val="none" w:sz="0" w:space="0" w:color="auto"/>
        <w:right w:val="none" w:sz="0" w:space="0" w:color="auto"/>
      </w:divBdr>
    </w:div>
    <w:div w:id="754323728">
      <w:bodyDiv w:val="1"/>
      <w:marLeft w:val="0"/>
      <w:marRight w:val="0"/>
      <w:marTop w:val="0"/>
      <w:marBottom w:val="0"/>
      <w:divBdr>
        <w:top w:val="none" w:sz="0" w:space="0" w:color="auto"/>
        <w:left w:val="none" w:sz="0" w:space="0" w:color="auto"/>
        <w:bottom w:val="none" w:sz="0" w:space="0" w:color="auto"/>
        <w:right w:val="none" w:sz="0" w:space="0" w:color="auto"/>
      </w:divBdr>
    </w:div>
    <w:div w:id="756631008">
      <w:bodyDiv w:val="1"/>
      <w:marLeft w:val="0"/>
      <w:marRight w:val="0"/>
      <w:marTop w:val="0"/>
      <w:marBottom w:val="0"/>
      <w:divBdr>
        <w:top w:val="none" w:sz="0" w:space="0" w:color="auto"/>
        <w:left w:val="none" w:sz="0" w:space="0" w:color="auto"/>
        <w:bottom w:val="none" w:sz="0" w:space="0" w:color="auto"/>
        <w:right w:val="none" w:sz="0" w:space="0" w:color="auto"/>
      </w:divBdr>
    </w:div>
    <w:div w:id="759834695">
      <w:bodyDiv w:val="1"/>
      <w:marLeft w:val="0"/>
      <w:marRight w:val="0"/>
      <w:marTop w:val="0"/>
      <w:marBottom w:val="0"/>
      <w:divBdr>
        <w:top w:val="none" w:sz="0" w:space="0" w:color="auto"/>
        <w:left w:val="none" w:sz="0" w:space="0" w:color="auto"/>
        <w:bottom w:val="none" w:sz="0" w:space="0" w:color="auto"/>
        <w:right w:val="none" w:sz="0" w:space="0" w:color="auto"/>
      </w:divBdr>
    </w:div>
    <w:div w:id="761990546">
      <w:bodyDiv w:val="1"/>
      <w:marLeft w:val="0"/>
      <w:marRight w:val="0"/>
      <w:marTop w:val="0"/>
      <w:marBottom w:val="0"/>
      <w:divBdr>
        <w:top w:val="none" w:sz="0" w:space="0" w:color="auto"/>
        <w:left w:val="none" w:sz="0" w:space="0" w:color="auto"/>
        <w:bottom w:val="none" w:sz="0" w:space="0" w:color="auto"/>
        <w:right w:val="none" w:sz="0" w:space="0" w:color="auto"/>
      </w:divBdr>
    </w:div>
    <w:div w:id="764426021">
      <w:bodyDiv w:val="1"/>
      <w:marLeft w:val="0"/>
      <w:marRight w:val="0"/>
      <w:marTop w:val="0"/>
      <w:marBottom w:val="0"/>
      <w:divBdr>
        <w:top w:val="none" w:sz="0" w:space="0" w:color="auto"/>
        <w:left w:val="none" w:sz="0" w:space="0" w:color="auto"/>
        <w:bottom w:val="none" w:sz="0" w:space="0" w:color="auto"/>
        <w:right w:val="none" w:sz="0" w:space="0" w:color="auto"/>
      </w:divBdr>
    </w:div>
    <w:div w:id="766537171">
      <w:bodyDiv w:val="1"/>
      <w:marLeft w:val="0"/>
      <w:marRight w:val="0"/>
      <w:marTop w:val="0"/>
      <w:marBottom w:val="0"/>
      <w:divBdr>
        <w:top w:val="none" w:sz="0" w:space="0" w:color="auto"/>
        <w:left w:val="none" w:sz="0" w:space="0" w:color="auto"/>
        <w:bottom w:val="none" w:sz="0" w:space="0" w:color="auto"/>
        <w:right w:val="none" w:sz="0" w:space="0" w:color="auto"/>
      </w:divBdr>
    </w:div>
    <w:div w:id="767115969">
      <w:bodyDiv w:val="1"/>
      <w:marLeft w:val="0"/>
      <w:marRight w:val="0"/>
      <w:marTop w:val="0"/>
      <w:marBottom w:val="0"/>
      <w:divBdr>
        <w:top w:val="none" w:sz="0" w:space="0" w:color="auto"/>
        <w:left w:val="none" w:sz="0" w:space="0" w:color="auto"/>
        <w:bottom w:val="none" w:sz="0" w:space="0" w:color="auto"/>
        <w:right w:val="none" w:sz="0" w:space="0" w:color="auto"/>
      </w:divBdr>
    </w:div>
    <w:div w:id="775057885">
      <w:bodyDiv w:val="1"/>
      <w:marLeft w:val="0"/>
      <w:marRight w:val="0"/>
      <w:marTop w:val="0"/>
      <w:marBottom w:val="0"/>
      <w:divBdr>
        <w:top w:val="none" w:sz="0" w:space="0" w:color="auto"/>
        <w:left w:val="none" w:sz="0" w:space="0" w:color="auto"/>
        <w:bottom w:val="none" w:sz="0" w:space="0" w:color="auto"/>
        <w:right w:val="none" w:sz="0" w:space="0" w:color="auto"/>
      </w:divBdr>
    </w:div>
    <w:div w:id="778178207">
      <w:bodyDiv w:val="1"/>
      <w:marLeft w:val="0"/>
      <w:marRight w:val="0"/>
      <w:marTop w:val="0"/>
      <w:marBottom w:val="0"/>
      <w:divBdr>
        <w:top w:val="none" w:sz="0" w:space="0" w:color="auto"/>
        <w:left w:val="none" w:sz="0" w:space="0" w:color="auto"/>
        <w:bottom w:val="none" w:sz="0" w:space="0" w:color="auto"/>
        <w:right w:val="none" w:sz="0" w:space="0" w:color="auto"/>
      </w:divBdr>
    </w:div>
    <w:div w:id="784924838">
      <w:bodyDiv w:val="1"/>
      <w:marLeft w:val="0"/>
      <w:marRight w:val="0"/>
      <w:marTop w:val="0"/>
      <w:marBottom w:val="0"/>
      <w:divBdr>
        <w:top w:val="none" w:sz="0" w:space="0" w:color="auto"/>
        <w:left w:val="none" w:sz="0" w:space="0" w:color="auto"/>
        <w:bottom w:val="none" w:sz="0" w:space="0" w:color="auto"/>
        <w:right w:val="none" w:sz="0" w:space="0" w:color="auto"/>
      </w:divBdr>
    </w:div>
    <w:div w:id="785126985">
      <w:bodyDiv w:val="1"/>
      <w:marLeft w:val="0"/>
      <w:marRight w:val="0"/>
      <w:marTop w:val="0"/>
      <w:marBottom w:val="0"/>
      <w:divBdr>
        <w:top w:val="none" w:sz="0" w:space="0" w:color="auto"/>
        <w:left w:val="none" w:sz="0" w:space="0" w:color="auto"/>
        <w:bottom w:val="none" w:sz="0" w:space="0" w:color="auto"/>
        <w:right w:val="none" w:sz="0" w:space="0" w:color="auto"/>
      </w:divBdr>
    </w:div>
    <w:div w:id="788089491">
      <w:bodyDiv w:val="1"/>
      <w:marLeft w:val="0"/>
      <w:marRight w:val="0"/>
      <w:marTop w:val="0"/>
      <w:marBottom w:val="0"/>
      <w:divBdr>
        <w:top w:val="none" w:sz="0" w:space="0" w:color="auto"/>
        <w:left w:val="none" w:sz="0" w:space="0" w:color="auto"/>
        <w:bottom w:val="none" w:sz="0" w:space="0" w:color="auto"/>
        <w:right w:val="none" w:sz="0" w:space="0" w:color="auto"/>
      </w:divBdr>
    </w:div>
    <w:div w:id="789318757">
      <w:bodyDiv w:val="1"/>
      <w:marLeft w:val="0"/>
      <w:marRight w:val="0"/>
      <w:marTop w:val="0"/>
      <w:marBottom w:val="0"/>
      <w:divBdr>
        <w:top w:val="none" w:sz="0" w:space="0" w:color="auto"/>
        <w:left w:val="none" w:sz="0" w:space="0" w:color="auto"/>
        <w:bottom w:val="none" w:sz="0" w:space="0" w:color="auto"/>
        <w:right w:val="none" w:sz="0" w:space="0" w:color="auto"/>
      </w:divBdr>
    </w:div>
    <w:div w:id="792016665">
      <w:bodyDiv w:val="1"/>
      <w:marLeft w:val="0"/>
      <w:marRight w:val="0"/>
      <w:marTop w:val="0"/>
      <w:marBottom w:val="0"/>
      <w:divBdr>
        <w:top w:val="none" w:sz="0" w:space="0" w:color="auto"/>
        <w:left w:val="none" w:sz="0" w:space="0" w:color="auto"/>
        <w:bottom w:val="none" w:sz="0" w:space="0" w:color="auto"/>
        <w:right w:val="none" w:sz="0" w:space="0" w:color="auto"/>
      </w:divBdr>
    </w:div>
    <w:div w:id="793906353">
      <w:bodyDiv w:val="1"/>
      <w:marLeft w:val="0"/>
      <w:marRight w:val="0"/>
      <w:marTop w:val="0"/>
      <w:marBottom w:val="0"/>
      <w:divBdr>
        <w:top w:val="none" w:sz="0" w:space="0" w:color="auto"/>
        <w:left w:val="none" w:sz="0" w:space="0" w:color="auto"/>
        <w:bottom w:val="none" w:sz="0" w:space="0" w:color="auto"/>
        <w:right w:val="none" w:sz="0" w:space="0" w:color="auto"/>
      </w:divBdr>
    </w:div>
    <w:div w:id="798912543">
      <w:bodyDiv w:val="1"/>
      <w:marLeft w:val="0"/>
      <w:marRight w:val="0"/>
      <w:marTop w:val="0"/>
      <w:marBottom w:val="0"/>
      <w:divBdr>
        <w:top w:val="none" w:sz="0" w:space="0" w:color="auto"/>
        <w:left w:val="none" w:sz="0" w:space="0" w:color="auto"/>
        <w:bottom w:val="none" w:sz="0" w:space="0" w:color="auto"/>
        <w:right w:val="none" w:sz="0" w:space="0" w:color="auto"/>
      </w:divBdr>
    </w:div>
    <w:div w:id="800997862">
      <w:bodyDiv w:val="1"/>
      <w:marLeft w:val="0"/>
      <w:marRight w:val="0"/>
      <w:marTop w:val="0"/>
      <w:marBottom w:val="0"/>
      <w:divBdr>
        <w:top w:val="none" w:sz="0" w:space="0" w:color="auto"/>
        <w:left w:val="none" w:sz="0" w:space="0" w:color="auto"/>
        <w:bottom w:val="none" w:sz="0" w:space="0" w:color="auto"/>
        <w:right w:val="none" w:sz="0" w:space="0" w:color="auto"/>
      </w:divBdr>
    </w:div>
    <w:div w:id="802038471">
      <w:bodyDiv w:val="1"/>
      <w:marLeft w:val="0"/>
      <w:marRight w:val="0"/>
      <w:marTop w:val="0"/>
      <w:marBottom w:val="0"/>
      <w:divBdr>
        <w:top w:val="none" w:sz="0" w:space="0" w:color="auto"/>
        <w:left w:val="none" w:sz="0" w:space="0" w:color="auto"/>
        <w:bottom w:val="none" w:sz="0" w:space="0" w:color="auto"/>
        <w:right w:val="none" w:sz="0" w:space="0" w:color="auto"/>
      </w:divBdr>
    </w:div>
    <w:div w:id="802424826">
      <w:bodyDiv w:val="1"/>
      <w:marLeft w:val="0"/>
      <w:marRight w:val="0"/>
      <w:marTop w:val="0"/>
      <w:marBottom w:val="0"/>
      <w:divBdr>
        <w:top w:val="none" w:sz="0" w:space="0" w:color="auto"/>
        <w:left w:val="none" w:sz="0" w:space="0" w:color="auto"/>
        <w:bottom w:val="none" w:sz="0" w:space="0" w:color="auto"/>
        <w:right w:val="none" w:sz="0" w:space="0" w:color="auto"/>
      </w:divBdr>
    </w:div>
    <w:div w:id="802893617">
      <w:bodyDiv w:val="1"/>
      <w:marLeft w:val="0"/>
      <w:marRight w:val="0"/>
      <w:marTop w:val="0"/>
      <w:marBottom w:val="0"/>
      <w:divBdr>
        <w:top w:val="none" w:sz="0" w:space="0" w:color="auto"/>
        <w:left w:val="none" w:sz="0" w:space="0" w:color="auto"/>
        <w:bottom w:val="none" w:sz="0" w:space="0" w:color="auto"/>
        <w:right w:val="none" w:sz="0" w:space="0" w:color="auto"/>
      </w:divBdr>
    </w:div>
    <w:div w:id="807430512">
      <w:bodyDiv w:val="1"/>
      <w:marLeft w:val="0"/>
      <w:marRight w:val="0"/>
      <w:marTop w:val="0"/>
      <w:marBottom w:val="0"/>
      <w:divBdr>
        <w:top w:val="none" w:sz="0" w:space="0" w:color="auto"/>
        <w:left w:val="none" w:sz="0" w:space="0" w:color="auto"/>
        <w:bottom w:val="none" w:sz="0" w:space="0" w:color="auto"/>
        <w:right w:val="none" w:sz="0" w:space="0" w:color="auto"/>
      </w:divBdr>
    </w:div>
    <w:div w:id="809178280">
      <w:bodyDiv w:val="1"/>
      <w:marLeft w:val="0"/>
      <w:marRight w:val="0"/>
      <w:marTop w:val="0"/>
      <w:marBottom w:val="0"/>
      <w:divBdr>
        <w:top w:val="none" w:sz="0" w:space="0" w:color="auto"/>
        <w:left w:val="none" w:sz="0" w:space="0" w:color="auto"/>
        <w:bottom w:val="none" w:sz="0" w:space="0" w:color="auto"/>
        <w:right w:val="none" w:sz="0" w:space="0" w:color="auto"/>
      </w:divBdr>
    </w:div>
    <w:div w:id="814495788">
      <w:bodyDiv w:val="1"/>
      <w:marLeft w:val="0"/>
      <w:marRight w:val="0"/>
      <w:marTop w:val="0"/>
      <w:marBottom w:val="0"/>
      <w:divBdr>
        <w:top w:val="none" w:sz="0" w:space="0" w:color="auto"/>
        <w:left w:val="none" w:sz="0" w:space="0" w:color="auto"/>
        <w:bottom w:val="none" w:sz="0" w:space="0" w:color="auto"/>
        <w:right w:val="none" w:sz="0" w:space="0" w:color="auto"/>
      </w:divBdr>
    </w:div>
    <w:div w:id="817264985">
      <w:bodyDiv w:val="1"/>
      <w:marLeft w:val="0"/>
      <w:marRight w:val="0"/>
      <w:marTop w:val="0"/>
      <w:marBottom w:val="0"/>
      <w:divBdr>
        <w:top w:val="none" w:sz="0" w:space="0" w:color="auto"/>
        <w:left w:val="none" w:sz="0" w:space="0" w:color="auto"/>
        <w:bottom w:val="none" w:sz="0" w:space="0" w:color="auto"/>
        <w:right w:val="none" w:sz="0" w:space="0" w:color="auto"/>
      </w:divBdr>
    </w:div>
    <w:div w:id="819075608">
      <w:bodyDiv w:val="1"/>
      <w:marLeft w:val="0"/>
      <w:marRight w:val="0"/>
      <w:marTop w:val="0"/>
      <w:marBottom w:val="0"/>
      <w:divBdr>
        <w:top w:val="none" w:sz="0" w:space="0" w:color="auto"/>
        <w:left w:val="none" w:sz="0" w:space="0" w:color="auto"/>
        <w:bottom w:val="none" w:sz="0" w:space="0" w:color="auto"/>
        <w:right w:val="none" w:sz="0" w:space="0" w:color="auto"/>
      </w:divBdr>
    </w:div>
    <w:div w:id="822967120">
      <w:bodyDiv w:val="1"/>
      <w:marLeft w:val="0"/>
      <w:marRight w:val="0"/>
      <w:marTop w:val="0"/>
      <w:marBottom w:val="0"/>
      <w:divBdr>
        <w:top w:val="none" w:sz="0" w:space="0" w:color="auto"/>
        <w:left w:val="none" w:sz="0" w:space="0" w:color="auto"/>
        <w:bottom w:val="none" w:sz="0" w:space="0" w:color="auto"/>
        <w:right w:val="none" w:sz="0" w:space="0" w:color="auto"/>
      </w:divBdr>
    </w:div>
    <w:div w:id="824250141">
      <w:bodyDiv w:val="1"/>
      <w:marLeft w:val="0"/>
      <w:marRight w:val="0"/>
      <w:marTop w:val="0"/>
      <w:marBottom w:val="0"/>
      <w:divBdr>
        <w:top w:val="none" w:sz="0" w:space="0" w:color="auto"/>
        <w:left w:val="none" w:sz="0" w:space="0" w:color="auto"/>
        <w:bottom w:val="none" w:sz="0" w:space="0" w:color="auto"/>
        <w:right w:val="none" w:sz="0" w:space="0" w:color="auto"/>
      </w:divBdr>
    </w:div>
    <w:div w:id="825971827">
      <w:bodyDiv w:val="1"/>
      <w:marLeft w:val="0"/>
      <w:marRight w:val="0"/>
      <w:marTop w:val="0"/>
      <w:marBottom w:val="0"/>
      <w:divBdr>
        <w:top w:val="none" w:sz="0" w:space="0" w:color="auto"/>
        <w:left w:val="none" w:sz="0" w:space="0" w:color="auto"/>
        <w:bottom w:val="none" w:sz="0" w:space="0" w:color="auto"/>
        <w:right w:val="none" w:sz="0" w:space="0" w:color="auto"/>
      </w:divBdr>
    </w:div>
    <w:div w:id="827020822">
      <w:bodyDiv w:val="1"/>
      <w:marLeft w:val="0"/>
      <w:marRight w:val="0"/>
      <w:marTop w:val="0"/>
      <w:marBottom w:val="0"/>
      <w:divBdr>
        <w:top w:val="none" w:sz="0" w:space="0" w:color="auto"/>
        <w:left w:val="none" w:sz="0" w:space="0" w:color="auto"/>
        <w:bottom w:val="none" w:sz="0" w:space="0" w:color="auto"/>
        <w:right w:val="none" w:sz="0" w:space="0" w:color="auto"/>
      </w:divBdr>
    </w:div>
    <w:div w:id="828517613">
      <w:bodyDiv w:val="1"/>
      <w:marLeft w:val="0"/>
      <w:marRight w:val="0"/>
      <w:marTop w:val="0"/>
      <w:marBottom w:val="0"/>
      <w:divBdr>
        <w:top w:val="none" w:sz="0" w:space="0" w:color="auto"/>
        <w:left w:val="none" w:sz="0" w:space="0" w:color="auto"/>
        <w:bottom w:val="none" w:sz="0" w:space="0" w:color="auto"/>
        <w:right w:val="none" w:sz="0" w:space="0" w:color="auto"/>
      </w:divBdr>
    </w:div>
    <w:div w:id="829371391">
      <w:bodyDiv w:val="1"/>
      <w:marLeft w:val="0"/>
      <w:marRight w:val="0"/>
      <w:marTop w:val="0"/>
      <w:marBottom w:val="0"/>
      <w:divBdr>
        <w:top w:val="none" w:sz="0" w:space="0" w:color="auto"/>
        <w:left w:val="none" w:sz="0" w:space="0" w:color="auto"/>
        <w:bottom w:val="none" w:sz="0" w:space="0" w:color="auto"/>
        <w:right w:val="none" w:sz="0" w:space="0" w:color="auto"/>
      </w:divBdr>
    </w:div>
    <w:div w:id="830102714">
      <w:bodyDiv w:val="1"/>
      <w:marLeft w:val="0"/>
      <w:marRight w:val="0"/>
      <w:marTop w:val="0"/>
      <w:marBottom w:val="0"/>
      <w:divBdr>
        <w:top w:val="none" w:sz="0" w:space="0" w:color="auto"/>
        <w:left w:val="none" w:sz="0" w:space="0" w:color="auto"/>
        <w:bottom w:val="none" w:sz="0" w:space="0" w:color="auto"/>
        <w:right w:val="none" w:sz="0" w:space="0" w:color="auto"/>
      </w:divBdr>
    </w:div>
    <w:div w:id="833185122">
      <w:bodyDiv w:val="1"/>
      <w:marLeft w:val="0"/>
      <w:marRight w:val="0"/>
      <w:marTop w:val="0"/>
      <w:marBottom w:val="0"/>
      <w:divBdr>
        <w:top w:val="none" w:sz="0" w:space="0" w:color="auto"/>
        <w:left w:val="none" w:sz="0" w:space="0" w:color="auto"/>
        <w:bottom w:val="none" w:sz="0" w:space="0" w:color="auto"/>
        <w:right w:val="none" w:sz="0" w:space="0" w:color="auto"/>
      </w:divBdr>
    </w:div>
    <w:div w:id="834686289">
      <w:bodyDiv w:val="1"/>
      <w:marLeft w:val="0"/>
      <w:marRight w:val="0"/>
      <w:marTop w:val="0"/>
      <w:marBottom w:val="0"/>
      <w:divBdr>
        <w:top w:val="none" w:sz="0" w:space="0" w:color="auto"/>
        <w:left w:val="none" w:sz="0" w:space="0" w:color="auto"/>
        <w:bottom w:val="none" w:sz="0" w:space="0" w:color="auto"/>
        <w:right w:val="none" w:sz="0" w:space="0" w:color="auto"/>
      </w:divBdr>
    </w:div>
    <w:div w:id="835342058">
      <w:bodyDiv w:val="1"/>
      <w:marLeft w:val="0"/>
      <w:marRight w:val="0"/>
      <w:marTop w:val="0"/>
      <w:marBottom w:val="0"/>
      <w:divBdr>
        <w:top w:val="none" w:sz="0" w:space="0" w:color="auto"/>
        <w:left w:val="none" w:sz="0" w:space="0" w:color="auto"/>
        <w:bottom w:val="none" w:sz="0" w:space="0" w:color="auto"/>
        <w:right w:val="none" w:sz="0" w:space="0" w:color="auto"/>
      </w:divBdr>
    </w:div>
    <w:div w:id="841701077">
      <w:marLeft w:val="0"/>
      <w:marRight w:val="0"/>
      <w:marTop w:val="0"/>
      <w:marBottom w:val="0"/>
      <w:divBdr>
        <w:top w:val="none" w:sz="0" w:space="0" w:color="auto"/>
        <w:left w:val="none" w:sz="0" w:space="0" w:color="auto"/>
        <w:bottom w:val="none" w:sz="0" w:space="0" w:color="auto"/>
        <w:right w:val="none" w:sz="0" w:space="0" w:color="auto"/>
      </w:divBdr>
    </w:div>
    <w:div w:id="841896023">
      <w:bodyDiv w:val="1"/>
      <w:marLeft w:val="0"/>
      <w:marRight w:val="0"/>
      <w:marTop w:val="0"/>
      <w:marBottom w:val="0"/>
      <w:divBdr>
        <w:top w:val="none" w:sz="0" w:space="0" w:color="auto"/>
        <w:left w:val="none" w:sz="0" w:space="0" w:color="auto"/>
        <w:bottom w:val="none" w:sz="0" w:space="0" w:color="auto"/>
        <w:right w:val="none" w:sz="0" w:space="0" w:color="auto"/>
      </w:divBdr>
    </w:div>
    <w:div w:id="842010855">
      <w:bodyDiv w:val="1"/>
      <w:marLeft w:val="0"/>
      <w:marRight w:val="0"/>
      <w:marTop w:val="0"/>
      <w:marBottom w:val="0"/>
      <w:divBdr>
        <w:top w:val="none" w:sz="0" w:space="0" w:color="auto"/>
        <w:left w:val="none" w:sz="0" w:space="0" w:color="auto"/>
        <w:bottom w:val="none" w:sz="0" w:space="0" w:color="auto"/>
        <w:right w:val="none" w:sz="0" w:space="0" w:color="auto"/>
      </w:divBdr>
    </w:div>
    <w:div w:id="842164814">
      <w:marLeft w:val="0"/>
      <w:marRight w:val="0"/>
      <w:marTop w:val="0"/>
      <w:marBottom w:val="0"/>
      <w:divBdr>
        <w:top w:val="none" w:sz="0" w:space="0" w:color="auto"/>
        <w:left w:val="none" w:sz="0" w:space="0" w:color="auto"/>
        <w:bottom w:val="none" w:sz="0" w:space="0" w:color="auto"/>
        <w:right w:val="none" w:sz="0" w:space="0" w:color="auto"/>
      </w:divBdr>
    </w:div>
    <w:div w:id="844562679">
      <w:bodyDiv w:val="1"/>
      <w:marLeft w:val="0"/>
      <w:marRight w:val="0"/>
      <w:marTop w:val="0"/>
      <w:marBottom w:val="0"/>
      <w:divBdr>
        <w:top w:val="none" w:sz="0" w:space="0" w:color="auto"/>
        <w:left w:val="none" w:sz="0" w:space="0" w:color="auto"/>
        <w:bottom w:val="none" w:sz="0" w:space="0" w:color="auto"/>
        <w:right w:val="none" w:sz="0" w:space="0" w:color="auto"/>
      </w:divBdr>
    </w:div>
    <w:div w:id="845636498">
      <w:marLeft w:val="0"/>
      <w:marRight w:val="0"/>
      <w:marTop w:val="0"/>
      <w:marBottom w:val="0"/>
      <w:divBdr>
        <w:top w:val="none" w:sz="0" w:space="0" w:color="auto"/>
        <w:left w:val="none" w:sz="0" w:space="0" w:color="auto"/>
        <w:bottom w:val="none" w:sz="0" w:space="0" w:color="auto"/>
        <w:right w:val="none" w:sz="0" w:space="0" w:color="auto"/>
      </w:divBdr>
    </w:div>
    <w:div w:id="851920208">
      <w:bodyDiv w:val="1"/>
      <w:marLeft w:val="0"/>
      <w:marRight w:val="0"/>
      <w:marTop w:val="0"/>
      <w:marBottom w:val="0"/>
      <w:divBdr>
        <w:top w:val="none" w:sz="0" w:space="0" w:color="auto"/>
        <w:left w:val="none" w:sz="0" w:space="0" w:color="auto"/>
        <w:bottom w:val="none" w:sz="0" w:space="0" w:color="auto"/>
        <w:right w:val="none" w:sz="0" w:space="0" w:color="auto"/>
      </w:divBdr>
    </w:div>
    <w:div w:id="852572447">
      <w:marLeft w:val="0"/>
      <w:marRight w:val="0"/>
      <w:marTop w:val="0"/>
      <w:marBottom w:val="0"/>
      <w:divBdr>
        <w:top w:val="none" w:sz="0" w:space="0" w:color="auto"/>
        <w:left w:val="none" w:sz="0" w:space="0" w:color="auto"/>
        <w:bottom w:val="none" w:sz="0" w:space="0" w:color="auto"/>
        <w:right w:val="none" w:sz="0" w:space="0" w:color="auto"/>
      </w:divBdr>
    </w:div>
    <w:div w:id="853764959">
      <w:bodyDiv w:val="1"/>
      <w:marLeft w:val="0"/>
      <w:marRight w:val="0"/>
      <w:marTop w:val="0"/>
      <w:marBottom w:val="0"/>
      <w:divBdr>
        <w:top w:val="none" w:sz="0" w:space="0" w:color="auto"/>
        <w:left w:val="none" w:sz="0" w:space="0" w:color="auto"/>
        <w:bottom w:val="none" w:sz="0" w:space="0" w:color="auto"/>
        <w:right w:val="none" w:sz="0" w:space="0" w:color="auto"/>
      </w:divBdr>
    </w:div>
    <w:div w:id="855653662">
      <w:bodyDiv w:val="1"/>
      <w:marLeft w:val="0"/>
      <w:marRight w:val="0"/>
      <w:marTop w:val="0"/>
      <w:marBottom w:val="0"/>
      <w:divBdr>
        <w:top w:val="none" w:sz="0" w:space="0" w:color="auto"/>
        <w:left w:val="none" w:sz="0" w:space="0" w:color="auto"/>
        <w:bottom w:val="none" w:sz="0" w:space="0" w:color="auto"/>
        <w:right w:val="none" w:sz="0" w:space="0" w:color="auto"/>
      </w:divBdr>
    </w:div>
    <w:div w:id="858469961">
      <w:bodyDiv w:val="1"/>
      <w:marLeft w:val="0"/>
      <w:marRight w:val="0"/>
      <w:marTop w:val="0"/>
      <w:marBottom w:val="0"/>
      <w:divBdr>
        <w:top w:val="none" w:sz="0" w:space="0" w:color="auto"/>
        <w:left w:val="none" w:sz="0" w:space="0" w:color="auto"/>
        <w:bottom w:val="none" w:sz="0" w:space="0" w:color="auto"/>
        <w:right w:val="none" w:sz="0" w:space="0" w:color="auto"/>
      </w:divBdr>
    </w:div>
    <w:div w:id="862865820">
      <w:bodyDiv w:val="1"/>
      <w:marLeft w:val="0"/>
      <w:marRight w:val="0"/>
      <w:marTop w:val="0"/>
      <w:marBottom w:val="0"/>
      <w:divBdr>
        <w:top w:val="none" w:sz="0" w:space="0" w:color="auto"/>
        <w:left w:val="none" w:sz="0" w:space="0" w:color="auto"/>
        <w:bottom w:val="none" w:sz="0" w:space="0" w:color="auto"/>
        <w:right w:val="none" w:sz="0" w:space="0" w:color="auto"/>
      </w:divBdr>
    </w:div>
    <w:div w:id="864749150">
      <w:bodyDiv w:val="1"/>
      <w:marLeft w:val="0"/>
      <w:marRight w:val="0"/>
      <w:marTop w:val="0"/>
      <w:marBottom w:val="0"/>
      <w:divBdr>
        <w:top w:val="none" w:sz="0" w:space="0" w:color="auto"/>
        <w:left w:val="none" w:sz="0" w:space="0" w:color="auto"/>
        <w:bottom w:val="none" w:sz="0" w:space="0" w:color="auto"/>
        <w:right w:val="none" w:sz="0" w:space="0" w:color="auto"/>
      </w:divBdr>
    </w:div>
    <w:div w:id="868109985">
      <w:bodyDiv w:val="1"/>
      <w:marLeft w:val="0"/>
      <w:marRight w:val="0"/>
      <w:marTop w:val="0"/>
      <w:marBottom w:val="0"/>
      <w:divBdr>
        <w:top w:val="none" w:sz="0" w:space="0" w:color="auto"/>
        <w:left w:val="none" w:sz="0" w:space="0" w:color="auto"/>
        <w:bottom w:val="none" w:sz="0" w:space="0" w:color="auto"/>
        <w:right w:val="none" w:sz="0" w:space="0" w:color="auto"/>
      </w:divBdr>
    </w:div>
    <w:div w:id="868297966">
      <w:bodyDiv w:val="1"/>
      <w:marLeft w:val="0"/>
      <w:marRight w:val="0"/>
      <w:marTop w:val="0"/>
      <w:marBottom w:val="0"/>
      <w:divBdr>
        <w:top w:val="none" w:sz="0" w:space="0" w:color="auto"/>
        <w:left w:val="none" w:sz="0" w:space="0" w:color="auto"/>
        <w:bottom w:val="none" w:sz="0" w:space="0" w:color="auto"/>
        <w:right w:val="none" w:sz="0" w:space="0" w:color="auto"/>
      </w:divBdr>
    </w:div>
    <w:div w:id="870072604">
      <w:bodyDiv w:val="1"/>
      <w:marLeft w:val="0"/>
      <w:marRight w:val="0"/>
      <w:marTop w:val="0"/>
      <w:marBottom w:val="0"/>
      <w:divBdr>
        <w:top w:val="none" w:sz="0" w:space="0" w:color="auto"/>
        <w:left w:val="none" w:sz="0" w:space="0" w:color="auto"/>
        <w:bottom w:val="none" w:sz="0" w:space="0" w:color="auto"/>
        <w:right w:val="none" w:sz="0" w:space="0" w:color="auto"/>
      </w:divBdr>
    </w:div>
    <w:div w:id="870073646">
      <w:bodyDiv w:val="1"/>
      <w:marLeft w:val="0"/>
      <w:marRight w:val="0"/>
      <w:marTop w:val="0"/>
      <w:marBottom w:val="0"/>
      <w:divBdr>
        <w:top w:val="none" w:sz="0" w:space="0" w:color="auto"/>
        <w:left w:val="none" w:sz="0" w:space="0" w:color="auto"/>
        <w:bottom w:val="none" w:sz="0" w:space="0" w:color="auto"/>
        <w:right w:val="none" w:sz="0" w:space="0" w:color="auto"/>
      </w:divBdr>
    </w:div>
    <w:div w:id="871501750">
      <w:marLeft w:val="0"/>
      <w:marRight w:val="0"/>
      <w:marTop w:val="0"/>
      <w:marBottom w:val="0"/>
      <w:divBdr>
        <w:top w:val="none" w:sz="0" w:space="0" w:color="auto"/>
        <w:left w:val="none" w:sz="0" w:space="0" w:color="auto"/>
        <w:bottom w:val="none" w:sz="0" w:space="0" w:color="auto"/>
        <w:right w:val="none" w:sz="0" w:space="0" w:color="auto"/>
      </w:divBdr>
    </w:div>
    <w:div w:id="873079762">
      <w:bodyDiv w:val="1"/>
      <w:marLeft w:val="0"/>
      <w:marRight w:val="0"/>
      <w:marTop w:val="0"/>
      <w:marBottom w:val="0"/>
      <w:divBdr>
        <w:top w:val="none" w:sz="0" w:space="0" w:color="auto"/>
        <w:left w:val="none" w:sz="0" w:space="0" w:color="auto"/>
        <w:bottom w:val="none" w:sz="0" w:space="0" w:color="auto"/>
        <w:right w:val="none" w:sz="0" w:space="0" w:color="auto"/>
      </w:divBdr>
    </w:div>
    <w:div w:id="876162598">
      <w:marLeft w:val="0"/>
      <w:marRight w:val="0"/>
      <w:marTop w:val="0"/>
      <w:marBottom w:val="0"/>
      <w:divBdr>
        <w:top w:val="none" w:sz="0" w:space="0" w:color="auto"/>
        <w:left w:val="none" w:sz="0" w:space="0" w:color="auto"/>
        <w:bottom w:val="none" w:sz="0" w:space="0" w:color="auto"/>
        <w:right w:val="none" w:sz="0" w:space="0" w:color="auto"/>
      </w:divBdr>
    </w:div>
    <w:div w:id="877669357">
      <w:bodyDiv w:val="1"/>
      <w:marLeft w:val="0"/>
      <w:marRight w:val="0"/>
      <w:marTop w:val="0"/>
      <w:marBottom w:val="0"/>
      <w:divBdr>
        <w:top w:val="none" w:sz="0" w:space="0" w:color="auto"/>
        <w:left w:val="none" w:sz="0" w:space="0" w:color="auto"/>
        <w:bottom w:val="none" w:sz="0" w:space="0" w:color="auto"/>
        <w:right w:val="none" w:sz="0" w:space="0" w:color="auto"/>
      </w:divBdr>
    </w:div>
    <w:div w:id="878857882">
      <w:bodyDiv w:val="1"/>
      <w:marLeft w:val="0"/>
      <w:marRight w:val="0"/>
      <w:marTop w:val="0"/>
      <w:marBottom w:val="0"/>
      <w:divBdr>
        <w:top w:val="none" w:sz="0" w:space="0" w:color="auto"/>
        <w:left w:val="none" w:sz="0" w:space="0" w:color="auto"/>
        <w:bottom w:val="none" w:sz="0" w:space="0" w:color="auto"/>
        <w:right w:val="none" w:sz="0" w:space="0" w:color="auto"/>
      </w:divBdr>
    </w:div>
    <w:div w:id="881793736">
      <w:bodyDiv w:val="1"/>
      <w:marLeft w:val="0"/>
      <w:marRight w:val="0"/>
      <w:marTop w:val="0"/>
      <w:marBottom w:val="0"/>
      <w:divBdr>
        <w:top w:val="none" w:sz="0" w:space="0" w:color="auto"/>
        <w:left w:val="none" w:sz="0" w:space="0" w:color="auto"/>
        <w:bottom w:val="none" w:sz="0" w:space="0" w:color="auto"/>
        <w:right w:val="none" w:sz="0" w:space="0" w:color="auto"/>
      </w:divBdr>
    </w:div>
    <w:div w:id="882595883">
      <w:marLeft w:val="0"/>
      <w:marRight w:val="0"/>
      <w:marTop w:val="0"/>
      <w:marBottom w:val="0"/>
      <w:divBdr>
        <w:top w:val="none" w:sz="0" w:space="0" w:color="auto"/>
        <w:left w:val="none" w:sz="0" w:space="0" w:color="auto"/>
        <w:bottom w:val="none" w:sz="0" w:space="0" w:color="auto"/>
        <w:right w:val="none" w:sz="0" w:space="0" w:color="auto"/>
      </w:divBdr>
    </w:div>
    <w:div w:id="886063747">
      <w:bodyDiv w:val="1"/>
      <w:marLeft w:val="0"/>
      <w:marRight w:val="0"/>
      <w:marTop w:val="0"/>
      <w:marBottom w:val="0"/>
      <w:divBdr>
        <w:top w:val="none" w:sz="0" w:space="0" w:color="auto"/>
        <w:left w:val="none" w:sz="0" w:space="0" w:color="auto"/>
        <w:bottom w:val="none" w:sz="0" w:space="0" w:color="auto"/>
        <w:right w:val="none" w:sz="0" w:space="0" w:color="auto"/>
      </w:divBdr>
    </w:div>
    <w:div w:id="887380722">
      <w:bodyDiv w:val="1"/>
      <w:marLeft w:val="0"/>
      <w:marRight w:val="0"/>
      <w:marTop w:val="0"/>
      <w:marBottom w:val="0"/>
      <w:divBdr>
        <w:top w:val="none" w:sz="0" w:space="0" w:color="auto"/>
        <w:left w:val="none" w:sz="0" w:space="0" w:color="auto"/>
        <w:bottom w:val="none" w:sz="0" w:space="0" w:color="auto"/>
        <w:right w:val="none" w:sz="0" w:space="0" w:color="auto"/>
      </w:divBdr>
    </w:div>
    <w:div w:id="888298248">
      <w:bodyDiv w:val="1"/>
      <w:marLeft w:val="0"/>
      <w:marRight w:val="0"/>
      <w:marTop w:val="0"/>
      <w:marBottom w:val="0"/>
      <w:divBdr>
        <w:top w:val="none" w:sz="0" w:space="0" w:color="auto"/>
        <w:left w:val="none" w:sz="0" w:space="0" w:color="auto"/>
        <w:bottom w:val="none" w:sz="0" w:space="0" w:color="auto"/>
        <w:right w:val="none" w:sz="0" w:space="0" w:color="auto"/>
      </w:divBdr>
    </w:div>
    <w:div w:id="893127471">
      <w:bodyDiv w:val="1"/>
      <w:marLeft w:val="0"/>
      <w:marRight w:val="0"/>
      <w:marTop w:val="0"/>
      <w:marBottom w:val="0"/>
      <w:divBdr>
        <w:top w:val="none" w:sz="0" w:space="0" w:color="auto"/>
        <w:left w:val="none" w:sz="0" w:space="0" w:color="auto"/>
        <w:bottom w:val="none" w:sz="0" w:space="0" w:color="auto"/>
        <w:right w:val="none" w:sz="0" w:space="0" w:color="auto"/>
      </w:divBdr>
    </w:div>
    <w:div w:id="896087703">
      <w:bodyDiv w:val="1"/>
      <w:marLeft w:val="0"/>
      <w:marRight w:val="0"/>
      <w:marTop w:val="0"/>
      <w:marBottom w:val="0"/>
      <w:divBdr>
        <w:top w:val="none" w:sz="0" w:space="0" w:color="auto"/>
        <w:left w:val="none" w:sz="0" w:space="0" w:color="auto"/>
        <w:bottom w:val="none" w:sz="0" w:space="0" w:color="auto"/>
        <w:right w:val="none" w:sz="0" w:space="0" w:color="auto"/>
      </w:divBdr>
    </w:div>
    <w:div w:id="896625990">
      <w:bodyDiv w:val="1"/>
      <w:marLeft w:val="0"/>
      <w:marRight w:val="0"/>
      <w:marTop w:val="0"/>
      <w:marBottom w:val="0"/>
      <w:divBdr>
        <w:top w:val="none" w:sz="0" w:space="0" w:color="auto"/>
        <w:left w:val="none" w:sz="0" w:space="0" w:color="auto"/>
        <w:bottom w:val="none" w:sz="0" w:space="0" w:color="auto"/>
        <w:right w:val="none" w:sz="0" w:space="0" w:color="auto"/>
      </w:divBdr>
    </w:div>
    <w:div w:id="896664236">
      <w:bodyDiv w:val="1"/>
      <w:marLeft w:val="0"/>
      <w:marRight w:val="0"/>
      <w:marTop w:val="0"/>
      <w:marBottom w:val="0"/>
      <w:divBdr>
        <w:top w:val="none" w:sz="0" w:space="0" w:color="auto"/>
        <w:left w:val="none" w:sz="0" w:space="0" w:color="auto"/>
        <w:bottom w:val="none" w:sz="0" w:space="0" w:color="auto"/>
        <w:right w:val="none" w:sz="0" w:space="0" w:color="auto"/>
      </w:divBdr>
    </w:div>
    <w:div w:id="897206502">
      <w:bodyDiv w:val="1"/>
      <w:marLeft w:val="0"/>
      <w:marRight w:val="0"/>
      <w:marTop w:val="0"/>
      <w:marBottom w:val="0"/>
      <w:divBdr>
        <w:top w:val="none" w:sz="0" w:space="0" w:color="auto"/>
        <w:left w:val="none" w:sz="0" w:space="0" w:color="auto"/>
        <w:bottom w:val="none" w:sz="0" w:space="0" w:color="auto"/>
        <w:right w:val="none" w:sz="0" w:space="0" w:color="auto"/>
      </w:divBdr>
    </w:div>
    <w:div w:id="897402182">
      <w:bodyDiv w:val="1"/>
      <w:marLeft w:val="0"/>
      <w:marRight w:val="0"/>
      <w:marTop w:val="0"/>
      <w:marBottom w:val="0"/>
      <w:divBdr>
        <w:top w:val="none" w:sz="0" w:space="0" w:color="auto"/>
        <w:left w:val="none" w:sz="0" w:space="0" w:color="auto"/>
        <w:bottom w:val="none" w:sz="0" w:space="0" w:color="auto"/>
        <w:right w:val="none" w:sz="0" w:space="0" w:color="auto"/>
      </w:divBdr>
    </w:div>
    <w:div w:id="901257395">
      <w:bodyDiv w:val="1"/>
      <w:marLeft w:val="0"/>
      <w:marRight w:val="0"/>
      <w:marTop w:val="0"/>
      <w:marBottom w:val="0"/>
      <w:divBdr>
        <w:top w:val="none" w:sz="0" w:space="0" w:color="auto"/>
        <w:left w:val="none" w:sz="0" w:space="0" w:color="auto"/>
        <w:bottom w:val="none" w:sz="0" w:space="0" w:color="auto"/>
        <w:right w:val="none" w:sz="0" w:space="0" w:color="auto"/>
      </w:divBdr>
    </w:div>
    <w:div w:id="903490641">
      <w:marLeft w:val="0"/>
      <w:marRight w:val="0"/>
      <w:marTop w:val="0"/>
      <w:marBottom w:val="0"/>
      <w:divBdr>
        <w:top w:val="none" w:sz="0" w:space="0" w:color="auto"/>
        <w:left w:val="none" w:sz="0" w:space="0" w:color="auto"/>
        <w:bottom w:val="none" w:sz="0" w:space="0" w:color="auto"/>
        <w:right w:val="none" w:sz="0" w:space="0" w:color="auto"/>
      </w:divBdr>
    </w:div>
    <w:div w:id="906838025">
      <w:bodyDiv w:val="1"/>
      <w:marLeft w:val="0"/>
      <w:marRight w:val="0"/>
      <w:marTop w:val="0"/>
      <w:marBottom w:val="0"/>
      <w:divBdr>
        <w:top w:val="none" w:sz="0" w:space="0" w:color="auto"/>
        <w:left w:val="none" w:sz="0" w:space="0" w:color="auto"/>
        <w:bottom w:val="none" w:sz="0" w:space="0" w:color="auto"/>
        <w:right w:val="none" w:sz="0" w:space="0" w:color="auto"/>
      </w:divBdr>
    </w:div>
    <w:div w:id="908151557">
      <w:bodyDiv w:val="1"/>
      <w:marLeft w:val="0"/>
      <w:marRight w:val="0"/>
      <w:marTop w:val="0"/>
      <w:marBottom w:val="0"/>
      <w:divBdr>
        <w:top w:val="none" w:sz="0" w:space="0" w:color="auto"/>
        <w:left w:val="none" w:sz="0" w:space="0" w:color="auto"/>
        <w:bottom w:val="none" w:sz="0" w:space="0" w:color="auto"/>
        <w:right w:val="none" w:sz="0" w:space="0" w:color="auto"/>
      </w:divBdr>
    </w:div>
    <w:div w:id="914434716">
      <w:bodyDiv w:val="1"/>
      <w:marLeft w:val="0"/>
      <w:marRight w:val="0"/>
      <w:marTop w:val="0"/>
      <w:marBottom w:val="0"/>
      <w:divBdr>
        <w:top w:val="none" w:sz="0" w:space="0" w:color="auto"/>
        <w:left w:val="none" w:sz="0" w:space="0" w:color="auto"/>
        <w:bottom w:val="none" w:sz="0" w:space="0" w:color="auto"/>
        <w:right w:val="none" w:sz="0" w:space="0" w:color="auto"/>
      </w:divBdr>
    </w:div>
    <w:div w:id="915018564">
      <w:bodyDiv w:val="1"/>
      <w:marLeft w:val="0"/>
      <w:marRight w:val="0"/>
      <w:marTop w:val="0"/>
      <w:marBottom w:val="0"/>
      <w:divBdr>
        <w:top w:val="none" w:sz="0" w:space="0" w:color="auto"/>
        <w:left w:val="none" w:sz="0" w:space="0" w:color="auto"/>
        <w:bottom w:val="none" w:sz="0" w:space="0" w:color="auto"/>
        <w:right w:val="none" w:sz="0" w:space="0" w:color="auto"/>
      </w:divBdr>
    </w:div>
    <w:div w:id="916089666">
      <w:bodyDiv w:val="1"/>
      <w:marLeft w:val="0"/>
      <w:marRight w:val="0"/>
      <w:marTop w:val="0"/>
      <w:marBottom w:val="0"/>
      <w:divBdr>
        <w:top w:val="none" w:sz="0" w:space="0" w:color="auto"/>
        <w:left w:val="none" w:sz="0" w:space="0" w:color="auto"/>
        <w:bottom w:val="none" w:sz="0" w:space="0" w:color="auto"/>
        <w:right w:val="none" w:sz="0" w:space="0" w:color="auto"/>
      </w:divBdr>
    </w:div>
    <w:div w:id="917325102">
      <w:bodyDiv w:val="1"/>
      <w:marLeft w:val="0"/>
      <w:marRight w:val="0"/>
      <w:marTop w:val="0"/>
      <w:marBottom w:val="0"/>
      <w:divBdr>
        <w:top w:val="none" w:sz="0" w:space="0" w:color="auto"/>
        <w:left w:val="none" w:sz="0" w:space="0" w:color="auto"/>
        <w:bottom w:val="none" w:sz="0" w:space="0" w:color="auto"/>
        <w:right w:val="none" w:sz="0" w:space="0" w:color="auto"/>
      </w:divBdr>
    </w:div>
    <w:div w:id="930041390">
      <w:bodyDiv w:val="1"/>
      <w:marLeft w:val="0"/>
      <w:marRight w:val="0"/>
      <w:marTop w:val="0"/>
      <w:marBottom w:val="0"/>
      <w:divBdr>
        <w:top w:val="none" w:sz="0" w:space="0" w:color="auto"/>
        <w:left w:val="none" w:sz="0" w:space="0" w:color="auto"/>
        <w:bottom w:val="none" w:sz="0" w:space="0" w:color="auto"/>
        <w:right w:val="none" w:sz="0" w:space="0" w:color="auto"/>
      </w:divBdr>
    </w:div>
    <w:div w:id="935138502">
      <w:bodyDiv w:val="1"/>
      <w:marLeft w:val="0"/>
      <w:marRight w:val="0"/>
      <w:marTop w:val="0"/>
      <w:marBottom w:val="0"/>
      <w:divBdr>
        <w:top w:val="none" w:sz="0" w:space="0" w:color="auto"/>
        <w:left w:val="none" w:sz="0" w:space="0" w:color="auto"/>
        <w:bottom w:val="none" w:sz="0" w:space="0" w:color="auto"/>
        <w:right w:val="none" w:sz="0" w:space="0" w:color="auto"/>
      </w:divBdr>
    </w:div>
    <w:div w:id="936446967">
      <w:bodyDiv w:val="1"/>
      <w:marLeft w:val="0"/>
      <w:marRight w:val="0"/>
      <w:marTop w:val="0"/>
      <w:marBottom w:val="0"/>
      <w:divBdr>
        <w:top w:val="none" w:sz="0" w:space="0" w:color="auto"/>
        <w:left w:val="none" w:sz="0" w:space="0" w:color="auto"/>
        <w:bottom w:val="none" w:sz="0" w:space="0" w:color="auto"/>
        <w:right w:val="none" w:sz="0" w:space="0" w:color="auto"/>
      </w:divBdr>
    </w:div>
    <w:div w:id="937904818">
      <w:bodyDiv w:val="1"/>
      <w:marLeft w:val="0"/>
      <w:marRight w:val="0"/>
      <w:marTop w:val="0"/>
      <w:marBottom w:val="0"/>
      <w:divBdr>
        <w:top w:val="none" w:sz="0" w:space="0" w:color="auto"/>
        <w:left w:val="none" w:sz="0" w:space="0" w:color="auto"/>
        <w:bottom w:val="none" w:sz="0" w:space="0" w:color="auto"/>
        <w:right w:val="none" w:sz="0" w:space="0" w:color="auto"/>
      </w:divBdr>
    </w:div>
    <w:div w:id="940144918">
      <w:bodyDiv w:val="1"/>
      <w:marLeft w:val="0"/>
      <w:marRight w:val="0"/>
      <w:marTop w:val="0"/>
      <w:marBottom w:val="0"/>
      <w:divBdr>
        <w:top w:val="none" w:sz="0" w:space="0" w:color="auto"/>
        <w:left w:val="none" w:sz="0" w:space="0" w:color="auto"/>
        <w:bottom w:val="none" w:sz="0" w:space="0" w:color="auto"/>
        <w:right w:val="none" w:sz="0" w:space="0" w:color="auto"/>
      </w:divBdr>
    </w:div>
    <w:div w:id="940919196">
      <w:bodyDiv w:val="1"/>
      <w:marLeft w:val="0"/>
      <w:marRight w:val="0"/>
      <w:marTop w:val="0"/>
      <w:marBottom w:val="0"/>
      <w:divBdr>
        <w:top w:val="none" w:sz="0" w:space="0" w:color="auto"/>
        <w:left w:val="none" w:sz="0" w:space="0" w:color="auto"/>
        <w:bottom w:val="none" w:sz="0" w:space="0" w:color="auto"/>
        <w:right w:val="none" w:sz="0" w:space="0" w:color="auto"/>
      </w:divBdr>
    </w:div>
    <w:div w:id="945815716">
      <w:bodyDiv w:val="1"/>
      <w:marLeft w:val="0"/>
      <w:marRight w:val="0"/>
      <w:marTop w:val="0"/>
      <w:marBottom w:val="0"/>
      <w:divBdr>
        <w:top w:val="none" w:sz="0" w:space="0" w:color="auto"/>
        <w:left w:val="none" w:sz="0" w:space="0" w:color="auto"/>
        <w:bottom w:val="none" w:sz="0" w:space="0" w:color="auto"/>
        <w:right w:val="none" w:sz="0" w:space="0" w:color="auto"/>
      </w:divBdr>
    </w:div>
    <w:div w:id="948244527">
      <w:bodyDiv w:val="1"/>
      <w:marLeft w:val="0"/>
      <w:marRight w:val="0"/>
      <w:marTop w:val="0"/>
      <w:marBottom w:val="0"/>
      <w:divBdr>
        <w:top w:val="none" w:sz="0" w:space="0" w:color="auto"/>
        <w:left w:val="none" w:sz="0" w:space="0" w:color="auto"/>
        <w:bottom w:val="none" w:sz="0" w:space="0" w:color="auto"/>
        <w:right w:val="none" w:sz="0" w:space="0" w:color="auto"/>
      </w:divBdr>
    </w:div>
    <w:div w:id="949629501">
      <w:bodyDiv w:val="1"/>
      <w:marLeft w:val="0"/>
      <w:marRight w:val="0"/>
      <w:marTop w:val="0"/>
      <w:marBottom w:val="0"/>
      <w:divBdr>
        <w:top w:val="none" w:sz="0" w:space="0" w:color="auto"/>
        <w:left w:val="none" w:sz="0" w:space="0" w:color="auto"/>
        <w:bottom w:val="none" w:sz="0" w:space="0" w:color="auto"/>
        <w:right w:val="none" w:sz="0" w:space="0" w:color="auto"/>
      </w:divBdr>
    </w:div>
    <w:div w:id="950742232">
      <w:bodyDiv w:val="1"/>
      <w:marLeft w:val="0"/>
      <w:marRight w:val="0"/>
      <w:marTop w:val="0"/>
      <w:marBottom w:val="0"/>
      <w:divBdr>
        <w:top w:val="none" w:sz="0" w:space="0" w:color="auto"/>
        <w:left w:val="none" w:sz="0" w:space="0" w:color="auto"/>
        <w:bottom w:val="none" w:sz="0" w:space="0" w:color="auto"/>
        <w:right w:val="none" w:sz="0" w:space="0" w:color="auto"/>
      </w:divBdr>
    </w:div>
    <w:div w:id="950818016">
      <w:marLeft w:val="0"/>
      <w:marRight w:val="0"/>
      <w:marTop w:val="0"/>
      <w:marBottom w:val="0"/>
      <w:divBdr>
        <w:top w:val="none" w:sz="0" w:space="0" w:color="auto"/>
        <w:left w:val="none" w:sz="0" w:space="0" w:color="auto"/>
        <w:bottom w:val="none" w:sz="0" w:space="0" w:color="auto"/>
        <w:right w:val="none" w:sz="0" w:space="0" w:color="auto"/>
      </w:divBdr>
    </w:div>
    <w:div w:id="951933904">
      <w:bodyDiv w:val="1"/>
      <w:marLeft w:val="0"/>
      <w:marRight w:val="0"/>
      <w:marTop w:val="0"/>
      <w:marBottom w:val="0"/>
      <w:divBdr>
        <w:top w:val="none" w:sz="0" w:space="0" w:color="auto"/>
        <w:left w:val="none" w:sz="0" w:space="0" w:color="auto"/>
        <w:bottom w:val="none" w:sz="0" w:space="0" w:color="auto"/>
        <w:right w:val="none" w:sz="0" w:space="0" w:color="auto"/>
      </w:divBdr>
    </w:div>
    <w:div w:id="952903039">
      <w:bodyDiv w:val="1"/>
      <w:marLeft w:val="0"/>
      <w:marRight w:val="0"/>
      <w:marTop w:val="0"/>
      <w:marBottom w:val="0"/>
      <w:divBdr>
        <w:top w:val="none" w:sz="0" w:space="0" w:color="auto"/>
        <w:left w:val="none" w:sz="0" w:space="0" w:color="auto"/>
        <w:bottom w:val="none" w:sz="0" w:space="0" w:color="auto"/>
        <w:right w:val="none" w:sz="0" w:space="0" w:color="auto"/>
      </w:divBdr>
    </w:div>
    <w:div w:id="952983214">
      <w:bodyDiv w:val="1"/>
      <w:marLeft w:val="0"/>
      <w:marRight w:val="0"/>
      <w:marTop w:val="0"/>
      <w:marBottom w:val="0"/>
      <w:divBdr>
        <w:top w:val="none" w:sz="0" w:space="0" w:color="auto"/>
        <w:left w:val="none" w:sz="0" w:space="0" w:color="auto"/>
        <w:bottom w:val="none" w:sz="0" w:space="0" w:color="auto"/>
        <w:right w:val="none" w:sz="0" w:space="0" w:color="auto"/>
      </w:divBdr>
    </w:div>
    <w:div w:id="957443932">
      <w:bodyDiv w:val="1"/>
      <w:marLeft w:val="0"/>
      <w:marRight w:val="0"/>
      <w:marTop w:val="0"/>
      <w:marBottom w:val="0"/>
      <w:divBdr>
        <w:top w:val="none" w:sz="0" w:space="0" w:color="auto"/>
        <w:left w:val="none" w:sz="0" w:space="0" w:color="auto"/>
        <w:bottom w:val="none" w:sz="0" w:space="0" w:color="auto"/>
        <w:right w:val="none" w:sz="0" w:space="0" w:color="auto"/>
      </w:divBdr>
    </w:div>
    <w:div w:id="959920777">
      <w:bodyDiv w:val="1"/>
      <w:marLeft w:val="0"/>
      <w:marRight w:val="0"/>
      <w:marTop w:val="0"/>
      <w:marBottom w:val="0"/>
      <w:divBdr>
        <w:top w:val="none" w:sz="0" w:space="0" w:color="auto"/>
        <w:left w:val="none" w:sz="0" w:space="0" w:color="auto"/>
        <w:bottom w:val="none" w:sz="0" w:space="0" w:color="auto"/>
        <w:right w:val="none" w:sz="0" w:space="0" w:color="auto"/>
      </w:divBdr>
    </w:div>
    <w:div w:id="960921057">
      <w:bodyDiv w:val="1"/>
      <w:marLeft w:val="0"/>
      <w:marRight w:val="0"/>
      <w:marTop w:val="0"/>
      <w:marBottom w:val="0"/>
      <w:divBdr>
        <w:top w:val="none" w:sz="0" w:space="0" w:color="auto"/>
        <w:left w:val="none" w:sz="0" w:space="0" w:color="auto"/>
        <w:bottom w:val="none" w:sz="0" w:space="0" w:color="auto"/>
        <w:right w:val="none" w:sz="0" w:space="0" w:color="auto"/>
      </w:divBdr>
    </w:div>
    <w:div w:id="963078849">
      <w:bodyDiv w:val="1"/>
      <w:marLeft w:val="0"/>
      <w:marRight w:val="0"/>
      <w:marTop w:val="0"/>
      <w:marBottom w:val="0"/>
      <w:divBdr>
        <w:top w:val="none" w:sz="0" w:space="0" w:color="auto"/>
        <w:left w:val="none" w:sz="0" w:space="0" w:color="auto"/>
        <w:bottom w:val="none" w:sz="0" w:space="0" w:color="auto"/>
        <w:right w:val="none" w:sz="0" w:space="0" w:color="auto"/>
      </w:divBdr>
    </w:div>
    <w:div w:id="963464082">
      <w:bodyDiv w:val="1"/>
      <w:marLeft w:val="0"/>
      <w:marRight w:val="0"/>
      <w:marTop w:val="0"/>
      <w:marBottom w:val="0"/>
      <w:divBdr>
        <w:top w:val="none" w:sz="0" w:space="0" w:color="auto"/>
        <w:left w:val="none" w:sz="0" w:space="0" w:color="auto"/>
        <w:bottom w:val="none" w:sz="0" w:space="0" w:color="auto"/>
        <w:right w:val="none" w:sz="0" w:space="0" w:color="auto"/>
      </w:divBdr>
    </w:div>
    <w:div w:id="968556772">
      <w:bodyDiv w:val="1"/>
      <w:marLeft w:val="0"/>
      <w:marRight w:val="0"/>
      <w:marTop w:val="0"/>
      <w:marBottom w:val="0"/>
      <w:divBdr>
        <w:top w:val="none" w:sz="0" w:space="0" w:color="auto"/>
        <w:left w:val="none" w:sz="0" w:space="0" w:color="auto"/>
        <w:bottom w:val="none" w:sz="0" w:space="0" w:color="auto"/>
        <w:right w:val="none" w:sz="0" w:space="0" w:color="auto"/>
      </w:divBdr>
    </w:div>
    <w:div w:id="971708752">
      <w:marLeft w:val="0"/>
      <w:marRight w:val="0"/>
      <w:marTop w:val="0"/>
      <w:marBottom w:val="0"/>
      <w:divBdr>
        <w:top w:val="none" w:sz="0" w:space="0" w:color="auto"/>
        <w:left w:val="none" w:sz="0" w:space="0" w:color="auto"/>
        <w:bottom w:val="none" w:sz="0" w:space="0" w:color="auto"/>
        <w:right w:val="none" w:sz="0" w:space="0" w:color="auto"/>
      </w:divBdr>
    </w:div>
    <w:div w:id="972713897">
      <w:bodyDiv w:val="1"/>
      <w:marLeft w:val="0"/>
      <w:marRight w:val="0"/>
      <w:marTop w:val="0"/>
      <w:marBottom w:val="0"/>
      <w:divBdr>
        <w:top w:val="none" w:sz="0" w:space="0" w:color="auto"/>
        <w:left w:val="none" w:sz="0" w:space="0" w:color="auto"/>
        <w:bottom w:val="none" w:sz="0" w:space="0" w:color="auto"/>
        <w:right w:val="none" w:sz="0" w:space="0" w:color="auto"/>
      </w:divBdr>
    </w:div>
    <w:div w:id="972902423">
      <w:bodyDiv w:val="1"/>
      <w:marLeft w:val="0"/>
      <w:marRight w:val="0"/>
      <w:marTop w:val="0"/>
      <w:marBottom w:val="0"/>
      <w:divBdr>
        <w:top w:val="none" w:sz="0" w:space="0" w:color="auto"/>
        <w:left w:val="none" w:sz="0" w:space="0" w:color="auto"/>
        <w:bottom w:val="none" w:sz="0" w:space="0" w:color="auto"/>
        <w:right w:val="none" w:sz="0" w:space="0" w:color="auto"/>
      </w:divBdr>
    </w:div>
    <w:div w:id="980965784">
      <w:bodyDiv w:val="1"/>
      <w:marLeft w:val="0"/>
      <w:marRight w:val="0"/>
      <w:marTop w:val="0"/>
      <w:marBottom w:val="0"/>
      <w:divBdr>
        <w:top w:val="none" w:sz="0" w:space="0" w:color="auto"/>
        <w:left w:val="none" w:sz="0" w:space="0" w:color="auto"/>
        <w:bottom w:val="none" w:sz="0" w:space="0" w:color="auto"/>
        <w:right w:val="none" w:sz="0" w:space="0" w:color="auto"/>
      </w:divBdr>
    </w:div>
    <w:div w:id="981664581">
      <w:bodyDiv w:val="1"/>
      <w:marLeft w:val="0"/>
      <w:marRight w:val="0"/>
      <w:marTop w:val="0"/>
      <w:marBottom w:val="0"/>
      <w:divBdr>
        <w:top w:val="none" w:sz="0" w:space="0" w:color="auto"/>
        <w:left w:val="none" w:sz="0" w:space="0" w:color="auto"/>
        <w:bottom w:val="none" w:sz="0" w:space="0" w:color="auto"/>
        <w:right w:val="none" w:sz="0" w:space="0" w:color="auto"/>
      </w:divBdr>
    </w:div>
    <w:div w:id="982467562">
      <w:bodyDiv w:val="1"/>
      <w:marLeft w:val="0"/>
      <w:marRight w:val="0"/>
      <w:marTop w:val="0"/>
      <w:marBottom w:val="0"/>
      <w:divBdr>
        <w:top w:val="none" w:sz="0" w:space="0" w:color="auto"/>
        <w:left w:val="none" w:sz="0" w:space="0" w:color="auto"/>
        <w:bottom w:val="none" w:sz="0" w:space="0" w:color="auto"/>
        <w:right w:val="none" w:sz="0" w:space="0" w:color="auto"/>
      </w:divBdr>
    </w:div>
    <w:div w:id="986008015">
      <w:bodyDiv w:val="1"/>
      <w:marLeft w:val="0"/>
      <w:marRight w:val="0"/>
      <w:marTop w:val="0"/>
      <w:marBottom w:val="0"/>
      <w:divBdr>
        <w:top w:val="none" w:sz="0" w:space="0" w:color="auto"/>
        <w:left w:val="none" w:sz="0" w:space="0" w:color="auto"/>
        <w:bottom w:val="none" w:sz="0" w:space="0" w:color="auto"/>
        <w:right w:val="none" w:sz="0" w:space="0" w:color="auto"/>
      </w:divBdr>
    </w:div>
    <w:div w:id="986401185">
      <w:bodyDiv w:val="1"/>
      <w:marLeft w:val="0"/>
      <w:marRight w:val="0"/>
      <w:marTop w:val="0"/>
      <w:marBottom w:val="0"/>
      <w:divBdr>
        <w:top w:val="none" w:sz="0" w:space="0" w:color="auto"/>
        <w:left w:val="none" w:sz="0" w:space="0" w:color="auto"/>
        <w:bottom w:val="none" w:sz="0" w:space="0" w:color="auto"/>
        <w:right w:val="none" w:sz="0" w:space="0" w:color="auto"/>
      </w:divBdr>
    </w:div>
    <w:div w:id="987628572">
      <w:bodyDiv w:val="1"/>
      <w:marLeft w:val="0"/>
      <w:marRight w:val="0"/>
      <w:marTop w:val="0"/>
      <w:marBottom w:val="0"/>
      <w:divBdr>
        <w:top w:val="none" w:sz="0" w:space="0" w:color="auto"/>
        <w:left w:val="none" w:sz="0" w:space="0" w:color="auto"/>
        <w:bottom w:val="none" w:sz="0" w:space="0" w:color="auto"/>
        <w:right w:val="none" w:sz="0" w:space="0" w:color="auto"/>
      </w:divBdr>
    </w:div>
    <w:div w:id="988249592">
      <w:bodyDiv w:val="1"/>
      <w:marLeft w:val="0"/>
      <w:marRight w:val="0"/>
      <w:marTop w:val="0"/>
      <w:marBottom w:val="0"/>
      <w:divBdr>
        <w:top w:val="none" w:sz="0" w:space="0" w:color="auto"/>
        <w:left w:val="none" w:sz="0" w:space="0" w:color="auto"/>
        <w:bottom w:val="none" w:sz="0" w:space="0" w:color="auto"/>
        <w:right w:val="none" w:sz="0" w:space="0" w:color="auto"/>
      </w:divBdr>
    </w:div>
    <w:div w:id="991786620">
      <w:bodyDiv w:val="1"/>
      <w:marLeft w:val="0"/>
      <w:marRight w:val="0"/>
      <w:marTop w:val="0"/>
      <w:marBottom w:val="0"/>
      <w:divBdr>
        <w:top w:val="none" w:sz="0" w:space="0" w:color="auto"/>
        <w:left w:val="none" w:sz="0" w:space="0" w:color="auto"/>
        <w:bottom w:val="none" w:sz="0" w:space="0" w:color="auto"/>
        <w:right w:val="none" w:sz="0" w:space="0" w:color="auto"/>
      </w:divBdr>
    </w:div>
    <w:div w:id="993222157">
      <w:bodyDiv w:val="1"/>
      <w:marLeft w:val="0"/>
      <w:marRight w:val="0"/>
      <w:marTop w:val="0"/>
      <w:marBottom w:val="0"/>
      <w:divBdr>
        <w:top w:val="none" w:sz="0" w:space="0" w:color="auto"/>
        <w:left w:val="none" w:sz="0" w:space="0" w:color="auto"/>
        <w:bottom w:val="none" w:sz="0" w:space="0" w:color="auto"/>
        <w:right w:val="none" w:sz="0" w:space="0" w:color="auto"/>
      </w:divBdr>
    </w:div>
    <w:div w:id="994839144">
      <w:bodyDiv w:val="1"/>
      <w:marLeft w:val="0"/>
      <w:marRight w:val="0"/>
      <w:marTop w:val="0"/>
      <w:marBottom w:val="0"/>
      <w:divBdr>
        <w:top w:val="none" w:sz="0" w:space="0" w:color="auto"/>
        <w:left w:val="none" w:sz="0" w:space="0" w:color="auto"/>
        <w:bottom w:val="none" w:sz="0" w:space="0" w:color="auto"/>
        <w:right w:val="none" w:sz="0" w:space="0" w:color="auto"/>
      </w:divBdr>
    </w:div>
    <w:div w:id="1003901293">
      <w:bodyDiv w:val="1"/>
      <w:marLeft w:val="0"/>
      <w:marRight w:val="0"/>
      <w:marTop w:val="0"/>
      <w:marBottom w:val="0"/>
      <w:divBdr>
        <w:top w:val="none" w:sz="0" w:space="0" w:color="auto"/>
        <w:left w:val="none" w:sz="0" w:space="0" w:color="auto"/>
        <w:bottom w:val="none" w:sz="0" w:space="0" w:color="auto"/>
        <w:right w:val="none" w:sz="0" w:space="0" w:color="auto"/>
      </w:divBdr>
    </w:div>
    <w:div w:id="1005328355">
      <w:bodyDiv w:val="1"/>
      <w:marLeft w:val="0"/>
      <w:marRight w:val="0"/>
      <w:marTop w:val="0"/>
      <w:marBottom w:val="0"/>
      <w:divBdr>
        <w:top w:val="none" w:sz="0" w:space="0" w:color="auto"/>
        <w:left w:val="none" w:sz="0" w:space="0" w:color="auto"/>
        <w:bottom w:val="none" w:sz="0" w:space="0" w:color="auto"/>
        <w:right w:val="none" w:sz="0" w:space="0" w:color="auto"/>
      </w:divBdr>
    </w:div>
    <w:div w:id="1006596668">
      <w:bodyDiv w:val="1"/>
      <w:marLeft w:val="0"/>
      <w:marRight w:val="0"/>
      <w:marTop w:val="0"/>
      <w:marBottom w:val="0"/>
      <w:divBdr>
        <w:top w:val="none" w:sz="0" w:space="0" w:color="auto"/>
        <w:left w:val="none" w:sz="0" w:space="0" w:color="auto"/>
        <w:bottom w:val="none" w:sz="0" w:space="0" w:color="auto"/>
        <w:right w:val="none" w:sz="0" w:space="0" w:color="auto"/>
      </w:divBdr>
    </w:div>
    <w:div w:id="1008558072">
      <w:bodyDiv w:val="1"/>
      <w:marLeft w:val="0"/>
      <w:marRight w:val="0"/>
      <w:marTop w:val="0"/>
      <w:marBottom w:val="0"/>
      <w:divBdr>
        <w:top w:val="none" w:sz="0" w:space="0" w:color="auto"/>
        <w:left w:val="none" w:sz="0" w:space="0" w:color="auto"/>
        <w:bottom w:val="none" w:sz="0" w:space="0" w:color="auto"/>
        <w:right w:val="none" w:sz="0" w:space="0" w:color="auto"/>
      </w:divBdr>
    </w:div>
    <w:div w:id="1009872007">
      <w:bodyDiv w:val="1"/>
      <w:marLeft w:val="0"/>
      <w:marRight w:val="0"/>
      <w:marTop w:val="0"/>
      <w:marBottom w:val="0"/>
      <w:divBdr>
        <w:top w:val="none" w:sz="0" w:space="0" w:color="auto"/>
        <w:left w:val="none" w:sz="0" w:space="0" w:color="auto"/>
        <w:bottom w:val="none" w:sz="0" w:space="0" w:color="auto"/>
        <w:right w:val="none" w:sz="0" w:space="0" w:color="auto"/>
      </w:divBdr>
    </w:div>
    <w:div w:id="1013648729">
      <w:marLeft w:val="0"/>
      <w:marRight w:val="0"/>
      <w:marTop w:val="0"/>
      <w:marBottom w:val="0"/>
      <w:divBdr>
        <w:top w:val="none" w:sz="0" w:space="0" w:color="auto"/>
        <w:left w:val="none" w:sz="0" w:space="0" w:color="auto"/>
        <w:bottom w:val="none" w:sz="0" w:space="0" w:color="auto"/>
        <w:right w:val="none" w:sz="0" w:space="0" w:color="auto"/>
      </w:divBdr>
    </w:div>
    <w:div w:id="1014766024">
      <w:bodyDiv w:val="1"/>
      <w:marLeft w:val="0"/>
      <w:marRight w:val="0"/>
      <w:marTop w:val="0"/>
      <w:marBottom w:val="0"/>
      <w:divBdr>
        <w:top w:val="none" w:sz="0" w:space="0" w:color="auto"/>
        <w:left w:val="none" w:sz="0" w:space="0" w:color="auto"/>
        <w:bottom w:val="none" w:sz="0" w:space="0" w:color="auto"/>
        <w:right w:val="none" w:sz="0" w:space="0" w:color="auto"/>
      </w:divBdr>
    </w:div>
    <w:div w:id="1015570823">
      <w:bodyDiv w:val="1"/>
      <w:marLeft w:val="0"/>
      <w:marRight w:val="0"/>
      <w:marTop w:val="0"/>
      <w:marBottom w:val="0"/>
      <w:divBdr>
        <w:top w:val="none" w:sz="0" w:space="0" w:color="auto"/>
        <w:left w:val="none" w:sz="0" w:space="0" w:color="auto"/>
        <w:bottom w:val="none" w:sz="0" w:space="0" w:color="auto"/>
        <w:right w:val="none" w:sz="0" w:space="0" w:color="auto"/>
      </w:divBdr>
    </w:div>
    <w:div w:id="1017543094">
      <w:bodyDiv w:val="1"/>
      <w:marLeft w:val="0"/>
      <w:marRight w:val="0"/>
      <w:marTop w:val="0"/>
      <w:marBottom w:val="0"/>
      <w:divBdr>
        <w:top w:val="none" w:sz="0" w:space="0" w:color="auto"/>
        <w:left w:val="none" w:sz="0" w:space="0" w:color="auto"/>
        <w:bottom w:val="none" w:sz="0" w:space="0" w:color="auto"/>
        <w:right w:val="none" w:sz="0" w:space="0" w:color="auto"/>
      </w:divBdr>
    </w:div>
    <w:div w:id="1018577033">
      <w:bodyDiv w:val="1"/>
      <w:marLeft w:val="0"/>
      <w:marRight w:val="0"/>
      <w:marTop w:val="0"/>
      <w:marBottom w:val="0"/>
      <w:divBdr>
        <w:top w:val="none" w:sz="0" w:space="0" w:color="auto"/>
        <w:left w:val="none" w:sz="0" w:space="0" w:color="auto"/>
        <w:bottom w:val="none" w:sz="0" w:space="0" w:color="auto"/>
        <w:right w:val="none" w:sz="0" w:space="0" w:color="auto"/>
      </w:divBdr>
    </w:div>
    <w:div w:id="1019088208">
      <w:bodyDiv w:val="1"/>
      <w:marLeft w:val="0"/>
      <w:marRight w:val="0"/>
      <w:marTop w:val="0"/>
      <w:marBottom w:val="0"/>
      <w:divBdr>
        <w:top w:val="none" w:sz="0" w:space="0" w:color="auto"/>
        <w:left w:val="none" w:sz="0" w:space="0" w:color="auto"/>
        <w:bottom w:val="none" w:sz="0" w:space="0" w:color="auto"/>
        <w:right w:val="none" w:sz="0" w:space="0" w:color="auto"/>
      </w:divBdr>
    </w:div>
    <w:div w:id="1026368294">
      <w:bodyDiv w:val="1"/>
      <w:marLeft w:val="0"/>
      <w:marRight w:val="0"/>
      <w:marTop w:val="0"/>
      <w:marBottom w:val="0"/>
      <w:divBdr>
        <w:top w:val="none" w:sz="0" w:space="0" w:color="auto"/>
        <w:left w:val="none" w:sz="0" w:space="0" w:color="auto"/>
        <w:bottom w:val="none" w:sz="0" w:space="0" w:color="auto"/>
        <w:right w:val="none" w:sz="0" w:space="0" w:color="auto"/>
      </w:divBdr>
    </w:div>
    <w:div w:id="1027832468">
      <w:bodyDiv w:val="1"/>
      <w:marLeft w:val="0"/>
      <w:marRight w:val="0"/>
      <w:marTop w:val="0"/>
      <w:marBottom w:val="0"/>
      <w:divBdr>
        <w:top w:val="none" w:sz="0" w:space="0" w:color="auto"/>
        <w:left w:val="none" w:sz="0" w:space="0" w:color="auto"/>
        <w:bottom w:val="none" w:sz="0" w:space="0" w:color="auto"/>
        <w:right w:val="none" w:sz="0" w:space="0" w:color="auto"/>
      </w:divBdr>
    </w:div>
    <w:div w:id="1029987328">
      <w:bodyDiv w:val="1"/>
      <w:marLeft w:val="0"/>
      <w:marRight w:val="0"/>
      <w:marTop w:val="0"/>
      <w:marBottom w:val="0"/>
      <w:divBdr>
        <w:top w:val="none" w:sz="0" w:space="0" w:color="auto"/>
        <w:left w:val="none" w:sz="0" w:space="0" w:color="auto"/>
        <w:bottom w:val="none" w:sz="0" w:space="0" w:color="auto"/>
        <w:right w:val="none" w:sz="0" w:space="0" w:color="auto"/>
      </w:divBdr>
    </w:div>
    <w:div w:id="1031998753">
      <w:bodyDiv w:val="1"/>
      <w:marLeft w:val="0"/>
      <w:marRight w:val="0"/>
      <w:marTop w:val="0"/>
      <w:marBottom w:val="0"/>
      <w:divBdr>
        <w:top w:val="none" w:sz="0" w:space="0" w:color="auto"/>
        <w:left w:val="none" w:sz="0" w:space="0" w:color="auto"/>
        <w:bottom w:val="none" w:sz="0" w:space="0" w:color="auto"/>
        <w:right w:val="none" w:sz="0" w:space="0" w:color="auto"/>
      </w:divBdr>
    </w:div>
    <w:div w:id="1032996922">
      <w:bodyDiv w:val="1"/>
      <w:marLeft w:val="0"/>
      <w:marRight w:val="0"/>
      <w:marTop w:val="0"/>
      <w:marBottom w:val="0"/>
      <w:divBdr>
        <w:top w:val="none" w:sz="0" w:space="0" w:color="auto"/>
        <w:left w:val="none" w:sz="0" w:space="0" w:color="auto"/>
        <w:bottom w:val="none" w:sz="0" w:space="0" w:color="auto"/>
        <w:right w:val="none" w:sz="0" w:space="0" w:color="auto"/>
      </w:divBdr>
    </w:div>
    <w:div w:id="1033579605">
      <w:bodyDiv w:val="1"/>
      <w:marLeft w:val="0"/>
      <w:marRight w:val="0"/>
      <w:marTop w:val="0"/>
      <w:marBottom w:val="0"/>
      <w:divBdr>
        <w:top w:val="none" w:sz="0" w:space="0" w:color="auto"/>
        <w:left w:val="none" w:sz="0" w:space="0" w:color="auto"/>
        <w:bottom w:val="none" w:sz="0" w:space="0" w:color="auto"/>
        <w:right w:val="none" w:sz="0" w:space="0" w:color="auto"/>
      </w:divBdr>
    </w:div>
    <w:div w:id="1037242357">
      <w:bodyDiv w:val="1"/>
      <w:marLeft w:val="0"/>
      <w:marRight w:val="0"/>
      <w:marTop w:val="0"/>
      <w:marBottom w:val="0"/>
      <w:divBdr>
        <w:top w:val="none" w:sz="0" w:space="0" w:color="auto"/>
        <w:left w:val="none" w:sz="0" w:space="0" w:color="auto"/>
        <w:bottom w:val="none" w:sz="0" w:space="0" w:color="auto"/>
        <w:right w:val="none" w:sz="0" w:space="0" w:color="auto"/>
      </w:divBdr>
    </w:div>
    <w:div w:id="1038972876">
      <w:bodyDiv w:val="1"/>
      <w:marLeft w:val="0"/>
      <w:marRight w:val="0"/>
      <w:marTop w:val="0"/>
      <w:marBottom w:val="0"/>
      <w:divBdr>
        <w:top w:val="none" w:sz="0" w:space="0" w:color="auto"/>
        <w:left w:val="none" w:sz="0" w:space="0" w:color="auto"/>
        <w:bottom w:val="none" w:sz="0" w:space="0" w:color="auto"/>
        <w:right w:val="none" w:sz="0" w:space="0" w:color="auto"/>
      </w:divBdr>
    </w:div>
    <w:div w:id="1041518974">
      <w:bodyDiv w:val="1"/>
      <w:marLeft w:val="0"/>
      <w:marRight w:val="0"/>
      <w:marTop w:val="0"/>
      <w:marBottom w:val="0"/>
      <w:divBdr>
        <w:top w:val="none" w:sz="0" w:space="0" w:color="auto"/>
        <w:left w:val="none" w:sz="0" w:space="0" w:color="auto"/>
        <w:bottom w:val="none" w:sz="0" w:space="0" w:color="auto"/>
        <w:right w:val="none" w:sz="0" w:space="0" w:color="auto"/>
      </w:divBdr>
    </w:div>
    <w:div w:id="1042444085">
      <w:bodyDiv w:val="1"/>
      <w:marLeft w:val="0"/>
      <w:marRight w:val="0"/>
      <w:marTop w:val="0"/>
      <w:marBottom w:val="0"/>
      <w:divBdr>
        <w:top w:val="none" w:sz="0" w:space="0" w:color="auto"/>
        <w:left w:val="none" w:sz="0" w:space="0" w:color="auto"/>
        <w:bottom w:val="none" w:sz="0" w:space="0" w:color="auto"/>
        <w:right w:val="none" w:sz="0" w:space="0" w:color="auto"/>
      </w:divBdr>
    </w:div>
    <w:div w:id="1042482424">
      <w:bodyDiv w:val="1"/>
      <w:marLeft w:val="0"/>
      <w:marRight w:val="0"/>
      <w:marTop w:val="0"/>
      <w:marBottom w:val="0"/>
      <w:divBdr>
        <w:top w:val="none" w:sz="0" w:space="0" w:color="auto"/>
        <w:left w:val="none" w:sz="0" w:space="0" w:color="auto"/>
        <w:bottom w:val="none" w:sz="0" w:space="0" w:color="auto"/>
        <w:right w:val="none" w:sz="0" w:space="0" w:color="auto"/>
      </w:divBdr>
    </w:div>
    <w:div w:id="1042747986">
      <w:bodyDiv w:val="1"/>
      <w:marLeft w:val="0"/>
      <w:marRight w:val="0"/>
      <w:marTop w:val="0"/>
      <w:marBottom w:val="0"/>
      <w:divBdr>
        <w:top w:val="none" w:sz="0" w:space="0" w:color="auto"/>
        <w:left w:val="none" w:sz="0" w:space="0" w:color="auto"/>
        <w:bottom w:val="none" w:sz="0" w:space="0" w:color="auto"/>
        <w:right w:val="none" w:sz="0" w:space="0" w:color="auto"/>
      </w:divBdr>
    </w:div>
    <w:div w:id="1043677038">
      <w:marLeft w:val="0"/>
      <w:marRight w:val="0"/>
      <w:marTop w:val="0"/>
      <w:marBottom w:val="0"/>
      <w:divBdr>
        <w:top w:val="none" w:sz="0" w:space="0" w:color="auto"/>
        <w:left w:val="none" w:sz="0" w:space="0" w:color="auto"/>
        <w:bottom w:val="none" w:sz="0" w:space="0" w:color="auto"/>
        <w:right w:val="none" w:sz="0" w:space="0" w:color="auto"/>
      </w:divBdr>
    </w:div>
    <w:div w:id="1046183000">
      <w:marLeft w:val="0"/>
      <w:marRight w:val="0"/>
      <w:marTop w:val="0"/>
      <w:marBottom w:val="0"/>
      <w:divBdr>
        <w:top w:val="none" w:sz="0" w:space="0" w:color="auto"/>
        <w:left w:val="none" w:sz="0" w:space="0" w:color="auto"/>
        <w:bottom w:val="none" w:sz="0" w:space="0" w:color="auto"/>
        <w:right w:val="none" w:sz="0" w:space="0" w:color="auto"/>
      </w:divBdr>
    </w:div>
    <w:div w:id="1047921347">
      <w:marLeft w:val="0"/>
      <w:marRight w:val="0"/>
      <w:marTop w:val="0"/>
      <w:marBottom w:val="0"/>
      <w:divBdr>
        <w:top w:val="none" w:sz="0" w:space="0" w:color="auto"/>
        <w:left w:val="none" w:sz="0" w:space="0" w:color="auto"/>
        <w:bottom w:val="none" w:sz="0" w:space="0" w:color="auto"/>
        <w:right w:val="none" w:sz="0" w:space="0" w:color="auto"/>
      </w:divBdr>
    </w:div>
    <w:div w:id="1047993645">
      <w:bodyDiv w:val="1"/>
      <w:marLeft w:val="0"/>
      <w:marRight w:val="0"/>
      <w:marTop w:val="0"/>
      <w:marBottom w:val="0"/>
      <w:divBdr>
        <w:top w:val="none" w:sz="0" w:space="0" w:color="auto"/>
        <w:left w:val="none" w:sz="0" w:space="0" w:color="auto"/>
        <w:bottom w:val="none" w:sz="0" w:space="0" w:color="auto"/>
        <w:right w:val="none" w:sz="0" w:space="0" w:color="auto"/>
      </w:divBdr>
    </w:div>
    <w:div w:id="1049113779">
      <w:bodyDiv w:val="1"/>
      <w:marLeft w:val="0"/>
      <w:marRight w:val="0"/>
      <w:marTop w:val="0"/>
      <w:marBottom w:val="0"/>
      <w:divBdr>
        <w:top w:val="none" w:sz="0" w:space="0" w:color="auto"/>
        <w:left w:val="none" w:sz="0" w:space="0" w:color="auto"/>
        <w:bottom w:val="none" w:sz="0" w:space="0" w:color="auto"/>
        <w:right w:val="none" w:sz="0" w:space="0" w:color="auto"/>
      </w:divBdr>
    </w:div>
    <w:div w:id="1053961766">
      <w:bodyDiv w:val="1"/>
      <w:marLeft w:val="0"/>
      <w:marRight w:val="0"/>
      <w:marTop w:val="0"/>
      <w:marBottom w:val="0"/>
      <w:divBdr>
        <w:top w:val="none" w:sz="0" w:space="0" w:color="auto"/>
        <w:left w:val="none" w:sz="0" w:space="0" w:color="auto"/>
        <w:bottom w:val="none" w:sz="0" w:space="0" w:color="auto"/>
        <w:right w:val="none" w:sz="0" w:space="0" w:color="auto"/>
      </w:divBdr>
    </w:div>
    <w:div w:id="1055393647">
      <w:bodyDiv w:val="1"/>
      <w:marLeft w:val="0"/>
      <w:marRight w:val="0"/>
      <w:marTop w:val="0"/>
      <w:marBottom w:val="0"/>
      <w:divBdr>
        <w:top w:val="none" w:sz="0" w:space="0" w:color="auto"/>
        <w:left w:val="none" w:sz="0" w:space="0" w:color="auto"/>
        <w:bottom w:val="none" w:sz="0" w:space="0" w:color="auto"/>
        <w:right w:val="none" w:sz="0" w:space="0" w:color="auto"/>
      </w:divBdr>
    </w:div>
    <w:div w:id="1055931359">
      <w:bodyDiv w:val="1"/>
      <w:marLeft w:val="0"/>
      <w:marRight w:val="0"/>
      <w:marTop w:val="0"/>
      <w:marBottom w:val="0"/>
      <w:divBdr>
        <w:top w:val="none" w:sz="0" w:space="0" w:color="auto"/>
        <w:left w:val="none" w:sz="0" w:space="0" w:color="auto"/>
        <w:bottom w:val="none" w:sz="0" w:space="0" w:color="auto"/>
        <w:right w:val="none" w:sz="0" w:space="0" w:color="auto"/>
      </w:divBdr>
    </w:div>
    <w:div w:id="1060397359">
      <w:bodyDiv w:val="1"/>
      <w:marLeft w:val="0"/>
      <w:marRight w:val="0"/>
      <w:marTop w:val="0"/>
      <w:marBottom w:val="0"/>
      <w:divBdr>
        <w:top w:val="none" w:sz="0" w:space="0" w:color="auto"/>
        <w:left w:val="none" w:sz="0" w:space="0" w:color="auto"/>
        <w:bottom w:val="none" w:sz="0" w:space="0" w:color="auto"/>
        <w:right w:val="none" w:sz="0" w:space="0" w:color="auto"/>
      </w:divBdr>
    </w:div>
    <w:div w:id="1060590410">
      <w:bodyDiv w:val="1"/>
      <w:marLeft w:val="0"/>
      <w:marRight w:val="0"/>
      <w:marTop w:val="0"/>
      <w:marBottom w:val="0"/>
      <w:divBdr>
        <w:top w:val="none" w:sz="0" w:space="0" w:color="auto"/>
        <w:left w:val="none" w:sz="0" w:space="0" w:color="auto"/>
        <w:bottom w:val="none" w:sz="0" w:space="0" w:color="auto"/>
        <w:right w:val="none" w:sz="0" w:space="0" w:color="auto"/>
      </w:divBdr>
    </w:div>
    <w:div w:id="1068303998">
      <w:bodyDiv w:val="1"/>
      <w:marLeft w:val="0"/>
      <w:marRight w:val="0"/>
      <w:marTop w:val="0"/>
      <w:marBottom w:val="0"/>
      <w:divBdr>
        <w:top w:val="none" w:sz="0" w:space="0" w:color="auto"/>
        <w:left w:val="none" w:sz="0" w:space="0" w:color="auto"/>
        <w:bottom w:val="none" w:sz="0" w:space="0" w:color="auto"/>
        <w:right w:val="none" w:sz="0" w:space="0" w:color="auto"/>
      </w:divBdr>
    </w:div>
    <w:div w:id="1076167130">
      <w:bodyDiv w:val="1"/>
      <w:marLeft w:val="0"/>
      <w:marRight w:val="0"/>
      <w:marTop w:val="0"/>
      <w:marBottom w:val="0"/>
      <w:divBdr>
        <w:top w:val="none" w:sz="0" w:space="0" w:color="auto"/>
        <w:left w:val="none" w:sz="0" w:space="0" w:color="auto"/>
        <w:bottom w:val="none" w:sz="0" w:space="0" w:color="auto"/>
        <w:right w:val="none" w:sz="0" w:space="0" w:color="auto"/>
      </w:divBdr>
    </w:div>
    <w:div w:id="1076517342">
      <w:marLeft w:val="0"/>
      <w:marRight w:val="0"/>
      <w:marTop w:val="0"/>
      <w:marBottom w:val="0"/>
      <w:divBdr>
        <w:top w:val="none" w:sz="0" w:space="0" w:color="auto"/>
        <w:left w:val="none" w:sz="0" w:space="0" w:color="auto"/>
        <w:bottom w:val="none" w:sz="0" w:space="0" w:color="auto"/>
        <w:right w:val="none" w:sz="0" w:space="0" w:color="auto"/>
      </w:divBdr>
    </w:div>
    <w:div w:id="1078554561">
      <w:bodyDiv w:val="1"/>
      <w:marLeft w:val="0"/>
      <w:marRight w:val="0"/>
      <w:marTop w:val="0"/>
      <w:marBottom w:val="0"/>
      <w:divBdr>
        <w:top w:val="none" w:sz="0" w:space="0" w:color="auto"/>
        <w:left w:val="none" w:sz="0" w:space="0" w:color="auto"/>
        <w:bottom w:val="none" w:sz="0" w:space="0" w:color="auto"/>
        <w:right w:val="none" w:sz="0" w:space="0" w:color="auto"/>
      </w:divBdr>
    </w:div>
    <w:div w:id="1080905070">
      <w:bodyDiv w:val="1"/>
      <w:marLeft w:val="0"/>
      <w:marRight w:val="0"/>
      <w:marTop w:val="0"/>
      <w:marBottom w:val="0"/>
      <w:divBdr>
        <w:top w:val="none" w:sz="0" w:space="0" w:color="auto"/>
        <w:left w:val="none" w:sz="0" w:space="0" w:color="auto"/>
        <w:bottom w:val="none" w:sz="0" w:space="0" w:color="auto"/>
        <w:right w:val="none" w:sz="0" w:space="0" w:color="auto"/>
      </w:divBdr>
    </w:div>
    <w:div w:id="1083255697">
      <w:bodyDiv w:val="1"/>
      <w:marLeft w:val="0"/>
      <w:marRight w:val="0"/>
      <w:marTop w:val="0"/>
      <w:marBottom w:val="0"/>
      <w:divBdr>
        <w:top w:val="none" w:sz="0" w:space="0" w:color="auto"/>
        <w:left w:val="none" w:sz="0" w:space="0" w:color="auto"/>
        <w:bottom w:val="none" w:sz="0" w:space="0" w:color="auto"/>
        <w:right w:val="none" w:sz="0" w:space="0" w:color="auto"/>
      </w:divBdr>
    </w:div>
    <w:div w:id="1084378213">
      <w:bodyDiv w:val="1"/>
      <w:marLeft w:val="0"/>
      <w:marRight w:val="0"/>
      <w:marTop w:val="0"/>
      <w:marBottom w:val="0"/>
      <w:divBdr>
        <w:top w:val="none" w:sz="0" w:space="0" w:color="auto"/>
        <w:left w:val="none" w:sz="0" w:space="0" w:color="auto"/>
        <w:bottom w:val="none" w:sz="0" w:space="0" w:color="auto"/>
        <w:right w:val="none" w:sz="0" w:space="0" w:color="auto"/>
      </w:divBdr>
    </w:div>
    <w:div w:id="1086850249">
      <w:marLeft w:val="0"/>
      <w:marRight w:val="0"/>
      <w:marTop w:val="0"/>
      <w:marBottom w:val="0"/>
      <w:divBdr>
        <w:top w:val="none" w:sz="0" w:space="0" w:color="auto"/>
        <w:left w:val="none" w:sz="0" w:space="0" w:color="auto"/>
        <w:bottom w:val="none" w:sz="0" w:space="0" w:color="auto"/>
        <w:right w:val="none" w:sz="0" w:space="0" w:color="auto"/>
      </w:divBdr>
    </w:div>
    <w:div w:id="1091394872">
      <w:bodyDiv w:val="1"/>
      <w:marLeft w:val="0"/>
      <w:marRight w:val="0"/>
      <w:marTop w:val="0"/>
      <w:marBottom w:val="0"/>
      <w:divBdr>
        <w:top w:val="none" w:sz="0" w:space="0" w:color="auto"/>
        <w:left w:val="none" w:sz="0" w:space="0" w:color="auto"/>
        <w:bottom w:val="none" w:sz="0" w:space="0" w:color="auto"/>
        <w:right w:val="none" w:sz="0" w:space="0" w:color="auto"/>
      </w:divBdr>
    </w:div>
    <w:div w:id="1095396594">
      <w:bodyDiv w:val="1"/>
      <w:marLeft w:val="0"/>
      <w:marRight w:val="0"/>
      <w:marTop w:val="0"/>
      <w:marBottom w:val="0"/>
      <w:divBdr>
        <w:top w:val="none" w:sz="0" w:space="0" w:color="auto"/>
        <w:left w:val="none" w:sz="0" w:space="0" w:color="auto"/>
        <w:bottom w:val="none" w:sz="0" w:space="0" w:color="auto"/>
        <w:right w:val="none" w:sz="0" w:space="0" w:color="auto"/>
      </w:divBdr>
    </w:div>
    <w:div w:id="1095592923">
      <w:marLeft w:val="0"/>
      <w:marRight w:val="0"/>
      <w:marTop w:val="0"/>
      <w:marBottom w:val="0"/>
      <w:divBdr>
        <w:top w:val="none" w:sz="0" w:space="0" w:color="auto"/>
        <w:left w:val="none" w:sz="0" w:space="0" w:color="auto"/>
        <w:bottom w:val="none" w:sz="0" w:space="0" w:color="auto"/>
        <w:right w:val="none" w:sz="0" w:space="0" w:color="auto"/>
      </w:divBdr>
    </w:div>
    <w:div w:id="1096097179">
      <w:bodyDiv w:val="1"/>
      <w:marLeft w:val="0"/>
      <w:marRight w:val="0"/>
      <w:marTop w:val="0"/>
      <w:marBottom w:val="0"/>
      <w:divBdr>
        <w:top w:val="none" w:sz="0" w:space="0" w:color="auto"/>
        <w:left w:val="none" w:sz="0" w:space="0" w:color="auto"/>
        <w:bottom w:val="none" w:sz="0" w:space="0" w:color="auto"/>
        <w:right w:val="none" w:sz="0" w:space="0" w:color="auto"/>
      </w:divBdr>
    </w:div>
    <w:div w:id="1098789475">
      <w:bodyDiv w:val="1"/>
      <w:marLeft w:val="0"/>
      <w:marRight w:val="0"/>
      <w:marTop w:val="0"/>
      <w:marBottom w:val="0"/>
      <w:divBdr>
        <w:top w:val="none" w:sz="0" w:space="0" w:color="auto"/>
        <w:left w:val="none" w:sz="0" w:space="0" w:color="auto"/>
        <w:bottom w:val="none" w:sz="0" w:space="0" w:color="auto"/>
        <w:right w:val="none" w:sz="0" w:space="0" w:color="auto"/>
      </w:divBdr>
    </w:div>
    <w:div w:id="1102456453">
      <w:bodyDiv w:val="1"/>
      <w:marLeft w:val="0"/>
      <w:marRight w:val="0"/>
      <w:marTop w:val="0"/>
      <w:marBottom w:val="0"/>
      <w:divBdr>
        <w:top w:val="none" w:sz="0" w:space="0" w:color="auto"/>
        <w:left w:val="none" w:sz="0" w:space="0" w:color="auto"/>
        <w:bottom w:val="none" w:sz="0" w:space="0" w:color="auto"/>
        <w:right w:val="none" w:sz="0" w:space="0" w:color="auto"/>
      </w:divBdr>
    </w:div>
    <w:div w:id="1107388542">
      <w:bodyDiv w:val="1"/>
      <w:marLeft w:val="0"/>
      <w:marRight w:val="0"/>
      <w:marTop w:val="0"/>
      <w:marBottom w:val="0"/>
      <w:divBdr>
        <w:top w:val="none" w:sz="0" w:space="0" w:color="auto"/>
        <w:left w:val="none" w:sz="0" w:space="0" w:color="auto"/>
        <w:bottom w:val="none" w:sz="0" w:space="0" w:color="auto"/>
        <w:right w:val="none" w:sz="0" w:space="0" w:color="auto"/>
      </w:divBdr>
    </w:div>
    <w:div w:id="1108045703">
      <w:bodyDiv w:val="1"/>
      <w:marLeft w:val="0"/>
      <w:marRight w:val="0"/>
      <w:marTop w:val="0"/>
      <w:marBottom w:val="0"/>
      <w:divBdr>
        <w:top w:val="none" w:sz="0" w:space="0" w:color="auto"/>
        <w:left w:val="none" w:sz="0" w:space="0" w:color="auto"/>
        <w:bottom w:val="none" w:sz="0" w:space="0" w:color="auto"/>
        <w:right w:val="none" w:sz="0" w:space="0" w:color="auto"/>
      </w:divBdr>
    </w:div>
    <w:div w:id="1108506321">
      <w:bodyDiv w:val="1"/>
      <w:marLeft w:val="0"/>
      <w:marRight w:val="0"/>
      <w:marTop w:val="0"/>
      <w:marBottom w:val="0"/>
      <w:divBdr>
        <w:top w:val="none" w:sz="0" w:space="0" w:color="auto"/>
        <w:left w:val="none" w:sz="0" w:space="0" w:color="auto"/>
        <w:bottom w:val="none" w:sz="0" w:space="0" w:color="auto"/>
        <w:right w:val="none" w:sz="0" w:space="0" w:color="auto"/>
      </w:divBdr>
    </w:div>
    <w:div w:id="1108694755">
      <w:bodyDiv w:val="1"/>
      <w:marLeft w:val="0"/>
      <w:marRight w:val="0"/>
      <w:marTop w:val="0"/>
      <w:marBottom w:val="0"/>
      <w:divBdr>
        <w:top w:val="none" w:sz="0" w:space="0" w:color="auto"/>
        <w:left w:val="none" w:sz="0" w:space="0" w:color="auto"/>
        <w:bottom w:val="none" w:sz="0" w:space="0" w:color="auto"/>
        <w:right w:val="none" w:sz="0" w:space="0" w:color="auto"/>
      </w:divBdr>
    </w:div>
    <w:div w:id="1109855532">
      <w:marLeft w:val="0"/>
      <w:marRight w:val="0"/>
      <w:marTop w:val="0"/>
      <w:marBottom w:val="0"/>
      <w:divBdr>
        <w:top w:val="none" w:sz="0" w:space="0" w:color="auto"/>
        <w:left w:val="none" w:sz="0" w:space="0" w:color="auto"/>
        <w:bottom w:val="none" w:sz="0" w:space="0" w:color="auto"/>
        <w:right w:val="none" w:sz="0" w:space="0" w:color="auto"/>
      </w:divBdr>
    </w:div>
    <w:div w:id="1113552482">
      <w:bodyDiv w:val="1"/>
      <w:marLeft w:val="0"/>
      <w:marRight w:val="0"/>
      <w:marTop w:val="0"/>
      <w:marBottom w:val="0"/>
      <w:divBdr>
        <w:top w:val="none" w:sz="0" w:space="0" w:color="auto"/>
        <w:left w:val="none" w:sz="0" w:space="0" w:color="auto"/>
        <w:bottom w:val="none" w:sz="0" w:space="0" w:color="auto"/>
        <w:right w:val="none" w:sz="0" w:space="0" w:color="auto"/>
      </w:divBdr>
    </w:div>
    <w:div w:id="1115565968">
      <w:bodyDiv w:val="1"/>
      <w:marLeft w:val="0"/>
      <w:marRight w:val="0"/>
      <w:marTop w:val="0"/>
      <w:marBottom w:val="0"/>
      <w:divBdr>
        <w:top w:val="none" w:sz="0" w:space="0" w:color="auto"/>
        <w:left w:val="none" w:sz="0" w:space="0" w:color="auto"/>
        <w:bottom w:val="none" w:sz="0" w:space="0" w:color="auto"/>
        <w:right w:val="none" w:sz="0" w:space="0" w:color="auto"/>
      </w:divBdr>
    </w:div>
    <w:div w:id="1115949834">
      <w:bodyDiv w:val="1"/>
      <w:marLeft w:val="0"/>
      <w:marRight w:val="0"/>
      <w:marTop w:val="0"/>
      <w:marBottom w:val="0"/>
      <w:divBdr>
        <w:top w:val="none" w:sz="0" w:space="0" w:color="auto"/>
        <w:left w:val="none" w:sz="0" w:space="0" w:color="auto"/>
        <w:bottom w:val="none" w:sz="0" w:space="0" w:color="auto"/>
        <w:right w:val="none" w:sz="0" w:space="0" w:color="auto"/>
      </w:divBdr>
    </w:div>
    <w:div w:id="1116100708">
      <w:bodyDiv w:val="1"/>
      <w:marLeft w:val="0"/>
      <w:marRight w:val="0"/>
      <w:marTop w:val="0"/>
      <w:marBottom w:val="0"/>
      <w:divBdr>
        <w:top w:val="none" w:sz="0" w:space="0" w:color="auto"/>
        <w:left w:val="none" w:sz="0" w:space="0" w:color="auto"/>
        <w:bottom w:val="none" w:sz="0" w:space="0" w:color="auto"/>
        <w:right w:val="none" w:sz="0" w:space="0" w:color="auto"/>
      </w:divBdr>
    </w:div>
    <w:div w:id="1118336124">
      <w:bodyDiv w:val="1"/>
      <w:marLeft w:val="0"/>
      <w:marRight w:val="0"/>
      <w:marTop w:val="0"/>
      <w:marBottom w:val="0"/>
      <w:divBdr>
        <w:top w:val="none" w:sz="0" w:space="0" w:color="auto"/>
        <w:left w:val="none" w:sz="0" w:space="0" w:color="auto"/>
        <w:bottom w:val="none" w:sz="0" w:space="0" w:color="auto"/>
        <w:right w:val="none" w:sz="0" w:space="0" w:color="auto"/>
      </w:divBdr>
    </w:div>
    <w:div w:id="1119295838">
      <w:bodyDiv w:val="1"/>
      <w:marLeft w:val="0"/>
      <w:marRight w:val="0"/>
      <w:marTop w:val="0"/>
      <w:marBottom w:val="0"/>
      <w:divBdr>
        <w:top w:val="none" w:sz="0" w:space="0" w:color="auto"/>
        <w:left w:val="none" w:sz="0" w:space="0" w:color="auto"/>
        <w:bottom w:val="none" w:sz="0" w:space="0" w:color="auto"/>
        <w:right w:val="none" w:sz="0" w:space="0" w:color="auto"/>
      </w:divBdr>
    </w:div>
    <w:div w:id="1121993077">
      <w:bodyDiv w:val="1"/>
      <w:marLeft w:val="0"/>
      <w:marRight w:val="0"/>
      <w:marTop w:val="0"/>
      <w:marBottom w:val="0"/>
      <w:divBdr>
        <w:top w:val="none" w:sz="0" w:space="0" w:color="auto"/>
        <w:left w:val="none" w:sz="0" w:space="0" w:color="auto"/>
        <w:bottom w:val="none" w:sz="0" w:space="0" w:color="auto"/>
        <w:right w:val="none" w:sz="0" w:space="0" w:color="auto"/>
      </w:divBdr>
    </w:div>
    <w:div w:id="1122697878">
      <w:bodyDiv w:val="1"/>
      <w:marLeft w:val="0"/>
      <w:marRight w:val="0"/>
      <w:marTop w:val="0"/>
      <w:marBottom w:val="0"/>
      <w:divBdr>
        <w:top w:val="none" w:sz="0" w:space="0" w:color="auto"/>
        <w:left w:val="none" w:sz="0" w:space="0" w:color="auto"/>
        <w:bottom w:val="none" w:sz="0" w:space="0" w:color="auto"/>
        <w:right w:val="none" w:sz="0" w:space="0" w:color="auto"/>
      </w:divBdr>
    </w:div>
    <w:div w:id="1125076524">
      <w:bodyDiv w:val="1"/>
      <w:marLeft w:val="0"/>
      <w:marRight w:val="0"/>
      <w:marTop w:val="0"/>
      <w:marBottom w:val="0"/>
      <w:divBdr>
        <w:top w:val="none" w:sz="0" w:space="0" w:color="auto"/>
        <w:left w:val="none" w:sz="0" w:space="0" w:color="auto"/>
        <w:bottom w:val="none" w:sz="0" w:space="0" w:color="auto"/>
        <w:right w:val="none" w:sz="0" w:space="0" w:color="auto"/>
      </w:divBdr>
    </w:div>
    <w:div w:id="1127046135">
      <w:bodyDiv w:val="1"/>
      <w:marLeft w:val="0"/>
      <w:marRight w:val="0"/>
      <w:marTop w:val="0"/>
      <w:marBottom w:val="0"/>
      <w:divBdr>
        <w:top w:val="none" w:sz="0" w:space="0" w:color="auto"/>
        <w:left w:val="none" w:sz="0" w:space="0" w:color="auto"/>
        <w:bottom w:val="none" w:sz="0" w:space="0" w:color="auto"/>
        <w:right w:val="none" w:sz="0" w:space="0" w:color="auto"/>
      </w:divBdr>
    </w:div>
    <w:div w:id="1129131149">
      <w:bodyDiv w:val="1"/>
      <w:marLeft w:val="0"/>
      <w:marRight w:val="0"/>
      <w:marTop w:val="0"/>
      <w:marBottom w:val="0"/>
      <w:divBdr>
        <w:top w:val="none" w:sz="0" w:space="0" w:color="auto"/>
        <w:left w:val="none" w:sz="0" w:space="0" w:color="auto"/>
        <w:bottom w:val="none" w:sz="0" w:space="0" w:color="auto"/>
        <w:right w:val="none" w:sz="0" w:space="0" w:color="auto"/>
      </w:divBdr>
    </w:div>
    <w:div w:id="1129711207">
      <w:marLeft w:val="0"/>
      <w:marRight w:val="0"/>
      <w:marTop w:val="0"/>
      <w:marBottom w:val="0"/>
      <w:divBdr>
        <w:top w:val="none" w:sz="0" w:space="0" w:color="auto"/>
        <w:left w:val="none" w:sz="0" w:space="0" w:color="auto"/>
        <w:bottom w:val="none" w:sz="0" w:space="0" w:color="auto"/>
        <w:right w:val="none" w:sz="0" w:space="0" w:color="auto"/>
      </w:divBdr>
    </w:div>
    <w:div w:id="1130048025">
      <w:bodyDiv w:val="1"/>
      <w:marLeft w:val="0"/>
      <w:marRight w:val="0"/>
      <w:marTop w:val="0"/>
      <w:marBottom w:val="0"/>
      <w:divBdr>
        <w:top w:val="none" w:sz="0" w:space="0" w:color="auto"/>
        <w:left w:val="none" w:sz="0" w:space="0" w:color="auto"/>
        <w:bottom w:val="none" w:sz="0" w:space="0" w:color="auto"/>
        <w:right w:val="none" w:sz="0" w:space="0" w:color="auto"/>
      </w:divBdr>
    </w:div>
    <w:div w:id="1131440828">
      <w:bodyDiv w:val="1"/>
      <w:marLeft w:val="0"/>
      <w:marRight w:val="0"/>
      <w:marTop w:val="0"/>
      <w:marBottom w:val="0"/>
      <w:divBdr>
        <w:top w:val="none" w:sz="0" w:space="0" w:color="auto"/>
        <w:left w:val="none" w:sz="0" w:space="0" w:color="auto"/>
        <w:bottom w:val="none" w:sz="0" w:space="0" w:color="auto"/>
        <w:right w:val="none" w:sz="0" w:space="0" w:color="auto"/>
      </w:divBdr>
    </w:div>
    <w:div w:id="1133324991">
      <w:marLeft w:val="0"/>
      <w:marRight w:val="0"/>
      <w:marTop w:val="0"/>
      <w:marBottom w:val="0"/>
      <w:divBdr>
        <w:top w:val="none" w:sz="0" w:space="0" w:color="auto"/>
        <w:left w:val="none" w:sz="0" w:space="0" w:color="auto"/>
        <w:bottom w:val="none" w:sz="0" w:space="0" w:color="auto"/>
        <w:right w:val="none" w:sz="0" w:space="0" w:color="auto"/>
      </w:divBdr>
    </w:div>
    <w:div w:id="1133327295">
      <w:bodyDiv w:val="1"/>
      <w:marLeft w:val="0"/>
      <w:marRight w:val="0"/>
      <w:marTop w:val="0"/>
      <w:marBottom w:val="0"/>
      <w:divBdr>
        <w:top w:val="none" w:sz="0" w:space="0" w:color="auto"/>
        <w:left w:val="none" w:sz="0" w:space="0" w:color="auto"/>
        <w:bottom w:val="none" w:sz="0" w:space="0" w:color="auto"/>
        <w:right w:val="none" w:sz="0" w:space="0" w:color="auto"/>
      </w:divBdr>
    </w:div>
    <w:div w:id="1134562599">
      <w:bodyDiv w:val="1"/>
      <w:marLeft w:val="0"/>
      <w:marRight w:val="0"/>
      <w:marTop w:val="0"/>
      <w:marBottom w:val="0"/>
      <w:divBdr>
        <w:top w:val="none" w:sz="0" w:space="0" w:color="auto"/>
        <w:left w:val="none" w:sz="0" w:space="0" w:color="auto"/>
        <w:bottom w:val="none" w:sz="0" w:space="0" w:color="auto"/>
        <w:right w:val="none" w:sz="0" w:space="0" w:color="auto"/>
      </w:divBdr>
    </w:div>
    <w:div w:id="1135220451">
      <w:bodyDiv w:val="1"/>
      <w:marLeft w:val="0"/>
      <w:marRight w:val="0"/>
      <w:marTop w:val="0"/>
      <w:marBottom w:val="0"/>
      <w:divBdr>
        <w:top w:val="none" w:sz="0" w:space="0" w:color="auto"/>
        <w:left w:val="none" w:sz="0" w:space="0" w:color="auto"/>
        <w:bottom w:val="none" w:sz="0" w:space="0" w:color="auto"/>
        <w:right w:val="none" w:sz="0" w:space="0" w:color="auto"/>
      </w:divBdr>
    </w:div>
    <w:div w:id="1139372418">
      <w:bodyDiv w:val="1"/>
      <w:marLeft w:val="0"/>
      <w:marRight w:val="0"/>
      <w:marTop w:val="0"/>
      <w:marBottom w:val="0"/>
      <w:divBdr>
        <w:top w:val="none" w:sz="0" w:space="0" w:color="auto"/>
        <w:left w:val="none" w:sz="0" w:space="0" w:color="auto"/>
        <w:bottom w:val="none" w:sz="0" w:space="0" w:color="auto"/>
        <w:right w:val="none" w:sz="0" w:space="0" w:color="auto"/>
      </w:divBdr>
    </w:div>
    <w:div w:id="1141923610">
      <w:bodyDiv w:val="1"/>
      <w:marLeft w:val="0"/>
      <w:marRight w:val="0"/>
      <w:marTop w:val="0"/>
      <w:marBottom w:val="0"/>
      <w:divBdr>
        <w:top w:val="none" w:sz="0" w:space="0" w:color="auto"/>
        <w:left w:val="none" w:sz="0" w:space="0" w:color="auto"/>
        <w:bottom w:val="none" w:sz="0" w:space="0" w:color="auto"/>
        <w:right w:val="none" w:sz="0" w:space="0" w:color="auto"/>
      </w:divBdr>
    </w:div>
    <w:div w:id="1146505843">
      <w:bodyDiv w:val="1"/>
      <w:marLeft w:val="0"/>
      <w:marRight w:val="0"/>
      <w:marTop w:val="0"/>
      <w:marBottom w:val="0"/>
      <w:divBdr>
        <w:top w:val="none" w:sz="0" w:space="0" w:color="auto"/>
        <w:left w:val="none" w:sz="0" w:space="0" w:color="auto"/>
        <w:bottom w:val="none" w:sz="0" w:space="0" w:color="auto"/>
        <w:right w:val="none" w:sz="0" w:space="0" w:color="auto"/>
      </w:divBdr>
    </w:div>
    <w:div w:id="1147668262">
      <w:bodyDiv w:val="1"/>
      <w:marLeft w:val="0"/>
      <w:marRight w:val="0"/>
      <w:marTop w:val="0"/>
      <w:marBottom w:val="0"/>
      <w:divBdr>
        <w:top w:val="none" w:sz="0" w:space="0" w:color="auto"/>
        <w:left w:val="none" w:sz="0" w:space="0" w:color="auto"/>
        <w:bottom w:val="none" w:sz="0" w:space="0" w:color="auto"/>
        <w:right w:val="none" w:sz="0" w:space="0" w:color="auto"/>
      </w:divBdr>
    </w:div>
    <w:div w:id="1151403842">
      <w:bodyDiv w:val="1"/>
      <w:marLeft w:val="0"/>
      <w:marRight w:val="0"/>
      <w:marTop w:val="0"/>
      <w:marBottom w:val="0"/>
      <w:divBdr>
        <w:top w:val="none" w:sz="0" w:space="0" w:color="auto"/>
        <w:left w:val="none" w:sz="0" w:space="0" w:color="auto"/>
        <w:bottom w:val="none" w:sz="0" w:space="0" w:color="auto"/>
        <w:right w:val="none" w:sz="0" w:space="0" w:color="auto"/>
      </w:divBdr>
    </w:div>
    <w:div w:id="1152064849">
      <w:bodyDiv w:val="1"/>
      <w:marLeft w:val="0"/>
      <w:marRight w:val="0"/>
      <w:marTop w:val="0"/>
      <w:marBottom w:val="0"/>
      <w:divBdr>
        <w:top w:val="none" w:sz="0" w:space="0" w:color="auto"/>
        <w:left w:val="none" w:sz="0" w:space="0" w:color="auto"/>
        <w:bottom w:val="none" w:sz="0" w:space="0" w:color="auto"/>
        <w:right w:val="none" w:sz="0" w:space="0" w:color="auto"/>
      </w:divBdr>
    </w:div>
    <w:div w:id="1155685547">
      <w:bodyDiv w:val="1"/>
      <w:marLeft w:val="0"/>
      <w:marRight w:val="0"/>
      <w:marTop w:val="0"/>
      <w:marBottom w:val="0"/>
      <w:divBdr>
        <w:top w:val="none" w:sz="0" w:space="0" w:color="auto"/>
        <w:left w:val="none" w:sz="0" w:space="0" w:color="auto"/>
        <w:bottom w:val="none" w:sz="0" w:space="0" w:color="auto"/>
        <w:right w:val="none" w:sz="0" w:space="0" w:color="auto"/>
      </w:divBdr>
    </w:div>
    <w:div w:id="1157765133">
      <w:bodyDiv w:val="1"/>
      <w:marLeft w:val="0"/>
      <w:marRight w:val="0"/>
      <w:marTop w:val="0"/>
      <w:marBottom w:val="0"/>
      <w:divBdr>
        <w:top w:val="none" w:sz="0" w:space="0" w:color="auto"/>
        <w:left w:val="none" w:sz="0" w:space="0" w:color="auto"/>
        <w:bottom w:val="none" w:sz="0" w:space="0" w:color="auto"/>
        <w:right w:val="none" w:sz="0" w:space="0" w:color="auto"/>
      </w:divBdr>
    </w:div>
    <w:div w:id="1161892342">
      <w:bodyDiv w:val="1"/>
      <w:marLeft w:val="0"/>
      <w:marRight w:val="0"/>
      <w:marTop w:val="0"/>
      <w:marBottom w:val="0"/>
      <w:divBdr>
        <w:top w:val="none" w:sz="0" w:space="0" w:color="auto"/>
        <w:left w:val="none" w:sz="0" w:space="0" w:color="auto"/>
        <w:bottom w:val="none" w:sz="0" w:space="0" w:color="auto"/>
        <w:right w:val="none" w:sz="0" w:space="0" w:color="auto"/>
      </w:divBdr>
    </w:div>
    <w:div w:id="1162431209">
      <w:bodyDiv w:val="1"/>
      <w:marLeft w:val="0"/>
      <w:marRight w:val="0"/>
      <w:marTop w:val="0"/>
      <w:marBottom w:val="0"/>
      <w:divBdr>
        <w:top w:val="none" w:sz="0" w:space="0" w:color="auto"/>
        <w:left w:val="none" w:sz="0" w:space="0" w:color="auto"/>
        <w:bottom w:val="none" w:sz="0" w:space="0" w:color="auto"/>
        <w:right w:val="none" w:sz="0" w:space="0" w:color="auto"/>
      </w:divBdr>
    </w:div>
    <w:div w:id="1162968391">
      <w:marLeft w:val="0"/>
      <w:marRight w:val="0"/>
      <w:marTop w:val="0"/>
      <w:marBottom w:val="0"/>
      <w:divBdr>
        <w:top w:val="none" w:sz="0" w:space="0" w:color="auto"/>
        <w:left w:val="none" w:sz="0" w:space="0" w:color="auto"/>
        <w:bottom w:val="none" w:sz="0" w:space="0" w:color="auto"/>
        <w:right w:val="none" w:sz="0" w:space="0" w:color="auto"/>
      </w:divBdr>
    </w:div>
    <w:div w:id="1163080059">
      <w:bodyDiv w:val="1"/>
      <w:marLeft w:val="0"/>
      <w:marRight w:val="0"/>
      <w:marTop w:val="0"/>
      <w:marBottom w:val="0"/>
      <w:divBdr>
        <w:top w:val="none" w:sz="0" w:space="0" w:color="auto"/>
        <w:left w:val="none" w:sz="0" w:space="0" w:color="auto"/>
        <w:bottom w:val="none" w:sz="0" w:space="0" w:color="auto"/>
        <w:right w:val="none" w:sz="0" w:space="0" w:color="auto"/>
      </w:divBdr>
    </w:div>
    <w:div w:id="1168011266">
      <w:bodyDiv w:val="1"/>
      <w:marLeft w:val="0"/>
      <w:marRight w:val="0"/>
      <w:marTop w:val="0"/>
      <w:marBottom w:val="0"/>
      <w:divBdr>
        <w:top w:val="none" w:sz="0" w:space="0" w:color="auto"/>
        <w:left w:val="none" w:sz="0" w:space="0" w:color="auto"/>
        <w:bottom w:val="none" w:sz="0" w:space="0" w:color="auto"/>
        <w:right w:val="none" w:sz="0" w:space="0" w:color="auto"/>
      </w:divBdr>
    </w:div>
    <w:div w:id="1168211148">
      <w:bodyDiv w:val="1"/>
      <w:marLeft w:val="0"/>
      <w:marRight w:val="0"/>
      <w:marTop w:val="0"/>
      <w:marBottom w:val="0"/>
      <w:divBdr>
        <w:top w:val="none" w:sz="0" w:space="0" w:color="auto"/>
        <w:left w:val="none" w:sz="0" w:space="0" w:color="auto"/>
        <w:bottom w:val="none" w:sz="0" w:space="0" w:color="auto"/>
        <w:right w:val="none" w:sz="0" w:space="0" w:color="auto"/>
      </w:divBdr>
    </w:div>
    <w:div w:id="1169752566">
      <w:bodyDiv w:val="1"/>
      <w:marLeft w:val="0"/>
      <w:marRight w:val="0"/>
      <w:marTop w:val="0"/>
      <w:marBottom w:val="0"/>
      <w:divBdr>
        <w:top w:val="none" w:sz="0" w:space="0" w:color="auto"/>
        <w:left w:val="none" w:sz="0" w:space="0" w:color="auto"/>
        <w:bottom w:val="none" w:sz="0" w:space="0" w:color="auto"/>
        <w:right w:val="none" w:sz="0" w:space="0" w:color="auto"/>
      </w:divBdr>
    </w:div>
    <w:div w:id="1172573083">
      <w:bodyDiv w:val="1"/>
      <w:marLeft w:val="0"/>
      <w:marRight w:val="0"/>
      <w:marTop w:val="0"/>
      <w:marBottom w:val="0"/>
      <w:divBdr>
        <w:top w:val="none" w:sz="0" w:space="0" w:color="auto"/>
        <w:left w:val="none" w:sz="0" w:space="0" w:color="auto"/>
        <w:bottom w:val="none" w:sz="0" w:space="0" w:color="auto"/>
        <w:right w:val="none" w:sz="0" w:space="0" w:color="auto"/>
      </w:divBdr>
    </w:div>
    <w:div w:id="1173227617">
      <w:bodyDiv w:val="1"/>
      <w:marLeft w:val="0"/>
      <w:marRight w:val="0"/>
      <w:marTop w:val="0"/>
      <w:marBottom w:val="0"/>
      <w:divBdr>
        <w:top w:val="none" w:sz="0" w:space="0" w:color="auto"/>
        <w:left w:val="none" w:sz="0" w:space="0" w:color="auto"/>
        <w:bottom w:val="none" w:sz="0" w:space="0" w:color="auto"/>
        <w:right w:val="none" w:sz="0" w:space="0" w:color="auto"/>
      </w:divBdr>
    </w:div>
    <w:div w:id="1174144459">
      <w:bodyDiv w:val="1"/>
      <w:marLeft w:val="0"/>
      <w:marRight w:val="0"/>
      <w:marTop w:val="0"/>
      <w:marBottom w:val="0"/>
      <w:divBdr>
        <w:top w:val="none" w:sz="0" w:space="0" w:color="auto"/>
        <w:left w:val="none" w:sz="0" w:space="0" w:color="auto"/>
        <w:bottom w:val="none" w:sz="0" w:space="0" w:color="auto"/>
        <w:right w:val="none" w:sz="0" w:space="0" w:color="auto"/>
      </w:divBdr>
    </w:div>
    <w:div w:id="1174228043">
      <w:bodyDiv w:val="1"/>
      <w:marLeft w:val="0"/>
      <w:marRight w:val="0"/>
      <w:marTop w:val="0"/>
      <w:marBottom w:val="0"/>
      <w:divBdr>
        <w:top w:val="none" w:sz="0" w:space="0" w:color="auto"/>
        <w:left w:val="none" w:sz="0" w:space="0" w:color="auto"/>
        <w:bottom w:val="none" w:sz="0" w:space="0" w:color="auto"/>
        <w:right w:val="none" w:sz="0" w:space="0" w:color="auto"/>
      </w:divBdr>
    </w:div>
    <w:div w:id="1174492906">
      <w:bodyDiv w:val="1"/>
      <w:marLeft w:val="0"/>
      <w:marRight w:val="0"/>
      <w:marTop w:val="0"/>
      <w:marBottom w:val="0"/>
      <w:divBdr>
        <w:top w:val="none" w:sz="0" w:space="0" w:color="auto"/>
        <w:left w:val="none" w:sz="0" w:space="0" w:color="auto"/>
        <w:bottom w:val="none" w:sz="0" w:space="0" w:color="auto"/>
        <w:right w:val="none" w:sz="0" w:space="0" w:color="auto"/>
      </w:divBdr>
    </w:div>
    <w:div w:id="1180386674">
      <w:bodyDiv w:val="1"/>
      <w:marLeft w:val="0"/>
      <w:marRight w:val="0"/>
      <w:marTop w:val="0"/>
      <w:marBottom w:val="0"/>
      <w:divBdr>
        <w:top w:val="none" w:sz="0" w:space="0" w:color="auto"/>
        <w:left w:val="none" w:sz="0" w:space="0" w:color="auto"/>
        <w:bottom w:val="none" w:sz="0" w:space="0" w:color="auto"/>
        <w:right w:val="none" w:sz="0" w:space="0" w:color="auto"/>
      </w:divBdr>
    </w:div>
    <w:div w:id="1182014961">
      <w:bodyDiv w:val="1"/>
      <w:marLeft w:val="0"/>
      <w:marRight w:val="0"/>
      <w:marTop w:val="0"/>
      <w:marBottom w:val="0"/>
      <w:divBdr>
        <w:top w:val="none" w:sz="0" w:space="0" w:color="auto"/>
        <w:left w:val="none" w:sz="0" w:space="0" w:color="auto"/>
        <w:bottom w:val="none" w:sz="0" w:space="0" w:color="auto"/>
        <w:right w:val="none" w:sz="0" w:space="0" w:color="auto"/>
      </w:divBdr>
    </w:div>
    <w:div w:id="1186793940">
      <w:bodyDiv w:val="1"/>
      <w:marLeft w:val="0"/>
      <w:marRight w:val="0"/>
      <w:marTop w:val="0"/>
      <w:marBottom w:val="0"/>
      <w:divBdr>
        <w:top w:val="none" w:sz="0" w:space="0" w:color="auto"/>
        <w:left w:val="none" w:sz="0" w:space="0" w:color="auto"/>
        <w:bottom w:val="none" w:sz="0" w:space="0" w:color="auto"/>
        <w:right w:val="none" w:sz="0" w:space="0" w:color="auto"/>
      </w:divBdr>
    </w:div>
    <w:div w:id="1189414025">
      <w:bodyDiv w:val="1"/>
      <w:marLeft w:val="0"/>
      <w:marRight w:val="0"/>
      <w:marTop w:val="0"/>
      <w:marBottom w:val="0"/>
      <w:divBdr>
        <w:top w:val="none" w:sz="0" w:space="0" w:color="auto"/>
        <w:left w:val="none" w:sz="0" w:space="0" w:color="auto"/>
        <w:bottom w:val="none" w:sz="0" w:space="0" w:color="auto"/>
        <w:right w:val="none" w:sz="0" w:space="0" w:color="auto"/>
      </w:divBdr>
    </w:div>
    <w:div w:id="1191455967">
      <w:bodyDiv w:val="1"/>
      <w:marLeft w:val="0"/>
      <w:marRight w:val="0"/>
      <w:marTop w:val="0"/>
      <w:marBottom w:val="0"/>
      <w:divBdr>
        <w:top w:val="none" w:sz="0" w:space="0" w:color="auto"/>
        <w:left w:val="none" w:sz="0" w:space="0" w:color="auto"/>
        <w:bottom w:val="none" w:sz="0" w:space="0" w:color="auto"/>
        <w:right w:val="none" w:sz="0" w:space="0" w:color="auto"/>
      </w:divBdr>
    </w:div>
    <w:div w:id="1191915960">
      <w:bodyDiv w:val="1"/>
      <w:marLeft w:val="0"/>
      <w:marRight w:val="0"/>
      <w:marTop w:val="0"/>
      <w:marBottom w:val="0"/>
      <w:divBdr>
        <w:top w:val="none" w:sz="0" w:space="0" w:color="auto"/>
        <w:left w:val="none" w:sz="0" w:space="0" w:color="auto"/>
        <w:bottom w:val="none" w:sz="0" w:space="0" w:color="auto"/>
        <w:right w:val="none" w:sz="0" w:space="0" w:color="auto"/>
      </w:divBdr>
    </w:div>
    <w:div w:id="1193032012">
      <w:marLeft w:val="0"/>
      <w:marRight w:val="0"/>
      <w:marTop w:val="0"/>
      <w:marBottom w:val="0"/>
      <w:divBdr>
        <w:top w:val="none" w:sz="0" w:space="0" w:color="auto"/>
        <w:left w:val="none" w:sz="0" w:space="0" w:color="auto"/>
        <w:bottom w:val="none" w:sz="0" w:space="0" w:color="auto"/>
        <w:right w:val="none" w:sz="0" w:space="0" w:color="auto"/>
      </w:divBdr>
    </w:div>
    <w:div w:id="1195507747">
      <w:bodyDiv w:val="1"/>
      <w:marLeft w:val="0"/>
      <w:marRight w:val="0"/>
      <w:marTop w:val="0"/>
      <w:marBottom w:val="0"/>
      <w:divBdr>
        <w:top w:val="none" w:sz="0" w:space="0" w:color="auto"/>
        <w:left w:val="none" w:sz="0" w:space="0" w:color="auto"/>
        <w:bottom w:val="none" w:sz="0" w:space="0" w:color="auto"/>
        <w:right w:val="none" w:sz="0" w:space="0" w:color="auto"/>
      </w:divBdr>
    </w:div>
    <w:div w:id="1195532146">
      <w:bodyDiv w:val="1"/>
      <w:marLeft w:val="0"/>
      <w:marRight w:val="0"/>
      <w:marTop w:val="0"/>
      <w:marBottom w:val="0"/>
      <w:divBdr>
        <w:top w:val="none" w:sz="0" w:space="0" w:color="auto"/>
        <w:left w:val="none" w:sz="0" w:space="0" w:color="auto"/>
        <w:bottom w:val="none" w:sz="0" w:space="0" w:color="auto"/>
        <w:right w:val="none" w:sz="0" w:space="0" w:color="auto"/>
      </w:divBdr>
    </w:div>
    <w:div w:id="1198351516">
      <w:bodyDiv w:val="1"/>
      <w:marLeft w:val="0"/>
      <w:marRight w:val="0"/>
      <w:marTop w:val="0"/>
      <w:marBottom w:val="0"/>
      <w:divBdr>
        <w:top w:val="none" w:sz="0" w:space="0" w:color="auto"/>
        <w:left w:val="none" w:sz="0" w:space="0" w:color="auto"/>
        <w:bottom w:val="none" w:sz="0" w:space="0" w:color="auto"/>
        <w:right w:val="none" w:sz="0" w:space="0" w:color="auto"/>
      </w:divBdr>
    </w:div>
    <w:div w:id="1199704789">
      <w:bodyDiv w:val="1"/>
      <w:marLeft w:val="0"/>
      <w:marRight w:val="0"/>
      <w:marTop w:val="0"/>
      <w:marBottom w:val="0"/>
      <w:divBdr>
        <w:top w:val="none" w:sz="0" w:space="0" w:color="auto"/>
        <w:left w:val="none" w:sz="0" w:space="0" w:color="auto"/>
        <w:bottom w:val="none" w:sz="0" w:space="0" w:color="auto"/>
        <w:right w:val="none" w:sz="0" w:space="0" w:color="auto"/>
      </w:divBdr>
    </w:div>
    <w:div w:id="1200584619">
      <w:bodyDiv w:val="1"/>
      <w:marLeft w:val="0"/>
      <w:marRight w:val="0"/>
      <w:marTop w:val="0"/>
      <w:marBottom w:val="0"/>
      <w:divBdr>
        <w:top w:val="none" w:sz="0" w:space="0" w:color="auto"/>
        <w:left w:val="none" w:sz="0" w:space="0" w:color="auto"/>
        <w:bottom w:val="none" w:sz="0" w:space="0" w:color="auto"/>
        <w:right w:val="none" w:sz="0" w:space="0" w:color="auto"/>
      </w:divBdr>
    </w:div>
    <w:div w:id="1205023569">
      <w:marLeft w:val="0"/>
      <w:marRight w:val="0"/>
      <w:marTop w:val="0"/>
      <w:marBottom w:val="0"/>
      <w:divBdr>
        <w:top w:val="none" w:sz="0" w:space="0" w:color="auto"/>
        <w:left w:val="none" w:sz="0" w:space="0" w:color="auto"/>
        <w:bottom w:val="none" w:sz="0" w:space="0" w:color="auto"/>
        <w:right w:val="none" w:sz="0" w:space="0" w:color="auto"/>
      </w:divBdr>
    </w:div>
    <w:div w:id="1206789689">
      <w:bodyDiv w:val="1"/>
      <w:marLeft w:val="0"/>
      <w:marRight w:val="0"/>
      <w:marTop w:val="0"/>
      <w:marBottom w:val="0"/>
      <w:divBdr>
        <w:top w:val="none" w:sz="0" w:space="0" w:color="auto"/>
        <w:left w:val="none" w:sz="0" w:space="0" w:color="auto"/>
        <w:bottom w:val="none" w:sz="0" w:space="0" w:color="auto"/>
        <w:right w:val="none" w:sz="0" w:space="0" w:color="auto"/>
      </w:divBdr>
    </w:div>
    <w:div w:id="1212613650">
      <w:bodyDiv w:val="1"/>
      <w:marLeft w:val="0"/>
      <w:marRight w:val="0"/>
      <w:marTop w:val="0"/>
      <w:marBottom w:val="0"/>
      <w:divBdr>
        <w:top w:val="none" w:sz="0" w:space="0" w:color="auto"/>
        <w:left w:val="none" w:sz="0" w:space="0" w:color="auto"/>
        <w:bottom w:val="none" w:sz="0" w:space="0" w:color="auto"/>
        <w:right w:val="none" w:sz="0" w:space="0" w:color="auto"/>
      </w:divBdr>
    </w:div>
    <w:div w:id="1213690410">
      <w:bodyDiv w:val="1"/>
      <w:marLeft w:val="0"/>
      <w:marRight w:val="0"/>
      <w:marTop w:val="0"/>
      <w:marBottom w:val="0"/>
      <w:divBdr>
        <w:top w:val="none" w:sz="0" w:space="0" w:color="auto"/>
        <w:left w:val="none" w:sz="0" w:space="0" w:color="auto"/>
        <w:bottom w:val="none" w:sz="0" w:space="0" w:color="auto"/>
        <w:right w:val="none" w:sz="0" w:space="0" w:color="auto"/>
      </w:divBdr>
    </w:div>
    <w:div w:id="1216694594">
      <w:bodyDiv w:val="1"/>
      <w:marLeft w:val="0"/>
      <w:marRight w:val="0"/>
      <w:marTop w:val="0"/>
      <w:marBottom w:val="0"/>
      <w:divBdr>
        <w:top w:val="none" w:sz="0" w:space="0" w:color="auto"/>
        <w:left w:val="none" w:sz="0" w:space="0" w:color="auto"/>
        <w:bottom w:val="none" w:sz="0" w:space="0" w:color="auto"/>
        <w:right w:val="none" w:sz="0" w:space="0" w:color="auto"/>
      </w:divBdr>
    </w:div>
    <w:div w:id="1218250236">
      <w:bodyDiv w:val="1"/>
      <w:marLeft w:val="0"/>
      <w:marRight w:val="0"/>
      <w:marTop w:val="0"/>
      <w:marBottom w:val="0"/>
      <w:divBdr>
        <w:top w:val="none" w:sz="0" w:space="0" w:color="auto"/>
        <w:left w:val="none" w:sz="0" w:space="0" w:color="auto"/>
        <w:bottom w:val="none" w:sz="0" w:space="0" w:color="auto"/>
        <w:right w:val="none" w:sz="0" w:space="0" w:color="auto"/>
      </w:divBdr>
    </w:div>
    <w:div w:id="1220089244">
      <w:bodyDiv w:val="1"/>
      <w:marLeft w:val="0"/>
      <w:marRight w:val="0"/>
      <w:marTop w:val="0"/>
      <w:marBottom w:val="0"/>
      <w:divBdr>
        <w:top w:val="none" w:sz="0" w:space="0" w:color="auto"/>
        <w:left w:val="none" w:sz="0" w:space="0" w:color="auto"/>
        <w:bottom w:val="none" w:sz="0" w:space="0" w:color="auto"/>
        <w:right w:val="none" w:sz="0" w:space="0" w:color="auto"/>
      </w:divBdr>
    </w:div>
    <w:div w:id="1220484549">
      <w:bodyDiv w:val="1"/>
      <w:marLeft w:val="0"/>
      <w:marRight w:val="0"/>
      <w:marTop w:val="0"/>
      <w:marBottom w:val="0"/>
      <w:divBdr>
        <w:top w:val="none" w:sz="0" w:space="0" w:color="auto"/>
        <w:left w:val="none" w:sz="0" w:space="0" w:color="auto"/>
        <w:bottom w:val="none" w:sz="0" w:space="0" w:color="auto"/>
        <w:right w:val="none" w:sz="0" w:space="0" w:color="auto"/>
      </w:divBdr>
    </w:div>
    <w:div w:id="1224290444">
      <w:bodyDiv w:val="1"/>
      <w:marLeft w:val="0"/>
      <w:marRight w:val="0"/>
      <w:marTop w:val="0"/>
      <w:marBottom w:val="0"/>
      <w:divBdr>
        <w:top w:val="none" w:sz="0" w:space="0" w:color="auto"/>
        <w:left w:val="none" w:sz="0" w:space="0" w:color="auto"/>
        <w:bottom w:val="none" w:sz="0" w:space="0" w:color="auto"/>
        <w:right w:val="none" w:sz="0" w:space="0" w:color="auto"/>
      </w:divBdr>
    </w:div>
    <w:div w:id="1226141540">
      <w:bodyDiv w:val="1"/>
      <w:marLeft w:val="0"/>
      <w:marRight w:val="0"/>
      <w:marTop w:val="0"/>
      <w:marBottom w:val="0"/>
      <w:divBdr>
        <w:top w:val="none" w:sz="0" w:space="0" w:color="auto"/>
        <w:left w:val="none" w:sz="0" w:space="0" w:color="auto"/>
        <w:bottom w:val="none" w:sz="0" w:space="0" w:color="auto"/>
        <w:right w:val="none" w:sz="0" w:space="0" w:color="auto"/>
      </w:divBdr>
    </w:div>
    <w:div w:id="1227111464">
      <w:bodyDiv w:val="1"/>
      <w:marLeft w:val="0"/>
      <w:marRight w:val="0"/>
      <w:marTop w:val="0"/>
      <w:marBottom w:val="0"/>
      <w:divBdr>
        <w:top w:val="none" w:sz="0" w:space="0" w:color="auto"/>
        <w:left w:val="none" w:sz="0" w:space="0" w:color="auto"/>
        <w:bottom w:val="none" w:sz="0" w:space="0" w:color="auto"/>
        <w:right w:val="none" w:sz="0" w:space="0" w:color="auto"/>
      </w:divBdr>
    </w:div>
    <w:div w:id="1229461062">
      <w:marLeft w:val="0"/>
      <w:marRight w:val="0"/>
      <w:marTop w:val="0"/>
      <w:marBottom w:val="0"/>
      <w:divBdr>
        <w:top w:val="none" w:sz="0" w:space="0" w:color="auto"/>
        <w:left w:val="none" w:sz="0" w:space="0" w:color="auto"/>
        <w:bottom w:val="none" w:sz="0" w:space="0" w:color="auto"/>
        <w:right w:val="none" w:sz="0" w:space="0" w:color="auto"/>
      </w:divBdr>
    </w:div>
    <w:div w:id="1230192686">
      <w:bodyDiv w:val="1"/>
      <w:marLeft w:val="0"/>
      <w:marRight w:val="0"/>
      <w:marTop w:val="0"/>
      <w:marBottom w:val="0"/>
      <w:divBdr>
        <w:top w:val="none" w:sz="0" w:space="0" w:color="auto"/>
        <w:left w:val="none" w:sz="0" w:space="0" w:color="auto"/>
        <w:bottom w:val="none" w:sz="0" w:space="0" w:color="auto"/>
        <w:right w:val="none" w:sz="0" w:space="0" w:color="auto"/>
      </w:divBdr>
    </w:div>
    <w:div w:id="1231112473">
      <w:bodyDiv w:val="1"/>
      <w:marLeft w:val="0"/>
      <w:marRight w:val="0"/>
      <w:marTop w:val="0"/>
      <w:marBottom w:val="0"/>
      <w:divBdr>
        <w:top w:val="none" w:sz="0" w:space="0" w:color="auto"/>
        <w:left w:val="none" w:sz="0" w:space="0" w:color="auto"/>
        <w:bottom w:val="none" w:sz="0" w:space="0" w:color="auto"/>
        <w:right w:val="none" w:sz="0" w:space="0" w:color="auto"/>
      </w:divBdr>
    </w:div>
    <w:div w:id="1233733985">
      <w:bodyDiv w:val="1"/>
      <w:marLeft w:val="0"/>
      <w:marRight w:val="0"/>
      <w:marTop w:val="0"/>
      <w:marBottom w:val="0"/>
      <w:divBdr>
        <w:top w:val="none" w:sz="0" w:space="0" w:color="auto"/>
        <w:left w:val="none" w:sz="0" w:space="0" w:color="auto"/>
        <w:bottom w:val="none" w:sz="0" w:space="0" w:color="auto"/>
        <w:right w:val="none" w:sz="0" w:space="0" w:color="auto"/>
      </w:divBdr>
    </w:div>
    <w:div w:id="1238051740">
      <w:bodyDiv w:val="1"/>
      <w:marLeft w:val="0"/>
      <w:marRight w:val="0"/>
      <w:marTop w:val="0"/>
      <w:marBottom w:val="0"/>
      <w:divBdr>
        <w:top w:val="none" w:sz="0" w:space="0" w:color="auto"/>
        <w:left w:val="none" w:sz="0" w:space="0" w:color="auto"/>
        <w:bottom w:val="none" w:sz="0" w:space="0" w:color="auto"/>
        <w:right w:val="none" w:sz="0" w:space="0" w:color="auto"/>
      </w:divBdr>
    </w:div>
    <w:div w:id="1241210320">
      <w:bodyDiv w:val="1"/>
      <w:marLeft w:val="0"/>
      <w:marRight w:val="0"/>
      <w:marTop w:val="0"/>
      <w:marBottom w:val="0"/>
      <w:divBdr>
        <w:top w:val="none" w:sz="0" w:space="0" w:color="auto"/>
        <w:left w:val="none" w:sz="0" w:space="0" w:color="auto"/>
        <w:bottom w:val="none" w:sz="0" w:space="0" w:color="auto"/>
        <w:right w:val="none" w:sz="0" w:space="0" w:color="auto"/>
      </w:divBdr>
      <w:divsChild>
        <w:div w:id="83721166">
          <w:marLeft w:val="0"/>
          <w:marRight w:val="0"/>
          <w:marTop w:val="0"/>
          <w:marBottom w:val="0"/>
          <w:divBdr>
            <w:top w:val="none" w:sz="0" w:space="0" w:color="auto"/>
            <w:left w:val="none" w:sz="0" w:space="0" w:color="auto"/>
            <w:bottom w:val="none" w:sz="0" w:space="0" w:color="auto"/>
            <w:right w:val="none" w:sz="0" w:space="0" w:color="auto"/>
          </w:divBdr>
          <w:divsChild>
            <w:div w:id="180626538">
              <w:marLeft w:val="0"/>
              <w:marRight w:val="0"/>
              <w:marTop w:val="0"/>
              <w:marBottom w:val="0"/>
              <w:divBdr>
                <w:top w:val="none" w:sz="0" w:space="0" w:color="auto"/>
                <w:left w:val="none" w:sz="0" w:space="0" w:color="auto"/>
                <w:bottom w:val="none" w:sz="0" w:space="0" w:color="auto"/>
                <w:right w:val="none" w:sz="0" w:space="0" w:color="auto"/>
              </w:divBdr>
              <w:divsChild>
                <w:div w:id="8207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83338">
      <w:bodyDiv w:val="1"/>
      <w:marLeft w:val="0"/>
      <w:marRight w:val="0"/>
      <w:marTop w:val="0"/>
      <w:marBottom w:val="0"/>
      <w:divBdr>
        <w:top w:val="none" w:sz="0" w:space="0" w:color="auto"/>
        <w:left w:val="none" w:sz="0" w:space="0" w:color="auto"/>
        <w:bottom w:val="none" w:sz="0" w:space="0" w:color="auto"/>
        <w:right w:val="none" w:sz="0" w:space="0" w:color="auto"/>
      </w:divBdr>
    </w:div>
    <w:div w:id="1248229573">
      <w:bodyDiv w:val="1"/>
      <w:marLeft w:val="0"/>
      <w:marRight w:val="0"/>
      <w:marTop w:val="0"/>
      <w:marBottom w:val="0"/>
      <w:divBdr>
        <w:top w:val="none" w:sz="0" w:space="0" w:color="auto"/>
        <w:left w:val="none" w:sz="0" w:space="0" w:color="auto"/>
        <w:bottom w:val="none" w:sz="0" w:space="0" w:color="auto"/>
        <w:right w:val="none" w:sz="0" w:space="0" w:color="auto"/>
      </w:divBdr>
    </w:div>
    <w:div w:id="1250046234">
      <w:bodyDiv w:val="1"/>
      <w:marLeft w:val="0"/>
      <w:marRight w:val="0"/>
      <w:marTop w:val="0"/>
      <w:marBottom w:val="0"/>
      <w:divBdr>
        <w:top w:val="none" w:sz="0" w:space="0" w:color="auto"/>
        <w:left w:val="none" w:sz="0" w:space="0" w:color="auto"/>
        <w:bottom w:val="none" w:sz="0" w:space="0" w:color="auto"/>
        <w:right w:val="none" w:sz="0" w:space="0" w:color="auto"/>
      </w:divBdr>
    </w:div>
    <w:div w:id="1254968800">
      <w:bodyDiv w:val="1"/>
      <w:marLeft w:val="0"/>
      <w:marRight w:val="0"/>
      <w:marTop w:val="0"/>
      <w:marBottom w:val="0"/>
      <w:divBdr>
        <w:top w:val="none" w:sz="0" w:space="0" w:color="auto"/>
        <w:left w:val="none" w:sz="0" w:space="0" w:color="auto"/>
        <w:bottom w:val="none" w:sz="0" w:space="0" w:color="auto"/>
        <w:right w:val="none" w:sz="0" w:space="0" w:color="auto"/>
      </w:divBdr>
    </w:div>
    <w:div w:id="1256092772">
      <w:bodyDiv w:val="1"/>
      <w:marLeft w:val="0"/>
      <w:marRight w:val="0"/>
      <w:marTop w:val="0"/>
      <w:marBottom w:val="0"/>
      <w:divBdr>
        <w:top w:val="none" w:sz="0" w:space="0" w:color="auto"/>
        <w:left w:val="none" w:sz="0" w:space="0" w:color="auto"/>
        <w:bottom w:val="none" w:sz="0" w:space="0" w:color="auto"/>
        <w:right w:val="none" w:sz="0" w:space="0" w:color="auto"/>
      </w:divBdr>
    </w:div>
    <w:div w:id="1258366129">
      <w:bodyDiv w:val="1"/>
      <w:marLeft w:val="0"/>
      <w:marRight w:val="0"/>
      <w:marTop w:val="0"/>
      <w:marBottom w:val="0"/>
      <w:divBdr>
        <w:top w:val="none" w:sz="0" w:space="0" w:color="auto"/>
        <w:left w:val="none" w:sz="0" w:space="0" w:color="auto"/>
        <w:bottom w:val="none" w:sz="0" w:space="0" w:color="auto"/>
        <w:right w:val="none" w:sz="0" w:space="0" w:color="auto"/>
      </w:divBdr>
    </w:div>
    <w:div w:id="1258829112">
      <w:bodyDiv w:val="1"/>
      <w:marLeft w:val="0"/>
      <w:marRight w:val="0"/>
      <w:marTop w:val="0"/>
      <w:marBottom w:val="0"/>
      <w:divBdr>
        <w:top w:val="none" w:sz="0" w:space="0" w:color="auto"/>
        <w:left w:val="none" w:sz="0" w:space="0" w:color="auto"/>
        <w:bottom w:val="none" w:sz="0" w:space="0" w:color="auto"/>
        <w:right w:val="none" w:sz="0" w:space="0" w:color="auto"/>
      </w:divBdr>
    </w:div>
    <w:div w:id="1268318789">
      <w:bodyDiv w:val="1"/>
      <w:marLeft w:val="0"/>
      <w:marRight w:val="0"/>
      <w:marTop w:val="0"/>
      <w:marBottom w:val="0"/>
      <w:divBdr>
        <w:top w:val="none" w:sz="0" w:space="0" w:color="auto"/>
        <w:left w:val="none" w:sz="0" w:space="0" w:color="auto"/>
        <w:bottom w:val="none" w:sz="0" w:space="0" w:color="auto"/>
        <w:right w:val="none" w:sz="0" w:space="0" w:color="auto"/>
      </w:divBdr>
    </w:div>
    <w:div w:id="1270965782">
      <w:bodyDiv w:val="1"/>
      <w:marLeft w:val="0"/>
      <w:marRight w:val="0"/>
      <w:marTop w:val="0"/>
      <w:marBottom w:val="0"/>
      <w:divBdr>
        <w:top w:val="none" w:sz="0" w:space="0" w:color="auto"/>
        <w:left w:val="none" w:sz="0" w:space="0" w:color="auto"/>
        <w:bottom w:val="none" w:sz="0" w:space="0" w:color="auto"/>
        <w:right w:val="none" w:sz="0" w:space="0" w:color="auto"/>
      </w:divBdr>
    </w:div>
    <w:div w:id="1272202751">
      <w:bodyDiv w:val="1"/>
      <w:marLeft w:val="0"/>
      <w:marRight w:val="0"/>
      <w:marTop w:val="0"/>
      <w:marBottom w:val="0"/>
      <w:divBdr>
        <w:top w:val="none" w:sz="0" w:space="0" w:color="auto"/>
        <w:left w:val="none" w:sz="0" w:space="0" w:color="auto"/>
        <w:bottom w:val="none" w:sz="0" w:space="0" w:color="auto"/>
        <w:right w:val="none" w:sz="0" w:space="0" w:color="auto"/>
      </w:divBdr>
    </w:div>
    <w:div w:id="1272472775">
      <w:bodyDiv w:val="1"/>
      <w:marLeft w:val="0"/>
      <w:marRight w:val="0"/>
      <w:marTop w:val="0"/>
      <w:marBottom w:val="0"/>
      <w:divBdr>
        <w:top w:val="none" w:sz="0" w:space="0" w:color="auto"/>
        <w:left w:val="none" w:sz="0" w:space="0" w:color="auto"/>
        <w:bottom w:val="none" w:sz="0" w:space="0" w:color="auto"/>
        <w:right w:val="none" w:sz="0" w:space="0" w:color="auto"/>
      </w:divBdr>
    </w:div>
    <w:div w:id="1278024989">
      <w:bodyDiv w:val="1"/>
      <w:marLeft w:val="0"/>
      <w:marRight w:val="0"/>
      <w:marTop w:val="0"/>
      <w:marBottom w:val="0"/>
      <w:divBdr>
        <w:top w:val="none" w:sz="0" w:space="0" w:color="auto"/>
        <w:left w:val="none" w:sz="0" w:space="0" w:color="auto"/>
        <w:bottom w:val="none" w:sz="0" w:space="0" w:color="auto"/>
        <w:right w:val="none" w:sz="0" w:space="0" w:color="auto"/>
      </w:divBdr>
    </w:div>
    <w:div w:id="1279142879">
      <w:marLeft w:val="0"/>
      <w:marRight w:val="0"/>
      <w:marTop w:val="0"/>
      <w:marBottom w:val="0"/>
      <w:divBdr>
        <w:top w:val="none" w:sz="0" w:space="0" w:color="auto"/>
        <w:left w:val="none" w:sz="0" w:space="0" w:color="auto"/>
        <w:bottom w:val="none" w:sz="0" w:space="0" w:color="auto"/>
        <w:right w:val="none" w:sz="0" w:space="0" w:color="auto"/>
      </w:divBdr>
    </w:div>
    <w:div w:id="1279292470">
      <w:bodyDiv w:val="1"/>
      <w:marLeft w:val="0"/>
      <w:marRight w:val="0"/>
      <w:marTop w:val="0"/>
      <w:marBottom w:val="0"/>
      <w:divBdr>
        <w:top w:val="none" w:sz="0" w:space="0" w:color="auto"/>
        <w:left w:val="none" w:sz="0" w:space="0" w:color="auto"/>
        <w:bottom w:val="none" w:sz="0" w:space="0" w:color="auto"/>
        <w:right w:val="none" w:sz="0" w:space="0" w:color="auto"/>
      </w:divBdr>
    </w:div>
    <w:div w:id="1283225355">
      <w:marLeft w:val="0"/>
      <w:marRight w:val="0"/>
      <w:marTop w:val="0"/>
      <w:marBottom w:val="0"/>
      <w:divBdr>
        <w:top w:val="none" w:sz="0" w:space="0" w:color="auto"/>
        <w:left w:val="none" w:sz="0" w:space="0" w:color="auto"/>
        <w:bottom w:val="none" w:sz="0" w:space="0" w:color="auto"/>
        <w:right w:val="none" w:sz="0" w:space="0" w:color="auto"/>
      </w:divBdr>
    </w:div>
    <w:div w:id="1288510356">
      <w:bodyDiv w:val="1"/>
      <w:marLeft w:val="0"/>
      <w:marRight w:val="0"/>
      <w:marTop w:val="0"/>
      <w:marBottom w:val="0"/>
      <w:divBdr>
        <w:top w:val="none" w:sz="0" w:space="0" w:color="auto"/>
        <w:left w:val="none" w:sz="0" w:space="0" w:color="auto"/>
        <w:bottom w:val="none" w:sz="0" w:space="0" w:color="auto"/>
        <w:right w:val="none" w:sz="0" w:space="0" w:color="auto"/>
      </w:divBdr>
    </w:div>
    <w:div w:id="1291008440">
      <w:bodyDiv w:val="1"/>
      <w:marLeft w:val="0"/>
      <w:marRight w:val="0"/>
      <w:marTop w:val="0"/>
      <w:marBottom w:val="0"/>
      <w:divBdr>
        <w:top w:val="none" w:sz="0" w:space="0" w:color="auto"/>
        <w:left w:val="none" w:sz="0" w:space="0" w:color="auto"/>
        <w:bottom w:val="none" w:sz="0" w:space="0" w:color="auto"/>
        <w:right w:val="none" w:sz="0" w:space="0" w:color="auto"/>
      </w:divBdr>
    </w:div>
    <w:div w:id="1292590355">
      <w:bodyDiv w:val="1"/>
      <w:marLeft w:val="0"/>
      <w:marRight w:val="0"/>
      <w:marTop w:val="0"/>
      <w:marBottom w:val="0"/>
      <w:divBdr>
        <w:top w:val="none" w:sz="0" w:space="0" w:color="auto"/>
        <w:left w:val="none" w:sz="0" w:space="0" w:color="auto"/>
        <w:bottom w:val="none" w:sz="0" w:space="0" w:color="auto"/>
        <w:right w:val="none" w:sz="0" w:space="0" w:color="auto"/>
      </w:divBdr>
    </w:div>
    <w:div w:id="1299414932">
      <w:bodyDiv w:val="1"/>
      <w:marLeft w:val="0"/>
      <w:marRight w:val="0"/>
      <w:marTop w:val="0"/>
      <w:marBottom w:val="0"/>
      <w:divBdr>
        <w:top w:val="none" w:sz="0" w:space="0" w:color="auto"/>
        <w:left w:val="none" w:sz="0" w:space="0" w:color="auto"/>
        <w:bottom w:val="none" w:sz="0" w:space="0" w:color="auto"/>
        <w:right w:val="none" w:sz="0" w:space="0" w:color="auto"/>
      </w:divBdr>
    </w:div>
    <w:div w:id="1301960221">
      <w:bodyDiv w:val="1"/>
      <w:marLeft w:val="0"/>
      <w:marRight w:val="0"/>
      <w:marTop w:val="0"/>
      <w:marBottom w:val="0"/>
      <w:divBdr>
        <w:top w:val="none" w:sz="0" w:space="0" w:color="auto"/>
        <w:left w:val="none" w:sz="0" w:space="0" w:color="auto"/>
        <w:bottom w:val="none" w:sz="0" w:space="0" w:color="auto"/>
        <w:right w:val="none" w:sz="0" w:space="0" w:color="auto"/>
      </w:divBdr>
    </w:div>
    <w:div w:id="1306278646">
      <w:marLeft w:val="0"/>
      <w:marRight w:val="0"/>
      <w:marTop w:val="0"/>
      <w:marBottom w:val="0"/>
      <w:divBdr>
        <w:top w:val="none" w:sz="0" w:space="0" w:color="auto"/>
        <w:left w:val="none" w:sz="0" w:space="0" w:color="auto"/>
        <w:bottom w:val="none" w:sz="0" w:space="0" w:color="auto"/>
        <w:right w:val="none" w:sz="0" w:space="0" w:color="auto"/>
      </w:divBdr>
    </w:div>
    <w:div w:id="1307247686">
      <w:bodyDiv w:val="1"/>
      <w:marLeft w:val="0"/>
      <w:marRight w:val="0"/>
      <w:marTop w:val="0"/>
      <w:marBottom w:val="0"/>
      <w:divBdr>
        <w:top w:val="none" w:sz="0" w:space="0" w:color="auto"/>
        <w:left w:val="none" w:sz="0" w:space="0" w:color="auto"/>
        <w:bottom w:val="none" w:sz="0" w:space="0" w:color="auto"/>
        <w:right w:val="none" w:sz="0" w:space="0" w:color="auto"/>
      </w:divBdr>
    </w:div>
    <w:div w:id="1307707074">
      <w:marLeft w:val="0"/>
      <w:marRight w:val="0"/>
      <w:marTop w:val="0"/>
      <w:marBottom w:val="0"/>
      <w:divBdr>
        <w:top w:val="none" w:sz="0" w:space="0" w:color="auto"/>
        <w:left w:val="none" w:sz="0" w:space="0" w:color="auto"/>
        <w:bottom w:val="none" w:sz="0" w:space="0" w:color="auto"/>
        <w:right w:val="none" w:sz="0" w:space="0" w:color="auto"/>
      </w:divBdr>
    </w:div>
    <w:div w:id="1309167120">
      <w:bodyDiv w:val="1"/>
      <w:marLeft w:val="0"/>
      <w:marRight w:val="0"/>
      <w:marTop w:val="0"/>
      <w:marBottom w:val="0"/>
      <w:divBdr>
        <w:top w:val="none" w:sz="0" w:space="0" w:color="auto"/>
        <w:left w:val="none" w:sz="0" w:space="0" w:color="auto"/>
        <w:bottom w:val="none" w:sz="0" w:space="0" w:color="auto"/>
        <w:right w:val="none" w:sz="0" w:space="0" w:color="auto"/>
      </w:divBdr>
    </w:div>
    <w:div w:id="1309555607">
      <w:bodyDiv w:val="1"/>
      <w:marLeft w:val="0"/>
      <w:marRight w:val="0"/>
      <w:marTop w:val="0"/>
      <w:marBottom w:val="0"/>
      <w:divBdr>
        <w:top w:val="none" w:sz="0" w:space="0" w:color="auto"/>
        <w:left w:val="none" w:sz="0" w:space="0" w:color="auto"/>
        <w:bottom w:val="none" w:sz="0" w:space="0" w:color="auto"/>
        <w:right w:val="none" w:sz="0" w:space="0" w:color="auto"/>
      </w:divBdr>
    </w:div>
    <w:div w:id="1310288250">
      <w:bodyDiv w:val="1"/>
      <w:marLeft w:val="0"/>
      <w:marRight w:val="0"/>
      <w:marTop w:val="0"/>
      <w:marBottom w:val="0"/>
      <w:divBdr>
        <w:top w:val="none" w:sz="0" w:space="0" w:color="auto"/>
        <w:left w:val="none" w:sz="0" w:space="0" w:color="auto"/>
        <w:bottom w:val="none" w:sz="0" w:space="0" w:color="auto"/>
        <w:right w:val="none" w:sz="0" w:space="0" w:color="auto"/>
      </w:divBdr>
    </w:div>
    <w:div w:id="1313750447">
      <w:bodyDiv w:val="1"/>
      <w:marLeft w:val="0"/>
      <w:marRight w:val="0"/>
      <w:marTop w:val="0"/>
      <w:marBottom w:val="0"/>
      <w:divBdr>
        <w:top w:val="none" w:sz="0" w:space="0" w:color="auto"/>
        <w:left w:val="none" w:sz="0" w:space="0" w:color="auto"/>
        <w:bottom w:val="none" w:sz="0" w:space="0" w:color="auto"/>
        <w:right w:val="none" w:sz="0" w:space="0" w:color="auto"/>
      </w:divBdr>
    </w:div>
    <w:div w:id="1315141488">
      <w:bodyDiv w:val="1"/>
      <w:marLeft w:val="0"/>
      <w:marRight w:val="0"/>
      <w:marTop w:val="0"/>
      <w:marBottom w:val="0"/>
      <w:divBdr>
        <w:top w:val="none" w:sz="0" w:space="0" w:color="auto"/>
        <w:left w:val="none" w:sz="0" w:space="0" w:color="auto"/>
        <w:bottom w:val="none" w:sz="0" w:space="0" w:color="auto"/>
        <w:right w:val="none" w:sz="0" w:space="0" w:color="auto"/>
      </w:divBdr>
    </w:div>
    <w:div w:id="1315259401">
      <w:bodyDiv w:val="1"/>
      <w:marLeft w:val="0"/>
      <w:marRight w:val="0"/>
      <w:marTop w:val="0"/>
      <w:marBottom w:val="0"/>
      <w:divBdr>
        <w:top w:val="none" w:sz="0" w:space="0" w:color="auto"/>
        <w:left w:val="none" w:sz="0" w:space="0" w:color="auto"/>
        <w:bottom w:val="none" w:sz="0" w:space="0" w:color="auto"/>
        <w:right w:val="none" w:sz="0" w:space="0" w:color="auto"/>
      </w:divBdr>
    </w:div>
    <w:div w:id="1315719711">
      <w:bodyDiv w:val="1"/>
      <w:marLeft w:val="0"/>
      <w:marRight w:val="0"/>
      <w:marTop w:val="0"/>
      <w:marBottom w:val="0"/>
      <w:divBdr>
        <w:top w:val="none" w:sz="0" w:space="0" w:color="auto"/>
        <w:left w:val="none" w:sz="0" w:space="0" w:color="auto"/>
        <w:bottom w:val="none" w:sz="0" w:space="0" w:color="auto"/>
        <w:right w:val="none" w:sz="0" w:space="0" w:color="auto"/>
      </w:divBdr>
    </w:div>
    <w:div w:id="1320110807">
      <w:bodyDiv w:val="1"/>
      <w:marLeft w:val="0"/>
      <w:marRight w:val="0"/>
      <w:marTop w:val="0"/>
      <w:marBottom w:val="0"/>
      <w:divBdr>
        <w:top w:val="none" w:sz="0" w:space="0" w:color="auto"/>
        <w:left w:val="none" w:sz="0" w:space="0" w:color="auto"/>
        <w:bottom w:val="none" w:sz="0" w:space="0" w:color="auto"/>
        <w:right w:val="none" w:sz="0" w:space="0" w:color="auto"/>
      </w:divBdr>
    </w:div>
    <w:div w:id="1322464325">
      <w:bodyDiv w:val="1"/>
      <w:marLeft w:val="0"/>
      <w:marRight w:val="0"/>
      <w:marTop w:val="0"/>
      <w:marBottom w:val="0"/>
      <w:divBdr>
        <w:top w:val="none" w:sz="0" w:space="0" w:color="auto"/>
        <w:left w:val="none" w:sz="0" w:space="0" w:color="auto"/>
        <w:bottom w:val="none" w:sz="0" w:space="0" w:color="auto"/>
        <w:right w:val="none" w:sz="0" w:space="0" w:color="auto"/>
      </w:divBdr>
    </w:div>
    <w:div w:id="1323121247">
      <w:bodyDiv w:val="1"/>
      <w:marLeft w:val="0"/>
      <w:marRight w:val="0"/>
      <w:marTop w:val="0"/>
      <w:marBottom w:val="0"/>
      <w:divBdr>
        <w:top w:val="none" w:sz="0" w:space="0" w:color="auto"/>
        <w:left w:val="none" w:sz="0" w:space="0" w:color="auto"/>
        <w:bottom w:val="none" w:sz="0" w:space="0" w:color="auto"/>
        <w:right w:val="none" w:sz="0" w:space="0" w:color="auto"/>
      </w:divBdr>
    </w:div>
    <w:div w:id="1324621322">
      <w:bodyDiv w:val="1"/>
      <w:marLeft w:val="0"/>
      <w:marRight w:val="0"/>
      <w:marTop w:val="0"/>
      <w:marBottom w:val="0"/>
      <w:divBdr>
        <w:top w:val="none" w:sz="0" w:space="0" w:color="auto"/>
        <w:left w:val="none" w:sz="0" w:space="0" w:color="auto"/>
        <w:bottom w:val="none" w:sz="0" w:space="0" w:color="auto"/>
        <w:right w:val="none" w:sz="0" w:space="0" w:color="auto"/>
      </w:divBdr>
    </w:div>
    <w:div w:id="1325087646">
      <w:bodyDiv w:val="1"/>
      <w:marLeft w:val="0"/>
      <w:marRight w:val="0"/>
      <w:marTop w:val="0"/>
      <w:marBottom w:val="0"/>
      <w:divBdr>
        <w:top w:val="none" w:sz="0" w:space="0" w:color="auto"/>
        <w:left w:val="none" w:sz="0" w:space="0" w:color="auto"/>
        <w:bottom w:val="none" w:sz="0" w:space="0" w:color="auto"/>
        <w:right w:val="none" w:sz="0" w:space="0" w:color="auto"/>
      </w:divBdr>
    </w:div>
    <w:div w:id="1325815176">
      <w:bodyDiv w:val="1"/>
      <w:marLeft w:val="0"/>
      <w:marRight w:val="0"/>
      <w:marTop w:val="0"/>
      <w:marBottom w:val="0"/>
      <w:divBdr>
        <w:top w:val="none" w:sz="0" w:space="0" w:color="auto"/>
        <w:left w:val="none" w:sz="0" w:space="0" w:color="auto"/>
        <w:bottom w:val="none" w:sz="0" w:space="0" w:color="auto"/>
        <w:right w:val="none" w:sz="0" w:space="0" w:color="auto"/>
      </w:divBdr>
    </w:div>
    <w:div w:id="1326015251">
      <w:bodyDiv w:val="1"/>
      <w:marLeft w:val="0"/>
      <w:marRight w:val="0"/>
      <w:marTop w:val="0"/>
      <w:marBottom w:val="0"/>
      <w:divBdr>
        <w:top w:val="none" w:sz="0" w:space="0" w:color="auto"/>
        <w:left w:val="none" w:sz="0" w:space="0" w:color="auto"/>
        <w:bottom w:val="none" w:sz="0" w:space="0" w:color="auto"/>
        <w:right w:val="none" w:sz="0" w:space="0" w:color="auto"/>
      </w:divBdr>
    </w:div>
    <w:div w:id="1328895891">
      <w:bodyDiv w:val="1"/>
      <w:marLeft w:val="0"/>
      <w:marRight w:val="0"/>
      <w:marTop w:val="0"/>
      <w:marBottom w:val="0"/>
      <w:divBdr>
        <w:top w:val="none" w:sz="0" w:space="0" w:color="auto"/>
        <w:left w:val="none" w:sz="0" w:space="0" w:color="auto"/>
        <w:bottom w:val="none" w:sz="0" w:space="0" w:color="auto"/>
        <w:right w:val="none" w:sz="0" w:space="0" w:color="auto"/>
      </w:divBdr>
    </w:div>
    <w:div w:id="1329482364">
      <w:marLeft w:val="0"/>
      <w:marRight w:val="0"/>
      <w:marTop w:val="0"/>
      <w:marBottom w:val="0"/>
      <w:divBdr>
        <w:top w:val="none" w:sz="0" w:space="0" w:color="auto"/>
        <w:left w:val="none" w:sz="0" w:space="0" w:color="auto"/>
        <w:bottom w:val="none" w:sz="0" w:space="0" w:color="auto"/>
        <w:right w:val="none" w:sz="0" w:space="0" w:color="auto"/>
      </w:divBdr>
    </w:div>
    <w:div w:id="1329744992">
      <w:bodyDiv w:val="1"/>
      <w:marLeft w:val="0"/>
      <w:marRight w:val="0"/>
      <w:marTop w:val="0"/>
      <w:marBottom w:val="0"/>
      <w:divBdr>
        <w:top w:val="none" w:sz="0" w:space="0" w:color="auto"/>
        <w:left w:val="none" w:sz="0" w:space="0" w:color="auto"/>
        <w:bottom w:val="none" w:sz="0" w:space="0" w:color="auto"/>
        <w:right w:val="none" w:sz="0" w:space="0" w:color="auto"/>
      </w:divBdr>
    </w:div>
    <w:div w:id="1331762318">
      <w:bodyDiv w:val="1"/>
      <w:marLeft w:val="0"/>
      <w:marRight w:val="0"/>
      <w:marTop w:val="0"/>
      <w:marBottom w:val="0"/>
      <w:divBdr>
        <w:top w:val="none" w:sz="0" w:space="0" w:color="auto"/>
        <w:left w:val="none" w:sz="0" w:space="0" w:color="auto"/>
        <w:bottom w:val="none" w:sz="0" w:space="0" w:color="auto"/>
        <w:right w:val="none" w:sz="0" w:space="0" w:color="auto"/>
      </w:divBdr>
    </w:div>
    <w:div w:id="1335836042">
      <w:bodyDiv w:val="1"/>
      <w:marLeft w:val="0"/>
      <w:marRight w:val="0"/>
      <w:marTop w:val="0"/>
      <w:marBottom w:val="0"/>
      <w:divBdr>
        <w:top w:val="none" w:sz="0" w:space="0" w:color="auto"/>
        <w:left w:val="none" w:sz="0" w:space="0" w:color="auto"/>
        <w:bottom w:val="none" w:sz="0" w:space="0" w:color="auto"/>
        <w:right w:val="none" w:sz="0" w:space="0" w:color="auto"/>
      </w:divBdr>
    </w:div>
    <w:div w:id="1336886634">
      <w:bodyDiv w:val="1"/>
      <w:marLeft w:val="0"/>
      <w:marRight w:val="0"/>
      <w:marTop w:val="0"/>
      <w:marBottom w:val="0"/>
      <w:divBdr>
        <w:top w:val="none" w:sz="0" w:space="0" w:color="auto"/>
        <w:left w:val="none" w:sz="0" w:space="0" w:color="auto"/>
        <w:bottom w:val="none" w:sz="0" w:space="0" w:color="auto"/>
        <w:right w:val="none" w:sz="0" w:space="0" w:color="auto"/>
      </w:divBdr>
    </w:div>
    <w:div w:id="1338313077">
      <w:bodyDiv w:val="1"/>
      <w:marLeft w:val="0"/>
      <w:marRight w:val="0"/>
      <w:marTop w:val="0"/>
      <w:marBottom w:val="0"/>
      <w:divBdr>
        <w:top w:val="none" w:sz="0" w:space="0" w:color="auto"/>
        <w:left w:val="none" w:sz="0" w:space="0" w:color="auto"/>
        <w:bottom w:val="none" w:sz="0" w:space="0" w:color="auto"/>
        <w:right w:val="none" w:sz="0" w:space="0" w:color="auto"/>
      </w:divBdr>
    </w:div>
    <w:div w:id="1340082309">
      <w:bodyDiv w:val="1"/>
      <w:marLeft w:val="0"/>
      <w:marRight w:val="0"/>
      <w:marTop w:val="0"/>
      <w:marBottom w:val="0"/>
      <w:divBdr>
        <w:top w:val="none" w:sz="0" w:space="0" w:color="auto"/>
        <w:left w:val="none" w:sz="0" w:space="0" w:color="auto"/>
        <w:bottom w:val="none" w:sz="0" w:space="0" w:color="auto"/>
        <w:right w:val="none" w:sz="0" w:space="0" w:color="auto"/>
      </w:divBdr>
    </w:div>
    <w:div w:id="1341548976">
      <w:bodyDiv w:val="1"/>
      <w:marLeft w:val="0"/>
      <w:marRight w:val="0"/>
      <w:marTop w:val="0"/>
      <w:marBottom w:val="0"/>
      <w:divBdr>
        <w:top w:val="none" w:sz="0" w:space="0" w:color="auto"/>
        <w:left w:val="none" w:sz="0" w:space="0" w:color="auto"/>
        <w:bottom w:val="none" w:sz="0" w:space="0" w:color="auto"/>
        <w:right w:val="none" w:sz="0" w:space="0" w:color="auto"/>
      </w:divBdr>
    </w:div>
    <w:div w:id="1344160704">
      <w:bodyDiv w:val="1"/>
      <w:marLeft w:val="0"/>
      <w:marRight w:val="0"/>
      <w:marTop w:val="0"/>
      <w:marBottom w:val="0"/>
      <w:divBdr>
        <w:top w:val="none" w:sz="0" w:space="0" w:color="auto"/>
        <w:left w:val="none" w:sz="0" w:space="0" w:color="auto"/>
        <w:bottom w:val="none" w:sz="0" w:space="0" w:color="auto"/>
        <w:right w:val="none" w:sz="0" w:space="0" w:color="auto"/>
      </w:divBdr>
    </w:div>
    <w:div w:id="1344284384">
      <w:bodyDiv w:val="1"/>
      <w:marLeft w:val="0"/>
      <w:marRight w:val="0"/>
      <w:marTop w:val="0"/>
      <w:marBottom w:val="0"/>
      <w:divBdr>
        <w:top w:val="none" w:sz="0" w:space="0" w:color="auto"/>
        <w:left w:val="none" w:sz="0" w:space="0" w:color="auto"/>
        <w:bottom w:val="none" w:sz="0" w:space="0" w:color="auto"/>
        <w:right w:val="none" w:sz="0" w:space="0" w:color="auto"/>
      </w:divBdr>
    </w:div>
    <w:div w:id="1345093138">
      <w:bodyDiv w:val="1"/>
      <w:marLeft w:val="0"/>
      <w:marRight w:val="0"/>
      <w:marTop w:val="0"/>
      <w:marBottom w:val="0"/>
      <w:divBdr>
        <w:top w:val="none" w:sz="0" w:space="0" w:color="auto"/>
        <w:left w:val="none" w:sz="0" w:space="0" w:color="auto"/>
        <w:bottom w:val="none" w:sz="0" w:space="0" w:color="auto"/>
        <w:right w:val="none" w:sz="0" w:space="0" w:color="auto"/>
      </w:divBdr>
    </w:div>
    <w:div w:id="1348290699">
      <w:bodyDiv w:val="1"/>
      <w:marLeft w:val="0"/>
      <w:marRight w:val="0"/>
      <w:marTop w:val="0"/>
      <w:marBottom w:val="0"/>
      <w:divBdr>
        <w:top w:val="none" w:sz="0" w:space="0" w:color="auto"/>
        <w:left w:val="none" w:sz="0" w:space="0" w:color="auto"/>
        <w:bottom w:val="none" w:sz="0" w:space="0" w:color="auto"/>
        <w:right w:val="none" w:sz="0" w:space="0" w:color="auto"/>
      </w:divBdr>
    </w:div>
    <w:div w:id="1352997871">
      <w:bodyDiv w:val="1"/>
      <w:marLeft w:val="0"/>
      <w:marRight w:val="0"/>
      <w:marTop w:val="0"/>
      <w:marBottom w:val="0"/>
      <w:divBdr>
        <w:top w:val="none" w:sz="0" w:space="0" w:color="auto"/>
        <w:left w:val="none" w:sz="0" w:space="0" w:color="auto"/>
        <w:bottom w:val="none" w:sz="0" w:space="0" w:color="auto"/>
        <w:right w:val="none" w:sz="0" w:space="0" w:color="auto"/>
      </w:divBdr>
    </w:div>
    <w:div w:id="1353070423">
      <w:bodyDiv w:val="1"/>
      <w:marLeft w:val="0"/>
      <w:marRight w:val="0"/>
      <w:marTop w:val="0"/>
      <w:marBottom w:val="0"/>
      <w:divBdr>
        <w:top w:val="none" w:sz="0" w:space="0" w:color="auto"/>
        <w:left w:val="none" w:sz="0" w:space="0" w:color="auto"/>
        <w:bottom w:val="none" w:sz="0" w:space="0" w:color="auto"/>
        <w:right w:val="none" w:sz="0" w:space="0" w:color="auto"/>
      </w:divBdr>
    </w:div>
    <w:div w:id="1354961577">
      <w:marLeft w:val="0"/>
      <w:marRight w:val="0"/>
      <w:marTop w:val="0"/>
      <w:marBottom w:val="0"/>
      <w:divBdr>
        <w:top w:val="none" w:sz="0" w:space="0" w:color="auto"/>
        <w:left w:val="none" w:sz="0" w:space="0" w:color="auto"/>
        <w:bottom w:val="none" w:sz="0" w:space="0" w:color="auto"/>
        <w:right w:val="none" w:sz="0" w:space="0" w:color="auto"/>
      </w:divBdr>
    </w:div>
    <w:div w:id="1355158340">
      <w:bodyDiv w:val="1"/>
      <w:marLeft w:val="0"/>
      <w:marRight w:val="0"/>
      <w:marTop w:val="0"/>
      <w:marBottom w:val="0"/>
      <w:divBdr>
        <w:top w:val="none" w:sz="0" w:space="0" w:color="auto"/>
        <w:left w:val="none" w:sz="0" w:space="0" w:color="auto"/>
        <w:bottom w:val="none" w:sz="0" w:space="0" w:color="auto"/>
        <w:right w:val="none" w:sz="0" w:space="0" w:color="auto"/>
      </w:divBdr>
    </w:div>
    <w:div w:id="1356807255">
      <w:bodyDiv w:val="1"/>
      <w:marLeft w:val="0"/>
      <w:marRight w:val="0"/>
      <w:marTop w:val="0"/>
      <w:marBottom w:val="0"/>
      <w:divBdr>
        <w:top w:val="none" w:sz="0" w:space="0" w:color="auto"/>
        <w:left w:val="none" w:sz="0" w:space="0" w:color="auto"/>
        <w:bottom w:val="none" w:sz="0" w:space="0" w:color="auto"/>
        <w:right w:val="none" w:sz="0" w:space="0" w:color="auto"/>
      </w:divBdr>
    </w:div>
    <w:div w:id="1358504920">
      <w:bodyDiv w:val="1"/>
      <w:marLeft w:val="0"/>
      <w:marRight w:val="0"/>
      <w:marTop w:val="0"/>
      <w:marBottom w:val="0"/>
      <w:divBdr>
        <w:top w:val="none" w:sz="0" w:space="0" w:color="auto"/>
        <w:left w:val="none" w:sz="0" w:space="0" w:color="auto"/>
        <w:bottom w:val="none" w:sz="0" w:space="0" w:color="auto"/>
        <w:right w:val="none" w:sz="0" w:space="0" w:color="auto"/>
      </w:divBdr>
    </w:div>
    <w:div w:id="1361127182">
      <w:bodyDiv w:val="1"/>
      <w:marLeft w:val="0"/>
      <w:marRight w:val="0"/>
      <w:marTop w:val="0"/>
      <w:marBottom w:val="0"/>
      <w:divBdr>
        <w:top w:val="none" w:sz="0" w:space="0" w:color="auto"/>
        <w:left w:val="none" w:sz="0" w:space="0" w:color="auto"/>
        <w:bottom w:val="none" w:sz="0" w:space="0" w:color="auto"/>
        <w:right w:val="none" w:sz="0" w:space="0" w:color="auto"/>
      </w:divBdr>
    </w:div>
    <w:div w:id="1369454685">
      <w:bodyDiv w:val="1"/>
      <w:marLeft w:val="0"/>
      <w:marRight w:val="0"/>
      <w:marTop w:val="0"/>
      <w:marBottom w:val="0"/>
      <w:divBdr>
        <w:top w:val="none" w:sz="0" w:space="0" w:color="auto"/>
        <w:left w:val="none" w:sz="0" w:space="0" w:color="auto"/>
        <w:bottom w:val="none" w:sz="0" w:space="0" w:color="auto"/>
        <w:right w:val="none" w:sz="0" w:space="0" w:color="auto"/>
      </w:divBdr>
    </w:div>
    <w:div w:id="1372340851">
      <w:bodyDiv w:val="1"/>
      <w:marLeft w:val="0"/>
      <w:marRight w:val="0"/>
      <w:marTop w:val="0"/>
      <w:marBottom w:val="0"/>
      <w:divBdr>
        <w:top w:val="none" w:sz="0" w:space="0" w:color="auto"/>
        <w:left w:val="none" w:sz="0" w:space="0" w:color="auto"/>
        <w:bottom w:val="none" w:sz="0" w:space="0" w:color="auto"/>
        <w:right w:val="none" w:sz="0" w:space="0" w:color="auto"/>
      </w:divBdr>
    </w:div>
    <w:div w:id="1372606983">
      <w:bodyDiv w:val="1"/>
      <w:marLeft w:val="0"/>
      <w:marRight w:val="0"/>
      <w:marTop w:val="0"/>
      <w:marBottom w:val="0"/>
      <w:divBdr>
        <w:top w:val="none" w:sz="0" w:space="0" w:color="auto"/>
        <w:left w:val="none" w:sz="0" w:space="0" w:color="auto"/>
        <w:bottom w:val="none" w:sz="0" w:space="0" w:color="auto"/>
        <w:right w:val="none" w:sz="0" w:space="0" w:color="auto"/>
      </w:divBdr>
    </w:div>
    <w:div w:id="1374236527">
      <w:bodyDiv w:val="1"/>
      <w:marLeft w:val="0"/>
      <w:marRight w:val="0"/>
      <w:marTop w:val="0"/>
      <w:marBottom w:val="0"/>
      <w:divBdr>
        <w:top w:val="none" w:sz="0" w:space="0" w:color="auto"/>
        <w:left w:val="none" w:sz="0" w:space="0" w:color="auto"/>
        <w:bottom w:val="none" w:sz="0" w:space="0" w:color="auto"/>
        <w:right w:val="none" w:sz="0" w:space="0" w:color="auto"/>
      </w:divBdr>
    </w:div>
    <w:div w:id="1375232801">
      <w:bodyDiv w:val="1"/>
      <w:marLeft w:val="0"/>
      <w:marRight w:val="0"/>
      <w:marTop w:val="0"/>
      <w:marBottom w:val="0"/>
      <w:divBdr>
        <w:top w:val="none" w:sz="0" w:space="0" w:color="auto"/>
        <w:left w:val="none" w:sz="0" w:space="0" w:color="auto"/>
        <w:bottom w:val="none" w:sz="0" w:space="0" w:color="auto"/>
        <w:right w:val="none" w:sz="0" w:space="0" w:color="auto"/>
      </w:divBdr>
    </w:div>
    <w:div w:id="1380401781">
      <w:bodyDiv w:val="1"/>
      <w:marLeft w:val="0"/>
      <w:marRight w:val="0"/>
      <w:marTop w:val="0"/>
      <w:marBottom w:val="0"/>
      <w:divBdr>
        <w:top w:val="none" w:sz="0" w:space="0" w:color="auto"/>
        <w:left w:val="none" w:sz="0" w:space="0" w:color="auto"/>
        <w:bottom w:val="none" w:sz="0" w:space="0" w:color="auto"/>
        <w:right w:val="none" w:sz="0" w:space="0" w:color="auto"/>
      </w:divBdr>
    </w:div>
    <w:div w:id="1383285747">
      <w:bodyDiv w:val="1"/>
      <w:marLeft w:val="0"/>
      <w:marRight w:val="0"/>
      <w:marTop w:val="0"/>
      <w:marBottom w:val="0"/>
      <w:divBdr>
        <w:top w:val="none" w:sz="0" w:space="0" w:color="auto"/>
        <w:left w:val="none" w:sz="0" w:space="0" w:color="auto"/>
        <w:bottom w:val="none" w:sz="0" w:space="0" w:color="auto"/>
        <w:right w:val="none" w:sz="0" w:space="0" w:color="auto"/>
      </w:divBdr>
    </w:div>
    <w:div w:id="1383679495">
      <w:marLeft w:val="0"/>
      <w:marRight w:val="0"/>
      <w:marTop w:val="0"/>
      <w:marBottom w:val="0"/>
      <w:divBdr>
        <w:top w:val="none" w:sz="0" w:space="0" w:color="auto"/>
        <w:left w:val="none" w:sz="0" w:space="0" w:color="auto"/>
        <w:bottom w:val="none" w:sz="0" w:space="0" w:color="auto"/>
        <w:right w:val="none" w:sz="0" w:space="0" w:color="auto"/>
      </w:divBdr>
    </w:div>
    <w:div w:id="1388920773">
      <w:bodyDiv w:val="1"/>
      <w:marLeft w:val="0"/>
      <w:marRight w:val="0"/>
      <w:marTop w:val="0"/>
      <w:marBottom w:val="0"/>
      <w:divBdr>
        <w:top w:val="none" w:sz="0" w:space="0" w:color="auto"/>
        <w:left w:val="none" w:sz="0" w:space="0" w:color="auto"/>
        <w:bottom w:val="none" w:sz="0" w:space="0" w:color="auto"/>
        <w:right w:val="none" w:sz="0" w:space="0" w:color="auto"/>
      </w:divBdr>
    </w:div>
    <w:div w:id="1391268416">
      <w:bodyDiv w:val="1"/>
      <w:marLeft w:val="0"/>
      <w:marRight w:val="0"/>
      <w:marTop w:val="0"/>
      <w:marBottom w:val="0"/>
      <w:divBdr>
        <w:top w:val="none" w:sz="0" w:space="0" w:color="auto"/>
        <w:left w:val="none" w:sz="0" w:space="0" w:color="auto"/>
        <w:bottom w:val="none" w:sz="0" w:space="0" w:color="auto"/>
        <w:right w:val="none" w:sz="0" w:space="0" w:color="auto"/>
      </w:divBdr>
    </w:div>
    <w:div w:id="1391463650">
      <w:bodyDiv w:val="1"/>
      <w:marLeft w:val="0"/>
      <w:marRight w:val="0"/>
      <w:marTop w:val="0"/>
      <w:marBottom w:val="0"/>
      <w:divBdr>
        <w:top w:val="none" w:sz="0" w:space="0" w:color="auto"/>
        <w:left w:val="none" w:sz="0" w:space="0" w:color="auto"/>
        <w:bottom w:val="none" w:sz="0" w:space="0" w:color="auto"/>
        <w:right w:val="none" w:sz="0" w:space="0" w:color="auto"/>
      </w:divBdr>
    </w:div>
    <w:div w:id="1395934530">
      <w:bodyDiv w:val="1"/>
      <w:marLeft w:val="0"/>
      <w:marRight w:val="0"/>
      <w:marTop w:val="0"/>
      <w:marBottom w:val="0"/>
      <w:divBdr>
        <w:top w:val="none" w:sz="0" w:space="0" w:color="auto"/>
        <w:left w:val="none" w:sz="0" w:space="0" w:color="auto"/>
        <w:bottom w:val="none" w:sz="0" w:space="0" w:color="auto"/>
        <w:right w:val="none" w:sz="0" w:space="0" w:color="auto"/>
      </w:divBdr>
    </w:div>
    <w:div w:id="1397511723">
      <w:bodyDiv w:val="1"/>
      <w:marLeft w:val="0"/>
      <w:marRight w:val="0"/>
      <w:marTop w:val="0"/>
      <w:marBottom w:val="0"/>
      <w:divBdr>
        <w:top w:val="none" w:sz="0" w:space="0" w:color="auto"/>
        <w:left w:val="none" w:sz="0" w:space="0" w:color="auto"/>
        <w:bottom w:val="none" w:sz="0" w:space="0" w:color="auto"/>
        <w:right w:val="none" w:sz="0" w:space="0" w:color="auto"/>
      </w:divBdr>
    </w:div>
    <w:div w:id="1401752374">
      <w:bodyDiv w:val="1"/>
      <w:marLeft w:val="0"/>
      <w:marRight w:val="0"/>
      <w:marTop w:val="0"/>
      <w:marBottom w:val="0"/>
      <w:divBdr>
        <w:top w:val="none" w:sz="0" w:space="0" w:color="auto"/>
        <w:left w:val="none" w:sz="0" w:space="0" w:color="auto"/>
        <w:bottom w:val="none" w:sz="0" w:space="0" w:color="auto"/>
        <w:right w:val="none" w:sz="0" w:space="0" w:color="auto"/>
      </w:divBdr>
    </w:div>
    <w:div w:id="1401753678">
      <w:bodyDiv w:val="1"/>
      <w:marLeft w:val="0"/>
      <w:marRight w:val="0"/>
      <w:marTop w:val="0"/>
      <w:marBottom w:val="0"/>
      <w:divBdr>
        <w:top w:val="none" w:sz="0" w:space="0" w:color="auto"/>
        <w:left w:val="none" w:sz="0" w:space="0" w:color="auto"/>
        <w:bottom w:val="none" w:sz="0" w:space="0" w:color="auto"/>
        <w:right w:val="none" w:sz="0" w:space="0" w:color="auto"/>
      </w:divBdr>
    </w:div>
    <w:div w:id="1402093648">
      <w:bodyDiv w:val="1"/>
      <w:marLeft w:val="0"/>
      <w:marRight w:val="0"/>
      <w:marTop w:val="0"/>
      <w:marBottom w:val="0"/>
      <w:divBdr>
        <w:top w:val="none" w:sz="0" w:space="0" w:color="auto"/>
        <w:left w:val="none" w:sz="0" w:space="0" w:color="auto"/>
        <w:bottom w:val="none" w:sz="0" w:space="0" w:color="auto"/>
        <w:right w:val="none" w:sz="0" w:space="0" w:color="auto"/>
      </w:divBdr>
    </w:div>
    <w:div w:id="1402756325">
      <w:bodyDiv w:val="1"/>
      <w:marLeft w:val="0"/>
      <w:marRight w:val="0"/>
      <w:marTop w:val="0"/>
      <w:marBottom w:val="0"/>
      <w:divBdr>
        <w:top w:val="none" w:sz="0" w:space="0" w:color="auto"/>
        <w:left w:val="none" w:sz="0" w:space="0" w:color="auto"/>
        <w:bottom w:val="none" w:sz="0" w:space="0" w:color="auto"/>
        <w:right w:val="none" w:sz="0" w:space="0" w:color="auto"/>
      </w:divBdr>
    </w:div>
    <w:div w:id="1402827425">
      <w:bodyDiv w:val="1"/>
      <w:marLeft w:val="0"/>
      <w:marRight w:val="0"/>
      <w:marTop w:val="0"/>
      <w:marBottom w:val="0"/>
      <w:divBdr>
        <w:top w:val="none" w:sz="0" w:space="0" w:color="auto"/>
        <w:left w:val="none" w:sz="0" w:space="0" w:color="auto"/>
        <w:bottom w:val="none" w:sz="0" w:space="0" w:color="auto"/>
        <w:right w:val="none" w:sz="0" w:space="0" w:color="auto"/>
      </w:divBdr>
    </w:div>
    <w:div w:id="1406107587">
      <w:bodyDiv w:val="1"/>
      <w:marLeft w:val="0"/>
      <w:marRight w:val="0"/>
      <w:marTop w:val="0"/>
      <w:marBottom w:val="0"/>
      <w:divBdr>
        <w:top w:val="none" w:sz="0" w:space="0" w:color="auto"/>
        <w:left w:val="none" w:sz="0" w:space="0" w:color="auto"/>
        <w:bottom w:val="none" w:sz="0" w:space="0" w:color="auto"/>
        <w:right w:val="none" w:sz="0" w:space="0" w:color="auto"/>
      </w:divBdr>
    </w:div>
    <w:div w:id="1406147511">
      <w:marLeft w:val="0"/>
      <w:marRight w:val="0"/>
      <w:marTop w:val="0"/>
      <w:marBottom w:val="0"/>
      <w:divBdr>
        <w:top w:val="none" w:sz="0" w:space="0" w:color="auto"/>
        <w:left w:val="none" w:sz="0" w:space="0" w:color="auto"/>
        <w:bottom w:val="none" w:sz="0" w:space="0" w:color="auto"/>
        <w:right w:val="none" w:sz="0" w:space="0" w:color="auto"/>
      </w:divBdr>
    </w:div>
    <w:div w:id="1407268993">
      <w:bodyDiv w:val="1"/>
      <w:marLeft w:val="0"/>
      <w:marRight w:val="0"/>
      <w:marTop w:val="0"/>
      <w:marBottom w:val="0"/>
      <w:divBdr>
        <w:top w:val="none" w:sz="0" w:space="0" w:color="auto"/>
        <w:left w:val="none" w:sz="0" w:space="0" w:color="auto"/>
        <w:bottom w:val="none" w:sz="0" w:space="0" w:color="auto"/>
        <w:right w:val="none" w:sz="0" w:space="0" w:color="auto"/>
      </w:divBdr>
    </w:div>
    <w:div w:id="1408073267">
      <w:bodyDiv w:val="1"/>
      <w:marLeft w:val="0"/>
      <w:marRight w:val="0"/>
      <w:marTop w:val="0"/>
      <w:marBottom w:val="0"/>
      <w:divBdr>
        <w:top w:val="none" w:sz="0" w:space="0" w:color="auto"/>
        <w:left w:val="none" w:sz="0" w:space="0" w:color="auto"/>
        <w:bottom w:val="none" w:sz="0" w:space="0" w:color="auto"/>
        <w:right w:val="none" w:sz="0" w:space="0" w:color="auto"/>
      </w:divBdr>
    </w:div>
    <w:div w:id="1408653265">
      <w:bodyDiv w:val="1"/>
      <w:marLeft w:val="0"/>
      <w:marRight w:val="0"/>
      <w:marTop w:val="0"/>
      <w:marBottom w:val="0"/>
      <w:divBdr>
        <w:top w:val="none" w:sz="0" w:space="0" w:color="auto"/>
        <w:left w:val="none" w:sz="0" w:space="0" w:color="auto"/>
        <w:bottom w:val="none" w:sz="0" w:space="0" w:color="auto"/>
        <w:right w:val="none" w:sz="0" w:space="0" w:color="auto"/>
      </w:divBdr>
    </w:div>
    <w:div w:id="1409116093">
      <w:bodyDiv w:val="1"/>
      <w:marLeft w:val="0"/>
      <w:marRight w:val="0"/>
      <w:marTop w:val="0"/>
      <w:marBottom w:val="0"/>
      <w:divBdr>
        <w:top w:val="none" w:sz="0" w:space="0" w:color="auto"/>
        <w:left w:val="none" w:sz="0" w:space="0" w:color="auto"/>
        <w:bottom w:val="none" w:sz="0" w:space="0" w:color="auto"/>
        <w:right w:val="none" w:sz="0" w:space="0" w:color="auto"/>
      </w:divBdr>
    </w:div>
    <w:div w:id="1409499438">
      <w:bodyDiv w:val="1"/>
      <w:marLeft w:val="0"/>
      <w:marRight w:val="0"/>
      <w:marTop w:val="0"/>
      <w:marBottom w:val="0"/>
      <w:divBdr>
        <w:top w:val="none" w:sz="0" w:space="0" w:color="auto"/>
        <w:left w:val="none" w:sz="0" w:space="0" w:color="auto"/>
        <w:bottom w:val="none" w:sz="0" w:space="0" w:color="auto"/>
        <w:right w:val="none" w:sz="0" w:space="0" w:color="auto"/>
      </w:divBdr>
    </w:div>
    <w:div w:id="1411656101">
      <w:bodyDiv w:val="1"/>
      <w:marLeft w:val="0"/>
      <w:marRight w:val="0"/>
      <w:marTop w:val="0"/>
      <w:marBottom w:val="0"/>
      <w:divBdr>
        <w:top w:val="none" w:sz="0" w:space="0" w:color="auto"/>
        <w:left w:val="none" w:sz="0" w:space="0" w:color="auto"/>
        <w:bottom w:val="none" w:sz="0" w:space="0" w:color="auto"/>
        <w:right w:val="none" w:sz="0" w:space="0" w:color="auto"/>
      </w:divBdr>
    </w:div>
    <w:div w:id="1411921699">
      <w:bodyDiv w:val="1"/>
      <w:marLeft w:val="0"/>
      <w:marRight w:val="0"/>
      <w:marTop w:val="0"/>
      <w:marBottom w:val="0"/>
      <w:divBdr>
        <w:top w:val="none" w:sz="0" w:space="0" w:color="auto"/>
        <w:left w:val="none" w:sz="0" w:space="0" w:color="auto"/>
        <w:bottom w:val="none" w:sz="0" w:space="0" w:color="auto"/>
        <w:right w:val="none" w:sz="0" w:space="0" w:color="auto"/>
      </w:divBdr>
    </w:div>
    <w:div w:id="1413507587">
      <w:bodyDiv w:val="1"/>
      <w:marLeft w:val="0"/>
      <w:marRight w:val="0"/>
      <w:marTop w:val="0"/>
      <w:marBottom w:val="0"/>
      <w:divBdr>
        <w:top w:val="none" w:sz="0" w:space="0" w:color="auto"/>
        <w:left w:val="none" w:sz="0" w:space="0" w:color="auto"/>
        <w:bottom w:val="none" w:sz="0" w:space="0" w:color="auto"/>
        <w:right w:val="none" w:sz="0" w:space="0" w:color="auto"/>
      </w:divBdr>
    </w:div>
    <w:div w:id="1416898824">
      <w:bodyDiv w:val="1"/>
      <w:marLeft w:val="0"/>
      <w:marRight w:val="0"/>
      <w:marTop w:val="0"/>
      <w:marBottom w:val="0"/>
      <w:divBdr>
        <w:top w:val="none" w:sz="0" w:space="0" w:color="auto"/>
        <w:left w:val="none" w:sz="0" w:space="0" w:color="auto"/>
        <w:bottom w:val="none" w:sz="0" w:space="0" w:color="auto"/>
        <w:right w:val="none" w:sz="0" w:space="0" w:color="auto"/>
      </w:divBdr>
    </w:div>
    <w:div w:id="1426339318">
      <w:bodyDiv w:val="1"/>
      <w:marLeft w:val="0"/>
      <w:marRight w:val="0"/>
      <w:marTop w:val="0"/>
      <w:marBottom w:val="0"/>
      <w:divBdr>
        <w:top w:val="none" w:sz="0" w:space="0" w:color="auto"/>
        <w:left w:val="none" w:sz="0" w:space="0" w:color="auto"/>
        <w:bottom w:val="none" w:sz="0" w:space="0" w:color="auto"/>
        <w:right w:val="none" w:sz="0" w:space="0" w:color="auto"/>
      </w:divBdr>
    </w:div>
    <w:div w:id="1427068959">
      <w:bodyDiv w:val="1"/>
      <w:marLeft w:val="0"/>
      <w:marRight w:val="0"/>
      <w:marTop w:val="0"/>
      <w:marBottom w:val="0"/>
      <w:divBdr>
        <w:top w:val="none" w:sz="0" w:space="0" w:color="auto"/>
        <w:left w:val="none" w:sz="0" w:space="0" w:color="auto"/>
        <w:bottom w:val="none" w:sz="0" w:space="0" w:color="auto"/>
        <w:right w:val="none" w:sz="0" w:space="0" w:color="auto"/>
      </w:divBdr>
    </w:div>
    <w:div w:id="1431195588">
      <w:bodyDiv w:val="1"/>
      <w:marLeft w:val="0"/>
      <w:marRight w:val="0"/>
      <w:marTop w:val="0"/>
      <w:marBottom w:val="0"/>
      <w:divBdr>
        <w:top w:val="none" w:sz="0" w:space="0" w:color="auto"/>
        <w:left w:val="none" w:sz="0" w:space="0" w:color="auto"/>
        <w:bottom w:val="none" w:sz="0" w:space="0" w:color="auto"/>
        <w:right w:val="none" w:sz="0" w:space="0" w:color="auto"/>
      </w:divBdr>
    </w:div>
    <w:div w:id="1435326409">
      <w:bodyDiv w:val="1"/>
      <w:marLeft w:val="0"/>
      <w:marRight w:val="0"/>
      <w:marTop w:val="0"/>
      <w:marBottom w:val="0"/>
      <w:divBdr>
        <w:top w:val="none" w:sz="0" w:space="0" w:color="auto"/>
        <w:left w:val="none" w:sz="0" w:space="0" w:color="auto"/>
        <w:bottom w:val="none" w:sz="0" w:space="0" w:color="auto"/>
        <w:right w:val="none" w:sz="0" w:space="0" w:color="auto"/>
      </w:divBdr>
    </w:div>
    <w:div w:id="1437166920">
      <w:bodyDiv w:val="1"/>
      <w:marLeft w:val="0"/>
      <w:marRight w:val="0"/>
      <w:marTop w:val="0"/>
      <w:marBottom w:val="0"/>
      <w:divBdr>
        <w:top w:val="none" w:sz="0" w:space="0" w:color="auto"/>
        <w:left w:val="none" w:sz="0" w:space="0" w:color="auto"/>
        <w:bottom w:val="none" w:sz="0" w:space="0" w:color="auto"/>
        <w:right w:val="none" w:sz="0" w:space="0" w:color="auto"/>
      </w:divBdr>
    </w:div>
    <w:div w:id="1438865069">
      <w:bodyDiv w:val="1"/>
      <w:marLeft w:val="0"/>
      <w:marRight w:val="0"/>
      <w:marTop w:val="0"/>
      <w:marBottom w:val="0"/>
      <w:divBdr>
        <w:top w:val="none" w:sz="0" w:space="0" w:color="auto"/>
        <w:left w:val="none" w:sz="0" w:space="0" w:color="auto"/>
        <w:bottom w:val="none" w:sz="0" w:space="0" w:color="auto"/>
        <w:right w:val="none" w:sz="0" w:space="0" w:color="auto"/>
      </w:divBdr>
    </w:div>
    <w:div w:id="1441146296">
      <w:bodyDiv w:val="1"/>
      <w:marLeft w:val="0"/>
      <w:marRight w:val="0"/>
      <w:marTop w:val="0"/>
      <w:marBottom w:val="0"/>
      <w:divBdr>
        <w:top w:val="none" w:sz="0" w:space="0" w:color="auto"/>
        <w:left w:val="none" w:sz="0" w:space="0" w:color="auto"/>
        <w:bottom w:val="none" w:sz="0" w:space="0" w:color="auto"/>
        <w:right w:val="none" w:sz="0" w:space="0" w:color="auto"/>
      </w:divBdr>
    </w:div>
    <w:div w:id="1441726566">
      <w:bodyDiv w:val="1"/>
      <w:marLeft w:val="0"/>
      <w:marRight w:val="0"/>
      <w:marTop w:val="0"/>
      <w:marBottom w:val="0"/>
      <w:divBdr>
        <w:top w:val="none" w:sz="0" w:space="0" w:color="auto"/>
        <w:left w:val="none" w:sz="0" w:space="0" w:color="auto"/>
        <w:bottom w:val="none" w:sz="0" w:space="0" w:color="auto"/>
        <w:right w:val="none" w:sz="0" w:space="0" w:color="auto"/>
      </w:divBdr>
    </w:div>
    <w:div w:id="1445462421">
      <w:bodyDiv w:val="1"/>
      <w:marLeft w:val="0"/>
      <w:marRight w:val="0"/>
      <w:marTop w:val="0"/>
      <w:marBottom w:val="0"/>
      <w:divBdr>
        <w:top w:val="none" w:sz="0" w:space="0" w:color="auto"/>
        <w:left w:val="none" w:sz="0" w:space="0" w:color="auto"/>
        <w:bottom w:val="none" w:sz="0" w:space="0" w:color="auto"/>
        <w:right w:val="none" w:sz="0" w:space="0" w:color="auto"/>
      </w:divBdr>
    </w:div>
    <w:div w:id="1446773630">
      <w:marLeft w:val="0"/>
      <w:marRight w:val="0"/>
      <w:marTop w:val="0"/>
      <w:marBottom w:val="0"/>
      <w:divBdr>
        <w:top w:val="none" w:sz="0" w:space="0" w:color="auto"/>
        <w:left w:val="none" w:sz="0" w:space="0" w:color="auto"/>
        <w:bottom w:val="none" w:sz="0" w:space="0" w:color="auto"/>
        <w:right w:val="none" w:sz="0" w:space="0" w:color="auto"/>
      </w:divBdr>
    </w:div>
    <w:div w:id="1449082891">
      <w:bodyDiv w:val="1"/>
      <w:marLeft w:val="0"/>
      <w:marRight w:val="0"/>
      <w:marTop w:val="0"/>
      <w:marBottom w:val="0"/>
      <w:divBdr>
        <w:top w:val="none" w:sz="0" w:space="0" w:color="auto"/>
        <w:left w:val="none" w:sz="0" w:space="0" w:color="auto"/>
        <w:bottom w:val="none" w:sz="0" w:space="0" w:color="auto"/>
        <w:right w:val="none" w:sz="0" w:space="0" w:color="auto"/>
      </w:divBdr>
    </w:div>
    <w:div w:id="1452285117">
      <w:bodyDiv w:val="1"/>
      <w:marLeft w:val="0"/>
      <w:marRight w:val="0"/>
      <w:marTop w:val="0"/>
      <w:marBottom w:val="0"/>
      <w:divBdr>
        <w:top w:val="none" w:sz="0" w:space="0" w:color="auto"/>
        <w:left w:val="none" w:sz="0" w:space="0" w:color="auto"/>
        <w:bottom w:val="none" w:sz="0" w:space="0" w:color="auto"/>
        <w:right w:val="none" w:sz="0" w:space="0" w:color="auto"/>
      </w:divBdr>
    </w:div>
    <w:div w:id="1453017628">
      <w:bodyDiv w:val="1"/>
      <w:marLeft w:val="0"/>
      <w:marRight w:val="0"/>
      <w:marTop w:val="0"/>
      <w:marBottom w:val="0"/>
      <w:divBdr>
        <w:top w:val="none" w:sz="0" w:space="0" w:color="auto"/>
        <w:left w:val="none" w:sz="0" w:space="0" w:color="auto"/>
        <w:bottom w:val="none" w:sz="0" w:space="0" w:color="auto"/>
        <w:right w:val="none" w:sz="0" w:space="0" w:color="auto"/>
      </w:divBdr>
    </w:div>
    <w:div w:id="1457139665">
      <w:marLeft w:val="0"/>
      <w:marRight w:val="0"/>
      <w:marTop w:val="0"/>
      <w:marBottom w:val="0"/>
      <w:divBdr>
        <w:top w:val="none" w:sz="0" w:space="0" w:color="auto"/>
        <w:left w:val="none" w:sz="0" w:space="0" w:color="auto"/>
        <w:bottom w:val="none" w:sz="0" w:space="0" w:color="auto"/>
        <w:right w:val="none" w:sz="0" w:space="0" w:color="auto"/>
      </w:divBdr>
    </w:div>
    <w:div w:id="1457522295">
      <w:bodyDiv w:val="1"/>
      <w:marLeft w:val="0"/>
      <w:marRight w:val="0"/>
      <w:marTop w:val="0"/>
      <w:marBottom w:val="0"/>
      <w:divBdr>
        <w:top w:val="none" w:sz="0" w:space="0" w:color="auto"/>
        <w:left w:val="none" w:sz="0" w:space="0" w:color="auto"/>
        <w:bottom w:val="none" w:sz="0" w:space="0" w:color="auto"/>
        <w:right w:val="none" w:sz="0" w:space="0" w:color="auto"/>
      </w:divBdr>
    </w:div>
    <w:div w:id="1458061052">
      <w:bodyDiv w:val="1"/>
      <w:marLeft w:val="0"/>
      <w:marRight w:val="0"/>
      <w:marTop w:val="0"/>
      <w:marBottom w:val="0"/>
      <w:divBdr>
        <w:top w:val="none" w:sz="0" w:space="0" w:color="auto"/>
        <w:left w:val="none" w:sz="0" w:space="0" w:color="auto"/>
        <w:bottom w:val="none" w:sz="0" w:space="0" w:color="auto"/>
        <w:right w:val="none" w:sz="0" w:space="0" w:color="auto"/>
      </w:divBdr>
    </w:div>
    <w:div w:id="1460344127">
      <w:bodyDiv w:val="1"/>
      <w:marLeft w:val="0"/>
      <w:marRight w:val="0"/>
      <w:marTop w:val="0"/>
      <w:marBottom w:val="0"/>
      <w:divBdr>
        <w:top w:val="none" w:sz="0" w:space="0" w:color="auto"/>
        <w:left w:val="none" w:sz="0" w:space="0" w:color="auto"/>
        <w:bottom w:val="none" w:sz="0" w:space="0" w:color="auto"/>
        <w:right w:val="none" w:sz="0" w:space="0" w:color="auto"/>
      </w:divBdr>
    </w:div>
    <w:div w:id="1460420357">
      <w:marLeft w:val="0"/>
      <w:marRight w:val="0"/>
      <w:marTop w:val="0"/>
      <w:marBottom w:val="0"/>
      <w:divBdr>
        <w:top w:val="none" w:sz="0" w:space="0" w:color="auto"/>
        <w:left w:val="none" w:sz="0" w:space="0" w:color="auto"/>
        <w:bottom w:val="none" w:sz="0" w:space="0" w:color="auto"/>
        <w:right w:val="none" w:sz="0" w:space="0" w:color="auto"/>
      </w:divBdr>
    </w:div>
    <w:div w:id="1460951861">
      <w:bodyDiv w:val="1"/>
      <w:marLeft w:val="0"/>
      <w:marRight w:val="0"/>
      <w:marTop w:val="0"/>
      <w:marBottom w:val="0"/>
      <w:divBdr>
        <w:top w:val="none" w:sz="0" w:space="0" w:color="auto"/>
        <w:left w:val="none" w:sz="0" w:space="0" w:color="auto"/>
        <w:bottom w:val="none" w:sz="0" w:space="0" w:color="auto"/>
        <w:right w:val="none" w:sz="0" w:space="0" w:color="auto"/>
      </w:divBdr>
    </w:div>
    <w:div w:id="1462533403">
      <w:bodyDiv w:val="1"/>
      <w:marLeft w:val="0"/>
      <w:marRight w:val="0"/>
      <w:marTop w:val="0"/>
      <w:marBottom w:val="0"/>
      <w:divBdr>
        <w:top w:val="none" w:sz="0" w:space="0" w:color="auto"/>
        <w:left w:val="none" w:sz="0" w:space="0" w:color="auto"/>
        <w:bottom w:val="none" w:sz="0" w:space="0" w:color="auto"/>
        <w:right w:val="none" w:sz="0" w:space="0" w:color="auto"/>
      </w:divBdr>
    </w:div>
    <w:div w:id="1472626384">
      <w:bodyDiv w:val="1"/>
      <w:marLeft w:val="0"/>
      <w:marRight w:val="0"/>
      <w:marTop w:val="0"/>
      <w:marBottom w:val="0"/>
      <w:divBdr>
        <w:top w:val="none" w:sz="0" w:space="0" w:color="auto"/>
        <w:left w:val="none" w:sz="0" w:space="0" w:color="auto"/>
        <w:bottom w:val="none" w:sz="0" w:space="0" w:color="auto"/>
        <w:right w:val="none" w:sz="0" w:space="0" w:color="auto"/>
      </w:divBdr>
    </w:div>
    <w:div w:id="1477144064">
      <w:bodyDiv w:val="1"/>
      <w:marLeft w:val="0"/>
      <w:marRight w:val="0"/>
      <w:marTop w:val="0"/>
      <w:marBottom w:val="0"/>
      <w:divBdr>
        <w:top w:val="none" w:sz="0" w:space="0" w:color="auto"/>
        <w:left w:val="none" w:sz="0" w:space="0" w:color="auto"/>
        <w:bottom w:val="none" w:sz="0" w:space="0" w:color="auto"/>
        <w:right w:val="none" w:sz="0" w:space="0" w:color="auto"/>
      </w:divBdr>
    </w:div>
    <w:div w:id="1477647939">
      <w:bodyDiv w:val="1"/>
      <w:marLeft w:val="0"/>
      <w:marRight w:val="0"/>
      <w:marTop w:val="0"/>
      <w:marBottom w:val="0"/>
      <w:divBdr>
        <w:top w:val="none" w:sz="0" w:space="0" w:color="auto"/>
        <w:left w:val="none" w:sz="0" w:space="0" w:color="auto"/>
        <w:bottom w:val="none" w:sz="0" w:space="0" w:color="auto"/>
        <w:right w:val="none" w:sz="0" w:space="0" w:color="auto"/>
      </w:divBdr>
    </w:div>
    <w:div w:id="1479034723">
      <w:bodyDiv w:val="1"/>
      <w:marLeft w:val="0"/>
      <w:marRight w:val="0"/>
      <w:marTop w:val="0"/>
      <w:marBottom w:val="0"/>
      <w:divBdr>
        <w:top w:val="none" w:sz="0" w:space="0" w:color="auto"/>
        <w:left w:val="none" w:sz="0" w:space="0" w:color="auto"/>
        <w:bottom w:val="none" w:sz="0" w:space="0" w:color="auto"/>
        <w:right w:val="none" w:sz="0" w:space="0" w:color="auto"/>
      </w:divBdr>
    </w:div>
    <w:div w:id="1485702894">
      <w:bodyDiv w:val="1"/>
      <w:marLeft w:val="0"/>
      <w:marRight w:val="0"/>
      <w:marTop w:val="0"/>
      <w:marBottom w:val="0"/>
      <w:divBdr>
        <w:top w:val="none" w:sz="0" w:space="0" w:color="auto"/>
        <w:left w:val="none" w:sz="0" w:space="0" w:color="auto"/>
        <w:bottom w:val="none" w:sz="0" w:space="0" w:color="auto"/>
        <w:right w:val="none" w:sz="0" w:space="0" w:color="auto"/>
      </w:divBdr>
    </w:div>
    <w:div w:id="1487164430">
      <w:bodyDiv w:val="1"/>
      <w:marLeft w:val="0"/>
      <w:marRight w:val="0"/>
      <w:marTop w:val="0"/>
      <w:marBottom w:val="0"/>
      <w:divBdr>
        <w:top w:val="none" w:sz="0" w:space="0" w:color="auto"/>
        <w:left w:val="none" w:sz="0" w:space="0" w:color="auto"/>
        <w:bottom w:val="none" w:sz="0" w:space="0" w:color="auto"/>
        <w:right w:val="none" w:sz="0" w:space="0" w:color="auto"/>
      </w:divBdr>
    </w:div>
    <w:div w:id="1487284989">
      <w:bodyDiv w:val="1"/>
      <w:marLeft w:val="0"/>
      <w:marRight w:val="0"/>
      <w:marTop w:val="0"/>
      <w:marBottom w:val="0"/>
      <w:divBdr>
        <w:top w:val="none" w:sz="0" w:space="0" w:color="auto"/>
        <w:left w:val="none" w:sz="0" w:space="0" w:color="auto"/>
        <w:bottom w:val="none" w:sz="0" w:space="0" w:color="auto"/>
        <w:right w:val="none" w:sz="0" w:space="0" w:color="auto"/>
      </w:divBdr>
    </w:div>
    <w:div w:id="1490098550">
      <w:bodyDiv w:val="1"/>
      <w:marLeft w:val="0"/>
      <w:marRight w:val="0"/>
      <w:marTop w:val="0"/>
      <w:marBottom w:val="0"/>
      <w:divBdr>
        <w:top w:val="none" w:sz="0" w:space="0" w:color="auto"/>
        <w:left w:val="none" w:sz="0" w:space="0" w:color="auto"/>
        <w:bottom w:val="none" w:sz="0" w:space="0" w:color="auto"/>
        <w:right w:val="none" w:sz="0" w:space="0" w:color="auto"/>
      </w:divBdr>
    </w:div>
    <w:div w:id="1492912930">
      <w:bodyDiv w:val="1"/>
      <w:marLeft w:val="0"/>
      <w:marRight w:val="0"/>
      <w:marTop w:val="0"/>
      <w:marBottom w:val="0"/>
      <w:divBdr>
        <w:top w:val="none" w:sz="0" w:space="0" w:color="auto"/>
        <w:left w:val="none" w:sz="0" w:space="0" w:color="auto"/>
        <w:bottom w:val="none" w:sz="0" w:space="0" w:color="auto"/>
        <w:right w:val="none" w:sz="0" w:space="0" w:color="auto"/>
      </w:divBdr>
    </w:div>
    <w:div w:id="1495099014">
      <w:bodyDiv w:val="1"/>
      <w:marLeft w:val="0"/>
      <w:marRight w:val="0"/>
      <w:marTop w:val="0"/>
      <w:marBottom w:val="0"/>
      <w:divBdr>
        <w:top w:val="none" w:sz="0" w:space="0" w:color="auto"/>
        <w:left w:val="none" w:sz="0" w:space="0" w:color="auto"/>
        <w:bottom w:val="none" w:sz="0" w:space="0" w:color="auto"/>
        <w:right w:val="none" w:sz="0" w:space="0" w:color="auto"/>
      </w:divBdr>
    </w:div>
    <w:div w:id="1495219469">
      <w:bodyDiv w:val="1"/>
      <w:marLeft w:val="0"/>
      <w:marRight w:val="0"/>
      <w:marTop w:val="0"/>
      <w:marBottom w:val="0"/>
      <w:divBdr>
        <w:top w:val="none" w:sz="0" w:space="0" w:color="auto"/>
        <w:left w:val="none" w:sz="0" w:space="0" w:color="auto"/>
        <w:bottom w:val="none" w:sz="0" w:space="0" w:color="auto"/>
        <w:right w:val="none" w:sz="0" w:space="0" w:color="auto"/>
      </w:divBdr>
    </w:div>
    <w:div w:id="1498687048">
      <w:bodyDiv w:val="1"/>
      <w:marLeft w:val="0"/>
      <w:marRight w:val="0"/>
      <w:marTop w:val="0"/>
      <w:marBottom w:val="0"/>
      <w:divBdr>
        <w:top w:val="none" w:sz="0" w:space="0" w:color="auto"/>
        <w:left w:val="none" w:sz="0" w:space="0" w:color="auto"/>
        <w:bottom w:val="none" w:sz="0" w:space="0" w:color="auto"/>
        <w:right w:val="none" w:sz="0" w:space="0" w:color="auto"/>
      </w:divBdr>
    </w:div>
    <w:div w:id="1504317784">
      <w:bodyDiv w:val="1"/>
      <w:marLeft w:val="0"/>
      <w:marRight w:val="0"/>
      <w:marTop w:val="0"/>
      <w:marBottom w:val="0"/>
      <w:divBdr>
        <w:top w:val="none" w:sz="0" w:space="0" w:color="auto"/>
        <w:left w:val="none" w:sz="0" w:space="0" w:color="auto"/>
        <w:bottom w:val="none" w:sz="0" w:space="0" w:color="auto"/>
        <w:right w:val="none" w:sz="0" w:space="0" w:color="auto"/>
      </w:divBdr>
    </w:div>
    <w:div w:id="1504735174">
      <w:bodyDiv w:val="1"/>
      <w:marLeft w:val="0"/>
      <w:marRight w:val="0"/>
      <w:marTop w:val="0"/>
      <w:marBottom w:val="0"/>
      <w:divBdr>
        <w:top w:val="none" w:sz="0" w:space="0" w:color="auto"/>
        <w:left w:val="none" w:sz="0" w:space="0" w:color="auto"/>
        <w:bottom w:val="none" w:sz="0" w:space="0" w:color="auto"/>
        <w:right w:val="none" w:sz="0" w:space="0" w:color="auto"/>
      </w:divBdr>
    </w:div>
    <w:div w:id="1506632514">
      <w:bodyDiv w:val="1"/>
      <w:marLeft w:val="0"/>
      <w:marRight w:val="0"/>
      <w:marTop w:val="0"/>
      <w:marBottom w:val="0"/>
      <w:divBdr>
        <w:top w:val="none" w:sz="0" w:space="0" w:color="auto"/>
        <w:left w:val="none" w:sz="0" w:space="0" w:color="auto"/>
        <w:bottom w:val="none" w:sz="0" w:space="0" w:color="auto"/>
        <w:right w:val="none" w:sz="0" w:space="0" w:color="auto"/>
      </w:divBdr>
    </w:div>
    <w:div w:id="1517692825">
      <w:bodyDiv w:val="1"/>
      <w:marLeft w:val="0"/>
      <w:marRight w:val="0"/>
      <w:marTop w:val="0"/>
      <w:marBottom w:val="0"/>
      <w:divBdr>
        <w:top w:val="none" w:sz="0" w:space="0" w:color="auto"/>
        <w:left w:val="none" w:sz="0" w:space="0" w:color="auto"/>
        <w:bottom w:val="none" w:sz="0" w:space="0" w:color="auto"/>
        <w:right w:val="none" w:sz="0" w:space="0" w:color="auto"/>
      </w:divBdr>
    </w:div>
    <w:div w:id="1519126437">
      <w:bodyDiv w:val="1"/>
      <w:marLeft w:val="0"/>
      <w:marRight w:val="0"/>
      <w:marTop w:val="0"/>
      <w:marBottom w:val="0"/>
      <w:divBdr>
        <w:top w:val="none" w:sz="0" w:space="0" w:color="auto"/>
        <w:left w:val="none" w:sz="0" w:space="0" w:color="auto"/>
        <w:bottom w:val="none" w:sz="0" w:space="0" w:color="auto"/>
        <w:right w:val="none" w:sz="0" w:space="0" w:color="auto"/>
      </w:divBdr>
    </w:div>
    <w:div w:id="1519352496">
      <w:bodyDiv w:val="1"/>
      <w:marLeft w:val="0"/>
      <w:marRight w:val="0"/>
      <w:marTop w:val="0"/>
      <w:marBottom w:val="0"/>
      <w:divBdr>
        <w:top w:val="none" w:sz="0" w:space="0" w:color="auto"/>
        <w:left w:val="none" w:sz="0" w:space="0" w:color="auto"/>
        <w:bottom w:val="none" w:sz="0" w:space="0" w:color="auto"/>
        <w:right w:val="none" w:sz="0" w:space="0" w:color="auto"/>
      </w:divBdr>
    </w:div>
    <w:div w:id="1521239493">
      <w:bodyDiv w:val="1"/>
      <w:marLeft w:val="0"/>
      <w:marRight w:val="0"/>
      <w:marTop w:val="0"/>
      <w:marBottom w:val="0"/>
      <w:divBdr>
        <w:top w:val="none" w:sz="0" w:space="0" w:color="auto"/>
        <w:left w:val="none" w:sz="0" w:space="0" w:color="auto"/>
        <w:bottom w:val="none" w:sz="0" w:space="0" w:color="auto"/>
        <w:right w:val="none" w:sz="0" w:space="0" w:color="auto"/>
      </w:divBdr>
    </w:div>
    <w:div w:id="1521317693">
      <w:bodyDiv w:val="1"/>
      <w:marLeft w:val="0"/>
      <w:marRight w:val="0"/>
      <w:marTop w:val="0"/>
      <w:marBottom w:val="0"/>
      <w:divBdr>
        <w:top w:val="none" w:sz="0" w:space="0" w:color="auto"/>
        <w:left w:val="none" w:sz="0" w:space="0" w:color="auto"/>
        <w:bottom w:val="none" w:sz="0" w:space="0" w:color="auto"/>
        <w:right w:val="none" w:sz="0" w:space="0" w:color="auto"/>
      </w:divBdr>
    </w:div>
    <w:div w:id="1523544862">
      <w:bodyDiv w:val="1"/>
      <w:marLeft w:val="0"/>
      <w:marRight w:val="0"/>
      <w:marTop w:val="0"/>
      <w:marBottom w:val="0"/>
      <w:divBdr>
        <w:top w:val="none" w:sz="0" w:space="0" w:color="auto"/>
        <w:left w:val="none" w:sz="0" w:space="0" w:color="auto"/>
        <w:bottom w:val="none" w:sz="0" w:space="0" w:color="auto"/>
        <w:right w:val="none" w:sz="0" w:space="0" w:color="auto"/>
      </w:divBdr>
    </w:div>
    <w:div w:id="1523591110">
      <w:bodyDiv w:val="1"/>
      <w:marLeft w:val="0"/>
      <w:marRight w:val="0"/>
      <w:marTop w:val="0"/>
      <w:marBottom w:val="0"/>
      <w:divBdr>
        <w:top w:val="none" w:sz="0" w:space="0" w:color="auto"/>
        <w:left w:val="none" w:sz="0" w:space="0" w:color="auto"/>
        <w:bottom w:val="none" w:sz="0" w:space="0" w:color="auto"/>
        <w:right w:val="none" w:sz="0" w:space="0" w:color="auto"/>
      </w:divBdr>
    </w:div>
    <w:div w:id="1523743737">
      <w:bodyDiv w:val="1"/>
      <w:marLeft w:val="0"/>
      <w:marRight w:val="0"/>
      <w:marTop w:val="0"/>
      <w:marBottom w:val="0"/>
      <w:divBdr>
        <w:top w:val="none" w:sz="0" w:space="0" w:color="auto"/>
        <w:left w:val="none" w:sz="0" w:space="0" w:color="auto"/>
        <w:bottom w:val="none" w:sz="0" w:space="0" w:color="auto"/>
        <w:right w:val="none" w:sz="0" w:space="0" w:color="auto"/>
      </w:divBdr>
    </w:div>
    <w:div w:id="1524630777">
      <w:bodyDiv w:val="1"/>
      <w:marLeft w:val="0"/>
      <w:marRight w:val="0"/>
      <w:marTop w:val="0"/>
      <w:marBottom w:val="0"/>
      <w:divBdr>
        <w:top w:val="none" w:sz="0" w:space="0" w:color="auto"/>
        <w:left w:val="none" w:sz="0" w:space="0" w:color="auto"/>
        <w:bottom w:val="none" w:sz="0" w:space="0" w:color="auto"/>
        <w:right w:val="none" w:sz="0" w:space="0" w:color="auto"/>
      </w:divBdr>
    </w:div>
    <w:div w:id="1525628652">
      <w:bodyDiv w:val="1"/>
      <w:marLeft w:val="0"/>
      <w:marRight w:val="0"/>
      <w:marTop w:val="0"/>
      <w:marBottom w:val="0"/>
      <w:divBdr>
        <w:top w:val="none" w:sz="0" w:space="0" w:color="auto"/>
        <w:left w:val="none" w:sz="0" w:space="0" w:color="auto"/>
        <w:bottom w:val="none" w:sz="0" w:space="0" w:color="auto"/>
        <w:right w:val="none" w:sz="0" w:space="0" w:color="auto"/>
      </w:divBdr>
    </w:div>
    <w:div w:id="1529562638">
      <w:bodyDiv w:val="1"/>
      <w:marLeft w:val="0"/>
      <w:marRight w:val="0"/>
      <w:marTop w:val="0"/>
      <w:marBottom w:val="0"/>
      <w:divBdr>
        <w:top w:val="none" w:sz="0" w:space="0" w:color="auto"/>
        <w:left w:val="none" w:sz="0" w:space="0" w:color="auto"/>
        <w:bottom w:val="none" w:sz="0" w:space="0" w:color="auto"/>
        <w:right w:val="none" w:sz="0" w:space="0" w:color="auto"/>
      </w:divBdr>
    </w:div>
    <w:div w:id="1535190520">
      <w:bodyDiv w:val="1"/>
      <w:marLeft w:val="0"/>
      <w:marRight w:val="0"/>
      <w:marTop w:val="0"/>
      <w:marBottom w:val="0"/>
      <w:divBdr>
        <w:top w:val="none" w:sz="0" w:space="0" w:color="auto"/>
        <w:left w:val="none" w:sz="0" w:space="0" w:color="auto"/>
        <w:bottom w:val="none" w:sz="0" w:space="0" w:color="auto"/>
        <w:right w:val="none" w:sz="0" w:space="0" w:color="auto"/>
      </w:divBdr>
    </w:div>
    <w:div w:id="1535998587">
      <w:bodyDiv w:val="1"/>
      <w:marLeft w:val="0"/>
      <w:marRight w:val="0"/>
      <w:marTop w:val="0"/>
      <w:marBottom w:val="0"/>
      <w:divBdr>
        <w:top w:val="none" w:sz="0" w:space="0" w:color="auto"/>
        <w:left w:val="none" w:sz="0" w:space="0" w:color="auto"/>
        <w:bottom w:val="none" w:sz="0" w:space="0" w:color="auto"/>
        <w:right w:val="none" w:sz="0" w:space="0" w:color="auto"/>
      </w:divBdr>
    </w:div>
    <w:div w:id="1538005942">
      <w:marLeft w:val="0"/>
      <w:marRight w:val="0"/>
      <w:marTop w:val="0"/>
      <w:marBottom w:val="0"/>
      <w:divBdr>
        <w:top w:val="none" w:sz="0" w:space="0" w:color="auto"/>
        <w:left w:val="none" w:sz="0" w:space="0" w:color="auto"/>
        <w:bottom w:val="none" w:sz="0" w:space="0" w:color="auto"/>
        <w:right w:val="none" w:sz="0" w:space="0" w:color="auto"/>
      </w:divBdr>
    </w:div>
    <w:div w:id="1539900568">
      <w:bodyDiv w:val="1"/>
      <w:marLeft w:val="0"/>
      <w:marRight w:val="0"/>
      <w:marTop w:val="0"/>
      <w:marBottom w:val="0"/>
      <w:divBdr>
        <w:top w:val="none" w:sz="0" w:space="0" w:color="auto"/>
        <w:left w:val="none" w:sz="0" w:space="0" w:color="auto"/>
        <w:bottom w:val="none" w:sz="0" w:space="0" w:color="auto"/>
        <w:right w:val="none" w:sz="0" w:space="0" w:color="auto"/>
      </w:divBdr>
    </w:div>
    <w:div w:id="1541283140">
      <w:bodyDiv w:val="1"/>
      <w:marLeft w:val="0"/>
      <w:marRight w:val="0"/>
      <w:marTop w:val="0"/>
      <w:marBottom w:val="0"/>
      <w:divBdr>
        <w:top w:val="none" w:sz="0" w:space="0" w:color="auto"/>
        <w:left w:val="none" w:sz="0" w:space="0" w:color="auto"/>
        <w:bottom w:val="none" w:sz="0" w:space="0" w:color="auto"/>
        <w:right w:val="none" w:sz="0" w:space="0" w:color="auto"/>
      </w:divBdr>
    </w:div>
    <w:div w:id="1543665771">
      <w:bodyDiv w:val="1"/>
      <w:marLeft w:val="0"/>
      <w:marRight w:val="0"/>
      <w:marTop w:val="0"/>
      <w:marBottom w:val="0"/>
      <w:divBdr>
        <w:top w:val="none" w:sz="0" w:space="0" w:color="auto"/>
        <w:left w:val="none" w:sz="0" w:space="0" w:color="auto"/>
        <w:bottom w:val="none" w:sz="0" w:space="0" w:color="auto"/>
        <w:right w:val="none" w:sz="0" w:space="0" w:color="auto"/>
      </w:divBdr>
    </w:div>
    <w:div w:id="1544252515">
      <w:bodyDiv w:val="1"/>
      <w:marLeft w:val="0"/>
      <w:marRight w:val="0"/>
      <w:marTop w:val="0"/>
      <w:marBottom w:val="0"/>
      <w:divBdr>
        <w:top w:val="none" w:sz="0" w:space="0" w:color="auto"/>
        <w:left w:val="none" w:sz="0" w:space="0" w:color="auto"/>
        <w:bottom w:val="none" w:sz="0" w:space="0" w:color="auto"/>
        <w:right w:val="none" w:sz="0" w:space="0" w:color="auto"/>
      </w:divBdr>
    </w:div>
    <w:div w:id="1546673466">
      <w:bodyDiv w:val="1"/>
      <w:marLeft w:val="0"/>
      <w:marRight w:val="0"/>
      <w:marTop w:val="0"/>
      <w:marBottom w:val="0"/>
      <w:divBdr>
        <w:top w:val="none" w:sz="0" w:space="0" w:color="auto"/>
        <w:left w:val="none" w:sz="0" w:space="0" w:color="auto"/>
        <w:bottom w:val="none" w:sz="0" w:space="0" w:color="auto"/>
        <w:right w:val="none" w:sz="0" w:space="0" w:color="auto"/>
      </w:divBdr>
    </w:div>
    <w:div w:id="1547909762">
      <w:bodyDiv w:val="1"/>
      <w:marLeft w:val="0"/>
      <w:marRight w:val="0"/>
      <w:marTop w:val="0"/>
      <w:marBottom w:val="0"/>
      <w:divBdr>
        <w:top w:val="none" w:sz="0" w:space="0" w:color="auto"/>
        <w:left w:val="none" w:sz="0" w:space="0" w:color="auto"/>
        <w:bottom w:val="none" w:sz="0" w:space="0" w:color="auto"/>
        <w:right w:val="none" w:sz="0" w:space="0" w:color="auto"/>
      </w:divBdr>
    </w:div>
    <w:div w:id="1554275175">
      <w:bodyDiv w:val="1"/>
      <w:marLeft w:val="0"/>
      <w:marRight w:val="0"/>
      <w:marTop w:val="0"/>
      <w:marBottom w:val="0"/>
      <w:divBdr>
        <w:top w:val="none" w:sz="0" w:space="0" w:color="auto"/>
        <w:left w:val="none" w:sz="0" w:space="0" w:color="auto"/>
        <w:bottom w:val="none" w:sz="0" w:space="0" w:color="auto"/>
        <w:right w:val="none" w:sz="0" w:space="0" w:color="auto"/>
      </w:divBdr>
    </w:div>
    <w:div w:id="1555506776">
      <w:bodyDiv w:val="1"/>
      <w:marLeft w:val="0"/>
      <w:marRight w:val="0"/>
      <w:marTop w:val="0"/>
      <w:marBottom w:val="0"/>
      <w:divBdr>
        <w:top w:val="none" w:sz="0" w:space="0" w:color="auto"/>
        <w:left w:val="none" w:sz="0" w:space="0" w:color="auto"/>
        <w:bottom w:val="none" w:sz="0" w:space="0" w:color="auto"/>
        <w:right w:val="none" w:sz="0" w:space="0" w:color="auto"/>
      </w:divBdr>
    </w:div>
    <w:div w:id="1556115415">
      <w:marLeft w:val="0"/>
      <w:marRight w:val="0"/>
      <w:marTop w:val="0"/>
      <w:marBottom w:val="0"/>
      <w:divBdr>
        <w:top w:val="none" w:sz="0" w:space="0" w:color="auto"/>
        <w:left w:val="none" w:sz="0" w:space="0" w:color="auto"/>
        <w:bottom w:val="none" w:sz="0" w:space="0" w:color="auto"/>
        <w:right w:val="none" w:sz="0" w:space="0" w:color="auto"/>
      </w:divBdr>
    </w:div>
    <w:div w:id="1556891794">
      <w:bodyDiv w:val="1"/>
      <w:marLeft w:val="0"/>
      <w:marRight w:val="0"/>
      <w:marTop w:val="0"/>
      <w:marBottom w:val="0"/>
      <w:divBdr>
        <w:top w:val="none" w:sz="0" w:space="0" w:color="auto"/>
        <w:left w:val="none" w:sz="0" w:space="0" w:color="auto"/>
        <w:bottom w:val="none" w:sz="0" w:space="0" w:color="auto"/>
        <w:right w:val="none" w:sz="0" w:space="0" w:color="auto"/>
      </w:divBdr>
    </w:div>
    <w:div w:id="1558394578">
      <w:bodyDiv w:val="1"/>
      <w:marLeft w:val="0"/>
      <w:marRight w:val="0"/>
      <w:marTop w:val="0"/>
      <w:marBottom w:val="0"/>
      <w:divBdr>
        <w:top w:val="none" w:sz="0" w:space="0" w:color="auto"/>
        <w:left w:val="none" w:sz="0" w:space="0" w:color="auto"/>
        <w:bottom w:val="none" w:sz="0" w:space="0" w:color="auto"/>
        <w:right w:val="none" w:sz="0" w:space="0" w:color="auto"/>
      </w:divBdr>
    </w:div>
    <w:div w:id="1559516001">
      <w:bodyDiv w:val="1"/>
      <w:marLeft w:val="0"/>
      <w:marRight w:val="0"/>
      <w:marTop w:val="0"/>
      <w:marBottom w:val="0"/>
      <w:divBdr>
        <w:top w:val="none" w:sz="0" w:space="0" w:color="auto"/>
        <w:left w:val="none" w:sz="0" w:space="0" w:color="auto"/>
        <w:bottom w:val="none" w:sz="0" w:space="0" w:color="auto"/>
        <w:right w:val="none" w:sz="0" w:space="0" w:color="auto"/>
      </w:divBdr>
    </w:div>
    <w:div w:id="1561163188">
      <w:bodyDiv w:val="1"/>
      <w:marLeft w:val="0"/>
      <w:marRight w:val="0"/>
      <w:marTop w:val="0"/>
      <w:marBottom w:val="0"/>
      <w:divBdr>
        <w:top w:val="none" w:sz="0" w:space="0" w:color="auto"/>
        <w:left w:val="none" w:sz="0" w:space="0" w:color="auto"/>
        <w:bottom w:val="none" w:sz="0" w:space="0" w:color="auto"/>
        <w:right w:val="none" w:sz="0" w:space="0" w:color="auto"/>
      </w:divBdr>
    </w:div>
    <w:div w:id="1562592021">
      <w:bodyDiv w:val="1"/>
      <w:marLeft w:val="0"/>
      <w:marRight w:val="0"/>
      <w:marTop w:val="0"/>
      <w:marBottom w:val="0"/>
      <w:divBdr>
        <w:top w:val="none" w:sz="0" w:space="0" w:color="auto"/>
        <w:left w:val="none" w:sz="0" w:space="0" w:color="auto"/>
        <w:bottom w:val="none" w:sz="0" w:space="0" w:color="auto"/>
        <w:right w:val="none" w:sz="0" w:space="0" w:color="auto"/>
      </w:divBdr>
    </w:div>
    <w:div w:id="1564556767">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566066615">
      <w:bodyDiv w:val="1"/>
      <w:marLeft w:val="0"/>
      <w:marRight w:val="0"/>
      <w:marTop w:val="0"/>
      <w:marBottom w:val="0"/>
      <w:divBdr>
        <w:top w:val="none" w:sz="0" w:space="0" w:color="auto"/>
        <w:left w:val="none" w:sz="0" w:space="0" w:color="auto"/>
        <w:bottom w:val="none" w:sz="0" w:space="0" w:color="auto"/>
        <w:right w:val="none" w:sz="0" w:space="0" w:color="auto"/>
      </w:divBdr>
    </w:div>
    <w:div w:id="1568607464">
      <w:marLeft w:val="0"/>
      <w:marRight w:val="0"/>
      <w:marTop w:val="0"/>
      <w:marBottom w:val="0"/>
      <w:divBdr>
        <w:top w:val="none" w:sz="0" w:space="0" w:color="auto"/>
        <w:left w:val="none" w:sz="0" w:space="0" w:color="auto"/>
        <w:bottom w:val="none" w:sz="0" w:space="0" w:color="auto"/>
        <w:right w:val="none" w:sz="0" w:space="0" w:color="auto"/>
      </w:divBdr>
    </w:div>
    <w:div w:id="1571500124">
      <w:bodyDiv w:val="1"/>
      <w:marLeft w:val="0"/>
      <w:marRight w:val="0"/>
      <w:marTop w:val="0"/>
      <w:marBottom w:val="0"/>
      <w:divBdr>
        <w:top w:val="none" w:sz="0" w:space="0" w:color="auto"/>
        <w:left w:val="none" w:sz="0" w:space="0" w:color="auto"/>
        <w:bottom w:val="none" w:sz="0" w:space="0" w:color="auto"/>
        <w:right w:val="none" w:sz="0" w:space="0" w:color="auto"/>
      </w:divBdr>
    </w:div>
    <w:div w:id="1579513389">
      <w:bodyDiv w:val="1"/>
      <w:marLeft w:val="0"/>
      <w:marRight w:val="0"/>
      <w:marTop w:val="0"/>
      <w:marBottom w:val="0"/>
      <w:divBdr>
        <w:top w:val="none" w:sz="0" w:space="0" w:color="auto"/>
        <w:left w:val="none" w:sz="0" w:space="0" w:color="auto"/>
        <w:bottom w:val="none" w:sz="0" w:space="0" w:color="auto"/>
        <w:right w:val="none" w:sz="0" w:space="0" w:color="auto"/>
      </w:divBdr>
    </w:div>
    <w:div w:id="1581788984">
      <w:bodyDiv w:val="1"/>
      <w:marLeft w:val="0"/>
      <w:marRight w:val="0"/>
      <w:marTop w:val="0"/>
      <w:marBottom w:val="0"/>
      <w:divBdr>
        <w:top w:val="none" w:sz="0" w:space="0" w:color="auto"/>
        <w:left w:val="none" w:sz="0" w:space="0" w:color="auto"/>
        <w:bottom w:val="none" w:sz="0" w:space="0" w:color="auto"/>
        <w:right w:val="none" w:sz="0" w:space="0" w:color="auto"/>
      </w:divBdr>
    </w:div>
    <w:div w:id="1582256428">
      <w:bodyDiv w:val="1"/>
      <w:marLeft w:val="0"/>
      <w:marRight w:val="0"/>
      <w:marTop w:val="0"/>
      <w:marBottom w:val="0"/>
      <w:divBdr>
        <w:top w:val="none" w:sz="0" w:space="0" w:color="auto"/>
        <w:left w:val="none" w:sz="0" w:space="0" w:color="auto"/>
        <w:bottom w:val="none" w:sz="0" w:space="0" w:color="auto"/>
        <w:right w:val="none" w:sz="0" w:space="0" w:color="auto"/>
      </w:divBdr>
    </w:div>
    <w:div w:id="1589264142">
      <w:bodyDiv w:val="1"/>
      <w:marLeft w:val="0"/>
      <w:marRight w:val="0"/>
      <w:marTop w:val="0"/>
      <w:marBottom w:val="0"/>
      <w:divBdr>
        <w:top w:val="none" w:sz="0" w:space="0" w:color="auto"/>
        <w:left w:val="none" w:sz="0" w:space="0" w:color="auto"/>
        <w:bottom w:val="none" w:sz="0" w:space="0" w:color="auto"/>
        <w:right w:val="none" w:sz="0" w:space="0" w:color="auto"/>
      </w:divBdr>
    </w:div>
    <w:div w:id="1589382309">
      <w:bodyDiv w:val="1"/>
      <w:marLeft w:val="0"/>
      <w:marRight w:val="0"/>
      <w:marTop w:val="0"/>
      <w:marBottom w:val="0"/>
      <w:divBdr>
        <w:top w:val="none" w:sz="0" w:space="0" w:color="auto"/>
        <w:left w:val="none" w:sz="0" w:space="0" w:color="auto"/>
        <w:bottom w:val="none" w:sz="0" w:space="0" w:color="auto"/>
        <w:right w:val="none" w:sz="0" w:space="0" w:color="auto"/>
      </w:divBdr>
    </w:div>
    <w:div w:id="1589776680">
      <w:bodyDiv w:val="1"/>
      <w:marLeft w:val="0"/>
      <w:marRight w:val="0"/>
      <w:marTop w:val="0"/>
      <w:marBottom w:val="0"/>
      <w:divBdr>
        <w:top w:val="none" w:sz="0" w:space="0" w:color="auto"/>
        <w:left w:val="none" w:sz="0" w:space="0" w:color="auto"/>
        <w:bottom w:val="none" w:sz="0" w:space="0" w:color="auto"/>
        <w:right w:val="none" w:sz="0" w:space="0" w:color="auto"/>
      </w:divBdr>
    </w:div>
    <w:div w:id="1596287382">
      <w:bodyDiv w:val="1"/>
      <w:marLeft w:val="0"/>
      <w:marRight w:val="0"/>
      <w:marTop w:val="0"/>
      <w:marBottom w:val="0"/>
      <w:divBdr>
        <w:top w:val="none" w:sz="0" w:space="0" w:color="auto"/>
        <w:left w:val="none" w:sz="0" w:space="0" w:color="auto"/>
        <w:bottom w:val="none" w:sz="0" w:space="0" w:color="auto"/>
        <w:right w:val="none" w:sz="0" w:space="0" w:color="auto"/>
      </w:divBdr>
    </w:div>
    <w:div w:id="1598830399">
      <w:bodyDiv w:val="1"/>
      <w:marLeft w:val="0"/>
      <w:marRight w:val="0"/>
      <w:marTop w:val="0"/>
      <w:marBottom w:val="0"/>
      <w:divBdr>
        <w:top w:val="none" w:sz="0" w:space="0" w:color="auto"/>
        <w:left w:val="none" w:sz="0" w:space="0" w:color="auto"/>
        <w:bottom w:val="none" w:sz="0" w:space="0" w:color="auto"/>
        <w:right w:val="none" w:sz="0" w:space="0" w:color="auto"/>
      </w:divBdr>
    </w:div>
    <w:div w:id="1599436848">
      <w:bodyDiv w:val="1"/>
      <w:marLeft w:val="0"/>
      <w:marRight w:val="0"/>
      <w:marTop w:val="0"/>
      <w:marBottom w:val="0"/>
      <w:divBdr>
        <w:top w:val="none" w:sz="0" w:space="0" w:color="auto"/>
        <w:left w:val="none" w:sz="0" w:space="0" w:color="auto"/>
        <w:bottom w:val="none" w:sz="0" w:space="0" w:color="auto"/>
        <w:right w:val="none" w:sz="0" w:space="0" w:color="auto"/>
      </w:divBdr>
    </w:div>
    <w:div w:id="1605645349">
      <w:bodyDiv w:val="1"/>
      <w:marLeft w:val="0"/>
      <w:marRight w:val="0"/>
      <w:marTop w:val="0"/>
      <w:marBottom w:val="0"/>
      <w:divBdr>
        <w:top w:val="none" w:sz="0" w:space="0" w:color="auto"/>
        <w:left w:val="none" w:sz="0" w:space="0" w:color="auto"/>
        <w:bottom w:val="none" w:sz="0" w:space="0" w:color="auto"/>
        <w:right w:val="none" w:sz="0" w:space="0" w:color="auto"/>
      </w:divBdr>
    </w:div>
    <w:div w:id="1606036024">
      <w:bodyDiv w:val="1"/>
      <w:marLeft w:val="0"/>
      <w:marRight w:val="0"/>
      <w:marTop w:val="0"/>
      <w:marBottom w:val="0"/>
      <w:divBdr>
        <w:top w:val="none" w:sz="0" w:space="0" w:color="auto"/>
        <w:left w:val="none" w:sz="0" w:space="0" w:color="auto"/>
        <w:bottom w:val="none" w:sz="0" w:space="0" w:color="auto"/>
        <w:right w:val="none" w:sz="0" w:space="0" w:color="auto"/>
      </w:divBdr>
    </w:div>
    <w:div w:id="1607350718">
      <w:bodyDiv w:val="1"/>
      <w:marLeft w:val="0"/>
      <w:marRight w:val="0"/>
      <w:marTop w:val="0"/>
      <w:marBottom w:val="0"/>
      <w:divBdr>
        <w:top w:val="none" w:sz="0" w:space="0" w:color="auto"/>
        <w:left w:val="none" w:sz="0" w:space="0" w:color="auto"/>
        <w:bottom w:val="none" w:sz="0" w:space="0" w:color="auto"/>
        <w:right w:val="none" w:sz="0" w:space="0" w:color="auto"/>
      </w:divBdr>
    </w:div>
    <w:div w:id="1607691672">
      <w:bodyDiv w:val="1"/>
      <w:marLeft w:val="0"/>
      <w:marRight w:val="0"/>
      <w:marTop w:val="0"/>
      <w:marBottom w:val="0"/>
      <w:divBdr>
        <w:top w:val="none" w:sz="0" w:space="0" w:color="auto"/>
        <w:left w:val="none" w:sz="0" w:space="0" w:color="auto"/>
        <w:bottom w:val="none" w:sz="0" w:space="0" w:color="auto"/>
        <w:right w:val="none" w:sz="0" w:space="0" w:color="auto"/>
      </w:divBdr>
    </w:div>
    <w:div w:id="1608075969">
      <w:bodyDiv w:val="1"/>
      <w:marLeft w:val="0"/>
      <w:marRight w:val="0"/>
      <w:marTop w:val="0"/>
      <w:marBottom w:val="0"/>
      <w:divBdr>
        <w:top w:val="none" w:sz="0" w:space="0" w:color="auto"/>
        <w:left w:val="none" w:sz="0" w:space="0" w:color="auto"/>
        <w:bottom w:val="none" w:sz="0" w:space="0" w:color="auto"/>
        <w:right w:val="none" w:sz="0" w:space="0" w:color="auto"/>
      </w:divBdr>
    </w:div>
    <w:div w:id="1608123986">
      <w:marLeft w:val="0"/>
      <w:marRight w:val="0"/>
      <w:marTop w:val="0"/>
      <w:marBottom w:val="0"/>
      <w:divBdr>
        <w:top w:val="none" w:sz="0" w:space="0" w:color="auto"/>
        <w:left w:val="none" w:sz="0" w:space="0" w:color="auto"/>
        <w:bottom w:val="none" w:sz="0" w:space="0" w:color="auto"/>
        <w:right w:val="none" w:sz="0" w:space="0" w:color="auto"/>
      </w:divBdr>
    </w:div>
    <w:div w:id="1608997399">
      <w:bodyDiv w:val="1"/>
      <w:marLeft w:val="0"/>
      <w:marRight w:val="0"/>
      <w:marTop w:val="0"/>
      <w:marBottom w:val="0"/>
      <w:divBdr>
        <w:top w:val="none" w:sz="0" w:space="0" w:color="auto"/>
        <w:left w:val="none" w:sz="0" w:space="0" w:color="auto"/>
        <w:bottom w:val="none" w:sz="0" w:space="0" w:color="auto"/>
        <w:right w:val="none" w:sz="0" w:space="0" w:color="auto"/>
      </w:divBdr>
    </w:div>
    <w:div w:id="1609894549">
      <w:marLeft w:val="0"/>
      <w:marRight w:val="0"/>
      <w:marTop w:val="0"/>
      <w:marBottom w:val="0"/>
      <w:divBdr>
        <w:top w:val="none" w:sz="0" w:space="0" w:color="auto"/>
        <w:left w:val="none" w:sz="0" w:space="0" w:color="auto"/>
        <w:bottom w:val="none" w:sz="0" w:space="0" w:color="auto"/>
        <w:right w:val="none" w:sz="0" w:space="0" w:color="auto"/>
      </w:divBdr>
    </w:div>
    <w:div w:id="1611275871">
      <w:bodyDiv w:val="1"/>
      <w:marLeft w:val="0"/>
      <w:marRight w:val="0"/>
      <w:marTop w:val="0"/>
      <w:marBottom w:val="0"/>
      <w:divBdr>
        <w:top w:val="none" w:sz="0" w:space="0" w:color="auto"/>
        <w:left w:val="none" w:sz="0" w:space="0" w:color="auto"/>
        <w:bottom w:val="none" w:sz="0" w:space="0" w:color="auto"/>
        <w:right w:val="none" w:sz="0" w:space="0" w:color="auto"/>
      </w:divBdr>
    </w:div>
    <w:div w:id="1612199656">
      <w:bodyDiv w:val="1"/>
      <w:marLeft w:val="0"/>
      <w:marRight w:val="0"/>
      <w:marTop w:val="0"/>
      <w:marBottom w:val="0"/>
      <w:divBdr>
        <w:top w:val="none" w:sz="0" w:space="0" w:color="auto"/>
        <w:left w:val="none" w:sz="0" w:space="0" w:color="auto"/>
        <w:bottom w:val="none" w:sz="0" w:space="0" w:color="auto"/>
        <w:right w:val="none" w:sz="0" w:space="0" w:color="auto"/>
      </w:divBdr>
    </w:div>
    <w:div w:id="1612278209">
      <w:bodyDiv w:val="1"/>
      <w:marLeft w:val="0"/>
      <w:marRight w:val="0"/>
      <w:marTop w:val="0"/>
      <w:marBottom w:val="0"/>
      <w:divBdr>
        <w:top w:val="none" w:sz="0" w:space="0" w:color="auto"/>
        <w:left w:val="none" w:sz="0" w:space="0" w:color="auto"/>
        <w:bottom w:val="none" w:sz="0" w:space="0" w:color="auto"/>
        <w:right w:val="none" w:sz="0" w:space="0" w:color="auto"/>
      </w:divBdr>
    </w:div>
    <w:div w:id="1612665240">
      <w:bodyDiv w:val="1"/>
      <w:marLeft w:val="0"/>
      <w:marRight w:val="0"/>
      <w:marTop w:val="0"/>
      <w:marBottom w:val="0"/>
      <w:divBdr>
        <w:top w:val="none" w:sz="0" w:space="0" w:color="auto"/>
        <w:left w:val="none" w:sz="0" w:space="0" w:color="auto"/>
        <w:bottom w:val="none" w:sz="0" w:space="0" w:color="auto"/>
        <w:right w:val="none" w:sz="0" w:space="0" w:color="auto"/>
      </w:divBdr>
    </w:div>
    <w:div w:id="1617130502">
      <w:bodyDiv w:val="1"/>
      <w:marLeft w:val="0"/>
      <w:marRight w:val="0"/>
      <w:marTop w:val="0"/>
      <w:marBottom w:val="0"/>
      <w:divBdr>
        <w:top w:val="none" w:sz="0" w:space="0" w:color="auto"/>
        <w:left w:val="none" w:sz="0" w:space="0" w:color="auto"/>
        <w:bottom w:val="none" w:sz="0" w:space="0" w:color="auto"/>
        <w:right w:val="none" w:sz="0" w:space="0" w:color="auto"/>
      </w:divBdr>
    </w:div>
    <w:div w:id="1620064723">
      <w:bodyDiv w:val="1"/>
      <w:marLeft w:val="0"/>
      <w:marRight w:val="0"/>
      <w:marTop w:val="0"/>
      <w:marBottom w:val="0"/>
      <w:divBdr>
        <w:top w:val="none" w:sz="0" w:space="0" w:color="auto"/>
        <w:left w:val="none" w:sz="0" w:space="0" w:color="auto"/>
        <w:bottom w:val="none" w:sz="0" w:space="0" w:color="auto"/>
        <w:right w:val="none" w:sz="0" w:space="0" w:color="auto"/>
      </w:divBdr>
    </w:div>
    <w:div w:id="1623993986">
      <w:marLeft w:val="0"/>
      <w:marRight w:val="0"/>
      <w:marTop w:val="0"/>
      <w:marBottom w:val="0"/>
      <w:divBdr>
        <w:top w:val="none" w:sz="0" w:space="0" w:color="auto"/>
        <w:left w:val="none" w:sz="0" w:space="0" w:color="auto"/>
        <w:bottom w:val="none" w:sz="0" w:space="0" w:color="auto"/>
        <w:right w:val="none" w:sz="0" w:space="0" w:color="auto"/>
      </w:divBdr>
    </w:div>
    <w:div w:id="1626544896">
      <w:bodyDiv w:val="1"/>
      <w:marLeft w:val="0"/>
      <w:marRight w:val="0"/>
      <w:marTop w:val="0"/>
      <w:marBottom w:val="0"/>
      <w:divBdr>
        <w:top w:val="none" w:sz="0" w:space="0" w:color="auto"/>
        <w:left w:val="none" w:sz="0" w:space="0" w:color="auto"/>
        <w:bottom w:val="none" w:sz="0" w:space="0" w:color="auto"/>
        <w:right w:val="none" w:sz="0" w:space="0" w:color="auto"/>
      </w:divBdr>
    </w:div>
    <w:div w:id="1636989202">
      <w:bodyDiv w:val="1"/>
      <w:marLeft w:val="0"/>
      <w:marRight w:val="0"/>
      <w:marTop w:val="0"/>
      <w:marBottom w:val="0"/>
      <w:divBdr>
        <w:top w:val="none" w:sz="0" w:space="0" w:color="auto"/>
        <w:left w:val="none" w:sz="0" w:space="0" w:color="auto"/>
        <w:bottom w:val="none" w:sz="0" w:space="0" w:color="auto"/>
        <w:right w:val="none" w:sz="0" w:space="0" w:color="auto"/>
      </w:divBdr>
    </w:div>
    <w:div w:id="1638753893">
      <w:bodyDiv w:val="1"/>
      <w:marLeft w:val="0"/>
      <w:marRight w:val="0"/>
      <w:marTop w:val="0"/>
      <w:marBottom w:val="0"/>
      <w:divBdr>
        <w:top w:val="none" w:sz="0" w:space="0" w:color="auto"/>
        <w:left w:val="none" w:sz="0" w:space="0" w:color="auto"/>
        <w:bottom w:val="none" w:sz="0" w:space="0" w:color="auto"/>
        <w:right w:val="none" w:sz="0" w:space="0" w:color="auto"/>
      </w:divBdr>
    </w:div>
    <w:div w:id="1640764399">
      <w:bodyDiv w:val="1"/>
      <w:marLeft w:val="0"/>
      <w:marRight w:val="0"/>
      <w:marTop w:val="0"/>
      <w:marBottom w:val="0"/>
      <w:divBdr>
        <w:top w:val="none" w:sz="0" w:space="0" w:color="auto"/>
        <w:left w:val="none" w:sz="0" w:space="0" w:color="auto"/>
        <w:bottom w:val="none" w:sz="0" w:space="0" w:color="auto"/>
        <w:right w:val="none" w:sz="0" w:space="0" w:color="auto"/>
      </w:divBdr>
    </w:div>
    <w:div w:id="1642074892">
      <w:bodyDiv w:val="1"/>
      <w:marLeft w:val="0"/>
      <w:marRight w:val="0"/>
      <w:marTop w:val="0"/>
      <w:marBottom w:val="0"/>
      <w:divBdr>
        <w:top w:val="none" w:sz="0" w:space="0" w:color="auto"/>
        <w:left w:val="none" w:sz="0" w:space="0" w:color="auto"/>
        <w:bottom w:val="none" w:sz="0" w:space="0" w:color="auto"/>
        <w:right w:val="none" w:sz="0" w:space="0" w:color="auto"/>
      </w:divBdr>
    </w:div>
    <w:div w:id="1642615863">
      <w:bodyDiv w:val="1"/>
      <w:marLeft w:val="0"/>
      <w:marRight w:val="0"/>
      <w:marTop w:val="0"/>
      <w:marBottom w:val="0"/>
      <w:divBdr>
        <w:top w:val="none" w:sz="0" w:space="0" w:color="auto"/>
        <w:left w:val="none" w:sz="0" w:space="0" w:color="auto"/>
        <w:bottom w:val="none" w:sz="0" w:space="0" w:color="auto"/>
        <w:right w:val="none" w:sz="0" w:space="0" w:color="auto"/>
      </w:divBdr>
    </w:div>
    <w:div w:id="1645894521">
      <w:bodyDiv w:val="1"/>
      <w:marLeft w:val="0"/>
      <w:marRight w:val="0"/>
      <w:marTop w:val="0"/>
      <w:marBottom w:val="0"/>
      <w:divBdr>
        <w:top w:val="none" w:sz="0" w:space="0" w:color="auto"/>
        <w:left w:val="none" w:sz="0" w:space="0" w:color="auto"/>
        <w:bottom w:val="none" w:sz="0" w:space="0" w:color="auto"/>
        <w:right w:val="none" w:sz="0" w:space="0" w:color="auto"/>
      </w:divBdr>
    </w:div>
    <w:div w:id="1646206337">
      <w:bodyDiv w:val="1"/>
      <w:marLeft w:val="0"/>
      <w:marRight w:val="0"/>
      <w:marTop w:val="0"/>
      <w:marBottom w:val="0"/>
      <w:divBdr>
        <w:top w:val="none" w:sz="0" w:space="0" w:color="auto"/>
        <w:left w:val="none" w:sz="0" w:space="0" w:color="auto"/>
        <w:bottom w:val="none" w:sz="0" w:space="0" w:color="auto"/>
        <w:right w:val="none" w:sz="0" w:space="0" w:color="auto"/>
      </w:divBdr>
    </w:div>
    <w:div w:id="1647395404">
      <w:bodyDiv w:val="1"/>
      <w:marLeft w:val="0"/>
      <w:marRight w:val="0"/>
      <w:marTop w:val="0"/>
      <w:marBottom w:val="0"/>
      <w:divBdr>
        <w:top w:val="none" w:sz="0" w:space="0" w:color="auto"/>
        <w:left w:val="none" w:sz="0" w:space="0" w:color="auto"/>
        <w:bottom w:val="none" w:sz="0" w:space="0" w:color="auto"/>
        <w:right w:val="none" w:sz="0" w:space="0" w:color="auto"/>
      </w:divBdr>
    </w:div>
    <w:div w:id="1651254070">
      <w:bodyDiv w:val="1"/>
      <w:marLeft w:val="0"/>
      <w:marRight w:val="0"/>
      <w:marTop w:val="0"/>
      <w:marBottom w:val="0"/>
      <w:divBdr>
        <w:top w:val="none" w:sz="0" w:space="0" w:color="auto"/>
        <w:left w:val="none" w:sz="0" w:space="0" w:color="auto"/>
        <w:bottom w:val="none" w:sz="0" w:space="0" w:color="auto"/>
        <w:right w:val="none" w:sz="0" w:space="0" w:color="auto"/>
      </w:divBdr>
    </w:div>
    <w:div w:id="1654214796">
      <w:bodyDiv w:val="1"/>
      <w:marLeft w:val="0"/>
      <w:marRight w:val="0"/>
      <w:marTop w:val="0"/>
      <w:marBottom w:val="0"/>
      <w:divBdr>
        <w:top w:val="none" w:sz="0" w:space="0" w:color="auto"/>
        <w:left w:val="none" w:sz="0" w:space="0" w:color="auto"/>
        <w:bottom w:val="none" w:sz="0" w:space="0" w:color="auto"/>
        <w:right w:val="none" w:sz="0" w:space="0" w:color="auto"/>
      </w:divBdr>
    </w:div>
    <w:div w:id="1655138397">
      <w:bodyDiv w:val="1"/>
      <w:marLeft w:val="0"/>
      <w:marRight w:val="0"/>
      <w:marTop w:val="0"/>
      <w:marBottom w:val="0"/>
      <w:divBdr>
        <w:top w:val="none" w:sz="0" w:space="0" w:color="auto"/>
        <w:left w:val="none" w:sz="0" w:space="0" w:color="auto"/>
        <w:bottom w:val="none" w:sz="0" w:space="0" w:color="auto"/>
        <w:right w:val="none" w:sz="0" w:space="0" w:color="auto"/>
      </w:divBdr>
    </w:div>
    <w:div w:id="1659113281">
      <w:bodyDiv w:val="1"/>
      <w:marLeft w:val="0"/>
      <w:marRight w:val="0"/>
      <w:marTop w:val="0"/>
      <w:marBottom w:val="0"/>
      <w:divBdr>
        <w:top w:val="none" w:sz="0" w:space="0" w:color="auto"/>
        <w:left w:val="none" w:sz="0" w:space="0" w:color="auto"/>
        <w:bottom w:val="none" w:sz="0" w:space="0" w:color="auto"/>
        <w:right w:val="none" w:sz="0" w:space="0" w:color="auto"/>
      </w:divBdr>
    </w:div>
    <w:div w:id="1659185615">
      <w:bodyDiv w:val="1"/>
      <w:marLeft w:val="0"/>
      <w:marRight w:val="0"/>
      <w:marTop w:val="0"/>
      <w:marBottom w:val="0"/>
      <w:divBdr>
        <w:top w:val="none" w:sz="0" w:space="0" w:color="auto"/>
        <w:left w:val="none" w:sz="0" w:space="0" w:color="auto"/>
        <w:bottom w:val="none" w:sz="0" w:space="0" w:color="auto"/>
        <w:right w:val="none" w:sz="0" w:space="0" w:color="auto"/>
      </w:divBdr>
    </w:div>
    <w:div w:id="1661889763">
      <w:bodyDiv w:val="1"/>
      <w:marLeft w:val="0"/>
      <w:marRight w:val="0"/>
      <w:marTop w:val="0"/>
      <w:marBottom w:val="0"/>
      <w:divBdr>
        <w:top w:val="none" w:sz="0" w:space="0" w:color="auto"/>
        <w:left w:val="none" w:sz="0" w:space="0" w:color="auto"/>
        <w:bottom w:val="none" w:sz="0" w:space="0" w:color="auto"/>
        <w:right w:val="none" w:sz="0" w:space="0" w:color="auto"/>
      </w:divBdr>
    </w:div>
    <w:div w:id="1664428747">
      <w:marLeft w:val="0"/>
      <w:marRight w:val="0"/>
      <w:marTop w:val="0"/>
      <w:marBottom w:val="0"/>
      <w:divBdr>
        <w:top w:val="none" w:sz="0" w:space="0" w:color="auto"/>
        <w:left w:val="none" w:sz="0" w:space="0" w:color="auto"/>
        <w:bottom w:val="none" w:sz="0" w:space="0" w:color="auto"/>
        <w:right w:val="none" w:sz="0" w:space="0" w:color="auto"/>
      </w:divBdr>
    </w:div>
    <w:div w:id="1667170381">
      <w:bodyDiv w:val="1"/>
      <w:marLeft w:val="0"/>
      <w:marRight w:val="0"/>
      <w:marTop w:val="0"/>
      <w:marBottom w:val="0"/>
      <w:divBdr>
        <w:top w:val="none" w:sz="0" w:space="0" w:color="auto"/>
        <w:left w:val="none" w:sz="0" w:space="0" w:color="auto"/>
        <w:bottom w:val="none" w:sz="0" w:space="0" w:color="auto"/>
        <w:right w:val="none" w:sz="0" w:space="0" w:color="auto"/>
      </w:divBdr>
    </w:div>
    <w:div w:id="1670861487">
      <w:bodyDiv w:val="1"/>
      <w:marLeft w:val="0"/>
      <w:marRight w:val="0"/>
      <w:marTop w:val="0"/>
      <w:marBottom w:val="0"/>
      <w:divBdr>
        <w:top w:val="none" w:sz="0" w:space="0" w:color="auto"/>
        <w:left w:val="none" w:sz="0" w:space="0" w:color="auto"/>
        <w:bottom w:val="none" w:sz="0" w:space="0" w:color="auto"/>
        <w:right w:val="none" w:sz="0" w:space="0" w:color="auto"/>
      </w:divBdr>
    </w:div>
    <w:div w:id="1673022085">
      <w:bodyDiv w:val="1"/>
      <w:marLeft w:val="0"/>
      <w:marRight w:val="0"/>
      <w:marTop w:val="0"/>
      <w:marBottom w:val="0"/>
      <w:divBdr>
        <w:top w:val="none" w:sz="0" w:space="0" w:color="auto"/>
        <w:left w:val="none" w:sz="0" w:space="0" w:color="auto"/>
        <w:bottom w:val="none" w:sz="0" w:space="0" w:color="auto"/>
        <w:right w:val="none" w:sz="0" w:space="0" w:color="auto"/>
      </w:divBdr>
    </w:div>
    <w:div w:id="1673796259">
      <w:bodyDiv w:val="1"/>
      <w:marLeft w:val="0"/>
      <w:marRight w:val="0"/>
      <w:marTop w:val="0"/>
      <w:marBottom w:val="0"/>
      <w:divBdr>
        <w:top w:val="none" w:sz="0" w:space="0" w:color="auto"/>
        <w:left w:val="none" w:sz="0" w:space="0" w:color="auto"/>
        <w:bottom w:val="none" w:sz="0" w:space="0" w:color="auto"/>
        <w:right w:val="none" w:sz="0" w:space="0" w:color="auto"/>
      </w:divBdr>
    </w:div>
    <w:div w:id="1676027925">
      <w:bodyDiv w:val="1"/>
      <w:marLeft w:val="0"/>
      <w:marRight w:val="0"/>
      <w:marTop w:val="0"/>
      <w:marBottom w:val="0"/>
      <w:divBdr>
        <w:top w:val="none" w:sz="0" w:space="0" w:color="auto"/>
        <w:left w:val="none" w:sz="0" w:space="0" w:color="auto"/>
        <w:bottom w:val="none" w:sz="0" w:space="0" w:color="auto"/>
        <w:right w:val="none" w:sz="0" w:space="0" w:color="auto"/>
      </w:divBdr>
    </w:div>
    <w:div w:id="1677339034">
      <w:bodyDiv w:val="1"/>
      <w:marLeft w:val="0"/>
      <w:marRight w:val="0"/>
      <w:marTop w:val="0"/>
      <w:marBottom w:val="0"/>
      <w:divBdr>
        <w:top w:val="none" w:sz="0" w:space="0" w:color="auto"/>
        <w:left w:val="none" w:sz="0" w:space="0" w:color="auto"/>
        <w:bottom w:val="none" w:sz="0" w:space="0" w:color="auto"/>
        <w:right w:val="none" w:sz="0" w:space="0" w:color="auto"/>
      </w:divBdr>
    </w:div>
    <w:div w:id="1679772194">
      <w:marLeft w:val="0"/>
      <w:marRight w:val="0"/>
      <w:marTop w:val="0"/>
      <w:marBottom w:val="0"/>
      <w:divBdr>
        <w:top w:val="none" w:sz="0" w:space="0" w:color="auto"/>
        <w:left w:val="none" w:sz="0" w:space="0" w:color="auto"/>
        <w:bottom w:val="none" w:sz="0" w:space="0" w:color="auto"/>
        <w:right w:val="none" w:sz="0" w:space="0" w:color="auto"/>
      </w:divBdr>
    </w:div>
    <w:div w:id="1682471727">
      <w:bodyDiv w:val="1"/>
      <w:marLeft w:val="0"/>
      <w:marRight w:val="0"/>
      <w:marTop w:val="0"/>
      <w:marBottom w:val="0"/>
      <w:divBdr>
        <w:top w:val="none" w:sz="0" w:space="0" w:color="auto"/>
        <w:left w:val="none" w:sz="0" w:space="0" w:color="auto"/>
        <w:bottom w:val="none" w:sz="0" w:space="0" w:color="auto"/>
        <w:right w:val="none" w:sz="0" w:space="0" w:color="auto"/>
      </w:divBdr>
    </w:div>
    <w:div w:id="1682970010">
      <w:bodyDiv w:val="1"/>
      <w:marLeft w:val="0"/>
      <w:marRight w:val="0"/>
      <w:marTop w:val="0"/>
      <w:marBottom w:val="0"/>
      <w:divBdr>
        <w:top w:val="none" w:sz="0" w:space="0" w:color="auto"/>
        <w:left w:val="none" w:sz="0" w:space="0" w:color="auto"/>
        <w:bottom w:val="none" w:sz="0" w:space="0" w:color="auto"/>
        <w:right w:val="none" w:sz="0" w:space="0" w:color="auto"/>
      </w:divBdr>
    </w:div>
    <w:div w:id="1684237283">
      <w:bodyDiv w:val="1"/>
      <w:marLeft w:val="0"/>
      <w:marRight w:val="0"/>
      <w:marTop w:val="0"/>
      <w:marBottom w:val="0"/>
      <w:divBdr>
        <w:top w:val="none" w:sz="0" w:space="0" w:color="auto"/>
        <w:left w:val="none" w:sz="0" w:space="0" w:color="auto"/>
        <w:bottom w:val="none" w:sz="0" w:space="0" w:color="auto"/>
        <w:right w:val="none" w:sz="0" w:space="0" w:color="auto"/>
      </w:divBdr>
    </w:div>
    <w:div w:id="1685591214">
      <w:bodyDiv w:val="1"/>
      <w:marLeft w:val="0"/>
      <w:marRight w:val="0"/>
      <w:marTop w:val="0"/>
      <w:marBottom w:val="0"/>
      <w:divBdr>
        <w:top w:val="none" w:sz="0" w:space="0" w:color="auto"/>
        <w:left w:val="none" w:sz="0" w:space="0" w:color="auto"/>
        <w:bottom w:val="none" w:sz="0" w:space="0" w:color="auto"/>
        <w:right w:val="none" w:sz="0" w:space="0" w:color="auto"/>
      </w:divBdr>
    </w:div>
    <w:div w:id="1685747655">
      <w:bodyDiv w:val="1"/>
      <w:marLeft w:val="0"/>
      <w:marRight w:val="0"/>
      <w:marTop w:val="0"/>
      <w:marBottom w:val="0"/>
      <w:divBdr>
        <w:top w:val="none" w:sz="0" w:space="0" w:color="auto"/>
        <w:left w:val="none" w:sz="0" w:space="0" w:color="auto"/>
        <w:bottom w:val="none" w:sz="0" w:space="0" w:color="auto"/>
        <w:right w:val="none" w:sz="0" w:space="0" w:color="auto"/>
      </w:divBdr>
    </w:div>
    <w:div w:id="1691450785">
      <w:bodyDiv w:val="1"/>
      <w:marLeft w:val="0"/>
      <w:marRight w:val="0"/>
      <w:marTop w:val="0"/>
      <w:marBottom w:val="0"/>
      <w:divBdr>
        <w:top w:val="none" w:sz="0" w:space="0" w:color="auto"/>
        <w:left w:val="none" w:sz="0" w:space="0" w:color="auto"/>
        <w:bottom w:val="none" w:sz="0" w:space="0" w:color="auto"/>
        <w:right w:val="none" w:sz="0" w:space="0" w:color="auto"/>
      </w:divBdr>
    </w:div>
    <w:div w:id="1693533616">
      <w:bodyDiv w:val="1"/>
      <w:marLeft w:val="0"/>
      <w:marRight w:val="0"/>
      <w:marTop w:val="0"/>
      <w:marBottom w:val="0"/>
      <w:divBdr>
        <w:top w:val="none" w:sz="0" w:space="0" w:color="auto"/>
        <w:left w:val="none" w:sz="0" w:space="0" w:color="auto"/>
        <w:bottom w:val="none" w:sz="0" w:space="0" w:color="auto"/>
        <w:right w:val="none" w:sz="0" w:space="0" w:color="auto"/>
      </w:divBdr>
    </w:div>
    <w:div w:id="1694460468">
      <w:bodyDiv w:val="1"/>
      <w:marLeft w:val="0"/>
      <w:marRight w:val="0"/>
      <w:marTop w:val="0"/>
      <w:marBottom w:val="0"/>
      <w:divBdr>
        <w:top w:val="none" w:sz="0" w:space="0" w:color="auto"/>
        <w:left w:val="none" w:sz="0" w:space="0" w:color="auto"/>
        <w:bottom w:val="none" w:sz="0" w:space="0" w:color="auto"/>
        <w:right w:val="none" w:sz="0" w:space="0" w:color="auto"/>
      </w:divBdr>
    </w:div>
    <w:div w:id="1695231221">
      <w:marLeft w:val="0"/>
      <w:marRight w:val="0"/>
      <w:marTop w:val="0"/>
      <w:marBottom w:val="0"/>
      <w:divBdr>
        <w:top w:val="none" w:sz="0" w:space="0" w:color="auto"/>
        <w:left w:val="none" w:sz="0" w:space="0" w:color="auto"/>
        <w:bottom w:val="none" w:sz="0" w:space="0" w:color="auto"/>
        <w:right w:val="none" w:sz="0" w:space="0" w:color="auto"/>
      </w:divBdr>
    </w:div>
    <w:div w:id="1697075279">
      <w:bodyDiv w:val="1"/>
      <w:marLeft w:val="0"/>
      <w:marRight w:val="0"/>
      <w:marTop w:val="0"/>
      <w:marBottom w:val="0"/>
      <w:divBdr>
        <w:top w:val="none" w:sz="0" w:space="0" w:color="auto"/>
        <w:left w:val="none" w:sz="0" w:space="0" w:color="auto"/>
        <w:bottom w:val="none" w:sz="0" w:space="0" w:color="auto"/>
        <w:right w:val="none" w:sz="0" w:space="0" w:color="auto"/>
      </w:divBdr>
    </w:div>
    <w:div w:id="1697853781">
      <w:bodyDiv w:val="1"/>
      <w:marLeft w:val="0"/>
      <w:marRight w:val="0"/>
      <w:marTop w:val="0"/>
      <w:marBottom w:val="0"/>
      <w:divBdr>
        <w:top w:val="none" w:sz="0" w:space="0" w:color="auto"/>
        <w:left w:val="none" w:sz="0" w:space="0" w:color="auto"/>
        <w:bottom w:val="none" w:sz="0" w:space="0" w:color="auto"/>
        <w:right w:val="none" w:sz="0" w:space="0" w:color="auto"/>
      </w:divBdr>
    </w:div>
    <w:div w:id="1700203987">
      <w:bodyDiv w:val="1"/>
      <w:marLeft w:val="0"/>
      <w:marRight w:val="0"/>
      <w:marTop w:val="0"/>
      <w:marBottom w:val="0"/>
      <w:divBdr>
        <w:top w:val="none" w:sz="0" w:space="0" w:color="auto"/>
        <w:left w:val="none" w:sz="0" w:space="0" w:color="auto"/>
        <w:bottom w:val="none" w:sz="0" w:space="0" w:color="auto"/>
        <w:right w:val="none" w:sz="0" w:space="0" w:color="auto"/>
      </w:divBdr>
    </w:div>
    <w:div w:id="1702389729">
      <w:bodyDiv w:val="1"/>
      <w:marLeft w:val="0"/>
      <w:marRight w:val="0"/>
      <w:marTop w:val="0"/>
      <w:marBottom w:val="0"/>
      <w:divBdr>
        <w:top w:val="none" w:sz="0" w:space="0" w:color="auto"/>
        <w:left w:val="none" w:sz="0" w:space="0" w:color="auto"/>
        <w:bottom w:val="none" w:sz="0" w:space="0" w:color="auto"/>
        <w:right w:val="none" w:sz="0" w:space="0" w:color="auto"/>
      </w:divBdr>
    </w:div>
    <w:div w:id="1702513541">
      <w:marLeft w:val="0"/>
      <w:marRight w:val="0"/>
      <w:marTop w:val="0"/>
      <w:marBottom w:val="0"/>
      <w:divBdr>
        <w:top w:val="none" w:sz="0" w:space="0" w:color="auto"/>
        <w:left w:val="none" w:sz="0" w:space="0" w:color="auto"/>
        <w:bottom w:val="none" w:sz="0" w:space="0" w:color="auto"/>
        <w:right w:val="none" w:sz="0" w:space="0" w:color="auto"/>
      </w:divBdr>
    </w:div>
    <w:div w:id="1704209601">
      <w:bodyDiv w:val="1"/>
      <w:marLeft w:val="0"/>
      <w:marRight w:val="0"/>
      <w:marTop w:val="0"/>
      <w:marBottom w:val="0"/>
      <w:divBdr>
        <w:top w:val="none" w:sz="0" w:space="0" w:color="auto"/>
        <w:left w:val="none" w:sz="0" w:space="0" w:color="auto"/>
        <w:bottom w:val="none" w:sz="0" w:space="0" w:color="auto"/>
        <w:right w:val="none" w:sz="0" w:space="0" w:color="auto"/>
      </w:divBdr>
    </w:div>
    <w:div w:id="1706710016">
      <w:bodyDiv w:val="1"/>
      <w:marLeft w:val="0"/>
      <w:marRight w:val="0"/>
      <w:marTop w:val="0"/>
      <w:marBottom w:val="0"/>
      <w:divBdr>
        <w:top w:val="none" w:sz="0" w:space="0" w:color="auto"/>
        <w:left w:val="none" w:sz="0" w:space="0" w:color="auto"/>
        <w:bottom w:val="none" w:sz="0" w:space="0" w:color="auto"/>
        <w:right w:val="none" w:sz="0" w:space="0" w:color="auto"/>
      </w:divBdr>
    </w:div>
    <w:div w:id="1712193628">
      <w:bodyDiv w:val="1"/>
      <w:marLeft w:val="0"/>
      <w:marRight w:val="0"/>
      <w:marTop w:val="0"/>
      <w:marBottom w:val="0"/>
      <w:divBdr>
        <w:top w:val="none" w:sz="0" w:space="0" w:color="auto"/>
        <w:left w:val="none" w:sz="0" w:space="0" w:color="auto"/>
        <w:bottom w:val="none" w:sz="0" w:space="0" w:color="auto"/>
        <w:right w:val="none" w:sz="0" w:space="0" w:color="auto"/>
      </w:divBdr>
    </w:div>
    <w:div w:id="1719864061">
      <w:bodyDiv w:val="1"/>
      <w:marLeft w:val="0"/>
      <w:marRight w:val="0"/>
      <w:marTop w:val="0"/>
      <w:marBottom w:val="0"/>
      <w:divBdr>
        <w:top w:val="none" w:sz="0" w:space="0" w:color="auto"/>
        <w:left w:val="none" w:sz="0" w:space="0" w:color="auto"/>
        <w:bottom w:val="none" w:sz="0" w:space="0" w:color="auto"/>
        <w:right w:val="none" w:sz="0" w:space="0" w:color="auto"/>
      </w:divBdr>
    </w:div>
    <w:div w:id="1720352324">
      <w:bodyDiv w:val="1"/>
      <w:marLeft w:val="0"/>
      <w:marRight w:val="0"/>
      <w:marTop w:val="0"/>
      <w:marBottom w:val="0"/>
      <w:divBdr>
        <w:top w:val="none" w:sz="0" w:space="0" w:color="auto"/>
        <w:left w:val="none" w:sz="0" w:space="0" w:color="auto"/>
        <w:bottom w:val="none" w:sz="0" w:space="0" w:color="auto"/>
        <w:right w:val="none" w:sz="0" w:space="0" w:color="auto"/>
      </w:divBdr>
    </w:div>
    <w:div w:id="1722244639">
      <w:bodyDiv w:val="1"/>
      <w:marLeft w:val="0"/>
      <w:marRight w:val="0"/>
      <w:marTop w:val="0"/>
      <w:marBottom w:val="0"/>
      <w:divBdr>
        <w:top w:val="none" w:sz="0" w:space="0" w:color="auto"/>
        <w:left w:val="none" w:sz="0" w:space="0" w:color="auto"/>
        <w:bottom w:val="none" w:sz="0" w:space="0" w:color="auto"/>
        <w:right w:val="none" w:sz="0" w:space="0" w:color="auto"/>
      </w:divBdr>
    </w:div>
    <w:div w:id="1722289362">
      <w:bodyDiv w:val="1"/>
      <w:marLeft w:val="0"/>
      <w:marRight w:val="0"/>
      <w:marTop w:val="0"/>
      <w:marBottom w:val="0"/>
      <w:divBdr>
        <w:top w:val="none" w:sz="0" w:space="0" w:color="auto"/>
        <w:left w:val="none" w:sz="0" w:space="0" w:color="auto"/>
        <w:bottom w:val="none" w:sz="0" w:space="0" w:color="auto"/>
        <w:right w:val="none" w:sz="0" w:space="0" w:color="auto"/>
      </w:divBdr>
    </w:div>
    <w:div w:id="1722291684">
      <w:bodyDiv w:val="1"/>
      <w:marLeft w:val="0"/>
      <w:marRight w:val="0"/>
      <w:marTop w:val="0"/>
      <w:marBottom w:val="0"/>
      <w:divBdr>
        <w:top w:val="none" w:sz="0" w:space="0" w:color="auto"/>
        <w:left w:val="none" w:sz="0" w:space="0" w:color="auto"/>
        <w:bottom w:val="none" w:sz="0" w:space="0" w:color="auto"/>
        <w:right w:val="none" w:sz="0" w:space="0" w:color="auto"/>
      </w:divBdr>
    </w:div>
    <w:div w:id="1724910369">
      <w:bodyDiv w:val="1"/>
      <w:marLeft w:val="0"/>
      <w:marRight w:val="0"/>
      <w:marTop w:val="0"/>
      <w:marBottom w:val="0"/>
      <w:divBdr>
        <w:top w:val="none" w:sz="0" w:space="0" w:color="auto"/>
        <w:left w:val="none" w:sz="0" w:space="0" w:color="auto"/>
        <w:bottom w:val="none" w:sz="0" w:space="0" w:color="auto"/>
        <w:right w:val="none" w:sz="0" w:space="0" w:color="auto"/>
      </w:divBdr>
    </w:div>
    <w:div w:id="1727795295">
      <w:bodyDiv w:val="1"/>
      <w:marLeft w:val="0"/>
      <w:marRight w:val="0"/>
      <w:marTop w:val="0"/>
      <w:marBottom w:val="0"/>
      <w:divBdr>
        <w:top w:val="none" w:sz="0" w:space="0" w:color="auto"/>
        <w:left w:val="none" w:sz="0" w:space="0" w:color="auto"/>
        <w:bottom w:val="none" w:sz="0" w:space="0" w:color="auto"/>
        <w:right w:val="none" w:sz="0" w:space="0" w:color="auto"/>
      </w:divBdr>
    </w:div>
    <w:div w:id="1728606458">
      <w:bodyDiv w:val="1"/>
      <w:marLeft w:val="0"/>
      <w:marRight w:val="0"/>
      <w:marTop w:val="0"/>
      <w:marBottom w:val="0"/>
      <w:divBdr>
        <w:top w:val="none" w:sz="0" w:space="0" w:color="auto"/>
        <w:left w:val="none" w:sz="0" w:space="0" w:color="auto"/>
        <w:bottom w:val="none" w:sz="0" w:space="0" w:color="auto"/>
        <w:right w:val="none" w:sz="0" w:space="0" w:color="auto"/>
      </w:divBdr>
    </w:div>
    <w:div w:id="1729110839">
      <w:bodyDiv w:val="1"/>
      <w:marLeft w:val="0"/>
      <w:marRight w:val="0"/>
      <w:marTop w:val="0"/>
      <w:marBottom w:val="0"/>
      <w:divBdr>
        <w:top w:val="none" w:sz="0" w:space="0" w:color="auto"/>
        <w:left w:val="none" w:sz="0" w:space="0" w:color="auto"/>
        <w:bottom w:val="none" w:sz="0" w:space="0" w:color="auto"/>
        <w:right w:val="none" w:sz="0" w:space="0" w:color="auto"/>
      </w:divBdr>
    </w:div>
    <w:div w:id="1729838536">
      <w:bodyDiv w:val="1"/>
      <w:marLeft w:val="0"/>
      <w:marRight w:val="0"/>
      <w:marTop w:val="0"/>
      <w:marBottom w:val="0"/>
      <w:divBdr>
        <w:top w:val="none" w:sz="0" w:space="0" w:color="auto"/>
        <w:left w:val="none" w:sz="0" w:space="0" w:color="auto"/>
        <w:bottom w:val="none" w:sz="0" w:space="0" w:color="auto"/>
        <w:right w:val="none" w:sz="0" w:space="0" w:color="auto"/>
      </w:divBdr>
    </w:div>
    <w:div w:id="1731877716">
      <w:bodyDiv w:val="1"/>
      <w:marLeft w:val="0"/>
      <w:marRight w:val="0"/>
      <w:marTop w:val="0"/>
      <w:marBottom w:val="0"/>
      <w:divBdr>
        <w:top w:val="none" w:sz="0" w:space="0" w:color="auto"/>
        <w:left w:val="none" w:sz="0" w:space="0" w:color="auto"/>
        <w:bottom w:val="none" w:sz="0" w:space="0" w:color="auto"/>
        <w:right w:val="none" w:sz="0" w:space="0" w:color="auto"/>
      </w:divBdr>
    </w:div>
    <w:div w:id="1737361708">
      <w:bodyDiv w:val="1"/>
      <w:marLeft w:val="0"/>
      <w:marRight w:val="0"/>
      <w:marTop w:val="0"/>
      <w:marBottom w:val="0"/>
      <w:divBdr>
        <w:top w:val="none" w:sz="0" w:space="0" w:color="auto"/>
        <w:left w:val="none" w:sz="0" w:space="0" w:color="auto"/>
        <w:bottom w:val="none" w:sz="0" w:space="0" w:color="auto"/>
        <w:right w:val="none" w:sz="0" w:space="0" w:color="auto"/>
      </w:divBdr>
    </w:div>
    <w:div w:id="1738435763">
      <w:bodyDiv w:val="1"/>
      <w:marLeft w:val="0"/>
      <w:marRight w:val="0"/>
      <w:marTop w:val="0"/>
      <w:marBottom w:val="0"/>
      <w:divBdr>
        <w:top w:val="none" w:sz="0" w:space="0" w:color="auto"/>
        <w:left w:val="none" w:sz="0" w:space="0" w:color="auto"/>
        <w:bottom w:val="none" w:sz="0" w:space="0" w:color="auto"/>
        <w:right w:val="none" w:sz="0" w:space="0" w:color="auto"/>
      </w:divBdr>
    </w:div>
    <w:div w:id="1740519848">
      <w:bodyDiv w:val="1"/>
      <w:marLeft w:val="0"/>
      <w:marRight w:val="0"/>
      <w:marTop w:val="0"/>
      <w:marBottom w:val="0"/>
      <w:divBdr>
        <w:top w:val="none" w:sz="0" w:space="0" w:color="auto"/>
        <w:left w:val="none" w:sz="0" w:space="0" w:color="auto"/>
        <w:bottom w:val="none" w:sz="0" w:space="0" w:color="auto"/>
        <w:right w:val="none" w:sz="0" w:space="0" w:color="auto"/>
      </w:divBdr>
    </w:div>
    <w:div w:id="1742026048">
      <w:bodyDiv w:val="1"/>
      <w:marLeft w:val="0"/>
      <w:marRight w:val="0"/>
      <w:marTop w:val="0"/>
      <w:marBottom w:val="0"/>
      <w:divBdr>
        <w:top w:val="none" w:sz="0" w:space="0" w:color="auto"/>
        <w:left w:val="none" w:sz="0" w:space="0" w:color="auto"/>
        <w:bottom w:val="none" w:sz="0" w:space="0" w:color="auto"/>
        <w:right w:val="none" w:sz="0" w:space="0" w:color="auto"/>
      </w:divBdr>
    </w:div>
    <w:div w:id="1742672653">
      <w:bodyDiv w:val="1"/>
      <w:marLeft w:val="0"/>
      <w:marRight w:val="0"/>
      <w:marTop w:val="0"/>
      <w:marBottom w:val="0"/>
      <w:divBdr>
        <w:top w:val="none" w:sz="0" w:space="0" w:color="auto"/>
        <w:left w:val="none" w:sz="0" w:space="0" w:color="auto"/>
        <w:bottom w:val="none" w:sz="0" w:space="0" w:color="auto"/>
        <w:right w:val="none" w:sz="0" w:space="0" w:color="auto"/>
      </w:divBdr>
    </w:div>
    <w:div w:id="1743211294">
      <w:bodyDiv w:val="1"/>
      <w:marLeft w:val="0"/>
      <w:marRight w:val="0"/>
      <w:marTop w:val="0"/>
      <w:marBottom w:val="0"/>
      <w:divBdr>
        <w:top w:val="none" w:sz="0" w:space="0" w:color="auto"/>
        <w:left w:val="none" w:sz="0" w:space="0" w:color="auto"/>
        <w:bottom w:val="none" w:sz="0" w:space="0" w:color="auto"/>
        <w:right w:val="none" w:sz="0" w:space="0" w:color="auto"/>
      </w:divBdr>
    </w:div>
    <w:div w:id="1748574206">
      <w:bodyDiv w:val="1"/>
      <w:marLeft w:val="0"/>
      <w:marRight w:val="0"/>
      <w:marTop w:val="0"/>
      <w:marBottom w:val="0"/>
      <w:divBdr>
        <w:top w:val="none" w:sz="0" w:space="0" w:color="auto"/>
        <w:left w:val="none" w:sz="0" w:space="0" w:color="auto"/>
        <w:bottom w:val="none" w:sz="0" w:space="0" w:color="auto"/>
        <w:right w:val="none" w:sz="0" w:space="0" w:color="auto"/>
      </w:divBdr>
    </w:div>
    <w:div w:id="1749303843">
      <w:bodyDiv w:val="1"/>
      <w:marLeft w:val="0"/>
      <w:marRight w:val="0"/>
      <w:marTop w:val="0"/>
      <w:marBottom w:val="0"/>
      <w:divBdr>
        <w:top w:val="none" w:sz="0" w:space="0" w:color="auto"/>
        <w:left w:val="none" w:sz="0" w:space="0" w:color="auto"/>
        <w:bottom w:val="none" w:sz="0" w:space="0" w:color="auto"/>
        <w:right w:val="none" w:sz="0" w:space="0" w:color="auto"/>
      </w:divBdr>
    </w:div>
    <w:div w:id="1749957021">
      <w:bodyDiv w:val="1"/>
      <w:marLeft w:val="0"/>
      <w:marRight w:val="0"/>
      <w:marTop w:val="0"/>
      <w:marBottom w:val="0"/>
      <w:divBdr>
        <w:top w:val="none" w:sz="0" w:space="0" w:color="auto"/>
        <w:left w:val="none" w:sz="0" w:space="0" w:color="auto"/>
        <w:bottom w:val="none" w:sz="0" w:space="0" w:color="auto"/>
        <w:right w:val="none" w:sz="0" w:space="0" w:color="auto"/>
      </w:divBdr>
    </w:div>
    <w:div w:id="1754425546">
      <w:bodyDiv w:val="1"/>
      <w:marLeft w:val="0"/>
      <w:marRight w:val="0"/>
      <w:marTop w:val="0"/>
      <w:marBottom w:val="0"/>
      <w:divBdr>
        <w:top w:val="none" w:sz="0" w:space="0" w:color="auto"/>
        <w:left w:val="none" w:sz="0" w:space="0" w:color="auto"/>
        <w:bottom w:val="none" w:sz="0" w:space="0" w:color="auto"/>
        <w:right w:val="none" w:sz="0" w:space="0" w:color="auto"/>
      </w:divBdr>
    </w:div>
    <w:div w:id="1755660504">
      <w:bodyDiv w:val="1"/>
      <w:marLeft w:val="0"/>
      <w:marRight w:val="0"/>
      <w:marTop w:val="0"/>
      <w:marBottom w:val="0"/>
      <w:divBdr>
        <w:top w:val="none" w:sz="0" w:space="0" w:color="auto"/>
        <w:left w:val="none" w:sz="0" w:space="0" w:color="auto"/>
        <w:bottom w:val="none" w:sz="0" w:space="0" w:color="auto"/>
        <w:right w:val="none" w:sz="0" w:space="0" w:color="auto"/>
      </w:divBdr>
    </w:div>
    <w:div w:id="1757171441">
      <w:bodyDiv w:val="1"/>
      <w:marLeft w:val="0"/>
      <w:marRight w:val="0"/>
      <w:marTop w:val="0"/>
      <w:marBottom w:val="0"/>
      <w:divBdr>
        <w:top w:val="none" w:sz="0" w:space="0" w:color="auto"/>
        <w:left w:val="none" w:sz="0" w:space="0" w:color="auto"/>
        <w:bottom w:val="none" w:sz="0" w:space="0" w:color="auto"/>
        <w:right w:val="none" w:sz="0" w:space="0" w:color="auto"/>
      </w:divBdr>
    </w:div>
    <w:div w:id="1758212213">
      <w:bodyDiv w:val="1"/>
      <w:marLeft w:val="0"/>
      <w:marRight w:val="0"/>
      <w:marTop w:val="0"/>
      <w:marBottom w:val="0"/>
      <w:divBdr>
        <w:top w:val="none" w:sz="0" w:space="0" w:color="auto"/>
        <w:left w:val="none" w:sz="0" w:space="0" w:color="auto"/>
        <w:bottom w:val="none" w:sz="0" w:space="0" w:color="auto"/>
        <w:right w:val="none" w:sz="0" w:space="0" w:color="auto"/>
      </w:divBdr>
    </w:div>
    <w:div w:id="1758936860">
      <w:bodyDiv w:val="1"/>
      <w:marLeft w:val="0"/>
      <w:marRight w:val="0"/>
      <w:marTop w:val="0"/>
      <w:marBottom w:val="0"/>
      <w:divBdr>
        <w:top w:val="none" w:sz="0" w:space="0" w:color="auto"/>
        <w:left w:val="none" w:sz="0" w:space="0" w:color="auto"/>
        <w:bottom w:val="none" w:sz="0" w:space="0" w:color="auto"/>
        <w:right w:val="none" w:sz="0" w:space="0" w:color="auto"/>
      </w:divBdr>
    </w:div>
    <w:div w:id="1760903900">
      <w:marLeft w:val="0"/>
      <w:marRight w:val="0"/>
      <w:marTop w:val="0"/>
      <w:marBottom w:val="0"/>
      <w:divBdr>
        <w:top w:val="none" w:sz="0" w:space="0" w:color="auto"/>
        <w:left w:val="none" w:sz="0" w:space="0" w:color="auto"/>
        <w:bottom w:val="none" w:sz="0" w:space="0" w:color="auto"/>
        <w:right w:val="none" w:sz="0" w:space="0" w:color="auto"/>
      </w:divBdr>
    </w:div>
    <w:div w:id="1764229388">
      <w:bodyDiv w:val="1"/>
      <w:marLeft w:val="0"/>
      <w:marRight w:val="0"/>
      <w:marTop w:val="0"/>
      <w:marBottom w:val="0"/>
      <w:divBdr>
        <w:top w:val="none" w:sz="0" w:space="0" w:color="auto"/>
        <w:left w:val="none" w:sz="0" w:space="0" w:color="auto"/>
        <w:bottom w:val="none" w:sz="0" w:space="0" w:color="auto"/>
        <w:right w:val="none" w:sz="0" w:space="0" w:color="auto"/>
      </w:divBdr>
    </w:div>
    <w:div w:id="1764495100">
      <w:bodyDiv w:val="1"/>
      <w:marLeft w:val="0"/>
      <w:marRight w:val="0"/>
      <w:marTop w:val="0"/>
      <w:marBottom w:val="0"/>
      <w:divBdr>
        <w:top w:val="none" w:sz="0" w:space="0" w:color="auto"/>
        <w:left w:val="none" w:sz="0" w:space="0" w:color="auto"/>
        <w:bottom w:val="none" w:sz="0" w:space="0" w:color="auto"/>
        <w:right w:val="none" w:sz="0" w:space="0" w:color="auto"/>
      </w:divBdr>
    </w:div>
    <w:div w:id="1764838774">
      <w:bodyDiv w:val="1"/>
      <w:marLeft w:val="0"/>
      <w:marRight w:val="0"/>
      <w:marTop w:val="0"/>
      <w:marBottom w:val="0"/>
      <w:divBdr>
        <w:top w:val="none" w:sz="0" w:space="0" w:color="auto"/>
        <w:left w:val="none" w:sz="0" w:space="0" w:color="auto"/>
        <w:bottom w:val="none" w:sz="0" w:space="0" w:color="auto"/>
        <w:right w:val="none" w:sz="0" w:space="0" w:color="auto"/>
      </w:divBdr>
    </w:div>
    <w:div w:id="1765833770">
      <w:bodyDiv w:val="1"/>
      <w:marLeft w:val="0"/>
      <w:marRight w:val="0"/>
      <w:marTop w:val="0"/>
      <w:marBottom w:val="0"/>
      <w:divBdr>
        <w:top w:val="none" w:sz="0" w:space="0" w:color="auto"/>
        <w:left w:val="none" w:sz="0" w:space="0" w:color="auto"/>
        <w:bottom w:val="none" w:sz="0" w:space="0" w:color="auto"/>
        <w:right w:val="none" w:sz="0" w:space="0" w:color="auto"/>
      </w:divBdr>
    </w:div>
    <w:div w:id="1768965409">
      <w:bodyDiv w:val="1"/>
      <w:marLeft w:val="0"/>
      <w:marRight w:val="0"/>
      <w:marTop w:val="0"/>
      <w:marBottom w:val="0"/>
      <w:divBdr>
        <w:top w:val="none" w:sz="0" w:space="0" w:color="auto"/>
        <w:left w:val="none" w:sz="0" w:space="0" w:color="auto"/>
        <w:bottom w:val="none" w:sz="0" w:space="0" w:color="auto"/>
        <w:right w:val="none" w:sz="0" w:space="0" w:color="auto"/>
      </w:divBdr>
    </w:div>
    <w:div w:id="1772240680">
      <w:bodyDiv w:val="1"/>
      <w:marLeft w:val="0"/>
      <w:marRight w:val="0"/>
      <w:marTop w:val="0"/>
      <w:marBottom w:val="0"/>
      <w:divBdr>
        <w:top w:val="none" w:sz="0" w:space="0" w:color="auto"/>
        <w:left w:val="none" w:sz="0" w:space="0" w:color="auto"/>
        <w:bottom w:val="none" w:sz="0" w:space="0" w:color="auto"/>
        <w:right w:val="none" w:sz="0" w:space="0" w:color="auto"/>
      </w:divBdr>
    </w:div>
    <w:div w:id="1774548827">
      <w:bodyDiv w:val="1"/>
      <w:marLeft w:val="0"/>
      <w:marRight w:val="0"/>
      <w:marTop w:val="0"/>
      <w:marBottom w:val="0"/>
      <w:divBdr>
        <w:top w:val="none" w:sz="0" w:space="0" w:color="auto"/>
        <w:left w:val="none" w:sz="0" w:space="0" w:color="auto"/>
        <w:bottom w:val="none" w:sz="0" w:space="0" w:color="auto"/>
        <w:right w:val="none" w:sz="0" w:space="0" w:color="auto"/>
      </w:divBdr>
    </w:div>
    <w:div w:id="1777406497">
      <w:bodyDiv w:val="1"/>
      <w:marLeft w:val="0"/>
      <w:marRight w:val="0"/>
      <w:marTop w:val="0"/>
      <w:marBottom w:val="0"/>
      <w:divBdr>
        <w:top w:val="none" w:sz="0" w:space="0" w:color="auto"/>
        <w:left w:val="none" w:sz="0" w:space="0" w:color="auto"/>
        <w:bottom w:val="none" w:sz="0" w:space="0" w:color="auto"/>
        <w:right w:val="none" w:sz="0" w:space="0" w:color="auto"/>
      </w:divBdr>
    </w:div>
    <w:div w:id="1778795781">
      <w:bodyDiv w:val="1"/>
      <w:marLeft w:val="0"/>
      <w:marRight w:val="0"/>
      <w:marTop w:val="0"/>
      <w:marBottom w:val="0"/>
      <w:divBdr>
        <w:top w:val="none" w:sz="0" w:space="0" w:color="auto"/>
        <w:left w:val="none" w:sz="0" w:space="0" w:color="auto"/>
        <w:bottom w:val="none" w:sz="0" w:space="0" w:color="auto"/>
        <w:right w:val="none" w:sz="0" w:space="0" w:color="auto"/>
      </w:divBdr>
    </w:div>
    <w:div w:id="1780449130">
      <w:bodyDiv w:val="1"/>
      <w:marLeft w:val="0"/>
      <w:marRight w:val="0"/>
      <w:marTop w:val="0"/>
      <w:marBottom w:val="0"/>
      <w:divBdr>
        <w:top w:val="none" w:sz="0" w:space="0" w:color="auto"/>
        <w:left w:val="none" w:sz="0" w:space="0" w:color="auto"/>
        <w:bottom w:val="none" w:sz="0" w:space="0" w:color="auto"/>
        <w:right w:val="none" w:sz="0" w:space="0" w:color="auto"/>
      </w:divBdr>
    </w:div>
    <w:div w:id="1780484735">
      <w:bodyDiv w:val="1"/>
      <w:marLeft w:val="0"/>
      <w:marRight w:val="0"/>
      <w:marTop w:val="0"/>
      <w:marBottom w:val="0"/>
      <w:divBdr>
        <w:top w:val="none" w:sz="0" w:space="0" w:color="auto"/>
        <w:left w:val="none" w:sz="0" w:space="0" w:color="auto"/>
        <w:bottom w:val="none" w:sz="0" w:space="0" w:color="auto"/>
        <w:right w:val="none" w:sz="0" w:space="0" w:color="auto"/>
      </w:divBdr>
    </w:div>
    <w:div w:id="1781148331">
      <w:bodyDiv w:val="1"/>
      <w:marLeft w:val="0"/>
      <w:marRight w:val="0"/>
      <w:marTop w:val="0"/>
      <w:marBottom w:val="0"/>
      <w:divBdr>
        <w:top w:val="none" w:sz="0" w:space="0" w:color="auto"/>
        <w:left w:val="none" w:sz="0" w:space="0" w:color="auto"/>
        <w:bottom w:val="none" w:sz="0" w:space="0" w:color="auto"/>
        <w:right w:val="none" w:sz="0" w:space="0" w:color="auto"/>
      </w:divBdr>
    </w:div>
    <w:div w:id="1784500389">
      <w:bodyDiv w:val="1"/>
      <w:marLeft w:val="0"/>
      <w:marRight w:val="0"/>
      <w:marTop w:val="0"/>
      <w:marBottom w:val="0"/>
      <w:divBdr>
        <w:top w:val="none" w:sz="0" w:space="0" w:color="auto"/>
        <w:left w:val="none" w:sz="0" w:space="0" w:color="auto"/>
        <w:bottom w:val="none" w:sz="0" w:space="0" w:color="auto"/>
        <w:right w:val="none" w:sz="0" w:space="0" w:color="auto"/>
      </w:divBdr>
    </w:div>
    <w:div w:id="1785877421">
      <w:bodyDiv w:val="1"/>
      <w:marLeft w:val="0"/>
      <w:marRight w:val="0"/>
      <w:marTop w:val="0"/>
      <w:marBottom w:val="0"/>
      <w:divBdr>
        <w:top w:val="none" w:sz="0" w:space="0" w:color="auto"/>
        <w:left w:val="none" w:sz="0" w:space="0" w:color="auto"/>
        <w:bottom w:val="none" w:sz="0" w:space="0" w:color="auto"/>
        <w:right w:val="none" w:sz="0" w:space="0" w:color="auto"/>
      </w:divBdr>
    </w:div>
    <w:div w:id="1792481970">
      <w:bodyDiv w:val="1"/>
      <w:marLeft w:val="0"/>
      <w:marRight w:val="0"/>
      <w:marTop w:val="0"/>
      <w:marBottom w:val="0"/>
      <w:divBdr>
        <w:top w:val="none" w:sz="0" w:space="0" w:color="auto"/>
        <w:left w:val="none" w:sz="0" w:space="0" w:color="auto"/>
        <w:bottom w:val="none" w:sz="0" w:space="0" w:color="auto"/>
        <w:right w:val="none" w:sz="0" w:space="0" w:color="auto"/>
      </w:divBdr>
    </w:div>
    <w:div w:id="1798403039">
      <w:bodyDiv w:val="1"/>
      <w:marLeft w:val="0"/>
      <w:marRight w:val="0"/>
      <w:marTop w:val="0"/>
      <w:marBottom w:val="0"/>
      <w:divBdr>
        <w:top w:val="none" w:sz="0" w:space="0" w:color="auto"/>
        <w:left w:val="none" w:sz="0" w:space="0" w:color="auto"/>
        <w:bottom w:val="none" w:sz="0" w:space="0" w:color="auto"/>
        <w:right w:val="none" w:sz="0" w:space="0" w:color="auto"/>
      </w:divBdr>
    </w:div>
    <w:div w:id="1801727211">
      <w:bodyDiv w:val="1"/>
      <w:marLeft w:val="0"/>
      <w:marRight w:val="0"/>
      <w:marTop w:val="0"/>
      <w:marBottom w:val="0"/>
      <w:divBdr>
        <w:top w:val="none" w:sz="0" w:space="0" w:color="auto"/>
        <w:left w:val="none" w:sz="0" w:space="0" w:color="auto"/>
        <w:bottom w:val="none" w:sz="0" w:space="0" w:color="auto"/>
        <w:right w:val="none" w:sz="0" w:space="0" w:color="auto"/>
      </w:divBdr>
    </w:div>
    <w:div w:id="1801804584">
      <w:bodyDiv w:val="1"/>
      <w:marLeft w:val="0"/>
      <w:marRight w:val="0"/>
      <w:marTop w:val="0"/>
      <w:marBottom w:val="0"/>
      <w:divBdr>
        <w:top w:val="none" w:sz="0" w:space="0" w:color="auto"/>
        <w:left w:val="none" w:sz="0" w:space="0" w:color="auto"/>
        <w:bottom w:val="none" w:sz="0" w:space="0" w:color="auto"/>
        <w:right w:val="none" w:sz="0" w:space="0" w:color="auto"/>
      </w:divBdr>
    </w:div>
    <w:div w:id="1803424877">
      <w:bodyDiv w:val="1"/>
      <w:marLeft w:val="0"/>
      <w:marRight w:val="0"/>
      <w:marTop w:val="0"/>
      <w:marBottom w:val="0"/>
      <w:divBdr>
        <w:top w:val="none" w:sz="0" w:space="0" w:color="auto"/>
        <w:left w:val="none" w:sz="0" w:space="0" w:color="auto"/>
        <w:bottom w:val="none" w:sz="0" w:space="0" w:color="auto"/>
        <w:right w:val="none" w:sz="0" w:space="0" w:color="auto"/>
      </w:divBdr>
    </w:div>
    <w:div w:id="1805000626">
      <w:bodyDiv w:val="1"/>
      <w:marLeft w:val="0"/>
      <w:marRight w:val="0"/>
      <w:marTop w:val="0"/>
      <w:marBottom w:val="0"/>
      <w:divBdr>
        <w:top w:val="none" w:sz="0" w:space="0" w:color="auto"/>
        <w:left w:val="none" w:sz="0" w:space="0" w:color="auto"/>
        <w:bottom w:val="none" w:sz="0" w:space="0" w:color="auto"/>
        <w:right w:val="none" w:sz="0" w:space="0" w:color="auto"/>
      </w:divBdr>
    </w:div>
    <w:div w:id="1807577411">
      <w:bodyDiv w:val="1"/>
      <w:marLeft w:val="0"/>
      <w:marRight w:val="0"/>
      <w:marTop w:val="0"/>
      <w:marBottom w:val="0"/>
      <w:divBdr>
        <w:top w:val="none" w:sz="0" w:space="0" w:color="auto"/>
        <w:left w:val="none" w:sz="0" w:space="0" w:color="auto"/>
        <w:bottom w:val="none" w:sz="0" w:space="0" w:color="auto"/>
        <w:right w:val="none" w:sz="0" w:space="0" w:color="auto"/>
      </w:divBdr>
    </w:div>
    <w:div w:id="1808740052">
      <w:marLeft w:val="0"/>
      <w:marRight w:val="0"/>
      <w:marTop w:val="0"/>
      <w:marBottom w:val="0"/>
      <w:divBdr>
        <w:top w:val="none" w:sz="0" w:space="0" w:color="auto"/>
        <w:left w:val="none" w:sz="0" w:space="0" w:color="auto"/>
        <w:bottom w:val="none" w:sz="0" w:space="0" w:color="auto"/>
        <w:right w:val="none" w:sz="0" w:space="0" w:color="auto"/>
      </w:divBdr>
    </w:div>
    <w:div w:id="1810442284">
      <w:bodyDiv w:val="1"/>
      <w:marLeft w:val="0"/>
      <w:marRight w:val="0"/>
      <w:marTop w:val="0"/>
      <w:marBottom w:val="0"/>
      <w:divBdr>
        <w:top w:val="none" w:sz="0" w:space="0" w:color="auto"/>
        <w:left w:val="none" w:sz="0" w:space="0" w:color="auto"/>
        <w:bottom w:val="none" w:sz="0" w:space="0" w:color="auto"/>
        <w:right w:val="none" w:sz="0" w:space="0" w:color="auto"/>
      </w:divBdr>
    </w:div>
    <w:div w:id="1818495887">
      <w:bodyDiv w:val="1"/>
      <w:marLeft w:val="0"/>
      <w:marRight w:val="0"/>
      <w:marTop w:val="0"/>
      <w:marBottom w:val="0"/>
      <w:divBdr>
        <w:top w:val="none" w:sz="0" w:space="0" w:color="auto"/>
        <w:left w:val="none" w:sz="0" w:space="0" w:color="auto"/>
        <w:bottom w:val="none" w:sz="0" w:space="0" w:color="auto"/>
        <w:right w:val="none" w:sz="0" w:space="0" w:color="auto"/>
      </w:divBdr>
    </w:div>
    <w:div w:id="1820419057">
      <w:bodyDiv w:val="1"/>
      <w:marLeft w:val="0"/>
      <w:marRight w:val="0"/>
      <w:marTop w:val="0"/>
      <w:marBottom w:val="0"/>
      <w:divBdr>
        <w:top w:val="none" w:sz="0" w:space="0" w:color="auto"/>
        <w:left w:val="none" w:sz="0" w:space="0" w:color="auto"/>
        <w:bottom w:val="none" w:sz="0" w:space="0" w:color="auto"/>
        <w:right w:val="none" w:sz="0" w:space="0" w:color="auto"/>
      </w:divBdr>
    </w:div>
    <w:div w:id="1823083758">
      <w:bodyDiv w:val="1"/>
      <w:marLeft w:val="0"/>
      <w:marRight w:val="0"/>
      <w:marTop w:val="0"/>
      <w:marBottom w:val="0"/>
      <w:divBdr>
        <w:top w:val="none" w:sz="0" w:space="0" w:color="auto"/>
        <w:left w:val="none" w:sz="0" w:space="0" w:color="auto"/>
        <w:bottom w:val="none" w:sz="0" w:space="0" w:color="auto"/>
        <w:right w:val="none" w:sz="0" w:space="0" w:color="auto"/>
      </w:divBdr>
    </w:div>
    <w:div w:id="1827668514">
      <w:bodyDiv w:val="1"/>
      <w:marLeft w:val="0"/>
      <w:marRight w:val="0"/>
      <w:marTop w:val="0"/>
      <w:marBottom w:val="0"/>
      <w:divBdr>
        <w:top w:val="none" w:sz="0" w:space="0" w:color="auto"/>
        <w:left w:val="none" w:sz="0" w:space="0" w:color="auto"/>
        <w:bottom w:val="none" w:sz="0" w:space="0" w:color="auto"/>
        <w:right w:val="none" w:sz="0" w:space="0" w:color="auto"/>
      </w:divBdr>
    </w:div>
    <w:div w:id="1829784300">
      <w:bodyDiv w:val="1"/>
      <w:marLeft w:val="0"/>
      <w:marRight w:val="0"/>
      <w:marTop w:val="0"/>
      <w:marBottom w:val="0"/>
      <w:divBdr>
        <w:top w:val="none" w:sz="0" w:space="0" w:color="auto"/>
        <w:left w:val="none" w:sz="0" w:space="0" w:color="auto"/>
        <w:bottom w:val="none" w:sz="0" w:space="0" w:color="auto"/>
        <w:right w:val="none" w:sz="0" w:space="0" w:color="auto"/>
      </w:divBdr>
    </w:div>
    <w:div w:id="1830095804">
      <w:bodyDiv w:val="1"/>
      <w:marLeft w:val="0"/>
      <w:marRight w:val="0"/>
      <w:marTop w:val="0"/>
      <w:marBottom w:val="0"/>
      <w:divBdr>
        <w:top w:val="none" w:sz="0" w:space="0" w:color="auto"/>
        <w:left w:val="none" w:sz="0" w:space="0" w:color="auto"/>
        <w:bottom w:val="none" w:sz="0" w:space="0" w:color="auto"/>
        <w:right w:val="none" w:sz="0" w:space="0" w:color="auto"/>
      </w:divBdr>
    </w:div>
    <w:div w:id="1830706814">
      <w:bodyDiv w:val="1"/>
      <w:marLeft w:val="0"/>
      <w:marRight w:val="0"/>
      <w:marTop w:val="0"/>
      <w:marBottom w:val="0"/>
      <w:divBdr>
        <w:top w:val="none" w:sz="0" w:space="0" w:color="auto"/>
        <w:left w:val="none" w:sz="0" w:space="0" w:color="auto"/>
        <w:bottom w:val="none" w:sz="0" w:space="0" w:color="auto"/>
        <w:right w:val="none" w:sz="0" w:space="0" w:color="auto"/>
      </w:divBdr>
      <w:divsChild>
        <w:div w:id="1011877461">
          <w:marLeft w:val="0"/>
          <w:marRight w:val="0"/>
          <w:marTop w:val="0"/>
          <w:marBottom w:val="0"/>
          <w:divBdr>
            <w:top w:val="none" w:sz="0" w:space="0" w:color="auto"/>
            <w:left w:val="none" w:sz="0" w:space="0" w:color="auto"/>
            <w:bottom w:val="none" w:sz="0" w:space="0" w:color="auto"/>
            <w:right w:val="none" w:sz="0" w:space="0" w:color="auto"/>
          </w:divBdr>
          <w:divsChild>
            <w:div w:id="2116636729">
              <w:marLeft w:val="0"/>
              <w:marRight w:val="0"/>
              <w:marTop w:val="0"/>
              <w:marBottom w:val="0"/>
              <w:divBdr>
                <w:top w:val="none" w:sz="0" w:space="0" w:color="auto"/>
                <w:left w:val="none" w:sz="0" w:space="0" w:color="auto"/>
                <w:bottom w:val="none" w:sz="0" w:space="0" w:color="auto"/>
                <w:right w:val="none" w:sz="0" w:space="0" w:color="auto"/>
              </w:divBdr>
              <w:divsChild>
                <w:div w:id="19856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943045">
      <w:marLeft w:val="0"/>
      <w:marRight w:val="0"/>
      <w:marTop w:val="0"/>
      <w:marBottom w:val="0"/>
      <w:divBdr>
        <w:top w:val="none" w:sz="0" w:space="0" w:color="auto"/>
        <w:left w:val="none" w:sz="0" w:space="0" w:color="auto"/>
        <w:bottom w:val="none" w:sz="0" w:space="0" w:color="auto"/>
        <w:right w:val="none" w:sz="0" w:space="0" w:color="auto"/>
      </w:divBdr>
    </w:div>
    <w:div w:id="1833062683">
      <w:bodyDiv w:val="1"/>
      <w:marLeft w:val="0"/>
      <w:marRight w:val="0"/>
      <w:marTop w:val="0"/>
      <w:marBottom w:val="0"/>
      <w:divBdr>
        <w:top w:val="none" w:sz="0" w:space="0" w:color="auto"/>
        <w:left w:val="none" w:sz="0" w:space="0" w:color="auto"/>
        <w:bottom w:val="none" w:sz="0" w:space="0" w:color="auto"/>
        <w:right w:val="none" w:sz="0" w:space="0" w:color="auto"/>
      </w:divBdr>
    </w:div>
    <w:div w:id="1833712044">
      <w:bodyDiv w:val="1"/>
      <w:marLeft w:val="0"/>
      <w:marRight w:val="0"/>
      <w:marTop w:val="0"/>
      <w:marBottom w:val="0"/>
      <w:divBdr>
        <w:top w:val="none" w:sz="0" w:space="0" w:color="auto"/>
        <w:left w:val="none" w:sz="0" w:space="0" w:color="auto"/>
        <w:bottom w:val="none" w:sz="0" w:space="0" w:color="auto"/>
        <w:right w:val="none" w:sz="0" w:space="0" w:color="auto"/>
      </w:divBdr>
    </w:div>
    <w:div w:id="1835221218">
      <w:bodyDiv w:val="1"/>
      <w:marLeft w:val="0"/>
      <w:marRight w:val="0"/>
      <w:marTop w:val="0"/>
      <w:marBottom w:val="0"/>
      <w:divBdr>
        <w:top w:val="none" w:sz="0" w:space="0" w:color="auto"/>
        <w:left w:val="none" w:sz="0" w:space="0" w:color="auto"/>
        <w:bottom w:val="none" w:sz="0" w:space="0" w:color="auto"/>
        <w:right w:val="none" w:sz="0" w:space="0" w:color="auto"/>
      </w:divBdr>
    </w:div>
    <w:div w:id="1839340805">
      <w:bodyDiv w:val="1"/>
      <w:marLeft w:val="0"/>
      <w:marRight w:val="0"/>
      <w:marTop w:val="0"/>
      <w:marBottom w:val="0"/>
      <w:divBdr>
        <w:top w:val="none" w:sz="0" w:space="0" w:color="auto"/>
        <w:left w:val="none" w:sz="0" w:space="0" w:color="auto"/>
        <w:bottom w:val="none" w:sz="0" w:space="0" w:color="auto"/>
        <w:right w:val="none" w:sz="0" w:space="0" w:color="auto"/>
      </w:divBdr>
    </w:div>
    <w:div w:id="1841964993">
      <w:bodyDiv w:val="1"/>
      <w:marLeft w:val="0"/>
      <w:marRight w:val="0"/>
      <w:marTop w:val="0"/>
      <w:marBottom w:val="0"/>
      <w:divBdr>
        <w:top w:val="none" w:sz="0" w:space="0" w:color="auto"/>
        <w:left w:val="none" w:sz="0" w:space="0" w:color="auto"/>
        <w:bottom w:val="none" w:sz="0" w:space="0" w:color="auto"/>
        <w:right w:val="none" w:sz="0" w:space="0" w:color="auto"/>
      </w:divBdr>
    </w:div>
    <w:div w:id="1842623774">
      <w:bodyDiv w:val="1"/>
      <w:marLeft w:val="0"/>
      <w:marRight w:val="0"/>
      <w:marTop w:val="0"/>
      <w:marBottom w:val="0"/>
      <w:divBdr>
        <w:top w:val="none" w:sz="0" w:space="0" w:color="auto"/>
        <w:left w:val="none" w:sz="0" w:space="0" w:color="auto"/>
        <w:bottom w:val="none" w:sz="0" w:space="0" w:color="auto"/>
        <w:right w:val="none" w:sz="0" w:space="0" w:color="auto"/>
      </w:divBdr>
    </w:div>
    <w:div w:id="1848982460">
      <w:marLeft w:val="0"/>
      <w:marRight w:val="0"/>
      <w:marTop w:val="0"/>
      <w:marBottom w:val="0"/>
      <w:divBdr>
        <w:top w:val="none" w:sz="0" w:space="0" w:color="auto"/>
        <w:left w:val="none" w:sz="0" w:space="0" w:color="auto"/>
        <w:bottom w:val="none" w:sz="0" w:space="0" w:color="auto"/>
        <w:right w:val="none" w:sz="0" w:space="0" w:color="auto"/>
      </w:divBdr>
    </w:div>
    <w:div w:id="1854565830">
      <w:bodyDiv w:val="1"/>
      <w:marLeft w:val="0"/>
      <w:marRight w:val="0"/>
      <w:marTop w:val="0"/>
      <w:marBottom w:val="0"/>
      <w:divBdr>
        <w:top w:val="none" w:sz="0" w:space="0" w:color="auto"/>
        <w:left w:val="none" w:sz="0" w:space="0" w:color="auto"/>
        <w:bottom w:val="none" w:sz="0" w:space="0" w:color="auto"/>
        <w:right w:val="none" w:sz="0" w:space="0" w:color="auto"/>
      </w:divBdr>
    </w:div>
    <w:div w:id="1857959333">
      <w:bodyDiv w:val="1"/>
      <w:marLeft w:val="0"/>
      <w:marRight w:val="0"/>
      <w:marTop w:val="0"/>
      <w:marBottom w:val="0"/>
      <w:divBdr>
        <w:top w:val="none" w:sz="0" w:space="0" w:color="auto"/>
        <w:left w:val="none" w:sz="0" w:space="0" w:color="auto"/>
        <w:bottom w:val="none" w:sz="0" w:space="0" w:color="auto"/>
        <w:right w:val="none" w:sz="0" w:space="0" w:color="auto"/>
      </w:divBdr>
    </w:div>
    <w:div w:id="1861430210">
      <w:bodyDiv w:val="1"/>
      <w:marLeft w:val="0"/>
      <w:marRight w:val="0"/>
      <w:marTop w:val="0"/>
      <w:marBottom w:val="0"/>
      <w:divBdr>
        <w:top w:val="none" w:sz="0" w:space="0" w:color="auto"/>
        <w:left w:val="none" w:sz="0" w:space="0" w:color="auto"/>
        <w:bottom w:val="none" w:sz="0" w:space="0" w:color="auto"/>
        <w:right w:val="none" w:sz="0" w:space="0" w:color="auto"/>
      </w:divBdr>
    </w:div>
    <w:div w:id="1863932312">
      <w:marLeft w:val="0"/>
      <w:marRight w:val="0"/>
      <w:marTop w:val="0"/>
      <w:marBottom w:val="0"/>
      <w:divBdr>
        <w:top w:val="none" w:sz="0" w:space="0" w:color="auto"/>
        <w:left w:val="none" w:sz="0" w:space="0" w:color="auto"/>
        <w:bottom w:val="none" w:sz="0" w:space="0" w:color="auto"/>
        <w:right w:val="none" w:sz="0" w:space="0" w:color="auto"/>
      </w:divBdr>
    </w:div>
    <w:div w:id="1864244046">
      <w:marLeft w:val="0"/>
      <w:marRight w:val="0"/>
      <w:marTop w:val="0"/>
      <w:marBottom w:val="0"/>
      <w:divBdr>
        <w:top w:val="none" w:sz="0" w:space="0" w:color="auto"/>
        <w:left w:val="none" w:sz="0" w:space="0" w:color="auto"/>
        <w:bottom w:val="none" w:sz="0" w:space="0" w:color="auto"/>
        <w:right w:val="none" w:sz="0" w:space="0" w:color="auto"/>
      </w:divBdr>
    </w:div>
    <w:div w:id="1866208053">
      <w:bodyDiv w:val="1"/>
      <w:marLeft w:val="0"/>
      <w:marRight w:val="0"/>
      <w:marTop w:val="0"/>
      <w:marBottom w:val="0"/>
      <w:divBdr>
        <w:top w:val="none" w:sz="0" w:space="0" w:color="auto"/>
        <w:left w:val="none" w:sz="0" w:space="0" w:color="auto"/>
        <w:bottom w:val="none" w:sz="0" w:space="0" w:color="auto"/>
        <w:right w:val="none" w:sz="0" w:space="0" w:color="auto"/>
      </w:divBdr>
    </w:div>
    <w:div w:id="1867937580">
      <w:bodyDiv w:val="1"/>
      <w:marLeft w:val="0"/>
      <w:marRight w:val="0"/>
      <w:marTop w:val="0"/>
      <w:marBottom w:val="0"/>
      <w:divBdr>
        <w:top w:val="none" w:sz="0" w:space="0" w:color="auto"/>
        <w:left w:val="none" w:sz="0" w:space="0" w:color="auto"/>
        <w:bottom w:val="none" w:sz="0" w:space="0" w:color="auto"/>
        <w:right w:val="none" w:sz="0" w:space="0" w:color="auto"/>
      </w:divBdr>
    </w:div>
    <w:div w:id="1868759193">
      <w:bodyDiv w:val="1"/>
      <w:marLeft w:val="0"/>
      <w:marRight w:val="0"/>
      <w:marTop w:val="0"/>
      <w:marBottom w:val="0"/>
      <w:divBdr>
        <w:top w:val="none" w:sz="0" w:space="0" w:color="auto"/>
        <w:left w:val="none" w:sz="0" w:space="0" w:color="auto"/>
        <w:bottom w:val="none" w:sz="0" w:space="0" w:color="auto"/>
        <w:right w:val="none" w:sz="0" w:space="0" w:color="auto"/>
      </w:divBdr>
    </w:div>
    <w:div w:id="1869024454">
      <w:bodyDiv w:val="1"/>
      <w:marLeft w:val="0"/>
      <w:marRight w:val="0"/>
      <w:marTop w:val="0"/>
      <w:marBottom w:val="0"/>
      <w:divBdr>
        <w:top w:val="none" w:sz="0" w:space="0" w:color="auto"/>
        <w:left w:val="none" w:sz="0" w:space="0" w:color="auto"/>
        <w:bottom w:val="none" w:sz="0" w:space="0" w:color="auto"/>
        <w:right w:val="none" w:sz="0" w:space="0" w:color="auto"/>
      </w:divBdr>
    </w:div>
    <w:div w:id="1869372022">
      <w:bodyDiv w:val="1"/>
      <w:marLeft w:val="0"/>
      <w:marRight w:val="0"/>
      <w:marTop w:val="0"/>
      <w:marBottom w:val="0"/>
      <w:divBdr>
        <w:top w:val="none" w:sz="0" w:space="0" w:color="auto"/>
        <w:left w:val="none" w:sz="0" w:space="0" w:color="auto"/>
        <w:bottom w:val="none" w:sz="0" w:space="0" w:color="auto"/>
        <w:right w:val="none" w:sz="0" w:space="0" w:color="auto"/>
      </w:divBdr>
    </w:div>
    <w:div w:id="1870337782">
      <w:bodyDiv w:val="1"/>
      <w:marLeft w:val="0"/>
      <w:marRight w:val="0"/>
      <w:marTop w:val="0"/>
      <w:marBottom w:val="0"/>
      <w:divBdr>
        <w:top w:val="none" w:sz="0" w:space="0" w:color="auto"/>
        <w:left w:val="none" w:sz="0" w:space="0" w:color="auto"/>
        <w:bottom w:val="none" w:sz="0" w:space="0" w:color="auto"/>
        <w:right w:val="none" w:sz="0" w:space="0" w:color="auto"/>
      </w:divBdr>
    </w:div>
    <w:div w:id="1870601396">
      <w:bodyDiv w:val="1"/>
      <w:marLeft w:val="0"/>
      <w:marRight w:val="0"/>
      <w:marTop w:val="0"/>
      <w:marBottom w:val="0"/>
      <w:divBdr>
        <w:top w:val="none" w:sz="0" w:space="0" w:color="auto"/>
        <w:left w:val="none" w:sz="0" w:space="0" w:color="auto"/>
        <w:bottom w:val="none" w:sz="0" w:space="0" w:color="auto"/>
        <w:right w:val="none" w:sz="0" w:space="0" w:color="auto"/>
      </w:divBdr>
    </w:div>
    <w:div w:id="1882549369">
      <w:bodyDiv w:val="1"/>
      <w:marLeft w:val="0"/>
      <w:marRight w:val="0"/>
      <w:marTop w:val="0"/>
      <w:marBottom w:val="0"/>
      <w:divBdr>
        <w:top w:val="none" w:sz="0" w:space="0" w:color="auto"/>
        <w:left w:val="none" w:sz="0" w:space="0" w:color="auto"/>
        <w:bottom w:val="none" w:sz="0" w:space="0" w:color="auto"/>
        <w:right w:val="none" w:sz="0" w:space="0" w:color="auto"/>
      </w:divBdr>
    </w:div>
    <w:div w:id="1886940771">
      <w:bodyDiv w:val="1"/>
      <w:marLeft w:val="0"/>
      <w:marRight w:val="0"/>
      <w:marTop w:val="0"/>
      <w:marBottom w:val="0"/>
      <w:divBdr>
        <w:top w:val="none" w:sz="0" w:space="0" w:color="auto"/>
        <w:left w:val="none" w:sz="0" w:space="0" w:color="auto"/>
        <w:bottom w:val="none" w:sz="0" w:space="0" w:color="auto"/>
        <w:right w:val="none" w:sz="0" w:space="0" w:color="auto"/>
      </w:divBdr>
    </w:div>
    <w:div w:id="1890149526">
      <w:bodyDiv w:val="1"/>
      <w:marLeft w:val="0"/>
      <w:marRight w:val="0"/>
      <w:marTop w:val="0"/>
      <w:marBottom w:val="0"/>
      <w:divBdr>
        <w:top w:val="none" w:sz="0" w:space="0" w:color="auto"/>
        <w:left w:val="none" w:sz="0" w:space="0" w:color="auto"/>
        <w:bottom w:val="none" w:sz="0" w:space="0" w:color="auto"/>
        <w:right w:val="none" w:sz="0" w:space="0" w:color="auto"/>
      </w:divBdr>
    </w:div>
    <w:div w:id="1890992245">
      <w:bodyDiv w:val="1"/>
      <w:marLeft w:val="0"/>
      <w:marRight w:val="0"/>
      <w:marTop w:val="0"/>
      <w:marBottom w:val="0"/>
      <w:divBdr>
        <w:top w:val="none" w:sz="0" w:space="0" w:color="auto"/>
        <w:left w:val="none" w:sz="0" w:space="0" w:color="auto"/>
        <w:bottom w:val="none" w:sz="0" w:space="0" w:color="auto"/>
        <w:right w:val="none" w:sz="0" w:space="0" w:color="auto"/>
      </w:divBdr>
    </w:div>
    <w:div w:id="1893346894">
      <w:bodyDiv w:val="1"/>
      <w:marLeft w:val="0"/>
      <w:marRight w:val="0"/>
      <w:marTop w:val="0"/>
      <w:marBottom w:val="0"/>
      <w:divBdr>
        <w:top w:val="none" w:sz="0" w:space="0" w:color="auto"/>
        <w:left w:val="none" w:sz="0" w:space="0" w:color="auto"/>
        <w:bottom w:val="none" w:sz="0" w:space="0" w:color="auto"/>
        <w:right w:val="none" w:sz="0" w:space="0" w:color="auto"/>
      </w:divBdr>
    </w:div>
    <w:div w:id="1893467728">
      <w:bodyDiv w:val="1"/>
      <w:marLeft w:val="0"/>
      <w:marRight w:val="0"/>
      <w:marTop w:val="0"/>
      <w:marBottom w:val="0"/>
      <w:divBdr>
        <w:top w:val="none" w:sz="0" w:space="0" w:color="auto"/>
        <w:left w:val="none" w:sz="0" w:space="0" w:color="auto"/>
        <w:bottom w:val="none" w:sz="0" w:space="0" w:color="auto"/>
        <w:right w:val="none" w:sz="0" w:space="0" w:color="auto"/>
      </w:divBdr>
    </w:div>
    <w:div w:id="1894384844">
      <w:bodyDiv w:val="1"/>
      <w:marLeft w:val="0"/>
      <w:marRight w:val="0"/>
      <w:marTop w:val="0"/>
      <w:marBottom w:val="0"/>
      <w:divBdr>
        <w:top w:val="none" w:sz="0" w:space="0" w:color="auto"/>
        <w:left w:val="none" w:sz="0" w:space="0" w:color="auto"/>
        <w:bottom w:val="none" w:sz="0" w:space="0" w:color="auto"/>
        <w:right w:val="none" w:sz="0" w:space="0" w:color="auto"/>
      </w:divBdr>
    </w:div>
    <w:div w:id="1894460711">
      <w:bodyDiv w:val="1"/>
      <w:marLeft w:val="0"/>
      <w:marRight w:val="0"/>
      <w:marTop w:val="0"/>
      <w:marBottom w:val="0"/>
      <w:divBdr>
        <w:top w:val="none" w:sz="0" w:space="0" w:color="auto"/>
        <w:left w:val="none" w:sz="0" w:space="0" w:color="auto"/>
        <w:bottom w:val="none" w:sz="0" w:space="0" w:color="auto"/>
        <w:right w:val="none" w:sz="0" w:space="0" w:color="auto"/>
      </w:divBdr>
    </w:div>
    <w:div w:id="1898469119">
      <w:bodyDiv w:val="1"/>
      <w:marLeft w:val="0"/>
      <w:marRight w:val="0"/>
      <w:marTop w:val="0"/>
      <w:marBottom w:val="0"/>
      <w:divBdr>
        <w:top w:val="none" w:sz="0" w:space="0" w:color="auto"/>
        <w:left w:val="none" w:sz="0" w:space="0" w:color="auto"/>
        <w:bottom w:val="none" w:sz="0" w:space="0" w:color="auto"/>
        <w:right w:val="none" w:sz="0" w:space="0" w:color="auto"/>
      </w:divBdr>
    </w:div>
    <w:div w:id="1902136252">
      <w:bodyDiv w:val="1"/>
      <w:marLeft w:val="0"/>
      <w:marRight w:val="0"/>
      <w:marTop w:val="0"/>
      <w:marBottom w:val="0"/>
      <w:divBdr>
        <w:top w:val="none" w:sz="0" w:space="0" w:color="auto"/>
        <w:left w:val="none" w:sz="0" w:space="0" w:color="auto"/>
        <w:bottom w:val="none" w:sz="0" w:space="0" w:color="auto"/>
        <w:right w:val="none" w:sz="0" w:space="0" w:color="auto"/>
      </w:divBdr>
    </w:div>
    <w:div w:id="1907034805">
      <w:bodyDiv w:val="1"/>
      <w:marLeft w:val="0"/>
      <w:marRight w:val="0"/>
      <w:marTop w:val="0"/>
      <w:marBottom w:val="0"/>
      <w:divBdr>
        <w:top w:val="none" w:sz="0" w:space="0" w:color="auto"/>
        <w:left w:val="none" w:sz="0" w:space="0" w:color="auto"/>
        <w:bottom w:val="none" w:sz="0" w:space="0" w:color="auto"/>
        <w:right w:val="none" w:sz="0" w:space="0" w:color="auto"/>
      </w:divBdr>
    </w:div>
    <w:div w:id="1907759693">
      <w:bodyDiv w:val="1"/>
      <w:marLeft w:val="0"/>
      <w:marRight w:val="0"/>
      <w:marTop w:val="0"/>
      <w:marBottom w:val="0"/>
      <w:divBdr>
        <w:top w:val="none" w:sz="0" w:space="0" w:color="auto"/>
        <w:left w:val="none" w:sz="0" w:space="0" w:color="auto"/>
        <w:bottom w:val="none" w:sz="0" w:space="0" w:color="auto"/>
        <w:right w:val="none" w:sz="0" w:space="0" w:color="auto"/>
      </w:divBdr>
    </w:div>
    <w:div w:id="1907955098">
      <w:bodyDiv w:val="1"/>
      <w:marLeft w:val="0"/>
      <w:marRight w:val="0"/>
      <w:marTop w:val="0"/>
      <w:marBottom w:val="0"/>
      <w:divBdr>
        <w:top w:val="none" w:sz="0" w:space="0" w:color="auto"/>
        <w:left w:val="none" w:sz="0" w:space="0" w:color="auto"/>
        <w:bottom w:val="none" w:sz="0" w:space="0" w:color="auto"/>
        <w:right w:val="none" w:sz="0" w:space="0" w:color="auto"/>
      </w:divBdr>
    </w:div>
    <w:div w:id="1913932093">
      <w:bodyDiv w:val="1"/>
      <w:marLeft w:val="0"/>
      <w:marRight w:val="0"/>
      <w:marTop w:val="0"/>
      <w:marBottom w:val="0"/>
      <w:divBdr>
        <w:top w:val="none" w:sz="0" w:space="0" w:color="auto"/>
        <w:left w:val="none" w:sz="0" w:space="0" w:color="auto"/>
        <w:bottom w:val="none" w:sz="0" w:space="0" w:color="auto"/>
        <w:right w:val="none" w:sz="0" w:space="0" w:color="auto"/>
      </w:divBdr>
    </w:div>
    <w:div w:id="1914318609">
      <w:bodyDiv w:val="1"/>
      <w:marLeft w:val="0"/>
      <w:marRight w:val="0"/>
      <w:marTop w:val="0"/>
      <w:marBottom w:val="0"/>
      <w:divBdr>
        <w:top w:val="none" w:sz="0" w:space="0" w:color="auto"/>
        <w:left w:val="none" w:sz="0" w:space="0" w:color="auto"/>
        <w:bottom w:val="none" w:sz="0" w:space="0" w:color="auto"/>
        <w:right w:val="none" w:sz="0" w:space="0" w:color="auto"/>
      </w:divBdr>
    </w:div>
    <w:div w:id="1918900188">
      <w:bodyDiv w:val="1"/>
      <w:marLeft w:val="0"/>
      <w:marRight w:val="0"/>
      <w:marTop w:val="0"/>
      <w:marBottom w:val="0"/>
      <w:divBdr>
        <w:top w:val="none" w:sz="0" w:space="0" w:color="auto"/>
        <w:left w:val="none" w:sz="0" w:space="0" w:color="auto"/>
        <w:bottom w:val="none" w:sz="0" w:space="0" w:color="auto"/>
        <w:right w:val="none" w:sz="0" w:space="0" w:color="auto"/>
      </w:divBdr>
    </w:div>
    <w:div w:id="1919318226">
      <w:bodyDiv w:val="1"/>
      <w:marLeft w:val="0"/>
      <w:marRight w:val="0"/>
      <w:marTop w:val="0"/>
      <w:marBottom w:val="0"/>
      <w:divBdr>
        <w:top w:val="none" w:sz="0" w:space="0" w:color="auto"/>
        <w:left w:val="none" w:sz="0" w:space="0" w:color="auto"/>
        <w:bottom w:val="none" w:sz="0" w:space="0" w:color="auto"/>
        <w:right w:val="none" w:sz="0" w:space="0" w:color="auto"/>
      </w:divBdr>
    </w:div>
    <w:div w:id="1922719047">
      <w:bodyDiv w:val="1"/>
      <w:marLeft w:val="0"/>
      <w:marRight w:val="0"/>
      <w:marTop w:val="0"/>
      <w:marBottom w:val="0"/>
      <w:divBdr>
        <w:top w:val="none" w:sz="0" w:space="0" w:color="auto"/>
        <w:left w:val="none" w:sz="0" w:space="0" w:color="auto"/>
        <w:bottom w:val="none" w:sz="0" w:space="0" w:color="auto"/>
        <w:right w:val="none" w:sz="0" w:space="0" w:color="auto"/>
      </w:divBdr>
    </w:div>
    <w:div w:id="1923484700">
      <w:bodyDiv w:val="1"/>
      <w:marLeft w:val="0"/>
      <w:marRight w:val="0"/>
      <w:marTop w:val="0"/>
      <w:marBottom w:val="0"/>
      <w:divBdr>
        <w:top w:val="none" w:sz="0" w:space="0" w:color="auto"/>
        <w:left w:val="none" w:sz="0" w:space="0" w:color="auto"/>
        <w:bottom w:val="none" w:sz="0" w:space="0" w:color="auto"/>
        <w:right w:val="none" w:sz="0" w:space="0" w:color="auto"/>
      </w:divBdr>
    </w:div>
    <w:div w:id="1923488061">
      <w:bodyDiv w:val="1"/>
      <w:marLeft w:val="0"/>
      <w:marRight w:val="0"/>
      <w:marTop w:val="0"/>
      <w:marBottom w:val="0"/>
      <w:divBdr>
        <w:top w:val="none" w:sz="0" w:space="0" w:color="auto"/>
        <w:left w:val="none" w:sz="0" w:space="0" w:color="auto"/>
        <w:bottom w:val="none" w:sz="0" w:space="0" w:color="auto"/>
        <w:right w:val="none" w:sz="0" w:space="0" w:color="auto"/>
      </w:divBdr>
    </w:div>
    <w:div w:id="1923830120">
      <w:bodyDiv w:val="1"/>
      <w:marLeft w:val="0"/>
      <w:marRight w:val="0"/>
      <w:marTop w:val="0"/>
      <w:marBottom w:val="0"/>
      <w:divBdr>
        <w:top w:val="none" w:sz="0" w:space="0" w:color="auto"/>
        <w:left w:val="none" w:sz="0" w:space="0" w:color="auto"/>
        <w:bottom w:val="none" w:sz="0" w:space="0" w:color="auto"/>
        <w:right w:val="none" w:sz="0" w:space="0" w:color="auto"/>
      </w:divBdr>
    </w:div>
    <w:div w:id="1926262780">
      <w:bodyDiv w:val="1"/>
      <w:marLeft w:val="0"/>
      <w:marRight w:val="0"/>
      <w:marTop w:val="0"/>
      <w:marBottom w:val="0"/>
      <w:divBdr>
        <w:top w:val="none" w:sz="0" w:space="0" w:color="auto"/>
        <w:left w:val="none" w:sz="0" w:space="0" w:color="auto"/>
        <w:bottom w:val="none" w:sz="0" w:space="0" w:color="auto"/>
        <w:right w:val="none" w:sz="0" w:space="0" w:color="auto"/>
      </w:divBdr>
    </w:div>
    <w:div w:id="1927226010">
      <w:bodyDiv w:val="1"/>
      <w:marLeft w:val="0"/>
      <w:marRight w:val="0"/>
      <w:marTop w:val="0"/>
      <w:marBottom w:val="0"/>
      <w:divBdr>
        <w:top w:val="none" w:sz="0" w:space="0" w:color="auto"/>
        <w:left w:val="none" w:sz="0" w:space="0" w:color="auto"/>
        <w:bottom w:val="none" w:sz="0" w:space="0" w:color="auto"/>
        <w:right w:val="none" w:sz="0" w:space="0" w:color="auto"/>
      </w:divBdr>
    </w:div>
    <w:div w:id="1929998364">
      <w:bodyDiv w:val="1"/>
      <w:marLeft w:val="0"/>
      <w:marRight w:val="0"/>
      <w:marTop w:val="0"/>
      <w:marBottom w:val="0"/>
      <w:divBdr>
        <w:top w:val="none" w:sz="0" w:space="0" w:color="auto"/>
        <w:left w:val="none" w:sz="0" w:space="0" w:color="auto"/>
        <w:bottom w:val="none" w:sz="0" w:space="0" w:color="auto"/>
        <w:right w:val="none" w:sz="0" w:space="0" w:color="auto"/>
      </w:divBdr>
    </w:div>
    <w:div w:id="1936089172">
      <w:bodyDiv w:val="1"/>
      <w:marLeft w:val="0"/>
      <w:marRight w:val="0"/>
      <w:marTop w:val="0"/>
      <w:marBottom w:val="0"/>
      <w:divBdr>
        <w:top w:val="none" w:sz="0" w:space="0" w:color="auto"/>
        <w:left w:val="none" w:sz="0" w:space="0" w:color="auto"/>
        <w:bottom w:val="none" w:sz="0" w:space="0" w:color="auto"/>
        <w:right w:val="none" w:sz="0" w:space="0" w:color="auto"/>
      </w:divBdr>
    </w:div>
    <w:div w:id="1937397095">
      <w:bodyDiv w:val="1"/>
      <w:marLeft w:val="0"/>
      <w:marRight w:val="0"/>
      <w:marTop w:val="0"/>
      <w:marBottom w:val="0"/>
      <w:divBdr>
        <w:top w:val="none" w:sz="0" w:space="0" w:color="auto"/>
        <w:left w:val="none" w:sz="0" w:space="0" w:color="auto"/>
        <w:bottom w:val="none" w:sz="0" w:space="0" w:color="auto"/>
        <w:right w:val="none" w:sz="0" w:space="0" w:color="auto"/>
      </w:divBdr>
    </w:div>
    <w:div w:id="1937866275">
      <w:bodyDiv w:val="1"/>
      <w:marLeft w:val="0"/>
      <w:marRight w:val="0"/>
      <w:marTop w:val="0"/>
      <w:marBottom w:val="0"/>
      <w:divBdr>
        <w:top w:val="none" w:sz="0" w:space="0" w:color="auto"/>
        <w:left w:val="none" w:sz="0" w:space="0" w:color="auto"/>
        <w:bottom w:val="none" w:sz="0" w:space="0" w:color="auto"/>
        <w:right w:val="none" w:sz="0" w:space="0" w:color="auto"/>
      </w:divBdr>
    </w:div>
    <w:div w:id="1942252486">
      <w:bodyDiv w:val="1"/>
      <w:marLeft w:val="0"/>
      <w:marRight w:val="0"/>
      <w:marTop w:val="0"/>
      <w:marBottom w:val="0"/>
      <w:divBdr>
        <w:top w:val="none" w:sz="0" w:space="0" w:color="auto"/>
        <w:left w:val="none" w:sz="0" w:space="0" w:color="auto"/>
        <w:bottom w:val="none" w:sz="0" w:space="0" w:color="auto"/>
        <w:right w:val="none" w:sz="0" w:space="0" w:color="auto"/>
      </w:divBdr>
    </w:div>
    <w:div w:id="1943763937">
      <w:bodyDiv w:val="1"/>
      <w:marLeft w:val="0"/>
      <w:marRight w:val="0"/>
      <w:marTop w:val="0"/>
      <w:marBottom w:val="0"/>
      <w:divBdr>
        <w:top w:val="none" w:sz="0" w:space="0" w:color="auto"/>
        <w:left w:val="none" w:sz="0" w:space="0" w:color="auto"/>
        <w:bottom w:val="none" w:sz="0" w:space="0" w:color="auto"/>
        <w:right w:val="none" w:sz="0" w:space="0" w:color="auto"/>
      </w:divBdr>
    </w:div>
    <w:div w:id="1946035247">
      <w:bodyDiv w:val="1"/>
      <w:marLeft w:val="0"/>
      <w:marRight w:val="0"/>
      <w:marTop w:val="0"/>
      <w:marBottom w:val="0"/>
      <w:divBdr>
        <w:top w:val="none" w:sz="0" w:space="0" w:color="auto"/>
        <w:left w:val="none" w:sz="0" w:space="0" w:color="auto"/>
        <w:bottom w:val="none" w:sz="0" w:space="0" w:color="auto"/>
        <w:right w:val="none" w:sz="0" w:space="0" w:color="auto"/>
      </w:divBdr>
    </w:div>
    <w:div w:id="1947077301">
      <w:bodyDiv w:val="1"/>
      <w:marLeft w:val="0"/>
      <w:marRight w:val="0"/>
      <w:marTop w:val="0"/>
      <w:marBottom w:val="0"/>
      <w:divBdr>
        <w:top w:val="none" w:sz="0" w:space="0" w:color="auto"/>
        <w:left w:val="none" w:sz="0" w:space="0" w:color="auto"/>
        <w:bottom w:val="none" w:sz="0" w:space="0" w:color="auto"/>
        <w:right w:val="none" w:sz="0" w:space="0" w:color="auto"/>
      </w:divBdr>
    </w:div>
    <w:div w:id="1947881731">
      <w:bodyDiv w:val="1"/>
      <w:marLeft w:val="0"/>
      <w:marRight w:val="0"/>
      <w:marTop w:val="0"/>
      <w:marBottom w:val="0"/>
      <w:divBdr>
        <w:top w:val="none" w:sz="0" w:space="0" w:color="auto"/>
        <w:left w:val="none" w:sz="0" w:space="0" w:color="auto"/>
        <w:bottom w:val="none" w:sz="0" w:space="0" w:color="auto"/>
        <w:right w:val="none" w:sz="0" w:space="0" w:color="auto"/>
      </w:divBdr>
    </w:div>
    <w:div w:id="1948805278">
      <w:bodyDiv w:val="1"/>
      <w:marLeft w:val="0"/>
      <w:marRight w:val="0"/>
      <w:marTop w:val="0"/>
      <w:marBottom w:val="0"/>
      <w:divBdr>
        <w:top w:val="none" w:sz="0" w:space="0" w:color="auto"/>
        <w:left w:val="none" w:sz="0" w:space="0" w:color="auto"/>
        <w:bottom w:val="none" w:sz="0" w:space="0" w:color="auto"/>
        <w:right w:val="none" w:sz="0" w:space="0" w:color="auto"/>
      </w:divBdr>
    </w:div>
    <w:div w:id="1953853523">
      <w:bodyDiv w:val="1"/>
      <w:marLeft w:val="0"/>
      <w:marRight w:val="0"/>
      <w:marTop w:val="0"/>
      <w:marBottom w:val="0"/>
      <w:divBdr>
        <w:top w:val="none" w:sz="0" w:space="0" w:color="auto"/>
        <w:left w:val="none" w:sz="0" w:space="0" w:color="auto"/>
        <w:bottom w:val="none" w:sz="0" w:space="0" w:color="auto"/>
        <w:right w:val="none" w:sz="0" w:space="0" w:color="auto"/>
      </w:divBdr>
    </w:div>
    <w:div w:id="1955861116">
      <w:bodyDiv w:val="1"/>
      <w:marLeft w:val="0"/>
      <w:marRight w:val="0"/>
      <w:marTop w:val="0"/>
      <w:marBottom w:val="0"/>
      <w:divBdr>
        <w:top w:val="none" w:sz="0" w:space="0" w:color="auto"/>
        <w:left w:val="none" w:sz="0" w:space="0" w:color="auto"/>
        <w:bottom w:val="none" w:sz="0" w:space="0" w:color="auto"/>
        <w:right w:val="none" w:sz="0" w:space="0" w:color="auto"/>
      </w:divBdr>
    </w:div>
    <w:div w:id="1956476969">
      <w:bodyDiv w:val="1"/>
      <w:marLeft w:val="0"/>
      <w:marRight w:val="0"/>
      <w:marTop w:val="0"/>
      <w:marBottom w:val="0"/>
      <w:divBdr>
        <w:top w:val="none" w:sz="0" w:space="0" w:color="auto"/>
        <w:left w:val="none" w:sz="0" w:space="0" w:color="auto"/>
        <w:bottom w:val="none" w:sz="0" w:space="0" w:color="auto"/>
        <w:right w:val="none" w:sz="0" w:space="0" w:color="auto"/>
      </w:divBdr>
    </w:div>
    <w:div w:id="1957636245">
      <w:bodyDiv w:val="1"/>
      <w:marLeft w:val="0"/>
      <w:marRight w:val="0"/>
      <w:marTop w:val="0"/>
      <w:marBottom w:val="0"/>
      <w:divBdr>
        <w:top w:val="none" w:sz="0" w:space="0" w:color="auto"/>
        <w:left w:val="none" w:sz="0" w:space="0" w:color="auto"/>
        <w:bottom w:val="none" w:sz="0" w:space="0" w:color="auto"/>
        <w:right w:val="none" w:sz="0" w:space="0" w:color="auto"/>
      </w:divBdr>
    </w:div>
    <w:div w:id="1961035088">
      <w:bodyDiv w:val="1"/>
      <w:marLeft w:val="0"/>
      <w:marRight w:val="0"/>
      <w:marTop w:val="0"/>
      <w:marBottom w:val="0"/>
      <w:divBdr>
        <w:top w:val="none" w:sz="0" w:space="0" w:color="auto"/>
        <w:left w:val="none" w:sz="0" w:space="0" w:color="auto"/>
        <w:bottom w:val="none" w:sz="0" w:space="0" w:color="auto"/>
        <w:right w:val="none" w:sz="0" w:space="0" w:color="auto"/>
      </w:divBdr>
    </w:div>
    <w:div w:id="1962803931">
      <w:bodyDiv w:val="1"/>
      <w:marLeft w:val="0"/>
      <w:marRight w:val="0"/>
      <w:marTop w:val="0"/>
      <w:marBottom w:val="0"/>
      <w:divBdr>
        <w:top w:val="none" w:sz="0" w:space="0" w:color="auto"/>
        <w:left w:val="none" w:sz="0" w:space="0" w:color="auto"/>
        <w:bottom w:val="none" w:sz="0" w:space="0" w:color="auto"/>
        <w:right w:val="none" w:sz="0" w:space="0" w:color="auto"/>
      </w:divBdr>
    </w:div>
    <w:div w:id="1969314395">
      <w:bodyDiv w:val="1"/>
      <w:marLeft w:val="0"/>
      <w:marRight w:val="0"/>
      <w:marTop w:val="0"/>
      <w:marBottom w:val="0"/>
      <w:divBdr>
        <w:top w:val="none" w:sz="0" w:space="0" w:color="auto"/>
        <w:left w:val="none" w:sz="0" w:space="0" w:color="auto"/>
        <w:bottom w:val="none" w:sz="0" w:space="0" w:color="auto"/>
        <w:right w:val="none" w:sz="0" w:space="0" w:color="auto"/>
      </w:divBdr>
    </w:div>
    <w:div w:id="1969779929">
      <w:marLeft w:val="0"/>
      <w:marRight w:val="0"/>
      <w:marTop w:val="0"/>
      <w:marBottom w:val="0"/>
      <w:divBdr>
        <w:top w:val="none" w:sz="0" w:space="0" w:color="auto"/>
        <w:left w:val="none" w:sz="0" w:space="0" w:color="auto"/>
        <w:bottom w:val="none" w:sz="0" w:space="0" w:color="auto"/>
        <w:right w:val="none" w:sz="0" w:space="0" w:color="auto"/>
      </w:divBdr>
    </w:div>
    <w:div w:id="1973748188">
      <w:bodyDiv w:val="1"/>
      <w:marLeft w:val="0"/>
      <w:marRight w:val="0"/>
      <w:marTop w:val="0"/>
      <w:marBottom w:val="0"/>
      <w:divBdr>
        <w:top w:val="none" w:sz="0" w:space="0" w:color="auto"/>
        <w:left w:val="none" w:sz="0" w:space="0" w:color="auto"/>
        <w:bottom w:val="none" w:sz="0" w:space="0" w:color="auto"/>
        <w:right w:val="none" w:sz="0" w:space="0" w:color="auto"/>
      </w:divBdr>
    </w:div>
    <w:div w:id="1973824204">
      <w:bodyDiv w:val="1"/>
      <w:marLeft w:val="0"/>
      <w:marRight w:val="0"/>
      <w:marTop w:val="0"/>
      <w:marBottom w:val="0"/>
      <w:divBdr>
        <w:top w:val="none" w:sz="0" w:space="0" w:color="auto"/>
        <w:left w:val="none" w:sz="0" w:space="0" w:color="auto"/>
        <w:bottom w:val="none" w:sz="0" w:space="0" w:color="auto"/>
        <w:right w:val="none" w:sz="0" w:space="0" w:color="auto"/>
      </w:divBdr>
    </w:div>
    <w:div w:id="1976988084">
      <w:bodyDiv w:val="1"/>
      <w:marLeft w:val="0"/>
      <w:marRight w:val="0"/>
      <w:marTop w:val="0"/>
      <w:marBottom w:val="0"/>
      <w:divBdr>
        <w:top w:val="none" w:sz="0" w:space="0" w:color="auto"/>
        <w:left w:val="none" w:sz="0" w:space="0" w:color="auto"/>
        <w:bottom w:val="none" w:sz="0" w:space="0" w:color="auto"/>
        <w:right w:val="none" w:sz="0" w:space="0" w:color="auto"/>
      </w:divBdr>
    </w:div>
    <w:div w:id="1981612130">
      <w:bodyDiv w:val="1"/>
      <w:marLeft w:val="0"/>
      <w:marRight w:val="0"/>
      <w:marTop w:val="0"/>
      <w:marBottom w:val="0"/>
      <w:divBdr>
        <w:top w:val="none" w:sz="0" w:space="0" w:color="auto"/>
        <w:left w:val="none" w:sz="0" w:space="0" w:color="auto"/>
        <w:bottom w:val="none" w:sz="0" w:space="0" w:color="auto"/>
        <w:right w:val="none" w:sz="0" w:space="0" w:color="auto"/>
      </w:divBdr>
    </w:div>
    <w:div w:id="1982419010">
      <w:marLeft w:val="0"/>
      <w:marRight w:val="0"/>
      <w:marTop w:val="0"/>
      <w:marBottom w:val="0"/>
      <w:divBdr>
        <w:top w:val="none" w:sz="0" w:space="0" w:color="auto"/>
        <w:left w:val="none" w:sz="0" w:space="0" w:color="auto"/>
        <w:bottom w:val="none" w:sz="0" w:space="0" w:color="auto"/>
        <w:right w:val="none" w:sz="0" w:space="0" w:color="auto"/>
      </w:divBdr>
    </w:div>
    <w:div w:id="1984308715">
      <w:bodyDiv w:val="1"/>
      <w:marLeft w:val="0"/>
      <w:marRight w:val="0"/>
      <w:marTop w:val="0"/>
      <w:marBottom w:val="0"/>
      <w:divBdr>
        <w:top w:val="none" w:sz="0" w:space="0" w:color="auto"/>
        <w:left w:val="none" w:sz="0" w:space="0" w:color="auto"/>
        <w:bottom w:val="none" w:sz="0" w:space="0" w:color="auto"/>
        <w:right w:val="none" w:sz="0" w:space="0" w:color="auto"/>
      </w:divBdr>
    </w:div>
    <w:div w:id="1988122527">
      <w:bodyDiv w:val="1"/>
      <w:marLeft w:val="0"/>
      <w:marRight w:val="0"/>
      <w:marTop w:val="0"/>
      <w:marBottom w:val="0"/>
      <w:divBdr>
        <w:top w:val="none" w:sz="0" w:space="0" w:color="auto"/>
        <w:left w:val="none" w:sz="0" w:space="0" w:color="auto"/>
        <w:bottom w:val="none" w:sz="0" w:space="0" w:color="auto"/>
        <w:right w:val="none" w:sz="0" w:space="0" w:color="auto"/>
      </w:divBdr>
    </w:div>
    <w:div w:id="1988364080">
      <w:bodyDiv w:val="1"/>
      <w:marLeft w:val="0"/>
      <w:marRight w:val="0"/>
      <w:marTop w:val="0"/>
      <w:marBottom w:val="0"/>
      <w:divBdr>
        <w:top w:val="none" w:sz="0" w:space="0" w:color="auto"/>
        <w:left w:val="none" w:sz="0" w:space="0" w:color="auto"/>
        <w:bottom w:val="none" w:sz="0" w:space="0" w:color="auto"/>
        <w:right w:val="none" w:sz="0" w:space="0" w:color="auto"/>
      </w:divBdr>
    </w:div>
    <w:div w:id="1994260805">
      <w:marLeft w:val="0"/>
      <w:marRight w:val="0"/>
      <w:marTop w:val="0"/>
      <w:marBottom w:val="0"/>
      <w:divBdr>
        <w:top w:val="none" w:sz="0" w:space="0" w:color="auto"/>
        <w:left w:val="none" w:sz="0" w:space="0" w:color="auto"/>
        <w:bottom w:val="none" w:sz="0" w:space="0" w:color="auto"/>
        <w:right w:val="none" w:sz="0" w:space="0" w:color="auto"/>
      </w:divBdr>
    </w:div>
    <w:div w:id="1997218295">
      <w:bodyDiv w:val="1"/>
      <w:marLeft w:val="0"/>
      <w:marRight w:val="0"/>
      <w:marTop w:val="0"/>
      <w:marBottom w:val="0"/>
      <w:divBdr>
        <w:top w:val="none" w:sz="0" w:space="0" w:color="auto"/>
        <w:left w:val="none" w:sz="0" w:space="0" w:color="auto"/>
        <w:bottom w:val="none" w:sz="0" w:space="0" w:color="auto"/>
        <w:right w:val="none" w:sz="0" w:space="0" w:color="auto"/>
      </w:divBdr>
    </w:div>
    <w:div w:id="2000187286">
      <w:bodyDiv w:val="1"/>
      <w:marLeft w:val="0"/>
      <w:marRight w:val="0"/>
      <w:marTop w:val="0"/>
      <w:marBottom w:val="0"/>
      <w:divBdr>
        <w:top w:val="none" w:sz="0" w:space="0" w:color="auto"/>
        <w:left w:val="none" w:sz="0" w:space="0" w:color="auto"/>
        <w:bottom w:val="none" w:sz="0" w:space="0" w:color="auto"/>
        <w:right w:val="none" w:sz="0" w:space="0" w:color="auto"/>
      </w:divBdr>
    </w:div>
    <w:div w:id="2005207214">
      <w:bodyDiv w:val="1"/>
      <w:marLeft w:val="0"/>
      <w:marRight w:val="0"/>
      <w:marTop w:val="0"/>
      <w:marBottom w:val="0"/>
      <w:divBdr>
        <w:top w:val="none" w:sz="0" w:space="0" w:color="auto"/>
        <w:left w:val="none" w:sz="0" w:space="0" w:color="auto"/>
        <w:bottom w:val="none" w:sz="0" w:space="0" w:color="auto"/>
        <w:right w:val="none" w:sz="0" w:space="0" w:color="auto"/>
      </w:divBdr>
    </w:div>
    <w:div w:id="2008248779">
      <w:bodyDiv w:val="1"/>
      <w:marLeft w:val="0"/>
      <w:marRight w:val="0"/>
      <w:marTop w:val="0"/>
      <w:marBottom w:val="0"/>
      <w:divBdr>
        <w:top w:val="none" w:sz="0" w:space="0" w:color="auto"/>
        <w:left w:val="none" w:sz="0" w:space="0" w:color="auto"/>
        <w:bottom w:val="none" w:sz="0" w:space="0" w:color="auto"/>
        <w:right w:val="none" w:sz="0" w:space="0" w:color="auto"/>
      </w:divBdr>
    </w:div>
    <w:div w:id="2010592621">
      <w:bodyDiv w:val="1"/>
      <w:marLeft w:val="0"/>
      <w:marRight w:val="0"/>
      <w:marTop w:val="0"/>
      <w:marBottom w:val="0"/>
      <w:divBdr>
        <w:top w:val="none" w:sz="0" w:space="0" w:color="auto"/>
        <w:left w:val="none" w:sz="0" w:space="0" w:color="auto"/>
        <w:bottom w:val="none" w:sz="0" w:space="0" w:color="auto"/>
        <w:right w:val="none" w:sz="0" w:space="0" w:color="auto"/>
      </w:divBdr>
    </w:div>
    <w:div w:id="2015917243">
      <w:bodyDiv w:val="1"/>
      <w:marLeft w:val="0"/>
      <w:marRight w:val="0"/>
      <w:marTop w:val="0"/>
      <w:marBottom w:val="0"/>
      <w:divBdr>
        <w:top w:val="none" w:sz="0" w:space="0" w:color="auto"/>
        <w:left w:val="none" w:sz="0" w:space="0" w:color="auto"/>
        <w:bottom w:val="none" w:sz="0" w:space="0" w:color="auto"/>
        <w:right w:val="none" w:sz="0" w:space="0" w:color="auto"/>
      </w:divBdr>
    </w:div>
    <w:div w:id="2017152645">
      <w:bodyDiv w:val="1"/>
      <w:marLeft w:val="0"/>
      <w:marRight w:val="0"/>
      <w:marTop w:val="0"/>
      <w:marBottom w:val="0"/>
      <w:divBdr>
        <w:top w:val="none" w:sz="0" w:space="0" w:color="auto"/>
        <w:left w:val="none" w:sz="0" w:space="0" w:color="auto"/>
        <w:bottom w:val="none" w:sz="0" w:space="0" w:color="auto"/>
        <w:right w:val="none" w:sz="0" w:space="0" w:color="auto"/>
      </w:divBdr>
    </w:div>
    <w:div w:id="2026245258">
      <w:bodyDiv w:val="1"/>
      <w:marLeft w:val="0"/>
      <w:marRight w:val="0"/>
      <w:marTop w:val="0"/>
      <w:marBottom w:val="0"/>
      <w:divBdr>
        <w:top w:val="none" w:sz="0" w:space="0" w:color="auto"/>
        <w:left w:val="none" w:sz="0" w:space="0" w:color="auto"/>
        <w:bottom w:val="none" w:sz="0" w:space="0" w:color="auto"/>
        <w:right w:val="none" w:sz="0" w:space="0" w:color="auto"/>
      </w:divBdr>
    </w:div>
    <w:div w:id="2030066217">
      <w:bodyDiv w:val="1"/>
      <w:marLeft w:val="0"/>
      <w:marRight w:val="0"/>
      <w:marTop w:val="0"/>
      <w:marBottom w:val="0"/>
      <w:divBdr>
        <w:top w:val="none" w:sz="0" w:space="0" w:color="auto"/>
        <w:left w:val="none" w:sz="0" w:space="0" w:color="auto"/>
        <w:bottom w:val="none" w:sz="0" w:space="0" w:color="auto"/>
        <w:right w:val="none" w:sz="0" w:space="0" w:color="auto"/>
      </w:divBdr>
    </w:div>
    <w:div w:id="2031833576">
      <w:bodyDiv w:val="1"/>
      <w:marLeft w:val="0"/>
      <w:marRight w:val="0"/>
      <w:marTop w:val="0"/>
      <w:marBottom w:val="0"/>
      <w:divBdr>
        <w:top w:val="none" w:sz="0" w:space="0" w:color="auto"/>
        <w:left w:val="none" w:sz="0" w:space="0" w:color="auto"/>
        <w:bottom w:val="none" w:sz="0" w:space="0" w:color="auto"/>
        <w:right w:val="none" w:sz="0" w:space="0" w:color="auto"/>
      </w:divBdr>
    </w:div>
    <w:div w:id="2031953985">
      <w:bodyDiv w:val="1"/>
      <w:marLeft w:val="0"/>
      <w:marRight w:val="0"/>
      <w:marTop w:val="0"/>
      <w:marBottom w:val="0"/>
      <w:divBdr>
        <w:top w:val="none" w:sz="0" w:space="0" w:color="auto"/>
        <w:left w:val="none" w:sz="0" w:space="0" w:color="auto"/>
        <w:bottom w:val="none" w:sz="0" w:space="0" w:color="auto"/>
        <w:right w:val="none" w:sz="0" w:space="0" w:color="auto"/>
      </w:divBdr>
    </w:div>
    <w:div w:id="2035232779">
      <w:bodyDiv w:val="1"/>
      <w:marLeft w:val="0"/>
      <w:marRight w:val="0"/>
      <w:marTop w:val="0"/>
      <w:marBottom w:val="0"/>
      <w:divBdr>
        <w:top w:val="none" w:sz="0" w:space="0" w:color="auto"/>
        <w:left w:val="none" w:sz="0" w:space="0" w:color="auto"/>
        <w:bottom w:val="none" w:sz="0" w:space="0" w:color="auto"/>
        <w:right w:val="none" w:sz="0" w:space="0" w:color="auto"/>
      </w:divBdr>
    </w:div>
    <w:div w:id="2039115318">
      <w:marLeft w:val="0"/>
      <w:marRight w:val="0"/>
      <w:marTop w:val="0"/>
      <w:marBottom w:val="0"/>
      <w:divBdr>
        <w:top w:val="none" w:sz="0" w:space="0" w:color="auto"/>
        <w:left w:val="none" w:sz="0" w:space="0" w:color="auto"/>
        <w:bottom w:val="none" w:sz="0" w:space="0" w:color="auto"/>
        <w:right w:val="none" w:sz="0" w:space="0" w:color="auto"/>
      </w:divBdr>
    </w:div>
    <w:div w:id="2041859574">
      <w:bodyDiv w:val="1"/>
      <w:marLeft w:val="0"/>
      <w:marRight w:val="0"/>
      <w:marTop w:val="0"/>
      <w:marBottom w:val="0"/>
      <w:divBdr>
        <w:top w:val="none" w:sz="0" w:space="0" w:color="auto"/>
        <w:left w:val="none" w:sz="0" w:space="0" w:color="auto"/>
        <w:bottom w:val="none" w:sz="0" w:space="0" w:color="auto"/>
        <w:right w:val="none" w:sz="0" w:space="0" w:color="auto"/>
      </w:divBdr>
    </w:div>
    <w:div w:id="2055304855">
      <w:bodyDiv w:val="1"/>
      <w:marLeft w:val="0"/>
      <w:marRight w:val="0"/>
      <w:marTop w:val="0"/>
      <w:marBottom w:val="0"/>
      <w:divBdr>
        <w:top w:val="none" w:sz="0" w:space="0" w:color="auto"/>
        <w:left w:val="none" w:sz="0" w:space="0" w:color="auto"/>
        <w:bottom w:val="none" w:sz="0" w:space="0" w:color="auto"/>
        <w:right w:val="none" w:sz="0" w:space="0" w:color="auto"/>
      </w:divBdr>
    </w:div>
    <w:div w:id="2057124113">
      <w:marLeft w:val="0"/>
      <w:marRight w:val="0"/>
      <w:marTop w:val="0"/>
      <w:marBottom w:val="0"/>
      <w:divBdr>
        <w:top w:val="none" w:sz="0" w:space="0" w:color="auto"/>
        <w:left w:val="none" w:sz="0" w:space="0" w:color="auto"/>
        <w:bottom w:val="none" w:sz="0" w:space="0" w:color="auto"/>
        <w:right w:val="none" w:sz="0" w:space="0" w:color="auto"/>
      </w:divBdr>
    </w:div>
    <w:div w:id="2057503111">
      <w:marLeft w:val="0"/>
      <w:marRight w:val="0"/>
      <w:marTop w:val="0"/>
      <w:marBottom w:val="0"/>
      <w:divBdr>
        <w:top w:val="none" w:sz="0" w:space="0" w:color="auto"/>
        <w:left w:val="none" w:sz="0" w:space="0" w:color="auto"/>
        <w:bottom w:val="none" w:sz="0" w:space="0" w:color="auto"/>
        <w:right w:val="none" w:sz="0" w:space="0" w:color="auto"/>
      </w:divBdr>
    </w:div>
    <w:div w:id="2058124265">
      <w:bodyDiv w:val="1"/>
      <w:marLeft w:val="0"/>
      <w:marRight w:val="0"/>
      <w:marTop w:val="0"/>
      <w:marBottom w:val="0"/>
      <w:divBdr>
        <w:top w:val="none" w:sz="0" w:space="0" w:color="auto"/>
        <w:left w:val="none" w:sz="0" w:space="0" w:color="auto"/>
        <w:bottom w:val="none" w:sz="0" w:space="0" w:color="auto"/>
        <w:right w:val="none" w:sz="0" w:space="0" w:color="auto"/>
      </w:divBdr>
    </w:div>
    <w:div w:id="2060206751">
      <w:bodyDiv w:val="1"/>
      <w:marLeft w:val="0"/>
      <w:marRight w:val="0"/>
      <w:marTop w:val="0"/>
      <w:marBottom w:val="0"/>
      <w:divBdr>
        <w:top w:val="none" w:sz="0" w:space="0" w:color="auto"/>
        <w:left w:val="none" w:sz="0" w:space="0" w:color="auto"/>
        <w:bottom w:val="none" w:sz="0" w:space="0" w:color="auto"/>
        <w:right w:val="none" w:sz="0" w:space="0" w:color="auto"/>
      </w:divBdr>
    </w:div>
    <w:div w:id="2062552580">
      <w:bodyDiv w:val="1"/>
      <w:marLeft w:val="0"/>
      <w:marRight w:val="0"/>
      <w:marTop w:val="0"/>
      <w:marBottom w:val="0"/>
      <w:divBdr>
        <w:top w:val="none" w:sz="0" w:space="0" w:color="auto"/>
        <w:left w:val="none" w:sz="0" w:space="0" w:color="auto"/>
        <w:bottom w:val="none" w:sz="0" w:space="0" w:color="auto"/>
        <w:right w:val="none" w:sz="0" w:space="0" w:color="auto"/>
      </w:divBdr>
    </w:div>
    <w:div w:id="2063871279">
      <w:bodyDiv w:val="1"/>
      <w:marLeft w:val="0"/>
      <w:marRight w:val="0"/>
      <w:marTop w:val="0"/>
      <w:marBottom w:val="0"/>
      <w:divBdr>
        <w:top w:val="none" w:sz="0" w:space="0" w:color="auto"/>
        <w:left w:val="none" w:sz="0" w:space="0" w:color="auto"/>
        <w:bottom w:val="none" w:sz="0" w:space="0" w:color="auto"/>
        <w:right w:val="none" w:sz="0" w:space="0" w:color="auto"/>
      </w:divBdr>
    </w:div>
    <w:div w:id="2066641928">
      <w:bodyDiv w:val="1"/>
      <w:marLeft w:val="0"/>
      <w:marRight w:val="0"/>
      <w:marTop w:val="0"/>
      <w:marBottom w:val="0"/>
      <w:divBdr>
        <w:top w:val="none" w:sz="0" w:space="0" w:color="auto"/>
        <w:left w:val="none" w:sz="0" w:space="0" w:color="auto"/>
        <w:bottom w:val="none" w:sz="0" w:space="0" w:color="auto"/>
        <w:right w:val="none" w:sz="0" w:space="0" w:color="auto"/>
      </w:divBdr>
    </w:div>
    <w:div w:id="2068869548">
      <w:bodyDiv w:val="1"/>
      <w:marLeft w:val="0"/>
      <w:marRight w:val="0"/>
      <w:marTop w:val="0"/>
      <w:marBottom w:val="0"/>
      <w:divBdr>
        <w:top w:val="none" w:sz="0" w:space="0" w:color="auto"/>
        <w:left w:val="none" w:sz="0" w:space="0" w:color="auto"/>
        <w:bottom w:val="none" w:sz="0" w:space="0" w:color="auto"/>
        <w:right w:val="none" w:sz="0" w:space="0" w:color="auto"/>
      </w:divBdr>
    </w:div>
    <w:div w:id="2070377833">
      <w:bodyDiv w:val="1"/>
      <w:marLeft w:val="0"/>
      <w:marRight w:val="0"/>
      <w:marTop w:val="0"/>
      <w:marBottom w:val="0"/>
      <w:divBdr>
        <w:top w:val="none" w:sz="0" w:space="0" w:color="auto"/>
        <w:left w:val="none" w:sz="0" w:space="0" w:color="auto"/>
        <w:bottom w:val="none" w:sz="0" w:space="0" w:color="auto"/>
        <w:right w:val="none" w:sz="0" w:space="0" w:color="auto"/>
      </w:divBdr>
    </w:div>
    <w:div w:id="2071616808">
      <w:marLeft w:val="0"/>
      <w:marRight w:val="0"/>
      <w:marTop w:val="0"/>
      <w:marBottom w:val="0"/>
      <w:divBdr>
        <w:top w:val="none" w:sz="0" w:space="0" w:color="auto"/>
        <w:left w:val="none" w:sz="0" w:space="0" w:color="auto"/>
        <w:bottom w:val="none" w:sz="0" w:space="0" w:color="auto"/>
        <w:right w:val="none" w:sz="0" w:space="0" w:color="auto"/>
      </w:divBdr>
    </w:div>
    <w:div w:id="2072464058">
      <w:bodyDiv w:val="1"/>
      <w:marLeft w:val="0"/>
      <w:marRight w:val="0"/>
      <w:marTop w:val="0"/>
      <w:marBottom w:val="0"/>
      <w:divBdr>
        <w:top w:val="none" w:sz="0" w:space="0" w:color="auto"/>
        <w:left w:val="none" w:sz="0" w:space="0" w:color="auto"/>
        <w:bottom w:val="none" w:sz="0" w:space="0" w:color="auto"/>
        <w:right w:val="none" w:sz="0" w:space="0" w:color="auto"/>
      </w:divBdr>
    </w:div>
    <w:div w:id="2074085461">
      <w:bodyDiv w:val="1"/>
      <w:marLeft w:val="0"/>
      <w:marRight w:val="0"/>
      <w:marTop w:val="0"/>
      <w:marBottom w:val="0"/>
      <w:divBdr>
        <w:top w:val="none" w:sz="0" w:space="0" w:color="auto"/>
        <w:left w:val="none" w:sz="0" w:space="0" w:color="auto"/>
        <w:bottom w:val="none" w:sz="0" w:space="0" w:color="auto"/>
        <w:right w:val="none" w:sz="0" w:space="0" w:color="auto"/>
      </w:divBdr>
    </w:div>
    <w:div w:id="2078429900">
      <w:bodyDiv w:val="1"/>
      <w:marLeft w:val="0"/>
      <w:marRight w:val="0"/>
      <w:marTop w:val="0"/>
      <w:marBottom w:val="0"/>
      <w:divBdr>
        <w:top w:val="none" w:sz="0" w:space="0" w:color="auto"/>
        <w:left w:val="none" w:sz="0" w:space="0" w:color="auto"/>
        <w:bottom w:val="none" w:sz="0" w:space="0" w:color="auto"/>
        <w:right w:val="none" w:sz="0" w:space="0" w:color="auto"/>
      </w:divBdr>
    </w:div>
    <w:div w:id="2079017951">
      <w:bodyDiv w:val="1"/>
      <w:marLeft w:val="0"/>
      <w:marRight w:val="0"/>
      <w:marTop w:val="0"/>
      <w:marBottom w:val="0"/>
      <w:divBdr>
        <w:top w:val="none" w:sz="0" w:space="0" w:color="auto"/>
        <w:left w:val="none" w:sz="0" w:space="0" w:color="auto"/>
        <w:bottom w:val="none" w:sz="0" w:space="0" w:color="auto"/>
        <w:right w:val="none" w:sz="0" w:space="0" w:color="auto"/>
      </w:divBdr>
    </w:div>
    <w:div w:id="2081100028">
      <w:bodyDiv w:val="1"/>
      <w:marLeft w:val="0"/>
      <w:marRight w:val="0"/>
      <w:marTop w:val="0"/>
      <w:marBottom w:val="0"/>
      <w:divBdr>
        <w:top w:val="none" w:sz="0" w:space="0" w:color="auto"/>
        <w:left w:val="none" w:sz="0" w:space="0" w:color="auto"/>
        <w:bottom w:val="none" w:sz="0" w:space="0" w:color="auto"/>
        <w:right w:val="none" w:sz="0" w:space="0" w:color="auto"/>
      </w:divBdr>
    </w:div>
    <w:div w:id="2083407494">
      <w:marLeft w:val="0"/>
      <w:marRight w:val="0"/>
      <w:marTop w:val="0"/>
      <w:marBottom w:val="0"/>
      <w:divBdr>
        <w:top w:val="none" w:sz="0" w:space="0" w:color="auto"/>
        <w:left w:val="none" w:sz="0" w:space="0" w:color="auto"/>
        <w:bottom w:val="none" w:sz="0" w:space="0" w:color="auto"/>
        <w:right w:val="none" w:sz="0" w:space="0" w:color="auto"/>
      </w:divBdr>
    </w:div>
    <w:div w:id="2089188532">
      <w:bodyDiv w:val="1"/>
      <w:marLeft w:val="0"/>
      <w:marRight w:val="0"/>
      <w:marTop w:val="0"/>
      <w:marBottom w:val="0"/>
      <w:divBdr>
        <w:top w:val="none" w:sz="0" w:space="0" w:color="auto"/>
        <w:left w:val="none" w:sz="0" w:space="0" w:color="auto"/>
        <w:bottom w:val="none" w:sz="0" w:space="0" w:color="auto"/>
        <w:right w:val="none" w:sz="0" w:space="0" w:color="auto"/>
      </w:divBdr>
    </w:div>
    <w:div w:id="2089689808">
      <w:bodyDiv w:val="1"/>
      <w:marLeft w:val="0"/>
      <w:marRight w:val="0"/>
      <w:marTop w:val="0"/>
      <w:marBottom w:val="0"/>
      <w:divBdr>
        <w:top w:val="none" w:sz="0" w:space="0" w:color="auto"/>
        <w:left w:val="none" w:sz="0" w:space="0" w:color="auto"/>
        <w:bottom w:val="none" w:sz="0" w:space="0" w:color="auto"/>
        <w:right w:val="none" w:sz="0" w:space="0" w:color="auto"/>
      </w:divBdr>
    </w:div>
    <w:div w:id="2090885485">
      <w:bodyDiv w:val="1"/>
      <w:marLeft w:val="0"/>
      <w:marRight w:val="0"/>
      <w:marTop w:val="0"/>
      <w:marBottom w:val="0"/>
      <w:divBdr>
        <w:top w:val="none" w:sz="0" w:space="0" w:color="auto"/>
        <w:left w:val="none" w:sz="0" w:space="0" w:color="auto"/>
        <w:bottom w:val="none" w:sz="0" w:space="0" w:color="auto"/>
        <w:right w:val="none" w:sz="0" w:space="0" w:color="auto"/>
      </w:divBdr>
    </w:div>
    <w:div w:id="2091344257">
      <w:bodyDiv w:val="1"/>
      <w:marLeft w:val="0"/>
      <w:marRight w:val="0"/>
      <w:marTop w:val="0"/>
      <w:marBottom w:val="0"/>
      <w:divBdr>
        <w:top w:val="none" w:sz="0" w:space="0" w:color="auto"/>
        <w:left w:val="none" w:sz="0" w:space="0" w:color="auto"/>
        <w:bottom w:val="none" w:sz="0" w:space="0" w:color="auto"/>
        <w:right w:val="none" w:sz="0" w:space="0" w:color="auto"/>
      </w:divBdr>
    </w:div>
    <w:div w:id="2095085778">
      <w:bodyDiv w:val="1"/>
      <w:marLeft w:val="0"/>
      <w:marRight w:val="0"/>
      <w:marTop w:val="0"/>
      <w:marBottom w:val="0"/>
      <w:divBdr>
        <w:top w:val="none" w:sz="0" w:space="0" w:color="auto"/>
        <w:left w:val="none" w:sz="0" w:space="0" w:color="auto"/>
        <w:bottom w:val="none" w:sz="0" w:space="0" w:color="auto"/>
        <w:right w:val="none" w:sz="0" w:space="0" w:color="auto"/>
      </w:divBdr>
    </w:div>
    <w:div w:id="2100252543">
      <w:bodyDiv w:val="1"/>
      <w:marLeft w:val="0"/>
      <w:marRight w:val="0"/>
      <w:marTop w:val="0"/>
      <w:marBottom w:val="0"/>
      <w:divBdr>
        <w:top w:val="none" w:sz="0" w:space="0" w:color="auto"/>
        <w:left w:val="none" w:sz="0" w:space="0" w:color="auto"/>
        <w:bottom w:val="none" w:sz="0" w:space="0" w:color="auto"/>
        <w:right w:val="none" w:sz="0" w:space="0" w:color="auto"/>
      </w:divBdr>
    </w:div>
    <w:div w:id="2102330956">
      <w:bodyDiv w:val="1"/>
      <w:marLeft w:val="0"/>
      <w:marRight w:val="0"/>
      <w:marTop w:val="0"/>
      <w:marBottom w:val="0"/>
      <w:divBdr>
        <w:top w:val="none" w:sz="0" w:space="0" w:color="auto"/>
        <w:left w:val="none" w:sz="0" w:space="0" w:color="auto"/>
        <w:bottom w:val="none" w:sz="0" w:space="0" w:color="auto"/>
        <w:right w:val="none" w:sz="0" w:space="0" w:color="auto"/>
      </w:divBdr>
    </w:div>
    <w:div w:id="2103408249">
      <w:bodyDiv w:val="1"/>
      <w:marLeft w:val="0"/>
      <w:marRight w:val="0"/>
      <w:marTop w:val="0"/>
      <w:marBottom w:val="0"/>
      <w:divBdr>
        <w:top w:val="none" w:sz="0" w:space="0" w:color="auto"/>
        <w:left w:val="none" w:sz="0" w:space="0" w:color="auto"/>
        <w:bottom w:val="none" w:sz="0" w:space="0" w:color="auto"/>
        <w:right w:val="none" w:sz="0" w:space="0" w:color="auto"/>
      </w:divBdr>
    </w:div>
    <w:div w:id="2104833053">
      <w:bodyDiv w:val="1"/>
      <w:marLeft w:val="0"/>
      <w:marRight w:val="0"/>
      <w:marTop w:val="0"/>
      <w:marBottom w:val="0"/>
      <w:divBdr>
        <w:top w:val="none" w:sz="0" w:space="0" w:color="auto"/>
        <w:left w:val="none" w:sz="0" w:space="0" w:color="auto"/>
        <w:bottom w:val="none" w:sz="0" w:space="0" w:color="auto"/>
        <w:right w:val="none" w:sz="0" w:space="0" w:color="auto"/>
      </w:divBdr>
    </w:div>
    <w:div w:id="2110150799">
      <w:bodyDiv w:val="1"/>
      <w:marLeft w:val="0"/>
      <w:marRight w:val="0"/>
      <w:marTop w:val="0"/>
      <w:marBottom w:val="0"/>
      <w:divBdr>
        <w:top w:val="none" w:sz="0" w:space="0" w:color="auto"/>
        <w:left w:val="none" w:sz="0" w:space="0" w:color="auto"/>
        <w:bottom w:val="none" w:sz="0" w:space="0" w:color="auto"/>
        <w:right w:val="none" w:sz="0" w:space="0" w:color="auto"/>
      </w:divBdr>
    </w:div>
    <w:div w:id="2111200193">
      <w:bodyDiv w:val="1"/>
      <w:marLeft w:val="0"/>
      <w:marRight w:val="0"/>
      <w:marTop w:val="0"/>
      <w:marBottom w:val="0"/>
      <w:divBdr>
        <w:top w:val="none" w:sz="0" w:space="0" w:color="auto"/>
        <w:left w:val="none" w:sz="0" w:space="0" w:color="auto"/>
        <w:bottom w:val="none" w:sz="0" w:space="0" w:color="auto"/>
        <w:right w:val="none" w:sz="0" w:space="0" w:color="auto"/>
      </w:divBdr>
    </w:div>
    <w:div w:id="2113044064">
      <w:bodyDiv w:val="1"/>
      <w:marLeft w:val="0"/>
      <w:marRight w:val="0"/>
      <w:marTop w:val="0"/>
      <w:marBottom w:val="0"/>
      <w:divBdr>
        <w:top w:val="none" w:sz="0" w:space="0" w:color="auto"/>
        <w:left w:val="none" w:sz="0" w:space="0" w:color="auto"/>
        <w:bottom w:val="none" w:sz="0" w:space="0" w:color="auto"/>
        <w:right w:val="none" w:sz="0" w:space="0" w:color="auto"/>
      </w:divBdr>
    </w:div>
    <w:div w:id="2115050490">
      <w:bodyDiv w:val="1"/>
      <w:marLeft w:val="0"/>
      <w:marRight w:val="0"/>
      <w:marTop w:val="0"/>
      <w:marBottom w:val="0"/>
      <w:divBdr>
        <w:top w:val="none" w:sz="0" w:space="0" w:color="auto"/>
        <w:left w:val="none" w:sz="0" w:space="0" w:color="auto"/>
        <w:bottom w:val="none" w:sz="0" w:space="0" w:color="auto"/>
        <w:right w:val="none" w:sz="0" w:space="0" w:color="auto"/>
      </w:divBdr>
    </w:div>
    <w:div w:id="2116829061">
      <w:bodyDiv w:val="1"/>
      <w:marLeft w:val="0"/>
      <w:marRight w:val="0"/>
      <w:marTop w:val="0"/>
      <w:marBottom w:val="0"/>
      <w:divBdr>
        <w:top w:val="none" w:sz="0" w:space="0" w:color="auto"/>
        <w:left w:val="none" w:sz="0" w:space="0" w:color="auto"/>
        <w:bottom w:val="none" w:sz="0" w:space="0" w:color="auto"/>
        <w:right w:val="none" w:sz="0" w:space="0" w:color="auto"/>
      </w:divBdr>
    </w:div>
    <w:div w:id="2118520600">
      <w:bodyDiv w:val="1"/>
      <w:marLeft w:val="0"/>
      <w:marRight w:val="0"/>
      <w:marTop w:val="0"/>
      <w:marBottom w:val="0"/>
      <w:divBdr>
        <w:top w:val="none" w:sz="0" w:space="0" w:color="auto"/>
        <w:left w:val="none" w:sz="0" w:space="0" w:color="auto"/>
        <w:bottom w:val="none" w:sz="0" w:space="0" w:color="auto"/>
        <w:right w:val="none" w:sz="0" w:space="0" w:color="auto"/>
      </w:divBdr>
    </w:div>
    <w:div w:id="2120099958">
      <w:bodyDiv w:val="1"/>
      <w:marLeft w:val="0"/>
      <w:marRight w:val="0"/>
      <w:marTop w:val="0"/>
      <w:marBottom w:val="0"/>
      <w:divBdr>
        <w:top w:val="none" w:sz="0" w:space="0" w:color="auto"/>
        <w:left w:val="none" w:sz="0" w:space="0" w:color="auto"/>
        <w:bottom w:val="none" w:sz="0" w:space="0" w:color="auto"/>
        <w:right w:val="none" w:sz="0" w:space="0" w:color="auto"/>
      </w:divBdr>
    </w:div>
    <w:div w:id="2124381492">
      <w:bodyDiv w:val="1"/>
      <w:marLeft w:val="0"/>
      <w:marRight w:val="0"/>
      <w:marTop w:val="0"/>
      <w:marBottom w:val="0"/>
      <w:divBdr>
        <w:top w:val="none" w:sz="0" w:space="0" w:color="auto"/>
        <w:left w:val="none" w:sz="0" w:space="0" w:color="auto"/>
        <w:bottom w:val="none" w:sz="0" w:space="0" w:color="auto"/>
        <w:right w:val="none" w:sz="0" w:space="0" w:color="auto"/>
      </w:divBdr>
    </w:div>
    <w:div w:id="2130656913">
      <w:bodyDiv w:val="1"/>
      <w:marLeft w:val="0"/>
      <w:marRight w:val="0"/>
      <w:marTop w:val="0"/>
      <w:marBottom w:val="0"/>
      <w:divBdr>
        <w:top w:val="none" w:sz="0" w:space="0" w:color="auto"/>
        <w:left w:val="none" w:sz="0" w:space="0" w:color="auto"/>
        <w:bottom w:val="none" w:sz="0" w:space="0" w:color="auto"/>
        <w:right w:val="none" w:sz="0" w:space="0" w:color="auto"/>
      </w:divBdr>
    </w:div>
    <w:div w:id="2131313625">
      <w:bodyDiv w:val="1"/>
      <w:marLeft w:val="0"/>
      <w:marRight w:val="0"/>
      <w:marTop w:val="0"/>
      <w:marBottom w:val="0"/>
      <w:divBdr>
        <w:top w:val="none" w:sz="0" w:space="0" w:color="auto"/>
        <w:left w:val="none" w:sz="0" w:space="0" w:color="auto"/>
        <w:bottom w:val="none" w:sz="0" w:space="0" w:color="auto"/>
        <w:right w:val="none" w:sz="0" w:space="0" w:color="auto"/>
      </w:divBdr>
    </w:div>
    <w:div w:id="2135711101">
      <w:bodyDiv w:val="1"/>
      <w:marLeft w:val="0"/>
      <w:marRight w:val="0"/>
      <w:marTop w:val="0"/>
      <w:marBottom w:val="0"/>
      <w:divBdr>
        <w:top w:val="none" w:sz="0" w:space="0" w:color="auto"/>
        <w:left w:val="none" w:sz="0" w:space="0" w:color="auto"/>
        <w:bottom w:val="none" w:sz="0" w:space="0" w:color="auto"/>
        <w:right w:val="none" w:sz="0" w:space="0" w:color="auto"/>
      </w:divBdr>
    </w:div>
    <w:div w:id="2135826877">
      <w:bodyDiv w:val="1"/>
      <w:marLeft w:val="0"/>
      <w:marRight w:val="0"/>
      <w:marTop w:val="0"/>
      <w:marBottom w:val="0"/>
      <w:divBdr>
        <w:top w:val="none" w:sz="0" w:space="0" w:color="auto"/>
        <w:left w:val="none" w:sz="0" w:space="0" w:color="auto"/>
        <w:bottom w:val="none" w:sz="0" w:space="0" w:color="auto"/>
        <w:right w:val="none" w:sz="0" w:space="0" w:color="auto"/>
      </w:divBdr>
    </w:div>
    <w:div w:id="2140222019">
      <w:marLeft w:val="0"/>
      <w:marRight w:val="0"/>
      <w:marTop w:val="0"/>
      <w:marBottom w:val="0"/>
      <w:divBdr>
        <w:top w:val="none" w:sz="0" w:space="0" w:color="auto"/>
        <w:left w:val="none" w:sz="0" w:space="0" w:color="auto"/>
        <w:bottom w:val="none" w:sz="0" w:space="0" w:color="auto"/>
        <w:right w:val="none" w:sz="0" w:space="0" w:color="auto"/>
      </w:divBdr>
    </w:div>
    <w:div w:id="2142452540">
      <w:bodyDiv w:val="1"/>
      <w:marLeft w:val="0"/>
      <w:marRight w:val="0"/>
      <w:marTop w:val="0"/>
      <w:marBottom w:val="0"/>
      <w:divBdr>
        <w:top w:val="none" w:sz="0" w:space="0" w:color="auto"/>
        <w:left w:val="none" w:sz="0" w:space="0" w:color="auto"/>
        <w:bottom w:val="none" w:sz="0" w:space="0" w:color="auto"/>
        <w:right w:val="none" w:sz="0" w:space="0" w:color="auto"/>
      </w:divBdr>
    </w:div>
    <w:div w:id="214311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bdocs.iadb.org/WSDocs/getDocument.aspx?DOCNUM=40374244" TargetMode="External"/><Relationship Id="rId18" Type="http://schemas.openxmlformats.org/officeDocument/2006/relationships/hyperlink" Target="http://idbdocs.iadb.org/WSDocs/getDocument.aspx?DOCNUM=40374222" TargetMode="External"/><Relationship Id="rId26" Type="http://schemas.openxmlformats.org/officeDocument/2006/relationships/image" Target="media/image5.png"/><Relationship Id="rId39" Type="http://schemas.microsoft.com/office/2011/relationships/commentsExtended" Target="commentsExtended.xml"/><Relationship Id="rId21" Type="http://schemas.openxmlformats.org/officeDocument/2006/relationships/hyperlink" Target="http://idbdocs.iadb.org/WSDocs/getDocument.aspx?DOCNUM=40396907" TargetMode="External"/><Relationship Id="rId34" Type="http://schemas.openxmlformats.org/officeDocument/2006/relationships/image" Target="media/image13.png"/><Relationship Id="rId42" Type="http://schemas.openxmlformats.org/officeDocument/2006/relationships/customXml" Target="../customXml/item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idbdocs.iadb.org/WSDocs/getDocument.aspx?DOCNUM=40374228" TargetMode="External"/><Relationship Id="rId20" Type="http://schemas.openxmlformats.org/officeDocument/2006/relationships/hyperlink" Target="http://idbdocs.iadb.org/WSDocs/getDocument.aspx?DOCNUM=40396905" TargetMode="External"/><Relationship Id="rId29" Type="http://schemas.openxmlformats.org/officeDocument/2006/relationships/image" Target="media/image8.png"/><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theme" Target="theme/theme1.xml"/><Relationship Id="rId40" Type="http://schemas.openxmlformats.org/officeDocument/2006/relationships/customXml" Target="../customXml/item3.xml"/><Relationship Id="rId5" Type="http://schemas.microsoft.com/office/2007/relationships/stylesWithEffects" Target="stylesWithEffects.xml"/><Relationship Id="rId15" Type="http://schemas.openxmlformats.org/officeDocument/2006/relationships/hyperlink" Target="http://idbdocs.iadb.org/WSDocs/getDocument.aspx?DOCNUM=40374233" TargetMode="Externa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idbdocs.iadb.org/WSDocs/getDocument.aspx?DOCNUM=40374218" TargetMode="External"/><Relationship Id="rId31" Type="http://schemas.openxmlformats.org/officeDocument/2006/relationships/image" Target="media/image10.png"/><Relationship Id="rId44" Type="http://schemas.openxmlformats.org/officeDocument/2006/relationships/customXml" Target="../customXml/item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idbdocs.iadb.org/WSDocs/getDocument.aspx?DOCNUM=40374238" TargetMode="External"/><Relationship Id="rId22" Type="http://schemas.openxmlformats.org/officeDocument/2006/relationships/header" Target="header1.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footer" Target="footer2.xml"/><Relationship Id="rId43" Type="http://schemas.openxmlformats.org/officeDocument/2006/relationships/customXml" Target="../customXml/item6.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yperlink" Target="http://idbdocs.iadb.org/WSDocs/getDocument.aspx?DOCNUM=40374247" TargetMode="External"/><Relationship Id="rId17" Type="http://schemas.openxmlformats.org/officeDocument/2006/relationships/hyperlink" Target="http://idbdocs.iadb.org/WSDocs/getDocument.aspx?DOCNUM=40374226" TargetMode="External"/><Relationship Id="rId25" Type="http://schemas.openxmlformats.org/officeDocument/2006/relationships/image" Target="media/image4.png"/><Relationship Id="rId33" Type="http://schemas.openxmlformats.org/officeDocument/2006/relationships/image" Target="media/image12.png"/><Relationship Id="rId38"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ceaconline.org/documentos/Plan_Indicativo_Regional_de_Expansin_de_la_Generacin_2012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overPageProperties xmlns="http://schemas.microsoft.com/office/2006/coverPageProps">
  <PublishDate>2012-12-01T00:00:00</PublishDate>
  <Abstract/>
  <CompanyAddress/>
  <CompanyPhone/>
  <CompanyFax/>
  <CompanyEmail/>
</CoverPage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0DEE2E9B0648644E8FA7253BC7B9D772" ma:contentTypeVersion="0" ma:contentTypeDescription="A content type to manage public (operations) IDB documents" ma:contentTypeScope="" ma:versionID="a5685abb9f78d883561da580be03f66f">
  <xsd:schema xmlns:xsd="http://www.w3.org/2001/XMLSchema" xmlns:xs="http://www.w3.org/2001/XMLSchema" xmlns:p="http://schemas.microsoft.com/office/2006/metadata/properties" xmlns:ns2="9c571b2f-e523-4ab2-ba2e-09e151a03ef4" targetNamespace="http://schemas.microsoft.com/office/2006/metadata/properties" ma:root="true" ma:fieldsID="d678c23e49c7f96c53dbc311b72ecf3c"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be9b3f0-593f-4939-a32e-78bc44e80446}" ma:internalName="TaxCatchAll" ma:showField="CatchAllData"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be9b3f0-593f-4939-a32e-78bc44e80446}" ma:internalName="TaxCatchAllLabel" ma:readOnly="true" ma:showField="CatchAllDataLabel"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Yon</b:Tag>
    <b:SourceType>Report</b:SourceType>
    <b:Guid>{E9DB7991-C4AA-4C84-BB24-7358AC325060}</b:Guid>
    <b:Author>
      <b:Author>
        <b:NameList>
          <b:Person>
            <b:Last>Alem</b:Last>
            <b:First>Yonas</b:First>
          </b:Person>
        </b:NameList>
      </b:Author>
    </b:Author>
    <b:Title>The Impact of Food Price Inflation on Consumer Welfare in Urban Ethiopia: A Quadratic Almost Ideal Demand System Approach</b:Title>
    <b:Publisher>2011</b:Publisher>
    <b:RefOrder>2</b:RefOrder>
  </b:Source>
  <b:Source>
    <b:Tag>Ban97</b:Tag>
    <b:SourceType>JournalArticle</b:SourceType>
    <b:Guid>{D97EEDAE-F7FF-4AA8-89C3-07BAEF34BA78}</b:Guid>
    <b:Author>
      <b:Author>
        <b:NameList>
          <b:Person>
            <b:Last>Banks</b:Last>
            <b:First>James</b:First>
          </b:Person>
          <b:Person>
            <b:Last>Blundell</b:Last>
            <b:First>Richard</b:First>
          </b:Person>
          <b:Person>
            <b:Last>Lewbel</b:Last>
            <b:First>Arthur</b:First>
          </b:Person>
        </b:NameList>
      </b:Author>
    </b:Author>
    <b:Title>Quadratic Engel Curves and Consumer Demand</b:Title>
    <b:Year>1997</b:Year>
    <b:JournalName>The Review of Economics and Statistics</b:JournalName>
    <b:Pages>527-539</b:Pages>
    <b:RefOrder>3</b:RefOrder>
  </b:Source>
  <b:Source>
    <b:Tag>Sek</b:Tag>
    <b:SourceType>JournalArticle</b:SourceType>
    <b:Guid>{48966413-93DD-4B14-A99F-7D8E7F9A3BFE}</b:Guid>
    <b:Author>
      <b:Author>
        <b:NameList>
          <b:Person>
            <b:Last>Asano</b:Last>
            <b:First>Seki</b:First>
          </b:Person>
        </b:NameList>
      </b:Author>
    </b:Author>
    <b:Title>Estimation of the Brazilian Consumer Demand  System</b:Title>
    <b:RefOrder>4</b:RefOrder>
  </b:Source>
  <b:Source>
    <b:Tag>Dal90</b:Tag>
    <b:SourceType>JournalArticle</b:SourceType>
    <b:Guid>{E429448E-63B9-4B2C-8AA2-01CB072B4DBA}</b:Guid>
    <b:Author>
      <b:Author>
        <b:NameList>
          <b:Person>
            <b:Last>Heien</b:Last>
            <b:First>Dale</b:First>
          </b:Person>
          <b:Person>
            <b:Last>Wessells</b:Last>
            <b:First>Cathy</b:First>
            <b:Middle>Roheim</b:Middle>
          </b:Person>
        </b:NameList>
      </b:Author>
    </b:Author>
    <b:Title>Demand Systems Estimation with Microdata: A Censored Regression Approach</b:Title>
    <b:JournalName>Journal of Business &amp; Economic Statistics</b:JournalName>
    <b:Year>1990</b:Year>
    <b:Pages>365-371</b:Pages>
    <b:RefOrder>5</b:RefOrder>
  </b:Source>
  <b:Source>
    <b:Tag>Con02</b:Tag>
    <b:SourceType>Report</b:SourceType>
    <b:Guid>{5926FEDA-E62B-41DF-B4FA-EF2D62CAF318}</b:Guid>
    <b:Author>
      <b:Author>
        <b:NameList>
          <b:Person>
            <b:Last>Conniffe</b:Last>
            <b:First>Denis</b:First>
          </b:Person>
          <b:Person>
            <b:Last>Eakins</b:Last>
            <b:First>John</b:First>
          </b:Person>
        </b:NameList>
      </b:Author>
    </b:Author>
    <b:Title>Does the Stochastic Specification of the Linear Expenditure System Matter?</b:Title>
    <b:Year>2002</b:Year>
    <b:Publisher>National University of Ireland</b:Publisher>
    <b:RefOrder>6</b:RefOrder>
  </b:Source>
  <b:Source>
    <b:Tag>Gfi95</b:Tag>
    <b:SourceType>Report</b:SourceType>
    <b:Guid>{7C06B687-A793-4AEC-9140-2594D2287223}</b:Guid>
    <b:Title>Maximum Likelihood Estimation of Household Equivalence scales from an Extended Linear Expenditure System: Application to the 1988 Australian Household Expenditure Survey</b:Title>
    <b:Year>1995</b:Year>
    <b:Publisher>Department of Econonometrics University of New England</b:Publisher>
    <b:Author>
      <b:Author>
        <b:NameList>
          <b:Person>
            <b:Last>Gfiifiths</b:Last>
            <b:First>William</b:First>
            <b:Middle>E.</b:Middle>
          </b:Person>
          <b:Person>
            <b:Last>Valenzuela</b:Last>
            <b:First>Ma.</b:First>
            <b:Middle>Rebecca</b:Middle>
          </b:Person>
        </b:NameList>
      </b:Author>
    </b:Author>
    <b:RefOrder>7</b:RefOrder>
  </b:Source>
  <b:Source>
    <b:Tag>Boe06</b:Tag>
    <b:SourceType>Report</b:SourceType>
    <b:Guid>{DBBE0FEA-415A-4F43-A672-88A725C0EE92}</b:Guid>
    <b:Author>
      <b:Author>
        <b:NameList>
          <b:Person>
            <b:Last>Boer</b:Last>
            <b:First>Paul</b:First>
          </b:Person>
          <b:Person>
            <b:Last>Missaglia</b:Last>
            <b:First>Marco</b:First>
          </b:Person>
        </b:NameList>
      </b:Author>
    </b:Author>
    <b:Title>Estimation of income elasticities and their use in a CGE model for Palestine</b:Title>
    <b:Year>2006</b:Year>
    <b:Publisher>Econometric Institute Report</b:Publisher>
    <b:RefOrder>8</b:RefOrder>
  </b:Source>
  <b:Source>
    <b:Tag>App</b:Tag>
    <b:SourceType>BookSection</b:SourceType>
    <b:Guid>{7BD907B4-3D84-4821-AE94-68D5A2B0B377}</b:Guid>
    <b:LCID>en-US</b:LCID>
    <b:Title>Appendix B. The Linear Expenditure System</b:Title>
    <b:Pages>219-222</b:Pages>
    <b:RefOrder>9</b:RefOrder>
  </b:Source>
  <b:Source>
    <b:Tag>Nga05</b:Tag>
    <b:SourceType>Report</b:SourceType>
    <b:Guid>{18C24BD0-CD52-40CF-A7D0-EC6A7A57E5A6}</b:Guid>
    <b:Author>
      <b:Author>
        <b:NameList>
          <b:Person>
            <b:Last>Nganou</b:Last>
            <b:First>Jean-Pascal</b:First>
          </b:Person>
        </b:NameList>
      </b:Author>
    </b:Author>
    <b:Title>Estimation of the parameters of a linear expenditure system (LES) demand function for a small African economy</b:Title>
    <b:Year>2005</b:Year>
    <b:Publisher>Munich Personal RePEc Archive</b:Publisher>
    <b:RefOrder>10</b:RefOrder>
  </b:Source>
  <b:Source>
    <b:Tag>Poi02</b:Tag>
    <b:SourceType>JournalArticle</b:SourceType>
    <b:Guid>{0C773444-FDF9-4BA9-99C2-BE5C375F5B57}</b:Guid>
    <b:Author>
      <b:Author>
        <b:NameList>
          <b:Person>
            <b:Last>Poi</b:Last>
            <b:First>Brian</b:First>
          </b:Person>
        </b:NameList>
      </b:Author>
    </b:Author>
    <b:Title>From the help desk: Demand System estimation</b:Title>
    <b:Year>2002</b:Year>
    <b:JournalName>The Stata Journal</b:JournalName>
    <b:Pages>403-410</b:Pages>
    <b:RefOrder>11</b:RefOrder>
  </b:Source>
  <b:Source>
    <b:Tag>Riv98</b:Tag>
    <b:SourceType>JournalArticle</b:SourceType>
    <b:Guid>{5977C06B-889A-4BF4-8C56-2685FE48AC36}</b:Guid>
    <b:Author>
      <b:Author>
        <b:NameList>
          <b:Person>
            <b:Last>Rivas</b:Last>
            <b:First>José</b:First>
            <b:Middle>Daniel Anido</b:Middle>
          </b:Person>
        </b:NameList>
      </b:Author>
    </b:Author>
    <b:Title>Sistema Lineal del gasto: Especificación y Estimación para la ciudad de Mérida, 1986</b:Title>
    <b:JournalName>Universidad de los Andes</b:JournalName>
    <b:Year>1998</b:Year>
    <b:RefOrder>12</b:RefOrder>
  </b:Source>
  <b:Source>
    <b:Tag>Dar10</b:Tag>
    <b:SourceType>JournalArticle</b:SourceType>
    <b:Guid>{45F96626-2692-441B-B56D-C78D31E48E30}</b:Guid>
    <b:Title>El consumo de los hogares colombianos,2006-2007: estimación de sistemas de demanda</b:Title>
    <b:Year>2010</b:Year>
    <b:Author>
      <b:Author>
        <b:NameList>
          <b:Person>
            <b:Last>Cortés</b:Last>
            <b:First>Darwin</b:First>
          </b:Person>
          <b:Person>
            <b:Last>Pérez</b:Last>
            <b:First>Jorge</b:First>
            <b:Middle>Eduardo</b:Middle>
          </b:Person>
        </b:NameList>
      </b:Author>
    </b:Author>
    <b:JournalName>Desarrollo y Sociedad</b:JournalName>
    <b:Pages>7-44</b:Pages>
    <b:RefOrder>13</b:RefOrder>
  </b:Source>
  <b:Source>
    <b:Tag>Har10</b:Tag>
    <b:SourceType>Report</b:SourceType>
    <b:Guid>{1EE3F9B1-96CD-4154-9680-2BFA2285510D}</b:Guid>
    <b:Author>
      <b:Author>
        <b:NameList>
          <b:Person>
            <b:Last>Fell</b:Last>
            <b:First>Harrison</b:First>
          </b:Person>
          <b:Person>
            <b:Last>Li</b:Last>
            <b:First>Shanjun</b:First>
          </b:Person>
          <b:Person>
            <b:Last>Paul</b:Last>
            <b:First>Anthony</b:First>
          </b:Person>
        </b:NameList>
      </b:Author>
    </b:Author>
    <b:Title>A New Look at Residential Electricity Demand Using Household Expenditure Data</b:Title>
    <b:Year>2010</b:Year>
    <b:RefOrder>14</b:RefOrder>
  </b:Source>
  <b:Source>
    <b:Tag>Nau</b:Tag>
    <b:SourceType>JournalArticle</b:SourceType>
    <b:Guid>{DFEEA9A0-AE04-4F54-8FB0-AFE32CD35E75}</b:Guid>
    <b:Author>
      <b:Author>
        <b:NameList>
          <b:Person>
            <b:Last>Nauges</b:Last>
            <b:First>Céline</b:First>
          </b:Person>
          <b:Person>
            <b:Last>Whittington</b:Last>
            <b:First>Dale</b:First>
          </b:Person>
        </b:NameList>
      </b:Author>
    </b:Author>
    <b:Title>Estimation of Water Demand in Developing Countries: An Overview</b:Title>
    <b:RefOrder>15</b:RefOrder>
  </b:Source>
  <b:Source>
    <b:Tag>Riz91</b:Tag>
    <b:SourceType>JournalArticle</b:SourceType>
    <b:Guid>{18F8C76F-116C-4F82-ABED-9CB9B07D09DD}</b:Guid>
    <b:Author>
      <b:Author>
        <b:NameList>
          <b:Person>
            <b:Last>Rizaiza</b:Last>
            <b:First>O.</b:First>
          </b:Person>
        </b:NameList>
      </b:Author>
    </b:Author>
    <b:Title>Residential Water Usage: A Case Study of the Major Cities of the Western Region of Saudi Arabia </b:Title>
    <b:JournalName> Water Resources Research</b:JournalName>
    <b:Year>1991 </b:Year>
    <b:Pages>667–671</b:Pages>
    <b:RefOrder>1</b:RefOrder>
  </b:Source>
</b:Sourc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INE/ENE</Division_x0020_or_x0020_Unit>
    <Other_x0020_Author xmlns="9c571b2f-e523-4ab2-ba2e-09e151a03ef4" xsi:nil="true"/>
    <Region xmlns="9c571b2f-e523-4ab2-ba2e-09e151a03ef4" xsi:nil="true"/>
    <IDBDocs_x0020_Number xmlns="9c571b2f-e523-4ab2-ba2e-09e151a03ef4">40343255</IDBDocs_x0020_Number>
    <Document_x0020_Author xmlns="9c571b2f-e523-4ab2-ba2e-09e151a03ef4">Baldivieso, Hector</Document_x0020_Author>
    <Publication_x0020_Type xmlns="9c571b2f-e523-4ab2-ba2e-09e151a03ef4" xsi:nil="true"/>
    <Operation_x0020_Type xmlns="9c571b2f-e523-4ab2-ba2e-09e151a03ef4" xsi:nil="true"/>
    <TaxCatchAll xmlns="9c571b2f-e523-4ab2-ba2e-09e151a03ef4">
      <Value>5</Value>
      <Value>4</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NI-L1094</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Proposal&lt;/USER_STAGE&gt;&lt;APPROVAL_CODE&gt;DE&lt;/APPROVAL_CODE&gt;&lt;APPROVAL_DESC&gt;Board of Executive Directors&lt;/APPROVAL_DESC&gt;&lt;PD_OBJ_TYPE&gt;0&lt;/PD_OBJ_TYPE&gt;&lt;MAKERECORD&gt;N&lt;/MAKERECORD&gt;&lt;/Data&gt;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EN-ALT</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A1678C11-D8A3-4C72-9691-1368E9259D69}"/>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376C4AFE-3B39-405B-8FAE-8E57B9B3AA16}"/>
</file>

<file path=customXml/itemProps4.xml><?xml version="1.0" encoding="utf-8"?>
<ds:datastoreItem xmlns:ds="http://schemas.openxmlformats.org/officeDocument/2006/customXml" ds:itemID="{43829753-582A-4213-996A-10489AC9C4B0}"/>
</file>

<file path=customXml/itemProps5.xml><?xml version="1.0" encoding="utf-8"?>
<ds:datastoreItem xmlns:ds="http://schemas.openxmlformats.org/officeDocument/2006/customXml" ds:itemID="{EEDF94A2-6ECE-4B29-B506-152BA3972FE7}"/>
</file>

<file path=customXml/itemProps6.xml><?xml version="1.0" encoding="utf-8"?>
<ds:datastoreItem xmlns:ds="http://schemas.openxmlformats.org/officeDocument/2006/customXml" ds:itemID="{CD9A3D41-9F28-4D3E-803C-861B5B1C6CE8}"/>
</file>

<file path=customXml/itemProps7.xml><?xml version="1.0" encoding="utf-8"?>
<ds:datastoreItem xmlns:ds="http://schemas.openxmlformats.org/officeDocument/2006/customXml" ds:itemID="{B43DDC9F-5F09-44F4-8DBC-7972558C6842}"/>
</file>

<file path=docProps/app.xml><?xml version="1.0" encoding="utf-8"?>
<Properties xmlns="http://schemas.openxmlformats.org/officeDocument/2006/extended-properties" xmlns:vt="http://schemas.openxmlformats.org/officeDocument/2006/docPropsVTypes">
  <Template>Normal.dotm</Template>
  <TotalTime>8</TotalTime>
  <Pages>73</Pages>
  <Words>20422</Words>
  <Characters>112323</Characters>
  <Application>Microsoft Office Word</Application>
  <DocSecurity>0</DocSecurity>
  <Lines>936</Lines>
  <Paragraphs>264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Projeto de P&amp;D sobre as Metodologias De Revisão Tarifária Periódica Das Distribuidoras De Energia Elétrica – SubProjeto 3</vt:lpstr>
      <vt:lpstr>Projeto de P&amp;D sobre as Metodologias De Revisão Tarifária Periódica Das Distribuidoras De Energia Elétrica – SubProjeto 3</vt:lpstr>
    </vt:vector>
  </TitlesOfParts>
  <Company>Hewlett-Packard Company</Company>
  <LinksUpToDate>false</LinksUpToDate>
  <CharactersWithSpaces>132481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NI-L1094 Analisis Economico Componente 2</dc:title>
  <dc:creator>marp</dc:creator>
  <cp:lastModifiedBy>Test</cp:lastModifiedBy>
  <cp:revision>4</cp:revision>
  <cp:lastPrinted>2016-04-18T19:28:00Z</cp:lastPrinted>
  <dcterms:created xsi:type="dcterms:W3CDTF">2016-07-19T15:20:00Z</dcterms:created>
  <dcterms:modified xsi:type="dcterms:W3CDTF">2016-07-19T15:30:00Z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0x01010046CF21643EE8D14686A648AA6DAD0892000DEE2E9B0648644E8FA7253BC7B9D772</vt:lpwstr>
  </property>
  <property fmtid="{D5CDD505-2E9C-101B-9397-08002B2CF9AE}" pid="5" name="TaxKeywordTaxHTField">
    <vt:lpwstr/>
  </property>
  <property fmtid="{D5CDD505-2E9C-101B-9397-08002B2CF9AE}" pid="6" name="Series Operations IDB">
    <vt:lpwstr>4;#Unclassified|a6dff32e-d477-44cd-a56b-85efe9e0a56c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4;#Unclassified|a6dff32e-d477-44cd-a56b-85efe9e0a56c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5;#IDBDocs|cca77002-e150-4b2d-ab1f-1d7a7cdcae16</vt:lpwstr>
  </property>
</Properties>
</file>