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0945EA" w14:textId="1F1C14DE" w:rsidR="00525EF1" w:rsidRPr="00597CCC" w:rsidRDefault="00525EF1" w:rsidP="00525EF1">
      <w:pPr>
        <w:spacing w:after="0" w:line="240" w:lineRule="auto"/>
        <w:jc w:val="right"/>
        <w:rPr>
          <w:rFonts w:ascii="Times New Roman" w:hAnsi="Times New Roman"/>
          <w:bCs/>
          <w:smallCaps/>
          <w:kern w:val="28"/>
          <w:sz w:val="28"/>
          <w:szCs w:val="28"/>
        </w:rPr>
      </w:pPr>
      <w:bookmarkStart w:id="0" w:name="_Hlk485198789"/>
      <w:bookmarkStart w:id="1" w:name="_Toc303161178"/>
      <w:bookmarkStart w:id="2" w:name="_Toc303161512"/>
      <w:bookmarkStart w:id="3" w:name="_Toc303161845"/>
      <w:bookmarkStart w:id="4" w:name="_Toc303163604"/>
      <w:bookmarkStart w:id="5" w:name="_Toc303163950"/>
      <w:bookmarkEnd w:id="0"/>
    </w:p>
    <w:p w14:paraId="44CC16E5" w14:textId="77777777" w:rsidR="00525EF1" w:rsidRPr="000240BF" w:rsidRDefault="00525EF1" w:rsidP="00525EF1">
      <w:pPr>
        <w:spacing w:after="0" w:line="240" w:lineRule="auto"/>
        <w:jc w:val="center"/>
        <w:rPr>
          <w:rFonts w:ascii="Arial" w:hAnsi="Arial" w:cs="Arial"/>
          <w:bCs/>
          <w:smallCaps/>
          <w:kern w:val="28"/>
          <w:sz w:val="28"/>
          <w:szCs w:val="28"/>
        </w:rPr>
      </w:pPr>
      <w:r w:rsidRPr="000240BF">
        <w:rPr>
          <w:rFonts w:ascii="Arial" w:hAnsi="Arial" w:cs="Arial"/>
          <w:bCs/>
          <w:smallCaps/>
          <w:kern w:val="28"/>
          <w:sz w:val="28"/>
          <w:szCs w:val="28"/>
        </w:rPr>
        <w:t>Documento del Banco Interamericano de Desarrollo</w:t>
      </w:r>
      <w:bookmarkEnd w:id="1"/>
      <w:bookmarkEnd w:id="2"/>
      <w:bookmarkEnd w:id="3"/>
      <w:bookmarkEnd w:id="4"/>
      <w:bookmarkEnd w:id="5"/>
    </w:p>
    <w:p w14:paraId="649736D1" w14:textId="77777777" w:rsidR="00525EF1" w:rsidRPr="000240BF" w:rsidRDefault="00525EF1" w:rsidP="00525EF1">
      <w:pPr>
        <w:tabs>
          <w:tab w:val="left" w:pos="1440"/>
          <w:tab w:val="left" w:pos="3060"/>
        </w:tabs>
        <w:spacing w:line="240" w:lineRule="auto"/>
        <w:jc w:val="center"/>
        <w:rPr>
          <w:rFonts w:ascii="Arial" w:hAnsi="Arial" w:cs="Arial"/>
          <w:b/>
          <w:smallCaps/>
          <w:sz w:val="24"/>
        </w:rPr>
      </w:pPr>
    </w:p>
    <w:p w14:paraId="181ED1C9" w14:textId="231C3956" w:rsidR="00525EF1" w:rsidRPr="000240BF" w:rsidRDefault="00525EF1" w:rsidP="00525EF1">
      <w:pPr>
        <w:tabs>
          <w:tab w:val="left" w:pos="1440"/>
          <w:tab w:val="left" w:pos="3060"/>
        </w:tabs>
        <w:spacing w:line="240" w:lineRule="auto"/>
        <w:jc w:val="center"/>
        <w:rPr>
          <w:rFonts w:ascii="Arial" w:hAnsi="Arial" w:cs="Arial"/>
          <w:b/>
          <w:smallCaps/>
          <w:sz w:val="24"/>
        </w:rPr>
      </w:pPr>
    </w:p>
    <w:p w14:paraId="0CD057A3" w14:textId="65348D1C" w:rsidR="00525EF1" w:rsidRPr="000240BF" w:rsidRDefault="00525EF1" w:rsidP="00525EF1">
      <w:pPr>
        <w:tabs>
          <w:tab w:val="left" w:pos="1440"/>
          <w:tab w:val="left" w:pos="3060"/>
        </w:tabs>
        <w:spacing w:line="240" w:lineRule="auto"/>
        <w:jc w:val="center"/>
        <w:rPr>
          <w:rFonts w:ascii="Arial" w:hAnsi="Arial" w:cs="Arial"/>
          <w:b/>
          <w:smallCaps/>
          <w:sz w:val="24"/>
        </w:rPr>
      </w:pPr>
    </w:p>
    <w:p w14:paraId="2C16495C" w14:textId="77777777" w:rsidR="00525EF1" w:rsidRPr="000240BF" w:rsidRDefault="00525EF1" w:rsidP="00525EF1">
      <w:pPr>
        <w:tabs>
          <w:tab w:val="left" w:pos="1440"/>
          <w:tab w:val="left" w:pos="3060"/>
        </w:tabs>
        <w:spacing w:line="240" w:lineRule="auto"/>
        <w:jc w:val="center"/>
        <w:rPr>
          <w:rFonts w:ascii="Arial" w:hAnsi="Arial" w:cs="Arial"/>
          <w:b/>
          <w:smallCaps/>
          <w:sz w:val="24"/>
        </w:rPr>
      </w:pPr>
    </w:p>
    <w:p w14:paraId="3C1487C0" w14:textId="77777777" w:rsidR="006F0E0C" w:rsidRPr="006F0E0C" w:rsidRDefault="006F0E0C" w:rsidP="006F0E0C">
      <w:pPr>
        <w:tabs>
          <w:tab w:val="left" w:pos="1440"/>
          <w:tab w:val="left" w:pos="3060"/>
        </w:tabs>
        <w:jc w:val="center"/>
        <w:outlineLvl w:val="0"/>
        <w:rPr>
          <w:rFonts w:ascii="Arial" w:hAnsi="Arial" w:cs="Arial"/>
          <w:b/>
          <w:smallCaps/>
          <w:sz w:val="24"/>
          <w:szCs w:val="24"/>
          <w:lang w:val="es-ES" w:eastAsia="pt-BR"/>
        </w:rPr>
      </w:pPr>
      <w:bookmarkStart w:id="6" w:name="_Toc485200054"/>
      <w:r w:rsidRPr="006F0E0C">
        <w:rPr>
          <w:rFonts w:ascii="Arial" w:hAnsi="Arial" w:cs="Arial"/>
          <w:b/>
          <w:smallCaps/>
          <w:sz w:val="24"/>
          <w:szCs w:val="24"/>
          <w:lang w:val="es-ES" w:eastAsia="pt-BR"/>
        </w:rPr>
        <w:t>Programa de Agua Potable y Saneamiento para el Área Metropolitana de la Ciudad de Buenos Aires y los partidos del primer, segundo y tercer cordón del Conurbano Bonaerense</w:t>
      </w:r>
      <w:bookmarkEnd w:id="6"/>
    </w:p>
    <w:p w14:paraId="7162C809" w14:textId="0BF8E4B2" w:rsidR="00525EF1" w:rsidRPr="006F0E0C" w:rsidRDefault="00525EF1" w:rsidP="00525EF1">
      <w:pPr>
        <w:tabs>
          <w:tab w:val="left" w:pos="1440"/>
          <w:tab w:val="left" w:pos="3060"/>
        </w:tabs>
        <w:spacing w:after="0" w:line="240" w:lineRule="auto"/>
        <w:jc w:val="center"/>
        <w:rPr>
          <w:rFonts w:ascii="Arial" w:hAnsi="Arial" w:cs="Arial"/>
          <w:b/>
          <w:smallCaps/>
          <w:sz w:val="24"/>
          <w:lang w:val="es-ES"/>
        </w:rPr>
      </w:pPr>
    </w:p>
    <w:p w14:paraId="75A0EE10" w14:textId="77777777" w:rsidR="00525EF1" w:rsidRPr="000240BF" w:rsidRDefault="00525EF1" w:rsidP="00525EF1">
      <w:pPr>
        <w:tabs>
          <w:tab w:val="left" w:pos="1440"/>
          <w:tab w:val="left" w:pos="3060"/>
        </w:tabs>
        <w:spacing w:after="0" w:line="240" w:lineRule="auto"/>
        <w:jc w:val="center"/>
        <w:rPr>
          <w:rFonts w:ascii="Arial" w:hAnsi="Arial" w:cs="Arial"/>
          <w:b/>
          <w:smallCaps/>
          <w:sz w:val="24"/>
          <w:highlight w:val="lightGray"/>
        </w:rPr>
      </w:pPr>
    </w:p>
    <w:p w14:paraId="39D9D220" w14:textId="77777777" w:rsidR="00525EF1" w:rsidRPr="00F979BE" w:rsidRDefault="00525EF1" w:rsidP="00525EF1">
      <w:pPr>
        <w:tabs>
          <w:tab w:val="left" w:pos="1440"/>
          <w:tab w:val="left" w:pos="3060"/>
        </w:tabs>
        <w:spacing w:after="0" w:line="240" w:lineRule="auto"/>
        <w:jc w:val="center"/>
        <w:rPr>
          <w:rFonts w:ascii="Arial" w:hAnsi="Arial" w:cs="Arial"/>
          <w:b/>
          <w:smallCaps/>
          <w:sz w:val="24"/>
          <w:lang w:val="pt-BR"/>
        </w:rPr>
      </w:pPr>
      <w:r w:rsidRPr="00F979BE">
        <w:rPr>
          <w:rFonts w:ascii="Arial" w:hAnsi="Arial" w:cs="Arial"/>
          <w:b/>
          <w:smallCaps/>
          <w:sz w:val="24"/>
          <w:lang w:val="pt-BR"/>
        </w:rPr>
        <w:t xml:space="preserve">LÍNEA CLIPP </w:t>
      </w:r>
    </w:p>
    <w:p w14:paraId="745EE845" w14:textId="2C267F92" w:rsidR="00525EF1" w:rsidRPr="00F979BE" w:rsidRDefault="00525EF1" w:rsidP="00525EF1">
      <w:pPr>
        <w:tabs>
          <w:tab w:val="left" w:pos="1440"/>
          <w:tab w:val="left" w:pos="3060"/>
        </w:tabs>
        <w:spacing w:after="0" w:line="240" w:lineRule="auto"/>
        <w:jc w:val="center"/>
        <w:rPr>
          <w:rFonts w:ascii="Arial" w:hAnsi="Arial" w:cs="Arial"/>
          <w:b/>
          <w:smallCaps/>
          <w:sz w:val="24"/>
          <w:lang w:val="pt-BR"/>
        </w:rPr>
      </w:pPr>
      <w:r w:rsidRPr="00F979BE">
        <w:rPr>
          <w:rFonts w:ascii="Arial" w:hAnsi="Arial" w:cs="Arial"/>
          <w:b/>
          <w:smallCaps/>
          <w:sz w:val="24"/>
          <w:lang w:val="pt-BR"/>
        </w:rPr>
        <w:t>(AR-O004)</w:t>
      </w:r>
    </w:p>
    <w:p w14:paraId="78018651" w14:textId="77777777" w:rsidR="00525EF1" w:rsidRPr="000363D5" w:rsidRDefault="00525EF1" w:rsidP="00525EF1">
      <w:pPr>
        <w:tabs>
          <w:tab w:val="left" w:pos="1440"/>
          <w:tab w:val="left" w:pos="3060"/>
        </w:tabs>
        <w:spacing w:after="0" w:line="240" w:lineRule="auto"/>
        <w:jc w:val="center"/>
        <w:rPr>
          <w:rFonts w:ascii="Arial" w:hAnsi="Arial" w:cs="Arial"/>
          <w:b/>
          <w:smallCaps/>
          <w:sz w:val="24"/>
          <w:lang w:val="pt-BR"/>
        </w:rPr>
      </w:pPr>
    </w:p>
    <w:p w14:paraId="6D8AB6F3" w14:textId="4A757291" w:rsidR="00525EF1" w:rsidRPr="000363D5" w:rsidRDefault="00525EF1" w:rsidP="006F0E0C">
      <w:pPr>
        <w:tabs>
          <w:tab w:val="left" w:pos="1440"/>
          <w:tab w:val="left" w:pos="3060"/>
          <w:tab w:val="center" w:pos="4252"/>
          <w:tab w:val="left" w:pos="6315"/>
        </w:tabs>
        <w:spacing w:after="0" w:line="240" w:lineRule="auto"/>
        <w:jc w:val="center"/>
        <w:rPr>
          <w:rFonts w:ascii="Arial" w:hAnsi="Arial" w:cs="Arial"/>
          <w:b/>
          <w:smallCaps/>
          <w:sz w:val="24"/>
          <w:lang w:val="pt-BR"/>
        </w:rPr>
      </w:pPr>
      <w:r w:rsidRPr="000363D5">
        <w:rPr>
          <w:rFonts w:ascii="Arial" w:hAnsi="Arial" w:cs="Arial"/>
          <w:b/>
          <w:smallCaps/>
          <w:sz w:val="24"/>
          <w:lang w:val="pt-BR"/>
        </w:rPr>
        <w:t xml:space="preserve">Primer </w:t>
      </w:r>
      <w:r w:rsidR="006F0E0C" w:rsidRPr="000363D5">
        <w:rPr>
          <w:rFonts w:ascii="Arial" w:hAnsi="Arial" w:cs="Arial"/>
          <w:b/>
          <w:smallCaps/>
          <w:sz w:val="24"/>
          <w:lang w:val="pt-BR"/>
        </w:rPr>
        <w:t>Préstamo</w:t>
      </w:r>
    </w:p>
    <w:p w14:paraId="7D998D46" w14:textId="505F3D3C" w:rsidR="00525EF1" w:rsidRPr="00F979BE" w:rsidRDefault="00525EF1" w:rsidP="00525EF1">
      <w:pPr>
        <w:tabs>
          <w:tab w:val="left" w:pos="1440"/>
          <w:tab w:val="left" w:pos="3060"/>
        </w:tabs>
        <w:spacing w:after="0" w:line="240" w:lineRule="auto"/>
        <w:jc w:val="center"/>
        <w:rPr>
          <w:rFonts w:ascii="Arial" w:hAnsi="Arial" w:cs="Arial"/>
          <w:b/>
          <w:smallCaps/>
          <w:sz w:val="24"/>
          <w:lang w:val="pt-BR"/>
        </w:rPr>
      </w:pPr>
      <w:r w:rsidRPr="00F979BE">
        <w:rPr>
          <w:rFonts w:ascii="Arial" w:hAnsi="Arial" w:cs="Arial"/>
          <w:b/>
          <w:smallCaps/>
          <w:sz w:val="24"/>
          <w:lang w:val="pt-BR"/>
        </w:rPr>
        <w:t>(AR-L1257)</w:t>
      </w:r>
    </w:p>
    <w:p w14:paraId="06CDA028" w14:textId="77777777" w:rsidR="00525EF1" w:rsidRPr="00F979BE" w:rsidRDefault="00525EF1" w:rsidP="00525EF1">
      <w:pPr>
        <w:tabs>
          <w:tab w:val="left" w:pos="1440"/>
          <w:tab w:val="left" w:pos="3060"/>
        </w:tabs>
        <w:spacing w:after="0" w:line="240" w:lineRule="auto"/>
        <w:rPr>
          <w:rFonts w:ascii="Arial" w:hAnsi="Arial" w:cs="Arial"/>
          <w:b/>
          <w:smallCaps/>
          <w:sz w:val="24"/>
          <w:lang w:val="pt-BR"/>
        </w:rPr>
      </w:pPr>
    </w:p>
    <w:p w14:paraId="1985DD66" w14:textId="77777777" w:rsidR="00525EF1" w:rsidRPr="00F979BE" w:rsidRDefault="00525EF1" w:rsidP="00525EF1">
      <w:pPr>
        <w:tabs>
          <w:tab w:val="left" w:pos="1440"/>
          <w:tab w:val="left" w:pos="3060"/>
        </w:tabs>
        <w:spacing w:after="0" w:line="240" w:lineRule="auto"/>
        <w:jc w:val="center"/>
        <w:rPr>
          <w:rFonts w:ascii="Arial" w:hAnsi="Arial" w:cs="Arial"/>
          <w:caps/>
          <w:sz w:val="24"/>
          <w:lang w:val="pt-BR"/>
        </w:rPr>
      </w:pPr>
    </w:p>
    <w:p w14:paraId="3F8B54BE" w14:textId="619D48A7" w:rsidR="00525EF1" w:rsidRPr="00F979BE" w:rsidRDefault="00525EF1" w:rsidP="00525EF1">
      <w:pPr>
        <w:tabs>
          <w:tab w:val="left" w:pos="1440"/>
          <w:tab w:val="left" w:pos="3060"/>
        </w:tabs>
        <w:spacing w:line="240" w:lineRule="auto"/>
        <w:jc w:val="center"/>
        <w:rPr>
          <w:rFonts w:ascii="Arial" w:hAnsi="Arial" w:cs="Arial"/>
          <w:smallCaps/>
          <w:sz w:val="24"/>
          <w:lang w:val="pt-BR"/>
        </w:rPr>
      </w:pPr>
    </w:p>
    <w:p w14:paraId="69F913E5" w14:textId="137D213E" w:rsidR="00CF52CA" w:rsidRPr="00F979BE" w:rsidRDefault="00CF52CA" w:rsidP="00525EF1">
      <w:pPr>
        <w:tabs>
          <w:tab w:val="left" w:pos="1440"/>
          <w:tab w:val="left" w:pos="3060"/>
        </w:tabs>
        <w:spacing w:line="240" w:lineRule="auto"/>
        <w:jc w:val="center"/>
        <w:rPr>
          <w:rFonts w:ascii="Arial" w:hAnsi="Arial" w:cs="Arial"/>
          <w:smallCaps/>
          <w:sz w:val="24"/>
          <w:lang w:val="pt-BR"/>
        </w:rPr>
      </w:pPr>
    </w:p>
    <w:p w14:paraId="42711453" w14:textId="77777777" w:rsidR="00CF52CA" w:rsidRPr="00F979BE" w:rsidRDefault="00CF52CA" w:rsidP="00525EF1">
      <w:pPr>
        <w:tabs>
          <w:tab w:val="left" w:pos="1440"/>
          <w:tab w:val="left" w:pos="3060"/>
        </w:tabs>
        <w:spacing w:line="240" w:lineRule="auto"/>
        <w:jc w:val="center"/>
        <w:rPr>
          <w:rFonts w:ascii="Arial" w:hAnsi="Arial" w:cs="Arial"/>
          <w:smallCaps/>
          <w:sz w:val="24"/>
          <w:lang w:val="pt-BR"/>
        </w:rPr>
      </w:pPr>
    </w:p>
    <w:p w14:paraId="5F3EC9D3" w14:textId="77777777" w:rsidR="00525EF1" w:rsidRPr="00F979BE" w:rsidRDefault="00525EF1" w:rsidP="00525EF1">
      <w:pPr>
        <w:tabs>
          <w:tab w:val="left" w:pos="1440"/>
          <w:tab w:val="left" w:pos="3060"/>
        </w:tabs>
        <w:spacing w:line="240" w:lineRule="auto"/>
        <w:jc w:val="center"/>
        <w:rPr>
          <w:rFonts w:ascii="Arial" w:hAnsi="Arial" w:cs="Arial"/>
          <w:smallCaps/>
          <w:sz w:val="24"/>
          <w:lang w:val="pt-BR"/>
        </w:rPr>
      </w:pPr>
    </w:p>
    <w:p w14:paraId="06D18477" w14:textId="77777777" w:rsidR="00525EF1" w:rsidRPr="000240BF" w:rsidRDefault="00525EF1" w:rsidP="00525EF1">
      <w:pPr>
        <w:tabs>
          <w:tab w:val="left" w:pos="1440"/>
          <w:tab w:val="left" w:pos="3060"/>
        </w:tabs>
        <w:spacing w:line="240" w:lineRule="auto"/>
        <w:jc w:val="center"/>
        <w:outlineLvl w:val="0"/>
        <w:rPr>
          <w:rFonts w:ascii="Arial" w:hAnsi="Arial" w:cs="Arial"/>
          <w:b/>
          <w:smallCaps/>
          <w:sz w:val="24"/>
        </w:rPr>
      </w:pPr>
      <w:bookmarkStart w:id="7" w:name="_Toc485026877"/>
      <w:bookmarkStart w:id="8" w:name="_Toc485200055"/>
      <w:r w:rsidRPr="000240BF">
        <w:rPr>
          <w:rFonts w:ascii="Arial" w:hAnsi="Arial" w:cs="Arial"/>
          <w:b/>
          <w:bCs/>
          <w:smallCaps/>
          <w:sz w:val="24"/>
        </w:rPr>
        <w:t>Análisis Económico</w:t>
      </w:r>
      <w:bookmarkEnd w:id="7"/>
      <w:bookmarkEnd w:id="8"/>
    </w:p>
    <w:p w14:paraId="2207B1E3" w14:textId="77777777" w:rsidR="00525EF1" w:rsidRPr="000240BF" w:rsidRDefault="00525EF1" w:rsidP="00525EF1">
      <w:pPr>
        <w:autoSpaceDE w:val="0"/>
        <w:autoSpaceDN w:val="0"/>
        <w:adjustRightInd w:val="0"/>
        <w:rPr>
          <w:rFonts w:ascii="Arial" w:hAnsi="Arial" w:cs="Arial"/>
          <w:color w:val="000000"/>
          <w:sz w:val="24"/>
        </w:rPr>
      </w:pPr>
    </w:p>
    <w:p w14:paraId="1C400475" w14:textId="77777777" w:rsidR="00525EF1" w:rsidRPr="000240BF" w:rsidRDefault="00525EF1" w:rsidP="00525EF1">
      <w:pPr>
        <w:autoSpaceDE w:val="0"/>
        <w:autoSpaceDN w:val="0"/>
        <w:adjustRightInd w:val="0"/>
        <w:rPr>
          <w:rFonts w:ascii="Arial" w:hAnsi="Arial" w:cs="Arial"/>
          <w:color w:val="000000"/>
          <w:sz w:val="24"/>
        </w:rPr>
      </w:pPr>
    </w:p>
    <w:p w14:paraId="5EF7B410" w14:textId="043F5041" w:rsidR="00525EF1" w:rsidRPr="000240BF" w:rsidRDefault="00525EF1" w:rsidP="00525EF1">
      <w:pPr>
        <w:autoSpaceDE w:val="0"/>
        <w:autoSpaceDN w:val="0"/>
        <w:adjustRightInd w:val="0"/>
        <w:rPr>
          <w:rFonts w:ascii="Arial" w:hAnsi="Arial" w:cs="Arial"/>
          <w:color w:val="000000"/>
          <w:sz w:val="24"/>
        </w:rPr>
      </w:pPr>
    </w:p>
    <w:p w14:paraId="0BF6807E" w14:textId="0AAC2211" w:rsidR="00525EF1" w:rsidRPr="000240BF" w:rsidRDefault="00525EF1" w:rsidP="00525EF1">
      <w:pPr>
        <w:autoSpaceDE w:val="0"/>
        <w:autoSpaceDN w:val="0"/>
        <w:adjustRightInd w:val="0"/>
        <w:rPr>
          <w:rFonts w:ascii="Arial" w:hAnsi="Arial" w:cs="Arial"/>
          <w:color w:val="000000"/>
          <w:sz w:val="24"/>
        </w:rPr>
      </w:pPr>
    </w:p>
    <w:p w14:paraId="08A393D0" w14:textId="066A376E" w:rsidR="00525EF1" w:rsidRPr="000240BF" w:rsidRDefault="00525EF1" w:rsidP="00525EF1">
      <w:pPr>
        <w:autoSpaceDE w:val="0"/>
        <w:autoSpaceDN w:val="0"/>
        <w:adjustRightInd w:val="0"/>
        <w:rPr>
          <w:rFonts w:ascii="Arial" w:hAnsi="Arial" w:cs="Arial"/>
          <w:color w:val="000000"/>
          <w:sz w:val="24"/>
        </w:rPr>
      </w:pPr>
    </w:p>
    <w:p w14:paraId="33DD3886" w14:textId="48CE440C" w:rsidR="00525EF1" w:rsidRPr="000240BF" w:rsidRDefault="00525EF1" w:rsidP="00525EF1">
      <w:pPr>
        <w:autoSpaceDE w:val="0"/>
        <w:autoSpaceDN w:val="0"/>
        <w:adjustRightInd w:val="0"/>
        <w:rPr>
          <w:rFonts w:ascii="Arial" w:hAnsi="Arial" w:cs="Arial"/>
          <w:color w:val="000000"/>
          <w:sz w:val="24"/>
        </w:rPr>
      </w:pPr>
    </w:p>
    <w:p w14:paraId="2C155242" w14:textId="490175E8" w:rsidR="00525EF1" w:rsidRPr="000240BF" w:rsidRDefault="00525EF1" w:rsidP="00525EF1">
      <w:pPr>
        <w:autoSpaceDE w:val="0"/>
        <w:autoSpaceDN w:val="0"/>
        <w:adjustRightInd w:val="0"/>
        <w:rPr>
          <w:rFonts w:ascii="Arial" w:hAnsi="Arial" w:cs="Arial"/>
          <w:color w:val="000000"/>
          <w:sz w:val="24"/>
        </w:rPr>
      </w:pPr>
    </w:p>
    <w:p w14:paraId="3A97CB29" w14:textId="2B45F543" w:rsidR="00416701" w:rsidRDefault="00416701" w:rsidP="00416701"/>
    <w:p w14:paraId="35DED8BE" w14:textId="77777777" w:rsidR="000B2DBC" w:rsidRPr="00416701" w:rsidRDefault="000B2DBC" w:rsidP="00416701">
      <w:pPr>
        <w:sectPr w:rsidR="000B2DBC" w:rsidRPr="00416701" w:rsidSect="00E53BCF">
          <w:headerReference w:type="default" r:id="rId9"/>
          <w:footerReference w:type="default" r:id="rId10"/>
          <w:footerReference w:type="first" r:id="rId11"/>
          <w:pgSz w:w="11907" w:h="16839" w:code="9"/>
          <w:pgMar w:top="1985" w:right="1701" w:bottom="1276" w:left="1701" w:header="709" w:footer="264" w:gutter="0"/>
          <w:cols w:space="708"/>
          <w:titlePg/>
          <w:docGrid w:linePitch="360"/>
        </w:sectPr>
      </w:pPr>
    </w:p>
    <w:p w14:paraId="1F837773" w14:textId="77777777" w:rsidR="00071177" w:rsidRDefault="00071177" w:rsidP="00071177">
      <w:pPr>
        <w:rPr>
          <w:lang w:val="es-ES"/>
        </w:rPr>
      </w:pPr>
    </w:p>
    <w:sdt>
      <w:sdtPr>
        <w:rPr>
          <w:rFonts w:asciiTheme="minorHAnsi" w:eastAsiaTheme="minorHAnsi" w:hAnsiTheme="minorHAnsi" w:cstheme="minorBidi"/>
          <w:smallCaps w:val="0"/>
          <w:color w:val="auto"/>
          <w:sz w:val="22"/>
          <w:szCs w:val="22"/>
          <w:lang w:val="es-ES" w:eastAsia="en-US"/>
        </w:rPr>
        <w:id w:val="944580094"/>
        <w:docPartObj>
          <w:docPartGallery w:val="Table of Contents"/>
          <w:docPartUnique/>
        </w:docPartObj>
      </w:sdtPr>
      <w:sdtEndPr>
        <w:rPr>
          <w:rFonts w:ascii="Arial" w:hAnsi="Arial" w:cs="Arial"/>
          <w:b/>
          <w:bCs/>
        </w:rPr>
      </w:sdtEndPr>
      <w:sdtContent>
        <w:p w14:paraId="118A4561" w14:textId="77777777" w:rsidR="00D86B36" w:rsidRPr="00835BE0" w:rsidRDefault="00D86B36" w:rsidP="00F5783E">
          <w:pPr>
            <w:pStyle w:val="TOCHeading"/>
            <w:rPr>
              <w:rFonts w:ascii="Arial" w:hAnsi="Arial"/>
              <w:b/>
              <w:color w:val="auto"/>
              <w:shd w:val="pct15" w:color="auto" w:fill="FFFFFF"/>
              <w:lang w:val="es-ES"/>
            </w:rPr>
          </w:pPr>
          <w:r w:rsidRPr="00835BE0">
            <w:rPr>
              <w:rFonts w:ascii="Arial" w:hAnsi="Arial"/>
              <w:b/>
              <w:color w:val="auto"/>
              <w:shd w:val="pct15" w:color="auto" w:fill="FFFFFF"/>
              <w:lang w:val="es-ES"/>
            </w:rPr>
            <w:t>Contenido</w:t>
          </w:r>
        </w:p>
        <w:p w14:paraId="79EDCAD5" w14:textId="66E54746" w:rsidR="009F6353" w:rsidRDefault="00D86B36">
          <w:pPr>
            <w:pStyle w:val="TOC1"/>
            <w:rPr>
              <w:rFonts w:asciiTheme="minorHAnsi" w:eastAsiaTheme="minorEastAsia" w:hAnsiTheme="minorHAnsi" w:cstheme="minorBidi"/>
              <w:smallCaps w:val="0"/>
              <w:lang w:val="en-US" w:eastAsia="zh-CN"/>
            </w:rPr>
          </w:pPr>
          <w:r w:rsidRPr="00747FE9">
            <w:fldChar w:fldCharType="begin"/>
          </w:r>
          <w:r w:rsidRPr="00747FE9">
            <w:instrText xml:space="preserve"> TOC \o "1-3" \h \z \u </w:instrText>
          </w:r>
          <w:r w:rsidRPr="00747FE9">
            <w:fldChar w:fldCharType="separate"/>
          </w:r>
        </w:p>
        <w:p w14:paraId="5B1E8C9F" w14:textId="20A3B153" w:rsidR="009F6353" w:rsidRPr="009F6353" w:rsidRDefault="005C1A74" w:rsidP="009F6353">
          <w:pPr>
            <w:pStyle w:val="TOC1"/>
            <w:rPr>
              <w:rFonts w:asciiTheme="minorHAnsi" w:eastAsiaTheme="minorEastAsia" w:hAnsiTheme="minorHAnsi" w:cstheme="minorBidi"/>
              <w:smallCaps w:val="0"/>
              <w:lang w:val="en-US" w:eastAsia="zh-CN"/>
            </w:rPr>
          </w:pPr>
          <w:hyperlink w:anchor="_Toc485200056" w:history="1">
            <w:r w:rsidR="009F6353" w:rsidRPr="0009568D">
              <w:rPr>
                <w:rStyle w:val="Hyperlink"/>
              </w:rPr>
              <w:t>Resumen</w:t>
            </w:r>
            <w:r w:rsidR="009F6353">
              <w:rPr>
                <w:webHidden/>
              </w:rPr>
              <w:tab/>
            </w:r>
            <w:r w:rsidR="009F6353">
              <w:rPr>
                <w:webHidden/>
              </w:rPr>
              <w:fldChar w:fldCharType="begin"/>
            </w:r>
            <w:r w:rsidR="009F6353">
              <w:rPr>
                <w:webHidden/>
              </w:rPr>
              <w:instrText xml:space="preserve"> PAGEREF _Toc485200056 \h </w:instrText>
            </w:r>
            <w:r w:rsidR="009F6353">
              <w:rPr>
                <w:webHidden/>
              </w:rPr>
            </w:r>
            <w:r w:rsidR="009F6353">
              <w:rPr>
                <w:webHidden/>
              </w:rPr>
              <w:fldChar w:fldCharType="separate"/>
            </w:r>
            <w:r w:rsidR="009F6353">
              <w:rPr>
                <w:webHidden/>
              </w:rPr>
              <w:t>11</w:t>
            </w:r>
            <w:r w:rsidR="009F6353">
              <w:rPr>
                <w:webHidden/>
              </w:rPr>
              <w:fldChar w:fldCharType="end"/>
            </w:r>
          </w:hyperlink>
        </w:p>
        <w:p w14:paraId="3E059C55" w14:textId="264B776C" w:rsidR="009F6353" w:rsidRDefault="005C1A74">
          <w:pPr>
            <w:pStyle w:val="TOC1"/>
            <w:rPr>
              <w:rFonts w:asciiTheme="minorHAnsi" w:eastAsiaTheme="minorEastAsia" w:hAnsiTheme="minorHAnsi" w:cstheme="minorBidi"/>
              <w:smallCaps w:val="0"/>
              <w:lang w:val="en-US" w:eastAsia="zh-CN"/>
            </w:rPr>
          </w:pPr>
          <w:hyperlink w:anchor="_Toc485200063" w:history="1">
            <w:r w:rsidR="009F6353" w:rsidRPr="0009568D">
              <w:rPr>
                <w:rStyle w:val="Hyperlink"/>
              </w:rPr>
              <w:t>Proyecto de Mejora de la Eficiencia en el Sistema de Agua Potable</w:t>
            </w:r>
            <w:r w:rsidR="009F6353">
              <w:rPr>
                <w:webHidden/>
              </w:rPr>
              <w:tab/>
            </w:r>
            <w:r w:rsidR="009F6353">
              <w:rPr>
                <w:webHidden/>
              </w:rPr>
              <w:fldChar w:fldCharType="begin"/>
            </w:r>
            <w:r w:rsidR="009F6353">
              <w:rPr>
                <w:webHidden/>
              </w:rPr>
              <w:instrText xml:space="preserve"> PAGEREF _Toc485200063 \h </w:instrText>
            </w:r>
            <w:r w:rsidR="009F6353">
              <w:rPr>
                <w:webHidden/>
              </w:rPr>
            </w:r>
            <w:r w:rsidR="009F6353">
              <w:rPr>
                <w:webHidden/>
              </w:rPr>
              <w:fldChar w:fldCharType="separate"/>
            </w:r>
            <w:r w:rsidR="009F6353">
              <w:rPr>
                <w:webHidden/>
              </w:rPr>
              <w:t>18</w:t>
            </w:r>
            <w:r w:rsidR="009F6353">
              <w:rPr>
                <w:webHidden/>
              </w:rPr>
              <w:fldChar w:fldCharType="end"/>
            </w:r>
          </w:hyperlink>
        </w:p>
        <w:p w14:paraId="784B4A48" w14:textId="366F1052" w:rsidR="009F6353" w:rsidRDefault="005C1A74">
          <w:pPr>
            <w:pStyle w:val="TOC1"/>
            <w:rPr>
              <w:rFonts w:asciiTheme="minorHAnsi" w:eastAsiaTheme="minorEastAsia" w:hAnsiTheme="minorHAnsi" w:cstheme="minorBidi"/>
              <w:smallCaps w:val="0"/>
              <w:lang w:val="en-US" w:eastAsia="zh-CN"/>
            </w:rPr>
          </w:pPr>
          <w:hyperlink w:anchor="_Toc485200064" w:history="1">
            <w:r w:rsidR="009F6353" w:rsidRPr="0009568D">
              <w:rPr>
                <w:rStyle w:val="Hyperlink"/>
              </w:rPr>
              <w:t>Capítulo I: Contexto del proyecto.</w:t>
            </w:r>
            <w:r w:rsidR="009F6353">
              <w:rPr>
                <w:webHidden/>
              </w:rPr>
              <w:tab/>
            </w:r>
            <w:r w:rsidR="009F6353">
              <w:rPr>
                <w:webHidden/>
              </w:rPr>
              <w:fldChar w:fldCharType="begin"/>
            </w:r>
            <w:r w:rsidR="009F6353">
              <w:rPr>
                <w:webHidden/>
              </w:rPr>
              <w:instrText xml:space="preserve"> PAGEREF _Toc485200064 \h </w:instrText>
            </w:r>
            <w:r w:rsidR="009F6353">
              <w:rPr>
                <w:webHidden/>
              </w:rPr>
            </w:r>
            <w:r w:rsidR="009F6353">
              <w:rPr>
                <w:webHidden/>
              </w:rPr>
              <w:fldChar w:fldCharType="separate"/>
            </w:r>
            <w:r w:rsidR="009F6353">
              <w:rPr>
                <w:webHidden/>
              </w:rPr>
              <w:t>20</w:t>
            </w:r>
            <w:r w:rsidR="009F6353">
              <w:rPr>
                <w:webHidden/>
              </w:rPr>
              <w:fldChar w:fldCharType="end"/>
            </w:r>
          </w:hyperlink>
        </w:p>
        <w:p w14:paraId="7B6DB173" w14:textId="112FA1EA" w:rsidR="009F6353" w:rsidRDefault="005C1A74">
          <w:pPr>
            <w:pStyle w:val="TOC2"/>
            <w:tabs>
              <w:tab w:val="left" w:pos="660"/>
              <w:tab w:val="right" w:leader="dot" w:pos="8495"/>
            </w:tabs>
            <w:rPr>
              <w:rFonts w:eastAsiaTheme="minorEastAsia"/>
              <w:noProof/>
              <w:lang w:val="en-US" w:eastAsia="zh-CN"/>
            </w:rPr>
          </w:pPr>
          <w:hyperlink w:anchor="_Toc485200065" w:history="1">
            <w:r w:rsidR="009F6353" w:rsidRPr="0009568D">
              <w:rPr>
                <w:rStyle w:val="Hyperlink"/>
                <w:noProof/>
              </w:rPr>
              <w:t>1</w:t>
            </w:r>
            <w:r w:rsidR="009F6353">
              <w:rPr>
                <w:rFonts w:eastAsiaTheme="minorEastAsia"/>
                <w:noProof/>
                <w:lang w:val="en-US" w:eastAsia="zh-CN"/>
              </w:rPr>
              <w:tab/>
            </w:r>
            <w:r w:rsidR="009F6353" w:rsidRPr="0009568D">
              <w:rPr>
                <w:rStyle w:val="Hyperlink"/>
                <w:noProof/>
              </w:rPr>
              <w:t>Antecedentes generales.</w:t>
            </w:r>
            <w:r w:rsidR="009F6353">
              <w:rPr>
                <w:noProof/>
                <w:webHidden/>
              </w:rPr>
              <w:tab/>
            </w:r>
            <w:r w:rsidR="009F6353">
              <w:rPr>
                <w:noProof/>
                <w:webHidden/>
              </w:rPr>
              <w:fldChar w:fldCharType="begin"/>
            </w:r>
            <w:r w:rsidR="009F6353">
              <w:rPr>
                <w:noProof/>
                <w:webHidden/>
              </w:rPr>
              <w:instrText xml:space="preserve"> PAGEREF _Toc485200065 \h </w:instrText>
            </w:r>
            <w:r w:rsidR="009F6353">
              <w:rPr>
                <w:noProof/>
                <w:webHidden/>
              </w:rPr>
            </w:r>
            <w:r w:rsidR="009F6353">
              <w:rPr>
                <w:noProof/>
                <w:webHidden/>
              </w:rPr>
              <w:fldChar w:fldCharType="separate"/>
            </w:r>
            <w:r w:rsidR="009F6353">
              <w:rPr>
                <w:noProof/>
                <w:webHidden/>
              </w:rPr>
              <w:t>20</w:t>
            </w:r>
            <w:r w:rsidR="009F6353">
              <w:rPr>
                <w:noProof/>
                <w:webHidden/>
              </w:rPr>
              <w:fldChar w:fldCharType="end"/>
            </w:r>
          </w:hyperlink>
        </w:p>
        <w:p w14:paraId="3A3D8E60" w14:textId="6C35F764" w:rsidR="009F6353" w:rsidRDefault="005C1A74">
          <w:pPr>
            <w:pStyle w:val="TOC2"/>
            <w:tabs>
              <w:tab w:val="left" w:pos="880"/>
              <w:tab w:val="right" w:leader="dot" w:pos="8495"/>
            </w:tabs>
            <w:rPr>
              <w:rFonts w:eastAsiaTheme="minorEastAsia"/>
              <w:noProof/>
              <w:lang w:val="en-US" w:eastAsia="zh-CN"/>
            </w:rPr>
          </w:pPr>
          <w:hyperlink w:anchor="_Toc485200066" w:history="1">
            <w:r w:rsidR="009F6353" w:rsidRPr="0009568D">
              <w:rPr>
                <w:rStyle w:val="Hyperlink"/>
                <w:noProof/>
              </w:rPr>
              <w:t>1.1</w:t>
            </w:r>
            <w:r w:rsidR="009F6353">
              <w:rPr>
                <w:rFonts w:eastAsiaTheme="minorEastAsia"/>
                <w:noProof/>
                <w:lang w:val="en-US" w:eastAsia="zh-CN"/>
              </w:rPr>
              <w:tab/>
            </w:r>
            <w:r w:rsidR="009F6353" w:rsidRPr="0009568D">
              <w:rPr>
                <w:rStyle w:val="Hyperlink"/>
                <w:noProof/>
              </w:rPr>
              <w:t>Antecedentes institucionales.</w:t>
            </w:r>
            <w:r w:rsidR="009F6353">
              <w:rPr>
                <w:noProof/>
                <w:webHidden/>
              </w:rPr>
              <w:tab/>
            </w:r>
            <w:r w:rsidR="009F6353">
              <w:rPr>
                <w:noProof/>
                <w:webHidden/>
              </w:rPr>
              <w:fldChar w:fldCharType="begin"/>
            </w:r>
            <w:r w:rsidR="009F6353">
              <w:rPr>
                <w:noProof/>
                <w:webHidden/>
              </w:rPr>
              <w:instrText xml:space="preserve"> PAGEREF _Toc485200066 \h </w:instrText>
            </w:r>
            <w:r w:rsidR="009F6353">
              <w:rPr>
                <w:noProof/>
                <w:webHidden/>
              </w:rPr>
            </w:r>
            <w:r w:rsidR="009F6353">
              <w:rPr>
                <w:noProof/>
                <w:webHidden/>
              </w:rPr>
              <w:fldChar w:fldCharType="separate"/>
            </w:r>
            <w:r w:rsidR="009F6353">
              <w:rPr>
                <w:noProof/>
                <w:webHidden/>
              </w:rPr>
              <w:t>21</w:t>
            </w:r>
            <w:r w:rsidR="009F6353">
              <w:rPr>
                <w:noProof/>
                <w:webHidden/>
              </w:rPr>
              <w:fldChar w:fldCharType="end"/>
            </w:r>
          </w:hyperlink>
        </w:p>
        <w:p w14:paraId="668BCD9E" w14:textId="1D198493" w:rsidR="009F6353" w:rsidRDefault="005C1A74">
          <w:pPr>
            <w:pStyle w:val="TOC2"/>
            <w:tabs>
              <w:tab w:val="left" w:pos="880"/>
              <w:tab w:val="right" w:leader="dot" w:pos="8495"/>
            </w:tabs>
            <w:rPr>
              <w:rFonts w:eastAsiaTheme="minorEastAsia"/>
              <w:noProof/>
              <w:lang w:val="en-US" w:eastAsia="zh-CN"/>
            </w:rPr>
          </w:pPr>
          <w:hyperlink w:anchor="_Toc485200067" w:history="1">
            <w:r w:rsidR="009F6353" w:rsidRPr="0009568D">
              <w:rPr>
                <w:rStyle w:val="Hyperlink"/>
                <w:noProof/>
              </w:rPr>
              <w:t>1.2</w:t>
            </w:r>
            <w:r w:rsidR="009F6353">
              <w:rPr>
                <w:rFonts w:eastAsiaTheme="minorEastAsia"/>
                <w:noProof/>
                <w:lang w:val="en-US" w:eastAsia="zh-CN"/>
              </w:rPr>
              <w:tab/>
            </w:r>
            <w:r w:rsidR="009F6353" w:rsidRPr="0009568D">
              <w:rPr>
                <w:rStyle w:val="Hyperlink"/>
                <w:noProof/>
              </w:rPr>
              <w:t>Antecedentes técnicos.</w:t>
            </w:r>
            <w:r w:rsidR="009F6353">
              <w:rPr>
                <w:noProof/>
                <w:webHidden/>
              </w:rPr>
              <w:tab/>
            </w:r>
            <w:r w:rsidR="009F6353">
              <w:rPr>
                <w:noProof/>
                <w:webHidden/>
              </w:rPr>
              <w:fldChar w:fldCharType="begin"/>
            </w:r>
            <w:r w:rsidR="009F6353">
              <w:rPr>
                <w:noProof/>
                <w:webHidden/>
              </w:rPr>
              <w:instrText xml:space="preserve"> PAGEREF _Toc485200067 \h </w:instrText>
            </w:r>
            <w:r w:rsidR="009F6353">
              <w:rPr>
                <w:noProof/>
                <w:webHidden/>
              </w:rPr>
            </w:r>
            <w:r w:rsidR="009F6353">
              <w:rPr>
                <w:noProof/>
                <w:webHidden/>
              </w:rPr>
              <w:fldChar w:fldCharType="separate"/>
            </w:r>
            <w:r w:rsidR="009F6353">
              <w:rPr>
                <w:noProof/>
                <w:webHidden/>
              </w:rPr>
              <w:t>21</w:t>
            </w:r>
            <w:r w:rsidR="009F6353">
              <w:rPr>
                <w:noProof/>
                <w:webHidden/>
              </w:rPr>
              <w:fldChar w:fldCharType="end"/>
            </w:r>
          </w:hyperlink>
        </w:p>
        <w:p w14:paraId="1C5C10F3" w14:textId="2416B54D" w:rsidR="009F6353" w:rsidRDefault="005C1A74">
          <w:pPr>
            <w:pStyle w:val="TOC2"/>
            <w:tabs>
              <w:tab w:val="left" w:pos="660"/>
              <w:tab w:val="right" w:leader="dot" w:pos="8495"/>
            </w:tabs>
            <w:rPr>
              <w:rFonts w:eastAsiaTheme="minorEastAsia"/>
              <w:noProof/>
              <w:lang w:val="en-US" w:eastAsia="zh-CN"/>
            </w:rPr>
          </w:pPr>
          <w:hyperlink w:anchor="_Toc485200068" w:history="1">
            <w:r w:rsidR="009F6353" w:rsidRPr="0009568D">
              <w:rPr>
                <w:rStyle w:val="Hyperlink"/>
                <w:noProof/>
              </w:rPr>
              <w:t>2</w:t>
            </w:r>
            <w:r w:rsidR="009F6353">
              <w:rPr>
                <w:rFonts w:eastAsiaTheme="minorEastAsia"/>
                <w:noProof/>
                <w:lang w:val="en-US" w:eastAsia="zh-CN"/>
              </w:rPr>
              <w:tab/>
            </w:r>
            <w:r w:rsidR="009F6353" w:rsidRPr="0009568D">
              <w:rPr>
                <w:rStyle w:val="Hyperlink"/>
                <w:noProof/>
              </w:rPr>
              <w:t>Situación actual y objetivos del proyecto.</w:t>
            </w:r>
            <w:r w:rsidR="009F6353">
              <w:rPr>
                <w:noProof/>
                <w:webHidden/>
              </w:rPr>
              <w:tab/>
            </w:r>
            <w:r w:rsidR="009F6353">
              <w:rPr>
                <w:noProof/>
                <w:webHidden/>
              </w:rPr>
              <w:fldChar w:fldCharType="begin"/>
            </w:r>
            <w:r w:rsidR="009F6353">
              <w:rPr>
                <w:noProof/>
                <w:webHidden/>
              </w:rPr>
              <w:instrText xml:space="preserve"> PAGEREF _Toc485200068 \h </w:instrText>
            </w:r>
            <w:r w:rsidR="009F6353">
              <w:rPr>
                <w:noProof/>
                <w:webHidden/>
              </w:rPr>
            </w:r>
            <w:r w:rsidR="009F6353">
              <w:rPr>
                <w:noProof/>
                <w:webHidden/>
              </w:rPr>
              <w:fldChar w:fldCharType="separate"/>
            </w:r>
            <w:r w:rsidR="009F6353">
              <w:rPr>
                <w:noProof/>
                <w:webHidden/>
              </w:rPr>
              <w:t>22</w:t>
            </w:r>
            <w:r w:rsidR="009F6353">
              <w:rPr>
                <w:noProof/>
                <w:webHidden/>
              </w:rPr>
              <w:fldChar w:fldCharType="end"/>
            </w:r>
          </w:hyperlink>
        </w:p>
        <w:p w14:paraId="1302F8FF" w14:textId="7F10D1F2" w:rsidR="009F6353" w:rsidRDefault="005C1A74">
          <w:pPr>
            <w:pStyle w:val="TOC2"/>
            <w:tabs>
              <w:tab w:val="left" w:pos="880"/>
              <w:tab w:val="right" w:leader="dot" w:pos="8495"/>
            </w:tabs>
            <w:rPr>
              <w:rFonts w:eastAsiaTheme="minorEastAsia"/>
              <w:noProof/>
              <w:lang w:val="en-US" w:eastAsia="zh-CN"/>
            </w:rPr>
          </w:pPr>
          <w:hyperlink w:anchor="_Toc485200069" w:history="1">
            <w:r w:rsidR="009F6353" w:rsidRPr="0009568D">
              <w:rPr>
                <w:rStyle w:val="Hyperlink"/>
                <w:noProof/>
              </w:rPr>
              <w:t>2.1</w:t>
            </w:r>
            <w:r w:rsidR="009F6353">
              <w:rPr>
                <w:rFonts w:eastAsiaTheme="minorEastAsia"/>
                <w:noProof/>
                <w:lang w:val="en-US" w:eastAsia="zh-CN"/>
              </w:rPr>
              <w:tab/>
            </w:r>
            <w:r w:rsidR="009F6353" w:rsidRPr="0009568D">
              <w:rPr>
                <w:rStyle w:val="Hyperlink"/>
                <w:noProof/>
              </w:rPr>
              <w:t>Situación actual.</w:t>
            </w:r>
            <w:r w:rsidR="009F6353">
              <w:rPr>
                <w:noProof/>
                <w:webHidden/>
              </w:rPr>
              <w:tab/>
            </w:r>
            <w:r w:rsidR="009F6353">
              <w:rPr>
                <w:noProof/>
                <w:webHidden/>
              </w:rPr>
              <w:fldChar w:fldCharType="begin"/>
            </w:r>
            <w:r w:rsidR="009F6353">
              <w:rPr>
                <w:noProof/>
                <w:webHidden/>
              </w:rPr>
              <w:instrText xml:space="preserve"> PAGEREF _Toc485200069 \h </w:instrText>
            </w:r>
            <w:r w:rsidR="009F6353">
              <w:rPr>
                <w:noProof/>
                <w:webHidden/>
              </w:rPr>
            </w:r>
            <w:r w:rsidR="009F6353">
              <w:rPr>
                <w:noProof/>
                <w:webHidden/>
              </w:rPr>
              <w:fldChar w:fldCharType="separate"/>
            </w:r>
            <w:r w:rsidR="009F6353">
              <w:rPr>
                <w:noProof/>
                <w:webHidden/>
              </w:rPr>
              <w:t>23</w:t>
            </w:r>
            <w:r w:rsidR="009F6353">
              <w:rPr>
                <w:noProof/>
                <w:webHidden/>
              </w:rPr>
              <w:fldChar w:fldCharType="end"/>
            </w:r>
          </w:hyperlink>
        </w:p>
        <w:p w14:paraId="74170362" w14:textId="61080F70" w:rsidR="009F6353" w:rsidRDefault="005C1A74">
          <w:pPr>
            <w:pStyle w:val="TOC2"/>
            <w:tabs>
              <w:tab w:val="left" w:pos="880"/>
              <w:tab w:val="right" w:leader="dot" w:pos="8495"/>
            </w:tabs>
            <w:rPr>
              <w:rFonts w:eastAsiaTheme="minorEastAsia"/>
              <w:noProof/>
              <w:lang w:val="en-US" w:eastAsia="zh-CN"/>
            </w:rPr>
          </w:pPr>
          <w:hyperlink w:anchor="_Toc485200070" w:history="1">
            <w:r w:rsidR="009F6353" w:rsidRPr="0009568D">
              <w:rPr>
                <w:rStyle w:val="Hyperlink"/>
                <w:noProof/>
              </w:rPr>
              <w:t>2.2</w:t>
            </w:r>
            <w:r w:rsidR="009F6353">
              <w:rPr>
                <w:rFonts w:eastAsiaTheme="minorEastAsia"/>
                <w:noProof/>
                <w:lang w:val="en-US" w:eastAsia="zh-CN"/>
              </w:rPr>
              <w:tab/>
            </w:r>
            <w:r w:rsidR="009F6353" w:rsidRPr="0009568D">
              <w:rPr>
                <w:rStyle w:val="Hyperlink"/>
                <w:noProof/>
              </w:rPr>
              <w:t>Objetivos del Proyecto.</w:t>
            </w:r>
            <w:r w:rsidR="009F6353">
              <w:rPr>
                <w:noProof/>
                <w:webHidden/>
              </w:rPr>
              <w:tab/>
            </w:r>
            <w:r w:rsidR="009F6353">
              <w:rPr>
                <w:noProof/>
                <w:webHidden/>
              </w:rPr>
              <w:fldChar w:fldCharType="begin"/>
            </w:r>
            <w:r w:rsidR="009F6353">
              <w:rPr>
                <w:noProof/>
                <w:webHidden/>
              </w:rPr>
              <w:instrText xml:space="preserve"> PAGEREF _Toc485200070 \h </w:instrText>
            </w:r>
            <w:r w:rsidR="009F6353">
              <w:rPr>
                <w:noProof/>
                <w:webHidden/>
              </w:rPr>
            </w:r>
            <w:r w:rsidR="009F6353">
              <w:rPr>
                <w:noProof/>
                <w:webHidden/>
              </w:rPr>
              <w:fldChar w:fldCharType="separate"/>
            </w:r>
            <w:r w:rsidR="009F6353">
              <w:rPr>
                <w:noProof/>
                <w:webHidden/>
              </w:rPr>
              <w:t>24</w:t>
            </w:r>
            <w:r w:rsidR="009F6353">
              <w:rPr>
                <w:noProof/>
                <w:webHidden/>
              </w:rPr>
              <w:fldChar w:fldCharType="end"/>
            </w:r>
          </w:hyperlink>
        </w:p>
        <w:p w14:paraId="31E9C202" w14:textId="0D2FA252" w:rsidR="009F6353" w:rsidRDefault="005C1A74">
          <w:pPr>
            <w:pStyle w:val="TOC2"/>
            <w:tabs>
              <w:tab w:val="left" w:pos="660"/>
              <w:tab w:val="right" w:leader="dot" w:pos="8495"/>
            </w:tabs>
            <w:rPr>
              <w:rFonts w:eastAsiaTheme="minorEastAsia"/>
              <w:noProof/>
              <w:lang w:val="en-US" w:eastAsia="zh-CN"/>
            </w:rPr>
          </w:pPr>
          <w:hyperlink w:anchor="_Toc485200071" w:history="1">
            <w:r w:rsidR="009F6353" w:rsidRPr="0009568D">
              <w:rPr>
                <w:rStyle w:val="Hyperlink"/>
                <w:noProof/>
              </w:rPr>
              <w:t>3</w:t>
            </w:r>
            <w:r w:rsidR="009F6353">
              <w:rPr>
                <w:rFonts w:eastAsiaTheme="minorEastAsia"/>
                <w:noProof/>
                <w:lang w:val="en-US" w:eastAsia="zh-CN"/>
              </w:rPr>
              <w:tab/>
            </w:r>
            <w:r w:rsidR="009F6353" w:rsidRPr="0009568D">
              <w:rPr>
                <w:rStyle w:val="Hyperlink"/>
                <w:noProof/>
              </w:rPr>
              <w:t>Metodología adoptada para la evaluación del proyecto.</w:t>
            </w:r>
            <w:r w:rsidR="009F6353">
              <w:rPr>
                <w:noProof/>
                <w:webHidden/>
              </w:rPr>
              <w:tab/>
            </w:r>
            <w:r w:rsidR="009F6353">
              <w:rPr>
                <w:noProof/>
                <w:webHidden/>
              </w:rPr>
              <w:fldChar w:fldCharType="begin"/>
            </w:r>
            <w:r w:rsidR="009F6353">
              <w:rPr>
                <w:noProof/>
                <w:webHidden/>
              </w:rPr>
              <w:instrText xml:space="preserve"> PAGEREF _Toc485200071 \h </w:instrText>
            </w:r>
            <w:r w:rsidR="009F6353">
              <w:rPr>
                <w:noProof/>
                <w:webHidden/>
              </w:rPr>
            </w:r>
            <w:r w:rsidR="009F6353">
              <w:rPr>
                <w:noProof/>
                <w:webHidden/>
              </w:rPr>
              <w:fldChar w:fldCharType="separate"/>
            </w:r>
            <w:r w:rsidR="009F6353">
              <w:rPr>
                <w:noProof/>
                <w:webHidden/>
              </w:rPr>
              <w:t>25</w:t>
            </w:r>
            <w:r w:rsidR="009F6353">
              <w:rPr>
                <w:noProof/>
                <w:webHidden/>
              </w:rPr>
              <w:fldChar w:fldCharType="end"/>
            </w:r>
          </w:hyperlink>
        </w:p>
        <w:p w14:paraId="6FC4A6DB" w14:textId="3FDE76DD" w:rsidR="009F6353" w:rsidRDefault="005C1A74">
          <w:pPr>
            <w:pStyle w:val="TOC2"/>
            <w:tabs>
              <w:tab w:val="left" w:pos="880"/>
              <w:tab w:val="right" w:leader="dot" w:pos="8495"/>
            </w:tabs>
            <w:rPr>
              <w:rFonts w:eastAsiaTheme="minorEastAsia"/>
              <w:noProof/>
              <w:lang w:val="en-US" w:eastAsia="zh-CN"/>
            </w:rPr>
          </w:pPr>
          <w:hyperlink w:anchor="_Toc485200072" w:history="1">
            <w:r w:rsidR="009F6353" w:rsidRPr="0009568D">
              <w:rPr>
                <w:rStyle w:val="Hyperlink"/>
                <w:noProof/>
              </w:rPr>
              <w:t>3.1</w:t>
            </w:r>
            <w:r w:rsidR="009F6353">
              <w:rPr>
                <w:rFonts w:eastAsiaTheme="minorEastAsia"/>
                <w:noProof/>
                <w:lang w:val="en-US" w:eastAsia="zh-CN"/>
              </w:rPr>
              <w:tab/>
            </w:r>
            <w:r w:rsidR="009F6353" w:rsidRPr="0009568D">
              <w:rPr>
                <w:rStyle w:val="Hyperlink"/>
                <w:noProof/>
              </w:rPr>
              <w:t>Beneficiarios y situación socioeconómica.</w:t>
            </w:r>
            <w:r w:rsidR="009F6353">
              <w:rPr>
                <w:noProof/>
                <w:webHidden/>
              </w:rPr>
              <w:tab/>
            </w:r>
            <w:r w:rsidR="009F6353">
              <w:rPr>
                <w:noProof/>
                <w:webHidden/>
              </w:rPr>
              <w:fldChar w:fldCharType="begin"/>
            </w:r>
            <w:r w:rsidR="009F6353">
              <w:rPr>
                <w:noProof/>
                <w:webHidden/>
              </w:rPr>
              <w:instrText xml:space="preserve"> PAGEREF _Toc485200072 \h </w:instrText>
            </w:r>
            <w:r w:rsidR="009F6353">
              <w:rPr>
                <w:noProof/>
                <w:webHidden/>
              </w:rPr>
            </w:r>
            <w:r w:rsidR="009F6353">
              <w:rPr>
                <w:noProof/>
                <w:webHidden/>
              </w:rPr>
              <w:fldChar w:fldCharType="separate"/>
            </w:r>
            <w:r w:rsidR="009F6353">
              <w:rPr>
                <w:noProof/>
                <w:webHidden/>
              </w:rPr>
              <w:t>25</w:t>
            </w:r>
            <w:r w:rsidR="009F6353">
              <w:rPr>
                <w:noProof/>
                <w:webHidden/>
              </w:rPr>
              <w:fldChar w:fldCharType="end"/>
            </w:r>
          </w:hyperlink>
        </w:p>
        <w:p w14:paraId="6642217B" w14:textId="578713E7" w:rsidR="009F6353" w:rsidRDefault="005C1A74">
          <w:pPr>
            <w:pStyle w:val="TOC2"/>
            <w:tabs>
              <w:tab w:val="left" w:pos="880"/>
              <w:tab w:val="right" w:leader="dot" w:pos="8495"/>
            </w:tabs>
            <w:rPr>
              <w:rFonts w:eastAsiaTheme="minorEastAsia"/>
              <w:noProof/>
              <w:lang w:val="en-US" w:eastAsia="zh-CN"/>
            </w:rPr>
          </w:pPr>
          <w:hyperlink w:anchor="_Toc485200073" w:history="1">
            <w:r w:rsidR="009F6353" w:rsidRPr="0009568D">
              <w:rPr>
                <w:rStyle w:val="Hyperlink"/>
                <w:noProof/>
              </w:rPr>
              <w:t>3.2</w:t>
            </w:r>
            <w:r w:rsidR="009F6353">
              <w:rPr>
                <w:rFonts w:eastAsiaTheme="minorEastAsia"/>
                <w:noProof/>
                <w:lang w:val="en-US" w:eastAsia="zh-CN"/>
              </w:rPr>
              <w:tab/>
            </w:r>
            <w:r w:rsidR="009F6353" w:rsidRPr="0009568D">
              <w:rPr>
                <w:rStyle w:val="Hyperlink"/>
                <w:noProof/>
              </w:rPr>
              <w:t>Análisis costo beneficio social (ACBS).</w:t>
            </w:r>
            <w:r w:rsidR="009F6353">
              <w:rPr>
                <w:noProof/>
                <w:webHidden/>
              </w:rPr>
              <w:tab/>
            </w:r>
            <w:r w:rsidR="009F6353">
              <w:rPr>
                <w:noProof/>
                <w:webHidden/>
              </w:rPr>
              <w:fldChar w:fldCharType="begin"/>
            </w:r>
            <w:r w:rsidR="009F6353">
              <w:rPr>
                <w:noProof/>
                <w:webHidden/>
              </w:rPr>
              <w:instrText xml:space="preserve"> PAGEREF _Toc485200073 \h </w:instrText>
            </w:r>
            <w:r w:rsidR="009F6353">
              <w:rPr>
                <w:noProof/>
                <w:webHidden/>
              </w:rPr>
            </w:r>
            <w:r w:rsidR="009F6353">
              <w:rPr>
                <w:noProof/>
                <w:webHidden/>
              </w:rPr>
              <w:fldChar w:fldCharType="separate"/>
            </w:r>
            <w:r w:rsidR="009F6353">
              <w:rPr>
                <w:noProof/>
                <w:webHidden/>
              </w:rPr>
              <w:t>26</w:t>
            </w:r>
            <w:r w:rsidR="009F6353">
              <w:rPr>
                <w:noProof/>
                <w:webHidden/>
              </w:rPr>
              <w:fldChar w:fldCharType="end"/>
            </w:r>
          </w:hyperlink>
        </w:p>
        <w:p w14:paraId="120B6AB1" w14:textId="0A9E5493" w:rsidR="009F6353" w:rsidRDefault="005C1A74">
          <w:pPr>
            <w:pStyle w:val="TOC1"/>
            <w:rPr>
              <w:rFonts w:asciiTheme="minorHAnsi" w:eastAsiaTheme="minorEastAsia" w:hAnsiTheme="minorHAnsi" w:cstheme="minorBidi"/>
              <w:smallCaps w:val="0"/>
              <w:lang w:val="en-US" w:eastAsia="zh-CN"/>
            </w:rPr>
          </w:pPr>
          <w:hyperlink w:anchor="_Toc485200074" w:history="1">
            <w:r w:rsidR="009F6353" w:rsidRPr="0009568D">
              <w:rPr>
                <w:rStyle w:val="Hyperlink"/>
              </w:rPr>
              <w:t>Capítulo II: Beneficiarios.</w:t>
            </w:r>
            <w:r w:rsidR="009F6353">
              <w:rPr>
                <w:webHidden/>
              </w:rPr>
              <w:tab/>
            </w:r>
            <w:r w:rsidR="009F6353">
              <w:rPr>
                <w:webHidden/>
              </w:rPr>
              <w:fldChar w:fldCharType="begin"/>
            </w:r>
            <w:r w:rsidR="009F6353">
              <w:rPr>
                <w:webHidden/>
              </w:rPr>
              <w:instrText xml:space="preserve"> PAGEREF _Toc485200074 \h </w:instrText>
            </w:r>
            <w:r w:rsidR="009F6353">
              <w:rPr>
                <w:webHidden/>
              </w:rPr>
            </w:r>
            <w:r w:rsidR="009F6353">
              <w:rPr>
                <w:webHidden/>
              </w:rPr>
              <w:fldChar w:fldCharType="separate"/>
            </w:r>
            <w:r w:rsidR="009F6353">
              <w:rPr>
                <w:webHidden/>
              </w:rPr>
              <w:t>27</w:t>
            </w:r>
            <w:r w:rsidR="009F6353">
              <w:rPr>
                <w:webHidden/>
              </w:rPr>
              <w:fldChar w:fldCharType="end"/>
            </w:r>
          </w:hyperlink>
        </w:p>
        <w:p w14:paraId="5B08B734" w14:textId="220CB1A7" w:rsidR="009F6353" w:rsidRDefault="005C1A74">
          <w:pPr>
            <w:pStyle w:val="TOC2"/>
            <w:tabs>
              <w:tab w:val="left" w:pos="660"/>
              <w:tab w:val="right" w:leader="dot" w:pos="8495"/>
            </w:tabs>
            <w:rPr>
              <w:rFonts w:eastAsiaTheme="minorEastAsia"/>
              <w:noProof/>
              <w:lang w:val="en-US" w:eastAsia="zh-CN"/>
            </w:rPr>
          </w:pPr>
          <w:hyperlink w:anchor="_Toc485200075" w:history="1">
            <w:r w:rsidR="009F6353" w:rsidRPr="0009568D">
              <w:rPr>
                <w:rStyle w:val="Hyperlink"/>
                <w:noProof/>
              </w:rPr>
              <w:t>1</w:t>
            </w:r>
            <w:r w:rsidR="009F6353">
              <w:rPr>
                <w:rFonts w:eastAsiaTheme="minorEastAsia"/>
                <w:noProof/>
                <w:lang w:val="en-US" w:eastAsia="zh-CN"/>
              </w:rPr>
              <w:tab/>
            </w:r>
            <w:r w:rsidR="009F6353" w:rsidRPr="0009568D">
              <w:rPr>
                <w:rStyle w:val="Hyperlink"/>
                <w:noProof/>
              </w:rPr>
              <w:t>Determinación de beneficiarios.</w:t>
            </w:r>
            <w:r w:rsidR="009F6353">
              <w:rPr>
                <w:noProof/>
                <w:webHidden/>
              </w:rPr>
              <w:tab/>
            </w:r>
            <w:r w:rsidR="009F6353">
              <w:rPr>
                <w:noProof/>
                <w:webHidden/>
              </w:rPr>
              <w:fldChar w:fldCharType="begin"/>
            </w:r>
            <w:r w:rsidR="009F6353">
              <w:rPr>
                <w:noProof/>
                <w:webHidden/>
              </w:rPr>
              <w:instrText xml:space="preserve"> PAGEREF _Toc485200075 \h </w:instrText>
            </w:r>
            <w:r w:rsidR="009F6353">
              <w:rPr>
                <w:noProof/>
                <w:webHidden/>
              </w:rPr>
            </w:r>
            <w:r w:rsidR="009F6353">
              <w:rPr>
                <w:noProof/>
                <w:webHidden/>
              </w:rPr>
              <w:fldChar w:fldCharType="separate"/>
            </w:r>
            <w:r w:rsidR="009F6353">
              <w:rPr>
                <w:noProof/>
                <w:webHidden/>
              </w:rPr>
              <w:t>27</w:t>
            </w:r>
            <w:r w:rsidR="009F6353">
              <w:rPr>
                <w:noProof/>
                <w:webHidden/>
              </w:rPr>
              <w:fldChar w:fldCharType="end"/>
            </w:r>
          </w:hyperlink>
        </w:p>
        <w:p w14:paraId="78693ADA" w14:textId="3C90145A" w:rsidR="009F6353" w:rsidRDefault="005C1A74">
          <w:pPr>
            <w:pStyle w:val="TOC2"/>
            <w:tabs>
              <w:tab w:val="left" w:pos="660"/>
              <w:tab w:val="right" w:leader="dot" w:pos="8495"/>
            </w:tabs>
            <w:rPr>
              <w:rFonts w:eastAsiaTheme="minorEastAsia"/>
              <w:noProof/>
              <w:lang w:val="en-US" w:eastAsia="zh-CN"/>
            </w:rPr>
          </w:pPr>
          <w:hyperlink w:anchor="_Toc485200076" w:history="1">
            <w:r w:rsidR="009F6353" w:rsidRPr="0009568D">
              <w:rPr>
                <w:rStyle w:val="Hyperlink"/>
                <w:noProof/>
              </w:rPr>
              <w:t>2</w:t>
            </w:r>
            <w:r w:rsidR="009F6353">
              <w:rPr>
                <w:rFonts w:eastAsiaTheme="minorEastAsia"/>
                <w:noProof/>
                <w:lang w:val="en-US" w:eastAsia="zh-CN"/>
              </w:rPr>
              <w:tab/>
            </w:r>
            <w:r w:rsidR="009F6353" w:rsidRPr="0009568D">
              <w:rPr>
                <w:rStyle w:val="Hyperlink"/>
                <w:noProof/>
              </w:rPr>
              <w:t>Caracterización socioeconómica.</w:t>
            </w:r>
            <w:r w:rsidR="009F6353">
              <w:rPr>
                <w:noProof/>
                <w:webHidden/>
              </w:rPr>
              <w:tab/>
            </w:r>
            <w:r w:rsidR="009F6353">
              <w:rPr>
                <w:noProof/>
                <w:webHidden/>
              </w:rPr>
              <w:fldChar w:fldCharType="begin"/>
            </w:r>
            <w:r w:rsidR="009F6353">
              <w:rPr>
                <w:noProof/>
                <w:webHidden/>
              </w:rPr>
              <w:instrText xml:space="preserve"> PAGEREF _Toc485200076 \h </w:instrText>
            </w:r>
            <w:r w:rsidR="009F6353">
              <w:rPr>
                <w:noProof/>
                <w:webHidden/>
              </w:rPr>
            </w:r>
            <w:r w:rsidR="009F6353">
              <w:rPr>
                <w:noProof/>
                <w:webHidden/>
              </w:rPr>
              <w:fldChar w:fldCharType="separate"/>
            </w:r>
            <w:r w:rsidR="009F6353">
              <w:rPr>
                <w:noProof/>
                <w:webHidden/>
              </w:rPr>
              <w:t>28</w:t>
            </w:r>
            <w:r w:rsidR="009F6353">
              <w:rPr>
                <w:noProof/>
                <w:webHidden/>
              </w:rPr>
              <w:fldChar w:fldCharType="end"/>
            </w:r>
          </w:hyperlink>
        </w:p>
        <w:p w14:paraId="7803ABC9" w14:textId="1CC70248" w:rsidR="009F6353" w:rsidRDefault="005C1A74">
          <w:pPr>
            <w:pStyle w:val="TOC2"/>
            <w:tabs>
              <w:tab w:val="left" w:pos="880"/>
              <w:tab w:val="right" w:leader="dot" w:pos="8495"/>
            </w:tabs>
            <w:rPr>
              <w:rFonts w:eastAsiaTheme="minorEastAsia"/>
              <w:noProof/>
              <w:lang w:val="en-US" w:eastAsia="zh-CN"/>
            </w:rPr>
          </w:pPr>
          <w:hyperlink w:anchor="_Toc485200077" w:history="1">
            <w:r w:rsidR="009F6353" w:rsidRPr="0009568D">
              <w:rPr>
                <w:rStyle w:val="Hyperlink"/>
                <w:noProof/>
              </w:rPr>
              <w:t>2.1</w:t>
            </w:r>
            <w:r w:rsidR="009F6353">
              <w:rPr>
                <w:rFonts w:eastAsiaTheme="minorEastAsia"/>
                <w:noProof/>
                <w:lang w:val="en-US" w:eastAsia="zh-CN"/>
              </w:rPr>
              <w:tab/>
            </w:r>
            <w:r w:rsidR="009F6353" w:rsidRPr="0009568D">
              <w:rPr>
                <w:rStyle w:val="Hyperlink"/>
                <w:noProof/>
              </w:rPr>
              <w:t>Contexto general Gran Buenos Aires.</w:t>
            </w:r>
            <w:r w:rsidR="009F6353">
              <w:rPr>
                <w:noProof/>
                <w:webHidden/>
              </w:rPr>
              <w:tab/>
            </w:r>
            <w:r w:rsidR="009F6353">
              <w:rPr>
                <w:noProof/>
                <w:webHidden/>
              </w:rPr>
              <w:fldChar w:fldCharType="begin"/>
            </w:r>
            <w:r w:rsidR="009F6353">
              <w:rPr>
                <w:noProof/>
                <w:webHidden/>
              </w:rPr>
              <w:instrText xml:space="preserve"> PAGEREF _Toc485200077 \h </w:instrText>
            </w:r>
            <w:r w:rsidR="009F6353">
              <w:rPr>
                <w:noProof/>
                <w:webHidden/>
              </w:rPr>
            </w:r>
            <w:r w:rsidR="009F6353">
              <w:rPr>
                <w:noProof/>
                <w:webHidden/>
              </w:rPr>
              <w:fldChar w:fldCharType="separate"/>
            </w:r>
            <w:r w:rsidR="009F6353">
              <w:rPr>
                <w:noProof/>
                <w:webHidden/>
              </w:rPr>
              <w:t>29</w:t>
            </w:r>
            <w:r w:rsidR="009F6353">
              <w:rPr>
                <w:noProof/>
                <w:webHidden/>
              </w:rPr>
              <w:fldChar w:fldCharType="end"/>
            </w:r>
          </w:hyperlink>
        </w:p>
        <w:p w14:paraId="3FE2421E" w14:textId="0D97A861" w:rsidR="009F6353" w:rsidRDefault="005C1A74">
          <w:pPr>
            <w:pStyle w:val="TOC2"/>
            <w:tabs>
              <w:tab w:val="left" w:pos="880"/>
              <w:tab w:val="right" w:leader="dot" w:pos="8495"/>
            </w:tabs>
            <w:rPr>
              <w:rFonts w:eastAsiaTheme="minorEastAsia"/>
              <w:noProof/>
              <w:lang w:val="en-US" w:eastAsia="zh-CN"/>
            </w:rPr>
          </w:pPr>
          <w:hyperlink w:anchor="_Toc485200078" w:history="1">
            <w:r w:rsidR="009F6353" w:rsidRPr="0009568D">
              <w:rPr>
                <w:rStyle w:val="Hyperlink"/>
                <w:noProof/>
              </w:rPr>
              <w:t>2.2</w:t>
            </w:r>
            <w:r w:rsidR="009F6353">
              <w:rPr>
                <w:rFonts w:eastAsiaTheme="minorEastAsia"/>
                <w:noProof/>
                <w:lang w:val="en-US" w:eastAsia="zh-CN"/>
              </w:rPr>
              <w:tab/>
            </w:r>
            <w:r w:rsidR="009F6353" w:rsidRPr="0009568D">
              <w:rPr>
                <w:rStyle w:val="Hyperlink"/>
                <w:noProof/>
              </w:rPr>
              <w:t>Detalle socioeconómico de los beneficiarios del proyecto.</w:t>
            </w:r>
            <w:r w:rsidR="009F6353">
              <w:rPr>
                <w:noProof/>
                <w:webHidden/>
              </w:rPr>
              <w:tab/>
            </w:r>
            <w:r w:rsidR="009F6353">
              <w:rPr>
                <w:noProof/>
                <w:webHidden/>
              </w:rPr>
              <w:fldChar w:fldCharType="begin"/>
            </w:r>
            <w:r w:rsidR="009F6353">
              <w:rPr>
                <w:noProof/>
                <w:webHidden/>
              </w:rPr>
              <w:instrText xml:space="preserve"> PAGEREF _Toc485200078 \h </w:instrText>
            </w:r>
            <w:r w:rsidR="009F6353">
              <w:rPr>
                <w:noProof/>
                <w:webHidden/>
              </w:rPr>
            </w:r>
            <w:r w:rsidR="009F6353">
              <w:rPr>
                <w:noProof/>
                <w:webHidden/>
              </w:rPr>
              <w:fldChar w:fldCharType="separate"/>
            </w:r>
            <w:r w:rsidR="009F6353">
              <w:rPr>
                <w:noProof/>
                <w:webHidden/>
              </w:rPr>
              <w:t>33</w:t>
            </w:r>
            <w:r w:rsidR="009F6353">
              <w:rPr>
                <w:noProof/>
                <w:webHidden/>
              </w:rPr>
              <w:fldChar w:fldCharType="end"/>
            </w:r>
          </w:hyperlink>
        </w:p>
        <w:p w14:paraId="660F5BBA" w14:textId="5947B11F" w:rsidR="009F6353" w:rsidRDefault="005C1A74">
          <w:pPr>
            <w:pStyle w:val="TOC2"/>
            <w:tabs>
              <w:tab w:val="left" w:pos="880"/>
              <w:tab w:val="right" w:leader="dot" w:pos="8495"/>
            </w:tabs>
            <w:rPr>
              <w:rFonts w:eastAsiaTheme="minorEastAsia"/>
              <w:noProof/>
              <w:lang w:val="en-US" w:eastAsia="zh-CN"/>
            </w:rPr>
          </w:pPr>
          <w:hyperlink w:anchor="_Toc485200079" w:history="1">
            <w:r w:rsidR="009F6353" w:rsidRPr="0009568D">
              <w:rPr>
                <w:rStyle w:val="Hyperlink"/>
                <w:noProof/>
              </w:rPr>
              <w:t>2.3</w:t>
            </w:r>
            <w:r w:rsidR="009F6353">
              <w:rPr>
                <w:rFonts w:eastAsiaTheme="minorEastAsia"/>
                <w:noProof/>
                <w:lang w:val="en-US" w:eastAsia="zh-CN"/>
              </w:rPr>
              <w:tab/>
            </w:r>
            <w:r w:rsidR="009F6353" w:rsidRPr="0009568D">
              <w:rPr>
                <w:rStyle w:val="Hyperlink"/>
                <w:noProof/>
              </w:rPr>
              <w:t>Detalle socioeconómico de los hogares con instalación de medidor.</w:t>
            </w:r>
            <w:r w:rsidR="009F6353">
              <w:rPr>
                <w:noProof/>
                <w:webHidden/>
              </w:rPr>
              <w:tab/>
            </w:r>
            <w:r w:rsidR="009F6353">
              <w:rPr>
                <w:noProof/>
                <w:webHidden/>
              </w:rPr>
              <w:fldChar w:fldCharType="begin"/>
            </w:r>
            <w:r w:rsidR="009F6353">
              <w:rPr>
                <w:noProof/>
                <w:webHidden/>
              </w:rPr>
              <w:instrText xml:space="preserve"> PAGEREF _Toc485200079 \h </w:instrText>
            </w:r>
            <w:r w:rsidR="009F6353">
              <w:rPr>
                <w:noProof/>
                <w:webHidden/>
              </w:rPr>
            </w:r>
            <w:r w:rsidR="009F6353">
              <w:rPr>
                <w:noProof/>
                <w:webHidden/>
              </w:rPr>
              <w:fldChar w:fldCharType="separate"/>
            </w:r>
            <w:r w:rsidR="009F6353">
              <w:rPr>
                <w:noProof/>
                <w:webHidden/>
              </w:rPr>
              <w:t>35</w:t>
            </w:r>
            <w:r w:rsidR="009F6353">
              <w:rPr>
                <w:noProof/>
                <w:webHidden/>
              </w:rPr>
              <w:fldChar w:fldCharType="end"/>
            </w:r>
          </w:hyperlink>
        </w:p>
        <w:p w14:paraId="763EDECF" w14:textId="7FB7C0A4" w:rsidR="009F6353" w:rsidRDefault="005C1A74">
          <w:pPr>
            <w:pStyle w:val="TOC2"/>
            <w:tabs>
              <w:tab w:val="left" w:pos="660"/>
              <w:tab w:val="right" w:leader="dot" w:pos="8495"/>
            </w:tabs>
            <w:rPr>
              <w:rFonts w:eastAsiaTheme="minorEastAsia"/>
              <w:noProof/>
              <w:lang w:val="en-US" w:eastAsia="zh-CN"/>
            </w:rPr>
          </w:pPr>
          <w:hyperlink w:anchor="_Toc485200080" w:history="1">
            <w:r w:rsidR="009F6353" w:rsidRPr="0009568D">
              <w:rPr>
                <w:rStyle w:val="Hyperlink"/>
                <w:noProof/>
              </w:rPr>
              <w:t>3</w:t>
            </w:r>
            <w:r w:rsidR="009F6353">
              <w:rPr>
                <w:rFonts w:eastAsiaTheme="minorEastAsia"/>
                <w:noProof/>
                <w:lang w:val="en-US" w:eastAsia="zh-CN"/>
              </w:rPr>
              <w:tab/>
            </w:r>
            <w:r w:rsidR="009F6353" w:rsidRPr="0009568D">
              <w:rPr>
                <w:rStyle w:val="Hyperlink"/>
                <w:noProof/>
              </w:rPr>
              <w:t>Situación socioeconómica de la población – Comentarios generales.</w:t>
            </w:r>
            <w:r w:rsidR="009F6353">
              <w:rPr>
                <w:noProof/>
                <w:webHidden/>
              </w:rPr>
              <w:tab/>
            </w:r>
            <w:r w:rsidR="009F6353">
              <w:rPr>
                <w:noProof/>
                <w:webHidden/>
              </w:rPr>
              <w:fldChar w:fldCharType="begin"/>
            </w:r>
            <w:r w:rsidR="009F6353">
              <w:rPr>
                <w:noProof/>
                <w:webHidden/>
              </w:rPr>
              <w:instrText xml:space="preserve"> PAGEREF _Toc485200080 \h </w:instrText>
            </w:r>
            <w:r w:rsidR="009F6353">
              <w:rPr>
                <w:noProof/>
                <w:webHidden/>
              </w:rPr>
            </w:r>
            <w:r w:rsidR="009F6353">
              <w:rPr>
                <w:noProof/>
                <w:webHidden/>
              </w:rPr>
              <w:fldChar w:fldCharType="separate"/>
            </w:r>
            <w:r w:rsidR="009F6353">
              <w:rPr>
                <w:noProof/>
                <w:webHidden/>
              </w:rPr>
              <w:t>38</w:t>
            </w:r>
            <w:r w:rsidR="009F6353">
              <w:rPr>
                <w:noProof/>
                <w:webHidden/>
              </w:rPr>
              <w:fldChar w:fldCharType="end"/>
            </w:r>
          </w:hyperlink>
        </w:p>
        <w:p w14:paraId="64F6AF25" w14:textId="785D6622" w:rsidR="009F6353" w:rsidRDefault="005C1A74">
          <w:pPr>
            <w:pStyle w:val="TOC2"/>
            <w:tabs>
              <w:tab w:val="left" w:pos="660"/>
              <w:tab w:val="right" w:leader="dot" w:pos="8495"/>
            </w:tabs>
            <w:rPr>
              <w:rFonts w:eastAsiaTheme="minorEastAsia"/>
              <w:noProof/>
              <w:lang w:val="en-US" w:eastAsia="zh-CN"/>
            </w:rPr>
          </w:pPr>
          <w:hyperlink w:anchor="_Toc485200081" w:history="1">
            <w:r w:rsidR="009F6353" w:rsidRPr="0009568D">
              <w:rPr>
                <w:rStyle w:val="Hyperlink"/>
                <w:noProof/>
              </w:rPr>
              <w:t>4</w:t>
            </w:r>
            <w:r w:rsidR="009F6353">
              <w:rPr>
                <w:rFonts w:eastAsiaTheme="minorEastAsia"/>
                <w:noProof/>
                <w:lang w:val="en-US" w:eastAsia="zh-CN"/>
              </w:rPr>
              <w:tab/>
            </w:r>
            <w:r w:rsidR="009F6353" w:rsidRPr="0009568D">
              <w:rPr>
                <w:rStyle w:val="Hyperlink"/>
                <w:noProof/>
              </w:rPr>
              <w:t>Análisis de capacidad de pago.</w:t>
            </w:r>
            <w:r w:rsidR="009F6353">
              <w:rPr>
                <w:noProof/>
                <w:webHidden/>
              </w:rPr>
              <w:tab/>
            </w:r>
            <w:r w:rsidR="009F6353">
              <w:rPr>
                <w:noProof/>
                <w:webHidden/>
              </w:rPr>
              <w:fldChar w:fldCharType="begin"/>
            </w:r>
            <w:r w:rsidR="009F6353">
              <w:rPr>
                <w:noProof/>
                <w:webHidden/>
              </w:rPr>
              <w:instrText xml:space="preserve"> PAGEREF _Toc485200081 \h </w:instrText>
            </w:r>
            <w:r w:rsidR="009F6353">
              <w:rPr>
                <w:noProof/>
                <w:webHidden/>
              </w:rPr>
            </w:r>
            <w:r w:rsidR="009F6353">
              <w:rPr>
                <w:noProof/>
                <w:webHidden/>
              </w:rPr>
              <w:fldChar w:fldCharType="separate"/>
            </w:r>
            <w:r w:rsidR="009F6353">
              <w:rPr>
                <w:noProof/>
                <w:webHidden/>
              </w:rPr>
              <w:t>40</w:t>
            </w:r>
            <w:r w:rsidR="009F6353">
              <w:rPr>
                <w:noProof/>
                <w:webHidden/>
              </w:rPr>
              <w:fldChar w:fldCharType="end"/>
            </w:r>
          </w:hyperlink>
        </w:p>
        <w:p w14:paraId="66AA19B2" w14:textId="69E46388" w:rsidR="009F6353" w:rsidRDefault="005C1A74">
          <w:pPr>
            <w:pStyle w:val="TOC1"/>
            <w:rPr>
              <w:rFonts w:asciiTheme="minorHAnsi" w:eastAsiaTheme="minorEastAsia" w:hAnsiTheme="minorHAnsi" w:cstheme="minorBidi"/>
              <w:smallCaps w:val="0"/>
              <w:lang w:val="en-US" w:eastAsia="zh-CN"/>
            </w:rPr>
          </w:pPr>
          <w:hyperlink w:anchor="_Toc485200082" w:history="1">
            <w:r w:rsidR="009F6353" w:rsidRPr="0009568D">
              <w:rPr>
                <w:rStyle w:val="Hyperlink"/>
              </w:rPr>
              <w:t>Capítulo III: Descripción del proyecto.</w:t>
            </w:r>
            <w:r w:rsidR="009F6353">
              <w:rPr>
                <w:webHidden/>
              </w:rPr>
              <w:tab/>
            </w:r>
            <w:r w:rsidR="009F6353">
              <w:rPr>
                <w:webHidden/>
              </w:rPr>
              <w:fldChar w:fldCharType="begin"/>
            </w:r>
            <w:r w:rsidR="009F6353">
              <w:rPr>
                <w:webHidden/>
              </w:rPr>
              <w:instrText xml:space="preserve"> PAGEREF _Toc485200082 \h </w:instrText>
            </w:r>
            <w:r w:rsidR="009F6353">
              <w:rPr>
                <w:webHidden/>
              </w:rPr>
            </w:r>
            <w:r w:rsidR="009F6353">
              <w:rPr>
                <w:webHidden/>
              </w:rPr>
              <w:fldChar w:fldCharType="separate"/>
            </w:r>
            <w:r w:rsidR="009F6353">
              <w:rPr>
                <w:webHidden/>
              </w:rPr>
              <w:t>41</w:t>
            </w:r>
            <w:r w:rsidR="009F6353">
              <w:rPr>
                <w:webHidden/>
              </w:rPr>
              <w:fldChar w:fldCharType="end"/>
            </w:r>
          </w:hyperlink>
        </w:p>
        <w:p w14:paraId="26A8BA27" w14:textId="75DF9E8F" w:rsidR="009F6353" w:rsidRDefault="005C1A74">
          <w:pPr>
            <w:pStyle w:val="TOC2"/>
            <w:tabs>
              <w:tab w:val="left" w:pos="660"/>
              <w:tab w:val="right" w:leader="dot" w:pos="8495"/>
            </w:tabs>
            <w:rPr>
              <w:rFonts w:eastAsiaTheme="minorEastAsia"/>
              <w:noProof/>
              <w:lang w:val="en-US" w:eastAsia="zh-CN"/>
            </w:rPr>
          </w:pPr>
          <w:hyperlink w:anchor="_Toc485200083" w:history="1">
            <w:r w:rsidR="009F6353" w:rsidRPr="0009568D">
              <w:rPr>
                <w:rStyle w:val="Hyperlink"/>
                <w:noProof/>
              </w:rPr>
              <w:t>1</w:t>
            </w:r>
            <w:r w:rsidR="009F6353">
              <w:rPr>
                <w:rFonts w:eastAsiaTheme="minorEastAsia"/>
                <w:noProof/>
                <w:lang w:val="en-US" w:eastAsia="zh-CN"/>
              </w:rPr>
              <w:tab/>
            </w:r>
            <w:r w:rsidR="009F6353" w:rsidRPr="0009568D">
              <w:rPr>
                <w:rStyle w:val="Hyperlink"/>
                <w:noProof/>
              </w:rPr>
              <w:t>Descripción general del proyecto.</w:t>
            </w:r>
            <w:r w:rsidR="009F6353">
              <w:rPr>
                <w:noProof/>
                <w:webHidden/>
              </w:rPr>
              <w:tab/>
            </w:r>
            <w:r w:rsidR="009F6353">
              <w:rPr>
                <w:noProof/>
                <w:webHidden/>
              </w:rPr>
              <w:fldChar w:fldCharType="begin"/>
            </w:r>
            <w:r w:rsidR="009F6353">
              <w:rPr>
                <w:noProof/>
                <w:webHidden/>
              </w:rPr>
              <w:instrText xml:space="preserve"> PAGEREF _Toc485200083 \h </w:instrText>
            </w:r>
            <w:r w:rsidR="009F6353">
              <w:rPr>
                <w:noProof/>
                <w:webHidden/>
              </w:rPr>
            </w:r>
            <w:r w:rsidR="009F6353">
              <w:rPr>
                <w:noProof/>
                <w:webHidden/>
              </w:rPr>
              <w:fldChar w:fldCharType="separate"/>
            </w:r>
            <w:r w:rsidR="009F6353">
              <w:rPr>
                <w:noProof/>
                <w:webHidden/>
              </w:rPr>
              <w:t>41</w:t>
            </w:r>
            <w:r w:rsidR="009F6353">
              <w:rPr>
                <w:noProof/>
                <w:webHidden/>
              </w:rPr>
              <w:fldChar w:fldCharType="end"/>
            </w:r>
          </w:hyperlink>
        </w:p>
        <w:p w14:paraId="31FA20A4" w14:textId="65B1A1B5" w:rsidR="009F6353" w:rsidRDefault="005C1A74">
          <w:pPr>
            <w:pStyle w:val="TOC2"/>
            <w:tabs>
              <w:tab w:val="left" w:pos="660"/>
              <w:tab w:val="right" w:leader="dot" w:pos="8495"/>
            </w:tabs>
            <w:rPr>
              <w:rFonts w:eastAsiaTheme="minorEastAsia"/>
              <w:noProof/>
              <w:lang w:val="en-US" w:eastAsia="zh-CN"/>
            </w:rPr>
          </w:pPr>
          <w:hyperlink w:anchor="_Toc485200084" w:history="1">
            <w:r w:rsidR="009F6353" w:rsidRPr="0009568D">
              <w:rPr>
                <w:rStyle w:val="Hyperlink"/>
                <w:noProof/>
              </w:rPr>
              <w:t>2</w:t>
            </w:r>
            <w:r w:rsidR="009F6353">
              <w:rPr>
                <w:rFonts w:eastAsiaTheme="minorEastAsia"/>
                <w:noProof/>
                <w:lang w:val="en-US" w:eastAsia="zh-CN"/>
              </w:rPr>
              <w:tab/>
            </w:r>
            <w:r w:rsidR="009F6353" w:rsidRPr="0009568D">
              <w:rPr>
                <w:rStyle w:val="Hyperlink"/>
                <w:noProof/>
              </w:rPr>
              <w:t>Detalle de las obras incluidas en financiamiento.</w:t>
            </w:r>
            <w:r w:rsidR="009F6353">
              <w:rPr>
                <w:noProof/>
                <w:webHidden/>
              </w:rPr>
              <w:tab/>
            </w:r>
            <w:r w:rsidR="009F6353">
              <w:rPr>
                <w:noProof/>
                <w:webHidden/>
              </w:rPr>
              <w:fldChar w:fldCharType="begin"/>
            </w:r>
            <w:r w:rsidR="009F6353">
              <w:rPr>
                <w:noProof/>
                <w:webHidden/>
              </w:rPr>
              <w:instrText xml:space="preserve"> PAGEREF _Toc485200084 \h </w:instrText>
            </w:r>
            <w:r w:rsidR="009F6353">
              <w:rPr>
                <w:noProof/>
                <w:webHidden/>
              </w:rPr>
            </w:r>
            <w:r w:rsidR="009F6353">
              <w:rPr>
                <w:noProof/>
                <w:webHidden/>
              </w:rPr>
              <w:fldChar w:fldCharType="separate"/>
            </w:r>
            <w:r w:rsidR="009F6353">
              <w:rPr>
                <w:noProof/>
                <w:webHidden/>
              </w:rPr>
              <w:t>44</w:t>
            </w:r>
            <w:r w:rsidR="009F6353">
              <w:rPr>
                <w:noProof/>
                <w:webHidden/>
              </w:rPr>
              <w:fldChar w:fldCharType="end"/>
            </w:r>
          </w:hyperlink>
        </w:p>
        <w:p w14:paraId="63C30F70" w14:textId="36688758" w:rsidR="009F6353" w:rsidRDefault="005C1A74">
          <w:pPr>
            <w:pStyle w:val="TOC1"/>
            <w:rPr>
              <w:rFonts w:asciiTheme="minorHAnsi" w:eastAsiaTheme="minorEastAsia" w:hAnsiTheme="minorHAnsi" w:cstheme="minorBidi"/>
              <w:smallCaps w:val="0"/>
              <w:lang w:val="en-US" w:eastAsia="zh-CN"/>
            </w:rPr>
          </w:pPr>
          <w:hyperlink w:anchor="_Toc485200085" w:history="1">
            <w:r w:rsidR="009F6353" w:rsidRPr="0009568D">
              <w:rPr>
                <w:rStyle w:val="Hyperlink"/>
              </w:rPr>
              <w:t>Capítulo IV: Análisis Costo Beneficio Social (ACBS).</w:t>
            </w:r>
            <w:r w:rsidR="009F6353">
              <w:rPr>
                <w:webHidden/>
              </w:rPr>
              <w:tab/>
            </w:r>
            <w:r w:rsidR="009F6353">
              <w:rPr>
                <w:webHidden/>
              </w:rPr>
              <w:fldChar w:fldCharType="begin"/>
            </w:r>
            <w:r w:rsidR="009F6353">
              <w:rPr>
                <w:webHidden/>
              </w:rPr>
              <w:instrText xml:space="preserve"> PAGEREF _Toc485200085 \h </w:instrText>
            </w:r>
            <w:r w:rsidR="009F6353">
              <w:rPr>
                <w:webHidden/>
              </w:rPr>
            </w:r>
            <w:r w:rsidR="009F6353">
              <w:rPr>
                <w:webHidden/>
              </w:rPr>
              <w:fldChar w:fldCharType="separate"/>
            </w:r>
            <w:r w:rsidR="009F6353">
              <w:rPr>
                <w:webHidden/>
              </w:rPr>
              <w:t>50</w:t>
            </w:r>
            <w:r w:rsidR="009F6353">
              <w:rPr>
                <w:webHidden/>
              </w:rPr>
              <w:fldChar w:fldCharType="end"/>
            </w:r>
          </w:hyperlink>
        </w:p>
        <w:p w14:paraId="4D34300D" w14:textId="00595EF1" w:rsidR="009F6353" w:rsidRDefault="005C1A74">
          <w:pPr>
            <w:pStyle w:val="TOC2"/>
            <w:tabs>
              <w:tab w:val="left" w:pos="660"/>
              <w:tab w:val="right" w:leader="dot" w:pos="8495"/>
            </w:tabs>
            <w:rPr>
              <w:rFonts w:eastAsiaTheme="minorEastAsia"/>
              <w:noProof/>
              <w:lang w:val="en-US" w:eastAsia="zh-CN"/>
            </w:rPr>
          </w:pPr>
          <w:hyperlink w:anchor="_Toc485200086" w:history="1">
            <w:r w:rsidR="009F6353" w:rsidRPr="0009568D">
              <w:rPr>
                <w:rStyle w:val="Hyperlink"/>
                <w:noProof/>
              </w:rPr>
              <w:t>1</w:t>
            </w:r>
            <w:r w:rsidR="009F6353">
              <w:rPr>
                <w:rFonts w:eastAsiaTheme="minorEastAsia"/>
                <w:noProof/>
                <w:lang w:val="en-US" w:eastAsia="zh-CN"/>
              </w:rPr>
              <w:tab/>
            </w:r>
            <w:r w:rsidR="009F6353" w:rsidRPr="0009568D">
              <w:rPr>
                <w:rStyle w:val="Hyperlink"/>
                <w:noProof/>
              </w:rPr>
              <w:t>Introducción.</w:t>
            </w:r>
            <w:r w:rsidR="009F6353">
              <w:rPr>
                <w:noProof/>
                <w:webHidden/>
              </w:rPr>
              <w:tab/>
            </w:r>
            <w:r w:rsidR="009F6353">
              <w:rPr>
                <w:noProof/>
                <w:webHidden/>
              </w:rPr>
              <w:fldChar w:fldCharType="begin"/>
            </w:r>
            <w:r w:rsidR="009F6353">
              <w:rPr>
                <w:noProof/>
                <w:webHidden/>
              </w:rPr>
              <w:instrText xml:space="preserve"> PAGEREF _Toc485200086 \h </w:instrText>
            </w:r>
            <w:r w:rsidR="009F6353">
              <w:rPr>
                <w:noProof/>
                <w:webHidden/>
              </w:rPr>
            </w:r>
            <w:r w:rsidR="009F6353">
              <w:rPr>
                <w:noProof/>
                <w:webHidden/>
              </w:rPr>
              <w:fldChar w:fldCharType="separate"/>
            </w:r>
            <w:r w:rsidR="009F6353">
              <w:rPr>
                <w:noProof/>
                <w:webHidden/>
              </w:rPr>
              <w:t>50</w:t>
            </w:r>
            <w:r w:rsidR="009F6353">
              <w:rPr>
                <w:noProof/>
                <w:webHidden/>
              </w:rPr>
              <w:fldChar w:fldCharType="end"/>
            </w:r>
          </w:hyperlink>
        </w:p>
        <w:p w14:paraId="66243FEE" w14:textId="5AA5375F" w:rsidR="009F6353" w:rsidRDefault="005C1A74">
          <w:pPr>
            <w:pStyle w:val="TOC2"/>
            <w:tabs>
              <w:tab w:val="left" w:pos="660"/>
              <w:tab w:val="right" w:leader="dot" w:pos="8495"/>
            </w:tabs>
            <w:rPr>
              <w:rFonts w:eastAsiaTheme="minorEastAsia"/>
              <w:noProof/>
              <w:lang w:val="en-US" w:eastAsia="zh-CN"/>
            </w:rPr>
          </w:pPr>
          <w:hyperlink w:anchor="_Toc485200087" w:history="1">
            <w:r w:rsidR="009F6353" w:rsidRPr="0009568D">
              <w:rPr>
                <w:rStyle w:val="Hyperlink"/>
                <w:noProof/>
              </w:rPr>
              <w:t>2</w:t>
            </w:r>
            <w:r w:rsidR="009F6353">
              <w:rPr>
                <w:rFonts w:eastAsiaTheme="minorEastAsia"/>
                <w:noProof/>
                <w:lang w:val="en-US" w:eastAsia="zh-CN"/>
              </w:rPr>
              <w:tab/>
            </w:r>
            <w:r w:rsidR="009F6353" w:rsidRPr="0009568D">
              <w:rPr>
                <w:rStyle w:val="Hyperlink"/>
                <w:noProof/>
              </w:rPr>
              <w:t>Criterios de evaluación.</w:t>
            </w:r>
            <w:r w:rsidR="009F6353">
              <w:rPr>
                <w:noProof/>
                <w:webHidden/>
              </w:rPr>
              <w:tab/>
            </w:r>
            <w:r w:rsidR="009F6353">
              <w:rPr>
                <w:noProof/>
                <w:webHidden/>
              </w:rPr>
              <w:fldChar w:fldCharType="begin"/>
            </w:r>
            <w:r w:rsidR="009F6353">
              <w:rPr>
                <w:noProof/>
                <w:webHidden/>
              </w:rPr>
              <w:instrText xml:space="preserve"> PAGEREF _Toc485200087 \h </w:instrText>
            </w:r>
            <w:r w:rsidR="009F6353">
              <w:rPr>
                <w:noProof/>
                <w:webHidden/>
              </w:rPr>
            </w:r>
            <w:r w:rsidR="009F6353">
              <w:rPr>
                <w:noProof/>
                <w:webHidden/>
              </w:rPr>
              <w:fldChar w:fldCharType="separate"/>
            </w:r>
            <w:r w:rsidR="009F6353">
              <w:rPr>
                <w:noProof/>
                <w:webHidden/>
              </w:rPr>
              <w:t>51</w:t>
            </w:r>
            <w:r w:rsidR="009F6353">
              <w:rPr>
                <w:noProof/>
                <w:webHidden/>
              </w:rPr>
              <w:fldChar w:fldCharType="end"/>
            </w:r>
          </w:hyperlink>
        </w:p>
        <w:p w14:paraId="17B58C2B" w14:textId="66A32A8C" w:rsidR="009F6353" w:rsidRDefault="005C1A74">
          <w:pPr>
            <w:pStyle w:val="TOC2"/>
            <w:tabs>
              <w:tab w:val="left" w:pos="660"/>
              <w:tab w:val="right" w:leader="dot" w:pos="8495"/>
            </w:tabs>
            <w:rPr>
              <w:rFonts w:eastAsiaTheme="minorEastAsia"/>
              <w:noProof/>
              <w:lang w:val="en-US" w:eastAsia="zh-CN"/>
            </w:rPr>
          </w:pPr>
          <w:hyperlink w:anchor="_Toc485200088" w:history="1">
            <w:r w:rsidR="009F6353" w:rsidRPr="0009568D">
              <w:rPr>
                <w:rStyle w:val="Hyperlink"/>
                <w:noProof/>
              </w:rPr>
              <w:t>3</w:t>
            </w:r>
            <w:r w:rsidR="009F6353">
              <w:rPr>
                <w:rFonts w:eastAsiaTheme="minorEastAsia"/>
                <w:noProof/>
                <w:lang w:val="en-US" w:eastAsia="zh-CN"/>
              </w:rPr>
              <w:tab/>
            </w:r>
            <w:r w:rsidR="009F6353" w:rsidRPr="0009568D">
              <w:rPr>
                <w:rStyle w:val="Hyperlink"/>
                <w:noProof/>
              </w:rPr>
              <w:t>Beneficios económicos del proyecto.</w:t>
            </w:r>
            <w:r w:rsidR="009F6353">
              <w:rPr>
                <w:noProof/>
                <w:webHidden/>
              </w:rPr>
              <w:tab/>
            </w:r>
            <w:r w:rsidR="009F6353">
              <w:rPr>
                <w:noProof/>
                <w:webHidden/>
              </w:rPr>
              <w:fldChar w:fldCharType="begin"/>
            </w:r>
            <w:r w:rsidR="009F6353">
              <w:rPr>
                <w:noProof/>
                <w:webHidden/>
              </w:rPr>
              <w:instrText xml:space="preserve"> PAGEREF _Toc485200088 \h </w:instrText>
            </w:r>
            <w:r w:rsidR="009F6353">
              <w:rPr>
                <w:noProof/>
                <w:webHidden/>
              </w:rPr>
            </w:r>
            <w:r w:rsidR="009F6353">
              <w:rPr>
                <w:noProof/>
                <w:webHidden/>
              </w:rPr>
              <w:fldChar w:fldCharType="separate"/>
            </w:r>
            <w:r w:rsidR="009F6353">
              <w:rPr>
                <w:noProof/>
                <w:webHidden/>
              </w:rPr>
              <w:t>53</w:t>
            </w:r>
            <w:r w:rsidR="009F6353">
              <w:rPr>
                <w:noProof/>
                <w:webHidden/>
              </w:rPr>
              <w:fldChar w:fldCharType="end"/>
            </w:r>
          </w:hyperlink>
        </w:p>
        <w:p w14:paraId="2ACF0705" w14:textId="72ECC3E6" w:rsidR="009F6353" w:rsidRDefault="005C1A74">
          <w:pPr>
            <w:pStyle w:val="TOC2"/>
            <w:tabs>
              <w:tab w:val="left" w:pos="880"/>
              <w:tab w:val="right" w:leader="dot" w:pos="8495"/>
            </w:tabs>
            <w:rPr>
              <w:rFonts w:eastAsiaTheme="minorEastAsia"/>
              <w:noProof/>
              <w:lang w:val="en-US" w:eastAsia="zh-CN"/>
            </w:rPr>
          </w:pPr>
          <w:hyperlink w:anchor="_Toc485200089" w:history="1">
            <w:r w:rsidR="009F6353" w:rsidRPr="0009568D">
              <w:rPr>
                <w:rStyle w:val="Hyperlink"/>
                <w:noProof/>
              </w:rPr>
              <w:t>3.1</w:t>
            </w:r>
            <w:r w:rsidR="009F6353">
              <w:rPr>
                <w:rFonts w:eastAsiaTheme="minorEastAsia"/>
                <w:noProof/>
                <w:lang w:val="en-US" w:eastAsia="zh-CN"/>
              </w:rPr>
              <w:tab/>
            </w:r>
            <w:r w:rsidR="009F6353" w:rsidRPr="0009568D">
              <w:rPr>
                <w:rStyle w:val="Hyperlink"/>
                <w:noProof/>
              </w:rPr>
              <w:t>Beneficios asociados al aumento de la oferta.</w:t>
            </w:r>
            <w:r w:rsidR="009F6353">
              <w:rPr>
                <w:noProof/>
                <w:webHidden/>
              </w:rPr>
              <w:tab/>
            </w:r>
            <w:r w:rsidR="009F6353">
              <w:rPr>
                <w:noProof/>
                <w:webHidden/>
              </w:rPr>
              <w:fldChar w:fldCharType="begin"/>
            </w:r>
            <w:r w:rsidR="009F6353">
              <w:rPr>
                <w:noProof/>
                <w:webHidden/>
              </w:rPr>
              <w:instrText xml:space="preserve"> PAGEREF _Toc485200089 \h </w:instrText>
            </w:r>
            <w:r w:rsidR="009F6353">
              <w:rPr>
                <w:noProof/>
                <w:webHidden/>
              </w:rPr>
            </w:r>
            <w:r w:rsidR="009F6353">
              <w:rPr>
                <w:noProof/>
                <w:webHidden/>
              </w:rPr>
              <w:fldChar w:fldCharType="separate"/>
            </w:r>
            <w:r w:rsidR="009F6353">
              <w:rPr>
                <w:noProof/>
                <w:webHidden/>
              </w:rPr>
              <w:t>53</w:t>
            </w:r>
            <w:r w:rsidR="009F6353">
              <w:rPr>
                <w:noProof/>
                <w:webHidden/>
              </w:rPr>
              <w:fldChar w:fldCharType="end"/>
            </w:r>
          </w:hyperlink>
        </w:p>
        <w:p w14:paraId="634D0389" w14:textId="27C896AD" w:rsidR="009F6353" w:rsidRDefault="005C1A74">
          <w:pPr>
            <w:pStyle w:val="TOC2"/>
            <w:tabs>
              <w:tab w:val="left" w:pos="880"/>
              <w:tab w:val="right" w:leader="dot" w:pos="8495"/>
            </w:tabs>
            <w:rPr>
              <w:rFonts w:eastAsiaTheme="minorEastAsia"/>
              <w:noProof/>
              <w:lang w:val="en-US" w:eastAsia="zh-CN"/>
            </w:rPr>
          </w:pPr>
          <w:hyperlink w:anchor="_Toc485200090" w:history="1">
            <w:r w:rsidR="009F6353" w:rsidRPr="0009568D">
              <w:rPr>
                <w:rStyle w:val="Hyperlink"/>
                <w:noProof/>
              </w:rPr>
              <w:t>3.2</w:t>
            </w:r>
            <w:r w:rsidR="009F6353">
              <w:rPr>
                <w:rFonts w:eastAsiaTheme="minorEastAsia"/>
                <w:noProof/>
                <w:lang w:val="en-US" w:eastAsia="zh-CN"/>
              </w:rPr>
              <w:tab/>
            </w:r>
            <w:r w:rsidR="009F6353" w:rsidRPr="0009568D">
              <w:rPr>
                <w:rStyle w:val="Hyperlink"/>
                <w:noProof/>
              </w:rPr>
              <w:t>Beneficios derivados del aumento de la eficiencia.</w:t>
            </w:r>
            <w:r w:rsidR="009F6353">
              <w:rPr>
                <w:noProof/>
                <w:webHidden/>
              </w:rPr>
              <w:tab/>
            </w:r>
            <w:r w:rsidR="009F6353">
              <w:rPr>
                <w:noProof/>
                <w:webHidden/>
              </w:rPr>
              <w:fldChar w:fldCharType="begin"/>
            </w:r>
            <w:r w:rsidR="009F6353">
              <w:rPr>
                <w:noProof/>
                <w:webHidden/>
              </w:rPr>
              <w:instrText xml:space="preserve"> PAGEREF _Toc485200090 \h </w:instrText>
            </w:r>
            <w:r w:rsidR="009F6353">
              <w:rPr>
                <w:noProof/>
                <w:webHidden/>
              </w:rPr>
            </w:r>
            <w:r w:rsidR="009F6353">
              <w:rPr>
                <w:noProof/>
                <w:webHidden/>
              </w:rPr>
              <w:fldChar w:fldCharType="separate"/>
            </w:r>
            <w:r w:rsidR="009F6353">
              <w:rPr>
                <w:noProof/>
                <w:webHidden/>
              </w:rPr>
              <w:t>54</w:t>
            </w:r>
            <w:r w:rsidR="009F6353">
              <w:rPr>
                <w:noProof/>
                <w:webHidden/>
              </w:rPr>
              <w:fldChar w:fldCharType="end"/>
            </w:r>
          </w:hyperlink>
        </w:p>
        <w:p w14:paraId="1C8D8BDE" w14:textId="54CE8FA5" w:rsidR="009F6353" w:rsidRDefault="005C1A74">
          <w:pPr>
            <w:pStyle w:val="TOC2"/>
            <w:tabs>
              <w:tab w:val="left" w:pos="660"/>
              <w:tab w:val="right" w:leader="dot" w:pos="8495"/>
            </w:tabs>
            <w:rPr>
              <w:rFonts w:eastAsiaTheme="minorEastAsia"/>
              <w:noProof/>
              <w:lang w:val="en-US" w:eastAsia="zh-CN"/>
            </w:rPr>
          </w:pPr>
          <w:hyperlink w:anchor="_Toc485200091" w:history="1">
            <w:r w:rsidR="009F6353" w:rsidRPr="0009568D">
              <w:rPr>
                <w:rStyle w:val="Hyperlink"/>
                <w:noProof/>
              </w:rPr>
              <w:t>4</w:t>
            </w:r>
            <w:r w:rsidR="009F6353">
              <w:rPr>
                <w:rFonts w:eastAsiaTheme="minorEastAsia"/>
                <w:noProof/>
                <w:lang w:val="en-US" w:eastAsia="zh-CN"/>
              </w:rPr>
              <w:tab/>
            </w:r>
            <w:r w:rsidR="009F6353" w:rsidRPr="0009568D">
              <w:rPr>
                <w:rStyle w:val="Hyperlink"/>
                <w:noProof/>
              </w:rPr>
              <w:t>Costos económicos del proyecto.</w:t>
            </w:r>
            <w:r w:rsidR="009F6353">
              <w:rPr>
                <w:noProof/>
                <w:webHidden/>
              </w:rPr>
              <w:tab/>
            </w:r>
            <w:r w:rsidR="009F6353">
              <w:rPr>
                <w:noProof/>
                <w:webHidden/>
              </w:rPr>
              <w:fldChar w:fldCharType="begin"/>
            </w:r>
            <w:r w:rsidR="009F6353">
              <w:rPr>
                <w:noProof/>
                <w:webHidden/>
              </w:rPr>
              <w:instrText xml:space="preserve"> PAGEREF _Toc485200091 \h </w:instrText>
            </w:r>
            <w:r w:rsidR="009F6353">
              <w:rPr>
                <w:noProof/>
                <w:webHidden/>
              </w:rPr>
            </w:r>
            <w:r w:rsidR="009F6353">
              <w:rPr>
                <w:noProof/>
                <w:webHidden/>
              </w:rPr>
              <w:fldChar w:fldCharType="separate"/>
            </w:r>
            <w:r w:rsidR="009F6353">
              <w:rPr>
                <w:noProof/>
                <w:webHidden/>
              </w:rPr>
              <w:t>54</w:t>
            </w:r>
            <w:r w:rsidR="009F6353">
              <w:rPr>
                <w:noProof/>
                <w:webHidden/>
              </w:rPr>
              <w:fldChar w:fldCharType="end"/>
            </w:r>
          </w:hyperlink>
        </w:p>
        <w:p w14:paraId="7D3B891B" w14:textId="3B3FE868" w:rsidR="009F6353" w:rsidRDefault="005C1A74">
          <w:pPr>
            <w:pStyle w:val="TOC2"/>
            <w:tabs>
              <w:tab w:val="left" w:pos="880"/>
              <w:tab w:val="right" w:leader="dot" w:pos="8495"/>
            </w:tabs>
            <w:rPr>
              <w:rFonts w:eastAsiaTheme="minorEastAsia"/>
              <w:noProof/>
              <w:lang w:val="en-US" w:eastAsia="zh-CN"/>
            </w:rPr>
          </w:pPr>
          <w:hyperlink w:anchor="_Toc485200092" w:history="1">
            <w:r w:rsidR="009F6353" w:rsidRPr="0009568D">
              <w:rPr>
                <w:rStyle w:val="Hyperlink"/>
                <w:noProof/>
              </w:rPr>
              <w:t>4.3</w:t>
            </w:r>
            <w:r w:rsidR="009F6353">
              <w:rPr>
                <w:rFonts w:eastAsiaTheme="minorEastAsia"/>
                <w:noProof/>
                <w:lang w:val="en-US" w:eastAsia="zh-CN"/>
              </w:rPr>
              <w:tab/>
            </w:r>
            <w:r w:rsidR="009F6353" w:rsidRPr="0009568D">
              <w:rPr>
                <w:rStyle w:val="Hyperlink"/>
                <w:noProof/>
              </w:rPr>
              <w:t>Costos de inversión.</w:t>
            </w:r>
            <w:r w:rsidR="009F6353">
              <w:rPr>
                <w:noProof/>
                <w:webHidden/>
              </w:rPr>
              <w:tab/>
            </w:r>
            <w:r w:rsidR="009F6353">
              <w:rPr>
                <w:noProof/>
                <w:webHidden/>
              </w:rPr>
              <w:fldChar w:fldCharType="begin"/>
            </w:r>
            <w:r w:rsidR="009F6353">
              <w:rPr>
                <w:noProof/>
                <w:webHidden/>
              </w:rPr>
              <w:instrText xml:space="preserve"> PAGEREF _Toc485200092 \h </w:instrText>
            </w:r>
            <w:r w:rsidR="009F6353">
              <w:rPr>
                <w:noProof/>
                <w:webHidden/>
              </w:rPr>
            </w:r>
            <w:r w:rsidR="009F6353">
              <w:rPr>
                <w:noProof/>
                <w:webHidden/>
              </w:rPr>
              <w:fldChar w:fldCharType="separate"/>
            </w:r>
            <w:r w:rsidR="009F6353">
              <w:rPr>
                <w:noProof/>
                <w:webHidden/>
              </w:rPr>
              <w:t>55</w:t>
            </w:r>
            <w:r w:rsidR="009F6353">
              <w:rPr>
                <w:noProof/>
                <w:webHidden/>
              </w:rPr>
              <w:fldChar w:fldCharType="end"/>
            </w:r>
          </w:hyperlink>
        </w:p>
        <w:p w14:paraId="7007B942" w14:textId="67917A1C" w:rsidR="009F6353" w:rsidRDefault="005C1A74">
          <w:pPr>
            <w:pStyle w:val="TOC2"/>
            <w:tabs>
              <w:tab w:val="left" w:pos="880"/>
              <w:tab w:val="right" w:leader="dot" w:pos="8495"/>
            </w:tabs>
            <w:rPr>
              <w:rFonts w:eastAsiaTheme="minorEastAsia"/>
              <w:noProof/>
              <w:lang w:val="en-US" w:eastAsia="zh-CN"/>
            </w:rPr>
          </w:pPr>
          <w:hyperlink w:anchor="_Toc485200093" w:history="1">
            <w:r w:rsidR="009F6353" w:rsidRPr="0009568D">
              <w:rPr>
                <w:rStyle w:val="Hyperlink"/>
                <w:noProof/>
              </w:rPr>
              <w:t>4.4</w:t>
            </w:r>
            <w:r w:rsidR="009F6353">
              <w:rPr>
                <w:rFonts w:eastAsiaTheme="minorEastAsia"/>
                <w:noProof/>
                <w:lang w:val="en-US" w:eastAsia="zh-CN"/>
              </w:rPr>
              <w:tab/>
            </w:r>
            <w:r w:rsidR="009F6353" w:rsidRPr="0009568D">
              <w:rPr>
                <w:rStyle w:val="Hyperlink"/>
                <w:noProof/>
              </w:rPr>
              <w:t>Costos de operación y mantenimiento.</w:t>
            </w:r>
            <w:r w:rsidR="009F6353">
              <w:rPr>
                <w:noProof/>
                <w:webHidden/>
              </w:rPr>
              <w:tab/>
            </w:r>
            <w:r w:rsidR="009F6353">
              <w:rPr>
                <w:noProof/>
                <w:webHidden/>
              </w:rPr>
              <w:fldChar w:fldCharType="begin"/>
            </w:r>
            <w:r w:rsidR="009F6353">
              <w:rPr>
                <w:noProof/>
                <w:webHidden/>
              </w:rPr>
              <w:instrText xml:space="preserve"> PAGEREF _Toc485200093 \h </w:instrText>
            </w:r>
            <w:r w:rsidR="009F6353">
              <w:rPr>
                <w:noProof/>
                <w:webHidden/>
              </w:rPr>
            </w:r>
            <w:r w:rsidR="009F6353">
              <w:rPr>
                <w:noProof/>
                <w:webHidden/>
              </w:rPr>
              <w:fldChar w:fldCharType="separate"/>
            </w:r>
            <w:r w:rsidR="009F6353">
              <w:rPr>
                <w:noProof/>
                <w:webHidden/>
              </w:rPr>
              <w:t>57</w:t>
            </w:r>
            <w:r w:rsidR="009F6353">
              <w:rPr>
                <w:noProof/>
                <w:webHidden/>
              </w:rPr>
              <w:fldChar w:fldCharType="end"/>
            </w:r>
          </w:hyperlink>
        </w:p>
        <w:p w14:paraId="735AFAE8" w14:textId="1430BB4A" w:rsidR="009F6353" w:rsidRDefault="005C1A74">
          <w:pPr>
            <w:pStyle w:val="TOC2"/>
            <w:tabs>
              <w:tab w:val="left" w:pos="660"/>
              <w:tab w:val="right" w:leader="dot" w:pos="8495"/>
            </w:tabs>
            <w:rPr>
              <w:rFonts w:eastAsiaTheme="minorEastAsia"/>
              <w:noProof/>
              <w:lang w:val="en-US" w:eastAsia="zh-CN"/>
            </w:rPr>
          </w:pPr>
          <w:hyperlink w:anchor="_Toc485200094" w:history="1">
            <w:r w:rsidR="009F6353" w:rsidRPr="0009568D">
              <w:rPr>
                <w:rStyle w:val="Hyperlink"/>
                <w:noProof/>
              </w:rPr>
              <w:t>5</w:t>
            </w:r>
            <w:r w:rsidR="009F6353">
              <w:rPr>
                <w:rFonts w:eastAsiaTheme="minorEastAsia"/>
                <w:noProof/>
                <w:lang w:val="en-US" w:eastAsia="zh-CN"/>
              </w:rPr>
              <w:tab/>
            </w:r>
            <w:r w:rsidR="009F6353" w:rsidRPr="0009568D">
              <w:rPr>
                <w:rStyle w:val="Hyperlink"/>
                <w:noProof/>
              </w:rPr>
              <w:t>Análisis SIMOP – Datos Incorporados.</w:t>
            </w:r>
            <w:r w:rsidR="009F6353">
              <w:rPr>
                <w:noProof/>
                <w:webHidden/>
              </w:rPr>
              <w:tab/>
            </w:r>
            <w:r w:rsidR="009F6353">
              <w:rPr>
                <w:noProof/>
                <w:webHidden/>
              </w:rPr>
              <w:fldChar w:fldCharType="begin"/>
            </w:r>
            <w:r w:rsidR="009F6353">
              <w:rPr>
                <w:noProof/>
                <w:webHidden/>
              </w:rPr>
              <w:instrText xml:space="preserve"> PAGEREF _Toc485200094 \h </w:instrText>
            </w:r>
            <w:r w:rsidR="009F6353">
              <w:rPr>
                <w:noProof/>
                <w:webHidden/>
              </w:rPr>
            </w:r>
            <w:r w:rsidR="009F6353">
              <w:rPr>
                <w:noProof/>
                <w:webHidden/>
              </w:rPr>
              <w:fldChar w:fldCharType="separate"/>
            </w:r>
            <w:r w:rsidR="009F6353">
              <w:rPr>
                <w:noProof/>
                <w:webHidden/>
              </w:rPr>
              <w:t>58</w:t>
            </w:r>
            <w:r w:rsidR="009F6353">
              <w:rPr>
                <w:noProof/>
                <w:webHidden/>
              </w:rPr>
              <w:fldChar w:fldCharType="end"/>
            </w:r>
          </w:hyperlink>
        </w:p>
        <w:p w14:paraId="04587FB6" w14:textId="0ABF1CF6" w:rsidR="009F6353" w:rsidRDefault="005C1A74">
          <w:pPr>
            <w:pStyle w:val="TOC2"/>
            <w:tabs>
              <w:tab w:val="left" w:pos="880"/>
              <w:tab w:val="right" w:leader="dot" w:pos="8495"/>
            </w:tabs>
            <w:rPr>
              <w:rFonts w:eastAsiaTheme="minorEastAsia"/>
              <w:noProof/>
              <w:lang w:val="en-US" w:eastAsia="zh-CN"/>
            </w:rPr>
          </w:pPr>
          <w:hyperlink w:anchor="_Toc485200095" w:history="1">
            <w:r w:rsidR="009F6353" w:rsidRPr="0009568D">
              <w:rPr>
                <w:rStyle w:val="Hyperlink"/>
                <w:noProof/>
              </w:rPr>
              <w:t>5.1</w:t>
            </w:r>
            <w:r w:rsidR="009F6353">
              <w:rPr>
                <w:rFonts w:eastAsiaTheme="minorEastAsia"/>
                <w:noProof/>
                <w:lang w:val="en-US" w:eastAsia="zh-CN"/>
              </w:rPr>
              <w:tab/>
            </w:r>
            <w:r w:rsidR="009F6353" w:rsidRPr="0009568D">
              <w:rPr>
                <w:rStyle w:val="Hyperlink"/>
                <w:noProof/>
              </w:rPr>
              <w:t>Información general del proyecto.</w:t>
            </w:r>
            <w:r w:rsidR="009F6353">
              <w:rPr>
                <w:noProof/>
                <w:webHidden/>
              </w:rPr>
              <w:tab/>
            </w:r>
            <w:r w:rsidR="009F6353">
              <w:rPr>
                <w:noProof/>
                <w:webHidden/>
              </w:rPr>
              <w:fldChar w:fldCharType="begin"/>
            </w:r>
            <w:r w:rsidR="009F6353">
              <w:rPr>
                <w:noProof/>
                <w:webHidden/>
              </w:rPr>
              <w:instrText xml:space="preserve"> PAGEREF _Toc485200095 \h </w:instrText>
            </w:r>
            <w:r w:rsidR="009F6353">
              <w:rPr>
                <w:noProof/>
                <w:webHidden/>
              </w:rPr>
            </w:r>
            <w:r w:rsidR="009F6353">
              <w:rPr>
                <w:noProof/>
                <w:webHidden/>
              </w:rPr>
              <w:fldChar w:fldCharType="separate"/>
            </w:r>
            <w:r w:rsidR="009F6353">
              <w:rPr>
                <w:noProof/>
                <w:webHidden/>
              </w:rPr>
              <w:t>58</w:t>
            </w:r>
            <w:r w:rsidR="009F6353">
              <w:rPr>
                <w:noProof/>
                <w:webHidden/>
              </w:rPr>
              <w:fldChar w:fldCharType="end"/>
            </w:r>
          </w:hyperlink>
        </w:p>
        <w:p w14:paraId="52280C1C" w14:textId="1E289028" w:rsidR="009F6353" w:rsidRDefault="005C1A74">
          <w:pPr>
            <w:pStyle w:val="TOC2"/>
            <w:tabs>
              <w:tab w:val="left" w:pos="1100"/>
              <w:tab w:val="right" w:leader="dot" w:pos="8495"/>
            </w:tabs>
            <w:rPr>
              <w:rFonts w:eastAsiaTheme="minorEastAsia"/>
              <w:noProof/>
              <w:lang w:val="en-US" w:eastAsia="zh-CN"/>
            </w:rPr>
          </w:pPr>
          <w:hyperlink w:anchor="_Toc485200096" w:history="1">
            <w:r w:rsidR="009F6353" w:rsidRPr="0009568D">
              <w:rPr>
                <w:rStyle w:val="Hyperlink"/>
                <w:noProof/>
              </w:rPr>
              <w:t>5.1.1</w:t>
            </w:r>
            <w:r w:rsidR="009F6353">
              <w:rPr>
                <w:rFonts w:eastAsiaTheme="minorEastAsia"/>
                <w:noProof/>
                <w:lang w:val="en-US" w:eastAsia="zh-CN"/>
              </w:rPr>
              <w:tab/>
            </w:r>
            <w:r w:rsidR="009F6353" w:rsidRPr="0009568D">
              <w:rPr>
                <w:rStyle w:val="Hyperlink"/>
                <w:noProof/>
              </w:rPr>
              <w:t>Grupos de consumidores.</w:t>
            </w:r>
            <w:r w:rsidR="009F6353">
              <w:rPr>
                <w:noProof/>
                <w:webHidden/>
              </w:rPr>
              <w:tab/>
            </w:r>
            <w:r w:rsidR="009F6353">
              <w:rPr>
                <w:noProof/>
                <w:webHidden/>
              </w:rPr>
              <w:fldChar w:fldCharType="begin"/>
            </w:r>
            <w:r w:rsidR="009F6353">
              <w:rPr>
                <w:noProof/>
                <w:webHidden/>
              </w:rPr>
              <w:instrText xml:space="preserve"> PAGEREF _Toc485200096 \h </w:instrText>
            </w:r>
            <w:r w:rsidR="009F6353">
              <w:rPr>
                <w:noProof/>
                <w:webHidden/>
              </w:rPr>
            </w:r>
            <w:r w:rsidR="009F6353">
              <w:rPr>
                <w:noProof/>
                <w:webHidden/>
              </w:rPr>
              <w:fldChar w:fldCharType="separate"/>
            </w:r>
            <w:r w:rsidR="009F6353">
              <w:rPr>
                <w:noProof/>
                <w:webHidden/>
              </w:rPr>
              <w:t>58</w:t>
            </w:r>
            <w:r w:rsidR="009F6353">
              <w:rPr>
                <w:noProof/>
                <w:webHidden/>
              </w:rPr>
              <w:fldChar w:fldCharType="end"/>
            </w:r>
          </w:hyperlink>
        </w:p>
        <w:p w14:paraId="65656157" w14:textId="1F93748A" w:rsidR="009F6353" w:rsidRDefault="005C1A74">
          <w:pPr>
            <w:pStyle w:val="TOC2"/>
            <w:tabs>
              <w:tab w:val="left" w:pos="1100"/>
              <w:tab w:val="right" w:leader="dot" w:pos="8495"/>
            </w:tabs>
            <w:rPr>
              <w:rFonts w:eastAsiaTheme="minorEastAsia"/>
              <w:noProof/>
              <w:lang w:val="en-US" w:eastAsia="zh-CN"/>
            </w:rPr>
          </w:pPr>
          <w:hyperlink w:anchor="_Toc485200097" w:history="1">
            <w:r w:rsidR="009F6353" w:rsidRPr="0009568D">
              <w:rPr>
                <w:rStyle w:val="Hyperlink"/>
                <w:noProof/>
              </w:rPr>
              <w:t>5.1.2</w:t>
            </w:r>
            <w:r w:rsidR="009F6353">
              <w:rPr>
                <w:rFonts w:eastAsiaTheme="minorEastAsia"/>
                <w:noProof/>
                <w:lang w:val="en-US" w:eastAsia="zh-CN"/>
              </w:rPr>
              <w:tab/>
            </w:r>
            <w:r w:rsidR="009F6353" w:rsidRPr="0009568D">
              <w:rPr>
                <w:rStyle w:val="Hyperlink"/>
                <w:noProof/>
              </w:rPr>
              <w:t>Período de simulación.</w:t>
            </w:r>
            <w:r w:rsidR="009F6353">
              <w:rPr>
                <w:noProof/>
                <w:webHidden/>
              </w:rPr>
              <w:tab/>
            </w:r>
            <w:r w:rsidR="009F6353">
              <w:rPr>
                <w:noProof/>
                <w:webHidden/>
              </w:rPr>
              <w:fldChar w:fldCharType="begin"/>
            </w:r>
            <w:r w:rsidR="009F6353">
              <w:rPr>
                <w:noProof/>
                <w:webHidden/>
              </w:rPr>
              <w:instrText xml:space="preserve"> PAGEREF _Toc485200097 \h </w:instrText>
            </w:r>
            <w:r w:rsidR="009F6353">
              <w:rPr>
                <w:noProof/>
                <w:webHidden/>
              </w:rPr>
            </w:r>
            <w:r w:rsidR="009F6353">
              <w:rPr>
                <w:noProof/>
                <w:webHidden/>
              </w:rPr>
              <w:fldChar w:fldCharType="separate"/>
            </w:r>
            <w:r w:rsidR="009F6353">
              <w:rPr>
                <w:noProof/>
                <w:webHidden/>
              </w:rPr>
              <w:t>59</w:t>
            </w:r>
            <w:r w:rsidR="009F6353">
              <w:rPr>
                <w:noProof/>
                <w:webHidden/>
              </w:rPr>
              <w:fldChar w:fldCharType="end"/>
            </w:r>
          </w:hyperlink>
        </w:p>
        <w:p w14:paraId="7D543845" w14:textId="6659AB0E" w:rsidR="009F6353" w:rsidRDefault="005C1A74">
          <w:pPr>
            <w:pStyle w:val="TOC2"/>
            <w:tabs>
              <w:tab w:val="left" w:pos="1100"/>
              <w:tab w:val="right" w:leader="dot" w:pos="8495"/>
            </w:tabs>
            <w:rPr>
              <w:rFonts w:eastAsiaTheme="minorEastAsia"/>
              <w:noProof/>
              <w:lang w:val="en-US" w:eastAsia="zh-CN"/>
            </w:rPr>
          </w:pPr>
          <w:hyperlink w:anchor="_Toc485200098" w:history="1">
            <w:r w:rsidR="009F6353" w:rsidRPr="0009568D">
              <w:rPr>
                <w:rStyle w:val="Hyperlink"/>
                <w:noProof/>
              </w:rPr>
              <w:t>5.1.3</w:t>
            </w:r>
            <w:r w:rsidR="009F6353">
              <w:rPr>
                <w:rFonts w:eastAsiaTheme="minorEastAsia"/>
                <w:noProof/>
                <w:lang w:val="en-US" w:eastAsia="zh-CN"/>
              </w:rPr>
              <w:tab/>
            </w:r>
            <w:r w:rsidR="009F6353" w:rsidRPr="0009568D">
              <w:rPr>
                <w:rStyle w:val="Hyperlink"/>
                <w:noProof/>
              </w:rPr>
              <w:t>Año proyectado de inicio de producción.</w:t>
            </w:r>
            <w:r w:rsidR="009F6353">
              <w:rPr>
                <w:noProof/>
                <w:webHidden/>
              </w:rPr>
              <w:tab/>
            </w:r>
            <w:r w:rsidR="009F6353">
              <w:rPr>
                <w:noProof/>
                <w:webHidden/>
              </w:rPr>
              <w:fldChar w:fldCharType="begin"/>
            </w:r>
            <w:r w:rsidR="009F6353">
              <w:rPr>
                <w:noProof/>
                <w:webHidden/>
              </w:rPr>
              <w:instrText xml:space="preserve"> PAGEREF _Toc485200098 \h </w:instrText>
            </w:r>
            <w:r w:rsidR="009F6353">
              <w:rPr>
                <w:noProof/>
                <w:webHidden/>
              </w:rPr>
            </w:r>
            <w:r w:rsidR="009F6353">
              <w:rPr>
                <w:noProof/>
                <w:webHidden/>
              </w:rPr>
              <w:fldChar w:fldCharType="separate"/>
            </w:r>
            <w:r w:rsidR="009F6353">
              <w:rPr>
                <w:noProof/>
                <w:webHidden/>
              </w:rPr>
              <w:t>59</w:t>
            </w:r>
            <w:r w:rsidR="009F6353">
              <w:rPr>
                <w:noProof/>
                <w:webHidden/>
              </w:rPr>
              <w:fldChar w:fldCharType="end"/>
            </w:r>
          </w:hyperlink>
        </w:p>
        <w:p w14:paraId="22FF9DF6" w14:textId="7D0D1059" w:rsidR="009F6353" w:rsidRDefault="005C1A74">
          <w:pPr>
            <w:pStyle w:val="TOC2"/>
            <w:tabs>
              <w:tab w:val="left" w:pos="1100"/>
              <w:tab w:val="right" w:leader="dot" w:pos="8495"/>
            </w:tabs>
            <w:rPr>
              <w:rFonts w:eastAsiaTheme="minorEastAsia"/>
              <w:noProof/>
              <w:lang w:val="en-US" w:eastAsia="zh-CN"/>
            </w:rPr>
          </w:pPr>
          <w:hyperlink w:anchor="_Toc485200099" w:history="1">
            <w:r w:rsidR="009F6353" w:rsidRPr="0009568D">
              <w:rPr>
                <w:rStyle w:val="Hyperlink"/>
                <w:noProof/>
              </w:rPr>
              <w:t>5.1.4</w:t>
            </w:r>
            <w:r w:rsidR="009F6353">
              <w:rPr>
                <w:rFonts w:eastAsiaTheme="minorEastAsia"/>
                <w:noProof/>
                <w:lang w:val="en-US" w:eastAsia="zh-CN"/>
              </w:rPr>
              <w:tab/>
            </w:r>
            <w:r w:rsidR="009F6353" w:rsidRPr="0009568D">
              <w:rPr>
                <w:rStyle w:val="Hyperlink"/>
                <w:noProof/>
              </w:rPr>
              <w:t>Tasa Social de Descuento.</w:t>
            </w:r>
            <w:r w:rsidR="009F6353">
              <w:rPr>
                <w:noProof/>
                <w:webHidden/>
              </w:rPr>
              <w:tab/>
            </w:r>
            <w:r w:rsidR="009F6353">
              <w:rPr>
                <w:noProof/>
                <w:webHidden/>
              </w:rPr>
              <w:fldChar w:fldCharType="begin"/>
            </w:r>
            <w:r w:rsidR="009F6353">
              <w:rPr>
                <w:noProof/>
                <w:webHidden/>
              </w:rPr>
              <w:instrText xml:space="preserve"> PAGEREF _Toc485200099 \h </w:instrText>
            </w:r>
            <w:r w:rsidR="009F6353">
              <w:rPr>
                <w:noProof/>
                <w:webHidden/>
              </w:rPr>
            </w:r>
            <w:r w:rsidR="009F6353">
              <w:rPr>
                <w:noProof/>
                <w:webHidden/>
              </w:rPr>
              <w:fldChar w:fldCharType="separate"/>
            </w:r>
            <w:r w:rsidR="009F6353">
              <w:rPr>
                <w:noProof/>
                <w:webHidden/>
              </w:rPr>
              <w:t>59</w:t>
            </w:r>
            <w:r w:rsidR="009F6353">
              <w:rPr>
                <w:noProof/>
                <w:webHidden/>
              </w:rPr>
              <w:fldChar w:fldCharType="end"/>
            </w:r>
          </w:hyperlink>
        </w:p>
        <w:p w14:paraId="435BB99D" w14:textId="28F42AFC" w:rsidR="009F6353" w:rsidRDefault="005C1A74">
          <w:pPr>
            <w:pStyle w:val="TOC2"/>
            <w:tabs>
              <w:tab w:val="left" w:pos="880"/>
              <w:tab w:val="right" w:leader="dot" w:pos="8495"/>
            </w:tabs>
            <w:rPr>
              <w:rFonts w:eastAsiaTheme="minorEastAsia"/>
              <w:noProof/>
              <w:lang w:val="en-US" w:eastAsia="zh-CN"/>
            </w:rPr>
          </w:pPr>
          <w:hyperlink w:anchor="_Toc485200100" w:history="1">
            <w:r w:rsidR="009F6353" w:rsidRPr="0009568D">
              <w:rPr>
                <w:rStyle w:val="Hyperlink"/>
                <w:noProof/>
              </w:rPr>
              <w:t>5.2</w:t>
            </w:r>
            <w:r w:rsidR="009F6353">
              <w:rPr>
                <w:rFonts w:eastAsiaTheme="minorEastAsia"/>
                <w:noProof/>
                <w:lang w:val="en-US" w:eastAsia="zh-CN"/>
              </w:rPr>
              <w:tab/>
            </w:r>
            <w:r w:rsidR="009F6353" w:rsidRPr="0009568D">
              <w:rPr>
                <w:rStyle w:val="Hyperlink"/>
                <w:noProof/>
              </w:rPr>
              <w:t>Capacidad del sistema SIN Proyecto.</w:t>
            </w:r>
            <w:r w:rsidR="009F6353">
              <w:rPr>
                <w:noProof/>
                <w:webHidden/>
              </w:rPr>
              <w:tab/>
            </w:r>
            <w:r w:rsidR="009F6353">
              <w:rPr>
                <w:noProof/>
                <w:webHidden/>
              </w:rPr>
              <w:fldChar w:fldCharType="begin"/>
            </w:r>
            <w:r w:rsidR="009F6353">
              <w:rPr>
                <w:noProof/>
                <w:webHidden/>
              </w:rPr>
              <w:instrText xml:space="preserve"> PAGEREF _Toc485200100 \h </w:instrText>
            </w:r>
            <w:r w:rsidR="009F6353">
              <w:rPr>
                <w:noProof/>
                <w:webHidden/>
              </w:rPr>
            </w:r>
            <w:r w:rsidR="009F6353">
              <w:rPr>
                <w:noProof/>
                <w:webHidden/>
              </w:rPr>
              <w:fldChar w:fldCharType="separate"/>
            </w:r>
            <w:r w:rsidR="009F6353">
              <w:rPr>
                <w:noProof/>
                <w:webHidden/>
              </w:rPr>
              <w:t>59</w:t>
            </w:r>
            <w:r w:rsidR="009F6353">
              <w:rPr>
                <w:noProof/>
                <w:webHidden/>
              </w:rPr>
              <w:fldChar w:fldCharType="end"/>
            </w:r>
          </w:hyperlink>
        </w:p>
        <w:p w14:paraId="30EC8E4F" w14:textId="60A425CC" w:rsidR="009F6353" w:rsidRDefault="005C1A74">
          <w:pPr>
            <w:pStyle w:val="TOC2"/>
            <w:tabs>
              <w:tab w:val="left" w:pos="880"/>
              <w:tab w:val="right" w:leader="dot" w:pos="8495"/>
            </w:tabs>
            <w:rPr>
              <w:rFonts w:eastAsiaTheme="minorEastAsia"/>
              <w:noProof/>
              <w:lang w:val="en-US" w:eastAsia="zh-CN"/>
            </w:rPr>
          </w:pPr>
          <w:hyperlink w:anchor="_Toc485200101" w:history="1">
            <w:r w:rsidR="009F6353" w:rsidRPr="0009568D">
              <w:rPr>
                <w:rStyle w:val="Hyperlink"/>
                <w:noProof/>
              </w:rPr>
              <w:t>5.3</w:t>
            </w:r>
            <w:r w:rsidR="009F6353">
              <w:rPr>
                <w:rFonts w:eastAsiaTheme="minorEastAsia"/>
                <w:noProof/>
                <w:lang w:val="en-US" w:eastAsia="zh-CN"/>
              </w:rPr>
              <w:tab/>
            </w:r>
            <w:r w:rsidR="009F6353" w:rsidRPr="0009568D">
              <w:rPr>
                <w:rStyle w:val="Hyperlink"/>
                <w:noProof/>
              </w:rPr>
              <w:t>Capacidad del sistema CON proyecto.</w:t>
            </w:r>
            <w:r w:rsidR="009F6353">
              <w:rPr>
                <w:noProof/>
                <w:webHidden/>
              </w:rPr>
              <w:tab/>
            </w:r>
            <w:r w:rsidR="009F6353">
              <w:rPr>
                <w:noProof/>
                <w:webHidden/>
              </w:rPr>
              <w:fldChar w:fldCharType="begin"/>
            </w:r>
            <w:r w:rsidR="009F6353">
              <w:rPr>
                <w:noProof/>
                <w:webHidden/>
              </w:rPr>
              <w:instrText xml:space="preserve"> PAGEREF _Toc485200101 \h </w:instrText>
            </w:r>
            <w:r w:rsidR="009F6353">
              <w:rPr>
                <w:noProof/>
                <w:webHidden/>
              </w:rPr>
            </w:r>
            <w:r w:rsidR="009F6353">
              <w:rPr>
                <w:noProof/>
                <w:webHidden/>
              </w:rPr>
              <w:fldChar w:fldCharType="separate"/>
            </w:r>
            <w:r w:rsidR="009F6353">
              <w:rPr>
                <w:noProof/>
                <w:webHidden/>
              </w:rPr>
              <w:t>60</w:t>
            </w:r>
            <w:r w:rsidR="009F6353">
              <w:rPr>
                <w:noProof/>
                <w:webHidden/>
              </w:rPr>
              <w:fldChar w:fldCharType="end"/>
            </w:r>
          </w:hyperlink>
        </w:p>
        <w:p w14:paraId="7E1C311B" w14:textId="7945AC29" w:rsidR="009F6353" w:rsidRDefault="005C1A74">
          <w:pPr>
            <w:pStyle w:val="TOC2"/>
            <w:tabs>
              <w:tab w:val="left" w:pos="880"/>
              <w:tab w:val="right" w:leader="dot" w:pos="8495"/>
            </w:tabs>
            <w:rPr>
              <w:rFonts w:eastAsiaTheme="minorEastAsia"/>
              <w:noProof/>
              <w:lang w:val="en-US" w:eastAsia="zh-CN"/>
            </w:rPr>
          </w:pPr>
          <w:hyperlink w:anchor="_Toc485200102" w:history="1">
            <w:r w:rsidR="009F6353" w:rsidRPr="0009568D">
              <w:rPr>
                <w:rStyle w:val="Hyperlink"/>
                <w:noProof/>
              </w:rPr>
              <w:t>5.4</w:t>
            </w:r>
            <w:r w:rsidR="009F6353">
              <w:rPr>
                <w:rFonts w:eastAsiaTheme="minorEastAsia"/>
                <w:noProof/>
                <w:lang w:val="en-US" w:eastAsia="zh-CN"/>
              </w:rPr>
              <w:tab/>
            </w:r>
            <w:r w:rsidR="009F6353" w:rsidRPr="0009568D">
              <w:rPr>
                <w:rStyle w:val="Hyperlink"/>
                <w:noProof/>
              </w:rPr>
              <w:t>Capacidad disponible SIN proyecto en el sistema alternativo</w:t>
            </w:r>
            <w:r w:rsidR="009F6353">
              <w:rPr>
                <w:noProof/>
                <w:webHidden/>
              </w:rPr>
              <w:tab/>
            </w:r>
            <w:r w:rsidR="009F6353">
              <w:rPr>
                <w:noProof/>
                <w:webHidden/>
              </w:rPr>
              <w:fldChar w:fldCharType="begin"/>
            </w:r>
            <w:r w:rsidR="009F6353">
              <w:rPr>
                <w:noProof/>
                <w:webHidden/>
              </w:rPr>
              <w:instrText xml:space="preserve"> PAGEREF _Toc485200102 \h </w:instrText>
            </w:r>
            <w:r w:rsidR="009F6353">
              <w:rPr>
                <w:noProof/>
                <w:webHidden/>
              </w:rPr>
            </w:r>
            <w:r w:rsidR="009F6353">
              <w:rPr>
                <w:noProof/>
                <w:webHidden/>
              </w:rPr>
              <w:fldChar w:fldCharType="separate"/>
            </w:r>
            <w:r w:rsidR="009F6353">
              <w:rPr>
                <w:noProof/>
                <w:webHidden/>
              </w:rPr>
              <w:t>60</w:t>
            </w:r>
            <w:r w:rsidR="009F6353">
              <w:rPr>
                <w:noProof/>
                <w:webHidden/>
              </w:rPr>
              <w:fldChar w:fldCharType="end"/>
            </w:r>
          </w:hyperlink>
        </w:p>
        <w:p w14:paraId="1A94D2CB" w14:textId="349D8414" w:rsidR="009F6353" w:rsidRDefault="005C1A74">
          <w:pPr>
            <w:pStyle w:val="TOC2"/>
            <w:tabs>
              <w:tab w:val="left" w:pos="880"/>
              <w:tab w:val="right" w:leader="dot" w:pos="8495"/>
            </w:tabs>
            <w:rPr>
              <w:rFonts w:eastAsiaTheme="minorEastAsia"/>
              <w:noProof/>
              <w:lang w:val="en-US" w:eastAsia="zh-CN"/>
            </w:rPr>
          </w:pPr>
          <w:hyperlink w:anchor="_Toc485200103" w:history="1">
            <w:r w:rsidR="009F6353" w:rsidRPr="0009568D">
              <w:rPr>
                <w:rStyle w:val="Hyperlink"/>
                <w:noProof/>
              </w:rPr>
              <w:t>5.5</w:t>
            </w:r>
            <w:r w:rsidR="009F6353">
              <w:rPr>
                <w:rFonts w:eastAsiaTheme="minorEastAsia"/>
                <w:noProof/>
                <w:lang w:val="en-US" w:eastAsia="zh-CN"/>
              </w:rPr>
              <w:tab/>
            </w:r>
            <w:r w:rsidR="009F6353" w:rsidRPr="0009568D">
              <w:rPr>
                <w:rStyle w:val="Hyperlink"/>
                <w:noProof/>
              </w:rPr>
              <w:t>Racionamiento</w:t>
            </w:r>
            <w:r w:rsidR="009F6353">
              <w:rPr>
                <w:noProof/>
                <w:webHidden/>
              </w:rPr>
              <w:tab/>
            </w:r>
            <w:r w:rsidR="009F6353">
              <w:rPr>
                <w:noProof/>
                <w:webHidden/>
              </w:rPr>
              <w:fldChar w:fldCharType="begin"/>
            </w:r>
            <w:r w:rsidR="009F6353">
              <w:rPr>
                <w:noProof/>
                <w:webHidden/>
              </w:rPr>
              <w:instrText xml:space="preserve"> PAGEREF _Toc485200103 \h </w:instrText>
            </w:r>
            <w:r w:rsidR="009F6353">
              <w:rPr>
                <w:noProof/>
                <w:webHidden/>
              </w:rPr>
            </w:r>
            <w:r w:rsidR="009F6353">
              <w:rPr>
                <w:noProof/>
                <w:webHidden/>
              </w:rPr>
              <w:fldChar w:fldCharType="separate"/>
            </w:r>
            <w:r w:rsidR="009F6353">
              <w:rPr>
                <w:noProof/>
                <w:webHidden/>
              </w:rPr>
              <w:t>61</w:t>
            </w:r>
            <w:r w:rsidR="009F6353">
              <w:rPr>
                <w:noProof/>
                <w:webHidden/>
              </w:rPr>
              <w:fldChar w:fldCharType="end"/>
            </w:r>
          </w:hyperlink>
        </w:p>
        <w:p w14:paraId="5A67847F" w14:textId="0D65D397" w:rsidR="009F6353" w:rsidRDefault="005C1A74">
          <w:pPr>
            <w:pStyle w:val="TOC2"/>
            <w:tabs>
              <w:tab w:val="left" w:pos="880"/>
              <w:tab w:val="right" w:leader="dot" w:pos="8495"/>
            </w:tabs>
            <w:rPr>
              <w:rFonts w:eastAsiaTheme="minorEastAsia"/>
              <w:noProof/>
              <w:lang w:val="en-US" w:eastAsia="zh-CN"/>
            </w:rPr>
          </w:pPr>
          <w:hyperlink w:anchor="_Toc485200104" w:history="1">
            <w:r w:rsidR="009F6353" w:rsidRPr="0009568D">
              <w:rPr>
                <w:rStyle w:val="Hyperlink"/>
                <w:noProof/>
              </w:rPr>
              <w:t>5.6</w:t>
            </w:r>
            <w:r w:rsidR="009F6353">
              <w:rPr>
                <w:rFonts w:eastAsiaTheme="minorEastAsia"/>
                <w:noProof/>
                <w:lang w:val="en-US" w:eastAsia="zh-CN"/>
              </w:rPr>
              <w:tab/>
            </w:r>
            <w:r w:rsidR="009F6353" w:rsidRPr="0009568D">
              <w:rPr>
                <w:rStyle w:val="Hyperlink"/>
                <w:noProof/>
              </w:rPr>
              <w:t>Demanda</w:t>
            </w:r>
            <w:r w:rsidR="009F6353">
              <w:rPr>
                <w:noProof/>
                <w:webHidden/>
              </w:rPr>
              <w:tab/>
            </w:r>
            <w:r w:rsidR="009F6353">
              <w:rPr>
                <w:noProof/>
                <w:webHidden/>
              </w:rPr>
              <w:fldChar w:fldCharType="begin"/>
            </w:r>
            <w:r w:rsidR="009F6353">
              <w:rPr>
                <w:noProof/>
                <w:webHidden/>
              </w:rPr>
              <w:instrText xml:space="preserve"> PAGEREF _Toc485200104 \h </w:instrText>
            </w:r>
            <w:r w:rsidR="009F6353">
              <w:rPr>
                <w:noProof/>
                <w:webHidden/>
              </w:rPr>
            </w:r>
            <w:r w:rsidR="009F6353">
              <w:rPr>
                <w:noProof/>
                <w:webHidden/>
              </w:rPr>
              <w:fldChar w:fldCharType="separate"/>
            </w:r>
            <w:r w:rsidR="009F6353">
              <w:rPr>
                <w:noProof/>
                <w:webHidden/>
              </w:rPr>
              <w:t>61</w:t>
            </w:r>
            <w:r w:rsidR="009F6353">
              <w:rPr>
                <w:noProof/>
                <w:webHidden/>
              </w:rPr>
              <w:fldChar w:fldCharType="end"/>
            </w:r>
          </w:hyperlink>
        </w:p>
        <w:p w14:paraId="5052D24E" w14:textId="255E813D" w:rsidR="009F6353" w:rsidRDefault="005C1A74">
          <w:pPr>
            <w:pStyle w:val="TOC2"/>
            <w:tabs>
              <w:tab w:val="left" w:pos="880"/>
              <w:tab w:val="right" w:leader="dot" w:pos="8495"/>
            </w:tabs>
            <w:rPr>
              <w:rFonts w:eastAsiaTheme="minorEastAsia"/>
              <w:noProof/>
              <w:lang w:val="en-US" w:eastAsia="zh-CN"/>
            </w:rPr>
          </w:pPr>
          <w:hyperlink w:anchor="_Toc485200105" w:history="1">
            <w:r w:rsidR="009F6353" w:rsidRPr="0009568D">
              <w:rPr>
                <w:rStyle w:val="Hyperlink"/>
                <w:noProof/>
              </w:rPr>
              <w:t>5.7</w:t>
            </w:r>
            <w:r w:rsidR="009F6353">
              <w:rPr>
                <w:rFonts w:eastAsiaTheme="minorEastAsia"/>
                <w:noProof/>
                <w:lang w:val="en-US" w:eastAsia="zh-CN"/>
              </w:rPr>
              <w:tab/>
            </w:r>
            <w:r w:rsidR="009F6353" w:rsidRPr="0009568D">
              <w:rPr>
                <w:rStyle w:val="Hyperlink"/>
                <w:noProof/>
              </w:rPr>
              <w:t>Elasticidad precio de la demanda de agua.</w:t>
            </w:r>
            <w:r w:rsidR="009F6353">
              <w:rPr>
                <w:noProof/>
                <w:webHidden/>
              </w:rPr>
              <w:tab/>
            </w:r>
            <w:r w:rsidR="009F6353">
              <w:rPr>
                <w:noProof/>
                <w:webHidden/>
              </w:rPr>
              <w:fldChar w:fldCharType="begin"/>
            </w:r>
            <w:r w:rsidR="009F6353">
              <w:rPr>
                <w:noProof/>
                <w:webHidden/>
              </w:rPr>
              <w:instrText xml:space="preserve"> PAGEREF _Toc485200105 \h </w:instrText>
            </w:r>
            <w:r w:rsidR="009F6353">
              <w:rPr>
                <w:noProof/>
                <w:webHidden/>
              </w:rPr>
            </w:r>
            <w:r w:rsidR="009F6353">
              <w:rPr>
                <w:noProof/>
                <w:webHidden/>
              </w:rPr>
              <w:fldChar w:fldCharType="separate"/>
            </w:r>
            <w:r w:rsidR="009F6353">
              <w:rPr>
                <w:noProof/>
                <w:webHidden/>
              </w:rPr>
              <w:t>61</w:t>
            </w:r>
            <w:r w:rsidR="009F6353">
              <w:rPr>
                <w:noProof/>
                <w:webHidden/>
              </w:rPr>
              <w:fldChar w:fldCharType="end"/>
            </w:r>
          </w:hyperlink>
        </w:p>
        <w:p w14:paraId="145ACFD5" w14:textId="4CEA3123" w:rsidR="009F6353" w:rsidRDefault="005C1A74">
          <w:pPr>
            <w:pStyle w:val="TOC2"/>
            <w:tabs>
              <w:tab w:val="left" w:pos="880"/>
              <w:tab w:val="right" w:leader="dot" w:pos="8495"/>
            </w:tabs>
            <w:rPr>
              <w:rFonts w:eastAsiaTheme="minorEastAsia"/>
              <w:noProof/>
              <w:lang w:val="en-US" w:eastAsia="zh-CN"/>
            </w:rPr>
          </w:pPr>
          <w:hyperlink w:anchor="_Toc485200106" w:history="1">
            <w:r w:rsidR="009F6353" w:rsidRPr="0009568D">
              <w:rPr>
                <w:rStyle w:val="Hyperlink"/>
                <w:noProof/>
              </w:rPr>
              <w:t>5.8</w:t>
            </w:r>
            <w:r w:rsidR="009F6353">
              <w:rPr>
                <w:rFonts w:eastAsiaTheme="minorEastAsia"/>
                <w:noProof/>
                <w:lang w:val="en-US" w:eastAsia="zh-CN"/>
              </w:rPr>
              <w:tab/>
            </w:r>
            <w:r w:rsidR="009F6353" w:rsidRPr="0009568D">
              <w:rPr>
                <w:rStyle w:val="Hyperlink"/>
                <w:noProof/>
              </w:rPr>
              <w:t>Precios considerados en la demanda de agua.</w:t>
            </w:r>
            <w:r w:rsidR="009F6353">
              <w:rPr>
                <w:noProof/>
                <w:webHidden/>
              </w:rPr>
              <w:tab/>
            </w:r>
            <w:r w:rsidR="009F6353">
              <w:rPr>
                <w:noProof/>
                <w:webHidden/>
              </w:rPr>
              <w:fldChar w:fldCharType="begin"/>
            </w:r>
            <w:r w:rsidR="009F6353">
              <w:rPr>
                <w:noProof/>
                <w:webHidden/>
              </w:rPr>
              <w:instrText xml:space="preserve"> PAGEREF _Toc485200106 \h </w:instrText>
            </w:r>
            <w:r w:rsidR="009F6353">
              <w:rPr>
                <w:noProof/>
                <w:webHidden/>
              </w:rPr>
            </w:r>
            <w:r w:rsidR="009F6353">
              <w:rPr>
                <w:noProof/>
                <w:webHidden/>
              </w:rPr>
              <w:fldChar w:fldCharType="separate"/>
            </w:r>
            <w:r w:rsidR="009F6353">
              <w:rPr>
                <w:noProof/>
                <w:webHidden/>
              </w:rPr>
              <w:t>61</w:t>
            </w:r>
            <w:r w:rsidR="009F6353">
              <w:rPr>
                <w:noProof/>
                <w:webHidden/>
              </w:rPr>
              <w:fldChar w:fldCharType="end"/>
            </w:r>
          </w:hyperlink>
        </w:p>
        <w:p w14:paraId="7AE3DB84" w14:textId="697548D1" w:rsidR="009F6353" w:rsidRDefault="005C1A74">
          <w:pPr>
            <w:pStyle w:val="TOC2"/>
            <w:tabs>
              <w:tab w:val="left" w:pos="880"/>
              <w:tab w:val="right" w:leader="dot" w:pos="8495"/>
            </w:tabs>
            <w:rPr>
              <w:rFonts w:eastAsiaTheme="minorEastAsia"/>
              <w:noProof/>
              <w:lang w:val="en-US" w:eastAsia="zh-CN"/>
            </w:rPr>
          </w:pPr>
          <w:hyperlink w:anchor="_Toc485200107" w:history="1">
            <w:r w:rsidR="009F6353" w:rsidRPr="0009568D">
              <w:rPr>
                <w:rStyle w:val="Hyperlink"/>
                <w:noProof/>
              </w:rPr>
              <w:t>5.9</w:t>
            </w:r>
            <w:r w:rsidR="009F6353">
              <w:rPr>
                <w:rFonts w:eastAsiaTheme="minorEastAsia"/>
                <w:noProof/>
                <w:lang w:val="en-US" w:eastAsia="zh-CN"/>
              </w:rPr>
              <w:tab/>
            </w:r>
            <w:r w:rsidR="009F6353" w:rsidRPr="0009568D">
              <w:rPr>
                <w:rStyle w:val="Hyperlink"/>
                <w:noProof/>
              </w:rPr>
              <w:t>Cantidad agregada consumida de agua.</w:t>
            </w:r>
            <w:r w:rsidR="009F6353">
              <w:rPr>
                <w:noProof/>
                <w:webHidden/>
              </w:rPr>
              <w:tab/>
            </w:r>
            <w:r w:rsidR="009F6353">
              <w:rPr>
                <w:noProof/>
                <w:webHidden/>
              </w:rPr>
              <w:fldChar w:fldCharType="begin"/>
            </w:r>
            <w:r w:rsidR="009F6353">
              <w:rPr>
                <w:noProof/>
                <w:webHidden/>
              </w:rPr>
              <w:instrText xml:space="preserve"> PAGEREF _Toc485200107 \h </w:instrText>
            </w:r>
            <w:r w:rsidR="009F6353">
              <w:rPr>
                <w:noProof/>
                <w:webHidden/>
              </w:rPr>
            </w:r>
            <w:r w:rsidR="009F6353">
              <w:rPr>
                <w:noProof/>
                <w:webHidden/>
              </w:rPr>
              <w:fldChar w:fldCharType="separate"/>
            </w:r>
            <w:r w:rsidR="009F6353">
              <w:rPr>
                <w:noProof/>
                <w:webHidden/>
              </w:rPr>
              <w:t>61</w:t>
            </w:r>
            <w:r w:rsidR="009F6353">
              <w:rPr>
                <w:noProof/>
                <w:webHidden/>
              </w:rPr>
              <w:fldChar w:fldCharType="end"/>
            </w:r>
          </w:hyperlink>
        </w:p>
        <w:p w14:paraId="12695F8D" w14:textId="52126690" w:rsidR="009F6353" w:rsidRDefault="005C1A74">
          <w:pPr>
            <w:pStyle w:val="TOC2"/>
            <w:tabs>
              <w:tab w:val="left" w:pos="880"/>
              <w:tab w:val="right" w:leader="dot" w:pos="8495"/>
            </w:tabs>
            <w:rPr>
              <w:rFonts w:eastAsiaTheme="minorEastAsia"/>
              <w:noProof/>
              <w:lang w:val="en-US" w:eastAsia="zh-CN"/>
            </w:rPr>
          </w:pPr>
          <w:hyperlink w:anchor="_Toc485200108" w:history="1">
            <w:r w:rsidR="009F6353" w:rsidRPr="0009568D">
              <w:rPr>
                <w:rStyle w:val="Hyperlink"/>
                <w:noProof/>
              </w:rPr>
              <w:t>5.10</w:t>
            </w:r>
            <w:r w:rsidR="009F6353">
              <w:rPr>
                <w:rFonts w:eastAsiaTheme="minorEastAsia"/>
                <w:noProof/>
                <w:lang w:val="en-US" w:eastAsia="zh-CN"/>
              </w:rPr>
              <w:tab/>
            </w:r>
            <w:r w:rsidR="009F6353" w:rsidRPr="0009568D">
              <w:rPr>
                <w:rStyle w:val="Hyperlink"/>
                <w:noProof/>
              </w:rPr>
              <w:t>Tipo de curva de demanda.</w:t>
            </w:r>
            <w:r w:rsidR="009F6353">
              <w:rPr>
                <w:noProof/>
                <w:webHidden/>
              </w:rPr>
              <w:tab/>
            </w:r>
            <w:r w:rsidR="009F6353">
              <w:rPr>
                <w:noProof/>
                <w:webHidden/>
              </w:rPr>
              <w:fldChar w:fldCharType="begin"/>
            </w:r>
            <w:r w:rsidR="009F6353">
              <w:rPr>
                <w:noProof/>
                <w:webHidden/>
              </w:rPr>
              <w:instrText xml:space="preserve"> PAGEREF _Toc485200108 \h </w:instrText>
            </w:r>
            <w:r w:rsidR="009F6353">
              <w:rPr>
                <w:noProof/>
                <w:webHidden/>
              </w:rPr>
            </w:r>
            <w:r w:rsidR="009F6353">
              <w:rPr>
                <w:noProof/>
                <w:webHidden/>
              </w:rPr>
              <w:fldChar w:fldCharType="separate"/>
            </w:r>
            <w:r w:rsidR="009F6353">
              <w:rPr>
                <w:noProof/>
                <w:webHidden/>
              </w:rPr>
              <w:t>62</w:t>
            </w:r>
            <w:r w:rsidR="009F6353">
              <w:rPr>
                <w:noProof/>
                <w:webHidden/>
              </w:rPr>
              <w:fldChar w:fldCharType="end"/>
            </w:r>
          </w:hyperlink>
        </w:p>
        <w:p w14:paraId="6F835CCA" w14:textId="6FF253B5" w:rsidR="009F6353" w:rsidRDefault="005C1A74">
          <w:pPr>
            <w:pStyle w:val="TOC2"/>
            <w:tabs>
              <w:tab w:val="left" w:pos="880"/>
              <w:tab w:val="right" w:leader="dot" w:pos="8495"/>
            </w:tabs>
            <w:rPr>
              <w:rFonts w:eastAsiaTheme="minorEastAsia"/>
              <w:noProof/>
              <w:lang w:val="en-US" w:eastAsia="zh-CN"/>
            </w:rPr>
          </w:pPr>
          <w:hyperlink w:anchor="_Toc485200109" w:history="1">
            <w:r w:rsidR="009F6353" w:rsidRPr="0009568D">
              <w:rPr>
                <w:rStyle w:val="Hyperlink"/>
                <w:noProof/>
              </w:rPr>
              <w:t>5.11</w:t>
            </w:r>
            <w:r w:rsidR="009F6353">
              <w:rPr>
                <w:rFonts w:eastAsiaTheme="minorEastAsia"/>
                <w:noProof/>
                <w:lang w:val="en-US" w:eastAsia="zh-CN"/>
              </w:rPr>
              <w:tab/>
            </w:r>
            <w:r w:rsidR="009F6353" w:rsidRPr="0009568D">
              <w:rPr>
                <w:rStyle w:val="Hyperlink"/>
                <w:noProof/>
              </w:rPr>
              <w:t>Evolución de la demanda.</w:t>
            </w:r>
            <w:r w:rsidR="009F6353">
              <w:rPr>
                <w:noProof/>
                <w:webHidden/>
              </w:rPr>
              <w:tab/>
            </w:r>
            <w:r w:rsidR="009F6353">
              <w:rPr>
                <w:noProof/>
                <w:webHidden/>
              </w:rPr>
              <w:fldChar w:fldCharType="begin"/>
            </w:r>
            <w:r w:rsidR="009F6353">
              <w:rPr>
                <w:noProof/>
                <w:webHidden/>
              </w:rPr>
              <w:instrText xml:space="preserve"> PAGEREF _Toc485200109 \h </w:instrText>
            </w:r>
            <w:r w:rsidR="009F6353">
              <w:rPr>
                <w:noProof/>
                <w:webHidden/>
              </w:rPr>
            </w:r>
            <w:r w:rsidR="009F6353">
              <w:rPr>
                <w:noProof/>
                <w:webHidden/>
              </w:rPr>
              <w:fldChar w:fldCharType="separate"/>
            </w:r>
            <w:r w:rsidR="009F6353">
              <w:rPr>
                <w:noProof/>
                <w:webHidden/>
              </w:rPr>
              <w:t>62</w:t>
            </w:r>
            <w:r w:rsidR="009F6353">
              <w:rPr>
                <w:noProof/>
                <w:webHidden/>
              </w:rPr>
              <w:fldChar w:fldCharType="end"/>
            </w:r>
          </w:hyperlink>
        </w:p>
        <w:p w14:paraId="1D8BB6E8" w14:textId="01A59C02" w:rsidR="009F6353" w:rsidRDefault="005C1A74">
          <w:pPr>
            <w:pStyle w:val="TOC2"/>
            <w:tabs>
              <w:tab w:val="left" w:pos="880"/>
              <w:tab w:val="right" w:leader="dot" w:pos="8495"/>
            </w:tabs>
            <w:rPr>
              <w:rFonts w:eastAsiaTheme="minorEastAsia"/>
              <w:noProof/>
              <w:lang w:val="en-US" w:eastAsia="zh-CN"/>
            </w:rPr>
          </w:pPr>
          <w:hyperlink w:anchor="_Toc485200110" w:history="1">
            <w:r w:rsidR="009F6353" w:rsidRPr="0009568D">
              <w:rPr>
                <w:rStyle w:val="Hyperlink"/>
                <w:noProof/>
              </w:rPr>
              <w:t>5.12</w:t>
            </w:r>
            <w:r w:rsidR="009F6353">
              <w:rPr>
                <w:rFonts w:eastAsiaTheme="minorEastAsia"/>
                <w:noProof/>
                <w:lang w:val="en-US" w:eastAsia="zh-CN"/>
              </w:rPr>
              <w:tab/>
            </w:r>
            <w:r w:rsidR="009F6353" w:rsidRPr="0009568D">
              <w:rPr>
                <w:rStyle w:val="Hyperlink"/>
                <w:noProof/>
              </w:rPr>
              <w:t>Precios del agua potable CON proyecto</w:t>
            </w:r>
            <w:r w:rsidR="009F6353">
              <w:rPr>
                <w:noProof/>
                <w:webHidden/>
              </w:rPr>
              <w:tab/>
            </w:r>
            <w:r w:rsidR="009F6353">
              <w:rPr>
                <w:noProof/>
                <w:webHidden/>
              </w:rPr>
              <w:fldChar w:fldCharType="begin"/>
            </w:r>
            <w:r w:rsidR="009F6353">
              <w:rPr>
                <w:noProof/>
                <w:webHidden/>
              </w:rPr>
              <w:instrText xml:space="preserve"> PAGEREF _Toc485200110 \h </w:instrText>
            </w:r>
            <w:r w:rsidR="009F6353">
              <w:rPr>
                <w:noProof/>
                <w:webHidden/>
              </w:rPr>
            </w:r>
            <w:r w:rsidR="009F6353">
              <w:rPr>
                <w:noProof/>
                <w:webHidden/>
              </w:rPr>
              <w:fldChar w:fldCharType="separate"/>
            </w:r>
            <w:r w:rsidR="009F6353">
              <w:rPr>
                <w:noProof/>
                <w:webHidden/>
              </w:rPr>
              <w:t>63</w:t>
            </w:r>
            <w:r w:rsidR="009F6353">
              <w:rPr>
                <w:noProof/>
                <w:webHidden/>
              </w:rPr>
              <w:fldChar w:fldCharType="end"/>
            </w:r>
          </w:hyperlink>
        </w:p>
        <w:p w14:paraId="13F4B022" w14:textId="318097D0" w:rsidR="009F6353" w:rsidRDefault="005C1A74">
          <w:pPr>
            <w:pStyle w:val="TOC2"/>
            <w:tabs>
              <w:tab w:val="left" w:pos="880"/>
              <w:tab w:val="right" w:leader="dot" w:pos="8495"/>
            </w:tabs>
            <w:rPr>
              <w:rFonts w:eastAsiaTheme="minorEastAsia"/>
              <w:noProof/>
              <w:lang w:val="en-US" w:eastAsia="zh-CN"/>
            </w:rPr>
          </w:pPr>
          <w:hyperlink w:anchor="_Toc485200111" w:history="1">
            <w:r w:rsidR="009F6353" w:rsidRPr="0009568D">
              <w:rPr>
                <w:rStyle w:val="Hyperlink"/>
                <w:noProof/>
              </w:rPr>
              <w:t>5.13</w:t>
            </w:r>
            <w:r w:rsidR="009F6353">
              <w:rPr>
                <w:rFonts w:eastAsiaTheme="minorEastAsia"/>
                <w:noProof/>
                <w:lang w:val="en-US" w:eastAsia="zh-CN"/>
              </w:rPr>
              <w:tab/>
            </w:r>
            <w:r w:rsidR="009F6353" w:rsidRPr="0009568D">
              <w:rPr>
                <w:rStyle w:val="Hyperlink"/>
                <w:noProof/>
              </w:rPr>
              <w:t>Precios alternativos del agua potable SIN proyecto</w:t>
            </w:r>
            <w:r w:rsidR="009F6353">
              <w:rPr>
                <w:noProof/>
                <w:webHidden/>
              </w:rPr>
              <w:tab/>
            </w:r>
            <w:r w:rsidR="009F6353">
              <w:rPr>
                <w:noProof/>
                <w:webHidden/>
              </w:rPr>
              <w:fldChar w:fldCharType="begin"/>
            </w:r>
            <w:r w:rsidR="009F6353">
              <w:rPr>
                <w:noProof/>
                <w:webHidden/>
              </w:rPr>
              <w:instrText xml:space="preserve"> PAGEREF _Toc485200111 \h </w:instrText>
            </w:r>
            <w:r w:rsidR="009F6353">
              <w:rPr>
                <w:noProof/>
                <w:webHidden/>
              </w:rPr>
            </w:r>
            <w:r w:rsidR="009F6353">
              <w:rPr>
                <w:noProof/>
                <w:webHidden/>
              </w:rPr>
              <w:fldChar w:fldCharType="separate"/>
            </w:r>
            <w:r w:rsidR="009F6353">
              <w:rPr>
                <w:noProof/>
                <w:webHidden/>
              </w:rPr>
              <w:t>63</w:t>
            </w:r>
            <w:r w:rsidR="009F6353">
              <w:rPr>
                <w:noProof/>
                <w:webHidden/>
              </w:rPr>
              <w:fldChar w:fldCharType="end"/>
            </w:r>
          </w:hyperlink>
        </w:p>
        <w:p w14:paraId="2D15D7A1" w14:textId="7A224CCF" w:rsidR="009F6353" w:rsidRDefault="005C1A74">
          <w:pPr>
            <w:pStyle w:val="TOC2"/>
            <w:tabs>
              <w:tab w:val="left" w:pos="880"/>
              <w:tab w:val="right" w:leader="dot" w:pos="8495"/>
            </w:tabs>
            <w:rPr>
              <w:rFonts w:eastAsiaTheme="minorEastAsia"/>
              <w:noProof/>
              <w:lang w:val="en-US" w:eastAsia="zh-CN"/>
            </w:rPr>
          </w:pPr>
          <w:hyperlink w:anchor="_Toc485200112" w:history="1">
            <w:r w:rsidR="009F6353" w:rsidRPr="0009568D">
              <w:rPr>
                <w:rStyle w:val="Hyperlink"/>
                <w:noProof/>
              </w:rPr>
              <w:t>5.14</w:t>
            </w:r>
            <w:r w:rsidR="009F6353">
              <w:rPr>
                <w:rFonts w:eastAsiaTheme="minorEastAsia"/>
                <w:noProof/>
                <w:lang w:val="en-US" w:eastAsia="zh-CN"/>
              </w:rPr>
              <w:tab/>
            </w:r>
            <w:r w:rsidR="009F6353" w:rsidRPr="0009568D">
              <w:rPr>
                <w:rStyle w:val="Hyperlink"/>
                <w:noProof/>
              </w:rPr>
              <w:t>Costos No periódicos</w:t>
            </w:r>
            <w:r w:rsidR="009F6353">
              <w:rPr>
                <w:noProof/>
                <w:webHidden/>
              </w:rPr>
              <w:tab/>
            </w:r>
            <w:r w:rsidR="009F6353">
              <w:rPr>
                <w:noProof/>
                <w:webHidden/>
              </w:rPr>
              <w:fldChar w:fldCharType="begin"/>
            </w:r>
            <w:r w:rsidR="009F6353">
              <w:rPr>
                <w:noProof/>
                <w:webHidden/>
              </w:rPr>
              <w:instrText xml:space="preserve"> PAGEREF _Toc485200112 \h </w:instrText>
            </w:r>
            <w:r w:rsidR="009F6353">
              <w:rPr>
                <w:noProof/>
                <w:webHidden/>
              </w:rPr>
            </w:r>
            <w:r w:rsidR="009F6353">
              <w:rPr>
                <w:noProof/>
                <w:webHidden/>
              </w:rPr>
              <w:fldChar w:fldCharType="separate"/>
            </w:r>
            <w:r w:rsidR="009F6353">
              <w:rPr>
                <w:noProof/>
                <w:webHidden/>
              </w:rPr>
              <w:t>63</w:t>
            </w:r>
            <w:r w:rsidR="009F6353">
              <w:rPr>
                <w:noProof/>
                <w:webHidden/>
              </w:rPr>
              <w:fldChar w:fldCharType="end"/>
            </w:r>
          </w:hyperlink>
        </w:p>
        <w:p w14:paraId="39FDF5B5" w14:textId="6C1F83C9" w:rsidR="009F6353" w:rsidRDefault="005C1A74">
          <w:pPr>
            <w:pStyle w:val="TOC2"/>
            <w:tabs>
              <w:tab w:val="left" w:pos="880"/>
              <w:tab w:val="right" w:leader="dot" w:pos="8495"/>
            </w:tabs>
            <w:rPr>
              <w:rFonts w:eastAsiaTheme="minorEastAsia"/>
              <w:noProof/>
              <w:lang w:val="en-US" w:eastAsia="zh-CN"/>
            </w:rPr>
          </w:pPr>
          <w:hyperlink w:anchor="_Toc485200113" w:history="1">
            <w:r w:rsidR="009F6353" w:rsidRPr="0009568D">
              <w:rPr>
                <w:rStyle w:val="Hyperlink"/>
                <w:noProof/>
              </w:rPr>
              <w:t>5.15</w:t>
            </w:r>
            <w:r w:rsidR="009F6353">
              <w:rPr>
                <w:rFonts w:eastAsiaTheme="minorEastAsia"/>
                <w:noProof/>
                <w:lang w:val="en-US" w:eastAsia="zh-CN"/>
              </w:rPr>
              <w:tab/>
            </w:r>
            <w:r w:rsidR="009F6353" w:rsidRPr="0009568D">
              <w:rPr>
                <w:rStyle w:val="Hyperlink"/>
                <w:noProof/>
              </w:rPr>
              <w:t>Costos periódicos</w:t>
            </w:r>
            <w:r w:rsidR="009F6353">
              <w:rPr>
                <w:noProof/>
                <w:webHidden/>
              </w:rPr>
              <w:tab/>
            </w:r>
            <w:r w:rsidR="009F6353">
              <w:rPr>
                <w:noProof/>
                <w:webHidden/>
              </w:rPr>
              <w:fldChar w:fldCharType="begin"/>
            </w:r>
            <w:r w:rsidR="009F6353">
              <w:rPr>
                <w:noProof/>
                <w:webHidden/>
              </w:rPr>
              <w:instrText xml:space="preserve"> PAGEREF _Toc485200113 \h </w:instrText>
            </w:r>
            <w:r w:rsidR="009F6353">
              <w:rPr>
                <w:noProof/>
                <w:webHidden/>
              </w:rPr>
            </w:r>
            <w:r w:rsidR="009F6353">
              <w:rPr>
                <w:noProof/>
                <w:webHidden/>
              </w:rPr>
              <w:fldChar w:fldCharType="separate"/>
            </w:r>
            <w:r w:rsidR="009F6353">
              <w:rPr>
                <w:noProof/>
                <w:webHidden/>
              </w:rPr>
              <w:t>63</w:t>
            </w:r>
            <w:r w:rsidR="009F6353">
              <w:rPr>
                <w:noProof/>
                <w:webHidden/>
              </w:rPr>
              <w:fldChar w:fldCharType="end"/>
            </w:r>
          </w:hyperlink>
        </w:p>
        <w:p w14:paraId="5EC7FFC3" w14:textId="7E6A6EAD" w:rsidR="009F6353" w:rsidRDefault="005C1A74">
          <w:pPr>
            <w:pStyle w:val="TOC2"/>
            <w:tabs>
              <w:tab w:val="left" w:pos="880"/>
              <w:tab w:val="right" w:leader="dot" w:pos="8495"/>
            </w:tabs>
            <w:rPr>
              <w:rFonts w:eastAsiaTheme="minorEastAsia"/>
              <w:noProof/>
              <w:lang w:val="en-US" w:eastAsia="zh-CN"/>
            </w:rPr>
          </w:pPr>
          <w:hyperlink w:anchor="_Toc485200114" w:history="1">
            <w:r w:rsidR="009F6353" w:rsidRPr="0009568D">
              <w:rPr>
                <w:rStyle w:val="Hyperlink"/>
                <w:noProof/>
              </w:rPr>
              <w:t>5.16</w:t>
            </w:r>
            <w:r w:rsidR="009F6353">
              <w:rPr>
                <w:rFonts w:eastAsiaTheme="minorEastAsia"/>
                <w:noProof/>
                <w:lang w:val="en-US" w:eastAsia="zh-CN"/>
              </w:rPr>
              <w:tab/>
            </w:r>
            <w:r w:rsidR="009F6353" w:rsidRPr="0009568D">
              <w:rPr>
                <w:rStyle w:val="Hyperlink"/>
                <w:noProof/>
              </w:rPr>
              <w:t>Costos variables</w:t>
            </w:r>
            <w:r w:rsidR="009F6353">
              <w:rPr>
                <w:noProof/>
                <w:webHidden/>
              </w:rPr>
              <w:tab/>
            </w:r>
            <w:r w:rsidR="009F6353">
              <w:rPr>
                <w:noProof/>
                <w:webHidden/>
              </w:rPr>
              <w:fldChar w:fldCharType="begin"/>
            </w:r>
            <w:r w:rsidR="009F6353">
              <w:rPr>
                <w:noProof/>
                <w:webHidden/>
              </w:rPr>
              <w:instrText xml:space="preserve"> PAGEREF _Toc485200114 \h </w:instrText>
            </w:r>
            <w:r w:rsidR="009F6353">
              <w:rPr>
                <w:noProof/>
                <w:webHidden/>
              </w:rPr>
            </w:r>
            <w:r w:rsidR="009F6353">
              <w:rPr>
                <w:noProof/>
                <w:webHidden/>
              </w:rPr>
              <w:fldChar w:fldCharType="separate"/>
            </w:r>
            <w:r w:rsidR="009F6353">
              <w:rPr>
                <w:noProof/>
                <w:webHidden/>
              </w:rPr>
              <w:t>64</w:t>
            </w:r>
            <w:r w:rsidR="009F6353">
              <w:rPr>
                <w:noProof/>
                <w:webHidden/>
              </w:rPr>
              <w:fldChar w:fldCharType="end"/>
            </w:r>
          </w:hyperlink>
        </w:p>
        <w:p w14:paraId="39ABC1F8" w14:textId="23710657" w:rsidR="009F6353" w:rsidRDefault="005C1A74">
          <w:pPr>
            <w:pStyle w:val="TOC2"/>
            <w:tabs>
              <w:tab w:val="left" w:pos="880"/>
              <w:tab w:val="right" w:leader="dot" w:pos="8495"/>
            </w:tabs>
            <w:rPr>
              <w:rFonts w:eastAsiaTheme="minorEastAsia"/>
              <w:noProof/>
              <w:lang w:val="en-US" w:eastAsia="zh-CN"/>
            </w:rPr>
          </w:pPr>
          <w:hyperlink w:anchor="_Toc485200115" w:history="1">
            <w:r w:rsidR="009F6353" w:rsidRPr="0009568D">
              <w:rPr>
                <w:rStyle w:val="Hyperlink"/>
                <w:noProof/>
              </w:rPr>
              <w:t>5.17</w:t>
            </w:r>
            <w:r w:rsidR="009F6353">
              <w:rPr>
                <w:rFonts w:eastAsiaTheme="minorEastAsia"/>
                <w:noProof/>
                <w:lang w:val="en-US" w:eastAsia="zh-CN"/>
              </w:rPr>
              <w:tab/>
            </w:r>
            <w:r w:rsidR="009F6353" w:rsidRPr="0009568D">
              <w:rPr>
                <w:rStyle w:val="Hyperlink"/>
                <w:noProof/>
              </w:rPr>
              <w:t>Ahorros asociados al proyecto</w:t>
            </w:r>
            <w:r w:rsidR="009F6353">
              <w:rPr>
                <w:noProof/>
                <w:webHidden/>
              </w:rPr>
              <w:tab/>
            </w:r>
            <w:r w:rsidR="009F6353">
              <w:rPr>
                <w:noProof/>
                <w:webHidden/>
              </w:rPr>
              <w:fldChar w:fldCharType="begin"/>
            </w:r>
            <w:r w:rsidR="009F6353">
              <w:rPr>
                <w:noProof/>
                <w:webHidden/>
              </w:rPr>
              <w:instrText xml:space="preserve"> PAGEREF _Toc485200115 \h </w:instrText>
            </w:r>
            <w:r w:rsidR="009F6353">
              <w:rPr>
                <w:noProof/>
                <w:webHidden/>
              </w:rPr>
            </w:r>
            <w:r w:rsidR="009F6353">
              <w:rPr>
                <w:noProof/>
                <w:webHidden/>
              </w:rPr>
              <w:fldChar w:fldCharType="separate"/>
            </w:r>
            <w:r w:rsidR="009F6353">
              <w:rPr>
                <w:noProof/>
                <w:webHidden/>
              </w:rPr>
              <w:t>64</w:t>
            </w:r>
            <w:r w:rsidR="009F6353">
              <w:rPr>
                <w:noProof/>
                <w:webHidden/>
              </w:rPr>
              <w:fldChar w:fldCharType="end"/>
            </w:r>
          </w:hyperlink>
        </w:p>
        <w:p w14:paraId="0D3D10AD" w14:textId="305C1904" w:rsidR="009F6353" w:rsidRDefault="005C1A74">
          <w:pPr>
            <w:pStyle w:val="TOC2"/>
            <w:tabs>
              <w:tab w:val="left" w:pos="660"/>
              <w:tab w:val="right" w:leader="dot" w:pos="8495"/>
            </w:tabs>
            <w:rPr>
              <w:rFonts w:eastAsiaTheme="minorEastAsia"/>
              <w:noProof/>
              <w:lang w:val="en-US" w:eastAsia="zh-CN"/>
            </w:rPr>
          </w:pPr>
          <w:hyperlink w:anchor="_Toc485200116" w:history="1">
            <w:r w:rsidR="009F6353" w:rsidRPr="0009568D">
              <w:rPr>
                <w:rStyle w:val="Hyperlink"/>
                <w:noProof/>
              </w:rPr>
              <w:t>6</w:t>
            </w:r>
            <w:r w:rsidR="009F6353">
              <w:rPr>
                <w:rFonts w:eastAsiaTheme="minorEastAsia"/>
                <w:noProof/>
                <w:lang w:val="en-US" w:eastAsia="zh-CN"/>
              </w:rPr>
              <w:tab/>
            </w:r>
            <w:r w:rsidR="009F6353" w:rsidRPr="0009568D">
              <w:rPr>
                <w:rStyle w:val="Hyperlink"/>
                <w:noProof/>
              </w:rPr>
              <w:t>Resultados del ACBS.</w:t>
            </w:r>
            <w:r w:rsidR="009F6353">
              <w:rPr>
                <w:noProof/>
                <w:webHidden/>
              </w:rPr>
              <w:tab/>
            </w:r>
            <w:r w:rsidR="009F6353">
              <w:rPr>
                <w:noProof/>
                <w:webHidden/>
              </w:rPr>
              <w:fldChar w:fldCharType="begin"/>
            </w:r>
            <w:r w:rsidR="009F6353">
              <w:rPr>
                <w:noProof/>
                <w:webHidden/>
              </w:rPr>
              <w:instrText xml:space="preserve"> PAGEREF _Toc485200116 \h </w:instrText>
            </w:r>
            <w:r w:rsidR="009F6353">
              <w:rPr>
                <w:noProof/>
                <w:webHidden/>
              </w:rPr>
            </w:r>
            <w:r w:rsidR="009F6353">
              <w:rPr>
                <w:noProof/>
                <w:webHidden/>
              </w:rPr>
              <w:fldChar w:fldCharType="separate"/>
            </w:r>
            <w:r w:rsidR="009F6353">
              <w:rPr>
                <w:noProof/>
                <w:webHidden/>
              </w:rPr>
              <w:t>65</w:t>
            </w:r>
            <w:r w:rsidR="009F6353">
              <w:rPr>
                <w:noProof/>
                <w:webHidden/>
              </w:rPr>
              <w:fldChar w:fldCharType="end"/>
            </w:r>
          </w:hyperlink>
        </w:p>
        <w:p w14:paraId="7AB57E8E" w14:textId="106B55C3" w:rsidR="009F6353" w:rsidRDefault="005C1A74">
          <w:pPr>
            <w:pStyle w:val="TOC2"/>
            <w:tabs>
              <w:tab w:val="left" w:pos="660"/>
              <w:tab w:val="right" w:leader="dot" w:pos="8495"/>
            </w:tabs>
            <w:rPr>
              <w:rFonts w:eastAsiaTheme="minorEastAsia"/>
              <w:noProof/>
              <w:lang w:val="en-US" w:eastAsia="zh-CN"/>
            </w:rPr>
          </w:pPr>
          <w:hyperlink w:anchor="_Toc485200117" w:history="1">
            <w:r w:rsidR="009F6353" w:rsidRPr="0009568D">
              <w:rPr>
                <w:rStyle w:val="Hyperlink"/>
                <w:noProof/>
              </w:rPr>
              <w:t>7</w:t>
            </w:r>
            <w:r w:rsidR="009F6353">
              <w:rPr>
                <w:rFonts w:eastAsiaTheme="minorEastAsia"/>
                <w:noProof/>
                <w:lang w:val="en-US" w:eastAsia="zh-CN"/>
              </w:rPr>
              <w:tab/>
            </w:r>
            <w:r w:rsidR="009F6353" w:rsidRPr="0009568D">
              <w:rPr>
                <w:rStyle w:val="Hyperlink"/>
                <w:noProof/>
              </w:rPr>
              <w:t>Análisis de sensibilidad.</w:t>
            </w:r>
            <w:r w:rsidR="009F6353">
              <w:rPr>
                <w:noProof/>
                <w:webHidden/>
              </w:rPr>
              <w:tab/>
            </w:r>
            <w:r w:rsidR="009F6353">
              <w:rPr>
                <w:noProof/>
                <w:webHidden/>
              </w:rPr>
              <w:fldChar w:fldCharType="begin"/>
            </w:r>
            <w:r w:rsidR="009F6353">
              <w:rPr>
                <w:noProof/>
                <w:webHidden/>
              </w:rPr>
              <w:instrText xml:space="preserve"> PAGEREF _Toc485200117 \h </w:instrText>
            </w:r>
            <w:r w:rsidR="009F6353">
              <w:rPr>
                <w:noProof/>
                <w:webHidden/>
              </w:rPr>
            </w:r>
            <w:r w:rsidR="009F6353">
              <w:rPr>
                <w:noProof/>
                <w:webHidden/>
              </w:rPr>
              <w:fldChar w:fldCharType="separate"/>
            </w:r>
            <w:r w:rsidR="009F6353">
              <w:rPr>
                <w:noProof/>
                <w:webHidden/>
              </w:rPr>
              <w:t>67</w:t>
            </w:r>
            <w:r w:rsidR="009F6353">
              <w:rPr>
                <w:noProof/>
                <w:webHidden/>
              </w:rPr>
              <w:fldChar w:fldCharType="end"/>
            </w:r>
          </w:hyperlink>
        </w:p>
        <w:p w14:paraId="1FC51941" w14:textId="41B44D0D" w:rsidR="009F6353" w:rsidRDefault="005C1A74">
          <w:pPr>
            <w:pStyle w:val="TOC2"/>
            <w:tabs>
              <w:tab w:val="left" w:pos="880"/>
              <w:tab w:val="right" w:leader="dot" w:pos="8495"/>
            </w:tabs>
            <w:rPr>
              <w:rFonts w:eastAsiaTheme="minorEastAsia"/>
              <w:noProof/>
              <w:lang w:val="en-US" w:eastAsia="zh-CN"/>
            </w:rPr>
          </w:pPr>
          <w:hyperlink w:anchor="_Toc485200118" w:history="1">
            <w:r w:rsidR="009F6353" w:rsidRPr="0009568D">
              <w:rPr>
                <w:rStyle w:val="Hyperlink"/>
                <w:noProof/>
              </w:rPr>
              <w:t>7.1</w:t>
            </w:r>
            <w:r w:rsidR="009F6353">
              <w:rPr>
                <w:rFonts w:eastAsiaTheme="minorEastAsia"/>
                <w:noProof/>
                <w:lang w:val="en-US" w:eastAsia="zh-CN"/>
              </w:rPr>
              <w:tab/>
            </w:r>
            <w:r w:rsidR="009F6353" w:rsidRPr="0009568D">
              <w:rPr>
                <w:rStyle w:val="Hyperlink"/>
                <w:noProof/>
              </w:rPr>
              <w:t>Análisis de sensibilidad paramétrico</w:t>
            </w:r>
            <w:r w:rsidR="009F6353">
              <w:rPr>
                <w:noProof/>
                <w:webHidden/>
              </w:rPr>
              <w:tab/>
            </w:r>
            <w:r w:rsidR="009F6353">
              <w:rPr>
                <w:noProof/>
                <w:webHidden/>
              </w:rPr>
              <w:fldChar w:fldCharType="begin"/>
            </w:r>
            <w:r w:rsidR="009F6353">
              <w:rPr>
                <w:noProof/>
                <w:webHidden/>
              </w:rPr>
              <w:instrText xml:space="preserve"> PAGEREF _Toc485200118 \h </w:instrText>
            </w:r>
            <w:r w:rsidR="009F6353">
              <w:rPr>
                <w:noProof/>
                <w:webHidden/>
              </w:rPr>
            </w:r>
            <w:r w:rsidR="009F6353">
              <w:rPr>
                <w:noProof/>
                <w:webHidden/>
              </w:rPr>
              <w:fldChar w:fldCharType="separate"/>
            </w:r>
            <w:r w:rsidR="009F6353">
              <w:rPr>
                <w:noProof/>
                <w:webHidden/>
              </w:rPr>
              <w:t>67</w:t>
            </w:r>
            <w:r w:rsidR="009F6353">
              <w:rPr>
                <w:noProof/>
                <w:webHidden/>
              </w:rPr>
              <w:fldChar w:fldCharType="end"/>
            </w:r>
          </w:hyperlink>
        </w:p>
        <w:p w14:paraId="67669C44" w14:textId="118DB1E5" w:rsidR="009F6353" w:rsidRDefault="005C1A74">
          <w:pPr>
            <w:pStyle w:val="TOC2"/>
            <w:tabs>
              <w:tab w:val="left" w:pos="880"/>
              <w:tab w:val="right" w:leader="dot" w:pos="8495"/>
            </w:tabs>
            <w:rPr>
              <w:rFonts w:eastAsiaTheme="minorEastAsia"/>
              <w:noProof/>
              <w:lang w:val="en-US" w:eastAsia="zh-CN"/>
            </w:rPr>
          </w:pPr>
          <w:hyperlink w:anchor="_Toc485200119" w:history="1">
            <w:r w:rsidR="009F6353" w:rsidRPr="0009568D">
              <w:rPr>
                <w:rStyle w:val="Hyperlink"/>
                <w:noProof/>
              </w:rPr>
              <w:t>7.2</w:t>
            </w:r>
            <w:r w:rsidR="009F6353">
              <w:rPr>
                <w:rFonts w:eastAsiaTheme="minorEastAsia"/>
                <w:noProof/>
                <w:lang w:val="en-US" w:eastAsia="zh-CN"/>
              </w:rPr>
              <w:tab/>
            </w:r>
            <w:r w:rsidR="009F6353" w:rsidRPr="0009568D">
              <w:rPr>
                <w:rStyle w:val="Hyperlink"/>
                <w:noProof/>
              </w:rPr>
              <w:t>Momento óptimo de inicio del proyecto.</w:t>
            </w:r>
            <w:r w:rsidR="009F6353">
              <w:rPr>
                <w:noProof/>
                <w:webHidden/>
              </w:rPr>
              <w:tab/>
            </w:r>
            <w:r w:rsidR="009F6353">
              <w:rPr>
                <w:noProof/>
                <w:webHidden/>
              </w:rPr>
              <w:fldChar w:fldCharType="begin"/>
            </w:r>
            <w:r w:rsidR="009F6353">
              <w:rPr>
                <w:noProof/>
                <w:webHidden/>
              </w:rPr>
              <w:instrText xml:space="preserve"> PAGEREF _Toc485200119 \h </w:instrText>
            </w:r>
            <w:r w:rsidR="009F6353">
              <w:rPr>
                <w:noProof/>
                <w:webHidden/>
              </w:rPr>
            </w:r>
            <w:r w:rsidR="009F6353">
              <w:rPr>
                <w:noProof/>
                <w:webHidden/>
              </w:rPr>
              <w:fldChar w:fldCharType="separate"/>
            </w:r>
            <w:r w:rsidR="009F6353">
              <w:rPr>
                <w:noProof/>
                <w:webHidden/>
              </w:rPr>
              <w:t>68</w:t>
            </w:r>
            <w:r w:rsidR="009F6353">
              <w:rPr>
                <w:noProof/>
                <w:webHidden/>
              </w:rPr>
              <w:fldChar w:fldCharType="end"/>
            </w:r>
          </w:hyperlink>
        </w:p>
        <w:p w14:paraId="6685CBBF" w14:textId="202C7F84" w:rsidR="009F6353" w:rsidRDefault="005C1A74">
          <w:pPr>
            <w:pStyle w:val="TOC2"/>
            <w:tabs>
              <w:tab w:val="left" w:pos="660"/>
              <w:tab w:val="right" w:leader="dot" w:pos="8495"/>
            </w:tabs>
            <w:rPr>
              <w:rFonts w:eastAsiaTheme="minorEastAsia"/>
              <w:noProof/>
              <w:lang w:val="en-US" w:eastAsia="zh-CN"/>
            </w:rPr>
          </w:pPr>
          <w:hyperlink w:anchor="_Toc485200120" w:history="1">
            <w:r w:rsidR="009F6353" w:rsidRPr="0009568D">
              <w:rPr>
                <w:rStyle w:val="Hyperlink"/>
                <w:noProof/>
              </w:rPr>
              <w:t>8</w:t>
            </w:r>
            <w:r w:rsidR="009F6353">
              <w:rPr>
                <w:rFonts w:eastAsiaTheme="minorEastAsia"/>
                <w:noProof/>
                <w:lang w:val="en-US" w:eastAsia="zh-CN"/>
              </w:rPr>
              <w:tab/>
            </w:r>
            <w:r w:rsidR="009F6353" w:rsidRPr="0009568D">
              <w:rPr>
                <w:rStyle w:val="Hyperlink"/>
                <w:noProof/>
              </w:rPr>
              <w:t>Análisis de riesgo</w:t>
            </w:r>
            <w:r w:rsidR="009F6353">
              <w:rPr>
                <w:noProof/>
                <w:webHidden/>
              </w:rPr>
              <w:tab/>
            </w:r>
            <w:r w:rsidR="009F6353">
              <w:rPr>
                <w:noProof/>
                <w:webHidden/>
              </w:rPr>
              <w:fldChar w:fldCharType="begin"/>
            </w:r>
            <w:r w:rsidR="009F6353">
              <w:rPr>
                <w:noProof/>
                <w:webHidden/>
              </w:rPr>
              <w:instrText xml:space="preserve"> PAGEREF _Toc485200120 \h </w:instrText>
            </w:r>
            <w:r w:rsidR="009F6353">
              <w:rPr>
                <w:noProof/>
                <w:webHidden/>
              </w:rPr>
            </w:r>
            <w:r w:rsidR="009F6353">
              <w:rPr>
                <w:noProof/>
                <w:webHidden/>
              </w:rPr>
              <w:fldChar w:fldCharType="separate"/>
            </w:r>
            <w:r w:rsidR="009F6353">
              <w:rPr>
                <w:noProof/>
                <w:webHidden/>
              </w:rPr>
              <w:t>69</w:t>
            </w:r>
            <w:r w:rsidR="009F6353">
              <w:rPr>
                <w:noProof/>
                <w:webHidden/>
              </w:rPr>
              <w:fldChar w:fldCharType="end"/>
            </w:r>
          </w:hyperlink>
        </w:p>
        <w:p w14:paraId="35E63F92" w14:textId="0AD89FF6" w:rsidR="009F6353" w:rsidRDefault="005C1A74">
          <w:pPr>
            <w:pStyle w:val="TOC2"/>
            <w:tabs>
              <w:tab w:val="left" w:pos="660"/>
              <w:tab w:val="right" w:leader="dot" w:pos="8495"/>
            </w:tabs>
            <w:rPr>
              <w:rFonts w:eastAsiaTheme="minorEastAsia"/>
              <w:noProof/>
              <w:lang w:val="en-US" w:eastAsia="zh-CN"/>
            </w:rPr>
          </w:pPr>
          <w:hyperlink w:anchor="_Toc485200121" w:history="1">
            <w:r w:rsidR="009F6353" w:rsidRPr="0009568D">
              <w:rPr>
                <w:rStyle w:val="Hyperlink"/>
                <w:noProof/>
              </w:rPr>
              <w:t>9</w:t>
            </w:r>
            <w:r w:rsidR="009F6353">
              <w:rPr>
                <w:rFonts w:eastAsiaTheme="minorEastAsia"/>
                <w:noProof/>
                <w:lang w:val="en-US" w:eastAsia="zh-CN"/>
              </w:rPr>
              <w:tab/>
            </w:r>
            <w:r w:rsidR="009F6353" w:rsidRPr="0009568D">
              <w:rPr>
                <w:rStyle w:val="Hyperlink"/>
                <w:noProof/>
              </w:rPr>
              <w:t>Conclusiones y recomendaciones.</w:t>
            </w:r>
            <w:r w:rsidR="009F6353">
              <w:rPr>
                <w:noProof/>
                <w:webHidden/>
              </w:rPr>
              <w:tab/>
            </w:r>
            <w:r w:rsidR="009F6353">
              <w:rPr>
                <w:noProof/>
                <w:webHidden/>
              </w:rPr>
              <w:fldChar w:fldCharType="begin"/>
            </w:r>
            <w:r w:rsidR="009F6353">
              <w:rPr>
                <w:noProof/>
                <w:webHidden/>
              </w:rPr>
              <w:instrText xml:space="preserve"> PAGEREF _Toc485200121 \h </w:instrText>
            </w:r>
            <w:r w:rsidR="009F6353">
              <w:rPr>
                <w:noProof/>
                <w:webHidden/>
              </w:rPr>
            </w:r>
            <w:r w:rsidR="009F6353">
              <w:rPr>
                <w:noProof/>
                <w:webHidden/>
              </w:rPr>
              <w:fldChar w:fldCharType="separate"/>
            </w:r>
            <w:r w:rsidR="009F6353">
              <w:rPr>
                <w:noProof/>
                <w:webHidden/>
              </w:rPr>
              <w:t>71</w:t>
            </w:r>
            <w:r w:rsidR="009F6353">
              <w:rPr>
                <w:noProof/>
                <w:webHidden/>
              </w:rPr>
              <w:fldChar w:fldCharType="end"/>
            </w:r>
          </w:hyperlink>
        </w:p>
        <w:p w14:paraId="5D218E11" w14:textId="59AB14FE" w:rsidR="009F6353" w:rsidRDefault="005C1A74">
          <w:pPr>
            <w:pStyle w:val="TOC1"/>
            <w:rPr>
              <w:rFonts w:asciiTheme="minorHAnsi" w:eastAsiaTheme="minorEastAsia" w:hAnsiTheme="minorHAnsi" w:cstheme="minorBidi"/>
              <w:smallCaps w:val="0"/>
              <w:lang w:val="en-US" w:eastAsia="zh-CN"/>
            </w:rPr>
          </w:pPr>
          <w:hyperlink w:anchor="_Toc485200122" w:history="1">
            <w:r w:rsidR="009F6353" w:rsidRPr="0009568D">
              <w:rPr>
                <w:rStyle w:val="Hyperlink"/>
              </w:rPr>
              <w:t>SISTEMA DE SANEAMIENTO EN LOS PARTIDOS DE MORENO Y SAN MIGUEL.</w:t>
            </w:r>
            <w:r w:rsidR="009F6353">
              <w:rPr>
                <w:webHidden/>
              </w:rPr>
              <w:tab/>
            </w:r>
            <w:r w:rsidR="009F6353">
              <w:rPr>
                <w:webHidden/>
              </w:rPr>
              <w:fldChar w:fldCharType="begin"/>
            </w:r>
            <w:r w:rsidR="009F6353">
              <w:rPr>
                <w:webHidden/>
              </w:rPr>
              <w:instrText xml:space="preserve"> PAGEREF _Toc485200122 \h </w:instrText>
            </w:r>
            <w:r w:rsidR="009F6353">
              <w:rPr>
                <w:webHidden/>
              </w:rPr>
            </w:r>
            <w:r w:rsidR="009F6353">
              <w:rPr>
                <w:webHidden/>
              </w:rPr>
              <w:fldChar w:fldCharType="separate"/>
            </w:r>
            <w:r w:rsidR="009F6353">
              <w:rPr>
                <w:webHidden/>
              </w:rPr>
              <w:t>73</w:t>
            </w:r>
            <w:r w:rsidR="009F6353">
              <w:rPr>
                <w:webHidden/>
              </w:rPr>
              <w:fldChar w:fldCharType="end"/>
            </w:r>
          </w:hyperlink>
        </w:p>
        <w:p w14:paraId="6B540DB2" w14:textId="5A15C57F" w:rsidR="009F6353" w:rsidRDefault="005C1A74">
          <w:pPr>
            <w:pStyle w:val="TOC1"/>
            <w:rPr>
              <w:rFonts w:asciiTheme="minorHAnsi" w:eastAsiaTheme="minorEastAsia" w:hAnsiTheme="minorHAnsi" w:cstheme="minorBidi"/>
              <w:smallCaps w:val="0"/>
              <w:lang w:val="en-US" w:eastAsia="zh-CN"/>
            </w:rPr>
          </w:pPr>
          <w:hyperlink w:anchor="_Toc485200123" w:history="1">
            <w:r w:rsidR="009F6353" w:rsidRPr="0009568D">
              <w:rPr>
                <w:rStyle w:val="Hyperlink"/>
              </w:rPr>
              <w:t>Capítulo I: Contexto del proyecto.</w:t>
            </w:r>
            <w:r w:rsidR="009F6353">
              <w:rPr>
                <w:webHidden/>
              </w:rPr>
              <w:tab/>
            </w:r>
            <w:r w:rsidR="009F6353">
              <w:rPr>
                <w:webHidden/>
              </w:rPr>
              <w:fldChar w:fldCharType="begin"/>
            </w:r>
            <w:r w:rsidR="009F6353">
              <w:rPr>
                <w:webHidden/>
              </w:rPr>
              <w:instrText xml:space="preserve"> PAGEREF _Toc485200123 \h </w:instrText>
            </w:r>
            <w:r w:rsidR="009F6353">
              <w:rPr>
                <w:webHidden/>
              </w:rPr>
            </w:r>
            <w:r w:rsidR="009F6353">
              <w:rPr>
                <w:webHidden/>
              </w:rPr>
              <w:fldChar w:fldCharType="separate"/>
            </w:r>
            <w:r w:rsidR="009F6353">
              <w:rPr>
                <w:webHidden/>
              </w:rPr>
              <w:t>75</w:t>
            </w:r>
            <w:r w:rsidR="009F6353">
              <w:rPr>
                <w:webHidden/>
              </w:rPr>
              <w:fldChar w:fldCharType="end"/>
            </w:r>
          </w:hyperlink>
        </w:p>
        <w:p w14:paraId="129E589B" w14:textId="4E225D19" w:rsidR="009F6353" w:rsidRDefault="005C1A74">
          <w:pPr>
            <w:pStyle w:val="TOC2"/>
            <w:tabs>
              <w:tab w:val="left" w:pos="660"/>
              <w:tab w:val="right" w:leader="dot" w:pos="8495"/>
            </w:tabs>
            <w:rPr>
              <w:rFonts w:eastAsiaTheme="minorEastAsia"/>
              <w:noProof/>
              <w:lang w:val="en-US" w:eastAsia="zh-CN"/>
            </w:rPr>
          </w:pPr>
          <w:hyperlink w:anchor="_Toc485200124" w:history="1">
            <w:r w:rsidR="009F6353" w:rsidRPr="0009568D">
              <w:rPr>
                <w:rStyle w:val="Hyperlink"/>
                <w:noProof/>
              </w:rPr>
              <w:t>1</w:t>
            </w:r>
            <w:r w:rsidR="009F6353">
              <w:rPr>
                <w:rFonts w:eastAsiaTheme="minorEastAsia"/>
                <w:noProof/>
                <w:lang w:val="en-US" w:eastAsia="zh-CN"/>
              </w:rPr>
              <w:tab/>
            </w:r>
            <w:r w:rsidR="009F6353" w:rsidRPr="0009568D">
              <w:rPr>
                <w:rStyle w:val="Hyperlink"/>
                <w:noProof/>
              </w:rPr>
              <w:t>Antecedentes generales.</w:t>
            </w:r>
            <w:r w:rsidR="009F6353">
              <w:rPr>
                <w:noProof/>
                <w:webHidden/>
              </w:rPr>
              <w:tab/>
            </w:r>
            <w:r w:rsidR="009F6353">
              <w:rPr>
                <w:noProof/>
                <w:webHidden/>
              </w:rPr>
              <w:fldChar w:fldCharType="begin"/>
            </w:r>
            <w:r w:rsidR="009F6353">
              <w:rPr>
                <w:noProof/>
                <w:webHidden/>
              </w:rPr>
              <w:instrText xml:space="preserve"> PAGEREF _Toc485200124 \h </w:instrText>
            </w:r>
            <w:r w:rsidR="009F6353">
              <w:rPr>
                <w:noProof/>
                <w:webHidden/>
              </w:rPr>
            </w:r>
            <w:r w:rsidR="009F6353">
              <w:rPr>
                <w:noProof/>
                <w:webHidden/>
              </w:rPr>
              <w:fldChar w:fldCharType="separate"/>
            </w:r>
            <w:r w:rsidR="009F6353">
              <w:rPr>
                <w:noProof/>
                <w:webHidden/>
              </w:rPr>
              <w:t>75</w:t>
            </w:r>
            <w:r w:rsidR="009F6353">
              <w:rPr>
                <w:noProof/>
                <w:webHidden/>
              </w:rPr>
              <w:fldChar w:fldCharType="end"/>
            </w:r>
          </w:hyperlink>
        </w:p>
        <w:p w14:paraId="5FB9FE5C" w14:textId="3B20D60A" w:rsidR="009F6353" w:rsidRDefault="005C1A74">
          <w:pPr>
            <w:pStyle w:val="TOC2"/>
            <w:tabs>
              <w:tab w:val="left" w:pos="880"/>
              <w:tab w:val="right" w:leader="dot" w:pos="8495"/>
            </w:tabs>
            <w:rPr>
              <w:rFonts w:eastAsiaTheme="minorEastAsia"/>
              <w:noProof/>
              <w:lang w:val="en-US" w:eastAsia="zh-CN"/>
            </w:rPr>
          </w:pPr>
          <w:hyperlink w:anchor="_Toc485200125" w:history="1">
            <w:r w:rsidR="009F6353" w:rsidRPr="0009568D">
              <w:rPr>
                <w:rStyle w:val="Hyperlink"/>
                <w:noProof/>
              </w:rPr>
              <w:t>1.1</w:t>
            </w:r>
            <w:r w:rsidR="009F6353">
              <w:rPr>
                <w:rFonts w:eastAsiaTheme="minorEastAsia"/>
                <w:noProof/>
                <w:lang w:val="en-US" w:eastAsia="zh-CN"/>
              </w:rPr>
              <w:tab/>
            </w:r>
            <w:r w:rsidR="009F6353" w:rsidRPr="0009568D">
              <w:rPr>
                <w:rStyle w:val="Hyperlink"/>
                <w:noProof/>
              </w:rPr>
              <w:t>Antecedentes institucionales.</w:t>
            </w:r>
            <w:r w:rsidR="009F6353">
              <w:rPr>
                <w:noProof/>
                <w:webHidden/>
              </w:rPr>
              <w:tab/>
            </w:r>
            <w:r w:rsidR="009F6353">
              <w:rPr>
                <w:noProof/>
                <w:webHidden/>
              </w:rPr>
              <w:fldChar w:fldCharType="begin"/>
            </w:r>
            <w:r w:rsidR="009F6353">
              <w:rPr>
                <w:noProof/>
                <w:webHidden/>
              </w:rPr>
              <w:instrText xml:space="preserve"> PAGEREF _Toc485200125 \h </w:instrText>
            </w:r>
            <w:r w:rsidR="009F6353">
              <w:rPr>
                <w:noProof/>
                <w:webHidden/>
              </w:rPr>
            </w:r>
            <w:r w:rsidR="009F6353">
              <w:rPr>
                <w:noProof/>
                <w:webHidden/>
              </w:rPr>
              <w:fldChar w:fldCharType="separate"/>
            </w:r>
            <w:r w:rsidR="009F6353">
              <w:rPr>
                <w:noProof/>
                <w:webHidden/>
              </w:rPr>
              <w:t>76</w:t>
            </w:r>
            <w:r w:rsidR="009F6353">
              <w:rPr>
                <w:noProof/>
                <w:webHidden/>
              </w:rPr>
              <w:fldChar w:fldCharType="end"/>
            </w:r>
          </w:hyperlink>
        </w:p>
        <w:p w14:paraId="7D5FF745" w14:textId="63490A47" w:rsidR="009F6353" w:rsidRDefault="005C1A74">
          <w:pPr>
            <w:pStyle w:val="TOC2"/>
            <w:tabs>
              <w:tab w:val="left" w:pos="880"/>
              <w:tab w:val="right" w:leader="dot" w:pos="8495"/>
            </w:tabs>
            <w:rPr>
              <w:rFonts w:eastAsiaTheme="minorEastAsia"/>
              <w:noProof/>
              <w:lang w:val="en-US" w:eastAsia="zh-CN"/>
            </w:rPr>
          </w:pPr>
          <w:hyperlink w:anchor="_Toc485200126" w:history="1">
            <w:r w:rsidR="009F6353" w:rsidRPr="0009568D">
              <w:rPr>
                <w:rStyle w:val="Hyperlink"/>
                <w:noProof/>
              </w:rPr>
              <w:t>1.2</w:t>
            </w:r>
            <w:r w:rsidR="009F6353">
              <w:rPr>
                <w:rFonts w:eastAsiaTheme="minorEastAsia"/>
                <w:noProof/>
                <w:lang w:val="en-US" w:eastAsia="zh-CN"/>
              </w:rPr>
              <w:tab/>
            </w:r>
            <w:r w:rsidR="009F6353" w:rsidRPr="0009568D">
              <w:rPr>
                <w:rStyle w:val="Hyperlink"/>
                <w:noProof/>
              </w:rPr>
              <w:t>Antecedentes técnicos.</w:t>
            </w:r>
            <w:r w:rsidR="009F6353">
              <w:rPr>
                <w:noProof/>
                <w:webHidden/>
              </w:rPr>
              <w:tab/>
            </w:r>
            <w:r w:rsidR="009F6353">
              <w:rPr>
                <w:noProof/>
                <w:webHidden/>
              </w:rPr>
              <w:fldChar w:fldCharType="begin"/>
            </w:r>
            <w:r w:rsidR="009F6353">
              <w:rPr>
                <w:noProof/>
                <w:webHidden/>
              </w:rPr>
              <w:instrText xml:space="preserve"> PAGEREF _Toc485200126 \h </w:instrText>
            </w:r>
            <w:r w:rsidR="009F6353">
              <w:rPr>
                <w:noProof/>
                <w:webHidden/>
              </w:rPr>
            </w:r>
            <w:r w:rsidR="009F6353">
              <w:rPr>
                <w:noProof/>
                <w:webHidden/>
              </w:rPr>
              <w:fldChar w:fldCharType="separate"/>
            </w:r>
            <w:r w:rsidR="009F6353">
              <w:rPr>
                <w:noProof/>
                <w:webHidden/>
              </w:rPr>
              <w:t>76</w:t>
            </w:r>
            <w:r w:rsidR="009F6353">
              <w:rPr>
                <w:noProof/>
                <w:webHidden/>
              </w:rPr>
              <w:fldChar w:fldCharType="end"/>
            </w:r>
          </w:hyperlink>
        </w:p>
        <w:p w14:paraId="659E08D3" w14:textId="628C79D2" w:rsidR="009F6353" w:rsidRDefault="005C1A74">
          <w:pPr>
            <w:pStyle w:val="TOC2"/>
            <w:tabs>
              <w:tab w:val="left" w:pos="660"/>
              <w:tab w:val="right" w:leader="dot" w:pos="8495"/>
            </w:tabs>
            <w:rPr>
              <w:rFonts w:eastAsiaTheme="minorEastAsia"/>
              <w:noProof/>
              <w:lang w:val="en-US" w:eastAsia="zh-CN"/>
            </w:rPr>
          </w:pPr>
          <w:hyperlink w:anchor="_Toc485200127" w:history="1">
            <w:r w:rsidR="009F6353" w:rsidRPr="0009568D">
              <w:rPr>
                <w:rStyle w:val="Hyperlink"/>
                <w:noProof/>
              </w:rPr>
              <w:t>2</w:t>
            </w:r>
            <w:r w:rsidR="009F6353">
              <w:rPr>
                <w:rFonts w:eastAsiaTheme="minorEastAsia"/>
                <w:noProof/>
                <w:lang w:val="en-US" w:eastAsia="zh-CN"/>
              </w:rPr>
              <w:tab/>
            </w:r>
            <w:r w:rsidR="009F6353" w:rsidRPr="0009568D">
              <w:rPr>
                <w:rStyle w:val="Hyperlink"/>
                <w:noProof/>
              </w:rPr>
              <w:t>Situación actual y objetivos del proyecto.</w:t>
            </w:r>
            <w:r w:rsidR="009F6353">
              <w:rPr>
                <w:noProof/>
                <w:webHidden/>
              </w:rPr>
              <w:tab/>
            </w:r>
            <w:r w:rsidR="009F6353">
              <w:rPr>
                <w:noProof/>
                <w:webHidden/>
              </w:rPr>
              <w:fldChar w:fldCharType="begin"/>
            </w:r>
            <w:r w:rsidR="009F6353">
              <w:rPr>
                <w:noProof/>
                <w:webHidden/>
              </w:rPr>
              <w:instrText xml:space="preserve"> PAGEREF _Toc485200127 \h </w:instrText>
            </w:r>
            <w:r w:rsidR="009F6353">
              <w:rPr>
                <w:noProof/>
                <w:webHidden/>
              </w:rPr>
            </w:r>
            <w:r w:rsidR="009F6353">
              <w:rPr>
                <w:noProof/>
                <w:webHidden/>
              </w:rPr>
              <w:fldChar w:fldCharType="separate"/>
            </w:r>
            <w:r w:rsidR="009F6353">
              <w:rPr>
                <w:noProof/>
                <w:webHidden/>
              </w:rPr>
              <w:t>78</w:t>
            </w:r>
            <w:r w:rsidR="009F6353">
              <w:rPr>
                <w:noProof/>
                <w:webHidden/>
              </w:rPr>
              <w:fldChar w:fldCharType="end"/>
            </w:r>
          </w:hyperlink>
        </w:p>
        <w:p w14:paraId="7AC5831B" w14:textId="05B683CD" w:rsidR="009F6353" w:rsidRDefault="005C1A74">
          <w:pPr>
            <w:pStyle w:val="TOC2"/>
            <w:tabs>
              <w:tab w:val="left" w:pos="880"/>
              <w:tab w:val="right" w:leader="dot" w:pos="8495"/>
            </w:tabs>
            <w:rPr>
              <w:rFonts w:eastAsiaTheme="minorEastAsia"/>
              <w:noProof/>
              <w:lang w:val="en-US" w:eastAsia="zh-CN"/>
            </w:rPr>
          </w:pPr>
          <w:hyperlink w:anchor="_Toc485200128" w:history="1">
            <w:r w:rsidR="009F6353" w:rsidRPr="0009568D">
              <w:rPr>
                <w:rStyle w:val="Hyperlink"/>
                <w:noProof/>
              </w:rPr>
              <w:t>2.1</w:t>
            </w:r>
            <w:r w:rsidR="009F6353">
              <w:rPr>
                <w:rFonts w:eastAsiaTheme="minorEastAsia"/>
                <w:noProof/>
                <w:lang w:val="en-US" w:eastAsia="zh-CN"/>
              </w:rPr>
              <w:tab/>
            </w:r>
            <w:r w:rsidR="009F6353" w:rsidRPr="0009568D">
              <w:rPr>
                <w:rStyle w:val="Hyperlink"/>
                <w:noProof/>
              </w:rPr>
              <w:t>Situación actual.</w:t>
            </w:r>
            <w:r w:rsidR="009F6353">
              <w:rPr>
                <w:noProof/>
                <w:webHidden/>
              </w:rPr>
              <w:tab/>
            </w:r>
            <w:r w:rsidR="009F6353">
              <w:rPr>
                <w:noProof/>
                <w:webHidden/>
              </w:rPr>
              <w:fldChar w:fldCharType="begin"/>
            </w:r>
            <w:r w:rsidR="009F6353">
              <w:rPr>
                <w:noProof/>
                <w:webHidden/>
              </w:rPr>
              <w:instrText xml:space="preserve"> PAGEREF _Toc485200128 \h </w:instrText>
            </w:r>
            <w:r w:rsidR="009F6353">
              <w:rPr>
                <w:noProof/>
                <w:webHidden/>
              </w:rPr>
            </w:r>
            <w:r w:rsidR="009F6353">
              <w:rPr>
                <w:noProof/>
                <w:webHidden/>
              </w:rPr>
              <w:fldChar w:fldCharType="separate"/>
            </w:r>
            <w:r w:rsidR="009F6353">
              <w:rPr>
                <w:noProof/>
                <w:webHidden/>
              </w:rPr>
              <w:t>78</w:t>
            </w:r>
            <w:r w:rsidR="009F6353">
              <w:rPr>
                <w:noProof/>
                <w:webHidden/>
              </w:rPr>
              <w:fldChar w:fldCharType="end"/>
            </w:r>
          </w:hyperlink>
        </w:p>
        <w:p w14:paraId="064397B3" w14:textId="525090C5" w:rsidR="009F6353" w:rsidRDefault="005C1A74">
          <w:pPr>
            <w:pStyle w:val="TOC2"/>
            <w:tabs>
              <w:tab w:val="left" w:pos="880"/>
              <w:tab w:val="right" w:leader="dot" w:pos="8495"/>
            </w:tabs>
            <w:rPr>
              <w:rFonts w:eastAsiaTheme="minorEastAsia"/>
              <w:noProof/>
              <w:lang w:val="en-US" w:eastAsia="zh-CN"/>
            </w:rPr>
          </w:pPr>
          <w:hyperlink w:anchor="_Toc485200129" w:history="1">
            <w:r w:rsidR="009F6353" w:rsidRPr="0009568D">
              <w:rPr>
                <w:rStyle w:val="Hyperlink"/>
                <w:noProof/>
              </w:rPr>
              <w:t>2.2</w:t>
            </w:r>
            <w:r w:rsidR="009F6353">
              <w:rPr>
                <w:rFonts w:eastAsiaTheme="minorEastAsia"/>
                <w:noProof/>
                <w:lang w:val="en-US" w:eastAsia="zh-CN"/>
              </w:rPr>
              <w:tab/>
            </w:r>
            <w:r w:rsidR="009F6353" w:rsidRPr="0009568D">
              <w:rPr>
                <w:rStyle w:val="Hyperlink"/>
                <w:noProof/>
              </w:rPr>
              <w:t>Objetivos del Proyecto.</w:t>
            </w:r>
            <w:r w:rsidR="009F6353">
              <w:rPr>
                <w:noProof/>
                <w:webHidden/>
              </w:rPr>
              <w:tab/>
            </w:r>
            <w:r w:rsidR="009F6353">
              <w:rPr>
                <w:noProof/>
                <w:webHidden/>
              </w:rPr>
              <w:fldChar w:fldCharType="begin"/>
            </w:r>
            <w:r w:rsidR="009F6353">
              <w:rPr>
                <w:noProof/>
                <w:webHidden/>
              </w:rPr>
              <w:instrText xml:space="preserve"> PAGEREF _Toc485200129 \h </w:instrText>
            </w:r>
            <w:r w:rsidR="009F6353">
              <w:rPr>
                <w:noProof/>
                <w:webHidden/>
              </w:rPr>
            </w:r>
            <w:r w:rsidR="009F6353">
              <w:rPr>
                <w:noProof/>
                <w:webHidden/>
              </w:rPr>
              <w:fldChar w:fldCharType="separate"/>
            </w:r>
            <w:r w:rsidR="009F6353">
              <w:rPr>
                <w:noProof/>
                <w:webHidden/>
              </w:rPr>
              <w:t>81</w:t>
            </w:r>
            <w:r w:rsidR="009F6353">
              <w:rPr>
                <w:noProof/>
                <w:webHidden/>
              </w:rPr>
              <w:fldChar w:fldCharType="end"/>
            </w:r>
          </w:hyperlink>
        </w:p>
        <w:p w14:paraId="6A1F6F4A" w14:textId="664B8BE8" w:rsidR="009F6353" w:rsidRDefault="005C1A74">
          <w:pPr>
            <w:pStyle w:val="TOC2"/>
            <w:tabs>
              <w:tab w:val="left" w:pos="660"/>
              <w:tab w:val="right" w:leader="dot" w:pos="8495"/>
            </w:tabs>
            <w:rPr>
              <w:rFonts w:eastAsiaTheme="minorEastAsia"/>
              <w:noProof/>
              <w:lang w:val="en-US" w:eastAsia="zh-CN"/>
            </w:rPr>
          </w:pPr>
          <w:hyperlink w:anchor="_Toc485200130" w:history="1">
            <w:r w:rsidR="009F6353" w:rsidRPr="0009568D">
              <w:rPr>
                <w:rStyle w:val="Hyperlink"/>
                <w:noProof/>
              </w:rPr>
              <w:t>3</w:t>
            </w:r>
            <w:r w:rsidR="009F6353">
              <w:rPr>
                <w:rFonts w:eastAsiaTheme="minorEastAsia"/>
                <w:noProof/>
                <w:lang w:val="en-US" w:eastAsia="zh-CN"/>
              </w:rPr>
              <w:tab/>
            </w:r>
            <w:r w:rsidR="009F6353" w:rsidRPr="0009568D">
              <w:rPr>
                <w:rStyle w:val="Hyperlink"/>
                <w:noProof/>
              </w:rPr>
              <w:t>Metodología adoptada para la evaluación del proyecto.</w:t>
            </w:r>
            <w:r w:rsidR="009F6353">
              <w:rPr>
                <w:noProof/>
                <w:webHidden/>
              </w:rPr>
              <w:tab/>
            </w:r>
            <w:r w:rsidR="009F6353">
              <w:rPr>
                <w:noProof/>
                <w:webHidden/>
              </w:rPr>
              <w:fldChar w:fldCharType="begin"/>
            </w:r>
            <w:r w:rsidR="009F6353">
              <w:rPr>
                <w:noProof/>
                <w:webHidden/>
              </w:rPr>
              <w:instrText xml:space="preserve"> PAGEREF _Toc485200130 \h </w:instrText>
            </w:r>
            <w:r w:rsidR="009F6353">
              <w:rPr>
                <w:noProof/>
                <w:webHidden/>
              </w:rPr>
            </w:r>
            <w:r w:rsidR="009F6353">
              <w:rPr>
                <w:noProof/>
                <w:webHidden/>
              </w:rPr>
              <w:fldChar w:fldCharType="separate"/>
            </w:r>
            <w:r w:rsidR="009F6353">
              <w:rPr>
                <w:noProof/>
                <w:webHidden/>
              </w:rPr>
              <w:t>82</w:t>
            </w:r>
            <w:r w:rsidR="009F6353">
              <w:rPr>
                <w:noProof/>
                <w:webHidden/>
              </w:rPr>
              <w:fldChar w:fldCharType="end"/>
            </w:r>
          </w:hyperlink>
        </w:p>
        <w:p w14:paraId="52FD4BBD" w14:textId="281A51E1" w:rsidR="009F6353" w:rsidRDefault="005C1A74">
          <w:pPr>
            <w:pStyle w:val="TOC2"/>
            <w:tabs>
              <w:tab w:val="left" w:pos="880"/>
              <w:tab w:val="right" w:leader="dot" w:pos="8495"/>
            </w:tabs>
            <w:rPr>
              <w:rFonts w:eastAsiaTheme="minorEastAsia"/>
              <w:noProof/>
              <w:lang w:val="en-US" w:eastAsia="zh-CN"/>
            </w:rPr>
          </w:pPr>
          <w:hyperlink w:anchor="_Toc485200131" w:history="1">
            <w:r w:rsidR="009F6353" w:rsidRPr="0009568D">
              <w:rPr>
                <w:rStyle w:val="Hyperlink"/>
                <w:noProof/>
              </w:rPr>
              <w:t>3.1</w:t>
            </w:r>
            <w:r w:rsidR="009F6353">
              <w:rPr>
                <w:rFonts w:eastAsiaTheme="minorEastAsia"/>
                <w:noProof/>
                <w:lang w:val="en-US" w:eastAsia="zh-CN"/>
              </w:rPr>
              <w:tab/>
            </w:r>
            <w:r w:rsidR="009F6353" w:rsidRPr="0009568D">
              <w:rPr>
                <w:rStyle w:val="Hyperlink"/>
                <w:noProof/>
              </w:rPr>
              <w:t>Beneficiarios y situación socioeconómica.</w:t>
            </w:r>
            <w:r w:rsidR="009F6353">
              <w:rPr>
                <w:noProof/>
                <w:webHidden/>
              </w:rPr>
              <w:tab/>
            </w:r>
            <w:r w:rsidR="009F6353">
              <w:rPr>
                <w:noProof/>
                <w:webHidden/>
              </w:rPr>
              <w:fldChar w:fldCharType="begin"/>
            </w:r>
            <w:r w:rsidR="009F6353">
              <w:rPr>
                <w:noProof/>
                <w:webHidden/>
              </w:rPr>
              <w:instrText xml:space="preserve"> PAGEREF _Toc485200131 \h </w:instrText>
            </w:r>
            <w:r w:rsidR="009F6353">
              <w:rPr>
                <w:noProof/>
                <w:webHidden/>
              </w:rPr>
            </w:r>
            <w:r w:rsidR="009F6353">
              <w:rPr>
                <w:noProof/>
                <w:webHidden/>
              </w:rPr>
              <w:fldChar w:fldCharType="separate"/>
            </w:r>
            <w:r w:rsidR="009F6353">
              <w:rPr>
                <w:noProof/>
                <w:webHidden/>
              </w:rPr>
              <w:t>82</w:t>
            </w:r>
            <w:r w:rsidR="009F6353">
              <w:rPr>
                <w:noProof/>
                <w:webHidden/>
              </w:rPr>
              <w:fldChar w:fldCharType="end"/>
            </w:r>
          </w:hyperlink>
        </w:p>
        <w:p w14:paraId="5A4F740A" w14:textId="5FC0A492" w:rsidR="009F6353" w:rsidRDefault="005C1A74">
          <w:pPr>
            <w:pStyle w:val="TOC2"/>
            <w:tabs>
              <w:tab w:val="left" w:pos="880"/>
              <w:tab w:val="right" w:leader="dot" w:pos="8495"/>
            </w:tabs>
            <w:rPr>
              <w:rFonts w:eastAsiaTheme="minorEastAsia"/>
              <w:noProof/>
              <w:lang w:val="en-US" w:eastAsia="zh-CN"/>
            </w:rPr>
          </w:pPr>
          <w:hyperlink w:anchor="_Toc485200132" w:history="1">
            <w:r w:rsidR="009F6353" w:rsidRPr="0009568D">
              <w:rPr>
                <w:rStyle w:val="Hyperlink"/>
                <w:noProof/>
              </w:rPr>
              <w:t>3.2</w:t>
            </w:r>
            <w:r w:rsidR="009F6353">
              <w:rPr>
                <w:rFonts w:eastAsiaTheme="minorEastAsia"/>
                <w:noProof/>
                <w:lang w:val="en-US" w:eastAsia="zh-CN"/>
              </w:rPr>
              <w:tab/>
            </w:r>
            <w:r w:rsidR="009F6353" w:rsidRPr="0009568D">
              <w:rPr>
                <w:rStyle w:val="Hyperlink"/>
                <w:noProof/>
              </w:rPr>
              <w:t>Análisis costo beneficio social (ACBS) – Transferencia de DAP.</w:t>
            </w:r>
            <w:r w:rsidR="009F6353">
              <w:rPr>
                <w:noProof/>
                <w:webHidden/>
              </w:rPr>
              <w:tab/>
            </w:r>
            <w:r w:rsidR="009F6353">
              <w:rPr>
                <w:noProof/>
                <w:webHidden/>
              </w:rPr>
              <w:fldChar w:fldCharType="begin"/>
            </w:r>
            <w:r w:rsidR="009F6353">
              <w:rPr>
                <w:noProof/>
                <w:webHidden/>
              </w:rPr>
              <w:instrText xml:space="preserve"> PAGEREF _Toc485200132 \h </w:instrText>
            </w:r>
            <w:r w:rsidR="009F6353">
              <w:rPr>
                <w:noProof/>
                <w:webHidden/>
              </w:rPr>
            </w:r>
            <w:r w:rsidR="009F6353">
              <w:rPr>
                <w:noProof/>
                <w:webHidden/>
              </w:rPr>
              <w:fldChar w:fldCharType="separate"/>
            </w:r>
            <w:r w:rsidR="009F6353">
              <w:rPr>
                <w:noProof/>
                <w:webHidden/>
              </w:rPr>
              <w:t>82</w:t>
            </w:r>
            <w:r w:rsidR="009F6353">
              <w:rPr>
                <w:noProof/>
                <w:webHidden/>
              </w:rPr>
              <w:fldChar w:fldCharType="end"/>
            </w:r>
          </w:hyperlink>
        </w:p>
        <w:p w14:paraId="3523906E" w14:textId="10759605" w:rsidR="009F6353" w:rsidRDefault="005C1A74">
          <w:pPr>
            <w:pStyle w:val="TOC1"/>
            <w:rPr>
              <w:rFonts w:asciiTheme="minorHAnsi" w:eastAsiaTheme="minorEastAsia" w:hAnsiTheme="minorHAnsi" w:cstheme="minorBidi"/>
              <w:smallCaps w:val="0"/>
              <w:lang w:val="en-US" w:eastAsia="zh-CN"/>
            </w:rPr>
          </w:pPr>
          <w:hyperlink w:anchor="_Toc485200133" w:history="1">
            <w:r w:rsidR="009F6353" w:rsidRPr="0009568D">
              <w:rPr>
                <w:rStyle w:val="Hyperlink"/>
              </w:rPr>
              <w:t>Capítulo II: Beneficiarios.</w:t>
            </w:r>
            <w:r w:rsidR="009F6353">
              <w:rPr>
                <w:webHidden/>
              </w:rPr>
              <w:tab/>
            </w:r>
            <w:r w:rsidR="009F6353">
              <w:rPr>
                <w:webHidden/>
              </w:rPr>
              <w:fldChar w:fldCharType="begin"/>
            </w:r>
            <w:r w:rsidR="009F6353">
              <w:rPr>
                <w:webHidden/>
              </w:rPr>
              <w:instrText xml:space="preserve"> PAGEREF _Toc485200133 \h </w:instrText>
            </w:r>
            <w:r w:rsidR="009F6353">
              <w:rPr>
                <w:webHidden/>
              </w:rPr>
            </w:r>
            <w:r w:rsidR="009F6353">
              <w:rPr>
                <w:webHidden/>
              </w:rPr>
              <w:fldChar w:fldCharType="separate"/>
            </w:r>
            <w:r w:rsidR="009F6353">
              <w:rPr>
                <w:webHidden/>
              </w:rPr>
              <w:t>84</w:t>
            </w:r>
            <w:r w:rsidR="009F6353">
              <w:rPr>
                <w:webHidden/>
              </w:rPr>
              <w:fldChar w:fldCharType="end"/>
            </w:r>
          </w:hyperlink>
        </w:p>
        <w:p w14:paraId="30689BE9" w14:textId="531C25AA" w:rsidR="009F6353" w:rsidRDefault="005C1A74">
          <w:pPr>
            <w:pStyle w:val="TOC2"/>
            <w:tabs>
              <w:tab w:val="left" w:pos="660"/>
              <w:tab w:val="right" w:leader="dot" w:pos="8495"/>
            </w:tabs>
            <w:rPr>
              <w:rFonts w:eastAsiaTheme="minorEastAsia"/>
              <w:noProof/>
              <w:lang w:val="en-US" w:eastAsia="zh-CN"/>
            </w:rPr>
          </w:pPr>
          <w:hyperlink w:anchor="_Toc485200134" w:history="1">
            <w:r w:rsidR="009F6353" w:rsidRPr="0009568D">
              <w:rPr>
                <w:rStyle w:val="Hyperlink"/>
                <w:noProof/>
              </w:rPr>
              <w:t>1</w:t>
            </w:r>
            <w:r w:rsidR="009F6353">
              <w:rPr>
                <w:rFonts w:eastAsiaTheme="minorEastAsia"/>
                <w:noProof/>
                <w:lang w:val="en-US" w:eastAsia="zh-CN"/>
              </w:rPr>
              <w:tab/>
            </w:r>
            <w:r w:rsidR="009F6353" w:rsidRPr="0009568D">
              <w:rPr>
                <w:rStyle w:val="Hyperlink"/>
                <w:noProof/>
              </w:rPr>
              <w:t>Determinación de beneficiarios.</w:t>
            </w:r>
            <w:r w:rsidR="009F6353">
              <w:rPr>
                <w:noProof/>
                <w:webHidden/>
              </w:rPr>
              <w:tab/>
            </w:r>
            <w:r w:rsidR="009F6353">
              <w:rPr>
                <w:noProof/>
                <w:webHidden/>
              </w:rPr>
              <w:fldChar w:fldCharType="begin"/>
            </w:r>
            <w:r w:rsidR="009F6353">
              <w:rPr>
                <w:noProof/>
                <w:webHidden/>
              </w:rPr>
              <w:instrText xml:space="preserve"> PAGEREF _Toc485200134 \h </w:instrText>
            </w:r>
            <w:r w:rsidR="009F6353">
              <w:rPr>
                <w:noProof/>
                <w:webHidden/>
              </w:rPr>
            </w:r>
            <w:r w:rsidR="009F6353">
              <w:rPr>
                <w:noProof/>
                <w:webHidden/>
              </w:rPr>
              <w:fldChar w:fldCharType="separate"/>
            </w:r>
            <w:r w:rsidR="009F6353">
              <w:rPr>
                <w:noProof/>
                <w:webHidden/>
              </w:rPr>
              <w:t>84</w:t>
            </w:r>
            <w:r w:rsidR="009F6353">
              <w:rPr>
                <w:noProof/>
                <w:webHidden/>
              </w:rPr>
              <w:fldChar w:fldCharType="end"/>
            </w:r>
          </w:hyperlink>
        </w:p>
        <w:p w14:paraId="38320C37" w14:textId="072B8FDE" w:rsidR="009F6353" w:rsidRDefault="005C1A74">
          <w:pPr>
            <w:pStyle w:val="TOC2"/>
            <w:tabs>
              <w:tab w:val="left" w:pos="660"/>
              <w:tab w:val="right" w:leader="dot" w:pos="8495"/>
            </w:tabs>
            <w:rPr>
              <w:rFonts w:eastAsiaTheme="minorEastAsia"/>
              <w:noProof/>
              <w:lang w:val="en-US" w:eastAsia="zh-CN"/>
            </w:rPr>
          </w:pPr>
          <w:hyperlink w:anchor="_Toc485200135" w:history="1">
            <w:r w:rsidR="009F6353" w:rsidRPr="0009568D">
              <w:rPr>
                <w:rStyle w:val="Hyperlink"/>
                <w:noProof/>
              </w:rPr>
              <w:t>2</w:t>
            </w:r>
            <w:r w:rsidR="009F6353">
              <w:rPr>
                <w:rFonts w:eastAsiaTheme="minorEastAsia"/>
                <w:noProof/>
                <w:lang w:val="en-US" w:eastAsia="zh-CN"/>
              </w:rPr>
              <w:tab/>
            </w:r>
            <w:r w:rsidR="009F6353" w:rsidRPr="0009568D">
              <w:rPr>
                <w:rStyle w:val="Hyperlink"/>
                <w:noProof/>
              </w:rPr>
              <w:t>Caracterización socioeconómica.</w:t>
            </w:r>
            <w:r w:rsidR="009F6353">
              <w:rPr>
                <w:noProof/>
                <w:webHidden/>
              </w:rPr>
              <w:tab/>
            </w:r>
            <w:r w:rsidR="009F6353">
              <w:rPr>
                <w:noProof/>
                <w:webHidden/>
              </w:rPr>
              <w:fldChar w:fldCharType="begin"/>
            </w:r>
            <w:r w:rsidR="009F6353">
              <w:rPr>
                <w:noProof/>
                <w:webHidden/>
              </w:rPr>
              <w:instrText xml:space="preserve"> PAGEREF _Toc485200135 \h </w:instrText>
            </w:r>
            <w:r w:rsidR="009F6353">
              <w:rPr>
                <w:noProof/>
                <w:webHidden/>
              </w:rPr>
            </w:r>
            <w:r w:rsidR="009F6353">
              <w:rPr>
                <w:noProof/>
                <w:webHidden/>
              </w:rPr>
              <w:fldChar w:fldCharType="separate"/>
            </w:r>
            <w:r w:rsidR="009F6353">
              <w:rPr>
                <w:noProof/>
                <w:webHidden/>
              </w:rPr>
              <w:t>85</w:t>
            </w:r>
            <w:r w:rsidR="009F6353">
              <w:rPr>
                <w:noProof/>
                <w:webHidden/>
              </w:rPr>
              <w:fldChar w:fldCharType="end"/>
            </w:r>
          </w:hyperlink>
        </w:p>
        <w:p w14:paraId="730B7A43" w14:textId="7803B721" w:rsidR="009F6353" w:rsidRDefault="005C1A74">
          <w:pPr>
            <w:pStyle w:val="TOC2"/>
            <w:tabs>
              <w:tab w:val="left" w:pos="880"/>
              <w:tab w:val="right" w:leader="dot" w:pos="8495"/>
            </w:tabs>
            <w:rPr>
              <w:rFonts w:eastAsiaTheme="minorEastAsia"/>
              <w:noProof/>
              <w:lang w:val="en-US" w:eastAsia="zh-CN"/>
            </w:rPr>
          </w:pPr>
          <w:hyperlink w:anchor="_Toc485200136" w:history="1">
            <w:r w:rsidR="009F6353" w:rsidRPr="0009568D">
              <w:rPr>
                <w:rStyle w:val="Hyperlink"/>
                <w:noProof/>
              </w:rPr>
              <w:t>2.1</w:t>
            </w:r>
            <w:r w:rsidR="009F6353">
              <w:rPr>
                <w:rFonts w:eastAsiaTheme="minorEastAsia"/>
                <w:noProof/>
                <w:lang w:val="en-US" w:eastAsia="zh-CN"/>
              </w:rPr>
              <w:tab/>
            </w:r>
            <w:r w:rsidR="009F6353" w:rsidRPr="0009568D">
              <w:rPr>
                <w:rStyle w:val="Hyperlink"/>
                <w:noProof/>
              </w:rPr>
              <w:t>Contexto general Gran Buenos Aires.</w:t>
            </w:r>
            <w:r w:rsidR="009F6353">
              <w:rPr>
                <w:noProof/>
                <w:webHidden/>
              </w:rPr>
              <w:tab/>
            </w:r>
            <w:r w:rsidR="009F6353">
              <w:rPr>
                <w:noProof/>
                <w:webHidden/>
              </w:rPr>
              <w:fldChar w:fldCharType="begin"/>
            </w:r>
            <w:r w:rsidR="009F6353">
              <w:rPr>
                <w:noProof/>
                <w:webHidden/>
              </w:rPr>
              <w:instrText xml:space="preserve"> PAGEREF _Toc485200136 \h </w:instrText>
            </w:r>
            <w:r w:rsidR="009F6353">
              <w:rPr>
                <w:noProof/>
                <w:webHidden/>
              </w:rPr>
            </w:r>
            <w:r w:rsidR="009F6353">
              <w:rPr>
                <w:noProof/>
                <w:webHidden/>
              </w:rPr>
              <w:fldChar w:fldCharType="separate"/>
            </w:r>
            <w:r w:rsidR="009F6353">
              <w:rPr>
                <w:noProof/>
                <w:webHidden/>
              </w:rPr>
              <w:t>87</w:t>
            </w:r>
            <w:r w:rsidR="009F6353">
              <w:rPr>
                <w:noProof/>
                <w:webHidden/>
              </w:rPr>
              <w:fldChar w:fldCharType="end"/>
            </w:r>
          </w:hyperlink>
        </w:p>
        <w:p w14:paraId="1A5E45D7" w14:textId="6441EBA9" w:rsidR="009F6353" w:rsidRDefault="005C1A74">
          <w:pPr>
            <w:pStyle w:val="TOC2"/>
            <w:tabs>
              <w:tab w:val="left" w:pos="880"/>
              <w:tab w:val="right" w:leader="dot" w:pos="8495"/>
            </w:tabs>
            <w:rPr>
              <w:rFonts w:eastAsiaTheme="minorEastAsia"/>
              <w:noProof/>
              <w:lang w:val="en-US" w:eastAsia="zh-CN"/>
            </w:rPr>
          </w:pPr>
          <w:hyperlink w:anchor="_Toc485200137" w:history="1">
            <w:r w:rsidR="009F6353" w:rsidRPr="0009568D">
              <w:rPr>
                <w:rStyle w:val="Hyperlink"/>
                <w:noProof/>
              </w:rPr>
              <w:t>2.2</w:t>
            </w:r>
            <w:r w:rsidR="009F6353">
              <w:rPr>
                <w:rFonts w:eastAsiaTheme="minorEastAsia"/>
                <w:noProof/>
                <w:lang w:val="en-US" w:eastAsia="zh-CN"/>
              </w:rPr>
              <w:tab/>
            </w:r>
            <w:r w:rsidR="009F6353" w:rsidRPr="0009568D">
              <w:rPr>
                <w:rStyle w:val="Hyperlink"/>
                <w:noProof/>
              </w:rPr>
              <w:t>Detalle socioeconómico de los beneficiarios del proyecto.</w:t>
            </w:r>
            <w:r w:rsidR="009F6353">
              <w:rPr>
                <w:noProof/>
                <w:webHidden/>
              </w:rPr>
              <w:tab/>
            </w:r>
            <w:r w:rsidR="009F6353">
              <w:rPr>
                <w:noProof/>
                <w:webHidden/>
              </w:rPr>
              <w:fldChar w:fldCharType="begin"/>
            </w:r>
            <w:r w:rsidR="009F6353">
              <w:rPr>
                <w:noProof/>
                <w:webHidden/>
              </w:rPr>
              <w:instrText xml:space="preserve"> PAGEREF _Toc485200137 \h </w:instrText>
            </w:r>
            <w:r w:rsidR="009F6353">
              <w:rPr>
                <w:noProof/>
                <w:webHidden/>
              </w:rPr>
            </w:r>
            <w:r w:rsidR="009F6353">
              <w:rPr>
                <w:noProof/>
                <w:webHidden/>
              </w:rPr>
              <w:fldChar w:fldCharType="separate"/>
            </w:r>
            <w:r w:rsidR="009F6353">
              <w:rPr>
                <w:noProof/>
                <w:webHidden/>
              </w:rPr>
              <w:t>91</w:t>
            </w:r>
            <w:r w:rsidR="009F6353">
              <w:rPr>
                <w:noProof/>
                <w:webHidden/>
              </w:rPr>
              <w:fldChar w:fldCharType="end"/>
            </w:r>
          </w:hyperlink>
        </w:p>
        <w:p w14:paraId="2DAA195B" w14:textId="1AC11890" w:rsidR="009F6353" w:rsidRDefault="005C1A74">
          <w:pPr>
            <w:pStyle w:val="TOC2"/>
            <w:tabs>
              <w:tab w:val="left" w:pos="880"/>
              <w:tab w:val="right" w:leader="dot" w:pos="8495"/>
            </w:tabs>
            <w:rPr>
              <w:rFonts w:eastAsiaTheme="minorEastAsia"/>
              <w:noProof/>
              <w:lang w:val="en-US" w:eastAsia="zh-CN"/>
            </w:rPr>
          </w:pPr>
          <w:hyperlink w:anchor="_Toc485200138" w:history="1">
            <w:r w:rsidR="009F6353" w:rsidRPr="0009568D">
              <w:rPr>
                <w:rStyle w:val="Hyperlink"/>
                <w:noProof/>
              </w:rPr>
              <w:t>2.3</w:t>
            </w:r>
            <w:r w:rsidR="009F6353">
              <w:rPr>
                <w:rFonts w:eastAsiaTheme="minorEastAsia"/>
                <w:noProof/>
                <w:lang w:val="en-US" w:eastAsia="zh-CN"/>
              </w:rPr>
              <w:tab/>
            </w:r>
            <w:r w:rsidR="009F6353" w:rsidRPr="0009568D">
              <w:rPr>
                <w:rStyle w:val="Hyperlink"/>
                <w:noProof/>
              </w:rPr>
              <w:t>Situación socioeconómica de la población – Comentarios generales.</w:t>
            </w:r>
            <w:r w:rsidR="009F6353">
              <w:rPr>
                <w:noProof/>
                <w:webHidden/>
              </w:rPr>
              <w:tab/>
            </w:r>
            <w:r w:rsidR="009F6353">
              <w:rPr>
                <w:noProof/>
                <w:webHidden/>
              </w:rPr>
              <w:fldChar w:fldCharType="begin"/>
            </w:r>
            <w:r w:rsidR="009F6353">
              <w:rPr>
                <w:noProof/>
                <w:webHidden/>
              </w:rPr>
              <w:instrText xml:space="preserve"> PAGEREF _Toc485200138 \h </w:instrText>
            </w:r>
            <w:r w:rsidR="009F6353">
              <w:rPr>
                <w:noProof/>
                <w:webHidden/>
              </w:rPr>
            </w:r>
            <w:r w:rsidR="009F6353">
              <w:rPr>
                <w:noProof/>
                <w:webHidden/>
              </w:rPr>
              <w:fldChar w:fldCharType="separate"/>
            </w:r>
            <w:r w:rsidR="009F6353">
              <w:rPr>
                <w:noProof/>
                <w:webHidden/>
              </w:rPr>
              <w:t>94</w:t>
            </w:r>
            <w:r w:rsidR="009F6353">
              <w:rPr>
                <w:noProof/>
                <w:webHidden/>
              </w:rPr>
              <w:fldChar w:fldCharType="end"/>
            </w:r>
          </w:hyperlink>
        </w:p>
        <w:p w14:paraId="719B8023" w14:textId="2BCE5D57" w:rsidR="009F6353" w:rsidRDefault="005C1A74">
          <w:pPr>
            <w:pStyle w:val="TOC2"/>
            <w:tabs>
              <w:tab w:val="left" w:pos="660"/>
              <w:tab w:val="right" w:leader="dot" w:pos="8495"/>
            </w:tabs>
            <w:rPr>
              <w:rFonts w:eastAsiaTheme="minorEastAsia"/>
              <w:noProof/>
              <w:lang w:val="en-US" w:eastAsia="zh-CN"/>
            </w:rPr>
          </w:pPr>
          <w:hyperlink w:anchor="_Toc485200139" w:history="1">
            <w:r w:rsidR="009F6353" w:rsidRPr="0009568D">
              <w:rPr>
                <w:rStyle w:val="Hyperlink"/>
                <w:noProof/>
              </w:rPr>
              <w:t>3</w:t>
            </w:r>
            <w:r w:rsidR="009F6353">
              <w:rPr>
                <w:rFonts w:eastAsiaTheme="minorEastAsia"/>
                <w:noProof/>
                <w:lang w:val="en-US" w:eastAsia="zh-CN"/>
              </w:rPr>
              <w:tab/>
            </w:r>
            <w:r w:rsidR="009F6353" w:rsidRPr="0009568D">
              <w:rPr>
                <w:rStyle w:val="Hyperlink"/>
                <w:noProof/>
              </w:rPr>
              <w:t>Análisis de capacidad de pago.</w:t>
            </w:r>
            <w:r w:rsidR="009F6353">
              <w:rPr>
                <w:noProof/>
                <w:webHidden/>
              </w:rPr>
              <w:tab/>
            </w:r>
            <w:r w:rsidR="009F6353">
              <w:rPr>
                <w:noProof/>
                <w:webHidden/>
              </w:rPr>
              <w:fldChar w:fldCharType="begin"/>
            </w:r>
            <w:r w:rsidR="009F6353">
              <w:rPr>
                <w:noProof/>
                <w:webHidden/>
              </w:rPr>
              <w:instrText xml:space="preserve"> PAGEREF _Toc485200139 \h </w:instrText>
            </w:r>
            <w:r w:rsidR="009F6353">
              <w:rPr>
                <w:noProof/>
                <w:webHidden/>
              </w:rPr>
            </w:r>
            <w:r w:rsidR="009F6353">
              <w:rPr>
                <w:noProof/>
                <w:webHidden/>
              </w:rPr>
              <w:fldChar w:fldCharType="separate"/>
            </w:r>
            <w:r w:rsidR="009F6353">
              <w:rPr>
                <w:noProof/>
                <w:webHidden/>
              </w:rPr>
              <w:t>95</w:t>
            </w:r>
            <w:r w:rsidR="009F6353">
              <w:rPr>
                <w:noProof/>
                <w:webHidden/>
              </w:rPr>
              <w:fldChar w:fldCharType="end"/>
            </w:r>
          </w:hyperlink>
        </w:p>
        <w:p w14:paraId="758FB4E0" w14:textId="3942C539" w:rsidR="009F6353" w:rsidRDefault="005C1A74">
          <w:pPr>
            <w:pStyle w:val="TOC1"/>
            <w:rPr>
              <w:rFonts w:asciiTheme="minorHAnsi" w:eastAsiaTheme="minorEastAsia" w:hAnsiTheme="minorHAnsi" w:cstheme="minorBidi"/>
              <w:smallCaps w:val="0"/>
              <w:lang w:val="en-US" w:eastAsia="zh-CN"/>
            </w:rPr>
          </w:pPr>
          <w:hyperlink w:anchor="_Toc485200140" w:history="1">
            <w:r w:rsidR="009F6353" w:rsidRPr="0009568D">
              <w:rPr>
                <w:rStyle w:val="Hyperlink"/>
              </w:rPr>
              <w:t>Capítulo III: Solución adoptada – Descripción del proyecto.</w:t>
            </w:r>
            <w:r w:rsidR="009F6353">
              <w:rPr>
                <w:webHidden/>
              </w:rPr>
              <w:tab/>
            </w:r>
            <w:r w:rsidR="009F6353">
              <w:rPr>
                <w:webHidden/>
              </w:rPr>
              <w:fldChar w:fldCharType="begin"/>
            </w:r>
            <w:r w:rsidR="009F6353">
              <w:rPr>
                <w:webHidden/>
              </w:rPr>
              <w:instrText xml:space="preserve"> PAGEREF _Toc485200140 \h </w:instrText>
            </w:r>
            <w:r w:rsidR="009F6353">
              <w:rPr>
                <w:webHidden/>
              </w:rPr>
            </w:r>
            <w:r w:rsidR="009F6353">
              <w:rPr>
                <w:webHidden/>
              </w:rPr>
              <w:fldChar w:fldCharType="separate"/>
            </w:r>
            <w:r w:rsidR="009F6353">
              <w:rPr>
                <w:webHidden/>
              </w:rPr>
              <w:t>96</w:t>
            </w:r>
            <w:r w:rsidR="009F6353">
              <w:rPr>
                <w:webHidden/>
              </w:rPr>
              <w:fldChar w:fldCharType="end"/>
            </w:r>
          </w:hyperlink>
        </w:p>
        <w:p w14:paraId="251AE073" w14:textId="5107FDF5" w:rsidR="009F6353" w:rsidRDefault="005C1A74">
          <w:pPr>
            <w:pStyle w:val="TOC2"/>
            <w:tabs>
              <w:tab w:val="left" w:pos="660"/>
              <w:tab w:val="right" w:leader="dot" w:pos="8495"/>
            </w:tabs>
            <w:rPr>
              <w:rFonts w:eastAsiaTheme="minorEastAsia"/>
              <w:noProof/>
              <w:lang w:val="en-US" w:eastAsia="zh-CN"/>
            </w:rPr>
          </w:pPr>
          <w:hyperlink w:anchor="_Toc485200141" w:history="1">
            <w:r w:rsidR="009F6353" w:rsidRPr="0009568D">
              <w:rPr>
                <w:rStyle w:val="Hyperlink"/>
                <w:noProof/>
              </w:rPr>
              <w:t>1</w:t>
            </w:r>
            <w:r w:rsidR="009F6353">
              <w:rPr>
                <w:rFonts w:eastAsiaTheme="minorEastAsia"/>
                <w:noProof/>
                <w:lang w:val="en-US" w:eastAsia="zh-CN"/>
              </w:rPr>
              <w:tab/>
            </w:r>
            <w:r w:rsidR="009F6353" w:rsidRPr="0009568D">
              <w:rPr>
                <w:rStyle w:val="Hyperlink"/>
                <w:noProof/>
              </w:rPr>
              <w:t>Descripción general del proyecto.</w:t>
            </w:r>
            <w:r w:rsidR="009F6353">
              <w:rPr>
                <w:noProof/>
                <w:webHidden/>
              </w:rPr>
              <w:tab/>
            </w:r>
            <w:r w:rsidR="009F6353">
              <w:rPr>
                <w:noProof/>
                <w:webHidden/>
              </w:rPr>
              <w:fldChar w:fldCharType="begin"/>
            </w:r>
            <w:r w:rsidR="009F6353">
              <w:rPr>
                <w:noProof/>
                <w:webHidden/>
              </w:rPr>
              <w:instrText xml:space="preserve"> PAGEREF _Toc485200141 \h </w:instrText>
            </w:r>
            <w:r w:rsidR="009F6353">
              <w:rPr>
                <w:noProof/>
                <w:webHidden/>
              </w:rPr>
            </w:r>
            <w:r w:rsidR="009F6353">
              <w:rPr>
                <w:noProof/>
                <w:webHidden/>
              </w:rPr>
              <w:fldChar w:fldCharType="separate"/>
            </w:r>
            <w:r w:rsidR="009F6353">
              <w:rPr>
                <w:noProof/>
                <w:webHidden/>
              </w:rPr>
              <w:t>96</w:t>
            </w:r>
            <w:r w:rsidR="009F6353">
              <w:rPr>
                <w:noProof/>
                <w:webHidden/>
              </w:rPr>
              <w:fldChar w:fldCharType="end"/>
            </w:r>
          </w:hyperlink>
        </w:p>
        <w:p w14:paraId="132164FC" w14:textId="5F66065A" w:rsidR="009F6353" w:rsidRDefault="005C1A74">
          <w:pPr>
            <w:pStyle w:val="TOC2"/>
            <w:tabs>
              <w:tab w:val="left" w:pos="660"/>
              <w:tab w:val="right" w:leader="dot" w:pos="8495"/>
            </w:tabs>
            <w:rPr>
              <w:rFonts w:eastAsiaTheme="minorEastAsia"/>
              <w:noProof/>
              <w:lang w:val="en-US" w:eastAsia="zh-CN"/>
            </w:rPr>
          </w:pPr>
          <w:hyperlink w:anchor="_Toc485200142" w:history="1">
            <w:r w:rsidR="009F6353" w:rsidRPr="0009568D">
              <w:rPr>
                <w:rStyle w:val="Hyperlink"/>
                <w:noProof/>
              </w:rPr>
              <w:t>2</w:t>
            </w:r>
            <w:r w:rsidR="009F6353">
              <w:rPr>
                <w:rFonts w:eastAsiaTheme="minorEastAsia"/>
                <w:noProof/>
                <w:lang w:val="en-US" w:eastAsia="zh-CN"/>
              </w:rPr>
              <w:tab/>
            </w:r>
            <w:r w:rsidR="009F6353" w:rsidRPr="0009568D">
              <w:rPr>
                <w:rStyle w:val="Hyperlink"/>
                <w:noProof/>
              </w:rPr>
              <w:t>Detalle de las obras incluidas en financiamiento.</w:t>
            </w:r>
            <w:r w:rsidR="009F6353">
              <w:rPr>
                <w:noProof/>
                <w:webHidden/>
              </w:rPr>
              <w:tab/>
            </w:r>
            <w:r w:rsidR="009F6353">
              <w:rPr>
                <w:noProof/>
                <w:webHidden/>
              </w:rPr>
              <w:fldChar w:fldCharType="begin"/>
            </w:r>
            <w:r w:rsidR="009F6353">
              <w:rPr>
                <w:noProof/>
                <w:webHidden/>
              </w:rPr>
              <w:instrText xml:space="preserve"> PAGEREF _Toc485200142 \h </w:instrText>
            </w:r>
            <w:r w:rsidR="009F6353">
              <w:rPr>
                <w:noProof/>
                <w:webHidden/>
              </w:rPr>
            </w:r>
            <w:r w:rsidR="009F6353">
              <w:rPr>
                <w:noProof/>
                <w:webHidden/>
              </w:rPr>
              <w:fldChar w:fldCharType="separate"/>
            </w:r>
            <w:r w:rsidR="009F6353">
              <w:rPr>
                <w:noProof/>
                <w:webHidden/>
              </w:rPr>
              <w:t>98</w:t>
            </w:r>
            <w:r w:rsidR="009F6353">
              <w:rPr>
                <w:noProof/>
                <w:webHidden/>
              </w:rPr>
              <w:fldChar w:fldCharType="end"/>
            </w:r>
          </w:hyperlink>
        </w:p>
        <w:p w14:paraId="032BDCC9" w14:textId="03C3D7E0" w:rsidR="009F6353" w:rsidRDefault="005C1A74">
          <w:pPr>
            <w:pStyle w:val="TOC2"/>
            <w:tabs>
              <w:tab w:val="left" w:pos="660"/>
              <w:tab w:val="right" w:leader="dot" w:pos="8495"/>
            </w:tabs>
            <w:rPr>
              <w:rFonts w:eastAsiaTheme="minorEastAsia"/>
              <w:noProof/>
              <w:lang w:val="en-US" w:eastAsia="zh-CN"/>
            </w:rPr>
          </w:pPr>
          <w:hyperlink w:anchor="_Toc485200143" w:history="1">
            <w:r w:rsidR="009F6353" w:rsidRPr="0009568D">
              <w:rPr>
                <w:rStyle w:val="Hyperlink"/>
                <w:noProof/>
              </w:rPr>
              <w:t>3</w:t>
            </w:r>
            <w:r w:rsidR="009F6353">
              <w:rPr>
                <w:rFonts w:eastAsiaTheme="minorEastAsia"/>
                <w:noProof/>
                <w:lang w:val="en-US" w:eastAsia="zh-CN"/>
              </w:rPr>
              <w:tab/>
            </w:r>
            <w:r w:rsidR="009F6353" w:rsidRPr="0009568D">
              <w:rPr>
                <w:rStyle w:val="Hyperlink"/>
                <w:noProof/>
              </w:rPr>
              <w:t>Detalle de las obras complementarias no incluidas en financiamiento, pero consideradas en el análisis.</w:t>
            </w:r>
            <w:r w:rsidR="009F6353">
              <w:rPr>
                <w:noProof/>
                <w:webHidden/>
              </w:rPr>
              <w:tab/>
            </w:r>
            <w:r w:rsidR="009F6353">
              <w:rPr>
                <w:noProof/>
                <w:webHidden/>
              </w:rPr>
              <w:fldChar w:fldCharType="begin"/>
            </w:r>
            <w:r w:rsidR="009F6353">
              <w:rPr>
                <w:noProof/>
                <w:webHidden/>
              </w:rPr>
              <w:instrText xml:space="preserve"> PAGEREF _Toc485200143 \h </w:instrText>
            </w:r>
            <w:r w:rsidR="009F6353">
              <w:rPr>
                <w:noProof/>
                <w:webHidden/>
              </w:rPr>
            </w:r>
            <w:r w:rsidR="009F6353">
              <w:rPr>
                <w:noProof/>
                <w:webHidden/>
              </w:rPr>
              <w:fldChar w:fldCharType="separate"/>
            </w:r>
            <w:r w:rsidR="009F6353">
              <w:rPr>
                <w:noProof/>
                <w:webHidden/>
              </w:rPr>
              <w:t>100</w:t>
            </w:r>
            <w:r w:rsidR="009F6353">
              <w:rPr>
                <w:noProof/>
                <w:webHidden/>
              </w:rPr>
              <w:fldChar w:fldCharType="end"/>
            </w:r>
          </w:hyperlink>
        </w:p>
        <w:p w14:paraId="44C1B834" w14:textId="5B604DA7" w:rsidR="009F6353" w:rsidRDefault="005C1A74">
          <w:pPr>
            <w:pStyle w:val="TOC1"/>
            <w:rPr>
              <w:rFonts w:asciiTheme="minorHAnsi" w:eastAsiaTheme="minorEastAsia" w:hAnsiTheme="minorHAnsi" w:cstheme="minorBidi"/>
              <w:smallCaps w:val="0"/>
              <w:lang w:val="en-US" w:eastAsia="zh-CN"/>
            </w:rPr>
          </w:pPr>
          <w:hyperlink w:anchor="_Toc485200144" w:history="1">
            <w:r w:rsidR="009F6353" w:rsidRPr="0009568D">
              <w:rPr>
                <w:rStyle w:val="Hyperlink"/>
              </w:rPr>
              <w:t>Capítulo IV: Análisis Costo Beneficio Social (ACBS).</w:t>
            </w:r>
            <w:r w:rsidR="009F6353">
              <w:rPr>
                <w:webHidden/>
              </w:rPr>
              <w:tab/>
            </w:r>
            <w:r w:rsidR="009F6353">
              <w:rPr>
                <w:webHidden/>
              </w:rPr>
              <w:fldChar w:fldCharType="begin"/>
            </w:r>
            <w:r w:rsidR="009F6353">
              <w:rPr>
                <w:webHidden/>
              </w:rPr>
              <w:instrText xml:space="preserve"> PAGEREF _Toc485200144 \h </w:instrText>
            </w:r>
            <w:r w:rsidR="009F6353">
              <w:rPr>
                <w:webHidden/>
              </w:rPr>
            </w:r>
            <w:r w:rsidR="009F6353">
              <w:rPr>
                <w:webHidden/>
              </w:rPr>
              <w:fldChar w:fldCharType="separate"/>
            </w:r>
            <w:r w:rsidR="009F6353">
              <w:rPr>
                <w:webHidden/>
              </w:rPr>
              <w:t>101</w:t>
            </w:r>
            <w:r w:rsidR="009F6353">
              <w:rPr>
                <w:webHidden/>
              </w:rPr>
              <w:fldChar w:fldCharType="end"/>
            </w:r>
          </w:hyperlink>
        </w:p>
        <w:p w14:paraId="56C46AAC" w14:textId="553D380E" w:rsidR="009F6353" w:rsidRDefault="005C1A74">
          <w:pPr>
            <w:pStyle w:val="TOC2"/>
            <w:tabs>
              <w:tab w:val="left" w:pos="660"/>
              <w:tab w:val="right" w:leader="dot" w:pos="8495"/>
            </w:tabs>
            <w:rPr>
              <w:rFonts w:eastAsiaTheme="minorEastAsia"/>
              <w:noProof/>
              <w:lang w:val="en-US" w:eastAsia="zh-CN"/>
            </w:rPr>
          </w:pPr>
          <w:hyperlink w:anchor="_Toc485200145" w:history="1">
            <w:r w:rsidR="009F6353" w:rsidRPr="0009568D">
              <w:rPr>
                <w:rStyle w:val="Hyperlink"/>
                <w:noProof/>
              </w:rPr>
              <w:t>1</w:t>
            </w:r>
            <w:r w:rsidR="009F6353">
              <w:rPr>
                <w:rFonts w:eastAsiaTheme="minorEastAsia"/>
                <w:noProof/>
                <w:lang w:val="en-US" w:eastAsia="zh-CN"/>
              </w:rPr>
              <w:tab/>
            </w:r>
            <w:r w:rsidR="009F6353" w:rsidRPr="0009568D">
              <w:rPr>
                <w:rStyle w:val="Hyperlink"/>
                <w:noProof/>
              </w:rPr>
              <w:t>Introducción.</w:t>
            </w:r>
            <w:r w:rsidR="009F6353">
              <w:rPr>
                <w:noProof/>
                <w:webHidden/>
              </w:rPr>
              <w:tab/>
            </w:r>
            <w:r w:rsidR="009F6353">
              <w:rPr>
                <w:noProof/>
                <w:webHidden/>
              </w:rPr>
              <w:fldChar w:fldCharType="begin"/>
            </w:r>
            <w:r w:rsidR="009F6353">
              <w:rPr>
                <w:noProof/>
                <w:webHidden/>
              </w:rPr>
              <w:instrText xml:space="preserve"> PAGEREF _Toc485200145 \h </w:instrText>
            </w:r>
            <w:r w:rsidR="009F6353">
              <w:rPr>
                <w:noProof/>
                <w:webHidden/>
              </w:rPr>
            </w:r>
            <w:r w:rsidR="009F6353">
              <w:rPr>
                <w:noProof/>
                <w:webHidden/>
              </w:rPr>
              <w:fldChar w:fldCharType="separate"/>
            </w:r>
            <w:r w:rsidR="009F6353">
              <w:rPr>
                <w:noProof/>
                <w:webHidden/>
              </w:rPr>
              <w:t>101</w:t>
            </w:r>
            <w:r w:rsidR="009F6353">
              <w:rPr>
                <w:noProof/>
                <w:webHidden/>
              </w:rPr>
              <w:fldChar w:fldCharType="end"/>
            </w:r>
          </w:hyperlink>
        </w:p>
        <w:p w14:paraId="483D39C7" w14:textId="020DB10B" w:rsidR="009F6353" w:rsidRDefault="005C1A74">
          <w:pPr>
            <w:pStyle w:val="TOC2"/>
            <w:tabs>
              <w:tab w:val="left" w:pos="660"/>
              <w:tab w:val="right" w:leader="dot" w:pos="8495"/>
            </w:tabs>
            <w:rPr>
              <w:rFonts w:eastAsiaTheme="minorEastAsia"/>
              <w:noProof/>
              <w:lang w:val="en-US" w:eastAsia="zh-CN"/>
            </w:rPr>
          </w:pPr>
          <w:hyperlink w:anchor="_Toc485200146" w:history="1">
            <w:r w:rsidR="009F6353" w:rsidRPr="0009568D">
              <w:rPr>
                <w:rStyle w:val="Hyperlink"/>
                <w:noProof/>
              </w:rPr>
              <w:t>2</w:t>
            </w:r>
            <w:r w:rsidR="009F6353">
              <w:rPr>
                <w:rFonts w:eastAsiaTheme="minorEastAsia"/>
                <w:noProof/>
                <w:lang w:val="en-US" w:eastAsia="zh-CN"/>
              </w:rPr>
              <w:tab/>
            </w:r>
            <w:r w:rsidR="009F6353" w:rsidRPr="0009568D">
              <w:rPr>
                <w:rStyle w:val="Hyperlink"/>
                <w:noProof/>
              </w:rPr>
              <w:t>Criterios de evaluación.</w:t>
            </w:r>
            <w:r w:rsidR="009F6353">
              <w:rPr>
                <w:noProof/>
                <w:webHidden/>
              </w:rPr>
              <w:tab/>
            </w:r>
            <w:r w:rsidR="009F6353">
              <w:rPr>
                <w:noProof/>
                <w:webHidden/>
              </w:rPr>
              <w:fldChar w:fldCharType="begin"/>
            </w:r>
            <w:r w:rsidR="009F6353">
              <w:rPr>
                <w:noProof/>
                <w:webHidden/>
              </w:rPr>
              <w:instrText xml:space="preserve"> PAGEREF _Toc485200146 \h </w:instrText>
            </w:r>
            <w:r w:rsidR="009F6353">
              <w:rPr>
                <w:noProof/>
                <w:webHidden/>
              </w:rPr>
            </w:r>
            <w:r w:rsidR="009F6353">
              <w:rPr>
                <w:noProof/>
                <w:webHidden/>
              </w:rPr>
              <w:fldChar w:fldCharType="separate"/>
            </w:r>
            <w:r w:rsidR="009F6353">
              <w:rPr>
                <w:noProof/>
                <w:webHidden/>
              </w:rPr>
              <w:t>101</w:t>
            </w:r>
            <w:r w:rsidR="009F6353">
              <w:rPr>
                <w:noProof/>
                <w:webHidden/>
              </w:rPr>
              <w:fldChar w:fldCharType="end"/>
            </w:r>
          </w:hyperlink>
        </w:p>
        <w:p w14:paraId="6FDE5358" w14:textId="63A6B99E" w:rsidR="009F6353" w:rsidRDefault="005C1A74">
          <w:pPr>
            <w:pStyle w:val="TOC2"/>
            <w:tabs>
              <w:tab w:val="left" w:pos="660"/>
              <w:tab w:val="right" w:leader="dot" w:pos="8495"/>
            </w:tabs>
            <w:rPr>
              <w:rFonts w:eastAsiaTheme="minorEastAsia"/>
              <w:noProof/>
              <w:lang w:val="en-US" w:eastAsia="zh-CN"/>
            </w:rPr>
          </w:pPr>
          <w:hyperlink w:anchor="_Toc485200147" w:history="1">
            <w:r w:rsidR="009F6353" w:rsidRPr="0009568D">
              <w:rPr>
                <w:rStyle w:val="Hyperlink"/>
                <w:noProof/>
              </w:rPr>
              <w:t>3</w:t>
            </w:r>
            <w:r w:rsidR="009F6353">
              <w:rPr>
                <w:rFonts w:eastAsiaTheme="minorEastAsia"/>
                <w:noProof/>
                <w:lang w:val="en-US" w:eastAsia="zh-CN"/>
              </w:rPr>
              <w:tab/>
            </w:r>
            <w:r w:rsidR="009F6353" w:rsidRPr="0009568D">
              <w:rPr>
                <w:rStyle w:val="Hyperlink"/>
                <w:noProof/>
              </w:rPr>
              <w:t>Beneficios económicos del proyecto.</w:t>
            </w:r>
            <w:r w:rsidR="009F6353">
              <w:rPr>
                <w:noProof/>
                <w:webHidden/>
              </w:rPr>
              <w:tab/>
            </w:r>
            <w:r w:rsidR="009F6353">
              <w:rPr>
                <w:noProof/>
                <w:webHidden/>
              </w:rPr>
              <w:fldChar w:fldCharType="begin"/>
            </w:r>
            <w:r w:rsidR="009F6353">
              <w:rPr>
                <w:noProof/>
                <w:webHidden/>
              </w:rPr>
              <w:instrText xml:space="preserve"> PAGEREF _Toc485200147 \h </w:instrText>
            </w:r>
            <w:r w:rsidR="009F6353">
              <w:rPr>
                <w:noProof/>
                <w:webHidden/>
              </w:rPr>
            </w:r>
            <w:r w:rsidR="009F6353">
              <w:rPr>
                <w:noProof/>
                <w:webHidden/>
              </w:rPr>
              <w:fldChar w:fldCharType="separate"/>
            </w:r>
            <w:r w:rsidR="009F6353">
              <w:rPr>
                <w:noProof/>
                <w:webHidden/>
              </w:rPr>
              <w:t>102</w:t>
            </w:r>
            <w:r w:rsidR="009F6353">
              <w:rPr>
                <w:noProof/>
                <w:webHidden/>
              </w:rPr>
              <w:fldChar w:fldCharType="end"/>
            </w:r>
          </w:hyperlink>
        </w:p>
        <w:p w14:paraId="3F303ED2" w14:textId="329BEEAE" w:rsidR="009F6353" w:rsidRDefault="005C1A74">
          <w:pPr>
            <w:pStyle w:val="TOC2"/>
            <w:tabs>
              <w:tab w:val="left" w:pos="880"/>
              <w:tab w:val="right" w:leader="dot" w:pos="8495"/>
            </w:tabs>
            <w:rPr>
              <w:rFonts w:eastAsiaTheme="minorEastAsia"/>
              <w:noProof/>
              <w:lang w:val="en-US" w:eastAsia="zh-CN"/>
            </w:rPr>
          </w:pPr>
          <w:hyperlink w:anchor="_Toc485200148" w:history="1">
            <w:r w:rsidR="009F6353" w:rsidRPr="0009568D">
              <w:rPr>
                <w:rStyle w:val="Hyperlink"/>
                <w:noProof/>
              </w:rPr>
              <w:t>3.1</w:t>
            </w:r>
            <w:r w:rsidR="009F6353">
              <w:rPr>
                <w:rFonts w:eastAsiaTheme="minorEastAsia"/>
                <w:noProof/>
                <w:lang w:val="en-US" w:eastAsia="zh-CN"/>
              </w:rPr>
              <w:tab/>
            </w:r>
            <w:r w:rsidR="009F6353" w:rsidRPr="0009568D">
              <w:rPr>
                <w:rStyle w:val="Hyperlink"/>
                <w:noProof/>
              </w:rPr>
              <w:t>Método de determinación de beneficios.</w:t>
            </w:r>
            <w:r w:rsidR="009F6353">
              <w:rPr>
                <w:noProof/>
                <w:webHidden/>
              </w:rPr>
              <w:tab/>
            </w:r>
            <w:r w:rsidR="009F6353">
              <w:rPr>
                <w:noProof/>
                <w:webHidden/>
              </w:rPr>
              <w:fldChar w:fldCharType="begin"/>
            </w:r>
            <w:r w:rsidR="009F6353">
              <w:rPr>
                <w:noProof/>
                <w:webHidden/>
              </w:rPr>
              <w:instrText xml:space="preserve"> PAGEREF _Toc485200148 \h </w:instrText>
            </w:r>
            <w:r w:rsidR="009F6353">
              <w:rPr>
                <w:noProof/>
                <w:webHidden/>
              </w:rPr>
            </w:r>
            <w:r w:rsidR="009F6353">
              <w:rPr>
                <w:noProof/>
                <w:webHidden/>
              </w:rPr>
              <w:fldChar w:fldCharType="separate"/>
            </w:r>
            <w:r w:rsidR="009F6353">
              <w:rPr>
                <w:noProof/>
                <w:webHidden/>
              </w:rPr>
              <w:t>104</w:t>
            </w:r>
            <w:r w:rsidR="009F6353">
              <w:rPr>
                <w:noProof/>
                <w:webHidden/>
              </w:rPr>
              <w:fldChar w:fldCharType="end"/>
            </w:r>
          </w:hyperlink>
        </w:p>
        <w:p w14:paraId="38E6CED6" w14:textId="6D0E8BF3" w:rsidR="009F6353" w:rsidRDefault="005C1A74">
          <w:pPr>
            <w:pStyle w:val="TOC2"/>
            <w:tabs>
              <w:tab w:val="left" w:pos="880"/>
              <w:tab w:val="right" w:leader="dot" w:pos="8495"/>
            </w:tabs>
            <w:rPr>
              <w:rFonts w:eastAsiaTheme="minorEastAsia"/>
              <w:noProof/>
              <w:lang w:val="en-US" w:eastAsia="zh-CN"/>
            </w:rPr>
          </w:pPr>
          <w:hyperlink w:anchor="_Toc485200149" w:history="1">
            <w:r w:rsidR="009F6353" w:rsidRPr="0009568D">
              <w:rPr>
                <w:rStyle w:val="Hyperlink"/>
                <w:noProof/>
              </w:rPr>
              <w:t>3.2</w:t>
            </w:r>
            <w:r w:rsidR="009F6353">
              <w:rPr>
                <w:rFonts w:eastAsiaTheme="minorEastAsia"/>
                <w:noProof/>
                <w:lang w:val="en-US" w:eastAsia="zh-CN"/>
              </w:rPr>
              <w:tab/>
            </w:r>
            <w:r w:rsidR="009F6353" w:rsidRPr="0009568D">
              <w:rPr>
                <w:rStyle w:val="Hyperlink"/>
                <w:noProof/>
              </w:rPr>
              <w:t>Estimación de beneficios.</w:t>
            </w:r>
            <w:r w:rsidR="009F6353">
              <w:rPr>
                <w:noProof/>
                <w:webHidden/>
              </w:rPr>
              <w:tab/>
            </w:r>
            <w:r w:rsidR="009F6353">
              <w:rPr>
                <w:noProof/>
                <w:webHidden/>
              </w:rPr>
              <w:fldChar w:fldCharType="begin"/>
            </w:r>
            <w:r w:rsidR="009F6353">
              <w:rPr>
                <w:noProof/>
                <w:webHidden/>
              </w:rPr>
              <w:instrText xml:space="preserve"> PAGEREF _Toc485200149 \h </w:instrText>
            </w:r>
            <w:r w:rsidR="009F6353">
              <w:rPr>
                <w:noProof/>
                <w:webHidden/>
              </w:rPr>
            </w:r>
            <w:r w:rsidR="009F6353">
              <w:rPr>
                <w:noProof/>
                <w:webHidden/>
              </w:rPr>
              <w:fldChar w:fldCharType="separate"/>
            </w:r>
            <w:r w:rsidR="009F6353">
              <w:rPr>
                <w:noProof/>
                <w:webHidden/>
              </w:rPr>
              <w:t>107</w:t>
            </w:r>
            <w:r w:rsidR="009F6353">
              <w:rPr>
                <w:noProof/>
                <w:webHidden/>
              </w:rPr>
              <w:fldChar w:fldCharType="end"/>
            </w:r>
          </w:hyperlink>
        </w:p>
        <w:p w14:paraId="0999CBB3" w14:textId="0581CA96" w:rsidR="009F6353" w:rsidRDefault="005C1A74">
          <w:pPr>
            <w:pStyle w:val="TOC2"/>
            <w:tabs>
              <w:tab w:val="left" w:pos="1100"/>
              <w:tab w:val="right" w:leader="dot" w:pos="8495"/>
            </w:tabs>
            <w:rPr>
              <w:rFonts w:eastAsiaTheme="minorEastAsia"/>
              <w:noProof/>
              <w:lang w:val="en-US" w:eastAsia="zh-CN"/>
            </w:rPr>
          </w:pPr>
          <w:hyperlink w:anchor="_Toc485200150" w:history="1">
            <w:r w:rsidR="009F6353" w:rsidRPr="0009568D">
              <w:rPr>
                <w:rStyle w:val="Hyperlink"/>
                <w:noProof/>
              </w:rPr>
              <w:t>3.2.1</w:t>
            </w:r>
            <w:r w:rsidR="009F6353">
              <w:rPr>
                <w:rFonts w:eastAsiaTheme="minorEastAsia"/>
                <w:noProof/>
                <w:lang w:val="en-US" w:eastAsia="zh-CN"/>
              </w:rPr>
              <w:tab/>
            </w:r>
            <w:r w:rsidR="009F6353" w:rsidRPr="0009568D">
              <w:rPr>
                <w:rStyle w:val="Hyperlink"/>
                <w:noProof/>
              </w:rPr>
              <w:t>Hogares beneficiarios.</w:t>
            </w:r>
            <w:r w:rsidR="009F6353">
              <w:rPr>
                <w:noProof/>
                <w:webHidden/>
              </w:rPr>
              <w:tab/>
            </w:r>
            <w:r w:rsidR="009F6353">
              <w:rPr>
                <w:noProof/>
                <w:webHidden/>
              </w:rPr>
              <w:fldChar w:fldCharType="begin"/>
            </w:r>
            <w:r w:rsidR="009F6353">
              <w:rPr>
                <w:noProof/>
                <w:webHidden/>
              </w:rPr>
              <w:instrText xml:space="preserve"> PAGEREF _Toc485200150 \h </w:instrText>
            </w:r>
            <w:r w:rsidR="009F6353">
              <w:rPr>
                <w:noProof/>
                <w:webHidden/>
              </w:rPr>
            </w:r>
            <w:r w:rsidR="009F6353">
              <w:rPr>
                <w:noProof/>
                <w:webHidden/>
              </w:rPr>
              <w:fldChar w:fldCharType="separate"/>
            </w:r>
            <w:r w:rsidR="009F6353">
              <w:rPr>
                <w:noProof/>
                <w:webHidden/>
              </w:rPr>
              <w:t>108</w:t>
            </w:r>
            <w:r w:rsidR="009F6353">
              <w:rPr>
                <w:noProof/>
                <w:webHidden/>
              </w:rPr>
              <w:fldChar w:fldCharType="end"/>
            </w:r>
          </w:hyperlink>
        </w:p>
        <w:p w14:paraId="6C285157" w14:textId="1608629B" w:rsidR="009F6353" w:rsidRDefault="005C1A74">
          <w:pPr>
            <w:pStyle w:val="TOC2"/>
            <w:tabs>
              <w:tab w:val="left" w:pos="1100"/>
              <w:tab w:val="right" w:leader="dot" w:pos="8495"/>
            </w:tabs>
            <w:rPr>
              <w:rFonts w:eastAsiaTheme="minorEastAsia"/>
              <w:noProof/>
              <w:lang w:val="en-US" w:eastAsia="zh-CN"/>
            </w:rPr>
          </w:pPr>
          <w:hyperlink w:anchor="_Toc485200151" w:history="1">
            <w:r w:rsidR="009F6353" w:rsidRPr="0009568D">
              <w:rPr>
                <w:rStyle w:val="Hyperlink"/>
                <w:noProof/>
              </w:rPr>
              <w:t>3.2.2</w:t>
            </w:r>
            <w:r w:rsidR="009F6353">
              <w:rPr>
                <w:rFonts w:eastAsiaTheme="minorEastAsia"/>
                <w:noProof/>
                <w:lang w:val="en-US" w:eastAsia="zh-CN"/>
              </w:rPr>
              <w:tab/>
            </w:r>
            <w:r w:rsidR="009F6353" w:rsidRPr="0009568D">
              <w:rPr>
                <w:rStyle w:val="Hyperlink"/>
                <w:noProof/>
              </w:rPr>
              <w:t>Beneficio medio servicio cloacal.</w:t>
            </w:r>
            <w:r w:rsidR="009F6353">
              <w:rPr>
                <w:noProof/>
                <w:webHidden/>
              </w:rPr>
              <w:tab/>
            </w:r>
            <w:r w:rsidR="009F6353">
              <w:rPr>
                <w:noProof/>
                <w:webHidden/>
              </w:rPr>
              <w:fldChar w:fldCharType="begin"/>
            </w:r>
            <w:r w:rsidR="009F6353">
              <w:rPr>
                <w:noProof/>
                <w:webHidden/>
              </w:rPr>
              <w:instrText xml:space="preserve"> PAGEREF _Toc485200151 \h </w:instrText>
            </w:r>
            <w:r w:rsidR="009F6353">
              <w:rPr>
                <w:noProof/>
                <w:webHidden/>
              </w:rPr>
            </w:r>
            <w:r w:rsidR="009F6353">
              <w:rPr>
                <w:noProof/>
                <w:webHidden/>
              </w:rPr>
              <w:fldChar w:fldCharType="separate"/>
            </w:r>
            <w:r w:rsidR="009F6353">
              <w:rPr>
                <w:noProof/>
                <w:webHidden/>
              </w:rPr>
              <w:t>109</w:t>
            </w:r>
            <w:r w:rsidR="009F6353">
              <w:rPr>
                <w:noProof/>
                <w:webHidden/>
              </w:rPr>
              <w:fldChar w:fldCharType="end"/>
            </w:r>
          </w:hyperlink>
        </w:p>
        <w:p w14:paraId="61C5631A" w14:textId="0848469C" w:rsidR="009F6353" w:rsidRDefault="005C1A74">
          <w:pPr>
            <w:pStyle w:val="TOC2"/>
            <w:tabs>
              <w:tab w:val="left" w:pos="1100"/>
              <w:tab w:val="right" w:leader="dot" w:pos="8495"/>
            </w:tabs>
            <w:rPr>
              <w:rFonts w:eastAsiaTheme="minorEastAsia"/>
              <w:noProof/>
              <w:lang w:val="en-US" w:eastAsia="zh-CN"/>
            </w:rPr>
          </w:pPr>
          <w:hyperlink w:anchor="_Toc485200152" w:history="1">
            <w:r w:rsidR="009F6353" w:rsidRPr="0009568D">
              <w:rPr>
                <w:rStyle w:val="Hyperlink"/>
                <w:noProof/>
              </w:rPr>
              <w:t>3.2.3</w:t>
            </w:r>
            <w:r w:rsidR="009F6353">
              <w:rPr>
                <w:rFonts w:eastAsiaTheme="minorEastAsia"/>
                <w:noProof/>
                <w:lang w:val="en-US" w:eastAsia="zh-CN"/>
              </w:rPr>
              <w:tab/>
            </w:r>
            <w:r w:rsidR="009F6353" w:rsidRPr="0009568D">
              <w:rPr>
                <w:rStyle w:val="Hyperlink"/>
                <w:noProof/>
              </w:rPr>
              <w:t>Beneficio medio tratamiento.</w:t>
            </w:r>
            <w:r w:rsidR="009F6353">
              <w:rPr>
                <w:noProof/>
                <w:webHidden/>
              </w:rPr>
              <w:tab/>
            </w:r>
            <w:r w:rsidR="009F6353">
              <w:rPr>
                <w:noProof/>
                <w:webHidden/>
              </w:rPr>
              <w:fldChar w:fldCharType="begin"/>
            </w:r>
            <w:r w:rsidR="009F6353">
              <w:rPr>
                <w:noProof/>
                <w:webHidden/>
              </w:rPr>
              <w:instrText xml:space="preserve"> PAGEREF _Toc485200152 \h </w:instrText>
            </w:r>
            <w:r w:rsidR="009F6353">
              <w:rPr>
                <w:noProof/>
                <w:webHidden/>
              </w:rPr>
            </w:r>
            <w:r w:rsidR="009F6353">
              <w:rPr>
                <w:noProof/>
                <w:webHidden/>
              </w:rPr>
              <w:fldChar w:fldCharType="separate"/>
            </w:r>
            <w:r w:rsidR="009F6353">
              <w:rPr>
                <w:noProof/>
                <w:webHidden/>
              </w:rPr>
              <w:t>110</w:t>
            </w:r>
            <w:r w:rsidR="009F6353">
              <w:rPr>
                <w:noProof/>
                <w:webHidden/>
              </w:rPr>
              <w:fldChar w:fldCharType="end"/>
            </w:r>
          </w:hyperlink>
        </w:p>
        <w:p w14:paraId="6C77B6E2" w14:textId="6EB9E615" w:rsidR="009F6353" w:rsidRDefault="005C1A74">
          <w:pPr>
            <w:pStyle w:val="TOC2"/>
            <w:tabs>
              <w:tab w:val="left" w:pos="1100"/>
              <w:tab w:val="right" w:leader="dot" w:pos="8495"/>
            </w:tabs>
            <w:rPr>
              <w:rFonts w:eastAsiaTheme="minorEastAsia"/>
              <w:noProof/>
              <w:lang w:val="en-US" w:eastAsia="zh-CN"/>
            </w:rPr>
          </w:pPr>
          <w:hyperlink w:anchor="_Toc485200153" w:history="1">
            <w:r w:rsidR="009F6353" w:rsidRPr="0009568D">
              <w:rPr>
                <w:rStyle w:val="Hyperlink"/>
                <w:noProof/>
              </w:rPr>
              <w:t>3.2.4</w:t>
            </w:r>
            <w:r w:rsidR="009F6353">
              <w:rPr>
                <w:rFonts w:eastAsiaTheme="minorEastAsia"/>
                <w:noProof/>
                <w:lang w:val="en-US" w:eastAsia="zh-CN"/>
              </w:rPr>
              <w:tab/>
            </w:r>
            <w:r w:rsidR="009F6353" w:rsidRPr="0009568D">
              <w:rPr>
                <w:rStyle w:val="Hyperlink"/>
                <w:noProof/>
              </w:rPr>
              <w:t>Flujo de beneficios del proyecto.</w:t>
            </w:r>
            <w:r w:rsidR="009F6353">
              <w:rPr>
                <w:noProof/>
                <w:webHidden/>
              </w:rPr>
              <w:tab/>
            </w:r>
            <w:r w:rsidR="009F6353">
              <w:rPr>
                <w:noProof/>
                <w:webHidden/>
              </w:rPr>
              <w:fldChar w:fldCharType="begin"/>
            </w:r>
            <w:r w:rsidR="009F6353">
              <w:rPr>
                <w:noProof/>
                <w:webHidden/>
              </w:rPr>
              <w:instrText xml:space="preserve"> PAGEREF _Toc485200153 \h </w:instrText>
            </w:r>
            <w:r w:rsidR="009F6353">
              <w:rPr>
                <w:noProof/>
                <w:webHidden/>
              </w:rPr>
            </w:r>
            <w:r w:rsidR="009F6353">
              <w:rPr>
                <w:noProof/>
                <w:webHidden/>
              </w:rPr>
              <w:fldChar w:fldCharType="separate"/>
            </w:r>
            <w:r w:rsidR="009F6353">
              <w:rPr>
                <w:noProof/>
                <w:webHidden/>
              </w:rPr>
              <w:t>110</w:t>
            </w:r>
            <w:r w:rsidR="009F6353">
              <w:rPr>
                <w:noProof/>
                <w:webHidden/>
              </w:rPr>
              <w:fldChar w:fldCharType="end"/>
            </w:r>
          </w:hyperlink>
        </w:p>
        <w:p w14:paraId="47AFDF28" w14:textId="37BDCC31" w:rsidR="009F6353" w:rsidRDefault="005C1A74">
          <w:pPr>
            <w:pStyle w:val="TOC2"/>
            <w:tabs>
              <w:tab w:val="left" w:pos="660"/>
              <w:tab w:val="right" w:leader="dot" w:pos="8495"/>
            </w:tabs>
            <w:rPr>
              <w:rFonts w:eastAsiaTheme="minorEastAsia"/>
              <w:noProof/>
              <w:lang w:val="en-US" w:eastAsia="zh-CN"/>
            </w:rPr>
          </w:pPr>
          <w:hyperlink w:anchor="_Toc485200154" w:history="1">
            <w:r w:rsidR="009F6353" w:rsidRPr="0009568D">
              <w:rPr>
                <w:rStyle w:val="Hyperlink"/>
                <w:noProof/>
              </w:rPr>
              <w:t>4</w:t>
            </w:r>
            <w:r w:rsidR="009F6353">
              <w:rPr>
                <w:rFonts w:eastAsiaTheme="minorEastAsia"/>
                <w:noProof/>
                <w:lang w:val="en-US" w:eastAsia="zh-CN"/>
              </w:rPr>
              <w:tab/>
            </w:r>
            <w:r w:rsidR="009F6353" w:rsidRPr="0009568D">
              <w:rPr>
                <w:rStyle w:val="Hyperlink"/>
                <w:noProof/>
              </w:rPr>
              <w:t>Costos económicos del proyecto.</w:t>
            </w:r>
            <w:r w:rsidR="009F6353">
              <w:rPr>
                <w:noProof/>
                <w:webHidden/>
              </w:rPr>
              <w:tab/>
            </w:r>
            <w:r w:rsidR="009F6353">
              <w:rPr>
                <w:noProof/>
                <w:webHidden/>
              </w:rPr>
              <w:fldChar w:fldCharType="begin"/>
            </w:r>
            <w:r w:rsidR="009F6353">
              <w:rPr>
                <w:noProof/>
                <w:webHidden/>
              </w:rPr>
              <w:instrText xml:space="preserve"> PAGEREF _Toc485200154 \h </w:instrText>
            </w:r>
            <w:r w:rsidR="009F6353">
              <w:rPr>
                <w:noProof/>
                <w:webHidden/>
              </w:rPr>
            </w:r>
            <w:r w:rsidR="009F6353">
              <w:rPr>
                <w:noProof/>
                <w:webHidden/>
              </w:rPr>
              <w:fldChar w:fldCharType="separate"/>
            </w:r>
            <w:r w:rsidR="009F6353">
              <w:rPr>
                <w:noProof/>
                <w:webHidden/>
              </w:rPr>
              <w:t>110</w:t>
            </w:r>
            <w:r w:rsidR="009F6353">
              <w:rPr>
                <w:noProof/>
                <w:webHidden/>
              </w:rPr>
              <w:fldChar w:fldCharType="end"/>
            </w:r>
          </w:hyperlink>
        </w:p>
        <w:p w14:paraId="4110E077" w14:textId="0654A9DA" w:rsidR="009F6353" w:rsidRDefault="005C1A74">
          <w:pPr>
            <w:pStyle w:val="TOC2"/>
            <w:tabs>
              <w:tab w:val="left" w:pos="880"/>
              <w:tab w:val="right" w:leader="dot" w:pos="8495"/>
            </w:tabs>
            <w:rPr>
              <w:rFonts w:eastAsiaTheme="minorEastAsia"/>
              <w:noProof/>
              <w:lang w:val="en-US" w:eastAsia="zh-CN"/>
            </w:rPr>
          </w:pPr>
          <w:hyperlink w:anchor="_Toc485200155" w:history="1">
            <w:r w:rsidR="009F6353" w:rsidRPr="0009568D">
              <w:rPr>
                <w:rStyle w:val="Hyperlink"/>
                <w:noProof/>
              </w:rPr>
              <w:t>4.1</w:t>
            </w:r>
            <w:r w:rsidR="009F6353">
              <w:rPr>
                <w:rFonts w:eastAsiaTheme="minorEastAsia"/>
                <w:noProof/>
                <w:lang w:val="en-US" w:eastAsia="zh-CN"/>
              </w:rPr>
              <w:tab/>
            </w:r>
            <w:r w:rsidR="009F6353" w:rsidRPr="0009568D">
              <w:rPr>
                <w:rStyle w:val="Hyperlink"/>
                <w:noProof/>
              </w:rPr>
              <w:t>Costos de inversión.</w:t>
            </w:r>
            <w:r w:rsidR="009F6353">
              <w:rPr>
                <w:noProof/>
                <w:webHidden/>
              </w:rPr>
              <w:tab/>
            </w:r>
            <w:r w:rsidR="009F6353">
              <w:rPr>
                <w:noProof/>
                <w:webHidden/>
              </w:rPr>
              <w:fldChar w:fldCharType="begin"/>
            </w:r>
            <w:r w:rsidR="009F6353">
              <w:rPr>
                <w:noProof/>
                <w:webHidden/>
              </w:rPr>
              <w:instrText xml:space="preserve"> PAGEREF _Toc485200155 \h </w:instrText>
            </w:r>
            <w:r w:rsidR="009F6353">
              <w:rPr>
                <w:noProof/>
                <w:webHidden/>
              </w:rPr>
            </w:r>
            <w:r w:rsidR="009F6353">
              <w:rPr>
                <w:noProof/>
                <w:webHidden/>
              </w:rPr>
              <w:fldChar w:fldCharType="separate"/>
            </w:r>
            <w:r w:rsidR="009F6353">
              <w:rPr>
                <w:noProof/>
                <w:webHidden/>
              </w:rPr>
              <w:t>111</w:t>
            </w:r>
            <w:r w:rsidR="009F6353">
              <w:rPr>
                <w:noProof/>
                <w:webHidden/>
              </w:rPr>
              <w:fldChar w:fldCharType="end"/>
            </w:r>
          </w:hyperlink>
        </w:p>
        <w:p w14:paraId="3F801464" w14:textId="55AA86A1" w:rsidR="009F6353" w:rsidRDefault="005C1A74">
          <w:pPr>
            <w:pStyle w:val="TOC2"/>
            <w:tabs>
              <w:tab w:val="left" w:pos="880"/>
              <w:tab w:val="right" w:leader="dot" w:pos="8495"/>
            </w:tabs>
            <w:rPr>
              <w:rFonts w:eastAsiaTheme="minorEastAsia"/>
              <w:noProof/>
              <w:lang w:val="en-US" w:eastAsia="zh-CN"/>
            </w:rPr>
          </w:pPr>
          <w:hyperlink w:anchor="_Toc485200156" w:history="1">
            <w:r w:rsidR="009F6353" w:rsidRPr="0009568D">
              <w:rPr>
                <w:rStyle w:val="Hyperlink"/>
                <w:noProof/>
              </w:rPr>
              <w:t>4.2</w:t>
            </w:r>
            <w:r w:rsidR="009F6353">
              <w:rPr>
                <w:rFonts w:eastAsiaTheme="minorEastAsia"/>
                <w:noProof/>
                <w:lang w:val="en-US" w:eastAsia="zh-CN"/>
              </w:rPr>
              <w:tab/>
            </w:r>
            <w:r w:rsidR="009F6353" w:rsidRPr="0009568D">
              <w:rPr>
                <w:rStyle w:val="Hyperlink"/>
                <w:noProof/>
              </w:rPr>
              <w:t>Costos a cargo de los beneficiarios.</w:t>
            </w:r>
            <w:r w:rsidR="009F6353">
              <w:rPr>
                <w:noProof/>
                <w:webHidden/>
              </w:rPr>
              <w:tab/>
            </w:r>
            <w:r w:rsidR="009F6353">
              <w:rPr>
                <w:noProof/>
                <w:webHidden/>
              </w:rPr>
              <w:fldChar w:fldCharType="begin"/>
            </w:r>
            <w:r w:rsidR="009F6353">
              <w:rPr>
                <w:noProof/>
                <w:webHidden/>
              </w:rPr>
              <w:instrText xml:space="preserve"> PAGEREF _Toc485200156 \h </w:instrText>
            </w:r>
            <w:r w:rsidR="009F6353">
              <w:rPr>
                <w:noProof/>
                <w:webHidden/>
              </w:rPr>
            </w:r>
            <w:r w:rsidR="009F6353">
              <w:rPr>
                <w:noProof/>
                <w:webHidden/>
              </w:rPr>
              <w:fldChar w:fldCharType="separate"/>
            </w:r>
            <w:r w:rsidR="009F6353">
              <w:rPr>
                <w:noProof/>
                <w:webHidden/>
              </w:rPr>
              <w:t>114</w:t>
            </w:r>
            <w:r w:rsidR="009F6353">
              <w:rPr>
                <w:noProof/>
                <w:webHidden/>
              </w:rPr>
              <w:fldChar w:fldCharType="end"/>
            </w:r>
          </w:hyperlink>
        </w:p>
        <w:p w14:paraId="2F9B0E08" w14:textId="5B59562C" w:rsidR="009F6353" w:rsidRDefault="005C1A74">
          <w:pPr>
            <w:pStyle w:val="TOC2"/>
            <w:tabs>
              <w:tab w:val="left" w:pos="880"/>
              <w:tab w:val="right" w:leader="dot" w:pos="8495"/>
            </w:tabs>
            <w:rPr>
              <w:rFonts w:eastAsiaTheme="minorEastAsia"/>
              <w:noProof/>
              <w:lang w:val="en-US" w:eastAsia="zh-CN"/>
            </w:rPr>
          </w:pPr>
          <w:hyperlink w:anchor="_Toc485200157" w:history="1">
            <w:r w:rsidR="009F6353" w:rsidRPr="0009568D">
              <w:rPr>
                <w:rStyle w:val="Hyperlink"/>
                <w:noProof/>
              </w:rPr>
              <w:t>4.3</w:t>
            </w:r>
            <w:r w:rsidR="009F6353">
              <w:rPr>
                <w:rFonts w:eastAsiaTheme="minorEastAsia"/>
                <w:noProof/>
                <w:lang w:val="en-US" w:eastAsia="zh-CN"/>
              </w:rPr>
              <w:tab/>
            </w:r>
            <w:r w:rsidR="009F6353" w:rsidRPr="0009568D">
              <w:rPr>
                <w:rStyle w:val="Hyperlink"/>
                <w:noProof/>
              </w:rPr>
              <w:t>Costos de operación y mantenimiento.</w:t>
            </w:r>
            <w:r w:rsidR="009F6353">
              <w:rPr>
                <w:noProof/>
                <w:webHidden/>
              </w:rPr>
              <w:tab/>
            </w:r>
            <w:r w:rsidR="009F6353">
              <w:rPr>
                <w:noProof/>
                <w:webHidden/>
              </w:rPr>
              <w:fldChar w:fldCharType="begin"/>
            </w:r>
            <w:r w:rsidR="009F6353">
              <w:rPr>
                <w:noProof/>
                <w:webHidden/>
              </w:rPr>
              <w:instrText xml:space="preserve"> PAGEREF _Toc485200157 \h </w:instrText>
            </w:r>
            <w:r w:rsidR="009F6353">
              <w:rPr>
                <w:noProof/>
                <w:webHidden/>
              </w:rPr>
            </w:r>
            <w:r w:rsidR="009F6353">
              <w:rPr>
                <w:noProof/>
                <w:webHidden/>
              </w:rPr>
              <w:fldChar w:fldCharType="separate"/>
            </w:r>
            <w:r w:rsidR="009F6353">
              <w:rPr>
                <w:noProof/>
                <w:webHidden/>
              </w:rPr>
              <w:t>114</w:t>
            </w:r>
            <w:r w:rsidR="009F6353">
              <w:rPr>
                <w:noProof/>
                <w:webHidden/>
              </w:rPr>
              <w:fldChar w:fldCharType="end"/>
            </w:r>
          </w:hyperlink>
        </w:p>
        <w:p w14:paraId="6A760A3E" w14:textId="78DAE854" w:rsidR="009F6353" w:rsidRDefault="005C1A74">
          <w:pPr>
            <w:pStyle w:val="TOC2"/>
            <w:tabs>
              <w:tab w:val="left" w:pos="660"/>
              <w:tab w:val="right" w:leader="dot" w:pos="8495"/>
            </w:tabs>
            <w:rPr>
              <w:rFonts w:eastAsiaTheme="minorEastAsia"/>
              <w:noProof/>
              <w:lang w:val="en-US" w:eastAsia="zh-CN"/>
            </w:rPr>
          </w:pPr>
          <w:hyperlink w:anchor="_Toc485200158" w:history="1">
            <w:r w:rsidR="009F6353" w:rsidRPr="0009568D">
              <w:rPr>
                <w:rStyle w:val="Hyperlink"/>
                <w:noProof/>
              </w:rPr>
              <w:t>5</w:t>
            </w:r>
            <w:r w:rsidR="009F6353">
              <w:rPr>
                <w:rFonts w:eastAsiaTheme="minorEastAsia"/>
                <w:noProof/>
                <w:lang w:val="en-US" w:eastAsia="zh-CN"/>
              </w:rPr>
              <w:tab/>
            </w:r>
            <w:r w:rsidR="009F6353" w:rsidRPr="0009568D">
              <w:rPr>
                <w:rStyle w:val="Hyperlink"/>
                <w:noProof/>
              </w:rPr>
              <w:t>Resultados del ACBS.</w:t>
            </w:r>
            <w:r w:rsidR="009F6353">
              <w:rPr>
                <w:noProof/>
                <w:webHidden/>
              </w:rPr>
              <w:tab/>
            </w:r>
            <w:r w:rsidR="009F6353">
              <w:rPr>
                <w:noProof/>
                <w:webHidden/>
              </w:rPr>
              <w:fldChar w:fldCharType="begin"/>
            </w:r>
            <w:r w:rsidR="009F6353">
              <w:rPr>
                <w:noProof/>
                <w:webHidden/>
              </w:rPr>
              <w:instrText xml:space="preserve"> PAGEREF _Toc485200158 \h </w:instrText>
            </w:r>
            <w:r w:rsidR="009F6353">
              <w:rPr>
                <w:noProof/>
                <w:webHidden/>
              </w:rPr>
            </w:r>
            <w:r w:rsidR="009F6353">
              <w:rPr>
                <w:noProof/>
                <w:webHidden/>
              </w:rPr>
              <w:fldChar w:fldCharType="separate"/>
            </w:r>
            <w:r w:rsidR="009F6353">
              <w:rPr>
                <w:noProof/>
                <w:webHidden/>
              </w:rPr>
              <w:t>116</w:t>
            </w:r>
            <w:r w:rsidR="009F6353">
              <w:rPr>
                <w:noProof/>
                <w:webHidden/>
              </w:rPr>
              <w:fldChar w:fldCharType="end"/>
            </w:r>
          </w:hyperlink>
        </w:p>
        <w:p w14:paraId="4D73D559" w14:textId="64D893DD" w:rsidR="009F6353" w:rsidRDefault="005C1A74">
          <w:pPr>
            <w:pStyle w:val="TOC2"/>
            <w:tabs>
              <w:tab w:val="left" w:pos="880"/>
              <w:tab w:val="right" w:leader="dot" w:pos="8495"/>
            </w:tabs>
            <w:rPr>
              <w:rFonts w:eastAsiaTheme="minorEastAsia"/>
              <w:noProof/>
              <w:lang w:val="en-US" w:eastAsia="zh-CN"/>
            </w:rPr>
          </w:pPr>
          <w:hyperlink w:anchor="_Toc485200159" w:history="1">
            <w:r w:rsidR="009F6353" w:rsidRPr="0009568D">
              <w:rPr>
                <w:rStyle w:val="Hyperlink"/>
                <w:noProof/>
              </w:rPr>
              <w:t>5.1</w:t>
            </w:r>
            <w:r w:rsidR="009F6353">
              <w:rPr>
                <w:rFonts w:eastAsiaTheme="minorEastAsia"/>
                <w:noProof/>
                <w:lang w:val="en-US" w:eastAsia="zh-CN"/>
              </w:rPr>
              <w:tab/>
            </w:r>
            <w:r w:rsidR="009F6353" w:rsidRPr="0009568D">
              <w:rPr>
                <w:rStyle w:val="Hyperlink"/>
                <w:noProof/>
              </w:rPr>
              <w:t>Indicadores económicos.</w:t>
            </w:r>
            <w:r w:rsidR="009F6353">
              <w:rPr>
                <w:noProof/>
                <w:webHidden/>
              </w:rPr>
              <w:tab/>
            </w:r>
            <w:r w:rsidR="009F6353">
              <w:rPr>
                <w:noProof/>
                <w:webHidden/>
              </w:rPr>
              <w:fldChar w:fldCharType="begin"/>
            </w:r>
            <w:r w:rsidR="009F6353">
              <w:rPr>
                <w:noProof/>
                <w:webHidden/>
              </w:rPr>
              <w:instrText xml:space="preserve"> PAGEREF _Toc485200159 \h </w:instrText>
            </w:r>
            <w:r w:rsidR="009F6353">
              <w:rPr>
                <w:noProof/>
                <w:webHidden/>
              </w:rPr>
            </w:r>
            <w:r w:rsidR="009F6353">
              <w:rPr>
                <w:noProof/>
                <w:webHidden/>
              </w:rPr>
              <w:fldChar w:fldCharType="separate"/>
            </w:r>
            <w:r w:rsidR="009F6353">
              <w:rPr>
                <w:noProof/>
                <w:webHidden/>
              </w:rPr>
              <w:t>118</w:t>
            </w:r>
            <w:r w:rsidR="009F6353">
              <w:rPr>
                <w:noProof/>
                <w:webHidden/>
              </w:rPr>
              <w:fldChar w:fldCharType="end"/>
            </w:r>
          </w:hyperlink>
        </w:p>
        <w:p w14:paraId="6FCC9597" w14:textId="4319B02E" w:rsidR="009F6353" w:rsidRDefault="005C1A74">
          <w:pPr>
            <w:pStyle w:val="TOC2"/>
            <w:tabs>
              <w:tab w:val="left" w:pos="880"/>
              <w:tab w:val="right" w:leader="dot" w:pos="8495"/>
            </w:tabs>
            <w:rPr>
              <w:rFonts w:eastAsiaTheme="minorEastAsia"/>
              <w:noProof/>
              <w:lang w:val="en-US" w:eastAsia="zh-CN"/>
            </w:rPr>
          </w:pPr>
          <w:hyperlink w:anchor="_Toc485200160" w:history="1">
            <w:r w:rsidR="009F6353" w:rsidRPr="0009568D">
              <w:rPr>
                <w:rStyle w:val="Hyperlink"/>
                <w:noProof/>
              </w:rPr>
              <w:t>5.2</w:t>
            </w:r>
            <w:r w:rsidR="009F6353">
              <w:rPr>
                <w:rFonts w:eastAsiaTheme="minorEastAsia"/>
                <w:noProof/>
                <w:lang w:val="en-US" w:eastAsia="zh-CN"/>
              </w:rPr>
              <w:tab/>
            </w:r>
            <w:r w:rsidR="009F6353" w:rsidRPr="0009568D">
              <w:rPr>
                <w:rStyle w:val="Hyperlink"/>
                <w:noProof/>
              </w:rPr>
              <w:t>Costo Marginal de largo plazo.</w:t>
            </w:r>
            <w:r w:rsidR="009F6353">
              <w:rPr>
                <w:noProof/>
                <w:webHidden/>
              </w:rPr>
              <w:tab/>
            </w:r>
            <w:r w:rsidR="009F6353">
              <w:rPr>
                <w:noProof/>
                <w:webHidden/>
              </w:rPr>
              <w:fldChar w:fldCharType="begin"/>
            </w:r>
            <w:r w:rsidR="009F6353">
              <w:rPr>
                <w:noProof/>
                <w:webHidden/>
              </w:rPr>
              <w:instrText xml:space="preserve"> PAGEREF _Toc485200160 \h </w:instrText>
            </w:r>
            <w:r w:rsidR="009F6353">
              <w:rPr>
                <w:noProof/>
                <w:webHidden/>
              </w:rPr>
            </w:r>
            <w:r w:rsidR="009F6353">
              <w:rPr>
                <w:noProof/>
                <w:webHidden/>
              </w:rPr>
              <w:fldChar w:fldCharType="separate"/>
            </w:r>
            <w:r w:rsidR="009F6353">
              <w:rPr>
                <w:noProof/>
                <w:webHidden/>
              </w:rPr>
              <w:t>118</w:t>
            </w:r>
            <w:r w:rsidR="009F6353">
              <w:rPr>
                <w:noProof/>
                <w:webHidden/>
              </w:rPr>
              <w:fldChar w:fldCharType="end"/>
            </w:r>
          </w:hyperlink>
        </w:p>
        <w:p w14:paraId="1693AF07" w14:textId="48D9DB94" w:rsidR="009F6353" w:rsidRDefault="005C1A74">
          <w:pPr>
            <w:pStyle w:val="TOC2"/>
            <w:tabs>
              <w:tab w:val="left" w:pos="660"/>
              <w:tab w:val="right" w:leader="dot" w:pos="8495"/>
            </w:tabs>
            <w:rPr>
              <w:rFonts w:eastAsiaTheme="minorEastAsia"/>
              <w:noProof/>
              <w:lang w:val="en-US" w:eastAsia="zh-CN"/>
            </w:rPr>
          </w:pPr>
          <w:hyperlink w:anchor="_Toc485200161" w:history="1">
            <w:r w:rsidR="009F6353" w:rsidRPr="0009568D">
              <w:rPr>
                <w:rStyle w:val="Hyperlink"/>
                <w:noProof/>
              </w:rPr>
              <w:t>6</w:t>
            </w:r>
            <w:r w:rsidR="009F6353">
              <w:rPr>
                <w:rFonts w:eastAsiaTheme="minorEastAsia"/>
                <w:noProof/>
                <w:lang w:val="en-US" w:eastAsia="zh-CN"/>
              </w:rPr>
              <w:tab/>
            </w:r>
            <w:r w:rsidR="009F6353" w:rsidRPr="0009568D">
              <w:rPr>
                <w:rStyle w:val="Hyperlink"/>
                <w:noProof/>
              </w:rPr>
              <w:t>Análisis de sensibilidad.</w:t>
            </w:r>
            <w:r w:rsidR="009F6353">
              <w:rPr>
                <w:noProof/>
                <w:webHidden/>
              </w:rPr>
              <w:tab/>
            </w:r>
            <w:r w:rsidR="009F6353">
              <w:rPr>
                <w:noProof/>
                <w:webHidden/>
              </w:rPr>
              <w:fldChar w:fldCharType="begin"/>
            </w:r>
            <w:r w:rsidR="009F6353">
              <w:rPr>
                <w:noProof/>
                <w:webHidden/>
              </w:rPr>
              <w:instrText xml:space="preserve"> PAGEREF _Toc485200161 \h </w:instrText>
            </w:r>
            <w:r w:rsidR="009F6353">
              <w:rPr>
                <w:noProof/>
                <w:webHidden/>
              </w:rPr>
            </w:r>
            <w:r w:rsidR="009F6353">
              <w:rPr>
                <w:noProof/>
                <w:webHidden/>
              </w:rPr>
              <w:fldChar w:fldCharType="separate"/>
            </w:r>
            <w:r w:rsidR="009F6353">
              <w:rPr>
                <w:noProof/>
                <w:webHidden/>
              </w:rPr>
              <w:t>119</w:t>
            </w:r>
            <w:r w:rsidR="009F6353">
              <w:rPr>
                <w:noProof/>
                <w:webHidden/>
              </w:rPr>
              <w:fldChar w:fldCharType="end"/>
            </w:r>
          </w:hyperlink>
        </w:p>
        <w:p w14:paraId="3AAE6C0C" w14:textId="1F08E20B" w:rsidR="009F6353" w:rsidRDefault="005C1A74">
          <w:pPr>
            <w:pStyle w:val="TOC2"/>
            <w:tabs>
              <w:tab w:val="left" w:pos="880"/>
              <w:tab w:val="right" w:leader="dot" w:pos="8495"/>
            </w:tabs>
            <w:rPr>
              <w:rFonts w:eastAsiaTheme="minorEastAsia"/>
              <w:noProof/>
              <w:lang w:val="en-US" w:eastAsia="zh-CN"/>
            </w:rPr>
          </w:pPr>
          <w:hyperlink w:anchor="_Toc485200162" w:history="1">
            <w:r w:rsidR="009F6353" w:rsidRPr="0009568D">
              <w:rPr>
                <w:rStyle w:val="Hyperlink"/>
                <w:noProof/>
              </w:rPr>
              <w:t>6.1</w:t>
            </w:r>
            <w:r w:rsidR="009F6353">
              <w:rPr>
                <w:rFonts w:eastAsiaTheme="minorEastAsia"/>
                <w:noProof/>
                <w:lang w:val="en-US" w:eastAsia="zh-CN"/>
              </w:rPr>
              <w:tab/>
            </w:r>
            <w:r w:rsidR="009F6353" w:rsidRPr="0009568D">
              <w:rPr>
                <w:rStyle w:val="Hyperlink"/>
                <w:noProof/>
              </w:rPr>
              <w:t>Análisis de sensibilidad paramétrico</w:t>
            </w:r>
            <w:r w:rsidR="009F6353">
              <w:rPr>
                <w:noProof/>
                <w:webHidden/>
              </w:rPr>
              <w:tab/>
            </w:r>
            <w:r w:rsidR="009F6353">
              <w:rPr>
                <w:noProof/>
                <w:webHidden/>
              </w:rPr>
              <w:fldChar w:fldCharType="begin"/>
            </w:r>
            <w:r w:rsidR="009F6353">
              <w:rPr>
                <w:noProof/>
                <w:webHidden/>
              </w:rPr>
              <w:instrText xml:space="preserve"> PAGEREF _Toc485200162 \h </w:instrText>
            </w:r>
            <w:r w:rsidR="009F6353">
              <w:rPr>
                <w:noProof/>
                <w:webHidden/>
              </w:rPr>
            </w:r>
            <w:r w:rsidR="009F6353">
              <w:rPr>
                <w:noProof/>
                <w:webHidden/>
              </w:rPr>
              <w:fldChar w:fldCharType="separate"/>
            </w:r>
            <w:r w:rsidR="009F6353">
              <w:rPr>
                <w:noProof/>
                <w:webHidden/>
              </w:rPr>
              <w:t>119</w:t>
            </w:r>
            <w:r w:rsidR="009F6353">
              <w:rPr>
                <w:noProof/>
                <w:webHidden/>
              </w:rPr>
              <w:fldChar w:fldCharType="end"/>
            </w:r>
          </w:hyperlink>
        </w:p>
        <w:p w14:paraId="5073CD4B" w14:textId="7D99A583" w:rsidR="009F6353" w:rsidRDefault="005C1A74">
          <w:pPr>
            <w:pStyle w:val="TOC2"/>
            <w:tabs>
              <w:tab w:val="left" w:pos="880"/>
              <w:tab w:val="right" w:leader="dot" w:pos="8495"/>
            </w:tabs>
            <w:rPr>
              <w:rFonts w:eastAsiaTheme="minorEastAsia"/>
              <w:noProof/>
              <w:lang w:val="en-US" w:eastAsia="zh-CN"/>
            </w:rPr>
          </w:pPr>
          <w:hyperlink w:anchor="_Toc485200163" w:history="1">
            <w:r w:rsidR="009F6353" w:rsidRPr="0009568D">
              <w:rPr>
                <w:rStyle w:val="Hyperlink"/>
                <w:noProof/>
              </w:rPr>
              <w:t>6.2</w:t>
            </w:r>
            <w:r w:rsidR="009F6353">
              <w:rPr>
                <w:rFonts w:eastAsiaTheme="minorEastAsia"/>
                <w:noProof/>
                <w:lang w:val="en-US" w:eastAsia="zh-CN"/>
              </w:rPr>
              <w:tab/>
            </w:r>
            <w:r w:rsidR="009F6353" w:rsidRPr="0009568D">
              <w:rPr>
                <w:rStyle w:val="Hyperlink"/>
                <w:noProof/>
              </w:rPr>
              <w:t>Efectos del cambio en el ritmo de conexión.</w:t>
            </w:r>
            <w:r w:rsidR="009F6353">
              <w:rPr>
                <w:noProof/>
                <w:webHidden/>
              </w:rPr>
              <w:tab/>
            </w:r>
            <w:r w:rsidR="009F6353">
              <w:rPr>
                <w:noProof/>
                <w:webHidden/>
              </w:rPr>
              <w:fldChar w:fldCharType="begin"/>
            </w:r>
            <w:r w:rsidR="009F6353">
              <w:rPr>
                <w:noProof/>
                <w:webHidden/>
              </w:rPr>
              <w:instrText xml:space="preserve"> PAGEREF _Toc485200163 \h </w:instrText>
            </w:r>
            <w:r w:rsidR="009F6353">
              <w:rPr>
                <w:noProof/>
                <w:webHidden/>
              </w:rPr>
            </w:r>
            <w:r w:rsidR="009F6353">
              <w:rPr>
                <w:noProof/>
                <w:webHidden/>
              </w:rPr>
              <w:fldChar w:fldCharType="separate"/>
            </w:r>
            <w:r w:rsidR="009F6353">
              <w:rPr>
                <w:noProof/>
                <w:webHidden/>
              </w:rPr>
              <w:t>120</w:t>
            </w:r>
            <w:r w:rsidR="009F6353">
              <w:rPr>
                <w:noProof/>
                <w:webHidden/>
              </w:rPr>
              <w:fldChar w:fldCharType="end"/>
            </w:r>
          </w:hyperlink>
        </w:p>
        <w:p w14:paraId="05979449" w14:textId="01AFDA96" w:rsidR="009F6353" w:rsidRDefault="005C1A74">
          <w:pPr>
            <w:pStyle w:val="TOC2"/>
            <w:tabs>
              <w:tab w:val="left" w:pos="660"/>
              <w:tab w:val="right" w:leader="dot" w:pos="8495"/>
            </w:tabs>
            <w:rPr>
              <w:rFonts w:eastAsiaTheme="minorEastAsia"/>
              <w:noProof/>
              <w:lang w:val="en-US" w:eastAsia="zh-CN"/>
            </w:rPr>
          </w:pPr>
          <w:hyperlink w:anchor="_Toc485200164" w:history="1">
            <w:r w:rsidR="009F6353" w:rsidRPr="0009568D">
              <w:rPr>
                <w:rStyle w:val="Hyperlink"/>
                <w:noProof/>
              </w:rPr>
              <w:t>7</w:t>
            </w:r>
            <w:r w:rsidR="009F6353">
              <w:rPr>
                <w:rFonts w:eastAsiaTheme="minorEastAsia"/>
                <w:noProof/>
                <w:lang w:val="en-US" w:eastAsia="zh-CN"/>
              </w:rPr>
              <w:tab/>
            </w:r>
            <w:r w:rsidR="009F6353" w:rsidRPr="0009568D">
              <w:rPr>
                <w:rStyle w:val="Hyperlink"/>
                <w:noProof/>
              </w:rPr>
              <w:t>Análisis de riesgo</w:t>
            </w:r>
            <w:r w:rsidR="009F6353">
              <w:rPr>
                <w:noProof/>
                <w:webHidden/>
              </w:rPr>
              <w:tab/>
            </w:r>
            <w:r w:rsidR="009F6353">
              <w:rPr>
                <w:noProof/>
                <w:webHidden/>
              </w:rPr>
              <w:fldChar w:fldCharType="begin"/>
            </w:r>
            <w:r w:rsidR="009F6353">
              <w:rPr>
                <w:noProof/>
                <w:webHidden/>
              </w:rPr>
              <w:instrText xml:space="preserve"> PAGEREF _Toc485200164 \h </w:instrText>
            </w:r>
            <w:r w:rsidR="009F6353">
              <w:rPr>
                <w:noProof/>
                <w:webHidden/>
              </w:rPr>
            </w:r>
            <w:r w:rsidR="009F6353">
              <w:rPr>
                <w:noProof/>
                <w:webHidden/>
              </w:rPr>
              <w:fldChar w:fldCharType="separate"/>
            </w:r>
            <w:r w:rsidR="009F6353">
              <w:rPr>
                <w:noProof/>
                <w:webHidden/>
              </w:rPr>
              <w:t>121</w:t>
            </w:r>
            <w:r w:rsidR="009F6353">
              <w:rPr>
                <w:noProof/>
                <w:webHidden/>
              </w:rPr>
              <w:fldChar w:fldCharType="end"/>
            </w:r>
          </w:hyperlink>
        </w:p>
        <w:p w14:paraId="2320666D" w14:textId="7283D6D7" w:rsidR="009F6353" w:rsidRDefault="005C1A74">
          <w:pPr>
            <w:pStyle w:val="TOC2"/>
            <w:tabs>
              <w:tab w:val="left" w:pos="660"/>
              <w:tab w:val="right" w:leader="dot" w:pos="8495"/>
            </w:tabs>
            <w:rPr>
              <w:rFonts w:eastAsiaTheme="minorEastAsia"/>
              <w:noProof/>
              <w:lang w:val="en-US" w:eastAsia="zh-CN"/>
            </w:rPr>
          </w:pPr>
          <w:hyperlink w:anchor="_Toc485200165" w:history="1">
            <w:r w:rsidR="009F6353" w:rsidRPr="0009568D">
              <w:rPr>
                <w:rStyle w:val="Hyperlink"/>
                <w:noProof/>
              </w:rPr>
              <w:t>8</w:t>
            </w:r>
            <w:r w:rsidR="009F6353">
              <w:rPr>
                <w:rFonts w:eastAsiaTheme="minorEastAsia"/>
                <w:noProof/>
                <w:lang w:val="en-US" w:eastAsia="zh-CN"/>
              </w:rPr>
              <w:tab/>
            </w:r>
            <w:r w:rsidR="009F6353" w:rsidRPr="0009568D">
              <w:rPr>
                <w:rStyle w:val="Hyperlink"/>
                <w:noProof/>
              </w:rPr>
              <w:t>Conclusiones y recomendaciones.</w:t>
            </w:r>
            <w:r w:rsidR="009F6353">
              <w:rPr>
                <w:noProof/>
                <w:webHidden/>
              </w:rPr>
              <w:tab/>
            </w:r>
            <w:r w:rsidR="009F6353">
              <w:rPr>
                <w:noProof/>
                <w:webHidden/>
              </w:rPr>
              <w:fldChar w:fldCharType="begin"/>
            </w:r>
            <w:r w:rsidR="009F6353">
              <w:rPr>
                <w:noProof/>
                <w:webHidden/>
              </w:rPr>
              <w:instrText xml:space="preserve"> PAGEREF _Toc485200165 \h </w:instrText>
            </w:r>
            <w:r w:rsidR="009F6353">
              <w:rPr>
                <w:noProof/>
                <w:webHidden/>
              </w:rPr>
            </w:r>
            <w:r w:rsidR="009F6353">
              <w:rPr>
                <w:noProof/>
                <w:webHidden/>
              </w:rPr>
              <w:fldChar w:fldCharType="separate"/>
            </w:r>
            <w:r w:rsidR="009F6353">
              <w:rPr>
                <w:noProof/>
                <w:webHidden/>
              </w:rPr>
              <w:t>124</w:t>
            </w:r>
            <w:r w:rsidR="009F6353">
              <w:rPr>
                <w:noProof/>
                <w:webHidden/>
              </w:rPr>
              <w:fldChar w:fldCharType="end"/>
            </w:r>
          </w:hyperlink>
        </w:p>
        <w:p w14:paraId="2D061607" w14:textId="258014C9" w:rsidR="009F6353" w:rsidRDefault="005C1A74">
          <w:pPr>
            <w:pStyle w:val="TOC1"/>
            <w:rPr>
              <w:rFonts w:asciiTheme="minorHAnsi" w:eastAsiaTheme="minorEastAsia" w:hAnsiTheme="minorHAnsi" w:cstheme="minorBidi"/>
              <w:smallCaps w:val="0"/>
              <w:lang w:val="en-US" w:eastAsia="zh-CN"/>
            </w:rPr>
          </w:pPr>
          <w:hyperlink w:anchor="_Toc485200166" w:history="1">
            <w:r w:rsidR="009F6353" w:rsidRPr="0009568D">
              <w:rPr>
                <w:rStyle w:val="Hyperlink"/>
              </w:rPr>
              <w:t>PROYECTO SISTEMA DE TRATAMIENTO POR DILUCIÓN BERAZATEGUI.</w:t>
            </w:r>
            <w:r w:rsidR="009F6353">
              <w:rPr>
                <w:webHidden/>
              </w:rPr>
              <w:tab/>
            </w:r>
            <w:r w:rsidR="009F6353">
              <w:rPr>
                <w:webHidden/>
              </w:rPr>
              <w:fldChar w:fldCharType="begin"/>
            </w:r>
            <w:r w:rsidR="009F6353">
              <w:rPr>
                <w:webHidden/>
              </w:rPr>
              <w:instrText xml:space="preserve"> PAGEREF _Toc485200166 \h </w:instrText>
            </w:r>
            <w:r w:rsidR="009F6353">
              <w:rPr>
                <w:webHidden/>
              </w:rPr>
            </w:r>
            <w:r w:rsidR="009F6353">
              <w:rPr>
                <w:webHidden/>
              </w:rPr>
              <w:fldChar w:fldCharType="separate"/>
            </w:r>
            <w:r w:rsidR="009F6353">
              <w:rPr>
                <w:webHidden/>
              </w:rPr>
              <w:t>125</w:t>
            </w:r>
            <w:r w:rsidR="009F6353">
              <w:rPr>
                <w:webHidden/>
              </w:rPr>
              <w:fldChar w:fldCharType="end"/>
            </w:r>
          </w:hyperlink>
        </w:p>
        <w:p w14:paraId="5D87C762" w14:textId="30A8AD34" w:rsidR="009F6353" w:rsidRDefault="005C1A74">
          <w:pPr>
            <w:pStyle w:val="TOC1"/>
            <w:rPr>
              <w:rFonts w:asciiTheme="minorHAnsi" w:eastAsiaTheme="minorEastAsia" w:hAnsiTheme="minorHAnsi" w:cstheme="minorBidi"/>
              <w:smallCaps w:val="0"/>
              <w:lang w:val="en-US" w:eastAsia="zh-CN"/>
            </w:rPr>
          </w:pPr>
          <w:hyperlink w:anchor="_Toc485200167" w:history="1">
            <w:r w:rsidR="009F6353" w:rsidRPr="0009568D">
              <w:rPr>
                <w:rStyle w:val="Hyperlink"/>
              </w:rPr>
              <w:t>Capítulo I: Contexto del proyecto.</w:t>
            </w:r>
            <w:r w:rsidR="009F6353">
              <w:rPr>
                <w:webHidden/>
              </w:rPr>
              <w:tab/>
            </w:r>
            <w:r w:rsidR="009F6353">
              <w:rPr>
                <w:webHidden/>
              </w:rPr>
              <w:fldChar w:fldCharType="begin"/>
            </w:r>
            <w:r w:rsidR="009F6353">
              <w:rPr>
                <w:webHidden/>
              </w:rPr>
              <w:instrText xml:space="preserve"> PAGEREF _Toc485200167 \h </w:instrText>
            </w:r>
            <w:r w:rsidR="009F6353">
              <w:rPr>
                <w:webHidden/>
              </w:rPr>
            </w:r>
            <w:r w:rsidR="009F6353">
              <w:rPr>
                <w:webHidden/>
              </w:rPr>
              <w:fldChar w:fldCharType="separate"/>
            </w:r>
            <w:r w:rsidR="009F6353">
              <w:rPr>
                <w:webHidden/>
              </w:rPr>
              <w:t>126</w:t>
            </w:r>
            <w:r w:rsidR="009F6353">
              <w:rPr>
                <w:webHidden/>
              </w:rPr>
              <w:fldChar w:fldCharType="end"/>
            </w:r>
          </w:hyperlink>
        </w:p>
        <w:p w14:paraId="3CF8E753" w14:textId="0A057516" w:rsidR="009F6353" w:rsidRDefault="005C1A74">
          <w:pPr>
            <w:pStyle w:val="TOC2"/>
            <w:tabs>
              <w:tab w:val="left" w:pos="660"/>
              <w:tab w:val="right" w:leader="dot" w:pos="8495"/>
            </w:tabs>
            <w:rPr>
              <w:rFonts w:eastAsiaTheme="minorEastAsia"/>
              <w:noProof/>
              <w:lang w:val="en-US" w:eastAsia="zh-CN"/>
            </w:rPr>
          </w:pPr>
          <w:hyperlink w:anchor="_Toc485200168" w:history="1">
            <w:r w:rsidR="009F6353" w:rsidRPr="0009568D">
              <w:rPr>
                <w:rStyle w:val="Hyperlink"/>
                <w:noProof/>
              </w:rPr>
              <w:t>1</w:t>
            </w:r>
            <w:r w:rsidR="009F6353">
              <w:rPr>
                <w:rFonts w:eastAsiaTheme="minorEastAsia"/>
                <w:noProof/>
                <w:lang w:val="en-US" w:eastAsia="zh-CN"/>
              </w:rPr>
              <w:tab/>
            </w:r>
            <w:r w:rsidR="009F6353" w:rsidRPr="0009568D">
              <w:rPr>
                <w:rStyle w:val="Hyperlink"/>
                <w:noProof/>
              </w:rPr>
              <w:t>Problemática a resolver.</w:t>
            </w:r>
            <w:r w:rsidR="009F6353">
              <w:rPr>
                <w:noProof/>
                <w:webHidden/>
              </w:rPr>
              <w:tab/>
            </w:r>
            <w:r w:rsidR="009F6353">
              <w:rPr>
                <w:noProof/>
                <w:webHidden/>
              </w:rPr>
              <w:fldChar w:fldCharType="begin"/>
            </w:r>
            <w:r w:rsidR="009F6353">
              <w:rPr>
                <w:noProof/>
                <w:webHidden/>
              </w:rPr>
              <w:instrText xml:space="preserve"> PAGEREF _Toc485200168 \h </w:instrText>
            </w:r>
            <w:r w:rsidR="009F6353">
              <w:rPr>
                <w:noProof/>
                <w:webHidden/>
              </w:rPr>
            </w:r>
            <w:r w:rsidR="009F6353">
              <w:rPr>
                <w:noProof/>
                <w:webHidden/>
              </w:rPr>
              <w:fldChar w:fldCharType="separate"/>
            </w:r>
            <w:r w:rsidR="009F6353">
              <w:rPr>
                <w:noProof/>
                <w:webHidden/>
              </w:rPr>
              <w:t>126</w:t>
            </w:r>
            <w:r w:rsidR="009F6353">
              <w:rPr>
                <w:noProof/>
                <w:webHidden/>
              </w:rPr>
              <w:fldChar w:fldCharType="end"/>
            </w:r>
          </w:hyperlink>
        </w:p>
        <w:p w14:paraId="33CF2422" w14:textId="35130E4B" w:rsidR="009F6353" w:rsidRDefault="005C1A74">
          <w:pPr>
            <w:pStyle w:val="TOC2"/>
            <w:tabs>
              <w:tab w:val="left" w:pos="660"/>
              <w:tab w:val="right" w:leader="dot" w:pos="8495"/>
            </w:tabs>
            <w:rPr>
              <w:rFonts w:eastAsiaTheme="minorEastAsia"/>
              <w:noProof/>
              <w:lang w:val="en-US" w:eastAsia="zh-CN"/>
            </w:rPr>
          </w:pPr>
          <w:hyperlink w:anchor="_Toc485200169" w:history="1">
            <w:r w:rsidR="009F6353" w:rsidRPr="0009568D">
              <w:rPr>
                <w:rStyle w:val="Hyperlink"/>
                <w:noProof/>
              </w:rPr>
              <w:t>2</w:t>
            </w:r>
            <w:r w:rsidR="009F6353">
              <w:rPr>
                <w:rFonts w:eastAsiaTheme="minorEastAsia"/>
                <w:noProof/>
                <w:lang w:val="en-US" w:eastAsia="zh-CN"/>
              </w:rPr>
              <w:tab/>
            </w:r>
            <w:r w:rsidR="009F6353" w:rsidRPr="0009568D">
              <w:rPr>
                <w:rStyle w:val="Hyperlink"/>
                <w:noProof/>
              </w:rPr>
              <w:t>Solución propuesta.</w:t>
            </w:r>
            <w:r w:rsidR="009F6353">
              <w:rPr>
                <w:noProof/>
                <w:webHidden/>
              </w:rPr>
              <w:tab/>
            </w:r>
            <w:r w:rsidR="009F6353">
              <w:rPr>
                <w:noProof/>
                <w:webHidden/>
              </w:rPr>
              <w:fldChar w:fldCharType="begin"/>
            </w:r>
            <w:r w:rsidR="009F6353">
              <w:rPr>
                <w:noProof/>
                <w:webHidden/>
              </w:rPr>
              <w:instrText xml:space="preserve"> PAGEREF _Toc485200169 \h </w:instrText>
            </w:r>
            <w:r w:rsidR="009F6353">
              <w:rPr>
                <w:noProof/>
                <w:webHidden/>
              </w:rPr>
            </w:r>
            <w:r w:rsidR="009F6353">
              <w:rPr>
                <w:noProof/>
                <w:webHidden/>
              </w:rPr>
              <w:fldChar w:fldCharType="separate"/>
            </w:r>
            <w:r w:rsidR="009F6353">
              <w:rPr>
                <w:noProof/>
                <w:webHidden/>
              </w:rPr>
              <w:t>127</w:t>
            </w:r>
            <w:r w:rsidR="009F6353">
              <w:rPr>
                <w:noProof/>
                <w:webHidden/>
              </w:rPr>
              <w:fldChar w:fldCharType="end"/>
            </w:r>
          </w:hyperlink>
        </w:p>
        <w:p w14:paraId="2CAA030C" w14:textId="2A15EF04" w:rsidR="009F6353" w:rsidRDefault="005C1A74">
          <w:pPr>
            <w:pStyle w:val="TOC2"/>
            <w:tabs>
              <w:tab w:val="left" w:pos="880"/>
              <w:tab w:val="right" w:leader="dot" w:pos="8495"/>
            </w:tabs>
            <w:rPr>
              <w:rFonts w:eastAsiaTheme="minorEastAsia"/>
              <w:noProof/>
              <w:lang w:val="en-US" w:eastAsia="zh-CN"/>
            </w:rPr>
          </w:pPr>
          <w:hyperlink w:anchor="_Toc485200170" w:history="1">
            <w:r w:rsidR="009F6353" w:rsidRPr="0009568D">
              <w:rPr>
                <w:rStyle w:val="Hyperlink"/>
                <w:noProof/>
              </w:rPr>
              <w:t>2.1</w:t>
            </w:r>
            <w:r w:rsidR="009F6353">
              <w:rPr>
                <w:rFonts w:eastAsiaTheme="minorEastAsia"/>
                <w:noProof/>
                <w:lang w:val="en-US" w:eastAsia="zh-CN"/>
              </w:rPr>
              <w:tab/>
            </w:r>
            <w:r w:rsidR="009F6353" w:rsidRPr="0009568D">
              <w:rPr>
                <w:rStyle w:val="Hyperlink"/>
                <w:noProof/>
              </w:rPr>
              <w:t>Alternativa 1: Tratamiento por Dilución</w:t>
            </w:r>
            <w:r w:rsidR="009F6353">
              <w:rPr>
                <w:noProof/>
                <w:webHidden/>
              </w:rPr>
              <w:tab/>
            </w:r>
            <w:r w:rsidR="009F6353">
              <w:rPr>
                <w:noProof/>
                <w:webHidden/>
              </w:rPr>
              <w:fldChar w:fldCharType="begin"/>
            </w:r>
            <w:r w:rsidR="009F6353">
              <w:rPr>
                <w:noProof/>
                <w:webHidden/>
              </w:rPr>
              <w:instrText xml:space="preserve"> PAGEREF _Toc485200170 \h </w:instrText>
            </w:r>
            <w:r w:rsidR="009F6353">
              <w:rPr>
                <w:noProof/>
                <w:webHidden/>
              </w:rPr>
            </w:r>
            <w:r w:rsidR="009F6353">
              <w:rPr>
                <w:noProof/>
                <w:webHidden/>
              </w:rPr>
              <w:fldChar w:fldCharType="separate"/>
            </w:r>
            <w:r w:rsidR="009F6353">
              <w:rPr>
                <w:noProof/>
                <w:webHidden/>
              </w:rPr>
              <w:t>127</w:t>
            </w:r>
            <w:r w:rsidR="009F6353">
              <w:rPr>
                <w:noProof/>
                <w:webHidden/>
              </w:rPr>
              <w:fldChar w:fldCharType="end"/>
            </w:r>
          </w:hyperlink>
        </w:p>
        <w:p w14:paraId="11439CE8" w14:textId="37E9CF48" w:rsidR="009F6353" w:rsidRDefault="005C1A74">
          <w:pPr>
            <w:pStyle w:val="TOC2"/>
            <w:tabs>
              <w:tab w:val="left" w:pos="880"/>
              <w:tab w:val="right" w:leader="dot" w:pos="8495"/>
            </w:tabs>
            <w:rPr>
              <w:rFonts w:eastAsiaTheme="minorEastAsia"/>
              <w:noProof/>
              <w:lang w:val="en-US" w:eastAsia="zh-CN"/>
            </w:rPr>
          </w:pPr>
          <w:hyperlink w:anchor="_Toc485200171" w:history="1">
            <w:r w:rsidR="009F6353" w:rsidRPr="0009568D">
              <w:rPr>
                <w:rStyle w:val="Hyperlink"/>
                <w:noProof/>
              </w:rPr>
              <w:t>2.2</w:t>
            </w:r>
            <w:r w:rsidR="009F6353">
              <w:rPr>
                <w:rFonts w:eastAsiaTheme="minorEastAsia"/>
                <w:noProof/>
                <w:lang w:val="en-US" w:eastAsia="zh-CN"/>
              </w:rPr>
              <w:tab/>
            </w:r>
            <w:r w:rsidR="009F6353" w:rsidRPr="0009568D">
              <w:rPr>
                <w:rStyle w:val="Hyperlink"/>
                <w:noProof/>
              </w:rPr>
              <w:t>Alternativa 2: Planta de tratamiento en dos etapas</w:t>
            </w:r>
            <w:r w:rsidR="009F6353">
              <w:rPr>
                <w:noProof/>
                <w:webHidden/>
              </w:rPr>
              <w:tab/>
            </w:r>
            <w:r w:rsidR="009F6353">
              <w:rPr>
                <w:noProof/>
                <w:webHidden/>
              </w:rPr>
              <w:fldChar w:fldCharType="begin"/>
            </w:r>
            <w:r w:rsidR="009F6353">
              <w:rPr>
                <w:noProof/>
                <w:webHidden/>
              </w:rPr>
              <w:instrText xml:space="preserve"> PAGEREF _Toc485200171 \h </w:instrText>
            </w:r>
            <w:r w:rsidR="009F6353">
              <w:rPr>
                <w:noProof/>
                <w:webHidden/>
              </w:rPr>
            </w:r>
            <w:r w:rsidR="009F6353">
              <w:rPr>
                <w:noProof/>
                <w:webHidden/>
              </w:rPr>
              <w:fldChar w:fldCharType="separate"/>
            </w:r>
            <w:r w:rsidR="009F6353">
              <w:rPr>
                <w:noProof/>
                <w:webHidden/>
              </w:rPr>
              <w:t>128</w:t>
            </w:r>
            <w:r w:rsidR="009F6353">
              <w:rPr>
                <w:noProof/>
                <w:webHidden/>
              </w:rPr>
              <w:fldChar w:fldCharType="end"/>
            </w:r>
          </w:hyperlink>
        </w:p>
        <w:p w14:paraId="69E736F0" w14:textId="096837CE" w:rsidR="009F6353" w:rsidRDefault="005C1A74">
          <w:pPr>
            <w:pStyle w:val="TOC2"/>
            <w:tabs>
              <w:tab w:val="left" w:pos="660"/>
              <w:tab w:val="right" w:leader="dot" w:pos="8495"/>
            </w:tabs>
            <w:rPr>
              <w:rFonts w:eastAsiaTheme="minorEastAsia"/>
              <w:noProof/>
              <w:lang w:val="en-US" w:eastAsia="zh-CN"/>
            </w:rPr>
          </w:pPr>
          <w:hyperlink w:anchor="_Toc485200172" w:history="1">
            <w:r w:rsidR="009F6353" w:rsidRPr="0009568D">
              <w:rPr>
                <w:rStyle w:val="Hyperlink"/>
                <w:noProof/>
              </w:rPr>
              <w:t>3</w:t>
            </w:r>
            <w:r w:rsidR="009F6353">
              <w:rPr>
                <w:rFonts w:eastAsiaTheme="minorEastAsia"/>
                <w:noProof/>
                <w:lang w:val="en-US" w:eastAsia="zh-CN"/>
              </w:rPr>
              <w:tab/>
            </w:r>
            <w:r w:rsidR="009F6353" w:rsidRPr="0009568D">
              <w:rPr>
                <w:rStyle w:val="Hyperlink"/>
                <w:noProof/>
              </w:rPr>
              <w:t>Beneficiarios</w:t>
            </w:r>
            <w:r w:rsidR="009F6353">
              <w:rPr>
                <w:noProof/>
                <w:webHidden/>
              </w:rPr>
              <w:tab/>
            </w:r>
            <w:r w:rsidR="009F6353">
              <w:rPr>
                <w:noProof/>
                <w:webHidden/>
              </w:rPr>
              <w:fldChar w:fldCharType="begin"/>
            </w:r>
            <w:r w:rsidR="009F6353">
              <w:rPr>
                <w:noProof/>
                <w:webHidden/>
              </w:rPr>
              <w:instrText xml:space="preserve"> PAGEREF _Toc485200172 \h </w:instrText>
            </w:r>
            <w:r w:rsidR="009F6353">
              <w:rPr>
                <w:noProof/>
                <w:webHidden/>
              </w:rPr>
            </w:r>
            <w:r w:rsidR="009F6353">
              <w:rPr>
                <w:noProof/>
                <w:webHidden/>
              </w:rPr>
              <w:fldChar w:fldCharType="separate"/>
            </w:r>
            <w:r w:rsidR="009F6353">
              <w:rPr>
                <w:noProof/>
                <w:webHidden/>
              </w:rPr>
              <w:t>128</w:t>
            </w:r>
            <w:r w:rsidR="009F6353">
              <w:rPr>
                <w:noProof/>
                <w:webHidden/>
              </w:rPr>
              <w:fldChar w:fldCharType="end"/>
            </w:r>
          </w:hyperlink>
        </w:p>
        <w:p w14:paraId="66337A0A" w14:textId="1B0ECA36" w:rsidR="009F6353" w:rsidRDefault="005C1A74">
          <w:pPr>
            <w:pStyle w:val="TOC2"/>
            <w:tabs>
              <w:tab w:val="left" w:pos="660"/>
              <w:tab w:val="right" w:leader="dot" w:pos="8495"/>
            </w:tabs>
            <w:rPr>
              <w:rFonts w:eastAsiaTheme="minorEastAsia"/>
              <w:noProof/>
              <w:lang w:val="en-US" w:eastAsia="zh-CN"/>
            </w:rPr>
          </w:pPr>
          <w:hyperlink w:anchor="_Toc485200173" w:history="1">
            <w:r w:rsidR="009F6353" w:rsidRPr="0009568D">
              <w:rPr>
                <w:rStyle w:val="Hyperlink"/>
                <w:noProof/>
              </w:rPr>
              <w:t>4</w:t>
            </w:r>
            <w:r w:rsidR="009F6353">
              <w:rPr>
                <w:rFonts w:eastAsiaTheme="minorEastAsia"/>
                <w:noProof/>
                <w:lang w:val="en-US" w:eastAsia="zh-CN"/>
              </w:rPr>
              <w:tab/>
            </w:r>
            <w:r w:rsidR="009F6353" w:rsidRPr="0009568D">
              <w:rPr>
                <w:rStyle w:val="Hyperlink"/>
                <w:noProof/>
              </w:rPr>
              <w:t>Metodología de evaluación adoptada.</w:t>
            </w:r>
            <w:r w:rsidR="009F6353">
              <w:rPr>
                <w:noProof/>
                <w:webHidden/>
              </w:rPr>
              <w:tab/>
            </w:r>
            <w:r w:rsidR="009F6353">
              <w:rPr>
                <w:noProof/>
                <w:webHidden/>
              </w:rPr>
              <w:fldChar w:fldCharType="begin"/>
            </w:r>
            <w:r w:rsidR="009F6353">
              <w:rPr>
                <w:noProof/>
                <w:webHidden/>
              </w:rPr>
              <w:instrText xml:space="preserve"> PAGEREF _Toc485200173 \h </w:instrText>
            </w:r>
            <w:r w:rsidR="009F6353">
              <w:rPr>
                <w:noProof/>
                <w:webHidden/>
              </w:rPr>
            </w:r>
            <w:r w:rsidR="009F6353">
              <w:rPr>
                <w:noProof/>
                <w:webHidden/>
              </w:rPr>
              <w:fldChar w:fldCharType="separate"/>
            </w:r>
            <w:r w:rsidR="009F6353">
              <w:rPr>
                <w:noProof/>
                <w:webHidden/>
              </w:rPr>
              <w:t>129</w:t>
            </w:r>
            <w:r w:rsidR="009F6353">
              <w:rPr>
                <w:noProof/>
                <w:webHidden/>
              </w:rPr>
              <w:fldChar w:fldCharType="end"/>
            </w:r>
          </w:hyperlink>
        </w:p>
        <w:p w14:paraId="5FDDBE34" w14:textId="27720C2B" w:rsidR="009F6353" w:rsidRDefault="005C1A74">
          <w:pPr>
            <w:pStyle w:val="TOC1"/>
            <w:rPr>
              <w:rFonts w:asciiTheme="minorHAnsi" w:eastAsiaTheme="minorEastAsia" w:hAnsiTheme="minorHAnsi" w:cstheme="minorBidi"/>
              <w:smallCaps w:val="0"/>
              <w:lang w:val="en-US" w:eastAsia="zh-CN"/>
            </w:rPr>
          </w:pPr>
          <w:hyperlink w:anchor="_Toc485200174" w:history="1">
            <w:r w:rsidR="009F6353" w:rsidRPr="0009568D">
              <w:rPr>
                <w:rStyle w:val="Hyperlink"/>
              </w:rPr>
              <w:t>Capítulo II: Beneficiarios.</w:t>
            </w:r>
            <w:r w:rsidR="009F6353">
              <w:rPr>
                <w:webHidden/>
              </w:rPr>
              <w:tab/>
            </w:r>
            <w:r w:rsidR="009F6353">
              <w:rPr>
                <w:webHidden/>
              </w:rPr>
              <w:fldChar w:fldCharType="begin"/>
            </w:r>
            <w:r w:rsidR="009F6353">
              <w:rPr>
                <w:webHidden/>
              </w:rPr>
              <w:instrText xml:space="preserve"> PAGEREF _Toc485200174 \h </w:instrText>
            </w:r>
            <w:r w:rsidR="009F6353">
              <w:rPr>
                <w:webHidden/>
              </w:rPr>
            </w:r>
            <w:r w:rsidR="009F6353">
              <w:rPr>
                <w:webHidden/>
              </w:rPr>
              <w:fldChar w:fldCharType="separate"/>
            </w:r>
            <w:r w:rsidR="009F6353">
              <w:rPr>
                <w:webHidden/>
              </w:rPr>
              <w:t>131</w:t>
            </w:r>
            <w:r w:rsidR="009F6353">
              <w:rPr>
                <w:webHidden/>
              </w:rPr>
              <w:fldChar w:fldCharType="end"/>
            </w:r>
          </w:hyperlink>
        </w:p>
        <w:p w14:paraId="58D6B24C" w14:textId="7E8E325B" w:rsidR="009F6353" w:rsidRDefault="005C1A74">
          <w:pPr>
            <w:pStyle w:val="TOC2"/>
            <w:tabs>
              <w:tab w:val="left" w:pos="660"/>
              <w:tab w:val="right" w:leader="dot" w:pos="8495"/>
            </w:tabs>
            <w:rPr>
              <w:rFonts w:eastAsiaTheme="minorEastAsia"/>
              <w:noProof/>
              <w:lang w:val="en-US" w:eastAsia="zh-CN"/>
            </w:rPr>
          </w:pPr>
          <w:hyperlink w:anchor="_Toc485200175" w:history="1">
            <w:r w:rsidR="009F6353" w:rsidRPr="0009568D">
              <w:rPr>
                <w:rStyle w:val="Hyperlink"/>
                <w:noProof/>
              </w:rPr>
              <w:t>1</w:t>
            </w:r>
            <w:r w:rsidR="009F6353">
              <w:rPr>
                <w:rFonts w:eastAsiaTheme="minorEastAsia"/>
                <w:noProof/>
                <w:lang w:val="en-US" w:eastAsia="zh-CN"/>
              </w:rPr>
              <w:tab/>
            </w:r>
            <w:r w:rsidR="009F6353" w:rsidRPr="0009568D">
              <w:rPr>
                <w:rStyle w:val="Hyperlink"/>
                <w:noProof/>
              </w:rPr>
              <w:t>Determinación de beneficiarios.</w:t>
            </w:r>
            <w:r w:rsidR="009F6353">
              <w:rPr>
                <w:noProof/>
                <w:webHidden/>
              </w:rPr>
              <w:tab/>
            </w:r>
            <w:r w:rsidR="009F6353">
              <w:rPr>
                <w:noProof/>
                <w:webHidden/>
              </w:rPr>
              <w:fldChar w:fldCharType="begin"/>
            </w:r>
            <w:r w:rsidR="009F6353">
              <w:rPr>
                <w:noProof/>
                <w:webHidden/>
              </w:rPr>
              <w:instrText xml:space="preserve"> PAGEREF _Toc485200175 \h </w:instrText>
            </w:r>
            <w:r w:rsidR="009F6353">
              <w:rPr>
                <w:noProof/>
                <w:webHidden/>
              </w:rPr>
            </w:r>
            <w:r w:rsidR="009F6353">
              <w:rPr>
                <w:noProof/>
                <w:webHidden/>
              </w:rPr>
              <w:fldChar w:fldCharType="separate"/>
            </w:r>
            <w:r w:rsidR="009F6353">
              <w:rPr>
                <w:noProof/>
                <w:webHidden/>
              </w:rPr>
              <w:t>131</w:t>
            </w:r>
            <w:r w:rsidR="009F6353">
              <w:rPr>
                <w:noProof/>
                <w:webHidden/>
              </w:rPr>
              <w:fldChar w:fldCharType="end"/>
            </w:r>
          </w:hyperlink>
        </w:p>
        <w:p w14:paraId="3F82EC8B" w14:textId="49073B4C" w:rsidR="009F6353" w:rsidRDefault="005C1A74">
          <w:pPr>
            <w:pStyle w:val="TOC2"/>
            <w:tabs>
              <w:tab w:val="left" w:pos="660"/>
              <w:tab w:val="right" w:leader="dot" w:pos="8495"/>
            </w:tabs>
            <w:rPr>
              <w:rFonts w:eastAsiaTheme="minorEastAsia"/>
              <w:noProof/>
              <w:lang w:val="en-US" w:eastAsia="zh-CN"/>
            </w:rPr>
          </w:pPr>
          <w:hyperlink w:anchor="_Toc485200176" w:history="1">
            <w:r w:rsidR="009F6353" w:rsidRPr="0009568D">
              <w:rPr>
                <w:rStyle w:val="Hyperlink"/>
                <w:noProof/>
              </w:rPr>
              <w:t>2</w:t>
            </w:r>
            <w:r w:rsidR="009F6353">
              <w:rPr>
                <w:rFonts w:eastAsiaTheme="minorEastAsia"/>
                <w:noProof/>
                <w:lang w:val="en-US" w:eastAsia="zh-CN"/>
              </w:rPr>
              <w:tab/>
            </w:r>
            <w:r w:rsidR="009F6353" w:rsidRPr="0009568D">
              <w:rPr>
                <w:rStyle w:val="Hyperlink"/>
                <w:noProof/>
              </w:rPr>
              <w:t>Caracterización socioeconómica.</w:t>
            </w:r>
            <w:r w:rsidR="009F6353">
              <w:rPr>
                <w:noProof/>
                <w:webHidden/>
              </w:rPr>
              <w:tab/>
            </w:r>
            <w:r w:rsidR="009F6353">
              <w:rPr>
                <w:noProof/>
                <w:webHidden/>
              </w:rPr>
              <w:fldChar w:fldCharType="begin"/>
            </w:r>
            <w:r w:rsidR="009F6353">
              <w:rPr>
                <w:noProof/>
                <w:webHidden/>
              </w:rPr>
              <w:instrText xml:space="preserve"> PAGEREF _Toc485200176 \h </w:instrText>
            </w:r>
            <w:r w:rsidR="009F6353">
              <w:rPr>
                <w:noProof/>
                <w:webHidden/>
              </w:rPr>
            </w:r>
            <w:r w:rsidR="009F6353">
              <w:rPr>
                <w:noProof/>
                <w:webHidden/>
              </w:rPr>
              <w:fldChar w:fldCharType="separate"/>
            </w:r>
            <w:r w:rsidR="009F6353">
              <w:rPr>
                <w:noProof/>
                <w:webHidden/>
              </w:rPr>
              <w:t>131</w:t>
            </w:r>
            <w:r w:rsidR="009F6353">
              <w:rPr>
                <w:noProof/>
                <w:webHidden/>
              </w:rPr>
              <w:fldChar w:fldCharType="end"/>
            </w:r>
          </w:hyperlink>
        </w:p>
        <w:p w14:paraId="1CB96FA8" w14:textId="24AE0913" w:rsidR="009F6353" w:rsidRDefault="005C1A74">
          <w:pPr>
            <w:pStyle w:val="TOC2"/>
            <w:tabs>
              <w:tab w:val="left" w:pos="880"/>
              <w:tab w:val="right" w:leader="dot" w:pos="8495"/>
            </w:tabs>
            <w:rPr>
              <w:rFonts w:eastAsiaTheme="minorEastAsia"/>
              <w:noProof/>
              <w:lang w:val="en-US" w:eastAsia="zh-CN"/>
            </w:rPr>
          </w:pPr>
          <w:hyperlink w:anchor="_Toc485200177" w:history="1">
            <w:r w:rsidR="009F6353" w:rsidRPr="0009568D">
              <w:rPr>
                <w:rStyle w:val="Hyperlink"/>
                <w:noProof/>
              </w:rPr>
              <w:t>2.1</w:t>
            </w:r>
            <w:r w:rsidR="009F6353">
              <w:rPr>
                <w:rFonts w:eastAsiaTheme="minorEastAsia"/>
                <w:noProof/>
                <w:lang w:val="en-US" w:eastAsia="zh-CN"/>
              </w:rPr>
              <w:tab/>
            </w:r>
            <w:r w:rsidR="009F6353" w:rsidRPr="0009568D">
              <w:rPr>
                <w:rStyle w:val="Hyperlink"/>
                <w:noProof/>
              </w:rPr>
              <w:t>Contexto general del AMBA.</w:t>
            </w:r>
            <w:r w:rsidR="009F6353">
              <w:rPr>
                <w:noProof/>
                <w:webHidden/>
              </w:rPr>
              <w:tab/>
            </w:r>
            <w:r w:rsidR="009F6353">
              <w:rPr>
                <w:noProof/>
                <w:webHidden/>
              </w:rPr>
              <w:fldChar w:fldCharType="begin"/>
            </w:r>
            <w:r w:rsidR="009F6353">
              <w:rPr>
                <w:noProof/>
                <w:webHidden/>
              </w:rPr>
              <w:instrText xml:space="preserve"> PAGEREF _Toc485200177 \h </w:instrText>
            </w:r>
            <w:r w:rsidR="009F6353">
              <w:rPr>
                <w:noProof/>
                <w:webHidden/>
              </w:rPr>
            </w:r>
            <w:r w:rsidR="009F6353">
              <w:rPr>
                <w:noProof/>
                <w:webHidden/>
              </w:rPr>
              <w:fldChar w:fldCharType="separate"/>
            </w:r>
            <w:r w:rsidR="009F6353">
              <w:rPr>
                <w:noProof/>
                <w:webHidden/>
              </w:rPr>
              <w:t>132</w:t>
            </w:r>
            <w:r w:rsidR="009F6353">
              <w:rPr>
                <w:noProof/>
                <w:webHidden/>
              </w:rPr>
              <w:fldChar w:fldCharType="end"/>
            </w:r>
          </w:hyperlink>
        </w:p>
        <w:p w14:paraId="10FD4DBC" w14:textId="6C886408" w:rsidR="009F6353" w:rsidRDefault="005C1A74">
          <w:pPr>
            <w:pStyle w:val="TOC2"/>
            <w:tabs>
              <w:tab w:val="left" w:pos="880"/>
              <w:tab w:val="right" w:leader="dot" w:pos="8495"/>
            </w:tabs>
            <w:rPr>
              <w:rFonts w:eastAsiaTheme="minorEastAsia"/>
              <w:noProof/>
              <w:lang w:val="en-US" w:eastAsia="zh-CN"/>
            </w:rPr>
          </w:pPr>
          <w:hyperlink w:anchor="_Toc485200178" w:history="1">
            <w:r w:rsidR="009F6353" w:rsidRPr="0009568D">
              <w:rPr>
                <w:rStyle w:val="Hyperlink"/>
                <w:noProof/>
              </w:rPr>
              <w:t>2.2</w:t>
            </w:r>
            <w:r w:rsidR="009F6353">
              <w:rPr>
                <w:rFonts w:eastAsiaTheme="minorEastAsia"/>
                <w:noProof/>
                <w:lang w:val="en-US" w:eastAsia="zh-CN"/>
              </w:rPr>
              <w:tab/>
            </w:r>
            <w:r w:rsidR="009F6353" w:rsidRPr="0009568D">
              <w:rPr>
                <w:rStyle w:val="Hyperlink"/>
                <w:noProof/>
              </w:rPr>
              <w:t>Detalle socioeconómico de los beneficiarios del proyecto.</w:t>
            </w:r>
            <w:r w:rsidR="009F6353">
              <w:rPr>
                <w:noProof/>
                <w:webHidden/>
              </w:rPr>
              <w:tab/>
            </w:r>
            <w:r w:rsidR="009F6353">
              <w:rPr>
                <w:noProof/>
                <w:webHidden/>
              </w:rPr>
              <w:fldChar w:fldCharType="begin"/>
            </w:r>
            <w:r w:rsidR="009F6353">
              <w:rPr>
                <w:noProof/>
                <w:webHidden/>
              </w:rPr>
              <w:instrText xml:space="preserve"> PAGEREF _Toc485200178 \h </w:instrText>
            </w:r>
            <w:r w:rsidR="009F6353">
              <w:rPr>
                <w:noProof/>
                <w:webHidden/>
              </w:rPr>
            </w:r>
            <w:r w:rsidR="009F6353">
              <w:rPr>
                <w:noProof/>
                <w:webHidden/>
              </w:rPr>
              <w:fldChar w:fldCharType="separate"/>
            </w:r>
            <w:r w:rsidR="009F6353">
              <w:rPr>
                <w:noProof/>
                <w:webHidden/>
              </w:rPr>
              <w:t>140</w:t>
            </w:r>
            <w:r w:rsidR="009F6353">
              <w:rPr>
                <w:noProof/>
                <w:webHidden/>
              </w:rPr>
              <w:fldChar w:fldCharType="end"/>
            </w:r>
          </w:hyperlink>
        </w:p>
        <w:p w14:paraId="609BE6A2" w14:textId="7474F6F0" w:rsidR="009F6353" w:rsidRDefault="005C1A74">
          <w:pPr>
            <w:pStyle w:val="TOC2"/>
            <w:tabs>
              <w:tab w:val="left" w:pos="880"/>
              <w:tab w:val="right" w:leader="dot" w:pos="8495"/>
            </w:tabs>
            <w:rPr>
              <w:rFonts w:eastAsiaTheme="minorEastAsia"/>
              <w:noProof/>
              <w:lang w:val="en-US" w:eastAsia="zh-CN"/>
            </w:rPr>
          </w:pPr>
          <w:hyperlink w:anchor="_Toc485200179" w:history="1">
            <w:r w:rsidR="009F6353" w:rsidRPr="0009568D">
              <w:rPr>
                <w:rStyle w:val="Hyperlink"/>
                <w:noProof/>
              </w:rPr>
              <w:t>2.3</w:t>
            </w:r>
            <w:r w:rsidR="009F6353">
              <w:rPr>
                <w:rFonts w:eastAsiaTheme="minorEastAsia"/>
                <w:noProof/>
                <w:lang w:val="en-US" w:eastAsia="zh-CN"/>
              </w:rPr>
              <w:tab/>
            </w:r>
            <w:r w:rsidR="009F6353" w:rsidRPr="0009568D">
              <w:rPr>
                <w:rStyle w:val="Hyperlink"/>
                <w:noProof/>
              </w:rPr>
              <w:t>Situación socioeconómica de la población – Comentarios generales.</w:t>
            </w:r>
            <w:r w:rsidR="009F6353">
              <w:rPr>
                <w:noProof/>
                <w:webHidden/>
              </w:rPr>
              <w:tab/>
            </w:r>
            <w:r w:rsidR="009F6353">
              <w:rPr>
                <w:noProof/>
                <w:webHidden/>
              </w:rPr>
              <w:fldChar w:fldCharType="begin"/>
            </w:r>
            <w:r w:rsidR="009F6353">
              <w:rPr>
                <w:noProof/>
                <w:webHidden/>
              </w:rPr>
              <w:instrText xml:space="preserve"> PAGEREF _Toc485200179 \h </w:instrText>
            </w:r>
            <w:r w:rsidR="009F6353">
              <w:rPr>
                <w:noProof/>
                <w:webHidden/>
              </w:rPr>
            </w:r>
            <w:r w:rsidR="009F6353">
              <w:rPr>
                <w:noProof/>
                <w:webHidden/>
              </w:rPr>
              <w:fldChar w:fldCharType="separate"/>
            </w:r>
            <w:r w:rsidR="009F6353">
              <w:rPr>
                <w:noProof/>
                <w:webHidden/>
              </w:rPr>
              <w:t>142</w:t>
            </w:r>
            <w:r w:rsidR="009F6353">
              <w:rPr>
                <w:noProof/>
                <w:webHidden/>
              </w:rPr>
              <w:fldChar w:fldCharType="end"/>
            </w:r>
          </w:hyperlink>
        </w:p>
        <w:p w14:paraId="57EBBDAD" w14:textId="35C80A34" w:rsidR="009F6353" w:rsidRDefault="005C1A74">
          <w:pPr>
            <w:pStyle w:val="TOC2"/>
            <w:tabs>
              <w:tab w:val="left" w:pos="660"/>
              <w:tab w:val="right" w:leader="dot" w:pos="8495"/>
            </w:tabs>
            <w:rPr>
              <w:rFonts w:eastAsiaTheme="minorEastAsia"/>
              <w:noProof/>
              <w:lang w:val="en-US" w:eastAsia="zh-CN"/>
            </w:rPr>
          </w:pPr>
          <w:hyperlink w:anchor="_Toc485200180" w:history="1">
            <w:r w:rsidR="009F6353" w:rsidRPr="0009568D">
              <w:rPr>
                <w:rStyle w:val="Hyperlink"/>
                <w:noProof/>
              </w:rPr>
              <w:t>3</w:t>
            </w:r>
            <w:r w:rsidR="009F6353">
              <w:rPr>
                <w:rFonts w:eastAsiaTheme="minorEastAsia"/>
                <w:noProof/>
                <w:lang w:val="en-US" w:eastAsia="zh-CN"/>
              </w:rPr>
              <w:tab/>
            </w:r>
            <w:r w:rsidR="009F6353" w:rsidRPr="0009568D">
              <w:rPr>
                <w:rStyle w:val="Hyperlink"/>
                <w:noProof/>
              </w:rPr>
              <w:t>Análisis de capacidad de pago.</w:t>
            </w:r>
            <w:r w:rsidR="009F6353">
              <w:rPr>
                <w:noProof/>
                <w:webHidden/>
              </w:rPr>
              <w:tab/>
            </w:r>
            <w:r w:rsidR="009F6353">
              <w:rPr>
                <w:noProof/>
                <w:webHidden/>
              </w:rPr>
              <w:fldChar w:fldCharType="begin"/>
            </w:r>
            <w:r w:rsidR="009F6353">
              <w:rPr>
                <w:noProof/>
                <w:webHidden/>
              </w:rPr>
              <w:instrText xml:space="preserve"> PAGEREF _Toc485200180 \h </w:instrText>
            </w:r>
            <w:r w:rsidR="009F6353">
              <w:rPr>
                <w:noProof/>
                <w:webHidden/>
              </w:rPr>
            </w:r>
            <w:r w:rsidR="009F6353">
              <w:rPr>
                <w:noProof/>
                <w:webHidden/>
              </w:rPr>
              <w:fldChar w:fldCharType="separate"/>
            </w:r>
            <w:r w:rsidR="009F6353">
              <w:rPr>
                <w:noProof/>
                <w:webHidden/>
              </w:rPr>
              <w:t>143</w:t>
            </w:r>
            <w:r w:rsidR="009F6353">
              <w:rPr>
                <w:noProof/>
                <w:webHidden/>
              </w:rPr>
              <w:fldChar w:fldCharType="end"/>
            </w:r>
          </w:hyperlink>
        </w:p>
        <w:p w14:paraId="09D8741C" w14:textId="6C47FBDB" w:rsidR="009F6353" w:rsidRDefault="005C1A74">
          <w:pPr>
            <w:pStyle w:val="TOC1"/>
            <w:rPr>
              <w:rFonts w:asciiTheme="minorHAnsi" w:eastAsiaTheme="minorEastAsia" w:hAnsiTheme="minorHAnsi" w:cstheme="minorBidi"/>
              <w:smallCaps w:val="0"/>
              <w:lang w:val="en-US" w:eastAsia="zh-CN"/>
            </w:rPr>
          </w:pPr>
          <w:hyperlink w:anchor="_Toc485200181" w:history="1">
            <w:r w:rsidR="009F6353" w:rsidRPr="0009568D">
              <w:rPr>
                <w:rStyle w:val="Hyperlink"/>
              </w:rPr>
              <w:t>Capítulo III: Descripción del proyecto.</w:t>
            </w:r>
            <w:r w:rsidR="009F6353">
              <w:rPr>
                <w:webHidden/>
              </w:rPr>
              <w:tab/>
            </w:r>
            <w:r w:rsidR="009F6353">
              <w:rPr>
                <w:webHidden/>
              </w:rPr>
              <w:fldChar w:fldCharType="begin"/>
            </w:r>
            <w:r w:rsidR="009F6353">
              <w:rPr>
                <w:webHidden/>
              </w:rPr>
              <w:instrText xml:space="preserve"> PAGEREF _Toc485200181 \h </w:instrText>
            </w:r>
            <w:r w:rsidR="009F6353">
              <w:rPr>
                <w:webHidden/>
              </w:rPr>
            </w:r>
            <w:r w:rsidR="009F6353">
              <w:rPr>
                <w:webHidden/>
              </w:rPr>
              <w:fldChar w:fldCharType="separate"/>
            </w:r>
            <w:r w:rsidR="009F6353">
              <w:rPr>
                <w:webHidden/>
              </w:rPr>
              <w:t>145</w:t>
            </w:r>
            <w:r w:rsidR="009F6353">
              <w:rPr>
                <w:webHidden/>
              </w:rPr>
              <w:fldChar w:fldCharType="end"/>
            </w:r>
          </w:hyperlink>
        </w:p>
        <w:p w14:paraId="4FEB1CFA" w14:textId="526058A1" w:rsidR="009F6353" w:rsidRDefault="005C1A74">
          <w:pPr>
            <w:pStyle w:val="TOC2"/>
            <w:tabs>
              <w:tab w:val="left" w:pos="660"/>
              <w:tab w:val="right" w:leader="dot" w:pos="8495"/>
            </w:tabs>
            <w:rPr>
              <w:rFonts w:eastAsiaTheme="minorEastAsia"/>
              <w:noProof/>
              <w:lang w:val="en-US" w:eastAsia="zh-CN"/>
            </w:rPr>
          </w:pPr>
          <w:hyperlink w:anchor="_Toc485200182" w:history="1">
            <w:r w:rsidR="009F6353" w:rsidRPr="0009568D">
              <w:rPr>
                <w:rStyle w:val="Hyperlink"/>
                <w:noProof/>
              </w:rPr>
              <w:t>1</w:t>
            </w:r>
            <w:r w:rsidR="009F6353">
              <w:rPr>
                <w:rFonts w:eastAsiaTheme="minorEastAsia"/>
                <w:noProof/>
                <w:lang w:val="en-US" w:eastAsia="zh-CN"/>
              </w:rPr>
              <w:tab/>
            </w:r>
            <w:r w:rsidR="009F6353" w:rsidRPr="0009568D">
              <w:rPr>
                <w:rStyle w:val="Hyperlink"/>
                <w:noProof/>
              </w:rPr>
              <w:t>Antecedentes del proyecto.</w:t>
            </w:r>
            <w:r w:rsidR="009F6353">
              <w:rPr>
                <w:noProof/>
                <w:webHidden/>
              </w:rPr>
              <w:tab/>
            </w:r>
            <w:r w:rsidR="009F6353">
              <w:rPr>
                <w:noProof/>
                <w:webHidden/>
              </w:rPr>
              <w:fldChar w:fldCharType="begin"/>
            </w:r>
            <w:r w:rsidR="009F6353">
              <w:rPr>
                <w:noProof/>
                <w:webHidden/>
              </w:rPr>
              <w:instrText xml:space="preserve"> PAGEREF _Toc485200182 \h </w:instrText>
            </w:r>
            <w:r w:rsidR="009F6353">
              <w:rPr>
                <w:noProof/>
                <w:webHidden/>
              </w:rPr>
            </w:r>
            <w:r w:rsidR="009F6353">
              <w:rPr>
                <w:noProof/>
                <w:webHidden/>
              </w:rPr>
              <w:fldChar w:fldCharType="separate"/>
            </w:r>
            <w:r w:rsidR="009F6353">
              <w:rPr>
                <w:noProof/>
                <w:webHidden/>
              </w:rPr>
              <w:t>145</w:t>
            </w:r>
            <w:r w:rsidR="009F6353">
              <w:rPr>
                <w:noProof/>
                <w:webHidden/>
              </w:rPr>
              <w:fldChar w:fldCharType="end"/>
            </w:r>
          </w:hyperlink>
        </w:p>
        <w:p w14:paraId="09C3959D" w14:textId="358F8427" w:rsidR="009F6353" w:rsidRDefault="005C1A74">
          <w:pPr>
            <w:pStyle w:val="TOC2"/>
            <w:tabs>
              <w:tab w:val="left" w:pos="880"/>
              <w:tab w:val="right" w:leader="dot" w:pos="8495"/>
            </w:tabs>
            <w:rPr>
              <w:rFonts w:eastAsiaTheme="minorEastAsia"/>
              <w:noProof/>
              <w:lang w:val="en-US" w:eastAsia="zh-CN"/>
            </w:rPr>
          </w:pPr>
          <w:hyperlink w:anchor="_Toc485200183" w:history="1">
            <w:r w:rsidR="009F6353" w:rsidRPr="0009568D">
              <w:rPr>
                <w:rStyle w:val="Hyperlink"/>
                <w:noProof/>
              </w:rPr>
              <w:t>1.1</w:t>
            </w:r>
            <w:r w:rsidR="009F6353">
              <w:rPr>
                <w:rFonts w:eastAsiaTheme="minorEastAsia"/>
                <w:noProof/>
                <w:lang w:val="en-US" w:eastAsia="zh-CN"/>
              </w:rPr>
              <w:tab/>
            </w:r>
            <w:r w:rsidR="009F6353" w:rsidRPr="0009568D">
              <w:rPr>
                <w:rStyle w:val="Hyperlink"/>
                <w:noProof/>
              </w:rPr>
              <w:t>Antecedentes generales</w:t>
            </w:r>
            <w:r w:rsidR="009F6353">
              <w:rPr>
                <w:noProof/>
                <w:webHidden/>
              </w:rPr>
              <w:tab/>
            </w:r>
            <w:r w:rsidR="009F6353">
              <w:rPr>
                <w:noProof/>
                <w:webHidden/>
              </w:rPr>
              <w:fldChar w:fldCharType="begin"/>
            </w:r>
            <w:r w:rsidR="009F6353">
              <w:rPr>
                <w:noProof/>
                <w:webHidden/>
              </w:rPr>
              <w:instrText xml:space="preserve"> PAGEREF _Toc485200183 \h </w:instrText>
            </w:r>
            <w:r w:rsidR="009F6353">
              <w:rPr>
                <w:noProof/>
                <w:webHidden/>
              </w:rPr>
            </w:r>
            <w:r w:rsidR="009F6353">
              <w:rPr>
                <w:noProof/>
                <w:webHidden/>
              </w:rPr>
              <w:fldChar w:fldCharType="separate"/>
            </w:r>
            <w:r w:rsidR="009F6353">
              <w:rPr>
                <w:noProof/>
                <w:webHidden/>
              </w:rPr>
              <w:t>145</w:t>
            </w:r>
            <w:r w:rsidR="009F6353">
              <w:rPr>
                <w:noProof/>
                <w:webHidden/>
              </w:rPr>
              <w:fldChar w:fldCharType="end"/>
            </w:r>
          </w:hyperlink>
        </w:p>
        <w:p w14:paraId="2F4F6601" w14:textId="12F65E4C" w:rsidR="009F6353" w:rsidRDefault="005C1A74">
          <w:pPr>
            <w:pStyle w:val="TOC2"/>
            <w:tabs>
              <w:tab w:val="left" w:pos="880"/>
              <w:tab w:val="right" w:leader="dot" w:pos="8495"/>
            </w:tabs>
            <w:rPr>
              <w:rFonts w:eastAsiaTheme="minorEastAsia"/>
              <w:noProof/>
              <w:lang w:val="en-US" w:eastAsia="zh-CN"/>
            </w:rPr>
          </w:pPr>
          <w:hyperlink w:anchor="_Toc485200184" w:history="1">
            <w:r w:rsidR="009F6353" w:rsidRPr="0009568D">
              <w:rPr>
                <w:rStyle w:val="Hyperlink"/>
                <w:noProof/>
              </w:rPr>
              <w:t>1.2</w:t>
            </w:r>
            <w:r w:rsidR="009F6353">
              <w:rPr>
                <w:rFonts w:eastAsiaTheme="minorEastAsia"/>
                <w:noProof/>
                <w:lang w:val="en-US" w:eastAsia="zh-CN"/>
              </w:rPr>
              <w:tab/>
            </w:r>
            <w:r w:rsidR="009F6353" w:rsidRPr="0009568D">
              <w:rPr>
                <w:rStyle w:val="Hyperlink"/>
                <w:noProof/>
              </w:rPr>
              <w:t>Antecedentes institucionales.</w:t>
            </w:r>
            <w:r w:rsidR="009F6353">
              <w:rPr>
                <w:noProof/>
                <w:webHidden/>
              </w:rPr>
              <w:tab/>
            </w:r>
            <w:r w:rsidR="009F6353">
              <w:rPr>
                <w:noProof/>
                <w:webHidden/>
              </w:rPr>
              <w:fldChar w:fldCharType="begin"/>
            </w:r>
            <w:r w:rsidR="009F6353">
              <w:rPr>
                <w:noProof/>
                <w:webHidden/>
              </w:rPr>
              <w:instrText xml:space="preserve"> PAGEREF _Toc485200184 \h </w:instrText>
            </w:r>
            <w:r w:rsidR="009F6353">
              <w:rPr>
                <w:noProof/>
                <w:webHidden/>
              </w:rPr>
            </w:r>
            <w:r w:rsidR="009F6353">
              <w:rPr>
                <w:noProof/>
                <w:webHidden/>
              </w:rPr>
              <w:fldChar w:fldCharType="separate"/>
            </w:r>
            <w:r w:rsidR="009F6353">
              <w:rPr>
                <w:noProof/>
                <w:webHidden/>
              </w:rPr>
              <w:t>146</w:t>
            </w:r>
            <w:r w:rsidR="009F6353">
              <w:rPr>
                <w:noProof/>
                <w:webHidden/>
              </w:rPr>
              <w:fldChar w:fldCharType="end"/>
            </w:r>
          </w:hyperlink>
        </w:p>
        <w:p w14:paraId="1408F029" w14:textId="7E30AFA6" w:rsidR="009F6353" w:rsidRDefault="005C1A74">
          <w:pPr>
            <w:pStyle w:val="TOC2"/>
            <w:tabs>
              <w:tab w:val="left" w:pos="880"/>
              <w:tab w:val="right" w:leader="dot" w:pos="8495"/>
            </w:tabs>
            <w:rPr>
              <w:rFonts w:eastAsiaTheme="minorEastAsia"/>
              <w:noProof/>
              <w:lang w:val="en-US" w:eastAsia="zh-CN"/>
            </w:rPr>
          </w:pPr>
          <w:hyperlink w:anchor="_Toc485200185" w:history="1">
            <w:r w:rsidR="009F6353" w:rsidRPr="0009568D">
              <w:rPr>
                <w:rStyle w:val="Hyperlink"/>
                <w:noProof/>
              </w:rPr>
              <w:t>1.3</w:t>
            </w:r>
            <w:r w:rsidR="009F6353">
              <w:rPr>
                <w:rFonts w:eastAsiaTheme="minorEastAsia"/>
                <w:noProof/>
                <w:lang w:val="en-US" w:eastAsia="zh-CN"/>
              </w:rPr>
              <w:tab/>
            </w:r>
            <w:r w:rsidR="009F6353" w:rsidRPr="0009568D">
              <w:rPr>
                <w:rStyle w:val="Hyperlink"/>
                <w:noProof/>
              </w:rPr>
              <w:t>Antecedentes técnicos.</w:t>
            </w:r>
            <w:r w:rsidR="009F6353">
              <w:rPr>
                <w:noProof/>
                <w:webHidden/>
              </w:rPr>
              <w:tab/>
            </w:r>
            <w:r w:rsidR="009F6353">
              <w:rPr>
                <w:noProof/>
                <w:webHidden/>
              </w:rPr>
              <w:fldChar w:fldCharType="begin"/>
            </w:r>
            <w:r w:rsidR="009F6353">
              <w:rPr>
                <w:noProof/>
                <w:webHidden/>
              </w:rPr>
              <w:instrText xml:space="preserve"> PAGEREF _Toc485200185 \h </w:instrText>
            </w:r>
            <w:r w:rsidR="009F6353">
              <w:rPr>
                <w:noProof/>
                <w:webHidden/>
              </w:rPr>
            </w:r>
            <w:r w:rsidR="009F6353">
              <w:rPr>
                <w:noProof/>
                <w:webHidden/>
              </w:rPr>
              <w:fldChar w:fldCharType="separate"/>
            </w:r>
            <w:r w:rsidR="009F6353">
              <w:rPr>
                <w:noProof/>
                <w:webHidden/>
              </w:rPr>
              <w:t>147</w:t>
            </w:r>
            <w:r w:rsidR="009F6353">
              <w:rPr>
                <w:noProof/>
                <w:webHidden/>
              </w:rPr>
              <w:fldChar w:fldCharType="end"/>
            </w:r>
          </w:hyperlink>
        </w:p>
        <w:p w14:paraId="35F2066C" w14:textId="1A681565" w:rsidR="009F6353" w:rsidRDefault="005C1A74">
          <w:pPr>
            <w:pStyle w:val="TOC2"/>
            <w:tabs>
              <w:tab w:val="left" w:pos="880"/>
              <w:tab w:val="right" w:leader="dot" w:pos="8495"/>
            </w:tabs>
            <w:rPr>
              <w:rFonts w:eastAsiaTheme="minorEastAsia"/>
              <w:noProof/>
              <w:lang w:val="en-US" w:eastAsia="zh-CN"/>
            </w:rPr>
          </w:pPr>
          <w:hyperlink w:anchor="_Toc485200186" w:history="1">
            <w:r w:rsidR="009F6353" w:rsidRPr="0009568D">
              <w:rPr>
                <w:rStyle w:val="Hyperlink"/>
                <w:noProof/>
              </w:rPr>
              <w:t>1.4</w:t>
            </w:r>
            <w:r w:rsidR="009F6353">
              <w:rPr>
                <w:rFonts w:eastAsiaTheme="minorEastAsia"/>
                <w:noProof/>
                <w:lang w:val="en-US" w:eastAsia="zh-CN"/>
              </w:rPr>
              <w:tab/>
            </w:r>
            <w:r w:rsidR="009F6353" w:rsidRPr="0009568D">
              <w:rPr>
                <w:rStyle w:val="Hyperlink"/>
                <w:noProof/>
              </w:rPr>
              <w:t>Antecedentes normativos.</w:t>
            </w:r>
            <w:r w:rsidR="009F6353">
              <w:rPr>
                <w:noProof/>
                <w:webHidden/>
              </w:rPr>
              <w:tab/>
            </w:r>
            <w:r w:rsidR="009F6353">
              <w:rPr>
                <w:noProof/>
                <w:webHidden/>
              </w:rPr>
              <w:fldChar w:fldCharType="begin"/>
            </w:r>
            <w:r w:rsidR="009F6353">
              <w:rPr>
                <w:noProof/>
                <w:webHidden/>
              </w:rPr>
              <w:instrText xml:space="preserve"> PAGEREF _Toc485200186 \h </w:instrText>
            </w:r>
            <w:r w:rsidR="009F6353">
              <w:rPr>
                <w:noProof/>
                <w:webHidden/>
              </w:rPr>
            </w:r>
            <w:r w:rsidR="009F6353">
              <w:rPr>
                <w:noProof/>
                <w:webHidden/>
              </w:rPr>
              <w:fldChar w:fldCharType="separate"/>
            </w:r>
            <w:r w:rsidR="009F6353">
              <w:rPr>
                <w:noProof/>
                <w:webHidden/>
              </w:rPr>
              <w:t>148</w:t>
            </w:r>
            <w:r w:rsidR="009F6353">
              <w:rPr>
                <w:noProof/>
                <w:webHidden/>
              </w:rPr>
              <w:fldChar w:fldCharType="end"/>
            </w:r>
          </w:hyperlink>
        </w:p>
        <w:p w14:paraId="20ED398C" w14:textId="58FD7064" w:rsidR="009F6353" w:rsidRDefault="005C1A74">
          <w:pPr>
            <w:pStyle w:val="TOC2"/>
            <w:tabs>
              <w:tab w:val="left" w:pos="1100"/>
              <w:tab w:val="right" w:leader="dot" w:pos="8495"/>
            </w:tabs>
            <w:rPr>
              <w:rFonts w:eastAsiaTheme="minorEastAsia"/>
              <w:noProof/>
              <w:lang w:val="en-US" w:eastAsia="zh-CN"/>
            </w:rPr>
          </w:pPr>
          <w:hyperlink w:anchor="_Toc485200187" w:history="1">
            <w:r w:rsidR="009F6353" w:rsidRPr="0009568D">
              <w:rPr>
                <w:rStyle w:val="Hyperlink"/>
                <w:noProof/>
              </w:rPr>
              <w:t>1.4.1</w:t>
            </w:r>
            <w:r w:rsidR="009F6353">
              <w:rPr>
                <w:rFonts w:eastAsiaTheme="minorEastAsia"/>
                <w:noProof/>
                <w:lang w:val="en-US" w:eastAsia="zh-CN"/>
              </w:rPr>
              <w:tab/>
            </w:r>
            <w:r w:rsidR="009F6353" w:rsidRPr="0009568D">
              <w:rPr>
                <w:rStyle w:val="Hyperlink"/>
                <w:noProof/>
              </w:rPr>
              <w:t>Decreto PEN Nro. 304/06.</w:t>
            </w:r>
            <w:r w:rsidR="009F6353">
              <w:rPr>
                <w:noProof/>
                <w:webHidden/>
              </w:rPr>
              <w:tab/>
            </w:r>
            <w:r w:rsidR="009F6353">
              <w:rPr>
                <w:noProof/>
                <w:webHidden/>
              </w:rPr>
              <w:fldChar w:fldCharType="begin"/>
            </w:r>
            <w:r w:rsidR="009F6353">
              <w:rPr>
                <w:noProof/>
                <w:webHidden/>
              </w:rPr>
              <w:instrText xml:space="preserve"> PAGEREF _Toc485200187 \h </w:instrText>
            </w:r>
            <w:r w:rsidR="009F6353">
              <w:rPr>
                <w:noProof/>
                <w:webHidden/>
              </w:rPr>
            </w:r>
            <w:r w:rsidR="009F6353">
              <w:rPr>
                <w:noProof/>
                <w:webHidden/>
              </w:rPr>
              <w:fldChar w:fldCharType="separate"/>
            </w:r>
            <w:r w:rsidR="009F6353">
              <w:rPr>
                <w:noProof/>
                <w:webHidden/>
              </w:rPr>
              <w:t>148</w:t>
            </w:r>
            <w:r w:rsidR="009F6353">
              <w:rPr>
                <w:noProof/>
                <w:webHidden/>
              </w:rPr>
              <w:fldChar w:fldCharType="end"/>
            </w:r>
          </w:hyperlink>
        </w:p>
        <w:p w14:paraId="47C5814E" w14:textId="5A09E8F7" w:rsidR="009F6353" w:rsidRDefault="005C1A74">
          <w:pPr>
            <w:pStyle w:val="TOC2"/>
            <w:tabs>
              <w:tab w:val="left" w:pos="1100"/>
              <w:tab w:val="right" w:leader="dot" w:pos="8495"/>
            </w:tabs>
            <w:rPr>
              <w:rFonts w:eastAsiaTheme="minorEastAsia"/>
              <w:noProof/>
              <w:lang w:val="en-US" w:eastAsia="zh-CN"/>
            </w:rPr>
          </w:pPr>
          <w:hyperlink w:anchor="_Toc485200188" w:history="1">
            <w:r w:rsidR="009F6353" w:rsidRPr="0009568D">
              <w:rPr>
                <w:rStyle w:val="Hyperlink"/>
                <w:noProof/>
              </w:rPr>
              <w:t>1.4.2</w:t>
            </w:r>
            <w:r w:rsidR="009F6353">
              <w:rPr>
                <w:rFonts w:eastAsiaTheme="minorEastAsia"/>
                <w:noProof/>
                <w:lang w:val="en-US" w:eastAsia="zh-CN"/>
              </w:rPr>
              <w:tab/>
            </w:r>
            <w:r w:rsidR="009F6353" w:rsidRPr="0009568D">
              <w:rPr>
                <w:rStyle w:val="Hyperlink"/>
                <w:noProof/>
              </w:rPr>
              <w:t>Régimen Legal:</w:t>
            </w:r>
            <w:r w:rsidR="009F6353">
              <w:rPr>
                <w:noProof/>
                <w:webHidden/>
              </w:rPr>
              <w:tab/>
            </w:r>
            <w:r w:rsidR="009F6353">
              <w:rPr>
                <w:noProof/>
                <w:webHidden/>
              </w:rPr>
              <w:fldChar w:fldCharType="begin"/>
            </w:r>
            <w:r w:rsidR="009F6353">
              <w:rPr>
                <w:noProof/>
                <w:webHidden/>
              </w:rPr>
              <w:instrText xml:space="preserve"> PAGEREF _Toc485200188 \h </w:instrText>
            </w:r>
            <w:r w:rsidR="009F6353">
              <w:rPr>
                <w:noProof/>
                <w:webHidden/>
              </w:rPr>
            </w:r>
            <w:r w:rsidR="009F6353">
              <w:rPr>
                <w:noProof/>
                <w:webHidden/>
              </w:rPr>
              <w:fldChar w:fldCharType="separate"/>
            </w:r>
            <w:r w:rsidR="009F6353">
              <w:rPr>
                <w:noProof/>
                <w:webHidden/>
              </w:rPr>
              <w:t>148</w:t>
            </w:r>
            <w:r w:rsidR="009F6353">
              <w:rPr>
                <w:noProof/>
                <w:webHidden/>
              </w:rPr>
              <w:fldChar w:fldCharType="end"/>
            </w:r>
          </w:hyperlink>
        </w:p>
        <w:p w14:paraId="7EFE782E" w14:textId="55EE118D" w:rsidR="009F6353" w:rsidRDefault="005C1A74">
          <w:pPr>
            <w:pStyle w:val="TOC2"/>
            <w:tabs>
              <w:tab w:val="left" w:pos="1100"/>
              <w:tab w:val="right" w:leader="dot" w:pos="8495"/>
            </w:tabs>
            <w:rPr>
              <w:rFonts w:eastAsiaTheme="minorEastAsia"/>
              <w:noProof/>
              <w:lang w:val="en-US" w:eastAsia="zh-CN"/>
            </w:rPr>
          </w:pPr>
          <w:hyperlink w:anchor="_Toc485200189" w:history="1">
            <w:r w:rsidR="009F6353" w:rsidRPr="0009568D">
              <w:rPr>
                <w:rStyle w:val="Hyperlink"/>
                <w:noProof/>
              </w:rPr>
              <w:t>1.4.3</w:t>
            </w:r>
            <w:r w:rsidR="009F6353">
              <w:rPr>
                <w:rFonts w:eastAsiaTheme="minorEastAsia"/>
                <w:noProof/>
                <w:lang w:val="en-US" w:eastAsia="zh-CN"/>
              </w:rPr>
              <w:tab/>
            </w:r>
            <w:r w:rsidR="009F6353" w:rsidRPr="0009568D">
              <w:rPr>
                <w:rStyle w:val="Hyperlink"/>
                <w:noProof/>
              </w:rPr>
              <w:t>Ley 26.100.</w:t>
            </w:r>
            <w:r w:rsidR="009F6353">
              <w:rPr>
                <w:noProof/>
                <w:webHidden/>
              </w:rPr>
              <w:tab/>
            </w:r>
            <w:r w:rsidR="009F6353">
              <w:rPr>
                <w:noProof/>
                <w:webHidden/>
              </w:rPr>
              <w:fldChar w:fldCharType="begin"/>
            </w:r>
            <w:r w:rsidR="009F6353">
              <w:rPr>
                <w:noProof/>
                <w:webHidden/>
              </w:rPr>
              <w:instrText xml:space="preserve"> PAGEREF _Toc485200189 \h </w:instrText>
            </w:r>
            <w:r w:rsidR="009F6353">
              <w:rPr>
                <w:noProof/>
                <w:webHidden/>
              </w:rPr>
            </w:r>
            <w:r w:rsidR="009F6353">
              <w:rPr>
                <w:noProof/>
                <w:webHidden/>
              </w:rPr>
              <w:fldChar w:fldCharType="separate"/>
            </w:r>
            <w:r w:rsidR="009F6353">
              <w:rPr>
                <w:noProof/>
                <w:webHidden/>
              </w:rPr>
              <w:t>149</w:t>
            </w:r>
            <w:r w:rsidR="009F6353">
              <w:rPr>
                <w:noProof/>
                <w:webHidden/>
              </w:rPr>
              <w:fldChar w:fldCharType="end"/>
            </w:r>
          </w:hyperlink>
        </w:p>
        <w:p w14:paraId="03557DAB" w14:textId="05AD6B4B" w:rsidR="009F6353" w:rsidRDefault="005C1A74">
          <w:pPr>
            <w:pStyle w:val="TOC2"/>
            <w:tabs>
              <w:tab w:val="left" w:pos="1100"/>
              <w:tab w:val="right" w:leader="dot" w:pos="8495"/>
            </w:tabs>
            <w:rPr>
              <w:rFonts w:eastAsiaTheme="minorEastAsia"/>
              <w:noProof/>
              <w:lang w:val="en-US" w:eastAsia="zh-CN"/>
            </w:rPr>
          </w:pPr>
          <w:hyperlink w:anchor="_Toc485200190" w:history="1">
            <w:r w:rsidR="009F6353" w:rsidRPr="0009568D">
              <w:rPr>
                <w:rStyle w:val="Hyperlink"/>
                <w:noProof/>
              </w:rPr>
              <w:t>1.4.4</w:t>
            </w:r>
            <w:r w:rsidR="009F6353">
              <w:rPr>
                <w:rFonts w:eastAsiaTheme="minorEastAsia"/>
                <w:noProof/>
                <w:lang w:val="en-US" w:eastAsia="zh-CN"/>
              </w:rPr>
              <w:tab/>
            </w:r>
            <w:r w:rsidR="009F6353" w:rsidRPr="0009568D">
              <w:rPr>
                <w:rStyle w:val="Hyperlink"/>
                <w:noProof/>
              </w:rPr>
              <w:t>Ley 26.221.</w:t>
            </w:r>
            <w:r w:rsidR="009F6353">
              <w:rPr>
                <w:noProof/>
                <w:webHidden/>
              </w:rPr>
              <w:tab/>
            </w:r>
            <w:r w:rsidR="009F6353">
              <w:rPr>
                <w:noProof/>
                <w:webHidden/>
              </w:rPr>
              <w:fldChar w:fldCharType="begin"/>
            </w:r>
            <w:r w:rsidR="009F6353">
              <w:rPr>
                <w:noProof/>
                <w:webHidden/>
              </w:rPr>
              <w:instrText xml:space="preserve"> PAGEREF _Toc485200190 \h </w:instrText>
            </w:r>
            <w:r w:rsidR="009F6353">
              <w:rPr>
                <w:noProof/>
                <w:webHidden/>
              </w:rPr>
            </w:r>
            <w:r w:rsidR="009F6353">
              <w:rPr>
                <w:noProof/>
                <w:webHidden/>
              </w:rPr>
              <w:fldChar w:fldCharType="separate"/>
            </w:r>
            <w:r w:rsidR="009F6353">
              <w:rPr>
                <w:noProof/>
                <w:webHidden/>
              </w:rPr>
              <w:t>149</w:t>
            </w:r>
            <w:r w:rsidR="009F6353">
              <w:rPr>
                <w:noProof/>
                <w:webHidden/>
              </w:rPr>
              <w:fldChar w:fldCharType="end"/>
            </w:r>
          </w:hyperlink>
        </w:p>
        <w:p w14:paraId="01C2AD77" w14:textId="3DB11AA7" w:rsidR="009F6353" w:rsidRDefault="005C1A74">
          <w:pPr>
            <w:pStyle w:val="TOC2"/>
            <w:tabs>
              <w:tab w:val="left" w:pos="1100"/>
              <w:tab w:val="right" w:leader="dot" w:pos="8495"/>
            </w:tabs>
            <w:rPr>
              <w:rFonts w:eastAsiaTheme="minorEastAsia"/>
              <w:noProof/>
              <w:lang w:val="en-US" w:eastAsia="zh-CN"/>
            </w:rPr>
          </w:pPr>
          <w:hyperlink w:anchor="_Toc485200191" w:history="1">
            <w:r w:rsidR="009F6353" w:rsidRPr="0009568D">
              <w:rPr>
                <w:rStyle w:val="Hyperlink"/>
                <w:noProof/>
              </w:rPr>
              <w:t>1.4.5</w:t>
            </w:r>
            <w:r w:rsidR="009F6353">
              <w:rPr>
                <w:rFonts w:eastAsiaTheme="minorEastAsia"/>
                <w:noProof/>
                <w:lang w:val="en-US" w:eastAsia="zh-CN"/>
              </w:rPr>
              <w:tab/>
            </w:r>
            <w:r w:rsidR="009F6353" w:rsidRPr="0009568D">
              <w:rPr>
                <w:rStyle w:val="Hyperlink"/>
                <w:noProof/>
              </w:rPr>
              <w:t>Marco Regulatorio.</w:t>
            </w:r>
            <w:r w:rsidR="009F6353">
              <w:rPr>
                <w:noProof/>
                <w:webHidden/>
              </w:rPr>
              <w:tab/>
            </w:r>
            <w:r w:rsidR="009F6353">
              <w:rPr>
                <w:noProof/>
                <w:webHidden/>
              </w:rPr>
              <w:fldChar w:fldCharType="begin"/>
            </w:r>
            <w:r w:rsidR="009F6353">
              <w:rPr>
                <w:noProof/>
                <w:webHidden/>
              </w:rPr>
              <w:instrText xml:space="preserve"> PAGEREF _Toc485200191 \h </w:instrText>
            </w:r>
            <w:r w:rsidR="009F6353">
              <w:rPr>
                <w:noProof/>
                <w:webHidden/>
              </w:rPr>
            </w:r>
            <w:r w:rsidR="009F6353">
              <w:rPr>
                <w:noProof/>
                <w:webHidden/>
              </w:rPr>
              <w:fldChar w:fldCharType="separate"/>
            </w:r>
            <w:r w:rsidR="009F6353">
              <w:rPr>
                <w:noProof/>
                <w:webHidden/>
              </w:rPr>
              <w:t>149</w:t>
            </w:r>
            <w:r w:rsidR="009F6353">
              <w:rPr>
                <w:noProof/>
                <w:webHidden/>
              </w:rPr>
              <w:fldChar w:fldCharType="end"/>
            </w:r>
          </w:hyperlink>
        </w:p>
        <w:p w14:paraId="24856561" w14:textId="4F0F76B6" w:rsidR="009F6353" w:rsidRDefault="005C1A74">
          <w:pPr>
            <w:pStyle w:val="TOC2"/>
            <w:tabs>
              <w:tab w:val="left" w:pos="1100"/>
              <w:tab w:val="right" w:leader="dot" w:pos="8495"/>
            </w:tabs>
            <w:rPr>
              <w:rFonts w:eastAsiaTheme="minorEastAsia"/>
              <w:noProof/>
              <w:lang w:val="en-US" w:eastAsia="zh-CN"/>
            </w:rPr>
          </w:pPr>
          <w:hyperlink w:anchor="_Toc485200192" w:history="1">
            <w:r w:rsidR="009F6353" w:rsidRPr="0009568D">
              <w:rPr>
                <w:rStyle w:val="Hyperlink"/>
                <w:noProof/>
              </w:rPr>
              <w:t>1.4.6</w:t>
            </w:r>
            <w:r w:rsidR="009F6353">
              <w:rPr>
                <w:rFonts w:eastAsiaTheme="minorEastAsia"/>
                <w:noProof/>
                <w:lang w:val="en-US" w:eastAsia="zh-CN"/>
              </w:rPr>
              <w:tab/>
            </w:r>
            <w:r w:rsidR="009F6353" w:rsidRPr="0009568D">
              <w:rPr>
                <w:rStyle w:val="Hyperlink"/>
                <w:noProof/>
              </w:rPr>
              <w:t>Instrumento de Vinculación.</w:t>
            </w:r>
            <w:r w:rsidR="009F6353">
              <w:rPr>
                <w:noProof/>
                <w:webHidden/>
              </w:rPr>
              <w:tab/>
            </w:r>
            <w:r w:rsidR="009F6353">
              <w:rPr>
                <w:noProof/>
                <w:webHidden/>
              </w:rPr>
              <w:fldChar w:fldCharType="begin"/>
            </w:r>
            <w:r w:rsidR="009F6353">
              <w:rPr>
                <w:noProof/>
                <w:webHidden/>
              </w:rPr>
              <w:instrText xml:space="preserve"> PAGEREF _Toc485200192 \h </w:instrText>
            </w:r>
            <w:r w:rsidR="009F6353">
              <w:rPr>
                <w:noProof/>
                <w:webHidden/>
              </w:rPr>
            </w:r>
            <w:r w:rsidR="009F6353">
              <w:rPr>
                <w:noProof/>
                <w:webHidden/>
              </w:rPr>
              <w:fldChar w:fldCharType="separate"/>
            </w:r>
            <w:r w:rsidR="009F6353">
              <w:rPr>
                <w:noProof/>
                <w:webHidden/>
              </w:rPr>
              <w:t>151</w:t>
            </w:r>
            <w:r w:rsidR="009F6353">
              <w:rPr>
                <w:noProof/>
                <w:webHidden/>
              </w:rPr>
              <w:fldChar w:fldCharType="end"/>
            </w:r>
          </w:hyperlink>
        </w:p>
        <w:p w14:paraId="2C8F0818" w14:textId="2A73FB70" w:rsidR="009F6353" w:rsidRDefault="005C1A74">
          <w:pPr>
            <w:pStyle w:val="TOC2"/>
            <w:tabs>
              <w:tab w:val="left" w:pos="1100"/>
              <w:tab w:val="right" w:leader="dot" w:pos="8495"/>
            </w:tabs>
            <w:rPr>
              <w:rFonts w:eastAsiaTheme="minorEastAsia"/>
              <w:noProof/>
              <w:lang w:val="en-US" w:eastAsia="zh-CN"/>
            </w:rPr>
          </w:pPr>
          <w:hyperlink w:anchor="_Toc485200193" w:history="1">
            <w:r w:rsidR="009F6353" w:rsidRPr="0009568D">
              <w:rPr>
                <w:rStyle w:val="Hyperlink"/>
                <w:noProof/>
              </w:rPr>
              <w:t>1.4.7</w:t>
            </w:r>
            <w:r w:rsidR="009F6353">
              <w:rPr>
                <w:rFonts w:eastAsiaTheme="minorEastAsia"/>
                <w:noProof/>
                <w:lang w:val="en-US" w:eastAsia="zh-CN"/>
              </w:rPr>
              <w:tab/>
            </w:r>
            <w:r w:rsidR="009F6353" w:rsidRPr="0009568D">
              <w:rPr>
                <w:rStyle w:val="Hyperlink"/>
                <w:noProof/>
              </w:rPr>
              <w:t>Ley 13.577 - Orgánica de Obras Sanitarias de la Nación y sus modificatorias.</w:t>
            </w:r>
            <w:r w:rsidR="009F6353">
              <w:rPr>
                <w:noProof/>
                <w:webHidden/>
              </w:rPr>
              <w:tab/>
            </w:r>
            <w:r w:rsidR="009F6353">
              <w:rPr>
                <w:noProof/>
                <w:webHidden/>
              </w:rPr>
              <w:fldChar w:fldCharType="begin"/>
            </w:r>
            <w:r w:rsidR="009F6353">
              <w:rPr>
                <w:noProof/>
                <w:webHidden/>
              </w:rPr>
              <w:instrText xml:space="preserve"> PAGEREF _Toc485200193 \h </w:instrText>
            </w:r>
            <w:r w:rsidR="009F6353">
              <w:rPr>
                <w:noProof/>
                <w:webHidden/>
              </w:rPr>
            </w:r>
            <w:r w:rsidR="009F6353">
              <w:rPr>
                <w:noProof/>
                <w:webHidden/>
              </w:rPr>
              <w:fldChar w:fldCharType="separate"/>
            </w:r>
            <w:r w:rsidR="009F6353">
              <w:rPr>
                <w:noProof/>
                <w:webHidden/>
              </w:rPr>
              <w:t>151</w:t>
            </w:r>
            <w:r w:rsidR="009F6353">
              <w:rPr>
                <w:noProof/>
                <w:webHidden/>
              </w:rPr>
              <w:fldChar w:fldCharType="end"/>
            </w:r>
          </w:hyperlink>
        </w:p>
        <w:p w14:paraId="063640A3" w14:textId="6B866862" w:rsidR="009F6353" w:rsidRDefault="005C1A74">
          <w:pPr>
            <w:pStyle w:val="TOC2"/>
            <w:tabs>
              <w:tab w:val="left" w:pos="1100"/>
              <w:tab w:val="right" w:leader="dot" w:pos="8495"/>
            </w:tabs>
            <w:rPr>
              <w:rFonts w:eastAsiaTheme="minorEastAsia"/>
              <w:noProof/>
              <w:lang w:val="en-US" w:eastAsia="zh-CN"/>
            </w:rPr>
          </w:pPr>
          <w:hyperlink w:anchor="_Toc485200194" w:history="1">
            <w:r w:rsidR="009F6353" w:rsidRPr="0009568D">
              <w:rPr>
                <w:rStyle w:val="Hyperlink"/>
                <w:noProof/>
              </w:rPr>
              <w:t>1.4.8</w:t>
            </w:r>
            <w:r w:rsidR="009F6353">
              <w:rPr>
                <w:rFonts w:eastAsiaTheme="minorEastAsia"/>
                <w:noProof/>
                <w:lang w:val="en-US" w:eastAsia="zh-CN"/>
              </w:rPr>
              <w:tab/>
            </w:r>
            <w:r w:rsidR="009F6353" w:rsidRPr="0009568D">
              <w:rPr>
                <w:rStyle w:val="Hyperlink"/>
                <w:noProof/>
              </w:rPr>
              <w:t>Ley 14.830 de la Provincia de Buenos Aires</w:t>
            </w:r>
            <w:r w:rsidR="009F6353">
              <w:rPr>
                <w:noProof/>
                <w:webHidden/>
              </w:rPr>
              <w:tab/>
            </w:r>
            <w:r w:rsidR="009F6353">
              <w:rPr>
                <w:noProof/>
                <w:webHidden/>
              </w:rPr>
              <w:fldChar w:fldCharType="begin"/>
            </w:r>
            <w:r w:rsidR="009F6353">
              <w:rPr>
                <w:noProof/>
                <w:webHidden/>
              </w:rPr>
              <w:instrText xml:space="preserve"> PAGEREF _Toc485200194 \h </w:instrText>
            </w:r>
            <w:r w:rsidR="009F6353">
              <w:rPr>
                <w:noProof/>
                <w:webHidden/>
              </w:rPr>
            </w:r>
            <w:r w:rsidR="009F6353">
              <w:rPr>
                <w:noProof/>
                <w:webHidden/>
              </w:rPr>
              <w:fldChar w:fldCharType="separate"/>
            </w:r>
            <w:r w:rsidR="009F6353">
              <w:rPr>
                <w:noProof/>
                <w:webHidden/>
              </w:rPr>
              <w:t>151</w:t>
            </w:r>
            <w:r w:rsidR="009F6353">
              <w:rPr>
                <w:noProof/>
                <w:webHidden/>
              </w:rPr>
              <w:fldChar w:fldCharType="end"/>
            </w:r>
          </w:hyperlink>
        </w:p>
        <w:p w14:paraId="6A5A5E5E" w14:textId="294943C5" w:rsidR="009F6353" w:rsidRDefault="005C1A74">
          <w:pPr>
            <w:pStyle w:val="TOC2"/>
            <w:tabs>
              <w:tab w:val="left" w:pos="1100"/>
              <w:tab w:val="right" w:leader="dot" w:pos="8495"/>
            </w:tabs>
            <w:rPr>
              <w:rFonts w:eastAsiaTheme="minorEastAsia"/>
              <w:noProof/>
              <w:lang w:val="en-US" w:eastAsia="zh-CN"/>
            </w:rPr>
          </w:pPr>
          <w:hyperlink w:anchor="_Toc485200195" w:history="1">
            <w:r w:rsidR="009F6353" w:rsidRPr="0009568D">
              <w:rPr>
                <w:rStyle w:val="Hyperlink"/>
                <w:noProof/>
              </w:rPr>
              <w:t>1.4.9</w:t>
            </w:r>
            <w:r w:rsidR="009F6353">
              <w:rPr>
                <w:rFonts w:eastAsiaTheme="minorEastAsia"/>
                <w:noProof/>
                <w:lang w:val="en-US" w:eastAsia="zh-CN"/>
              </w:rPr>
              <w:tab/>
            </w:r>
            <w:r w:rsidR="009F6353" w:rsidRPr="0009568D">
              <w:rPr>
                <w:rStyle w:val="Hyperlink"/>
                <w:noProof/>
              </w:rPr>
              <w:t>Resolución SRNyDS Nro. 634/98</w:t>
            </w:r>
            <w:r w:rsidR="009F6353">
              <w:rPr>
                <w:noProof/>
                <w:webHidden/>
              </w:rPr>
              <w:tab/>
            </w:r>
            <w:r w:rsidR="009F6353">
              <w:rPr>
                <w:noProof/>
                <w:webHidden/>
              </w:rPr>
              <w:fldChar w:fldCharType="begin"/>
            </w:r>
            <w:r w:rsidR="009F6353">
              <w:rPr>
                <w:noProof/>
                <w:webHidden/>
              </w:rPr>
              <w:instrText xml:space="preserve"> PAGEREF _Toc485200195 \h </w:instrText>
            </w:r>
            <w:r w:rsidR="009F6353">
              <w:rPr>
                <w:noProof/>
                <w:webHidden/>
              </w:rPr>
            </w:r>
            <w:r w:rsidR="009F6353">
              <w:rPr>
                <w:noProof/>
                <w:webHidden/>
              </w:rPr>
              <w:fldChar w:fldCharType="separate"/>
            </w:r>
            <w:r w:rsidR="009F6353">
              <w:rPr>
                <w:noProof/>
                <w:webHidden/>
              </w:rPr>
              <w:t>151</w:t>
            </w:r>
            <w:r w:rsidR="009F6353">
              <w:rPr>
                <w:noProof/>
                <w:webHidden/>
              </w:rPr>
              <w:fldChar w:fldCharType="end"/>
            </w:r>
          </w:hyperlink>
        </w:p>
        <w:p w14:paraId="27E31BFC" w14:textId="0891D382" w:rsidR="009F6353" w:rsidRDefault="005C1A74">
          <w:pPr>
            <w:pStyle w:val="TOC2"/>
            <w:tabs>
              <w:tab w:val="left" w:pos="660"/>
              <w:tab w:val="right" w:leader="dot" w:pos="8495"/>
            </w:tabs>
            <w:rPr>
              <w:rFonts w:eastAsiaTheme="minorEastAsia"/>
              <w:noProof/>
              <w:lang w:val="en-US" w:eastAsia="zh-CN"/>
            </w:rPr>
          </w:pPr>
          <w:hyperlink w:anchor="_Toc485200196" w:history="1">
            <w:r w:rsidR="009F6353" w:rsidRPr="0009568D">
              <w:rPr>
                <w:rStyle w:val="Hyperlink"/>
                <w:noProof/>
              </w:rPr>
              <w:t>2</w:t>
            </w:r>
            <w:r w:rsidR="009F6353">
              <w:rPr>
                <w:rFonts w:eastAsiaTheme="minorEastAsia"/>
                <w:noProof/>
                <w:lang w:val="en-US" w:eastAsia="zh-CN"/>
              </w:rPr>
              <w:tab/>
            </w:r>
            <w:r w:rsidR="009F6353" w:rsidRPr="0009568D">
              <w:rPr>
                <w:rStyle w:val="Hyperlink"/>
                <w:noProof/>
              </w:rPr>
              <w:t>Descripción General del Proyecto.</w:t>
            </w:r>
            <w:r w:rsidR="009F6353">
              <w:rPr>
                <w:noProof/>
                <w:webHidden/>
              </w:rPr>
              <w:tab/>
            </w:r>
            <w:r w:rsidR="009F6353">
              <w:rPr>
                <w:noProof/>
                <w:webHidden/>
              </w:rPr>
              <w:fldChar w:fldCharType="begin"/>
            </w:r>
            <w:r w:rsidR="009F6353">
              <w:rPr>
                <w:noProof/>
                <w:webHidden/>
              </w:rPr>
              <w:instrText xml:space="preserve"> PAGEREF _Toc485200196 \h </w:instrText>
            </w:r>
            <w:r w:rsidR="009F6353">
              <w:rPr>
                <w:noProof/>
                <w:webHidden/>
              </w:rPr>
            </w:r>
            <w:r w:rsidR="009F6353">
              <w:rPr>
                <w:noProof/>
                <w:webHidden/>
              </w:rPr>
              <w:fldChar w:fldCharType="separate"/>
            </w:r>
            <w:r w:rsidR="009F6353">
              <w:rPr>
                <w:noProof/>
                <w:webHidden/>
              </w:rPr>
              <w:t>151</w:t>
            </w:r>
            <w:r w:rsidR="009F6353">
              <w:rPr>
                <w:noProof/>
                <w:webHidden/>
              </w:rPr>
              <w:fldChar w:fldCharType="end"/>
            </w:r>
          </w:hyperlink>
        </w:p>
        <w:p w14:paraId="4EB5523C" w14:textId="4037ABCE" w:rsidR="009F6353" w:rsidRDefault="005C1A74">
          <w:pPr>
            <w:pStyle w:val="TOC2"/>
            <w:tabs>
              <w:tab w:val="left" w:pos="880"/>
              <w:tab w:val="right" w:leader="dot" w:pos="8495"/>
            </w:tabs>
            <w:rPr>
              <w:rFonts w:eastAsiaTheme="minorEastAsia"/>
              <w:noProof/>
              <w:lang w:val="en-US" w:eastAsia="zh-CN"/>
            </w:rPr>
          </w:pPr>
          <w:hyperlink w:anchor="_Toc485200197" w:history="1">
            <w:r w:rsidR="009F6353" w:rsidRPr="0009568D">
              <w:rPr>
                <w:rStyle w:val="Hyperlink"/>
                <w:noProof/>
              </w:rPr>
              <w:t>2.1</w:t>
            </w:r>
            <w:r w:rsidR="009F6353">
              <w:rPr>
                <w:rFonts w:eastAsiaTheme="minorEastAsia"/>
                <w:noProof/>
                <w:lang w:val="en-US" w:eastAsia="zh-CN"/>
              </w:rPr>
              <w:tab/>
            </w:r>
            <w:r w:rsidR="009F6353" w:rsidRPr="0009568D">
              <w:rPr>
                <w:rStyle w:val="Hyperlink"/>
                <w:noProof/>
              </w:rPr>
              <w:t>Descripción de las instalaciones existentes</w:t>
            </w:r>
            <w:r w:rsidR="009F6353">
              <w:rPr>
                <w:noProof/>
                <w:webHidden/>
              </w:rPr>
              <w:tab/>
            </w:r>
            <w:r w:rsidR="009F6353">
              <w:rPr>
                <w:noProof/>
                <w:webHidden/>
              </w:rPr>
              <w:fldChar w:fldCharType="begin"/>
            </w:r>
            <w:r w:rsidR="009F6353">
              <w:rPr>
                <w:noProof/>
                <w:webHidden/>
              </w:rPr>
              <w:instrText xml:space="preserve"> PAGEREF _Toc485200197 \h </w:instrText>
            </w:r>
            <w:r w:rsidR="009F6353">
              <w:rPr>
                <w:noProof/>
                <w:webHidden/>
              </w:rPr>
            </w:r>
            <w:r w:rsidR="009F6353">
              <w:rPr>
                <w:noProof/>
                <w:webHidden/>
              </w:rPr>
              <w:fldChar w:fldCharType="separate"/>
            </w:r>
            <w:r w:rsidR="009F6353">
              <w:rPr>
                <w:noProof/>
                <w:webHidden/>
              </w:rPr>
              <w:t>151</w:t>
            </w:r>
            <w:r w:rsidR="009F6353">
              <w:rPr>
                <w:noProof/>
                <w:webHidden/>
              </w:rPr>
              <w:fldChar w:fldCharType="end"/>
            </w:r>
          </w:hyperlink>
        </w:p>
        <w:p w14:paraId="1D20B0C6" w14:textId="6C0F6089" w:rsidR="009F6353" w:rsidRDefault="005C1A74">
          <w:pPr>
            <w:pStyle w:val="TOC2"/>
            <w:tabs>
              <w:tab w:val="left" w:pos="880"/>
              <w:tab w:val="right" w:leader="dot" w:pos="8495"/>
            </w:tabs>
            <w:rPr>
              <w:rFonts w:eastAsiaTheme="minorEastAsia"/>
              <w:noProof/>
              <w:lang w:val="en-US" w:eastAsia="zh-CN"/>
            </w:rPr>
          </w:pPr>
          <w:hyperlink w:anchor="_Toc485200198" w:history="1">
            <w:r w:rsidR="009F6353" w:rsidRPr="0009568D">
              <w:rPr>
                <w:rStyle w:val="Hyperlink"/>
                <w:noProof/>
              </w:rPr>
              <w:t>2.2</w:t>
            </w:r>
            <w:r w:rsidR="009F6353">
              <w:rPr>
                <w:rFonts w:eastAsiaTheme="minorEastAsia"/>
                <w:noProof/>
                <w:lang w:val="en-US" w:eastAsia="zh-CN"/>
              </w:rPr>
              <w:tab/>
            </w:r>
            <w:r w:rsidR="009F6353" w:rsidRPr="0009568D">
              <w:rPr>
                <w:rStyle w:val="Hyperlink"/>
                <w:noProof/>
              </w:rPr>
              <w:t>Descripción de las alternativas</w:t>
            </w:r>
            <w:r w:rsidR="009F6353">
              <w:rPr>
                <w:noProof/>
                <w:webHidden/>
              </w:rPr>
              <w:tab/>
            </w:r>
            <w:r w:rsidR="009F6353">
              <w:rPr>
                <w:noProof/>
                <w:webHidden/>
              </w:rPr>
              <w:fldChar w:fldCharType="begin"/>
            </w:r>
            <w:r w:rsidR="009F6353">
              <w:rPr>
                <w:noProof/>
                <w:webHidden/>
              </w:rPr>
              <w:instrText xml:space="preserve"> PAGEREF _Toc485200198 \h </w:instrText>
            </w:r>
            <w:r w:rsidR="009F6353">
              <w:rPr>
                <w:noProof/>
                <w:webHidden/>
              </w:rPr>
            </w:r>
            <w:r w:rsidR="009F6353">
              <w:rPr>
                <w:noProof/>
                <w:webHidden/>
              </w:rPr>
              <w:fldChar w:fldCharType="separate"/>
            </w:r>
            <w:r w:rsidR="009F6353">
              <w:rPr>
                <w:noProof/>
                <w:webHidden/>
              </w:rPr>
              <w:t>152</w:t>
            </w:r>
            <w:r w:rsidR="009F6353">
              <w:rPr>
                <w:noProof/>
                <w:webHidden/>
              </w:rPr>
              <w:fldChar w:fldCharType="end"/>
            </w:r>
          </w:hyperlink>
        </w:p>
        <w:p w14:paraId="0A2A61C4" w14:textId="58F74A8E" w:rsidR="009F6353" w:rsidRDefault="005C1A74">
          <w:pPr>
            <w:pStyle w:val="TOC2"/>
            <w:tabs>
              <w:tab w:val="left" w:pos="1100"/>
              <w:tab w:val="right" w:leader="dot" w:pos="8495"/>
            </w:tabs>
            <w:rPr>
              <w:rFonts w:eastAsiaTheme="minorEastAsia"/>
              <w:noProof/>
              <w:lang w:val="en-US" w:eastAsia="zh-CN"/>
            </w:rPr>
          </w:pPr>
          <w:hyperlink w:anchor="_Toc485200199" w:history="1">
            <w:r w:rsidR="009F6353" w:rsidRPr="0009568D">
              <w:rPr>
                <w:rStyle w:val="Hyperlink"/>
                <w:noProof/>
              </w:rPr>
              <w:t>2.2.1</w:t>
            </w:r>
            <w:r w:rsidR="009F6353">
              <w:rPr>
                <w:rFonts w:eastAsiaTheme="minorEastAsia"/>
                <w:noProof/>
                <w:lang w:val="en-US" w:eastAsia="zh-CN"/>
              </w:rPr>
              <w:tab/>
            </w:r>
            <w:r w:rsidR="009F6353" w:rsidRPr="0009568D">
              <w:rPr>
                <w:rStyle w:val="Hyperlink"/>
                <w:noProof/>
              </w:rPr>
              <w:t>Alternativa 1: Tratamiento por dilución</w:t>
            </w:r>
            <w:r w:rsidR="009F6353">
              <w:rPr>
                <w:noProof/>
                <w:webHidden/>
              </w:rPr>
              <w:tab/>
            </w:r>
            <w:r w:rsidR="009F6353">
              <w:rPr>
                <w:noProof/>
                <w:webHidden/>
              </w:rPr>
              <w:fldChar w:fldCharType="begin"/>
            </w:r>
            <w:r w:rsidR="009F6353">
              <w:rPr>
                <w:noProof/>
                <w:webHidden/>
              </w:rPr>
              <w:instrText xml:space="preserve"> PAGEREF _Toc485200199 \h </w:instrText>
            </w:r>
            <w:r w:rsidR="009F6353">
              <w:rPr>
                <w:noProof/>
                <w:webHidden/>
              </w:rPr>
            </w:r>
            <w:r w:rsidR="009F6353">
              <w:rPr>
                <w:noProof/>
                <w:webHidden/>
              </w:rPr>
              <w:fldChar w:fldCharType="separate"/>
            </w:r>
            <w:r w:rsidR="009F6353">
              <w:rPr>
                <w:noProof/>
                <w:webHidden/>
              </w:rPr>
              <w:t>153</w:t>
            </w:r>
            <w:r w:rsidR="009F6353">
              <w:rPr>
                <w:noProof/>
                <w:webHidden/>
              </w:rPr>
              <w:fldChar w:fldCharType="end"/>
            </w:r>
          </w:hyperlink>
        </w:p>
        <w:p w14:paraId="16F55AC5" w14:textId="601FE6B7" w:rsidR="009F6353" w:rsidRDefault="005C1A74">
          <w:pPr>
            <w:pStyle w:val="TOC2"/>
            <w:tabs>
              <w:tab w:val="left" w:pos="1100"/>
              <w:tab w:val="right" w:leader="dot" w:pos="8495"/>
            </w:tabs>
            <w:rPr>
              <w:rFonts w:eastAsiaTheme="minorEastAsia"/>
              <w:noProof/>
              <w:lang w:val="en-US" w:eastAsia="zh-CN"/>
            </w:rPr>
          </w:pPr>
          <w:hyperlink w:anchor="_Toc485200200" w:history="1">
            <w:r w:rsidR="009F6353" w:rsidRPr="0009568D">
              <w:rPr>
                <w:rStyle w:val="Hyperlink"/>
                <w:noProof/>
              </w:rPr>
              <w:t>2.2.2</w:t>
            </w:r>
            <w:r w:rsidR="009F6353">
              <w:rPr>
                <w:rFonts w:eastAsiaTheme="minorEastAsia"/>
                <w:noProof/>
                <w:lang w:val="en-US" w:eastAsia="zh-CN"/>
              </w:rPr>
              <w:tab/>
            </w:r>
            <w:r w:rsidR="009F6353" w:rsidRPr="0009568D">
              <w:rPr>
                <w:rStyle w:val="Hyperlink"/>
                <w:noProof/>
              </w:rPr>
              <w:t>Alternativa 2: Planta de tratamiento en dos etapas.</w:t>
            </w:r>
            <w:r w:rsidR="009F6353">
              <w:rPr>
                <w:noProof/>
                <w:webHidden/>
              </w:rPr>
              <w:tab/>
            </w:r>
            <w:r w:rsidR="009F6353">
              <w:rPr>
                <w:noProof/>
                <w:webHidden/>
              </w:rPr>
              <w:fldChar w:fldCharType="begin"/>
            </w:r>
            <w:r w:rsidR="009F6353">
              <w:rPr>
                <w:noProof/>
                <w:webHidden/>
              </w:rPr>
              <w:instrText xml:space="preserve"> PAGEREF _Toc485200200 \h </w:instrText>
            </w:r>
            <w:r w:rsidR="009F6353">
              <w:rPr>
                <w:noProof/>
                <w:webHidden/>
              </w:rPr>
            </w:r>
            <w:r w:rsidR="009F6353">
              <w:rPr>
                <w:noProof/>
                <w:webHidden/>
              </w:rPr>
              <w:fldChar w:fldCharType="separate"/>
            </w:r>
            <w:r w:rsidR="009F6353">
              <w:rPr>
                <w:noProof/>
                <w:webHidden/>
              </w:rPr>
              <w:t>156</w:t>
            </w:r>
            <w:r w:rsidR="009F6353">
              <w:rPr>
                <w:noProof/>
                <w:webHidden/>
              </w:rPr>
              <w:fldChar w:fldCharType="end"/>
            </w:r>
          </w:hyperlink>
        </w:p>
        <w:p w14:paraId="5DA804BE" w14:textId="1259B4D6" w:rsidR="009F6353" w:rsidRDefault="005C1A74">
          <w:pPr>
            <w:pStyle w:val="TOC1"/>
            <w:rPr>
              <w:rFonts w:asciiTheme="minorHAnsi" w:eastAsiaTheme="minorEastAsia" w:hAnsiTheme="minorHAnsi" w:cstheme="minorBidi"/>
              <w:smallCaps w:val="0"/>
              <w:lang w:val="en-US" w:eastAsia="zh-CN"/>
            </w:rPr>
          </w:pPr>
          <w:hyperlink w:anchor="_Toc485200201" w:history="1">
            <w:r w:rsidR="009F6353" w:rsidRPr="0009568D">
              <w:rPr>
                <w:rStyle w:val="Hyperlink"/>
              </w:rPr>
              <w:t>Capítulo IV: Análisis de Costo Efectividad</w:t>
            </w:r>
            <w:r w:rsidR="009F6353">
              <w:rPr>
                <w:webHidden/>
              </w:rPr>
              <w:tab/>
            </w:r>
            <w:r w:rsidR="009F6353">
              <w:rPr>
                <w:webHidden/>
              </w:rPr>
              <w:fldChar w:fldCharType="begin"/>
            </w:r>
            <w:r w:rsidR="009F6353">
              <w:rPr>
                <w:webHidden/>
              </w:rPr>
              <w:instrText xml:space="preserve"> PAGEREF _Toc485200201 \h </w:instrText>
            </w:r>
            <w:r w:rsidR="009F6353">
              <w:rPr>
                <w:webHidden/>
              </w:rPr>
            </w:r>
            <w:r w:rsidR="009F6353">
              <w:rPr>
                <w:webHidden/>
              </w:rPr>
              <w:fldChar w:fldCharType="separate"/>
            </w:r>
            <w:r w:rsidR="009F6353">
              <w:rPr>
                <w:webHidden/>
              </w:rPr>
              <w:t>158</w:t>
            </w:r>
            <w:r w:rsidR="009F6353">
              <w:rPr>
                <w:webHidden/>
              </w:rPr>
              <w:fldChar w:fldCharType="end"/>
            </w:r>
          </w:hyperlink>
        </w:p>
        <w:p w14:paraId="11CACA50" w14:textId="1E2A9657" w:rsidR="009F6353" w:rsidRDefault="005C1A74">
          <w:pPr>
            <w:pStyle w:val="TOC2"/>
            <w:tabs>
              <w:tab w:val="left" w:pos="660"/>
              <w:tab w:val="right" w:leader="dot" w:pos="8495"/>
            </w:tabs>
            <w:rPr>
              <w:rFonts w:eastAsiaTheme="minorEastAsia"/>
              <w:noProof/>
              <w:lang w:val="en-US" w:eastAsia="zh-CN"/>
            </w:rPr>
          </w:pPr>
          <w:hyperlink w:anchor="_Toc485200202" w:history="1">
            <w:r w:rsidR="009F6353" w:rsidRPr="0009568D">
              <w:rPr>
                <w:rStyle w:val="Hyperlink"/>
                <w:noProof/>
              </w:rPr>
              <w:t>1</w:t>
            </w:r>
            <w:r w:rsidR="009F6353">
              <w:rPr>
                <w:rFonts w:eastAsiaTheme="minorEastAsia"/>
                <w:noProof/>
                <w:lang w:val="en-US" w:eastAsia="zh-CN"/>
              </w:rPr>
              <w:tab/>
            </w:r>
            <w:r w:rsidR="009F6353" w:rsidRPr="0009568D">
              <w:rPr>
                <w:rStyle w:val="Hyperlink"/>
                <w:noProof/>
              </w:rPr>
              <w:t>Análisis de alternativas</w:t>
            </w:r>
            <w:r w:rsidR="009F6353">
              <w:rPr>
                <w:noProof/>
                <w:webHidden/>
              </w:rPr>
              <w:tab/>
            </w:r>
            <w:r w:rsidR="009F6353">
              <w:rPr>
                <w:noProof/>
                <w:webHidden/>
              </w:rPr>
              <w:fldChar w:fldCharType="begin"/>
            </w:r>
            <w:r w:rsidR="009F6353">
              <w:rPr>
                <w:noProof/>
                <w:webHidden/>
              </w:rPr>
              <w:instrText xml:space="preserve"> PAGEREF _Toc485200202 \h </w:instrText>
            </w:r>
            <w:r w:rsidR="009F6353">
              <w:rPr>
                <w:noProof/>
                <w:webHidden/>
              </w:rPr>
            </w:r>
            <w:r w:rsidR="009F6353">
              <w:rPr>
                <w:noProof/>
                <w:webHidden/>
              </w:rPr>
              <w:fldChar w:fldCharType="separate"/>
            </w:r>
            <w:r w:rsidR="009F6353">
              <w:rPr>
                <w:noProof/>
                <w:webHidden/>
              </w:rPr>
              <w:t>158</w:t>
            </w:r>
            <w:r w:rsidR="009F6353">
              <w:rPr>
                <w:noProof/>
                <w:webHidden/>
              </w:rPr>
              <w:fldChar w:fldCharType="end"/>
            </w:r>
          </w:hyperlink>
        </w:p>
        <w:p w14:paraId="2BC01802" w14:textId="449EEEA0" w:rsidR="009F6353" w:rsidRDefault="005C1A74">
          <w:pPr>
            <w:pStyle w:val="TOC2"/>
            <w:tabs>
              <w:tab w:val="left" w:pos="660"/>
              <w:tab w:val="right" w:leader="dot" w:pos="8495"/>
            </w:tabs>
            <w:rPr>
              <w:rFonts w:eastAsiaTheme="minorEastAsia"/>
              <w:noProof/>
              <w:lang w:val="en-US" w:eastAsia="zh-CN"/>
            </w:rPr>
          </w:pPr>
          <w:hyperlink w:anchor="_Toc485200203" w:history="1">
            <w:r w:rsidR="009F6353" w:rsidRPr="0009568D">
              <w:rPr>
                <w:rStyle w:val="Hyperlink"/>
                <w:noProof/>
              </w:rPr>
              <w:t>2</w:t>
            </w:r>
            <w:r w:rsidR="009F6353">
              <w:rPr>
                <w:rFonts w:eastAsiaTheme="minorEastAsia"/>
                <w:noProof/>
                <w:lang w:val="en-US" w:eastAsia="zh-CN"/>
              </w:rPr>
              <w:tab/>
            </w:r>
            <w:r w:rsidR="009F6353" w:rsidRPr="0009568D">
              <w:rPr>
                <w:rStyle w:val="Hyperlink"/>
                <w:noProof/>
              </w:rPr>
              <w:t>Criterios de evaluación</w:t>
            </w:r>
            <w:r w:rsidR="009F6353">
              <w:rPr>
                <w:noProof/>
                <w:webHidden/>
              </w:rPr>
              <w:tab/>
            </w:r>
            <w:r w:rsidR="009F6353">
              <w:rPr>
                <w:noProof/>
                <w:webHidden/>
              </w:rPr>
              <w:fldChar w:fldCharType="begin"/>
            </w:r>
            <w:r w:rsidR="009F6353">
              <w:rPr>
                <w:noProof/>
                <w:webHidden/>
              </w:rPr>
              <w:instrText xml:space="preserve"> PAGEREF _Toc485200203 \h </w:instrText>
            </w:r>
            <w:r w:rsidR="009F6353">
              <w:rPr>
                <w:noProof/>
                <w:webHidden/>
              </w:rPr>
            </w:r>
            <w:r w:rsidR="009F6353">
              <w:rPr>
                <w:noProof/>
                <w:webHidden/>
              </w:rPr>
              <w:fldChar w:fldCharType="separate"/>
            </w:r>
            <w:r w:rsidR="009F6353">
              <w:rPr>
                <w:noProof/>
                <w:webHidden/>
              </w:rPr>
              <w:t>159</w:t>
            </w:r>
            <w:r w:rsidR="009F6353">
              <w:rPr>
                <w:noProof/>
                <w:webHidden/>
              </w:rPr>
              <w:fldChar w:fldCharType="end"/>
            </w:r>
          </w:hyperlink>
        </w:p>
        <w:p w14:paraId="0365E05E" w14:textId="48FB4FEA" w:rsidR="009F6353" w:rsidRDefault="005C1A74">
          <w:pPr>
            <w:pStyle w:val="TOC2"/>
            <w:tabs>
              <w:tab w:val="left" w:pos="660"/>
              <w:tab w:val="right" w:leader="dot" w:pos="8495"/>
            </w:tabs>
            <w:rPr>
              <w:rFonts w:eastAsiaTheme="minorEastAsia"/>
              <w:noProof/>
              <w:lang w:val="en-US" w:eastAsia="zh-CN"/>
            </w:rPr>
          </w:pPr>
          <w:hyperlink w:anchor="_Toc485200204" w:history="1">
            <w:r w:rsidR="009F6353" w:rsidRPr="0009568D">
              <w:rPr>
                <w:rStyle w:val="Hyperlink"/>
                <w:noProof/>
              </w:rPr>
              <w:t>3</w:t>
            </w:r>
            <w:r w:rsidR="009F6353">
              <w:rPr>
                <w:rFonts w:eastAsiaTheme="minorEastAsia"/>
                <w:noProof/>
                <w:lang w:val="en-US" w:eastAsia="zh-CN"/>
              </w:rPr>
              <w:tab/>
            </w:r>
            <w:r w:rsidR="009F6353" w:rsidRPr="0009568D">
              <w:rPr>
                <w:rStyle w:val="Hyperlink"/>
                <w:noProof/>
              </w:rPr>
              <w:t>Alternativas propuestas</w:t>
            </w:r>
            <w:r w:rsidR="009F6353">
              <w:rPr>
                <w:noProof/>
                <w:webHidden/>
              </w:rPr>
              <w:tab/>
            </w:r>
            <w:r w:rsidR="009F6353">
              <w:rPr>
                <w:noProof/>
                <w:webHidden/>
              </w:rPr>
              <w:fldChar w:fldCharType="begin"/>
            </w:r>
            <w:r w:rsidR="009F6353">
              <w:rPr>
                <w:noProof/>
                <w:webHidden/>
              </w:rPr>
              <w:instrText xml:space="preserve"> PAGEREF _Toc485200204 \h </w:instrText>
            </w:r>
            <w:r w:rsidR="009F6353">
              <w:rPr>
                <w:noProof/>
                <w:webHidden/>
              </w:rPr>
            </w:r>
            <w:r w:rsidR="009F6353">
              <w:rPr>
                <w:noProof/>
                <w:webHidden/>
              </w:rPr>
              <w:fldChar w:fldCharType="separate"/>
            </w:r>
            <w:r w:rsidR="009F6353">
              <w:rPr>
                <w:noProof/>
                <w:webHidden/>
              </w:rPr>
              <w:t>160</w:t>
            </w:r>
            <w:r w:rsidR="009F6353">
              <w:rPr>
                <w:noProof/>
                <w:webHidden/>
              </w:rPr>
              <w:fldChar w:fldCharType="end"/>
            </w:r>
          </w:hyperlink>
        </w:p>
        <w:p w14:paraId="765D2F3E" w14:textId="7A221E55" w:rsidR="009F6353" w:rsidRDefault="005C1A74">
          <w:pPr>
            <w:pStyle w:val="TOC2"/>
            <w:tabs>
              <w:tab w:val="left" w:pos="880"/>
              <w:tab w:val="right" w:leader="dot" w:pos="8495"/>
            </w:tabs>
            <w:rPr>
              <w:rFonts w:eastAsiaTheme="minorEastAsia"/>
              <w:noProof/>
              <w:lang w:val="en-US" w:eastAsia="zh-CN"/>
            </w:rPr>
          </w:pPr>
          <w:hyperlink w:anchor="_Toc485200205" w:history="1">
            <w:r w:rsidR="009F6353" w:rsidRPr="0009568D">
              <w:rPr>
                <w:rStyle w:val="Hyperlink"/>
                <w:noProof/>
              </w:rPr>
              <w:t>3.1</w:t>
            </w:r>
            <w:r w:rsidR="009F6353">
              <w:rPr>
                <w:rFonts w:eastAsiaTheme="minorEastAsia"/>
                <w:noProof/>
                <w:lang w:val="en-US" w:eastAsia="zh-CN"/>
              </w:rPr>
              <w:tab/>
            </w:r>
            <w:r w:rsidR="009F6353" w:rsidRPr="0009568D">
              <w:rPr>
                <w:rStyle w:val="Hyperlink"/>
                <w:noProof/>
              </w:rPr>
              <w:t>Alternativa 1 – Alternativa de Nuevo Emisario</w:t>
            </w:r>
            <w:r w:rsidR="009F6353">
              <w:rPr>
                <w:noProof/>
                <w:webHidden/>
              </w:rPr>
              <w:tab/>
            </w:r>
            <w:r w:rsidR="009F6353">
              <w:rPr>
                <w:noProof/>
                <w:webHidden/>
              </w:rPr>
              <w:fldChar w:fldCharType="begin"/>
            </w:r>
            <w:r w:rsidR="009F6353">
              <w:rPr>
                <w:noProof/>
                <w:webHidden/>
              </w:rPr>
              <w:instrText xml:space="preserve"> PAGEREF _Toc485200205 \h </w:instrText>
            </w:r>
            <w:r w:rsidR="009F6353">
              <w:rPr>
                <w:noProof/>
                <w:webHidden/>
              </w:rPr>
            </w:r>
            <w:r w:rsidR="009F6353">
              <w:rPr>
                <w:noProof/>
                <w:webHidden/>
              </w:rPr>
              <w:fldChar w:fldCharType="separate"/>
            </w:r>
            <w:r w:rsidR="009F6353">
              <w:rPr>
                <w:noProof/>
                <w:webHidden/>
              </w:rPr>
              <w:t>160</w:t>
            </w:r>
            <w:r w:rsidR="009F6353">
              <w:rPr>
                <w:noProof/>
                <w:webHidden/>
              </w:rPr>
              <w:fldChar w:fldCharType="end"/>
            </w:r>
          </w:hyperlink>
        </w:p>
        <w:p w14:paraId="6FEA4718" w14:textId="5EA40C5A" w:rsidR="009F6353" w:rsidRDefault="005C1A74">
          <w:pPr>
            <w:pStyle w:val="TOC2"/>
            <w:tabs>
              <w:tab w:val="left" w:pos="880"/>
              <w:tab w:val="right" w:leader="dot" w:pos="8495"/>
            </w:tabs>
            <w:rPr>
              <w:rFonts w:eastAsiaTheme="minorEastAsia"/>
              <w:noProof/>
              <w:lang w:val="en-US" w:eastAsia="zh-CN"/>
            </w:rPr>
          </w:pPr>
          <w:hyperlink w:anchor="_Toc485200206" w:history="1">
            <w:r w:rsidR="009F6353" w:rsidRPr="0009568D">
              <w:rPr>
                <w:rStyle w:val="Hyperlink"/>
                <w:noProof/>
              </w:rPr>
              <w:t>3.2</w:t>
            </w:r>
            <w:r w:rsidR="009F6353">
              <w:rPr>
                <w:rFonts w:eastAsiaTheme="minorEastAsia"/>
                <w:noProof/>
                <w:lang w:val="en-US" w:eastAsia="zh-CN"/>
              </w:rPr>
              <w:tab/>
            </w:r>
            <w:r w:rsidR="009F6353" w:rsidRPr="0009568D">
              <w:rPr>
                <w:rStyle w:val="Hyperlink"/>
                <w:noProof/>
              </w:rPr>
              <w:t>Alternativa 2 – Alternativa de Tratamiento Secundario</w:t>
            </w:r>
            <w:r w:rsidR="009F6353">
              <w:rPr>
                <w:noProof/>
                <w:webHidden/>
              </w:rPr>
              <w:tab/>
            </w:r>
            <w:r w:rsidR="009F6353">
              <w:rPr>
                <w:noProof/>
                <w:webHidden/>
              </w:rPr>
              <w:fldChar w:fldCharType="begin"/>
            </w:r>
            <w:r w:rsidR="009F6353">
              <w:rPr>
                <w:noProof/>
                <w:webHidden/>
              </w:rPr>
              <w:instrText xml:space="preserve"> PAGEREF _Toc485200206 \h </w:instrText>
            </w:r>
            <w:r w:rsidR="009F6353">
              <w:rPr>
                <w:noProof/>
                <w:webHidden/>
              </w:rPr>
            </w:r>
            <w:r w:rsidR="009F6353">
              <w:rPr>
                <w:noProof/>
                <w:webHidden/>
              </w:rPr>
              <w:fldChar w:fldCharType="separate"/>
            </w:r>
            <w:r w:rsidR="009F6353">
              <w:rPr>
                <w:noProof/>
                <w:webHidden/>
              </w:rPr>
              <w:t>161</w:t>
            </w:r>
            <w:r w:rsidR="009F6353">
              <w:rPr>
                <w:noProof/>
                <w:webHidden/>
              </w:rPr>
              <w:fldChar w:fldCharType="end"/>
            </w:r>
          </w:hyperlink>
        </w:p>
        <w:p w14:paraId="09B66161" w14:textId="35609EF4" w:rsidR="009F6353" w:rsidRDefault="005C1A74">
          <w:pPr>
            <w:pStyle w:val="TOC2"/>
            <w:tabs>
              <w:tab w:val="left" w:pos="660"/>
              <w:tab w:val="right" w:leader="dot" w:pos="8495"/>
            </w:tabs>
            <w:rPr>
              <w:rFonts w:eastAsiaTheme="minorEastAsia"/>
              <w:noProof/>
              <w:lang w:val="en-US" w:eastAsia="zh-CN"/>
            </w:rPr>
          </w:pPr>
          <w:hyperlink w:anchor="_Toc485200207" w:history="1">
            <w:r w:rsidR="009F6353" w:rsidRPr="0009568D">
              <w:rPr>
                <w:rStyle w:val="Hyperlink"/>
                <w:noProof/>
              </w:rPr>
              <w:t>4</w:t>
            </w:r>
            <w:r w:rsidR="009F6353">
              <w:rPr>
                <w:rFonts w:eastAsiaTheme="minorEastAsia"/>
                <w:noProof/>
                <w:lang w:val="en-US" w:eastAsia="zh-CN"/>
              </w:rPr>
              <w:tab/>
            </w:r>
            <w:r w:rsidR="009F6353" w:rsidRPr="0009568D">
              <w:rPr>
                <w:rStyle w:val="Hyperlink"/>
                <w:noProof/>
              </w:rPr>
              <w:t>Costos de inversión de las alternativas</w:t>
            </w:r>
            <w:r w:rsidR="009F6353">
              <w:rPr>
                <w:noProof/>
                <w:webHidden/>
              </w:rPr>
              <w:tab/>
            </w:r>
            <w:r w:rsidR="009F6353">
              <w:rPr>
                <w:noProof/>
                <w:webHidden/>
              </w:rPr>
              <w:fldChar w:fldCharType="begin"/>
            </w:r>
            <w:r w:rsidR="009F6353">
              <w:rPr>
                <w:noProof/>
                <w:webHidden/>
              </w:rPr>
              <w:instrText xml:space="preserve"> PAGEREF _Toc485200207 \h </w:instrText>
            </w:r>
            <w:r w:rsidR="009F6353">
              <w:rPr>
                <w:noProof/>
                <w:webHidden/>
              </w:rPr>
            </w:r>
            <w:r w:rsidR="009F6353">
              <w:rPr>
                <w:noProof/>
                <w:webHidden/>
              </w:rPr>
              <w:fldChar w:fldCharType="separate"/>
            </w:r>
            <w:r w:rsidR="009F6353">
              <w:rPr>
                <w:noProof/>
                <w:webHidden/>
              </w:rPr>
              <w:t>162</w:t>
            </w:r>
            <w:r w:rsidR="009F6353">
              <w:rPr>
                <w:noProof/>
                <w:webHidden/>
              </w:rPr>
              <w:fldChar w:fldCharType="end"/>
            </w:r>
          </w:hyperlink>
        </w:p>
        <w:p w14:paraId="34C26AE1" w14:textId="5894E6F2" w:rsidR="009F6353" w:rsidRDefault="005C1A74">
          <w:pPr>
            <w:pStyle w:val="TOC2"/>
            <w:tabs>
              <w:tab w:val="left" w:pos="660"/>
              <w:tab w:val="right" w:leader="dot" w:pos="8495"/>
            </w:tabs>
            <w:rPr>
              <w:rFonts w:eastAsiaTheme="minorEastAsia"/>
              <w:noProof/>
              <w:lang w:val="en-US" w:eastAsia="zh-CN"/>
            </w:rPr>
          </w:pPr>
          <w:hyperlink w:anchor="_Toc485200208" w:history="1">
            <w:r w:rsidR="009F6353" w:rsidRPr="0009568D">
              <w:rPr>
                <w:rStyle w:val="Hyperlink"/>
                <w:noProof/>
              </w:rPr>
              <w:t>5</w:t>
            </w:r>
            <w:r w:rsidR="009F6353">
              <w:rPr>
                <w:rFonts w:eastAsiaTheme="minorEastAsia"/>
                <w:noProof/>
                <w:lang w:val="en-US" w:eastAsia="zh-CN"/>
              </w:rPr>
              <w:tab/>
            </w:r>
            <w:r w:rsidR="009F6353" w:rsidRPr="0009568D">
              <w:rPr>
                <w:rStyle w:val="Hyperlink"/>
                <w:noProof/>
              </w:rPr>
              <w:t>Costos de administración y operación de las alternativas</w:t>
            </w:r>
            <w:r w:rsidR="009F6353">
              <w:rPr>
                <w:noProof/>
                <w:webHidden/>
              </w:rPr>
              <w:tab/>
            </w:r>
            <w:r w:rsidR="009F6353">
              <w:rPr>
                <w:noProof/>
                <w:webHidden/>
              </w:rPr>
              <w:fldChar w:fldCharType="begin"/>
            </w:r>
            <w:r w:rsidR="009F6353">
              <w:rPr>
                <w:noProof/>
                <w:webHidden/>
              </w:rPr>
              <w:instrText xml:space="preserve"> PAGEREF _Toc485200208 \h </w:instrText>
            </w:r>
            <w:r w:rsidR="009F6353">
              <w:rPr>
                <w:noProof/>
                <w:webHidden/>
              </w:rPr>
            </w:r>
            <w:r w:rsidR="009F6353">
              <w:rPr>
                <w:noProof/>
                <w:webHidden/>
              </w:rPr>
              <w:fldChar w:fldCharType="separate"/>
            </w:r>
            <w:r w:rsidR="009F6353">
              <w:rPr>
                <w:noProof/>
                <w:webHidden/>
              </w:rPr>
              <w:t>165</w:t>
            </w:r>
            <w:r w:rsidR="009F6353">
              <w:rPr>
                <w:noProof/>
                <w:webHidden/>
              </w:rPr>
              <w:fldChar w:fldCharType="end"/>
            </w:r>
          </w:hyperlink>
        </w:p>
        <w:p w14:paraId="218B0CC3" w14:textId="62089D2D" w:rsidR="009F6353" w:rsidRDefault="005C1A74">
          <w:pPr>
            <w:pStyle w:val="TOC2"/>
            <w:tabs>
              <w:tab w:val="left" w:pos="660"/>
              <w:tab w:val="right" w:leader="dot" w:pos="8495"/>
            </w:tabs>
            <w:rPr>
              <w:rFonts w:eastAsiaTheme="minorEastAsia"/>
              <w:noProof/>
              <w:lang w:val="en-US" w:eastAsia="zh-CN"/>
            </w:rPr>
          </w:pPr>
          <w:hyperlink w:anchor="_Toc485200209" w:history="1">
            <w:r w:rsidR="009F6353" w:rsidRPr="0009568D">
              <w:rPr>
                <w:rStyle w:val="Hyperlink"/>
                <w:noProof/>
              </w:rPr>
              <w:t>6</w:t>
            </w:r>
            <w:r w:rsidR="009F6353">
              <w:rPr>
                <w:rFonts w:eastAsiaTheme="minorEastAsia"/>
                <w:noProof/>
                <w:lang w:val="en-US" w:eastAsia="zh-CN"/>
              </w:rPr>
              <w:tab/>
            </w:r>
            <w:r w:rsidR="009F6353" w:rsidRPr="0009568D">
              <w:rPr>
                <w:rStyle w:val="Hyperlink"/>
                <w:noProof/>
              </w:rPr>
              <w:t>Análisis económico de las alternativas</w:t>
            </w:r>
            <w:r w:rsidR="009F6353">
              <w:rPr>
                <w:noProof/>
                <w:webHidden/>
              </w:rPr>
              <w:tab/>
            </w:r>
            <w:r w:rsidR="009F6353">
              <w:rPr>
                <w:noProof/>
                <w:webHidden/>
              </w:rPr>
              <w:fldChar w:fldCharType="begin"/>
            </w:r>
            <w:r w:rsidR="009F6353">
              <w:rPr>
                <w:noProof/>
                <w:webHidden/>
              </w:rPr>
              <w:instrText xml:space="preserve"> PAGEREF _Toc485200209 \h </w:instrText>
            </w:r>
            <w:r w:rsidR="009F6353">
              <w:rPr>
                <w:noProof/>
                <w:webHidden/>
              </w:rPr>
            </w:r>
            <w:r w:rsidR="009F6353">
              <w:rPr>
                <w:noProof/>
                <w:webHidden/>
              </w:rPr>
              <w:fldChar w:fldCharType="separate"/>
            </w:r>
            <w:r w:rsidR="009F6353">
              <w:rPr>
                <w:noProof/>
                <w:webHidden/>
              </w:rPr>
              <w:t>167</w:t>
            </w:r>
            <w:r w:rsidR="009F6353">
              <w:rPr>
                <w:noProof/>
                <w:webHidden/>
              </w:rPr>
              <w:fldChar w:fldCharType="end"/>
            </w:r>
          </w:hyperlink>
        </w:p>
        <w:p w14:paraId="6E755234" w14:textId="36349D48" w:rsidR="009F6353" w:rsidRDefault="005C1A74">
          <w:pPr>
            <w:pStyle w:val="TOC2"/>
            <w:tabs>
              <w:tab w:val="left" w:pos="880"/>
              <w:tab w:val="right" w:leader="dot" w:pos="8495"/>
            </w:tabs>
            <w:rPr>
              <w:rFonts w:eastAsiaTheme="minorEastAsia"/>
              <w:noProof/>
              <w:lang w:val="en-US" w:eastAsia="zh-CN"/>
            </w:rPr>
          </w:pPr>
          <w:hyperlink w:anchor="_Toc485200210" w:history="1">
            <w:r w:rsidR="009F6353" w:rsidRPr="0009568D">
              <w:rPr>
                <w:rStyle w:val="Hyperlink"/>
                <w:noProof/>
              </w:rPr>
              <w:t>6.3</w:t>
            </w:r>
            <w:r w:rsidR="009F6353">
              <w:rPr>
                <w:rFonts w:eastAsiaTheme="minorEastAsia"/>
                <w:noProof/>
                <w:lang w:val="en-US" w:eastAsia="zh-CN"/>
              </w:rPr>
              <w:tab/>
            </w:r>
            <w:r w:rsidR="009F6353" w:rsidRPr="0009568D">
              <w:rPr>
                <w:rStyle w:val="Hyperlink"/>
                <w:noProof/>
              </w:rPr>
              <w:t>Resultados del Análisis Costo Efectividad</w:t>
            </w:r>
            <w:r w:rsidR="009F6353">
              <w:rPr>
                <w:noProof/>
                <w:webHidden/>
              </w:rPr>
              <w:tab/>
            </w:r>
            <w:r w:rsidR="009F6353">
              <w:rPr>
                <w:noProof/>
                <w:webHidden/>
              </w:rPr>
              <w:fldChar w:fldCharType="begin"/>
            </w:r>
            <w:r w:rsidR="009F6353">
              <w:rPr>
                <w:noProof/>
                <w:webHidden/>
              </w:rPr>
              <w:instrText xml:space="preserve"> PAGEREF _Toc485200210 \h </w:instrText>
            </w:r>
            <w:r w:rsidR="009F6353">
              <w:rPr>
                <w:noProof/>
                <w:webHidden/>
              </w:rPr>
            </w:r>
            <w:r w:rsidR="009F6353">
              <w:rPr>
                <w:noProof/>
                <w:webHidden/>
              </w:rPr>
              <w:fldChar w:fldCharType="separate"/>
            </w:r>
            <w:r w:rsidR="009F6353">
              <w:rPr>
                <w:noProof/>
                <w:webHidden/>
              </w:rPr>
              <w:t>168</w:t>
            </w:r>
            <w:r w:rsidR="009F6353">
              <w:rPr>
                <w:noProof/>
                <w:webHidden/>
              </w:rPr>
              <w:fldChar w:fldCharType="end"/>
            </w:r>
          </w:hyperlink>
        </w:p>
        <w:p w14:paraId="25DF8C07" w14:textId="1C3FC6B7" w:rsidR="009F6353" w:rsidRDefault="005C1A74">
          <w:pPr>
            <w:pStyle w:val="TOC2"/>
            <w:tabs>
              <w:tab w:val="left" w:pos="880"/>
              <w:tab w:val="right" w:leader="dot" w:pos="8495"/>
            </w:tabs>
            <w:rPr>
              <w:rFonts w:eastAsiaTheme="minorEastAsia"/>
              <w:noProof/>
              <w:lang w:val="en-US" w:eastAsia="zh-CN"/>
            </w:rPr>
          </w:pPr>
          <w:hyperlink w:anchor="_Toc485200211" w:history="1">
            <w:r w:rsidR="009F6353" w:rsidRPr="0009568D">
              <w:rPr>
                <w:rStyle w:val="Hyperlink"/>
                <w:noProof/>
              </w:rPr>
              <w:t>6.4</w:t>
            </w:r>
            <w:r w:rsidR="009F6353">
              <w:rPr>
                <w:rFonts w:eastAsiaTheme="minorEastAsia"/>
                <w:noProof/>
                <w:lang w:val="en-US" w:eastAsia="zh-CN"/>
              </w:rPr>
              <w:tab/>
            </w:r>
            <w:r w:rsidR="009F6353" w:rsidRPr="0009568D">
              <w:rPr>
                <w:rStyle w:val="Hyperlink"/>
                <w:noProof/>
              </w:rPr>
              <w:t>La experiencia internacional</w:t>
            </w:r>
            <w:r w:rsidR="009F6353">
              <w:rPr>
                <w:noProof/>
                <w:webHidden/>
              </w:rPr>
              <w:tab/>
            </w:r>
            <w:r w:rsidR="009F6353">
              <w:rPr>
                <w:noProof/>
                <w:webHidden/>
              </w:rPr>
              <w:fldChar w:fldCharType="begin"/>
            </w:r>
            <w:r w:rsidR="009F6353">
              <w:rPr>
                <w:noProof/>
                <w:webHidden/>
              </w:rPr>
              <w:instrText xml:space="preserve"> PAGEREF _Toc485200211 \h </w:instrText>
            </w:r>
            <w:r w:rsidR="009F6353">
              <w:rPr>
                <w:noProof/>
                <w:webHidden/>
              </w:rPr>
            </w:r>
            <w:r w:rsidR="009F6353">
              <w:rPr>
                <w:noProof/>
                <w:webHidden/>
              </w:rPr>
              <w:fldChar w:fldCharType="separate"/>
            </w:r>
            <w:r w:rsidR="009F6353">
              <w:rPr>
                <w:noProof/>
                <w:webHidden/>
              </w:rPr>
              <w:t>168</w:t>
            </w:r>
            <w:r w:rsidR="009F6353">
              <w:rPr>
                <w:noProof/>
                <w:webHidden/>
              </w:rPr>
              <w:fldChar w:fldCharType="end"/>
            </w:r>
          </w:hyperlink>
        </w:p>
        <w:p w14:paraId="0C0BBB31" w14:textId="011B3789" w:rsidR="009F6353" w:rsidRDefault="005C1A74">
          <w:pPr>
            <w:pStyle w:val="TOC2"/>
            <w:tabs>
              <w:tab w:val="left" w:pos="880"/>
              <w:tab w:val="right" w:leader="dot" w:pos="8495"/>
            </w:tabs>
            <w:rPr>
              <w:rFonts w:eastAsiaTheme="minorEastAsia"/>
              <w:noProof/>
              <w:lang w:val="en-US" w:eastAsia="zh-CN"/>
            </w:rPr>
          </w:pPr>
          <w:hyperlink w:anchor="_Toc485200212" w:history="1">
            <w:r w:rsidR="009F6353" w:rsidRPr="0009568D">
              <w:rPr>
                <w:rStyle w:val="Hyperlink"/>
                <w:noProof/>
              </w:rPr>
              <w:t>6.5</w:t>
            </w:r>
            <w:r w:rsidR="009F6353">
              <w:rPr>
                <w:rFonts w:eastAsiaTheme="minorEastAsia"/>
                <w:noProof/>
                <w:lang w:val="en-US" w:eastAsia="zh-CN"/>
              </w:rPr>
              <w:tab/>
            </w:r>
            <w:r w:rsidR="009F6353" w:rsidRPr="0009568D">
              <w:rPr>
                <w:rStyle w:val="Hyperlink"/>
                <w:noProof/>
              </w:rPr>
              <w:t>Rangos de costo para el emisario</w:t>
            </w:r>
            <w:r w:rsidR="009F6353">
              <w:rPr>
                <w:noProof/>
                <w:webHidden/>
              </w:rPr>
              <w:tab/>
            </w:r>
            <w:r w:rsidR="009F6353">
              <w:rPr>
                <w:noProof/>
                <w:webHidden/>
              </w:rPr>
              <w:fldChar w:fldCharType="begin"/>
            </w:r>
            <w:r w:rsidR="009F6353">
              <w:rPr>
                <w:noProof/>
                <w:webHidden/>
              </w:rPr>
              <w:instrText xml:space="preserve"> PAGEREF _Toc485200212 \h </w:instrText>
            </w:r>
            <w:r w:rsidR="009F6353">
              <w:rPr>
                <w:noProof/>
                <w:webHidden/>
              </w:rPr>
            </w:r>
            <w:r w:rsidR="009F6353">
              <w:rPr>
                <w:noProof/>
                <w:webHidden/>
              </w:rPr>
              <w:fldChar w:fldCharType="separate"/>
            </w:r>
            <w:r w:rsidR="009F6353">
              <w:rPr>
                <w:noProof/>
                <w:webHidden/>
              </w:rPr>
              <w:t>169</w:t>
            </w:r>
            <w:r w:rsidR="009F6353">
              <w:rPr>
                <w:noProof/>
                <w:webHidden/>
              </w:rPr>
              <w:fldChar w:fldCharType="end"/>
            </w:r>
          </w:hyperlink>
        </w:p>
        <w:p w14:paraId="391907B0" w14:textId="187BDF49" w:rsidR="009F6353" w:rsidRDefault="005C1A74">
          <w:pPr>
            <w:pStyle w:val="TOC2"/>
            <w:tabs>
              <w:tab w:val="left" w:pos="660"/>
              <w:tab w:val="right" w:leader="dot" w:pos="8495"/>
            </w:tabs>
            <w:rPr>
              <w:rFonts w:eastAsiaTheme="minorEastAsia"/>
              <w:noProof/>
              <w:lang w:val="en-US" w:eastAsia="zh-CN"/>
            </w:rPr>
          </w:pPr>
          <w:hyperlink w:anchor="_Toc485200213" w:history="1">
            <w:r w:rsidR="009F6353" w:rsidRPr="0009568D">
              <w:rPr>
                <w:rStyle w:val="Hyperlink"/>
                <w:noProof/>
                <w:lang w:eastAsia="es-ES"/>
              </w:rPr>
              <w:t>7</w:t>
            </w:r>
            <w:r w:rsidR="009F6353">
              <w:rPr>
                <w:rFonts w:eastAsiaTheme="minorEastAsia"/>
                <w:noProof/>
                <w:lang w:val="en-US" w:eastAsia="zh-CN"/>
              </w:rPr>
              <w:tab/>
            </w:r>
            <w:r w:rsidR="009F6353" w:rsidRPr="0009568D">
              <w:rPr>
                <w:rStyle w:val="Hyperlink"/>
                <w:noProof/>
                <w:lang w:eastAsia="es-ES"/>
              </w:rPr>
              <w:t>Análisis de Sensibilidad.</w:t>
            </w:r>
            <w:r w:rsidR="009F6353">
              <w:rPr>
                <w:noProof/>
                <w:webHidden/>
              </w:rPr>
              <w:tab/>
            </w:r>
            <w:r w:rsidR="009F6353">
              <w:rPr>
                <w:noProof/>
                <w:webHidden/>
              </w:rPr>
              <w:fldChar w:fldCharType="begin"/>
            </w:r>
            <w:r w:rsidR="009F6353">
              <w:rPr>
                <w:noProof/>
                <w:webHidden/>
              </w:rPr>
              <w:instrText xml:space="preserve"> PAGEREF _Toc485200213 \h </w:instrText>
            </w:r>
            <w:r w:rsidR="009F6353">
              <w:rPr>
                <w:noProof/>
                <w:webHidden/>
              </w:rPr>
            </w:r>
            <w:r w:rsidR="009F6353">
              <w:rPr>
                <w:noProof/>
                <w:webHidden/>
              </w:rPr>
              <w:fldChar w:fldCharType="separate"/>
            </w:r>
            <w:r w:rsidR="009F6353">
              <w:rPr>
                <w:noProof/>
                <w:webHidden/>
              </w:rPr>
              <w:t>171</w:t>
            </w:r>
            <w:r w:rsidR="009F6353">
              <w:rPr>
                <w:noProof/>
                <w:webHidden/>
              </w:rPr>
              <w:fldChar w:fldCharType="end"/>
            </w:r>
          </w:hyperlink>
        </w:p>
        <w:p w14:paraId="1048D052" w14:textId="1B49C937" w:rsidR="009F6353" w:rsidRDefault="005C1A74">
          <w:pPr>
            <w:pStyle w:val="TOC2"/>
            <w:tabs>
              <w:tab w:val="left" w:pos="880"/>
              <w:tab w:val="right" w:leader="dot" w:pos="8495"/>
            </w:tabs>
            <w:rPr>
              <w:rFonts w:eastAsiaTheme="minorEastAsia"/>
              <w:noProof/>
              <w:lang w:val="en-US" w:eastAsia="zh-CN"/>
            </w:rPr>
          </w:pPr>
          <w:hyperlink w:anchor="_Toc485200214" w:history="1">
            <w:r w:rsidR="009F6353" w:rsidRPr="0009568D">
              <w:rPr>
                <w:rStyle w:val="Hyperlink"/>
                <w:noProof/>
                <w:lang w:eastAsia="es-ES"/>
              </w:rPr>
              <w:t>7.1</w:t>
            </w:r>
            <w:r w:rsidR="009F6353">
              <w:rPr>
                <w:rFonts w:eastAsiaTheme="minorEastAsia"/>
                <w:noProof/>
                <w:lang w:val="en-US" w:eastAsia="zh-CN"/>
              </w:rPr>
              <w:tab/>
            </w:r>
            <w:r w:rsidR="009F6353" w:rsidRPr="0009568D">
              <w:rPr>
                <w:rStyle w:val="Hyperlink"/>
                <w:noProof/>
                <w:lang w:eastAsia="es-ES"/>
              </w:rPr>
              <w:t>Análisis de sensibilidad paramétrico</w:t>
            </w:r>
            <w:r w:rsidR="009F6353">
              <w:rPr>
                <w:noProof/>
                <w:webHidden/>
              </w:rPr>
              <w:tab/>
            </w:r>
            <w:r w:rsidR="009F6353">
              <w:rPr>
                <w:noProof/>
                <w:webHidden/>
              </w:rPr>
              <w:fldChar w:fldCharType="begin"/>
            </w:r>
            <w:r w:rsidR="009F6353">
              <w:rPr>
                <w:noProof/>
                <w:webHidden/>
              </w:rPr>
              <w:instrText xml:space="preserve"> PAGEREF _Toc485200214 \h </w:instrText>
            </w:r>
            <w:r w:rsidR="009F6353">
              <w:rPr>
                <w:noProof/>
                <w:webHidden/>
              </w:rPr>
            </w:r>
            <w:r w:rsidR="009F6353">
              <w:rPr>
                <w:noProof/>
                <w:webHidden/>
              </w:rPr>
              <w:fldChar w:fldCharType="separate"/>
            </w:r>
            <w:r w:rsidR="009F6353">
              <w:rPr>
                <w:noProof/>
                <w:webHidden/>
              </w:rPr>
              <w:t>171</w:t>
            </w:r>
            <w:r w:rsidR="009F6353">
              <w:rPr>
                <w:noProof/>
                <w:webHidden/>
              </w:rPr>
              <w:fldChar w:fldCharType="end"/>
            </w:r>
          </w:hyperlink>
        </w:p>
        <w:p w14:paraId="546C840C" w14:textId="103E9159" w:rsidR="009F6353" w:rsidRDefault="005C1A74">
          <w:pPr>
            <w:pStyle w:val="TOC2"/>
            <w:tabs>
              <w:tab w:val="left" w:pos="880"/>
              <w:tab w:val="right" w:leader="dot" w:pos="8495"/>
            </w:tabs>
            <w:rPr>
              <w:rFonts w:eastAsiaTheme="minorEastAsia"/>
              <w:noProof/>
              <w:lang w:val="en-US" w:eastAsia="zh-CN"/>
            </w:rPr>
          </w:pPr>
          <w:hyperlink w:anchor="_Toc485200215" w:history="1">
            <w:r w:rsidR="009F6353" w:rsidRPr="0009568D">
              <w:rPr>
                <w:rStyle w:val="Hyperlink"/>
                <w:noProof/>
              </w:rPr>
              <w:t>7.2</w:t>
            </w:r>
            <w:r w:rsidR="009F6353">
              <w:rPr>
                <w:rFonts w:eastAsiaTheme="minorEastAsia"/>
                <w:noProof/>
                <w:lang w:val="en-US" w:eastAsia="zh-CN"/>
              </w:rPr>
              <w:tab/>
            </w:r>
            <w:r w:rsidR="009F6353" w:rsidRPr="0009568D">
              <w:rPr>
                <w:rStyle w:val="Hyperlink"/>
                <w:noProof/>
              </w:rPr>
              <w:t>Igualación de los resultados de las alternativas.</w:t>
            </w:r>
            <w:r w:rsidR="009F6353">
              <w:rPr>
                <w:noProof/>
                <w:webHidden/>
              </w:rPr>
              <w:tab/>
            </w:r>
            <w:r w:rsidR="009F6353">
              <w:rPr>
                <w:noProof/>
                <w:webHidden/>
              </w:rPr>
              <w:fldChar w:fldCharType="begin"/>
            </w:r>
            <w:r w:rsidR="009F6353">
              <w:rPr>
                <w:noProof/>
                <w:webHidden/>
              </w:rPr>
              <w:instrText xml:space="preserve"> PAGEREF _Toc485200215 \h </w:instrText>
            </w:r>
            <w:r w:rsidR="009F6353">
              <w:rPr>
                <w:noProof/>
                <w:webHidden/>
              </w:rPr>
            </w:r>
            <w:r w:rsidR="009F6353">
              <w:rPr>
                <w:noProof/>
                <w:webHidden/>
              </w:rPr>
              <w:fldChar w:fldCharType="separate"/>
            </w:r>
            <w:r w:rsidR="009F6353">
              <w:rPr>
                <w:noProof/>
                <w:webHidden/>
              </w:rPr>
              <w:t>174</w:t>
            </w:r>
            <w:r w:rsidR="009F6353">
              <w:rPr>
                <w:noProof/>
                <w:webHidden/>
              </w:rPr>
              <w:fldChar w:fldCharType="end"/>
            </w:r>
          </w:hyperlink>
        </w:p>
        <w:p w14:paraId="6212AB48" w14:textId="00FD9726" w:rsidR="009F6353" w:rsidRDefault="005C1A74">
          <w:pPr>
            <w:pStyle w:val="TOC2"/>
            <w:tabs>
              <w:tab w:val="left" w:pos="660"/>
              <w:tab w:val="right" w:leader="dot" w:pos="8495"/>
            </w:tabs>
            <w:rPr>
              <w:rFonts w:eastAsiaTheme="minorEastAsia"/>
              <w:noProof/>
              <w:lang w:val="en-US" w:eastAsia="zh-CN"/>
            </w:rPr>
          </w:pPr>
          <w:hyperlink w:anchor="_Toc485200216" w:history="1">
            <w:r w:rsidR="009F6353" w:rsidRPr="0009568D">
              <w:rPr>
                <w:rStyle w:val="Hyperlink"/>
                <w:noProof/>
                <w:lang w:eastAsia="es-ES"/>
              </w:rPr>
              <w:t>8</w:t>
            </w:r>
            <w:r w:rsidR="009F6353">
              <w:rPr>
                <w:rFonts w:eastAsiaTheme="minorEastAsia"/>
                <w:noProof/>
                <w:lang w:val="en-US" w:eastAsia="zh-CN"/>
              </w:rPr>
              <w:tab/>
            </w:r>
            <w:r w:rsidR="009F6353" w:rsidRPr="0009568D">
              <w:rPr>
                <w:rStyle w:val="Hyperlink"/>
                <w:noProof/>
                <w:lang w:eastAsia="es-ES"/>
              </w:rPr>
              <w:t>Análisis de riesgo</w:t>
            </w:r>
            <w:r w:rsidR="009F6353">
              <w:rPr>
                <w:noProof/>
                <w:webHidden/>
              </w:rPr>
              <w:tab/>
            </w:r>
            <w:r w:rsidR="009F6353">
              <w:rPr>
                <w:noProof/>
                <w:webHidden/>
              </w:rPr>
              <w:fldChar w:fldCharType="begin"/>
            </w:r>
            <w:r w:rsidR="009F6353">
              <w:rPr>
                <w:noProof/>
                <w:webHidden/>
              </w:rPr>
              <w:instrText xml:space="preserve"> PAGEREF _Toc485200216 \h </w:instrText>
            </w:r>
            <w:r w:rsidR="009F6353">
              <w:rPr>
                <w:noProof/>
                <w:webHidden/>
              </w:rPr>
            </w:r>
            <w:r w:rsidR="009F6353">
              <w:rPr>
                <w:noProof/>
                <w:webHidden/>
              </w:rPr>
              <w:fldChar w:fldCharType="separate"/>
            </w:r>
            <w:r w:rsidR="009F6353">
              <w:rPr>
                <w:noProof/>
                <w:webHidden/>
              </w:rPr>
              <w:t>174</w:t>
            </w:r>
            <w:r w:rsidR="009F6353">
              <w:rPr>
                <w:noProof/>
                <w:webHidden/>
              </w:rPr>
              <w:fldChar w:fldCharType="end"/>
            </w:r>
          </w:hyperlink>
        </w:p>
        <w:p w14:paraId="731300A8" w14:textId="3B09DB93" w:rsidR="009F6353" w:rsidRPr="009F6353" w:rsidRDefault="005C1A74" w:rsidP="009F6353">
          <w:pPr>
            <w:pStyle w:val="TOC1"/>
            <w:rPr>
              <w:rFonts w:asciiTheme="minorHAnsi" w:eastAsiaTheme="minorEastAsia" w:hAnsiTheme="minorHAnsi" w:cstheme="minorBidi"/>
              <w:smallCaps w:val="0"/>
              <w:lang w:val="en-US" w:eastAsia="zh-CN"/>
            </w:rPr>
          </w:pPr>
          <w:hyperlink w:anchor="_Toc485200217" w:history="1">
            <w:r w:rsidR="009F6353" w:rsidRPr="0009568D">
              <w:rPr>
                <w:rStyle w:val="Hyperlink"/>
              </w:rPr>
              <w:t>Anexo 1: Metodología de análisis socioeconómico.</w:t>
            </w:r>
            <w:r w:rsidR="009F6353">
              <w:rPr>
                <w:webHidden/>
              </w:rPr>
              <w:tab/>
            </w:r>
            <w:r w:rsidR="009F6353">
              <w:rPr>
                <w:webHidden/>
              </w:rPr>
              <w:fldChar w:fldCharType="begin"/>
            </w:r>
            <w:r w:rsidR="009F6353">
              <w:rPr>
                <w:webHidden/>
              </w:rPr>
              <w:instrText xml:space="preserve"> PAGEREF _Toc485200217 \h </w:instrText>
            </w:r>
            <w:r w:rsidR="009F6353">
              <w:rPr>
                <w:webHidden/>
              </w:rPr>
            </w:r>
            <w:r w:rsidR="009F6353">
              <w:rPr>
                <w:webHidden/>
              </w:rPr>
              <w:fldChar w:fldCharType="separate"/>
            </w:r>
            <w:r w:rsidR="009F6353">
              <w:rPr>
                <w:webHidden/>
              </w:rPr>
              <w:t>176</w:t>
            </w:r>
            <w:r w:rsidR="009F6353">
              <w:rPr>
                <w:webHidden/>
              </w:rPr>
              <w:fldChar w:fldCharType="end"/>
            </w:r>
          </w:hyperlink>
        </w:p>
        <w:p w14:paraId="19935CA0" w14:textId="0A5652C1" w:rsidR="009F6353" w:rsidRDefault="005C1A74" w:rsidP="009F6353">
          <w:pPr>
            <w:pStyle w:val="TOC1"/>
            <w:rPr>
              <w:rFonts w:asciiTheme="minorHAnsi" w:eastAsiaTheme="minorEastAsia" w:hAnsiTheme="minorHAnsi" w:cstheme="minorBidi"/>
              <w:smallCaps w:val="0"/>
              <w:lang w:val="en-US" w:eastAsia="zh-CN"/>
            </w:rPr>
          </w:pPr>
          <w:hyperlink w:anchor="_Toc485200227" w:history="1">
            <w:r w:rsidR="009F6353" w:rsidRPr="0009568D">
              <w:rPr>
                <w:rStyle w:val="Hyperlink"/>
              </w:rPr>
              <w:t>Anexo 2: Determinación de Razones de Precio de Cuenta.</w:t>
            </w:r>
            <w:r w:rsidR="009F6353">
              <w:rPr>
                <w:webHidden/>
              </w:rPr>
              <w:tab/>
            </w:r>
            <w:r w:rsidR="009F6353">
              <w:rPr>
                <w:webHidden/>
              </w:rPr>
              <w:fldChar w:fldCharType="begin"/>
            </w:r>
            <w:r w:rsidR="009F6353">
              <w:rPr>
                <w:webHidden/>
              </w:rPr>
              <w:instrText xml:space="preserve"> PAGEREF _Toc485200227 \h </w:instrText>
            </w:r>
            <w:r w:rsidR="009F6353">
              <w:rPr>
                <w:webHidden/>
              </w:rPr>
            </w:r>
            <w:r w:rsidR="009F6353">
              <w:rPr>
                <w:webHidden/>
              </w:rPr>
              <w:fldChar w:fldCharType="separate"/>
            </w:r>
            <w:r w:rsidR="009F6353">
              <w:rPr>
                <w:webHidden/>
              </w:rPr>
              <w:t>184</w:t>
            </w:r>
            <w:r w:rsidR="009F6353">
              <w:rPr>
                <w:webHidden/>
              </w:rPr>
              <w:fldChar w:fldCharType="end"/>
            </w:r>
          </w:hyperlink>
        </w:p>
        <w:p w14:paraId="6EFA134F" w14:textId="7439CC01" w:rsidR="009F6353" w:rsidRPr="009F6353" w:rsidRDefault="005C1A74" w:rsidP="009F6353">
          <w:pPr>
            <w:pStyle w:val="TOC1"/>
            <w:rPr>
              <w:rFonts w:asciiTheme="minorHAnsi" w:eastAsiaTheme="minorEastAsia" w:hAnsiTheme="minorHAnsi" w:cstheme="minorBidi"/>
              <w:smallCaps w:val="0"/>
              <w:lang w:val="en-US" w:eastAsia="zh-CN"/>
            </w:rPr>
          </w:pPr>
          <w:hyperlink w:anchor="_Toc485200234" w:history="1">
            <w:r w:rsidR="009F6353" w:rsidRPr="0009568D">
              <w:rPr>
                <w:rStyle w:val="Hyperlink"/>
              </w:rPr>
              <w:t>Anexo 3: Análisis de elasticidad.</w:t>
            </w:r>
            <w:r w:rsidR="009F6353">
              <w:rPr>
                <w:webHidden/>
              </w:rPr>
              <w:tab/>
            </w:r>
            <w:r w:rsidR="009F6353">
              <w:rPr>
                <w:webHidden/>
              </w:rPr>
              <w:fldChar w:fldCharType="begin"/>
            </w:r>
            <w:r w:rsidR="009F6353">
              <w:rPr>
                <w:webHidden/>
              </w:rPr>
              <w:instrText xml:space="preserve"> PAGEREF _Toc485200234 \h </w:instrText>
            </w:r>
            <w:r w:rsidR="009F6353">
              <w:rPr>
                <w:webHidden/>
              </w:rPr>
            </w:r>
            <w:r w:rsidR="009F6353">
              <w:rPr>
                <w:webHidden/>
              </w:rPr>
              <w:fldChar w:fldCharType="separate"/>
            </w:r>
            <w:r w:rsidR="009F6353">
              <w:rPr>
                <w:webHidden/>
              </w:rPr>
              <w:t>190</w:t>
            </w:r>
            <w:r w:rsidR="009F6353">
              <w:rPr>
                <w:webHidden/>
              </w:rPr>
              <w:fldChar w:fldCharType="end"/>
            </w:r>
          </w:hyperlink>
        </w:p>
        <w:p w14:paraId="0E28A840" w14:textId="4B698A7B" w:rsidR="009F6353" w:rsidRDefault="005C1A74" w:rsidP="009F6353">
          <w:pPr>
            <w:pStyle w:val="TOC1"/>
            <w:rPr>
              <w:rFonts w:asciiTheme="minorHAnsi" w:eastAsiaTheme="minorEastAsia" w:hAnsiTheme="minorHAnsi" w:cstheme="minorBidi"/>
              <w:smallCaps w:val="0"/>
              <w:lang w:val="en-US" w:eastAsia="zh-CN"/>
            </w:rPr>
          </w:pPr>
          <w:hyperlink w:anchor="_Toc485200268" w:history="1">
            <w:r w:rsidR="009F6353" w:rsidRPr="0009568D">
              <w:rPr>
                <w:rStyle w:val="Hyperlink"/>
              </w:rPr>
              <w:t>Anexo 4: Informe transferencia de beneficios de Disposición a Pagar por el servicio de desagüe cloacal.</w:t>
            </w:r>
            <w:r w:rsidR="009F6353">
              <w:rPr>
                <w:webHidden/>
              </w:rPr>
              <w:tab/>
            </w:r>
            <w:r w:rsidR="009F6353">
              <w:rPr>
                <w:webHidden/>
              </w:rPr>
              <w:fldChar w:fldCharType="begin"/>
            </w:r>
            <w:r w:rsidR="009F6353">
              <w:rPr>
                <w:webHidden/>
              </w:rPr>
              <w:instrText xml:space="preserve"> PAGEREF _Toc485200268 \h </w:instrText>
            </w:r>
            <w:r w:rsidR="009F6353">
              <w:rPr>
                <w:webHidden/>
              </w:rPr>
            </w:r>
            <w:r w:rsidR="009F6353">
              <w:rPr>
                <w:webHidden/>
              </w:rPr>
              <w:fldChar w:fldCharType="separate"/>
            </w:r>
            <w:r w:rsidR="009F6353">
              <w:rPr>
                <w:webHidden/>
              </w:rPr>
              <w:t>211</w:t>
            </w:r>
            <w:r w:rsidR="009F6353">
              <w:rPr>
                <w:webHidden/>
              </w:rPr>
              <w:fldChar w:fldCharType="end"/>
            </w:r>
          </w:hyperlink>
        </w:p>
        <w:p w14:paraId="167137C5" w14:textId="4E9E93AF" w:rsidR="009F6353" w:rsidRPr="009F6353" w:rsidRDefault="005C1A74" w:rsidP="009F6353">
          <w:pPr>
            <w:pStyle w:val="TOC1"/>
            <w:rPr>
              <w:rFonts w:asciiTheme="minorHAnsi" w:eastAsiaTheme="minorEastAsia" w:hAnsiTheme="minorHAnsi" w:cstheme="minorBidi"/>
              <w:smallCaps w:val="0"/>
              <w:lang w:val="en-US" w:eastAsia="zh-CN"/>
            </w:rPr>
          </w:pPr>
          <w:hyperlink w:anchor="_Toc485200274" w:history="1">
            <w:r w:rsidR="009F6353" w:rsidRPr="0009568D">
              <w:rPr>
                <w:rStyle w:val="Hyperlink"/>
              </w:rPr>
              <w:t xml:space="preserve">Anexo </w:t>
            </w:r>
            <w:r w:rsidR="009F6353" w:rsidRPr="0009568D">
              <w:rPr>
                <w:rStyle w:val="Hyperlink"/>
                <w:lang w:val="es-ES_tradnl"/>
              </w:rPr>
              <w:t>5</w:t>
            </w:r>
            <w:r w:rsidR="009F6353" w:rsidRPr="0009568D">
              <w:rPr>
                <w:rStyle w:val="Hyperlink"/>
              </w:rPr>
              <w:t>: Detalle de obras Tratamiento por Dilución</w:t>
            </w:r>
            <w:r w:rsidR="009F6353">
              <w:rPr>
                <w:webHidden/>
              </w:rPr>
              <w:tab/>
            </w:r>
            <w:r w:rsidR="009F6353">
              <w:rPr>
                <w:webHidden/>
              </w:rPr>
              <w:fldChar w:fldCharType="begin"/>
            </w:r>
            <w:r w:rsidR="009F6353">
              <w:rPr>
                <w:webHidden/>
              </w:rPr>
              <w:instrText xml:space="preserve"> PAGEREF _Toc485200274 \h </w:instrText>
            </w:r>
            <w:r w:rsidR="009F6353">
              <w:rPr>
                <w:webHidden/>
              </w:rPr>
            </w:r>
            <w:r w:rsidR="009F6353">
              <w:rPr>
                <w:webHidden/>
              </w:rPr>
              <w:fldChar w:fldCharType="separate"/>
            </w:r>
            <w:r w:rsidR="009F6353">
              <w:rPr>
                <w:webHidden/>
              </w:rPr>
              <w:t>219</w:t>
            </w:r>
            <w:r w:rsidR="009F6353">
              <w:rPr>
                <w:webHidden/>
              </w:rPr>
              <w:fldChar w:fldCharType="end"/>
            </w:r>
          </w:hyperlink>
        </w:p>
        <w:p w14:paraId="107550AB" w14:textId="7573188D" w:rsidR="009F6353" w:rsidRDefault="005C1A74">
          <w:pPr>
            <w:pStyle w:val="TOC1"/>
            <w:rPr>
              <w:rFonts w:asciiTheme="minorHAnsi" w:eastAsiaTheme="minorEastAsia" w:hAnsiTheme="minorHAnsi" w:cstheme="minorBidi"/>
              <w:smallCaps w:val="0"/>
              <w:lang w:val="en-US" w:eastAsia="zh-CN"/>
            </w:rPr>
          </w:pPr>
          <w:hyperlink w:anchor="_Toc485200294" w:history="1">
            <w:r w:rsidR="009F6353" w:rsidRPr="0009568D">
              <w:rPr>
                <w:rStyle w:val="Hyperlink"/>
              </w:rPr>
              <w:t>Anexo 6: Detalle de costos de inversión</w:t>
            </w:r>
            <w:r w:rsidR="009F6353">
              <w:rPr>
                <w:webHidden/>
              </w:rPr>
              <w:tab/>
            </w:r>
            <w:r w:rsidR="009F6353">
              <w:rPr>
                <w:webHidden/>
              </w:rPr>
              <w:fldChar w:fldCharType="begin"/>
            </w:r>
            <w:r w:rsidR="009F6353">
              <w:rPr>
                <w:webHidden/>
              </w:rPr>
              <w:instrText xml:space="preserve"> PAGEREF _Toc485200294 \h </w:instrText>
            </w:r>
            <w:r w:rsidR="009F6353">
              <w:rPr>
                <w:webHidden/>
              </w:rPr>
            </w:r>
            <w:r w:rsidR="009F6353">
              <w:rPr>
                <w:webHidden/>
              </w:rPr>
              <w:fldChar w:fldCharType="separate"/>
            </w:r>
            <w:r w:rsidR="009F6353">
              <w:rPr>
                <w:webHidden/>
              </w:rPr>
              <w:t>233</w:t>
            </w:r>
            <w:r w:rsidR="009F6353">
              <w:rPr>
                <w:webHidden/>
              </w:rPr>
              <w:fldChar w:fldCharType="end"/>
            </w:r>
          </w:hyperlink>
        </w:p>
        <w:p w14:paraId="7FA46A43" w14:textId="3EBC7D05" w:rsidR="009F6353" w:rsidRDefault="005C1A74">
          <w:pPr>
            <w:pStyle w:val="TOC1"/>
            <w:rPr>
              <w:rFonts w:asciiTheme="minorHAnsi" w:eastAsiaTheme="minorEastAsia" w:hAnsiTheme="minorHAnsi" w:cstheme="minorBidi"/>
              <w:smallCaps w:val="0"/>
              <w:lang w:val="en-US" w:eastAsia="zh-CN"/>
            </w:rPr>
          </w:pPr>
          <w:hyperlink w:anchor="_Toc485200295" w:history="1">
            <w:r w:rsidR="009F6353" w:rsidRPr="0009568D">
              <w:rPr>
                <w:rStyle w:val="Hyperlink"/>
              </w:rPr>
              <w:t xml:space="preserve">Anexo </w:t>
            </w:r>
            <w:r w:rsidR="009F6353" w:rsidRPr="0009568D">
              <w:rPr>
                <w:rStyle w:val="Hyperlink"/>
                <w:lang w:val="es-ES_tradnl"/>
              </w:rPr>
              <w:t>7</w:t>
            </w:r>
            <w:r w:rsidR="009F6353" w:rsidRPr="0009568D">
              <w:rPr>
                <w:rStyle w:val="Hyperlink"/>
              </w:rPr>
              <w:t>: Detalle de obras planta de tratamiento en dos etapas</w:t>
            </w:r>
            <w:r w:rsidR="009F6353">
              <w:rPr>
                <w:webHidden/>
              </w:rPr>
              <w:tab/>
            </w:r>
            <w:r w:rsidR="009F6353">
              <w:rPr>
                <w:webHidden/>
              </w:rPr>
              <w:fldChar w:fldCharType="begin"/>
            </w:r>
            <w:r w:rsidR="009F6353">
              <w:rPr>
                <w:webHidden/>
              </w:rPr>
              <w:instrText xml:space="preserve"> PAGEREF _Toc485200295 \h </w:instrText>
            </w:r>
            <w:r w:rsidR="009F6353">
              <w:rPr>
                <w:webHidden/>
              </w:rPr>
            </w:r>
            <w:r w:rsidR="009F6353">
              <w:rPr>
                <w:webHidden/>
              </w:rPr>
              <w:fldChar w:fldCharType="separate"/>
            </w:r>
            <w:r w:rsidR="009F6353">
              <w:rPr>
                <w:webHidden/>
              </w:rPr>
              <w:t>235</w:t>
            </w:r>
            <w:r w:rsidR="009F6353">
              <w:rPr>
                <w:webHidden/>
              </w:rPr>
              <w:fldChar w:fldCharType="end"/>
            </w:r>
          </w:hyperlink>
        </w:p>
        <w:p w14:paraId="618D8ABE" w14:textId="04F0675B" w:rsidR="009F6353" w:rsidRDefault="005C1A74">
          <w:pPr>
            <w:pStyle w:val="TOC1"/>
            <w:rPr>
              <w:rFonts w:asciiTheme="minorHAnsi" w:eastAsiaTheme="minorEastAsia" w:hAnsiTheme="minorHAnsi" w:cstheme="minorBidi"/>
              <w:smallCaps w:val="0"/>
              <w:lang w:val="en-US" w:eastAsia="zh-CN"/>
            </w:rPr>
          </w:pPr>
          <w:hyperlink w:anchor="_Toc485200296" w:history="1">
            <w:r w:rsidR="009F6353" w:rsidRPr="0009568D">
              <w:rPr>
                <w:rStyle w:val="Hyperlink"/>
              </w:rPr>
              <w:t xml:space="preserve">Anexo </w:t>
            </w:r>
            <w:r w:rsidR="009F6353" w:rsidRPr="0009568D">
              <w:rPr>
                <w:rStyle w:val="Hyperlink"/>
                <w:lang w:val="pt-BR"/>
              </w:rPr>
              <w:t>8</w:t>
            </w:r>
            <w:r w:rsidR="009F6353" w:rsidRPr="0009568D">
              <w:rPr>
                <w:rStyle w:val="Hyperlink"/>
              </w:rPr>
              <w:t>: Detalle de Cálculo Costos Operativos</w:t>
            </w:r>
            <w:r w:rsidR="009F6353">
              <w:rPr>
                <w:webHidden/>
              </w:rPr>
              <w:tab/>
            </w:r>
            <w:r w:rsidR="009F6353">
              <w:rPr>
                <w:webHidden/>
              </w:rPr>
              <w:fldChar w:fldCharType="begin"/>
            </w:r>
            <w:r w:rsidR="009F6353">
              <w:rPr>
                <w:webHidden/>
              </w:rPr>
              <w:instrText xml:space="preserve"> PAGEREF _Toc485200296 \h </w:instrText>
            </w:r>
            <w:r w:rsidR="009F6353">
              <w:rPr>
                <w:webHidden/>
              </w:rPr>
            </w:r>
            <w:r w:rsidR="009F6353">
              <w:rPr>
                <w:webHidden/>
              </w:rPr>
              <w:fldChar w:fldCharType="separate"/>
            </w:r>
            <w:r w:rsidR="009F6353">
              <w:rPr>
                <w:webHidden/>
              </w:rPr>
              <w:t>238</w:t>
            </w:r>
            <w:r w:rsidR="009F6353">
              <w:rPr>
                <w:webHidden/>
              </w:rPr>
              <w:fldChar w:fldCharType="end"/>
            </w:r>
          </w:hyperlink>
        </w:p>
        <w:p w14:paraId="477ED112" w14:textId="5989412D" w:rsidR="00D86B36" w:rsidRPr="000625C3" w:rsidRDefault="00D86B36">
          <w:pPr>
            <w:rPr>
              <w:rFonts w:ascii="Arial" w:hAnsi="Arial" w:cs="Arial"/>
            </w:rPr>
          </w:pPr>
          <w:r w:rsidRPr="00747FE9">
            <w:rPr>
              <w:rFonts w:ascii="Arial" w:hAnsi="Arial" w:cs="Arial"/>
              <w:b/>
              <w:bCs/>
              <w:lang w:val="es-ES"/>
            </w:rPr>
            <w:fldChar w:fldCharType="end"/>
          </w:r>
        </w:p>
      </w:sdtContent>
    </w:sdt>
    <w:p w14:paraId="2CB3746B" w14:textId="77777777" w:rsidR="000B2DBC" w:rsidRPr="000625C3" w:rsidRDefault="000B2DBC">
      <w:pPr>
        <w:rPr>
          <w:rFonts w:ascii="Arial" w:hAnsi="Arial" w:cs="Arial"/>
          <w:b/>
          <w:sz w:val="36"/>
        </w:rPr>
        <w:sectPr w:rsidR="000B2DBC" w:rsidRPr="000625C3" w:rsidSect="00E53BCF">
          <w:pgSz w:w="11907" w:h="16839" w:code="9"/>
          <w:pgMar w:top="1985" w:right="1701" w:bottom="1276" w:left="1701" w:header="709" w:footer="264" w:gutter="0"/>
          <w:cols w:space="708"/>
          <w:titlePg/>
          <w:docGrid w:linePitch="360"/>
        </w:sectPr>
      </w:pPr>
    </w:p>
    <w:p w14:paraId="322E1673" w14:textId="77777777" w:rsidR="000B2DBC" w:rsidRPr="000625C3" w:rsidRDefault="000B2DBC" w:rsidP="00477F31">
      <w:pPr>
        <w:tabs>
          <w:tab w:val="left" w:pos="1440"/>
          <w:tab w:val="left" w:pos="3060"/>
        </w:tabs>
        <w:spacing w:line="240" w:lineRule="auto"/>
        <w:jc w:val="center"/>
        <w:outlineLvl w:val="0"/>
        <w:rPr>
          <w:rFonts w:ascii="Arial" w:hAnsi="Arial" w:cs="Arial"/>
          <w:b/>
          <w:smallCaps/>
          <w:sz w:val="28"/>
          <w:szCs w:val="28"/>
        </w:rPr>
      </w:pPr>
      <w:bookmarkStart w:id="9" w:name="_Toc303163952"/>
      <w:bookmarkStart w:id="10" w:name="_Toc453719996"/>
      <w:bookmarkStart w:id="11" w:name="_Toc485200056"/>
      <w:r w:rsidRPr="000625C3">
        <w:rPr>
          <w:rFonts w:ascii="Arial" w:hAnsi="Arial" w:cs="Arial"/>
          <w:b/>
          <w:smallCaps/>
          <w:sz w:val="28"/>
          <w:szCs w:val="28"/>
        </w:rPr>
        <w:lastRenderedPageBreak/>
        <w:t>Resumen</w:t>
      </w:r>
      <w:bookmarkEnd w:id="9"/>
      <w:bookmarkEnd w:id="10"/>
      <w:bookmarkEnd w:id="11"/>
    </w:p>
    <w:p w14:paraId="78727B68" w14:textId="77777777" w:rsidR="00F30C82" w:rsidRPr="000625C3" w:rsidRDefault="00F30C82" w:rsidP="00F30C82">
      <w:pPr>
        <w:spacing w:line="240" w:lineRule="auto"/>
        <w:contextualSpacing/>
        <w:rPr>
          <w:rFonts w:ascii="Arial" w:hAnsi="Arial" w:cs="Arial"/>
        </w:rPr>
      </w:pPr>
    </w:p>
    <w:p w14:paraId="4E6C846C" w14:textId="60E99241" w:rsidR="00F30C82" w:rsidRPr="000625C3" w:rsidRDefault="00F30C82" w:rsidP="00F30C82">
      <w:pPr>
        <w:spacing w:line="240" w:lineRule="auto"/>
        <w:contextualSpacing/>
        <w:rPr>
          <w:rFonts w:ascii="Arial" w:hAnsi="Arial" w:cs="Arial"/>
          <w:smallCaps/>
        </w:rPr>
      </w:pPr>
      <w:r w:rsidRPr="000625C3">
        <w:rPr>
          <w:rFonts w:ascii="Arial" w:hAnsi="Arial" w:cs="Arial"/>
        </w:rPr>
        <w:t>Este documento presenta el análisis de la viabilidad socioeconómica de las obras a ser financiadas con la primera operación bajo la Línea de Crédito Condicional para Préstamos de Inversión (CLIPP AR-O004) para el Programa de Agua</w:t>
      </w:r>
      <w:r w:rsidR="00B63497">
        <w:rPr>
          <w:rFonts w:ascii="Arial" w:hAnsi="Arial" w:cs="Arial"/>
        </w:rPr>
        <w:t xml:space="preserve"> Potable</w:t>
      </w:r>
      <w:r w:rsidRPr="000625C3">
        <w:rPr>
          <w:rFonts w:ascii="Arial" w:hAnsi="Arial" w:cs="Arial"/>
        </w:rPr>
        <w:t xml:space="preserve"> y Saneamiento para </w:t>
      </w:r>
      <w:r w:rsidR="00B63497">
        <w:rPr>
          <w:rFonts w:ascii="Arial" w:hAnsi="Arial" w:cs="Arial"/>
        </w:rPr>
        <w:t xml:space="preserve">el Área Metropolitana de la Ciudad de Buenos Aires y </w:t>
      </w:r>
      <w:r w:rsidRPr="000625C3">
        <w:rPr>
          <w:rFonts w:ascii="Arial" w:hAnsi="Arial" w:cs="Arial"/>
        </w:rPr>
        <w:t xml:space="preserve">los Partidos del Primero, Segundo y Tercer Cordón del Conurbano Bonaerense Línea </w:t>
      </w:r>
      <w:r w:rsidR="00B63497">
        <w:rPr>
          <w:rFonts w:ascii="Arial" w:hAnsi="Arial" w:cs="Arial"/>
          <w:smallCaps/>
        </w:rPr>
        <w:t>(AR-L1257</w:t>
      </w:r>
      <w:r w:rsidRPr="000625C3">
        <w:rPr>
          <w:rFonts w:ascii="Arial" w:hAnsi="Arial" w:cs="Arial"/>
          <w:smallCaps/>
        </w:rPr>
        <w:t>).</w:t>
      </w:r>
    </w:p>
    <w:p w14:paraId="3420F9C7" w14:textId="77777777" w:rsidR="00F30C82" w:rsidRPr="000625C3" w:rsidRDefault="00F30C82" w:rsidP="00F30C82">
      <w:pPr>
        <w:spacing w:line="240" w:lineRule="auto"/>
        <w:contextualSpacing/>
        <w:rPr>
          <w:rFonts w:ascii="Arial" w:hAnsi="Arial" w:cs="Arial"/>
          <w:b/>
        </w:rPr>
      </w:pPr>
    </w:p>
    <w:p w14:paraId="701B1943" w14:textId="76296735" w:rsidR="00F30C82" w:rsidRPr="000625C3" w:rsidRDefault="00F30C82" w:rsidP="00F30C82">
      <w:pPr>
        <w:spacing w:line="240" w:lineRule="auto"/>
        <w:contextualSpacing/>
        <w:rPr>
          <w:rFonts w:ascii="Arial" w:hAnsi="Arial" w:cs="Arial"/>
        </w:rPr>
      </w:pPr>
      <w:r w:rsidRPr="000625C3">
        <w:rPr>
          <w:rFonts w:ascii="Arial" w:hAnsi="Arial" w:cs="Arial"/>
          <w:b/>
        </w:rPr>
        <w:t>El Programa</w:t>
      </w:r>
      <w:r w:rsidRPr="000625C3">
        <w:rPr>
          <w:rFonts w:ascii="Arial" w:hAnsi="Arial" w:cs="Arial"/>
        </w:rPr>
        <w:t>. El objetivo de la línea CCLIP es ampliar la cobertura y mejorar la calidad de los servicios de agua y cloaca en los partidos del primero, segundo y tercer cordón del área metropolitana de CABA. La primera operación tiene como objetivos específicos: (i) aumentar la cobertura de alcantarillado; (ii) evitar la contaminación de los cuerpos receptores mediante el tratamiento y disposición adecuado de efluentes; y (iii) aumentar la disponibilidad de agua potable por la disminución de pérdidas y ahorros en consumo.</w:t>
      </w:r>
    </w:p>
    <w:p w14:paraId="5AA5149A" w14:textId="77777777" w:rsidR="00F30C82" w:rsidRPr="000625C3" w:rsidRDefault="00F30C82" w:rsidP="00F30C82">
      <w:pPr>
        <w:spacing w:line="240" w:lineRule="auto"/>
        <w:contextualSpacing/>
        <w:rPr>
          <w:rFonts w:ascii="Arial" w:hAnsi="Arial" w:cs="Arial"/>
        </w:rPr>
      </w:pPr>
    </w:p>
    <w:p w14:paraId="0A143C21" w14:textId="37994D40" w:rsidR="00F30C82" w:rsidRPr="000625C3" w:rsidRDefault="00F30C82" w:rsidP="00F30C82">
      <w:pPr>
        <w:spacing w:line="240" w:lineRule="auto"/>
        <w:contextualSpacing/>
        <w:rPr>
          <w:rFonts w:ascii="Arial" w:hAnsi="Arial" w:cs="Arial"/>
        </w:rPr>
      </w:pPr>
      <w:r w:rsidRPr="000625C3">
        <w:rPr>
          <w:rFonts w:ascii="Arial" w:hAnsi="Arial" w:cs="Arial"/>
        </w:rPr>
        <w:t>El tercer programa incluye obras agua potable, que incluye reemplazo de redes, regulación de presiones e instalación de equipos de macro y micro medición; obras de expansión de los servicios de recolección y tratamiento de las aguas residuales; y, fortalecimiento institucional orientado hacia las áreas de sistemas, capacitación, y medio ambiente.  Específicamente se financiará:</w:t>
      </w:r>
    </w:p>
    <w:p w14:paraId="45536BD8" w14:textId="77777777" w:rsidR="00F30C82" w:rsidRPr="000625C3" w:rsidRDefault="00F30C82" w:rsidP="00F30C82">
      <w:pPr>
        <w:spacing w:line="240" w:lineRule="auto"/>
        <w:contextualSpacing/>
        <w:rPr>
          <w:rFonts w:ascii="Arial" w:hAnsi="Arial" w:cs="Arial"/>
        </w:rPr>
      </w:pPr>
      <w:bookmarkStart w:id="12" w:name="_Toc303163606"/>
    </w:p>
    <w:p w14:paraId="2C5D1D9A" w14:textId="23A641E8" w:rsidR="00F30C82" w:rsidRPr="000625C3" w:rsidRDefault="007167EB" w:rsidP="00F30C82">
      <w:pPr>
        <w:spacing w:line="240" w:lineRule="auto"/>
        <w:contextualSpacing/>
        <w:rPr>
          <w:rFonts w:ascii="Arial" w:hAnsi="Arial" w:cs="Arial"/>
        </w:rPr>
      </w:pPr>
      <w:bookmarkStart w:id="13" w:name="_Hlk484444199"/>
      <w:r w:rsidRPr="000625C3">
        <w:rPr>
          <w:rFonts w:ascii="Arial" w:hAnsi="Arial" w:cs="Arial"/>
          <w:b/>
        </w:rPr>
        <w:t>Proyecto de Mejora en la Eficiencia del Sistema de Agua Potable</w:t>
      </w:r>
      <w:bookmarkEnd w:id="13"/>
      <w:r w:rsidR="00F30C82" w:rsidRPr="000625C3">
        <w:rPr>
          <w:rFonts w:ascii="Arial" w:hAnsi="Arial" w:cs="Arial"/>
          <w:b/>
        </w:rPr>
        <w:t xml:space="preserve">. </w:t>
      </w:r>
      <w:r w:rsidR="00F30C82" w:rsidRPr="000625C3">
        <w:rPr>
          <w:rFonts w:ascii="Arial" w:hAnsi="Arial" w:cs="Arial"/>
        </w:rPr>
        <w:t xml:space="preserve">Las inversiones están orientadas a </w:t>
      </w:r>
      <w:r w:rsidR="009938EE" w:rsidRPr="000625C3">
        <w:rPr>
          <w:rFonts w:ascii="Arial" w:hAnsi="Arial" w:cs="Arial"/>
        </w:rPr>
        <w:t xml:space="preserve">la adquisición e instalación de equipos de </w:t>
      </w:r>
      <w:r w:rsidR="00911361" w:rsidRPr="000625C3">
        <w:rPr>
          <w:rFonts w:ascii="Arial" w:hAnsi="Arial" w:cs="Arial"/>
        </w:rPr>
        <w:t>medición de</w:t>
      </w:r>
      <w:r w:rsidR="009938EE" w:rsidRPr="000625C3">
        <w:rPr>
          <w:rFonts w:ascii="Arial" w:hAnsi="Arial" w:cs="Arial"/>
        </w:rPr>
        <w:t xml:space="preserve"> presión y consumo con el fin de reducir las pérdidas físicas a través del control de las presiones en la red y disminuir los desperdicios mediante la medición de los consumos de las viviendas. Se financiará la adquisición e instalación de 16.174 </w:t>
      </w:r>
      <w:r w:rsidR="00911361" w:rsidRPr="000625C3">
        <w:rPr>
          <w:rFonts w:ascii="Arial" w:hAnsi="Arial" w:cs="Arial"/>
        </w:rPr>
        <w:t>micro medidores</w:t>
      </w:r>
      <w:r w:rsidR="009938EE" w:rsidRPr="000625C3">
        <w:rPr>
          <w:rFonts w:ascii="Arial" w:hAnsi="Arial" w:cs="Arial"/>
        </w:rPr>
        <w:t xml:space="preserve"> en nueve sectores de la ciudad, 12 equipos para medición y registro de caudales y presiones, 20 equipos controladores de presión y 20.000 m de tubería para sectorización de áreas hidráulicas, dando así continuidad al plan de control del agua no contabilizada (ANC). Como resultado se espera ahorrar aproximadamente </w:t>
      </w:r>
      <w:r w:rsidR="00B32B0A">
        <w:rPr>
          <w:rFonts w:ascii="Arial" w:hAnsi="Arial" w:cs="Arial"/>
        </w:rPr>
        <w:t>46.787</w:t>
      </w:r>
      <w:r w:rsidR="009938EE" w:rsidRPr="000625C3">
        <w:rPr>
          <w:rFonts w:ascii="Arial" w:hAnsi="Arial" w:cs="Arial"/>
        </w:rPr>
        <w:t xml:space="preserve"> m3/día de agua</w:t>
      </w:r>
      <w:r w:rsidR="00F30C82" w:rsidRPr="000625C3">
        <w:rPr>
          <w:rFonts w:ascii="Arial" w:hAnsi="Arial" w:cs="Arial"/>
        </w:rPr>
        <w:t xml:space="preserve"> </w:t>
      </w:r>
      <w:r w:rsidR="00911361" w:rsidRPr="000625C3">
        <w:rPr>
          <w:rFonts w:ascii="Arial" w:hAnsi="Arial" w:cs="Arial"/>
        </w:rPr>
        <w:t xml:space="preserve">De </w:t>
      </w:r>
      <w:r w:rsidR="00C7072D" w:rsidRPr="000625C3">
        <w:rPr>
          <w:rFonts w:ascii="Arial" w:hAnsi="Arial" w:cs="Arial"/>
        </w:rPr>
        <w:t>este volumen</w:t>
      </w:r>
      <w:r w:rsidR="00911361" w:rsidRPr="000625C3">
        <w:rPr>
          <w:rFonts w:ascii="Arial" w:hAnsi="Arial" w:cs="Arial"/>
        </w:rPr>
        <w:t xml:space="preserve">, </w:t>
      </w:r>
      <w:r w:rsidR="00B32B0A">
        <w:rPr>
          <w:rFonts w:ascii="Arial" w:hAnsi="Arial" w:cs="Arial"/>
        </w:rPr>
        <w:t>18.715</w:t>
      </w:r>
      <w:r w:rsidR="00911361" w:rsidRPr="000625C3">
        <w:rPr>
          <w:rFonts w:ascii="Arial" w:hAnsi="Arial" w:cs="Arial"/>
        </w:rPr>
        <w:t xml:space="preserve"> m3/</w:t>
      </w:r>
      <w:r w:rsidR="00C7072D" w:rsidRPr="000625C3">
        <w:rPr>
          <w:rFonts w:ascii="Arial" w:hAnsi="Arial" w:cs="Arial"/>
        </w:rPr>
        <w:t>día</w:t>
      </w:r>
      <w:r w:rsidR="00911361" w:rsidRPr="000625C3">
        <w:rPr>
          <w:rFonts w:ascii="Arial" w:hAnsi="Arial" w:cs="Arial"/>
        </w:rPr>
        <w:t xml:space="preserve"> </w:t>
      </w:r>
      <w:r w:rsidR="00F30C82" w:rsidRPr="000625C3">
        <w:rPr>
          <w:rFonts w:ascii="Arial" w:hAnsi="Arial" w:cs="Arial"/>
        </w:rPr>
        <w:t>podrá ser utilizado en zonas urbanas donde actualmente existen restricciones de abastecimiento por insuficiente presión y caudal</w:t>
      </w:r>
      <w:r w:rsidR="00911361" w:rsidRPr="000625C3">
        <w:rPr>
          <w:rFonts w:ascii="Arial" w:hAnsi="Arial" w:cs="Arial"/>
        </w:rPr>
        <w:t xml:space="preserve"> y que podría beneficiar a 130.000 habitantes equivalentes con oferta continua de agua potable</w:t>
      </w:r>
      <w:r w:rsidR="00F30C82" w:rsidRPr="000625C3">
        <w:rPr>
          <w:rFonts w:ascii="Arial" w:hAnsi="Arial" w:cs="Arial"/>
        </w:rPr>
        <w:t>. Se espera también lograr también un ahorro en los costos operativos y de mantenimiento, una mejor calidad del agua producida y una mayor confiabilidad del proceso en su conjunto.</w:t>
      </w:r>
      <w:bookmarkEnd w:id="12"/>
    </w:p>
    <w:p w14:paraId="0B457883" w14:textId="77777777" w:rsidR="00F30C82" w:rsidRPr="000625C3" w:rsidRDefault="00F30C82" w:rsidP="00F30C82">
      <w:pPr>
        <w:spacing w:line="240" w:lineRule="auto"/>
        <w:contextualSpacing/>
        <w:rPr>
          <w:rFonts w:ascii="Arial" w:hAnsi="Arial" w:cs="Arial"/>
        </w:rPr>
      </w:pPr>
    </w:p>
    <w:p w14:paraId="72DBCA30" w14:textId="0668D735" w:rsidR="00F30C82" w:rsidRPr="000625C3" w:rsidRDefault="00C7072D" w:rsidP="00F30C82">
      <w:pPr>
        <w:spacing w:line="240" w:lineRule="auto"/>
        <w:contextualSpacing/>
        <w:rPr>
          <w:rFonts w:ascii="Arial" w:hAnsi="Arial" w:cs="Arial"/>
          <w:b/>
        </w:rPr>
      </w:pPr>
      <w:bookmarkStart w:id="14" w:name="_Hlk484504013"/>
      <w:bookmarkStart w:id="15" w:name="_Toc303163608"/>
      <w:r w:rsidRPr="000625C3">
        <w:rPr>
          <w:rFonts w:ascii="Arial" w:hAnsi="Arial" w:cs="Arial"/>
          <w:b/>
        </w:rPr>
        <w:t>Sistema de Saneamiento de los partidos de Moreno y San Miguel</w:t>
      </w:r>
      <w:bookmarkEnd w:id="14"/>
      <w:r w:rsidR="00F30C82" w:rsidRPr="000625C3">
        <w:rPr>
          <w:rFonts w:ascii="Arial" w:hAnsi="Arial" w:cs="Arial"/>
          <w:b/>
        </w:rPr>
        <w:t xml:space="preserve">. </w:t>
      </w:r>
      <w:r w:rsidRPr="000625C3">
        <w:rPr>
          <w:rFonts w:ascii="Arial" w:hAnsi="Arial" w:cs="Arial"/>
        </w:rPr>
        <w:t>Con las inversiones se busca dotar del servicio cloacal a una población de 240.000 habitantes pertenecientes a los partidos de San Miguel y Moreno a través de la ampliación de la Planta Las Catonas</w:t>
      </w:r>
      <w:r w:rsidRPr="000625C3">
        <w:rPr>
          <w:rStyle w:val="FootnoteReference"/>
          <w:rFonts w:ascii="Arial" w:hAnsi="Arial" w:cs="Arial"/>
        </w:rPr>
        <w:footnoteReference w:id="1"/>
      </w:r>
      <w:r w:rsidRPr="000625C3">
        <w:rPr>
          <w:rFonts w:ascii="Arial" w:hAnsi="Arial" w:cs="Arial"/>
        </w:rPr>
        <w:t xml:space="preserve">, ubicada en el partido de Moreno, y la construcción de colectores y redes secundarias. Este propósito abarca el establecimiento de un nuevo punto de vuelco en el Río Reconquista para los efluentes actuales y futuros. Específicamente el proyecto </w:t>
      </w:r>
      <w:bookmarkEnd w:id="15"/>
      <w:r w:rsidRPr="000625C3">
        <w:rPr>
          <w:rFonts w:ascii="Arial" w:hAnsi="Arial" w:cs="Arial"/>
        </w:rPr>
        <w:t xml:space="preserve">incluirá la instalación de redes en una superficie de 10,5 km2, beneficiando a cerca de 19.000 hogares que carecen de este servicio, la construcción del colector Las Catonas de 7,2 km para conducir el agua residual hacia la planta de tratamiento y la rehabilitación de la estación de bombeo Barker; y la ampliación de la Planta Depuradora Las Catonas de 0,4 a 1,07 m3/seg mediante la construcción de un módulo con </w:t>
      </w:r>
      <w:r w:rsidRPr="000625C3">
        <w:rPr>
          <w:rFonts w:ascii="Arial" w:hAnsi="Arial" w:cs="Arial"/>
        </w:rPr>
        <w:lastRenderedPageBreak/>
        <w:t>capacidad para tratar las aguas residuales de una población estimada en 210.000 habitantes, lo que permitirá expandir las redes antes mencionadas</w:t>
      </w:r>
      <w:r w:rsidR="00F30C82" w:rsidRPr="000625C3">
        <w:rPr>
          <w:rFonts w:ascii="Arial" w:hAnsi="Arial" w:cs="Arial"/>
        </w:rPr>
        <w:t>.</w:t>
      </w:r>
      <w:r w:rsidR="00F30C82" w:rsidRPr="000625C3">
        <w:rPr>
          <w:rFonts w:ascii="Arial" w:hAnsi="Arial" w:cs="Arial"/>
          <w:b/>
        </w:rPr>
        <w:t xml:space="preserve"> </w:t>
      </w:r>
    </w:p>
    <w:p w14:paraId="74E89848" w14:textId="77777777" w:rsidR="00F30C82" w:rsidRPr="000625C3" w:rsidRDefault="00F30C82" w:rsidP="00F30C82">
      <w:pPr>
        <w:spacing w:line="240" w:lineRule="auto"/>
        <w:contextualSpacing/>
        <w:rPr>
          <w:rFonts w:ascii="Arial" w:hAnsi="Arial" w:cs="Arial"/>
          <w:b/>
        </w:rPr>
      </w:pPr>
    </w:p>
    <w:p w14:paraId="1A27044F" w14:textId="749293EE" w:rsidR="00F30C82" w:rsidRPr="000625C3" w:rsidRDefault="001B740E" w:rsidP="00F30C82">
      <w:pPr>
        <w:spacing w:line="240" w:lineRule="auto"/>
        <w:contextualSpacing/>
        <w:rPr>
          <w:rFonts w:ascii="Arial" w:hAnsi="Arial" w:cs="Arial"/>
        </w:rPr>
      </w:pPr>
      <w:bookmarkStart w:id="16" w:name="_Hlk484504230"/>
      <w:bookmarkStart w:id="17" w:name="_Toc303163609"/>
      <w:r w:rsidRPr="000625C3">
        <w:rPr>
          <w:rFonts w:ascii="Arial" w:hAnsi="Arial" w:cs="Arial"/>
          <w:b/>
        </w:rPr>
        <w:t>Sistema de Tratamiento de Aguas Residuales por Dilución</w:t>
      </w:r>
      <w:r w:rsidR="00F41309" w:rsidRPr="000625C3">
        <w:rPr>
          <w:rFonts w:ascii="Arial" w:hAnsi="Arial" w:cs="Arial"/>
          <w:b/>
        </w:rPr>
        <w:t xml:space="preserve"> de Berazategui</w:t>
      </w:r>
      <w:r w:rsidR="00F30C82" w:rsidRPr="000625C3">
        <w:rPr>
          <w:rFonts w:ascii="Arial" w:hAnsi="Arial" w:cs="Arial"/>
          <w:b/>
        </w:rPr>
        <w:t xml:space="preserve">. </w:t>
      </w:r>
      <w:bookmarkEnd w:id="16"/>
      <w:r w:rsidR="00F41309" w:rsidRPr="000625C3">
        <w:rPr>
          <w:rFonts w:ascii="Arial" w:hAnsi="Arial" w:cs="Arial"/>
        </w:rPr>
        <w:t>O</w:t>
      </w:r>
      <w:r w:rsidR="00F30C82" w:rsidRPr="000625C3">
        <w:rPr>
          <w:rFonts w:ascii="Arial" w:hAnsi="Arial" w:cs="Arial"/>
        </w:rPr>
        <w:t xml:space="preserve">bras </w:t>
      </w:r>
      <w:r w:rsidR="00F41309" w:rsidRPr="000625C3">
        <w:rPr>
          <w:rFonts w:ascii="Arial" w:hAnsi="Arial" w:cs="Arial"/>
        </w:rPr>
        <w:t>de construcción del emisario sub pluvial, incluyendo la cámara de carga o chimenea de equilibrio y el tramo de difusores. El emisario tendrá una longitud total de 7,5 km con un diámetro hidráulico equivalente a 4,4 m, asegurando un nivel de dilución adecuado en el Río de la Plata del agua residual generada por 5,1 millones de habitantes y la capacidad requerida para la expansión futura de las redes cloacales a una población adicional de cerca de 2 millones de habitantes</w:t>
      </w:r>
      <w:r w:rsidR="00F30C82" w:rsidRPr="000625C3">
        <w:rPr>
          <w:rFonts w:ascii="Arial" w:hAnsi="Arial" w:cs="Arial"/>
        </w:rPr>
        <w:t>.</w:t>
      </w:r>
      <w:bookmarkEnd w:id="17"/>
    </w:p>
    <w:p w14:paraId="65DD11CE" w14:textId="77777777" w:rsidR="00F30C82" w:rsidRPr="000625C3" w:rsidRDefault="00F30C82" w:rsidP="00F30C82">
      <w:pPr>
        <w:spacing w:line="240" w:lineRule="auto"/>
        <w:contextualSpacing/>
        <w:rPr>
          <w:rFonts w:ascii="Arial" w:hAnsi="Arial" w:cs="Arial"/>
        </w:rPr>
      </w:pPr>
    </w:p>
    <w:p w14:paraId="6D00F422" w14:textId="70610B45" w:rsidR="00F30C82" w:rsidRPr="000625C3" w:rsidRDefault="00F30C82" w:rsidP="00F30C82">
      <w:pPr>
        <w:spacing w:line="240" w:lineRule="auto"/>
        <w:contextualSpacing/>
        <w:rPr>
          <w:rFonts w:ascii="Arial" w:hAnsi="Arial" w:cs="Arial"/>
        </w:rPr>
      </w:pPr>
      <w:bookmarkStart w:id="18" w:name="_Toc303163612"/>
      <w:r w:rsidRPr="000625C3">
        <w:rPr>
          <w:rFonts w:ascii="Arial" w:hAnsi="Arial" w:cs="Arial"/>
          <w:b/>
        </w:rPr>
        <w:t>Metodología</w:t>
      </w:r>
      <w:r w:rsidRPr="000625C3">
        <w:rPr>
          <w:rFonts w:ascii="Arial" w:hAnsi="Arial" w:cs="Arial"/>
        </w:rPr>
        <w:t xml:space="preserve">. </w:t>
      </w:r>
      <w:bookmarkStart w:id="19" w:name="_Toc303163615"/>
      <w:bookmarkStart w:id="20" w:name="_Ref191986338"/>
      <w:bookmarkEnd w:id="18"/>
      <w:r w:rsidR="00051C52" w:rsidRPr="000625C3">
        <w:rPr>
          <w:rFonts w:ascii="Arial" w:hAnsi="Arial" w:cs="Arial"/>
        </w:rPr>
        <w:t xml:space="preserve">Incluyó </w:t>
      </w:r>
      <w:bookmarkStart w:id="21" w:name="_Hlk484985353"/>
      <w:r w:rsidR="00051C52" w:rsidRPr="000625C3">
        <w:rPr>
          <w:rFonts w:ascii="Arial" w:hAnsi="Arial" w:cs="Arial"/>
        </w:rPr>
        <w:t xml:space="preserve">el análisis costo beneficio de los proyectos a ser financiados por el Programa. </w:t>
      </w:r>
      <w:r w:rsidR="00051C52" w:rsidRPr="000625C3">
        <w:rPr>
          <w:rFonts w:ascii="Arial" w:hAnsi="Arial" w:cs="Arial"/>
          <w:lang w:val="es-ES"/>
        </w:rPr>
        <w:t>Dicha evaluación ser realizó entre febrero y mayo de 2017</w:t>
      </w:r>
      <w:r w:rsidR="00051C52" w:rsidRPr="000625C3">
        <w:rPr>
          <w:rFonts w:ascii="Arial" w:hAnsi="Arial" w:cs="Arial"/>
        </w:rPr>
        <w:t>. La información técnica de los proyectos fue suministrada por AySA</w:t>
      </w:r>
      <w:r w:rsidR="009252F3" w:rsidRPr="000625C3">
        <w:rPr>
          <w:rFonts w:ascii="Arial" w:hAnsi="Arial" w:cs="Arial"/>
          <w:lang w:val="es-ES"/>
        </w:rPr>
        <w:t xml:space="preserve">. Se elaboró una evaluación costo-beneficio a los proyectos que serán financiados por el Programa: Proyecto de Mejora de Eficiencia en el Sistema de Agua Potable, </w:t>
      </w:r>
      <w:bookmarkStart w:id="22" w:name="_Hlk484442107"/>
      <w:r w:rsidR="009252F3" w:rsidRPr="000625C3">
        <w:rPr>
          <w:rFonts w:ascii="Arial" w:hAnsi="Arial" w:cs="Arial"/>
          <w:lang w:val="es-ES"/>
        </w:rPr>
        <w:t xml:space="preserve">Proyecto Sistema de Saneamiento en los Partidos de Moreno y San Miguel </w:t>
      </w:r>
      <w:bookmarkEnd w:id="22"/>
      <w:r w:rsidR="009252F3" w:rsidRPr="000625C3">
        <w:rPr>
          <w:rFonts w:ascii="Arial" w:hAnsi="Arial" w:cs="Arial"/>
          <w:lang w:val="es-ES"/>
        </w:rPr>
        <w:t xml:space="preserve">y una evaluación costo efectividad para el </w:t>
      </w:r>
      <w:bookmarkStart w:id="23" w:name="_Hlk484985950"/>
      <w:r w:rsidR="009252F3" w:rsidRPr="000625C3">
        <w:rPr>
          <w:rFonts w:ascii="Arial" w:hAnsi="Arial" w:cs="Arial"/>
          <w:lang w:val="es-ES"/>
        </w:rPr>
        <w:t>Proyecto Sistema de Tratamiento por Dilución Berazategui</w:t>
      </w:r>
      <w:r w:rsidR="00051C52" w:rsidRPr="000625C3">
        <w:rPr>
          <w:rFonts w:ascii="Arial" w:hAnsi="Arial" w:cs="Arial"/>
        </w:rPr>
        <w:t xml:space="preserve"> </w:t>
      </w:r>
      <w:bookmarkEnd w:id="23"/>
      <w:r w:rsidR="00051C52" w:rsidRPr="000625C3">
        <w:rPr>
          <w:rFonts w:ascii="Arial" w:hAnsi="Arial" w:cs="Arial"/>
        </w:rPr>
        <w:t xml:space="preserve">que son parte integrante del Plan Director de Saneamiento de AySA. Al ser proyectos que se enmarcan dentro del Plan Director de AySA, para el </w:t>
      </w:r>
      <w:r w:rsidR="00051C52" w:rsidRPr="000625C3">
        <w:rPr>
          <w:rFonts w:ascii="Arial" w:hAnsi="Arial" w:cs="Arial"/>
          <w:lang w:val="es-ES"/>
        </w:rPr>
        <w:t xml:space="preserve">Proyecto Sistema de Saneamiento en los Partidos de Moreno y San Miguel </w:t>
      </w:r>
      <w:r w:rsidR="00051C52" w:rsidRPr="000625C3">
        <w:rPr>
          <w:rFonts w:ascii="Arial" w:hAnsi="Arial" w:cs="Arial"/>
        </w:rPr>
        <w:t>el análisis se realizó de forma integral a fin de poder incorporar los beneficios de las obras básicas (colectores y estaciones de bombeo) que incorporan una población muy superior a la de las obras en redes secundarias a ser</w:t>
      </w:r>
      <w:r w:rsidR="00E14A0E">
        <w:rPr>
          <w:rFonts w:ascii="Arial" w:hAnsi="Arial" w:cs="Arial"/>
        </w:rPr>
        <w:t xml:space="preserve"> financiadas con este Programa</w:t>
      </w:r>
      <w:r w:rsidR="00051C52" w:rsidRPr="000625C3">
        <w:rPr>
          <w:rFonts w:ascii="Arial" w:hAnsi="Arial" w:cs="Arial"/>
        </w:rPr>
        <w:t>. Como límite se adoptó agotar la capacidad de la Planta Las Catonas (receptoras de los efluentes) considerando todas las redes y obras básicas necesarias para ello. Esta es una forma razonable de incorporar tales obras básicas en la evaluación ya no se recurre a artificios para imputar el costo de obras (colectores estaciones de bombeo, plantas) dimensionadas para poblaciones de diseño mayores.</w:t>
      </w:r>
      <w:r w:rsidR="00051C52" w:rsidRPr="000625C3">
        <w:rPr>
          <w:rFonts w:ascii="Arial" w:hAnsi="Arial" w:cs="Arial"/>
          <w:lang w:val="es-ES"/>
        </w:rPr>
        <w:t xml:space="preserve"> </w:t>
      </w:r>
      <w:r w:rsidR="009252F3" w:rsidRPr="000625C3">
        <w:rPr>
          <w:rFonts w:ascii="Arial" w:hAnsi="Arial" w:cs="Arial"/>
          <w:lang w:val="es-ES"/>
        </w:rPr>
        <w:t>La evaluación se basó en una comparación de los beneficios y los costos</w:t>
      </w:r>
      <w:r w:rsidR="00051C52" w:rsidRPr="000625C3">
        <w:rPr>
          <w:rFonts w:ascii="Arial" w:hAnsi="Arial" w:cs="Arial"/>
          <w:lang w:val="es-ES"/>
        </w:rPr>
        <w:t xml:space="preserve">. </w:t>
      </w:r>
      <w:r w:rsidR="009252F3" w:rsidRPr="000625C3">
        <w:rPr>
          <w:rFonts w:ascii="Arial" w:hAnsi="Arial" w:cs="Arial"/>
          <w:lang w:val="es-ES"/>
        </w:rPr>
        <w:t>en situaciones con y sin intervención. Los beneficios económicos de los proyectos de alcantarillado se cuantificaron utilizando valores de DAP  actualizados a abril 201</w:t>
      </w:r>
      <w:r w:rsidR="00E14A0E">
        <w:rPr>
          <w:rFonts w:ascii="Arial" w:hAnsi="Arial" w:cs="Arial"/>
          <w:lang w:val="es-ES"/>
        </w:rPr>
        <w:t>7</w:t>
      </w:r>
      <w:r w:rsidR="009252F3" w:rsidRPr="000625C3">
        <w:rPr>
          <w:rFonts w:ascii="Arial" w:hAnsi="Arial" w:cs="Arial"/>
          <w:lang w:val="es-ES"/>
        </w:rPr>
        <w:t xml:space="preserve"> utilizando el índice de variación de ingreso calculado a partir de datos de la encuesta permanente de hogares (EPH</w:t>
      </w:r>
      <w:r w:rsidR="009252F3" w:rsidRPr="000625C3">
        <w:rPr>
          <w:rStyle w:val="FootnoteReference"/>
          <w:rFonts w:ascii="Arial" w:hAnsi="Arial" w:cs="Arial"/>
          <w:lang w:val="es-ES"/>
        </w:rPr>
        <w:footnoteReference w:id="2"/>
      </w:r>
      <w:r w:rsidR="009252F3" w:rsidRPr="000625C3">
        <w:rPr>
          <w:rFonts w:ascii="Arial" w:hAnsi="Arial" w:cs="Arial"/>
          <w:lang w:val="es-ES"/>
        </w:rPr>
        <w:t>) y del índice del coeficiente de variación salarial</w:t>
      </w:r>
      <w:r w:rsidR="009252F3" w:rsidRPr="000625C3">
        <w:rPr>
          <w:rFonts w:ascii="Arial" w:eastAsia="Times New Roman" w:hAnsi="Arial" w:cs="Arial"/>
          <w:vertAlign w:val="superscript"/>
          <w:lang w:val="es-ES" w:eastAsia="es-ES"/>
        </w:rPr>
        <w:footnoteReference w:id="3"/>
      </w:r>
      <w:r w:rsidR="009252F3" w:rsidRPr="000625C3">
        <w:rPr>
          <w:rFonts w:ascii="Arial" w:hAnsi="Arial" w:cs="Arial"/>
          <w:lang w:val="es-ES"/>
        </w:rPr>
        <w:t xml:space="preserve"> publicados por </w:t>
      </w:r>
      <w:r w:rsidR="00E12AB6" w:rsidRPr="000625C3">
        <w:rPr>
          <w:rFonts w:ascii="Arial" w:hAnsi="Arial" w:cs="Arial"/>
          <w:lang w:val="es-ES"/>
        </w:rPr>
        <w:t>el</w:t>
      </w:r>
      <w:r w:rsidR="009252F3" w:rsidRPr="000625C3">
        <w:rPr>
          <w:rFonts w:ascii="Arial" w:hAnsi="Arial" w:cs="Arial"/>
          <w:lang w:val="es-ES"/>
        </w:rPr>
        <w:t xml:space="preserve"> INDEC (AR$851,55/mes a precios de abril 2017 como DAP para acceso a red y AR$42,6/mes como DAP ambiental para tratamiento) que se calcularon utilizando la metodología de valuación contingente a través de la aplicación de encuestas socioeconómicas en febrero 2012 y marzo de 2008 respectivamente. Los beneficios del proyecto de Mejora de Eficiencia en el Sistema de Agua Potable se cuantificaron utilizando una curva de demanda</w:t>
      </w:r>
      <w:r w:rsidR="009252F3" w:rsidRPr="000625C3">
        <w:rPr>
          <w:rFonts w:ascii="Arial" w:eastAsia="Times New Roman" w:hAnsi="Arial" w:cs="Arial"/>
          <w:spacing w:val="-3"/>
          <w:vertAlign w:val="superscript"/>
          <w:lang w:val="es-ES_tradnl"/>
        </w:rPr>
        <w:footnoteReference w:id="4"/>
      </w:r>
      <w:r w:rsidR="00051C52" w:rsidRPr="000625C3">
        <w:rPr>
          <w:rFonts w:ascii="Arial" w:hAnsi="Arial" w:cs="Arial"/>
          <w:lang w:val="es-ES"/>
        </w:rPr>
        <w:t xml:space="preserve"> (</w:t>
      </w:r>
      <w:r w:rsidR="00051C52" w:rsidRPr="000625C3">
        <w:rPr>
          <w:rFonts w:ascii="Arial" w:hAnsi="Arial" w:cs="Arial"/>
          <w:i/>
          <w:lang w:val="es-ES"/>
        </w:rPr>
        <w:t xml:space="preserve">e </w:t>
      </w:r>
      <w:r w:rsidR="00051C52" w:rsidRPr="000625C3">
        <w:rPr>
          <w:rFonts w:ascii="Arial" w:hAnsi="Arial" w:cs="Arial"/>
          <w:i/>
          <w:vertAlign w:val="subscript"/>
          <w:lang w:val="es-ES"/>
        </w:rPr>
        <w:t>precio</w:t>
      </w:r>
      <w:r w:rsidR="00051C52" w:rsidRPr="000625C3">
        <w:rPr>
          <w:rFonts w:ascii="Arial" w:hAnsi="Arial" w:cs="Arial"/>
          <w:lang w:val="es-ES"/>
        </w:rPr>
        <w:t xml:space="preserve"> = -0.19)</w:t>
      </w:r>
      <w:r w:rsidR="009252F3" w:rsidRPr="000625C3">
        <w:rPr>
          <w:rFonts w:ascii="Arial" w:hAnsi="Arial" w:cs="Arial"/>
          <w:lang w:val="es-ES"/>
        </w:rPr>
        <w:t xml:space="preserve"> y a través del SIMOP.</w:t>
      </w:r>
      <w:r w:rsidR="00E14A0E" w:rsidRPr="00E14A0E">
        <w:t xml:space="preserve"> </w:t>
      </w:r>
      <w:bookmarkStart w:id="24" w:name="_Hlk485038551"/>
      <w:r w:rsidR="00355D73">
        <w:rPr>
          <w:rFonts w:ascii="Arial" w:hAnsi="Arial" w:cs="Arial"/>
          <w:lang w:val="es-ES"/>
        </w:rPr>
        <w:t>Para e</w:t>
      </w:r>
      <w:r w:rsidR="00E14A0E" w:rsidRPr="00E14A0E">
        <w:rPr>
          <w:rFonts w:ascii="Arial" w:hAnsi="Arial" w:cs="Arial"/>
          <w:lang w:val="es-ES"/>
        </w:rPr>
        <w:t xml:space="preserve">l análisis de costo efectividad aplicado al </w:t>
      </w:r>
      <w:r w:rsidR="00E14A0E" w:rsidRPr="000625C3">
        <w:rPr>
          <w:rFonts w:ascii="Arial" w:hAnsi="Arial" w:cs="Arial"/>
          <w:lang w:val="es-ES"/>
        </w:rPr>
        <w:t>Proyecto Sistema de Tratamiento por Dilución Berazategui</w:t>
      </w:r>
      <w:r w:rsidR="00E14A0E" w:rsidRPr="000625C3">
        <w:rPr>
          <w:rFonts w:ascii="Arial" w:hAnsi="Arial" w:cs="Arial"/>
        </w:rPr>
        <w:t xml:space="preserve"> </w:t>
      </w:r>
      <w:r w:rsidR="00355D73">
        <w:rPr>
          <w:rFonts w:ascii="Arial" w:hAnsi="Arial" w:cs="Arial"/>
          <w:lang w:val="es-ES"/>
        </w:rPr>
        <w:t>se comparó dos alternativas de tratamiento (tratamiento por dilución vs. tratamiento secundario) utilizando el valor actual de los costos de inversión -VAC, costo anual equivalente – CAE y el costo incremental de largo plazo -CMI por m</w:t>
      </w:r>
      <w:r w:rsidR="00355D73" w:rsidRPr="00355D73">
        <w:rPr>
          <w:rFonts w:ascii="Arial" w:hAnsi="Arial" w:cs="Arial"/>
          <w:vertAlign w:val="superscript"/>
          <w:lang w:val="es-ES"/>
        </w:rPr>
        <w:t>3</w:t>
      </w:r>
      <w:r w:rsidR="00355D73">
        <w:rPr>
          <w:rFonts w:ascii="Arial" w:hAnsi="Arial" w:cs="Arial"/>
          <w:lang w:val="es-ES"/>
        </w:rPr>
        <w:t xml:space="preserve"> tratado</w:t>
      </w:r>
      <w:bookmarkEnd w:id="24"/>
      <w:r w:rsidR="00D06806">
        <w:rPr>
          <w:rFonts w:ascii="Arial" w:hAnsi="Arial" w:cs="Arial"/>
        </w:rPr>
        <w:t xml:space="preserve">. </w:t>
      </w:r>
      <w:r w:rsidRPr="000625C3">
        <w:rPr>
          <w:rFonts w:ascii="Arial" w:hAnsi="Arial" w:cs="Arial"/>
        </w:rPr>
        <w:t>Los costos considerados para la evaluación fueron costos incrementales de inversión y operación y mantenimiento, valorados sin impuestos y tasas (precios sociales).</w:t>
      </w:r>
      <w:bookmarkEnd w:id="19"/>
      <w:r w:rsidRPr="000625C3">
        <w:rPr>
          <w:rFonts w:ascii="Arial" w:hAnsi="Arial" w:cs="Arial"/>
        </w:rPr>
        <w:t xml:space="preserve"> </w:t>
      </w:r>
    </w:p>
    <w:p w14:paraId="58A2B68F" w14:textId="77777777" w:rsidR="00F30C82" w:rsidRPr="000625C3" w:rsidRDefault="00F30C82" w:rsidP="00F30C82">
      <w:pPr>
        <w:spacing w:line="240" w:lineRule="auto"/>
        <w:contextualSpacing/>
        <w:rPr>
          <w:rFonts w:ascii="Arial" w:hAnsi="Arial" w:cs="Arial"/>
        </w:rPr>
      </w:pPr>
      <w:bookmarkStart w:id="25" w:name="_Toc303163616"/>
      <w:bookmarkStart w:id="26" w:name="_Toc303163953"/>
      <w:bookmarkEnd w:id="21"/>
    </w:p>
    <w:p w14:paraId="10C336FD" w14:textId="1E970C22" w:rsidR="00F30C82" w:rsidRPr="000625C3" w:rsidRDefault="00F30C82" w:rsidP="00BB733A">
      <w:pPr>
        <w:spacing w:line="240" w:lineRule="auto"/>
        <w:outlineLvl w:val="1"/>
        <w:rPr>
          <w:rFonts w:ascii="Arial" w:hAnsi="Arial" w:cs="Arial"/>
        </w:rPr>
      </w:pPr>
      <w:bookmarkStart w:id="27" w:name="_Toc484984994"/>
      <w:bookmarkStart w:id="28" w:name="_Toc485026879"/>
      <w:bookmarkStart w:id="29" w:name="_Toc485200057"/>
      <w:r w:rsidRPr="000625C3">
        <w:rPr>
          <w:rFonts w:ascii="Arial" w:hAnsi="Arial" w:cs="Arial"/>
          <w:b/>
        </w:rPr>
        <w:lastRenderedPageBreak/>
        <w:t xml:space="preserve">Resultados del Análisis </w:t>
      </w:r>
      <w:bookmarkEnd w:id="20"/>
      <w:r w:rsidRPr="000625C3">
        <w:rPr>
          <w:rFonts w:ascii="Arial" w:hAnsi="Arial" w:cs="Arial"/>
          <w:b/>
        </w:rPr>
        <w:t xml:space="preserve">del </w:t>
      </w:r>
      <w:bookmarkEnd w:id="25"/>
      <w:bookmarkEnd w:id="26"/>
      <w:r w:rsidR="004E5454" w:rsidRPr="000625C3">
        <w:rPr>
          <w:rFonts w:ascii="Arial" w:hAnsi="Arial" w:cs="Arial"/>
          <w:b/>
        </w:rPr>
        <w:t>Proyecto de Mejora en la Eficiencia del Sistema de Agua Potable</w:t>
      </w:r>
      <w:r w:rsidR="004E5454" w:rsidRPr="000625C3">
        <w:rPr>
          <w:rFonts w:ascii="Arial" w:hAnsi="Arial" w:cs="Arial"/>
        </w:rPr>
        <w:t xml:space="preserve"> </w:t>
      </w:r>
      <w:r w:rsidRPr="000625C3">
        <w:rPr>
          <w:rFonts w:ascii="Arial" w:hAnsi="Arial" w:cs="Arial"/>
        </w:rPr>
        <w:t xml:space="preserve">que se propone. como respuesta a las necesidades de: a) Asegurar la </w:t>
      </w:r>
      <w:r w:rsidR="00804CA0" w:rsidRPr="000625C3">
        <w:rPr>
          <w:rFonts w:ascii="Arial" w:hAnsi="Arial" w:cs="Arial"/>
        </w:rPr>
        <w:t>reducción de pérdidas físicas y comerciales</w:t>
      </w:r>
      <w:r w:rsidRPr="000625C3">
        <w:rPr>
          <w:rFonts w:ascii="Arial" w:hAnsi="Arial" w:cs="Arial"/>
        </w:rPr>
        <w:t xml:space="preserve">; b) Viabilizar parte de la expansión del servicio; </w:t>
      </w:r>
      <w:r w:rsidR="00804CA0" w:rsidRPr="000625C3">
        <w:rPr>
          <w:rFonts w:ascii="Arial" w:hAnsi="Arial" w:cs="Arial"/>
        </w:rPr>
        <w:t xml:space="preserve">y, </w:t>
      </w:r>
      <w:r w:rsidRPr="000625C3">
        <w:rPr>
          <w:rFonts w:ascii="Arial" w:hAnsi="Arial" w:cs="Arial"/>
        </w:rPr>
        <w:t xml:space="preserve">c) Suplir el déficit de oferta actual que enfrentan una parte de los usuarios del servicio </w:t>
      </w:r>
      <w:r w:rsidR="00BB733A" w:rsidRPr="000625C3">
        <w:rPr>
          <w:rFonts w:ascii="Arial" w:hAnsi="Arial" w:cs="Arial"/>
        </w:rPr>
        <w:t>Los ahorros de agua se originan por un lado a partir de la supresión del derroche en el caso de los usuarios que pasan a ser facturados bajo el régimen de consumos medidos y, por el otro, a partir de lograr una presión de funcionamiento más uniforme en la red distribuidora, lo que automáticamente redunda en un menor volumen de agua perdida en el caso de los escapes existentes, así como una menor cantidad de nuevos escapes generados. Estas acciones en conjunto se espera que generen un ahorro de 4,92 millones de m3/año. En términos de ahorros operativos, la extensión de los sistemas con presión regulada implicará menores exigencias mecánicas y dinámicas sobre las redes distribuidoras, por lo que se espera evitar la aparición de 3.391 nuevos escapes por año, de acuerdo con la experiencia pasada en la materia. Adicionalmente, dado que no resulta aprovechable la totalidad del ahorro generado, se dejarán de producir 10,25 millones de m3/año, con el consiguiente ahorro operativo. Los beneficios se materializan tanto como una mejora de la oferta de agua que alcanza a los usuarios con demanda insatisfecha localizados en la región sur del área concesionada a AySA, destacándose que a pesar de tratarse de un sistema de transporte y distribución integrado, sólo se ha considerado que resulta aprovechable por tales usuarios un 40% del ahorro de agua esperado, como mediante un ahorro operativo para la prestadora del servicio</w:t>
      </w:r>
      <w:r w:rsidR="00772A7F">
        <w:rPr>
          <w:rFonts w:ascii="Arial" w:hAnsi="Arial" w:cs="Arial"/>
        </w:rPr>
        <w:t xml:space="preserve"> </w:t>
      </w:r>
      <w:r w:rsidR="00BB733A" w:rsidRPr="000625C3">
        <w:rPr>
          <w:rFonts w:ascii="Arial" w:hAnsi="Arial" w:cs="Arial"/>
        </w:rPr>
        <w:t>.</w:t>
      </w:r>
      <w:r w:rsidRPr="000625C3">
        <w:rPr>
          <w:rFonts w:ascii="Arial" w:hAnsi="Arial" w:cs="Arial"/>
        </w:rPr>
        <w:t xml:space="preserve">La evaluación económica en sí es realizada mediante un análisis costo – beneficio social (a precios de eficiencia o cuenta) asistida por el modelo computacional SIMOP con un horizonte de 20 años y una tasa social de descuento del 12%. </w:t>
      </w:r>
      <w:r w:rsidRPr="000625C3">
        <w:rPr>
          <w:rFonts w:ascii="Arial" w:hAnsi="Arial" w:cs="Arial"/>
          <w:b/>
        </w:rPr>
        <w:t>Los resultados obtenidos confirman una elevada rentabilidad social (</w:t>
      </w:r>
      <w:r w:rsidR="006A4E35" w:rsidRPr="000625C3">
        <w:rPr>
          <w:rFonts w:ascii="Arial" w:hAnsi="Arial" w:cs="Arial"/>
          <w:b/>
        </w:rPr>
        <w:t>un Valor Presente Neto del proyecto de 12,01 millones de dólares y una Tasa Interna de Retorno del 30,6%</w:t>
      </w:r>
      <w:r w:rsidRPr="000625C3">
        <w:rPr>
          <w:rFonts w:ascii="Arial" w:hAnsi="Arial" w:cs="Arial"/>
          <w:b/>
        </w:rPr>
        <w:t>) que no presenta alteraciones significativas ante un análisis de sensibilidad y riesgo exhaustivo sobre las variables más importantes</w:t>
      </w:r>
      <w:r w:rsidRPr="000625C3">
        <w:rPr>
          <w:rFonts w:ascii="Arial" w:hAnsi="Arial" w:cs="Arial"/>
        </w:rPr>
        <w:t>.</w:t>
      </w:r>
      <w:bookmarkEnd w:id="27"/>
      <w:bookmarkEnd w:id="28"/>
      <w:bookmarkEnd w:id="29"/>
    </w:p>
    <w:p w14:paraId="53596808" w14:textId="4A3BA682" w:rsidR="00BB733A" w:rsidRPr="000625C3" w:rsidRDefault="00F30C82" w:rsidP="00BB733A">
      <w:pPr>
        <w:spacing w:line="240" w:lineRule="auto"/>
        <w:rPr>
          <w:rFonts w:ascii="Arial" w:hAnsi="Arial" w:cs="Arial"/>
        </w:rPr>
      </w:pPr>
      <w:r w:rsidRPr="000625C3">
        <w:rPr>
          <w:rFonts w:ascii="Arial" w:hAnsi="Arial" w:cs="Arial"/>
          <w:b/>
        </w:rPr>
        <w:t xml:space="preserve">Resultados del Análisis del proyecto </w:t>
      </w:r>
      <w:r w:rsidR="00BB733A" w:rsidRPr="000625C3">
        <w:rPr>
          <w:rFonts w:ascii="Arial" w:hAnsi="Arial" w:cs="Arial"/>
          <w:b/>
        </w:rPr>
        <w:t xml:space="preserve">Sistema de Saneamiento de los partidos de Moreno y San Miguel </w:t>
      </w:r>
      <w:r w:rsidRPr="000625C3">
        <w:rPr>
          <w:rFonts w:ascii="Arial" w:hAnsi="Arial" w:cs="Arial"/>
        </w:rPr>
        <w:t xml:space="preserve">incluido en el plan director de agua propuesto por AySA S.A. </w:t>
      </w:r>
      <w:r w:rsidR="00BB733A" w:rsidRPr="000625C3">
        <w:rPr>
          <w:rFonts w:ascii="Arial" w:hAnsi="Arial" w:cs="Arial"/>
        </w:rPr>
        <w:t>contempla la ejecución de las obras básicas (ampliación de la planta depuradora Las Catonas, colectores, impulsiones y estaciones de bombeo) y de las redes secundarias que completan las capacidades de transporte y tratamiento asociadas a la ampliación del establecimiento depurador. En este sentido, más allá de que en el financiamiento solicitado solo se incluye una parte de tales obras, en la presente evaluación se ha considerado una unidad de proyecto que asegura la integralidad del sistema (redes + transporte + tratamiento).Las obras a ejecutar permitirán reemplazar el actual sistema individual de eliminación de excretas utilizado por los hogares beneficiarios por un sistema de desagües cloacales integral que considera la recolección, transporte, tratamiento y disposición final de las aguas servidas. Cabe destacar que debido al fenómeno hidrológico de ascenso de la napa freática registrado desde hace aproximadamente 15 años en el conurbano bonaerense, el sistema de pozos ciegos individuales se ha vuelto extremadamente oneroso (necesidad de alta frecuencia de vaciado y renovación de pozos) e inviable ambientalmente, ya que su existencia contribuye a agravar el aumento del nivel de la napa, además de la infiltración que se produce hacia los cursos de agua y los acuíferos más profundos.</w:t>
      </w:r>
    </w:p>
    <w:p w14:paraId="27F8E72E" w14:textId="58C54E4B" w:rsidR="00BB733A" w:rsidRPr="000625C3" w:rsidRDefault="00BB733A" w:rsidP="00BB733A">
      <w:pPr>
        <w:spacing w:after="120" w:line="240" w:lineRule="auto"/>
        <w:rPr>
          <w:rFonts w:ascii="Arial" w:hAnsi="Arial" w:cs="Arial"/>
        </w:rPr>
      </w:pPr>
      <w:r w:rsidRPr="000625C3">
        <w:rPr>
          <w:rFonts w:ascii="Arial" w:hAnsi="Arial" w:cs="Arial"/>
        </w:rPr>
        <w:t xml:space="preserve">Socioeconómicamente la población beneficiaria presenta </w:t>
      </w:r>
      <w:r w:rsidR="006B21A6">
        <w:rPr>
          <w:rFonts w:ascii="Arial" w:hAnsi="Arial" w:cs="Arial"/>
        </w:rPr>
        <w:t>en</w:t>
      </w:r>
      <w:r w:rsidR="006B21A6" w:rsidRPr="000625C3">
        <w:rPr>
          <w:rFonts w:ascii="Arial" w:hAnsi="Arial" w:cs="Arial"/>
        </w:rPr>
        <w:t xml:space="preserve"> su gran mayoría</w:t>
      </w:r>
      <w:r w:rsidRPr="000625C3">
        <w:rPr>
          <w:rFonts w:ascii="Arial" w:hAnsi="Arial" w:cs="Arial"/>
        </w:rPr>
        <w:t xml:space="preserve"> condiciones socioeconómicas medias bajas y bajas, por lo que la ejecución de las obras propuestas representa una mejora sustancial en su calidad de vida y en sus condiciones de desarrollo.</w:t>
      </w:r>
    </w:p>
    <w:p w14:paraId="5A6F5AF1" w14:textId="6D6FB772" w:rsidR="00BB733A" w:rsidRPr="000625C3" w:rsidRDefault="00BB733A" w:rsidP="00BB733A">
      <w:pPr>
        <w:spacing w:after="120" w:line="240" w:lineRule="auto"/>
        <w:rPr>
          <w:rFonts w:ascii="Arial" w:hAnsi="Arial" w:cs="Arial"/>
          <w:b/>
        </w:rPr>
      </w:pPr>
      <w:r w:rsidRPr="000625C3">
        <w:rPr>
          <w:rFonts w:ascii="Arial" w:hAnsi="Arial" w:cs="Arial"/>
        </w:rPr>
        <w:lastRenderedPageBreak/>
        <w:t xml:space="preserve">La evaluación económica en sí es realizada mediante un análisis costo – beneficio social (a precios de eficiencia o cuenta) en el que los beneficios son obtenidos a partir de la transferencia de beneficios determinados mediante valoración contingente en un área lindante a la del proyecto para el caso del servicio cloacal, junto con la inclusión de la disposición a pagar ambiental determinada para el caso del saneamiento de la cuenca Matanza – Riachuelo en el año 2008. El horizonte de evaluación es de 20 años y la tasa social de descuento adoptada es del 12%. </w:t>
      </w:r>
      <w:r w:rsidRPr="000625C3">
        <w:rPr>
          <w:rFonts w:ascii="Arial" w:hAnsi="Arial" w:cs="Arial"/>
          <w:b/>
        </w:rPr>
        <w:t>Como resultado se obtuvo una rentabilidad social positiva (Valor Presente Neto de 31,9 millones de USD - Tasa Interna de Retorno Económica del 14,4%) que no presenta alteraciones significativas ante un análisis de sensibilidad realizado sobre las variables más importantes.</w:t>
      </w:r>
    </w:p>
    <w:p w14:paraId="460B78E3" w14:textId="4B0DB044" w:rsidR="00BB733A" w:rsidRPr="000625C3" w:rsidRDefault="00BB733A" w:rsidP="00BB733A">
      <w:pPr>
        <w:spacing w:after="120" w:line="240" w:lineRule="auto"/>
        <w:rPr>
          <w:rFonts w:ascii="Arial" w:hAnsi="Arial" w:cs="Arial"/>
          <w:bCs/>
        </w:rPr>
      </w:pPr>
      <w:r w:rsidRPr="000625C3">
        <w:rPr>
          <w:rFonts w:ascii="Arial" w:hAnsi="Arial" w:cs="Arial"/>
        </w:rPr>
        <w:t>Por otro lado, y sumado a los costos de ampliación del establecimiento depurador, las áreas a servir presentan una moderada densidad habitacional y grandes distancias hasta la planta de tratamiento, lo que obliga a construir un sistema de transporte costoso y de enormes magnitudes, elevando sustancialmente los costos del proyecto.</w:t>
      </w:r>
      <w:r w:rsidR="005340AB">
        <w:rPr>
          <w:rFonts w:ascii="Arial" w:hAnsi="Arial" w:cs="Arial"/>
        </w:rPr>
        <w:t xml:space="preserve"> </w:t>
      </w:r>
      <w:r w:rsidRPr="000625C3">
        <w:rPr>
          <w:rFonts w:ascii="Arial" w:hAnsi="Arial" w:cs="Arial"/>
          <w:bCs/>
        </w:rPr>
        <w:t xml:space="preserve">Teniendo en cuenta estas particularidades, y dado que los beneficios calculados por servicio cloacal no contemplan los servicios de tratamiento de efluentes brindados por las mejoras y ampliación en la planta Las Catonas, cuyos costos sí están incluidos, se ha realizado un análisis alternativo sin la inclusión de tales costos a fin de hacer comparables costos y beneficios. </w:t>
      </w:r>
      <w:r w:rsidRPr="000625C3">
        <w:rPr>
          <w:rFonts w:ascii="Arial" w:hAnsi="Arial" w:cs="Arial"/>
          <w:b/>
          <w:bCs/>
        </w:rPr>
        <w:t>Bajo esta hipótesis de no inclusión de la ampliación de la planta depuradora, los indicadores económicos obtenidos son un VPN de 51,7 millones de USD y una TIRE de 17,0%, presentando como es esperable una mejora sustancial en los resultados de la evaluación.</w:t>
      </w:r>
    </w:p>
    <w:p w14:paraId="412984C4" w14:textId="77777777" w:rsidR="00BB733A" w:rsidRPr="000625C3" w:rsidRDefault="00BB733A" w:rsidP="00BB733A">
      <w:pPr>
        <w:rPr>
          <w:rFonts w:ascii="Arial" w:hAnsi="Arial" w:cs="Arial"/>
        </w:rPr>
      </w:pPr>
    </w:p>
    <w:p w14:paraId="6FE9DC19" w14:textId="7B8415FD" w:rsidR="00F30C82" w:rsidRPr="000625C3" w:rsidRDefault="00F30C82" w:rsidP="00E011E6">
      <w:pPr>
        <w:spacing w:line="240" w:lineRule="auto"/>
        <w:rPr>
          <w:rFonts w:ascii="Arial" w:hAnsi="Arial" w:cs="Arial"/>
        </w:rPr>
      </w:pPr>
      <w:r w:rsidRPr="000625C3">
        <w:rPr>
          <w:rFonts w:ascii="Arial" w:hAnsi="Arial" w:cs="Arial"/>
          <w:b/>
        </w:rPr>
        <w:t xml:space="preserve">Resultados del Análisis </w:t>
      </w:r>
      <w:r w:rsidR="00BB733A" w:rsidRPr="000625C3">
        <w:rPr>
          <w:rFonts w:ascii="Arial" w:hAnsi="Arial" w:cs="Arial"/>
          <w:b/>
        </w:rPr>
        <w:t>del proyecto Sistema de Tratamiento de Aguas Residuales por Dilución de Berazategui.</w:t>
      </w:r>
      <w:r w:rsidRPr="000625C3">
        <w:rPr>
          <w:rFonts w:ascii="Arial" w:hAnsi="Arial" w:cs="Arial"/>
          <w:b/>
        </w:rPr>
        <w:t xml:space="preserve"> </w:t>
      </w:r>
      <w:r w:rsidR="00E011E6" w:rsidRPr="000625C3">
        <w:rPr>
          <w:rFonts w:ascii="Arial" w:hAnsi="Arial" w:cs="Arial"/>
        </w:rPr>
        <w:t>La construcción de nuevo emisario es necesaria para completar un esquema de proceso de “Tratamiento por Dilución”. Este proceso consiste en mezclar, mediante un emisario con difusores, los caudales relativos del Río de la Plata y de la descarga de aguas servidas de Berazategui en proporciones adecuadas para lograr una concentración suficientemente baja en la mezcla, compatible con el poder auto-depurador del medio receptor. Luego el esquema completo y armónico para lograr ese objetivo está compuesto por: i) Un pretratamiento (ya dado por la Planta Del Bicentenario), conformado por bandas de tamices de desbaste fino (6 mm) y desarenadores – desengrasadores, que permite adecuar el efluente al tratamiento por dilución eliminando los elementos que escaparían a la dilución y que sirve además para proteger a las instalaciones de difusión; ii) Una estación de bombeo para dar la carga necesaria para el escurrimiento en el emisario y la energía para la difusión; y , iii) Un emisario subacuático con dispositivo de difusión del efluente en el río, que realiza el proceso de dilución. El mismo se constituye por un conducto que parte desde la costa en forma aproximadamente perpendicular a la misma, internándose 7500 m en el río, con difusores distribuidos en los últimos 1500 m del conducto.</w:t>
      </w:r>
    </w:p>
    <w:p w14:paraId="11F94D2B" w14:textId="77DFCCB0" w:rsidR="00F30C82" w:rsidRPr="000625C3" w:rsidRDefault="00F30C82" w:rsidP="00F30C82">
      <w:pPr>
        <w:spacing w:line="240" w:lineRule="auto"/>
        <w:rPr>
          <w:rFonts w:ascii="Arial" w:hAnsi="Arial" w:cs="Arial"/>
        </w:rPr>
      </w:pPr>
      <w:r w:rsidRPr="000625C3">
        <w:rPr>
          <w:rFonts w:ascii="Arial" w:hAnsi="Arial" w:cs="Arial"/>
        </w:rPr>
        <w:t xml:space="preserve">Las obras a ejecutar permitirán </w:t>
      </w:r>
      <w:r w:rsidR="00E011E6" w:rsidRPr="000625C3">
        <w:rPr>
          <w:rFonts w:ascii="Arial" w:hAnsi="Arial" w:cs="Arial"/>
        </w:rPr>
        <w:t xml:space="preserve">resolver un problema de carácter fundamentalmente ambiental, vinculado al impacto sobre el Rio de la Plata generado por la disposición de efluentes cloacales a través del emisario Berazategui. La contaminación costera del Río de la Plata es un problema que atañe al menos a la franja costera limitada por la costa de Tigre en el Norte y la costa de Punta Lara en el sur, aunque la disposición de efluentes del actual emisario en Berazategui afecta a solo un tramo de la misma delimitado por la costa del partido de Quilmes en el norte y por la costa de Punta Lara hacia el sur. </w:t>
      </w:r>
      <w:r w:rsidRPr="000625C3">
        <w:rPr>
          <w:rFonts w:ascii="Arial" w:hAnsi="Arial" w:cs="Arial"/>
        </w:rPr>
        <w:t xml:space="preserve">Cabe destacar </w:t>
      </w:r>
      <w:r w:rsidR="00E14A0E" w:rsidRPr="000625C3">
        <w:rPr>
          <w:rFonts w:ascii="Arial" w:hAnsi="Arial" w:cs="Arial"/>
        </w:rPr>
        <w:t>que,</w:t>
      </w:r>
      <w:r w:rsidRPr="000625C3">
        <w:rPr>
          <w:rFonts w:ascii="Arial" w:hAnsi="Arial" w:cs="Arial"/>
        </w:rPr>
        <w:t xml:space="preserve"> debido al fenómeno hidrológico de ascenso de la napa freática registrado desde hace aproximadamente 15 años en el conurbano bonaerense, el sistema de pozos ciegos individuales se ha vuelto extremadamente oneroso </w:t>
      </w:r>
      <w:r w:rsidRPr="000625C3">
        <w:rPr>
          <w:rFonts w:ascii="Arial" w:hAnsi="Arial" w:cs="Arial"/>
        </w:rPr>
        <w:lastRenderedPageBreak/>
        <w:t>(necesidad de alta frecuencia de vaciado y renovación de pozos) e inviable ambientalmente, ya que su existencia contribuye a agravar el aumento del nivel de la napa, además de la infiltración que se produce hacia los cursos de agua.</w:t>
      </w:r>
    </w:p>
    <w:p w14:paraId="7A18CCB0" w14:textId="7CE60655" w:rsidR="00071095" w:rsidRPr="000625C3" w:rsidRDefault="00071095" w:rsidP="00071095">
      <w:pPr>
        <w:spacing w:line="240" w:lineRule="auto"/>
        <w:rPr>
          <w:rFonts w:ascii="Arial" w:hAnsi="Arial" w:cs="Arial"/>
        </w:rPr>
      </w:pPr>
      <w:r w:rsidRPr="000625C3">
        <w:rPr>
          <w:rFonts w:ascii="Arial" w:hAnsi="Arial" w:cs="Arial"/>
        </w:rPr>
        <w:t>El área beneficiaria del proyecto corresponde a una porción importante del Área Metropolitana de Buenos Aires, por lo que se observa en la misma la presencia de fuertes heterogeneidades socioeconómicas. En este caso se destaca que el sistema cloacal Berazategui sirve preponderantemente a porciones de elevada consolidación urbana (Ciudad de Buenos Aires, Vicente López, Avellaneda, Lanús) junto con algunas áreas algo más periféricas (Almirante Brown, por ejemplo), diferenciándose de este modo de la estructura socioeconómica general del área metropolitana (Ilustración 1). Así, según se aprecia, la participación de hogares con elevado nivel socioeconómico resulta mayoritaria, 72% (niveles medio alto y alto), pero no uniforme ya que el área también está integrada por sectores muy pobres (18%). Cabe destacar que, en términos de superficie, la participación de las áreas pobres alcanza el 25% aproximadamente.</w:t>
      </w:r>
    </w:p>
    <w:p w14:paraId="1FD358EC" w14:textId="1E6C8E3C" w:rsidR="00C16CC1" w:rsidRPr="000625C3" w:rsidRDefault="00C16CC1" w:rsidP="00C16CC1">
      <w:pPr>
        <w:spacing w:line="240" w:lineRule="auto"/>
        <w:rPr>
          <w:rFonts w:ascii="Arial" w:hAnsi="Arial" w:cs="Arial"/>
        </w:rPr>
      </w:pPr>
      <w:r w:rsidRPr="000625C3">
        <w:rPr>
          <w:rFonts w:ascii="Arial" w:hAnsi="Arial" w:cs="Arial"/>
        </w:rPr>
        <w:t xml:space="preserve">La viabilidad socioeconómica del proyecto se analizó utilizando </w:t>
      </w:r>
      <w:r w:rsidR="00F5073D" w:rsidRPr="000625C3">
        <w:rPr>
          <w:rFonts w:ascii="Arial" w:hAnsi="Arial" w:cs="Arial"/>
        </w:rPr>
        <w:t>la metodología</w:t>
      </w:r>
      <w:r w:rsidRPr="000625C3">
        <w:rPr>
          <w:rFonts w:ascii="Arial" w:hAnsi="Arial" w:cs="Arial"/>
        </w:rPr>
        <w:t xml:space="preserve"> de Costo Efectividad (o mínimo costo). El proyecto para cumplir con los objetivos integrales para el saneamiento vinculado a las obras de Berazategui puede realizarse a través de distintas tecnologías. En particular, existen dos alternativas que resultan relevantes en materia de análisis técnico y económico: 1) Alternativa 1 de Nuevo Emisario (NE): Pretratamiento, estación de bombeo y emisario de 7.5 km con un sistema de dilución con difusores a lo largo de 3 km. Y 2) Alternativa 2 de Tratamiento Secundario: Pretratamiento, estación de bombeo, planta de tratamiento secundario y utilizando el emisario actual.</w:t>
      </w:r>
    </w:p>
    <w:p w14:paraId="4AB0E966" w14:textId="34B30D44" w:rsidR="00C16CC1" w:rsidRPr="000625C3" w:rsidRDefault="00C16CC1" w:rsidP="00C16CC1">
      <w:pPr>
        <w:spacing w:line="240" w:lineRule="auto"/>
        <w:outlineLvl w:val="1"/>
        <w:rPr>
          <w:rFonts w:ascii="Arial" w:hAnsi="Arial" w:cs="Arial"/>
        </w:rPr>
      </w:pPr>
      <w:bookmarkStart w:id="30" w:name="_Toc484984995"/>
      <w:bookmarkStart w:id="31" w:name="_Toc485026880"/>
      <w:bookmarkStart w:id="32" w:name="_Toc485200058"/>
      <w:bookmarkStart w:id="33" w:name="_Toc303163617"/>
      <w:bookmarkStart w:id="34" w:name="_Toc303163954"/>
      <w:r w:rsidRPr="000625C3">
        <w:rPr>
          <w:rFonts w:ascii="Arial" w:hAnsi="Arial" w:cs="Arial"/>
        </w:rPr>
        <w:t>Con los costos de inversión, se construyó el flujo de fondos de las alternativas, en el cual se consideró el plan de obras proyectado para cada una de las opciones. Debe tenerse en cuenta que para la Alternativa 1 los montos totales de inversión se desembolsan en un 35 por ciento en el primer período, en un 25 por ciento en el segundo, en un 20 en el tercero y en un 20 en el cuarto. Para la Alternativa 2, mientras tanto, en el período uno no se contempla desembolsos, al tiempo que en el segundo período se contempla ejecutar el 25 por ciento, en el tercer período el 35 por ciento y en cuarto período el 40 por ciento restante.</w:t>
      </w:r>
      <w:bookmarkEnd w:id="30"/>
      <w:bookmarkEnd w:id="31"/>
      <w:bookmarkEnd w:id="32"/>
      <w:r w:rsidRPr="000625C3">
        <w:rPr>
          <w:rFonts w:ascii="Arial" w:hAnsi="Arial" w:cs="Arial"/>
        </w:rPr>
        <w:t xml:space="preserve"> </w:t>
      </w:r>
    </w:p>
    <w:p w14:paraId="5410B647" w14:textId="39A35433" w:rsidR="00C16CC1" w:rsidRPr="000625C3" w:rsidRDefault="00C16CC1" w:rsidP="00C16CC1">
      <w:pPr>
        <w:spacing w:line="240" w:lineRule="auto"/>
        <w:outlineLvl w:val="1"/>
        <w:rPr>
          <w:rFonts w:ascii="Arial" w:hAnsi="Arial" w:cs="Arial"/>
          <w:b/>
        </w:rPr>
      </w:pPr>
      <w:bookmarkStart w:id="35" w:name="_Toc484984996"/>
      <w:bookmarkStart w:id="36" w:name="_Toc485026881"/>
      <w:bookmarkStart w:id="37" w:name="_Toc485200059"/>
      <w:r w:rsidRPr="000625C3">
        <w:rPr>
          <w:rFonts w:ascii="Arial" w:hAnsi="Arial" w:cs="Arial"/>
          <w:b/>
        </w:rPr>
        <w:t xml:space="preserve">Los resultados obtenidos permiten afirmar que la alternativa 1, es decir la construcción de un nuevo emisario, presenta el mínimo costo económico </w:t>
      </w:r>
      <w:r w:rsidR="00B97F06" w:rsidRPr="000625C3">
        <w:rPr>
          <w:rFonts w:ascii="Arial" w:hAnsi="Arial" w:cs="Arial"/>
          <w:b/>
        </w:rPr>
        <w:t xml:space="preserve">(VAC 12% = US$117.938.000) </w:t>
      </w:r>
      <w:r w:rsidRPr="000625C3">
        <w:rPr>
          <w:rFonts w:ascii="Arial" w:hAnsi="Arial" w:cs="Arial"/>
          <w:b/>
        </w:rPr>
        <w:t>en el marco del presente proyecto, existiendo una diferencia a valor presente del 286,8% respecto de su alternativa más próxima (método de Tratamiento Secundario</w:t>
      </w:r>
      <w:r w:rsidR="00B97F06" w:rsidRPr="000625C3">
        <w:rPr>
          <w:rFonts w:ascii="Arial" w:hAnsi="Arial" w:cs="Arial"/>
          <w:b/>
        </w:rPr>
        <w:t>; VAC 12% US$456.186.000</w:t>
      </w:r>
      <w:r w:rsidRPr="000625C3">
        <w:rPr>
          <w:rFonts w:ascii="Arial" w:hAnsi="Arial" w:cs="Arial"/>
          <w:b/>
        </w:rPr>
        <w:t>)</w:t>
      </w:r>
      <w:bookmarkEnd w:id="35"/>
      <w:bookmarkEnd w:id="36"/>
      <w:r w:rsidR="00660F8F">
        <w:rPr>
          <w:rFonts w:ascii="Arial" w:hAnsi="Arial" w:cs="Arial"/>
          <w:b/>
        </w:rPr>
        <w:t xml:space="preserve"> </w:t>
      </w:r>
      <w:bookmarkStart w:id="38" w:name="_Hlk485038470"/>
      <w:r w:rsidR="00660F8F">
        <w:rPr>
          <w:rFonts w:ascii="Arial" w:hAnsi="Arial" w:cs="Arial"/>
          <w:b/>
        </w:rPr>
        <w:t>y un costo medio de largo plazo menor (CMI = $0,0</w:t>
      </w:r>
      <w:r w:rsidR="006B21A6">
        <w:rPr>
          <w:rFonts w:ascii="Arial" w:hAnsi="Arial" w:cs="Arial"/>
          <w:b/>
        </w:rPr>
        <w:t>22</w:t>
      </w:r>
      <w:r w:rsidR="00660F8F">
        <w:rPr>
          <w:rFonts w:ascii="Arial" w:hAnsi="Arial" w:cs="Arial"/>
          <w:b/>
        </w:rPr>
        <w:t>/m</w:t>
      </w:r>
      <w:r w:rsidR="00660F8F" w:rsidRPr="00660F8F">
        <w:rPr>
          <w:rFonts w:ascii="Arial" w:hAnsi="Arial" w:cs="Arial"/>
          <w:b/>
          <w:vertAlign w:val="superscript"/>
        </w:rPr>
        <w:t>3</w:t>
      </w:r>
      <w:r w:rsidR="00660F8F">
        <w:rPr>
          <w:rFonts w:ascii="Arial" w:hAnsi="Arial" w:cs="Arial"/>
          <w:b/>
        </w:rPr>
        <w:t xml:space="preserve"> tratado) existiendo una diferencia de 357,1% respecto a la alternativa 2 (tratamiento secundario; CMI = $0,0</w:t>
      </w:r>
      <w:r w:rsidR="006B21A6">
        <w:rPr>
          <w:rFonts w:ascii="Arial" w:hAnsi="Arial" w:cs="Arial"/>
          <w:b/>
        </w:rPr>
        <w:t>87</w:t>
      </w:r>
      <w:r w:rsidR="00660F8F">
        <w:rPr>
          <w:rFonts w:ascii="Arial" w:hAnsi="Arial" w:cs="Arial"/>
          <w:b/>
        </w:rPr>
        <w:t>/m</w:t>
      </w:r>
      <w:r w:rsidR="00660F8F" w:rsidRPr="00660F8F">
        <w:rPr>
          <w:rFonts w:ascii="Arial" w:hAnsi="Arial" w:cs="Arial"/>
          <w:b/>
          <w:vertAlign w:val="superscript"/>
        </w:rPr>
        <w:t>3</w:t>
      </w:r>
      <w:r w:rsidR="00660F8F">
        <w:rPr>
          <w:rFonts w:ascii="Arial" w:hAnsi="Arial" w:cs="Arial"/>
          <w:b/>
        </w:rPr>
        <w:t xml:space="preserve"> tratado).</w:t>
      </w:r>
      <w:bookmarkEnd w:id="38"/>
      <w:bookmarkEnd w:id="37"/>
    </w:p>
    <w:p w14:paraId="75668C85" w14:textId="13374724" w:rsidR="00F30C82" w:rsidRPr="000625C3" w:rsidRDefault="00F30C82" w:rsidP="00C16CC1">
      <w:pPr>
        <w:spacing w:line="240" w:lineRule="auto"/>
        <w:outlineLvl w:val="1"/>
        <w:rPr>
          <w:rFonts w:ascii="Arial" w:hAnsi="Arial" w:cs="Arial"/>
        </w:rPr>
      </w:pPr>
      <w:bookmarkStart w:id="39" w:name="_Toc484984997"/>
      <w:bookmarkStart w:id="40" w:name="_Toc485026882"/>
      <w:bookmarkStart w:id="41" w:name="_Toc485200060"/>
      <w:r w:rsidRPr="000625C3">
        <w:rPr>
          <w:rFonts w:ascii="Arial" w:hAnsi="Arial" w:cs="Arial"/>
          <w:b/>
        </w:rPr>
        <w:t>Conclusión</w:t>
      </w:r>
      <w:r w:rsidRPr="000625C3">
        <w:rPr>
          <w:rFonts w:ascii="Arial" w:hAnsi="Arial" w:cs="Arial"/>
        </w:rPr>
        <w:t>. Los resultados del análisis muestran que el programa es viable socioeconómicamente al nivel de cada proyecto con tasas internas de retorno económico superiores al 12% a.a. Así mismo, el coeficiente de beneficio costo fue superior a 1. (Ver Cuadro). El análisis de sensibilidad indica que los resultados de viabilidad son robustos. Los proyectos de agua aceptan aumentos en costos de hasta 20%, reducción en beneficios esperados de hasta 20%. Para proyectos de cloacas, los mismos aceptan aumento de costos de 15% y reducción de beneficios de 20%.</w:t>
      </w:r>
      <w:bookmarkEnd w:id="33"/>
      <w:bookmarkEnd w:id="34"/>
      <w:bookmarkEnd w:id="39"/>
      <w:bookmarkEnd w:id="40"/>
      <w:bookmarkEnd w:id="41"/>
      <w:r w:rsidRPr="000625C3">
        <w:rPr>
          <w:rFonts w:ascii="Arial" w:hAnsi="Arial" w:cs="Arial"/>
        </w:rPr>
        <w:t xml:space="preserve"> </w:t>
      </w:r>
    </w:p>
    <w:p w14:paraId="7A29B2FD" w14:textId="30ECDF6E" w:rsidR="00F30C82" w:rsidRDefault="00F30C82" w:rsidP="00F30C82">
      <w:pPr>
        <w:rPr>
          <w:rFonts w:ascii="Arial" w:hAnsi="Arial" w:cs="Arial"/>
        </w:rPr>
      </w:pPr>
    </w:p>
    <w:p w14:paraId="0A44440C" w14:textId="15D20234" w:rsidR="00772A7F" w:rsidRDefault="00772A7F" w:rsidP="00F30C82">
      <w:pPr>
        <w:rPr>
          <w:rFonts w:ascii="Arial" w:hAnsi="Arial" w:cs="Arial"/>
        </w:rPr>
      </w:pPr>
    </w:p>
    <w:p w14:paraId="34AB397E" w14:textId="77777777" w:rsidR="00772A7F" w:rsidRPr="000625C3" w:rsidRDefault="00772A7F" w:rsidP="00F30C82">
      <w:pPr>
        <w:rPr>
          <w:rFonts w:ascii="Arial" w:hAnsi="Arial" w:cs="Arial"/>
        </w:rPr>
      </w:pPr>
    </w:p>
    <w:tbl>
      <w:tblPr>
        <w:tblW w:w="7804" w:type="dxa"/>
        <w:jc w:val="center"/>
        <w:tblCellMar>
          <w:left w:w="0" w:type="dxa"/>
          <w:right w:w="0" w:type="dxa"/>
        </w:tblCellMar>
        <w:tblLook w:val="0000" w:firstRow="0" w:lastRow="0" w:firstColumn="0" w:lastColumn="0" w:noHBand="0" w:noVBand="0"/>
      </w:tblPr>
      <w:tblGrid>
        <w:gridCol w:w="5400"/>
        <w:gridCol w:w="900"/>
        <w:gridCol w:w="940"/>
        <w:gridCol w:w="694"/>
      </w:tblGrid>
      <w:tr w:rsidR="00F30C82" w:rsidRPr="00C0403B" w14:paraId="0B08BE95" w14:textId="77777777" w:rsidTr="00C0403B">
        <w:trPr>
          <w:trHeight w:hRule="exact" w:val="405"/>
          <w:jc w:val="center"/>
        </w:trPr>
        <w:tc>
          <w:tcPr>
            <w:tcW w:w="7804" w:type="dxa"/>
            <w:gridSpan w:val="4"/>
            <w:tcBorders>
              <w:top w:val="single" w:sz="4" w:space="0" w:color="auto"/>
              <w:left w:val="single" w:sz="8" w:space="0" w:color="auto"/>
              <w:bottom w:val="single" w:sz="8" w:space="0" w:color="auto"/>
              <w:right w:val="single" w:sz="8" w:space="0" w:color="auto"/>
            </w:tcBorders>
            <w:noWrap/>
            <w:tcMar>
              <w:top w:w="13" w:type="dxa"/>
              <w:left w:w="13" w:type="dxa"/>
              <w:bottom w:w="0" w:type="dxa"/>
              <w:right w:w="13" w:type="dxa"/>
            </w:tcMar>
            <w:vAlign w:val="center"/>
          </w:tcPr>
          <w:p w14:paraId="2CC48AAC" w14:textId="7CBD3BA1" w:rsidR="00F30C82" w:rsidRPr="00C0403B" w:rsidRDefault="00F30C82" w:rsidP="00FA38ED">
            <w:pPr>
              <w:spacing w:after="0" w:line="240" w:lineRule="auto"/>
              <w:jc w:val="center"/>
              <w:rPr>
                <w:rFonts w:ascii="Arial" w:eastAsia="Arial Unicode MS" w:hAnsi="Arial" w:cs="Arial"/>
                <w:b/>
                <w:sz w:val="18"/>
                <w:szCs w:val="18"/>
              </w:rPr>
            </w:pPr>
            <w:r w:rsidRPr="00C0403B">
              <w:rPr>
                <w:rFonts w:ascii="Arial" w:eastAsia="Arial Unicode MS" w:hAnsi="Arial" w:cs="Arial"/>
                <w:b/>
                <w:sz w:val="18"/>
                <w:szCs w:val="18"/>
              </w:rPr>
              <w:t>Cuadro Análisis de Costo-Beneficio Económico</w:t>
            </w:r>
          </w:p>
        </w:tc>
      </w:tr>
      <w:tr w:rsidR="00F30C82" w:rsidRPr="00C0403B" w14:paraId="069DBE87" w14:textId="77777777" w:rsidTr="00C0403B">
        <w:trPr>
          <w:trHeight w:hRule="exact" w:val="660"/>
          <w:jc w:val="center"/>
        </w:trPr>
        <w:tc>
          <w:tcPr>
            <w:tcW w:w="5400" w:type="dxa"/>
            <w:tcBorders>
              <w:top w:val="single" w:sz="4" w:space="0" w:color="auto"/>
              <w:left w:val="single" w:sz="8" w:space="0" w:color="auto"/>
              <w:bottom w:val="single" w:sz="8" w:space="0" w:color="auto"/>
              <w:right w:val="single" w:sz="8" w:space="0" w:color="auto"/>
            </w:tcBorders>
            <w:noWrap/>
            <w:tcMar>
              <w:top w:w="13" w:type="dxa"/>
              <w:left w:w="13" w:type="dxa"/>
              <w:bottom w:w="0" w:type="dxa"/>
              <w:right w:w="13" w:type="dxa"/>
            </w:tcMar>
            <w:vAlign w:val="center"/>
          </w:tcPr>
          <w:p w14:paraId="6984024A" w14:textId="7FE11D4F" w:rsidR="00F30C82" w:rsidRPr="00C0403B" w:rsidRDefault="00F30C82" w:rsidP="00FA38ED">
            <w:pPr>
              <w:spacing w:after="0" w:line="240" w:lineRule="auto"/>
              <w:rPr>
                <w:rFonts w:ascii="Arial" w:eastAsia="Arial Unicode MS" w:hAnsi="Arial" w:cs="Arial"/>
                <w:b/>
                <w:sz w:val="18"/>
                <w:szCs w:val="18"/>
              </w:rPr>
            </w:pPr>
            <w:r w:rsidRPr="00C0403B">
              <w:rPr>
                <w:rFonts w:ascii="Arial" w:hAnsi="Arial" w:cs="Arial"/>
                <w:b/>
                <w:sz w:val="18"/>
                <w:szCs w:val="18"/>
              </w:rPr>
              <w:t>Proyecto/ Valor Presente Neto Económico (mil</w:t>
            </w:r>
            <w:r w:rsidR="00F5073D" w:rsidRPr="00C0403B">
              <w:rPr>
                <w:rFonts w:ascii="Arial" w:hAnsi="Arial" w:cs="Arial"/>
                <w:b/>
                <w:sz w:val="18"/>
                <w:szCs w:val="18"/>
              </w:rPr>
              <w:t>lones</w:t>
            </w:r>
            <w:r w:rsidRPr="00C0403B">
              <w:rPr>
                <w:rFonts w:ascii="Arial" w:hAnsi="Arial" w:cs="Arial"/>
                <w:b/>
                <w:sz w:val="18"/>
                <w:szCs w:val="18"/>
              </w:rPr>
              <w:t xml:space="preserve"> de US$)</w:t>
            </w:r>
          </w:p>
        </w:tc>
        <w:tc>
          <w:tcPr>
            <w:tcW w:w="900" w:type="dxa"/>
            <w:tcBorders>
              <w:top w:val="single" w:sz="4" w:space="0" w:color="auto"/>
              <w:left w:val="nil"/>
              <w:right w:val="single" w:sz="8" w:space="0" w:color="auto"/>
            </w:tcBorders>
            <w:noWrap/>
            <w:tcMar>
              <w:top w:w="13" w:type="dxa"/>
              <w:left w:w="13" w:type="dxa"/>
              <w:bottom w:w="0" w:type="dxa"/>
              <w:right w:w="13" w:type="dxa"/>
            </w:tcMar>
            <w:vAlign w:val="center"/>
          </w:tcPr>
          <w:p w14:paraId="0858B883" w14:textId="77777777" w:rsidR="00F30C82" w:rsidRPr="00C0403B" w:rsidRDefault="00F30C82" w:rsidP="00FA38ED">
            <w:pPr>
              <w:spacing w:after="0" w:line="240" w:lineRule="auto"/>
              <w:jc w:val="center"/>
              <w:rPr>
                <w:rFonts w:ascii="Arial" w:eastAsia="Arial Unicode MS" w:hAnsi="Arial" w:cs="Arial"/>
                <w:b/>
                <w:sz w:val="18"/>
                <w:szCs w:val="18"/>
              </w:rPr>
            </w:pPr>
            <w:r w:rsidRPr="00C0403B">
              <w:rPr>
                <w:rFonts w:ascii="Arial" w:hAnsi="Arial" w:cs="Arial"/>
                <w:b/>
                <w:sz w:val="18"/>
                <w:szCs w:val="18"/>
              </w:rPr>
              <w:t>Beneficio Neto</w:t>
            </w:r>
          </w:p>
        </w:tc>
        <w:tc>
          <w:tcPr>
            <w:tcW w:w="810" w:type="dxa"/>
            <w:tcBorders>
              <w:top w:val="single" w:sz="4" w:space="0" w:color="auto"/>
              <w:left w:val="nil"/>
              <w:bottom w:val="single" w:sz="8" w:space="0" w:color="auto"/>
              <w:right w:val="single" w:sz="8" w:space="0" w:color="auto"/>
            </w:tcBorders>
            <w:noWrap/>
            <w:tcMar>
              <w:top w:w="13" w:type="dxa"/>
              <w:left w:w="13" w:type="dxa"/>
              <w:bottom w:w="0" w:type="dxa"/>
              <w:right w:w="13" w:type="dxa"/>
            </w:tcMar>
            <w:vAlign w:val="center"/>
          </w:tcPr>
          <w:p w14:paraId="4EAB3515" w14:textId="77777777" w:rsidR="00F30C82" w:rsidRPr="00C0403B" w:rsidRDefault="00F30C82" w:rsidP="00FA38ED">
            <w:pPr>
              <w:spacing w:after="0" w:line="240" w:lineRule="auto"/>
              <w:jc w:val="center"/>
              <w:rPr>
                <w:rFonts w:ascii="Arial" w:eastAsia="Arial Unicode MS" w:hAnsi="Arial" w:cs="Arial"/>
                <w:b/>
                <w:sz w:val="18"/>
                <w:szCs w:val="18"/>
              </w:rPr>
            </w:pPr>
            <w:r w:rsidRPr="00C0403B">
              <w:rPr>
                <w:rFonts w:ascii="Arial" w:eastAsia="Arial Unicode MS" w:hAnsi="Arial" w:cs="Arial"/>
                <w:b/>
                <w:sz w:val="18"/>
                <w:szCs w:val="18"/>
              </w:rPr>
              <w:t>TIRE (%)</w:t>
            </w:r>
          </w:p>
        </w:tc>
        <w:tc>
          <w:tcPr>
            <w:tcW w:w="694" w:type="dxa"/>
            <w:tcBorders>
              <w:top w:val="single" w:sz="4" w:space="0" w:color="auto"/>
              <w:left w:val="nil"/>
              <w:bottom w:val="single" w:sz="8" w:space="0" w:color="auto"/>
              <w:right w:val="single" w:sz="8" w:space="0" w:color="auto"/>
            </w:tcBorders>
            <w:noWrap/>
            <w:tcMar>
              <w:top w:w="13" w:type="dxa"/>
              <w:left w:w="13" w:type="dxa"/>
              <w:bottom w:w="0" w:type="dxa"/>
              <w:right w:w="13" w:type="dxa"/>
            </w:tcMar>
            <w:vAlign w:val="center"/>
          </w:tcPr>
          <w:p w14:paraId="19204903" w14:textId="77777777" w:rsidR="00F30C82" w:rsidRPr="00C0403B" w:rsidRDefault="00F30C82" w:rsidP="00FA38ED">
            <w:pPr>
              <w:spacing w:after="0" w:line="240" w:lineRule="auto"/>
              <w:jc w:val="center"/>
              <w:rPr>
                <w:rFonts w:ascii="Arial" w:eastAsia="Arial Unicode MS" w:hAnsi="Arial" w:cs="Arial"/>
                <w:b/>
                <w:sz w:val="18"/>
                <w:szCs w:val="18"/>
              </w:rPr>
            </w:pPr>
            <w:r w:rsidRPr="00C0403B">
              <w:rPr>
                <w:rFonts w:ascii="Arial" w:eastAsia="Arial Unicode MS" w:hAnsi="Arial" w:cs="Arial"/>
                <w:b/>
                <w:sz w:val="18"/>
                <w:szCs w:val="18"/>
              </w:rPr>
              <w:t>B/C</w:t>
            </w:r>
          </w:p>
        </w:tc>
      </w:tr>
      <w:tr w:rsidR="00F30C82" w:rsidRPr="00C0403B" w14:paraId="1E7D395B" w14:textId="77777777" w:rsidTr="00C0403B">
        <w:trPr>
          <w:trHeight w:hRule="exact" w:val="378"/>
          <w:jc w:val="center"/>
        </w:trPr>
        <w:tc>
          <w:tcPr>
            <w:tcW w:w="5400" w:type="dxa"/>
            <w:tcBorders>
              <w:top w:val="single" w:sz="8" w:space="0" w:color="000000"/>
              <w:left w:val="single" w:sz="8" w:space="0" w:color="auto"/>
              <w:bottom w:val="single" w:sz="8" w:space="0" w:color="auto"/>
              <w:right w:val="single" w:sz="8" w:space="0" w:color="auto"/>
            </w:tcBorders>
            <w:noWrap/>
            <w:tcMar>
              <w:top w:w="13" w:type="dxa"/>
              <w:left w:w="13" w:type="dxa"/>
              <w:bottom w:w="0" w:type="dxa"/>
              <w:right w:w="13" w:type="dxa"/>
            </w:tcMar>
            <w:vAlign w:val="center"/>
          </w:tcPr>
          <w:p w14:paraId="6CA2EAA0" w14:textId="42E9826D" w:rsidR="00F30C82" w:rsidRPr="00C0403B" w:rsidRDefault="002035B2" w:rsidP="00FA38ED">
            <w:pPr>
              <w:spacing w:after="0" w:line="240" w:lineRule="auto"/>
              <w:rPr>
                <w:rFonts w:ascii="Arial" w:hAnsi="Arial" w:cs="Arial"/>
                <w:sz w:val="18"/>
                <w:szCs w:val="18"/>
              </w:rPr>
            </w:pPr>
            <w:r w:rsidRPr="00C0403B">
              <w:rPr>
                <w:rFonts w:ascii="Arial" w:hAnsi="Arial" w:cs="Arial"/>
                <w:sz w:val="18"/>
                <w:szCs w:val="18"/>
              </w:rPr>
              <w:t>Mejora en la Eficiencia del Sistema de Agua Potable</w:t>
            </w:r>
          </w:p>
        </w:tc>
        <w:tc>
          <w:tcPr>
            <w:tcW w:w="900" w:type="dxa"/>
            <w:tcBorders>
              <w:top w:val="single" w:sz="8" w:space="0" w:color="auto"/>
              <w:left w:val="nil"/>
              <w:bottom w:val="single" w:sz="4" w:space="0" w:color="auto"/>
              <w:right w:val="single" w:sz="8" w:space="0" w:color="auto"/>
            </w:tcBorders>
            <w:noWrap/>
            <w:tcMar>
              <w:top w:w="13" w:type="dxa"/>
              <w:left w:w="13" w:type="dxa"/>
              <w:bottom w:w="0" w:type="dxa"/>
              <w:right w:w="13" w:type="dxa"/>
            </w:tcMar>
            <w:vAlign w:val="center"/>
          </w:tcPr>
          <w:p w14:paraId="410FF50F" w14:textId="2CF0D6BA" w:rsidR="00F30C82" w:rsidRPr="00C0403B" w:rsidRDefault="00E14A0E" w:rsidP="00FA38ED">
            <w:pPr>
              <w:spacing w:after="0" w:line="240" w:lineRule="auto"/>
              <w:ind w:right="167"/>
              <w:jc w:val="right"/>
              <w:rPr>
                <w:rFonts w:ascii="Arial" w:eastAsia="Arial Unicode MS" w:hAnsi="Arial" w:cs="Arial"/>
                <w:sz w:val="18"/>
                <w:szCs w:val="18"/>
              </w:rPr>
            </w:pPr>
            <w:r>
              <w:rPr>
                <w:rFonts w:ascii="Arial" w:eastAsia="Arial Unicode MS" w:hAnsi="Arial" w:cs="Arial"/>
                <w:sz w:val="18"/>
                <w:szCs w:val="18"/>
              </w:rPr>
              <w:t>51,7</w:t>
            </w:r>
            <w:r w:rsidR="006B21A6">
              <w:rPr>
                <w:rFonts w:ascii="Arial" w:eastAsia="Arial Unicode MS" w:hAnsi="Arial" w:cs="Arial"/>
                <w:sz w:val="18"/>
                <w:szCs w:val="18"/>
              </w:rPr>
              <w:t>1</w:t>
            </w:r>
          </w:p>
        </w:tc>
        <w:tc>
          <w:tcPr>
            <w:tcW w:w="810" w:type="dxa"/>
            <w:tcBorders>
              <w:top w:val="single" w:sz="8" w:space="0" w:color="000000"/>
              <w:left w:val="nil"/>
              <w:bottom w:val="single" w:sz="8" w:space="0" w:color="auto"/>
              <w:right w:val="single" w:sz="8" w:space="0" w:color="auto"/>
            </w:tcBorders>
            <w:noWrap/>
            <w:tcMar>
              <w:top w:w="13" w:type="dxa"/>
              <w:left w:w="13" w:type="dxa"/>
              <w:bottom w:w="0" w:type="dxa"/>
              <w:right w:w="13" w:type="dxa"/>
            </w:tcMar>
            <w:vAlign w:val="center"/>
          </w:tcPr>
          <w:p w14:paraId="1C3920E2" w14:textId="2A6940AB" w:rsidR="00F30C82" w:rsidRPr="00C0403B" w:rsidRDefault="00E14A0E" w:rsidP="00FA38ED">
            <w:pPr>
              <w:spacing w:after="0" w:line="240" w:lineRule="auto"/>
              <w:ind w:right="167"/>
              <w:jc w:val="right"/>
              <w:rPr>
                <w:rFonts w:ascii="Arial" w:eastAsia="Arial Unicode MS" w:hAnsi="Arial" w:cs="Arial"/>
                <w:sz w:val="18"/>
                <w:szCs w:val="18"/>
              </w:rPr>
            </w:pPr>
            <w:r>
              <w:rPr>
                <w:rFonts w:ascii="Arial" w:eastAsia="Arial Unicode MS" w:hAnsi="Arial" w:cs="Arial"/>
                <w:sz w:val="18"/>
                <w:szCs w:val="18"/>
              </w:rPr>
              <w:t>17,1</w:t>
            </w:r>
          </w:p>
        </w:tc>
        <w:tc>
          <w:tcPr>
            <w:tcW w:w="694" w:type="dxa"/>
            <w:tcBorders>
              <w:top w:val="single" w:sz="8" w:space="0" w:color="000000"/>
              <w:left w:val="nil"/>
              <w:bottom w:val="single" w:sz="8" w:space="0" w:color="auto"/>
              <w:right w:val="single" w:sz="8" w:space="0" w:color="auto"/>
            </w:tcBorders>
            <w:noWrap/>
            <w:tcMar>
              <w:top w:w="13" w:type="dxa"/>
              <w:left w:w="13" w:type="dxa"/>
              <w:bottom w:w="0" w:type="dxa"/>
              <w:right w:w="13" w:type="dxa"/>
            </w:tcMar>
            <w:vAlign w:val="center"/>
          </w:tcPr>
          <w:p w14:paraId="56AF4F2C" w14:textId="3B49F361" w:rsidR="00F30C82" w:rsidRPr="00C0403B" w:rsidRDefault="00E14A0E" w:rsidP="00E14A0E">
            <w:pPr>
              <w:spacing w:after="0" w:line="240" w:lineRule="auto"/>
              <w:ind w:right="167"/>
              <w:jc w:val="right"/>
              <w:rPr>
                <w:rFonts w:ascii="Arial" w:eastAsia="Arial Unicode MS" w:hAnsi="Arial" w:cs="Arial"/>
                <w:sz w:val="18"/>
                <w:szCs w:val="18"/>
              </w:rPr>
            </w:pPr>
            <w:r>
              <w:rPr>
                <w:rFonts w:ascii="Arial" w:eastAsia="Arial Unicode MS" w:hAnsi="Arial" w:cs="Arial"/>
                <w:sz w:val="18"/>
                <w:szCs w:val="18"/>
              </w:rPr>
              <w:t>1,22</w:t>
            </w:r>
          </w:p>
        </w:tc>
      </w:tr>
      <w:tr w:rsidR="00F30C82" w:rsidRPr="00C0403B" w14:paraId="161F9CC9" w14:textId="77777777" w:rsidTr="00C0403B">
        <w:trPr>
          <w:trHeight w:hRule="exact" w:val="360"/>
          <w:jc w:val="center"/>
        </w:trPr>
        <w:tc>
          <w:tcPr>
            <w:tcW w:w="5400" w:type="dxa"/>
            <w:tcBorders>
              <w:top w:val="single" w:sz="8" w:space="0" w:color="auto"/>
              <w:left w:val="single" w:sz="8" w:space="0" w:color="auto"/>
              <w:bottom w:val="single" w:sz="8" w:space="0" w:color="auto"/>
              <w:right w:val="single" w:sz="4" w:space="0" w:color="auto"/>
            </w:tcBorders>
            <w:noWrap/>
            <w:tcMar>
              <w:top w:w="13" w:type="dxa"/>
              <w:left w:w="13" w:type="dxa"/>
              <w:bottom w:w="0" w:type="dxa"/>
              <w:right w:w="13" w:type="dxa"/>
            </w:tcMar>
            <w:vAlign w:val="center"/>
          </w:tcPr>
          <w:p w14:paraId="450E20E4" w14:textId="7D29A613" w:rsidR="00F30C82" w:rsidRPr="00C0403B" w:rsidRDefault="002035B2" w:rsidP="00FA38ED">
            <w:pPr>
              <w:spacing w:after="0" w:line="240" w:lineRule="auto"/>
              <w:rPr>
                <w:rFonts w:ascii="Arial" w:hAnsi="Arial" w:cs="Arial"/>
                <w:sz w:val="18"/>
                <w:szCs w:val="18"/>
              </w:rPr>
            </w:pPr>
            <w:r w:rsidRPr="00C0403B">
              <w:rPr>
                <w:rFonts w:ascii="Arial" w:hAnsi="Arial" w:cs="Arial"/>
                <w:sz w:val="18"/>
                <w:szCs w:val="18"/>
              </w:rPr>
              <w:t>Sistema de Saneamiento de los partidos de Moreno y San Miguel</w:t>
            </w:r>
          </w:p>
        </w:tc>
        <w:tc>
          <w:tcPr>
            <w:tcW w:w="900"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14:paraId="4A109395" w14:textId="19E64AD9" w:rsidR="002035B2" w:rsidRPr="00C0403B" w:rsidRDefault="002035B2" w:rsidP="002035B2">
            <w:pPr>
              <w:spacing w:after="0" w:line="240" w:lineRule="auto"/>
              <w:ind w:right="167"/>
              <w:jc w:val="right"/>
              <w:rPr>
                <w:rFonts w:ascii="Arial" w:eastAsia="Arial Unicode MS" w:hAnsi="Arial" w:cs="Arial"/>
                <w:sz w:val="18"/>
                <w:szCs w:val="18"/>
              </w:rPr>
            </w:pPr>
            <w:r w:rsidRPr="00C0403B">
              <w:rPr>
                <w:rFonts w:ascii="Arial" w:eastAsia="Arial Unicode MS" w:hAnsi="Arial" w:cs="Arial"/>
                <w:sz w:val="18"/>
                <w:szCs w:val="18"/>
              </w:rPr>
              <w:t>31,94</w:t>
            </w:r>
          </w:p>
        </w:tc>
        <w:tc>
          <w:tcPr>
            <w:tcW w:w="810" w:type="dxa"/>
            <w:tcBorders>
              <w:top w:val="single" w:sz="8" w:space="0" w:color="auto"/>
              <w:left w:val="single" w:sz="4" w:space="0" w:color="auto"/>
              <w:bottom w:val="single" w:sz="8" w:space="0" w:color="auto"/>
              <w:right w:val="single" w:sz="8" w:space="0" w:color="auto"/>
            </w:tcBorders>
            <w:noWrap/>
            <w:tcMar>
              <w:top w:w="13" w:type="dxa"/>
              <w:left w:w="13" w:type="dxa"/>
              <w:bottom w:w="0" w:type="dxa"/>
              <w:right w:w="13" w:type="dxa"/>
            </w:tcMar>
            <w:vAlign w:val="center"/>
          </w:tcPr>
          <w:p w14:paraId="78FAA347" w14:textId="5B8C1C6D" w:rsidR="00F30C82" w:rsidRPr="00C0403B" w:rsidRDefault="002035B2" w:rsidP="00FA38ED">
            <w:pPr>
              <w:spacing w:after="0" w:line="240" w:lineRule="auto"/>
              <w:ind w:right="167"/>
              <w:jc w:val="right"/>
              <w:rPr>
                <w:rFonts w:ascii="Arial" w:eastAsia="Arial Unicode MS" w:hAnsi="Arial" w:cs="Arial"/>
                <w:sz w:val="18"/>
                <w:szCs w:val="18"/>
              </w:rPr>
            </w:pPr>
            <w:r w:rsidRPr="00C0403B">
              <w:rPr>
                <w:rFonts w:ascii="Arial" w:eastAsia="Arial Unicode MS" w:hAnsi="Arial" w:cs="Arial"/>
                <w:sz w:val="18"/>
                <w:szCs w:val="18"/>
              </w:rPr>
              <w:t>14,4</w:t>
            </w:r>
          </w:p>
        </w:tc>
        <w:tc>
          <w:tcPr>
            <w:tcW w:w="694" w:type="dxa"/>
            <w:tcBorders>
              <w:top w:val="single" w:sz="8" w:space="0" w:color="auto"/>
              <w:left w:val="nil"/>
              <w:bottom w:val="single" w:sz="8" w:space="0" w:color="auto"/>
              <w:right w:val="single" w:sz="8" w:space="0" w:color="auto"/>
            </w:tcBorders>
            <w:noWrap/>
            <w:tcMar>
              <w:top w:w="13" w:type="dxa"/>
              <w:left w:w="13" w:type="dxa"/>
              <w:bottom w:w="0" w:type="dxa"/>
              <w:right w:w="13" w:type="dxa"/>
            </w:tcMar>
            <w:vAlign w:val="center"/>
          </w:tcPr>
          <w:p w14:paraId="4256C711" w14:textId="5FBB6FA0" w:rsidR="00F30C82" w:rsidRPr="00C0403B" w:rsidRDefault="002035B2" w:rsidP="00FA38ED">
            <w:pPr>
              <w:spacing w:after="0" w:line="240" w:lineRule="auto"/>
              <w:ind w:right="167"/>
              <w:jc w:val="right"/>
              <w:rPr>
                <w:rFonts w:ascii="Arial" w:eastAsia="Arial Unicode MS" w:hAnsi="Arial" w:cs="Arial"/>
                <w:sz w:val="18"/>
                <w:szCs w:val="18"/>
              </w:rPr>
            </w:pPr>
            <w:r w:rsidRPr="00C0403B">
              <w:rPr>
                <w:rFonts w:ascii="Arial" w:eastAsia="Arial Unicode MS" w:hAnsi="Arial" w:cs="Arial"/>
                <w:sz w:val="18"/>
                <w:szCs w:val="18"/>
              </w:rPr>
              <w:t>1,17</w:t>
            </w:r>
          </w:p>
        </w:tc>
      </w:tr>
      <w:tr w:rsidR="00B97F06" w:rsidRPr="00C0403B" w14:paraId="0A1729DE" w14:textId="77777777" w:rsidTr="00C0403B">
        <w:trPr>
          <w:trHeight w:hRule="exact" w:val="472"/>
          <w:jc w:val="center"/>
        </w:trPr>
        <w:tc>
          <w:tcPr>
            <w:tcW w:w="7804" w:type="dxa"/>
            <w:gridSpan w:val="4"/>
            <w:tcBorders>
              <w:top w:val="single" w:sz="8" w:space="0" w:color="auto"/>
              <w:left w:val="single" w:sz="8" w:space="0" w:color="auto"/>
              <w:bottom w:val="single" w:sz="8" w:space="0" w:color="auto"/>
              <w:right w:val="single" w:sz="8" w:space="0" w:color="auto"/>
            </w:tcBorders>
            <w:noWrap/>
            <w:tcMar>
              <w:top w:w="13" w:type="dxa"/>
              <w:left w:w="13" w:type="dxa"/>
              <w:bottom w:w="0" w:type="dxa"/>
              <w:right w:w="13" w:type="dxa"/>
            </w:tcMar>
            <w:vAlign w:val="center"/>
          </w:tcPr>
          <w:p w14:paraId="0B4BCD3E" w14:textId="77777777" w:rsidR="00B97F06" w:rsidRPr="00C0403B" w:rsidRDefault="00B97F06" w:rsidP="00B97F06">
            <w:pPr>
              <w:spacing w:after="0" w:line="240" w:lineRule="auto"/>
              <w:ind w:right="167"/>
              <w:jc w:val="center"/>
              <w:rPr>
                <w:rFonts w:ascii="Arial" w:eastAsia="Arial Unicode MS" w:hAnsi="Arial" w:cs="Arial"/>
                <w:b/>
                <w:sz w:val="18"/>
                <w:szCs w:val="18"/>
              </w:rPr>
            </w:pPr>
            <w:r w:rsidRPr="00C0403B">
              <w:rPr>
                <w:rFonts w:ascii="Arial" w:eastAsia="Arial Unicode MS" w:hAnsi="Arial" w:cs="Arial"/>
                <w:b/>
                <w:sz w:val="18"/>
                <w:szCs w:val="18"/>
              </w:rPr>
              <w:t>Cuadro Análisis Costo Efectividad</w:t>
            </w:r>
          </w:p>
          <w:p w14:paraId="339584DF" w14:textId="26AD8858" w:rsidR="00365ADC" w:rsidRPr="00C0403B" w:rsidRDefault="00365ADC" w:rsidP="00B97F06">
            <w:pPr>
              <w:spacing w:after="0" w:line="240" w:lineRule="auto"/>
              <w:ind w:right="167"/>
              <w:jc w:val="center"/>
              <w:rPr>
                <w:rFonts w:ascii="Arial" w:eastAsia="Arial Unicode MS" w:hAnsi="Arial" w:cs="Arial"/>
                <w:b/>
                <w:sz w:val="18"/>
                <w:szCs w:val="18"/>
              </w:rPr>
            </w:pPr>
            <w:r w:rsidRPr="00C0403B">
              <w:rPr>
                <w:rFonts w:ascii="Arial" w:eastAsia="Arial Unicode MS" w:hAnsi="Arial" w:cs="Arial"/>
                <w:b/>
                <w:sz w:val="18"/>
                <w:szCs w:val="18"/>
              </w:rPr>
              <w:t>(mil</w:t>
            </w:r>
            <w:r w:rsidR="00F5073D" w:rsidRPr="00C0403B">
              <w:rPr>
                <w:rFonts w:ascii="Arial" w:eastAsia="Arial Unicode MS" w:hAnsi="Arial" w:cs="Arial"/>
                <w:b/>
                <w:sz w:val="18"/>
                <w:szCs w:val="18"/>
              </w:rPr>
              <w:t>lon</w:t>
            </w:r>
            <w:r w:rsidRPr="00C0403B">
              <w:rPr>
                <w:rFonts w:ascii="Arial" w:eastAsia="Arial Unicode MS" w:hAnsi="Arial" w:cs="Arial"/>
                <w:b/>
                <w:sz w:val="18"/>
                <w:szCs w:val="18"/>
              </w:rPr>
              <w:t>es de US$)</w:t>
            </w:r>
          </w:p>
        </w:tc>
      </w:tr>
      <w:tr w:rsidR="00B97F06" w:rsidRPr="00C0403B" w14:paraId="06B26F92" w14:textId="77777777" w:rsidTr="00C0403B">
        <w:trPr>
          <w:trHeight w:hRule="exact" w:val="472"/>
          <w:jc w:val="center"/>
        </w:trPr>
        <w:tc>
          <w:tcPr>
            <w:tcW w:w="5400" w:type="dxa"/>
            <w:tcBorders>
              <w:top w:val="single" w:sz="8" w:space="0" w:color="auto"/>
              <w:left w:val="single" w:sz="8" w:space="0" w:color="auto"/>
              <w:bottom w:val="single" w:sz="8" w:space="0" w:color="auto"/>
              <w:right w:val="single" w:sz="8" w:space="0" w:color="auto"/>
            </w:tcBorders>
            <w:noWrap/>
            <w:tcMar>
              <w:top w:w="13" w:type="dxa"/>
              <w:left w:w="13" w:type="dxa"/>
              <w:bottom w:w="0" w:type="dxa"/>
              <w:right w:w="13" w:type="dxa"/>
            </w:tcMar>
            <w:vAlign w:val="center"/>
          </w:tcPr>
          <w:p w14:paraId="2D3E6931" w14:textId="5F92D262" w:rsidR="00B97F06" w:rsidRPr="00C0403B" w:rsidRDefault="00B97F06" w:rsidP="00B97F06">
            <w:pPr>
              <w:spacing w:after="0" w:line="240" w:lineRule="auto"/>
              <w:jc w:val="center"/>
              <w:rPr>
                <w:rFonts w:ascii="Arial" w:hAnsi="Arial" w:cs="Arial"/>
                <w:b/>
                <w:sz w:val="18"/>
                <w:szCs w:val="18"/>
              </w:rPr>
            </w:pPr>
            <w:r w:rsidRPr="00C0403B">
              <w:rPr>
                <w:rFonts w:ascii="Arial" w:hAnsi="Arial" w:cs="Arial"/>
                <w:b/>
                <w:sz w:val="18"/>
                <w:szCs w:val="18"/>
              </w:rPr>
              <w:t>Alternativa</w:t>
            </w:r>
            <w:r w:rsidR="002035B2" w:rsidRPr="00C0403B">
              <w:rPr>
                <w:rFonts w:ascii="Arial" w:hAnsi="Arial" w:cs="Arial"/>
                <w:b/>
                <w:sz w:val="18"/>
                <w:szCs w:val="18"/>
              </w:rPr>
              <w:t>s</w:t>
            </w:r>
            <w:r w:rsidR="002035B2" w:rsidRPr="00C0403B">
              <w:rPr>
                <w:sz w:val="18"/>
                <w:szCs w:val="18"/>
              </w:rPr>
              <w:t xml:space="preserve"> </w:t>
            </w:r>
            <w:r w:rsidR="002035B2" w:rsidRPr="00C0403B">
              <w:rPr>
                <w:rFonts w:ascii="Arial" w:hAnsi="Arial" w:cs="Arial"/>
                <w:b/>
                <w:sz w:val="18"/>
                <w:szCs w:val="18"/>
              </w:rPr>
              <w:t xml:space="preserve">Sistema de Tratamiento de Aguas Residuales por Dilución de Berazategui </w:t>
            </w:r>
          </w:p>
        </w:tc>
        <w:tc>
          <w:tcPr>
            <w:tcW w:w="900" w:type="dxa"/>
            <w:tcBorders>
              <w:top w:val="single" w:sz="8" w:space="0" w:color="auto"/>
              <w:left w:val="nil"/>
              <w:bottom w:val="single" w:sz="8" w:space="0" w:color="auto"/>
              <w:right w:val="single" w:sz="8" w:space="0" w:color="auto"/>
            </w:tcBorders>
            <w:noWrap/>
            <w:tcMar>
              <w:top w:w="13" w:type="dxa"/>
              <w:left w:w="13" w:type="dxa"/>
              <w:bottom w:w="0" w:type="dxa"/>
              <w:right w:w="13" w:type="dxa"/>
            </w:tcMar>
            <w:vAlign w:val="center"/>
          </w:tcPr>
          <w:p w14:paraId="4E564003" w14:textId="733F32C7" w:rsidR="00B97F06" w:rsidRPr="00C0403B" w:rsidRDefault="00B97F06" w:rsidP="00B97F06">
            <w:pPr>
              <w:spacing w:after="0" w:line="240" w:lineRule="auto"/>
              <w:ind w:right="167"/>
              <w:jc w:val="center"/>
              <w:rPr>
                <w:rFonts w:ascii="Arial" w:eastAsia="Arial Unicode MS" w:hAnsi="Arial" w:cs="Arial"/>
                <w:b/>
                <w:sz w:val="18"/>
                <w:szCs w:val="18"/>
              </w:rPr>
            </w:pPr>
            <w:r w:rsidRPr="00C0403B">
              <w:rPr>
                <w:rFonts w:ascii="Arial" w:eastAsia="Arial Unicode MS" w:hAnsi="Arial" w:cs="Arial"/>
                <w:b/>
                <w:sz w:val="18"/>
                <w:szCs w:val="18"/>
              </w:rPr>
              <w:t>VAC 12%</w:t>
            </w:r>
          </w:p>
        </w:tc>
        <w:tc>
          <w:tcPr>
            <w:tcW w:w="810" w:type="dxa"/>
            <w:tcBorders>
              <w:top w:val="single" w:sz="8" w:space="0" w:color="auto"/>
              <w:left w:val="nil"/>
              <w:bottom w:val="single" w:sz="8" w:space="0" w:color="auto"/>
              <w:right w:val="single" w:sz="8" w:space="0" w:color="auto"/>
            </w:tcBorders>
            <w:noWrap/>
            <w:tcMar>
              <w:top w:w="13" w:type="dxa"/>
              <w:left w:w="13" w:type="dxa"/>
              <w:bottom w:w="0" w:type="dxa"/>
              <w:right w:w="13" w:type="dxa"/>
            </w:tcMar>
            <w:vAlign w:val="center"/>
          </w:tcPr>
          <w:p w14:paraId="14019463" w14:textId="77777777" w:rsidR="006B21A6" w:rsidRDefault="006B21A6" w:rsidP="00B97F06">
            <w:pPr>
              <w:spacing w:after="0" w:line="240" w:lineRule="auto"/>
              <w:ind w:right="167"/>
              <w:jc w:val="center"/>
              <w:rPr>
                <w:rFonts w:ascii="Arial" w:eastAsia="Arial Unicode MS" w:hAnsi="Arial" w:cs="Arial"/>
                <w:b/>
                <w:sz w:val="18"/>
                <w:szCs w:val="18"/>
              </w:rPr>
            </w:pPr>
            <w:r>
              <w:rPr>
                <w:rFonts w:ascii="Arial" w:eastAsia="Arial Unicode MS" w:hAnsi="Arial" w:cs="Arial"/>
                <w:b/>
                <w:sz w:val="18"/>
                <w:szCs w:val="18"/>
              </w:rPr>
              <w:t>CMI</w:t>
            </w:r>
          </w:p>
          <w:p w14:paraId="5DE28A4E" w14:textId="79BB9D2A" w:rsidR="00B97F06" w:rsidRPr="00C0403B" w:rsidRDefault="006B21A6" w:rsidP="00B97F06">
            <w:pPr>
              <w:spacing w:after="0" w:line="240" w:lineRule="auto"/>
              <w:ind w:right="167"/>
              <w:jc w:val="center"/>
              <w:rPr>
                <w:rFonts w:ascii="Arial" w:eastAsia="Arial Unicode MS" w:hAnsi="Arial" w:cs="Arial"/>
                <w:b/>
                <w:sz w:val="18"/>
                <w:szCs w:val="18"/>
              </w:rPr>
            </w:pPr>
            <w:r>
              <w:rPr>
                <w:rFonts w:ascii="Arial" w:eastAsia="Arial Unicode MS" w:hAnsi="Arial" w:cs="Arial"/>
                <w:b/>
                <w:sz w:val="18"/>
                <w:szCs w:val="18"/>
              </w:rPr>
              <w:t>(US$/m</w:t>
            </w:r>
            <w:r w:rsidRPr="006B21A6">
              <w:rPr>
                <w:rFonts w:ascii="Arial" w:eastAsia="Arial Unicode MS" w:hAnsi="Arial" w:cs="Arial"/>
                <w:b/>
                <w:sz w:val="18"/>
                <w:szCs w:val="18"/>
                <w:vertAlign w:val="superscript"/>
              </w:rPr>
              <w:t>3</w:t>
            </w:r>
            <w:r>
              <w:rPr>
                <w:rFonts w:ascii="Arial" w:eastAsia="Arial Unicode MS" w:hAnsi="Arial" w:cs="Arial"/>
                <w:b/>
                <w:sz w:val="18"/>
                <w:szCs w:val="18"/>
              </w:rPr>
              <w:t>)</w:t>
            </w:r>
          </w:p>
        </w:tc>
        <w:tc>
          <w:tcPr>
            <w:tcW w:w="694" w:type="dxa"/>
            <w:tcBorders>
              <w:top w:val="single" w:sz="8" w:space="0" w:color="auto"/>
              <w:left w:val="nil"/>
              <w:bottom w:val="single" w:sz="8" w:space="0" w:color="auto"/>
              <w:right w:val="single" w:sz="8" w:space="0" w:color="auto"/>
            </w:tcBorders>
            <w:noWrap/>
            <w:tcMar>
              <w:top w:w="13" w:type="dxa"/>
              <w:left w:w="13" w:type="dxa"/>
              <w:bottom w:w="0" w:type="dxa"/>
              <w:right w:w="13" w:type="dxa"/>
            </w:tcMar>
            <w:vAlign w:val="center"/>
          </w:tcPr>
          <w:p w14:paraId="56E0BCA8" w14:textId="1C6D8B28" w:rsidR="00B97F06" w:rsidRPr="00C0403B" w:rsidRDefault="00B97F06" w:rsidP="00B97F06">
            <w:pPr>
              <w:spacing w:after="0" w:line="240" w:lineRule="auto"/>
              <w:ind w:right="167"/>
              <w:jc w:val="center"/>
              <w:rPr>
                <w:rFonts w:ascii="Arial" w:eastAsia="Arial Unicode MS" w:hAnsi="Arial" w:cs="Arial"/>
                <w:b/>
                <w:sz w:val="18"/>
                <w:szCs w:val="18"/>
              </w:rPr>
            </w:pPr>
            <w:r w:rsidRPr="00C0403B">
              <w:rPr>
                <w:rFonts w:ascii="Arial" w:eastAsia="Arial Unicode MS" w:hAnsi="Arial" w:cs="Arial"/>
                <w:b/>
                <w:sz w:val="18"/>
                <w:szCs w:val="18"/>
              </w:rPr>
              <w:t>Dif</w:t>
            </w:r>
            <w:r w:rsidR="00F5073D" w:rsidRPr="00C0403B">
              <w:rPr>
                <w:rFonts w:ascii="Arial" w:eastAsia="Arial Unicode MS" w:hAnsi="Arial" w:cs="Arial"/>
                <w:b/>
                <w:sz w:val="18"/>
                <w:szCs w:val="18"/>
              </w:rPr>
              <w:t xml:space="preserve"> (%)</w:t>
            </w:r>
            <w:r w:rsidRPr="00C0403B">
              <w:rPr>
                <w:rFonts w:ascii="Arial" w:eastAsia="Arial Unicode MS" w:hAnsi="Arial" w:cs="Arial"/>
                <w:b/>
                <w:sz w:val="18"/>
                <w:szCs w:val="18"/>
              </w:rPr>
              <w:t>.</w:t>
            </w:r>
          </w:p>
        </w:tc>
      </w:tr>
      <w:tr w:rsidR="00F30C82" w:rsidRPr="00C0403B" w14:paraId="1794F4B7" w14:textId="77777777" w:rsidTr="00C0403B">
        <w:trPr>
          <w:trHeight w:hRule="exact" w:val="472"/>
          <w:jc w:val="center"/>
        </w:trPr>
        <w:tc>
          <w:tcPr>
            <w:tcW w:w="5400" w:type="dxa"/>
            <w:tcBorders>
              <w:top w:val="single" w:sz="8" w:space="0" w:color="auto"/>
              <w:left w:val="single" w:sz="8" w:space="0" w:color="auto"/>
              <w:bottom w:val="single" w:sz="8" w:space="0" w:color="auto"/>
              <w:right w:val="single" w:sz="8" w:space="0" w:color="auto"/>
            </w:tcBorders>
            <w:noWrap/>
            <w:tcMar>
              <w:top w:w="13" w:type="dxa"/>
              <w:left w:w="13" w:type="dxa"/>
              <w:bottom w:w="0" w:type="dxa"/>
              <w:right w:w="13" w:type="dxa"/>
            </w:tcMar>
            <w:vAlign w:val="center"/>
          </w:tcPr>
          <w:p w14:paraId="55CE9B0B" w14:textId="53BE5AD1" w:rsidR="00F30C82" w:rsidRPr="00C0403B" w:rsidRDefault="00B97F06" w:rsidP="00FA38ED">
            <w:pPr>
              <w:spacing w:after="0" w:line="240" w:lineRule="auto"/>
              <w:rPr>
                <w:rFonts w:ascii="Arial" w:hAnsi="Arial" w:cs="Arial"/>
                <w:sz w:val="18"/>
                <w:szCs w:val="18"/>
              </w:rPr>
            </w:pPr>
            <w:r w:rsidRPr="00C0403B">
              <w:rPr>
                <w:rFonts w:ascii="Arial" w:hAnsi="Arial" w:cs="Arial"/>
                <w:sz w:val="18"/>
                <w:szCs w:val="18"/>
              </w:rPr>
              <w:t>Nuevo Emisario</w:t>
            </w:r>
          </w:p>
        </w:tc>
        <w:tc>
          <w:tcPr>
            <w:tcW w:w="900" w:type="dxa"/>
            <w:tcBorders>
              <w:top w:val="single" w:sz="8" w:space="0" w:color="auto"/>
              <w:left w:val="nil"/>
              <w:bottom w:val="single" w:sz="8" w:space="0" w:color="auto"/>
              <w:right w:val="single" w:sz="8" w:space="0" w:color="auto"/>
            </w:tcBorders>
            <w:noWrap/>
            <w:tcMar>
              <w:top w:w="13" w:type="dxa"/>
              <w:left w:w="13" w:type="dxa"/>
              <w:bottom w:w="0" w:type="dxa"/>
              <w:right w:w="13" w:type="dxa"/>
            </w:tcMar>
            <w:vAlign w:val="center"/>
          </w:tcPr>
          <w:p w14:paraId="721ECE88" w14:textId="6F31FA7D" w:rsidR="00F30C82" w:rsidRPr="00C0403B" w:rsidRDefault="00365ADC" w:rsidP="00FA38ED">
            <w:pPr>
              <w:spacing w:after="0" w:line="240" w:lineRule="auto"/>
              <w:ind w:right="167"/>
              <w:jc w:val="right"/>
              <w:rPr>
                <w:rFonts w:ascii="Arial" w:eastAsia="Arial Unicode MS" w:hAnsi="Arial" w:cs="Arial"/>
                <w:sz w:val="18"/>
                <w:szCs w:val="18"/>
              </w:rPr>
            </w:pPr>
            <w:r w:rsidRPr="00C0403B">
              <w:rPr>
                <w:rFonts w:ascii="Arial" w:eastAsia="Arial Unicode MS" w:hAnsi="Arial" w:cs="Arial"/>
                <w:sz w:val="18"/>
                <w:szCs w:val="18"/>
              </w:rPr>
              <w:t>117</w:t>
            </w:r>
            <w:r w:rsidR="00F5073D" w:rsidRPr="00C0403B">
              <w:rPr>
                <w:rFonts w:ascii="Arial" w:eastAsia="Arial Unicode MS" w:hAnsi="Arial" w:cs="Arial"/>
                <w:sz w:val="18"/>
                <w:szCs w:val="18"/>
              </w:rPr>
              <w:t>,</w:t>
            </w:r>
            <w:r w:rsidRPr="00C0403B">
              <w:rPr>
                <w:rFonts w:ascii="Arial" w:eastAsia="Arial Unicode MS" w:hAnsi="Arial" w:cs="Arial"/>
                <w:sz w:val="18"/>
                <w:szCs w:val="18"/>
              </w:rPr>
              <w:t>9</w:t>
            </w:r>
            <w:r w:rsidR="00F5073D" w:rsidRPr="00C0403B">
              <w:rPr>
                <w:rFonts w:ascii="Arial" w:eastAsia="Arial Unicode MS" w:hAnsi="Arial" w:cs="Arial"/>
                <w:sz w:val="18"/>
                <w:szCs w:val="18"/>
              </w:rPr>
              <w:t>4</w:t>
            </w:r>
          </w:p>
        </w:tc>
        <w:tc>
          <w:tcPr>
            <w:tcW w:w="810" w:type="dxa"/>
            <w:tcBorders>
              <w:top w:val="single" w:sz="8" w:space="0" w:color="auto"/>
              <w:left w:val="nil"/>
              <w:bottom w:val="single" w:sz="8" w:space="0" w:color="auto"/>
              <w:right w:val="single" w:sz="8" w:space="0" w:color="auto"/>
            </w:tcBorders>
            <w:noWrap/>
            <w:tcMar>
              <w:top w:w="13" w:type="dxa"/>
              <w:left w:w="13" w:type="dxa"/>
              <w:bottom w:w="0" w:type="dxa"/>
              <w:right w:w="13" w:type="dxa"/>
            </w:tcMar>
            <w:vAlign w:val="center"/>
          </w:tcPr>
          <w:p w14:paraId="22E639EF" w14:textId="6F90F909" w:rsidR="00F30C82" w:rsidRPr="00C0403B" w:rsidRDefault="006B21A6" w:rsidP="00FA38ED">
            <w:pPr>
              <w:spacing w:after="0" w:line="240" w:lineRule="auto"/>
              <w:ind w:right="167"/>
              <w:jc w:val="right"/>
              <w:rPr>
                <w:rFonts w:ascii="Arial" w:eastAsia="Arial Unicode MS" w:hAnsi="Arial" w:cs="Arial"/>
                <w:sz w:val="18"/>
                <w:szCs w:val="18"/>
              </w:rPr>
            </w:pPr>
            <w:r>
              <w:rPr>
                <w:rFonts w:ascii="Arial" w:eastAsia="Arial Unicode MS" w:hAnsi="Arial" w:cs="Arial"/>
                <w:sz w:val="18"/>
                <w:szCs w:val="18"/>
              </w:rPr>
              <w:t>0,022</w:t>
            </w:r>
          </w:p>
        </w:tc>
        <w:tc>
          <w:tcPr>
            <w:tcW w:w="694" w:type="dxa"/>
            <w:tcBorders>
              <w:top w:val="single" w:sz="8" w:space="0" w:color="auto"/>
              <w:left w:val="nil"/>
              <w:bottom w:val="single" w:sz="8" w:space="0" w:color="auto"/>
              <w:right w:val="single" w:sz="8" w:space="0" w:color="auto"/>
            </w:tcBorders>
            <w:noWrap/>
            <w:tcMar>
              <w:top w:w="13" w:type="dxa"/>
              <w:left w:w="13" w:type="dxa"/>
              <w:bottom w:w="0" w:type="dxa"/>
              <w:right w:w="13" w:type="dxa"/>
            </w:tcMar>
            <w:vAlign w:val="center"/>
          </w:tcPr>
          <w:p w14:paraId="7549497B" w14:textId="129F7C2B" w:rsidR="00F30C82" w:rsidRPr="00C0403B" w:rsidRDefault="00F30C82" w:rsidP="00FA38ED">
            <w:pPr>
              <w:spacing w:after="0" w:line="240" w:lineRule="auto"/>
              <w:ind w:right="167"/>
              <w:jc w:val="right"/>
              <w:rPr>
                <w:rFonts w:ascii="Arial" w:eastAsia="Arial Unicode MS" w:hAnsi="Arial" w:cs="Arial"/>
                <w:sz w:val="18"/>
                <w:szCs w:val="18"/>
              </w:rPr>
            </w:pPr>
          </w:p>
        </w:tc>
      </w:tr>
      <w:tr w:rsidR="00F30C82" w:rsidRPr="00C0403B" w14:paraId="264FE0BD" w14:textId="77777777" w:rsidTr="00C0403B">
        <w:trPr>
          <w:trHeight w:hRule="exact" w:val="643"/>
          <w:jc w:val="center"/>
        </w:trPr>
        <w:tc>
          <w:tcPr>
            <w:tcW w:w="5400" w:type="dxa"/>
            <w:tcBorders>
              <w:top w:val="single" w:sz="8" w:space="0" w:color="auto"/>
              <w:left w:val="single" w:sz="8" w:space="0" w:color="auto"/>
              <w:bottom w:val="single" w:sz="4" w:space="0" w:color="auto"/>
              <w:right w:val="single" w:sz="8" w:space="0" w:color="auto"/>
            </w:tcBorders>
            <w:noWrap/>
            <w:tcMar>
              <w:top w:w="13" w:type="dxa"/>
              <w:left w:w="13" w:type="dxa"/>
              <w:bottom w:w="0" w:type="dxa"/>
              <w:right w:w="13" w:type="dxa"/>
            </w:tcMar>
            <w:vAlign w:val="center"/>
          </w:tcPr>
          <w:p w14:paraId="487CBBDD" w14:textId="120607EE" w:rsidR="00F30C82" w:rsidRPr="00C0403B" w:rsidRDefault="00B97F06" w:rsidP="00FA38ED">
            <w:pPr>
              <w:spacing w:after="0" w:line="240" w:lineRule="auto"/>
              <w:rPr>
                <w:rFonts w:ascii="Arial" w:hAnsi="Arial" w:cs="Arial"/>
                <w:sz w:val="18"/>
                <w:szCs w:val="18"/>
              </w:rPr>
            </w:pPr>
            <w:r w:rsidRPr="00C0403B">
              <w:rPr>
                <w:rFonts w:ascii="Arial" w:hAnsi="Arial" w:cs="Arial"/>
                <w:sz w:val="18"/>
                <w:szCs w:val="18"/>
              </w:rPr>
              <w:t>Tratamiento Secundario</w:t>
            </w:r>
          </w:p>
        </w:tc>
        <w:tc>
          <w:tcPr>
            <w:tcW w:w="900" w:type="dxa"/>
            <w:tcBorders>
              <w:top w:val="single" w:sz="8" w:space="0" w:color="auto"/>
              <w:left w:val="nil"/>
              <w:bottom w:val="single" w:sz="4" w:space="0" w:color="auto"/>
              <w:right w:val="single" w:sz="8" w:space="0" w:color="auto"/>
            </w:tcBorders>
            <w:noWrap/>
            <w:tcMar>
              <w:top w:w="13" w:type="dxa"/>
              <w:left w:w="13" w:type="dxa"/>
              <w:bottom w:w="0" w:type="dxa"/>
              <w:right w:w="13" w:type="dxa"/>
            </w:tcMar>
            <w:vAlign w:val="center"/>
          </w:tcPr>
          <w:p w14:paraId="743FEDA4" w14:textId="5B9F08FD" w:rsidR="00F30C82" w:rsidRPr="00C0403B" w:rsidRDefault="00F5073D" w:rsidP="00FA38ED">
            <w:pPr>
              <w:spacing w:after="0" w:line="240" w:lineRule="auto"/>
              <w:ind w:right="167"/>
              <w:jc w:val="right"/>
              <w:rPr>
                <w:rFonts w:ascii="Arial" w:eastAsia="Arial Unicode MS" w:hAnsi="Arial" w:cs="Arial"/>
                <w:sz w:val="18"/>
                <w:szCs w:val="18"/>
              </w:rPr>
            </w:pPr>
            <w:r w:rsidRPr="00C0403B">
              <w:rPr>
                <w:rFonts w:ascii="Arial" w:eastAsia="Arial Unicode MS" w:hAnsi="Arial" w:cs="Arial"/>
                <w:sz w:val="18"/>
                <w:szCs w:val="18"/>
              </w:rPr>
              <w:t>756,19</w:t>
            </w:r>
          </w:p>
        </w:tc>
        <w:tc>
          <w:tcPr>
            <w:tcW w:w="810" w:type="dxa"/>
            <w:tcBorders>
              <w:top w:val="single" w:sz="8" w:space="0" w:color="auto"/>
              <w:left w:val="nil"/>
              <w:bottom w:val="single" w:sz="4" w:space="0" w:color="auto"/>
              <w:right w:val="single" w:sz="8" w:space="0" w:color="auto"/>
            </w:tcBorders>
            <w:noWrap/>
            <w:tcMar>
              <w:top w:w="13" w:type="dxa"/>
              <w:left w:w="13" w:type="dxa"/>
              <w:bottom w:w="0" w:type="dxa"/>
              <w:right w:w="13" w:type="dxa"/>
            </w:tcMar>
            <w:vAlign w:val="center"/>
          </w:tcPr>
          <w:p w14:paraId="538C9D0B" w14:textId="03AD4333" w:rsidR="00F30C82" w:rsidRPr="00C0403B" w:rsidRDefault="006B21A6" w:rsidP="00FA38ED">
            <w:pPr>
              <w:spacing w:after="0" w:line="240" w:lineRule="auto"/>
              <w:ind w:right="167"/>
              <w:jc w:val="right"/>
              <w:rPr>
                <w:rFonts w:ascii="Arial" w:eastAsia="Arial Unicode MS" w:hAnsi="Arial" w:cs="Arial"/>
                <w:sz w:val="18"/>
                <w:szCs w:val="18"/>
              </w:rPr>
            </w:pPr>
            <w:r>
              <w:rPr>
                <w:rFonts w:ascii="Arial" w:eastAsia="Arial Unicode MS" w:hAnsi="Arial" w:cs="Arial"/>
                <w:sz w:val="18"/>
                <w:szCs w:val="18"/>
              </w:rPr>
              <w:t>0,087</w:t>
            </w:r>
          </w:p>
        </w:tc>
        <w:tc>
          <w:tcPr>
            <w:tcW w:w="694" w:type="dxa"/>
            <w:tcBorders>
              <w:top w:val="single" w:sz="8" w:space="0" w:color="auto"/>
              <w:left w:val="nil"/>
              <w:bottom w:val="single" w:sz="4" w:space="0" w:color="auto"/>
              <w:right w:val="single" w:sz="8" w:space="0" w:color="auto"/>
            </w:tcBorders>
            <w:noWrap/>
            <w:tcMar>
              <w:top w:w="13" w:type="dxa"/>
              <w:left w:w="13" w:type="dxa"/>
              <w:bottom w:w="0" w:type="dxa"/>
              <w:right w:w="13" w:type="dxa"/>
            </w:tcMar>
            <w:vAlign w:val="center"/>
          </w:tcPr>
          <w:p w14:paraId="5471A18F" w14:textId="6E367D8B" w:rsidR="00F30C82" w:rsidRPr="00C0403B" w:rsidRDefault="00F5073D" w:rsidP="00FA38ED">
            <w:pPr>
              <w:spacing w:after="0" w:line="240" w:lineRule="auto"/>
              <w:ind w:right="167"/>
              <w:jc w:val="right"/>
              <w:rPr>
                <w:rFonts w:ascii="Arial" w:eastAsia="Arial Unicode MS" w:hAnsi="Arial" w:cs="Arial"/>
                <w:sz w:val="18"/>
                <w:szCs w:val="18"/>
              </w:rPr>
            </w:pPr>
            <w:r w:rsidRPr="00C0403B">
              <w:rPr>
                <w:rFonts w:ascii="Arial" w:eastAsia="Arial Unicode MS" w:hAnsi="Arial" w:cs="Arial"/>
                <w:sz w:val="18"/>
                <w:szCs w:val="18"/>
              </w:rPr>
              <w:t>286,8</w:t>
            </w:r>
          </w:p>
        </w:tc>
      </w:tr>
    </w:tbl>
    <w:p w14:paraId="616D7AD0" w14:textId="77777777" w:rsidR="00F30C82" w:rsidRPr="000625C3" w:rsidRDefault="00F30C82" w:rsidP="00F30C82">
      <w:pPr>
        <w:spacing w:line="240" w:lineRule="auto"/>
        <w:rPr>
          <w:rFonts w:ascii="Arial" w:hAnsi="Arial" w:cs="Arial"/>
        </w:rPr>
      </w:pPr>
    </w:p>
    <w:p w14:paraId="2DCABEDA" w14:textId="77777777" w:rsidR="00F5073D" w:rsidRPr="000625C3" w:rsidRDefault="00F30C82" w:rsidP="00F30C82">
      <w:pPr>
        <w:spacing w:line="240" w:lineRule="auto"/>
        <w:outlineLvl w:val="1"/>
        <w:rPr>
          <w:rFonts w:ascii="Arial" w:hAnsi="Arial" w:cs="Arial"/>
        </w:rPr>
      </w:pPr>
      <w:bookmarkStart w:id="42" w:name="_Toc484984998"/>
      <w:bookmarkStart w:id="43" w:name="_Toc485026883"/>
      <w:bookmarkStart w:id="44" w:name="_Toc485200061"/>
      <w:r w:rsidRPr="000625C3">
        <w:rPr>
          <w:rFonts w:ascii="Arial" w:hAnsi="Arial" w:cs="Arial"/>
          <w:b/>
        </w:rPr>
        <w:t>Capacidad de Pago y Análisis de la Pobreza</w:t>
      </w:r>
      <w:r w:rsidRPr="000625C3">
        <w:rPr>
          <w:rFonts w:ascii="Arial" w:hAnsi="Arial" w:cs="Arial"/>
        </w:rPr>
        <w:t xml:space="preserve"> Se verificó que el valor de la cuenta mensual por el servicio fuese inferior al 5% del ingreso familiar para la población beneficiaria. Capacidad de Pago. El valor de pago medio básico de agua y alcantarillado, de acuerdo con AySA, y asumiendo un consumo residencial de agua mensual medio de 30 m</w:t>
      </w:r>
      <w:r w:rsidRPr="000625C3">
        <w:rPr>
          <w:rFonts w:ascii="Arial" w:hAnsi="Arial" w:cs="Arial"/>
          <w:vertAlign w:val="superscript"/>
        </w:rPr>
        <w:t>3</w:t>
      </w:r>
      <w:r w:rsidRPr="000625C3">
        <w:rPr>
          <w:rFonts w:ascii="Arial" w:hAnsi="Arial" w:cs="Arial"/>
        </w:rPr>
        <w:t xml:space="preserve"> sería de y para consumidores de bajo la línea de pobreza y consumidores sobre la línea de pobreza, respectivamente lo cual no sobrepasa el 5% de los ingresos.</w:t>
      </w:r>
      <w:bookmarkEnd w:id="42"/>
      <w:bookmarkEnd w:id="43"/>
      <w:bookmarkEnd w:id="44"/>
      <w:r w:rsidRPr="000625C3">
        <w:rPr>
          <w:rFonts w:ascii="Arial" w:hAnsi="Arial" w:cs="Arial"/>
        </w:rPr>
        <w:t xml:space="preserve"> </w:t>
      </w:r>
    </w:p>
    <w:p w14:paraId="34B6D22A" w14:textId="736D732B" w:rsidR="00F5073D" w:rsidRPr="000625C3" w:rsidRDefault="00F5073D" w:rsidP="003F38C4">
      <w:pPr>
        <w:spacing w:before="120" w:after="60" w:line="240" w:lineRule="auto"/>
        <w:rPr>
          <w:rFonts w:ascii="Arial" w:hAnsi="Arial" w:cs="Arial"/>
        </w:rPr>
      </w:pPr>
      <w:r w:rsidRPr="00F5073D">
        <w:rPr>
          <w:rFonts w:ascii="Arial" w:eastAsia="Times New Roman" w:hAnsi="Arial" w:cs="Arial"/>
          <w:lang w:eastAsia="es-ES"/>
        </w:rPr>
        <w:t xml:space="preserve">Según se aprecia, en el Gran Buenos Aires los usuarios situados en el estrato social bajo y medio bajo enfrentarán un costo de los servicios de agua y de desagües cloacales que va del 1,48% de sus ingresos al 2,45%, mientras que para los estratos superiores la incidencia se encuentra por debajo del 1,48%. </w:t>
      </w:r>
      <w:r w:rsidRPr="000625C3">
        <w:rPr>
          <w:rFonts w:ascii="Arial" w:eastAsia="Times New Roman" w:hAnsi="Arial" w:cs="Arial"/>
          <w:lang w:eastAsia="es-ES"/>
        </w:rPr>
        <w:t xml:space="preserve"> </w:t>
      </w:r>
      <w:r w:rsidRPr="00F5073D">
        <w:rPr>
          <w:rFonts w:ascii="Arial" w:eastAsia="Times New Roman" w:hAnsi="Arial" w:cs="Arial"/>
          <w:lang w:eastAsia="es-ES"/>
        </w:rPr>
        <w:t xml:space="preserve">Adicionalmente </w:t>
      </w:r>
      <w:r w:rsidRPr="000625C3">
        <w:rPr>
          <w:rFonts w:ascii="Arial" w:eastAsia="Times New Roman" w:hAnsi="Arial" w:cs="Arial"/>
          <w:lang w:eastAsia="es-ES"/>
        </w:rPr>
        <w:t>AySA</w:t>
      </w:r>
      <w:r w:rsidRPr="00F5073D">
        <w:rPr>
          <w:rFonts w:ascii="Arial" w:eastAsia="Times New Roman" w:hAnsi="Arial" w:cs="Arial"/>
          <w:lang w:eastAsia="es-ES"/>
        </w:rPr>
        <w:t xml:space="preserve"> cuenta con un programa de tarifa social que permite reducir la factura en aquellos casos que presenten una situación socioeconómica delicada, facilitándose ampliamente el pago de las facturas.</w:t>
      </w:r>
      <w:r w:rsidR="003F38C4" w:rsidRPr="000625C3">
        <w:rPr>
          <w:rFonts w:ascii="Arial" w:hAnsi="Arial" w:cs="Arial"/>
        </w:rPr>
        <w:t xml:space="preserve"> </w:t>
      </w:r>
    </w:p>
    <w:p w14:paraId="400D7AB1" w14:textId="460BB0CD" w:rsidR="00F30C82" w:rsidRPr="000625C3" w:rsidRDefault="00F30C82" w:rsidP="00F30C82">
      <w:pPr>
        <w:spacing w:line="240" w:lineRule="auto"/>
        <w:outlineLvl w:val="1"/>
        <w:rPr>
          <w:rFonts w:ascii="Arial" w:hAnsi="Arial" w:cs="Arial"/>
        </w:rPr>
      </w:pPr>
      <w:bookmarkStart w:id="45" w:name="_Toc484984999"/>
      <w:bookmarkStart w:id="46" w:name="_Toc485026884"/>
      <w:bookmarkStart w:id="47" w:name="_Toc485200062"/>
      <w:r w:rsidRPr="000625C3">
        <w:rPr>
          <w:rFonts w:ascii="Arial" w:hAnsi="Arial" w:cs="Arial"/>
        </w:rPr>
        <w:t xml:space="preserve">Así mismo se verificó que el </w:t>
      </w:r>
      <w:r w:rsidR="00C642E7" w:rsidRPr="000625C3">
        <w:rPr>
          <w:rFonts w:ascii="Arial" w:hAnsi="Arial" w:cs="Arial"/>
        </w:rPr>
        <w:t>38</w:t>
      </w:r>
      <w:r w:rsidRPr="000625C3">
        <w:rPr>
          <w:rFonts w:ascii="Arial" w:hAnsi="Arial" w:cs="Arial"/>
        </w:rPr>
        <w:t>% de los beneficiarios directos de las obras es considerado como pobre. Adicionalmente, la cobertura de los servicios de agua y saneamiento es desproporcionalmente más baja para los estratos más bajos de la población.</w:t>
      </w:r>
      <w:bookmarkEnd w:id="45"/>
      <w:bookmarkEnd w:id="46"/>
      <w:bookmarkEnd w:id="47"/>
    </w:p>
    <w:p w14:paraId="6028BF2D" w14:textId="77777777" w:rsidR="00F30C82" w:rsidRPr="000625C3" w:rsidRDefault="00F30C82" w:rsidP="00F30C82">
      <w:pPr>
        <w:pStyle w:val="CuadrosyTablas"/>
        <w:keepNext/>
        <w:keepLines/>
        <w:rPr>
          <w:rFonts w:cs="Arial"/>
        </w:rPr>
      </w:pPr>
      <w:r w:rsidRPr="000625C3">
        <w:rPr>
          <w:rFonts w:cs="Arial"/>
        </w:rPr>
        <w:t>Acceso a servicios según CAPECO por Radio Censal CNPV 2010 – 17 partidos del GBA</w:t>
      </w:r>
    </w:p>
    <w:p w14:paraId="163B0A40" w14:textId="4022FC44" w:rsidR="00F30C82" w:rsidRPr="000625C3" w:rsidRDefault="00F5073D" w:rsidP="00F30C82">
      <w:pPr>
        <w:pStyle w:val="CuadrosyTablas"/>
        <w:keepNext/>
        <w:keepLines/>
        <w:rPr>
          <w:rFonts w:cs="Arial"/>
        </w:rPr>
      </w:pPr>
      <w:r w:rsidRPr="000625C3">
        <w:rPr>
          <w:rFonts w:cs="Arial"/>
          <w:noProof/>
          <w:lang w:val="en-US" w:eastAsia="en-US"/>
        </w:rPr>
        <w:drawing>
          <wp:inline distT="0" distB="0" distL="0" distR="0" wp14:anchorId="19349DE3" wp14:editId="05479558">
            <wp:extent cx="5400675" cy="1266825"/>
            <wp:effectExtent l="0" t="0" r="9525" b="9525"/>
            <wp:docPr id="313"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675" cy="1266825"/>
                    </a:xfrm>
                    <a:prstGeom prst="rect">
                      <a:avLst/>
                    </a:prstGeom>
                    <a:noFill/>
                    <a:ln>
                      <a:noFill/>
                    </a:ln>
                  </pic:spPr>
                </pic:pic>
              </a:graphicData>
            </a:graphic>
          </wp:inline>
        </w:drawing>
      </w:r>
    </w:p>
    <w:p w14:paraId="7204F81D" w14:textId="77777777" w:rsidR="00F30C82" w:rsidRPr="000625C3" w:rsidRDefault="00F30C82" w:rsidP="00F30C82">
      <w:pPr>
        <w:pStyle w:val="CuadrosyTablas"/>
        <w:keepNext/>
        <w:keepLines/>
        <w:rPr>
          <w:rFonts w:cs="Arial"/>
        </w:rPr>
      </w:pPr>
      <w:r w:rsidRPr="000625C3">
        <w:rPr>
          <w:rFonts w:cs="Arial"/>
          <w:b w:val="0"/>
          <w:sz w:val="20"/>
        </w:rPr>
        <w:t>Fuente: Elaboración propia sobre datos CNPV 2010.</w:t>
      </w:r>
    </w:p>
    <w:p w14:paraId="14C4DF95" w14:textId="77777777" w:rsidR="001B0E71" w:rsidRPr="000625C3" w:rsidRDefault="001B0E71">
      <w:pPr>
        <w:rPr>
          <w:rFonts w:ascii="Arial" w:hAnsi="Arial" w:cs="Arial"/>
          <w:b/>
          <w:sz w:val="36"/>
        </w:rPr>
        <w:sectPr w:rsidR="001B0E71" w:rsidRPr="000625C3" w:rsidSect="00E53BCF">
          <w:footerReference w:type="first" r:id="rId13"/>
          <w:pgSz w:w="11907" w:h="16839" w:code="9"/>
          <w:pgMar w:top="1985" w:right="1701" w:bottom="1276" w:left="1701" w:header="709" w:footer="264" w:gutter="0"/>
          <w:cols w:space="708"/>
          <w:titlePg/>
          <w:docGrid w:linePitch="360"/>
        </w:sectPr>
      </w:pPr>
    </w:p>
    <w:p w14:paraId="7D908FB2" w14:textId="615ACD21" w:rsidR="000B2DBC" w:rsidRPr="000625C3" w:rsidRDefault="000B2DBC" w:rsidP="00F5783E">
      <w:pPr>
        <w:pStyle w:val="Heading1"/>
      </w:pPr>
      <w:bookmarkStart w:id="48" w:name="_Toc485200063"/>
      <w:r w:rsidRPr="000625C3">
        <w:lastRenderedPageBreak/>
        <w:t>Proyecto de Mejora de la Eficiencia en el Sistema de Agua Potable</w:t>
      </w:r>
      <w:bookmarkEnd w:id="48"/>
    </w:p>
    <w:p w14:paraId="737C5575" w14:textId="77777777" w:rsidR="000B2DBC" w:rsidRPr="000625C3" w:rsidRDefault="000B2DBC" w:rsidP="000B2DBC">
      <w:pPr>
        <w:rPr>
          <w:rFonts w:ascii="Arial" w:hAnsi="Arial" w:cs="Arial"/>
        </w:rPr>
      </w:pPr>
    </w:p>
    <w:p w14:paraId="549C5555" w14:textId="77777777" w:rsidR="00532A2E" w:rsidRPr="000625C3" w:rsidRDefault="00532A2E" w:rsidP="00532A2E">
      <w:pPr>
        <w:rPr>
          <w:rFonts w:ascii="Arial" w:hAnsi="Arial" w:cs="Arial"/>
        </w:rPr>
      </w:pPr>
      <w:r w:rsidRPr="000625C3">
        <w:rPr>
          <w:rFonts w:ascii="Arial" w:hAnsi="Arial" w:cs="Arial"/>
        </w:rPr>
        <w:t>El proyecto “Mejora de eficiencia en el sistema de agua potable” incluido en la priorización de proyectos presentada por AySA contempla la realización de inversiones sobre tres componentes diferenciados:</w:t>
      </w:r>
    </w:p>
    <w:p w14:paraId="0711BEAC" w14:textId="2BD18A4A" w:rsidR="00532A2E" w:rsidRPr="000625C3" w:rsidRDefault="00532A2E" w:rsidP="00C4100D">
      <w:pPr>
        <w:pStyle w:val="ListParagraph"/>
        <w:numPr>
          <w:ilvl w:val="0"/>
          <w:numId w:val="39"/>
        </w:numPr>
        <w:rPr>
          <w:rFonts w:ascii="Arial" w:hAnsi="Arial" w:cs="Arial"/>
        </w:rPr>
      </w:pPr>
      <w:r w:rsidRPr="000625C3">
        <w:rPr>
          <w:rFonts w:ascii="Arial" w:hAnsi="Arial" w:cs="Arial"/>
        </w:rPr>
        <w:t xml:space="preserve">Provisión e instalación de 16.174 </w:t>
      </w:r>
      <w:r w:rsidR="00772A7F" w:rsidRPr="000625C3">
        <w:rPr>
          <w:rFonts w:ascii="Arial" w:hAnsi="Arial" w:cs="Arial"/>
        </w:rPr>
        <w:t>micro medidores</w:t>
      </w:r>
      <w:r w:rsidRPr="000625C3">
        <w:rPr>
          <w:rFonts w:ascii="Arial" w:hAnsi="Arial" w:cs="Arial"/>
        </w:rPr>
        <w:t xml:space="preserve"> en los inmuebles de los usuarios incluidos en 9 DMA</w:t>
      </w:r>
      <w:r w:rsidRPr="000625C3">
        <w:rPr>
          <w:rStyle w:val="FootnoteReference"/>
          <w:rFonts w:ascii="Arial" w:hAnsi="Arial" w:cs="Arial"/>
        </w:rPr>
        <w:footnoteReference w:id="5"/>
      </w:r>
      <w:r w:rsidRPr="000625C3">
        <w:rPr>
          <w:rFonts w:ascii="Arial" w:hAnsi="Arial" w:cs="Arial"/>
        </w:rPr>
        <w:t>’s en las que se ha realizado renovación de redes distribuidoras.</w:t>
      </w:r>
    </w:p>
    <w:p w14:paraId="58F31296" w14:textId="0D2BC9EA" w:rsidR="00532A2E" w:rsidRPr="000625C3" w:rsidRDefault="00532A2E" w:rsidP="00C4100D">
      <w:pPr>
        <w:pStyle w:val="ListParagraph"/>
        <w:numPr>
          <w:ilvl w:val="0"/>
          <w:numId w:val="39"/>
        </w:numPr>
        <w:rPr>
          <w:rFonts w:ascii="Arial" w:hAnsi="Arial" w:cs="Arial"/>
        </w:rPr>
      </w:pPr>
      <w:r w:rsidRPr="000625C3">
        <w:rPr>
          <w:rFonts w:ascii="Arial" w:hAnsi="Arial" w:cs="Arial"/>
        </w:rPr>
        <w:t xml:space="preserve">Construcción de cabeceras, cámaras e instalación de </w:t>
      </w:r>
      <w:r w:rsidR="00772A7F" w:rsidRPr="000625C3">
        <w:rPr>
          <w:rFonts w:ascii="Arial" w:hAnsi="Arial" w:cs="Arial"/>
        </w:rPr>
        <w:t>macro medidores</w:t>
      </w:r>
      <w:r w:rsidRPr="000625C3">
        <w:rPr>
          <w:rFonts w:ascii="Arial" w:hAnsi="Arial" w:cs="Arial"/>
        </w:rPr>
        <w:t xml:space="preserve"> en 4 DMA’s adicionales.</w:t>
      </w:r>
    </w:p>
    <w:p w14:paraId="3D98EEC6" w14:textId="255C4FAF" w:rsidR="00532A2E" w:rsidRPr="000625C3" w:rsidRDefault="00532A2E" w:rsidP="00C4100D">
      <w:pPr>
        <w:pStyle w:val="ListParagraph"/>
        <w:numPr>
          <w:ilvl w:val="0"/>
          <w:numId w:val="39"/>
        </w:numPr>
        <w:rPr>
          <w:rFonts w:ascii="Arial" w:hAnsi="Arial" w:cs="Arial"/>
        </w:rPr>
      </w:pPr>
      <w:r w:rsidRPr="000625C3">
        <w:rPr>
          <w:rFonts w:ascii="Arial" w:hAnsi="Arial" w:cs="Arial"/>
        </w:rPr>
        <w:t>Provisión e instalación de 20 equipos controladores de presión a fin de mejorar la gestión de los sistemas de agua operados con válvulas reguladoras de presión.</w:t>
      </w:r>
    </w:p>
    <w:p w14:paraId="6169B1E2" w14:textId="426612EA" w:rsidR="00BF1284" w:rsidRPr="000625C3" w:rsidRDefault="00BF1284" w:rsidP="00BF1284">
      <w:pPr>
        <w:rPr>
          <w:rFonts w:ascii="Arial" w:hAnsi="Arial" w:cs="Arial"/>
        </w:rPr>
      </w:pPr>
      <w:r w:rsidRPr="000625C3">
        <w:rPr>
          <w:rFonts w:ascii="Arial" w:hAnsi="Arial" w:cs="Arial"/>
        </w:rPr>
        <w:t>La ejecución de tales inversiones tiene por objeto reducir las pérdidas físicas y comerciales, lo que implica un considerable ahorro de agua, y generar ahorros de costos operativos a partir de una reducción de las pérdidas físicas a reparar a futuro.</w:t>
      </w:r>
    </w:p>
    <w:p w14:paraId="29ED08BE" w14:textId="40192592" w:rsidR="00BF1284" w:rsidRPr="000625C3" w:rsidRDefault="00BF1284" w:rsidP="00BF1284">
      <w:pPr>
        <w:rPr>
          <w:rFonts w:ascii="Arial" w:hAnsi="Arial" w:cs="Arial"/>
        </w:rPr>
      </w:pPr>
      <w:r w:rsidRPr="000625C3">
        <w:rPr>
          <w:rFonts w:ascii="Arial" w:hAnsi="Arial" w:cs="Arial"/>
        </w:rPr>
        <w:t xml:space="preserve">Los ahorros de agua se originan por un lado a partir de la supresión del derroche en el caso de los usuarios que pasan a ser facturados bajo el régimen de consumos medidos y, por el otro, a partir de lograr una presión de funcionamiento más uniforme en la red distribuidora, lo que automáticamente redunda en un menor volumen de agua perdida en el caso de los escapes existentes, así como una menor cantidad de nuevos escapes generados. Estas acciones en conjunto se espera que generen un ahorro de </w:t>
      </w:r>
      <w:r w:rsidR="00771E16" w:rsidRPr="000625C3">
        <w:rPr>
          <w:rFonts w:ascii="Arial" w:hAnsi="Arial" w:cs="Arial"/>
        </w:rPr>
        <w:t>4,92</w:t>
      </w:r>
      <w:r w:rsidRPr="000625C3">
        <w:rPr>
          <w:rFonts w:ascii="Arial" w:hAnsi="Arial" w:cs="Arial"/>
        </w:rPr>
        <w:t xml:space="preserve"> millones de m</w:t>
      </w:r>
      <w:r w:rsidRPr="000625C3">
        <w:rPr>
          <w:rFonts w:ascii="Arial" w:hAnsi="Arial" w:cs="Arial"/>
          <w:vertAlign w:val="superscript"/>
        </w:rPr>
        <w:t>3</w:t>
      </w:r>
      <w:r w:rsidRPr="000625C3">
        <w:rPr>
          <w:rFonts w:ascii="Arial" w:hAnsi="Arial" w:cs="Arial"/>
        </w:rPr>
        <w:t>/año.</w:t>
      </w:r>
    </w:p>
    <w:p w14:paraId="74A73320" w14:textId="3A186EF3" w:rsidR="00BF1284" w:rsidRPr="000625C3" w:rsidRDefault="00BF1284" w:rsidP="00BF1284">
      <w:pPr>
        <w:rPr>
          <w:rFonts w:ascii="Arial" w:hAnsi="Arial" w:cs="Arial"/>
        </w:rPr>
      </w:pPr>
      <w:r w:rsidRPr="000625C3">
        <w:rPr>
          <w:rFonts w:ascii="Arial" w:hAnsi="Arial" w:cs="Arial"/>
        </w:rPr>
        <w:t>En términos de ahorros operativos, la extensión de los sistemas con presión regulada implicará menores exigencias mecánicas y dinámicas sobre las redes distribuidoras, por lo que se espera evitar la aparición de 3.391 nuevos escapes por año, de acuerdo con la experiencia pasada en la materia.</w:t>
      </w:r>
      <w:r w:rsidR="00771E16" w:rsidRPr="000625C3">
        <w:rPr>
          <w:rFonts w:ascii="Arial" w:hAnsi="Arial" w:cs="Arial"/>
        </w:rPr>
        <w:t xml:space="preserve"> Adicionalmente, dado que no resulta aprovechable la totalidad del ahorro generado, se dejarán de producir 10,25 millones de m</w:t>
      </w:r>
      <w:r w:rsidR="00771E16" w:rsidRPr="000625C3">
        <w:rPr>
          <w:rFonts w:ascii="Arial" w:hAnsi="Arial" w:cs="Arial"/>
          <w:vertAlign w:val="superscript"/>
        </w:rPr>
        <w:t>3</w:t>
      </w:r>
      <w:r w:rsidR="00771E16" w:rsidRPr="000625C3">
        <w:rPr>
          <w:rFonts w:ascii="Arial" w:hAnsi="Arial" w:cs="Arial"/>
        </w:rPr>
        <w:t>/año, con el consiguiente ahorro operativo.</w:t>
      </w:r>
    </w:p>
    <w:p w14:paraId="05A544A7" w14:textId="75D6398C" w:rsidR="00BF1284" w:rsidRPr="000625C3" w:rsidRDefault="00BF1284" w:rsidP="00BF1284">
      <w:pPr>
        <w:rPr>
          <w:rFonts w:ascii="Arial" w:hAnsi="Arial" w:cs="Arial"/>
        </w:rPr>
      </w:pPr>
      <w:r w:rsidRPr="000625C3">
        <w:rPr>
          <w:rFonts w:ascii="Arial" w:hAnsi="Arial" w:cs="Arial"/>
        </w:rPr>
        <w:t xml:space="preserve">Los beneficios se materializan </w:t>
      </w:r>
      <w:r w:rsidR="009D7D60" w:rsidRPr="000625C3">
        <w:rPr>
          <w:rFonts w:ascii="Arial" w:hAnsi="Arial" w:cs="Arial"/>
        </w:rPr>
        <w:t xml:space="preserve">tanto </w:t>
      </w:r>
      <w:r w:rsidRPr="000625C3">
        <w:rPr>
          <w:rFonts w:ascii="Arial" w:hAnsi="Arial" w:cs="Arial"/>
        </w:rPr>
        <w:t>como una mejora de la oferta</w:t>
      </w:r>
      <w:r w:rsidR="009D7D60" w:rsidRPr="000625C3">
        <w:rPr>
          <w:rFonts w:ascii="Arial" w:hAnsi="Arial" w:cs="Arial"/>
        </w:rPr>
        <w:t xml:space="preserve"> de agua</w:t>
      </w:r>
      <w:r w:rsidRPr="000625C3">
        <w:rPr>
          <w:rFonts w:ascii="Arial" w:hAnsi="Arial" w:cs="Arial"/>
        </w:rPr>
        <w:t xml:space="preserve"> que alcanza a los usuarios con demanda insatisfecha localizados en la región sur del área concesionada a AySA, destacándose </w:t>
      </w:r>
      <w:r w:rsidR="00772A7F" w:rsidRPr="000625C3">
        <w:rPr>
          <w:rFonts w:ascii="Arial" w:hAnsi="Arial" w:cs="Arial"/>
        </w:rPr>
        <w:t>que,</w:t>
      </w:r>
      <w:r w:rsidRPr="000625C3">
        <w:rPr>
          <w:rFonts w:ascii="Arial" w:hAnsi="Arial" w:cs="Arial"/>
        </w:rPr>
        <w:t xml:space="preserve"> a pesar de tratarse de un sistema de transporte y distribución integrado</w:t>
      </w:r>
      <w:r w:rsidR="009D7D60" w:rsidRPr="000625C3">
        <w:rPr>
          <w:rFonts w:ascii="Arial" w:hAnsi="Arial" w:cs="Arial"/>
        </w:rPr>
        <w:t>, sólo se ha considerado que resulta aprovechable por tales usuarios un 40% del ahorro de agua esperado, como mediante un ahorro operativo para la prestadora del servicio.</w:t>
      </w:r>
    </w:p>
    <w:p w14:paraId="669CD8CE" w14:textId="26A16494" w:rsidR="009D7D60" w:rsidRPr="000625C3" w:rsidRDefault="009D7D60" w:rsidP="009D7D60">
      <w:pPr>
        <w:rPr>
          <w:rFonts w:ascii="Arial" w:hAnsi="Arial" w:cs="Arial"/>
        </w:rPr>
      </w:pPr>
      <w:r w:rsidRPr="000625C3">
        <w:rPr>
          <w:rFonts w:ascii="Arial" w:hAnsi="Arial" w:cs="Arial"/>
        </w:rPr>
        <w:t>Los resultados obtenidos como producto de la evaluación económica social desarrollada permiten afirmar que el proyecto presenta una elevada rentabilidad social, aun considerando un exhaustivo análisis de sensibilidad, tanto paramétrico como de riesgo que no generó variaciones significativas sobre los indicadores económicos.</w:t>
      </w:r>
    </w:p>
    <w:p w14:paraId="2A365278" w14:textId="2D35BB7B" w:rsidR="009D7D60" w:rsidRPr="000625C3" w:rsidRDefault="009D7D60" w:rsidP="009D7D60">
      <w:pPr>
        <w:rPr>
          <w:rFonts w:ascii="Arial" w:hAnsi="Arial" w:cs="Arial"/>
          <w:b/>
        </w:rPr>
      </w:pPr>
      <w:r w:rsidRPr="000625C3">
        <w:rPr>
          <w:rFonts w:ascii="Arial" w:hAnsi="Arial" w:cs="Arial"/>
          <w:b/>
        </w:rPr>
        <w:lastRenderedPageBreak/>
        <w:t xml:space="preserve">Los indicadores económicos calculados, VPN de </w:t>
      </w:r>
      <w:r w:rsidR="00771E16" w:rsidRPr="000625C3">
        <w:rPr>
          <w:rFonts w:ascii="Arial" w:hAnsi="Arial" w:cs="Arial"/>
          <w:b/>
        </w:rPr>
        <w:t>12,01</w:t>
      </w:r>
      <w:r w:rsidRPr="000625C3">
        <w:rPr>
          <w:rFonts w:ascii="Arial" w:hAnsi="Arial" w:cs="Arial"/>
          <w:b/>
        </w:rPr>
        <w:t xml:space="preserve"> millones de USD y TIRE de </w:t>
      </w:r>
      <w:r w:rsidR="00771E16" w:rsidRPr="000625C3">
        <w:rPr>
          <w:rFonts w:ascii="Arial" w:hAnsi="Arial" w:cs="Arial"/>
          <w:b/>
        </w:rPr>
        <w:t>30,6</w:t>
      </w:r>
      <w:r w:rsidRPr="000625C3">
        <w:rPr>
          <w:rFonts w:ascii="Arial" w:hAnsi="Arial" w:cs="Arial"/>
          <w:b/>
        </w:rPr>
        <w:t>%, y el análisis de sensibilidad realizado permiten afirmar que es conveniente, en el sentido de que mejora el bienestar de la sociedad, la realización del proyecto.</w:t>
      </w:r>
    </w:p>
    <w:p w14:paraId="791637F8" w14:textId="77777777" w:rsidR="000240BF" w:rsidRPr="000625C3" w:rsidRDefault="009D7D60" w:rsidP="00E53BCF">
      <w:pPr>
        <w:rPr>
          <w:rFonts w:ascii="Arial" w:hAnsi="Arial" w:cs="Arial"/>
        </w:rPr>
      </w:pPr>
      <w:r w:rsidRPr="000625C3">
        <w:rPr>
          <w:rFonts w:ascii="Arial" w:hAnsi="Arial" w:cs="Arial"/>
        </w:rPr>
        <w:t>Asimismo, el análisis de oportunidad de la inversión provisto por SIMOP señaló que resulta óptima la ejecución inmediata de las inversiones.</w:t>
      </w:r>
    </w:p>
    <w:p w14:paraId="03A3DCCF" w14:textId="77777777" w:rsidR="00416701" w:rsidRDefault="00416701">
      <w:pPr>
        <w:jc w:val="left"/>
        <w:rPr>
          <w:rFonts w:ascii="Arial" w:eastAsiaTheme="majorEastAsia" w:hAnsi="Arial" w:cs="Arial"/>
          <w:b/>
          <w:smallCaps/>
          <w:sz w:val="28"/>
          <w:szCs w:val="28"/>
        </w:rPr>
      </w:pPr>
      <w:r>
        <w:br w:type="page"/>
      </w:r>
    </w:p>
    <w:p w14:paraId="3AB2D625" w14:textId="545CB54B" w:rsidR="003B1C14" w:rsidRPr="000625C3" w:rsidRDefault="003B1C14" w:rsidP="00F5783E">
      <w:pPr>
        <w:pStyle w:val="Heading1"/>
      </w:pPr>
      <w:bookmarkStart w:id="49" w:name="_Toc485200064"/>
      <w:r w:rsidRPr="000625C3">
        <w:lastRenderedPageBreak/>
        <w:t>Capítulo I: Contexto del proyecto.</w:t>
      </w:r>
      <w:bookmarkEnd w:id="49"/>
    </w:p>
    <w:p w14:paraId="79CE1A96" w14:textId="36F1A30E" w:rsidR="003B1C14" w:rsidRPr="000625C3" w:rsidRDefault="003B1C14" w:rsidP="002B0107">
      <w:pPr>
        <w:pStyle w:val="Heading2"/>
        <w:numPr>
          <w:ilvl w:val="0"/>
          <w:numId w:val="16"/>
        </w:numPr>
      </w:pPr>
      <w:bookmarkStart w:id="50" w:name="_Toc485200065"/>
      <w:r w:rsidRPr="000625C3">
        <w:t>Antecedentes generales.</w:t>
      </w:r>
      <w:bookmarkEnd w:id="50"/>
    </w:p>
    <w:p w14:paraId="5908A721" w14:textId="77777777" w:rsidR="000240BF" w:rsidRPr="000625C3" w:rsidRDefault="000240BF" w:rsidP="00E56F95">
      <w:pPr>
        <w:rPr>
          <w:rFonts w:ascii="Arial" w:hAnsi="Arial" w:cs="Arial"/>
        </w:rPr>
      </w:pPr>
    </w:p>
    <w:p w14:paraId="72DEE1D4" w14:textId="39E6744E" w:rsidR="00E56F95" w:rsidRPr="000625C3" w:rsidRDefault="00E56F95" w:rsidP="00E56F95">
      <w:pPr>
        <w:rPr>
          <w:rFonts w:ascii="Arial" w:hAnsi="Arial" w:cs="Arial"/>
        </w:rPr>
      </w:pPr>
      <w:r w:rsidRPr="000625C3">
        <w:rPr>
          <w:rFonts w:ascii="Arial" w:hAnsi="Arial" w:cs="Arial"/>
        </w:rPr>
        <w:t>El área de acción de</w:t>
      </w:r>
      <w:r w:rsidR="00EB255E" w:rsidRPr="000625C3">
        <w:rPr>
          <w:rFonts w:ascii="Arial" w:hAnsi="Arial" w:cs="Arial"/>
        </w:rPr>
        <w:t xml:space="preserve"> Aguas y Saneamientos Argentinos</w:t>
      </w:r>
      <w:r w:rsidRPr="000625C3">
        <w:rPr>
          <w:rFonts w:ascii="Arial" w:hAnsi="Arial" w:cs="Arial"/>
        </w:rPr>
        <w:t xml:space="preserve"> </w:t>
      </w:r>
      <w:r w:rsidR="00EB255E" w:rsidRPr="000625C3">
        <w:rPr>
          <w:rFonts w:ascii="Arial" w:hAnsi="Arial" w:cs="Arial"/>
        </w:rPr>
        <w:t>(</w:t>
      </w:r>
      <w:r w:rsidRPr="000625C3">
        <w:rPr>
          <w:rFonts w:ascii="Arial" w:hAnsi="Arial" w:cs="Arial"/>
        </w:rPr>
        <w:t>AySA S.A.</w:t>
      </w:r>
      <w:r w:rsidR="00EB255E" w:rsidRPr="000625C3">
        <w:rPr>
          <w:rFonts w:ascii="Arial" w:hAnsi="Arial" w:cs="Arial"/>
        </w:rPr>
        <w:t>)</w:t>
      </w:r>
      <w:r w:rsidRPr="000625C3">
        <w:rPr>
          <w:rFonts w:ascii="Arial" w:hAnsi="Arial" w:cs="Arial"/>
        </w:rPr>
        <w:t xml:space="preserve"> está constituida po</w:t>
      </w:r>
      <w:r w:rsidR="00FA6EE3" w:rsidRPr="000625C3">
        <w:rPr>
          <w:rFonts w:ascii="Arial" w:hAnsi="Arial" w:cs="Arial"/>
        </w:rPr>
        <w:t xml:space="preserve">r la Ciudad de Buenos Aires y 23 partidos del primer y segundo </w:t>
      </w:r>
      <w:r w:rsidRPr="000625C3">
        <w:rPr>
          <w:rFonts w:ascii="Arial" w:hAnsi="Arial" w:cs="Arial"/>
        </w:rPr>
        <w:t>cordón del conurbano bonaerense</w:t>
      </w:r>
      <w:r w:rsidR="00FA6EE3" w:rsidRPr="000625C3">
        <w:rPr>
          <w:rStyle w:val="FootnoteReference"/>
          <w:rFonts w:ascii="Arial" w:hAnsi="Arial" w:cs="Arial"/>
        </w:rPr>
        <w:footnoteReference w:id="6"/>
      </w:r>
      <w:r w:rsidRPr="000625C3">
        <w:rPr>
          <w:rFonts w:ascii="Arial" w:hAnsi="Arial" w:cs="Arial"/>
        </w:rPr>
        <w:t>. La mism</w:t>
      </w:r>
      <w:r w:rsidR="00FA6EE3" w:rsidRPr="000625C3">
        <w:rPr>
          <w:rFonts w:ascii="Arial" w:hAnsi="Arial" w:cs="Arial"/>
        </w:rPr>
        <w:t>a comprende de aproximadamente 2</w:t>
      </w:r>
      <w:r w:rsidRPr="000625C3">
        <w:rPr>
          <w:rFonts w:ascii="Arial" w:hAnsi="Arial" w:cs="Arial"/>
        </w:rPr>
        <w:t>.</w:t>
      </w:r>
      <w:r w:rsidR="00FA6EE3" w:rsidRPr="000625C3">
        <w:rPr>
          <w:rFonts w:ascii="Arial" w:hAnsi="Arial" w:cs="Arial"/>
        </w:rPr>
        <w:t>588</w:t>
      </w:r>
      <w:r w:rsidRPr="000625C3">
        <w:rPr>
          <w:rFonts w:ascii="Arial" w:hAnsi="Arial" w:cs="Arial"/>
        </w:rPr>
        <w:t xml:space="preserve"> kilómetros cuadrados y allí viven </w:t>
      </w:r>
      <w:r w:rsidR="00FA6EE3" w:rsidRPr="000625C3">
        <w:rPr>
          <w:rFonts w:ascii="Arial" w:hAnsi="Arial" w:cs="Arial"/>
        </w:rPr>
        <w:t>12,6</w:t>
      </w:r>
      <w:r w:rsidRPr="000625C3">
        <w:rPr>
          <w:rFonts w:ascii="Arial" w:hAnsi="Arial" w:cs="Arial"/>
        </w:rPr>
        <w:t xml:space="preserve"> millones de personas, lo que la convierte en una de las más grandes proveedoras de agua potable y saneamiento de efluentes cloacales en el mundo.</w:t>
      </w:r>
    </w:p>
    <w:p w14:paraId="6B8A6D3C" w14:textId="77777777" w:rsidR="00E56F95" w:rsidRPr="000625C3" w:rsidRDefault="00E56F95" w:rsidP="00E56F95">
      <w:pPr>
        <w:rPr>
          <w:rFonts w:ascii="Arial" w:hAnsi="Arial" w:cs="Arial"/>
        </w:rPr>
      </w:pPr>
      <w:r w:rsidRPr="000625C3">
        <w:rPr>
          <w:rFonts w:ascii="Arial" w:hAnsi="Arial" w:cs="Arial"/>
        </w:rPr>
        <w:t>Actualmente, en el área de intervención de la concesionaria, la población abastecida con agua p</w:t>
      </w:r>
      <w:r w:rsidR="00FA6EE3" w:rsidRPr="000625C3">
        <w:rPr>
          <w:rFonts w:ascii="Arial" w:hAnsi="Arial" w:cs="Arial"/>
        </w:rPr>
        <w:t>otable es de aproximadamente 9,8</w:t>
      </w:r>
      <w:r w:rsidRPr="000625C3">
        <w:rPr>
          <w:rFonts w:ascii="Arial" w:hAnsi="Arial" w:cs="Arial"/>
        </w:rPr>
        <w:t xml:space="preserve"> millones de habitantes (</w:t>
      </w:r>
      <w:r w:rsidR="00FA6EE3" w:rsidRPr="000625C3">
        <w:rPr>
          <w:rFonts w:ascii="Arial" w:hAnsi="Arial" w:cs="Arial"/>
        </w:rPr>
        <w:t>78%), mientras 7,7</w:t>
      </w:r>
      <w:r w:rsidRPr="000625C3">
        <w:rPr>
          <w:rFonts w:ascii="Arial" w:hAnsi="Arial" w:cs="Arial"/>
        </w:rPr>
        <w:t xml:space="preserve"> millones de personas (6</w:t>
      </w:r>
      <w:r w:rsidR="00FA6EE3" w:rsidRPr="000625C3">
        <w:rPr>
          <w:rFonts w:ascii="Arial" w:hAnsi="Arial" w:cs="Arial"/>
        </w:rPr>
        <w:t>1</w:t>
      </w:r>
      <w:r w:rsidRPr="000625C3">
        <w:rPr>
          <w:rFonts w:ascii="Arial" w:hAnsi="Arial" w:cs="Arial"/>
        </w:rPr>
        <w:t>%) cuentan con el servicio de desagües cloacales. La incorporación de aquellos habitantes que aún no cuentan con estas prestaciones esenciales, es una prioridad para las autoridades y una de las tareas más importantes que AySA S.A. tiene por delante.</w:t>
      </w:r>
    </w:p>
    <w:p w14:paraId="388D944D" w14:textId="77777777" w:rsidR="00E56F95" w:rsidRPr="000625C3" w:rsidRDefault="00E56F95" w:rsidP="00E56F95">
      <w:pPr>
        <w:rPr>
          <w:rFonts w:ascii="Arial" w:hAnsi="Arial" w:cs="Arial"/>
        </w:rPr>
      </w:pPr>
      <w:r w:rsidRPr="000625C3">
        <w:rPr>
          <w:rFonts w:ascii="Arial" w:hAnsi="Arial" w:cs="Arial"/>
        </w:rPr>
        <w:t>La crítica situación sanitaria en el área de acción de la empresa impulsó el diseño de un Plan Director en el que se detallan las obras necesarias para cumplir los objetivos de cobertura y calidad de servicios en los plazos estipulados por la Autoridad Concedente. Tales objetivos, previstos en el PMOEM (Plan de Mejoras Operación Expansión y Mantenimiento), aprobado por la Autoridad de Aplicación, se sintetizan en los siguientes puntos:</w:t>
      </w:r>
    </w:p>
    <w:p w14:paraId="2A7F3167" w14:textId="77777777" w:rsidR="00E56F95" w:rsidRPr="000625C3" w:rsidRDefault="00E56F95" w:rsidP="00C4100D">
      <w:pPr>
        <w:pStyle w:val="ListParagraph"/>
        <w:numPr>
          <w:ilvl w:val="0"/>
          <w:numId w:val="2"/>
        </w:numPr>
        <w:rPr>
          <w:rFonts w:ascii="Arial" w:hAnsi="Arial" w:cs="Arial"/>
        </w:rPr>
      </w:pPr>
      <w:r w:rsidRPr="000625C3">
        <w:rPr>
          <w:rFonts w:ascii="Arial" w:hAnsi="Arial" w:cs="Arial"/>
        </w:rPr>
        <w:t xml:space="preserve">Incorporación de </w:t>
      </w:r>
      <w:r w:rsidR="00FA6EE3" w:rsidRPr="000625C3">
        <w:rPr>
          <w:rFonts w:ascii="Arial" w:hAnsi="Arial" w:cs="Arial"/>
        </w:rPr>
        <w:t>2</w:t>
      </w:r>
      <w:r w:rsidRPr="000625C3">
        <w:rPr>
          <w:rFonts w:ascii="Arial" w:hAnsi="Arial" w:cs="Arial"/>
        </w:rPr>
        <w:t>.5</w:t>
      </w:r>
      <w:r w:rsidR="00FA6EE3" w:rsidRPr="000625C3">
        <w:rPr>
          <w:rFonts w:ascii="Arial" w:hAnsi="Arial" w:cs="Arial"/>
        </w:rPr>
        <w:t>0</w:t>
      </w:r>
      <w:r w:rsidRPr="000625C3">
        <w:rPr>
          <w:rFonts w:ascii="Arial" w:hAnsi="Arial" w:cs="Arial"/>
        </w:rPr>
        <w:t>0.000 habitantes al servicio de agua potable dentro del período 201</w:t>
      </w:r>
      <w:r w:rsidR="00FA6EE3" w:rsidRPr="000625C3">
        <w:rPr>
          <w:rFonts w:ascii="Arial" w:hAnsi="Arial" w:cs="Arial"/>
        </w:rPr>
        <w:t>6-2020</w:t>
      </w:r>
      <w:r w:rsidRPr="000625C3">
        <w:rPr>
          <w:rFonts w:ascii="Arial" w:hAnsi="Arial" w:cs="Arial"/>
        </w:rPr>
        <w:t>, lo que representa prácticamente el total de cobertura del área concesionada.</w:t>
      </w:r>
    </w:p>
    <w:p w14:paraId="6C9717AE" w14:textId="09A93CB2" w:rsidR="00E56F95" w:rsidRPr="000625C3" w:rsidRDefault="00E56F95" w:rsidP="00C4100D">
      <w:pPr>
        <w:pStyle w:val="ListParagraph"/>
        <w:numPr>
          <w:ilvl w:val="0"/>
          <w:numId w:val="2"/>
        </w:numPr>
        <w:rPr>
          <w:rFonts w:ascii="Arial" w:hAnsi="Arial" w:cs="Arial"/>
        </w:rPr>
      </w:pPr>
      <w:r w:rsidRPr="000625C3">
        <w:rPr>
          <w:rFonts w:ascii="Arial" w:hAnsi="Arial" w:cs="Arial"/>
        </w:rPr>
        <w:t xml:space="preserve">Incorporación de </w:t>
      </w:r>
      <w:r w:rsidR="00FA6EE3" w:rsidRPr="000625C3">
        <w:rPr>
          <w:rFonts w:ascii="Arial" w:hAnsi="Arial" w:cs="Arial"/>
        </w:rPr>
        <w:t>2</w:t>
      </w:r>
      <w:r w:rsidRPr="000625C3">
        <w:rPr>
          <w:rFonts w:ascii="Arial" w:hAnsi="Arial" w:cs="Arial"/>
        </w:rPr>
        <w:t>.5</w:t>
      </w:r>
      <w:r w:rsidR="00FA6EE3" w:rsidRPr="000625C3">
        <w:rPr>
          <w:rFonts w:ascii="Arial" w:hAnsi="Arial" w:cs="Arial"/>
        </w:rPr>
        <w:t>00</w:t>
      </w:r>
      <w:r w:rsidRPr="000625C3">
        <w:rPr>
          <w:rFonts w:ascii="Arial" w:hAnsi="Arial" w:cs="Arial"/>
        </w:rPr>
        <w:t>.000 habitantes al servicio de desagües cloaca</w:t>
      </w:r>
      <w:r w:rsidR="00FA6EE3" w:rsidRPr="000625C3">
        <w:rPr>
          <w:rFonts w:ascii="Arial" w:hAnsi="Arial" w:cs="Arial"/>
        </w:rPr>
        <w:t>les dentro del período 2014-2020</w:t>
      </w:r>
      <w:r w:rsidRPr="000625C3">
        <w:rPr>
          <w:rFonts w:ascii="Arial" w:hAnsi="Arial" w:cs="Arial"/>
        </w:rPr>
        <w:t xml:space="preserve">, lo que representa el 80 % de la cobertura, y lograr el mayor margen posible en los diez </w:t>
      </w:r>
      <w:r w:rsidR="002217E4" w:rsidRPr="000625C3">
        <w:rPr>
          <w:rFonts w:ascii="Arial" w:hAnsi="Arial" w:cs="Arial"/>
        </w:rPr>
        <w:t>años subsiguientes</w:t>
      </w:r>
      <w:r w:rsidRPr="000625C3">
        <w:rPr>
          <w:rFonts w:ascii="Arial" w:hAnsi="Arial" w:cs="Arial"/>
        </w:rPr>
        <w:t xml:space="preserve"> hasta llegar al 95 % antes del 2025.</w:t>
      </w:r>
    </w:p>
    <w:p w14:paraId="7B745130" w14:textId="77777777" w:rsidR="00E56F95" w:rsidRPr="000625C3" w:rsidRDefault="00E56F95" w:rsidP="00E56F95">
      <w:pPr>
        <w:rPr>
          <w:rFonts w:ascii="Arial" w:hAnsi="Arial" w:cs="Arial"/>
        </w:rPr>
      </w:pPr>
      <w:r w:rsidRPr="000625C3">
        <w:rPr>
          <w:rFonts w:ascii="Arial" w:hAnsi="Arial" w:cs="Arial"/>
        </w:rPr>
        <w:t>Entre las obras emblemáticas del Plan Director se destacan:</w:t>
      </w:r>
    </w:p>
    <w:p w14:paraId="385B9CB1" w14:textId="77777777" w:rsidR="00E56F95" w:rsidRPr="000625C3" w:rsidRDefault="00E56F95" w:rsidP="00C4100D">
      <w:pPr>
        <w:pStyle w:val="ListParagraph"/>
        <w:numPr>
          <w:ilvl w:val="0"/>
          <w:numId w:val="3"/>
        </w:numPr>
        <w:rPr>
          <w:rFonts w:ascii="Arial" w:hAnsi="Arial" w:cs="Arial"/>
        </w:rPr>
      </w:pPr>
      <w:r w:rsidRPr="000625C3">
        <w:rPr>
          <w:rFonts w:ascii="Arial" w:hAnsi="Arial" w:cs="Arial"/>
        </w:rPr>
        <w:t>Construcción de la planta de tratamiento de agua potable Paraná de la Palmas en el Partido de Tigre.</w:t>
      </w:r>
    </w:p>
    <w:p w14:paraId="2D970EB0" w14:textId="77777777" w:rsidR="00E56F95" w:rsidRPr="000625C3" w:rsidRDefault="00E56F95" w:rsidP="00C4100D">
      <w:pPr>
        <w:pStyle w:val="ListParagraph"/>
        <w:numPr>
          <w:ilvl w:val="0"/>
          <w:numId w:val="3"/>
        </w:numPr>
        <w:rPr>
          <w:rFonts w:ascii="Arial" w:hAnsi="Arial" w:cs="Arial"/>
        </w:rPr>
      </w:pPr>
      <w:r w:rsidRPr="000625C3">
        <w:rPr>
          <w:rFonts w:ascii="Arial" w:hAnsi="Arial" w:cs="Arial"/>
        </w:rPr>
        <w:t>Construcción de la Planta depuradora de Berazategui.</w:t>
      </w:r>
    </w:p>
    <w:p w14:paraId="171B4E5B" w14:textId="77777777" w:rsidR="00E56F95" w:rsidRPr="000625C3" w:rsidRDefault="00E56F95" w:rsidP="00C4100D">
      <w:pPr>
        <w:pStyle w:val="ListParagraph"/>
        <w:numPr>
          <w:ilvl w:val="0"/>
          <w:numId w:val="3"/>
        </w:numPr>
        <w:rPr>
          <w:rFonts w:ascii="Arial" w:hAnsi="Arial" w:cs="Arial"/>
        </w:rPr>
      </w:pPr>
      <w:r w:rsidRPr="000625C3">
        <w:rPr>
          <w:rFonts w:ascii="Arial" w:hAnsi="Arial" w:cs="Arial"/>
        </w:rPr>
        <w:t>Construcción de los Colectores Margen Izquierdo</w:t>
      </w:r>
    </w:p>
    <w:p w14:paraId="0D99B96D" w14:textId="77777777" w:rsidR="00E56F95" w:rsidRPr="000625C3" w:rsidRDefault="00E56F95" w:rsidP="00C4100D">
      <w:pPr>
        <w:pStyle w:val="ListParagraph"/>
        <w:numPr>
          <w:ilvl w:val="0"/>
          <w:numId w:val="3"/>
        </w:numPr>
        <w:rPr>
          <w:rFonts w:ascii="Arial" w:hAnsi="Arial" w:cs="Arial"/>
        </w:rPr>
      </w:pPr>
      <w:r w:rsidRPr="000625C3">
        <w:rPr>
          <w:rFonts w:ascii="Arial" w:hAnsi="Arial" w:cs="Arial"/>
        </w:rPr>
        <w:t>Construcción y/o ampliación de las Plantas Depuradoras Norte, Laferrere, El Jagüel, Fiorito, Sudoeste</w:t>
      </w:r>
      <w:r w:rsidR="00FA6EE3" w:rsidRPr="000625C3">
        <w:rPr>
          <w:rFonts w:ascii="Arial" w:hAnsi="Arial" w:cs="Arial"/>
        </w:rPr>
        <w:t>,</w:t>
      </w:r>
      <w:r w:rsidRPr="000625C3">
        <w:rPr>
          <w:rFonts w:ascii="Arial" w:hAnsi="Arial" w:cs="Arial"/>
        </w:rPr>
        <w:t xml:space="preserve"> Hurlingham</w:t>
      </w:r>
      <w:r w:rsidR="00FA6EE3" w:rsidRPr="000625C3">
        <w:rPr>
          <w:rFonts w:ascii="Arial" w:hAnsi="Arial" w:cs="Arial"/>
        </w:rPr>
        <w:t xml:space="preserve"> y Las Catonas</w:t>
      </w:r>
      <w:r w:rsidRPr="000625C3">
        <w:rPr>
          <w:rFonts w:ascii="Arial" w:hAnsi="Arial" w:cs="Arial"/>
        </w:rPr>
        <w:t xml:space="preserve">. </w:t>
      </w:r>
    </w:p>
    <w:p w14:paraId="5D6B3F32" w14:textId="77777777" w:rsidR="00E56F95" w:rsidRPr="000625C3" w:rsidRDefault="00E56F95" w:rsidP="00C4100D">
      <w:pPr>
        <w:pStyle w:val="ListParagraph"/>
        <w:numPr>
          <w:ilvl w:val="0"/>
          <w:numId w:val="3"/>
        </w:numPr>
        <w:rPr>
          <w:rFonts w:ascii="Arial" w:hAnsi="Arial" w:cs="Arial"/>
        </w:rPr>
      </w:pPr>
      <w:r w:rsidRPr="000625C3">
        <w:rPr>
          <w:rFonts w:ascii="Arial" w:hAnsi="Arial" w:cs="Arial"/>
        </w:rPr>
        <w:t>Construcción de la Planta Depuradora Capital Federal</w:t>
      </w:r>
    </w:p>
    <w:p w14:paraId="76644EA2" w14:textId="77777777" w:rsidR="00E56F95" w:rsidRPr="000625C3" w:rsidRDefault="00E56F95" w:rsidP="00C4100D">
      <w:pPr>
        <w:pStyle w:val="ListParagraph"/>
        <w:numPr>
          <w:ilvl w:val="0"/>
          <w:numId w:val="3"/>
        </w:numPr>
        <w:rPr>
          <w:rFonts w:ascii="Arial" w:hAnsi="Arial" w:cs="Arial"/>
        </w:rPr>
      </w:pPr>
      <w:r w:rsidRPr="000625C3">
        <w:rPr>
          <w:rFonts w:ascii="Arial" w:hAnsi="Arial" w:cs="Arial"/>
        </w:rPr>
        <w:t>Ampliación de establecimientos potabilizadores y depuradores, y estaciones de bombeo.</w:t>
      </w:r>
    </w:p>
    <w:p w14:paraId="01298528" w14:textId="77777777" w:rsidR="00E56F95" w:rsidRPr="00A2345E" w:rsidRDefault="00E56F95" w:rsidP="00C4100D">
      <w:pPr>
        <w:pStyle w:val="ListParagraph"/>
        <w:numPr>
          <w:ilvl w:val="0"/>
          <w:numId w:val="3"/>
        </w:numPr>
        <w:rPr>
          <w:rFonts w:ascii="Arial" w:hAnsi="Arial" w:cs="Arial"/>
        </w:rPr>
      </w:pPr>
      <w:r w:rsidRPr="00A2345E">
        <w:rPr>
          <w:rFonts w:ascii="Arial" w:hAnsi="Arial" w:cs="Arial"/>
        </w:rPr>
        <w:t>Programa de renovación y rehabilitación de redes e instalaciones existentes.</w:t>
      </w:r>
    </w:p>
    <w:p w14:paraId="30E5FD04" w14:textId="77777777" w:rsidR="000F7BCB" w:rsidRPr="000625C3" w:rsidRDefault="00E56F95" w:rsidP="00C4100D">
      <w:pPr>
        <w:pStyle w:val="ListParagraph"/>
        <w:numPr>
          <w:ilvl w:val="0"/>
          <w:numId w:val="3"/>
        </w:numPr>
        <w:rPr>
          <w:rFonts w:ascii="Arial" w:hAnsi="Arial" w:cs="Arial"/>
        </w:rPr>
      </w:pPr>
      <w:r w:rsidRPr="000625C3">
        <w:rPr>
          <w:rFonts w:ascii="Arial" w:hAnsi="Arial" w:cs="Arial"/>
        </w:rPr>
        <w:t>Construcción de redes primarias y secundarias.</w:t>
      </w:r>
    </w:p>
    <w:p w14:paraId="5D2257B1" w14:textId="77777777" w:rsidR="003B1C14" w:rsidRPr="000625C3" w:rsidRDefault="003B1C14" w:rsidP="002B0107">
      <w:pPr>
        <w:pStyle w:val="Heading2"/>
        <w:numPr>
          <w:ilvl w:val="1"/>
          <w:numId w:val="16"/>
        </w:numPr>
      </w:pPr>
      <w:bookmarkStart w:id="51" w:name="_Toc485200066"/>
      <w:r w:rsidRPr="000625C3">
        <w:lastRenderedPageBreak/>
        <w:t>Antecedentes institucionales.</w:t>
      </w:r>
      <w:bookmarkEnd w:id="51"/>
    </w:p>
    <w:p w14:paraId="098B0693" w14:textId="77777777" w:rsidR="00FA6EE3" w:rsidRPr="000625C3" w:rsidRDefault="00FA6EE3" w:rsidP="00FA6EE3">
      <w:pPr>
        <w:rPr>
          <w:rFonts w:ascii="Arial" w:hAnsi="Arial" w:cs="Arial"/>
        </w:rPr>
      </w:pPr>
      <w:r w:rsidRPr="000625C3">
        <w:rPr>
          <w:rFonts w:ascii="Arial" w:hAnsi="Arial" w:cs="Arial"/>
        </w:rPr>
        <w:t xml:space="preserve">El 21 de marzo de 2006, el Gobierno Nacional creó AySA S.A. (Agua y Saneamientos Argentinos S.A.) con la intención de prestar y mejorar los servicios esenciales de agua potable y desagües cloacales en la Ciudad de Buenos Aires y 17 partidos del primer cordón del conurbano bonaerense, así como también lograr la paulatina incorporación de aquellos habitantes de esa área que aún no cuentan con estas prestaciones. </w:t>
      </w:r>
    </w:p>
    <w:p w14:paraId="3587D8FF" w14:textId="4C030D42" w:rsidR="0029613D" w:rsidRPr="000625C3" w:rsidRDefault="00FA6EE3" w:rsidP="00FA6EE3">
      <w:pPr>
        <w:rPr>
          <w:rFonts w:ascii="Arial" w:hAnsi="Arial" w:cs="Arial"/>
        </w:rPr>
      </w:pPr>
      <w:r w:rsidRPr="000625C3">
        <w:rPr>
          <w:rFonts w:ascii="Arial" w:hAnsi="Arial" w:cs="Arial"/>
        </w:rPr>
        <w:t>Desde entonces, la empresa</w:t>
      </w:r>
      <w:r w:rsidR="00ED1BF2" w:rsidRPr="000625C3">
        <w:rPr>
          <w:rFonts w:ascii="Arial" w:hAnsi="Arial" w:cs="Arial"/>
        </w:rPr>
        <w:t>, junto al Estado Nacional, está</w:t>
      </w:r>
      <w:r w:rsidRPr="000625C3">
        <w:rPr>
          <w:rFonts w:ascii="Arial" w:hAnsi="Arial" w:cs="Arial"/>
        </w:rPr>
        <w:t>n abocados a la tarea de dar un nuevo impulso a los sistemas de tratamiento y distribución tanto de agua potable como de saneamiento, pilares fundamentales para el desarrollo y bienestar de la comunidad.</w:t>
      </w:r>
    </w:p>
    <w:p w14:paraId="379C6CD4" w14:textId="77777777" w:rsidR="0029613D" w:rsidRPr="000625C3" w:rsidRDefault="0029613D" w:rsidP="00FA6EE3">
      <w:pPr>
        <w:rPr>
          <w:rFonts w:ascii="Arial" w:hAnsi="Arial" w:cs="Arial"/>
        </w:rPr>
      </w:pPr>
      <w:r w:rsidRPr="000625C3">
        <w:rPr>
          <w:rFonts w:ascii="Arial" w:hAnsi="Arial" w:cs="Arial"/>
        </w:rPr>
        <w:t>Durante 2016 un acuerdo entre la Provincia de Buenos Aires, los municipios involucrados y el Estado Nacional dio inicio a un proceso de ampliación de la concesión incorporándose a la fecha al área de acción de AySA S.A. los partidos de Escobar, José C. Paz, Moreno, Malvinas Argentinas, San Miguel y Presidente Perón, sumándose nuevos desafíos en materia de provisión y ampliación de los servicios de agua potable y saneamiento, especialmente considerando la crítica situación social en las nuevas áreas.</w:t>
      </w:r>
    </w:p>
    <w:p w14:paraId="0707D1B8" w14:textId="77777777" w:rsidR="00FA6EE3" w:rsidRPr="000625C3" w:rsidRDefault="0029613D" w:rsidP="00FA6EE3">
      <w:pPr>
        <w:rPr>
          <w:rFonts w:ascii="Arial" w:hAnsi="Arial" w:cs="Arial"/>
        </w:rPr>
      </w:pPr>
      <w:r w:rsidRPr="000625C3">
        <w:rPr>
          <w:rFonts w:ascii="Arial" w:hAnsi="Arial" w:cs="Arial"/>
        </w:rPr>
        <w:t>Actualmente l</w:t>
      </w:r>
      <w:r w:rsidR="00FA6EE3" w:rsidRPr="000625C3">
        <w:rPr>
          <w:rFonts w:ascii="Arial" w:hAnsi="Arial" w:cs="Arial"/>
        </w:rPr>
        <w:t>a empresa dispone de 2</w:t>
      </w:r>
      <w:r w:rsidRPr="000625C3">
        <w:rPr>
          <w:rFonts w:ascii="Arial" w:hAnsi="Arial" w:cs="Arial"/>
        </w:rPr>
        <w:t>7</w:t>
      </w:r>
      <w:r w:rsidR="00FA6EE3" w:rsidRPr="000625C3">
        <w:rPr>
          <w:rFonts w:ascii="Arial" w:hAnsi="Arial" w:cs="Arial"/>
        </w:rPr>
        <w:t xml:space="preserve"> Centros de Atención al Usuario distribuidos en diferentes puntos de su área de acción con personal capacitado para recibir y dar respuestas a las consultas comerciales.</w:t>
      </w:r>
    </w:p>
    <w:p w14:paraId="52052502" w14:textId="77777777" w:rsidR="00FA6EE3" w:rsidRPr="000625C3" w:rsidRDefault="00FA6EE3" w:rsidP="00FA6EE3">
      <w:pPr>
        <w:rPr>
          <w:rFonts w:ascii="Arial" w:hAnsi="Arial" w:cs="Arial"/>
        </w:rPr>
      </w:pPr>
      <w:r w:rsidRPr="000625C3">
        <w:rPr>
          <w:rFonts w:ascii="Arial" w:hAnsi="Arial" w:cs="Arial"/>
        </w:rPr>
        <w:t>Por otra parte, posee un equipo de operarios y técnicos especializados para realizar tareas en la vía pública y atender rápidamente cualquier reclamo, con una guardia que trabaja las 24 horas, los 365 días del año.</w:t>
      </w:r>
    </w:p>
    <w:p w14:paraId="2A699B2A" w14:textId="77777777" w:rsidR="000F7BCB" w:rsidRPr="000625C3" w:rsidRDefault="00FA6EE3" w:rsidP="00FA6EE3">
      <w:pPr>
        <w:rPr>
          <w:rFonts w:ascii="Arial" w:hAnsi="Arial" w:cs="Arial"/>
        </w:rPr>
      </w:pPr>
      <w:r w:rsidRPr="000625C3">
        <w:rPr>
          <w:rFonts w:ascii="Arial" w:hAnsi="Arial" w:cs="Arial"/>
        </w:rPr>
        <w:t>Para el cumplimiento de sus fines y su objeto social, la empresa realiza actividades complementarias tales como estudios, proyectos, construcción, renovación, ampliación y explotación de las obras de provisión de agua y saneamiento urbano, también se ocupa de la fiscalización de los efluentes industriales, así como la explotación, mantenimiento y utilización de aguas subterráneas y superficiales.</w:t>
      </w:r>
    </w:p>
    <w:p w14:paraId="30726124" w14:textId="77777777" w:rsidR="0029613D" w:rsidRPr="000625C3" w:rsidRDefault="0029613D" w:rsidP="00FA6EE3">
      <w:pPr>
        <w:rPr>
          <w:rFonts w:ascii="Arial" w:hAnsi="Arial" w:cs="Arial"/>
        </w:rPr>
      </w:pPr>
    </w:p>
    <w:p w14:paraId="2F05757A" w14:textId="2C9FA0A4" w:rsidR="003B1C14" w:rsidRPr="000625C3" w:rsidRDefault="003B1C14" w:rsidP="002B0107">
      <w:pPr>
        <w:pStyle w:val="Heading2"/>
        <w:numPr>
          <w:ilvl w:val="1"/>
          <w:numId w:val="16"/>
        </w:numPr>
      </w:pPr>
      <w:bookmarkStart w:id="52" w:name="_Toc485200067"/>
      <w:r w:rsidRPr="000625C3">
        <w:t>Antecedentes técnicos.</w:t>
      </w:r>
      <w:bookmarkEnd w:id="52"/>
      <w:r w:rsidRPr="000625C3">
        <w:tab/>
      </w:r>
    </w:p>
    <w:p w14:paraId="071CE027" w14:textId="77777777" w:rsidR="00BF2B3F" w:rsidRPr="000625C3" w:rsidRDefault="00BF2B3F" w:rsidP="00BF2B3F">
      <w:pPr>
        <w:rPr>
          <w:rFonts w:ascii="Arial" w:hAnsi="Arial" w:cs="Arial"/>
        </w:rPr>
      </w:pPr>
      <w:r w:rsidRPr="000625C3">
        <w:rPr>
          <w:rFonts w:ascii="Arial" w:hAnsi="Arial" w:cs="Arial"/>
        </w:rPr>
        <w:t xml:space="preserve">El sistema de distribución de agua potable administrado por AySA S.A. está integrado por ríos subterráneos, una red troncal y líneas de impulsión, la red primaria y la red secundaria, compuesta por distribuidoras y subsidiarias. </w:t>
      </w:r>
    </w:p>
    <w:p w14:paraId="79CFE3D9" w14:textId="77777777" w:rsidR="00BF2B3F" w:rsidRPr="000625C3" w:rsidRDefault="00BF2B3F" w:rsidP="00BF2B3F">
      <w:pPr>
        <w:rPr>
          <w:rFonts w:ascii="Arial" w:hAnsi="Arial" w:cs="Arial"/>
        </w:rPr>
      </w:pPr>
      <w:r w:rsidRPr="000625C3">
        <w:rPr>
          <w:rFonts w:ascii="Arial" w:hAnsi="Arial" w:cs="Arial"/>
        </w:rPr>
        <w:t>La heterogeneidad en la red administrada por AySA S.A remite a que la misma es producto del proceso de desarrollo y crecimiento urbano por lo que se ha ido construyendo a lo largo de más de cien años utilizándose para ello en distintas oportunidades distintos criterios de diseño y tecnologías. Si bien el sistema de distribución es un sistema integrado e interconectado, tal heterogeneidad de diseño, materiales y diámetros hace extremadamente compleja su gestión y genera fuertes diferencias de servicio de una malla a la otra.</w:t>
      </w:r>
    </w:p>
    <w:p w14:paraId="0027203B" w14:textId="7F239412" w:rsidR="00BA7660" w:rsidRPr="000625C3" w:rsidRDefault="00BA7660" w:rsidP="00BF2B3F">
      <w:pPr>
        <w:rPr>
          <w:rFonts w:ascii="Arial" w:hAnsi="Arial" w:cs="Arial"/>
        </w:rPr>
      </w:pPr>
      <w:r w:rsidRPr="000625C3">
        <w:rPr>
          <w:rFonts w:ascii="Arial" w:hAnsi="Arial" w:cs="Arial"/>
        </w:rPr>
        <w:t xml:space="preserve">La </w:t>
      </w:r>
      <w:r w:rsidRPr="000625C3">
        <w:rPr>
          <w:rFonts w:ascii="Arial" w:hAnsi="Arial" w:cs="Arial"/>
        </w:rPr>
        <w:fldChar w:fldCharType="begin"/>
      </w:r>
      <w:r w:rsidRPr="000625C3">
        <w:rPr>
          <w:rFonts w:ascii="Arial" w:hAnsi="Arial" w:cs="Arial"/>
        </w:rPr>
        <w:instrText xml:space="preserve"> REF _Ref480102712 \h </w:instrText>
      </w:r>
      <w:r w:rsidR="000625C3">
        <w:rPr>
          <w:rFonts w:ascii="Arial" w:hAnsi="Arial" w:cs="Arial"/>
        </w:rPr>
        <w:instrText xml:space="preserve"> \* MERGEFORMAT </w:instrText>
      </w:r>
      <w:r w:rsidRPr="000625C3">
        <w:rPr>
          <w:rFonts w:ascii="Arial" w:hAnsi="Arial" w:cs="Arial"/>
        </w:rPr>
      </w:r>
      <w:r w:rsidRPr="000625C3">
        <w:rPr>
          <w:rFonts w:ascii="Arial" w:hAnsi="Arial" w:cs="Arial"/>
        </w:rPr>
        <w:fldChar w:fldCharType="separate"/>
      </w:r>
      <w:r w:rsidR="00B037F3">
        <w:rPr>
          <w:rFonts w:ascii="Arial" w:hAnsi="Arial" w:cs="Arial"/>
        </w:rPr>
        <w:t>Figura I-</w:t>
      </w:r>
      <w:r w:rsidR="009F66B5" w:rsidRPr="000625C3">
        <w:rPr>
          <w:rFonts w:ascii="Arial" w:hAnsi="Arial" w:cs="Arial"/>
          <w:noProof/>
        </w:rPr>
        <w:t>1</w:t>
      </w:r>
      <w:r w:rsidRPr="000625C3">
        <w:rPr>
          <w:rFonts w:ascii="Arial" w:hAnsi="Arial" w:cs="Arial"/>
        </w:rPr>
        <w:fldChar w:fldCharType="end"/>
      </w:r>
      <w:r w:rsidRPr="000625C3">
        <w:rPr>
          <w:rFonts w:ascii="Arial" w:hAnsi="Arial" w:cs="Arial"/>
        </w:rPr>
        <w:t xml:space="preserve"> presenta el esquema del sistema de agua potable actualmente operado.</w:t>
      </w:r>
    </w:p>
    <w:p w14:paraId="528A9FA7" w14:textId="63F07E07" w:rsidR="00BA7660" w:rsidRPr="000625C3" w:rsidRDefault="00B037F3" w:rsidP="004F131E">
      <w:pPr>
        <w:pStyle w:val="Caption"/>
        <w:rPr>
          <w:rFonts w:ascii="Arial" w:hAnsi="Arial" w:cs="Arial"/>
        </w:rPr>
      </w:pPr>
      <w:bookmarkStart w:id="53" w:name="_Ref480102712"/>
      <w:r>
        <w:rPr>
          <w:rFonts w:ascii="Arial" w:hAnsi="Arial" w:cs="Arial"/>
        </w:rPr>
        <w:lastRenderedPageBreak/>
        <w:t>Figura I-</w:t>
      </w:r>
      <w:r w:rsidR="000B2DBC" w:rsidRPr="000625C3">
        <w:rPr>
          <w:rFonts w:ascii="Arial" w:hAnsi="Arial" w:cs="Arial"/>
        </w:rPr>
        <w:fldChar w:fldCharType="begin"/>
      </w:r>
      <w:r w:rsidR="000B2DBC" w:rsidRPr="000625C3">
        <w:rPr>
          <w:rFonts w:ascii="Arial" w:hAnsi="Arial" w:cs="Arial"/>
        </w:rPr>
        <w:instrText xml:space="preserve"> SEQ Ilustración \* ARABIC </w:instrText>
      </w:r>
      <w:r w:rsidR="000B2DBC" w:rsidRPr="000625C3">
        <w:rPr>
          <w:rFonts w:ascii="Arial" w:hAnsi="Arial" w:cs="Arial"/>
        </w:rPr>
        <w:fldChar w:fldCharType="separate"/>
      </w:r>
      <w:r w:rsidR="009F66B5" w:rsidRPr="000625C3">
        <w:rPr>
          <w:rFonts w:ascii="Arial" w:hAnsi="Arial" w:cs="Arial"/>
          <w:noProof/>
        </w:rPr>
        <w:t>1</w:t>
      </w:r>
      <w:r w:rsidR="000B2DBC" w:rsidRPr="000625C3">
        <w:rPr>
          <w:rFonts w:ascii="Arial" w:hAnsi="Arial" w:cs="Arial"/>
          <w:noProof/>
        </w:rPr>
        <w:fldChar w:fldCharType="end"/>
      </w:r>
      <w:bookmarkEnd w:id="53"/>
      <w:r w:rsidR="00BA7660" w:rsidRPr="000625C3">
        <w:rPr>
          <w:rFonts w:ascii="Arial" w:hAnsi="Arial" w:cs="Arial"/>
        </w:rPr>
        <w:t>: Sistema de agua potable AySA 2017.</w:t>
      </w:r>
    </w:p>
    <w:p w14:paraId="780C2403" w14:textId="2D571CE1" w:rsidR="00BA7660" w:rsidRPr="000625C3" w:rsidRDefault="00BA7660" w:rsidP="00BF2B3F">
      <w:pPr>
        <w:rPr>
          <w:rFonts w:ascii="Arial" w:hAnsi="Arial" w:cs="Arial"/>
        </w:rPr>
      </w:pPr>
      <w:r w:rsidRPr="000625C3">
        <w:rPr>
          <w:rFonts w:ascii="Arial" w:hAnsi="Arial" w:cs="Arial"/>
          <w:noProof/>
          <w:lang w:eastAsia="es-AR"/>
        </w:rPr>
        <w:drawing>
          <wp:inline distT="0" distB="0" distL="0" distR="0" wp14:anchorId="01FBBCAF" wp14:editId="18890066">
            <wp:extent cx="5400675" cy="3117850"/>
            <wp:effectExtent l="0" t="0" r="9525"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00675" cy="3117850"/>
                    </a:xfrm>
                    <a:prstGeom prst="rect">
                      <a:avLst/>
                    </a:prstGeom>
                  </pic:spPr>
                </pic:pic>
              </a:graphicData>
            </a:graphic>
          </wp:inline>
        </w:drawing>
      </w:r>
    </w:p>
    <w:p w14:paraId="3764F810" w14:textId="53A4B2C0" w:rsidR="00BF2B3F" w:rsidRPr="000625C3" w:rsidRDefault="00BF2B3F" w:rsidP="00BF2B3F">
      <w:pPr>
        <w:rPr>
          <w:rFonts w:ascii="Arial" w:hAnsi="Arial" w:cs="Arial"/>
        </w:rPr>
      </w:pPr>
      <w:r w:rsidRPr="000625C3">
        <w:rPr>
          <w:rFonts w:ascii="Arial" w:hAnsi="Arial" w:cs="Arial"/>
        </w:rPr>
        <w:t>En este contexto, el “Plan de Mejoras y Mantenimiento de las redes de agua potable” propuesto por AySA S.A. es el fruto de un análisis integral del sistema de distribución de agua que contempla tanto la modelización hidráulica del mismo, el análisis del balance de agua, así como la información surgida de distintos indicadores de servicio entre los que se destacan los reclamos de los usuarios y las intervenciones realizadas en la red según tipo de trabajo.</w:t>
      </w:r>
    </w:p>
    <w:p w14:paraId="378D5DF2" w14:textId="77777777" w:rsidR="00BF2B3F" w:rsidRPr="000625C3" w:rsidRDefault="00BF2B3F" w:rsidP="00BF2B3F">
      <w:pPr>
        <w:rPr>
          <w:rFonts w:ascii="Arial" w:hAnsi="Arial" w:cs="Arial"/>
        </w:rPr>
      </w:pPr>
      <w:r w:rsidRPr="000625C3">
        <w:rPr>
          <w:rFonts w:ascii="Arial" w:hAnsi="Arial" w:cs="Arial"/>
        </w:rPr>
        <w:t>El manejo integral y consistente de esta información permite definir las acciones propuestas por el plan objeto de evaluación del presente documento. Dicho Plan propone acciones en torno a tres ejes:</w:t>
      </w:r>
    </w:p>
    <w:p w14:paraId="4559E87A" w14:textId="5C6BC3BE" w:rsidR="00BF2B3F" w:rsidRPr="000625C3" w:rsidRDefault="00BF2B3F" w:rsidP="00C4100D">
      <w:pPr>
        <w:pStyle w:val="ListParagraph"/>
        <w:numPr>
          <w:ilvl w:val="0"/>
          <w:numId w:val="3"/>
        </w:numPr>
        <w:rPr>
          <w:rFonts w:ascii="Arial" w:hAnsi="Arial" w:cs="Arial"/>
        </w:rPr>
      </w:pPr>
      <w:r w:rsidRPr="000625C3">
        <w:rPr>
          <w:rFonts w:ascii="Arial" w:hAnsi="Arial" w:cs="Arial"/>
        </w:rPr>
        <w:t>Reducción de pérdidas físicas de agua mediante renovación de las redes en situación crítica (renovación de las redes de las mallas que presentan mayor índice de roturas y escapes).</w:t>
      </w:r>
    </w:p>
    <w:p w14:paraId="253868D0" w14:textId="06EE8ACD" w:rsidR="00BF2B3F" w:rsidRPr="000625C3" w:rsidRDefault="00BF2B3F" w:rsidP="00C4100D">
      <w:pPr>
        <w:pStyle w:val="ListParagraph"/>
        <w:numPr>
          <w:ilvl w:val="0"/>
          <w:numId w:val="3"/>
        </w:numPr>
        <w:rPr>
          <w:rFonts w:ascii="Arial" w:hAnsi="Arial" w:cs="Arial"/>
        </w:rPr>
      </w:pPr>
      <w:r w:rsidRPr="000625C3">
        <w:rPr>
          <w:rFonts w:ascii="Arial" w:hAnsi="Arial" w:cs="Arial"/>
        </w:rPr>
        <w:t>Reducción de pérdidas físicas de agua mediante gestión eficiente de las presiones de servicio (macromedición y sectorización de la red de agua).</w:t>
      </w:r>
    </w:p>
    <w:p w14:paraId="0019BAE6" w14:textId="61049010" w:rsidR="00BF2B3F" w:rsidRPr="000625C3" w:rsidRDefault="00BF2B3F" w:rsidP="00C4100D">
      <w:pPr>
        <w:pStyle w:val="ListParagraph"/>
        <w:numPr>
          <w:ilvl w:val="0"/>
          <w:numId w:val="3"/>
        </w:numPr>
        <w:rPr>
          <w:rFonts w:ascii="Arial" w:hAnsi="Arial" w:cs="Arial"/>
        </w:rPr>
      </w:pPr>
      <w:r w:rsidRPr="000625C3">
        <w:rPr>
          <w:rFonts w:ascii="Arial" w:hAnsi="Arial" w:cs="Arial"/>
        </w:rPr>
        <w:t>Aumentos puntuales de oferta de agua en mallas con capacidad de transporte y distribución insuficiente (solución de demandas insatisfechas localizadas mediante renovaciones con aumento de diámetro en cañerías distribuidoras y construcción de refuerzos).</w:t>
      </w:r>
    </w:p>
    <w:p w14:paraId="4F18AA72" w14:textId="1F395CF9" w:rsidR="00BA7660" w:rsidRPr="000625C3" w:rsidRDefault="00BA7660" w:rsidP="00C4100D">
      <w:pPr>
        <w:pStyle w:val="ListParagraph"/>
        <w:numPr>
          <w:ilvl w:val="0"/>
          <w:numId w:val="3"/>
        </w:numPr>
        <w:rPr>
          <w:rFonts w:ascii="Arial" w:hAnsi="Arial" w:cs="Arial"/>
        </w:rPr>
      </w:pPr>
      <w:r w:rsidRPr="000625C3">
        <w:rPr>
          <w:rFonts w:ascii="Arial" w:hAnsi="Arial" w:cs="Arial"/>
        </w:rPr>
        <w:t>Reducción del derroche intradomiciliario mediante la instalación de micromedidores.</w:t>
      </w:r>
    </w:p>
    <w:p w14:paraId="1D2F40A9" w14:textId="67A81B6A" w:rsidR="00A07E94" w:rsidRPr="000625C3" w:rsidRDefault="00BF2B3F" w:rsidP="00BF2B3F">
      <w:pPr>
        <w:rPr>
          <w:rFonts w:ascii="Arial" w:hAnsi="Arial" w:cs="Arial"/>
        </w:rPr>
      </w:pPr>
      <w:r w:rsidRPr="000625C3">
        <w:rPr>
          <w:rFonts w:ascii="Arial" w:hAnsi="Arial" w:cs="Arial"/>
        </w:rPr>
        <w:t>Estas acciones son necesarias debido a que la producción total del sistema resulta actualmente insuficiente, incluso aún sin considerar las demandas proyectadas por el plan de expansión del servicio.</w:t>
      </w:r>
    </w:p>
    <w:p w14:paraId="33A99A4B" w14:textId="77777777" w:rsidR="003B1C14" w:rsidRPr="000625C3" w:rsidRDefault="003B1C14" w:rsidP="002B0107">
      <w:pPr>
        <w:pStyle w:val="Heading2"/>
        <w:numPr>
          <w:ilvl w:val="0"/>
          <w:numId w:val="16"/>
        </w:numPr>
      </w:pPr>
      <w:bookmarkStart w:id="54" w:name="_Toc479603852"/>
      <w:bookmarkStart w:id="55" w:name="_Toc485200068"/>
      <w:bookmarkEnd w:id="54"/>
      <w:r w:rsidRPr="000625C3">
        <w:t>Situación actual y objetivos del proyecto.</w:t>
      </w:r>
      <w:bookmarkEnd w:id="55"/>
    </w:p>
    <w:p w14:paraId="0C910E55" w14:textId="10DEC220" w:rsidR="000F7BCB" w:rsidRPr="000625C3" w:rsidRDefault="00445155" w:rsidP="003B1C14">
      <w:pPr>
        <w:rPr>
          <w:rFonts w:ascii="Arial" w:hAnsi="Arial" w:cs="Arial"/>
        </w:rPr>
      </w:pPr>
      <w:r w:rsidRPr="000625C3">
        <w:rPr>
          <w:rFonts w:ascii="Arial" w:hAnsi="Arial" w:cs="Arial"/>
        </w:rPr>
        <w:t>El proyecto bajo análisis</w:t>
      </w:r>
      <w:r w:rsidR="00BA7660" w:rsidRPr="000625C3">
        <w:rPr>
          <w:rFonts w:ascii="Arial" w:hAnsi="Arial" w:cs="Arial"/>
        </w:rPr>
        <w:t>, enmarcado en el contexto del “Plan de Mejoras y Mantenimiento de las redes de agua potable”</w:t>
      </w:r>
      <w:r w:rsidR="00457BB4" w:rsidRPr="000625C3">
        <w:rPr>
          <w:rFonts w:ascii="Arial" w:hAnsi="Arial" w:cs="Arial"/>
        </w:rPr>
        <w:t>,</w:t>
      </w:r>
      <w:r w:rsidR="00BA7660" w:rsidRPr="000625C3">
        <w:rPr>
          <w:rFonts w:ascii="Arial" w:hAnsi="Arial" w:cs="Arial"/>
        </w:rPr>
        <w:t xml:space="preserve"> tiene por objeto lograr una distribución </w:t>
      </w:r>
      <w:r w:rsidR="00BA7660" w:rsidRPr="000625C3">
        <w:rPr>
          <w:rFonts w:ascii="Arial" w:hAnsi="Arial" w:cs="Arial"/>
        </w:rPr>
        <w:lastRenderedPageBreak/>
        <w:t>más eficiente del agua producida actuando sobre las fuentes de pérdida de la misma (pérdidas físicas y comerciales) liberando recursos tanto para la cobertura de demandas insatisfechas como de expansión de los servicios sin incrementar las actuales capacidades.</w:t>
      </w:r>
    </w:p>
    <w:p w14:paraId="33DF999D" w14:textId="5BA2C5A8" w:rsidR="003B1C14" w:rsidRPr="000625C3" w:rsidRDefault="003B1C14" w:rsidP="002B0107">
      <w:pPr>
        <w:pStyle w:val="Heading2"/>
        <w:numPr>
          <w:ilvl w:val="1"/>
          <w:numId w:val="17"/>
        </w:numPr>
      </w:pPr>
      <w:bookmarkStart w:id="56" w:name="_Toc485200069"/>
      <w:r w:rsidRPr="000625C3">
        <w:t>Situación actual.</w:t>
      </w:r>
      <w:bookmarkEnd w:id="56"/>
    </w:p>
    <w:p w14:paraId="36712A3B" w14:textId="4D943086" w:rsidR="00455832" w:rsidRPr="000625C3" w:rsidRDefault="00455832" w:rsidP="00455832">
      <w:pPr>
        <w:rPr>
          <w:rFonts w:ascii="Arial" w:hAnsi="Arial" w:cs="Arial"/>
        </w:rPr>
      </w:pPr>
      <w:r w:rsidRPr="000625C3">
        <w:rPr>
          <w:rFonts w:ascii="Arial" w:hAnsi="Arial" w:cs="Arial"/>
        </w:rPr>
        <w:t>Actualmente la Empresa ha fijado como uno de sus ejes de trabajo centrales la mejora en la eficiencia de la gestión del sistema de agua potable. A tal efecto se viene trabajando sobre los tres componentes del Balance de Agua:</w:t>
      </w:r>
    </w:p>
    <w:p w14:paraId="2E6DE497" w14:textId="77777777" w:rsidR="00455832" w:rsidRPr="000625C3" w:rsidRDefault="00455832" w:rsidP="00455832">
      <w:pPr>
        <w:jc w:val="center"/>
        <w:rPr>
          <w:rFonts w:ascii="Arial" w:hAnsi="Arial" w:cs="Arial"/>
          <w:b/>
        </w:rPr>
      </w:pPr>
      <w:r w:rsidRPr="000625C3">
        <w:rPr>
          <w:rFonts w:ascii="Arial" w:hAnsi="Arial" w:cs="Arial"/>
          <w:b/>
        </w:rPr>
        <w:t>Agua entregada (oferta) = Consumo + pérdidas (físicas + aparentes)</w:t>
      </w:r>
    </w:p>
    <w:p w14:paraId="13E8BF12" w14:textId="5F1BA292" w:rsidR="00455832" w:rsidRDefault="00455832" w:rsidP="00E012E1">
      <w:pPr>
        <w:rPr>
          <w:rFonts w:ascii="Arial" w:hAnsi="Arial" w:cs="Arial"/>
        </w:rPr>
      </w:pPr>
      <w:r w:rsidRPr="000625C3">
        <w:rPr>
          <w:rFonts w:ascii="Arial" w:hAnsi="Arial" w:cs="Arial"/>
        </w:rPr>
        <w:t xml:space="preserve">Así, desde el año 2008, AySA viene implementando un plan sistemático de optimización del agua ofertada y de reducción de pérdidas físicas (también conocidas como pérdidas técnicas) basado fundamentalmente en las estrategias del “Water 21-article n°6” de la International Water Association, según se presenta en la </w:t>
      </w:r>
      <w:r w:rsidR="00B037F3">
        <w:rPr>
          <w:rFonts w:ascii="Arial" w:hAnsi="Arial" w:cs="Arial"/>
        </w:rPr>
        <w:t>Figura a seguir</w:t>
      </w:r>
      <w:r w:rsidRPr="000625C3">
        <w:rPr>
          <w:rFonts w:ascii="Arial" w:hAnsi="Arial" w:cs="Arial"/>
        </w:rPr>
        <w:t>:</w:t>
      </w:r>
    </w:p>
    <w:p w14:paraId="4238B120" w14:textId="77777777" w:rsidR="00B037F3" w:rsidRPr="000625C3" w:rsidRDefault="00B037F3" w:rsidP="00E012E1">
      <w:pPr>
        <w:rPr>
          <w:rFonts w:ascii="Arial" w:hAnsi="Arial" w:cs="Arial"/>
        </w:rPr>
      </w:pPr>
    </w:p>
    <w:p w14:paraId="30BA9DDF" w14:textId="06671A4E" w:rsidR="00455832" w:rsidRPr="000625C3" w:rsidRDefault="00B037F3" w:rsidP="004F131E">
      <w:pPr>
        <w:pStyle w:val="Caption"/>
        <w:rPr>
          <w:rFonts w:ascii="Arial" w:hAnsi="Arial" w:cs="Arial"/>
        </w:rPr>
      </w:pPr>
      <w:r>
        <w:rPr>
          <w:rFonts w:ascii="Arial" w:hAnsi="Arial" w:cs="Arial"/>
        </w:rPr>
        <w:t>Figura I-</w:t>
      </w:r>
      <w:r w:rsidR="000B2DBC" w:rsidRPr="000625C3">
        <w:rPr>
          <w:rFonts w:ascii="Arial" w:hAnsi="Arial" w:cs="Arial"/>
        </w:rPr>
        <w:fldChar w:fldCharType="begin"/>
      </w:r>
      <w:r w:rsidR="000B2DBC" w:rsidRPr="000625C3">
        <w:rPr>
          <w:rFonts w:ascii="Arial" w:hAnsi="Arial" w:cs="Arial"/>
        </w:rPr>
        <w:instrText xml:space="preserve"> SEQ Ilustración \* ARABIC </w:instrText>
      </w:r>
      <w:r w:rsidR="000B2DBC" w:rsidRPr="000625C3">
        <w:rPr>
          <w:rFonts w:ascii="Arial" w:hAnsi="Arial" w:cs="Arial"/>
        </w:rPr>
        <w:fldChar w:fldCharType="separate"/>
      </w:r>
      <w:r w:rsidR="009F66B5" w:rsidRPr="000625C3">
        <w:rPr>
          <w:rFonts w:ascii="Arial" w:hAnsi="Arial" w:cs="Arial"/>
          <w:noProof/>
        </w:rPr>
        <w:t>2</w:t>
      </w:r>
      <w:r w:rsidR="000B2DBC" w:rsidRPr="000625C3">
        <w:rPr>
          <w:rFonts w:ascii="Arial" w:hAnsi="Arial" w:cs="Arial"/>
          <w:noProof/>
        </w:rPr>
        <w:fldChar w:fldCharType="end"/>
      </w:r>
      <w:r w:rsidR="00455832" w:rsidRPr="000625C3">
        <w:rPr>
          <w:rFonts w:ascii="Arial" w:hAnsi="Arial" w:cs="Arial"/>
        </w:rPr>
        <w:t>: Estrategias de mejora del sistema de agua potable.</w:t>
      </w:r>
    </w:p>
    <w:p w14:paraId="29419EE4" w14:textId="44587E54" w:rsidR="00455832" w:rsidRPr="000625C3" w:rsidRDefault="00455832" w:rsidP="00E012E1">
      <w:pPr>
        <w:rPr>
          <w:rFonts w:ascii="Arial" w:hAnsi="Arial" w:cs="Arial"/>
        </w:rPr>
      </w:pPr>
      <w:r w:rsidRPr="000625C3">
        <w:rPr>
          <w:rFonts w:ascii="Arial" w:hAnsi="Arial" w:cs="Arial"/>
          <w:noProof/>
          <w:lang w:eastAsia="es-AR"/>
        </w:rPr>
        <w:drawing>
          <wp:inline distT="0" distB="0" distL="0" distR="0" wp14:anchorId="11F3439F" wp14:editId="32FE5DB1">
            <wp:extent cx="5400675" cy="3217917"/>
            <wp:effectExtent l="0" t="0" r="0" b="190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675" cy="3217917"/>
                    </a:xfrm>
                    <a:prstGeom prst="rect">
                      <a:avLst/>
                    </a:prstGeom>
                    <a:noFill/>
                    <a:ln>
                      <a:noFill/>
                    </a:ln>
                  </pic:spPr>
                </pic:pic>
              </a:graphicData>
            </a:graphic>
          </wp:inline>
        </w:drawing>
      </w:r>
    </w:p>
    <w:p w14:paraId="035E7333" w14:textId="3469EFA7" w:rsidR="00455832" w:rsidRPr="000625C3" w:rsidRDefault="00455832" w:rsidP="00E012E1">
      <w:pPr>
        <w:rPr>
          <w:rFonts w:ascii="Arial" w:hAnsi="Arial" w:cs="Arial"/>
        </w:rPr>
      </w:pPr>
      <w:r w:rsidRPr="000625C3">
        <w:rPr>
          <w:rFonts w:ascii="Arial" w:hAnsi="Arial" w:cs="Arial"/>
        </w:rPr>
        <w:t>Dicho plan fue significativamente financiado por el B</w:t>
      </w:r>
      <w:r w:rsidR="00B037F3">
        <w:rPr>
          <w:rFonts w:ascii="Arial" w:hAnsi="Arial" w:cs="Arial"/>
        </w:rPr>
        <w:t>anco</w:t>
      </w:r>
      <w:r w:rsidRPr="000625C3">
        <w:rPr>
          <w:rFonts w:ascii="Arial" w:hAnsi="Arial" w:cs="Arial"/>
        </w:rPr>
        <w:t xml:space="preserve"> en etapas precedentes al préstamo actual, detallándose a continuación los principales indicadores de seguimiento.</w:t>
      </w:r>
    </w:p>
    <w:p w14:paraId="63840003" w14:textId="778C8CA1" w:rsidR="00455832" w:rsidRPr="000625C3" w:rsidRDefault="00B037F3" w:rsidP="004F131E">
      <w:pPr>
        <w:pStyle w:val="Caption"/>
        <w:rPr>
          <w:rFonts w:ascii="Arial" w:hAnsi="Arial" w:cs="Arial"/>
        </w:rPr>
      </w:pPr>
      <w:r>
        <w:rPr>
          <w:rFonts w:ascii="Arial" w:hAnsi="Arial" w:cs="Arial"/>
        </w:rPr>
        <w:lastRenderedPageBreak/>
        <w:t>Figura I-</w:t>
      </w:r>
      <w:r w:rsidR="000B2DBC" w:rsidRPr="000625C3">
        <w:rPr>
          <w:rFonts w:ascii="Arial" w:hAnsi="Arial" w:cs="Arial"/>
        </w:rPr>
        <w:fldChar w:fldCharType="begin"/>
      </w:r>
      <w:r w:rsidR="000B2DBC" w:rsidRPr="000625C3">
        <w:rPr>
          <w:rFonts w:ascii="Arial" w:hAnsi="Arial" w:cs="Arial"/>
        </w:rPr>
        <w:instrText xml:space="preserve"> SEQ Ilustración \* ARABIC </w:instrText>
      </w:r>
      <w:r w:rsidR="000B2DBC" w:rsidRPr="000625C3">
        <w:rPr>
          <w:rFonts w:ascii="Arial" w:hAnsi="Arial" w:cs="Arial"/>
        </w:rPr>
        <w:fldChar w:fldCharType="separate"/>
      </w:r>
      <w:r w:rsidR="009F66B5" w:rsidRPr="000625C3">
        <w:rPr>
          <w:rFonts w:ascii="Arial" w:hAnsi="Arial" w:cs="Arial"/>
          <w:noProof/>
        </w:rPr>
        <w:t>3</w:t>
      </w:r>
      <w:r w:rsidR="000B2DBC" w:rsidRPr="000625C3">
        <w:rPr>
          <w:rFonts w:ascii="Arial" w:hAnsi="Arial" w:cs="Arial"/>
          <w:noProof/>
        </w:rPr>
        <w:fldChar w:fldCharType="end"/>
      </w:r>
      <w:r w:rsidR="00455832" w:rsidRPr="000625C3">
        <w:rPr>
          <w:rFonts w:ascii="Arial" w:hAnsi="Arial" w:cs="Arial"/>
        </w:rPr>
        <w:t>: Indicadores de eficiencia sistema de agua potable 2016.</w:t>
      </w:r>
    </w:p>
    <w:p w14:paraId="22AEF9C4" w14:textId="4686AA5A" w:rsidR="00455832" w:rsidRPr="000625C3" w:rsidRDefault="00455832" w:rsidP="00E012E1">
      <w:pPr>
        <w:rPr>
          <w:rFonts w:ascii="Arial" w:hAnsi="Arial" w:cs="Arial"/>
        </w:rPr>
      </w:pPr>
      <w:r w:rsidRPr="000625C3">
        <w:rPr>
          <w:rFonts w:ascii="Arial" w:hAnsi="Arial" w:cs="Arial"/>
          <w:noProof/>
          <w:lang w:eastAsia="es-AR"/>
        </w:rPr>
        <w:drawing>
          <wp:inline distT="0" distB="0" distL="0" distR="0" wp14:anchorId="2C692EF2" wp14:editId="05E1BEBE">
            <wp:extent cx="5400675" cy="2833479"/>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675" cy="2833479"/>
                    </a:xfrm>
                    <a:prstGeom prst="rect">
                      <a:avLst/>
                    </a:prstGeom>
                    <a:noFill/>
                    <a:ln>
                      <a:noFill/>
                    </a:ln>
                  </pic:spPr>
                </pic:pic>
              </a:graphicData>
            </a:graphic>
          </wp:inline>
        </w:drawing>
      </w:r>
    </w:p>
    <w:p w14:paraId="2DB099E3" w14:textId="481C8C96" w:rsidR="00455832" w:rsidRPr="000625C3" w:rsidRDefault="00455832" w:rsidP="00E012E1">
      <w:pPr>
        <w:rPr>
          <w:rFonts w:ascii="Arial" w:hAnsi="Arial" w:cs="Arial"/>
        </w:rPr>
      </w:pPr>
      <w:r w:rsidRPr="000625C3">
        <w:rPr>
          <w:rFonts w:ascii="Arial" w:hAnsi="Arial" w:cs="Arial"/>
        </w:rPr>
        <w:t>La evolución del Plan, producto de la experiencia y aprendizajes obtenidos de las primeras etapas de implementación, ha significado la re-priorización ejes de acción. Para ello se ha puesto foco en aquellas estrategias que accionan directamente sobre el recupero de agua, tanto a corto plazo como a mediano y largo plazo, ya sea accionando sobre la oferta de agua –optimizando el transporte y la distribución del agua- como sobre la variable consumo de agua.</w:t>
      </w:r>
    </w:p>
    <w:p w14:paraId="0A4A295E" w14:textId="130E5F23" w:rsidR="00455832" w:rsidRPr="000625C3" w:rsidRDefault="00455832" w:rsidP="00E012E1">
      <w:pPr>
        <w:rPr>
          <w:rFonts w:ascii="Arial" w:hAnsi="Arial" w:cs="Arial"/>
        </w:rPr>
      </w:pPr>
      <w:r w:rsidRPr="000625C3">
        <w:rPr>
          <w:rFonts w:ascii="Arial" w:hAnsi="Arial" w:cs="Arial"/>
        </w:rPr>
        <w:t>En relación a la variable consumo, la incorporación de estrategias técnicas de sectorización y gestión eficiente por DMA (District Metered Area, por sus siglas en inglés), y de estrategias de micromedición abre la posibilidad de accionar tanto sobre el consumo per cápita como sobre las pérdidas ya sean físicas (pérdida de agua por roturas) o aparentes o comerciales (derroches internos a la vivienda, consumos fraudulentos y clandestinos, submedición metrológica).</w:t>
      </w:r>
    </w:p>
    <w:p w14:paraId="296482D4" w14:textId="0DFCD96F" w:rsidR="00455832" w:rsidRPr="000625C3" w:rsidRDefault="00455832" w:rsidP="00E012E1">
      <w:pPr>
        <w:rPr>
          <w:rFonts w:ascii="Arial" w:hAnsi="Arial" w:cs="Arial"/>
        </w:rPr>
      </w:pPr>
      <w:r w:rsidRPr="000625C3">
        <w:rPr>
          <w:rFonts w:ascii="Arial" w:hAnsi="Arial" w:cs="Arial"/>
        </w:rPr>
        <w:t>El trabajo sobre estos ejes ha permitido una considerable reducción de costos operativos vinculados fundamentalmente con la reducción de escapes y con las menores necesidades relativas de producción de agua, liberando a la vez para su consumo importantes cantidades de agua potable.</w:t>
      </w:r>
    </w:p>
    <w:p w14:paraId="736986BF" w14:textId="7EDFC779" w:rsidR="009129A0" w:rsidRPr="000625C3" w:rsidRDefault="009129A0" w:rsidP="00E012E1">
      <w:pPr>
        <w:rPr>
          <w:rFonts w:ascii="Arial" w:hAnsi="Arial" w:cs="Arial"/>
        </w:rPr>
      </w:pPr>
      <w:r w:rsidRPr="000625C3">
        <w:rPr>
          <w:rFonts w:ascii="Arial" w:hAnsi="Arial" w:cs="Arial"/>
        </w:rPr>
        <w:t xml:space="preserve">No </w:t>
      </w:r>
      <w:r w:rsidR="002217E4" w:rsidRPr="000625C3">
        <w:rPr>
          <w:rFonts w:ascii="Arial" w:hAnsi="Arial" w:cs="Arial"/>
        </w:rPr>
        <w:t>obstante,</w:t>
      </w:r>
      <w:r w:rsidRPr="000625C3">
        <w:rPr>
          <w:rFonts w:ascii="Arial" w:hAnsi="Arial" w:cs="Arial"/>
        </w:rPr>
        <w:t xml:space="preserve"> actualmente subsisten considerables áreas que presentan demandas insatisfechas de agua, particularmente en la zona sur del gran Buenos Aires. En estos casos los usuarios deben recurrir a sistemas de almacenamiento y elevación particulares que resultan onerosos y poco prácticos dentro de sus viviendas particulares, no siempre dando solución a los problemas de falta de agua, particularmente en la temporada estival.</w:t>
      </w:r>
    </w:p>
    <w:p w14:paraId="382E2F72" w14:textId="65CA3A17" w:rsidR="00455832" w:rsidRPr="000625C3" w:rsidRDefault="009129A0" w:rsidP="00E012E1">
      <w:pPr>
        <w:rPr>
          <w:rFonts w:ascii="Arial" w:hAnsi="Arial" w:cs="Arial"/>
        </w:rPr>
      </w:pPr>
      <w:r w:rsidRPr="000625C3">
        <w:rPr>
          <w:rFonts w:ascii="Arial" w:hAnsi="Arial" w:cs="Arial"/>
        </w:rPr>
        <w:t>Ante esta situación resulta indispensable profundizar el trabajo sobre el sistema de agua potable para maximizar su aprovechamiento mejorando la relación entre pérdidas (físicas y aparentes) y consumo efectivo.</w:t>
      </w:r>
    </w:p>
    <w:p w14:paraId="501B8739" w14:textId="668A0029" w:rsidR="003B1C14" w:rsidRPr="000625C3" w:rsidRDefault="003B1C14" w:rsidP="002B0107">
      <w:pPr>
        <w:pStyle w:val="Heading2"/>
        <w:numPr>
          <w:ilvl w:val="1"/>
          <w:numId w:val="17"/>
        </w:numPr>
      </w:pPr>
      <w:bookmarkStart w:id="57" w:name="_Toc485200070"/>
      <w:r w:rsidRPr="000625C3">
        <w:t>Objetivos del Proyecto.</w:t>
      </w:r>
      <w:bookmarkEnd w:id="57"/>
    </w:p>
    <w:p w14:paraId="1A23720E" w14:textId="2644C410" w:rsidR="009129A0" w:rsidRPr="000625C3" w:rsidRDefault="009129A0" w:rsidP="00D63AA7">
      <w:pPr>
        <w:rPr>
          <w:rFonts w:ascii="Arial" w:hAnsi="Arial" w:cs="Arial"/>
        </w:rPr>
      </w:pPr>
      <w:r w:rsidRPr="000625C3">
        <w:rPr>
          <w:rFonts w:ascii="Arial" w:hAnsi="Arial" w:cs="Arial"/>
        </w:rPr>
        <w:t>Los objetivos del proyecto, consistentes con la situación descripta, buscan entonces una mejora sustancial de la eficiencia del sistema a partir de las siguientes acciones:</w:t>
      </w:r>
    </w:p>
    <w:p w14:paraId="331E2380" w14:textId="4309E121" w:rsidR="009129A0" w:rsidRPr="000625C3" w:rsidRDefault="009129A0" w:rsidP="00C4100D">
      <w:pPr>
        <w:pStyle w:val="ListParagraph"/>
        <w:numPr>
          <w:ilvl w:val="0"/>
          <w:numId w:val="21"/>
        </w:numPr>
        <w:rPr>
          <w:rFonts w:ascii="Arial" w:hAnsi="Arial" w:cs="Arial"/>
        </w:rPr>
      </w:pPr>
      <w:r w:rsidRPr="000625C3">
        <w:rPr>
          <w:rFonts w:ascii="Arial" w:hAnsi="Arial" w:cs="Arial"/>
        </w:rPr>
        <w:lastRenderedPageBreak/>
        <w:t>Completar el sistema de válvulas reguladoras de presión con el objeto de reducir los volúmenes de pérdidas físicas y liberar agua aprovechable en áreas de demanda insatisfecha.</w:t>
      </w:r>
    </w:p>
    <w:p w14:paraId="3B79C85E" w14:textId="724871DD" w:rsidR="009129A0" w:rsidRPr="000625C3" w:rsidRDefault="009129A0" w:rsidP="00C4100D">
      <w:pPr>
        <w:pStyle w:val="ListParagraph"/>
        <w:numPr>
          <w:ilvl w:val="0"/>
          <w:numId w:val="21"/>
        </w:numPr>
        <w:rPr>
          <w:rFonts w:ascii="Arial" w:hAnsi="Arial" w:cs="Arial"/>
        </w:rPr>
      </w:pPr>
      <w:r w:rsidRPr="000625C3">
        <w:rPr>
          <w:rFonts w:ascii="Arial" w:hAnsi="Arial" w:cs="Arial"/>
        </w:rPr>
        <w:t xml:space="preserve">Avanzar en la </w:t>
      </w:r>
      <w:r w:rsidR="00772A7F" w:rsidRPr="000625C3">
        <w:rPr>
          <w:rFonts w:ascii="Arial" w:hAnsi="Arial" w:cs="Arial"/>
        </w:rPr>
        <w:t>micro medición</w:t>
      </w:r>
      <w:r w:rsidRPr="000625C3">
        <w:rPr>
          <w:rFonts w:ascii="Arial" w:hAnsi="Arial" w:cs="Arial"/>
        </w:rPr>
        <w:t xml:space="preserve"> de consumos, particularmente en áreas con bajos niveles de pérdidas físicas a fin de disminuir </w:t>
      </w:r>
      <w:r w:rsidR="00AD0CBC" w:rsidRPr="000625C3">
        <w:rPr>
          <w:rFonts w:ascii="Arial" w:hAnsi="Arial" w:cs="Arial"/>
        </w:rPr>
        <w:t>el derroche con el mismo objetivo del punto 1.</w:t>
      </w:r>
    </w:p>
    <w:p w14:paraId="49D77089" w14:textId="56CF2BB7" w:rsidR="00AD0CBC" w:rsidRPr="000625C3" w:rsidRDefault="00AD0CBC" w:rsidP="00C4100D">
      <w:pPr>
        <w:pStyle w:val="ListParagraph"/>
        <w:numPr>
          <w:ilvl w:val="0"/>
          <w:numId w:val="21"/>
        </w:numPr>
        <w:rPr>
          <w:rFonts w:ascii="Arial" w:hAnsi="Arial" w:cs="Arial"/>
        </w:rPr>
      </w:pPr>
      <w:r w:rsidRPr="000625C3">
        <w:rPr>
          <w:rFonts w:ascii="Arial" w:hAnsi="Arial" w:cs="Arial"/>
        </w:rPr>
        <w:t xml:space="preserve">Avanzar en el cierre hidráulico de las DMA con el objeto de obtener un mayor control de la oferta, la demanda y las pérdidas y de este modo avanzar localizadamente en la reducción de estas últimas. </w:t>
      </w:r>
    </w:p>
    <w:p w14:paraId="2CDF6E81" w14:textId="77777777" w:rsidR="00AD0CBC" w:rsidRPr="000625C3" w:rsidRDefault="00AD0CBC" w:rsidP="003B1C14">
      <w:pPr>
        <w:rPr>
          <w:rFonts w:ascii="Arial" w:hAnsi="Arial" w:cs="Arial"/>
        </w:rPr>
      </w:pPr>
      <w:r w:rsidRPr="000625C3">
        <w:rPr>
          <w:rFonts w:ascii="Arial" w:hAnsi="Arial" w:cs="Arial"/>
        </w:rPr>
        <w:t>Como resultado conjunto de estas acciones dentro del alcance del presente proyecto se prevé entonces lo siguiente:</w:t>
      </w:r>
    </w:p>
    <w:p w14:paraId="7B19C40C" w14:textId="74F0DC4B" w:rsidR="00AD0CBC" w:rsidRPr="000625C3" w:rsidRDefault="00AD0CBC" w:rsidP="00C4100D">
      <w:pPr>
        <w:pStyle w:val="ListParagraph"/>
        <w:numPr>
          <w:ilvl w:val="0"/>
          <w:numId w:val="22"/>
        </w:numPr>
        <w:rPr>
          <w:rFonts w:ascii="Arial" w:hAnsi="Arial" w:cs="Arial"/>
        </w:rPr>
      </w:pPr>
      <w:r w:rsidRPr="000625C3">
        <w:rPr>
          <w:rFonts w:ascii="Arial" w:hAnsi="Arial" w:cs="Arial"/>
        </w:rPr>
        <w:t xml:space="preserve">Ahorros de agua potable del orden de </w:t>
      </w:r>
      <w:r w:rsidR="00ED1BF2" w:rsidRPr="000625C3">
        <w:rPr>
          <w:rFonts w:ascii="Arial" w:hAnsi="Arial" w:cs="Arial"/>
        </w:rPr>
        <w:t>46.787</w:t>
      </w:r>
      <w:r w:rsidRPr="000625C3">
        <w:rPr>
          <w:rFonts w:ascii="Arial" w:hAnsi="Arial" w:cs="Arial"/>
        </w:rPr>
        <w:t xml:space="preserve"> m</w:t>
      </w:r>
      <w:r w:rsidRPr="000625C3">
        <w:rPr>
          <w:rFonts w:ascii="Arial" w:hAnsi="Arial" w:cs="Arial"/>
          <w:vertAlign w:val="superscript"/>
        </w:rPr>
        <w:t>3</w:t>
      </w:r>
      <w:r w:rsidRPr="000625C3">
        <w:rPr>
          <w:rFonts w:ascii="Arial" w:hAnsi="Arial" w:cs="Arial"/>
        </w:rPr>
        <w:t>/día de los que se espera aprovechar para reducción de demandas insatisfechas el 40%</w:t>
      </w:r>
      <w:r w:rsidRPr="000625C3">
        <w:rPr>
          <w:rStyle w:val="FootnoteReference"/>
          <w:rFonts w:ascii="Arial" w:hAnsi="Arial" w:cs="Arial"/>
        </w:rPr>
        <w:footnoteReference w:id="7"/>
      </w:r>
      <w:r w:rsidRPr="000625C3">
        <w:rPr>
          <w:rFonts w:ascii="Arial" w:hAnsi="Arial" w:cs="Arial"/>
        </w:rPr>
        <w:t>.</w:t>
      </w:r>
    </w:p>
    <w:p w14:paraId="4C7F2812" w14:textId="710DA635" w:rsidR="00AD0CBC" w:rsidRPr="000625C3" w:rsidRDefault="00AD0CBC" w:rsidP="00C4100D">
      <w:pPr>
        <w:pStyle w:val="ListParagraph"/>
        <w:numPr>
          <w:ilvl w:val="0"/>
          <w:numId w:val="22"/>
        </w:numPr>
        <w:rPr>
          <w:rFonts w:ascii="Arial" w:hAnsi="Arial" w:cs="Arial"/>
        </w:rPr>
      </w:pPr>
      <w:r w:rsidRPr="000625C3">
        <w:rPr>
          <w:rFonts w:ascii="Arial" w:hAnsi="Arial" w:cs="Arial"/>
        </w:rPr>
        <w:t xml:space="preserve">Ahorros operativos vinculados a la reparación evitada de 3.390 </w:t>
      </w:r>
      <w:r w:rsidR="00B037F3">
        <w:rPr>
          <w:rFonts w:ascii="Arial" w:hAnsi="Arial" w:cs="Arial"/>
        </w:rPr>
        <w:t>fugas</w:t>
      </w:r>
      <w:r w:rsidRPr="000625C3">
        <w:rPr>
          <w:rFonts w:ascii="Arial" w:hAnsi="Arial" w:cs="Arial"/>
        </w:rPr>
        <w:t xml:space="preserve"> de agua por año.</w:t>
      </w:r>
    </w:p>
    <w:p w14:paraId="5740197D" w14:textId="210BA433" w:rsidR="00ED1BF2" w:rsidRPr="000625C3" w:rsidRDefault="00ED1BF2" w:rsidP="00C4100D">
      <w:pPr>
        <w:pStyle w:val="ListParagraph"/>
        <w:numPr>
          <w:ilvl w:val="0"/>
          <w:numId w:val="22"/>
        </w:numPr>
        <w:rPr>
          <w:rFonts w:ascii="Arial" w:hAnsi="Arial" w:cs="Arial"/>
        </w:rPr>
      </w:pPr>
      <w:r w:rsidRPr="000625C3">
        <w:rPr>
          <w:rFonts w:ascii="Arial" w:hAnsi="Arial" w:cs="Arial"/>
        </w:rPr>
        <w:t>Ahorros operativos vinculados al cese de la producción del 60% del agua ahorrada del punto 1.</w:t>
      </w:r>
    </w:p>
    <w:p w14:paraId="72AF46E9" w14:textId="77777777" w:rsidR="006E0B1C" w:rsidRPr="000625C3" w:rsidRDefault="006E0B1C" w:rsidP="003B1C14">
      <w:pPr>
        <w:rPr>
          <w:rFonts w:ascii="Arial" w:hAnsi="Arial" w:cs="Arial"/>
        </w:rPr>
      </w:pPr>
    </w:p>
    <w:p w14:paraId="25795635" w14:textId="77777777" w:rsidR="000F7BCB" w:rsidRPr="000625C3" w:rsidRDefault="003B1C14" w:rsidP="002B0107">
      <w:pPr>
        <w:pStyle w:val="Heading2"/>
        <w:numPr>
          <w:ilvl w:val="0"/>
          <w:numId w:val="17"/>
        </w:numPr>
      </w:pPr>
      <w:bookmarkStart w:id="58" w:name="_Toc485200071"/>
      <w:r w:rsidRPr="000625C3">
        <w:t>Metodología adoptada par</w:t>
      </w:r>
      <w:r w:rsidR="000F7BCB" w:rsidRPr="000625C3">
        <w:t>a la evaluación del proyecto.</w:t>
      </w:r>
      <w:bookmarkEnd w:id="58"/>
    </w:p>
    <w:p w14:paraId="41DBD6F9" w14:textId="77777777" w:rsidR="00E15EF6" w:rsidRPr="000625C3" w:rsidRDefault="00E15EF6" w:rsidP="00E15EF6">
      <w:pPr>
        <w:rPr>
          <w:rFonts w:ascii="Arial" w:hAnsi="Arial" w:cs="Arial"/>
        </w:rPr>
      </w:pPr>
      <w:r w:rsidRPr="000625C3">
        <w:rPr>
          <w:rFonts w:ascii="Arial" w:hAnsi="Arial" w:cs="Arial"/>
        </w:rPr>
        <w:t>El esquema de evaluación socioeconómica adoptado en el caso del presente proyecto se compone de dos aspectos a saber:</w:t>
      </w:r>
    </w:p>
    <w:p w14:paraId="29D2E24E" w14:textId="294D0FAF" w:rsidR="00E15EF6" w:rsidRPr="000625C3" w:rsidRDefault="00E15EF6" w:rsidP="00C4100D">
      <w:pPr>
        <w:pStyle w:val="ListParagraph"/>
        <w:numPr>
          <w:ilvl w:val="0"/>
          <w:numId w:val="5"/>
        </w:numPr>
        <w:rPr>
          <w:rFonts w:ascii="Arial" w:hAnsi="Arial" w:cs="Arial"/>
        </w:rPr>
      </w:pPr>
      <w:r w:rsidRPr="000625C3">
        <w:rPr>
          <w:rFonts w:ascii="Arial" w:hAnsi="Arial" w:cs="Arial"/>
        </w:rPr>
        <w:t>Identificación de beneficiarios y análisis de su situación socioeconómica.</w:t>
      </w:r>
    </w:p>
    <w:p w14:paraId="1A4087A1" w14:textId="406FF112" w:rsidR="00E15EF6" w:rsidRPr="000625C3" w:rsidRDefault="00E15EF6" w:rsidP="00C4100D">
      <w:pPr>
        <w:pStyle w:val="ListParagraph"/>
        <w:numPr>
          <w:ilvl w:val="0"/>
          <w:numId w:val="5"/>
        </w:numPr>
        <w:rPr>
          <w:rFonts w:ascii="Arial" w:hAnsi="Arial" w:cs="Arial"/>
        </w:rPr>
      </w:pPr>
      <w:r w:rsidRPr="000625C3">
        <w:rPr>
          <w:rFonts w:ascii="Arial" w:hAnsi="Arial" w:cs="Arial"/>
        </w:rPr>
        <w:t>Análisis cos</w:t>
      </w:r>
      <w:r w:rsidR="004A3D76" w:rsidRPr="000625C3">
        <w:rPr>
          <w:rFonts w:ascii="Arial" w:hAnsi="Arial" w:cs="Arial"/>
        </w:rPr>
        <w:t>to beneficio social (ACBS) de los componentes seleccionados</w:t>
      </w:r>
      <w:r w:rsidRPr="000625C3">
        <w:rPr>
          <w:rFonts w:ascii="Arial" w:hAnsi="Arial" w:cs="Arial"/>
        </w:rPr>
        <w:t>.</w:t>
      </w:r>
    </w:p>
    <w:p w14:paraId="3AECFED4" w14:textId="10735E0C" w:rsidR="000F7BCB" w:rsidRPr="000625C3" w:rsidRDefault="00E15EF6" w:rsidP="00E15EF6">
      <w:pPr>
        <w:rPr>
          <w:rFonts w:ascii="Arial" w:hAnsi="Arial" w:cs="Arial"/>
        </w:rPr>
      </w:pPr>
      <w:r w:rsidRPr="000625C3">
        <w:rPr>
          <w:rFonts w:ascii="Arial" w:hAnsi="Arial" w:cs="Arial"/>
        </w:rPr>
        <w:t xml:space="preserve">En este caso se obvia el análisis de alternativas por tratarse de </w:t>
      </w:r>
      <w:r w:rsidR="004A3D76" w:rsidRPr="000625C3">
        <w:rPr>
          <w:rFonts w:ascii="Arial" w:hAnsi="Arial" w:cs="Arial"/>
        </w:rPr>
        <w:t>componentes específicos de un plan integral de mejora de eficiencia cuya comparabilidad resulta en extremo compleja, destacándose que en el caso de la instalación de sistemas reguladores de presión (componente que aporta importantes resultados a un costo relativamente bajo) no presenta posibilidades (por el momento) de mayor extensión</w:t>
      </w:r>
      <w:r w:rsidRPr="000625C3">
        <w:rPr>
          <w:rFonts w:ascii="Arial" w:hAnsi="Arial" w:cs="Arial"/>
        </w:rPr>
        <w:t>.</w:t>
      </w:r>
    </w:p>
    <w:p w14:paraId="30F8E11C" w14:textId="77777777" w:rsidR="000F7BCB" w:rsidRPr="000625C3" w:rsidRDefault="000F7BCB" w:rsidP="000F7BCB">
      <w:pPr>
        <w:rPr>
          <w:rFonts w:ascii="Arial" w:hAnsi="Arial" w:cs="Arial"/>
        </w:rPr>
      </w:pPr>
    </w:p>
    <w:p w14:paraId="56E0BDB2" w14:textId="77777777" w:rsidR="003B1C14" w:rsidRPr="000625C3" w:rsidRDefault="003B1C14" w:rsidP="002B0107">
      <w:pPr>
        <w:pStyle w:val="Heading2"/>
        <w:numPr>
          <w:ilvl w:val="1"/>
          <w:numId w:val="19"/>
        </w:numPr>
      </w:pPr>
      <w:bookmarkStart w:id="59" w:name="_Toc485200072"/>
      <w:r w:rsidRPr="000625C3">
        <w:t>Beneficiarios y situación socioeconómica.</w:t>
      </w:r>
      <w:bookmarkEnd w:id="59"/>
    </w:p>
    <w:p w14:paraId="7722B8B9" w14:textId="769DF04D" w:rsidR="00E15EF6" w:rsidRPr="000625C3" w:rsidRDefault="00E15EF6" w:rsidP="00E15EF6">
      <w:pPr>
        <w:rPr>
          <w:rFonts w:ascii="Arial" w:hAnsi="Arial" w:cs="Arial"/>
        </w:rPr>
      </w:pPr>
      <w:r w:rsidRPr="000625C3">
        <w:rPr>
          <w:rFonts w:ascii="Arial" w:hAnsi="Arial" w:cs="Arial"/>
        </w:rPr>
        <w:t>La identificación de los beneficiarios del proyecto surge de los estudios desarrollados por las áreas de ingeniería de la empresa.</w:t>
      </w:r>
    </w:p>
    <w:p w14:paraId="06DA3D4B" w14:textId="4860122B" w:rsidR="000F7BCB" w:rsidRPr="000625C3" w:rsidRDefault="00E15EF6" w:rsidP="00E15EF6">
      <w:pPr>
        <w:rPr>
          <w:rFonts w:ascii="Arial" w:hAnsi="Arial" w:cs="Arial"/>
        </w:rPr>
      </w:pPr>
      <w:r w:rsidRPr="000625C3">
        <w:rPr>
          <w:rFonts w:ascii="Arial" w:hAnsi="Arial" w:cs="Arial"/>
        </w:rPr>
        <w:t>Una vez determinadas las áreas en las que se desarrollarán las obras se analiza su situación socioeconómica a partir de los datos agregados a nivel de radio censal utilizando como fuente el Censo Nacional de Población y Viviendas 2010 (último disponible). Estos datos serán complementados con información proveniente de la Encuesta Permanente de Hogares correspondiente al tercer trimestre del 2016 (última base usuaria disponible para análisis público).</w:t>
      </w:r>
    </w:p>
    <w:p w14:paraId="28A5D83C" w14:textId="77777777" w:rsidR="00E15EF6" w:rsidRPr="000625C3" w:rsidRDefault="00E15EF6" w:rsidP="00E15EF6">
      <w:pPr>
        <w:rPr>
          <w:rFonts w:ascii="Arial" w:hAnsi="Arial" w:cs="Arial"/>
        </w:rPr>
      </w:pPr>
    </w:p>
    <w:p w14:paraId="7D6E21BC" w14:textId="34EBAE61" w:rsidR="003B1C14" w:rsidRPr="000625C3" w:rsidRDefault="003B1C14" w:rsidP="002B0107">
      <w:pPr>
        <w:pStyle w:val="Heading2"/>
        <w:numPr>
          <w:ilvl w:val="1"/>
          <w:numId w:val="17"/>
        </w:numPr>
      </w:pPr>
      <w:bookmarkStart w:id="60" w:name="_Toc485200073"/>
      <w:r w:rsidRPr="000625C3">
        <w:lastRenderedPageBreak/>
        <w:t>Análisis costo beneficio social (ACBS).</w:t>
      </w:r>
      <w:bookmarkEnd w:id="60"/>
    </w:p>
    <w:p w14:paraId="085EF96E" w14:textId="34DD41F1" w:rsidR="004A3D76" w:rsidRPr="000625C3" w:rsidRDefault="00A759D5" w:rsidP="004A3D76">
      <w:pPr>
        <w:rPr>
          <w:rFonts w:ascii="Arial" w:hAnsi="Arial" w:cs="Arial"/>
        </w:rPr>
      </w:pPr>
      <w:r>
        <w:rPr>
          <w:rFonts w:ascii="Arial" w:hAnsi="Arial" w:cs="Arial"/>
        </w:rPr>
        <w:t>E</w:t>
      </w:r>
      <w:r w:rsidR="004A3D76" w:rsidRPr="000625C3">
        <w:rPr>
          <w:rFonts w:ascii="Arial" w:hAnsi="Arial" w:cs="Arial"/>
        </w:rPr>
        <w:t xml:space="preserve">l ACBS se realizará aplicando el modelo computacional SIMOP. Cabe destacar que esta opción es también recomendada por el Instituto Latinoamericano y del Caribe de Planificación Económica y Social (ILPES). </w:t>
      </w:r>
    </w:p>
    <w:p w14:paraId="3E93A124" w14:textId="77777777" w:rsidR="004A3D76" w:rsidRPr="000625C3" w:rsidRDefault="004A3D76" w:rsidP="004A3D76">
      <w:pPr>
        <w:rPr>
          <w:rFonts w:ascii="Arial" w:hAnsi="Arial" w:cs="Arial"/>
        </w:rPr>
      </w:pPr>
      <w:r w:rsidRPr="000625C3">
        <w:rPr>
          <w:rFonts w:ascii="Arial" w:hAnsi="Arial" w:cs="Arial"/>
        </w:rPr>
        <w:t>SIMOP, sigla de “Simulador de Obras Públicas”, es un modelo computacional que simula el consumo, la distribución y la producción de agua potable en un sistema público a fin de calcular los beneficios económicos que se obtienen al ampliar la capacidad de producción o al reemplazar fuentes privadas individuales por sistemas de red pública.</w:t>
      </w:r>
    </w:p>
    <w:p w14:paraId="4099B40D" w14:textId="77777777" w:rsidR="004A3D76" w:rsidRPr="000625C3" w:rsidRDefault="004A3D76" w:rsidP="004A3D76">
      <w:pPr>
        <w:rPr>
          <w:rFonts w:ascii="Arial" w:hAnsi="Arial" w:cs="Arial"/>
        </w:rPr>
      </w:pPr>
      <w:r w:rsidRPr="000625C3">
        <w:rPr>
          <w:rFonts w:ascii="Arial" w:hAnsi="Arial" w:cs="Arial"/>
        </w:rPr>
        <w:t>SIMOP ha sido desarrollado conjuntamente por la División de Sistemas Gerenciales y la Unidad de Evaluación de Metodología de Proyectos del Banco Interamericano de Desarrollo y desde el año 1978 viene utilizándose regularmente en la evaluación de proyectos de inversión del sector agua potable.</w:t>
      </w:r>
    </w:p>
    <w:p w14:paraId="639D259F" w14:textId="77777777" w:rsidR="004A3D76" w:rsidRPr="000625C3" w:rsidRDefault="004A3D76" w:rsidP="004A3D76">
      <w:pPr>
        <w:rPr>
          <w:rFonts w:ascii="Arial" w:hAnsi="Arial" w:cs="Arial"/>
        </w:rPr>
      </w:pPr>
      <w:r w:rsidRPr="000625C3">
        <w:rPr>
          <w:rFonts w:ascii="Arial" w:hAnsi="Arial" w:cs="Arial"/>
        </w:rPr>
        <w:t>El modelo permite:</w:t>
      </w:r>
    </w:p>
    <w:p w14:paraId="1EB928DE" w14:textId="1FD825A7" w:rsidR="004A3D76" w:rsidRPr="000625C3" w:rsidRDefault="004A3D76" w:rsidP="00C4100D">
      <w:pPr>
        <w:pStyle w:val="ListParagraph"/>
        <w:numPr>
          <w:ilvl w:val="0"/>
          <w:numId w:val="23"/>
        </w:numPr>
        <w:rPr>
          <w:rFonts w:ascii="Arial" w:hAnsi="Arial" w:cs="Arial"/>
        </w:rPr>
      </w:pPr>
      <w:r w:rsidRPr="000625C3">
        <w:rPr>
          <w:rFonts w:ascii="Arial" w:hAnsi="Arial" w:cs="Arial"/>
        </w:rPr>
        <w:t>Desagregar el consumo de agua en cinco grupos de consumidores, cada uno con su propia función de demanda, política de fijación de precios y costos de suministro alternativo.</w:t>
      </w:r>
    </w:p>
    <w:p w14:paraId="406199E6" w14:textId="59FC1790" w:rsidR="004A3D76" w:rsidRPr="000625C3" w:rsidRDefault="004A3D76" w:rsidP="00C4100D">
      <w:pPr>
        <w:pStyle w:val="ListParagraph"/>
        <w:numPr>
          <w:ilvl w:val="0"/>
          <w:numId w:val="23"/>
        </w:numPr>
        <w:rPr>
          <w:rFonts w:ascii="Arial" w:hAnsi="Arial" w:cs="Arial"/>
        </w:rPr>
      </w:pPr>
      <w:r w:rsidRPr="000625C3">
        <w:rPr>
          <w:rFonts w:ascii="Arial" w:hAnsi="Arial" w:cs="Arial"/>
        </w:rPr>
        <w:t>Elegir entre tres tipos diferentes de curva de demanda.</w:t>
      </w:r>
    </w:p>
    <w:p w14:paraId="7B59F0CE" w14:textId="4D9A0F80" w:rsidR="004A3D76" w:rsidRPr="000625C3" w:rsidRDefault="004A3D76" w:rsidP="00C4100D">
      <w:pPr>
        <w:pStyle w:val="ListParagraph"/>
        <w:numPr>
          <w:ilvl w:val="0"/>
          <w:numId w:val="23"/>
        </w:numPr>
        <w:rPr>
          <w:rFonts w:ascii="Arial" w:hAnsi="Arial" w:cs="Arial"/>
        </w:rPr>
      </w:pPr>
      <w:r w:rsidRPr="000625C3">
        <w:rPr>
          <w:rFonts w:ascii="Arial" w:hAnsi="Arial" w:cs="Arial"/>
        </w:rPr>
        <w:t>Especificar hasta seis flujos de costos periódicos y seis no periódicos.</w:t>
      </w:r>
    </w:p>
    <w:p w14:paraId="44781063" w14:textId="00A27C94" w:rsidR="004A3D76" w:rsidRPr="000625C3" w:rsidRDefault="004A3D76" w:rsidP="00C4100D">
      <w:pPr>
        <w:pStyle w:val="ListParagraph"/>
        <w:numPr>
          <w:ilvl w:val="0"/>
          <w:numId w:val="23"/>
        </w:numPr>
        <w:rPr>
          <w:rFonts w:ascii="Arial" w:hAnsi="Arial" w:cs="Arial"/>
        </w:rPr>
      </w:pPr>
      <w:r w:rsidRPr="000625C3">
        <w:rPr>
          <w:rFonts w:ascii="Arial" w:hAnsi="Arial" w:cs="Arial"/>
        </w:rPr>
        <w:t>Incorporar hasta seis funciones de costo variable.</w:t>
      </w:r>
    </w:p>
    <w:p w14:paraId="7FB99680" w14:textId="4D19820D" w:rsidR="000F7BCB" w:rsidRPr="000625C3" w:rsidRDefault="004A3D76" w:rsidP="004A3D76">
      <w:pPr>
        <w:rPr>
          <w:rFonts w:ascii="Arial" w:hAnsi="Arial" w:cs="Arial"/>
        </w:rPr>
      </w:pPr>
      <w:r w:rsidRPr="000625C3">
        <w:rPr>
          <w:rFonts w:ascii="Arial" w:hAnsi="Arial" w:cs="Arial"/>
        </w:rPr>
        <w:t>La determinación de los beneficios económicos se basa en el cálculo de los beneficios brutos generados por los cambios de oferta y/o precio tomando en consideración la curva de demanda agregada de cada grupo consumidor a lo largo del horizonte de evaluación del proyecto. Las curvas de demanda utilizadas en la evaluación son las correspondientes al momento inmediatamente anterior a la realización del proyecto y se definen considerando la cantidad demandada, el precio y la elasticidad precio de la demanda en ese punto.</w:t>
      </w:r>
    </w:p>
    <w:p w14:paraId="0DCFA9C9" w14:textId="531CA068" w:rsidR="003B1C14" w:rsidRPr="000625C3" w:rsidRDefault="003B1C14" w:rsidP="00FA0F96">
      <w:pPr>
        <w:rPr>
          <w:rFonts w:ascii="Arial" w:hAnsi="Arial" w:cs="Arial"/>
        </w:rPr>
      </w:pPr>
      <w:r w:rsidRPr="000625C3">
        <w:rPr>
          <w:rFonts w:ascii="Arial" w:hAnsi="Arial" w:cs="Arial"/>
        </w:rPr>
        <w:br w:type="page"/>
      </w:r>
    </w:p>
    <w:p w14:paraId="11AB572D" w14:textId="77777777" w:rsidR="00DC6E12" w:rsidRPr="000625C3" w:rsidRDefault="00DC6E12" w:rsidP="00DC6E12">
      <w:pPr>
        <w:rPr>
          <w:rFonts w:ascii="Arial" w:hAnsi="Arial" w:cs="Arial"/>
        </w:rPr>
      </w:pPr>
    </w:p>
    <w:p w14:paraId="72B12C1A" w14:textId="77777777" w:rsidR="003B1C14" w:rsidRPr="000625C3" w:rsidRDefault="003B1C14" w:rsidP="00F5783E">
      <w:pPr>
        <w:pStyle w:val="Heading1"/>
      </w:pPr>
      <w:bookmarkStart w:id="61" w:name="_Toc485200074"/>
      <w:r w:rsidRPr="000625C3">
        <w:t>Capítulo II: Beneficiarios.</w:t>
      </w:r>
      <w:bookmarkEnd w:id="61"/>
    </w:p>
    <w:p w14:paraId="1BF79A8E" w14:textId="77777777" w:rsidR="00DC6E12" w:rsidRPr="000625C3" w:rsidRDefault="00DC6E12" w:rsidP="00DC6E12">
      <w:pPr>
        <w:rPr>
          <w:rFonts w:ascii="Arial" w:hAnsi="Arial" w:cs="Arial"/>
        </w:rPr>
      </w:pPr>
    </w:p>
    <w:p w14:paraId="21E4035C" w14:textId="3BF0F65E" w:rsidR="003B1C14" w:rsidRPr="000625C3" w:rsidRDefault="003B1C14" w:rsidP="002B0107">
      <w:pPr>
        <w:pStyle w:val="Heading2"/>
        <w:numPr>
          <w:ilvl w:val="0"/>
          <w:numId w:val="40"/>
        </w:numPr>
      </w:pPr>
      <w:bookmarkStart w:id="62" w:name="_Toc485200075"/>
      <w:r w:rsidRPr="000625C3">
        <w:t>Determinación de beneficiarios.</w:t>
      </w:r>
      <w:bookmarkEnd w:id="62"/>
    </w:p>
    <w:p w14:paraId="51FF9C12" w14:textId="77777777" w:rsidR="00F674B9" w:rsidRPr="000625C3" w:rsidRDefault="00F674B9" w:rsidP="000A7F56">
      <w:pPr>
        <w:rPr>
          <w:rFonts w:ascii="Arial" w:hAnsi="Arial" w:cs="Arial"/>
        </w:rPr>
      </w:pPr>
      <w:r w:rsidRPr="000625C3">
        <w:rPr>
          <w:rFonts w:ascii="Arial" w:hAnsi="Arial" w:cs="Arial"/>
        </w:rPr>
        <w:t>Como se señaló el proyecto bajo análisis posee distintos componentes cuyo principal objeto es lograr ahorros de agua que parcialmente serán destinados a mejorar la oferta de agua en áreas con demanda insatisfecha.</w:t>
      </w:r>
    </w:p>
    <w:p w14:paraId="48E26C4F" w14:textId="77777777" w:rsidR="00F674B9" w:rsidRPr="000625C3" w:rsidRDefault="00F674B9" w:rsidP="000A7F56">
      <w:pPr>
        <w:rPr>
          <w:rFonts w:ascii="Arial" w:hAnsi="Arial" w:cs="Arial"/>
        </w:rPr>
      </w:pPr>
      <w:r w:rsidRPr="000625C3">
        <w:rPr>
          <w:rFonts w:ascii="Arial" w:hAnsi="Arial" w:cs="Arial"/>
        </w:rPr>
        <w:t>De este modo, a partir de las acciones propuestas es posible identificar dos grupos poblacionales claramente definidos para los que resulta procedente realizar su caracterización socioeconómica. Por un lado se encuentran los beneficiarios propiamente dichos que corresponden a los hogares con servicio de agua potable localizados en la región sur del área de prestación de AySA actualmente integrada al sistema de transporte y distribución (partidos de Almirante Brown, Avellaneda, Esteban Echeverría, Lanús, Lomas de Zamora y Quilmes). Por el otro se encuentran los hogares que serán alcanzados por la instalación de medidores y cuyos consumos pasarán a estar sujetos a precio (DMA’s que pasarán a estar integralmente medidas).</w:t>
      </w:r>
    </w:p>
    <w:p w14:paraId="661799B5" w14:textId="77777777" w:rsidR="001811D6" w:rsidRPr="000625C3" w:rsidRDefault="00F674B9" w:rsidP="000A7F56">
      <w:pPr>
        <w:rPr>
          <w:rFonts w:ascii="Arial" w:hAnsi="Arial" w:cs="Arial"/>
        </w:rPr>
      </w:pPr>
      <w:r w:rsidRPr="000625C3">
        <w:rPr>
          <w:rFonts w:ascii="Arial" w:hAnsi="Arial" w:cs="Arial"/>
        </w:rPr>
        <w:t>Este último grupo no puede definirse como “beneficiario” ya que no recibirán una mejora concreta en el servicio (en todo caso adquieren cierto control sobre los montos que les son facturados por el servicio</w:t>
      </w:r>
      <w:r w:rsidR="001811D6" w:rsidRPr="000625C3">
        <w:rPr>
          <w:rFonts w:ascii="Arial" w:hAnsi="Arial" w:cs="Arial"/>
        </w:rPr>
        <w:t xml:space="preserve"> y alguna mejora marginal producto de mayor oferta</w:t>
      </w:r>
      <w:r w:rsidRPr="000625C3">
        <w:rPr>
          <w:rFonts w:ascii="Arial" w:hAnsi="Arial" w:cs="Arial"/>
        </w:rPr>
        <w:t xml:space="preserve">), sino que al ver sus consumos sometidos a precio procederán a eliminar el derroche y el consumo cuya utilidad presente un valor inferior </w:t>
      </w:r>
      <w:r w:rsidR="001811D6" w:rsidRPr="000625C3">
        <w:rPr>
          <w:rFonts w:ascii="Arial" w:hAnsi="Arial" w:cs="Arial"/>
        </w:rPr>
        <w:t xml:space="preserve">al precio regulado del servicio, generando un ahorro de agua. </w:t>
      </w:r>
    </w:p>
    <w:p w14:paraId="2DD9A169" w14:textId="68A51AA3" w:rsidR="00DC6E12" w:rsidRPr="000625C3" w:rsidRDefault="001811D6" w:rsidP="000A7F56">
      <w:pPr>
        <w:rPr>
          <w:rFonts w:ascii="Arial" w:hAnsi="Arial" w:cs="Arial"/>
        </w:rPr>
      </w:pPr>
      <w:r w:rsidRPr="000625C3">
        <w:rPr>
          <w:rFonts w:ascii="Arial" w:hAnsi="Arial" w:cs="Arial"/>
        </w:rPr>
        <w:t>En este sentido, y para el componente micromedición del proyecto</w:t>
      </w:r>
      <w:r w:rsidR="002B7698" w:rsidRPr="000625C3">
        <w:rPr>
          <w:rFonts w:ascii="Arial" w:hAnsi="Arial" w:cs="Arial"/>
        </w:rPr>
        <w:t>,</w:t>
      </w:r>
      <w:r w:rsidRPr="000625C3">
        <w:rPr>
          <w:rFonts w:ascii="Arial" w:hAnsi="Arial" w:cs="Arial"/>
        </w:rPr>
        <w:t xml:space="preserve"> existe una mejora paretiana potencial consistente en la transferencia de consumos de agua de baja utilidad desde el grupo alcanzado por la instalación de medidores a los hogares con demanda insatisfecha (consumo de agua de mayor utilidad). Así, esta “redistribución de consumos” genera una mejora social concreta en la que resulta importante evaluar la situación socioeconómica del grupo que generará el ahorro.</w:t>
      </w:r>
    </w:p>
    <w:p w14:paraId="0C42A74D" w14:textId="77777777" w:rsidR="00FA0F96" w:rsidRPr="000625C3" w:rsidRDefault="00FA0F96" w:rsidP="00FA0F96">
      <w:pPr>
        <w:rPr>
          <w:rFonts w:ascii="Arial" w:hAnsi="Arial" w:cs="Arial"/>
        </w:rPr>
      </w:pPr>
      <w:r w:rsidRPr="000625C3">
        <w:rPr>
          <w:rFonts w:ascii="Arial" w:hAnsi="Arial" w:cs="Arial"/>
        </w:rPr>
        <w:t>Para la identificación de ambos grupos de interés se partió de la definición de las áreas geográficas alcanzadas con demanda insatisfecha y las áreas correspondientes a DMA’s que serán objeto de micromedición de consumos. Con estas áreas, y a partir de la aplicación de un GIS se identificaron los radios censales alcanzados y se analizaron sus principales características.</w:t>
      </w:r>
    </w:p>
    <w:p w14:paraId="14CEC647" w14:textId="27378F26" w:rsidR="00FA0F96" w:rsidRPr="000625C3" w:rsidRDefault="00FA0F96" w:rsidP="00FA0F96">
      <w:pPr>
        <w:rPr>
          <w:rFonts w:ascii="Arial" w:hAnsi="Arial" w:cs="Arial"/>
        </w:rPr>
      </w:pPr>
      <w:r w:rsidRPr="000625C3">
        <w:rPr>
          <w:rFonts w:ascii="Arial" w:hAnsi="Arial" w:cs="Arial"/>
        </w:rPr>
        <w:t xml:space="preserve">La </w:t>
      </w:r>
      <w:r w:rsidRPr="000625C3">
        <w:rPr>
          <w:rFonts w:ascii="Arial" w:hAnsi="Arial" w:cs="Arial"/>
        </w:rPr>
        <w:fldChar w:fldCharType="begin"/>
      </w:r>
      <w:r w:rsidRPr="000625C3">
        <w:rPr>
          <w:rFonts w:ascii="Arial" w:hAnsi="Arial" w:cs="Arial"/>
        </w:rPr>
        <w:instrText xml:space="preserve"> REF _Ref480133136 \h </w:instrText>
      </w:r>
      <w:r w:rsidR="000625C3">
        <w:rPr>
          <w:rFonts w:ascii="Arial" w:hAnsi="Arial" w:cs="Arial"/>
        </w:rPr>
        <w:instrText xml:space="preserve"> \* MERGEFORMAT </w:instrText>
      </w:r>
      <w:r w:rsidRPr="000625C3">
        <w:rPr>
          <w:rFonts w:ascii="Arial" w:hAnsi="Arial" w:cs="Arial"/>
        </w:rPr>
      </w:r>
      <w:r w:rsidRPr="000625C3">
        <w:rPr>
          <w:rFonts w:ascii="Arial" w:hAnsi="Arial" w:cs="Arial"/>
        </w:rPr>
        <w:fldChar w:fldCharType="separate"/>
      </w:r>
      <w:r w:rsidR="009F66B5" w:rsidRPr="000625C3">
        <w:rPr>
          <w:rFonts w:ascii="Arial" w:hAnsi="Arial" w:cs="Arial"/>
        </w:rPr>
        <w:t xml:space="preserve">Tabla </w:t>
      </w:r>
      <w:r w:rsidR="000625C3" w:rsidRPr="000625C3">
        <w:rPr>
          <w:rFonts w:ascii="Arial" w:hAnsi="Arial" w:cs="Arial"/>
        </w:rPr>
        <w:t>II-</w:t>
      </w:r>
      <w:r w:rsidR="009F66B5" w:rsidRPr="000625C3">
        <w:rPr>
          <w:rFonts w:ascii="Arial" w:hAnsi="Arial" w:cs="Arial"/>
          <w:noProof/>
        </w:rPr>
        <w:t>1</w:t>
      </w:r>
      <w:r w:rsidRPr="000625C3">
        <w:rPr>
          <w:rFonts w:ascii="Arial" w:hAnsi="Arial" w:cs="Arial"/>
        </w:rPr>
        <w:fldChar w:fldCharType="end"/>
      </w:r>
      <w:r w:rsidRPr="000625C3">
        <w:rPr>
          <w:rFonts w:ascii="Arial" w:hAnsi="Arial" w:cs="Arial"/>
        </w:rPr>
        <w:t xml:space="preserve"> presenta los hogares y la población identificada en cada departamento para cada uno de los grupos de interés alcanzados por el presente proyecto.</w:t>
      </w:r>
    </w:p>
    <w:p w14:paraId="7BAB6929" w14:textId="77777777" w:rsidR="00FA0F96" w:rsidRPr="000625C3" w:rsidRDefault="00FA0F96" w:rsidP="00FA0F96">
      <w:pPr>
        <w:rPr>
          <w:rFonts w:ascii="Arial" w:hAnsi="Arial" w:cs="Arial"/>
        </w:rPr>
      </w:pPr>
    </w:p>
    <w:p w14:paraId="09E28776" w14:textId="77777777" w:rsidR="001811D6" w:rsidRPr="000625C3" w:rsidRDefault="001811D6" w:rsidP="000A7F56">
      <w:pPr>
        <w:rPr>
          <w:rFonts w:ascii="Arial" w:hAnsi="Arial" w:cs="Arial"/>
        </w:rPr>
      </w:pPr>
    </w:p>
    <w:p w14:paraId="4CBE7337" w14:textId="77777777" w:rsidR="00F674B9" w:rsidRPr="000625C3" w:rsidRDefault="00F674B9" w:rsidP="000A7F56">
      <w:pPr>
        <w:rPr>
          <w:rFonts w:ascii="Arial" w:hAnsi="Arial" w:cs="Arial"/>
        </w:rPr>
      </w:pPr>
    </w:p>
    <w:p w14:paraId="4B31BB2E" w14:textId="4FEDCC82" w:rsidR="00867FB7" w:rsidRPr="000625C3" w:rsidRDefault="00867FB7" w:rsidP="004F131E">
      <w:pPr>
        <w:pStyle w:val="Caption"/>
        <w:rPr>
          <w:rFonts w:ascii="Arial" w:hAnsi="Arial" w:cs="Arial"/>
        </w:rPr>
      </w:pPr>
      <w:bookmarkStart w:id="63" w:name="_Ref480133136"/>
      <w:r w:rsidRPr="000625C3">
        <w:rPr>
          <w:rFonts w:ascii="Arial" w:hAnsi="Arial" w:cs="Arial"/>
        </w:rPr>
        <w:lastRenderedPageBreak/>
        <w:t xml:space="preserve">Tabla </w:t>
      </w:r>
      <w:r w:rsidR="000625C3" w:rsidRPr="000625C3">
        <w:rPr>
          <w:rFonts w:ascii="Arial" w:hAnsi="Arial" w:cs="Arial"/>
        </w:rPr>
        <w:t>II-</w:t>
      </w:r>
      <w:r w:rsidR="000B2DBC" w:rsidRPr="000625C3">
        <w:rPr>
          <w:rFonts w:ascii="Arial" w:hAnsi="Arial" w:cs="Arial"/>
        </w:rPr>
        <w:fldChar w:fldCharType="begin"/>
      </w:r>
      <w:r w:rsidR="000B2DBC" w:rsidRPr="000625C3">
        <w:rPr>
          <w:rFonts w:ascii="Arial" w:hAnsi="Arial" w:cs="Arial"/>
        </w:rPr>
        <w:instrText xml:space="preserve"> SEQ Tabla \* ARABIC </w:instrText>
      </w:r>
      <w:r w:rsidR="000B2DBC" w:rsidRPr="000625C3">
        <w:rPr>
          <w:rFonts w:ascii="Arial" w:hAnsi="Arial" w:cs="Arial"/>
        </w:rPr>
        <w:fldChar w:fldCharType="separate"/>
      </w:r>
      <w:r w:rsidR="009F66B5" w:rsidRPr="000625C3">
        <w:rPr>
          <w:rFonts w:ascii="Arial" w:hAnsi="Arial" w:cs="Arial"/>
          <w:noProof/>
        </w:rPr>
        <w:t>1</w:t>
      </w:r>
      <w:r w:rsidR="000B2DBC" w:rsidRPr="000625C3">
        <w:rPr>
          <w:rFonts w:ascii="Arial" w:hAnsi="Arial" w:cs="Arial"/>
          <w:noProof/>
        </w:rPr>
        <w:fldChar w:fldCharType="end"/>
      </w:r>
      <w:bookmarkEnd w:id="63"/>
      <w:r w:rsidRPr="000625C3">
        <w:rPr>
          <w:rFonts w:ascii="Arial" w:hAnsi="Arial" w:cs="Arial"/>
        </w:rPr>
        <w:t xml:space="preserve">: </w:t>
      </w:r>
      <w:r w:rsidR="00FA0F96" w:rsidRPr="000625C3">
        <w:rPr>
          <w:rFonts w:ascii="Arial" w:hAnsi="Arial" w:cs="Arial"/>
        </w:rPr>
        <w:t>Hogares y población alcanzada por el proyecto</w:t>
      </w:r>
      <w:r w:rsidRPr="000625C3">
        <w:rPr>
          <w:rFonts w:ascii="Arial" w:hAnsi="Arial" w:cs="Arial"/>
        </w:rPr>
        <w:t>.</w:t>
      </w:r>
    </w:p>
    <w:p w14:paraId="4361AA00" w14:textId="7E3844D8" w:rsidR="000F7BCB" w:rsidRPr="000625C3" w:rsidRDefault="005C1A74" w:rsidP="003B1C14">
      <w:pPr>
        <w:rPr>
          <w:rFonts w:ascii="Arial" w:hAnsi="Arial" w:cs="Arial"/>
        </w:rPr>
      </w:pPr>
      <w:r w:rsidRPr="005C1A74">
        <w:drawing>
          <wp:inline distT="0" distB="0" distL="0" distR="0" wp14:anchorId="07BFDC9D" wp14:editId="125912F0">
            <wp:extent cx="4450080" cy="198120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50080" cy="1981200"/>
                    </a:xfrm>
                    <a:prstGeom prst="rect">
                      <a:avLst/>
                    </a:prstGeom>
                    <a:noFill/>
                    <a:ln>
                      <a:noFill/>
                    </a:ln>
                  </pic:spPr>
                </pic:pic>
              </a:graphicData>
            </a:graphic>
          </wp:inline>
        </w:drawing>
      </w:r>
      <w:bookmarkStart w:id="64" w:name="_GoBack"/>
      <w:bookmarkEnd w:id="64"/>
    </w:p>
    <w:p w14:paraId="2ACA83B2" w14:textId="77777777" w:rsidR="00F6723B" w:rsidRPr="000625C3" w:rsidRDefault="00F6723B" w:rsidP="003B1C14">
      <w:pPr>
        <w:rPr>
          <w:rFonts w:ascii="Arial" w:hAnsi="Arial" w:cs="Arial"/>
        </w:rPr>
      </w:pPr>
    </w:p>
    <w:p w14:paraId="14C3AA14" w14:textId="77730EF9" w:rsidR="003B1C14" w:rsidRPr="000625C3" w:rsidRDefault="003B1C14" w:rsidP="002B0107">
      <w:pPr>
        <w:pStyle w:val="Heading2"/>
        <w:numPr>
          <w:ilvl w:val="0"/>
          <w:numId w:val="40"/>
        </w:numPr>
      </w:pPr>
      <w:bookmarkStart w:id="65" w:name="_Toc485200076"/>
      <w:r w:rsidRPr="000625C3">
        <w:t>Caracterización socioeconómica.</w:t>
      </w:r>
      <w:bookmarkEnd w:id="65"/>
    </w:p>
    <w:p w14:paraId="0EBA9DF9" w14:textId="77777777" w:rsidR="00453205" w:rsidRPr="000625C3" w:rsidRDefault="00453205" w:rsidP="00453205">
      <w:pPr>
        <w:rPr>
          <w:rFonts w:ascii="Arial" w:hAnsi="Arial" w:cs="Arial"/>
        </w:rPr>
      </w:pPr>
      <w:r w:rsidRPr="000625C3">
        <w:rPr>
          <w:rFonts w:ascii="Arial" w:hAnsi="Arial" w:cs="Arial"/>
        </w:rPr>
        <w:t>A efectos de realizar la caracterización socioeconómica de los beneficiarios, la ausencia de una encuesta dedicada, obliga a recurrir a fuentes secundarias.</w:t>
      </w:r>
    </w:p>
    <w:p w14:paraId="284B0D62" w14:textId="77777777" w:rsidR="00453205" w:rsidRPr="000625C3" w:rsidRDefault="00453205" w:rsidP="00453205">
      <w:pPr>
        <w:rPr>
          <w:rFonts w:ascii="Arial" w:hAnsi="Arial" w:cs="Arial"/>
        </w:rPr>
      </w:pPr>
      <w:r w:rsidRPr="000625C3">
        <w:rPr>
          <w:rFonts w:ascii="Arial" w:hAnsi="Arial" w:cs="Arial"/>
        </w:rPr>
        <w:t>Las fuentes disponibles a tal efecto son básicamente dos:</w:t>
      </w:r>
    </w:p>
    <w:p w14:paraId="624D3DB8" w14:textId="77777777" w:rsidR="00453205" w:rsidRPr="000625C3" w:rsidRDefault="00453205" w:rsidP="00C4100D">
      <w:pPr>
        <w:numPr>
          <w:ilvl w:val="0"/>
          <w:numId w:val="10"/>
        </w:numPr>
        <w:spacing w:before="120" w:after="120" w:line="360" w:lineRule="auto"/>
        <w:rPr>
          <w:rFonts w:ascii="Arial" w:hAnsi="Arial" w:cs="Arial"/>
        </w:rPr>
      </w:pPr>
      <w:r w:rsidRPr="000625C3">
        <w:rPr>
          <w:rFonts w:ascii="Arial" w:hAnsi="Arial" w:cs="Arial"/>
        </w:rPr>
        <w:t>Datos del Censo 2010, agregados por radio censal</w:t>
      </w:r>
      <w:r w:rsidRPr="000625C3">
        <w:rPr>
          <w:rStyle w:val="FootnoteReference"/>
          <w:rFonts w:ascii="Arial" w:hAnsi="Arial" w:cs="Arial"/>
        </w:rPr>
        <w:footnoteReference w:id="8"/>
      </w:r>
      <w:r w:rsidRPr="000625C3">
        <w:rPr>
          <w:rFonts w:ascii="Arial" w:hAnsi="Arial" w:cs="Arial"/>
        </w:rPr>
        <w:t>.</w:t>
      </w:r>
    </w:p>
    <w:p w14:paraId="4845A2DF" w14:textId="77777777" w:rsidR="00453205" w:rsidRPr="000625C3" w:rsidRDefault="00453205" w:rsidP="00C4100D">
      <w:pPr>
        <w:numPr>
          <w:ilvl w:val="0"/>
          <w:numId w:val="10"/>
        </w:numPr>
        <w:spacing w:before="120" w:after="120" w:line="360" w:lineRule="auto"/>
        <w:rPr>
          <w:rFonts w:ascii="Arial" w:hAnsi="Arial" w:cs="Arial"/>
        </w:rPr>
      </w:pPr>
      <w:r w:rsidRPr="000625C3">
        <w:rPr>
          <w:rFonts w:ascii="Arial" w:hAnsi="Arial" w:cs="Arial"/>
        </w:rPr>
        <w:t>Datos provenientes de la Encuesta Permanente de Hogares (EPH) continua realizada por el INDEC.</w:t>
      </w:r>
    </w:p>
    <w:p w14:paraId="3286157C" w14:textId="77777777" w:rsidR="00453205" w:rsidRPr="000625C3" w:rsidRDefault="00453205" w:rsidP="00453205">
      <w:pPr>
        <w:rPr>
          <w:rFonts w:ascii="Arial" w:hAnsi="Arial" w:cs="Arial"/>
        </w:rPr>
      </w:pPr>
      <w:r w:rsidRPr="000625C3">
        <w:rPr>
          <w:rFonts w:ascii="Arial" w:hAnsi="Arial" w:cs="Arial"/>
        </w:rPr>
        <w:t>En el caso de los datos censales, se posee un elevado nivel de detalle y desagregación ya que la unidad territorial de la información es muy pequeña (agregado de 350 hogares aproximadamente y según la densidad). Esto permite circunscribir claramente las áreas y obtener información precisa de los beneficiarios. Como contrapartida, esta información data del 2010 y no presenta datos de ingresos monetarios, por lo que deben ser suplidos por otros indicadores.</w:t>
      </w:r>
    </w:p>
    <w:p w14:paraId="5CF31308" w14:textId="241E6B25" w:rsidR="00453205" w:rsidRPr="000625C3" w:rsidRDefault="00453205" w:rsidP="00453205">
      <w:pPr>
        <w:rPr>
          <w:rFonts w:ascii="Arial" w:hAnsi="Arial" w:cs="Arial"/>
        </w:rPr>
      </w:pPr>
      <w:r w:rsidRPr="000625C3">
        <w:rPr>
          <w:rFonts w:ascii="Arial" w:hAnsi="Arial" w:cs="Arial"/>
        </w:rPr>
        <w:t xml:space="preserve">Por el contrario, la EPH se encuentra publicada hasta el </w:t>
      </w:r>
      <w:r w:rsidR="004A07B8" w:rsidRPr="000625C3">
        <w:rPr>
          <w:rFonts w:ascii="Arial" w:hAnsi="Arial" w:cs="Arial"/>
        </w:rPr>
        <w:t>3</w:t>
      </w:r>
      <w:r w:rsidRPr="000625C3">
        <w:rPr>
          <w:rFonts w:ascii="Arial" w:hAnsi="Arial" w:cs="Arial"/>
        </w:rPr>
        <w:t>º trimestre del 201</w:t>
      </w:r>
      <w:r w:rsidR="004A07B8" w:rsidRPr="000625C3">
        <w:rPr>
          <w:rFonts w:ascii="Arial" w:hAnsi="Arial" w:cs="Arial"/>
        </w:rPr>
        <w:t>6</w:t>
      </w:r>
      <w:r w:rsidRPr="000625C3">
        <w:rPr>
          <w:rFonts w:ascii="Arial" w:hAnsi="Arial" w:cs="Arial"/>
        </w:rPr>
        <w:t xml:space="preserve"> con detalle de los ingresos y medios de vida, pero su nivel de desagregación mínimo es la sub región Gran Buenos Aires / sub región Ciudad de Buenos Aires.</w:t>
      </w:r>
    </w:p>
    <w:p w14:paraId="742E03B4" w14:textId="77777777" w:rsidR="00453205" w:rsidRPr="000625C3" w:rsidRDefault="00453205" w:rsidP="00453205">
      <w:pPr>
        <w:rPr>
          <w:rFonts w:ascii="Arial" w:hAnsi="Arial" w:cs="Arial"/>
        </w:rPr>
      </w:pPr>
      <w:r w:rsidRPr="000625C3">
        <w:rPr>
          <w:rFonts w:ascii="Arial" w:hAnsi="Arial" w:cs="Arial"/>
        </w:rPr>
        <w:t>Dados estos límites impuestos por los datos disponibles, se complementarán ambas fuentes obteniendo una caracterización detallada de la población a partir de los datos censales para luego actualizar su información o inferir ingresos a partir de la transferencia desde la EPH.</w:t>
      </w:r>
    </w:p>
    <w:p w14:paraId="2450FC84" w14:textId="199853D9" w:rsidR="00453205" w:rsidRPr="000625C3" w:rsidRDefault="00453205" w:rsidP="00453205">
      <w:pPr>
        <w:rPr>
          <w:rFonts w:ascii="Arial" w:hAnsi="Arial" w:cs="Arial"/>
        </w:rPr>
      </w:pPr>
      <w:r w:rsidRPr="000625C3">
        <w:rPr>
          <w:rFonts w:ascii="Arial" w:hAnsi="Arial" w:cs="Arial"/>
        </w:rPr>
        <w:t xml:space="preserve">En </w:t>
      </w:r>
      <w:r w:rsidRPr="008B3220">
        <w:rPr>
          <w:rFonts w:ascii="Arial" w:hAnsi="Arial" w:cs="Arial"/>
        </w:rPr>
        <w:t xml:space="preserve">Anexo </w:t>
      </w:r>
      <w:r w:rsidR="00A759D5" w:rsidRPr="008B3220">
        <w:rPr>
          <w:rFonts w:ascii="Arial" w:hAnsi="Arial" w:cs="Arial"/>
        </w:rPr>
        <w:t>1</w:t>
      </w:r>
      <w:r w:rsidRPr="008B3220">
        <w:rPr>
          <w:rFonts w:ascii="Arial" w:hAnsi="Arial" w:cs="Arial"/>
        </w:rPr>
        <w:t xml:space="preserve"> se</w:t>
      </w:r>
      <w:r w:rsidRPr="000625C3">
        <w:rPr>
          <w:rFonts w:ascii="Arial" w:hAnsi="Arial" w:cs="Arial"/>
        </w:rPr>
        <w:t xml:space="preserve"> presentan las notas metodológicas referidas al análisis socioeconómico.</w:t>
      </w:r>
    </w:p>
    <w:p w14:paraId="3CF554FF" w14:textId="77777777" w:rsidR="00F6723B" w:rsidRPr="000625C3" w:rsidRDefault="00F6723B" w:rsidP="00F6723B">
      <w:pPr>
        <w:rPr>
          <w:rFonts w:ascii="Arial" w:hAnsi="Arial" w:cs="Arial"/>
        </w:rPr>
      </w:pPr>
    </w:p>
    <w:p w14:paraId="5E233AE8" w14:textId="1D2E3859" w:rsidR="003B1C14" w:rsidRPr="000625C3" w:rsidRDefault="003B1C14" w:rsidP="002B0107">
      <w:pPr>
        <w:pStyle w:val="Heading2"/>
        <w:numPr>
          <w:ilvl w:val="1"/>
          <w:numId w:val="20"/>
        </w:numPr>
      </w:pPr>
      <w:bookmarkStart w:id="66" w:name="_Toc485200077"/>
      <w:r w:rsidRPr="000625C3">
        <w:lastRenderedPageBreak/>
        <w:t>Contexto general Gran Buenos Aires.</w:t>
      </w:r>
      <w:bookmarkEnd w:id="66"/>
    </w:p>
    <w:p w14:paraId="73F6E050" w14:textId="77777777" w:rsidR="00E95E40" w:rsidRPr="000625C3" w:rsidRDefault="00E95E40" w:rsidP="00E95E40">
      <w:pPr>
        <w:rPr>
          <w:rFonts w:ascii="Arial" w:hAnsi="Arial" w:cs="Arial"/>
        </w:rPr>
      </w:pPr>
      <w:r w:rsidRPr="000625C3">
        <w:rPr>
          <w:rFonts w:ascii="Arial" w:hAnsi="Arial" w:cs="Arial"/>
        </w:rPr>
        <w:t xml:space="preserve">El conurbano bonaerense (Gran Buenos Aires) se caracteriza socioeconómicamente por un elevado grado de desigualdad y niveles de pobreza considerables y persistentes. </w:t>
      </w:r>
    </w:p>
    <w:p w14:paraId="61084D14" w14:textId="77777777" w:rsidR="00E95E40" w:rsidRPr="000625C3" w:rsidRDefault="00E95E40" w:rsidP="00E95E40">
      <w:pPr>
        <w:rPr>
          <w:rFonts w:ascii="Arial" w:hAnsi="Arial" w:cs="Arial"/>
        </w:rPr>
      </w:pPr>
      <w:r w:rsidRPr="000625C3">
        <w:rPr>
          <w:rFonts w:ascii="Arial" w:hAnsi="Arial" w:cs="Arial"/>
        </w:rPr>
        <w:t>En este ámbito se destaca la coincidencia de áreas pobladas por hogares pobres con relativamente baja cobertura de servicios, especialmente de cloacas, agua potable y gas natural.</w:t>
      </w:r>
    </w:p>
    <w:p w14:paraId="1681E763" w14:textId="77777777" w:rsidR="00E95E40" w:rsidRPr="000625C3" w:rsidRDefault="00E95E40" w:rsidP="00E95E40">
      <w:pPr>
        <w:rPr>
          <w:rFonts w:ascii="Arial" w:hAnsi="Arial" w:cs="Arial"/>
        </w:rPr>
      </w:pPr>
      <w:r w:rsidRPr="000625C3">
        <w:rPr>
          <w:rFonts w:ascii="Arial" w:hAnsi="Arial" w:cs="Arial"/>
        </w:rPr>
        <w:t>La combinación de la pobreza estructural con la ausencia de una infraestructura social básica adecuada incrementa las dificultades que deben enfrentar estos hogares para salir de su condición de carencia reforzándose un proceso de reproducción de la pobreza y concentración territorial de la misma.</w:t>
      </w:r>
    </w:p>
    <w:p w14:paraId="0897C554" w14:textId="19B59AF1" w:rsidR="000F7BCB" w:rsidRPr="000625C3" w:rsidRDefault="00E95E40" w:rsidP="00E95E40">
      <w:pPr>
        <w:rPr>
          <w:rFonts w:ascii="Arial" w:hAnsi="Arial" w:cs="Arial"/>
        </w:rPr>
      </w:pPr>
      <w:r w:rsidRPr="000625C3">
        <w:rPr>
          <w:rFonts w:ascii="Arial" w:hAnsi="Arial" w:cs="Arial"/>
        </w:rPr>
        <w:t xml:space="preserve">Si bien durante los años 2003 a 2010 se observa una caída en los niveles de pobreza y de desigualdad, los valores registrados en el conurbano para los últimos años se han estabilizado y pueden considerarse aún elevados para el grado de desarrollo y volumen de la economía argentina. La </w:t>
      </w:r>
      <w:r w:rsidRPr="000625C3">
        <w:rPr>
          <w:rFonts w:ascii="Arial" w:hAnsi="Arial" w:cs="Arial"/>
        </w:rPr>
        <w:fldChar w:fldCharType="begin"/>
      </w:r>
      <w:r w:rsidRPr="000625C3">
        <w:rPr>
          <w:rFonts w:ascii="Arial" w:hAnsi="Arial" w:cs="Arial"/>
        </w:rPr>
        <w:instrText xml:space="preserve"> REF _Ref479694988 \h </w:instrText>
      </w:r>
      <w:r w:rsidR="000625C3">
        <w:rPr>
          <w:rFonts w:ascii="Arial" w:hAnsi="Arial" w:cs="Arial"/>
        </w:rPr>
        <w:instrText xml:space="preserve"> \* MERGEFORMAT </w:instrText>
      </w:r>
      <w:r w:rsidRPr="000625C3">
        <w:rPr>
          <w:rFonts w:ascii="Arial" w:hAnsi="Arial" w:cs="Arial"/>
        </w:rPr>
      </w:r>
      <w:r w:rsidRPr="000625C3">
        <w:rPr>
          <w:rFonts w:ascii="Arial" w:hAnsi="Arial" w:cs="Arial"/>
        </w:rPr>
        <w:fldChar w:fldCharType="separate"/>
      </w:r>
      <w:r w:rsidR="009F66B5" w:rsidRPr="000625C3">
        <w:rPr>
          <w:rFonts w:ascii="Arial" w:hAnsi="Arial" w:cs="Arial"/>
        </w:rPr>
        <w:t xml:space="preserve">Tabla </w:t>
      </w:r>
      <w:r w:rsidR="00A759D5">
        <w:rPr>
          <w:rFonts w:ascii="Arial" w:hAnsi="Arial" w:cs="Arial"/>
        </w:rPr>
        <w:t>II-</w:t>
      </w:r>
      <w:r w:rsidR="009F66B5" w:rsidRPr="000625C3">
        <w:rPr>
          <w:rFonts w:ascii="Arial" w:hAnsi="Arial" w:cs="Arial"/>
          <w:noProof/>
        </w:rPr>
        <w:t>2</w:t>
      </w:r>
      <w:r w:rsidRPr="000625C3">
        <w:rPr>
          <w:rFonts w:ascii="Arial" w:hAnsi="Arial" w:cs="Arial"/>
        </w:rPr>
        <w:fldChar w:fldCharType="end"/>
      </w:r>
      <w:r w:rsidRPr="000625C3">
        <w:rPr>
          <w:rFonts w:ascii="Arial" w:hAnsi="Arial" w:cs="Arial"/>
        </w:rPr>
        <w:t xml:space="preserve"> presenta la evolución de los principales indicadores de desigualdad, pobreza e indigencia del conurbano bonaerense calculados en base al ingreso familiar por adulto equivalente</w:t>
      </w:r>
      <w:r w:rsidRPr="000625C3">
        <w:rPr>
          <w:rStyle w:val="FootnoteReference"/>
          <w:rFonts w:ascii="Arial" w:hAnsi="Arial" w:cs="Arial"/>
        </w:rPr>
        <w:footnoteReference w:id="9"/>
      </w:r>
      <w:r w:rsidRPr="000625C3">
        <w:rPr>
          <w:rFonts w:ascii="Arial" w:hAnsi="Arial" w:cs="Arial"/>
        </w:rPr>
        <w:t>.</w:t>
      </w:r>
    </w:p>
    <w:p w14:paraId="65C3811C" w14:textId="149B4008" w:rsidR="00E95E40" w:rsidRPr="000625C3" w:rsidRDefault="00E95E40" w:rsidP="00E95E40">
      <w:pPr>
        <w:rPr>
          <w:rFonts w:ascii="Arial" w:hAnsi="Arial" w:cs="Arial"/>
        </w:rPr>
      </w:pPr>
      <w:r w:rsidRPr="000625C3">
        <w:rPr>
          <w:rFonts w:ascii="Arial" w:hAnsi="Arial" w:cs="Arial"/>
        </w:rPr>
        <w:t xml:space="preserve">En términos de ingresos corrientes la </w:t>
      </w:r>
      <w:r w:rsidR="0097091B" w:rsidRPr="000625C3">
        <w:rPr>
          <w:rFonts w:ascii="Arial" w:hAnsi="Arial" w:cs="Arial"/>
        </w:rPr>
        <w:fldChar w:fldCharType="begin"/>
      </w:r>
      <w:r w:rsidR="0097091B" w:rsidRPr="000625C3">
        <w:rPr>
          <w:rFonts w:ascii="Arial" w:hAnsi="Arial" w:cs="Arial"/>
        </w:rPr>
        <w:instrText xml:space="preserve"> REF _Ref479695259 \h </w:instrText>
      </w:r>
      <w:r w:rsidR="000625C3">
        <w:rPr>
          <w:rFonts w:ascii="Arial" w:hAnsi="Arial" w:cs="Arial"/>
        </w:rPr>
        <w:instrText xml:space="preserve"> \* MERGEFORMAT </w:instrText>
      </w:r>
      <w:r w:rsidR="0097091B" w:rsidRPr="000625C3">
        <w:rPr>
          <w:rFonts w:ascii="Arial" w:hAnsi="Arial" w:cs="Arial"/>
        </w:rPr>
      </w:r>
      <w:r w:rsidR="0097091B" w:rsidRPr="000625C3">
        <w:rPr>
          <w:rFonts w:ascii="Arial" w:hAnsi="Arial" w:cs="Arial"/>
        </w:rPr>
        <w:fldChar w:fldCharType="separate"/>
      </w:r>
      <w:r w:rsidR="009F66B5" w:rsidRPr="000625C3">
        <w:rPr>
          <w:rFonts w:ascii="Arial" w:hAnsi="Arial" w:cs="Arial"/>
        </w:rPr>
        <w:t xml:space="preserve">Tabla </w:t>
      </w:r>
      <w:r w:rsidR="00A759D5">
        <w:rPr>
          <w:rFonts w:ascii="Arial" w:hAnsi="Arial" w:cs="Arial"/>
        </w:rPr>
        <w:t>II-</w:t>
      </w:r>
      <w:r w:rsidR="009F66B5" w:rsidRPr="000625C3">
        <w:rPr>
          <w:rFonts w:ascii="Arial" w:hAnsi="Arial" w:cs="Arial"/>
          <w:noProof/>
        </w:rPr>
        <w:t>3</w:t>
      </w:r>
      <w:r w:rsidR="0097091B" w:rsidRPr="000625C3">
        <w:rPr>
          <w:rFonts w:ascii="Arial" w:hAnsi="Arial" w:cs="Arial"/>
        </w:rPr>
        <w:fldChar w:fldCharType="end"/>
      </w:r>
      <w:r w:rsidR="0097091B" w:rsidRPr="000625C3">
        <w:rPr>
          <w:rFonts w:ascii="Arial" w:hAnsi="Arial" w:cs="Arial"/>
        </w:rPr>
        <w:t>,</w:t>
      </w:r>
      <w:r w:rsidR="00761A7A" w:rsidRPr="000625C3">
        <w:rPr>
          <w:rFonts w:ascii="Arial" w:hAnsi="Arial" w:cs="Arial"/>
        </w:rPr>
        <w:t xml:space="preserve"> </w:t>
      </w:r>
      <w:r w:rsidR="0097091B" w:rsidRPr="000625C3">
        <w:rPr>
          <w:rFonts w:ascii="Arial" w:hAnsi="Arial" w:cs="Arial"/>
        </w:rPr>
        <w:fldChar w:fldCharType="begin"/>
      </w:r>
      <w:r w:rsidR="0097091B" w:rsidRPr="000625C3">
        <w:rPr>
          <w:rFonts w:ascii="Arial" w:hAnsi="Arial" w:cs="Arial"/>
        </w:rPr>
        <w:instrText xml:space="preserve"> REF _Ref479695281 \h </w:instrText>
      </w:r>
      <w:r w:rsidR="000625C3">
        <w:rPr>
          <w:rFonts w:ascii="Arial" w:hAnsi="Arial" w:cs="Arial"/>
        </w:rPr>
        <w:instrText xml:space="preserve"> \* MERGEFORMAT </w:instrText>
      </w:r>
      <w:r w:rsidR="0097091B" w:rsidRPr="000625C3">
        <w:rPr>
          <w:rFonts w:ascii="Arial" w:hAnsi="Arial" w:cs="Arial"/>
        </w:rPr>
      </w:r>
      <w:r w:rsidR="0097091B" w:rsidRPr="000625C3">
        <w:rPr>
          <w:rFonts w:ascii="Arial" w:hAnsi="Arial" w:cs="Arial"/>
        </w:rPr>
        <w:fldChar w:fldCharType="separate"/>
      </w:r>
      <w:r w:rsidR="009F66B5" w:rsidRPr="000625C3">
        <w:rPr>
          <w:rFonts w:ascii="Arial" w:hAnsi="Arial" w:cs="Arial"/>
        </w:rPr>
        <w:t xml:space="preserve">Tabla </w:t>
      </w:r>
      <w:r w:rsidR="00A759D5">
        <w:rPr>
          <w:rFonts w:ascii="Arial" w:hAnsi="Arial" w:cs="Arial"/>
        </w:rPr>
        <w:t>II-</w:t>
      </w:r>
      <w:r w:rsidR="009F66B5" w:rsidRPr="000625C3">
        <w:rPr>
          <w:rFonts w:ascii="Arial" w:hAnsi="Arial" w:cs="Arial"/>
          <w:noProof/>
        </w:rPr>
        <w:t>4</w:t>
      </w:r>
      <w:r w:rsidR="0097091B" w:rsidRPr="000625C3">
        <w:rPr>
          <w:rFonts w:ascii="Arial" w:hAnsi="Arial" w:cs="Arial"/>
        </w:rPr>
        <w:fldChar w:fldCharType="end"/>
      </w:r>
      <w:r w:rsidR="0097091B" w:rsidRPr="000625C3">
        <w:rPr>
          <w:rFonts w:ascii="Arial" w:hAnsi="Arial" w:cs="Arial"/>
        </w:rPr>
        <w:t xml:space="preserve"> y </w:t>
      </w:r>
      <w:r w:rsidR="0097091B" w:rsidRPr="000625C3">
        <w:rPr>
          <w:rFonts w:ascii="Arial" w:hAnsi="Arial" w:cs="Arial"/>
        </w:rPr>
        <w:fldChar w:fldCharType="begin"/>
      </w:r>
      <w:r w:rsidR="0097091B" w:rsidRPr="000625C3">
        <w:rPr>
          <w:rFonts w:ascii="Arial" w:hAnsi="Arial" w:cs="Arial"/>
        </w:rPr>
        <w:instrText xml:space="preserve"> REF _Ref479695293 \h </w:instrText>
      </w:r>
      <w:r w:rsidR="000625C3">
        <w:rPr>
          <w:rFonts w:ascii="Arial" w:hAnsi="Arial" w:cs="Arial"/>
        </w:rPr>
        <w:instrText xml:space="preserve"> \* MERGEFORMAT </w:instrText>
      </w:r>
      <w:r w:rsidR="0097091B" w:rsidRPr="000625C3">
        <w:rPr>
          <w:rFonts w:ascii="Arial" w:hAnsi="Arial" w:cs="Arial"/>
        </w:rPr>
      </w:r>
      <w:r w:rsidR="0097091B" w:rsidRPr="000625C3">
        <w:rPr>
          <w:rFonts w:ascii="Arial" w:hAnsi="Arial" w:cs="Arial"/>
        </w:rPr>
        <w:fldChar w:fldCharType="separate"/>
      </w:r>
      <w:r w:rsidR="009F66B5" w:rsidRPr="000625C3">
        <w:rPr>
          <w:rFonts w:ascii="Arial" w:hAnsi="Arial" w:cs="Arial"/>
        </w:rPr>
        <w:t xml:space="preserve">Tabla </w:t>
      </w:r>
      <w:r w:rsidR="00A759D5">
        <w:rPr>
          <w:rFonts w:ascii="Arial" w:hAnsi="Arial" w:cs="Arial"/>
        </w:rPr>
        <w:t>II-</w:t>
      </w:r>
      <w:r w:rsidR="009F66B5" w:rsidRPr="000625C3">
        <w:rPr>
          <w:rFonts w:ascii="Arial" w:hAnsi="Arial" w:cs="Arial"/>
          <w:noProof/>
        </w:rPr>
        <w:t>5</w:t>
      </w:r>
      <w:r w:rsidR="0097091B" w:rsidRPr="000625C3">
        <w:rPr>
          <w:rFonts w:ascii="Arial" w:hAnsi="Arial" w:cs="Arial"/>
        </w:rPr>
        <w:fldChar w:fldCharType="end"/>
      </w:r>
      <w:r w:rsidR="0097091B" w:rsidRPr="000625C3">
        <w:rPr>
          <w:rFonts w:ascii="Arial" w:hAnsi="Arial" w:cs="Arial"/>
        </w:rPr>
        <w:t xml:space="preserve"> </w:t>
      </w:r>
      <w:r w:rsidRPr="000625C3">
        <w:rPr>
          <w:rFonts w:ascii="Arial" w:hAnsi="Arial" w:cs="Arial"/>
        </w:rPr>
        <w:t>resumen por decil de hogares los datos de ingreso por adulto equivalente, adultos equivalentes medios de los hogares para cada decil e ingreso total familiar, siempre calculados a partir de los microdatos de la Encuesta Permanente de Hogares realizada por el INDEC.</w:t>
      </w:r>
    </w:p>
    <w:p w14:paraId="399D14D5" w14:textId="77777777" w:rsidR="00E95E40" w:rsidRDefault="00E95E40" w:rsidP="00E95E40"/>
    <w:p w14:paraId="2000A53A" w14:textId="6B1882C4" w:rsidR="00E95E40" w:rsidRDefault="00E95E40" w:rsidP="004F131E">
      <w:pPr>
        <w:pStyle w:val="Caption"/>
      </w:pPr>
      <w:bookmarkStart w:id="67" w:name="_Ref479694988"/>
      <w:r>
        <w:t xml:space="preserve">Tabla </w:t>
      </w:r>
      <w:r w:rsidR="00A759D5">
        <w:t>II-</w:t>
      </w:r>
      <w:r w:rsidR="005C1A74">
        <w:fldChar w:fldCharType="begin"/>
      </w:r>
      <w:r w:rsidR="005C1A74">
        <w:instrText xml:space="preserve"> SEQ Tabla \* ARABIC </w:instrText>
      </w:r>
      <w:r w:rsidR="005C1A74">
        <w:fldChar w:fldCharType="separate"/>
      </w:r>
      <w:r w:rsidR="009F66B5">
        <w:rPr>
          <w:noProof/>
        </w:rPr>
        <w:t>2</w:t>
      </w:r>
      <w:r w:rsidR="005C1A74">
        <w:rPr>
          <w:noProof/>
        </w:rPr>
        <w:fldChar w:fldCharType="end"/>
      </w:r>
      <w:bookmarkEnd w:id="67"/>
      <w:r>
        <w:t xml:space="preserve">: </w:t>
      </w:r>
      <w:r w:rsidRPr="0095269F">
        <w:t>Evolución de indicadores de desigualdad, pobreza e indigencia GBA.</w:t>
      </w:r>
    </w:p>
    <w:p w14:paraId="69928564" w14:textId="25E6D479" w:rsidR="00E95E40" w:rsidRDefault="00E95E40" w:rsidP="002000F7">
      <w:pPr>
        <w:pStyle w:val="NoSpacing"/>
      </w:pPr>
      <w:r w:rsidRPr="00E95E40">
        <w:rPr>
          <w:noProof/>
          <w:lang w:eastAsia="es-AR"/>
        </w:rPr>
        <w:drawing>
          <wp:inline distT="0" distB="0" distL="0" distR="0" wp14:anchorId="32775340" wp14:editId="2B85A6A9">
            <wp:extent cx="5400675" cy="3092119"/>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675" cy="3092119"/>
                    </a:xfrm>
                    <a:prstGeom prst="rect">
                      <a:avLst/>
                    </a:prstGeom>
                    <a:noFill/>
                    <a:ln>
                      <a:noFill/>
                    </a:ln>
                  </pic:spPr>
                </pic:pic>
              </a:graphicData>
            </a:graphic>
          </wp:inline>
        </w:drawing>
      </w:r>
    </w:p>
    <w:p w14:paraId="49FE9FBF" w14:textId="2B8AAE3A" w:rsidR="00E95E40" w:rsidRDefault="00E95E40" w:rsidP="002000F7">
      <w:pPr>
        <w:pStyle w:val="NoSpacing"/>
      </w:pPr>
      <w:r w:rsidRPr="00E95E40">
        <w:lastRenderedPageBreak/>
        <w:t>Fuente: Elaboración sobre bases de microdatos EPH.</w:t>
      </w:r>
    </w:p>
    <w:p w14:paraId="67570732" w14:textId="77777777" w:rsidR="002000F7" w:rsidRDefault="002000F7" w:rsidP="002000F7">
      <w:pPr>
        <w:pStyle w:val="NoSpacing"/>
      </w:pPr>
    </w:p>
    <w:p w14:paraId="01B97293" w14:textId="4FA1AF29" w:rsidR="00E95E40" w:rsidRDefault="00E95E40" w:rsidP="004F131E">
      <w:pPr>
        <w:pStyle w:val="Caption"/>
      </w:pPr>
      <w:bookmarkStart w:id="68" w:name="_Ref479695259"/>
      <w:r>
        <w:t xml:space="preserve">Tabla </w:t>
      </w:r>
      <w:r w:rsidR="00A759D5">
        <w:t>II-</w:t>
      </w:r>
      <w:r w:rsidR="005C1A74">
        <w:fldChar w:fldCharType="begin"/>
      </w:r>
      <w:r w:rsidR="005C1A74">
        <w:instrText xml:space="preserve"> SEQ Tabla \* ARABIC </w:instrText>
      </w:r>
      <w:r w:rsidR="005C1A74">
        <w:fldChar w:fldCharType="separate"/>
      </w:r>
      <w:r w:rsidR="009F66B5">
        <w:rPr>
          <w:noProof/>
        </w:rPr>
        <w:t>3</w:t>
      </w:r>
      <w:r w:rsidR="005C1A74">
        <w:rPr>
          <w:noProof/>
        </w:rPr>
        <w:fldChar w:fldCharType="end"/>
      </w:r>
      <w:bookmarkEnd w:id="68"/>
      <w:r>
        <w:t xml:space="preserve">: </w:t>
      </w:r>
      <w:r w:rsidRPr="008502E0">
        <w:t>Ingresos ($/mes) por adulto equivalente GBA.</w:t>
      </w:r>
    </w:p>
    <w:p w14:paraId="35143E2C" w14:textId="2BA394E8" w:rsidR="00E95E40" w:rsidRDefault="00E95E40" w:rsidP="002000F7">
      <w:pPr>
        <w:pStyle w:val="NoSpacing"/>
      </w:pPr>
      <w:r w:rsidRPr="00E95E40">
        <w:rPr>
          <w:noProof/>
          <w:lang w:eastAsia="es-AR"/>
        </w:rPr>
        <w:drawing>
          <wp:inline distT="0" distB="0" distL="0" distR="0" wp14:anchorId="5DFF270E" wp14:editId="0A6DA6C5">
            <wp:extent cx="4866005" cy="347472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66005" cy="3474720"/>
                    </a:xfrm>
                    <a:prstGeom prst="rect">
                      <a:avLst/>
                    </a:prstGeom>
                    <a:noFill/>
                    <a:ln>
                      <a:noFill/>
                    </a:ln>
                  </pic:spPr>
                </pic:pic>
              </a:graphicData>
            </a:graphic>
          </wp:inline>
        </w:drawing>
      </w:r>
    </w:p>
    <w:p w14:paraId="54787D13" w14:textId="724393E1" w:rsidR="00E95E40" w:rsidRDefault="00E95E40" w:rsidP="002000F7">
      <w:pPr>
        <w:pStyle w:val="NoSpacing"/>
      </w:pPr>
      <w:r w:rsidRPr="00E95E40">
        <w:t>Fuente: Elaboración sobre bases de microdatos EPH.</w:t>
      </w:r>
    </w:p>
    <w:p w14:paraId="705BED81" w14:textId="77777777" w:rsidR="00E95E40" w:rsidRDefault="00E95E40" w:rsidP="00E95E40"/>
    <w:p w14:paraId="34CA67EB" w14:textId="03A75A6D" w:rsidR="00E95E40" w:rsidRDefault="00E95E40" w:rsidP="004F131E">
      <w:pPr>
        <w:pStyle w:val="Caption"/>
      </w:pPr>
      <w:bookmarkStart w:id="69" w:name="_Ref479695281"/>
      <w:r>
        <w:t xml:space="preserve">Tabla </w:t>
      </w:r>
      <w:r w:rsidR="00A759D5">
        <w:t>II-</w:t>
      </w:r>
      <w:r w:rsidR="005C1A74">
        <w:fldChar w:fldCharType="begin"/>
      </w:r>
      <w:r w:rsidR="005C1A74">
        <w:instrText xml:space="preserve"> SEQ Tabla \* ARABIC </w:instrText>
      </w:r>
      <w:r w:rsidR="005C1A74">
        <w:fldChar w:fldCharType="separate"/>
      </w:r>
      <w:r w:rsidR="009F66B5">
        <w:rPr>
          <w:noProof/>
        </w:rPr>
        <w:t>4</w:t>
      </w:r>
      <w:r w:rsidR="005C1A74">
        <w:rPr>
          <w:noProof/>
        </w:rPr>
        <w:fldChar w:fldCharType="end"/>
      </w:r>
      <w:bookmarkEnd w:id="69"/>
      <w:r>
        <w:t xml:space="preserve">: </w:t>
      </w:r>
      <w:r w:rsidRPr="00F459C1">
        <w:t>Cantidad de adultos equivalentes por hogar en GBA.</w:t>
      </w:r>
    </w:p>
    <w:p w14:paraId="3D944ABE" w14:textId="6BE03D45" w:rsidR="00E95E40" w:rsidRDefault="00E95E40" w:rsidP="002000F7">
      <w:pPr>
        <w:pStyle w:val="NoSpacing"/>
      </w:pPr>
      <w:r w:rsidRPr="00E95E40">
        <w:rPr>
          <w:noProof/>
          <w:lang w:eastAsia="es-AR"/>
        </w:rPr>
        <w:drawing>
          <wp:inline distT="0" distB="0" distL="0" distR="0" wp14:anchorId="45F4BCF9" wp14:editId="4C802A36">
            <wp:extent cx="4866005" cy="347472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66005" cy="3474720"/>
                    </a:xfrm>
                    <a:prstGeom prst="rect">
                      <a:avLst/>
                    </a:prstGeom>
                    <a:noFill/>
                    <a:ln>
                      <a:noFill/>
                    </a:ln>
                  </pic:spPr>
                </pic:pic>
              </a:graphicData>
            </a:graphic>
          </wp:inline>
        </w:drawing>
      </w:r>
    </w:p>
    <w:p w14:paraId="2D632C27" w14:textId="77777777" w:rsidR="00E95E40" w:rsidRDefault="00E95E40" w:rsidP="002000F7">
      <w:pPr>
        <w:pStyle w:val="NoSpacing"/>
      </w:pPr>
      <w:r w:rsidRPr="00E95E40">
        <w:t>Fuente: Elaboración propia sobre bases de microdatos EPH.</w:t>
      </w:r>
    </w:p>
    <w:p w14:paraId="2DB80A88" w14:textId="76290FAC" w:rsidR="00E95E40" w:rsidRDefault="00E95E40" w:rsidP="004F131E">
      <w:pPr>
        <w:pStyle w:val="Caption"/>
      </w:pPr>
      <w:bookmarkStart w:id="70" w:name="_Ref479695293"/>
      <w:r>
        <w:lastRenderedPageBreak/>
        <w:t xml:space="preserve">Tabla </w:t>
      </w:r>
      <w:r w:rsidR="00A759D5">
        <w:t>II-</w:t>
      </w:r>
      <w:r w:rsidR="005C1A74">
        <w:fldChar w:fldCharType="begin"/>
      </w:r>
      <w:r w:rsidR="005C1A74">
        <w:instrText xml:space="preserve"> SEQ Tabla \* ARABIC </w:instrText>
      </w:r>
      <w:r w:rsidR="005C1A74">
        <w:fldChar w:fldCharType="separate"/>
      </w:r>
      <w:r w:rsidR="009F66B5">
        <w:rPr>
          <w:noProof/>
        </w:rPr>
        <w:t>5</w:t>
      </w:r>
      <w:r w:rsidR="005C1A74">
        <w:rPr>
          <w:noProof/>
        </w:rPr>
        <w:fldChar w:fldCharType="end"/>
      </w:r>
      <w:bookmarkEnd w:id="70"/>
      <w:r>
        <w:t xml:space="preserve">: </w:t>
      </w:r>
      <w:r w:rsidRPr="00FB30CE">
        <w:t>Ingreso total ($/mes) por hogar GBA.</w:t>
      </w:r>
    </w:p>
    <w:p w14:paraId="149B703D" w14:textId="12C40728" w:rsidR="00E95E40" w:rsidRDefault="00E95E40" w:rsidP="002000F7">
      <w:pPr>
        <w:pStyle w:val="NoSpacing"/>
      </w:pPr>
      <w:r w:rsidRPr="00E95E40">
        <w:rPr>
          <w:noProof/>
          <w:lang w:eastAsia="es-AR"/>
        </w:rPr>
        <w:drawing>
          <wp:inline distT="0" distB="0" distL="0" distR="0" wp14:anchorId="1A8189E2" wp14:editId="52022846">
            <wp:extent cx="5400675" cy="3364075"/>
            <wp:effectExtent l="0" t="0" r="0" b="825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675" cy="3364075"/>
                    </a:xfrm>
                    <a:prstGeom prst="rect">
                      <a:avLst/>
                    </a:prstGeom>
                    <a:noFill/>
                    <a:ln>
                      <a:noFill/>
                    </a:ln>
                  </pic:spPr>
                </pic:pic>
              </a:graphicData>
            </a:graphic>
          </wp:inline>
        </w:drawing>
      </w:r>
    </w:p>
    <w:p w14:paraId="50A19D5F" w14:textId="77777777" w:rsidR="00E95E40" w:rsidRPr="009C74A6" w:rsidRDefault="00E95E40" w:rsidP="002000F7">
      <w:pPr>
        <w:pStyle w:val="NoSpacing"/>
        <w:rPr>
          <w:rFonts w:ascii="Arial" w:hAnsi="Arial" w:cs="Arial"/>
          <w:sz w:val="22"/>
        </w:rPr>
      </w:pPr>
      <w:r w:rsidRPr="009C74A6">
        <w:rPr>
          <w:rFonts w:ascii="Arial" w:hAnsi="Arial" w:cs="Arial"/>
          <w:sz w:val="22"/>
        </w:rPr>
        <w:t>Fuente: Elaboración propia sobre bases de microdatos EPH.</w:t>
      </w:r>
    </w:p>
    <w:p w14:paraId="7F307ADB" w14:textId="77777777" w:rsidR="00A759D5" w:rsidRPr="009C74A6" w:rsidRDefault="00A759D5" w:rsidP="002000F7">
      <w:pPr>
        <w:rPr>
          <w:rFonts w:ascii="Arial" w:hAnsi="Arial" w:cs="Arial"/>
        </w:rPr>
      </w:pPr>
    </w:p>
    <w:p w14:paraId="259FCB86" w14:textId="65ED46C9" w:rsidR="002000F7" w:rsidRPr="009C74A6" w:rsidRDefault="002000F7" w:rsidP="002000F7">
      <w:pPr>
        <w:rPr>
          <w:rFonts w:ascii="Arial" w:hAnsi="Arial" w:cs="Arial"/>
        </w:rPr>
      </w:pPr>
      <w:r w:rsidRPr="009C74A6">
        <w:rPr>
          <w:rFonts w:ascii="Arial" w:hAnsi="Arial" w:cs="Arial"/>
        </w:rPr>
        <w:t xml:space="preserve">Con base en los datos del Censo Nacional de Población y Viviendas 2010 (CNPV 2010), la situación de la pobreza en los 17 partidos del conurbano bonaerense atendidos por AySA S.A. se resume en la </w:t>
      </w:r>
      <w:r w:rsidRPr="009C74A6">
        <w:rPr>
          <w:rFonts w:ascii="Arial" w:hAnsi="Arial" w:cs="Arial"/>
        </w:rPr>
        <w:fldChar w:fldCharType="begin"/>
      </w:r>
      <w:r w:rsidRPr="009C74A6">
        <w:rPr>
          <w:rFonts w:ascii="Arial" w:hAnsi="Arial" w:cs="Arial"/>
        </w:rPr>
        <w:instrText xml:space="preserve"> REF _Ref479695762 \h </w:instrText>
      </w:r>
      <w:r w:rsidR="009C74A6" w:rsidRPr="009C74A6">
        <w:rPr>
          <w:rFonts w:ascii="Arial" w:hAnsi="Arial" w:cs="Arial"/>
        </w:rPr>
        <w:instrText xml:space="preserve"> \* MERGEFORMAT </w:instrText>
      </w:r>
      <w:r w:rsidRPr="009C74A6">
        <w:rPr>
          <w:rFonts w:ascii="Arial" w:hAnsi="Arial" w:cs="Arial"/>
        </w:rPr>
      </w:r>
      <w:r w:rsidRPr="009C74A6">
        <w:rPr>
          <w:rFonts w:ascii="Arial" w:hAnsi="Arial" w:cs="Arial"/>
        </w:rPr>
        <w:fldChar w:fldCharType="separate"/>
      </w:r>
      <w:r w:rsidR="009F66B5" w:rsidRPr="009C74A6">
        <w:rPr>
          <w:rFonts w:ascii="Arial" w:hAnsi="Arial" w:cs="Arial"/>
        </w:rPr>
        <w:t xml:space="preserve">Tabla </w:t>
      </w:r>
      <w:r w:rsidR="001A48F5" w:rsidRPr="009C74A6">
        <w:rPr>
          <w:rFonts w:ascii="Arial" w:hAnsi="Arial" w:cs="Arial"/>
        </w:rPr>
        <w:t>II-</w:t>
      </w:r>
      <w:r w:rsidR="009F66B5" w:rsidRPr="009C74A6">
        <w:rPr>
          <w:rFonts w:ascii="Arial" w:hAnsi="Arial" w:cs="Arial"/>
          <w:noProof/>
        </w:rPr>
        <w:t>6</w:t>
      </w:r>
      <w:r w:rsidRPr="009C74A6">
        <w:rPr>
          <w:rFonts w:ascii="Arial" w:hAnsi="Arial" w:cs="Arial"/>
        </w:rPr>
        <w:fldChar w:fldCharType="end"/>
      </w:r>
      <w:r w:rsidRPr="009C74A6">
        <w:rPr>
          <w:rFonts w:ascii="Arial" w:hAnsi="Arial" w:cs="Arial"/>
        </w:rPr>
        <w:t>, donde se presentan los indicadores de pobreza directos (NBI) clasificados de acuerdo con el nivel socioeconómico de los radios censales (estratificación social surgida del indicador de capacidad económica (CAPECO) (Ver Anexo 3)) y datos generales de habitantes, hogares y densidad.</w:t>
      </w:r>
    </w:p>
    <w:p w14:paraId="414F47C0" w14:textId="5AC167C2" w:rsidR="00E95E40" w:rsidRPr="009C74A6" w:rsidRDefault="002000F7" w:rsidP="002000F7">
      <w:pPr>
        <w:rPr>
          <w:rFonts w:ascii="Arial" w:hAnsi="Arial" w:cs="Arial"/>
        </w:rPr>
      </w:pPr>
      <w:r w:rsidRPr="009C74A6">
        <w:rPr>
          <w:rFonts w:ascii="Arial" w:hAnsi="Arial" w:cs="Arial"/>
        </w:rPr>
        <w:t xml:space="preserve">Según se observa, la mayor parte de los hogares del conurbano bonaerense se localizan en radios censales clasificados como de bajo nivel socioeconómico según el criterio del indicador de capacidad económica (CAPECO). En la </w:t>
      </w:r>
      <w:r w:rsidRPr="009C74A6">
        <w:rPr>
          <w:rFonts w:ascii="Arial" w:hAnsi="Arial" w:cs="Arial"/>
        </w:rPr>
        <w:fldChar w:fldCharType="begin"/>
      </w:r>
      <w:r w:rsidRPr="009C74A6">
        <w:rPr>
          <w:rFonts w:ascii="Arial" w:hAnsi="Arial" w:cs="Arial"/>
        </w:rPr>
        <w:instrText xml:space="preserve"> REF _Ref479695812 \h </w:instrText>
      </w:r>
      <w:r w:rsidR="009C74A6" w:rsidRPr="009C74A6">
        <w:rPr>
          <w:rFonts w:ascii="Arial" w:hAnsi="Arial" w:cs="Arial"/>
        </w:rPr>
        <w:instrText xml:space="preserve"> \* MERGEFORMAT </w:instrText>
      </w:r>
      <w:r w:rsidRPr="009C74A6">
        <w:rPr>
          <w:rFonts w:ascii="Arial" w:hAnsi="Arial" w:cs="Arial"/>
        </w:rPr>
      </w:r>
      <w:r w:rsidRPr="009C74A6">
        <w:rPr>
          <w:rFonts w:ascii="Arial" w:hAnsi="Arial" w:cs="Arial"/>
        </w:rPr>
        <w:fldChar w:fldCharType="separate"/>
      </w:r>
      <w:r w:rsidR="00B037F3" w:rsidRPr="009C74A6">
        <w:rPr>
          <w:rFonts w:ascii="Arial" w:hAnsi="Arial" w:cs="Arial"/>
        </w:rPr>
        <w:t>Figura II-1</w:t>
      </w:r>
      <w:r w:rsidRPr="009C74A6">
        <w:rPr>
          <w:rFonts w:ascii="Arial" w:hAnsi="Arial" w:cs="Arial"/>
        </w:rPr>
        <w:fldChar w:fldCharType="end"/>
      </w:r>
      <w:r w:rsidRPr="009C74A6">
        <w:rPr>
          <w:rFonts w:ascii="Arial" w:hAnsi="Arial" w:cs="Arial"/>
        </w:rPr>
        <w:t xml:space="preserve"> se presenta la distribución de hogares de los 17 partidos del GBA que forman parte del área concesionada a AySA según estrato socioeconómico del radio censal.</w:t>
      </w:r>
    </w:p>
    <w:p w14:paraId="5DEF8AB9" w14:textId="681ADD5E" w:rsidR="002000F7" w:rsidRPr="009C74A6" w:rsidRDefault="002000F7" w:rsidP="004F131E">
      <w:pPr>
        <w:pStyle w:val="Caption"/>
        <w:rPr>
          <w:rFonts w:ascii="Arial" w:hAnsi="Arial" w:cs="Arial"/>
          <w:szCs w:val="22"/>
        </w:rPr>
      </w:pPr>
      <w:bookmarkStart w:id="71" w:name="_Ref479695762"/>
      <w:r w:rsidRPr="009C74A6">
        <w:rPr>
          <w:rFonts w:ascii="Arial" w:hAnsi="Arial" w:cs="Arial"/>
          <w:szCs w:val="22"/>
        </w:rPr>
        <w:lastRenderedPageBreak/>
        <w:t xml:space="preserve">Tabla </w:t>
      </w:r>
      <w:r w:rsidR="001A48F5" w:rsidRPr="009C74A6">
        <w:rPr>
          <w:rFonts w:ascii="Arial" w:hAnsi="Arial" w:cs="Arial"/>
          <w:szCs w:val="22"/>
        </w:rPr>
        <w:t>II-</w:t>
      </w:r>
      <w:r w:rsidR="000B2DBC" w:rsidRPr="009C74A6">
        <w:rPr>
          <w:rFonts w:ascii="Arial" w:hAnsi="Arial" w:cs="Arial"/>
          <w:szCs w:val="22"/>
        </w:rPr>
        <w:fldChar w:fldCharType="begin"/>
      </w:r>
      <w:r w:rsidR="000B2DBC" w:rsidRPr="009C74A6">
        <w:rPr>
          <w:rFonts w:ascii="Arial" w:hAnsi="Arial" w:cs="Arial"/>
          <w:szCs w:val="22"/>
        </w:rPr>
        <w:instrText xml:space="preserve"> SEQ Tabla \* ARABIC </w:instrText>
      </w:r>
      <w:r w:rsidR="000B2DBC" w:rsidRPr="009C74A6">
        <w:rPr>
          <w:rFonts w:ascii="Arial" w:hAnsi="Arial" w:cs="Arial"/>
          <w:szCs w:val="22"/>
        </w:rPr>
        <w:fldChar w:fldCharType="separate"/>
      </w:r>
      <w:r w:rsidR="009F66B5" w:rsidRPr="009C74A6">
        <w:rPr>
          <w:rFonts w:ascii="Arial" w:hAnsi="Arial" w:cs="Arial"/>
          <w:noProof/>
          <w:szCs w:val="22"/>
        </w:rPr>
        <w:t>6</w:t>
      </w:r>
      <w:r w:rsidR="000B2DBC" w:rsidRPr="009C74A6">
        <w:rPr>
          <w:rFonts w:ascii="Arial" w:hAnsi="Arial" w:cs="Arial"/>
          <w:noProof/>
          <w:szCs w:val="22"/>
        </w:rPr>
        <w:fldChar w:fldCharType="end"/>
      </w:r>
      <w:bookmarkEnd w:id="71"/>
      <w:r w:rsidRPr="009C74A6">
        <w:rPr>
          <w:rFonts w:ascii="Arial" w:hAnsi="Arial" w:cs="Arial"/>
          <w:szCs w:val="22"/>
        </w:rPr>
        <w:t>: NBI y datos generales según NSE GBA – CNPV 2010.</w:t>
      </w:r>
    </w:p>
    <w:p w14:paraId="4E56C04E" w14:textId="0F5F0CA5" w:rsidR="002000F7" w:rsidRPr="009C74A6" w:rsidRDefault="002000F7" w:rsidP="002000F7">
      <w:pPr>
        <w:pStyle w:val="NoSpacing"/>
        <w:rPr>
          <w:rFonts w:ascii="Arial" w:hAnsi="Arial" w:cs="Arial"/>
          <w:sz w:val="22"/>
        </w:rPr>
      </w:pPr>
      <w:r w:rsidRPr="009C74A6">
        <w:rPr>
          <w:rFonts w:ascii="Arial" w:hAnsi="Arial" w:cs="Arial"/>
          <w:noProof/>
          <w:sz w:val="22"/>
          <w:lang w:eastAsia="es-AR"/>
        </w:rPr>
        <w:drawing>
          <wp:inline distT="0" distB="0" distL="0" distR="0" wp14:anchorId="64BE1A69" wp14:editId="55B77F0D">
            <wp:extent cx="5208105" cy="2692263"/>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14358" cy="2695496"/>
                    </a:xfrm>
                    <a:prstGeom prst="rect">
                      <a:avLst/>
                    </a:prstGeom>
                    <a:noFill/>
                    <a:ln>
                      <a:noFill/>
                    </a:ln>
                  </pic:spPr>
                </pic:pic>
              </a:graphicData>
            </a:graphic>
          </wp:inline>
        </w:drawing>
      </w:r>
    </w:p>
    <w:p w14:paraId="004E9F8C" w14:textId="49513827" w:rsidR="002000F7" w:rsidRPr="009C74A6" w:rsidRDefault="002000F7" w:rsidP="002000F7">
      <w:pPr>
        <w:pStyle w:val="NoSpacing"/>
        <w:rPr>
          <w:rFonts w:ascii="Arial" w:hAnsi="Arial" w:cs="Arial"/>
          <w:sz w:val="22"/>
        </w:rPr>
      </w:pPr>
      <w:r w:rsidRPr="009C74A6">
        <w:rPr>
          <w:rFonts w:ascii="Arial" w:hAnsi="Arial" w:cs="Arial"/>
          <w:sz w:val="22"/>
        </w:rPr>
        <w:t>Fuente: Elaboración sobre datos CNPV 2010.</w:t>
      </w:r>
    </w:p>
    <w:p w14:paraId="4BE3FE8B" w14:textId="77777777" w:rsidR="00B037F3" w:rsidRPr="009C74A6" w:rsidRDefault="00B037F3" w:rsidP="002000F7">
      <w:pPr>
        <w:pStyle w:val="NoSpacing"/>
        <w:rPr>
          <w:rFonts w:ascii="Arial" w:hAnsi="Arial" w:cs="Arial"/>
          <w:sz w:val="22"/>
        </w:rPr>
      </w:pPr>
    </w:p>
    <w:p w14:paraId="7CFFA9ED" w14:textId="2FFF00D6" w:rsidR="002000F7" w:rsidRPr="009C74A6" w:rsidRDefault="00B037F3" w:rsidP="004F131E">
      <w:pPr>
        <w:pStyle w:val="Caption"/>
        <w:rPr>
          <w:rFonts w:ascii="Arial" w:hAnsi="Arial" w:cs="Arial"/>
          <w:szCs w:val="22"/>
        </w:rPr>
      </w:pPr>
      <w:bookmarkStart w:id="72" w:name="_Ref479695812"/>
      <w:r w:rsidRPr="009C74A6">
        <w:rPr>
          <w:rFonts w:ascii="Arial" w:hAnsi="Arial" w:cs="Arial"/>
          <w:szCs w:val="22"/>
        </w:rPr>
        <w:t xml:space="preserve">Figura </w:t>
      </w:r>
      <w:r w:rsidRPr="009C74A6">
        <w:rPr>
          <w:rFonts w:ascii="Arial" w:hAnsi="Arial" w:cs="Arial"/>
          <w:noProof/>
          <w:szCs w:val="22"/>
        </w:rPr>
        <w:t>II-1</w:t>
      </w:r>
      <w:bookmarkEnd w:id="72"/>
      <w:r w:rsidR="002000F7" w:rsidRPr="009C74A6">
        <w:rPr>
          <w:rFonts w:ascii="Arial" w:hAnsi="Arial" w:cs="Arial"/>
          <w:szCs w:val="22"/>
        </w:rPr>
        <w:t>: Distribución de hogares según NSE - CAPECO.</w:t>
      </w:r>
    </w:p>
    <w:p w14:paraId="3D61A3EB" w14:textId="3FEB29F8" w:rsidR="002000F7" w:rsidRPr="009C74A6" w:rsidRDefault="002000F7" w:rsidP="002000F7">
      <w:pPr>
        <w:pStyle w:val="NoSpacing"/>
        <w:rPr>
          <w:rFonts w:ascii="Arial" w:hAnsi="Arial" w:cs="Arial"/>
          <w:sz w:val="22"/>
        </w:rPr>
      </w:pPr>
      <w:r w:rsidRPr="009C74A6">
        <w:rPr>
          <w:rFonts w:ascii="Arial" w:hAnsi="Arial" w:cs="Arial"/>
          <w:noProof/>
          <w:sz w:val="22"/>
          <w:lang w:eastAsia="es-AR"/>
        </w:rPr>
        <w:drawing>
          <wp:inline distT="0" distB="0" distL="0" distR="0" wp14:anchorId="5E2F0567" wp14:editId="41B96ABA">
            <wp:extent cx="4514694" cy="276606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24931" cy="2772332"/>
                    </a:xfrm>
                    <a:prstGeom prst="rect">
                      <a:avLst/>
                    </a:prstGeom>
                    <a:noFill/>
                    <a:ln>
                      <a:noFill/>
                    </a:ln>
                  </pic:spPr>
                </pic:pic>
              </a:graphicData>
            </a:graphic>
          </wp:inline>
        </w:drawing>
      </w:r>
    </w:p>
    <w:p w14:paraId="1289A136" w14:textId="1F04E62A" w:rsidR="002000F7" w:rsidRPr="009C74A6" w:rsidRDefault="002000F7" w:rsidP="002000F7">
      <w:pPr>
        <w:pStyle w:val="NoSpacing"/>
        <w:rPr>
          <w:rFonts w:ascii="Arial" w:hAnsi="Arial" w:cs="Arial"/>
          <w:sz w:val="22"/>
        </w:rPr>
      </w:pPr>
      <w:r w:rsidRPr="009C74A6">
        <w:rPr>
          <w:rFonts w:ascii="Arial" w:hAnsi="Arial" w:cs="Arial"/>
          <w:sz w:val="22"/>
        </w:rPr>
        <w:t>Fuente: Elaboración sobre datos CNPV 2010.</w:t>
      </w:r>
    </w:p>
    <w:p w14:paraId="36DE8F0A" w14:textId="3F80DC83" w:rsidR="002000F7" w:rsidRPr="009C74A6" w:rsidRDefault="002000F7" w:rsidP="002000F7">
      <w:pPr>
        <w:rPr>
          <w:rFonts w:ascii="Arial" w:hAnsi="Arial" w:cs="Arial"/>
        </w:rPr>
      </w:pPr>
      <w:r w:rsidRPr="009C74A6">
        <w:rPr>
          <w:rFonts w:ascii="Arial" w:hAnsi="Arial" w:cs="Arial"/>
        </w:rPr>
        <w:t>Finalmente, para completar el contexto del proyecto, se presenta a continuación la cobertura de los principales servicios públicos en los partidos del conurbano bonaerense cuyo servicio de agua y saneamiento se encuentra concesionado a AySA S.A.. En este caso la información se complementa con la estratificación social surgida del indicador CAPECO a fin de mostrar la relación existente entre pobreza y falta de acceso a los servicios públicos.</w:t>
      </w:r>
    </w:p>
    <w:p w14:paraId="4889EC34" w14:textId="486D94E7" w:rsidR="002000F7" w:rsidRPr="009C74A6" w:rsidRDefault="002000F7" w:rsidP="004F131E">
      <w:pPr>
        <w:pStyle w:val="Caption"/>
        <w:rPr>
          <w:rFonts w:ascii="Arial" w:hAnsi="Arial" w:cs="Arial"/>
          <w:szCs w:val="22"/>
        </w:rPr>
      </w:pPr>
      <w:r w:rsidRPr="009C74A6">
        <w:rPr>
          <w:rFonts w:ascii="Arial" w:hAnsi="Arial" w:cs="Arial"/>
          <w:szCs w:val="22"/>
        </w:rPr>
        <w:lastRenderedPageBreak/>
        <w:t xml:space="preserve">Tabla </w:t>
      </w:r>
      <w:r w:rsidR="00B037F3" w:rsidRPr="009C74A6">
        <w:rPr>
          <w:rFonts w:ascii="Arial" w:hAnsi="Arial" w:cs="Arial"/>
          <w:szCs w:val="22"/>
        </w:rPr>
        <w:t>II-</w:t>
      </w:r>
      <w:r w:rsidR="000B2DBC" w:rsidRPr="009C74A6">
        <w:rPr>
          <w:rFonts w:ascii="Arial" w:hAnsi="Arial" w:cs="Arial"/>
          <w:szCs w:val="22"/>
        </w:rPr>
        <w:fldChar w:fldCharType="begin"/>
      </w:r>
      <w:r w:rsidR="000B2DBC" w:rsidRPr="009C74A6">
        <w:rPr>
          <w:rFonts w:ascii="Arial" w:hAnsi="Arial" w:cs="Arial"/>
          <w:szCs w:val="22"/>
        </w:rPr>
        <w:instrText xml:space="preserve"> SEQ Tabla \* ARABIC </w:instrText>
      </w:r>
      <w:r w:rsidR="000B2DBC" w:rsidRPr="009C74A6">
        <w:rPr>
          <w:rFonts w:ascii="Arial" w:hAnsi="Arial" w:cs="Arial"/>
          <w:szCs w:val="22"/>
        </w:rPr>
        <w:fldChar w:fldCharType="separate"/>
      </w:r>
      <w:r w:rsidR="009F66B5" w:rsidRPr="009C74A6">
        <w:rPr>
          <w:rFonts w:ascii="Arial" w:hAnsi="Arial" w:cs="Arial"/>
          <w:noProof/>
          <w:szCs w:val="22"/>
        </w:rPr>
        <w:t>7</w:t>
      </w:r>
      <w:r w:rsidR="000B2DBC" w:rsidRPr="009C74A6">
        <w:rPr>
          <w:rFonts w:ascii="Arial" w:hAnsi="Arial" w:cs="Arial"/>
          <w:noProof/>
          <w:szCs w:val="22"/>
        </w:rPr>
        <w:fldChar w:fldCharType="end"/>
      </w:r>
      <w:r w:rsidRPr="009C74A6">
        <w:rPr>
          <w:rFonts w:ascii="Arial" w:hAnsi="Arial" w:cs="Arial"/>
          <w:szCs w:val="22"/>
        </w:rPr>
        <w:t>: Acceso a servicios según CAPECO por Radio Censal CNPV 2010 – 17 partidos del GBA</w:t>
      </w:r>
    </w:p>
    <w:p w14:paraId="4D9863D5" w14:textId="02E0D64C" w:rsidR="002000F7" w:rsidRPr="009C74A6" w:rsidRDefault="002000F7" w:rsidP="002000F7">
      <w:pPr>
        <w:pStyle w:val="NoSpacing"/>
        <w:rPr>
          <w:rFonts w:ascii="Arial" w:hAnsi="Arial" w:cs="Arial"/>
          <w:sz w:val="22"/>
        </w:rPr>
      </w:pPr>
      <w:r w:rsidRPr="009C74A6">
        <w:rPr>
          <w:rFonts w:ascii="Arial" w:hAnsi="Arial" w:cs="Arial"/>
          <w:noProof/>
          <w:sz w:val="22"/>
          <w:lang w:eastAsia="es-AR"/>
        </w:rPr>
        <w:drawing>
          <wp:inline distT="0" distB="0" distL="0" distR="0" wp14:anchorId="1C3C1FD4" wp14:editId="720347A7">
            <wp:extent cx="5391150" cy="128016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91150" cy="1280160"/>
                    </a:xfrm>
                    <a:prstGeom prst="rect">
                      <a:avLst/>
                    </a:prstGeom>
                    <a:noFill/>
                    <a:ln>
                      <a:noFill/>
                    </a:ln>
                  </pic:spPr>
                </pic:pic>
              </a:graphicData>
            </a:graphic>
          </wp:inline>
        </w:drawing>
      </w:r>
    </w:p>
    <w:p w14:paraId="0917E76B" w14:textId="00B54906" w:rsidR="002000F7" w:rsidRPr="009C74A6" w:rsidRDefault="002000F7" w:rsidP="002000F7">
      <w:pPr>
        <w:pStyle w:val="NoSpacing"/>
        <w:rPr>
          <w:rFonts w:ascii="Arial" w:hAnsi="Arial" w:cs="Arial"/>
          <w:sz w:val="22"/>
        </w:rPr>
      </w:pPr>
      <w:r w:rsidRPr="009C74A6">
        <w:rPr>
          <w:rFonts w:ascii="Arial" w:hAnsi="Arial" w:cs="Arial"/>
          <w:sz w:val="22"/>
        </w:rPr>
        <w:t>Fuente: Elaboración propia sobre datos CNPV 2010.</w:t>
      </w:r>
    </w:p>
    <w:p w14:paraId="0689C235" w14:textId="4C84C67E" w:rsidR="002000F7" w:rsidRPr="009C74A6" w:rsidRDefault="002000F7" w:rsidP="002000F7">
      <w:pPr>
        <w:rPr>
          <w:rFonts w:ascii="Arial" w:hAnsi="Arial" w:cs="Arial"/>
        </w:rPr>
      </w:pPr>
      <w:r w:rsidRPr="009C74A6">
        <w:rPr>
          <w:rFonts w:ascii="Arial" w:hAnsi="Arial" w:cs="Arial"/>
        </w:rPr>
        <w:t>En este caso se aprecia que el mayor déficit de servicios corresponde al servicio de desagües cloacales, el que además presenta una cobertura menor a medida que desciende el nivel socioeconómico del área.</w:t>
      </w:r>
    </w:p>
    <w:p w14:paraId="132231BA" w14:textId="77777777" w:rsidR="002000F7" w:rsidRPr="009C74A6" w:rsidRDefault="002000F7" w:rsidP="002000F7">
      <w:pPr>
        <w:rPr>
          <w:rFonts w:ascii="Arial" w:hAnsi="Arial" w:cs="Arial"/>
        </w:rPr>
      </w:pPr>
    </w:p>
    <w:p w14:paraId="4179E256" w14:textId="731038E5" w:rsidR="003B1C14" w:rsidRPr="009C74A6" w:rsidRDefault="003B1C14" w:rsidP="002B0107">
      <w:pPr>
        <w:pStyle w:val="Heading2"/>
        <w:numPr>
          <w:ilvl w:val="1"/>
          <w:numId w:val="20"/>
        </w:numPr>
      </w:pPr>
      <w:bookmarkStart w:id="73" w:name="_Toc485200078"/>
      <w:r w:rsidRPr="009C74A6">
        <w:t>Detalle socioeconómico de los beneficiarios del proyecto.</w:t>
      </w:r>
      <w:bookmarkEnd w:id="73"/>
    </w:p>
    <w:p w14:paraId="50F466DA" w14:textId="48B6560B" w:rsidR="00B95FB6" w:rsidRPr="009C74A6" w:rsidRDefault="00B95FB6" w:rsidP="00B95FB6">
      <w:pPr>
        <w:rPr>
          <w:rFonts w:ascii="Arial" w:hAnsi="Arial" w:cs="Arial"/>
        </w:rPr>
      </w:pPr>
      <w:r w:rsidRPr="009C74A6">
        <w:rPr>
          <w:rFonts w:ascii="Arial" w:hAnsi="Arial" w:cs="Arial"/>
        </w:rPr>
        <w:t xml:space="preserve">Para el análisis de la situación socioeconómica de los beneficiarios directos </w:t>
      </w:r>
      <w:r w:rsidR="006376F0" w:rsidRPr="009C74A6">
        <w:rPr>
          <w:rFonts w:ascii="Arial" w:hAnsi="Arial" w:cs="Arial"/>
        </w:rPr>
        <w:t xml:space="preserve">del proyecto, hogares con demanda insatisfecha de la región sur del área de prestación de AySA, </w:t>
      </w:r>
      <w:r w:rsidRPr="009C74A6">
        <w:rPr>
          <w:rFonts w:ascii="Arial" w:hAnsi="Arial" w:cs="Arial"/>
        </w:rPr>
        <w:t>se presen</w:t>
      </w:r>
      <w:r w:rsidR="00C616C6" w:rsidRPr="009C74A6">
        <w:rPr>
          <w:rFonts w:ascii="Arial" w:hAnsi="Arial" w:cs="Arial"/>
        </w:rPr>
        <w:t>ta a continuación la</w:t>
      </w:r>
      <w:r w:rsidRPr="009C74A6">
        <w:rPr>
          <w:rFonts w:ascii="Arial" w:hAnsi="Arial" w:cs="Arial"/>
        </w:rPr>
        <w:t xml:space="preserve"> </w:t>
      </w:r>
      <w:r w:rsidR="00C616C6" w:rsidRPr="009C74A6">
        <w:rPr>
          <w:rFonts w:ascii="Arial" w:hAnsi="Arial" w:cs="Arial"/>
        </w:rPr>
        <w:fldChar w:fldCharType="begin"/>
      </w:r>
      <w:r w:rsidR="00C616C6" w:rsidRPr="009C74A6">
        <w:rPr>
          <w:rFonts w:ascii="Arial" w:hAnsi="Arial" w:cs="Arial"/>
        </w:rPr>
        <w:instrText xml:space="preserve"> REF _Ref479874987 \h </w:instrText>
      </w:r>
      <w:r w:rsidR="009C74A6" w:rsidRPr="009C74A6">
        <w:rPr>
          <w:rFonts w:ascii="Arial" w:hAnsi="Arial" w:cs="Arial"/>
        </w:rPr>
        <w:instrText xml:space="preserve"> \* MERGEFORMAT </w:instrText>
      </w:r>
      <w:r w:rsidR="00C616C6" w:rsidRPr="009C74A6">
        <w:rPr>
          <w:rFonts w:ascii="Arial" w:hAnsi="Arial" w:cs="Arial"/>
        </w:rPr>
      </w:r>
      <w:r w:rsidR="00C616C6" w:rsidRPr="009C74A6">
        <w:rPr>
          <w:rFonts w:ascii="Arial" w:hAnsi="Arial" w:cs="Arial"/>
        </w:rPr>
        <w:fldChar w:fldCharType="separate"/>
      </w:r>
      <w:r w:rsidR="00B037F3" w:rsidRPr="009C74A6">
        <w:rPr>
          <w:rFonts w:ascii="Arial" w:hAnsi="Arial" w:cs="Arial"/>
        </w:rPr>
        <w:t>Figura II-2</w:t>
      </w:r>
      <w:r w:rsidR="00C616C6" w:rsidRPr="009C74A6">
        <w:rPr>
          <w:rFonts w:ascii="Arial" w:hAnsi="Arial" w:cs="Arial"/>
        </w:rPr>
        <w:fldChar w:fldCharType="end"/>
      </w:r>
      <w:r w:rsidRPr="009C74A6">
        <w:rPr>
          <w:rFonts w:ascii="Arial" w:hAnsi="Arial" w:cs="Arial"/>
        </w:rPr>
        <w:t xml:space="preserve"> en el que se presenta la distribución de hogares según nivel socioeconómico del radio censal.</w:t>
      </w:r>
    </w:p>
    <w:p w14:paraId="0DF628A0" w14:textId="6D0F6247" w:rsidR="00C616C6" w:rsidRPr="009C74A6" w:rsidRDefault="00B037F3" w:rsidP="004F131E">
      <w:pPr>
        <w:pStyle w:val="Caption"/>
        <w:rPr>
          <w:rFonts w:ascii="Arial" w:hAnsi="Arial" w:cs="Arial"/>
          <w:szCs w:val="22"/>
        </w:rPr>
      </w:pPr>
      <w:bookmarkStart w:id="74" w:name="_Ref479874987"/>
      <w:r w:rsidRPr="009C74A6">
        <w:rPr>
          <w:rFonts w:ascii="Arial" w:hAnsi="Arial" w:cs="Arial"/>
          <w:noProof/>
          <w:szCs w:val="22"/>
        </w:rPr>
        <w:t>Figura II-2</w:t>
      </w:r>
      <w:bookmarkEnd w:id="74"/>
      <w:r w:rsidR="00C616C6" w:rsidRPr="009C74A6">
        <w:rPr>
          <w:rFonts w:ascii="Arial" w:hAnsi="Arial" w:cs="Arial"/>
          <w:szCs w:val="22"/>
        </w:rPr>
        <w:t xml:space="preserve">: </w:t>
      </w:r>
      <w:r w:rsidR="006376F0" w:rsidRPr="009C74A6">
        <w:rPr>
          <w:rFonts w:ascii="Arial" w:hAnsi="Arial" w:cs="Arial"/>
          <w:szCs w:val="22"/>
        </w:rPr>
        <w:t>H</w:t>
      </w:r>
      <w:r w:rsidR="00C616C6" w:rsidRPr="009C74A6">
        <w:rPr>
          <w:rFonts w:ascii="Arial" w:hAnsi="Arial" w:cs="Arial"/>
          <w:szCs w:val="22"/>
        </w:rPr>
        <w:t>ogares beneficiarios según NSE - CAPECO.</w:t>
      </w:r>
    </w:p>
    <w:p w14:paraId="5653A8C2" w14:textId="5142DAC7" w:rsidR="00B95FB6" w:rsidRPr="009C74A6" w:rsidRDefault="006376F0" w:rsidP="00B95FB6">
      <w:pPr>
        <w:pStyle w:val="CuadrosyTablas"/>
        <w:rPr>
          <w:rFonts w:cs="Arial"/>
          <w:szCs w:val="22"/>
        </w:rPr>
      </w:pPr>
      <w:r w:rsidRPr="009C74A6">
        <w:rPr>
          <w:rFonts w:cs="Arial"/>
          <w:noProof/>
          <w:szCs w:val="22"/>
          <w:lang w:eastAsia="es-AR"/>
        </w:rPr>
        <w:drawing>
          <wp:inline distT="0" distB="0" distL="0" distR="0" wp14:anchorId="13829C2C" wp14:editId="472FDD10">
            <wp:extent cx="4580255" cy="27432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80255" cy="2743200"/>
                    </a:xfrm>
                    <a:prstGeom prst="rect">
                      <a:avLst/>
                    </a:prstGeom>
                    <a:noFill/>
                    <a:ln>
                      <a:noFill/>
                    </a:ln>
                  </pic:spPr>
                </pic:pic>
              </a:graphicData>
            </a:graphic>
          </wp:inline>
        </w:drawing>
      </w:r>
      <w:r w:rsidR="00B95FB6" w:rsidRPr="009C74A6">
        <w:rPr>
          <w:rFonts w:cs="Arial"/>
          <w:szCs w:val="22"/>
        </w:rPr>
        <w:t xml:space="preserve"> </w:t>
      </w:r>
    </w:p>
    <w:p w14:paraId="627E022D" w14:textId="023A3203" w:rsidR="00B95FB6" w:rsidRPr="009C74A6" w:rsidRDefault="00B95FB6" w:rsidP="00C616C6">
      <w:pPr>
        <w:pStyle w:val="NoSpacing"/>
        <w:rPr>
          <w:rFonts w:ascii="Arial" w:hAnsi="Arial" w:cs="Arial"/>
          <w:sz w:val="22"/>
        </w:rPr>
      </w:pPr>
      <w:r w:rsidRPr="009C74A6">
        <w:rPr>
          <w:rFonts w:ascii="Arial" w:hAnsi="Arial" w:cs="Arial"/>
          <w:sz w:val="22"/>
        </w:rPr>
        <w:t>Fuente: Elaboración sobre datos CNPV 2010.</w:t>
      </w:r>
    </w:p>
    <w:p w14:paraId="366AB33F" w14:textId="7337E054" w:rsidR="00B95FB6" w:rsidRPr="009C74A6" w:rsidRDefault="00C616C6" w:rsidP="00B95FB6">
      <w:pPr>
        <w:rPr>
          <w:rFonts w:ascii="Arial" w:hAnsi="Arial" w:cs="Arial"/>
        </w:rPr>
      </w:pPr>
      <w:r w:rsidRPr="009C74A6">
        <w:rPr>
          <w:rFonts w:ascii="Arial" w:hAnsi="Arial" w:cs="Arial"/>
        </w:rPr>
        <w:t xml:space="preserve">En </w:t>
      </w:r>
      <w:r w:rsidR="00B95FB6" w:rsidRPr="009C74A6">
        <w:rPr>
          <w:rFonts w:ascii="Arial" w:hAnsi="Arial" w:cs="Arial"/>
        </w:rPr>
        <w:t>l</w:t>
      </w:r>
      <w:r w:rsidRPr="009C74A6">
        <w:rPr>
          <w:rFonts w:ascii="Arial" w:hAnsi="Arial" w:cs="Arial"/>
        </w:rPr>
        <w:t>a</w:t>
      </w:r>
      <w:r w:rsidR="00B95FB6" w:rsidRPr="009C74A6">
        <w:rPr>
          <w:rFonts w:ascii="Arial" w:hAnsi="Arial" w:cs="Arial"/>
        </w:rPr>
        <w:t xml:space="preserve"> </w:t>
      </w:r>
      <w:r w:rsidRPr="009C74A6">
        <w:rPr>
          <w:rFonts w:ascii="Arial" w:hAnsi="Arial" w:cs="Arial"/>
        </w:rPr>
        <w:fldChar w:fldCharType="begin"/>
      </w:r>
      <w:r w:rsidRPr="009C74A6">
        <w:rPr>
          <w:rFonts w:ascii="Arial" w:hAnsi="Arial" w:cs="Arial"/>
        </w:rPr>
        <w:instrText xml:space="preserve"> REF _Ref479875097 \h </w:instrText>
      </w:r>
      <w:r w:rsidR="009C74A6" w:rsidRPr="009C74A6">
        <w:rPr>
          <w:rFonts w:ascii="Arial" w:hAnsi="Arial" w:cs="Arial"/>
        </w:rPr>
        <w:instrText xml:space="preserve"> \* MERGEFORMAT </w:instrText>
      </w:r>
      <w:r w:rsidRPr="009C74A6">
        <w:rPr>
          <w:rFonts w:ascii="Arial" w:hAnsi="Arial" w:cs="Arial"/>
        </w:rPr>
      </w:r>
      <w:r w:rsidRPr="009C74A6">
        <w:rPr>
          <w:rFonts w:ascii="Arial" w:hAnsi="Arial" w:cs="Arial"/>
        </w:rPr>
        <w:fldChar w:fldCharType="separate"/>
      </w:r>
      <w:r w:rsidR="009F66B5" w:rsidRPr="009C74A6">
        <w:rPr>
          <w:rFonts w:ascii="Arial" w:hAnsi="Arial" w:cs="Arial"/>
        </w:rPr>
        <w:t xml:space="preserve">Tabla </w:t>
      </w:r>
      <w:r w:rsidR="00B037F3" w:rsidRPr="009C74A6">
        <w:rPr>
          <w:rFonts w:ascii="Arial" w:hAnsi="Arial" w:cs="Arial"/>
        </w:rPr>
        <w:t>II-</w:t>
      </w:r>
      <w:r w:rsidR="009F66B5" w:rsidRPr="009C74A6">
        <w:rPr>
          <w:rFonts w:ascii="Arial" w:hAnsi="Arial" w:cs="Arial"/>
          <w:noProof/>
        </w:rPr>
        <w:t>8</w:t>
      </w:r>
      <w:r w:rsidRPr="009C74A6">
        <w:rPr>
          <w:rFonts w:ascii="Arial" w:hAnsi="Arial" w:cs="Arial"/>
        </w:rPr>
        <w:fldChar w:fldCharType="end"/>
      </w:r>
      <w:r w:rsidRPr="009C74A6">
        <w:rPr>
          <w:rFonts w:ascii="Arial" w:hAnsi="Arial" w:cs="Arial"/>
        </w:rPr>
        <w:t xml:space="preserve"> </w:t>
      </w:r>
      <w:r w:rsidR="00B95FB6" w:rsidRPr="009C74A6">
        <w:rPr>
          <w:rFonts w:ascii="Arial" w:hAnsi="Arial" w:cs="Arial"/>
        </w:rPr>
        <w:t xml:space="preserve">se presenta información general análoga a la </w:t>
      </w:r>
      <w:r w:rsidR="006376F0" w:rsidRPr="009C74A6">
        <w:rPr>
          <w:rFonts w:ascii="Arial" w:hAnsi="Arial" w:cs="Arial"/>
        </w:rPr>
        <w:t xml:space="preserve">de la </w:t>
      </w:r>
      <w:r w:rsidR="006376F0" w:rsidRPr="009C74A6">
        <w:rPr>
          <w:rFonts w:ascii="Arial" w:hAnsi="Arial" w:cs="Arial"/>
        </w:rPr>
        <w:fldChar w:fldCharType="begin"/>
      </w:r>
      <w:r w:rsidR="006376F0" w:rsidRPr="009C74A6">
        <w:rPr>
          <w:rFonts w:ascii="Arial" w:hAnsi="Arial" w:cs="Arial"/>
        </w:rPr>
        <w:instrText xml:space="preserve"> REF _Ref479695762 \h </w:instrText>
      </w:r>
      <w:r w:rsidR="009C74A6" w:rsidRPr="009C74A6">
        <w:rPr>
          <w:rFonts w:ascii="Arial" w:hAnsi="Arial" w:cs="Arial"/>
        </w:rPr>
        <w:instrText xml:space="preserve"> \* MERGEFORMAT </w:instrText>
      </w:r>
      <w:r w:rsidR="006376F0" w:rsidRPr="009C74A6">
        <w:rPr>
          <w:rFonts w:ascii="Arial" w:hAnsi="Arial" w:cs="Arial"/>
        </w:rPr>
      </w:r>
      <w:r w:rsidR="006376F0" w:rsidRPr="009C74A6">
        <w:rPr>
          <w:rFonts w:ascii="Arial" w:hAnsi="Arial" w:cs="Arial"/>
        </w:rPr>
        <w:fldChar w:fldCharType="separate"/>
      </w:r>
      <w:r w:rsidR="009F66B5" w:rsidRPr="009C74A6">
        <w:rPr>
          <w:rFonts w:ascii="Arial" w:hAnsi="Arial" w:cs="Arial"/>
        </w:rPr>
        <w:t xml:space="preserve">Tabla </w:t>
      </w:r>
      <w:r w:rsidR="009F66B5" w:rsidRPr="009C74A6">
        <w:rPr>
          <w:rFonts w:ascii="Arial" w:hAnsi="Arial" w:cs="Arial"/>
          <w:noProof/>
        </w:rPr>
        <w:t>6</w:t>
      </w:r>
      <w:r w:rsidR="006376F0" w:rsidRPr="009C74A6">
        <w:rPr>
          <w:rFonts w:ascii="Arial" w:hAnsi="Arial" w:cs="Arial"/>
        </w:rPr>
        <w:fldChar w:fldCharType="end"/>
      </w:r>
      <w:r w:rsidR="00B95FB6" w:rsidRPr="009C74A6">
        <w:rPr>
          <w:rFonts w:ascii="Arial" w:hAnsi="Arial" w:cs="Arial"/>
        </w:rPr>
        <w:t xml:space="preserve"> para el área beneficiaria del proyecto.</w:t>
      </w:r>
    </w:p>
    <w:p w14:paraId="5EBB0FF3" w14:textId="6F4F9E97" w:rsidR="00C616C6" w:rsidRPr="009C74A6" w:rsidRDefault="00C616C6" w:rsidP="004F131E">
      <w:pPr>
        <w:pStyle w:val="Caption"/>
        <w:rPr>
          <w:rFonts w:ascii="Arial" w:hAnsi="Arial" w:cs="Arial"/>
          <w:szCs w:val="22"/>
        </w:rPr>
      </w:pPr>
      <w:bookmarkStart w:id="75" w:name="_Ref479875097"/>
      <w:r w:rsidRPr="009C74A6">
        <w:rPr>
          <w:rFonts w:ascii="Arial" w:hAnsi="Arial" w:cs="Arial"/>
          <w:szCs w:val="22"/>
        </w:rPr>
        <w:lastRenderedPageBreak/>
        <w:t xml:space="preserve">Tabla </w:t>
      </w:r>
      <w:r w:rsidR="00B037F3" w:rsidRPr="009C74A6">
        <w:rPr>
          <w:rFonts w:ascii="Arial" w:hAnsi="Arial" w:cs="Arial"/>
          <w:szCs w:val="22"/>
        </w:rPr>
        <w:t>II-</w:t>
      </w:r>
      <w:r w:rsidR="000B2DBC" w:rsidRPr="009C74A6">
        <w:rPr>
          <w:rFonts w:ascii="Arial" w:hAnsi="Arial" w:cs="Arial"/>
          <w:szCs w:val="22"/>
        </w:rPr>
        <w:fldChar w:fldCharType="begin"/>
      </w:r>
      <w:r w:rsidR="000B2DBC" w:rsidRPr="009C74A6">
        <w:rPr>
          <w:rFonts w:ascii="Arial" w:hAnsi="Arial" w:cs="Arial"/>
          <w:szCs w:val="22"/>
        </w:rPr>
        <w:instrText xml:space="preserve"> SEQ Tabla \* ARABIC </w:instrText>
      </w:r>
      <w:r w:rsidR="000B2DBC" w:rsidRPr="009C74A6">
        <w:rPr>
          <w:rFonts w:ascii="Arial" w:hAnsi="Arial" w:cs="Arial"/>
          <w:szCs w:val="22"/>
        </w:rPr>
        <w:fldChar w:fldCharType="separate"/>
      </w:r>
      <w:r w:rsidR="009F66B5" w:rsidRPr="009C74A6">
        <w:rPr>
          <w:rFonts w:ascii="Arial" w:hAnsi="Arial" w:cs="Arial"/>
          <w:noProof/>
          <w:szCs w:val="22"/>
        </w:rPr>
        <w:t>8</w:t>
      </w:r>
      <w:r w:rsidR="000B2DBC" w:rsidRPr="009C74A6">
        <w:rPr>
          <w:rFonts w:ascii="Arial" w:hAnsi="Arial" w:cs="Arial"/>
          <w:noProof/>
          <w:szCs w:val="22"/>
        </w:rPr>
        <w:fldChar w:fldCharType="end"/>
      </w:r>
      <w:bookmarkEnd w:id="75"/>
      <w:r w:rsidRPr="009C74A6">
        <w:rPr>
          <w:rFonts w:ascii="Arial" w:hAnsi="Arial" w:cs="Arial"/>
          <w:szCs w:val="22"/>
        </w:rPr>
        <w:t>: NBI y datos generales según NSE área beneficiaria del proyecto – CNPV 2010</w:t>
      </w:r>
    </w:p>
    <w:p w14:paraId="4B50FF17" w14:textId="4DFE268A" w:rsidR="00B95FB6" w:rsidRPr="009C74A6" w:rsidRDefault="006376F0" w:rsidP="00B95FB6">
      <w:pPr>
        <w:pStyle w:val="CuadrosyTablas"/>
        <w:rPr>
          <w:rFonts w:cs="Arial"/>
          <w:szCs w:val="22"/>
        </w:rPr>
      </w:pPr>
      <w:r w:rsidRPr="009C74A6">
        <w:rPr>
          <w:rFonts w:cs="Arial"/>
          <w:noProof/>
          <w:szCs w:val="22"/>
          <w:lang w:eastAsia="es-AR"/>
        </w:rPr>
        <w:drawing>
          <wp:inline distT="0" distB="0" distL="0" distR="0" wp14:anchorId="42271FBF" wp14:editId="07B1CEB1">
            <wp:extent cx="5400675" cy="2041406"/>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675" cy="2041406"/>
                    </a:xfrm>
                    <a:prstGeom prst="rect">
                      <a:avLst/>
                    </a:prstGeom>
                    <a:noFill/>
                    <a:ln>
                      <a:noFill/>
                    </a:ln>
                  </pic:spPr>
                </pic:pic>
              </a:graphicData>
            </a:graphic>
          </wp:inline>
        </w:drawing>
      </w:r>
      <w:r w:rsidR="00C616C6" w:rsidRPr="009C74A6">
        <w:rPr>
          <w:rFonts w:cs="Arial"/>
          <w:szCs w:val="22"/>
        </w:rPr>
        <w:t xml:space="preserve"> </w:t>
      </w:r>
    </w:p>
    <w:p w14:paraId="7D56F9AE" w14:textId="5C83E710" w:rsidR="00B95FB6" w:rsidRPr="009C74A6" w:rsidRDefault="00B95FB6" w:rsidP="00C616C6">
      <w:pPr>
        <w:pStyle w:val="NoSpacing"/>
        <w:rPr>
          <w:rFonts w:ascii="Arial" w:hAnsi="Arial" w:cs="Arial"/>
          <w:sz w:val="22"/>
        </w:rPr>
      </w:pPr>
      <w:r w:rsidRPr="009C74A6">
        <w:rPr>
          <w:rFonts w:ascii="Arial" w:hAnsi="Arial" w:cs="Arial"/>
          <w:sz w:val="22"/>
        </w:rPr>
        <w:t>Fuente: Elaboración sobre datos CNPV 2010.</w:t>
      </w:r>
    </w:p>
    <w:p w14:paraId="0CB590BC" w14:textId="1521C621" w:rsidR="00B95FB6" w:rsidRPr="009C74A6" w:rsidRDefault="00B95FB6" w:rsidP="00B95FB6">
      <w:pPr>
        <w:rPr>
          <w:rFonts w:ascii="Arial" w:hAnsi="Arial" w:cs="Arial"/>
        </w:rPr>
      </w:pPr>
      <w:r w:rsidRPr="009C74A6">
        <w:rPr>
          <w:rFonts w:ascii="Arial" w:hAnsi="Arial" w:cs="Arial"/>
        </w:rPr>
        <w:t>El otro aspecto analizado para el área beneficiaria del proyecto es el relacionado los combustibles utilizados en la cocina y calefacción y la modalidad de desecho de los efluentes cloacales.</w:t>
      </w:r>
    </w:p>
    <w:p w14:paraId="2C7E2DFA" w14:textId="1444E1A2" w:rsidR="00B95FB6" w:rsidRPr="009C74A6" w:rsidRDefault="00283044" w:rsidP="00B95FB6">
      <w:pPr>
        <w:rPr>
          <w:rFonts w:ascii="Arial" w:hAnsi="Arial" w:cs="Arial"/>
        </w:rPr>
      </w:pPr>
      <w:r w:rsidRPr="009C74A6">
        <w:rPr>
          <w:rFonts w:ascii="Arial" w:hAnsi="Arial" w:cs="Arial"/>
        </w:rPr>
        <w:t>La</w:t>
      </w:r>
      <w:r w:rsidR="00B95FB6" w:rsidRPr="009C74A6">
        <w:rPr>
          <w:rFonts w:ascii="Arial" w:hAnsi="Arial" w:cs="Arial"/>
        </w:rPr>
        <w:t xml:space="preserve"> </w:t>
      </w:r>
      <w:r w:rsidRPr="009C74A6">
        <w:rPr>
          <w:rFonts w:ascii="Arial" w:hAnsi="Arial" w:cs="Arial"/>
        </w:rPr>
        <w:fldChar w:fldCharType="begin"/>
      </w:r>
      <w:r w:rsidRPr="009C74A6">
        <w:rPr>
          <w:rFonts w:ascii="Arial" w:hAnsi="Arial" w:cs="Arial"/>
        </w:rPr>
        <w:instrText xml:space="preserve"> REF _Ref479876843 \h </w:instrText>
      </w:r>
      <w:r w:rsidR="009C74A6" w:rsidRPr="009C74A6">
        <w:rPr>
          <w:rFonts w:ascii="Arial" w:hAnsi="Arial" w:cs="Arial"/>
        </w:rPr>
        <w:instrText xml:space="preserve"> \* MERGEFORMAT </w:instrText>
      </w:r>
      <w:r w:rsidRPr="009C74A6">
        <w:rPr>
          <w:rFonts w:ascii="Arial" w:hAnsi="Arial" w:cs="Arial"/>
        </w:rPr>
      </w:r>
      <w:r w:rsidRPr="009C74A6">
        <w:rPr>
          <w:rFonts w:ascii="Arial" w:hAnsi="Arial" w:cs="Arial"/>
        </w:rPr>
        <w:fldChar w:fldCharType="separate"/>
      </w:r>
      <w:r w:rsidR="009F66B5" w:rsidRPr="009C74A6">
        <w:rPr>
          <w:rFonts w:ascii="Arial" w:hAnsi="Arial" w:cs="Arial"/>
        </w:rPr>
        <w:t xml:space="preserve">Tabla </w:t>
      </w:r>
      <w:r w:rsidR="00B037F3" w:rsidRPr="009C74A6">
        <w:rPr>
          <w:rFonts w:ascii="Arial" w:hAnsi="Arial" w:cs="Arial"/>
        </w:rPr>
        <w:t>II-</w:t>
      </w:r>
      <w:r w:rsidR="009F66B5" w:rsidRPr="009C74A6">
        <w:rPr>
          <w:rFonts w:ascii="Arial" w:hAnsi="Arial" w:cs="Arial"/>
          <w:noProof/>
        </w:rPr>
        <w:t>9</w:t>
      </w:r>
      <w:r w:rsidRPr="009C74A6">
        <w:rPr>
          <w:rFonts w:ascii="Arial" w:hAnsi="Arial" w:cs="Arial"/>
        </w:rPr>
        <w:fldChar w:fldCharType="end"/>
      </w:r>
      <w:r w:rsidRPr="009C74A6">
        <w:rPr>
          <w:rFonts w:ascii="Arial" w:hAnsi="Arial" w:cs="Arial"/>
        </w:rPr>
        <w:t xml:space="preserve"> y</w:t>
      </w:r>
      <w:r w:rsidR="006376F0" w:rsidRPr="009C74A6">
        <w:rPr>
          <w:rFonts w:ascii="Arial" w:hAnsi="Arial" w:cs="Arial"/>
        </w:rPr>
        <w:t xml:space="preserve"> la</w:t>
      </w:r>
      <w:r w:rsidRPr="009C74A6">
        <w:rPr>
          <w:rFonts w:ascii="Arial" w:hAnsi="Arial" w:cs="Arial"/>
        </w:rPr>
        <w:t xml:space="preserve"> </w:t>
      </w:r>
      <w:r w:rsidRPr="009C74A6">
        <w:rPr>
          <w:rFonts w:ascii="Arial" w:hAnsi="Arial" w:cs="Arial"/>
        </w:rPr>
        <w:fldChar w:fldCharType="begin"/>
      </w:r>
      <w:r w:rsidRPr="009C74A6">
        <w:rPr>
          <w:rFonts w:ascii="Arial" w:hAnsi="Arial" w:cs="Arial"/>
        </w:rPr>
        <w:instrText xml:space="preserve"> REF _Ref479876859 \h </w:instrText>
      </w:r>
      <w:r w:rsidR="009C74A6" w:rsidRPr="009C74A6">
        <w:rPr>
          <w:rFonts w:ascii="Arial" w:hAnsi="Arial" w:cs="Arial"/>
        </w:rPr>
        <w:instrText xml:space="preserve"> \* MERGEFORMAT </w:instrText>
      </w:r>
      <w:r w:rsidRPr="009C74A6">
        <w:rPr>
          <w:rFonts w:ascii="Arial" w:hAnsi="Arial" w:cs="Arial"/>
        </w:rPr>
      </w:r>
      <w:r w:rsidRPr="009C74A6">
        <w:rPr>
          <w:rFonts w:ascii="Arial" w:hAnsi="Arial" w:cs="Arial"/>
        </w:rPr>
        <w:fldChar w:fldCharType="separate"/>
      </w:r>
      <w:r w:rsidR="009F66B5" w:rsidRPr="009C74A6">
        <w:rPr>
          <w:rFonts w:ascii="Arial" w:hAnsi="Arial" w:cs="Arial"/>
        </w:rPr>
        <w:t xml:space="preserve">Tabla </w:t>
      </w:r>
      <w:r w:rsidR="00B037F3" w:rsidRPr="009C74A6">
        <w:rPr>
          <w:rFonts w:ascii="Arial" w:hAnsi="Arial" w:cs="Arial"/>
        </w:rPr>
        <w:t>II-</w:t>
      </w:r>
      <w:r w:rsidR="009F66B5" w:rsidRPr="009C74A6">
        <w:rPr>
          <w:rFonts w:ascii="Arial" w:hAnsi="Arial" w:cs="Arial"/>
          <w:noProof/>
        </w:rPr>
        <w:t>10</w:t>
      </w:r>
      <w:r w:rsidRPr="009C74A6">
        <w:rPr>
          <w:rFonts w:ascii="Arial" w:hAnsi="Arial" w:cs="Arial"/>
        </w:rPr>
        <w:fldChar w:fldCharType="end"/>
      </w:r>
      <w:r w:rsidRPr="009C74A6">
        <w:rPr>
          <w:rFonts w:ascii="Arial" w:hAnsi="Arial" w:cs="Arial"/>
        </w:rPr>
        <w:t xml:space="preserve"> </w:t>
      </w:r>
      <w:r w:rsidR="00B95FB6" w:rsidRPr="009C74A6">
        <w:rPr>
          <w:rFonts w:ascii="Arial" w:hAnsi="Arial" w:cs="Arial"/>
        </w:rPr>
        <w:t>presentan el detalle de tales aspectos de acuerdo con la estratificación socioeconómica de los radios censales según datos del relevamiento del año 2010.</w:t>
      </w:r>
    </w:p>
    <w:p w14:paraId="250C82F7" w14:textId="6781A30B" w:rsidR="00FF271C" w:rsidRPr="009C74A6" w:rsidRDefault="00FF271C" w:rsidP="004F131E">
      <w:pPr>
        <w:pStyle w:val="Caption"/>
        <w:rPr>
          <w:rFonts w:ascii="Arial" w:hAnsi="Arial" w:cs="Arial"/>
          <w:szCs w:val="22"/>
        </w:rPr>
      </w:pPr>
      <w:bookmarkStart w:id="76" w:name="_Ref479876843"/>
      <w:r w:rsidRPr="009C74A6">
        <w:rPr>
          <w:rFonts w:ascii="Arial" w:hAnsi="Arial" w:cs="Arial"/>
          <w:szCs w:val="22"/>
        </w:rPr>
        <w:t xml:space="preserve">Tabla </w:t>
      </w:r>
      <w:r w:rsidR="00B037F3" w:rsidRPr="009C74A6">
        <w:rPr>
          <w:rFonts w:ascii="Arial" w:hAnsi="Arial" w:cs="Arial"/>
          <w:szCs w:val="22"/>
        </w:rPr>
        <w:t>II-</w:t>
      </w:r>
      <w:r w:rsidR="000B2DBC" w:rsidRPr="009C74A6">
        <w:rPr>
          <w:rFonts w:ascii="Arial" w:hAnsi="Arial" w:cs="Arial"/>
          <w:szCs w:val="22"/>
        </w:rPr>
        <w:fldChar w:fldCharType="begin"/>
      </w:r>
      <w:r w:rsidR="000B2DBC" w:rsidRPr="009C74A6">
        <w:rPr>
          <w:rFonts w:ascii="Arial" w:hAnsi="Arial" w:cs="Arial"/>
          <w:szCs w:val="22"/>
        </w:rPr>
        <w:instrText xml:space="preserve"> SEQ Tabla \* ARABIC </w:instrText>
      </w:r>
      <w:r w:rsidR="000B2DBC" w:rsidRPr="009C74A6">
        <w:rPr>
          <w:rFonts w:ascii="Arial" w:hAnsi="Arial" w:cs="Arial"/>
          <w:szCs w:val="22"/>
        </w:rPr>
        <w:fldChar w:fldCharType="separate"/>
      </w:r>
      <w:r w:rsidR="009F66B5" w:rsidRPr="009C74A6">
        <w:rPr>
          <w:rFonts w:ascii="Arial" w:hAnsi="Arial" w:cs="Arial"/>
          <w:noProof/>
          <w:szCs w:val="22"/>
        </w:rPr>
        <w:t>9</w:t>
      </w:r>
      <w:r w:rsidR="000B2DBC" w:rsidRPr="009C74A6">
        <w:rPr>
          <w:rFonts w:ascii="Arial" w:hAnsi="Arial" w:cs="Arial"/>
          <w:noProof/>
          <w:szCs w:val="22"/>
        </w:rPr>
        <w:fldChar w:fldCharType="end"/>
      </w:r>
      <w:bookmarkEnd w:id="76"/>
      <w:r w:rsidRPr="009C74A6">
        <w:rPr>
          <w:rFonts w:ascii="Arial" w:hAnsi="Arial" w:cs="Arial"/>
          <w:szCs w:val="22"/>
        </w:rPr>
        <w:t>: Combustible utilizado por los hogares área beneficiaria del proyecto – CNPV 2010</w:t>
      </w:r>
    </w:p>
    <w:p w14:paraId="1A4D4FF6" w14:textId="16C7E3BE" w:rsidR="00B95FB6" w:rsidRPr="009C74A6" w:rsidRDefault="006376F0" w:rsidP="00B95FB6">
      <w:pPr>
        <w:pStyle w:val="CuadrosyTablas"/>
        <w:rPr>
          <w:rFonts w:cs="Arial"/>
          <w:szCs w:val="22"/>
        </w:rPr>
      </w:pPr>
      <w:r w:rsidRPr="009C74A6">
        <w:rPr>
          <w:rFonts w:cs="Arial"/>
          <w:noProof/>
          <w:szCs w:val="22"/>
          <w:lang w:eastAsia="es-AR"/>
        </w:rPr>
        <w:drawing>
          <wp:inline distT="0" distB="0" distL="0" distR="0" wp14:anchorId="26A85149" wp14:editId="77DDE5DA">
            <wp:extent cx="5400675" cy="2341837"/>
            <wp:effectExtent l="0" t="0" r="0"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675" cy="2341837"/>
                    </a:xfrm>
                    <a:prstGeom prst="rect">
                      <a:avLst/>
                    </a:prstGeom>
                    <a:noFill/>
                    <a:ln>
                      <a:noFill/>
                    </a:ln>
                  </pic:spPr>
                </pic:pic>
              </a:graphicData>
            </a:graphic>
          </wp:inline>
        </w:drawing>
      </w:r>
    </w:p>
    <w:p w14:paraId="230155AE" w14:textId="7358CB4A" w:rsidR="00B95FB6" w:rsidRPr="009C74A6" w:rsidRDefault="00B95FB6" w:rsidP="00FF271C">
      <w:pPr>
        <w:pStyle w:val="NoSpacing"/>
        <w:rPr>
          <w:rFonts w:ascii="Arial" w:hAnsi="Arial" w:cs="Arial"/>
          <w:sz w:val="22"/>
        </w:rPr>
      </w:pPr>
      <w:r w:rsidRPr="009C74A6">
        <w:rPr>
          <w:rFonts w:ascii="Arial" w:hAnsi="Arial" w:cs="Arial"/>
          <w:sz w:val="22"/>
        </w:rPr>
        <w:t>Fuente: Elaboración sobre datos CNPV 2010.</w:t>
      </w:r>
    </w:p>
    <w:p w14:paraId="2212A88D" w14:textId="24866502" w:rsidR="00283044" w:rsidRPr="009C74A6" w:rsidRDefault="00283044" w:rsidP="004F131E">
      <w:pPr>
        <w:pStyle w:val="Caption"/>
        <w:rPr>
          <w:rFonts w:ascii="Arial" w:hAnsi="Arial" w:cs="Arial"/>
          <w:szCs w:val="22"/>
        </w:rPr>
      </w:pPr>
      <w:bookmarkStart w:id="77" w:name="_Ref479876859"/>
      <w:r w:rsidRPr="009C74A6">
        <w:rPr>
          <w:rFonts w:ascii="Arial" w:hAnsi="Arial" w:cs="Arial"/>
          <w:szCs w:val="22"/>
        </w:rPr>
        <w:lastRenderedPageBreak/>
        <w:t xml:space="preserve">Tabla </w:t>
      </w:r>
      <w:r w:rsidR="00B037F3" w:rsidRPr="009C74A6">
        <w:rPr>
          <w:rFonts w:ascii="Arial" w:hAnsi="Arial" w:cs="Arial"/>
          <w:szCs w:val="22"/>
        </w:rPr>
        <w:t>II-</w:t>
      </w:r>
      <w:r w:rsidR="000B2DBC" w:rsidRPr="009C74A6">
        <w:rPr>
          <w:rFonts w:ascii="Arial" w:hAnsi="Arial" w:cs="Arial"/>
          <w:szCs w:val="22"/>
        </w:rPr>
        <w:fldChar w:fldCharType="begin"/>
      </w:r>
      <w:r w:rsidR="000B2DBC" w:rsidRPr="009C74A6">
        <w:rPr>
          <w:rFonts w:ascii="Arial" w:hAnsi="Arial" w:cs="Arial"/>
          <w:szCs w:val="22"/>
        </w:rPr>
        <w:instrText xml:space="preserve"> SEQ Tabla \* ARABIC </w:instrText>
      </w:r>
      <w:r w:rsidR="000B2DBC" w:rsidRPr="009C74A6">
        <w:rPr>
          <w:rFonts w:ascii="Arial" w:hAnsi="Arial" w:cs="Arial"/>
          <w:szCs w:val="22"/>
        </w:rPr>
        <w:fldChar w:fldCharType="separate"/>
      </w:r>
      <w:r w:rsidR="009F66B5" w:rsidRPr="009C74A6">
        <w:rPr>
          <w:rFonts w:ascii="Arial" w:hAnsi="Arial" w:cs="Arial"/>
          <w:noProof/>
          <w:szCs w:val="22"/>
        </w:rPr>
        <w:t>10</w:t>
      </w:r>
      <w:r w:rsidR="000B2DBC" w:rsidRPr="009C74A6">
        <w:rPr>
          <w:rFonts w:ascii="Arial" w:hAnsi="Arial" w:cs="Arial"/>
          <w:noProof/>
          <w:szCs w:val="22"/>
        </w:rPr>
        <w:fldChar w:fldCharType="end"/>
      </w:r>
      <w:bookmarkEnd w:id="77"/>
      <w:r w:rsidRPr="009C74A6">
        <w:rPr>
          <w:rFonts w:ascii="Arial" w:hAnsi="Arial" w:cs="Arial"/>
          <w:szCs w:val="22"/>
        </w:rPr>
        <w:t>: Sistema de eliminación de excretas área beneficiaria del proyecto – CNPV 2010</w:t>
      </w:r>
    </w:p>
    <w:p w14:paraId="6A94CD19" w14:textId="2F99ACAA" w:rsidR="00B95FB6" w:rsidRPr="009C74A6" w:rsidRDefault="006376F0" w:rsidP="00283044">
      <w:pPr>
        <w:pStyle w:val="NoSpacing"/>
        <w:rPr>
          <w:rFonts w:ascii="Arial" w:hAnsi="Arial" w:cs="Arial"/>
          <w:sz w:val="22"/>
        </w:rPr>
      </w:pPr>
      <w:r w:rsidRPr="009C74A6">
        <w:rPr>
          <w:rFonts w:ascii="Arial" w:hAnsi="Arial" w:cs="Arial"/>
          <w:noProof/>
          <w:sz w:val="22"/>
          <w:lang w:eastAsia="es-AR"/>
        </w:rPr>
        <w:drawing>
          <wp:inline distT="0" distB="0" distL="0" distR="0" wp14:anchorId="059E3EB3" wp14:editId="7B420A7F">
            <wp:extent cx="5400675" cy="1665731"/>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675" cy="1665731"/>
                    </a:xfrm>
                    <a:prstGeom prst="rect">
                      <a:avLst/>
                    </a:prstGeom>
                    <a:noFill/>
                    <a:ln>
                      <a:noFill/>
                    </a:ln>
                  </pic:spPr>
                </pic:pic>
              </a:graphicData>
            </a:graphic>
          </wp:inline>
        </w:drawing>
      </w:r>
    </w:p>
    <w:p w14:paraId="6426FB74" w14:textId="50C23B15" w:rsidR="00283044" w:rsidRPr="009C74A6" w:rsidRDefault="00283044" w:rsidP="00283044">
      <w:pPr>
        <w:pStyle w:val="NoSpacing"/>
        <w:rPr>
          <w:rFonts w:ascii="Arial" w:hAnsi="Arial" w:cs="Arial"/>
          <w:sz w:val="22"/>
        </w:rPr>
      </w:pPr>
      <w:r w:rsidRPr="009C74A6">
        <w:rPr>
          <w:rFonts w:ascii="Arial" w:hAnsi="Arial" w:cs="Arial"/>
          <w:sz w:val="22"/>
        </w:rPr>
        <w:t>Fuente: Elaboración sobre datos CNPV 2010.</w:t>
      </w:r>
    </w:p>
    <w:p w14:paraId="52B5B9B8" w14:textId="3190B575" w:rsidR="00B95FB6" w:rsidRPr="009C74A6" w:rsidRDefault="00B95FB6" w:rsidP="00B95FB6">
      <w:pPr>
        <w:rPr>
          <w:rFonts w:ascii="Arial" w:hAnsi="Arial" w:cs="Arial"/>
        </w:rPr>
      </w:pPr>
      <w:r w:rsidRPr="009C74A6">
        <w:rPr>
          <w:rFonts w:ascii="Arial" w:hAnsi="Arial" w:cs="Arial"/>
        </w:rPr>
        <w:t xml:space="preserve">Finalmente, la última característica evaluada es la estimación del ingreso familiar total a </w:t>
      </w:r>
      <w:r w:rsidR="00283044" w:rsidRPr="009C74A6">
        <w:rPr>
          <w:rFonts w:ascii="Arial" w:hAnsi="Arial" w:cs="Arial"/>
        </w:rPr>
        <w:t>febrero de 2017</w:t>
      </w:r>
      <w:r w:rsidRPr="009C74A6">
        <w:rPr>
          <w:rFonts w:ascii="Arial" w:hAnsi="Arial" w:cs="Arial"/>
        </w:rPr>
        <w:t xml:space="preserve">. A tal efecto </w:t>
      </w:r>
      <w:r w:rsidR="00283044" w:rsidRPr="009C74A6">
        <w:rPr>
          <w:rFonts w:ascii="Arial" w:hAnsi="Arial" w:cs="Arial"/>
        </w:rPr>
        <w:t>la</w:t>
      </w:r>
      <w:r w:rsidRPr="009C74A6">
        <w:rPr>
          <w:rFonts w:ascii="Arial" w:hAnsi="Arial" w:cs="Arial"/>
        </w:rPr>
        <w:t xml:space="preserve"> </w:t>
      </w:r>
      <w:r w:rsidR="00283044" w:rsidRPr="009C74A6">
        <w:rPr>
          <w:rFonts w:ascii="Arial" w:hAnsi="Arial" w:cs="Arial"/>
        </w:rPr>
        <w:fldChar w:fldCharType="begin"/>
      </w:r>
      <w:r w:rsidR="00283044" w:rsidRPr="009C74A6">
        <w:rPr>
          <w:rFonts w:ascii="Arial" w:hAnsi="Arial" w:cs="Arial"/>
        </w:rPr>
        <w:instrText xml:space="preserve"> REF _Ref479877054 \h </w:instrText>
      </w:r>
      <w:r w:rsidR="009C74A6" w:rsidRPr="009C74A6">
        <w:rPr>
          <w:rFonts w:ascii="Arial" w:hAnsi="Arial" w:cs="Arial"/>
        </w:rPr>
        <w:instrText xml:space="preserve"> \* MERGEFORMAT </w:instrText>
      </w:r>
      <w:r w:rsidR="00283044" w:rsidRPr="009C74A6">
        <w:rPr>
          <w:rFonts w:ascii="Arial" w:hAnsi="Arial" w:cs="Arial"/>
        </w:rPr>
      </w:r>
      <w:r w:rsidR="00283044" w:rsidRPr="009C74A6">
        <w:rPr>
          <w:rFonts w:ascii="Arial" w:hAnsi="Arial" w:cs="Arial"/>
        </w:rPr>
        <w:fldChar w:fldCharType="separate"/>
      </w:r>
      <w:r w:rsidR="009F66B5" w:rsidRPr="009C74A6">
        <w:rPr>
          <w:rFonts w:ascii="Arial" w:hAnsi="Arial" w:cs="Arial"/>
        </w:rPr>
        <w:t xml:space="preserve">Tabla </w:t>
      </w:r>
      <w:r w:rsidR="00304932" w:rsidRPr="009C74A6">
        <w:rPr>
          <w:rFonts w:ascii="Arial" w:hAnsi="Arial" w:cs="Arial"/>
        </w:rPr>
        <w:t>II-</w:t>
      </w:r>
      <w:r w:rsidR="009F66B5" w:rsidRPr="009C74A6">
        <w:rPr>
          <w:rFonts w:ascii="Arial" w:hAnsi="Arial" w:cs="Arial"/>
          <w:noProof/>
        </w:rPr>
        <w:t>11</w:t>
      </w:r>
      <w:r w:rsidR="00283044" w:rsidRPr="009C74A6">
        <w:rPr>
          <w:rFonts w:ascii="Arial" w:hAnsi="Arial" w:cs="Arial"/>
        </w:rPr>
        <w:fldChar w:fldCharType="end"/>
      </w:r>
      <w:r w:rsidR="00283044" w:rsidRPr="009C74A6">
        <w:rPr>
          <w:rFonts w:ascii="Arial" w:hAnsi="Arial" w:cs="Arial"/>
        </w:rPr>
        <w:t xml:space="preserve"> </w:t>
      </w:r>
      <w:r w:rsidRPr="009C74A6">
        <w:rPr>
          <w:rFonts w:ascii="Arial" w:hAnsi="Arial" w:cs="Arial"/>
        </w:rPr>
        <w:t>presenta la distribución según estrato social de CAPECO asociada al nivel medio del ingreso total familiar según datos de la última encuesta perm</w:t>
      </w:r>
      <w:r w:rsidR="00283044" w:rsidRPr="009C74A6">
        <w:rPr>
          <w:rFonts w:ascii="Arial" w:hAnsi="Arial" w:cs="Arial"/>
        </w:rPr>
        <w:t>anente de hogares para el GBA (3º</w:t>
      </w:r>
      <w:r w:rsidRPr="009C74A6">
        <w:rPr>
          <w:rFonts w:ascii="Arial" w:hAnsi="Arial" w:cs="Arial"/>
        </w:rPr>
        <w:t xml:space="preserve"> trimestre de 201</w:t>
      </w:r>
      <w:r w:rsidR="00283044" w:rsidRPr="009C74A6">
        <w:rPr>
          <w:rFonts w:ascii="Arial" w:hAnsi="Arial" w:cs="Arial"/>
        </w:rPr>
        <w:t>6</w:t>
      </w:r>
      <w:r w:rsidRPr="009C74A6">
        <w:rPr>
          <w:rFonts w:ascii="Arial" w:hAnsi="Arial" w:cs="Arial"/>
        </w:rPr>
        <w:t>), actualizados a partir del coeficiente de variación salarial (CVS) publicado por el INDEC.</w:t>
      </w:r>
    </w:p>
    <w:p w14:paraId="28A00DD9" w14:textId="1D78F04C" w:rsidR="00283044" w:rsidRPr="009C74A6" w:rsidRDefault="00283044" w:rsidP="004F131E">
      <w:pPr>
        <w:pStyle w:val="Caption"/>
        <w:rPr>
          <w:rFonts w:ascii="Arial" w:hAnsi="Arial" w:cs="Arial"/>
          <w:szCs w:val="22"/>
        </w:rPr>
      </w:pPr>
      <w:bookmarkStart w:id="78" w:name="_Ref479877054"/>
      <w:r w:rsidRPr="009C74A6">
        <w:rPr>
          <w:rFonts w:ascii="Arial" w:hAnsi="Arial" w:cs="Arial"/>
          <w:szCs w:val="22"/>
        </w:rPr>
        <w:t xml:space="preserve">Tabla </w:t>
      </w:r>
      <w:r w:rsidR="00304932" w:rsidRPr="009C74A6">
        <w:rPr>
          <w:rFonts w:ascii="Arial" w:hAnsi="Arial" w:cs="Arial"/>
          <w:szCs w:val="22"/>
        </w:rPr>
        <w:t>II-</w:t>
      </w:r>
      <w:r w:rsidR="000B2DBC" w:rsidRPr="009C74A6">
        <w:rPr>
          <w:rFonts w:ascii="Arial" w:hAnsi="Arial" w:cs="Arial"/>
          <w:szCs w:val="22"/>
        </w:rPr>
        <w:fldChar w:fldCharType="begin"/>
      </w:r>
      <w:r w:rsidR="000B2DBC" w:rsidRPr="009C74A6">
        <w:rPr>
          <w:rFonts w:ascii="Arial" w:hAnsi="Arial" w:cs="Arial"/>
          <w:szCs w:val="22"/>
        </w:rPr>
        <w:instrText xml:space="preserve"> SEQ Tabla \* ARABIC </w:instrText>
      </w:r>
      <w:r w:rsidR="000B2DBC" w:rsidRPr="009C74A6">
        <w:rPr>
          <w:rFonts w:ascii="Arial" w:hAnsi="Arial" w:cs="Arial"/>
          <w:szCs w:val="22"/>
        </w:rPr>
        <w:fldChar w:fldCharType="separate"/>
      </w:r>
      <w:r w:rsidR="009F66B5" w:rsidRPr="009C74A6">
        <w:rPr>
          <w:rFonts w:ascii="Arial" w:hAnsi="Arial" w:cs="Arial"/>
          <w:noProof/>
          <w:szCs w:val="22"/>
        </w:rPr>
        <w:t>11</w:t>
      </w:r>
      <w:r w:rsidR="000B2DBC" w:rsidRPr="009C74A6">
        <w:rPr>
          <w:rFonts w:ascii="Arial" w:hAnsi="Arial" w:cs="Arial"/>
          <w:noProof/>
          <w:szCs w:val="22"/>
        </w:rPr>
        <w:fldChar w:fldCharType="end"/>
      </w:r>
      <w:bookmarkEnd w:id="78"/>
      <w:r w:rsidRPr="009C74A6">
        <w:rPr>
          <w:rFonts w:ascii="Arial" w:hAnsi="Arial" w:cs="Arial"/>
          <w:szCs w:val="22"/>
        </w:rPr>
        <w:t>: Determinación del Ingreso Familiar medio de los beneficiarios ($/mes).</w:t>
      </w:r>
    </w:p>
    <w:p w14:paraId="1A0D6927" w14:textId="17BC7641" w:rsidR="00B95FB6" w:rsidRPr="009C74A6" w:rsidRDefault="00283353" w:rsidP="00B95FB6">
      <w:pPr>
        <w:pStyle w:val="CuadrosyTablas"/>
        <w:rPr>
          <w:rFonts w:cs="Arial"/>
          <w:szCs w:val="22"/>
        </w:rPr>
      </w:pPr>
      <w:r w:rsidRPr="009C74A6">
        <w:rPr>
          <w:rFonts w:cs="Arial"/>
          <w:noProof/>
          <w:szCs w:val="22"/>
          <w:lang w:eastAsia="es-AR"/>
        </w:rPr>
        <w:drawing>
          <wp:inline distT="0" distB="0" distL="0" distR="0" wp14:anchorId="304F82A1" wp14:editId="05928943">
            <wp:extent cx="4731026" cy="3485053"/>
            <wp:effectExtent l="0" t="0" r="0" b="127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32991" cy="3486501"/>
                    </a:xfrm>
                    <a:prstGeom prst="rect">
                      <a:avLst/>
                    </a:prstGeom>
                    <a:noFill/>
                    <a:ln>
                      <a:noFill/>
                    </a:ln>
                  </pic:spPr>
                </pic:pic>
              </a:graphicData>
            </a:graphic>
          </wp:inline>
        </w:drawing>
      </w:r>
    </w:p>
    <w:p w14:paraId="0F87CD0B" w14:textId="43A756F8" w:rsidR="00B95FB6" w:rsidRPr="009C74A6" w:rsidRDefault="00B95FB6" w:rsidP="00FF271C">
      <w:pPr>
        <w:pStyle w:val="NoSpacing"/>
        <w:rPr>
          <w:rFonts w:ascii="Arial" w:hAnsi="Arial" w:cs="Arial"/>
          <w:sz w:val="22"/>
        </w:rPr>
      </w:pPr>
      <w:r w:rsidRPr="009C74A6">
        <w:rPr>
          <w:rFonts w:ascii="Arial" w:hAnsi="Arial" w:cs="Arial"/>
          <w:sz w:val="22"/>
        </w:rPr>
        <w:t>Fuente: Elaboración sobre datos CNPV 2010, EPH y CVS INDEC.</w:t>
      </w:r>
    </w:p>
    <w:p w14:paraId="18B99938" w14:textId="67EFA5BF" w:rsidR="00283353" w:rsidRPr="009C74A6" w:rsidRDefault="00283353" w:rsidP="002B0107">
      <w:pPr>
        <w:pStyle w:val="Heading2"/>
        <w:numPr>
          <w:ilvl w:val="1"/>
          <w:numId w:val="20"/>
        </w:numPr>
      </w:pPr>
      <w:bookmarkStart w:id="79" w:name="_Toc485200079"/>
      <w:r w:rsidRPr="009C74A6">
        <w:t>Detalle socioeconómico de los hogares con instalación de medidor.</w:t>
      </w:r>
      <w:bookmarkEnd w:id="79"/>
    </w:p>
    <w:p w14:paraId="2337B091" w14:textId="178E066C" w:rsidR="00283353" w:rsidRPr="009C74A6" w:rsidRDefault="004F131E" w:rsidP="00283353">
      <w:pPr>
        <w:rPr>
          <w:rFonts w:ascii="Arial" w:hAnsi="Arial" w:cs="Arial"/>
        </w:rPr>
      </w:pPr>
      <w:r w:rsidRPr="009C74A6">
        <w:rPr>
          <w:rFonts w:ascii="Arial" w:hAnsi="Arial" w:cs="Arial"/>
        </w:rPr>
        <w:t>Según se mencionó, el otro grupo para el que resulta relevante el análisis socioeconómico es el alcanzado por el componente de instalación de micromedidores. En este caso se presenta en</w:t>
      </w:r>
      <w:r w:rsidR="00283353" w:rsidRPr="009C74A6">
        <w:rPr>
          <w:rFonts w:ascii="Arial" w:hAnsi="Arial" w:cs="Arial"/>
        </w:rPr>
        <w:t xml:space="preserve"> la </w:t>
      </w:r>
      <w:r w:rsidRPr="009C74A6">
        <w:rPr>
          <w:rFonts w:ascii="Arial" w:hAnsi="Arial" w:cs="Arial"/>
        </w:rPr>
        <w:fldChar w:fldCharType="begin"/>
      </w:r>
      <w:r w:rsidRPr="009C74A6">
        <w:rPr>
          <w:rFonts w:ascii="Arial" w:hAnsi="Arial" w:cs="Arial"/>
        </w:rPr>
        <w:instrText xml:space="preserve"> REF _Ref480135017 \h </w:instrText>
      </w:r>
      <w:r w:rsidR="009C74A6" w:rsidRPr="009C74A6">
        <w:rPr>
          <w:rFonts w:ascii="Arial" w:hAnsi="Arial" w:cs="Arial"/>
        </w:rPr>
        <w:instrText xml:space="preserve"> \* MERGEFORMAT </w:instrText>
      </w:r>
      <w:r w:rsidRPr="009C74A6">
        <w:rPr>
          <w:rFonts w:ascii="Arial" w:hAnsi="Arial" w:cs="Arial"/>
        </w:rPr>
      </w:r>
      <w:r w:rsidRPr="009C74A6">
        <w:rPr>
          <w:rFonts w:ascii="Arial" w:hAnsi="Arial" w:cs="Arial"/>
        </w:rPr>
        <w:fldChar w:fldCharType="separate"/>
      </w:r>
      <w:r w:rsidR="00304932" w:rsidRPr="009C74A6">
        <w:rPr>
          <w:rFonts w:ascii="Arial" w:hAnsi="Arial" w:cs="Arial"/>
        </w:rPr>
        <w:t>Figura II-3</w:t>
      </w:r>
      <w:r w:rsidRPr="009C74A6">
        <w:rPr>
          <w:rFonts w:ascii="Arial" w:hAnsi="Arial" w:cs="Arial"/>
        </w:rPr>
        <w:fldChar w:fldCharType="end"/>
      </w:r>
      <w:r w:rsidR="00283353" w:rsidRPr="009C74A6">
        <w:rPr>
          <w:rFonts w:ascii="Arial" w:hAnsi="Arial" w:cs="Arial"/>
        </w:rPr>
        <w:t xml:space="preserve"> la distribución de hogares según nivel socioeconómico del radio censal.</w:t>
      </w:r>
    </w:p>
    <w:p w14:paraId="2A7D7F7F" w14:textId="1D83FA6F" w:rsidR="00283353" w:rsidRPr="009C74A6" w:rsidRDefault="00304932" w:rsidP="004F131E">
      <w:pPr>
        <w:pStyle w:val="Caption"/>
        <w:rPr>
          <w:rFonts w:ascii="Arial" w:hAnsi="Arial" w:cs="Arial"/>
          <w:szCs w:val="22"/>
        </w:rPr>
      </w:pPr>
      <w:bookmarkStart w:id="80" w:name="_Ref480135017"/>
      <w:r w:rsidRPr="009C74A6">
        <w:rPr>
          <w:rFonts w:ascii="Arial" w:hAnsi="Arial" w:cs="Arial"/>
          <w:szCs w:val="22"/>
        </w:rPr>
        <w:lastRenderedPageBreak/>
        <w:t>Figura II-3</w:t>
      </w:r>
      <w:bookmarkEnd w:id="80"/>
      <w:r w:rsidR="00283353" w:rsidRPr="009C74A6">
        <w:rPr>
          <w:rFonts w:ascii="Arial" w:hAnsi="Arial" w:cs="Arial"/>
          <w:szCs w:val="22"/>
        </w:rPr>
        <w:t xml:space="preserve">: Hogares </w:t>
      </w:r>
      <w:r w:rsidR="004F131E" w:rsidRPr="009C74A6">
        <w:rPr>
          <w:rFonts w:ascii="Arial" w:hAnsi="Arial" w:cs="Arial"/>
          <w:szCs w:val="22"/>
        </w:rPr>
        <w:t>a medir</w:t>
      </w:r>
      <w:r w:rsidR="00283353" w:rsidRPr="009C74A6">
        <w:rPr>
          <w:rFonts w:ascii="Arial" w:hAnsi="Arial" w:cs="Arial"/>
          <w:szCs w:val="22"/>
        </w:rPr>
        <w:t xml:space="preserve"> según NSE - CAPECO.</w:t>
      </w:r>
    </w:p>
    <w:p w14:paraId="2B90F64B" w14:textId="64AEEC67" w:rsidR="00283353" w:rsidRPr="009C74A6" w:rsidRDefault="004F131E" w:rsidP="00283353">
      <w:pPr>
        <w:pStyle w:val="CuadrosyTablas"/>
        <w:rPr>
          <w:rFonts w:cs="Arial"/>
          <w:szCs w:val="22"/>
        </w:rPr>
      </w:pPr>
      <w:r w:rsidRPr="009C74A6">
        <w:rPr>
          <w:rFonts w:cs="Arial"/>
          <w:noProof/>
          <w:szCs w:val="22"/>
          <w:lang w:eastAsia="es-AR"/>
        </w:rPr>
        <w:drawing>
          <wp:inline distT="0" distB="0" distL="0" distR="0" wp14:anchorId="7EA4951E" wp14:editId="4F628A64">
            <wp:extent cx="4733033" cy="2115047"/>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85911" cy="2138677"/>
                    </a:xfrm>
                    <a:prstGeom prst="rect">
                      <a:avLst/>
                    </a:prstGeom>
                    <a:noFill/>
                    <a:ln>
                      <a:noFill/>
                    </a:ln>
                  </pic:spPr>
                </pic:pic>
              </a:graphicData>
            </a:graphic>
          </wp:inline>
        </w:drawing>
      </w:r>
      <w:r w:rsidR="00283353" w:rsidRPr="009C74A6">
        <w:rPr>
          <w:rFonts w:cs="Arial"/>
          <w:szCs w:val="22"/>
        </w:rPr>
        <w:t xml:space="preserve"> </w:t>
      </w:r>
    </w:p>
    <w:p w14:paraId="734555D6" w14:textId="6B2B30CA" w:rsidR="00283353" w:rsidRPr="009C74A6" w:rsidRDefault="00283353" w:rsidP="00283353">
      <w:pPr>
        <w:pStyle w:val="NoSpacing"/>
        <w:rPr>
          <w:rFonts w:ascii="Arial" w:hAnsi="Arial" w:cs="Arial"/>
          <w:sz w:val="22"/>
        </w:rPr>
      </w:pPr>
      <w:r w:rsidRPr="009C74A6">
        <w:rPr>
          <w:rFonts w:ascii="Arial" w:hAnsi="Arial" w:cs="Arial"/>
          <w:sz w:val="22"/>
        </w:rPr>
        <w:t>Fuente: Elaboración sobre datos CNPV 2010.</w:t>
      </w:r>
    </w:p>
    <w:p w14:paraId="45FAF498" w14:textId="15029B2D" w:rsidR="00283353" w:rsidRPr="009C74A6" w:rsidRDefault="00283353" w:rsidP="00283353">
      <w:pPr>
        <w:rPr>
          <w:rFonts w:ascii="Arial" w:hAnsi="Arial" w:cs="Arial"/>
        </w:rPr>
      </w:pPr>
      <w:r w:rsidRPr="009C74A6">
        <w:rPr>
          <w:rFonts w:ascii="Arial" w:hAnsi="Arial" w:cs="Arial"/>
        </w:rPr>
        <w:t xml:space="preserve">En la </w:t>
      </w:r>
      <w:r w:rsidR="004F131E" w:rsidRPr="009C74A6">
        <w:rPr>
          <w:rFonts w:ascii="Arial" w:hAnsi="Arial" w:cs="Arial"/>
        </w:rPr>
        <w:fldChar w:fldCharType="begin"/>
      </w:r>
      <w:r w:rsidR="004F131E" w:rsidRPr="009C74A6">
        <w:rPr>
          <w:rFonts w:ascii="Arial" w:hAnsi="Arial" w:cs="Arial"/>
        </w:rPr>
        <w:instrText xml:space="preserve"> REF _Ref480135122 \h </w:instrText>
      </w:r>
      <w:r w:rsidR="009C74A6" w:rsidRPr="009C74A6">
        <w:rPr>
          <w:rFonts w:ascii="Arial" w:hAnsi="Arial" w:cs="Arial"/>
        </w:rPr>
        <w:instrText xml:space="preserve"> \* MERGEFORMAT </w:instrText>
      </w:r>
      <w:r w:rsidR="004F131E" w:rsidRPr="009C74A6">
        <w:rPr>
          <w:rFonts w:ascii="Arial" w:hAnsi="Arial" w:cs="Arial"/>
        </w:rPr>
      </w:r>
      <w:r w:rsidR="004F131E" w:rsidRPr="009C74A6">
        <w:rPr>
          <w:rFonts w:ascii="Arial" w:hAnsi="Arial" w:cs="Arial"/>
        </w:rPr>
        <w:fldChar w:fldCharType="separate"/>
      </w:r>
      <w:r w:rsidR="009F66B5" w:rsidRPr="009C74A6">
        <w:rPr>
          <w:rFonts w:ascii="Arial" w:hAnsi="Arial" w:cs="Arial"/>
        </w:rPr>
        <w:t xml:space="preserve">Tabla </w:t>
      </w:r>
      <w:r w:rsidR="00304932" w:rsidRPr="009C74A6">
        <w:rPr>
          <w:rFonts w:ascii="Arial" w:hAnsi="Arial" w:cs="Arial"/>
        </w:rPr>
        <w:t>II-</w:t>
      </w:r>
      <w:r w:rsidR="009F66B5" w:rsidRPr="009C74A6">
        <w:rPr>
          <w:rFonts w:ascii="Arial" w:hAnsi="Arial" w:cs="Arial"/>
          <w:noProof/>
        </w:rPr>
        <w:t>12</w:t>
      </w:r>
      <w:r w:rsidR="004F131E" w:rsidRPr="009C74A6">
        <w:rPr>
          <w:rFonts w:ascii="Arial" w:hAnsi="Arial" w:cs="Arial"/>
        </w:rPr>
        <w:fldChar w:fldCharType="end"/>
      </w:r>
      <w:r w:rsidRPr="009C74A6">
        <w:rPr>
          <w:rFonts w:ascii="Arial" w:hAnsi="Arial" w:cs="Arial"/>
        </w:rPr>
        <w:t xml:space="preserve"> se presenta información general análoga a la de la </w:t>
      </w:r>
      <w:r w:rsidRPr="009C74A6">
        <w:rPr>
          <w:rFonts w:ascii="Arial" w:hAnsi="Arial" w:cs="Arial"/>
        </w:rPr>
        <w:fldChar w:fldCharType="begin"/>
      </w:r>
      <w:r w:rsidRPr="009C74A6">
        <w:rPr>
          <w:rFonts w:ascii="Arial" w:hAnsi="Arial" w:cs="Arial"/>
        </w:rPr>
        <w:instrText xml:space="preserve"> REF _Ref479695762 \h </w:instrText>
      </w:r>
      <w:r w:rsidR="009C74A6" w:rsidRPr="009C74A6">
        <w:rPr>
          <w:rFonts w:ascii="Arial" w:hAnsi="Arial" w:cs="Arial"/>
        </w:rPr>
        <w:instrText xml:space="preserve"> \* MERGEFORMAT </w:instrText>
      </w:r>
      <w:r w:rsidRPr="009C74A6">
        <w:rPr>
          <w:rFonts w:ascii="Arial" w:hAnsi="Arial" w:cs="Arial"/>
        </w:rPr>
      </w:r>
      <w:r w:rsidRPr="009C74A6">
        <w:rPr>
          <w:rFonts w:ascii="Arial" w:hAnsi="Arial" w:cs="Arial"/>
        </w:rPr>
        <w:fldChar w:fldCharType="separate"/>
      </w:r>
      <w:r w:rsidR="009F66B5" w:rsidRPr="009C74A6">
        <w:rPr>
          <w:rFonts w:ascii="Arial" w:hAnsi="Arial" w:cs="Arial"/>
        </w:rPr>
        <w:t xml:space="preserve">Tabla </w:t>
      </w:r>
      <w:r w:rsidR="009F66B5" w:rsidRPr="009C74A6">
        <w:rPr>
          <w:rFonts w:ascii="Arial" w:hAnsi="Arial" w:cs="Arial"/>
          <w:noProof/>
        </w:rPr>
        <w:t>6</w:t>
      </w:r>
      <w:r w:rsidRPr="009C74A6">
        <w:rPr>
          <w:rFonts w:ascii="Arial" w:hAnsi="Arial" w:cs="Arial"/>
        </w:rPr>
        <w:fldChar w:fldCharType="end"/>
      </w:r>
      <w:r w:rsidRPr="009C74A6">
        <w:rPr>
          <w:rFonts w:ascii="Arial" w:hAnsi="Arial" w:cs="Arial"/>
        </w:rPr>
        <w:t xml:space="preserve"> para el área beneficiaria del proyecto.</w:t>
      </w:r>
    </w:p>
    <w:p w14:paraId="47863CD1" w14:textId="7F298CBD" w:rsidR="00283353" w:rsidRPr="009C74A6" w:rsidRDefault="00283353" w:rsidP="004F131E">
      <w:pPr>
        <w:pStyle w:val="Caption"/>
        <w:rPr>
          <w:rFonts w:ascii="Arial" w:hAnsi="Arial" w:cs="Arial"/>
          <w:szCs w:val="22"/>
        </w:rPr>
      </w:pPr>
      <w:bookmarkStart w:id="81" w:name="_Ref480135122"/>
      <w:r w:rsidRPr="009C74A6">
        <w:rPr>
          <w:rFonts w:ascii="Arial" w:hAnsi="Arial" w:cs="Arial"/>
          <w:szCs w:val="22"/>
        </w:rPr>
        <w:t xml:space="preserve">Tabla </w:t>
      </w:r>
      <w:r w:rsidR="00304932" w:rsidRPr="009C74A6">
        <w:rPr>
          <w:rFonts w:ascii="Arial" w:hAnsi="Arial" w:cs="Arial"/>
          <w:szCs w:val="22"/>
        </w:rPr>
        <w:t>II-</w:t>
      </w:r>
      <w:r w:rsidR="000B2DBC" w:rsidRPr="009C74A6">
        <w:rPr>
          <w:rFonts w:ascii="Arial" w:hAnsi="Arial" w:cs="Arial"/>
          <w:szCs w:val="22"/>
        </w:rPr>
        <w:fldChar w:fldCharType="begin"/>
      </w:r>
      <w:r w:rsidR="000B2DBC" w:rsidRPr="009C74A6">
        <w:rPr>
          <w:rFonts w:ascii="Arial" w:hAnsi="Arial" w:cs="Arial"/>
          <w:szCs w:val="22"/>
        </w:rPr>
        <w:instrText xml:space="preserve"> SEQ Tabla \* ARABIC </w:instrText>
      </w:r>
      <w:r w:rsidR="000B2DBC" w:rsidRPr="009C74A6">
        <w:rPr>
          <w:rFonts w:ascii="Arial" w:hAnsi="Arial" w:cs="Arial"/>
          <w:szCs w:val="22"/>
        </w:rPr>
        <w:fldChar w:fldCharType="separate"/>
      </w:r>
      <w:r w:rsidR="009F66B5" w:rsidRPr="009C74A6">
        <w:rPr>
          <w:rFonts w:ascii="Arial" w:hAnsi="Arial" w:cs="Arial"/>
          <w:noProof/>
          <w:szCs w:val="22"/>
        </w:rPr>
        <w:t>12</w:t>
      </w:r>
      <w:r w:rsidR="000B2DBC" w:rsidRPr="009C74A6">
        <w:rPr>
          <w:rFonts w:ascii="Arial" w:hAnsi="Arial" w:cs="Arial"/>
          <w:noProof/>
          <w:szCs w:val="22"/>
        </w:rPr>
        <w:fldChar w:fldCharType="end"/>
      </w:r>
      <w:bookmarkEnd w:id="81"/>
      <w:r w:rsidRPr="009C74A6">
        <w:rPr>
          <w:rFonts w:ascii="Arial" w:hAnsi="Arial" w:cs="Arial"/>
          <w:szCs w:val="22"/>
        </w:rPr>
        <w:t>: NBI y datos generales según NSE área</w:t>
      </w:r>
      <w:r w:rsidR="004F131E" w:rsidRPr="009C74A6">
        <w:rPr>
          <w:rFonts w:ascii="Arial" w:hAnsi="Arial" w:cs="Arial"/>
          <w:szCs w:val="22"/>
        </w:rPr>
        <w:t xml:space="preserve"> micromedición </w:t>
      </w:r>
      <w:r w:rsidRPr="009C74A6">
        <w:rPr>
          <w:rFonts w:ascii="Arial" w:hAnsi="Arial" w:cs="Arial"/>
          <w:szCs w:val="22"/>
        </w:rPr>
        <w:t>– CNPV 2010</w:t>
      </w:r>
    </w:p>
    <w:p w14:paraId="03D7F05A" w14:textId="42A3E733" w:rsidR="00283353" w:rsidRPr="009C74A6" w:rsidRDefault="004F131E" w:rsidP="00283353">
      <w:pPr>
        <w:pStyle w:val="CuadrosyTablas"/>
        <w:rPr>
          <w:rFonts w:cs="Arial"/>
          <w:szCs w:val="22"/>
        </w:rPr>
      </w:pPr>
      <w:r w:rsidRPr="009C74A6">
        <w:rPr>
          <w:rFonts w:cs="Arial"/>
          <w:noProof/>
          <w:szCs w:val="22"/>
          <w:lang w:eastAsia="es-AR"/>
        </w:rPr>
        <w:drawing>
          <wp:inline distT="0" distB="0" distL="0" distR="0" wp14:anchorId="1A8116D7" wp14:editId="7D265C8E">
            <wp:extent cx="5400675" cy="2041406"/>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675" cy="2041406"/>
                    </a:xfrm>
                    <a:prstGeom prst="rect">
                      <a:avLst/>
                    </a:prstGeom>
                    <a:noFill/>
                    <a:ln>
                      <a:noFill/>
                    </a:ln>
                  </pic:spPr>
                </pic:pic>
              </a:graphicData>
            </a:graphic>
          </wp:inline>
        </w:drawing>
      </w:r>
      <w:r w:rsidR="00283353" w:rsidRPr="009C74A6">
        <w:rPr>
          <w:rFonts w:cs="Arial"/>
          <w:szCs w:val="22"/>
        </w:rPr>
        <w:t xml:space="preserve"> </w:t>
      </w:r>
    </w:p>
    <w:p w14:paraId="0E2C58AE" w14:textId="7809202C" w:rsidR="00283353" w:rsidRPr="009C74A6" w:rsidRDefault="00283353" w:rsidP="00283353">
      <w:pPr>
        <w:pStyle w:val="NoSpacing"/>
        <w:rPr>
          <w:rFonts w:ascii="Arial" w:hAnsi="Arial" w:cs="Arial"/>
          <w:sz w:val="22"/>
        </w:rPr>
      </w:pPr>
      <w:r w:rsidRPr="009C74A6">
        <w:rPr>
          <w:rFonts w:ascii="Arial" w:hAnsi="Arial" w:cs="Arial"/>
          <w:sz w:val="22"/>
        </w:rPr>
        <w:t>Fuente: Elaboración sobre datos CNPV 2010.</w:t>
      </w:r>
    </w:p>
    <w:p w14:paraId="5652D696" w14:textId="77777777" w:rsidR="00283353" w:rsidRPr="009C74A6" w:rsidRDefault="00283353" w:rsidP="00283353">
      <w:pPr>
        <w:rPr>
          <w:rFonts w:ascii="Arial" w:hAnsi="Arial" w:cs="Arial"/>
        </w:rPr>
      </w:pPr>
      <w:r w:rsidRPr="009C74A6">
        <w:rPr>
          <w:rFonts w:ascii="Arial" w:hAnsi="Arial" w:cs="Arial"/>
        </w:rPr>
        <w:t>El otro aspecto analizado para el área beneficiaria del proyecto es el relacionado los combustibles utilizados en la cocina y calefacción y la modalidad de desecho de los efluentes cloacales.</w:t>
      </w:r>
    </w:p>
    <w:p w14:paraId="42FF2E5B" w14:textId="6412D51B" w:rsidR="00283353" w:rsidRPr="009C74A6" w:rsidRDefault="00283353" w:rsidP="00283353">
      <w:pPr>
        <w:rPr>
          <w:rFonts w:ascii="Arial" w:hAnsi="Arial" w:cs="Arial"/>
        </w:rPr>
      </w:pPr>
      <w:r w:rsidRPr="009C74A6">
        <w:rPr>
          <w:rFonts w:ascii="Arial" w:hAnsi="Arial" w:cs="Arial"/>
        </w:rPr>
        <w:t xml:space="preserve">La </w:t>
      </w:r>
      <w:r w:rsidR="004F131E" w:rsidRPr="009C74A6">
        <w:rPr>
          <w:rFonts w:ascii="Arial" w:hAnsi="Arial" w:cs="Arial"/>
        </w:rPr>
        <w:fldChar w:fldCharType="begin"/>
      </w:r>
      <w:r w:rsidR="004F131E" w:rsidRPr="009C74A6">
        <w:rPr>
          <w:rFonts w:ascii="Arial" w:hAnsi="Arial" w:cs="Arial"/>
        </w:rPr>
        <w:instrText xml:space="preserve"> REF _Ref480135258 \h </w:instrText>
      </w:r>
      <w:r w:rsidR="009C74A6" w:rsidRPr="009C74A6">
        <w:rPr>
          <w:rFonts w:ascii="Arial" w:hAnsi="Arial" w:cs="Arial"/>
        </w:rPr>
        <w:instrText xml:space="preserve"> \* MERGEFORMAT </w:instrText>
      </w:r>
      <w:r w:rsidR="004F131E" w:rsidRPr="009C74A6">
        <w:rPr>
          <w:rFonts w:ascii="Arial" w:hAnsi="Arial" w:cs="Arial"/>
        </w:rPr>
      </w:r>
      <w:r w:rsidR="004F131E" w:rsidRPr="009C74A6">
        <w:rPr>
          <w:rFonts w:ascii="Arial" w:hAnsi="Arial" w:cs="Arial"/>
        </w:rPr>
        <w:fldChar w:fldCharType="separate"/>
      </w:r>
      <w:r w:rsidR="009F66B5" w:rsidRPr="009C74A6">
        <w:rPr>
          <w:rFonts w:ascii="Arial" w:hAnsi="Arial" w:cs="Arial"/>
        </w:rPr>
        <w:t xml:space="preserve">Tabla </w:t>
      </w:r>
      <w:r w:rsidR="00304932" w:rsidRPr="009C74A6">
        <w:rPr>
          <w:rFonts w:ascii="Arial" w:hAnsi="Arial" w:cs="Arial"/>
        </w:rPr>
        <w:t>II-</w:t>
      </w:r>
      <w:r w:rsidR="009F66B5" w:rsidRPr="009C74A6">
        <w:rPr>
          <w:rFonts w:ascii="Arial" w:hAnsi="Arial" w:cs="Arial"/>
          <w:noProof/>
        </w:rPr>
        <w:t>13</w:t>
      </w:r>
      <w:r w:rsidR="004F131E" w:rsidRPr="009C74A6">
        <w:rPr>
          <w:rFonts w:ascii="Arial" w:hAnsi="Arial" w:cs="Arial"/>
        </w:rPr>
        <w:fldChar w:fldCharType="end"/>
      </w:r>
      <w:r w:rsidR="004F131E" w:rsidRPr="009C74A6">
        <w:rPr>
          <w:rFonts w:ascii="Arial" w:hAnsi="Arial" w:cs="Arial"/>
        </w:rPr>
        <w:t xml:space="preserve"> </w:t>
      </w:r>
      <w:r w:rsidRPr="009C74A6">
        <w:rPr>
          <w:rFonts w:ascii="Arial" w:hAnsi="Arial" w:cs="Arial"/>
        </w:rPr>
        <w:t xml:space="preserve">y la </w:t>
      </w:r>
      <w:r w:rsidR="004F131E" w:rsidRPr="009C74A6">
        <w:rPr>
          <w:rFonts w:ascii="Arial" w:hAnsi="Arial" w:cs="Arial"/>
        </w:rPr>
        <w:fldChar w:fldCharType="begin"/>
      </w:r>
      <w:r w:rsidR="004F131E" w:rsidRPr="009C74A6">
        <w:rPr>
          <w:rFonts w:ascii="Arial" w:hAnsi="Arial" w:cs="Arial"/>
        </w:rPr>
        <w:instrText xml:space="preserve"> REF _Ref480135265 \h </w:instrText>
      </w:r>
      <w:r w:rsidR="009C74A6" w:rsidRPr="009C74A6">
        <w:rPr>
          <w:rFonts w:ascii="Arial" w:hAnsi="Arial" w:cs="Arial"/>
        </w:rPr>
        <w:instrText xml:space="preserve"> \* MERGEFORMAT </w:instrText>
      </w:r>
      <w:r w:rsidR="004F131E" w:rsidRPr="009C74A6">
        <w:rPr>
          <w:rFonts w:ascii="Arial" w:hAnsi="Arial" w:cs="Arial"/>
        </w:rPr>
      </w:r>
      <w:r w:rsidR="004F131E" w:rsidRPr="009C74A6">
        <w:rPr>
          <w:rFonts w:ascii="Arial" w:hAnsi="Arial" w:cs="Arial"/>
        </w:rPr>
        <w:fldChar w:fldCharType="separate"/>
      </w:r>
      <w:r w:rsidR="009F66B5" w:rsidRPr="009C74A6">
        <w:rPr>
          <w:rFonts w:ascii="Arial" w:hAnsi="Arial" w:cs="Arial"/>
        </w:rPr>
        <w:t xml:space="preserve">Tabla </w:t>
      </w:r>
      <w:r w:rsidR="00304932" w:rsidRPr="009C74A6">
        <w:rPr>
          <w:rFonts w:ascii="Arial" w:hAnsi="Arial" w:cs="Arial"/>
        </w:rPr>
        <w:t>II-</w:t>
      </w:r>
      <w:r w:rsidR="009F66B5" w:rsidRPr="009C74A6">
        <w:rPr>
          <w:rFonts w:ascii="Arial" w:hAnsi="Arial" w:cs="Arial"/>
          <w:noProof/>
        </w:rPr>
        <w:t>14</w:t>
      </w:r>
      <w:r w:rsidR="004F131E" w:rsidRPr="009C74A6">
        <w:rPr>
          <w:rFonts w:ascii="Arial" w:hAnsi="Arial" w:cs="Arial"/>
        </w:rPr>
        <w:fldChar w:fldCharType="end"/>
      </w:r>
      <w:r w:rsidR="004F131E" w:rsidRPr="009C74A6">
        <w:rPr>
          <w:rFonts w:ascii="Arial" w:hAnsi="Arial" w:cs="Arial"/>
        </w:rPr>
        <w:t xml:space="preserve"> </w:t>
      </w:r>
      <w:r w:rsidRPr="009C74A6">
        <w:rPr>
          <w:rFonts w:ascii="Arial" w:hAnsi="Arial" w:cs="Arial"/>
        </w:rPr>
        <w:t>presentan el detalle de tales aspectos de acuerdo con la estratificación socioeconómica de los radios censales según datos del relevamiento del año 2010.</w:t>
      </w:r>
    </w:p>
    <w:p w14:paraId="52A2282F" w14:textId="49711397" w:rsidR="00283353" w:rsidRPr="009C74A6" w:rsidRDefault="00283353" w:rsidP="004F131E">
      <w:pPr>
        <w:pStyle w:val="Caption"/>
        <w:rPr>
          <w:rFonts w:ascii="Arial" w:hAnsi="Arial" w:cs="Arial"/>
          <w:szCs w:val="22"/>
        </w:rPr>
      </w:pPr>
      <w:bookmarkStart w:id="82" w:name="_Ref480135258"/>
      <w:r w:rsidRPr="009C74A6">
        <w:rPr>
          <w:rFonts w:ascii="Arial" w:hAnsi="Arial" w:cs="Arial"/>
          <w:szCs w:val="22"/>
        </w:rPr>
        <w:lastRenderedPageBreak/>
        <w:t xml:space="preserve">Tabla </w:t>
      </w:r>
      <w:r w:rsidR="00304932" w:rsidRPr="009C74A6">
        <w:rPr>
          <w:rFonts w:ascii="Arial" w:hAnsi="Arial" w:cs="Arial"/>
          <w:szCs w:val="22"/>
        </w:rPr>
        <w:t>II-</w:t>
      </w:r>
      <w:r w:rsidR="000B2DBC" w:rsidRPr="009C74A6">
        <w:rPr>
          <w:rFonts w:ascii="Arial" w:hAnsi="Arial" w:cs="Arial"/>
          <w:szCs w:val="22"/>
        </w:rPr>
        <w:fldChar w:fldCharType="begin"/>
      </w:r>
      <w:r w:rsidR="000B2DBC" w:rsidRPr="009C74A6">
        <w:rPr>
          <w:rFonts w:ascii="Arial" w:hAnsi="Arial" w:cs="Arial"/>
          <w:szCs w:val="22"/>
        </w:rPr>
        <w:instrText xml:space="preserve"> SEQ Tabla \* ARABIC </w:instrText>
      </w:r>
      <w:r w:rsidR="000B2DBC" w:rsidRPr="009C74A6">
        <w:rPr>
          <w:rFonts w:ascii="Arial" w:hAnsi="Arial" w:cs="Arial"/>
          <w:szCs w:val="22"/>
        </w:rPr>
        <w:fldChar w:fldCharType="separate"/>
      </w:r>
      <w:r w:rsidR="009F66B5" w:rsidRPr="009C74A6">
        <w:rPr>
          <w:rFonts w:ascii="Arial" w:hAnsi="Arial" w:cs="Arial"/>
          <w:noProof/>
          <w:szCs w:val="22"/>
        </w:rPr>
        <w:t>13</w:t>
      </w:r>
      <w:r w:rsidR="000B2DBC" w:rsidRPr="009C74A6">
        <w:rPr>
          <w:rFonts w:ascii="Arial" w:hAnsi="Arial" w:cs="Arial"/>
          <w:noProof/>
          <w:szCs w:val="22"/>
        </w:rPr>
        <w:fldChar w:fldCharType="end"/>
      </w:r>
      <w:bookmarkEnd w:id="82"/>
      <w:r w:rsidRPr="009C74A6">
        <w:rPr>
          <w:rFonts w:ascii="Arial" w:hAnsi="Arial" w:cs="Arial"/>
          <w:szCs w:val="22"/>
        </w:rPr>
        <w:t xml:space="preserve">: Combustible utilizado por los hogares área </w:t>
      </w:r>
      <w:r w:rsidR="005C15C2" w:rsidRPr="009C74A6">
        <w:rPr>
          <w:rFonts w:ascii="Arial" w:hAnsi="Arial" w:cs="Arial"/>
          <w:szCs w:val="22"/>
        </w:rPr>
        <w:t>micromedición</w:t>
      </w:r>
      <w:r w:rsidRPr="009C74A6">
        <w:rPr>
          <w:rFonts w:ascii="Arial" w:hAnsi="Arial" w:cs="Arial"/>
          <w:szCs w:val="22"/>
        </w:rPr>
        <w:t xml:space="preserve"> – CNPV 2010</w:t>
      </w:r>
    </w:p>
    <w:p w14:paraId="31EC65B9" w14:textId="12F26635" w:rsidR="00283353" w:rsidRPr="009C74A6" w:rsidRDefault="004F131E" w:rsidP="00283353">
      <w:pPr>
        <w:pStyle w:val="CuadrosyTablas"/>
        <w:rPr>
          <w:rFonts w:cs="Arial"/>
          <w:szCs w:val="22"/>
        </w:rPr>
      </w:pPr>
      <w:r w:rsidRPr="009C74A6">
        <w:rPr>
          <w:rFonts w:cs="Arial"/>
          <w:noProof/>
          <w:szCs w:val="22"/>
          <w:lang w:eastAsia="es-AR"/>
        </w:rPr>
        <w:drawing>
          <wp:inline distT="0" distB="0" distL="0" distR="0" wp14:anchorId="28EFB109" wp14:editId="53A32DC5">
            <wp:extent cx="5143500" cy="2067583"/>
            <wp:effectExtent l="0" t="0" r="0" b="889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73119" cy="2079489"/>
                    </a:xfrm>
                    <a:prstGeom prst="rect">
                      <a:avLst/>
                    </a:prstGeom>
                    <a:noFill/>
                    <a:ln>
                      <a:noFill/>
                    </a:ln>
                  </pic:spPr>
                </pic:pic>
              </a:graphicData>
            </a:graphic>
          </wp:inline>
        </w:drawing>
      </w:r>
    </w:p>
    <w:p w14:paraId="55072B18" w14:textId="4FD80E32" w:rsidR="00283353" w:rsidRPr="009C74A6" w:rsidRDefault="00283353" w:rsidP="00283353">
      <w:pPr>
        <w:pStyle w:val="NoSpacing"/>
        <w:rPr>
          <w:rFonts w:ascii="Arial" w:hAnsi="Arial" w:cs="Arial"/>
          <w:sz w:val="22"/>
        </w:rPr>
      </w:pPr>
      <w:r w:rsidRPr="009C74A6">
        <w:rPr>
          <w:rFonts w:ascii="Arial" w:hAnsi="Arial" w:cs="Arial"/>
          <w:sz w:val="22"/>
        </w:rPr>
        <w:t>Fuente: Elaboración sobre datos CNPV 2010.</w:t>
      </w:r>
    </w:p>
    <w:p w14:paraId="0F0D1D1A" w14:textId="20F8D339" w:rsidR="00283353" w:rsidRPr="009C74A6" w:rsidRDefault="00283353" w:rsidP="004F131E">
      <w:pPr>
        <w:pStyle w:val="Caption"/>
        <w:rPr>
          <w:rFonts w:ascii="Arial" w:hAnsi="Arial" w:cs="Arial"/>
          <w:szCs w:val="22"/>
        </w:rPr>
      </w:pPr>
      <w:bookmarkStart w:id="83" w:name="_Ref480135265"/>
      <w:r w:rsidRPr="009C74A6">
        <w:rPr>
          <w:rFonts w:ascii="Arial" w:hAnsi="Arial" w:cs="Arial"/>
          <w:szCs w:val="22"/>
        </w:rPr>
        <w:t xml:space="preserve">Tabla </w:t>
      </w:r>
      <w:r w:rsidR="00304932" w:rsidRPr="009C74A6">
        <w:rPr>
          <w:rFonts w:ascii="Arial" w:hAnsi="Arial" w:cs="Arial"/>
          <w:szCs w:val="22"/>
        </w:rPr>
        <w:t>II-</w:t>
      </w:r>
      <w:r w:rsidR="000B2DBC" w:rsidRPr="009C74A6">
        <w:rPr>
          <w:rFonts w:ascii="Arial" w:hAnsi="Arial" w:cs="Arial"/>
          <w:szCs w:val="22"/>
        </w:rPr>
        <w:fldChar w:fldCharType="begin"/>
      </w:r>
      <w:r w:rsidR="000B2DBC" w:rsidRPr="009C74A6">
        <w:rPr>
          <w:rFonts w:ascii="Arial" w:hAnsi="Arial" w:cs="Arial"/>
          <w:szCs w:val="22"/>
        </w:rPr>
        <w:instrText xml:space="preserve"> SEQ Tabla \* ARABIC </w:instrText>
      </w:r>
      <w:r w:rsidR="000B2DBC" w:rsidRPr="009C74A6">
        <w:rPr>
          <w:rFonts w:ascii="Arial" w:hAnsi="Arial" w:cs="Arial"/>
          <w:szCs w:val="22"/>
        </w:rPr>
        <w:fldChar w:fldCharType="separate"/>
      </w:r>
      <w:r w:rsidR="009F66B5" w:rsidRPr="009C74A6">
        <w:rPr>
          <w:rFonts w:ascii="Arial" w:hAnsi="Arial" w:cs="Arial"/>
          <w:noProof/>
          <w:szCs w:val="22"/>
        </w:rPr>
        <w:t>14</w:t>
      </w:r>
      <w:r w:rsidR="000B2DBC" w:rsidRPr="009C74A6">
        <w:rPr>
          <w:rFonts w:ascii="Arial" w:hAnsi="Arial" w:cs="Arial"/>
          <w:noProof/>
          <w:szCs w:val="22"/>
        </w:rPr>
        <w:fldChar w:fldCharType="end"/>
      </w:r>
      <w:bookmarkEnd w:id="83"/>
      <w:r w:rsidRPr="009C74A6">
        <w:rPr>
          <w:rFonts w:ascii="Arial" w:hAnsi="Arial" w:cs="Arial"/>
          <w:szCs w:val="22"/>
        </w:rPr>
        <w:t xml:space="preserve">: Sistema de eliminación de excretas área </w:t>
      </w:r>
      <w:r w:rsidR="005C15C2" w:rsidRPr="009C74A6">
        <w:rPr>
          <w:rFonts w:ascii="Arial" w:hAnsi="Arial" w:cs="Arial"/>
          <w:szCs w:val="22"/>
        </w:rPr>
        <w:t>micromedición</w:t>
      </w:r>
      <w:r w:rsidRPr="009C74A6">
        <w:rPr>
          <w:rFonts w:ascii="Arial" w:hAnsi="Arial" w:cs="Arial"/>
          <w:szCs w:val="22"/>
        </w:rPr>
        <w:t xml:space="preserve"> – CNPV 2010</w:t>
      </w:r>
    </w:p>
    <w:p w14:paraId="052218B5" w14:textId="2C26F9F1" w:rsidR="00283353" w:rsidRPr="009C74A6" w:rsidRDefault="004F131E" w:rsidP="004F131E">
      <w:pPr>
        <w:pStyle w:val="CuadrosyTablas"/>
        <w:rPr>
          <w:rFonts w:cs="Arial"/>
          <w:szCs w:val="22"/>
        </w:rPr>
      </w:pPr>
      <w:r w:rsidRPr="009C74A6">
        <w:rPr>
          <w:rFonts w:cs="Arial"/>
          <w:noProof/>
          <w:szCs w:val="22"/>
          <w:lang w:eastAsia="es-AR"/>
        </w:rPr>
        <w:drawing>
          <wp:inline distT="0" distB="0" distL="0" distR="0" wp14:anchorId="40236A42" wp14:editId="1196AF02">
            <wp:extent cx="5398990" cy="1470992"/>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5899" cy="1472874"/>
                    </a:xfrm>
                    <a:prstGeom prst="rect">
                      <a:avLst/>
                    </a:prstGeom>
                    <a:noFill/>
                    <a:ln>
                      <a:noFill/>
                    </a:ln>
                  </pic:spPr>
                </pic:pic>
              </a:graphicData>
            </a:graphic>
          </wp:inline>
        </w:drawing>
      </w:r>
    </w:p>
    <w:p w14:paraId="081A9C51" w14:textId="35277EAD" w:rsidR="00283353" w:rsidRPr="009C74A6" w:rsidRDefault="00283353" w:rsidP="004F131E">
      <w:pPr>
        <w:pStyle w:val="NoSpacing"/>
        <w:rPr>
          <w:rFonts w:ascii="Arial" w:hAnsi="Arial" w:cs="Arial"/>
          <w:sz w:val="22"/>
        </w:rPr>
      </w:pPr>
      <w:r w:rsidRPr="009C74A6">
        <w:rPr>
          <w:rFonts w:ascii="Arial" w:hAnsi="Arial" w:cs="Arial"/>
          <w:sz w:val="22"/>
        </w:rPr>
        <w:t>Fuente: Elaboración sobre datos CNPV 2010.</w:t>
      </w:r>
    </w:p>
    <w:p w14:paraId="7FEB8A9E" w14:textId="41866B96" w:rsidR="00283353" w:rsidRPr="009C74A6" w:rsidRDefault="00283353" w:rsidP="00283353">
      <w:pPr>
        <w:rPr>
          <w:rFonts w:ascii="Arial" w:hAnsi="Arial" w:cs="Arial"/>
        </w:rPr>
      </w:pPr>
      <w:r w:rsidRPr="009C74A6">
        <w:rPr>
          <w:rFonts w:ascii="Arial" w:hAnsi="Arial" w:cs="Arial"/>
        </w:rPr>
        <w:t xml:space="preserve">Finalmente, la última característica evaluada es la estimación del ingreso familiar total a febrero de 2017. A tal efecto la </w:t>
      </w:r>
      <w:r w:rsidR="00B623B4" w:rsidRPr="009C74A6">
        <w:rPr>
          <w:rFonts w:ascii="Arial" w:hAnsi="Arial" w:cs="Arial"/>
        </w:rPr>
        <w:fldChar w:fldCharType="begin"/>
      </w:r>
      <w:r w:rsidR="00B623B4" w:rsidRPr="009C74A6">
        <w:rPr>
          <w:rFonts w:ascii="Arial" w:hAnsi="Arial" w:cs="Arial"/>
        </w:rPr>
        <w:instrText xml:space="preserve"> REF _Ref480135393 \h </w:instrText>
      </w:r>
      <w:r w:rsidR="009C74A6" w:rsidRPr="009C74A6">
        <w:rPr>
          <w:rFonts w:ascii="Arial" w:hAnsi="Arial" w:cs="Arial"/>
        </w:rPr>
        <w:instrText xml:space="preserve"> \* MERGEFORMAT </w:instrText>
      </w:r>
      <w:r w:rsidR="00B623B4" w:rsidRPr="009C74A6">
        <w:rPr>
          <w:rFonts w:ascii="Arial" w:hAnsi="Arial" w:cs="Arial"/>
        </w:rPr>
      </w:r>
      <w:r w:rsidR="00B623B4" w:rsidRPr="009C74A6">
        <w:rPr>
          <w:rFonts w:ascii="Arial" w:hAnsi="Arial" w:cs="Arial"/>
        </w:rPr>
        <w:fldChar w:fldCharType="separate"/>
      </w:r>
      <w:r w:rsidR="009F66B5" w:rsidRPr="009C74A6">
        <w:rPr>
          <w:rFonts w:ascii="Arial" w:hAnsi="Arial" w:cs="Arial"/>
        </w:rPr>
        <w:t xml:space="preserve">Tabla </w:t>
      </w:r>
      <w:r w:rsidR="00896A44" w:rsidRPr="009C74A6">
        <w:rPr>
          <w:rFonts w:ascii="Arial" w:hAnsi="Arial" w:cs="Arial"/>
        </w:rPr>
        <w:t>II-</w:t>
      </w:r>
      <w:r w:rsidR="009F66B5" w:rsidRPr="009C74A6">
        <w:rPr>
          <w:rFonts w:ascii="Arial" w:hAnsi="Arial" w:cs="Arial"/>
          <w:noProof/>
        </w:rPr>
        <w:t>15</w:t>
      </w:r>
      <w:r w:rsidR="00B623B4" w:rsidRPr="009C74A6">
        <w:rPr>
          <w:rFonts w:ascii="Arial" w:hAnsi="Arial" w:cs="Arial"/>
        </w:rPr>
        <w:fldChar w:fldCharType="end"/>
      </w:r>
      <w:r w:rsidR="00B623B4" w:rsidRPr="009C74A6">
        <w:rPr>
          <w:rFonts w:ascii="Arial" w:hAnsi="Arial" w:cs="Arial"/>
        </w:rPr>
        <w:t xml:space="preserve"> </w:t>
      </w:r>
      <w:r w:rsidRPr="009C74A6">
        <w:rPr>
          <w:rFonts w:ascii="Arial" w:hAnsi="Arial" w:cs="Arial"/>
        </w:rPr>
        <w:t>presenta la distribución según estrato social de CAPECO asociada al nivel medio del ingreso total familiar según datos de la última encuesta permanente de hogares para el GBA (3º trimestre de 2016), actualizados a partir del coeficiente de variación salarial (CVS) publicado por el INDEC.</w:t>
      </w:r>
    </w:p>
    <w:p w14:paraId="0A31BC46" w14:textId="228C9C8F" w:rsidR="00283353" w:rsidRPr="009C74A6" w:rsidRDefault="00283353" w:rsidP="004F131E">
      <w:pPr>
        <w:pStyle w:val="Caption"/>
        <w:rPr>
          <w:rFonts w:ascii="Arial" w:hAnsi="Arial" w:cs="Arial"/>
          <w:szCs w:val="22"/>
        </w:rPr>
      </w:pPr>
      <w:bookmarkStart w:id="84" w:name="_Ref480135393"/>
      <w:r w:rsidRPr="009C74A6">
        <w:rPr>
          <w:rFonts w:ascii="Arial" w:hAnsi="Arial" w:cs="Arial"/>
          <w:szCs w:val="22"/>
        </w:rPr>
        <w:lastRenderedPageBreak/>
        <w:t xml:space="preserve">Tabla </w:t>
      </w:r>
      <w:r w:rsidR="00896A44" w:rsidRPr="009C74A6">
        <w:rPr>
          <w:rFonts w:ascii="Arial" w:hAnsi="Arial" w:cs="Arial"/>
          <w:szCs w:val="22"/>
        </w:rPr>
        <w:t>II-</w:t>
      </w:r>
      <w:r w:rsidR="000B2DBC" w:rsidRPr="009C74A6">
        <w:rPr>
          <w:rFonts w:ascii="Arial" w:hAnsi="Arial" w:cs="Arial"/>
          <w:szCs w:val="22"/>
        </w:rPr>
        <w:fldChar w:fldCharType="begin"/>
      </w:r>
      <w:r w:rsidR="000B2DBC" w:rsidRPr="009C74A6">
        <w:rPr>
          <w:rFonts w:ascii="Arial" w:hAnsi="Arial" w:cs="Arial"/>
          <w:szCs w:val="22"/>
        </w:rPr>
        <w:instrText xml:space="preserve"> SEQ Tabla \* ARABIC </w:instrText>
      </w:r>
      <w:r w:rsidR="000B2DBC" w:rsidRPr="009C74A6">
        <w:rPr>
          <w:rFonts w:ascii="Arial" w:hAnsi="Arial" w:cs="Arial"/>
          <w:szCs w:val="22"/>
        </w:rPr>
        <w:fldChar w:fldCharType="separate"/>
      </w:r>
      <w:r w:rsidR="009F66B5" w:rsidRPr="009C74A6">
        <w:rPr>
          <w:rFonts w:ascii="Arial" w:hAnsi="Arial" w:cs="Arial"/>
          <w:noProof/>
          <w:szCs w:val="22"/>
        </w:rPr>
        <w:t>15</w:t>
      </w:r>
      <w:r w:rsidR="000B2DBC" w:rsidRPr="009C74A6">
        <w:rPr>
          <w:rFonts w:ascii="Arial" w:hAnsi="Arial" w:cs="Arial"/>
          <w:noProof/>
          <w:szCs w:val="22"/>
        </w:rPr>
        <w:fldChar w:fldCharType="end"/>
      </w:r>
      <w:bookmarkEnd w:id="84"/>
      <w:r w:rsidRPr="009C74A6">
        <w:rPr>
          <w:rFonts w:ascii="Arial" w:hAnsi="Arial" w:cs="Arial"/>
          <w:szCs w:val="22"/>
        </w:rPr>
        <w:t xml:space="preserve">: Determinación del Ingreso Familiar medio </w:t>
      </w:r>
      <w:r w:rsidR="00B623B4" w:rsidRPr="009C74A6">
        <w:rPr>
          <w:rFonts w:ascii="Arial" w:hAnsi="Arial" w:cs="Arial"/>
          <w:szCs w:val="22"/>
        </w:rPr>
        <w:t>área micromedición</w:t>
      </w:r>
      <w:r w:rsidRPr="009C74A6">
        <w:rPr>
          <w:rFonts w:ascii="Arial" w:hAnsi="Arial" w:cs="Arial"/>
          <w:szCs w:val="22"/>
        </w:rPr>
        <w:t xml:space="preserve"> ($/mes).</w:t>
      </w:r>
    </w:p>
    <w:p w14:paraId="31107A0F" w14:textId="3DD29699" w:rsidR="00283353" w:rsidRPr="009C74A6" w:rsidRDefault="00B623B4" w:rsidP="00283353">
      <w:pPr>
        <w:pStyle w:val="CuadrosyTablas"/>
        <w:rPr>
          <w:rFonts w:cs="Arial"/>
          <w:szCs w:val="22"/>
        </w:rPr>
      </w:pPr>
      <w:r w:rsidRPr="009C74A6">
        <w:rPr>
          <w:rFonts w:cs="Arial"/>
          <w:noProof/>
          <w:szCs w:val="22"/>
          <w:lang w:eastAsia="es-AR"/>
        </w:rPr>
        <w:drawing>
          <wp:inline distT="0" distB="0" distL="0" distR="0" wp14:anchorId="6ED8A7E8" wp14:editId="7B09CB31">
            <wp:extent cx="5073015" cy="3736975"/>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73015" cy="3736975"/>
                    </a:xfrm>
                    <a:prstGeom prst="rect">
                      <a:avLst/>
                    </a:prstGeom>
                    <a:noFill/>
                    <a:ln>
                      <a:noFill/>
                    </a:ln>
                  </pic:spPr>
                </pic:pic>
              </a:graphicData>
            </a:graphic>
          </wp:inline>
        </w:drawing>
      </w:r>
    </w:p>
    <w:p w14:paraId="602766DE" w14:textId="77777777" w:rsidR="00283353" w:rsidRPr="009C74A6" w:rsidRDefault="00283353" w:rsidP="00283353">
      <w:pPr>
        <w:pStyle w:val="NoSpacing"/>
        <w:rPr>
          <w:rFonts w:ascii="Arial" w:hAnsi="Arial" w:cs="Arial"/>
          <w:sz w:val="22"/>
        </w:rPr>
      </w:pPr>
      <w:r w:rsidRPr="009C74A6">
        <w:rPr>
          <w:rFonts w:ascii="Arial" w:hAnsi="Arial" w:cs="Arial"/>
          <w:sz w:val="22"/>
        </w:rPr>
        <w:t>Fuente: Elaboración propia sobre datos CNPV 2010, EPH y CVS INDEC.</w:t>
      </w:r>
    </w:p>
    <w:p w14:paraId="45A58D97" w14:textId="77777777" w:rsidR="000F7BCB" w:rsidRPr="009C74A6" w:rsidRDefault="000F7BCB" w:rsidP="003B1C14">
      <w:pPr>
        <w:rPr>
          <w:rFonts w:ascii="Arial" w:hAnsi="Arial" w:cs="Arial"/>
        </w:rPr>
      </w:pPr>
    </w:p>
    <w:p w14:paraId="7B35A681" w14:textId="77777777" w:rsidR="003B1C14" w:rsidRPr="009C74A6" w:rsidRDefault="003B1C14" w:rsidP="002B0107">
      <w:pPr>
        <w:pStyle w:val="Heading2"/>
        <w:numPr>
          <w:ilvl w:val="0"/>
          <w:numId w:val="40"/>
        </w:numPr>
      </w:pPr>
      <w:bookmarkStart w:id="85" w:name="_Toc485200080"/>
      <w:r w:rsidRPr="009C74A6">
        <w:t>Situación socioeconómica de la población – Comentarios generales.</w:t>
      </w:r>
      <w:bookmarkEnd w:id="85"/>
    </w:p>
    <w:p w14:paraId="754FD70D" w14:textId="04D42A6C" w:rsidR="00682064" w:rsidRPr="009C74A6" w:rsidRDefault="00AB1F47" w:rsidP="00682064">
      <w:pPr>
        <w:rPr>
          <w:rFonts w:ascii="Arial" w:hAnsi="Arial" w:cs="Arial"/>
        </w:rPr>
      </w:pPr>
      <w:r w:rsidRPr="009C74A6">
        <w:rPr>
          <w:rFonts w:ascii="Arial" w:hAnsi="Arial" w:cs="Arial"/>
        </w:rPr>
        <w:t>Si bien en el área beneficiaria del proyecto correspondiente a los hogares con demanda insatisfecha localizados en la región sur del área de prestación de AySA se observa preponderancia de niveles socioeconómicos medios – bajos, la importante extensión geográfica de la misma implica la presencia de fuertes heterogeneidades propias del conurbano bonaerense, particularmente en los casos de los partidos de Avellaneda y Lanús</w:t>
      </w:r>
      <w:r w:rsidR="00682064" w:rsidRPr="009C74A6">
        <w:rPr>
          <w:rFonts w:ascii="Arial" w:hAnsi="Arial" w:cs="Arial"/>
        </w:rPr>
        <w:t>.</w:t>
      </w:r>
    </w:p>
    <w:p w14:paraId="33AAD1D7" w14:textId="4B8D5B02" w:rsidR="00682064" w:rsidRPr="009C74A6" w:rsidRDefault="00AB1F47" w:rsidP="00682064">
      <w:pPr>
        <w:rPr>
          <w:rFonts w:ascii="Arial" w:hAnsi="Arial" w:cs="Arial"/>
        </w:rPr>
      </w:pPr>
      <w:r w:rsidRPr="009C74A6">
        <w:rPr>
          <w:rFonts w:ascii="Arial" w:hAnsi="Arial" w:cs="Arial"/>
        </w:rPr>
        <w:t>De este modo, las poblaciones beneficiarias son asimilables a las del conjunto del conurbano, siendo válida la aplicación del análisis correspondiente al contexto</w:t>
      </w:r>
      <w:r w:rsidR="00682064" w:rsidRPr="009C74A6">
        <w:rPr>
          <w:rFonts w:ascii="Arial" w:hAnsi="Arial" w:cs="Arial"/>
        </w:rPr>
        <w:t>.</w:t>
      </w:r>
    </w:p>
    <w:p w14:paraId="08E9326C" w14:textId="09E4E9D3" w:rsidR="00AB1F47" w:rsidRPr="009C74A6" w:rsidRDefault="00AB1F47" w:rsidP="00682064">
      <w:pPr>
        <w:rPr>
          <w:rFonts w:ascii="Arial" w:hAnsi="Arial" w:cs="Arial"/>
        </w:rPr>
      </w:pPr>
      <w:r w:rsidRPr="009C74A6">
        <w:rPr>
          <w:rFonts w:ascii="Arial" w:hAnsi="Arial" w:cs="Arial"/>
        </w:rPr>
        <w:t>Por otro lado, el grupo de hogares que serán incluidos en el régimen de medición de consumos, presenta un perfil socioeconómico preponderantemente medio, ya que tales hogares se localizan en áreas de mayor consolidación urbana relativa.</w:t>
      </w:r>
    </w:p>
    <w:p w14:paraId="137851C0" w14:textId="3BDE7F4F" w:rsidR="00AB1F47" w:rsidRPr="009C74A6" w:rsidRDefault="00AB1F47" w:rsidP="00682064">
      <w:pPr>
        <w:rPr>
          <w:rFonts w:ascii="Arial" w:hAnsi="Arial" w:cs="Arial"/>
        </w:rPr>
      </w:pPr>
      <w:r w:rsidRPr="009C74A6">
        <w:rPr>
          <w:rFonts w:ascii="Arial" w:hAnsi="Arial" w:cs="Arial"/>
        </w:rPr>
        <w:t xml:space="preserve">La </w:t>
      </w:r>
      <w:r w:rsidR="00FC463B" w:rsidRPr="009C74A6">
        <w:rPr>
          <w:rFonts w:ascii="Arial" w:hAnsi="Arial" w:cs="Arial"/>
        </w:rPr>
        <w:fldChar w:fldCharType="begin"/>
      </w:r>
      <w:r w:rsidR="00FC463B" w:rsidRPr="009C74A6">
        <w:rPr>
          <w:rFonts w:ascii="Arial" w:hAnsi="Arial" w:cs="Arial"/>
        </w:rPr>
        <w:instrText xml:space="preserve"> REF _Ref480136463 \h </w:instrText>
      </w:r>
      <w:r w:rsidR="009C74A6" w:rsidRPr="009C74A6">
        <w:rPr>
          <w:rFonts w:ascii="Arial" w:hAnsi="Arial" w:cs="Arial"/>
        </w:rPr>
        <w:instrText xml:space="preserve"> \* MERGEFORMAT </w:instrText>
      </w:r>
      <w:r w:rsidR="00FC463B" w:rsidRPr="009C74A6">
        <w:rPr>
          <w:rFonts w:ascii="Arial" w:hAnsi="Arial" w:cs="Arial"/>
        </w:rPr>
      </w:r>
      <w:r w:rsidR="00FC463B" w:rsidRPr="009C74A6">
        <w:rPr>
          <w:rFonts w:ascii="Arial" w:hAnsi="Arial" w:cs="Arial"/>
        </w:rPr>
        <w:fldChar w:fldCharType="separate"/>
      </w:r>
      <w:r w:rsidR="00FA38ED" w:rsidRPr="009C74A6">
        <w:rPr>
          <w:rFonts w:ascii="Arial" w:hAnsi="Arial" w:cs="Arial"/>
        </w:rPr>
        <w:t>Figura II-4</w:t>
      </w:r>
      <w:r w:rsidR="00FC463B" w:rsidRPr="009C74A6">
        <w:rPr>
          <w:rFonts w:ascii="Arial" w:hAnsi="Arial" w:cs="Arial"/>
        </w:rPr>
        <w:fldChar w:fldCharType="end"/>
      </w:r>
      <w:r w:rsidRPr="009C74A6">
        <w:rPr>
          <w:rFonts w:ascii="Arial" w:hAnsi="Arial" w:cs="Arial"/>
        </w:rPr>
        <w:t xml:space="preserve"> y la </w:t>
      </w:r>
      <w:r w:rsidR="00FC463B" w:rsidRPr="009C74A6">
        <w:rPr>
          <w:rFonts w:ascii="Arial" w:hAnsi="Arial" w:cs="Arial"/>
        </w:rPr>
        <w:fldChar w:fldCharType="begin"/>
      </w:r>
      <w:r w:rsidR="00FC463B" w:rsidRPr="009C74A6">
        <w:rPr>
          <w:rFonts w:ascii="Arial" w:hAnsi="Arial" w:cs="Arial"/>
        </w:rPr>
        <w:instrText xml:space="preserve"> REF _Ref480136470 \h </w:instrText>
      </w:r>
      <w:r w:rsidR="009C74A6" w:rsidRPr="009C74A6">
        <w:rPr>
          <w:rFonts w:ascii="Arial" w:hAnsi="Arial" w:cs="Arial"/>
        </w:rPr>
        <w:instrText xml:space="preserve"> \* MERGEFORMAT </w:instrText>
      </w:r>
      <w:r w:rsidR="00FC463B" w:rsidRPr="009C74A6">
        <w:rPr>
          <w:rFonts w:ascii="Arial" w:hAnsi="Arial" w:cs="Arial"/>
        </w:rPr>
      </w:r>
      <w:r w:rsidR="00FC463B" w:rsidRPr="009C74A6">
        <w:rPr>
          <w:rFonts w:ascii="Arial" w:hAnsi="Arial" w:cs="Arial"/>
        </w:rPr>
        <w:fldChar w:fldCharType="separate"/>
      </w:r>
      <w:r w:rsidR="00FA38ED" w:rsidRPr="009C74A6">
        <w:rPr>
          <w:rFonts w:ascii="Arial" w:hAnsi="Arial" w:cs="Arial"/>
        </w:rPr>
        <w:t>Figura II-5</w:t>
      </w:r>
      <w:r w:rsidR="00FC463B" w:rsidRPr="009C74A6">
        <w:rPr>
          <w:rFonts w:ascii="Arial" w:hAnsi="Arial" w:cs="Arial"/>
        </w:rPr>
        <w:fldChar w:fldCharType="end"/>
      </w:r>
      <w:r w:rsidRPr="009C74A6">
        <w:rPr>
          <w:rFonts w:ascii="Arial" w:hAnsi="Arial" w:cs="Arial"/>
        </w:rPr>
        <w:t xml:space="preserve"> presentan la distribución de hogares según estratificación socioeconómica del radio censal</w:t>
      </w:r>
      <w:r w:rsidR="00FC463B" w:rsidRPr="009C74A6">
        <w:rPr>
          <w:rFonts w:ascii="Arial" w:hAnsi="Arial" w:cs="Arial"/>
        </w:rPr>
        <w:t xml:space="preserve"> para cada uno de los grupos relevantes</w:t>
      </w:r>
      <w:r w:rsidRPr="009C74A6">
        <w:rPr>
          <w:rFonts w:ascii="Arial" w:hAnsi="Arial" w:cs="Arial"/>
        </w:rPr>
        <w:t>.</w:t>
      </w:r>
    </w:p>
    <w:p w14:paraId="0B59D016" w14:textId="0403141A" w:rsidR="00FC463B" w:rsidRPr="009C74A6" w:rsidRDefault="00FA38ED" w:rsidP="00FC463B">
      <w:pPr>
        <w:pStyle w:val="Caption"/>
        <w:rPr>
          <w:rFonts w:ascii="Arial" w:hAnsi="Arial" w:cs="Arial"/>
          <w:szCs w:val="22"/>
        </w:rPr>
      </w:pPr>
      <w:bookmarkStart w:id="86" w:name="_Ref480136463"/>
      <w:r w:rsidRPr="009C74A6">
        <w:rPr>
          <w:rFonts w:ascii="Arial" w:hAnsi="Arial" w:cs="Arial"/>
          <w:szCs w:val="22"/>
        </w:rPr>
        <w:lastRenderedPageBreak/>
        <w:t>Figura II-</w:t>
      </w:r>
      <w:r w:rsidR="000B2DBC" w:rsidRPr="009C74A6">
        <w:rPr>
          <w:rFonts w:ascii="Arial" w:hAnsi="Arial" w:cs="Arial"/>
          <w:szCs w:val="22"/>
        </w:rPr>
        <w:fldChar w:fldCharType="begin"/>
      </w:r>
      <w:r w:rsidR="000B2DBC" w:rsidRPr="009C74A6">
        <w:rPr>
          <w:rFonts w:ascii="Arial" w:hAnsi="Arial" w:cs="Arial"/>
          <w:szCs w:val="22"/>
        </w:rPr>
        <w:instrText xml:space="preserve"> SEQ Ilustración \* ARABIC </w:instrText>
      </w:r>
      <w:r w:rsidR="000B2DBC" w:rsidRPr="009C74A6">
        <w:rPr>
          <w:rFonts w:ascii="Arial" w:hAnsi="Arial" w:cs="Arial"/>
          <w:szCs w:val="22"/>
        </w:rPr>
        <w:fldChar w:fldCharType="separate"/>
      </w:r>
      <w:r w:rsidRPr="009C74A6">
        <w:rPr>
          <w:rFonts w:ascii="Arial" w:hAnsi="Arial" w:cs="Arial"/>
          <w:noProof/>
          <w:szCs w:val="22"/>
        </w:rPr>
        <w:t>4</w:t>
      </w:r>
      <w:r w:rsidR="000B2DBC" w:rsidRPr="009C74A6">
        <w:rPr>
          <w:rFonts w:ascii="Arial" w:hAnsi="Arial" w:cs="Arial"/>
          <w:noProof/>
          <w:szCs w:val="22"/>
        </w:rPr>
        <w:fldChar w:fldCharType="end"/>
      </w:r>
      <w:bookmarkEnd w:id="86"/>
      <w:r w:rsidR="00FC463B" w:rsidRPr="009C74A6">
        <w:rPr>
          <w:rFonts w:ascii="Arial" w:hAnsi="Arial" w:cs="Arial"/>
          <w:szCs w:val="22"/>
        </w:rPr>
        <w:t>: Estratificación Socioeconómica hogares beneficiarios.</w:t>
      </w:r>
    </w:p>
    <w:p w14:paraId="67F03C48" w14:textId="0ABD1FE3" w:rsidR="00AB1F47" w:rsidRPr="009C74A6" w:rsidRDefault="00AB1F47" w:rsidP="00682064">
      <w:pPr>
        <w:rPr>
          <w:rFonts w:ascii="Arial" w:hAnsi="Arial" w:cs="Arial"/>
        </w:rPr>
      </w:pPr>
      <w:r w:rsidRPr="009C74A6">
        <w:rPr>
          <w:rFonts w:ascii="Arial" w:hAnsi="Arial" w:cs="Arial"/>
          <w:noProof/>
          <w:lang w:eastAsia="es-AR"/>
        </w:rPr>
        <w:drawing>
          <wp:inline distT="0" distB="0" distL="0" distR="0" wp14:anchorId="36644013" wp14:editId="0D4E2A65">
            <wp:extent cx="4580255" cy="274320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80255" cy="2743200"/>
                    </a:xfrm>
                    <a:prstGeom prst="rect">
                      <a:avLst/>
                    </a:prstGeom>
                    <a:noFill/>
                    <a:ln>
                      <a:noFill/>
                    </a:ln>
                  </pic:spPr>
                </pic:pic>
              </a:graphicData>
            </a:graphic>
          </wp:inline>
        </w:drawing>
      </w:r>
    </w:p>
    <w:p w14:paraId="5B3E6F65" w14:textId="68AAD9A5" w:rsidR="00FC463B" w:rsidRPr="009C74A6" w:rsidRDefault="00FC463B" w:rsidP="00FC463B">
      <w:pPr>
        <w:pStyle w:val="NoSpacing"/>
        <w:rPr>
          <w:rFonts w:ascii="Arial" w:hAnsi="Arial" w:cs="Arial"/>
          <w:sz w:val="22"/>
        </w:rPr>
      </w:pPr>
      <w:r w:rsidRPr="009C74A6">
        <w:rPr>
          <w:rFonts w:ascii="Arial" w:hAnsi="Arial" w:cs="Arial"/>
          <w:sz w:val="22"/>
        </w:rPr>
        <w:t>Fuente: Elaboración sobre datos CNPV 2010.</w:t>
      </w:r>
    </w:p>
    <w:p w14:paraId="147D0DFA" w14:textId="77777777" w:rsidR="00AB1F47" w:rsidRPr="009C74A6" w:rsidRDefault="00AB1F47" w:rsidP="00682064">
      <w:pPr>
        <w:rPr>
          <w:rFonts w:ascii="Arial" w:hAnsi="Arial" w:cs="Arial"/>
        </w:rPr>
      </w:pPr>
    </w:p>
    <w:p w14:paraId="6D388874" w14:textId="3BAB28F3" w:rsidR="00FC463B" w:rsidRPr="009C74A6" w:rsidRDefault="00FA38ED" w:rsidP="00FC463B">
      <w:pPr>
        <w:pStyle w:val="Caption"/>
        <w:rPr>
          <w:rFonts w:ascii="Arial" w:hAnsi="Arial" w:cs="Arial"/>
          <w:szCs w:val="22"/>
        </w:rPr>
      </w:pPr>
      <w:bookmarkStart w:id="87" w:name="_Ref480136470"/>
      <w:r w:rsidRPr="009C74A6">
        <w:rPr>
          <w:rFonts w:ascii="Arial" w:hAnsi="Arial" w:cs="Arial"/>
          <w:szCs w:val="22"/>
        </w:rPr>
        <w:t>Figura II-</w:t>
      </w:r>
      <w:r w:rsidR="000B2DBC" w:rsidRPr="009C74A6">
        <w:rPr>
          <w:rFonts w:ascii="Arial" w:hAnsi="Arial" w:cs="Arial"/>
          <w:szCs w:val="22"/>
        </w:rPr>
        <w:fldChar w:fldCharType="begin"/>
      </w:r>
      <w:r w:rsidR="000B2DBC" w:rsidRPr="009C74A6">
        <w:rPr>
          <w:rFonts w:ascii="Arial" w:hAnsi="Arial" w:cs="Arial"/>
          <w:szCs w:val="22"/>
        </w:rPr>
        <w:instrText xml:space="preserve"> SEQ Ilustración \* ARABIC </w:instrText>
      </w:r>
      <w:r w:rsidR="000B2DBC" w:rsidRPr="009C74A6">
        <w:rPr>
          <w:rFonts w:ascii="Arial" w:hAnsi="Arial" w:cs="Arial"/>
          <w:szCs w:val="22"/>
        </w:rPr>
        <w:fldChar w:fldCharType="separate"/>
      </w:r>
      <w:r w:rsidRPr="009C74A6">
        <w:rPr>
          <w:rFonts w:ascii="Arial" w:hAnsi="Arial" w:cs="Arial"/>
          <w:szCs w:val="22"/>
        </w:rPr>
        <w:t>5</w:t>
      </w:r>
      <w:r w:rsidR="000B2DBC" w:rsidRPr="009C74A6">
        <w:rPr>
          <w:rFonts w:ascii="Arial" w:hAnsi="Arial" w:cs="Arial"/>
          <w:szCs w:val="22"/>
        </w:rPr>
        <w:fldChar w:fldCharType="end"/>
      </w:r>
      <w:bookmarkEnd w:id="87"/>
      <w:r w:rsidR="00FC463B" w:rsidRPr="009C74A6">
        <w:rPr>
          <w:rFonts w:ascii="Arial" w:hAnsi="Arial" w:cs="Arial"/>
          <w:szCs w:val="22"/>
        </w:rPr>
        <w:t>: Estratificación Socioeconómica hogares a medir.</w:t>
      </w:r>
    </w:p>
    <w:p w14:paraId="2589D42E" w14:textId="3322BA8D" w:rsidR="00AB1F47" w:rsidRPr="009C74A6" w:rsidRDefault="00AB1F47" w:rsidP="00682064">
      <w:pPr>
        <w:rPr>
          <w:rFonts w:ascii="Arial" w:hAnsi="Arial" w:cs="Arial"/>
        </w:rPr>
      </w:pPr>
      <w:r w:rsidRPr="009C74A6">
        <w:rPr>
          <w:rFonts w:ascii="Arial" w:hAnsi="Arial" w:cs="Arial"/>
          <w:noProof/>
          <w:lang w:eastAsia="es-AR"/>
        </w:rPr>
        <w:drawing>
          <wp:inline distT="0" distB="0" distL="0" distR="0" wp14:anchorId="5C305693" wp14:editId="33F7591F">
            <wp:extent cx="4580255" cy="274320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80255" cy="2743200"/>
                    </a:xfrm>
                    <a:prstGeom prst="rect">
                      <a:avLst/>
                    </a:prstGeom>
                    <a:noFill/>
                    <a:ln>
                      <a:noFill/>
                    </a:ln>
                  </pic:spPr>
                </pic:pic>
              </a:graphicData>
            </a:graphic>
          </wp:inline>
        </w:drawing>
      </w:r>
    </w:p>
    <w:p w14:paraId="3B6697EE" w14:textId="7D6C883F" w:rsidR="00FC463B" w:rsidRPr="009C74A6" w:rsidRDefault="00FC463B" w:rsidP="00FC463B">
      <w:pPr>
        <w:pStyle w:val="NoSpacing"/>
        <w:rPr>
          <w:rFonts w:ascii="Arial" w:hAnsi="Arial" w:cs="Arial"/>
          <w:sz w:val="22"/>
        </w:rPr>
      </w:pPr>
      <w:r w:rsidRPr="009C74A6">
        <w:rPr>
          <w:rFonts w:ascii="Arial" w:hAnsi="Arial" w:cs="Arial"/>
          <w:sz w:val="22"/>
        </w:rPr>
        <w:t>Fuente: Elaboración sobre datos CNPV 2010.</w:t>
      </w:r>
    </w:p>
    <w:p w14:paraId="54E487A7" w14:textId="7CBE8F91" w:rsidR="00682064" w:rsidRPr="009C74A6" w:rsidRDefault="00FC463B" w:rsidP="00682064">
      <w:pPr>
        <w:rPr>
          <w:rFonts w:ascii="Arial" w:hAnsi="Arial" w:cs="Arial"/>
        </w:rPr>
      </w:pPr>
      <w:r w:rsidRPr="009C74A6">
        <w:rPr>
          <w:rFonts w:ascii="Arial" w:hAnsi="Arial" w:cs="Arial"/>
        </w:rPr>
        <w:t>El análisis socioeconómico realizado para los dos grupos de hogares relevantes en el desarrollo del presente proyecto permite afirmar que la transferencia de los ahorros de agua en las áreas en las que se instalarán medidores a las áreas de demanda insatisfecha no solo constituye una mejora paretiana potencial, sino que además presente efectos redistributivos positivos, ya que el grupo sujeto a medición presenta un perfil socioeconómico superior al del grupo beneficiario.</w:t>
      </w:r>
    </w:p>
    <w:p w14:paraId="54419C19" w14:textId="77777777" w:rsidR="000F7BCB" w:rsidRPr="009C74A6" w:rsidRDefault="000F7BCB" w:rsidP="003B1C14">
      <w:pPr>
        <w:rPr>
          <w:rFonts w:ascii="Arial" w:hAnsi="Arial" w:cs="Arial"/>
        </w:rPr>
      </w:pPr>
    </w:p>
    <w:p w14:paraId="740E4106" w14:textId="77777777" w:rsidR="003B1C14" w:rsidRPr="009C74A6" w:rsidRDefault="003B1C14" w:rsidP="002B0107">
      <w:pPr>
        <w:pStyle w:val="Heading2"/>
        <w:numPr>
          <w:ilvl w:val="0"/>
          <w:numId w:val="40"/>
        </w:numPr>
      </w:pPr>
      <w:bookmarkStart w:id="88" w:name="_Toc485200081"/>
      <w:r w:rsidRPr="009C74A6">
        <w:lastRenderedPageBreak/>
        <w:t>Análisis de capacidad de pago.</w:t>
      </w:r>
      <w:bookmarkEnd w:id="88"/>
    </w:p>
    <w:p w14:paraId="067A1BAA" w14:textId="1B9990C1" w:rsidR="00E0605B" w:rsidRPr="009C74A6" w:rsidRDefault="00E0605B" w:rsidP="00E0605B">
      <w:pPr>
        <w:rPr>
          <w:rFonts w:ascii="Arial" w:hAnsi="Arial" w:cs="Arial"/>
        </w:rPr>
      </w:pPr>
      <w:r w:rsidRPr="009C74A6">
        <w:rPr>
          <w:rFonts w:ascii="Arial" w:hAnsi="Arial" w:cs="Arial"/>
        </w:rPr>
        <w:t>A fin de verificar la incidencia del pago del servicio considerando las tarifas reguladas vigentes de AySA S.A., se analizó para cada estrato socioeconómico el impacto de las mismas sobre el presupuesto familiar, considerando la prestación de servicios de agua y cloacas.</w:t>
      </w:r>
    </w:p>
    <w:p w14:paraId="61E16A21" w14:textId="61C6C0CE" w:rsidR="000F7BCB" w:rsidRPr="009C74A6" w:rsidRDefault="00E0605B" w:rsidP="00E0605B">
      <w:pPr>
        <w:rPr>
          <w:rFonts w:ascii="Arial" w:hAnsi="Arial" w:cs="Arial"/>
        </w:rPr>
      </w:pPr>
      <w:r w:rsidRPr="009C74A6">
        <w:rPr>
          <w:rFonts w:ascii="Arial" w:hAnsi="Arial" w:cs="Arial"/>
        </w:rPr>
        <w:t xml:space="preserve">La </w:t>
      </w:r>
      <w:r w:rsidRPr="009C74A6">
        <w:rPr>
          <w:rFonts w:ascii="Arial" w:hAnsi="Arial" w:cs="Arial"/>
        </w:rPr>
        <w:fldChar w:fldCharType="begin"/>
      </w:r>
      <w:r w:rsidRPr="009C74A6">
        <w:rPr>
          <w:rFonts w:ascii="Arial" w:hAnsi="Arial" w:cs="Arial"/>
        </w:rPr>
        <w:instrText xml:space="preserve"> REF _Ref479696624 \h </w:instrText>
      </w:r>
      <w:r w:rsidR="009C74A6" w:rsidRPr="009C74A6">
        <w:rPr>
          <w:rFonts w:ascii="Arial" w:hAnsi="Arial" w:cs="Arial"/>
        </w:rPr>
        <w:instrText xml:space="preserve"> \* MERGEFORMAT </w:instrText>
      </w:r>
      <w:r w:rsidRPr="009C74A6">
        <w:rPr>
          <w:rFonts w:ascii="Arial" w:hAnsi="Arial" w:cs="Arial"/>
        </w:rPr>
      </w:r>
      <w:r w:rsidRPr="009C74A6">
        <w:rPr>
          <w:rFonts w:ascii="Arial" w:hAnsi="Arial" w:cs="Arial"/>
        </w:rPr>
        <w:fldChar w:fldCharType="separate"/>
      </w:r>
      <w:r w:rsidR="009F66B5" w:rsidRPr="009C74A6">
        <w:rPr>
          <w:rFonts w:ascii="Arial" w:hAnsi="Arial" w:cs="Arial"/>
        </w:rPr>
        <w:t xml:space="preserve">Tabla </w:t>
      </w:r>
      <w:r w:rsidR="00FA38ED" w:rsidRPr="009C74A6">
        <w:rPr>
          <w:rFonts w:ascii="Arial" w:hAnsi="Arial" w:cs="Arial"/>
        </w:rPr>
        <w:t>II-</w:t>
      </w:r>
      <w:r w:rsidR="009F66B5" w:rsidRPr="009C74A6">
        <w:rPr>
          <w:rFonts w:ascii="Arial" w:hAnsi="Arial" w:cs="Arial"/>
          <w:noProof/>
        </w:rPr>
        <w:t>16</w:t>
      </w:r>
      <w:r w:rsidRPr="009C74A6">
        <w:rPr>
          <w:rFonts w:ascii="Arial" w:hAnsi="Arial" w:cs="Arial"/>
        </w:rPr>
        <w:fldChar w:fldCharType="end"/>
      </w:r>
      <w:r w:rsidRPr="009C74A6">
        <w:rPr>
          <w:rFonts w:ascii="Arial" w:hAnsi="Arial" w:cs="Arial"/>
        </w:rPr>
        <w:t xml:space="preserve"> presenta el resultado obtenido.</w:t>
      </w:r>
    </w:p>
    <w:p w14:paraId="1B77663C" w14:textId="157E7E8D" w:rsidR="00E0605B" w:rsidRPr="009C74A6" w:rsidRDefault="00E0605B" w:rsidP="00E0605B">
      <w:pPr>
        <w:rPr>
          <w:rFonts w:ascii="Arial" w:hAnsi="Arial" w:cs="Arial"/>
        </w:rPr>
      </w:pPr>
      <w:r w:rsidRPr="009C74A6">
        <w:rPr>
          <w:rFonts w:ascii="Arial" w:hAnsi="Arial" w:cs="Arial"/>
        </w:rPr>
        <w:t>Según se aprecia, los usuarios situados en el estrato social bajo y medio bajo enfrentarán un costo de</w:t>
      </w:r>
      <w:r w:rsidR="002446E0" w:rsidRPr="009C74A6">
        <w:rPr>
          <w:rFonts w:ascii="Arial" w:hAnsi="Arial" w:cs="Arial"/>
        </w:rPr>
        <w:t xml:space="preserve"> </w:t>
      </w:r>
      <w:r w:rsidRPr="009C74A6">
        <w:rPr>
          <w:rFonts w:ascii="Arial" w:hAnsi="Arial" w:cs="Arial"/>
        </w:rPr>
        <w:t>l</w:t>
      </w:r>
      <w:r w:rsidR="002446E0" w:rsidRPr="009C74A6">
        <w:rPr>
          <w:rFonts w:ascii="Arial" w:hAnsi="Arial" w:cs="Arial"/>
        </w:rPr>
        <w:t>os</w:t>
      </w:r>
      <w:r w:rsidRPr="009C74A6">
        <w:rPr>
          <w:rFonts w:ascii="Arial" w:hAnsi="Arial" w:cs="Arial"/>
        </w:rPr>
        <w:t xml:space="preserve"> servicio</w:t>
      </w:r>
      <w:r w:rsidR="002446E0" w:rsidRPr="009C74A6">
        <w:rPr>
          <w:rFonts w:ascii="Arial" w:hAnsi="Arial" w:cs="Arial"/>
        </w:rPr>
        <w:t>s de agua y</w:t>
      </w:r>
      <w:r w:rsidRPr="009C74A6">
        <w:rPr>
          <w:rFonts w:ascii="Arial" w:hAnsi="Arial" w:cs="Arial"/>
        </w:rPr>
        <w:t xml:space="preserve"> de desagües cloacales que va del 1,48% de sus ingresos al 2,45%, mientras que para los estratos superiores la incidencia se encuentra por debajo del 1,5%. Adicionalmente debe destacarse que la empresa cuenta con un programa de tarifa social que permite reducir la factura en aquellos casos que presenten una situación socioeconómica delicada, facilitándose ampliamente el pago de las facturas.</w:t>
      </w:r>
    </w:p>
    <w:p w14:paraId="16684148" w14:textId="4BC0B363" w:rsidR="00E0605B" w:rsidRPr="009C74A6" w:rsidRDefault="00E0605B" w:rsidP="004F131E">
      <w:pPr>
        <w:pStyle w:val="Caption"/>
        <w:rPr>
          <w:rFonts w:ascii="Arial" w:hAnsi="Arial" w:cs="Arial"/>
          <w:szCs w:val="22"/>
        </w:rPr>
      </w:pPr>
      <w:bookmarkStart w:id="89" w:name="_Ref479696624"/>
      <w:r w:rsidRPr="009C74A6">
        <w:rPr>
          <w:rFonts w:ascii="Arial" w:hAnsi="Arial" w:cs="Arial"/>
          <w:szCs w:val="22"/>
        </w:rPr>
        <w:t xml:space="preserve">Tabla </w:t>
      </w:r>
      <w:r w:rsidR="00FA38ED" w:rsidRPr="009C74A6">
        <w:rPr>
          <w:rFonts w:ascii="Arial" w:hAnsi="Arial" w:cs="Arial"/>
          <w:szCs w:val="22"/>
        </w:rPr>
        <w:t>II-</w:t>
      </w:r>
      <w:r w:rsidR="000B2DBC" w:rsidRPr="009C74A6">
        <w:rPr>
          <w:rFonts w:ascii="Arial" w:hAnsi="Arial" w:cs="Arial"/>
          <w:szCs w:val="22"/>
        </w:rPr>
        <w:fldChar w:fldCharType="begin"/>
      </w:r>
      <w:r w:rsidR="000B2DBC" w:rsidRPr="009C74A6">
        <w:rPr>
          <w:rFonts w:ascii="Arial" w:hAnsi="Arial" w:cs="Arial"/>
          <w:szCs w:val="22"/>
        </w:rPr>
        <w:instrText xml:space="preserve"> SEQ Tabla \* ARABIC </w:instrText>
      </w:r>
      <w:r w:rsidR="000B2DBC" w:rsidRPr="009C74A6">
        <w:rPr>
          <w:rFonts w:ascii="Arial" w:hAnsi="Arial" w:cs="Arial"/>
          <w:szCs w:val="22"/>
        </w:rPr>
        <w:fldChar w:fldCharType="separate"/>
      </w:r>
      <w:r w:rsidR="009F66B5" w:rsidRPr="009C74A6">
        <w:rPr>
          <w:rFonts w:ascii="Arial" w:hAnsi="Arial" w:cs="Arial"/>
          <w:noProof/>
          <w:szCs w:val="22"/>
        </w:rPr>
        <w:t>16</w:t>
      </w:r>
      <w:r w:rsidR="000B2DBC" w:rsidRPr="009C74A6">
        <w:rPr>
          <w:rFonts w:ascii="Arial" w:hAnsi="Arial" w:cs="Arial"/>
          <w:noProof/>
          <w:szCs w:val="22"/>
        </w:rPr>
        <w:fldChar w:fldCharType="end"/>
      </w:r>
      <w:bookmarkEnd w:id="89"/>
      <w:r w:rsidRPr="009C74A6">
        <w:rPr>
          <w:rFonts w:ascii="Arial" w:hAnsi="Arial" w:cs="Arial"/>
          <w:szCs w:val="22"/>
        </w:rPr>
        <w:t>: Incidencia del pago del servicio sobre el presupuesto familiar.</w:t>
      </w:r>
    </w:p>
    <w:p w14:paraId="10CC7FE9" w14:textId="36785C68" w:rsidR="00E0605B" w:rsidRPr="00AB5F94" w:rsidRDefault="005F382D" w:rsidP="00E0605B">
      <w:pPr>
        <w:rPr>
          <w:rFonts w:ascii="Arial" w:hAnsi="Arial" w:cs="Arial"/>
        </w:rPr>
      </w:pPr>
      <w:r w:rsidRPr="00AB5F94">
        <w:rPr>
          <w:rFonts w:ascii="Arial" w:hAnsi="Arial" w:cs="Arial"/>
          <w:noProof/>
          <w:lang w:eastAsia="es-AR"/>
        </w:rPr>
        <w:drawing>
          <wp:inline distT="0" distB="0" distL="0" distR="0" wp14:anchorId="549B88A8" wp14:editId="348E09CA">
            <wp:extent cx="5009515" cy="2592070"/>
            <wp:effectExtent l="0" t="0" r="63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09515" cy="2592070"/>
                    </a:xfrm>
                    <a:prstGeom prst="rect">
                      <a:avLst/>
                    </a:prstGeom>
                    <a:noFill/>
                    <a:ln>
                      <a:noFill/>
                    </a:ln>
                  </pic:spPr>
                </pic:pic>
              </a:graphicData>
            </a:graphic>
          </wp:inline>
        </w:drawing>
      </w:r>
    </w:p>
    <w:p w14:paraId="1053BDE7" w14:textId="713F95DA" w:rsidR="00E0605B" w:rsidRPr="009C74A6" w:rsidRDefault="00E0605B" w:rsidP="00E0605B">
      <w:pPr>
        <w:rPr>
          <w:rFonts w:ascii="Arial" w:hAnsi="Arial" w:cs="Arial"/>
        </w:rPr>
      </w:pPr>
      <w:r w:rsidRPr="00AB5F94">
        <w:rPr>
          <w:rFonts w:ascii="Arial" w:hAnsi="Arial" w:cs="Arial"/>
        </w:rPr>
        <w:t xml:space="preserve">Finalmente se aclara que en caso de evaluar únicamente el servicio de </w:t>
      </w:r>
      <w:r w:rsidR="005F382D" w:rsidRPr="00AB5F94">
        <w:rPr>
          <w:rFonts w:ascii="Arial" w:hAnsi="Arial" w:cs="Arial"/>
        </w:rPr>
        <w:t>agua</w:t>
      </w:r>
      <w:r w:rsidRPr="00AB5F94">
        <w:rPr>
          <w:rFonts w:ascii="Arial" w:hAnsi="Arial" w:cs="Arial"/>
        </w:rPr>
        <w:t>, la factura pasa a ser exactamente la mitad de los valores presentados (los precios de cada servicio son idénticos), por lo que la incidencia de los servicios sanitarios se reduce en un 50%.</w:t>
      </w:r>
    </w:p>
    <w:p w14:paraId="1FB16402" w14:textId="77777777" w:rsidR="000F7BCB" w:rsidRPr="009C74A6" w:rsidRDefault="000F7BCB" w:rsidP="003B1C14">
      <w:pPr>
        <w:rPr>
          <w:rFonts w:ascii="Arial" w:hAnsi="Arial" w:cs="Arial"/>
        </w:rPr>
      </w:pPr>
    </w:p>
    <w:p w14:paraId="73566967" w14:textId="77777777" w:rsidR="003B1C14" w:rsidRPr="009C74A6" w:rsidRDefault="003B1C14">
      <w:pPr>
        <w:jc w:val="left"/>
        <w:rPr>
          <w:rFonts w:ascii="Arial" w:hAnsi="Arial" w:cs="Arial"/>
        </w:rPr>
      </w:pPr>
      <w:r w:rsidRPr="009C74A6">
        <w:rPr>
          <w:rFonts w:ascii="Arial" w:hAnsi="Arial" w:cs="Arial"/>
        </w:rPr>
        <w:br w:type="page"/>
      </w:r>
    </w:p>
    <w:p w14:paraId="13DD080A" w14:textId="77777777" w:rsidR="005F4D0E" w:rsidRPr="009C74A6" w:rsidRDefault="005F4D0E" w:rsidP="005F4D0E">
      <w:pPr>
        <w:rPr>
          <w:rFonts w:ascii="Arial" w:hAnsi="Arial" w:cs="Arial"/>
        </w:rPr>
      </w:pPr>
    </w:p>
    <w:p w14:paraId="55169BF6" w14:textId="4B83C352" w:rsidR="003B1C14" w:rsidRPr="009C74A6" w:rsidRDefault="003B1C14" w:rsidP="00F5783E">
      <w:pPr>
        <w:pStyle w:val="Heading1"/>
      </w:pPr>
      <w:bookmarkStart w:id="90" w:name="_Toc485200082"/>
      <w:r w:rsidRPr="009C74A6">
        <w:t>Capítulo III: Descripción del proyecto.</w:t>
      </w:r>
      <w:bookmarkEnd w:id="90"/>
    </w:p>
    <w:p w14:paraId="1B93E5A1" w14:textId="77777777" w:rsidR="005F4D0E" w:rsidRPr="009C74A6" w:rsidRDefault="005F4D0E" w:rsidP="005F4D0E">
      <w:pPr>
        <w:rPr>
          <w:rFonts w:ascii="Arial" w:hAnsi="Arial" w:cs="Arial"/>
        </w:rPr>
      </w:pPr>
    </w:p>
    <w:p w14:paraId="5F6A1CD5" w14:textId="77777777" w:rsidR="003B1C14" w:rsidRPr="009C74A6" w:rsidRDefault="003B1C14" w:rsidP="002B0107">
      <w:pPr>
        <w:pStyle w:val="Heading2"/>
        <w:numPr>
          <w:ilvl w:val="0"/>
          <w:numId w:val="41"/>
        </w:numPr>
      </w:pPr>
      <w:bookmarkStart w:id="91" w:name="_Toc485200083"/>
      <w:r w:rsidRPr="009C74A6">
        <w:t>Descripción general del proyecto.</w:t>
      </w:r>
      <w:bookmarkEnd w:id="91"/>
    </w:p>
    <w:p w14:paraId="1FE56AB3" w14:textId="569E3283" w:rsidR="00457BB4" w:rsidRPr="009C74A6" w:rsidRDefault="00457BB4" w:rsidP="0017709A">
      <w:pPr>
        <w:rPr>
          <w:rFonts w:ascii="Arial" w:hAnsi="Arial" w:cs="Arial"/>
        </w:rPr>
      </w:pPr>
      <w:r w:rsidRPr="009C74A6">
        <w:rPr>
          <w:rFonts w:ascii="Arial" w:hAnsi="Arial" w:cs="Arial"/>
        </w:rPr>
        <w:t>Tal como se mencionó, el presente proyecto se enmarca en el “Plan de Mejoras y Mantenimiento de las redes de agua potable” a través del cual se busca mejorar integralmente la eficiencia del sistema de agua potable operado por AySA.</w:t>
      </w:r>
    </w:p>
    <w:p w14:paraId="5A06EC25" w14:textId="6689F941" w:rsidR="00457BB4" w:rsidRPr="009C74A6" w:rsidRDefault="00457BB4" w:rsidP="0017709A">
      <w:pPr>
        <w:rPr>
          <w:rFonts w:ascii="Arial" w:hAnsi="Arial" w:cs="Arial"/>
        </w:rPr>
      </w:pPr>
      <w:r w:rsidRPr="009C74A6">
        <w:rPr>
          <w:rFonts w:ascii="Arial" w:hAnsi="Arial" w:cs="Arial"/>
        </w:rPr>
        <w:t>En el caso particular objeto del presente informe, se considera el desarrollo de las siguientes acciones:</w:t>
      </w:r>
    </w:p>
    <w:p w14:paraId="5D437CA0" w14:textId="77777777" w:rsidR="00457BB4" w:rsidRPr="009C74A6" w:rsidRDefault="00457BB4" w:rsidP="00C4100D">
      <w:pPr>
        <w:pStyle w:val="ListParagraph"/>
        <w:numPr>
          <w:ilvl w:val="0"/>
          <w:numId w:val="24"/>
        </w:numPr>
        <w:rPr>
          <w:rFonts w:ascii="Arial" w:hAnsi="Arial" w:cs="Arial"/>
        </w:rPr>
      </w:pPr>
      <w:r w:rsidRPr="009C74A6">
        <w:rPr>
          <w:rFonts w:ascii="Arial" w:hAnsi="Arial" w:cs="Arial"/>
        </w:rPr>
        <w:t>Completar el sistema de válvulas reguladoras de presión con el objeto de reducir los volúmenes de pérdidas físicas y liberar agua aprovechable en áreas de demanda insatisfecha.</w:t>
      </w:r>
    </w:p>
    <w:p w14:paraId="0110E836" w14:textId="77777777" w:rsidR="00457BB4" w:rsidRPr="009C74A6" w:rsidRDefault="00457BB4" w:rsidP="00C4100D">
      <w:pPr>
        <w:pStyle w:val="ListParagraph"/>
        <w:numPr>
          <w:ilvl w:val="0"/>
          <w:numId w:val="24"/>
        </w:numPr>
        <w:rPr>
          <w:rFonts w:ascii="Arial" w:hAnsi="Arial" w:cs="Arial"/>
        </w:rPr>
      </w:pPr>
      <w:r w:rsidRPr="009C74A6">
        <w:rPr>
          <w:rFonts w:ascii="Arial" w:hAnsi="Arial" w:cs="Arial"/>
        </w:rPr>
        <w:t>Avanzar en la micromedición de consumos, particularmente en áreas con bajos niveles de pérdidas físicas a fin de disminuir el derroche con el mismo objetivo del punto 1.</w:t>
      </w:r>
    </w:p>
    <w:p w14:paraId="00A90A2E" w14:textId="77777777" w:rsidR="00457BB4" w:rsidRPr="009C74A6" w:rsidRDefault="00457BB4" w:rsidP="00C4100D">
      <w:pPr>
        <w:pStyle w:val="ListParagraph"/>
        <w:numPr>
          <w:ilvl w:val="0"/>
          <w:numId w:val="24"/>
        </w:numPr>
        <w:rPr>
          <w:rFonts w:ascii="Arial" w:hAnsi="Arial" w:cs="Arial"/>
        </w:rPr>
      </w:pPr>
      <w:r w:rsidRPr="009C74A6">
        <w:rPr>
          <w:rFonts w:ascii="Arial" w:hAnsi="Arial" w:cs="Arial"/>
        </w:rPr>
        <w:t xml:space="preserve">Avanzar en el cierre hidráulico de las DMA con el objeto de obtener un mayor control de la oferta, la demanda y las pérdidas y de este modo avanzar localizadamente en la reducción de estas últimas. </w:t>
      </w:r>
    </w:p>
    <w:p w14:paraId="7DB8D7AA" w14:textId="5E7CEC3F" w:rsidR="00457BB4" w:rsidRPr="009C74A6" w:rsidRDefault="00457BB4" w:rsidP="00457BB4">
      <w:pPr>
        <w:rPr>
          <w:rFonts w:ascii="Arial" w:hAnsi="Arial" w:cs="Arial"/>
        </w:rPr>
      </w:pPr>
      <w:r w:rsidRPr="009C74A6">
        <w:rPr>
          <w:rFonts w:ascii="Arial" w:hAnsi="Arial" w:cs="Arial"/>
        </w:rPr>
        <w:t>El primer y tercer componente se relaciona estrechamente con la reducción de las pérdidas físicas propiamente dichas, ya que se contempla financiar la instalación de controladores con comando a distancia, emplazados sobre el piloto de válvulas reguladoras existente. E</w:t>
      </w:r>
      <w:r w:rsidR="0068625E" w:rsidRPr="009C74A6">
        <w:rPr>
          <w:rFonts w:ascii="Arial" w:hAnsi="Arial" w:cs="Arial"/>
        </w:rPr>
        <w:t>ste sistema</w:t>
      </w:r>
      <w:r w:rsidRPr="009C74A6">
        <w:rPr>
          <w:rFonts w:ascii="Arial" w:hAnsi="Arial" w:cs="Arial"/>
        </w:rPr>
        <w:t xml:space="preserve"> permite </w:t>
      </w:r>
      <w:r w:rsidR="0068625E" w:rsidRPr="009C74A6">
        <w:rPr>
          <w:rFonts w:ascii="Arial" w:hAnsi="Arial" w:cs="Arial"/>
        </w:rPr>
        <w:t xml:space="preserve">mediante </w:t>
      </w:r>
      <w:r w:rsidRPr="009C74A6">
        <w:rPr>
          <w:rFonts w:ascii="Arial" w:hAnsi="Arial" w:cs="Arial"/>
        </w:rPr>
        <w:t>una regulación a distancia a través de comunicación GPRS vinculado con servidor “on line”, modular la presión de salida en función del tiempo y/o caudal, establece</w:t>
      </w:r>
      <w:r w:rsidR="0068625E" w:rsidRPr="009C74A6">
        <w:rPr>
          <w:rFonts w:ascii="Arial" w:hAnsi="Arial" w:cs="Arial"/>
        </w:rPr>
        <w:t>r</w:t>
      </w:r>
      <w:r w:rsidRPr="009C74A6">
        <w:rPr>
          <w:rFonts w:ascii="Arial" w:hAnsi="Arial" w:cs="Arial"/>
        </w:rPr>
        <w:t xml:space="preserve"> perfiles diferenciados para cada día o diario/fin de semana, registrar caudal y presión aguas arriba y aguas abajo, cambio</w:t>
      </w:r>
      <w:r w:rsidR="0068625E" w:rsidRPr="009C74A6">
        <w:rPr>
          <w:rFonts w:ascii="Arial" w:hAnsi="Arial" w:cs="Arial"/>
        </w:rPr>
        <w:t>s</w:t>
      </w:r>
      <w:r w:rsidRPr="009C74A6">
        <w:rPr>
          <w:rFonts w:ascii="Arial" w:hAnsi="Arial" w:cs="Arial"/>
        </w:rPr>
        <w:t xml:space="preserve"> de horario verano/invierno y el manejo de consigna por punto crítico emplazado en la red distribuidora.</w:t>
      </w:r>
    </w:p>
    <w:p w14:paraId="37368899" w14:textId="47AFFD2F" w:rsidR="00457BB4" w:rsidRPr="009C74A6" w:rsidRDefault="0068625E" w:rsidP="00457BB4">
      <w:pPr>
        <w:rPr>
          <w:rFonts w:ascii="Arial" w:hAnsi="Arial" w:cs="Arial"/>
        </w:rPr>
      </w:pPr>
      <w:r w:rsidRPr="009C74A6">
        <w:rPr>
          <w:rFonts w:ascii="Arial" w:hAnsi="Arial" w:cs="Arial"/>
        </w:rPr>
        <w:t>Actualmente e</w:t>
      </w:r>
      <w:r w:rsidR="00457BB4" w:rsidRPr="009C74A6">
        <w:rPr>
          <w:rFonts w:ascii="Arial" w:hAnsi="Arial" w:cs="Arial"/>
        </w:rPr>
        <w:t>l sistema de válvulas reguladoras bombea a diario 1.100.000 metros cúbicos y se ha comprado que con el uso de esta nueva tecnología es factible de reducir al menos 10% de ese valor.</w:t>
      </w:r>
    </w:p>
    <w:p w14:paraId="0E04BB16" w14:textId="35EB41F0" w:rsidR="00457BB4" w:rsidRPr="009C74A6" w:rsidRDefault="0068625E" w:rsidP="0017709A">
      <w:pPr>
        <w:rPr>
          <w:rFonts w:ascii="Arial" w:hAnsi="Arial" w:cs="Arial"/>
        </w:rPr>
      </w:pPr>
      <w:r w:rsidRPr="009C74A6">
        <w:rPr>
          <w:rFonts w:ascii="Arial" w:hAnsi="Arial" w:cs="Arial"/>
        </w:rPr>
        <w:t>Así, dado que por el diseño de la red troncal de transporte aquella agua que “no es demanda” por las estaciones de bombeo, ya sea por reducción de la pérdida física o reducción del consumo, queda disponible para ser transferida a zonas con demandas potencialmente insatisfechas de la red servida actual y/o áreas que conforman los nuevos servicios más próximos al radio servido actual, es posible lograr una mejora significativa del servicio sin incorporar nueva infraestructura de producción, transporte y distribución.</w:t>
      </w:r>
    </w:p>
    <w:p w14:paraId="2C362E1A" w14:textId="77777777" w:rsidR="0068625E" w:rsidRPr="009C74A6" w:rsidRDefault="0068625E" w:rsidP="0068625E">
      <w:pPr>
        <w:rPr>
          <w:rFonts w:ascii="Arial" w:hAnsi="Arial" w:cs="Arial"/>
        </w:rPr>
      </w:pPr>
      <w:r w:rsidRPr="009C74A6">
        <w:rPr>
          <w:rFonts w:ascii="Arial" w:hAnsi="Arial" w:cs="Arial"/>
        </w:rPr>
        <w:t xml:space="preserve">Para que esto suceda, se deben identificar los lugares donde se puede recuperar agua y donde se puede transferir. La posibilidad de recuperar agua presenta en los lugares donde la oferta es capaz de cubrir la demanda sin restricción. El efecto buscado es reducir la oferta de agua sin afectar el nivel de satisfacción del usuario. </w:t>
      </w:r>
    </w:p>
    <w:p w14:paraId="6649BD2D" w14:textId="1CE6D5E0" w:rsidR="0068625E" w:rsidRPr="009C74A6" w:rsidRDefault="0068625E" w:rsidP="0068625E">
      <w:pPr>
        <w:rPr>
          <w:rFonts w:ascii="Arial" w:hAnsi="Arial" w:cs="Arial"/>
        </w:rPr>
      </w:pPr>
      <w:r w:rsidRPr="009C74A6">
        <w:rPr>
          <w:rFonts w:ascii="Arial" w:hAnsi="Arial" w:cs="Arial"/>
        </w:rPr>
        <w:lastRenderedPageBreak/>
        <w:t>A modo de ejemplo, se pueden observar los resultados del año 2016 donde se redujo el bombeo en zonas con buen nivel de servicio y se incrementó en zonas con potencial demanda insatisfecha.</w:t>
      </w:r>
    </w:p>
    <w:p w14:paraId="5EA7B43C" w14:textId="3A501D8F" w:rsidR="0068625E" w:rsidRPr="009C74A6" w:rsidRDefault="0068625E" w:rsidP="0068625E">
      <w:pPr>
        <w:rPr>
          <w:rFonts w:ascii="Arial" w:hAnsi="Arial" w:cs="Arial"/>
        </w:rPr>
      </w:pPr>
      <w:r w:rsidRPr="009C74A6">
        <w:rPr>
          <w:rFonts w:ascii="Arial" w:hAnsi="Arial" w:cs="Arial"/>
        </w:rPr>
        <w:t xml:space="preserve">En la </w:t>
      </w:r>
      <w:r w:rsidRPr="009C74A6">
        <w:rPr>
          <w:rFonts w:ascii="Arial" w:hAnsi="Arial" w:cs="Arial"/>
        </w:rPr>
        <w:fldChar w:fldCharType="begin"/>
      </w:r>
      <w:r w:rsidRPr="009C74A6">
        <w:rPr>
          <w:rFonts w:ascii="Arial" w:hAnsi="Arial" w:cs="Arial"/>
        </w:rPr>
        <w:instrText xml:space="preserve"> REF _Ref480139533 \h </w:instrText>
      </w:r>
      <w:r w:rsidR="009C74A6" w:rsidRPr="009C74A6">
        <w:rPr>
          <w:rFonts w:ascii="Arial" w:hAnsi="Arial" w:cs="Arial"/>
        </w:rPr>
        <w:instrText xml:space="preserve"> \* MERGEFORMAT </w:instrText>
      </w:r>
      <w:r w:rsidRPr="009C74A6">
        <w:rPr>
          <w:rFonts w:ascii="Arial" w:hAnsi="Arial" w:cs="Arial"/>
        </w:rPr>
      </w:r>
      <w:r w:rsidRPr="009C74A6">
        <w:rPr>
          <w:rFonts w:ascii="Arial" w:hAnsi="Arial" w:cs="Arial"/>
        </w:rPr>
        <w:fldChar w:fldCharType="separate"/>
      </w:r>
      <w:r w:rsidR="00FA38ED" w:rsidRPr="009C74A6">
        <w:rPr>
          <w:rFonts w:ascii="Arial" w:hAnsi="Arial" w:cs="Arial"/>
        </w:rPr>
        <w:t>Figura III-1</w:t>
      </w:r>
      <w:r w:rsidRPr="009C74A6">
        <w:rPr>
          <w:rFonts w:ascii="Arial" w:hAnsi="Arial" w:cs="Arial"/>
        </w:rPr>
        <w:fldChar w:fldCharType="end"/>
      </w:r>
      <w:r w:rsidRPr="009C74A6">
        <w:rPr>
          <w:rFonts w:ascii="Arial" w:hAnsi="Arial" w:cs="Arial"/>
        </w:rPr>
        <w:t xml:space="preserve"> se presenta el mapeo de presiones medias ponderadas correspondientes al año 2016, mientras que en la </w:t>
      </w:r>
      <w:r w:rsidR="00AD22A8" w:rsidRPr="009C74A6">
        <w:rPr>
          <w:rFonts w:ascii="Arial" w:hAnsi="Arial" w:cs="Arial"/>
        </w:rPr>
        <w:fldChar w:fldCharType="begin"/>
      </w:r>
      <w:r w:rsidR="00AD22A8" w:rsidRPr="009C74A6">
        <w:rPr>
          <w:rFonts w:ascii="Arial" w:hAnsi="Arial" w:cs="Arial"/>
        </w:rPr>
        <w:instrText xml:space="preserve"> REF _Ref480139631 \h </w:instrText>
      </w:r>
      <w:r w:rsidR="009C74A6" w:rsidRPr="009C74A6">
        <w:rPr>
          <w:rFonts w:ascii="Arial" w:hAnsi="Arial" w:cs="Arial"/>
        </w:rPr>
        <w:instrText xml:space="preserve"> \* MERGEFORMAT </w:instrText>
      </w:r>
      <w:r w:rsidR="00AD22A8" w:rsidRPr="009C74A6">
        <w:rPr>
          <w:rFonts w:ascii="Arial" w:hAnsi="Arial" w:cs="Arial"/>
        </w:rPr>
      </w:r>
      <w:r w:rsidR="00AD22A8" w:rsidRPr="009C74A6">
        <w:rPr>
          <w:rFonts w:ascii="Arial" w:hAnsi="Arial" w:cs="Arial"/>
        </w:rPr>
        <w:fldChar w:fldCharType="separate"/>
      </w:r>
      <w:r w:rsidR="00FA38ED" w:rsidRPr="009C74A6">
        <w:rPr>
          <w:rFonts w:ascii="Arial" w:hAnsi="Arial" w:cs="Arial"/>
        </w:rPr>
        <w:t>Figura II-2</w:t>
      </w:r>
      <w:r w:rsidR="00AD22A8" w:rsidRPr="009C74A6">
        <w:rPr>
          <w:rFonts w:ascii="Arial" w:hAnsi="Arial" w:cs="Arial"/>
        </w:rPr>
        <w:fldChar w:fldCharType="end"/>
      </w:r>
      <w:r w:rsidRPr="009C74A6">
        <w:rPr>
          <w:rFonts w:ascii="Arial" w:hAnsi="Arial" w:cs="Arial"/>
        </w:rPr>
        <w:t xml:space="preserve"> se presentan los ahorros y transferencias de agua observados para el mismo año.</w:t>
      </w:r>
    </w:p>
    <w:p w14:paraId="16551FBA" w14:textId="77777777" w:rsidR="00AD22A8" w:rsidRPr="009C74A6" w:rsidRDefault="00AD22A8" w:rsidP="0068625E">
      <w:pPr>
        <w:rPr>
          <w:rFonts w:ascii="Arial" w:hAnsi="Arial" w:cs="Arial"/>
        </w:rPr>
      </w:pPr>
    </w:p>
    <w:p w14:paraId="52C57857" w14:textId="5109C028" w:rsidR="0068625E" w:rsidRPr="009C74A6" w:rsidRDefault="00FA38ED" w:rsidP="0068625E">
      <w:pPr>
        <w:pStyle w:val="Caption"/>
        <w:rPr>
          <w:rFonts w:ascii="Arial" w:hAnsi="Arial" w:cs="Arial"/>
          <w:szCs w:val="22"/>
        </w:rPr>
      </w:pPr>
      <w:bookmarkStart w:id="92" w:name="_Ref480139533"/>
      <w:r w:rsidRPr="009C74A6">
        <w:rPr>
          <w:rFonts w:ascii="Arial" w:hAnsi="Arial" w:cs="Arial"/>
          <w:szCs w:val="22"/>
        </w:rPr>
        <w:t>Figura III-1</w:t>
      </w:r>
      <w:r w:rsidR="0068625E" w:rsidRPr="009C74A6">
        <w:rPr>
          <w:rFonts w:ascii="Arial" w:hAnsi="Arial" w:cs="Arial"/>
          <w:color w:val="FFFFFF" w:themeColor="background1"/>
          <w:szCs w:val="22"/>
        </w:rPr>
        <w:t xml:space="preserve"> </w:t>
      </w:r>
      <w:bookmarkEnd w:id="92"/>
      <w:r w:rsidRPr="009C74A6">
        <w:rPr>
          <w:rFonts w:ascii="Arial" w:hAnsi="Arial" w:cs="Arial"/>
          <w:color w:val="FFFFFF" w:themeColor="background1"/>
          <w:szCs w:val="22"/>
        </w:rPr>
        <w:fldChar w:fldCharType="begin"/>
      </w:r>
      <w:r w:rsidRPr="009C74A6">
        <w:rPr>
          <w:rFonts w:ascii="Arial" w:hAnsi="Arial" w:cs="Arial"/>
          <w:color w:val="FFFFFF" w:themeColor="background1"/>
          <w:szCs w:val="22"/>
        </w:rPr>
        <w:instrText xml:space="preserve"> SEQ Ilustración \* ARABIC </w:instrText>
      </w:r>
      <w:r w:rsidRPr="009C74A6">
        <w:rPr>
          <w:rFonts w:ascii="Arial" w:hAnsi="Arial" w:cs="Arial"/>
          <w:color w:val="FFFFFF" w:themeColor="background1"/>
          <w:szCs w:val="22"/>
        </w:rPr>
        <w:fldChar w:fldCharType="separate"/>
      </w:r>
      <w:r w:rsidRPr="009C74A6">
        <w:rPr>
          <w:rFonts w:ascii="Arial" w:hAnsi="Arial" w:cs="Arial"/>
          <w:noProof/>
          <w:color w:val="FFFFFF" w:themeColor="background1"/>
          <w:szCs w:val="22"/>
        </w:rPr>
        <w:t>6</w:t>
      </w:r>
      <w:r w:rsidRPr="009C74A6">
        <w:rPr>
          <w:rFonts w:ascii="Arial" w:hAnsi="Arial" w:cs="Arial"/>
          <w:color w:val="FFFFFF" w:themeColor="background1"/>
          <w:szCs w:val="22"/>
        </w:rPr>
        <w:fldChar w:fldCharType="end"/>
      </w:r>
      <w:r w:rsidR="0068625E" w:rsidRPr="009C74A6">
        <w:rPr>
          <w:rFonts w:ascii="Arial" w:hAnsi="Arial" w:cs="Arial"/>
          <w:szCs w:val="22"/>
        </w:rPr>
        <w:t>: Mapeo de presiones de agua 2016.</w:t>
      </w:r>
    </w:p>
    <w:p w14:paraId="5CBEC633" w14:textId="77777777" w:rsidR="00AD22A8" w:rsidRPr="009C74A6" w:rsidRDefault="00AD22A8" w:rsidP="0068625E">
      <w:pPr>
        <w:rPr>
          <w:rFonts w:ascii="Arial" w:hAnsi="Arial" w:cs="Arial"/>
        </w:rPr>
      </w:pPr>
    </w:p>
    <w:p w14:paraId="44631E4D" w14:textId="24C653CB" w:rsidR="0068625E" w:rsidRPr="009C74A6" w:rsidRDefault="0068625E" w:rsidP="0068625E">
      <w:pPr>
        <w:rPr>
          <w:rFonts w:ascii="Arial" w:hAnsi="Arial" w:cs="Arial"/>
        </w:rPr>
      </w:pPr>
      <w:r w:rsidRPr="009C74A6">
        <w:rPr>
          <w:rFonts w:ascii="Arial" w:hAnsi="Arial" w:cs="Arial"/>
          <w:noProof/>
          <w:lang w:eastAsia="es-AR"/>
        </w:rPr>
        <w:drawing>
          <wp:inline distT="0" distB="0" distL="0" distR="0" wp14:anchorId="5D429791" wp14:editId="74D5A87C">
            <wp:extent cx="5351228" cy="4290710"/>
            <wp:effectExtent l="0" t="0" r="190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38">
                      <a:extLst>
                        <a:ext uri="{28A0092B-C50C-407E-A947-70E740481C1C}">
                          <a14:useLocalDpi xmlns:a14="http://schemas.microsoft.com/office/drawing/2010/main" val="0"/>
                        </a:ext>
                      </a:extLst>
                    </a:blip>
                    <a:srcRect l="2366" r="3557"/>
                    <a:stretch/>
                  </pic:blipFill>
                  <pic:spPr bwMode="auto">
                    <a:xfrm>
                      <a:off x="0" y="0"/>
                      <a:ext cx="5368859" cy="4304847"/>
                    </a:xfrm>
                    <a:prstGeom prst="rect">
                      <a:avLst/>
                    </a:prstGeom>
                    <a:noFill/>
                    <a:ln>
                      <a:noFill/>
                    </a:ln>
                    <a:extLst>
                      <a:ext uri="{53640926-AAD7-44D8-BBD7-CCE9431645EC}">
                        <a14:shadowObscured xmlns:a14="http://schemas.microsoft.com/office/drawing/2010/main"/>
                      </a:ext>
                    </a:extLst>
                  </pic:spPr>
                </pic:pic>
              </a:graphicData>
            </a:graphic>
          </wp:inline>
        </w:drawing>
      </w:r>
    </w:p>
    <w:p w14:paraId="5AAEE089" w14:textId="77777777" w:rsidR="00AD22A8" w:rsidRPr="009C74A6" w:rsidRDefault="00AD22A8" w:rsidP="0068625E">
      <w:pPr>
        <w:rPr>
          <w:rFonts w:ascii="Arial" w:hAnsi="Arial" w:cs="Arial"/>
        </w:rPr>
      </w:pPr>
    </w:p>
    <w:p w14:paraId="638254E7" w14:textId="2429DD9D" w:rsidR="00AD22A8" w:rsidRPr="009C74A6" w:rsidRDefault="00AD22A8" w:rsidP="0068625E">
      <w:pPr>
        <w:rPr>
          <w:rFonts w:ascii="Arial" w:hAnsi="Arial" w:cs="Arial"/>
        </w:rPr>
      </w:pPr>
      <w:r w:rsidRPr="009C74A6">
        <w:rPr>
          <w:rFonts w:ascii="Arial" w:hAnsi="Arial" w:cs="Arial"/>
        </w:rPr>
        <w:t>Cabe mencionar, que no toda el agua que se recupera por eficiencia, ya sea de la distribución como del consumo, es factible de redistribuir ya que luego juega un papel importante la infraestructura (capacidad de bombeo y conducciones de transporte) la cual puede ser un limitante importante. En el año 2016 en un sector se produjo un ahorro de casi 100.000 m3/d y fue posible redistribuir en zonas con demandas potencialmente insatisfechas solo 40.000 m3/d, produciéndose así un ahorro neto de 60.000 m3/d.</w:t>
      </w:r>
    </w:p>
    <w:p w14:paraId="7527A2AE" w14:textId="77777777" w:rsidR="00AD22A8" w:rsidRPr="009C74A6" w:rsidRDefault="00AD22A8" w:rsidP="0068625E">
      <w:pPr>
        <w:rPr>
          <w:rFonts w:ascii="Arial" w:hAnsi="Arial" w:cs="Arial"/>
        </w:rPr>
      </w:pPr>
    </w:p>
    <w:p w14:paraId="142E7FB7" w14:textId="66FE9AA0" w:rsidR="0068625E" w:rsidRPr="009C74A6" w:rsidRDefault="00FA38ED" w:rsidP="0068625E">
      <w:pPr>
        <w:pStyle w:val="Caption"/>
        <w:rPr>
          <w:rFonts w:ascii="Arial" w:hAnsi="Arial" w:cs="Arial"/>
          <w:szCs w:val="22"/>
        </w:rPr>
      </w:pPr>
      <w:bookmarkStart w:id="93" w:name="_Ref480139631"/>
      <w:r w:rsidRPr="009C74A6">
        <w:rPr>
          <w:rFonts w:ascii="Arial" w:hAnsi="Arial" w:cs="Arial"/>
          <w:szCs w:val="22"/>
        </w:rPr>
        <w:lastRenderedPageBreak/>
        <w:t>Figura III-2</w:t>
      </w:r>
      <w:r w:rsidR="000B2DBC" w:rsidRPr="009C74A6">
        <w:rPr>
          <w:rFonts w:ascii="Arial" w:hAnsi="Arial" w:cs="Arial"/>
          <w:color w:val="FFFFFF" w:themeColor="background1"/>
          <w:szCs w:val="22"/>
        </w:rPr>
        <w:fldChar w:fldCharType="begin"/>
      </w:r>
      <w:r w:rsidR="000B2DBC" w:rsidRPr="009C74A6">
        <w:rPr>
          <w:rFonts w:ascii="Arial" w:hAnsi="Arial" w:cs="Arial"/>
          <w:color w:val="FFFFFF" w:themeColor="background1"/>
          <w:szCs w:val="22"/>
        </w:rPr>
        <w:instrText xml:space="preserve"> SEQ Ilustración \* ARABIC </w:instrText>
      </w:r>
      <w:r w:rsidR="000B2DBC" w:rsidRPr="009C74A6">
        <w:rPr>
          <w:rFonts w:ascii="Arial" w:hAnsi="Arial" w:cs="Arial"/>
          <w:color w:val="FFFFFF" w:themeColor="background1"/>
          <w:szCs w:val="22"/>
        </w:rPr>
        <w:fldChar w:fldCharType="separate"/>
      </w:r>
      <w:r w:rsidR="009F66B5" w:rsidRPr="009C74A6">
        <w:rPr>
          <w:rFonts w:ascii="Arial" w:hAnsi="Arial" w:cs="Arial"/>
          <w:noProof/>
          <w:color w:val="FFFFFF" w:themeColor="background1"/>
          <w:szCs w:val="22"/>
        </w:rPr>
        <w:t>10</w:t>
      </w:r>
      <w:r w:rsidR="000B2DBC" w:rsidRPr="009C74A6">
        <w:rPr>
          <w:rFonts w:ascii="Arial" w:hAnsi="Arial" w:cs="Arial"/>
          <w:noProof/>
          <w:color w:val="FFFFFF" w:themeColor="background1"/>
          <w:szCs w:val="22"/>
        </w:rPr>
        <w:fldChar w:fldCharType="end"/>
      </w:r>
      <w:bookmarkEnd w:id="93"/>
      <w:r w:rsidR="0068625E" w:rsidRPr="009C74A6">
        <w:rPr>
          <w:rFonts w:ascii="Arial" w:hAnsi="Arial" w:cs="Arial"/>
          <w:szCs w:val="22"/>
        </w:rPr>
        <w:t>: Ahorros y transferencias de agua 2016.</w:t>
      </w:r>
    </w:p>
    <w:p w14:paraId="58B35829" w14:textId="721D0617" w:rsidR="00457BB4" w:rsidRPr="009C74A6" w:rsidRDefault="0068625E" w:rsidP="0017709A">
      <w:pPr>
        <w:rPr>
          <w:rFonts w:ascii="Arial" w:hAnsi="Arial" w:cs="Arial"/>
        </w:rPr>
      </w:pPr>
      <w:r w:rsidRPr="009C74A6">
        <w:rPr>
          <w:rFonts w:ascii="Arial" w:hAnsi="Arial" w:cs="Arial"/>
          <w:noProof/>
          <w:lang w:eastAsia="es-AR"/>
        </w:rPr>
        <w:drawing>
          <wp:inline distT="0" distB="0" distL="0" distR="0" wp14:anchorId="3513B1FF" wp14:editId="4DBB019C">
            <wp:extent cx="5359180" cy="4078787"/>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73705" cy="4089842"/>
                    </a:xfrm>
                    <a:prstGeom prst="rect">
                      <a:avLst/>
                    </a:prstGeom>
                    <a:noFill/>
                    <a:ln>
                      <a:noFill/>
                    </a:ln>
                  </pic:spPr>
                </pic:pic>
              </a:graphicData>
            </a:graphic>
          </wp:inline>
        </w:drawing>
      </w:r>
    </w:p>
    <w:p w14:paraId="33E83E75" w14:textId="60D1B4CA" w:rsidR="00AD22A8" w:rsidRPr="009C74A6" w:rsidRDefault="00AD22A8" w:rsidP="00AD22A8">
      <w:pPr>
        <w:rPr>
          <w:rFonts w:ascii="Arial" w:hAnsi="Arial" w:cs="Arial"/>
        </w:rPr>
      </w:pPr>
      <w:r w:rsidRPr="009C74A6">
        <w:rPr>
          <w:rFonts w:ascii="Arial" w:hAnsi="Arial" w:cs="Arial"/>
        </w:rPr>
        <w:t>En el caso del segundo componente considerado –micromedición de consumos- se han seleccionado una serie de malas (DMA) correspondientes a zonas con redes renovadas llevadas a cabo con recursos de los anteriores préstamos otorgados por el B</w:t>
      </w:r>
      <w:r w:rsidR="00FA38ED" w:rsidRPr="009C74A6">
        <w:rPr>
          <w:rFonts w:ascii="Arial" w:hAnsi="Arial" w:cs="Arial"/>
        </w:rPr>
        <w:t>anco</w:t>
      </w:r>
      <w:r w:rsidRPr="009C74A6">
        <w:rPr>
          <w:rFonts w:ascii="Arial" w:hAnsi="Arial" w:cs="Arial"/>
        </w:rPr>
        <w:t xml:space="preserve">. Esta selección tiene múltiples objetivos: minimiza el efecto de aparición de pérdidas físicas en las cañerías, asegura una gestión eficiente y en consecuencia reduce la oferta de agua a la mínima necesaria para dar un servicio satisfactorio. Se espera que con la instalación de micromedidores al pasar los usuarios al régimen medido se registrará una reducción del consumo producto de evitar derroches y reparar instalaciones internas. </w:t>
      </w:r>
    </w:p>
    <w:p w14:paraId="734A063E" w14:textId="6CA9995C" w:rsidR="00457BB4" w:rsidRPr="009C74A6" w:rsidRDefault="00AD22A8" w:rsidP="00AD22A8">
      <w:pPr>
        <w:rPr>
          <w:rFonts w:ascii="Arial" w:hAnsi="Arial" w:cs="Arial"/>
        </w:rPr>
      </w:pPr>
      <w:r w:rsidRPr="009C74A6">
        <w:rPr>
          <w:rFonts w:ascii="Arial" w:hAnsi="Arial" w:cs="Arial"/>
        </w:rPr>
        <w:t>El objetivo es que estos sectores con redes distribuidoras en condiciones óptimas con medición del agua que ingresa al sector y del agua que se consume dentro del mismo permitirá alcanzar ratios de dotación de agua eficientes -se considera óptimo una dotación de 350 litros/hab/día- y en consecuencia que el agua no demandada por estas áreas queden disponibles en el sistema de macrotransporte para ser ofertadas en los nuevos servicios o zonas con demandas insatisfechas.</w:t>
      </w:r>
    </w:p>
    <w:p w14:paraId="7D923F07" w14:textId="0AE2D1A9" w:rsidR="00AD22A8" w:rsidRPr="009C74A6" w:rsidRDefault="00AD22A8" w:rsidP="0017709A">
      <w:pPr>
        <w:rPr>
          <w:rFonts w:ascii="Arial" w:hAnsi="Arial" w:cs="Arial"/>
        </w:rPr>
      </w:pPr>
      <w:r w:rsidRPr="009C74A6">
        <w:rPr>
          <w:rFonts w:ascii="Arial" w:hAnsi="Arial" w:cs="Arial"/>
        </w:rPr>
        <w:t>En resumen, la propuesta actual consiste básicamente en disminuir las pérdidas físicas</w:t>
      </w:r>
      <w:r w:rsidR="000D46E6" w:rsidRPr="009C74A6">
        <w:rPr>
          <w:rFonts w:ascii="Arial" w:hAnsi="Arial" w:cs="Arial"/>
        </w:rPr>
        <w:t xml:space="preserve"> y comerciales e</w:t>
      </w:r>
      <w:r w:rsidRPr="009C74A6">
        <w:rPr>
          <w:rFonts w:ascii="Arial" w:hAnsi="Arial" w:cs="Arial"/>
        </w:rPr>
        <w:t>n la red servida actualmente, a través del control de presiones y sectorización de las redes, así como mediante la reducción de consumo por eliminación de derroches en usuarios que históricamente han tenido el servicio sin ningún tipo de restricción o control a través de la micromedición.</w:t>
      </w:r>
    </w:p>
    <w:p w14:paraId="185CEF7F" w14:textId="77777777" w:rsidR="00C84310" w:rsidRPr="009C74A6" w:rsidRDefault="00C84310" w:rsidP="0017709A">
      <w:pPr>
        <w:rPr>
          <w:rFonts w:ascii="Arial" w:hAnsi="Arial" w:cs="Arial"/>
        </w:rPr>
      </w:pPr>
    </w:p>
    <w:p w14:paraId="405C89E4" w14:textId="77777777" w:rsidR="00C84310" w:rsidRPr="009C74A6" w:rsidRDefault="00C84310" w:rsidP="0017709A">
      <w:pPr>
        <w:rPr>
          <w:rFonts w:ascii="Arial" w:hAnsi="Arial" w:cs="Arial"/>
        </w:rPr>
      </w:pPr>
    </w:p>
    <w:p w14:paraId="48447878" w14:textId="77777777" w:rsidR="003B1C14" w:rsidRPr="009C74A6" w:rsidRDefault="003B1C14" w:rsidP="002B0107">
      <w:pPr>
        <w:pStyle w:val="Heading2"/>
        <w:numPr>
          <w:ilvl w:val="0"/>
          <w:numId w:val="41"/>
        </w:numPr>
      </w:pPr>
      <w:bookmarkStart w:id="94" w:name="_Toc485200084"/>
      <w:r w:rsidRPr="009C74A6">
        <w:lastRenderedPageBreak/>
        <w:t>Detalle de las obras incluidas en financiamiento.</w:t>
      </w:r>
      <w:bookmarkEnd w:id="94"/>
    </w:p>
    <w:p w14:paraId="636618C3" w14:textId="2D66665A" w:rsidR="00353B91" w:rsidRPr="009C74A6" w:rsidRDefault="00B06177" w:rsidP="00353B91">
      <w:pPr>
        <w:rPr>
          <w:rFonts w:ascii="Arial" w:hAnsi="Arial" w:cs="Arial"/>
        </w:rPr>
      </w:pPr>
      <w:r w:rsidRPr="009C74A6">
        <w:rPr>
          <w:rFonts w:ascii="Arial" w:hAnsi="Arial" w:cs="Arial"/>
        </w:rPr>
        <w:t xml:space="preserve">Las obras incluidas en </w:t>
      </w:r>
      <w:r w:rsidR="00FA38ED" w:rsidRPr="009C74A6">
        <w:rPr>
          <w:rFonts w:ascii="Arial" w:hAnsi="Arial" w:cs="Arial"/>
        </w:rPr>
        <w:t>el programa</w:t>
      </w:r>
      <w:r w:rsidRPr="009C74A6">
        <w:rPr>
          <w:rFonts w:ascii="Arial" w:hAnsi="Arial" w:cs="Arial"/>
        </w:rPr>
        <w:t xml:space="preserve"> son las siguientes:</w:t>
      </w:r>
    </w:p>
    <w:p w14:paraId="5ED0DCCF" w14:textId="0D9DA93A" w:rsidR="00353B91" w:rsidRPr="009C74A6" w:rsidRDefault="00A24D9F" w:rsidP="00C4100D">
      <w:pPr>
        <w:pStyle w:val="ListParagraph"/>
        <w:numPr>
          <w:ilvl w:val="0"/>
          <w:numId w:val="8"/>
        </w:numPr>
        <w:rPr>
          <w:rFonts w:ascii="Arial" w:hAnsi="Arial" w:cs="Arial"/>
        </w:rPr>
      </w:pPr>
      <w:r w:rsidRPr="009C74A6">
        <w:rPr>
          <w:rFonts w:ascii="Arial" w:hAnsi="Arial" w:cs="Arial"/>
        </w:rPr>
        <w:t>Adquisición e instalación de 16.174 micromedidores velocimétricos</w:t>
      </w:r>
      <w:r w:rsidR="00353B91" w:rsidRPr="009C74A6">
        <w:rPr>
          <w:rFonts w:ascii="Arial" w:hAnsi="Arial" w:cs="Arial"/>
        </w:rPr>
        <w:t>.</w:t>
      </w:r>
    </w:p>
    <w:p w14:paraId="69DCEDE3" w14:textId="77777777" w:rsidR="00B06177" w:rsidRPr="009C74A6" w:rsidRDefault="00B06177" w:rsidP="00B06177">
      <w:pPr>
        <w:pStyle w:val="ListParagraph"/>
        <w:rPr>
          <w:rFonts w:ascii="Arial" w:hAnsi="Arial" w:cs="Arial"/>
        </w:rPr>
      </w:pPr>
    </w:p>
    <w:p w14:paraId="5B9F059D" w14:textId="0D82282E" w:rsidR="00B06177" w:rsidRPr="009C74A6" w:rsidRDefault="00A24D9F" w:rsidP="00C4100D">
      <w:pPr>
        <w:pStyle w:val="ListParagraph"/>
        <w:numPr>
          <w:ilvl w:val="0"/>
          <w:numId w:val="8"/>
        </w:numPr>
        <w:rPr>
          <w:rFonts w:ascii="Arial" w:hAnsi="Arial" w:cs="Arial"/>
        </w:rPr>
      </w:pPr>
      <w:r w:rsidRPr="009C74A6">
        <w:rPr>
          <w:rFonts w:ascii="Arial" w:hAnsi="Arial" w:cs="Arial"/>
        </w:rPr>
        <w:t>Cierre hidráulico de cabeceras y provisión e instalación de 12 macromedidores.</w:t>
      </w:r>
    </w:p>
    <w:p w14:paraId="009D8AC8" w14:textId="77777777" w:rsidR="00B06177" w:rsidRPr="009C74A6" w:rsidRDefault="00B06177" w:rsidP="00B06177">
      <w:pPr>
        <w:pStyle w:val="ListParagraph"/>
        <w:rPr>
          <w:rFonts w:ascii="Arial" w:hAnsi="Arial" w:cs="Arial"/>
        </w:rPr>
      </w:pPr>
    </w:p>
    <w:p w14:paraId="4B21600D" w14:textId="5FAD3DBC" w:rsidR="00353B91" w:rsidRPr="009C74A6" w:rsidRDefault="00A24D9F" w:rsidP="00C4100D">
      <w:pPr>
        <w:pStyle w:val="ListParagraph"/>
        <w:numPr>
          <w:ilvl w:val="0"/>
          <w:numId w:val="8"/>
        </w:numPr>
        <w:rPr>
          <w:rFonts w:ascii="Arial" w:hAnsi="Arial" w:cs="Arial"/>
        </w:rPr>
      </w:pPr>
      <w:r w:rsidRPr="009C74A6">
        <w:rPr>
          <w:rFonts w:ascii="Arial" w:hAnsi="Arial" w:cs="Arial"/>
        </w:rPr>
        <w:t>Provisión e instalación de 20 equipos controladores de presión con vinculación a válvulas reguladoras.</w:t>
      </w:r>
    </w:p>
    <w:p w14:paraId="4E492035" w14:textId="650E9614" w:rsidR="00B06177" w:rsidRPr="009C74A6" w:rsidRDefault="005F4D0E" w:rsidP="00353B91">
      <w:pPr>
        <w:rPr>
          <w:rFonts w:ascii="Arial" w:hAnsi="Arial" w:cs="Arial"/>
        </w:rPr>
      </w:pPr>
      <w:r w:rsidRPr="009C74A6">
        <w:rPr>
          <w:rFonts w:ascii="Arial" w:hAnsi="Arial" w:cs="Arial"/>
        </w:rPr>
        <w:t>La tabla siguiente resume las obras incluidas en la operaci</w:t>
      </w:r>
      <w:r w:rsidR="00A24D9F" w:rsidRPr="009C74A6">
        <w:rPr>
          <w:rFonts w:ascii="Arial" w:hAnsi="Arial" w:cs="Arial"/>
        </w:rPr>
        <w:t>ón</w:t>
      </w:r>
      <w:r w:rsidR="007F5FE6" w:rsidRPr="009C74A6">
        <w:rPr>
          <w:rFonts w:ascii="Arial" w:hAnsi="Arial" w:cs="Arial"/>
        </w:rPr>
        <w:t xml:space="preserve">. </w:t>
      </w:r>
    </w:p>
    <w:p w14:paraId="3922D6DB" w14:textId="77777777" w:rsidR="00C84310" w:rsidRPr="009C74A6" w:rsidRDefault="00C84310" w:rsidP="00353B91">
      <w:pPr>
        <w:rPr>
          <w:rFonts w:ascii="Arial" w:hAnsi="Arial" w:cs="Arial"/>
        </w:rPr>
      </w:pPr>
    </w:p>
    <w:p w14:paraId="1DCFCAD8" w14:textId="50C22158" w:rsidR="005F4D0E" w:rsidRPr="009C74A6" w:rsidRDefault="005F4D0E" w:rsidP="004F131E">
      <w:pPr>
        <w:pStyle w:val="Caption"/>
        <w:rPr>
          <w:rFonts w:ascii="Arial" w:hAnsi="Arial" w:cs="Arial"/>
          <w:szCs w:val="22"/>
        </w:rPr>
      </w:pPr>
      <w:r w:rsidRPr="009C74A6">
        <w:rPr>
          <w:rFonts w:ascii="Arial" w:hAnsi="Arial" w:cs="Arial"/>
          <w:szCs w:val="22"/>
        </w:rPr>
        <w:t xml:space="preserve">Tabla </w:t>
      </w:r>
      <w:r w:rsidR="00FA38ED" w:rsidRPr="009C74A6">
        <w:rPr>
          <w:rFonts w:ascii="Arial" w:hAnsi="Arial" w:cs="Arial"/>
          <w:szCs w:val="22"/>
        </w:rPr>
        <w:t>III-</w:t>
      </w:r>
      <w:r w:rsidR="000B2DBC" w:rsidRPr="009C74A6">
        <w:rPr>
          <w:rFonts w:ascii="Arial" w:hAnsi="Arial" w:cs="Arial"/>
          <w:szCs w:val="22"/>
        </w:rPr>
        <w:fldChar w:fldCharType="begin"/>
      </w:r>
      <w:r w:rsidR="000B2DBC" w:rsidRPr="009C74A6">
        <w:rPr>
          <w:rFonts w:ascii="Arial" w:hAnsi="Arial" w:cs="Arial"/>
          <w:szCs w:val="22"/>
        </w:rPr>
        <w:instrText xml:space="preserve"> SEQ Tabla \* ARABIC </w:instrText>
      </w:r>
      <w:r w:rsidR="000B2DBC" w:rsidRPr="009C74A6">
        <w:rPr>
          <w:rFonts w:ascii="Arial" w:hAnsi="Arial" w:cs="Arial"/>
          <w:szCs w:val="22"/>
        </w:rPr>
        <w:fldChar w:fldCharType="separate"/>
      </w:r>
      <w:r w:rsidR="009F66B5" w:rsidRPr="009C74A6">
        <w:rPr>
          <w:rFonts w:ascii="Arial" w:hAnsi="Arial" w:cs="Arial"/>
          <w:noProof/>
          <w:szCs w:val="22"/>
        </w:rPr>
        <w:t>17</w:t>
      </w:r>
      <w:r w:rsidR="000B2DBC" w:rsidRPr="009C74A6">
        <w:rPr>
          <w:rFonts w:ascii="Arial" w:hAnsi="Arial" w:cs="Arial"/>
          <w:noProof/>
          <w:szCs w:val="22"/>
        </w:rPr>
        <w:fldChar w:fldCharType="end"/>
      </w:r>
      <w:r w:rsidRPr="009C74A6">
        <w:rPr>
          <w:rFonts w:ascii="Arial" w:hAnsi="Arial" w:cs="Arial"/>
          <w:szCs w:val="22"/>
        </w:rPr>
        <w:t>: Detalle de obras incluidas en financiamiento BID.</w:t>
      </w:r>
    </w:p>
    <w:p w14:paraId="7EF8D7AC" w14:textId="1F895178" w:rsidR="005F4D0E" w:rsidRPr="009C74A6" w:rsidRDefault="00B01548" w:rsidP="00353B91">
      <w:pPr>
        <w:rPr>
          <w:rFonts w:ascii="Arial" w:hAnsi="Arial" w:cs="Arial"/>
        </w:rPr>
      </w:pPr>
      <w:r w:rsidRPr="009C74A6">
        <w:rPr>
          <w:rFonts w:ascii="Arial" w:hAnsi="Arial" w:cs="Arial"/>
          <w:noProof/>
          <w:lang w:eastAsia="es-AR"/>
        </w:rPr>
        <w:drawing>
          <wp:inline distT="0" distB="0" distL="0" distR="0" wp14:anchorId="30295034" wp14:editId="448AE53E">
            <wp:extent cx="5400675" cy="3266087"/>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00675" cy="3266087"/>
                    </a:xfrm>
                    <a:prstGeom prst="rect">
                      <a:avLst/>
                    </a:prstGeom>
                    <a:noFill/>
                    <a:ln>
                      <a:noFill/>
                    </a:ln>
                  </pic:spPr>
                </pic:pic>
              </a:graphicData>
            </a:graphic>
          </wp:inline>
        </w:drawing>
      </w:r>
    </w:p>
    <w:p w14:paraId="21D0E7A1" w14:textId="77777777" w:rsidR="00C84310" w:rsidRPr="009C74A6" w:rsidRDefault="00C84310" w:rsidP="00C84310">
      <w:pPr>
        <w:rPr>
          <w:rFonts w:ascii="Arial" w:hAnsi="Arial" w:cs="Arial"/>
        </w:rPr>
      </w:pPr>
    </w:p>
    <w:p w14:paraId="12DE9C73" w14:textId="7C299CF2" w:rsidR="00C84310" w:rsidRPr="009C74A6" w:rsidRDefault="00C84310" w:rsidP="00C84310">
      <w:pPr>
        <w:rPr>
          <w:rFonts w:ascii="Arial" w:hAnsi="Arial" w:cs="Arial"/>
        </w:rPr>
      </w:pPr>
      <w:r w:rsidRPr="009C74A6">
        <w:rPr>
          <w:rFonts w:ascii="Arial" w:hAnsi="Arial" w:cs="Arial"/>
        </w:rPr>
        <w:t xml:space="preserve">A </w:t>
      </w:r>
      <w:r w:rsidR="00CF1091" w:rsidRPr="009C74A6">
        <w:rPr>
          <w:rFonts w:ascii="Arial" w:hAnsi="Arial" w:cs="Arial"/>
        </w:rPr>
        <w:t>continuación,</w:t>
      </w:r>
      <w:r w:rsidRPr="009C74A6">
        <w:rPr>
          <w:rFonts w:ascii="Arial" w:hAnsi="Arial" w:cs="Arial"/>
        </w:rPr>
        <w:t xml:space="preserve"> se presenta detalle de las áreas seleccionadas para instalación de micromedidores. Estas áreas ya cuentan con servicio y fueron renovadas con anteriores </w:t>
      </w:r>
      <w:r w:rsidR="00FA38ED" w:rsidRPr="009C74A6">
        <w:rPr>
          <w:rFonts w:ascii="Arial" w:hAnsi="Arial" w:cs="Arial"/>
        </w:rPr>
        <w:t>operaciones del Banco con AySA</w:t>
      </w:r>
      <w:r w:rsidRPr="009C74A6">
        <w:rPr>
          <w:rFonts w:ascii="Arial" w:hAnsi="Arial" w:cs="Arial"/>
        </w:rPr>
        <w:t xml:space="preserve">, con lo cual no hay obras de redes a ejecutar vinculadas a la micromedición. </w:t>
      </w:r>
    </w:p>
    <w:p w14:paraId="6652D13F" w14:textId="77777777" w:rsidR="00C84310" w:rsidRPr="009C74A6" w:rsidRDefault="00C84310" w:rsidP="00C84310">
      <w:pPr>
        <w:rPr>
          <w:rFonts w:ascii="Arial" w:hAnsi="Arial" w:cs="Arial"/>
        </w:rPr>
      </w:pPr>
    </w:p>
    <w:p w14:paraId="12323BDA" w14:textId="77777777" w:rsidR="00C84310" w:rsidRPr="009C74A6" w:rsidRDefault="00C84310" w:rsidP="00C84310">
      <w:pPr>
        <w:rPr>
          <w:rFonts w:ascii="Arial" w:hAnsi="Arial" w:cs="Arial"/>
        </w:rPr>
      </w:pPr>
    </w:p>
    <w:p w14:paraId="2C2EC521" w14:textId="77777777" w:rsidR="00C84310" w:rsidRPr="009C74A6" w:rsidRDefault="00C84310" w:rsidP="00C84310">
      <w:pPr>
        <w:rPr>
          <w:rFonts w:ascii="Arial" w:hAnsi="Arial" w:cs="Arial"/>
        </w:rPr>
      </w:pPr>
    </w:p>
    <w:p w14:paraId="194D5FE7" w14:textId="77777777" w:rsidR="00C84310" w:rsidRPr="009C74A6" w:rsidRDefault="00C84310" w:rsidP="00C84310">
      <w:pPr>
        <w:rPr>
          <w:rFonts w:ascii="Arial" w:hAnsi="Arial" w:cs="Arial"/>
        </w:rPr>
      </w:pPr>
    </w:p>
    <w:p w14:paraId="4864DD63" w14:textId="6376EA92" w:rsidR="00CF1091" w:rsidRDefault="00CF1091">
      <w:pPr>
        <w:jc w:val="left"/>
        <w:rPr>
          <w:rFonts w:ascii="Arial" w:hAnsi="Arial" w:cs="Arial"/>
        </w:rPr>
      </w:pPr>
      <w:r>
        <w:rPr>
          <w:rFonts w:ascii="Arial" w:hAnsi="Arial" w:cs="Arial"/>
        </w:rPr>
        <w:br w:type="page"/>
      </w:r>
    </w:p>
    <w:p w14:paraId="6411CA37" w14:textId="46515ADD" w:rsidR="00C84310" w:rsidRPr="009C74A6" w:rsidRDefault="00CF1091" w:rsidP="00C84310">
      <w:pPr>
        <w:rPr>
          <w:rFonts w:ascii="Arial" w:hAnsi="Arial" w:cs="Arial"/>
        </w:rPr>
      </w:pPr>
      <w:r w:rsidRPr="00CF1091">
        <w:rPr>
          <w:rFonts w:ascii="Arial" w:hAnsi="Arial" w:cs="Arial"/>
          <w:b/>
        </w:rPr>
        <w:lastRenderedPageBreak/>
        <w:t>Figura III-3: áreas seleccionadas para instalación de micromedidores</w:t>
      </w:r>
      <w:r w:rsidRPr="009C74A6">
        <w:rPr>
          <w:rFonts w:ascii="Arial" w:hAnsi="Arial" w:cs="Arial"/>
        </w:rPr>
        <w:t>.</w:t>
      </w:r>
    </w:p>
    <w:p w14:paraId="09EEA586" w14:textId="77777777" w:rsidR="00C84310" w:rsidRPr="009C74A6" w:rsidRDefault="00C84310" w:rsidP="00C84310">
      <w:pPr>
        <w:rPr>
          <w:rFonts w:ascii="Arial" w:hAnsi="Arial" w:cs="Arial"/>
        </w:rPr>
      </w:pPr>
      <w:r w:rsidRPr="009C74A6">
        <w:rPr>
          <w:rFonts w:ascii="Arial" w:hAnsi="Arial" w:cs="Arial"/>
        </w:rPr>
        <w:t>FLO-DMA001 – Pliego “Liniers 1”</w:t>
      </w:r>
    </w:p>
    <w:p w14:paraId="2350AD78" w14:textId="77777777" w:rsidR="00C84310" w:rsidRPr="009C74A6" w:rsidRDefault="00C84310" w:rsidP="00C84310">
      <w:pPr>
        <w:rPr>
          <w:rFonts w:ascii="Arial" w:hAnsi="Arial" w:cs="Arial"/>
        </w:rPr>
      </w:pPr>
      <w:r w:rsidRPr="009C74A6">
        <w:rPr>
          <w:rFonts w:ascii="Arial" w:hAnsi="Arial" w:cs="Arial"/>
        </w:rPr>
        <w:t xml:space="preserve">Cantidad de micromedidores a instalar: </w:t>
      </w:r>
      <w:r w:rsidRPr="009C74A6">
        <w:rPr>
          <w:rFonts w:ascii="Arial" w:hAnsi="Arial" w:cs="Arial"/>
          <w:b/>
          <w:bCs/>
        </w:rPr>
        <w:t>1957</w:t>
      </w:r>
    </w:p>
    <w:p w14:paraId="691B9960" w14:textId="77777777" w:rsidR="00C84310" w:rsidRPr="009C74A6" w:rsidRDefault="00C84310" w:rsidP="00C84310">
      <w:pPr>
        <w:rPr>
          <w:rFonts w:ascii="Arial" w:hAnsi="Arial" w:cs="Arial"/>
          <w:lang w:eastAsia="es-AR"/>
        </w:rPr>
      </w:pPr>
      <w:r w:rsidRPr="009C74A6">
        <w:rPr>
          <w:rFonts w:ascii="Arial" w:hAnsi="Arial" w:cs="Arial"/>
          <w:noProof/>
          <w:lang w:eastAsia="es-AR"/>
        </w:rPr>
        <w:drawing>
          <wp:inline distT="0" distB="0" distL="0" distR="0" wp14:anchorId="3930F706" wp14:editId="26817DA5">
            <wp:extent cx="3988435" cy="2524760"/>
            <wp:effectExtent l="19050" t="0" r="0" b="0"/>
            <wp:docPr id="8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srcRect/>
                    <a:stretch>
                      <a:fillRect/>
                    </a:stretch>
                  </pic:blipFill>
                  <pic:spPr bwMode="auto">
                    <a:xfrm>
                      <a:off x="0" y="0"/>
                      <a:ext cx="3988435" cy="2524760"/>
                    </a:xfrm>
                    <a:prstGeom prst="rect">
                      <a:avLst/>
                    </a:prstGeom>
                    <a:noFill/>
                  </pic:spPr>
                </pic:pic>
              </a:graphicData>
            </a:graphic>
          </wp:inline>
        </w:drawing>
      </w:r>
      <w:r w:rsidRPr="009C74A6">
        <w:rPr>
          <w:rFonts w:ascii="Arial" w:hAnsi="Arial" w:cs="Arial"/>
          <w:lang w:eastAsia="es-AR"/>
        </w:rPr>
        <w:t xml:space="preserve"> </w:t>
      </w:r>
    </w:p>
    <w:p w14:paraId="62D7EE56" w14:textId="77777777" w:rsidR="00C84310" w:rsidRPr="009C74A6" w:rsidRDefault="00C84310" w:rsidP="00C84310">
      <w:pPr>
        <w:rPr>
          <w:rFonts w:ascii="Arial" w:hAnsi="Arial" w:cs="Arial"/>
        </w:rPr>
      </w:pPr>
    </w:p>
    <w:p w14:paraId="608DE8D8" w14:textId="77777777" w:rsidR="00C84310" w:rsidRPr="009C74A6" w:rsidRDefault="00C84310" w:rsidP="00C84310">
      <w:pPr>
        <w:rPr>
          <w:rFonts w:ascii="Arial" w:hAnsi="Arial" w:cs="Arial"/>
        </w:rPr>
      </w:pPr>
    </w:p>
    <w:p w14:paraId="10DF39C1" w14:textId="77777777" w:rsidR="00C84310" w:rsidRPr="009C74A6" w:rsidRDefault="00C84310" w:rsidP="00C84310">
      <w:pPr>
        <w:rPr>
          <w:rFonts w:ascii="Arial" w:hAnsi="Arial" w:cs="Arial"/>
          <w:lang w:eastAsia="es-AR"/>
        </w:rPr>
      </w:pPr>
      <w:r w:rsidRPr="009C74A6">
        <w:rPr>
          <w:rFonts w:ascii="Arial" w:hAnsi="Arial" w:cs="Arial"/>
        </w:rPr>
        <w:t>SFE-DMA001 – Pliego “San Fernando”</w:t>
      </w:r>
      <w:r w:rsidRPr="009C74A6">
        <w:rPr>
          <w:rFonts w:ascii="Arial" w:hAnsi="Arial" w:cs="Arial"/>
          <w:lang w:eastAsia="es-AR"/>
        </w:rPr>
        <w:t xml:space="preserve"> </w:t>
      </w:r>
    </w:p>
    <w:p w14:paraId="5EB752CA" w14:textId="77777777" w:rsidR="00C84310" w:rsidRPr="009C74A6" w:rsidRDefault="00C84310" w:rsidP="00C84310">
      <w:pPr>
        <w:rPr>
          <w:rFonts w:ascii="Arial" w:hAnsi="Arial" w:cs="Arial"/>
          <w:b/>
          <w:bCs/>
        </w:rPr>
      </w:pPr>
      <w:r w:rsidRPr="009C74A6">
        <w:rPr>
          <w:rFonts w:ascii="Arial" w:hAnsi="Arial" w:cs="Arial"/>
        </w:rPr>
        <w:t xml:space="preserve">Cantidad de micromedidores a instalar: </w:t>
      </w:r>
      <w:r w:rsidRPr="009C74A6">
        <w:rPr>
          <w:rFonts w:ascii="Arial" w:hAnsi="Arial" w:cs="Arial"/>
          <w:b/>
          <w:bCs/>
        </w:rPr>
        <w:t>1303</w:t>
      </w:r>
    </w:p>
    <w:p w14:paraId="39EFF9A2" w14:textId="77777777" w:rsidR="00C84310" w:rsidRPr="009C74A6" w:rsidRDefault="00C84310" w:rsidP="00C84310">
      <w:pPr>
        <w:rPr>
          <w:rFonts w:ascii="Arial" w:hAnsi="Arial" w:cs="Arial"/>
        </w:rPr>
      </w:pPr>
      <w:r w:rsidRPr="009C74A6">
        <w:rPr>
          <w:rFonts w:ascii="Arial" w:hAnsi="Arial" w:cs="Arial"/>
          <w:noProof/>
          <w:lang w:eastAsia="es-AR"/>
        </w:rPr>
        <w:drawing>
          <wp:inline distT="0" distB="0" distL="0" distR="0" wp14:anchorId="50BDDBF6" wp14:editId="1EAC4EFA">
            <wp:extent cx="4763770" cy="2671445"/>
            <wp:effectExtent l="19050" t="0" r="0" b="0"/>
            <wp:docPr id="8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srcRect/>
                    <a:stretch>
                      <a:fillRect/>
                    </a:stretch>
                  </pic:blipFill>
                  <pic:spPr bwMode="auto">
                    <a:xfrm>
                      <a:off x="0" y="0"/>
                      <a:ext cx="4763770" cy="2671445"/>
                    </a:xfrm>
                    <a:prstGeom prst="rect">
                      <a:avLst/>
                    </a:prstGeom>
                    <a:noFill/>
                  </pic:spPr>
                </pic:pic>
              </a:graphicData>
            </a:graphic>
          </wp:inline>
        </w:drawing>
      </w:r>
    </w:p>
    <w:p w14:paraId="4648850E" w14:textId="77777777" w:rsidR="00C84310" w:rsidRPr="009C74A6" w:rsidRDefault="00C84310" w:rsidP="00C84310">
      <w:pPr>
        <w:rPr>
          <w:rFonts w:ascii="Arial" w:hAnsi="Arial" w:cs="Arial"/>
        </w:rPr>
      </w:pPr>
    </w:p>
    <w:p w14:paraId="3F2A840E" w14:textId="77777777" w:rsidR="00C84310" w:rsidRPr="009C74A6" w:rsidRDefault="00C84310" w:rsidP="00C84310">
      <w:pPr>
        <w:rPr>
          <w:rFonts w:ascii="Arial" w:hAnsi="Arial" w:cs="Arial"/>
        </w:rPr>
      </w:pPr>
    </w:p>
    <w:p w14:paraId="5D18E1E7" w14:textId="77777777" w:rsidR="00C84310" w:rsidRPr="009C74A6" w:rsidRDefault="00C84310" w:rsidP="00C84310">
      <w:pPr>
        <w:rPr>
          <w:rFonts w:ascii="Arial" w:hAnsi="Arial" w:cs="Arial"/>
        </w:rPr>
      </w:pPr>
    </w:p>
    <w:p w14:paraId="1E9F4C70" w14:textId="77777777" w:rsidR="00C84310" w:rsidRPr="009C74A6" w:rsidRDefault="00C84310" w:rsidP="00C84310">
      <w:pPr>
        <w:rPr>
          <w:rFonts w:ascii="Arial" w:hAnsi="Arial" w:cs="Arial"/>
        </w:rPr>
      </w:pPr>
    </w:p>
    <w:p w14:paraId="60441F48" w14:textId="77777777" w:rsidR="00C84310" w:rsidRPr="009C74A6" w:rsidRDefault="00C84310" w:rsidP="00C84310">
      <w:pPr>
        <w:rPr>
          <w:rFonts w:ascii="Arial" w:hAnsi="Arial" w:cs="Arial"/>
        </w:rPr>
      </w:pPr>
    </w:p>
    <w:p w14:paraId="672555AE" w14:textId="77777777" w:rsidR="00C84310" w:rsidRPr="009C74A6" w:rsidRDefault="00C84310" w:rsidP="00C84310">
      <w:pPr>
        <w:rPr>
          <w:rFonts w:ascii="Arial" w:hAnsi="Arial" w:cs="Arial"/>
        </w:rPr>
      </w:pPr>
      <w:r w:rsidRPr="009C74A6">
        <w:rPr>
          <w:rFonts w:ascii="Arial" w:hAnsi="Arial" w:cs="Arial"/>
        </w:rPr>
        <w:t>SMA-DMA001 – Pliego “Villa Maipú”</w:t>
      </w:r>
    </w:p>
    <w:p w14:paraId="1E54EE1F" w14:textId="77777777" w:rsidR="00C84310" w:rsidRPr="009C74A6" w:rsidRDefault="00C84310" w:rsidP="00C84310">
      <w:pPr>
        <w:rPr>
          <w:rFonts w:ascii="Arial" w:hAnsi="Arial" w:cs="Arial"/>
        </w:rPr>
      </w:pPr>
      <w:r w:rsidRPr="009C74A6">
        <w:rPr>
          <w:rFonts w:ascii="Arial" w:hAnsi="Arial" w:cs="Arial"/>
        </w:rPr>
        <w:t xml:space="preserve">Cantidad de micromedidores a instalar: </w:t>
      </w:r>
      <w:r w:rsidRPr="009C74A6">
        <w:rPr>
          <w:rFonts w:ascii="Arial" w:hAnsi="Arial" w:cs="Arial"/>
          <w:b/>
          <w:bCs/>
        </w:rPr>
        <w:t>2625</w:t>
      </w:r>
    </w:p>
    <w:p w14:paraId="3B3FE30B" w14:textId="77777777" w:rsidR="00C84310" w:rsidRPr="009C74A6" w:rsidRDefault="00C84310" w:rsidP="00C84310">
      <w:pPr>
        <w:rPr>
          <w:rFonts w:ascii="Arial" w:hAnsi="Arial" w:cs="Arial"/>
        </w:rPr>
      </w:pPr>
      <w:r w:rsidRPr="009C74A6">
        <w:rPr>
          <w:rFonts w:ascii="Arial" w:hAnsi="Arial" w:cs="Arial"/>
          <w:noProof/>
          <w:lang w:eastAsia="es-AR"/>
        </w:rPr>
        <w:drawing>
          <wp:inline distT="0" distB="0" distL="0" distR="0" wp14:anchorId="535E81CB" wp14:editId="6BA632B1">
            <wp:extent cx="4218305" cy="2378710"/>
            <wp:effectExtent l="19050" t="0" r="0" b="0"/>
            <wp:docPr id="8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srcRect/>
                    <a:stretch>
                      <a:fillRect/>
                    </a:stretch>
                  </pic:blipFill>
                  <pic:spPr bwMode="auto">
                    <a:xfrm>
                      <a:off x="0" y="0"/>
                      <a:ext cx="4218305" cy="2378710"/>
                    </a:xfrm>
                    <a:prstGeom prst="rect">
                      <a:avLst/>
                    </a:prstGeom>
                    <a:noFill/>
                  </pic:spPr>
                </pic:pic>
              </a:graphicData>
            </a:graphic>
          </wp:inline>
        </w:drawing>
      </w:r>
    </w:p>
    <w:p w14:paraId="1CF5F74A" w14:textId="77777777" w:rsidR="00C84310" w:rsidRPr="009C74A6" w:rsidRDefault="00C84310" w:rsidP="00C84310">
      <w:pPr>
        <w:rPr>
          <w:rFonts w:ascii="Arial" w:hAnsi="Arial" w:cs="Arial"/>
        </w:rPr>
      </w:pPr>
    </w:p>
    <w:p w14:paraId="3070E8A5" w14:textId="77777777" w:rsidR="00C84310" w:rsidRPr="009C74A6" w:rsidRDefault="00C84310" w:rsidP="00C84310">
      <w:pPr>
        <w:rPr>
          <w:rFonts w:ascii="Arial" w:hAnsi="Arial" w:cs="Arial"/>
        </w:rPr>
      </w:pPr>
    </w:p>
    <w:p w14:paraId="231C80A4" w14:textId="77777777" w:rsidR="00C84310" w:rsidRPr="009C74A6" w:rsidRDefault="00C84310" w:rsidP="00C84310">
      <w:pPr>
        <w:rPr>
          <w:rFonts w:ascii="Arial" w:hAnsi="Arial" w:cs="Arial"/>
        </w:rPr>
      </w:pPr>
      <w:r w:rsidRPr="009C74A6">
        <w:rPr>
          <w:rFonts w:ascii="Arial" w:hAnsi="Arial" w:cs="Arial"/>
        </w:rPr>
        <w:t>SMA-DMA002 – Pliego “Villa Progreso”</w:t>
      </w:r>
    </w:p>
    <w:p w14:paraId="177FD43E" w14:textId="77777777" w:rsidR="00C84310" w:rsidRPr="009C74A6" w:rsidRDefault="00C84310" w:rsidP="00C84310">
      <w:pPr>
        <w:rPr>
          <w:rFonts w:ascii="Arial" w:hAnsi="Arial" w:cs="Arial"/>
        </w:rPr>
      </w:pPr>
      <w:r w:rsidRPr="009C74A6">
        <w:rPr>
          <w:rFonts w:ascii="Arial" w:hAnsi="Arial" w:cs="Arial"/>
        </w:rPr>
        <w:t xml:space="preserve">Cantidad de micromedidores a instalar: </w:t>
      </w:r>
      <w:r w:rsidRPr="009C74A6">
        <w:rPr>
          <w:rFonts w:ascii="Arial" w:hAnsi="Arial" w:cs="Arial"/>
          <w:b/>
          <w:bCs/>
        </w:rPr>
        <w:t>1575</w:t>
      </w:r>
    </w:p>
    <w:p w14:paraId="1DFE1F00" w14:textId="77777777" w:rsidR="00C84310" w:rsidRPr="009C74A6" w:rsidRDefault="00C84310" w:rsidP="00C84310">
      <w:pPr>
        <w:rPr>
          <w:rFonts w:ascii="Arial" w:hAnsi="Arial" w:cs="Arial"/>
        </w:rPr>
      </w:pPr>
    </w:p>
    <w:p w14:paraId="38F7F9A0" w14:textId="77777777" w:rsidR="00C84310" w:rsidRPr="009C74A6" w:rsidRDefault="00C84310" w:rsidP="00C84310">
      <w:pPr>
        <w:rPr>
          <w:rFonts w:ascii="Arial" w:hAnsi="Arial" w:cs="Arial"/>
        </w:rPr>
      </w:pPr>
      <w:r w:rsidRPr="009C74A6">
        <w:rPr>
          <w:rFonts w:ascii="Arial" w:hAnsi="Arial" w:cs="Arial"/>
          <w:noProof/>
          <w:lang w:eastAsia="es-AR"/>
        </w:rPr>
        <w:drawing>
          <wp:inline distT="0" distB="0" distL="0" distR="0" wp14:anchorId="61F3AA5B" wp14:editId="5BDB6137">
            <wp:extent cx="5003165" cy="2786380"/>
            <wp:effectExtent l="19050" t="0" r="6985" b="0"/>
            <wp:docPr id="8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srcRect/>
                    <a:stretch>
                      <a:fillRect/>
                    </a:stretch>
                  </pic:blipFill>
                  <pic:spPr bwMode="auto">
                    <a:xfrm>
                      <a:off x="0" y="0"/>
                      <a:ext cx="5003165" cy="2786380"/>
                    </a:xfrm>
                    <a:prstGeom prst="rect">
                      <a:avLst/>
                    </a:prstGeom>
                    <a:noFill/>
                  </pic:spPr>
                </pic:pic>
              </a:graphicData>
            </a:graphic>
          </wp:inline>
        </w:drawing>
      </w:r>
    </w:p>
    <w:p w14:paraId="1C303290" w14:textId="77777777" w:rsidR="00C84310" w:rsidRPr="009C74A6" w:rsidRDefault="00C84310" w:rsidP="00C84310">
      <w:pPr>
        <w:rPr>
          <w:rFonts w:ascii="Arial" w:hAnsi="Arial" w:cs="Arial"/>
        </w:rPr>
      </w:pPr>
    </w:p>
    <w:p w14:paraId="7699D376" w14:textId="77777777" w:rsidR="00C84310" w:rsidRPr="009C74A6" w:rsidRDefault="00C84310" w:rsidP="00C84310">
      <w:pPr>
        <w:rPr>
          <w:rFonts w:ascii="Arial" w:hAnsi="Arial" w:cs="Arial"/>
        </w:rPr>
      </w:pPr>
    </w:p>
    <w:p w14:paraId="065247B0" w14:textId="77777777" w:rsidR="00C84310" w:rsidRPr="009C74A6" w:rsidRDefault="00C84310" w:rsidP="00C84310">
      <w:pPr>
        <w:rPr>
          <w:rFonts w:ascii="Arial" w:hAnsi="Arial" w:cs="Arial"/>
        </w:rPr>
      </w:pPr>
    </w:p>
    <w:p w14:paraId="1D94DB1E" w14:textId="77777777" w:rsidR="00C84310" w:rsidRPr="009C74A6" w:rsidRDefault="00C84310" w:rsidP="00C84310">
      <w:pPr>
        <w:rPr>
          <w:rFonts w:ascii="Arial" w:hAnsi="Arial" w:cs="Arial"/>
        </w:rPr>
      </w:pPr>
    </w:p>
    <w:p w14:paraId="00108413" w14:textId="77777777" w:rsidR="00C84310" w:rsidRPr="009C74A6" w:rsidRDefault="00C84310" w:rsidP="00C84310">
      <w:pPr>
        <w:rPr>
          <w:rFonts w:ascii="Arial" w:hAnsi="Arial" w:cs="Arial"/>
        </w:rPr>
      </w:pPr>
      <w:r w:rsidRPr="009C74A6">
        <w:rPr>
          <w:rFonts w:ascii="Arial" w:hAnsi="Arial" w:cs="Arial"/>
        </w:rPr>
        <w:lastRenderedPageBreak/>
        <w:t>MOR-DMA005 – Pliego “Morón Centro 1”</w:t>
      </w:r>
    </w:p>
    <w:p w14:paraId="14A78481" w14:textId="77777777" w:rsidR="00C84310" w:rsidRPr="009C74A6" w:rsidRDefault="00C84310" w:rsidP="00C84310">
      <w:pPr>
        <w:rPr>
          <w:rFonts w:ascii="Arial" w:hAnsi="Arial" w:cs="Arial"/>
        </w:rPr>
      </w:pPr>
      <w:r w:rsidRPr="009C74A6">
        <w:rPr>
          <w:rFonts w:ascii="Arial" w:hAnsi="Arial" w:cs="Arial"/>
        </w:rPr>
        <w:t xml:space="preserve">Cantidad de micromedidores a instalar: </w:t>
      </w:r>
      <w:r w:rsidRPr="009C74A6">
        <w:rPr>
          <w:rFonts w:ascii="Arial" w:hAnsi="Arial" w:cs="Arial"/>
          <w:b/>
          <w:bCs/>
        </w:rPr>
        <w:t>1890</w:t>
      </w:r>
    </w:p>
    <w:p w14:paraId="7992F3CC" w14:textId="77777777" w:rsidR="00C84310" w:rsidRPr="009C74A6" w:rsidRDefault="00C84310" w:rsidP="00C84310">
      <w:pPr>
        <w:rPr>
          <w:rFonts w:ascii="Arial" w:hAnsi="Arial" w:cs="Arial"/>
        </w:rPr>
      </w:pPr>
      <w:r w:rsidRPr="009C74A6">
        <w:rPr>
          <w:rFonts w:ascii="Arial" w:hAnsi="Arial" w:cs="Arial"/>
          <w:noProof/>
          <w:lang w:eastAsia="es-AR"/>
        </w:rPr>
        <w:drawing>
          <wp:inline distT="0" distB="0" distL="0" distR="0" wp14:anchorId="0A2D5400" wp14:editId="07FC2F63">
            <wp:extent cx="5149215" cy="2300605"/>
            <wp:effectExtent l="19050" t="0" r="0" b="0"/>
            <wp:docPr id="8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srcRect/>
                    <a:stretch>
                      <a:fillRect/>
                    </a:stretch>
                  </pic:blipFill>
                  <pic:spPr bwMode="auto">
                    <a:xfrm>
                      <a:off x="0" y="0"/>
                      <a:ext cx="5149215" cy="2300605"/>
                    </a:xfrm>
                    <a:prstGeom prst="rect">
                      <a:avLst/>
                    </a:prstGeom>
                    <a:noFill/>
                  </pic:spPr>
                </pic:pic>
              </a:graphicData>
            </a:graphic>
          </wp:inline>
        </w:drawing>
      </w:r>
    </w:p>
    <w:p w14:paraId="159FC3AE" w14:textId="77777777" w:rsidR="00C84310" w:rsidRPr="009C74A6" w:rsidRDefault="00C84310" w:rsidP="00C84310">
      <w:pPr>
        <w:rPr>
          <w:rFonts w:ascii="Arial" w:hAnsi="Arial" w:cs="Arial"/>
        </w:rPr>
      </w:pPr>
    </w:p>
    <w:p w14:paraId="7DCB7AFB" w14:textId="77777777" w:rsidR="00C84310" w:rsidRPr="009C74A6" w:rsidRDefault="00C84310" w:rsidP="00C84310">
      <w:pPr>
        <w:rPr>
          <w:rFonts w:ascii="Arial" w:hAnsi="Arial" w:cs="Arial"/>
        </w:rPr>
      </w:pPr>
    </w:p>
    <w:p w14:paraId="2D22A123" w14:textId="77777777" w:rsidR="00C84310" w:rsidRPr="009C74A6" w:rsidRDefault="00C84310" w:rsidP="00C84310">
      <w:pPr>
        <w:rPr>
          <w:rFonts w:ascii="Arial" w:hAnsi="Arial" w:cs="Arial"/>
        </w:rPr>
      </w:pPr>
      <w:r w:rsidRPr="009C74A6">
        <w:rPr>
          <w:rFonts w:ascii="Arial" w:hAnsi="Arial" w:cs="Arial"/>
        </w:rPr>
        <w:t>MOR-DMA006 – Pliegos “Morón Centro 2 y 3”</w:t>
      </w:r>
    </w:p>
    <w:p w14:paraId="248C74AA" w14:textId="77777777" w:rsidR="00C84310" w:rsidRPr="009C74A6" w:rsidRDefault="00C84310" w:rsidP="00C84310">
      <w:pPr>
        <w:rPr>
          <w:rFonts w:ascii="Arial" w:hAnsi="Arial" w:cs="Arial"/>
        </w:rPr>
      </w:pPr>
      <w:r w:rsidRPr="009C74A6">
        <w:rPr>
          <w:rFonts w:ascii="Arial" w:hAnsi="Arial" w:cs="Arial"/>
        </w:rPr>
        <w:t xml:space="preserve">Cantidad de micromedidores a instalar: </w:t>
      </w:r>
      <w:r w:rsidRPr="009C74A6">
        <w:rPr>
          <w:rFonts w:ascii="Arial" w:hAnsi="Arial" w:cs="Arial"/>
          <w:b/>
          <w:bCs/>
        </w:rPr>
        <w:t>2038</w:t>
      </w:r>
    </w:p>
    <w:p w14:paraId="3B645308" w14:textId="77777777" w:rsidR="00C84310" w:rsidRPr="009C74A6" w:rsidRDefault="00C84310" w:rsidP="00C84310">
      <w:pPr>
        <w:rPr>
          <w:rFonts w:ascii="Arial" w:hAnsi="Arial" w:cs="Arial"/>
        </w:rPr>
      </w:pPr>
      <w:r w:rsidRPr="009C74A6">
        <w:rPr>
          <w:rFonts w:ascii="Arial" w:hAnsi="Arial" w:cs="Arial"/>
          <w:noProof/>
          <w:lang w:eastAsia="es-AR"/>
        </w:rPr>
        <w:drawing>
          <wp:inline distT="0" distB="0" distL="0" distR="0" wp14:anchorId="70B2A2F5" wp14:editId="10228179">
            <wp:extent cx="4648835" cy="1640205"/>
            <wp:effectExtent l="0" t="0" r="0" b="0"/>
            <wp:docPr id="8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srcRect/>
                    <a:stretch>
                      <a:fillRect/>
                    </a:stretch>
                  </pic:blipFill>
                  <pic:spPr bwMode="auto">
                    <a:xfrm>
                      <a:off x="0" y="0"/>
                      <a:ext cx="4648835" cy="1640205"/>
                    </a:xfrm>
                    <a:prstGeom prst="rect">
                      <a:avLst/>
                    </a:prstGeom>
                    <a:noFill/>
                  </pic:spPr>
                </pic:pic>
              </a:graphicData>
            </a:graphic>
          </wp:inline>
        </w:drawing>
      </w:r>
    </w:p>
    <w:p w14:paraId="12D2395E" w14:textId="77777777" w:rsidR="00C84310" w:rsidRPr="009C74A6" w:rsidRDefault="00C84310" w:rsidP="00C84310">
      <w:pPr>
        <w:rPr>
          <w:rFonts w:ascii="Arial" w:hAnsi="Arial" w:cs="Arial"/>
        </w:rPr>
      </w:pPr>
    </w:p>
    <w:p w14:paraId="723536A3" w14:textId="77777777" w:rsidR="00C84310" w:rsidRPr="009C74A6" w:rsidRDefault="00C84310" w:rsidP="00FA38ED">
      <w:pPr>
        <w:keepNext/>
        <w:keepLines/>
        <w:rPr>
          <w:rFonts w:ascii="Arial" w:hAnsi="Arial" w:cs="Arial"/>
        </w:rPr>
      </w:pPr>
      <w:r w:rsidRPr="009C74A6">
        <w:rPr>
          <w:rFonts w:ascii="Arial" w:hAnsi="Arial" w:cs="Arial"/>
        </w:rPr>
        <w:lastRenderedPageBreak/>
        <w:t>TRE-DMA011 – Pliego “Villa Raffo”</w:t>
      </w:r>
    </w:p>
    <w:p w14:paraId="7E7DF589" w14:textId="77777777" w:rsidR="00C84310" w:rsidRPr="009C74A6" w:rsidRDefault="00C84310" w:rsidP="00FA38ED">
      <w:pPr>
        <w:keepNext/>
        <w:keepLines/>
        <w:rPr>
          <w:rFonts w:ascii="Arial" w:hAnsi="Arial" w:cs="Arial"/>
          <w:b/>
          <w:bCs/>
        </w:rPr>
      </w:pPr>
      <w:r w:rsidRPr="009C74A6">
        <w:rPr>
          <w:rFonts w:ascii="Arial" w:hAnsi="Arial" w:cs="Arial"/>
        </w:rPr>
        <w:t xml:space="preserve">Cantidad de micromedidores a instalar: </w:t>
      </w:r>
      <w:r w:rsidRPr="009C74A6">
        <w:rPr>
          <w:rFonts w:ascii="Arial" w:hAnsi="Arial" w:cs="Arial"/>
          <w:b/>
          <w:bCs/>
        </w:rPr>
        <w:t>1340</w:t>
      </w:r>
    </w:p>
    <w:p w14:paraId="41417F62" w14:textId="77777777" w:rsidR="00C84310" w:rsidRPr="009C74A6" w:rsidRDefault="00C84310" w:rsidP="00FA38ED">
      <w:pPr>
        <w:keepNext/>
        <w:keepLines/>
        <w:rPr>
          <w:rFonts w:ascii="Arial" w:hAnsi="Arial" w:cs="Arial"/>
        </w:rPr>
      </w:pPr>
      <w:r w:rsidRPr="009C74A6">
        <w:rPr>
          <w:rFonts w:ascii="Arial" w:hAnsi="Arial" w:cs="Arial"/>
          <w:noProof/>
          <w:lang w:eastAsia="es-AR"/>
        </w:rPr>
        <w:drawing>
          <wp:inline distT="0" distB="0" distL="0" distR="0" wp14:anchorId="16CDCB29" wp14:editId="6FF7B351">
            <wp:extent cx="4466590" cy="3037840"/>
            <wp:effectExtent l="19050" t="0" r="0" b="0"/>
            <wp:docPr id="8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srcRect/>
                    <a:stretch>
                      <a:fillRect/>
                    </a:stretch>
                  </pic:blipFill>
                  <pic:spPr bwMode="auto">
                    <a:xfrm>
                      <a:off x="0" y="0"/>
                      <a:ext cx="4466590" cy="3037840"/>
                    </a:xfrm>
                    <a:prstGeom prst="rect">
                      <a:avLst/>
                    </a:prstGeom>
                    <a:noFill/>
                  </pic:spPr>
                </pic:pic>
              </a:graphicData>
            </a:graphic>
          </wp:inline>
        </w:drawing>
      </w:r>
    </w:p>
    <w:p w14:paraId="08C09AC3" w14:textId="77777777" w:rsidR="00C84310" w:rsidRPr="009C74A6" w:rsidRDefault="00C84310" w:rsidP="00FA38ED">
      <w:pPr>
        <w:keepNext/>
        <w:keepLines/>
        <w:rPr>
          <w:rFonts w:ascii="Arial" w:hAnsi="Arial" w:cs="Arial"/>
        </w:rPr>
      </w:pPr>
    </w:p>
    <w:p w14:paraId="0239E978" w14:textId="77777777" w:rsidR="00C84310" w:rsidRPr="009C74A6" w:rsidRDefault="00C84310" w:rsidP="00C84310">
      <w:pPr>
        <w:rPr>
          <w:rFonts w:ascii="Arial" w:hAnsi="Arial" w:cs="Arial"/>
        </w:rPr>
      </w:pPr>
    </w:p>
    <w:p w14:paraId="5FFDDB3E" w14:textId="77777777" w:rsidR="00C84310" w:rsidRPr="009C74A6" w:rsidRDefault="00C84310" w:rsidP="00C84310">
      <w:pPr>
        <w:rPr>
          <w:rFonts w:ascii="Arial" w:hAnsi="Arial" w:cs="Arial"/>
        </w:rPr>
      </w:pPr>
      <w:r w:rsidRPr="009C74A6">
        <w:rPr>
          <w:rFonts w:ascii="Arial" w:hAnsi="Arial" w:cs="Arial"/>
        </w:rPr>
        <w:t>QLM-DMA004 – Pliego “Quilmes Este 1”</w:t>
      </w:r>
    </w:p>
    <w:p w14:paraId="28D0C067" w14:textId="77777777" w:rsidR="00C84310" w:rsidRPr="009C74A6" w:rsidRDefault="00C84310" w:rsidP="00C84310">
      <w:pPr>
        <w:rPr>
          <w:rFonts w:ascii="Arial" w:hAnsi="Arial" w:cs="Arial"/>
        </w:rPr>
      </w:pPr>
      <w:r w:rsidRPr="009C74A6">
        <w:rPr>
          <w:rFonts w:ascii="Arial" w:hAnsi="Arial" w:cs="Arial"/>
        </w:rPr>
        <w:t xml:space="preserve">Cantidad de micromedidores a instalar: </w:t>
      </w:r>
      <w:r w:rsidRPr="009C74A6">
        <w:rPr>
          <w:rFonts w:ascii="Arial" w:hAnsi="Arial" w:cs="Arial"/>
          <w:b/>
          <w:bCs/>
        </w:rPr>
        <w:t>2135</w:t>
      </w:r>
    </w:p>
    <w:p w14:paraId="6B71F1F4" w14:textId="77777777" w:rsidR="00C84310" w:rsidRPr="009C74A6" w:rsidRDefault="00C84310" w:rsidP="00C84310">
      <w:pPr>
        <w:rPr>
          <w:rFonts w:ascii="Arial" w:hAnsi="Arial" w:cs="Arial"/>
        </w:rPr>
      </w:pPr>
      <w:r w:rsidRPr="009C74A6">
        <w:rPr>
          <w:rFonts w:ascii="Arial" w:hAnsi="Arial" w:cs="Arial"/>
          <w:noProof/>
          <w:lang w:eastAsia="es-AR"/>
        </w:rPr>
        <w:drawing>
          <wp:inline distT="0" distB="0" distL="0" distR="0" wp14:anchorId="0CA718F3" wp14:editId="0174D2C3">
            <wp:extent cx="4947285" cy="2743200"/>
            <wp:effectExtent l="19050" t="0" r="5715" b="0"/>
            <wp:docPr id="8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a:srcRect/>
                    <a:stretch>
                      <a:fillRect/>
                    </a:stretch>
                  </pic:blipFill>
                  <pic:spPr bwMode="auto">
                    <a:xfrm>
                      <a:off x="0" y="0"/>
                      <a:ext cx="4947285" cy="2743200"/>
                    </a:xfrm>
                    <a:prstGeom prst="rect">
                      <a:avLst/>
                    </a:prstGeom>
                    <a:noFill/>
                  </pic:spPr>
                </pic:pic>
              </a:graphicData>
            </a:graphic>
          </wp:inline>
        </w:drawing>
      </w:r>
    </w:p>
    <w:p w14:paraId="0D5C02DF" w14:textId="77777777" w:rsidR="00C84310" w:rsidRPr="009C74A6" w:rsidRDefault="00C84310" w:rsidP="00C84310">
      <w:pPr>
        <w:rPr>
          <w:rFonts w:ascii="Arial" w:hAnsi="Arial" w:cs="Arial"/>
        </w:rPr>
      </w:pPr>
    </w:p>
    <w:p w14:paraId="12609784" w14:textId="77777777" w:rsidR="00C84310" w:rsidRPr="009C74A6" w:rsidRDefault="00C84310" w:rsidP="00C84310">
      <w:pPr>
        <w:rPr>
          <w:rFonts w:ascii="Arial" w:hAnsi="Arial" w:cs="Arial"/>
        </w:rPr>
      </w:pPr>
    </w:p>
    <w:p w14:paraId="1EA167AA" w14:textId="77777777" w:rsidR="00C84310" w:rsidRPr="009C74A6" w:rsidRDefault="00C84310" w:rsidP="00C84310">
      <w:pPr>
        <w:rPr>
          <w:rFonts w:ascii="Arial" w:hAnsi="Arial" w:cs="Arial"/>
        </w:rPr>
      </w:pPr>
    </w:p>
    <w:p w14:paraId="1DE6E7C6" w14:textId="77777777" w:rsidR="00C84310" w:rsidRPr="009C74A6" w:rsidRDefault="00C84310" w:rsidP="00C84310">
      <w:pPr>
        <w:rPr>
          <w:rFonts w:ascii="Arial" w:hAnsi="Arial" w:cs="Arial"/>
        </w:rPr>
      </w:pPr>
      <w:r w:rsidRPr="009C74A6">
        <w:rPr>
          <w:rFonts w:ascii="Arial" w:hAnsi="Arial" w:cs="Arial"/>
        </w:rPr>
        <w:lastRenderedPageBreak/>
        <w:t>QLM-DMA006 – Pliego “Ezpeleta”</w:t>
      </w:r>
    </w:p>
    <w:p w14:paraId="3E566AB3" w14:textId="77777777" w:rsidR="00C84310" w:rsidRPr="009C74A6" w:rsidRDefault="00C84310" w:rsidP="00C84310">
      <w:pPr>
        <w:rPr>
          <w:rFonts w:ascii="Arial" w:hAnsi="Arial" w:cs="Arial"/>
        </w:rPr>
      </w:pPr>
      <w:r w:rsidRPr="009C74A6">
        <w:rPr>
          <w:rFonts w:ascii="Arial" w:hAnsi="Arial" w:cs="Arial"/>
        </w:rPr>
        <w:t xml:space="preserve">Cantidad de micromedidores a instalar: </w:t>
      </w:r>
      <w:r w:rsidRPr="009C74A6">
        <w:rPr>
          <w:rFonts w:ascii="Arial" w:hAnsi="Arial" w:cs="Arial"/>
          <w:b/>
          <w:bCs/>
        </w:rPr>
        <w:t>805</w:t>
      </w:r>
    </w:p>
    <w:p w14:paraId="144831B7" w14:textId="77777777" w:rsidR="00C84310" w:rsidRPr="009C74A6" w:rsidRDefault="00C84310" w:rsidP="00C84310">
      <w:pPr>
        <w:rPr>
          <w:rFonts w:ascii="Arial" w:hAnsi="Arial" w:cs="Arial"/>
        </w:rPr>
      </w:pPr>
      <w:r w:rsidRPr="009C74A6">
        <w:rPr>
          <w:rFonts w:ascii="Arial" w:hAnsi="Arial" w:cs="Arial"/>
          <w:noProof/>
          <w:lang w:eastAsia="es-AR"/>
        </w:rPr>
        <w:drawing>
          <wp:inline distT="0" distB="0" distL="0" distR="0" wp14:anchorId="79C623F4" wp14:editId="415E52C9">
            <wp:extent cx="5199380" cy="2648585"/>
            <wp:effectExtent l="19050" t="0" r="1270" b="0"/>
            <wp:docPr id="8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srcRect/>
                    <a:stretch>
                      <a:fillRect/>
                    </a:stretch>
                  </pic:blipFill>
                  <pic:spPr bwMode="auto">
                    <a:xfrm>
                      <a:off x="0" y="0"/>
                      <a:ext cx="5199380" cy="2648585"/>
                    </a:xfrm>
                    <a:prstGeom prst="rect">
                      <a:avLst/>
                    </a:prstGeom>
                    <a:noFill/>
                  </pic:spPr>
                </pic:pic>
              </a:graphicData>
            </a:graphic>
          </wp:inline>
        </w:drawing>
      </w:r>
    </w:p>
    <w:p w14:paraId="30A80768" w14:textId="77777777" w:rsidR="00C84310" w:rsidRPr="009C74A6" w:rsidRDefault="00C84310" w:rsidP="00C84310">
      <w:pPr>
        <w:rPr>
          <w:rFonts w:ascii="Arial" w:hAnsi="Arial" w:cs="Arial"/>
          <w:b/>
        </w:rPr>
      </w:pPr>
      <w:r w:rsidRPr="009C74A6">
        <w:rPr>
          <w:rFonts w:ascii="Arial" w:hAnsi="Arial" w:cs="Arial"/>
        </w:rPr>
        <w:t>Cabe señalar que además de los 15.668 micromedidores indicados en los planos aquí presentados, se ha agregado una reserva de 506 micromedidores por posibles multiconexiones, con lo cual se llega a los 16.174 cuya adquisición está prevista</w:t>
      </w:r>
      <w:r w:rsidRPr="009C74A6">
        <w:rPr>
          <w:rFonts w:ascii="Arial" w:hAnsi="Arial" w:cs="Arial"/>
          <w:b/>
        </w:rPr>
        <w:t>.</w:t>
      </w:r>
    </w:p>
    <w:p w14:paraId="098B0989" w14:textId="77777777" w:rsidR="003B1C14" w:rsidRPr="009C74A6" w:rsidRDefault="003B1C14">
      <w:pPr>
        <w:jc w:val="left"/>
        <w:rPr>
          <w:rFonts w:ascii="Arial" w:hAnsi="Arial" w:cs="Arial"/>
        </w:rPr>
      </w:pPr>
      <w:r w:rsidRPr="009C74A6">
        <w:rPr>
          <w:rFonts w:ascii="Arial" w:hAnsi="Arial" w:cs="Arial"/>
        </w:rPr>
        <w:br w:type="page"/>
      </w:r>
    </w:p>
    <w:p w14:paraId="71B6D85D" w14:textId="77777777" w:rsidR="000B4894" w:rsidRPr="009C74A6" w:rsidRDefault="000B4894" w:rsidP="000B4894">
      <w:pPr>
        <w:rPr>
          <w:rFonts w:ascii="Arial" w:hAnsi="Arial" w:cs="Arial"/>
        </w:rPr>
      </w:pPr>
    </w:p>
    <w:p w14:paraId="35F97AB4" w14:textId="77777777" w:rsidR="003B1C14" w:rsidRPr="009C74A6" w:rsidRDefault="003B1C14" w:rsidP="00F5783E">
      <w:pPr>
        <w:pStyle w:val="Heading1"/>
      </w:pPr>
      <w:bookmarkStart w:id="95" w:name="_Toc485200085"/>
      <w:r w:rsidRPr="009C74A6">
        <w:t>Capítulo IV: Análisis Costo Beneficio Social (ACBS).</w:t>
      </w:r>
      <w:bookmarkEnd w:id="95"/>
    </w:p>
    <w:p w14:paraId="50F2125A" w14:textId="77777777" w:rsidR="000B4894" w:rsidRPr="009C74A6" w:rsidRDefault="000B4894" w:rsidP="000B4894">
      <w:pPr>
        <w:rPr>
          <w:rFonts w:ascii="Arial" w:hAnsi="Arial" w:cs="Arial"/>
        </w:rPr>
      </w:pPr>
    </w:p>
    <w:p w14:paraId="3EE50C21" w14:textId="3D079984" w:rsidR="003B1C14" w:rsidRPr="009C74A6" w:rsidRDefault="003B1C14" w:rsidP="002B0107">
      <w:pPr>
        <w:pStyle w:val="Heading2"/>
        <w:numPr>
          <w:ilvl w:val="0"/>
          <w:numId w:val="42"/>
        </w:numPr>
      </w:pPr>
      <w:bookmarkStart w:id="96" w:name="_Toc485200086"/>
      <w:r w:rsidRPr="009C74A6">
        <w:t>Introducción.</w:t>
      </w:r>
      <w:bookmarkEnd w:id="96"/>
    </w:p>
    <w:p w14:paraId="39482404" w14:textId="0667C1E4" w:rsidR="00E57B2F" w:rsidRPr="009C74A6" w:rsidRDefault="00E57B2F" w:rsidP="00E57B2F">
      <w:pPr>
        <w:rPr>
          <w:rFonts w:ascii="Arial" w:hAnsi="Arial" w:cs="Arial"/>
        </w:rPr>
      </w:pPr>
      <w:r w:rsidRPr="009C74A6">
        <w:rPr>
          <w:rFonts w:ascii="Arial" w:hAnsi="Arial" w:cs="Arial"/>
        </w:rPr>
        <w:t xml:space="preserve">Tal como se mencionó en el punto 3.2 del capítulo </w:t>
      </w:r>
      <w:r w:rsidR="003D273E" w:rsidRPr="009C74A6">
        <w:rPr>
          <w:rFonts w:ascii="Arial" w:hAnsi="Arial" w:cs="Arial"/>
        </w:rPr>
        <w:t>I</w:t>
      </w:r>
      <w:r w:rsidRPr="009C74A6">
        <w:rPr>
          <w:rFonts w:ascii="Arial" w:hAnsi="Arial" w:cs="Arial"/>
        </w:rPr>
        <w:t>, la metodología de evaluación adoptada es el análisis costo – beneficio social basado en una simulación realizada sobre el modelo computacional SIMOP.</w:t>
      </w:r>
    </w:p>
    <w:p w14:paraId="1F9A857F" w14:textId="77777777" w:rsidR="00E57B2F" w:rsidRPr="009C74A6" w:rsidRDefault="00E57B2F" w:rsidP="00E57B2F">
      <w:pPr>
        <w:rPr>
          <w:rFonts w:ascii="Arial" w:hAnsi="Arial" w:cs="Arial"/>
        </w:rPr>
      </w:pPr>
      <w:r w:rsidRPr="009C74A6">
        <w:rPr>
          <w:rFonts w:ascii="Arial" w:hAnsi="Arial" w:cs="Arial"/>
        </w:rPr>
        <w:t>El modelo SIMOP permite capturar los beneficios económicos derivados de las variaciones de capacidad de los sistemas de agua potable pero no considera adecuadamente los cambios en la eficiencia del prestador no asociados a variaciones de la oferta de agua.</w:t>
      </w:r>
    </w:p>
    <w:p w14:paraId="06001D07" w14:textId="77777777" w:rsidR="00E57B2F" w:rsidRPr="009C74A6" w:rsidRDefault="00E57B2F" w:rsidP="00E57B2F">
      <w:pPr>
        <w:rPr>
          <w:rFonts w:ascii="Arial" w:hAnsi="Arial" w:cs="Arial"/>
        </w:rPr>
      </w:pPr>
      <w:r w:rsidRPr="009C74A6">
        <w:rPr>
          <w:rFonts w:ascii="Arial" w:hAnsi="Arial" w:cs="Arial"/>
        </w:rPr>
        <w:t>Cabe recordar que el presente proyecto tiene dos objetivos fundamentales:</w:t>
      </w:r>
    </w:p>
    <w:p w14:paraId="4D663862" w14:textId="737DE643" w:rsidR="00E57B2F" w:rsidRPr="009C74A6" w:rsidRDefault="00E57B2F" w:rsidP="00C4100D">
      <w:pPr>
        <w:numPr>
          <w:ilvl w:val="0"/>
          <w:numId w:val="32"/>
        </w:numPr>
        <w:spacing w:before="120" w:after="120" w:line="360" w:lineRule="auto"/>
        <w:rPr>
          <w:rFonts w:ascii="Arial" w:hAnsi="Arial" w:cs="Arial"/>
        </w:rPr>
      </w:pPr>
      <w:r w:rsidRPr="009C74A6">
        <w:rPr>
          <w:rFonts w:ascii="Arial" w:hAnsi="Arial" w:cs="Arial"/>
        </w:rPr>
        <w:t xml:space="preserve">Reducción de pérdidas físicas y comerciales en el sistema de distribución a fin de recuperar </w:t>
      </w:r>
      <w:r w:rsidR="00C219C5" w:rsidRPr="009C74A6">
        <w:rPr>
          <w:rFonts w:ascii="Arial" w:hAnsi="Arial" w:cs="Arial"/>
        </w:rPr>
        <w:t>46.787</w:t>
      </w:r>
      <w:r w:rsidRPr="009C74A6">
        <w:rPr>
          <w:rFonts w:ascii="Arial" w:hAnsi="Arial" w:cs="Arial"/>
        </w:rPr>
        <w:t xml:space="preserve"> m</w:t>
      </w:r>
      <w:r w:rsidRPr="009C74A6">
        <w:rPr>
          <w:rFonts w:ascii="Arial" w:hAnsi="Arial" w:cs="Arial"/>
          <w:vertAlign w:val="superscript"/>
        </w:rPr>
        <w:t>3</w:t>
      </w:r>
      <w:r w:rsidRPr="009C74A6">
        <w:rPr>
          <w:rFonts w:ascii="Arial" w:hAnsi="Arial" w:cs="Arial"/>
        </w:rPr>
        <w:t>/día de agua potable potencialmente utilizable como oferta adicional.</w:t>
      </w:r>
    </w:p>
    <w:p w14:paraId="658DF332" w14:textId="05B4F79F" w:rsidR="00E57B2F" w:rsidRPr="009C74A6" w:rsidRDefault="00E57B2F" w:rsidP="00C4100D">
      <w:pPr>
        <w:numPr>
          <w:ilvl w:val="0"/>
          <w:numId w:val="32"/>
        </w:numPr>
        <w:spacing w:before="120" w:after="120" w:line="360" w:lineRule="auto"/>
        <w:rPr>
          <w:rFonts w:ascii="Arial" w:hAnsi="Arial" w:cs="Arial"/>
        </w:rPr>
      </w:pPr>
      <w:r w:rsidRPr="009C74A6">
        <w:rPr>
          <w:rFonts w:ascii="Arial" w:hAnsi="Arial" w:cs="Arial"/>
        </w:rPr>
        <w:t>Mejorar la eficiencia económica del sistema de distribución a partir de la reducción de costos operativos asociados a la reparación de escapes en la red distribuidora (se prevé evitar 3.391 escapes por año).</w:t>
      </w:r>
    </w:p>
    <w:p w14:paraId="11B7BF13" w14:textId="14319E9C" w:rsidR="00E57B2F" w:rsidRPr="009C74A6" w:rsidRDefault="00E57B2F" w:rsidP="00E57B2F">
      <w:pPr>
        <w:rPr>
          <w:rFonts w:ascii="Arial" w:hAnsi="Arial" w:cs="Arial"/>
        </w:rPr>
      </w:pPr>
      <w:r w:rsidRPr="009C74A6">
        <w:rPr>
          <w:rFonts w:ascii="Arial" w:hAnsi="Arial" w:cs="Arial"/>
        </w:rPr>
        <w:t>Dados estos objetivos para el proyecto propuesto, SIMOP cuantifica en términos económicos sin dificultad la utilización de la oferta adicional del punto 1, sin embargo los beneficios del punto 2 son más difíciles de cuantificar.</w:t>
      </w:r>
    </w:p>
    <w:p w14:paraId="512A03AF" w14:textId="4CF8420A" w:rsidR="00E57B2F" w:rsidRPr="009C74A6" w:rsidRDefault="00E57B2F" w:rsidP="00E57B2F">
      <w:pPr>
        <w:rPr>
          <w:rFonts w:ascii="Arial" w:hAnsi="Arial" w:cs="Arial"/>
        </w:rPr>
      </w:pPr>
      <w:r w:rsidRPr="009C74A6">
        <w:rPr>
          <w:rFonts w:ascii="Arial" w:hAnsi="Arial" w:cs="Arial"/>
        </w:rPr>
        <w:t>Respecto a este último, la mejora de eficiencia económica de la prestación (punto 2), si bien SIMOP permite computar entre los beneficios al ahorro de costos que tienen los beneficiarios que se incorporan a un nuevo sistema de agua potable, no considera los ahorros que tiene la empresa prestadora si esta enfrenta un esquema de precios regulados</w:t>
      </w:r>
      <w:r w:rsidRPr="009C74A6">
        <w:rPr>
          <w:rStyle w:val="FootnoteReference"/>
          <w:rFonts w:ascii="Arial" w:hAnsi="Arial" w:cs="Arial"/>
        </w:rPr>
        <w:footnoteReference w:id="10"/>
      </w:r>
      <w:r w:rsidRPr="009C74A6">
        <w:rPr>
          <w:rFonts w:ascii="Arial" w:hAnsi="Arial" w:cs="Arial"/>
        </w:rPr>
        <w:t xml:space="preserve"> o si la magnitud del proyecto, por ser marginal, no altera los costos medios de la empresa. </w:t>
      </w:r>
    </w:p>
    <w:p w14:paraId="53DC2ADD" w14:textId="6B0A6394" w:rsidR="00E57B2F" w:rsidRPr="009C74A6" w:rsidRDefault="00E57B2F" w:rsidP="00E57B2F">
      <w:pPr>
        <w:rPr>
          <w:rFonts w:ascii="Arial" w:hAnsi="Arial" w:cs="Arial"/>
        </w:rPr>
      </w:pPr>
      <w:r w:rsidRPr="009C74A6">
        <w:rPr>
          <w:rFonts w:ascii="Arial" w:hAnsi="Arial" w:cs="Arial"/>
        </w:rPr>
        <w:t>En este sentido SIMOP no permite cuantificar adecuadamente el ahorro de recursos asociado a la mejora de eficiencia, planteándose tres alternativas para su incorporación entre los beneficios del proyecto:</w:t>
      </w:r>
    </w:p>
    <w:p w14:paraId="40653567" w14:textId="77777777" w:rsidR="00E57B2F" w:rsidRPr="009C74A6" w:rsidRDefault="00E57B2F" w:rsidP="00C4100D">
      <w:pPr>
        <w:pStyle w:val="ListParagraph"/>
        <w:numPr>
          <w:ilvl w:val="0"/>
          <w:numId w:val="33"/>
        </w:numPr>
        <w:rPr>
          <w:rFonts w:ascii="Arial" w:hAnsi="Arial" w:cs="Arial"/>
        </w:rPr>
      </w:pPr>
      <w:r w:rsidRPr="009C74A6">
        <w:rPr>
          <w:rFonts w:ascii="Arial" w:hAnsi="Arial" w:cs="Arial"/>
        </w:rPr>
        <w:t>Simular la situación de la red y las pérdidas en caso de no realizarse el proyecto ni incurrir en los sobre costos de reparación. Esta situación implica considerar un incremento de las pérdidas creciente y por ende una disminución de la capacidad total del sistema a lo largo del tiempo.</w:t>
      </w:r>
    </w:p>
    <w:p w14:paraId="05BE9773" w14:textId="77777777" w:rsidR="00E57B2F" w:rsidRPr="009C74A6" w:rsidRDefault="00E57B2F" w:rsidP="00C4100D">
      <w:pPr>
        <w:pStyle w:val="ListParagraph"/>
        <w:numPr>
          <w:ilvl w:val="0"/>
          <w:numId w:val="33"/>
        </w:numPr>
        <w:rPr>
          <w:rFonts w:ascii="Arial" w:hAnsi="Arial" w:cs="Arial"/>
        </w:rPr>
      </w:pPr>
      <w:r w:rsidRPr="009C74A6">
        <w:rPr>
          <w:rFonts w:ascii="Arial" w:hAnsi="Arial" w:cs="Arial"/>
        </w:rPr>
        <w:lastRenderedPageBreak/>
        <w:t>Incorporar el beneficio de la mejora en la eficiencia por fuera del modelo SIMOP (sumar al VPN determinado por SIMOP sin considerar el ahorro de costos el mismo una vez finalizada la simulación).</w:t>
      </w:r>
    </w:p>
    <w:p w14:paraId="7BC4C0E2" w14:textId="797C7EDE" w:rsidR="00E57B2F" w:rsidRPr="009C74A6" w:rsidRDefault="00E57B2F" w:rsidP="00C4100D">
      <w:pPr>
        <w:pStyle w:val="ListParagraph"/>
        <w:numPr>
          <w:ilvl w:val="0"/>
          <w:numId w:val="33"/>
        </w:numPr>
        <w:rPr>
          <w:rFonts w:ascii="Arial" w:hAnsi="Arial" w:cs="Arial"/>
        </w:rPr>
      </w:pPr>
      <w:r w:rsidRPr="009C74A6">
        <w:rPr>
          <w:rFonts w:ascii="Arial" w:hAnsi="Arial" w:cs="Arial"/>
        </w:rPr>
        <w:t>Incorporar el ahorro de la empresa como beneficios asociados al proyecto y a un grupo consumidor nuevo ficticio en la correspondiente tarjeta de ahorro de recursos.</w:t>
      </w:r>
    </w:p>
    <w:p w14:paraId="4628A173" w14:textId="27BFB213" w:rsidR="00E57B2F" w:rsidRPr="009C74A6" w:rsidRDefault="00E57B2F" w:rsidP="00E57B2F">
      <w:pPr>
        <w:rPr>
          <w:rFonts w:ascii="Arial" w:hAnsi="Arial" w:cs="Arial"/>
        </w:rPr>
      </w:pPr>
      <w:r w:rsidRPr="009C74A6">
        <w:rPr>
          <w:rFonts w:ascii="Arial" w:hAnsi="Arial" w:cs="Arial"/>
        </w:rPr>
        <w:t xml:space="preserve">Dado que la solución a) requiere el desarrollo de un complejo escenario contra fáctico y de una modelización sofisticada y que la opción b) impide aprovechar adecuadamente las capacidades de análisis paramétrico de SIMOP, en la presente evaluación se ha optado por la opción c), es decir que se calculará el ahorro de costos asociado a </w:t>
      </w:r>
      <w:r w:rsidR="0046388A" w:rsidRPr="009C74A6">
        <w:rPr>
          <w:rFonts w:ascii="Arial" w:hAnsi="Arial" w:cs="Arial"/>
        </w:rPr>
        <w:t>la reducción de escapes</w:t>
      </w:r>
      <w:r w:rsidRPr="009C74A6">
        <w:rPr>
          <w:rFonts w:ascii="Arial" w:hAnsi="Arial" w:cs="Arial"/>
        </w:rPr>
        <w:t xml:space="preserve"> y se lo incorporará al modelo SIMOP como ahorros reales de un consumidor ficticio cuyo único beneficio generado sea el ahorro determinado.</w:t>
      </w:r>
    </w:p>
    <w:p w14:paraId="1FC6A2A7" w14:textId="4D3D94F1" w:rsidR="00E57B2F" w:rsidRPr="009C74A6" w:rsidRDefault="00E57B2F" w:rsidP="00E57B2F">
      <w:pPr>
        <w:rPr>
          <w:rFonts w:ascii="Arial" w:hAnsi="Arial" w:cs="Arial"/>
        </w:rPr>
      </w:pPr>
      <w:r w:rsidRPr="009C74A6">
        <w:rPr>
          <w:rFonts w:ascii="Arial" w:hAnsi="Arial" w:cs="Arial"/>
        </w:rPr>
        <w:t xml:space="preserve">En la primera parte del presente capítulo se detallan los beneficios y costos económicos </w:t>
      </w:r>
      <w:r w:rsidR="0046388A" w:rsidRPr="009C74A6">
        <w:rPr>
          <w:rFonts w:ascii="Arial" w:hAnsi="Arial" w:cs="Arial"/>
        </w:rPr>
        <w:t>asociados al proyecto</w:t>
      </w:r>
      <w:r w:rsidRPr="009C74A6">
        <w:rPr>
          <w:rFonts w:ascii="Arial" w:hAnsi="Arial" w:cs="Arial"/>
        </w:rPr>
        <w:t xml:space="preserve">. Luego se adecuan los mismos para su carga en el modelo SIMOP y se presentan los resultados de la simulación. Finalmente se realiza el análisis paramétrico </w:t>
      </w:r>
      <w:r w:rsidR="0046388A" w:rsidRPr="009C74A6">
        <w:rPr>
          <w:rFonts w:ascii="Arial" w:hAnsi="Arial" w:cs="Arial"/>
        </w:rPr>
        <w:t xml:space="preserve">y </w:t>
      </w:r>
      <w:r w:rsidRPr="009C74A6">
        <w:rPr>
          <w:rFonts w:ascii="Arial" w:hAnsi="Arial" w:cs="Arial"/>
        </w:rPr>
        <w:t>de sensibilidad a fin de verificar la robustez de los resultados obtenidos.</w:t>
      </w:r>
    </w:p>
    <w:p w14:paraId="4783B65F" w14:textId="77777777" w:rsidR="009C74A6" w:rsidRPr="009C74A6" w:rsidRDefault="009C74A6" w:rsidP="002B0107">
      <w:pPr>
        <w:pStyle w:val="Heading2"/>
        <w:numPr>
          <w:ilvl w:val="0"/>
          <w:numId w:val="42"/>
        </w:numPr>
      </w:pPr>
      <w:bookmarkStart w:id="97" w:name="_Toc453720025"/>
      <w:bookmarkStart w:id="98" w:name="_Toc485200087"/>
      <w:r w:rsidRPr="009C74A6">
        <w:t>Criterios de evaluación.</w:t>
      </w:r>
      <w:bookmarkEnd w:id="97"/>
      <w:bookmarkEnd w:id="98"/>
    </w:p>
    <w:p w14:paraId="29BD16AC" w14:textId="77777777" w:rsidR="009C74A6" w:rsidRPr="009C74A6" w:rsidRDefault="009C74A6" w:rsidP="009C74A6">
      <w:pPr>
        <w:spacing w:after="0" w:line="240" w:lineRule="auto"/>
        <w:rPr>
          <w:rFonts w:ascii="Arial" w:hAnsi="Arial" w:cs="Arial"/>
        </w:rPr>
      </w:pPr>
      <w:r w:rsidRPr="009C74A6">
        <w:rPr>
          <w:rFonts w:ascii="Arial" w:hAnsi="Arial" w:cs="Arial"/>
        </w:rPr>
        <w:t>A fin de evaluar  el proyecto se adoptaron los siguientes criterios:</w:t>
      </w:r>
    </w:p>
    <w:p w14:paraId="561B8F90" w14:textId="77777777" w:rsidR="009C74A6" w:rsidRPr="009C74A6" w:rsidRDefault="009C74A6" w:rsidP="009C74A6">
      <w:pPr>
        <w:spacing w:after="0" w:line="240" w:lineRule="auto"/>
        <w:rPr>
          <w:rFonts w:ascii="Arial" w:hAnsi="Arial" w:cs="Arial"/>
        </w:rPr>
      </w:pPr>
    </w:p>
    <w:p w14:paraId="7A5F614C" w14:textId="77777777" w:rsidR="009C74A6" w:rsidRPr="009C74A6" w:rsidRDefault="009C74A6" w:rsidP="00C4100D">
      <w:pPr>
        <w:pStyle w:val="ListParagraph"/>
        <w:numPr>
          <w:ilvl w:val="0"/>
          <w:numId w:val="44"/>
        </w:numPr>
        <w:spacing w:after="0" w:line="240" w:lineRule="auto"/>
        <w:rPr>
          <w:rFonts w:ascii="Arial" w:hAnsi="Arial" w:cs="Arial"/>
        </w:rPr>
      </w:pPr>
      <w:r w:rsidRPr="009C74A6">
        <w:rPr>
          <w:rFonts w:ascii="Arial" w:hAnsi="Arial" w:cs="Arial"/>
        </w:rPr>
        <w:t>Criterios generales:</w:t>
      </w:r>
    </w:p>
    <w:p w14:paraId="3824A695" w14:textId="77777777" w:rsidR="009C74A6" w:rsidRPr="009C74A6" w:rsidRDefault="009C74A6" w:rsidP="009C74A6">
      <w:pPr>
        <w:spacing w:after="0" w:line="240" w:lineRule="auto"/>
        <w:ind w:firstLine="709"/>
        <w:rPr>
          <w:rFonts w:ascii="Arial" w:hAnsi="Arial" w:cs="Arial"/>
        </w:rPr>
      </w:pPr>
    </w:p>
    <w:p w14:paraId="71177346" w14:textId="77777777" w:rsidR="009C74A6" w:rsidRPr="009C74A6" w:rsidRDefault="009C74A6" w:rsidP="009C74A6">
      <w:pPr>
        <w:spacing w:after="0" w:line="240" w:lineRule="auto"/>
        <w:ind w:firstLine="709"/>
        <w:rPr>
          <w:rFonts w:ascii="Arial" w:hAnsi="Arial" w:cs="Arial"/>
        </w:rPr>
      </w:pPr>
      <w:r w:rsidRPr="009C74A6">
        <w:rPr>
          <w:rFonts w:ascii="Arial" w:hAnsi="Arial" w:cs="Arial"/>
        </w:rPr>
        <w:t>Horizonte de evaluación:</w:t>
      </w:r>
      <w:r w:rsidRPr="009C74A6">
        <w:rPr>
          <w:rFonts w:ascii="Arial" w:hAnsi="Arial" w:cs="Arial"/>
        </w:rPr>
        <w:tab/>
      </w:r>
      <w:r w:rsidRPr="009C74A6">
        <w:rPr>
          <w:rFonts w:ascii="Arial" w:hAnsi="Arial" w:cs="Arial"/>
        </w:rPr>
        <w:tab/>
        <w:t>20 años.</w:t>
      </w:r>
    </w:p>
    <w:p w14:paraId="2BAE39C5" w14:textId="77777777" w:rsidR="009C74A6" w:rsidRPr="009C74A6" w:rsidRDefault="009C74A6" w:rsidP="009C74A6">
      <w:pPr>
        <w:spacing w:after="0" w:line="240" w:lineRule="auto"/>
        <w:ind w:firstLine="709"/>
        <w:rPr>
          <w:rFonts w:ascii="Arial" w:hAnsi="Arial" w:cs="Arial"/>
        </w:rPr>
      </w:pPr>
      <w:r w:rsidRPr="009C74A6">
        <w:rPr>
          <w:rFonts w:ascii="Arial" w:hAnsi="Arial" w:cs="Arial"/>
        </w:rPr>
        <w:t>Tasa social de descuento:</w:t>
      </w:r>
      <w:r w:rsidRPr="009C74A6">
        <w:rPr>
          <w:rFonts w:ascii="Arial" w:hAnsi="Arial" w:cs="Arial"/>
        </w:rPr>
        <w:tab/>
      </w:r>
      <w:r w:rsidRPr="009C74A6">
        <w:rPr>
          <w:rFonts w:ascii="Arial" w:hAnsi="Arial" w:cs="Arial"/>
        </w:rPr>
        <w:tab/>
        <w:t>12% anual real.</w:t>
      </w:r>
    </w:p>
    <w:p w14:paraId="55EAFF6D" w14:textId="77777777" w:rsidR="009C74A6" w:rsidRPr="009C74A6" w:rsidRDefault="009C74A6" w:rsidP="009C74A6">
      <w:pPr>
        <w:spacing w:after="0" w:line="240" w:lineRule="auto"/>
        <w:ind w:firstLine="709"/>
        <w:rPr>
          <w:rFonts w:ascii="Arial" w:hAnsi="Arial" w:cs="Arial"/>
        </w:rPr>
      </w:pPr>
      <w:r w:rsidRPr="009C74A6">
        <w:rPr>
          <w:rFonts w:ascii="Arial" w:hAnsi="Arial" w:cs="Arial"/>
        </w:rPr>
        <w:t>Cronograma de los desembolsos:</w:t>
      </w:r>
      <w:r w:rsidRPr="009C74A6">
        <w:rPr>
          <w:rFonts w:ascii="Arial" w:hAnsi="Arial" w:cs="Arial"/>
        </w:rPr>
        <w:tab/>
        <w:t>las obras se realizan en el primer año.</w:t>
      </w:r>
    </w:p>
    <w:p w14:paraId="3355CFAA" w14:textId="77777777" w:rsidR="009C74A6" w:rsidRPr="009C74A6" w:rsidRDefault="009C74A6" w:rsidP="009C74A6">
      <w:pPr>
        <w:spacing w:after="0" w:line="240" w:lineRule="auto"/>
        <w:ind w:firstLine="709"/>
        <w:rPr>
          <w:rFonts w:ascii="Arial" w:hAnsi="Arial" w:cs="Arial"/>
        </w:rPr>
      </w:pPr>
      <w:r w:rsidRPr="009C74A6">
        <w:rPr>
          <w:rFonts w:ascii="Arial" w:hAnsi="Arial" w:cs="Arial"/>
        </w:rPr>
        <w:t>Año de inicio de producción</w:t>
      </w:r>
      <w:r w:rsidRPr="009C74A6">
        <w:rPr>
          <w:rFonts w:ascii="Arial" w:hAnsi="Arial" w:cs="Arial"/>
        </w:rPr>
        <w:tab/>
      </w:r>
      <w:r w:rsidRPr="009C74A6">
        <w:rPr>
          <w:rFonts w:ascii="Arial" w:hAnsi="Arial" w:cs="Arial"/>
        </w:rPr>
        <w:tab/>
        <w:t>segundo año</w:t>
      </w:r>
    </w:p>
    <w:p w14:paraId="7E0C8924" w14:textId="4C01BB6E" w:rsidR="009C74A6" w:rsidRPr="009C74A6" w:rsidRDefault="009C74A6" w:rsidP="009C74A6">
      <w:pPr>
        <w:spacing w:after="0" w:line="240" w:lineRule="auto"/>
        <w:ind w:left="4320" w:hanging="3611"/>
        <w:rPr>
          <w:rFonts w:ascii="Arial" w:hAnsi="Arial" w:cs="Arial"/>
        </w:rPr>
      </w:pPr>
      <w:r w:rsidRPr="009C74A6">
        <w:rPr>
          <w:rFonts w:ascii="Arial" w:hAnsi="Arial" w:cs="Arial"/>
        </w:rPr>
        <w:t xml:space="preserve">Flujos monetarios: </w:t>
      </w:r>
      <w:r w:rsidRPr="009C74A6">
        <w:rPr>
          <w:rFonts w:ascii="Arial" w:hAnsi="Arial" w:cs="Arial"/>
        </w:rPr>
        <w:tab/>
        <w:t>La unidad monetaria utilizada es pesos de abril 2017. Los valores monetarios en pesos de distintas fechas fueron actualizados según el Índice de Variación del Salario (IVS) y el índice de variación de ingreso calculado a partir de datos de la encuesta permanente de hogares (EPH) aplicándose el tipo de cambio de AR$ 15 por US$, correspondiente a la fecha mencionada</w:t>
      </w:r>
    </w:p>
    <w:p w14:paraId="41F628DB" w14:textId="77777777" w:rsidR="009C74A6" w:rsidRPr="009C74A6" w:rsidRDefault="009C74A6" w:rsidP="009C74A6">
      <w:pPr>
        <w:spacing w:after="0" w:line="240" w:lineRule="auto"/>
        <w:rPr>
          <w:rFonts w:ascii="Arial" w:hAnsi="Arial" w:cs="Arial"/>
        </w:rPr>
      </w:pPr>
    </w:p>
    <w:p w14:paraId="1B8A404A" w14:textId="77777777" w:rsidR="009C74A6" w:rsidRPr="009C74A6" w:rsidRDefault="009C74A6" w:rsidP="00C4100D">
      <w:pPr>
        <w:pStyle w:val="ListParagraph"/>
        <w:numPr>
          <w:ilvl w:val="0"/>
          <w:numId w:val="44"/>
        </w:numPr>
        <w:spacing w:after="0" w:line="240" w:lineRule="auto"/>
        <w:rPr>
          <w:rFonts w:ascii="Arial" w:hAnsi="Arial" w:cs="Arial"/>
        </w:rPr>
      </w:pPr>
      <w:r w:rsidRPr="009C74A6">
        <w:rPr>
          <w:rFonts w:ascii="Arial" w:hAnsi="Arial" w:cs="Arial"/>
        </w:rPr>
        <w:t>Los datos referidos a la demanda que se introducen en el modelo SIMOP han sido tomados del detalle del proyecto suministrado por el equipo de ingeniería.</w:t>
      </w:r>
    </w:p>
    <w:p w14:paraId="21D10B7C" w14:textId="77777777" w:rsidR="009C74A6" w:rsidRPr="009C74A6" w:rsidRDefault="009C74A6" w:rsidP="009C74A6">
      <w:pPr>
        <w:spacing w:after="0" w:line="240" w:lineRule="auto"/>
        <w:rPr>
          <w:rFonts w:ascii="Arial" w:hAnsi="Arial" w:cs="Arial"/>
        </w:rPr>
      </w:pPr>
    </w:p>
    <w:p w14:paraId="6BB25B27" w14:textId="77777777" w:rsidR="009C74A6" w:rsidRPr="009C74A6" w:rsidRDefault="009C74A6" w:rsidP="00C4100D">
      <w:pPr>
        <w:pStyle w:val="ListParagraph"/>
        <w:numPr>
          <w:ilvl w:val="0"/>
          <w:numId w:val="44"/>
        </w:numPr>
        <w:spacing w:after="0" w:line="240" w:lineRule="auto"/>
        <w:rPr>
          <w:rFonts w:ascii="Arial" w:hAnsi="Arial" w:cs="Arial"/>
        </w:rPr>
      </w:pPr>
      <w:r w:rsidRPr="009C74A6">
        <w:rPr>
          <w:rFonts w:ascii="Arial" w:hAnsi="Arial" w:cs="Arial"/>
        </w:rPr>
        <w:t xml:space="preserve">Para la determinación de las capacidades de diseño del sistema se consideran los dos grupos consumidores Domésticos, Comerciales. Para recoger los beneficios de ganancias en eficiencia se definió un grupo ficticio utilizado para reflejar de manera separada la mejora de eficiencia en la producción de la planta (menor gasto en insumos y operaciones). Esta decisión se adoptó con el objeto de incorporar a la evaluación SIMOP la totalidad de los beneficios generados por el proyecto </w:t>
      </w:r>
    </w:p>
    <w:p w14:paraId="345FCF78" w14:textId="77777777" w:rsidR="009C74A6" w:rsidRPr="009C74A6" w:rsidRDefault="009C74A6" w:rsidP="009C74A6">
      <w:pPr>
        <w:spacing w:after="0" w:line="240" w:lineRule="auto"/>
        <w:rPr>
          <w:rFonts w:ascii="Arial" w:hAnsi="Arial" w:cs="Arial"/>
        </w:rPr>
      </w:pPr>
    </w:p>
    <w:p w14:paraId="5AA70270" w14:textId="77777777" w:rsidR="009C74A6" w:rsidRPr="009C74A6" w:rsidRDefault="009C74A6" w:rsidP="00C4100D">
      <w:pPr>
        <w:pStyle w:val="ListParagraph"/>
        <w:numPr>
          <w:ilvl w:val="0"/>
          <w:numId w:val="44"/>
        </w:numPr>
        <w:spacing w:after="0" w:line="240" w:lineRule="auto"/>
        <w:rPr>
          <w:rFonts w:ascii="Arial" w:hAnsi="Arial" w:cs="Arial"/>
        </w:rPr>
      </w:pPr>
      <w:r w:rsidRPr="009C74A6">
        <w:rPr>
          <w:rFonts w:ascii="Arial" w:hAnsi="Arial" w:cs="Arial"/>
        </w:rPr>
        <w:lastRenderedPageBreak/>
        <w:t>La demanda de los distintos grupos consumidores, (consumos iniciales y evolución de la demanda) surgen de los datos presentados en el balance de AySA.</w:t>
      </w:r>
    </w:p>
    <w:p w14:paraId="54156657" w14:textId="77777777" w:rsidR="009C74A6" w:rsidRPr="009C74A6" w:rsidRDefault="009C74A6" w:rsidP="009C74A6">
      <w:pPr>
        <w:spacing w:after="0" w:line="240" w:lineRule="auto"/>
        <w:rPr>
          <w:rFonts w:ascii="Arial" w:hAnsi="Arial" w:cs="Arial"/>
        </w:rPr>
      </w:pPr>
    </w:p>
    <w:p w14:paraId="540407C6" w14:textId="77777777" w:rsidR="009C74A6" w:rsidRPr="009C74A6" w:rsidRDefault="009C74A6" w:rsidP="00C4100D">
      <w:pPr>
        <w:pStyle w:val="ListParagraph"/>
        <w:numPr>
          <w:ilvl w:val="0"/>
          <w:numId w:val="44"/>
        </w:numPr>
        <w:spacing w:after="0" w:line="240" w:lineRule="auto"/>
        <w:rPr>
          <w:rFonts w:ascii="Arial" w:eastAsia="Calibri" w:hAnsi="Arial" w:cs="Arial"/>
        </w:rPr>
      </w:pPr>
      <w:r w:rsidRPr="009C74A6">
        <w:rPr>
          <w:rFonts w:ascii="Arial" w:eastAsia="Calibri" w:hAnsi="Arial" w:cs="Arial"/>
        </w:rPr>
        <w:t>Se han adoptado las siguientes decisiones:</w:t>
      </w:r>
    </w:p>
    <w:p w14:paraId="39AB0D8C" w14:textId="3EAD8FB6" w:rsidR="009C74A6" w:rsidRPr="009C74A6" w:rsidRDefault="009C74A6" w:rsidP="00C4100D">
      <w:pPr>
        <w:numPr>
          <w:ilvl w:val="0"/>
          <w:numId w:val="43"/>
        </w:numPr>
        <w:spacing w:after="200" w:line="276" w:lineRule="auto"/>
        <w:ind w:left="1080"/>
        <w:contextualSpacing/>
        <w:jc w:val="left"/>
        <w:rPr>
          <w:rFonts w:ascii="Arial" w:eastAsia="Calibri" w:hAnsi="Arial" w:cs="Arial"/>
        </w:rPr>
      </w:pPr>
      <w:r w:rsidRPr="009C74A6">
        <w:rPr>
          <w:rFonts w:ascii="Arial" w:eastAsia="Calibri" w:hAnsi="Arial" w:cs="Arial"/>
        </w:rPr>
        <w:t>Se circunscribió el análisis a los usuarios con demanda insatisfecha,</w:t>
      </w:r>
      <w:r w:rsidR="002824CE">
        <w:rPr>
          <w:rFonts w:ascii="Arial" w:eastAsia="Calibri" w:hAnsi="Arial" w:cs="Arial"/>
        </w:rPr>
        <w:t xml:space="preserve"> y</w:t>
      </w:r>
      <w:r w:rsidRPr="009C74A6">
        <w:rPr>
          <w:rFonts w:ascii="Arial" w:eastAsia="Calibri" w:hAnsi="Arial" w:cs="Arial"/>
        </w:rPr>
        <w:t xml:space="preserve"> </w:t>
      </w:r>
      <w:r w:rsidR="00BB5B01" w:rsidRPr="00BB5B01">
        <w:rPr>
          <w:rFonts w:ascii="Arial" w:eastAsia="Calibri" w:hAnsi="Arial" w:cs="Arial"/>
        </w:rPr>
        <w:t>se ha asumido que solamente el 30% de los usuarios con demanda insatisfecha de la región sur del área concesionada a AySA es alcanzada por las mejoras de oferta que permite el presente proyecto</w:t>
      </w:r>
      <w:r w:rsidRPr="009C74A6">
        <w:rPr>
          <w:rFonts w:ascii="Arial" w:eastAsia="Calibri" w:hAnsi="Arial" w:cs="Arial"/>
        </w:rPr>
        <w:t>).</w:t>
      </w:r>
    </w:p>
    <w:p w14:paraId="3EAD5F40" w14:textId="4FB27A91" w:rsidR="009C74A6" w:rsidRPr="009C74A6" w:rsidRDefault="002824CE" w:rsidP="00C4100D">
      <w:pPr>
        <w:numPr>
          <w:ilvl w:val="0"/>
          <w:numId w:val="43"/>
        </w:numPr>
        <w:spacing w:after="200" w:line="276" w:lineRule="auto"/>
        <w:ind w:left="1080"/>
        <w:contextualSpacing/>
        <w:jc w:val="left"/>
        <w:rPr>
          <w:rFonts w:ascii="Arial" w:eastAsia="Calibri" w:hAnsi="Arial" w:cs="Arial"/>
        </w:rPr>
      </w:pPr>
      <w:r w:rsidRPr="002824CE">
        <w:rPr>
          <w:rFonts w:ascii="Arial" w:eastAsia="Calibri" w:hAnsi="Arial" w:cs="Arial"/>
        </w:rPr>
        <w:t>Considerando la existencia concreta de la problemática de la demanda insatisfecha y su manifestación en los usuarios servidos en los extremos del sistema, se ha adoptado el supuesto simplificador y muy conservador de una demanda insatisfecha media del 2% entre los beneficiarios del proyecto. A partir de este supuesto, y considerando los consumos medios registrados en la empresa, se ha calculado la capacidad del sistema en la situación sin proyecto, incorporando al SIMOP una capacidad del sistema SIN proyecto de 60.593 m3 x 10</w:t>
      </w:r>
      <w:r w:rsidRPr="002824CE">
        <w:rPr>
          <w:rFonts w:ascii="Arial" w:eastAsia="Calibri" w:hAnsi="Arial" w:cs="Arial"/>
          <w:vertAlign w:val="superscript"/>
        </w:rPr>
        <w:t>3</w:t>
      </w:r>
      <w:r w:rsidRPr="002824CE">
        <w:rPr>
          <w:rFonts w:ascii="Arial" w:eastAsia="Calibri" w:hAnsi="Arial" w:cs="Arial"/>
        </w:rPr>
        <w:t xml:space="preserve"> anuales</w:t>
      </w:r>
      <w:r w:rsidR="009C74A6" w:rsidRPr="009C74A6">
        <w:rPr>
          <w:rFonts w:ascii="Arial" w:eastAsia="Calibri" w:hAnsi="Arial" w:cs="Arial"/>
          <w:b/>
        </w:rPr>
        <w:t>.</w:t>
      </w:r>
    </w:p>
    <w:p w14:paraId="1C2BFEE2" w14:textId="6CB73EEF" w:rsidR="009C74A6" w:rsidRPr="009C74A6" w:rsidRDefault="002824CE" w:rsidP="00C4100D">
      <w:pPr>
        <w:numPr>
          <w:ilvl w:val="0"/>
          <w:numId w:val="43"/>
        </w:numPr>
        <w:spacing w:after="200" w:line="276" w:lineRule="auto"/>
        <w:ind w:left="1080"/>
        <w:contextualSpacing/>
        <w:jc w:val="left"/>
        <w:rPr>
          <w:rFonts w:ascii="Arial" w:eastAsia="Calibri" w:hAnsi="Arial" w:cs="Arial"/>
        </w:rPr>
      </w:pPr>
      <w:r w:rsidRPr="002824CE">
        <w:rPr>
          <w:rFonts w:ascii="Arial" w:eastAsia="Calibri" w:hAnsi="Arial" w:cs="Arial"/>
        </w:rPr>
        <w:t>Adicionalmente se ha considerado que el agua ahorrada se ve expuesta a una tasa de pérdidas físicas del 28%, con lo que a partir de los 6,8 millones de m3 ahorrados transportables a los beneficiarios finalmente llegan los 4,92 millones de m3 consignados en el modelo</w:t>
      </w:r>
      <w:r w:rsidR="009C74A6" w:rsidRPr="009C74A6">
        <w:rPr>
          <w:rFonts w:ascii="Arial" w:eastAsia="Calibri" w:hAnsi="Arial" w:cs="Arial"/>
        </w:rPr>
        <w:t>.</w:t>
      </w:r>
    </w:p>
    <w:p w14:paraId="1F94CA6C" w14:textId="34563A92" w:rsidR="00340F46" w:rsidRPr="009839EB" w:rsidRDefault="009C74A6" w:rsidP="00C4100D">
      <w:pPr>
        <w:numPr>
          <w:ilvl w:val="0"/>
          <w:numId w:val="43"/>
        </w:numPr>
        <w:spacing w:after="200" w:line="276" w:lineRule="auto"/>
        <w:ind w:left="1080"/>
        <w:contextualSpacing/>
        <w:rPr>
          <w:rFonts w:ascii="Arial" w:hAnsi="Arial" w:cs="Arial"/>
        </w:rPr>
      </w:pPr>
      <w:r w:rsidRPr="009C74A6">
        <w:rPr>
          <w:rFonts w:ascii="Arial" w:eastAsia="Calibri" w:hAnsi="Arial" w:cs="Arial"/>
        </w:rPr>
        <w:t xml:space="preserve">El </w:t>
      </w:r>
      <w:r w:rsidRPr="009C74A6">
        <w:rPr>
          <w:rFonts w:ascii="Arial" w:eastAsia="Calibri" w:hAnsi="Arial" w:cs="Arial"/>
          <w:b/>
        </w:rPr>
        <w:t xml:space="preserve">destino del agua </w:t>
      </w:r>
      <w:r w:rsidR="002824CE">
        <w:rPr>
          <w:rFonts w:ascii="Arial" w:eastAsia="Calibri" w:hAnsi="Arial" w:cs="Arial"/>
          <w:b/>
        </w:rPr>
        <w:t>ahorrada o recuperada</w:t>
      </w:r>
      <w:r w:rsidRPr="009C74A6">
        <w:rPr>
          <w:rFonts w:ascii="Arial" w:eastAsia="Calibri" w:hAnsi="Arial" w:cs="Arial"/>
        </w:rPr>
        <w:t xml:space="preserve"> puede ser nuevos usuarios o demanda insatisfecha. Una vez puesta en marcha de manera completa la Planta Juan Manuel de Rosas AySA tiene previsto que una parte importante de la producción de la PGSM se destinará a nuevos usuarios, mientras tanto puede adoptarse el criterio simplificado de la evaluación económica consistente en utilizar tal capacidad para cubrir demandas insatisfechas. Alternativamente puede pensarse </w:t>
      </w:r>
      <w:r w:rsidR="002824CE" w:rsidRPr="009C74A6">
        <w:rPr>
          <w:rFonts w:ascii="Arial" w:eastAsia="Calibri" w:hAnsi="Arial" w:cs="Arial"/>
        </w:rPr>
        <w:t>que,</w:t>
      </w:r>
      <w:r w:rsidRPr="009C74A6">
        <w:rPr>
          <w:rFonts w:ascii="Arial" w:eastAsia="Calibri" w:hAnsi="Arial" w:cs="Arial"/>
        </w:rPr>
        <w:t xml:space="preserve"> si se avanzara en la expansión sin la contribución de la Planta J.M. Rosas, se incrementaría la demanda insatisfecha. De este modo, la evaluación económica ha optado por hacer el uso más directo y de menor costo de la nueva producción (o agua ahorrada) generada por los proyectos, señalándose que el beneficio generado de esta manera se entiende sensiblemente inferior</w:t>
      </w:r>
      <w:r w:rsidRPr="009C74A6">
        <w:rPr>
          <w:rFonts w:ascii="Arial" w:eastAsia="Calibri" w:hAnsi="Arial" w:cs="Arial"/>
          <w:vertAlign w:val="superscript"/>
        </w:rPr>
        <w:footnoteReference w:id="11"/>
      </w:r>
      <w:r w:rsidRPr="009C74A6">
        <w:rPr>
          <w:rFonts w:ascii="Arial" w:eastAsia="Calibri" w:hAnsi="Arial" w:cs="Arial"/>
        </w:rPr>
        <w:t xml:space="preserve"> al que podría generarse de aplicarse en la expansión del servicio</w:t>
      </w:r>
    </w:p>
    <w:p w14:paraId="6B11BEA4" w14:textId="22CB7DFC" w:rsidR="009839EB" w:rsidRDefault="009839EB" w:rsidP="009839EB">
      <w:pPr>
        <w:spacing w:after="200" w:line="276" w:lineRule="auto"/>
        <w:contextualSpacing/>
        <w:rPr>
          <w:rFonts w:ascii="Arial" w:eastAsia="Calibri" w:hAnsi="Arial" w:cs="Arial"/>
        </w:rPr>
      </w:pPr>
    </w:p>
    <w:p w14:paraId="6B1B739E" w14:textId="13271103" w:rsidR="009839EB" w:rsidRPr="009839EB" w:rsidRDefault="009839EB" w:rsidP="00C4100D">
      <w:pPr>
        <w:pStyle w:val="ListParagraph"/>
        <w:numPr>
          <w:ilvl w:val="0"/>
          <w:numId w:val="44"/>
        </w:numPr>
        <w:spacing w:after="0" w:line="240" w:lineRule="auto"/>
        <w:rPr>
          <w:rFonts w:ascii="Arial" w:hAnsi="Arial" w:cs="Arial"/>
        </w:rPr>
      </w:pPr>
      <w:r w:rsidRPr="009839EB">
        <w:rPr>
          <w:rFonts w:ascii="Arial" w:hAnsi="Arial" w:cs="Arial"/>
        </w:rPr>
        <w:t>Dado este esquema, la determinación de los ahorros debe calcularse por fuera de SIMOP. Con tal objetivo se procedió de acuerdo con los siguientes criterios:</w:t>
      </w:r>
    </w:p>
    <w:p w14:paraId="172F6ADD" w14:textId="77777777" w:rsidR="009839EB" w:rsidRPr="009839EB" w:rsidRDefault="009839EB" w:rsidP="00C4100D">
      <w:pPr>
        <w:pStyle w:val="ListParagraph"/>
        <w:numPr>
          <w:ilvl w:val="0"/>
          <w:numId w:val="47"/>
        </w:numPr>
        <w:ind w:left="1080"/>
        <w:rPr>
          <w:rFonts w:ascii="Arial" w:hAnsi="Arial" w:cs="Arial"/>
        </w:rPr>
      </w:pPr>
      <w:r w:rsidRPr="009839EB">
        <w:rPr>
          <w:rFonts w:ascii="Arial" w:hAnsi="Arial" w:cs="Arial"/>
        </w:rPr>
        <w:t>Se evaluó la evolución de las intervenciones sobre cañería distribuidora antes y después de la aplicación de regulaciones de presión.</w:t>
      </w:r>
    </w:p>
    <w:p w14:paraId="11235A82" w14:textId="77777777" w:rsidR="009839EB" w:rsidRPr="009839EB" w:rsidRDefault="009839EB" w:rsidP="00C4100D">
      <w:pPr>
        <w:pStyle w:val="ListParagraph"/>
        <w:numPr>
          <w:ilvl w:val="0"/>
          <w:numId w:val="47"/>
        </w:numPr>
        <w:ind w:left="1080"/>
        <w:rPr>
          <w:rFonts w:ascii="Arial" w:hAnsi="Arial" w:cs="Arial"/>
        </w:rPr>
      </w:pPr>
      <w:r w:rsidRPr="009839EB">
        <w:rPr>
          <w:rFonts w:ascii="Arial" w:hAnsi="Arial" w:cs="Arial"/>
        </w:rPr>
        <w:t>En base a los datos del punto anterior se estimó el ahorro anual en términos de reparación de escapes para el sistema existente.</w:t>
      </w:r>
    </w:p>
    <w:p w14:paraId="1453E5E0" w14:textId="77777777" w:rsidR="009839EB" w:rsidRPr="009839EB" w:rsidRDefault="009839EB" w:rsidP="00C4100D">
      <w:pPr>
        <w:pStyle w:val="ListParagraph"/>
        <w:numPr>
          <w:ilvl w:val="0"/>
          <w:numId w:val="47"/>
        </w:numPr>
        <w:ind w:left="1080"/>
        <w:rPr>
          <w:rFonts w:ascii="Arial" w:hAnsi="Arial" w:cs="Arial"/>
        </w:rPr>
      </w:pPr>
      <w:r w:rsidRPr="009839EB">
        <w:rPr>
          <w:rFonts w:ascii="Arial" w:hAnsi="Arial" w:cs="Arial"/>
        </w:rPr>
        <w:t xml:space="preserve">Considerando la ampliación proporcional del sistema sujeto a regulación del presente proyecto, se estimó el número de pérdidas a evitar en 3.391 </w:t>
      </w:r>
      <w:r w:rsidRPr="009839EB">
        <w:rPr>
          <w:rFonts w:ascii="Arial" w:hAnsi="Arial" w:cs="Arial"/>
        </w:rPr>
        <w:lastRenderedPageBreak/>
        <w:t xml:space="preserve">escapes por año. A partir de un costo medio por reparación de escapes de 190,6 USD/escape a precios de mercado (137,5 USD/escape a precios de cuenta), se calculó un </w:t>
      </w:r>
      <w:r w:rsidRPr="009839EB">
        <w:rPr>
          <w:rFonts w:ascii="Arial" w:hAnsi="Arial" w:cs="Arial"/>
          <w:b/>
        </w:rPr>
        <w:t>ahorro anual de 466,3 miles de USD/año.</w:t>
      </w:r>
    </w:p>
    <w:p w14:paraId="71A68223" w14:textId="77777777" w:rsidR="009839EB" w:rsidRPr="009839EB" w:rsidRDefault="009839EB" w:rsidP="00C4100D">
      <w:pPr>
        <w:pStyle w:val="ListParagraph"/>
        <w:numPr>
          <w:ilvl w:val="0"/>
          <w:numId w:val="47"/>
        </w:numPr>
        <w:ind w:left="1080"/>
        <w:rPr>
          <w:rFonts w:ascii="Arial" w:hAnsi="Arial" w:cs="Arial"/>
        </w:rPr>
      </w:pPr>
      <w:r w:rsidRPr="009839EB">
        <w:rPr>
          <w:rFonts w:ascii="Arial" w:hAnsi="Arial" w:cs="Arial"/>
        </w:rPr>
        <w:t xml:space="preserve">Adicionalmente se consideró el ahorro en la producción de 28.072 m3/día de agua potable (60% del ahorro generado por los componentes del proyecto), el que se valorizó a los costos de producción a precios de cuenta (ver </w:t>
      </w:r>
      <w:r w:rsidRPr="009839EB">
        <w:rPr>
          <w:rFonts w:ascii="Arial" w:hAnsi="Arial" w:cs="Arial"/>
        </w:rPr>
        <w:fldChar w:fldCharType="begin"/>
      </w:r>
      <w:r w:rsidRPr="009839EB">
        <w:rPr>
          <w:rFonts w:ascii="Arial" w:hAnsi="Arial" w:cs="Arial"/>
        </w:rPr>
        <w:instrText xml:space="preserve"> REF _Ref480192506 \h </w:instrText>
      </w:r>
      <w:r>
        <w:rPr>
          <w:rFonts w:ascii="Arial" w:hAnsi="Arial" w:cs="Arial"/>
        </w:rPr>
        <w:instrText xml:space="preserve"> \* MERGEFORMAT </w:instrText>
      </w:r>
      <w:r w:rsidRPr="009839EB">
        <w:rPr>
          <w:rFonts w:ascii="Arial" w:hAnsi="Arial" w:cs="Arial"/>
        </w:rPr>
      </w:r>
      <w:r w:rsidRPr="009839EB">
        <w:rPr>
          <w:rFonts w:ascii="Arial" w:hAnsi="Arial" w:cs="Arial"/>
        </w:rPr>
        <w:fldChar w:fldCharType="separate"/>
      </w:r>
      <w:r w:rsidRPr="009839EB">
        <w:rPr>
          <w:rFonts w:ascii="Arial" w:hAnsi="Arial" w:cs="Arial"/>
        </w:rPr>
        <w:t xml:space="preserve">Tabla </w:t>
      </w:r>
      <w:r w:rsidRPr="009839EB">
        <w:rPr>
          <w:rFonts w:ascii="Arial" w:hAnsi="Arial" w:cs="Arial"/>
          <w:noProof/>
        </w:rPr>
        <w:t>22</w:t>
      </w:r>
      <w:r w:rsidRPr="009839EB">
        <w:rPr>
          <w:rFonts w:ascii="Arial" w:hAnsi="Arial" w:cs="Arial"/>
        </w:rPr>
        <w:t>: Costos operativos en USD/m</w:t>
      </w:r>
      <w:r w:rsidRPr="009839EB">
        <w:rPr>
          <w:rFonts w:ascii="Arial" w:hAnsi="Arial" w:cs="Arial"/>
          <w:vertAlign w:val="superscript"/>
        </w:rPr>
        <w:t>3</w:t>
      </w:r>
      <w:r w:rsidRPr="009839EB">
        <w:rPr>
          <w:rFonts w:ascii="Arial" w:hAnsi="Arial" w:cs="Arial"/>
        </w:rPr>
        <w:t>.</w:t>
      </w:r>
      <w:r w:rsidRPr="009839EB">
        <w:rPr>
          <w:rFonts w:ascii="Arial" w:hAnsi="Arial" w:cs="Arial"/>
        </w:rPr>
        <w:fldChar w:fldCharType="end"/>
      </w:r>
      <w:r w:rsidRPr="009839EB">
        <w:rPr>
          <w:rFonts w:ascii="Arial" w:hAnsi="Arial" w:cs="Arial"/>
        </w:rPr>
        <w:t xml:space="preserve">), obteniéndose un </w:t>
      </w:r>
      <w:r w:rsidRPr="009839EB">
        <w:rPr>
          <w:rFonts w:ascii="Arial" w:hAnsi="Arial" w:cs="Arial"/>
          <w:b/>
        </w:rPr>
        <w:t>ahorro adicional de 399,9 miles de USD/año.</w:t>
      </w:r>
    </w:p>
    <w:p w14:paraId="73ACEF4E" w14:textId="1BDB68A9" w:rsidR="009839EB" w:rsidRPr="009C74A6" w:rsidRDefault="009839EB" w:rsidP="00C4100D">
      <w:pPr>
        <w:pStyle w:val="ListParagraph"/>
        <w:numPr>
          <w:ilvl w:val="0"/>
          <w:numId w:val="47"/>
        </w:numPr>
        <w:ind w:left="1080"/>
        <w:rPr>
          <w:rFonts w:ascii="Arial" w:hAnsi="Arial" w:cs="Arial"/>
        </w:rPr>
      </w:pPr>
      <w:r w:rsidRPr="009839EB">
        <w:rPr>
          <w:rFonts w:ascii="Arial" w:hAnsi="Arial" w:cs="Arial"/>
        </w:rPr>
        <w:t>El flujo de ahorros netos generado (</w:t>
      </w:r>
      <w:r w:rsidRPr="009839EB">
        <w:rPr>
          <w:rFonts w:ascii="Arial" w:hAnsi="Arial" w:cs="Arial"/>
          <w:b/>
        </w:rPr>
        <w:t>866,2 miles de USD/año</w:t>
      </w:r>
      <w:r w:rsidRPr="009839EB">
        <w:rPr>
          <w:rFonts w:ascii="Arial" w:hAnsi="Arial" w:cs="Arial"/>
        </w:rPr>
        <w:t>) fue incorporado al SIMOP asignándose el mismo al Grupo Consumidor E</w:t>
      </w:r>
    </w:p>
    <w:p w14:paraId="740F256D" w14:textId="360DED1A" w:rsidR="003B1C14" w:rsidRPr="00750EBA" w:rsidRDefault="003B1C14" w:rsidP="002B0107">
      <w:pPr>
        <w:pStyle w:val="Heading2"/>
        <w:numPr>
          <w:ilvl w:val="0"/>
          <w:numId w:val="42"/>
        </w:numPr>
      </w:pPr>
      <w:bookmarkStart w:id="99" w:name="_Toc485200088"/>
      <w:r w:rsidRPr="00750EBA">
        <w:t>Beneficios económicos del proyecto.</w:t>
      </w:r>
      <w:bookmarkEnd w:id="99"/>
    </w:p>
    <w:p w14:paraId="5B1E6F5E" w14:textId="77777777" w:rsidR="007E62B2" w:rsidRPr="00750EBA" w:rsidRDefault="007E62B2" w:rsidP="007E62B2">
      <w:pPr>
        <w:rPr>
          <w:rFonts w:ascii="Arial" w:hAnsi="Arial" w:cs="Arial"/>
        </w:rPr>
      </w:pPr>
      <w:r w:rsidRPr="00750EBA">
        <w:rPr>
          <w:rFonts w:ascii="Arial" w:hAnsi="Arial" w:cs="Arial"/>
        </w:rPr>
        <w:t>Los objetivos buscados por el proyecto en evaluación permiten identificar una serie de beneficios cuantificables en términos económicos.</w:t>
      </w:r>
    </w:p>
    <w:p w14:paraId="39A33E1E" w14:textId="77777777" w:rsidR="007E62B2" w:rsidRPr="00750EBA" w:rsidRDefault="007E62B2" w:rsidP="007E62B2">
      <w:pPr>
        <w:rPr>
          <w:rFonts w:ascii="Arial" w:hAnsi="Arial" w:cs="Arial"/>
        </w:rPr>
      </w:pPr>
      <w:r w:rsidRPr="00750EBA">
        <w:rPr>
          <w:rFonts w:ascii="Arial" w:hAnsi="Arial" w:cs="Arial"/>
        </w:rPr>
        <w:t>A continuación se presenta el detalle de los beneficios identificados y los supuestos adoptados a fin de calcularlos en términos económicos.</w:t>
      </w:r>
    </w:p>
    <w:p w14:paraId="4692DDFD" w14:textId="77777777" w:rsidR="007E62B2" w:rsidRPr="00750EBA" w:rsidRDefault="007E62B2" w:rsidP="007E62B2">
      <w:pPr>
        <w:rPr>
          <w:rFonts w:ascii="Arial" w:hAnsi="Arial" w:cs="Arial"/>
        </w:rPr>
      </w:pPr>
    </w:p>
    <w:p w14:paraId="0B5B0BA1" w14:textId="77777777" w:rsidR="007E62B2" w:rsidRPr="00750EBA" w:rsidRDefault="007E62B2" w:rsidP="002B0107">
      <w:pPr>
        <w:pStyle w:val="Heading2"/>
        <w:numPr>
          <w:ilvl w:val="1"/>
          <w:numId w:val="45"/>
        </w:numPr>
      </w:pPr>
      <w:bookmarkStart w:id="100" w:name="_Toc452045563"/>
      <w:bookmarkStart w:id="101" w:name="_Toc485200089"/>
      <w:r w:rsidRPr="00750EBA">
        <w:t>Beneficios asociados al aumento de la oferta.</w:t>
      </w:r>
      <w:bookmarkEnd w:id="100"/>
      <w:bookmarkEnd w:id="101"/>
    </w:p>
    <w:p w14:paraId="3ED9D55D" w14:textId="01C6D1B7" w:rsidR="007E62B2" w:rsidRPr="00750EBA" w:rsidRDefault="007E62B2" w:rsidP="007E62B2">
      <w:pPr>
        <w:rPr>
          <w:rFonts w:ascii="Arial" w:hAnsi="Arial" w:cs="Arial"/>
        </w:rPr>
      </w:pPr>
      <w:r w:rsidRPr="00750EBA">
        <w:rPr>
          <w:rFonts w:ascii="Arial" w:hAnsi="Arial" w:cs="Arial"/>
        </w:rPr>
        <w:t xml:space="preserve">Actualmente se identifican usuarios con demanda insatisfecha </w:t>
      </w:r>
      <w:r w:rsidR="008253E3" w:rsidRPr="00750EBA">
        <w:rPr>
          <w:rFonts w:ascii="Arial" w:hAnsi="Arial" w:cs="Arial"/>
        </w:rPr>
        <w:t>principalmente en la</w:t>
      </w:r>
      <w:r w:rsidRPr="00750EBA">
        <w:rPr>
          <w:rFonts w:ascii="Arial" w:hAnsi="Arial" w:cs="Arial"/>
        </w:rPr>
        <w:t xml:space="preserve"> zona sur del gran Buenos Aires</w:t>
      </w:r>
      <w:r w:rsidR="008253E3" w:rsidRPr="00750EBA">
        <w:rPr>
          <w:rFonts w:ascii="Arial" w:hAnsi="Arial" w:cs="Arial"/>
        </w:rPr>
        <w:t xml:space="preserve">. Tal como se mostró en la </w:t>
      </w:r>
      <w:r w:rsidR="008253E3" w:rsidRPr="00750EBA">
        <w:rPr>
          <w:rFonts w:ascii="Arial" w:hAnsi="Arial" w:cs="Arial"/>
        </w:rPr>
        <w:fldChar w:fldCharType="begin"/>
      </w:r>
      <w:r w:rsidR="008253E3" w:rsidRPr="00750EBA">
        <w:rPr>
          <w:rFonts w:ascii="Arial" w:hAnsi="Arial" w:cs="Arial"/>
        </w:rPr>
        <w:instrText xml:space="preserve"> REF _Ref480139533 \h  \* MERGEFORMAT </w:instrText>
      </w:r>
      <w:r w:rsidR="008253E3" w:rsidRPr="00750EBA">
        <w:rPr>
          <w:rFonts w:ascii="Arial" w:hAnsi="Arial" w:cs="Arial"/>
        </w:rPr>
      </w:r>
      <w:r w:rsidR="008253E3" w:rsidRPr="00750EBA">
        <w:rPr>
          <w:rFonts w:ascii="Arial" w:hAnsi="Arial" w:cs="Arial"/>
        </w:rPr>
        <w:fldChar w:fldCharType="separate"/>
      </w:r>
      <w:r w:rsidR="00750EBA">
        <w:rPr>
          <w:rFonts w:ascii="Arial" w:hAnsi="Arial" w:cs="Arial"/>
        </w:rPr>
        <w:t>Figura III-1</w:t>
      </w:r>
      <w:r w:rsidR="008253E3" w:rsidRPr="00750EBA">
        <w:rPr>
          <w:rFonts w:ascii="Arial" w:hAnsi="Arial" w:cs="Arial"/>
        </w:rPr>
        <w:fldChar w:fldCharType="end"/>
      </w:r>
      <w:r w:rsidR="008253E3" w:rsidRPr="00750EBA">
        <w:rPr>
          <w:rFonts w:ascii="Arial" w:hAnsi="Arial" w:cs="Arial"/>
        </w:rPr>
        <w:t>, el fenómeno se materializa a través de bajas presiones de prestación e incluso interrupciones del servicio</w:t>
      </w:r>
      <w:r w:rsidRPr="00750EBA">
        <w:rPr>
          <w:rFonts w:ascii="Arial" w:hAnsi="Arial" w:cs="Arial"/>
        </w:rPr>
        <w:t>, especialmente en época estival.</w:t>
      </w:r>
    </w:p>
    <w:p w14:paraId="45DB1B44" w14:textId="4A01342B" w:rsidR="007E62B2" w:rsidRPr="00750EBA" w:rsidRDefault="007E62B2" w:rsidP="007E62B2">
      <w:pPr>
        <w:rPr>
          <w:rFonts w:ascii="Arial" w:hAnsi="Arial" w:cs="Arial"/>
        </w:rPr>
      </w:pPr>
      <w:r w:rsidRPr="00750EBA">
        <w:rPr>
          <w:rFonts w:ascii="Arial" w:hAnsi="Arial" w:cs="Arial"/>
        </w:rPr>
        <w:t xml:space="preserve">Si bien </w:t>
      </w:r>
      <w:r w:rsidR="008253E3" w:rsidRPr="00750EBA">
        <w:rPr>
          <w:rFonts w:ascii="Arial" w:hAnsi="Arial" w:cs="Arial"/>
        </w:rPr>
        <w:t xml:space="preserve">los componentes del presente proyecto se desarrollan en distintas regiones de la concesión otorgada a AySA, </w:t>
      </w:r>
      <w:r w:rsidRPr="00750EBA">
        <w:rPr>
          <w:rFonts w:ascii="Arial" w:hAnsi="Arial" w:cs="Arial"/>
        </w:rPr>
        <w:t>dado el carácter integrado del sistema de transporte y distribución, se asume que</w:t>
      </w:r>
      <w:r w:rsidR="008253E3" w:rsidRPr="00750EBA">
        <w:rPr>
          <w:rFonts w:ascii="Arial" w:hAnsi="Arial" w:cs="Arial"/>
        </w:rPr>
        <w:t xml:space="preserve"> una parte</w:t>
      </w:r>
      <w:r w:rsidRPr="00750EBA">
        <w:rPr>
          <w:rFonts w:ascii="Arial" w:hAnsi="Arial" w:cs="Arial"/>
        </w:rPr>
        <w:t xml:space="preserve"> </w:t>
      </w:r>
      <w:r w:rsidR="008253E3" w:rsidRPr="00750EBA">
        <w:rPr>
          <w:rFonts w:ascii="Arial" w:hAnsi="Arial" w:cs="Arial"/>
        </w:rPr>
        <w:t>d</w:t>
      </w:r>
      <w:r w:rsidRPr="00750EBA">
        <w:rPr>
          <w:rFonts w:ascii="Arial" w:hAnsi="Arial" w:cs="Arial"/>
        </w:rPr>
        <w:t>el agua ahorrada por el plan propuesto podrá aprovecharse en las áreas identificadas independientemente del lugar en el que los ahorros son producidos.</w:t>
      </w:r>
    </w:p>
    <w:p w14:paraId="01B1C850" w14:textId="77777777" w:rsidR="007E62B2" w:rsidRPr="00750EBA" w:rsidRDefault="007E62B2" w:rsidP="007E62B2">
      <w:pPr>
        <w:rPr>
          <w:rFonts w:ascii="Arial" w:hAnsi="Arial" w:cs="Arial"/>
        </w:rPr>
      </w:pPr>
      <w:r w:rsidRPr="00750EBA">
        <w:rPr>
          <w:rFonts w:ascii="Arial" w:hAnsi="Arial" w:cs="Arial"/>
        </w:rPr>
        <w:t>A fin de cuantificar los beneficios que se generan a partir de la oferta adicional de agua, cabe mencionar que los hogares afectados por demanda insatisfecha recurren a distintos métodos, según sus posibilidades económicas, de acumulación y reserva de agua que implican un impacto en sus economías familiares. De este modo, los hogares de mayor poder adquisitivo instalan reservas (cisternas) combinadas con sistemas de elevación eléctricos individuales, mientras que los hogares más pobres simplemente acumulan agua en recipientes de diversa índole durante la noche para ser utilizados durante el día. Estos métodos resultan un paliativo parcial del problema ya que aun disponiendo de ellos y enfrentando los costos que implican, el acceso al agua potable se ve reducido sustancialmente. En el caso de los hogares con presencia de menores, la falta de agua potable en cantidad y calidad suficientes implican serios riesgos de diarreas y consecuente deshidratación, fenómeno que se repite año tras año en el gran Buenos Aires durante la temporada de verano. Muchos de estos hogares con población infantil deben recurrir a la compra de agua envasada para bebida y cocina con un fuerte impacto en las economías familiares.</w:t>
      </w:r>
    </w:p>
    <w:p w14:paraId="1C5E58EA" w14:textId="77777777" w:rsidR="007E62B2" w:rsidRPr="00750EBA" w:rsidRDefault="007E62B2" w:rsidP="007E62B2">
      <w:pPr>
        <w:rPr>
          <w:rFonts w:ascii="Arial" w:hAnsi="Arial" w:cs="Arial"/>
        </w:rPr>
      </w:pPr>
      <w:r w:rsidRPr="00750EBA">
        <w:rPr>
          <w:rFonts w:ascii="Arial" w:hAnsi="Arial" w:cs="Arial"/>
        </w:rPr>
        <w:t xml:space="preserve">Para este segmento de la población con demanda insatisfecha de agua potable el proyecto permitirá satisfacer parcialmente la misma evitando parte de los costos de los paliativos de las deficiencias del servicio como otros costos asociados a las </w:t>
      </w:r>
      <w:r w:rsidRPr="00750EBA">
        <w:rPr>
          <w:rFonts w:ascii="Arial" w:hAnsi="Arial" w:cs="Arial"/>
        </w:rPr>
        <w:lastRenderedPageBreak/>
        <w:t>consecuencias de la falta de suministro. Estos hogares presentarán un importante incremento en su bienestar derivado del levantamiento de las restricciones al consumo de agua potable que actualmente enfrentan.</w:t>
      </w:r>
    </w:p>
    <w:p w14:paraId="6A85D728" w14:textId="77777777" w:rsidR="007E62B2" w:rsidRPr="00750EBA" w:rsidRDefault="007E62B2" w:rsidP="007E62B2">
      <w:pPr>
        <w:rPr>
          <w:rFonts w:ascii="Arial" w:hAnsi="Arial" w:cs="Arial"/>
        </w:rPr>
      </w:pPr>
    </w:p>
    <w:p w14:paraId="2B9C1BAF" w14:textId="77777777" w:rsidR="007E62B2" w:rsidRPr="00750EBA" w:rsidRDefault="007E62B2" w:rsidP="002B0107">
      <w:pPr>
        <w:pStyle w:val="Heading2"/>
      </w:pPr>
      <w:bookmarkStart w:id="102" w:name="_Toc452045564"/>
      <w:bookmarkStart w:id="103" w:name="_Toc485200090"/>
      <w:r w:rsidRPr="00750EBA">
        <w:t>Beneficios derivados del aumento de la eficiencia.</w:t>
      </w:r>
      <w:bookmarkEnd w:id="102"/>
      <w:bookmarkEnd w:id="103"/>
    </w:p>
    <w:p w14:paraId="2FC21A12" w14:textId="15F808FC" w:rsidR="00B608D2" w:rsidRPr="00750EBA" w:rsidRDefault="007E62B2" w:rsidP="007E62B2">
      <w:pPr>
        <w:rPr>
          <w:rFonts w:ascii="Arial" w:hAnsi="Arial" w:cs="Arial"/>
        </w:rPr>
      </w:pPr>
      <w:r w:rsidRPr="00750EBA">
        <w:rPr>
          <w:rFonts w:ascii="Arial" w:hAnsi="Arial" w:cs="Arial"/>
        </w:rPr>
        <w:t xml:space="preserve">Según se presentó en el Capítulo </w:t>
      </w:r>
      <w:r w:rsidR="00C41FCC" w:rsidRPr="00750EBA">
        <w:rPr>
          <w:rFonts w:ascii="Arial" w:hAnsi="Arial" w:cs="Arial"/>
        </w:rPr>
        <w:t>I</w:t>
      </w:r>
      <w:r w:rsidRPr="00750EBA">
        <w:rPr>
          <w:rFonts w:ascii="Arial" w:hAnsi="Arial" w:cs="Arial"/>
        </w:rPr>
        <w:t xml:space="preserve"> del presente informe, </w:t>
      </w:r>
      <w:r w:rsidR="00B608D2" w:rsidRPr="00750EBA">
        <w:rPr>
          <w:rFonts w:ascii="Arial" w:hAnsi="Arial" w:cs="Arial"/>
        </w:rPr>
        <w:t>incorporar a la gestión de la red distribuidora una precisa regulación de presiones implica un ahorro de agua bombeada del orden del 10% en relación con el sistema sin regulación.</w:t>
      </w:r>
    </w:p>
    <w:p w14:paraId="3F6C4F1A" w14:textId="0A16C24B" w:rsidR="00B608D2" w:rsidRPr="00750EBA" w:rsidRDefault="00B608D2" w:rsidP="007E62B2">
      <w:pPr>
        <w:rPr>
          <w:rFonts w:ascii="Arial" w:hAnsi="Arial" w:cs="Arial"/>
        </w:rPr>
      </w:pPr>
      <w:r w:rsidRPr="00750EBA">
        <w:rPr>
          <w:rFonts w:ascii="Arial" w:hAnsi="Arial" w:cs="Arial"/>
        </w:rPr>
        <w:t>Estos ahorros de agua se generan a través de dos vías:</w:t>
      </w:r>
    </w:p>
    <w:p w14:paraId="21B72518" w14:textId="3A813EAB" w:rsidR="00B608D2" w:rsidRPr="00750EBA" w:rsidRDefault="00B608D2" w:rsidP="00C4100D">
      <w:pPr>
        <w:pStyle w:val="ListParagraph"/>
        <w:numPr>
          <w:ilvl w:val="0"/>
          <w:numId w:val="34"/>
        </w:numPr>
        <w:rPr>
          <w:rFonts w:ascii="Arial" w:hAnsi="Arial" w:cs="Arial"/>
        </w:rPr>
      </w:pPr>
      <w:r w:rsidRPr="00750EBA">
        <w:rPr>
          <w:rFonts w:ascii="Arial" w:hAnsi="Arial" w:cs="Arial"/>
        </w:rPr>
        <w:t>Al exponerse a menores presiones diarias durante los períodos de baja demanda (franja horaria nocturna, temporada invernal, fines de semana (según el caso)), el agua perdida en los escapes existentes se reduce exponencialmente.</w:t>
      </w:r>
    </w:p>
    <w:p w14:paraId="755E376D" w14:textId="60723C07" w:rsidR="00B608D2" w:rsidRPr="00750EBA" w:rsidRDefault="00B608D2" w:rsidP="00C4100D">
      <w:pPr>
        <w:pStyle w:val="ListParagraph"/>
        <w:numPr>
          <w:ilvl w:val="0"/>
          <w:numId w:val="34"/>
        </w:numPr>
        <w:rPr>
          <w:rFonts w:ascii="Arial" w:hAnsi="Arial" w:cs="Arial"/>
        </w:rPr>
      </w:pPr>
      <w:r w:rsidRPr="00750EBA">
        <w:rPr>
          <w:rFonts w:ascii="Arial" w:hAnsi="Arial" w:cs="Arial"/>
        </w:rPr>
        <w:t>Al estar las redes distribuidoras y las conexiones sometidas a presiones más uniformes se evita la aparición de nuevos escapes, generándose por ende no sólo un ahorro potencial de agua sino que también un considerable ahorro operativo en términos de reparación de pérdidas.</w:t>
      </w:r>
    </w:p>
    <w:p w14:paraId="1D54FCC8" w14:textId="20386D96" w:rsidR="00B608D2" w:rsidRPr="00750EBA" w:rsidRDefault="00B608D2" w:rsidP="00B608D2">
      <w:pPr>
        <w:rPr>
          <w:rFonts w:ascii="Arial" w:hAnsi="Arial" w:cs="Arial"/>
        </w:rPr>
      </w:pPr>
      <w:r w:rsidRPr="00750EBA">
        <w:rPr>
          <w:rFonts w:ascii="Arial" w:hAnsi="Arial" w:cs="Arial"/>
        </w:rPr>
        <w:t>Es en el caso del punto b) donde se genera el otro beneficio económico del proyecto. Así, según la estimación del área de ingeniería responsable del proyecto, se incorpora una reducción en la cantidad anual de escapes a reparar consistente con la experiencia observada en años anteriores.</w:t>
      </w:r>
    </w:p>
    <w:p w14:paraId="036EF05E" w14:textId="3602C824" w:rsidR="00191033" w:rsidRPr="00750EBA" w:rsidRDefault="00191033" w:rsidP="00B608D2">
      <w:pPr>
        <w:rPr>
          <w:rFonts w:ascii="Arial" w:hAnsi="Arial" w:cs="Arial"/>
        </w:rPr>
      </w:pPr>
      <w:r w:rsidRPr="00750EBA">
        <w:rPr>
          <w:rFonts w:ascii="Arial" w:hAnsi="Arial" w:cs="Arial"/>
        </w:rPr>
        <w:t>Por otro lado, no toda el agua ahorrada es derivable a áreas con demanda insatisfecha (se ha supuesto que sólo resulta transportable el 40% del agua ahorrada). El 60% restante podría traducirse en ahorros de producción, generándose un beneficio adicional por reducción de costos operativos.</w:t>
      </w:r>
    </w:p>
    <w:p w14:paraId="0008C18C" w14:textId="77777777" w:rsidR="007E62B2" w:rsidRDefault="007E62B2" w:rsidP="007E62B2"/>
    <w:p w14:paraId="195C45DA" w14:textId="77777777" w:rsidR="003B1C14" w:rsidRDefault="003B1C14" w:rsidP="002B0107">
      <w:pPr>
        <w:pStyle w:val="Heading2"/>
        <w:numPr>
          <w:ilvl w:val="0"/>
          <w:numId w:val="42"/>
        </w:numPr>
      </w:pPr>
      <w:bookmarkStart w:id="104" w:name="_Toc485200091"/>
      <w:r>
        <w:t>Costos económicos del proyecto.</w:t>
      </w:r>
      <w:bookmarkEnd w:id="104"/>
    </w:p>
    <w:p w14:paraId="7DDC0E21" w14:textId="39DE7446" w:rsidR="00B608D2" w:rsidRPr="00750EBA" w:rsidRDefault="00750EBA" w:rsidP="00B608D2">
      <w:pPr>
        <w:pStyle w:val="Caption"/>
        <w:rPr>
          <w:rFonts w:ascii="Arial" w:hAnsi="Arial" w:cs="Arial"/>
          <w:b w:val="0"/>
          <w:iCs w:val="0"/>
          <w:szCs w:val="22"/>
        </w:rPr>
      </w:pPr>
      <w:r w:rsidRPr="00750EBA">
        <w:rPr>
          <w:rFonts w:ascii="Arial" w:hAnsi="Arial" w:cs="Arial"/>
          <w:b w:val="0"/>
          <w:iCs w:val="0"/>
          <w:szCs w:val="22"/>
        </w:rPr>
        <w:t>En la presente evaluación se contemplan la totalidad de los costos económicos asociados a la materialización efectiva de los beneficios identificados. Estos costos corresponden</w:t>
      </w:r>
      <w:r w:rsidR="00B608D2" w:rsidRPr="00750EBA">
        <w:rPr>
          <w:rFonts w:ascii="Arial" w:hAnsi="Arial" w:cs="Arial"/>
          <w:b w:val="0"/>
          <w:iCs w:val="0"/>
          <w:szCs w:val="22"/>
        </w:rPr>
        <w:t xml:space="preserve"> a inversiones asociadas a:</w:t>
      </w:r>
    </w:p>
    <w:p w14:paraId="30E273A3" w14:textId="47E9EA3F" w:rsidR="00B608D2" w:rsidRPr="00750EBA" w:rsidRDefault="00B608D2" w:rsidP="00C4100D">
      <w:pPr>
        <w:pStyle w:val="ListParagraph"/>
        <w:numPr>
          <w:ilvl w:val="0"/>
          <w:numId w:val="35"/>
        </w:numPr>
        <w:rPr>
          <w:rFonts w:ascii="Arial" w:hAnsi="Arial" w:cs="Arial"/>
        </w:rPr>
      </w:pPr>
      <w:r w:rsidRPr="00750EBA">
        <w:rPr>
          <w:rFonts w:ascii="Arial" w:hAnsi="Arial" w:cs="Arial"/>
        </w:rPr>
        <w:t>Micromedición integral en DMA´s seleccionadas (provisión e instalación de 16.174 medidores).</w:t>
      </w:r>
    </w:p>
    <w:p w14:paraId="1DD678ED" w14:textId="554B9CF5" w:rsidR="00B608D2" w:rsidRPr="00750EBA" w:rsidRDefault="00B608D2" w:rsidP="00C4100D">
      <w:pPr>
        <w:pStyle w:val="ListParagraph"/>
        <w:numPr>
          <w:ilvl w:val="0"/>
          <w:numId w:val="35"/>
        </w:numPr>
        <w:rPr>
          <w:rFonts w:ascii="Arial" w:hAnsi="Arial" w:cs="Arial"/>
        </w:rPr>
      </w:pPr>
      <w:r w:rsidRPr="00750EBA">
        <w:rPr>
          <w:rFonts w:ascii="Arial" w:hAnsi="Arial" w:cs="Arial"/>
        </w:rPr>
        <w:t>Construcción de cabeceras, cámaras y macromedición en 4 DMAS´s.</w:t>
      </w:r>
    </w:p>
    <w:p w14:paraId="2AA69FC2" w14:textId="2B11A74C" w:rsidR="00B608D2" w:rsidRPr="00750EBA" w:rsidRDefault="00B608D2" w:rsidP="00C4100D">
      <w:pPr>
        <w:pStyle w:val="ListParagraph"/>
        <w:numPr>
          <w:ilvl w:val="0"/>
          <w:numId w:val="35"/>
        </w:numPr>
        <w:rPr>
          <w:rFonts w:ascii="Arial" w:hAnsi="Arial" w:cs="Arial"/>
        </w:rPr>
      </w:pPr>
      <w:r w:rsidRPr="00750EBA">
        <w:rPr>
          <w:rFonts w:ascii="Arial" w:hAnsi="Arial" w:cs="Arial"/>
        </w:rPr>
        <w:t>Provisión e instalación de sistema de monitoreo de presiones y caudales para regulación del sistema de válvulas reguladoras (se prevé la instalación de 20 equipos).</w:t>
      </w:r>
    </w:p>
    <w:p w14:paraId="7E16F7A1" w14:textId="77777777" w:rsidR="00B608D2" w:rsidRPr="00750EBA" w:rsidRDefault="00B608D2" w:rsidP="00B608D2">
      <w:pPr>
        <w:pStyle w:val="Caption"/>
        <w:rPr>
          <w:rFonts w:ascii="Arial" w:hAnsi="Arial" w:cs="Arial"/>
          <w:b w:val="0"/>
          <w:iCs w:val="0"/>
          <w:szCs w:val="22"/>
        </w:rPr>
      </w:pPr>
      <w:r w:rsidRPr="00750EBA">
        <w:rPr>
          <w:rFonts w:ascii="Arial" w:hAnsi="Arial" w:cs="Arial"/>
          <w:b w:val="0"/>
          <w:iCs w:val="0"/>
          <w:szCs w:val="22"/>
        </w:rPr>
        <w:lastRenderedPageBreak/>
        <w:t>Dado que la totalidad de los beneficiarios del presente proyecto se encuentran actualmente conectados al sistema, no existen inversiones adicionales a considerar a fin de lograr la materialización de los beneficios.</w:t>
      </w:r>
    </w:p>
    <w:p w14:paraId="5226CE34" w14:textId="77777777" w:rsidR="00B608D2" w:rsidRPr="00750EBA" w:rsidRDefault="00B608D2" w:rsidP="00B608D2">
      <w:pPr>
        <w:pStyle w:val="Caption"/>
        <w:rPr>
          <w:rFonts w:ascii="Arial" w:hAnsi="Arial" w:cs="Arial"/>
          <w:b w:val="0"/>
          <w:iCs w:val="0"/>
          <w:szCs w:val="22"/>
        </w:rPr>
      </w:pPr>
      <w:r w:rsidRPr="00750EBA">
        <w:rPr>
          <w:rFonts w:ascii="Arial" w:hAnsi="Arial" w:cs="Arial"/>
          <w:b w:val="0"/>
          <w:iCs w:val="0"/>
          <w:szCs w:val="22"/>
        </w:rPr>
        <w:t>Respecto a los costos de operación, mantenimiento y rehabilitación básica, se consideran en la evaluación la parte proporcional al proyecto de los mismos evaluados a partir de los costos medios de la empresa.</w:t>
      </w:r>
    </w:p>
    <w:p w14:paraId="5B182365" w14:textId="7CFF9823" w:rsidR="00B608D2" w:rsidRPr="00750EBA" w:rsidRDefault="00B608D2" w:rsidP="00B608D2">
      <w:pPr>
        <w:pStyle w:val="Caption"/>
        <w:rPr>
          <w:rFonts w:ascii="Arial" w:hAnsi="Arial" w:cs="Arial"/>
          <w:b w:val="0"/>
          <w:iCs w:val="0"/>
          <w:szCs w:val="22"/>
        </w:rPr>
      </w:pPr>
      <w:r w:rsidRPr="00750EBA">
        <w:rPr>
          <w:rFonts w:ascii="Arial" w:hAnsi="Arial" w:cs="Arial"/>
          <w:b w:val="0"/>
          <w:iCs w:val="0"/>
          <w:szCs w:val="22"/>
        </w:rPr>
        <w:t>Dado que en el caso de la presente evaluación solo interesa el costo económico, los presupuestos calculados a precios de mercado son corregidos eliminándose las principales distorsiones a partir de la aplicación de coeficientes de corrección conocidos como Razones de Precio de Cuenta. En</w:t>
      </w:r>
      <w:r w:rsidR="00750EBA">
        <w:rPr>
          <w:rFonts w:ascii="Arial" w:hAnsi="Arial" w:cs="Arial"/>
          <w:b w:val="0"/>
          <w:iCs w:val="0"/>
          <w:szCs w:val="22"/>
        </w:rPr>
        <w:t xml:space="preserve"> </w:t>
      </w:r>
      <w:r w:rsidR="00750EBA" w:rsidRPr="008B3220">
        <w:rPr>
          <w:rFonts w:ascii="Arial" w:hAnsi="Arial" w:cs="Arial"/>
          <w:b w:val="0"/>
          <w:iCs w:val="0"/>
          <w:szCs w:val="22"/>
        </w:rPr>
        <w:t>el</w:t>
      </w:r>
      <w:r w:rsidRPr="008B3220">
        <w:rPr>
          <w:rFonts w:ascii="Arial" w:hAnsi="Arial" w:cs="Arial"/>
          <w:b w:val="0"/>
          <w:iCs w:val="0"/>
          <w:szCs w:val="22"/>
        </w:rPr>
        <w:t xml:space="preserve"> Anexo </w:t>
      </w:r>
      <w:r w:rsidR="00750EBA" w:rsidRPr="008B3220">
        <w:rPr>
          <w:rFonts w:ascii="Arial" w:hAnsi="Arial" w:cs="Arial"/>
          <w:b w:val="0"/>
          <w:iCs w:val="0"/>
          <w:szCs w:val="22"/>
        </w:rPr>
        <w:t>2</w:t>
      </w:r>
      <w:r w:rsidRPr="008B3220">
        <w:rPr>
          <w:rFonts w:ascii="Arial" w:hAnsi="Arial" w:cs="Arial"/>
          <w:b w:val="0"/>
          <w:iCs w:val="0"/>
          <w:szCs w:val="22"/>
        </w:rPr>
        <w:t xml:space="preserve"> se</w:t>
      </w:r>
      <w:r w:rsidRPr="00750EBA">
        <w:rPr>
          <w:rFonts w:ascii="Arial" w:hAnsi="Arial" w:cs="Arial"/>
          <w:b w:val="0"/>
          <w:iCs w:val="0"/>
          <w:szCs w:val="22"/>
        </w:rPr>
        <w:t xml:space="preserve"> presenta una síntesis conceptual de tales coeficientes y su detalle de cálculo.</w:t>
      </w:r>
    </w:p>
    <w:p w14:paraId="5382929D" w14:textId="77777777" w:rsidR="008565A3" w:rsidRPr="003723B8" w:rsidRDefault="008565A3" w:rsidP="00B61C33">
      <w:pPr>
        <w:rPr>
          <w:rFonts w:ascii="Arial" w:hAnsi="Arial" w:cs="Arial"/>
        </w:rPr>
      </w:pPr>
    </w:p>
    <w:p w14:paraId="3BB6771C" w14:textId="5F8863D3" w:rsidR="003B1C14" w:rsidRPr="003723B8" w:rsidRDefault="003B1C14" w:rsidP="002B0107">
      <w:pPr>
        <w:pStyle w:val="Heading2"/>
      </w:pPr>
      <w:bookmarkStart w:id="105" w:name="_Toc485200092"/>
      <w:r w:rsidRPr="003723B8">
        <w:t>Costos de inversión.</w:t>
      </w:r>
      <w:bookmarkEnd w:id="105"/>
    </w:p>
    <w:p w14:paraId="6B02CB96" w14:textId="02AC8B85" w:rsidR="00812BFF" w:rsidRPr="003723B8" w:rsidRDefault="00812BFF" w:rsidP="00812BFF">
      <w:pPr>
        <w:pStyle w:val="Caption"/>
        <w:rPr>
          <w:rFonts w:ascii="Arial" w:hAnsi="Arial" w:cs="Arial"/>
          <w:b w:val="0"/>
          <w:iCs w:val="0"/>
          <w:szCs w:val="22"/>
        </w:rPr>
      </w:pPr>
      <w:r w:rsidRPr="003723B8">
        <w:rPr>
          <w:rFonts w:ascii="Arial" w:hAnsi="Arial" w:cs="Arial"/>
          <w:b w:val="0"/>
          <w:iCs w:val="0"/>
          <w:szCs w:val="22"/>
        </w:rPr>
        <w:t xml:space="preserve">Se presentan a continuación los costos de inversión </w:t>
      </w:r>
      <w:r w:rsidR="002B2A6C" w:rsidRPr="003723B8">
        <w:rPr>
          <w:rFonts w:ascii="Arial" w:hAnsi="Arial" w:cs="Arial"/>
          <w:b w:val="0"/>
          <w:iCs w:val="0"/>
          <w:szCs w:val="22"/>
        </w:rPr>
        <w:t xml:space="preserve">correspondientes al plan de mejora de eficiencia en el sistema de </w:t>
      </w:r>
      <w:r w:rsidRPr="003723B8">
        <w:rPr>
          <w:rFonts w:ascii="Arial" w:hAnsi="Arial" w:cs="Arial"/>
          <w:b w:val="0"/>
          <w:iCs w:val="0"/>
          <w:szCs w:val="22"/>
        </w:rPr>
        <w:t>agua potable.</w:t>
      </w:r>
    </w:p>
    <w:p w14:paraId="65492FF4" w14:textId="77777777" w:rsidR="00812BFF" w:rsidRPr="003723B8" w:rsidRDefault="00812BFF" w:rsidP="00812BFF">
      <w:pPr>
        <w:pStyle w:val="Caption"/>
        <w:rPr>
          <w:rFonts w:ascii="Arial" w:hAnsi="Arial" w:cs="Arial"/>
          <w:b w:val="0"/>
          <w:iCs w:val="0"/>
          <w:szCs w:val="22"/>
        </w:rPr>
      </w:pPr>
      <w:r w:rsidRPr="003723B8">
        <w:rPr>
          <w:rFonts w:ascii="Arial" w:hAnsi="Arial" w:cs="Arial"/>
          <w:b w:val="0"/>
          <w:iCs w:val="0"/>
          <w:szCs w:val="22"/>
        </w:rPr>
        <w:t>Los mismos han sido calculados por las áreas de ingeniería y costeo de la empresa teniendo en cuenta la apertura necesaria para la corrección a precios de cuenta y no incluyen Impuesto al Valor Agregado (IVA).</w:t>
      </w:r>
    </w:p>
    <w:p w14:paraId="2C31F954" w14:textId="55F3718C" w:rsidR="00812BFF" w:rsidRPr="003723B8" w:rsidRDefault="002B2A6C" w:rsidP="00812BFF">
      <w:pPr>
        <w:pStyle w:val="Caption"/>
        <w:rPr>
          <w:rFonts w:ascii="Arial" w:hAnsi="Arial" w:cs="Arial"/>
          <w:b w:val="0"/>
          <w:iCs w:val="0"/>
          <w:szCs w:val="22"/>
        </w:rPr>
      </w:pPr>
      <w:r w:rsidRPr="003723B8">
        <w:rPr>
          <w:rFonts w:ascii="Arial" w:hAnsi="Arial" w:cs="Arial"/>
          <w:b w:val="0"/>
        </w:rPr>
        <w:t xml:space="preserve">La </w:t>
      </w:r>
      <w:r w:rsidRPr="003723B8">
        <w:rPr>
          <w:rFonts w:ascii="Arial" w:hAnsi="Arial" w:cs="Arial"/>
          <w:b w:val="0"/>
        </w:rPr>
        <w:fldChar w:fldCharType="begin"/>
      </w:r>
      <w:r w:rsidRPr="003723B8">
        <w:rPr>
          <w:rFonts w:ascii="Arial" w:hAnsi="Arial" w:cs="Arial"/>
          <w:b w:val="0"/>
        </w:rPr>
        <w:instrText xml:space="preserve"> REF _Ref480187827 \h  \* MERGEFORMAT </w:instrText>
      </w:r>
      <w:r w:rsidRPr="003723B8">
        <w:rPr>
          <w:rFonts w:ascii="Arial" w:hAnsi="Arial" w:cs="Arial"/>
          <w:b w:val="0"/>
        </w:rPr>
      </w:r>
      <w:r w:rsidRPr="003723B8">
        <w:rPr>
          <w:rFonts w:ascii="Arial" w:hAnsi="Arial" w:cs="Arial"/>
          <w:b w:val="0"/>
        </w:rPr>
        <w:fldChar w:fldCharType="separate"/>
      </w:r>
      <w:r w:rsidR="009F66B5" w:rsidRPr="003723B8">
        <w:rPr>
          <w:rFonts w:ascii="Arial" w:hAnsi="Arial" w:cs="Arial"/>
          <w:b w:val="0"/>
        </w:rPr>
        <w:t xml:space="preserve">Tabla </w:t>
      </w:r>
      <w:r w:rsidR="003723B8">
        <w:rPr>
          <w:rFonts w:ascii="Arial" w:hAnsi="Arial" w:cs="Arial"/>
          <w:b w:val="0"/>
        </w:rPr>
        <w:t>IV-</w:t>
      </w:r>
      <w:r w:rsidR="009F66B5" w:rsidRPr="003723B8">
        <w:rPr>
          <w:rFonts w:ascii="Arial" w:hAnsi="Arial" w:cs="Arial"/>
          <w:b w:val="0"/>
        </w:rPr>
        <w:t>1</w:t>
      </w:r>
      <w:r w:rsidRPr="003723B8">
        <w:rPr>
          <w:rFonts w:ascii="Arial" w:hAnsi="Arial" w:cs="Arial"/>
          <w:b w:val="0"/>
        </w:rPr>
        <w:fldChar w:fldCharType="end"/>
      </w:r>
      <w:r w:rsidR="00812BFF" w:rsidRPr="003723B8">
        <w:rPr>
          <w:rFonts w:ascii="Arial" w:hAnsi="Arial" w:cs="Arial"/>
          <w:b w:val="0"/>
        </w:rPr>
        <w:t xml:space="preserve"> presenta el detalle de las inversiones a precio de mercado,</w:t>
      </w:r>
      <w:r w:rsidRPr="003723B8">
        <w:rPr>
          <w:rFonts w:ascii="Arial" w:hAnsi="Arial" w:cs="Arial"/>
          <w:b w:val="0"/>
        </w:rPr>
        <w:t xml:space="preserve"> mientras que</w:t>
      </w:r>
      <w:r w:rsidR="00812BFF" w:rsidRPr="003723B8">
        <w:rPr>
          <w:rFonts w:ascii="Arial" w:hAnsi="Arial" w:cs="Arial"/>
          <w:b w:val="0"/>
        </w:rPr>
        <w:t xml:space="preserve"> </w:t>
      </w:r>
      <w:r w:rsidRPr="003723B8">
        <w:rPr>
          <w:rFonts w:ascii="Arial" w:hAnsi="Arial" w:cs="Arial"/>
          <w:b w:val="0"/>
        </w:rPr>
        <w:t xml:space="preserve">las </w:t>
      </w:r>
      <w:r w:rsidR="00812BFF" w:rsidRPr="003723B8">
        <w:rPr>
          <w:rFonts w:ascii="Arial" w:hAnsi="Arial" w:cs="Arial"/>
          <w:b w:val="0"/>
        </w:rPr>
        <w:t>razones de precio de</w:t>
      </w:r>
      <w:r w:rsidR="00812BFF" w:rsidRPr="003723B8">
        <w:rPr>
          <w:rFonts w:ascii="Arial" w:hAnsi="Arial" w:cs="Arial"/>
          <w:b w:val="0"/>
          <w:iCs w:val="0"/>
          <w:szCs w:val="22"/>
        </w:rPr>
        <w:t xml:space="preserve"> cuenta utilizadas </w:t>
      </w:r>
      <w:r w:rsidRPr="003723B8">
        <w:rPr>
          <w:rFonts w:ascii="Arial" w:hAnsi="Arial" w:cs="Arial"/>
          <w:b w:val="0"/>
          <w:iCs w:val="0"/>
          <w:szCs w:val="22"/>
        </w:rPr>
        <w:t xml:space="preserve">y las </w:t>
      </w:r>
      <w:r w:rsidR="00812BFF" w:rsidRPr="003723B8">
        <w:rPr>
          <w:rFonts w:ascii="Arial" w:hAnsi="Arial" w:cs="Arial"/>
          <w:b w:val="0"/>
          <w:iCs w:val="0"/>
          <w:szCs w:val="22"/>
        </w:rPr>
        <w:t>inversiones a precios de cuenta</w:t>
      </w:r>
      <w:r w:rsidRPr="003723B8">
        <w:rPr>
          <w:rFonts w:ascii="Arial" w:hAnsi="Arial" w:cs="Arial"/>
          <w:b w:val="0"/>
          <w:iCs w:val="0"/>
          <w:szCs w:val="22"/>
        </w:rPr>
        <w:t xml:space="preserve"> se presentan en la </w:t>
      </w:r>
      <w:r w:rsidRPr="003723B8">
        <w:rPr>
          <w:rFonts w:ascii="Arial" w:hAnsi="Arial" w:cs="Arial"/>
          <w:b w:val="0"/>
          <w:iCs w:val="0"/>
          <w:szCs w:val="22"/>
        </w:rPr>
        <w:fldChar w:fldCharType="begin"/>
      </w:r>
      <w:r w:rsidRPr="003723B8">
        <w:rPr>
          <w:rFonts w:ascii="Arial" w:hAnsi="Arial" w:cs="Arial"/>
          <w:b w:val="0"/>
          <w:iCs w:val="0"/>
          <w:szCs w:val="22"/>
        </w:rPr>
        <w:instrText xml:space="preserve"> REF _Ref480187904 \h  \* MERGEFORMAT </w:instrText>
      </w:r>
      <w:r w:rsidRPr="003723B8">
        <w:rPr>
          <w:rFonts w:ascii="Arial" w:hAnsi="Arial" w:cs="Arial"/>
          <w:b w:val="0"/>
          <w:iCs w:val="0"/>
          <w:szCs w:val="22"/>
        </w:rPr>
      </w:r>
      <w:r w:rsidRPr="003723B8">
        <w:rPr>
          <w:rFonts w:ascii="Arial" w:hAnsi="Arial" w:cs="Arial"/>
          <w:b w:val="0"/>
          <w:iCs w:val="0"/>
          <w:szCs w:val="22"/>
        </w:rPr>
        <w:fldChar w:fldCharType="separate"/>
      </w:r>
      <w:r w:rsidR="009F66B5" w:rsidRPr="003723B8">
        <w:rPr>
          <w:rFonts w:ascii="Arial" w:hAnsi="Arial" w:cs="Arial"/>
          <w:b w:val="0"/>
        </w:rPr>
        <w:t xml:space="preserve">Tabla </w:t>
      </w:r>
      <w:r w:rsidR="003723B8">
        <w:rPr>
          <w:rFonts w:ascii="Arial" w:hAnsi="Arial" w:cs="Arial"/>
          <w:b w:val="0"/>
        </w:rPr>
        <w:t xml:space="preserve"> IV-2</w:t>
      </w:r>
      <w:r w:rsidRPr="003723B8">
        <w:rPr>
          <w:rFonts w:ascii="Arial" w:hAnsi="Arial" w:cs="Arial"/>
          <w:b w:val="0"/>
          <w:iCs w:val="0"/>
          <w:szCs w:val="22"/>
        </w:rPr>
        <w:fldChar w:fldCharType="end"/>
      </w:r>
      <w:r w:rsidRPr="003723B8">
        <w:rPr>
          <w:rFonts w:ascii="Arial" w:hAnsi="Arial" w:cs="Arial"/>
          <w:b w:val="0"/>
          <w:iCs w:val="0"/>
          <w:szCs w:val="22"/>
        </w:rPr>
        <w:t xml:space="preserve"> y la </w:t>
      </w:r>
      <w:r w:rsidRPr="003723B8">
        <w:rPr>
          <w:rFonts w:ascii="Arial" w:hAnsi="Arial" w:cs="Arial"/>
          <w:b w:val="0"/>
          <w:iCs w:val="0"/>
          <w:szCs w:val="22"/>
        </w:rPr>
        <w:fldChar w:fldCharType="begin"/>
      </w:r>
      <w:r w:rsidRPr="003723B8">
        <w:rPr>
          <w:rFonts w:ascii="Arial" w:hAnsi="Arial" w:cs="Arial"/>
          <w:b w:val="0"/>
          <w:iCs w:val="0"/>
          <w:szCs w:val="22"/>
        </w:rPr>
        <w:instrText xml:space="preserve"> REF _Ref480187917 \h  \* MERGEFORMAT </w:instrText>
      </w:r>
      <w:r w:rsidRPr="003723B8">
        <w:rPr>
          <w:rFonts w:ascii="Arial" w:hAnsi="Arial" w:cs="Arial"/>
          <w:b w:val="0"/>
          <w:iCs w:val="0"/>
          <w:szCs w:val="22"/>
        </w:rPr>
      </w:r>
      <w:r w:rsidRPr="003723B8">
        <w:rPr>
          <w:rFonts w:ascii="Arial" w:hAnsi="Arial" w:cs="Arial"/>
          <w:b w:val="0"/>
          <w:iCs w:val="0"/>
          <w:szCs w:val="22"/>
        </w:rPr>
        <w:fldChar w:fldCharType="separate"/>
      </w:r>
      <w:r w:rsidR="009F66B5" w:rsidRPr="003723B8">
        <w:rPr>
          <w:rFonts w:ascii="Arial" w:hAnsi="Arial" w:cs="Arial"/>
          <w:b w:val="0"/>
        </w:rPr>
        <w:t xml:space="preserve">Tabla </w:t>
      </w:r>
      <w:r w:rsidR="003723B8">
        <w:rPr>
          <w:rFonts w:ascii="Arial" w:hAnsi="Arial" w:cs="Arial"/>
          <w:b w:val="0"/>
        </w:rPr>
        <w:t>IV-3</w:t>
      </w:r>
      <w:r w:rsidRPr="003723B8">
        <w:rPr>
          <w:rFonts w:ascii="Arial" w:hAnsi="Arial" w:cs="Arial"/>
          <w:b w:val="0"/>
          <w:iCs w:val="0"/>
          <w:szCs w:val="22"/>
        </w:rPr>
        <w:fldChar w:fldCharType="end"/>
      </w:r>
      <w:r w:rsidRPr="003723B8">
        <w:rPr>
          <w:rFonts w:ascii="Arial" w:hAnsi="Arial" w:cs="Arial"/>
          <w:b w:val="0"/>
          <w:iCs w:val="0"/>
          <w:szCs w:val="22"/>
        </w:rPr>
        <w:t xml:space="preserve"> respectivamente</w:t>
      </w:r>
      <w:r w:rsidR="00812BFF" w:rsidRPr="003723B8">
        <w:rPr>
          <w:rFonts w:ascii="Arial" w:hAnsi="Arial" w:cs="Arial"/>
          <w:b w:val="0"/>
          <w:iCs w:val="0"/>
          <w:szCs w:val="22"/>
        </w:rPr>
        <w:t>.</w:t>
      </w:r>
    </w:p>
    <w:p w14:paraId="6F1E4F53" w14:textId="77777777" w:rsidR="002B2A6C" w:rsidRPr="003723B8" w:rsidRDefault="002B2A6C" w:rsidP="002B2A6C">
      <w:pPr>
        <w:rPr>
          <w:rFonts w:ascii="Arial" w:hAnsi="Arial" w:cs="Arial"/>
        </w:rPr>
      </w:pPr>
    </w:p>
    <w:p w14:paraId="378A8898" w14:textId="381B9A0C" w:rsidR="008565A3" w:rsidRPr="003723B8" w:rsidRDefault="008565A3" w:rsidP="00812BFF">
      <w:pPr>
        <w:pStyle w:val="Caption"/>
        <w:rPr>
          <w:rFonts w:ascii="Arial" w:hAnsi="Arial" w:cs="Arial"/>
        </w:rPr>
      </w:pPr>
      <w:bookmarkStart w:id="106" w:name="_Ref480187827"/>
      <w:r w:rsidRPr="003723B8">
        <w:rPr>
          <w:rFonts w:ascii="Arial" w:hAnsi="Arial" w:cs="Arial"/>
        </w:rPr>
        <w:t xml:space="preserve">Tabla </w:t>
      </w:r>
      <w:r w:rsidR="003723B8">
        <w:rPr>
          <w:rFonts w:ascii="Arial" w:hAnsi="Arial" w:cs="Arial"/>
        </w:rPr>
        <w:t>IV-1:</w:t>
      </w:r>
      <w:r w:rsidR="000B2DBC" w:rsidRPr="003723B8">
        <w:rPr>
          <w:rFonts w:ascii="Arial" w:hAnsi="Arial" w:cs="Arial"/>
          <w:color w:val="FFFFFF" w:themeColor="background1"/>
        </w:rPr>
        <w:fldChar w:fldCharType="begin"/>
      </w:r>
      <w:r w:rsidR="000B2DBC" w:rsidRPr="003723B8">
        <w:rPr>
          <w:rFonts w:ascii="Arial" w:hAnsi="Arial" w:cs="Arial"/>
          <w:color w:val="FFFFFF" w:themeColor="background1"/>
        </w:rPr>
        <w:instrText xml:space="preserve"> SEQ Tabla \* ARABIC </w:instrText>
      </w:r>
      <w:r w:rsidR="000B2DBC" w:rsidRPr="003723B8">
        <w:rPr>
          <w:rFonts w:ascii="Arial" w:hAnsi="Arial" w:cs="Arial"/>
          <w:color w:val="FFFFFF" w:themeColor="background1"/>
        </w:rPr>
        <w:fldChar w:fldCharType="separate"/>
      </w:r>
      <w:r w:rsidR="009F66B5" w:rsidRPr="003723B8">
        <w:rPr>
          <w:rFonts w:ascii="Arial" w:hAnsi="Arial" w:cs="Arial"/>
          <w:noProof/>
          <w:color w:val="FFFFFF" w:themeColor="background1"/>
        </w:rPr>
        <w:t>18</w:t>
      </w:r>
      <w:r w:rsidR="000B2DBC" w:rsidRPr="003723B8">
        <w:rPr>
          <w:rFonts w:ascii="Arial" w:hAnsi="Arial" w:cs="Arial"/>
          <w:noProof/>
          <w:color w:val="FFFFFF" w:themeColor="background1"/>
        </w:rPr>
        <w:fldChar w:fldCharType="end"/>
      </w:r>
      <w:bookmarkEnd w:id="106"/>
      <w:r w:rsidRPr="003723B8">
        <w:rPr>
          <w:rFonts w:ascii="Arial" w:hAnsi="Arial" w:cs="Arial"/>
        </w:rPr>
        <w:t xml:space="preserve"> Detalle de inversiones a precios de mercado. Miles de USD.</w:t>
      </w:r>
    </w:p>
    <w:p w14:paraId="40211ED9" w14:textId="4936DC53" w:rsidR="00AD3C1C" w:rsidRPr="003723B8" w:rsidRDefault="000A6ED1" w:rsidP="00AD3C1C">
      <w:pPr>
        <w:rPr>
          <w:rFonts w:ascii="Arial" w:hAnsi="Arial" w:cs="Arial"/>
        </w:rPr>
      </w:pPr>
      <w:r w:rsidRPr="003723B8">
        <w:rPr>
          <w:rFonts w:ascii="Arial" w:hAnsi="Arial" w:cs="Arial"/>
          <w:noProof/>
          <w:lang w:eastAsia="es-AR"/>
        </w:rPr>
        <w:drawing>
          <wp:inline distT="0" distB="0" distL="0" distR="0" wp14:anchorId="3D04C257" wp14:editId="3C1B949B">
            <wp:extent cx="5144770" cy="263207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44770" cy="2632075"/>
                    </a:xfrm>
                    <a:prstGeom prst="rect">
                      <a:avLst/>
                    </a:prstGeom>
                    <a:noFill/>
                    <a:ln>
                      <a:noFill/>
                    </a:ln>
                  </pic:spPr>
                </pic:pic>
              </a:graphicData>
            </a:graphic>
          </wp:inline>
        </w:drawing>
      </w:r>
    </w:p>
    <w:p w14:paraId="413F411E" w14:textId="6B99A484" w:rsidR="008565A3" w:rsidRPr="003723B8" w:rsidRDefault="008565A3" w:rsidP="004F131E">
      <w:pPr>
        <w:pStyle w:val="Caption"/>
        <w:rPr>
          <w:rFonts w:ascii="Arial" w:hAnsi="Arial" w:cs="Arial"/>
        </w:rPr>
      </w:pPr>
      <w:bookmarkStart w:id="107" w:name="_Ref480187904"/>
      <w:r w:rsidRPr="003723B8">
        <w:rPr>
          <w:rFonts w:ascii="Arial" w:hAnsi="Arial" w:cs="Arial"/>
        </w:rPr>
        <w:lastRenderedPageBreak/>
        <w:t xml:space="preserve">Tabla </w:t>
      </w:r>
      <w:r w:rsidR="003723B8">
        <w:rPr>
          <w:rFonts w:ascii="Arial" w:hAnsi="Arial" w:cs="Arial"/>
        </w:rPr>
        <w:t>IV-2:</w:t>
      </w:r>
      <w:r w:rsidR="000B2DBC" w:rsidRPr="003723B8">
        <w:rPr>
          <w:rFonts w:ascii="Arial" w:hAnsi="Arial" w:cs="Arial"/>
          <w:color w:val="FFFFFF" w:themeColor="background1"/>
        </w:rPr>
        <w:fldChar w:fldCharType="begin"/>
      </w:r>
      <w:r w:rsidR="000B2DBC" w:rsidRPr="003723B8">
        <w:rPr>
          <w:rFonts w:ascii="Arial" w:hAnsi="Arial" w:cs="Arial"/>
          <w:color w:val="FFFFFF" w:themeColor="background1"/>
        </w:rPr>
        <w:instrText xml:space="preserve"> SEQ Tabla \* ARABIC </w:instrText>
      </w:r>
      <w:r w:rsidR="000B2DBC" w:rsidRPr="003723B8">
        <w:rPr>
          <w:rFonts w:ascii="Arial" w:hAnsi="Arial" w:cs="Arial"/>
          <w:color w:val="FFFFFF" w:themeColor="background1"/>
        </w:rPr>
        <w:fldChar w:fldCharType="separate"/>
      </w:r>
      <w:r w:rsidR="009F66B5" w:rsidRPr="003723B8">
        <w:rPr>
          <w:rFonts w:ascii="Arial" w:hAnsi="Arial" w:cs="Arial"/>
          <w:noProof/>
          <w:color w:val="FFFFFF" w:themeColor="background1"/>
        </w:rPr>
        <w:t>19</w:t>
      </w:r>
      <w:r w:rsidR="000B2DBC" w:rsidRPr="003723B8">
        <w:rPr>
          <w:rFonts w:ascii="Arial" w:hAnsi="Arial" w:cs="Arial"/>
          <w:noProof/>
          <w:color w:val="FFFFFF" w:themeColor="background1"/>
        </w:rPr>
        <w:fldChar w:fldCharType="end"/>
      </w:r>
      <w:bookmarkEnd w:id="107"/>
      <w:r w:rsidRPr="003723B8">
        <w:rPr>
          <w:rFonts w:ascii="Arial" w:hAnsi="Arial" w:cs="Arial"/>
          <w:color w:val="FFFFFF" w:themeColor="background1"/>
        </w:rPr>
        <w:t xml:space="preserve"> </w:t>
      </w:r>
      <w:r w:rsidRPr="003723B8">
        <w:rPr>
          <w:rFonts w:ascii="Arial" w:hAnsi="Arial" w:cs="Arial"/>
        </w:rPr>
        <w:t>Razones de precio de cuenta aplicadas.</w:t>
      </w:r>
    </w:p>
    <w:p w14:paraId="4B7A73CD" w14:textId="12EB1BBF" w:rsidR="008565A3" w:rsidRPr="003723B8" w:rsidRDefault="008565A3" w:rsidP="00AD3C1C">
      <w:pPr>
        <w:rPr>
          <w:rFonts w:ascii="Arial" w:hAnsi="Arial" w:cs="Arial"/>
        </w:rPr>
      </w:pPr>
      <w:r w:rsidRPr="003723B8">
        <w:rPr>
          <w:rFonts w:ascii="Arial" w:hAnsi="Arial" w:cs="Arial"/>
          <w:noProof/>
          <w:lang w:eastAsia="es-AR"/>
        </w:rPr>
        <w:drawing>
          <wp:inline distT="0" distB="0" distL="0" distR="0" wp14:anchorId="506860BB" wp14:editId="76948E29">
            <wp:extent cx="2902108" cy="179699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08274" cy="1800813"/>
                    </a:xfrm>
                    <a:prstGeom prst="rect">
                      <a:avLst/>
                    </a:prstGeom>
                    <a:noFill/>
                    <a:ln>
                      <a:noFill/>
                    </a:ln>
                  </pic:spPr>
                </pic:pic>
              </a:graphicData>
            </a:graphic>
          </wp:inline>
        </w:drawing>
      </w:r>
    </w:p>
    <w:p w14:paraId="79F04E13" w14:textId="0182CB5F" w:rsidR="008565A3" w:rsidRPr="003723B8" w:rsidRDefault="008565A3" w:rsidP="004F131E">
      <w:pPr>
        <w:pStyle w:val="Caption"/>
        <w:rPr>
          <w:rFonts w:ascii="Arial" w:hAnsi="Arial" w:cs="Arial"/>
        </w:rPr>
      </w:pPr>
      <w:bookmarkStart w:id="108" w:name="_Ref480187917"/>
      <w:r w:rsidRPr="003723B8">
        <w:rPr>
          <w:rFonts w:ascii="Arial" w:hAnsi="Arial" w:cs="Arial"/>
        </w:rPr>
        <w:t xml:space="preserve">Tabla </w:t>
      </w:r>
      <w:r w:rsidR="003723B8">
        <w:rPr>
          <w:rFonts w:ascii="Arial" w:hAnsi="Arial" w:cs="Arial"/>
        </w:rPr>
        <w:t>IV-3:</w:t>
      </w:r>
      <w:r w:rsidR="000B2DBC" w:rsidRPr="003723B8">
        <w:rPr>
          <w:rFonts w:ascii="Arial" w:hAnsi="Arial" w:cs="Arial"/>
          <w:color w:val="FFFFFF" w:themeColor="background1"/>
        </w:rPr>
        <w:fldChar w:fldCharType="begin"/>
      </w:r>
      <w:r w:rsidR="000B2DBC" w:rsidRPr="003723B8">
        <w:rPr>
          <w:rFonts w:ascii="Arial" w:hAnsi="Arial" w:cs="Arial"/>
          <w:color w:val="FFFFFF" w:themeColor="background1"/>
        </w:rPr>
        <w:instrText xml:space="preserve"> SEQ Tabla \* ARABIC </w:instrText>
      </w:r>
      <w:r w:rsidR="000B2DBC" w:rsidRPr="003723B8">
        <w:rPr>
          <w:rFonts w:ascii="Arial" w:hAnsi="Arial" w:cs="Arial"/>
          <w:color w:val="FFFFFF" w:themeColor="background1"/>
        </w:rPr>
        <w:fldChar w:fldCharType="separate"/>
      </w:r>
      <w:r w:rsidR="009F66B5" w:rsidRPr="003723B8">
        <w:rPr>
          <w:rFonts w:ascii="Arial" w:hAnsi="Arial" w:cs="Arial"/>
          <w:noProof/>
          <w:color w:val="FFFFFF" w:themeColor="background1"/>
        </w:rPr>
        <w:t>20</w:t>
      </w:r>
      <w:r w:rsidR="000B2DBC" w:rsidRPr="003723B8">
        <w:rPr>
          <w:rFonts w:ascii="Arial" w:hAnsi="Arial" w:cs="Arial"/>
          <w:noProof/>
          <w:color w:val="FFFFFF" w:themeColor="background1"/>
        </w:rPr>
        <w:fldChar w:fldCharType="end"/>
      </w:r>
      <w:bookmarkEnd w:id="108"/>
      <w:r w:rsidRPr="003723B8">
        <w:rPr>
          <w:rFonts w:ascii="Arial" w:hAnsi="Arial" w:cs="Arial"/>
        </w:rPr>
        <w:t xml:space="preserve"> Detalle de inversiones a precios de cuenta. Miles de USD.</w:t>
      </w:r>
    </w:p>
    <w:p w14:paraId="547C8E20" w14:textId="0CEC8A08" w:rsidR="008565A3" w:rsidRPr="003723B8" w:rsidRDefault="000A6ED1" w:rsidP="00AD3C1C">
      <w:pPr>
        <w:rPr>
          <w:rFonts w:ascii="Arial" w:hAnsi="Arial" w:cs="Arial"/>
        </w:rPr>
      </w:pPr>
      <w:r w:rsidRPr="003723B8">
        <w:rPr>
          <w:rFonts w:ascii="Arial" w:hAnsi="Arial" w:cs="Arial"/>
          <w:noProof/>
          <w:lang w:eastAsia="es-AR"/>
        </w:rPr>
        <w:drawing>
          <wp:inline distT="0" distB="0" distL="0" distR="0" wp14:anchorId="63E894CE" wp14:editId="79ABE981">
            <wp:extent cx="5144770" cy="263207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44770" cy="2632075"/>
                    </a:xfrm>
                    <a:prstGeom prst="rect">
                      <a:avLst/>
                    </a:prstGeom>
                    <a:noFill/>
                    <a:ln>
                      <a:noFill/>
                    </a:ln>
                  </pic:spPr>
                </pic:pic>
              </a:graphicData>
            </a:graphic>
          </wp:inline>
        </w:drawing>
      </w:r>
    </w:p>
    <w:p w14:paraId="111B2E8D" w14:textId="2E0DC169" w:rsidR="008565A3" w:rsidRPr="003723B8" w:rsidRDefault="00962734" w:rsidP="00AD3C1C">
      <w:pPr>
        <w:rPr>
          <w:rFonts w:ascii="Arial" w:hAnsi="Arial" w:cs="Arial"/>
        </w:rPr>
      </w:pPr>
      <w:r w:rsidRPr="003723B8">
        <w:rPr>
          <w:rFonts w:ascii="Arial" w:hAnsi="Arial" w:cs="Arial"/>
        </w:rPr>
        <w:t>Asimismo, considerando la programación de obras definida, las erogaciones a incorporar en el flujo de fondos del proyecto en materia de inversiones son las que se presentan en la siguiente tabla.</w:t>
      </w:r>
    </w:p>
    <w:p w14:paraId="7A2CE86A" w14:textId="795842DE" w:rsidR="00962734" w:rsidRPr="003723B8" w:rsidRDefault="00962734" w:rsidP="004F131E">
      <w:pPr>
        <w:pStyle w:val="Caption"/>
        <w:rPr>
          <w:rFonts w:ascii="Arial" w:hAnsi="Arial" w:cs="Arial"/>
        </w:rPr>
      </w:pPr>
      <w:bookmarkStart w:id="109" w:name="_Ref480192282"/>
      <w:r w:rsidRPr="003723B8">
        <w:rPr>
          <w:rFonts w:ascii="Arial" w:hAnsi="Arial" w:cs="Arial"/>
        </w:rPr>
        <w:t xml:space="preserve">Tabla </w:t>
      </w:r>
      <w:r w:rsidR="003723B8">
        <w:rPr>
          <w:rFonts w:ascii="Arial" w:hAnsi="Arial" w:cs="Arial"/>
        </w:rPr>
        <w:t>IV-4:</w:t>
      </w:r>
      <w:r w:rsidR="000B2DBC" w:rsidRPr="003723B8">
        <w:rPr>
          <w:rFonts w:ascii="Arial" w:hAnsi="Arial" w:cs="Arial"/>
          <w:color w:val="FFFFFF" w:themeColor="background1"/>
        </w:rPr>
        <w:fldChar w:fldCharType="begin"/>
      </w:r>
      <w:r w:rsidR="000B2DBC" w:rsidRPr="003723B8">
        <w:rPr>
          <w:rFonts w:ascii="Arial" w:hAnsi="Arial" w:cs="Arial"/>
          <w:color w:val="FFFFFF" w:themeColor="background1"/>
        </w:rPr>
        <w:instrText xml:space="preserve"> SEQ Tabla \* ARABIC </w:instrText>
      </w:r>
      <w:r w:rsidR="000B2DBC" w:rsidRPr="003723B8">
        <w:rPr>
          <w:rFonts w:ascii="Arial" w:hAnsi="Arial" w:cs="Arial"/>
          <w:color w:val="FFFFFF" w:themeColor="background1"/>
        </w:rPr>
        <w:fldChar w:fldCharType="separate"/>
      </w:r>
      <w:r w:rsidR="009F66B5" w:rsidRPr="003723B8">
        <w:rPr>
          <w:rFonts w:ascii="Arial" w:hAnsi="Arial" w:cs="Arial"/>
          <w:noProof/>
          <w:color w:val="FFFFFF" w:themeColor="background1"/>
        </w:rPr>
        <w:t>21</w:t>
      </w:r>
      <w:r w:rsidR="000B2DBC" w:rsidRPr="003723B8">
        <w:rPr>
          <w:rFonts w:ascii="Arial" w:hAnsi="Arial" w:cs="Arial"/>
          <w:noProof/>
          <w:color w:val="FFFFFF" w:themeColor="background1"/>
        </w:rPr>
        <w:fldChar w:fldCharType="end"/>
      </w:r>
      <w:r w:rsidRPr="003723B8">
        <w:rPr>
          <w:rFonts w:ascii="Arial" w:hAnsi="Arial" w:cs="Arial"/>
          <w:color w:val="FFFFFF" w:themeColor="background1"/>
        </w:rPr>
        <w:t xml:space="preserve"> </w:t>
      </w:r>
      <w:r w:rsidRPr="003723B8">
        <w:rPr>
          <w:rFonts w:ascii="Arial" w:hAnsi="Arial" w:cs="Arial"/>
        </w:rPr>
        <w:t>Cronograma de inversiones a precios de cuenta. Miles USD.</w:t>
      </w:r>
      <w:bookmarkEnd w:id="109"/>
    </w:p>
    <w:p w14:paraId="2296100B" w14:textId="5C541B1F" w:rsidR="00687687" w:rsidRPr="003723B8" w:rsidRDefault="000A6ED1" w:rsidP="00AD3C1C">
      <w:pPr>
        <w:rPr>
          <w:rFonts w:ascii="Arial" w:hAnsi="Arial" w:cs="Arial"/>
        </w:rPr>
      </w:pPr>
      <w:r w:rsidRPr="003723B8">
        <w:rPr>
          <w:rFonts w:ascii="Arial" w:hAnsi="Arial" w:cs="Arial"/>
          <w:noProof/>
          <w:lang w:eastAsia="es-AR"/>
        </w:rPr>
        <w:drawing>
          <wp:inline distT="0" distB="0" distL="0" distR="0" wp14:anchorId="0C0C873C" wp14:editId="5509FA10">
            <wp:extent cx="4746625" cy="183705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46625" cy="1837055"/>
                    </a:xfrm>
                    <a:prstGeom prst="rect">
                      <a:avLst/>
                    </a:prstGeom>
                    <a:noFill/>
                    <a:ln>
                      <a:noFill/>
                    </a:ln>
                  </pic:spPr>
                </pic:pic>
              </a:graphicData>
            </a:graphic>
          </wp:inline>
        </w:drawing>
      </w:r>
    </w:p>
    <w:p w14:paraId="22CF7736" w14:textId="1AD8828B" w:rsidR="00962734" w:rsidRPr="003723B8" w:rsidRDefault="00962734" w:rsidP="000A6ED1">
      <w:pPr>
        <w:rPr>
          <w:rFonts w:ascii="Arial" w:hAnsi="Arial" w:cs="Arial"/>
        </w:rPr>
      </w:pPr>
      <w:r w:rsidRPr="003723B8">
        <w:rPr>
          <w:rFonts w:ascii="Arial" w:hAnsi="Arial" w:cs="Arial"/>
        </w:rPr>
        <w:t xml:space="preserve">Dado que el horizonte de evaluación del proyecto es de 20 años y la vida útil </w:t>
      </w:r>
      <w:r w:rsidR="000A6ED1" w:rsidRPr="003723B8">
        <w:rPr>
          <w:rFonts w:ascii="Arial" w:hAnsi="Arial" w:cs="Arial"/>
        </w:rPr>
        <w:t>de las obras sobre la red distribuidora (Construcción de Cabeceras) y las conexiones (instalación de medidores) se estima en 40 y 30 años respectivamente, al año 20 se incorpora el recupero de la vida útil remanente</w:t>
      </w:r>
      <w:r w:rsidRPr="003723B8">
        <w:rPr>
          <w:rFonts w:ascii="Arial" w:hAnsi="Arial" w:cs="Arial"/>
        </w:rPr>
        <w:t xml:space="preserve">. Adicionalmente, </w:t>
      </w:r>
      <w:r w:rsidR="000A6ED1" w:rsidRPr="003723B8">
        <w:rPr>
          <w:rFonts w:ascii="Arial" w:hAnsi="Arial" w:cs="Arial"/>
        </w:rPr>
        <w:t xml:space="preserve">en el caso de los </w:t>
      </w:r>
      <w:r w:rsidR="000A6ED1" w:rsidRPr="003723B8">
        <w:rPr>
          <w:rFonts w:ascii="Arial" w:hAnsi="Arial" w:cs="Arial"/>
        </w:rPr>
        <w:lastRenderedPageBreak/>
        <w:t>micromedidores se considera una vida útil de 10 años, por lo que al año 10 se incorpora la erogación correspondiente a su reemplazo</w:t>
      </w:r>
      <w:r w:rsidRPr="003723B8">
        <w:rPr>
          <w:rFonts w:ascii="Arial" w:hAnsi="Arial" w:cs="Arial"/>
        </w:rPr>
        <w:t>.</w:t>
      </w:r>
    </w:p>
    <w:p w14:paraId="7DC829BC" w14:textId="77777777" w:rsidR="00B956E9" w:rsidRPr="003723B8" w:rsidRDefault="00B956E9" w:rsidP="003B1C14">
      <w:pPr>
        <w:rPr>
          <w:rFonts w:ascii="Arial" w:hAnsi="Arial" w:cs="Arial"/>
        </w:rPr>
      </w:pPr>
    </w:p>
    <w:p w14:paraId="02F607FD" w14:textId="77777777" w:rsidR="003B1C14" w:rsidRPr="003723B8" w:rsidRDefault="003B1C14" w:rsidP="002B0107">
      <w:pPr>
        <w:pStyle w:val="Heading2"/>
      </w:pPr>
      <w:bookmarkStart w:id="110" w:name="_Toc485200093"/>
      <w:r w:rsidRPr="003723B8">
        <w:t>Costos de operación y mantenimiento.</w:t>
      </w:r>
      <w:bookmarkEnd w:id="110"/>
    </w:p>
    <w:p w14:paraId="670FBF34" w14:textId="77777777" w:rsidR="000A6ED1" w:rsidRPr="003723B8" w:rsidRDefault="000A6ED1" w:rsidP="000A6ED1">
      <w:pPr>
        <w:rPr>
          <w:rFonts w:ascii="Arial" w:hAnsi="Arial" w:cs="Arial"/>
        </w:rPr>
      </w:pPr>
      <w:r w:rsidRPr="003723B8">
        <w:rPr>
          <w:rFonts w:ascii="Arial" w:hAnsi="Arial" w:cs="Arial"/>
        </w:rPr>
        <w:t>El programa evaluado en el presente documento posee la particularidad de no incrementar los costos de operación y mantenimiento del sistema sino incluso reducirlos.</w:t>
      </w:r>
    </w:p>
    <w:p w14:paraId="62271D3B" w14:textId="77777777" w:rsidR="000A6ED1" w:rsidRPr="003723B8" w:rsidRDefault="000A6ED1" w:rsidP="000A6ED1">
      <w:pPr>
        <w:rPr>
          <w:rFonts w:ascii="Arial" w:hAnsi="Arial" w:cs="Arial"/>
        </w:rPr>
      </w:pPr>
      <w:r w:rsidRPr="003723B8">
        <w:rPr>
          <w:rFonts w:ascii="Arial" w:hAnsi="Arial" w:cs="Arial"/>
        </w:rPr>
        <w:t>En este sentido, la ejecución del programa permite recuperar para un uso útil agua potable que en la situación SIN proyecto es producida y transportada pero perdida antes de poder ser utilizada. En este sentido, la existencia del proyecto no altera los costos de producción del agua, tanto en sus componentes fijos como variables.</w:t>
      </w:r>
    </w:p>
    <w:p w14:paraId="11995D7E" w14:textId="4FDB2A30" w:rsidR="000A6ED1" w:rsidRPr="003723B8" w:rsidRDefault="000A6ED1" w:rsidP="000A6ED1">
      <w:pPr>
        <w:rPr>
          <w:rFonts w:ascii="Arial" w:hAnsi="Arial" w:cs="Arial"/>
        </w:rPr>
      </w:pPr>
      <w:r w:rsidRPr="003723B8">
        <w:rPr>
          <w:rFonts w:ascii="Arial" w:hAnsi="Arial" w:cs="Arial"/>
        </w:rPr>
        <w:t>En el caso del transporte y la distribución, el proyecto genera un impacto de difícil cuantificación. Por un lado en la situación SIN proyecto el agua ya es transportada hasta los puntos en que se producen las pérdidas, ocasionándose un gasto de transporte. Por otro lado, la eliminación/reducción de tales pérdidas permitirá llevar el agua ahorrada a puntos más lejanos del sistema de distribución (lugares en los que se asienta la mayor parte de la demanda insatisfecha), produciéndose por ende un incremento en los costos de transporte y distribución.</w:t>
      </w:r>
    </w:p>
    <w:p w14:paraId="43A46452" w14:textId="66587034" w:rsidR="000A6ED1" w:rsidRPr="003723B8" w:rsidRDefault="000A6ED1" w:rsidP="000A6ED1">
      <w:pPr>
        <w:rPr>
          <w:rFonts w:ascii="Arial" w:hAnsi="Arial" w:cs="Arial"/>
        </w:rPr>
      </w:pPr>
      <w:r w:rsidRPr="003723B8">
        <w:rPr>
          <w:rFonts w:ascii="Arial" w:hAnsi="Arial" w:cs="Arial"/>
        </w:rPr>
        <w:t>Según los criterios de evaluación de proyectos, este último incremento de costos es el que debería considerarse, sin embargo dada la complejidad del sistema y la imposibilidad de calcular los costos diferenciales debido a la existencia de múltiples puntos de ahorro y múltiples puntos de destino del agua ahorrada, para la presente evaluación se considerarán los costos medios variables de transporte y distribución de la empresa a precios de cuenta. Esta decisión encierra un considerable margen de seguridad ya que según se argumentó, solo corresponde imputar al proyecto los costos diferenciales generados por este, además de esperarse una reducción efectiva en el total de agua producida.</w:t>
      </w:r>
    </w:p>
    <w:p w14:paraId="14A96473" w14:textId="7E32761F" w:rsidR="000A6ED1" w:rsidRPr="003723B8" w:rsidRDefault="000A6ED1" w:rsidP="000A6ED1">
      <w:pPr>
        <w:rPr>
          <w:rFonts w:ascii="Arial" w:hAnsi="Arial" w:cs="Arial"/>
        </w:rPr>
      </w:pPr>
      <w:r w:rsidRPr="003723B8">
        <w:rPr>
          <w:rFonts w:ascii="Arial" w:hAnsi="Arial" w:cs="Arial"/>
        </w:rPr>
        <w:t>De este modo, para el caso de los costos de transporte y suministro se adoptaron los valores medios de la empresa surgidos de la contabilidad regulatoria.</w:t>
      </w:r>
    </w:p>
    <w:p w14:paraId="7C0F6324" w14:textId="46769773" w:rsidR="000663C3" w:rsidRPr="003723B8" w:rsidRDefault="000A6ED1" w:rsidP="000A6ED1">
      <w:pPr>
        <w:rPr>
          <w:rFonts w:ascii="Arial" w:hAnsi="Arial" w:cs="Arial"/>
        </w:rPr>
      </w:pPr>
      <w:r w:rsidRPr="003723B8">
        <w:rPr>
          <w:rFonts w:ascii="Arial" w:hAnsi="Arial" w:cs="Arial"/>
        </w:rPr>
        <w:t xml:space="preserve">La </w:t>
      </w:r>
      <w:r w:rsidRPr="003723B8">
        <w:rPr>
          <w:rFonts w:ascii="Arial" w:hAnsi="Arial" w:cs="Arial"/>
        </w:rPr>
        <w:fldChar w:fldCharType="begin"/>
      </w:r>
      <w:r w:rsidRPr="003723B8">
        <w:rPr>
          <w:rFonts w:ascii="Arial" w:hAnsi="Arial" w:cs="Arial"/>
        </w:rPr>
        <w:instrText xml:space="preserve"> REF _Ref480189432 \h </w:instrText>
      </w:r>
      <w:r w:rsidR="003723B8">
        <w:rPr>
          <w:rFonts w:ascii="Arial" w:hAnsi="Arial" w:cs="Arial"/>
        </w:rPr>
        <w:instrText xml:space="preserve"> \* MERGEFORMAT </w:instrText>
      </w:r>
      <w:r w:rsidRPr="003723B8">
        <w:rPr>
          <w:rFonts w:ascii="Arial" w:hAnsi="Arial" w:cs="Arial"/>
        </w:rPr>
      </w:r>
      <w:r w:rsidRPr="003723B8">
        <w:rPr>
          <w:rFonts w:ascii="Arial" w:hAnsi="Arial" w:cs="Arial"/>
        </w:rPr>
        <w:fldChar w:fldCharType="separate"/>
      </w:r>
      <w:r w:rsidR="009F66B5" w:rsidRPr="003723B8">
        <w:rPr>
          <w:rFonts w:ascii="Arial" w:hAnsi="Arial" w:cs="Arial"/>
        </w:rPr>
        <w:t xml:space="preserve">Tabla </w:t>
      </w:r>
      <w:r w:rsidR="003723B8">
        <w:rPr>
          <w:rFonts w:ascii="Arial" w:hAnsi="Arial" w:cs="Arial"/>
        </w:rPr>
        <w:t>IV-5</w:t>
      </w:r>
      <w:r w:rsidRPr="003723B8">
        <w:rPr>
          <w:rFonts w:ascii="Arial" w:hAnsi="Arial" w:cs="Arial"/>
        </w:rPr>
        <w:fldChar w:fldCharType="end"/>
      </w:r>
      <w:r w:rsidRPr="003723B8">
        <w:rPr>
          <w:rFonts w:ascii="Arial" w:hAnsi="Arial" w:cs="Arial"/>
        </w:rPr>
        <w:t xml:space="preserve"> presenta el detalle de los costos de operación y mantenimiento asociados a distribución y transporte.</w:t>
      </w:r>
    </w:p>
    <w:p w14:paraId="25946225" w14:textId="4CBF8ABF" w:rsidR="000A6ED1" w:rsidRPr="003723B8" w:rsidRDefault="000A6ED1" w:rsidP="000A6ED1">
      <w:pPr>
        <w:pStyle w:val="Caption"/>
        <w:rPr>
          <w:rFonts w:ascii="Arial" w:hAnsi="Arial" w:cs="Arial"/>
        </w:rPr>
      </w:pPr>
      <w:bookmarkStart w:id="111" w:name="_Ref480189432"/>
      <w:bookmarkStart w:id="112" w:name="_Ref480192506"/>
      <w:r w:rsidRPr="003723B8">
        <w:rPr>
          <w:rFonts w:ascii="Arial" w:hAnsi="Arial" w:cs="Arial"/>
        </w:rPr>
        <w:t xml:space="preserve">Tabla </w:t>
      </w:r>
      <w:r w:rsidR="003723B8">
        <w:rPr>
          <w:rFonts w:ascii="Arial" w:hAnsi="Arial" w:cs="Arial"/>
        </w:rPr>
        <w:t>IV-5:</w:t>
      </w:r>
      <w:r w:rsidR="000B2DBC" w:rsidRPr="003723B8">
        <w:rPr>
          <w:rFonts w:ascii="Arial" w:hAnsi="Arial" w:cs="Arial"/>
          <w:color w:val="FFFFFF" w:themeColor="background1"/>
        </w:rPr>
        <w:fldChar w:fldCharType="begin"/>
      </w:r>
      <w:r w:rsidR="000B2DBC" w:rsidRPr="003723B8">
        <w:rPr>
          <w:rFonts w:ascii="Arial" w:hAnsi="Arial" w:cs="Arial"/>
          <w:color w:val="FFFFFF" w:themeColor="background1"/>
        </w:rPr>
        <w:instrText xml:space="preserve"> SEQ Tabla \* ARABIC </w:instrText>
      </w:r>
      <w:r w:rsidR="000B2DBC" w:rsidRPr="003723B8">
        <w:rPr>
          <w:rFonts w:ascii="Arial" w:hAnsi="Arial" w:cs="Arial"/>
          <w:color w:val="FFFFFF" w:themeColor="background1"/>
        </w:rPr>
        <w:fldChar w:fldCharType="separate"/>
      </w:r>
      <w:r w:rsidR="009F66B5" w:rsidRPr="003723B8">
        <w:rPr>
          <w:rFonts w:ascii="Arial" w:hAnsi="Arial" w:cs="Arial"/>
          <w:noProof/>
          <w:color w:val="FFFFFF" w:themeColor="background1"/>
        </w:rPr>
        <w:t>22</w:t>
      </w:r>
      <w:r w:rsidR="000B2DBC" w:rsidRPr="003723B8">
        <w:rPr>
          <w:rFonts w:ascii="Arial" w:hAnsi="Arial" w:cs="Arial"/>
          <w:noProof/>
          <w:color w:val="FFFFFF" w:themeColor="background1"/>
        </w:rPr>
        <w:fldChar w:fldCharType="end"/>
      </w:r>
      <w:bookmarkEnd w:id="111"/>
      <w:r w:rsidRPr="003723B8">
        <w:rPr>
          <w:rFonts w:ascii="Arial" w:hAnsi="Arial" w:cs="Arial"/>
          <w:color w:val="FFFFFF" w:themeColor="background1"/>
        </w:rPr>
        <w:t xml:space="preserve"> </w:t>
      </w:r>
      <w:r w:rsidRPr="003723B8">
        <w:rPr>
          <w:rFonts w:ascii="Arial" w:hAnsi="Arial" w:cs="Arial"/>
        </w:rPr>
        <w:t>Costos operativos en USD/m</w:t>
      </w:r>
      <w:r w:rsidRPr="003723B8">
        <w:rPr>
          <w:rFonts w:ascii="Arial" w:hAnsi="Arial" w:cs="Arial"/>
          <w:vertAlign w:val="superscript"/>
        </w:rPr>
        <w:t>3</w:t>
      </w:r>
      <w:r w:rsidRPr="003723B8">
        <w:rPr>
          <w:rFonts w:ascii="Arial" w:hAnsi="Arial" w:cs="Arial"/>
        </w:rPr>
        <w:t>.</w:t>
      </w:r>
      <w:bookmarkEnd w:id="112"/>
    </w:p>
    <w:p w14:paraId="69D56F8D" w14:textId="35E0708D" w:rsidR="000A6ED1" w:rsidRPr="003723B8" w:rsidRDefault="000A6ED1" w:rsidP="000A6ED1">
      <w:pPr>
        <w:rPr>
          <w:rFonts w:ascii="Arial" w:hAnsi="Arial" w:cs="Arial"/>
          <w:b/>
        </w:rPr>
      </w:pPr>
      <w:r w:rsidRPr="003723B8">
        <w:rPr>
          <w:rFonts w:ascii="Arial" w:hAnsi="Arial" w:cs="Arial"/>
          <w:noProof/>
          <w:lang w:eastAsia="es-AR"/>
        </w:rPr>
        <w:drawing>
          <wp:inline distT="0" distB="0" distL="0" distR="0" wp14:anchorId="5AA88DC6" wp14:editId="77C75A4F">
            <wp:extent cx="4699000" cy="1336040"/>
            <wp:effectExtent l="0" t="0" r="635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99000" cy="1336040"/>
                    </a:xfrm>
                    <a:prstGeom prst="rect">
                      <a:avLst/>
                    </a:prstGeom>
                    <a:noFill/>
                    <a:ln>
                      <a:noFill/>
                    </a:ln>
                  </pic:spPr>
                </pic:pic>
              </a:graphicData>
            </a:graphic>
          </wp:inline>
        </w:drawing>
      </w:r>
    </w:p>
    <w:p w14:paraId="70EA6C75" w14:textId="16A414B3" w:rsidR="000A6ED1" w:rsidRPr="003723B8" w:rsidRDefault="000A6ED1" w:rsidP="000A6ED1">
      <w:pPr>
        <w:rPr>
          <w:rFonts w:ascii="Arial" w:hAnsi="Arial" w:cs="Arial"/>
        </w:rPr>
      </w:pPr>
      <w:r w:rsidRPr="003723B8">
        <w:rPr>
          <w:rFonts w:ascii="Arial" w:hAnsi="Arial" w:cs="Arial"/>
        </w:rPr>
        <w:t>Por otro lado, la instalación de micromedidores y el mantenimiento del sistema de regulación de presiones incorporan efectivamente costos fijos independientes de los volúmenes de agua asociados según el siguiente detalle:</w:t>
      </w:r>
    </w:p>
    <w:tbl>
      <w:tblPr>
        <w:tblW w:w="68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96"/>
        <w:gridCol w:w="1516"/>
        <w:gridCol w:w="2392"/>
      </w:tblGrid>
      <w:tr w:rsidR="000A6ED1" w:rsidRPr="009839EB" w14:paraId="0F74FD31" w14:textId="77777777" w:rsidTr="003723B8">
        <w:trPr>
          <w:trHeight w:val="300"/>
        </w:trPr>
        <w:tc>
          <w:tcPr>
            <w:tcW w:w="2896" w:type="dxa"/>
            <w:shd w:val="clear" w:color="auto" w:fill="auto"/>
            <w:noWrap/>
            <w:vAlign w:val="bottom"/>
            <w:hideMark/>
          </w:tcPr>
          <w:p w14:paraId="25E054FF" w14:textId="77777777" w:rsidR="000A6ED1" w:rsidRPr="009839EB" w:rsidRDefault="000A6ED1" w:rsidP="000A6ED1">
            <w:pPr>
              <w:spacing w:after="0" w:line="240" w:lineRule="auto"/>
              <w:jc w:val="lef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Lectura de medidores</w:t>
            </w:r>
          </w:p>
        </w:tc>
        <w:tc>
          <w:tcPr>
            <w:tcW w:w="1516" w:type="dxa"/>
            <w:shd w:val="clear" w:color="auto" w:fill="auto"/>
            <w:noWrap/>
            <w:vAlign w:val="bottom"/>
            <w:hideMark/>
          </w:tcPr>
          <w:p w14:paraId="2A29850B" w14:textId="77777777" w:rsidR="000A6ED1" w:rsidRPr="009839EB" w:rsidRDefault="000A6ED1" w:rsidP="000A6ED1">
            <w:pPr>
              <w:spacing w:after="0" w:line="240" w:lineRule="auto"/>
              <w:jc w:val="righ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9,58</w:t>
            </w:r>
          </w:p>
        </w:tc>
        <w:tc>
          <w:tcPr>
            <w:tcW w:w="2392" w:type="dxa"/>
            <w:shd w:val="clear" w:color="auto" w:fill="auto"/>
            <w:noWrap/>
            <w:vAlign w:val="bottom"/>
            <w:hideMark/>
          </w:tcPr>
          <w:p w14:paraId="15E1B8A3" w14:textId="77777777" w:rsidR="000A6ED1" w:rsidRPr="009839EB" w:rsidRDefault="000A6ED1" w:rsidP="000A6ED1">
            <w:pPr>
              <w:spacing w:after="0" w:line="240" w:lineRule="auto"/>
              <w:jc w:val="lef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$/Lectura</w:t>
            </w:r>
          </w:p>
        </w:tc>
      </w:tr>
      <w:tr w:rsidR="000A6ED1" w:rsidRPr="009839EB" w14:paraId="63350857" w14:textId="77777777" w:rsidTr="003723B8">
        <w:trPr>
          <w:trHeight w:val="300"/>
        </w:trPr>
        <w:tc>
          <w:tcPr>
            <w:tcW w:w="2896" w:type="dxa"/>
            <w:shd w:val="clear" w:color="auto" w:fill="auto"/>
            <w:noWrap/>
            <w:vAlign w:val="bottom"/>
            <w:hideMark/>
          </w:tcPr>
          <w:p w14:paraId="1621E837" w14:textId="77777777" w:rsidR="000A6ED1" w:rsidRPr="009839EB" w:rsidRDefault="000A6ED1" w:rsidP="000A6ED1">
            <w:pPr>
              <w:spacing w:after="0" w:line="240" w:lineRule="auto"/>
              <w:jc w:val="lef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lastRenderedPageBreak/>
              <w:t>Mantenimiento medidores</w:t>
            </w:r>
          </w:p>
        </w:tc>
        <w:tc>
          <w:tcPr>
            <w:tcW w:w="1516" w:type="dxa"/>
            <w:shd w:val="clear" w:color="auto" w:fill="auto"/>
            <w:noWrap/>
            <w:vAlign w:val="bottom"/>
            <w:hideMark/>
          </w:tcPr>
          <w:p w14:paraId="2DD64E4A" w14:textId="77777777" w:rsidR="000A6ED1" w:rsidRPr="009839EB" w:rsidRDefault="000A6ED1" w:rsidP="000A6ED1">
            <w:pPr>
              <w:spacing w:after="0" w:line="240" w:lineRule="auto"/>
              <w:jc w:val="righ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0,58</w:t>
            </w:r>
          </w:p>
        </w:tc>
        <w:tc>
          <w:tcPr>
            <w:tcW w:w="2392" w:type="dxa"/>
            <w:shd w:val="clear" w:color="auto" w:fill="auto"/>
            <w:noWrap/>
            <w:vAlign w:val="bottom"/>
            <w:hideMark/>
          </w:tcPr>
          <w:p w14:paraId="11862B3A" w14:textId="77777777" w:rsidR="000A6ED1" w:rsidRPr="009839EB" w:rsidRDefault="000A6ED1" w:rsidP="000A6ED1">
            <w:pPr>
              <w:spacing w:after="0" w:line="240" w:lineRule="auto"/>
              <w:jc w:val="lef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$/Lectura</w:t>
            </w:r>
          </w:p>
        </w:tc>
      </w:tr>
      <w:tr w:rsidR="000A6ED1" w:rsidRPr="009839EB" w14:paraId="72BF5F9C" w14:textId="77777777" w:rsidTr="003723B8">
        <w:trPr>
          <w:trHeight w:val="300"/>
        </w:trPr>
        <w:tc>
          <w:tcPr>
            <w:tcW w:w="2896" w:type="dxa"/>
            <w:shd w:val="clear" w:color="auto" w:fill="auto"/>
            <w:noWrap/>
            <w:vAlign w:val="bottom"/>
            <w:hideMark/>
          </w:tcPr>
          <w:p w14:paraId="048DDB42" w14:textId="77777777" w:rsidR="000A6ED1" w:rsidRPr="009839EB" w:rsidRDefault="000A6ED1" w:rsidP="000A6ED1">
            <w:pPr>
              <w:spacing w:after="0" w:line="240" w:lineRule="auto"/>
              <w:jc w:val="lef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Lecturas año</w:t>
            </w:r>
          </w:p>
        </w:tc>
        <w:tc>
          <w:tcPr>
            <w:tcW w:w="1516" w:type="dxa"/>
            <w:shd w:val="clear" w:color="auto" w:fill="auto"/>
            <w:noWrap/>
            <w:vAlign w:val="bottom"/>
            <w:hideMark/>
          </w:tcPr>
          <w:p w14:paraId="51212ACC" w14:textId="77777777" w:rsidR="000A6ED1" w:rsidRPr="009839EB" w:rsidRDefault="000A6ED1" w:rsidP="000A6ED1">
            <w:pPr>
              <w:spacing w:after="0" w:line="240" w:lineRule="auto"/>
              <w:jc w:val="righ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6</w:t>
            </w:r>
          </w:p>
        </w:tc>
        <w:tc>
          <w:tcPr>
            <w:tcW w:w="2392" w:type="dxa"/>
            <w:shd w:val="clear" w:color="auto" w:fill="auto"/>
            <w:noWrap/>
            <w:vAlign w:val="bottom"/>
            <w:hideMark/>
          </w:tcPr>
          <w:p w14:paraId="0073BA51" w14:textId="77777777" w:rsidR="000A6ED1" w:rsidRPr="009839EB" w:rsidRDefault="000A6ED1" w:rsidP="000A6ED1">
            <w:pPr>
              <w:spacing w:after="0" w:line="240" w:lineRule="auto"/>
              <w:jc w:val="right"/>
              <w:rPr>
                <w:rFonts w:ascii="Arial" w:eastAsia="Times New Roman" w:hAnsi="Arial" w:cs="Arial"/>
                <w:color w:val="000000"/>
                <w:sz w:val="18"/>
                <w:szCs w:val="18"/>
                <w:lang w:eastAsia="es-AR"/>
              </w:rPr>
            </w:pPr>
          </w:p>
        </w:tc>
      </w:tr>
      <w:tr w:rsidR="000A6ED1" w:rsidRPr="009839EB" w14:paraId="2AA145B2" w14:textId="77777777" w:rsidTr="003723B8">
        <w:trPr>
          <w:trHeight w:val="300"/>
        </w:trPr>
        <w:tc>
          <w:tcPr>
            <w:tcW w:w="2896" w:type="dxa"/>
            <w:shd w:val="clear" w:color="auto" w:fill="auto"/>
            <w:noWrap/>
            <w:vAlign w:val="bottom"/>
            <w:hideMark/>
          </w:tcPr>
          <w:p w14:paraId="32C3C7A1" w14:textId="77777777" w:rsidR="000A6ED1" w:rsidRPr="009839EB" w:rsidRDefault="000A6ED1" w:rsidP="000A6ED1">
            <w:pPr>
              <w:spacing w:after="0" w:line="240" w:lineRule="auto"/>
              <w:jc w:val="lef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Costo anual medidor a PM</w:t>
            </w:r>
          </w:p>
        </w:tc>
        <w:tc>
          <w:tcPr>
            <w:tcW w:w="1516" w:type="dxa"/>
            <w:shd w:val="clear" w:color="auto" w:fill="auto"/>
            <w:noWrap/>
            <w:vAlign w:val="bottom"/>
            <w:hideMark/>
          </w:tcPr>
          <w:p w14:paraId="1BCE3658" w14:textId="5E56F390" w:rsidR="000A6ED1" w:rsidRPr="009839EB" w:rsidRDefault="000A6ED1" w:rsidP="000A6ED1">
            <w:pPr>
              <w:spacing w:after="0" w:line="240" w:lineRule="auto"/>
              <w:jc w:val="righ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 xml:space="preserve">                    3,87 </w:t>
            </w:r>
          </w:p>
        </w:tc>
        <w:tc>
          <w:tcPr>
            <w:tcW w:w="2392" w:type="dxa"/>
            <w:shd w:val="clear" w:color="auto" w:fill="auto"/>
            <w:noWrap/>
            <w:vAlign w:val="bottom"/>
            <w:hideMark/>
          </w:tcPr>
          <w:p w14:paraId="5107930D" w14:textId="77777777" w:rsidR="000A6ED1" w:rsidRPr="009839EB" w:rsidRDefault="000A6ED1" w:rsidP="000A6ED1">
            <w:pPr>
              <w:spacing w:after="0" w:line="240" w:lineRule="auto"/>
              <w:jc w:val="lef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USD/medidor año</w:t>
            </w:r>
          </w:p>
        </w:tc>
      </w:tr>
      <w:tr w:rsidR="000A6ED1" w:rsidRPr="009839EB" w14:paraId="47B9EE8F" w14:textId="77777777" w:rsidTr="003723B8">
        <w:trPr>
          <w:trHeight w:val="300"/>
        </w:trPr>
        <w:tc>
          <w:tcPr>
            <w:tcW w:w="2896" w:type="dxa"/>
            <w:shd w:val="clear" w:color="auto" w:fill="auto"/>
            <w:noWrap/>
            <w:vAlign w:val="bottom"/>
            <w:hideMark/>
          </w:tcPr>
          <w:p w14:paraId="07FB8DB1" w14:textId="77777777" w:rsidR="000A6ED1" w:rsidRPr="009839EB" w:rsidRDefault="000A6ED1" w:rsidP="000A6ED1">
            <w:pPr>
              <w:spacing w:after="0" w:line="240" w:lineRule="auto"/>
              <w:jc w:val="lef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RPC aplicable</w:t>
            </w:r>
          </w:p>
        </w:tc>
        <w:tc>
          <w:tcPr>
            <w:tcW w:w="1516" w:type="dxa"/>
            <w:shd w:val="clear" w:color="auto" w:fill="auto"/>
            <w:noWrap/>
            <w:vAlign w:val="bottom"/>
            <w:hideMark/>
          </w:tcPr>
          <w:p w14:paraId="5877727A" w14:textId="77777777" w:rsidR="000A6ED1" w:rsidRPr="009839EB" w:rsidRDefault="000A6ED1" w:rsidP="000A6ED1">
            <w:pPr>
              <w:spacing w:after="0" w:line="240" w:lineRule="auto"/>
              <w:jc w:val="righ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0,511</w:t>
            </w:r>
          </w:p>
        </w:tc>
        <w:tc>
          <w:tcPr>
            <w:tcW w:w="2392" w:type="dxa"/>
            <w:shd w:val="clear" w:color="auto" w:fill="auto"/>
            <w:noWrap/>
            <w:vAlign w:val="bottom"/>
            <w:hideMark/>
          </w:tcPr>
          <w:p w14:paraId="796F8E7B" w14:textId="77777777" w:rsidR="000A6ED1" w:rsidRPr="009839EB" w:rsidRDefault="000A6ED1" w:rsidP="000A6ED1">
            <w:pPr>
              <w:spacing w:after="0" w:line="240" w:lineRule="auto"/>
              <w:jc w:val="right"/>
              <w:rPr>
                <w:rFonts w:ascii="Arial" w:eastAsia="Times New Roman" w:hAnsi="Arial" w:cs="Arial"/>
                <w:color w:val="000000"/>
                <w:sz w:val="18"/>
                <w:szCs w:val="18"/>
                <w:lang w:eastAsia="es-AR"/>
              </w:rPr>
            </w:pPr>
          </w:p>
        </w:tc>
      </w:tr>
      <w:tr w:rsidR="000A6ED1" w:rsidRPr="009839EB" w14:paraId="291B3D44" w14:textId="77777777" w:rsidTr="003723B8">
        <w:trPr>
          <w:trHeight w:val="300"/>
        </w:trPr>
        <w:tc>
          <w:tcPr>
            <w:tcW w:w="2896" w:type="dxa"/>
            <w:shd w:val="clear" w:color="auto" w:fill="auto"/>
            <w:noWrap/>
            <w:vAlign w:val="bottom"/>
            <w:hideMark/>
          </w:tcPr>
          <w:p w14:paraId="4301B0C0" w14:textId="77777777" w:rsidR="000A6ED1" w:rsidRPr="009839EB" w:rsidRDefault="000A6ED1" w:rsidP="000A6ED1">
            <w:pPr>
              <w:spacing w:after="0" w:line="240" w:lineRule="auto"/>
              <w:jc w:val="lef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Costo anual medidor a PC</w:t>
            </w:r>
          </w:p>
        </w:tc>
        <w:tc>
          <w:tcPr>
            <w:tcW w:w="1516" w:type="dxa"/>
            <w:shd w:val="clear" w:color="auto" w:fill="auto"/>
            <w:noWrap/>
            <w:vAlign w:val="bottom"/>
            <w:hideMark/>
          </w:tcPr>
          <w:p w14:paraId="32E6968F" w14:textId="6BA99898" w:rsidR="000A6ED1" w:rsidRPr="009839EB" w:rsidRDefault="000A6ED1" w:rsidP="000A6ED1">
            <w:pPr>
              <w:spacing w:after="0" w:line="240" w:lineRule="auto"/>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 xml:space="preserve">                   1,98 </w:t>
            </w:r>
          </w:p>
        </w:tc>
        <w:tc>
          <w:tcPr>
            <w:tcW w:w="2392" w:type="dxa"/>
            <w:shd w:val="clear" w:color="auto" w:fill="auto"/>
            <w:noWrap/>
            <w:vAlign w:val="bottom"/>
            <w:hideMark/>
          </w:tcPr>
          <w:p w14:paraId="532AB980" w14:textId="77777777" w:rsidR="000A6ED1" w:rsidRPr="009839EB" w:rsidRDefault="000A6ED1" w:rsidP="000A6ED1">
            <w:pPr>
              <w:spacing w:after="0" w:line="240" w:lineRule="auto"/>
              <w:jc w:val="lef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USD/medidor año</w:t>
            </w:r>
          </w:p>
        </w:tc>
      </w:tr>
      <w:tr w:rsidR="000A6ED1" w:rsidRPr="009839EB" w14:paraId="1CFE8C5C" w14:textId="77777777" w:rsidTr="003723B8">
        <w:trPr>
          <w:trHeight w:val="300"/>
        </w:trPr>
        <w:tc>
          <w:tcPr>
            <w:tcW w:w="2896" w:type="dxa"/>
            <w:shd w:val="clear" w:color="auto" w:fill="auto"/>
            <w:noWrap/>
            <w:vAlign w:val="bottom"/>
            <w:hideMark/>
          </w:tcPr>
          <w:p w14:paraId="150A2469" w14:textId="77777777" w:rsidR="000A6ED1" w:rsidRPr="009839EB" w:rsidRDefault="000A6ED1" w:rsidP="000A6ED1">
            <w:pPr>
              <w:spacing w:after="0" w:line="240" w:lineRule="auto"/>
              <w:jc w:val="lef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Cantidad de medidores</w:t>
            </w:r>
          </w:p>
        </w:tc>
        <w:tc>
          <w:tcPr>
            <w:tcW w:w="1516" w:type="dxa"/>
            <w:shd w:val="clear" w:color="auto" w:fill="auto"/>
            <w:noWrap/>
            <w:vAlign w:val="bottom"/>
            <w:hideMark/>
          </w:tcPr>
          <w:p w14:paraId="4123874B" w14:textId="77777777" w:rsidR="000A6ED1" w:rsidRPr="009839EB" w:rsidRDefault="000A6ED1" w:rsidP="000A6ED1">
            <w:pPr>
              <w:spacing w:after="0" w:line="240" w:lineRule="auto"/>
              <w:jc w:val="righ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 xml:space="preserve">                 16.174 </w:t>
            </w:r>
          </w:p>
        </w:tc>
        <w:tc>
          <w:tcPr>
            <w:tcW w:w="2392" w:type="dxa"/>
            <w:shd w:val="clear" w:color="auto" w:fill="auto"/>
            <w:noWrap/>
            <w:vAlign w:val="bottom"/>
            <w:hideMark/>
          </w:tcPr>
          <w:p w14:paraId="0B0A161A" w14:textId="77777777" w:rsidR="000A6ED1" w:rsidRPr="009839EB" w:rsidRDefault="000A6ED1" w:rsidP="000A6ED1">
            <w:pPr>
              <w:spacing w:after="0" w:line="240" w:lineRule="auto"/>
              <w:jc w:val="left"/>
              <w:rPr>
                <w:rFonts w:ascii="Arial" w:eastAsia="Times New Roman" w:hAnsi="Arial" w:cs="Arial"/>
                <w:color w:val="000000"/>
                <w:sz w:val="18"/>
                <w:szCs w:val="18"/>
                <w:lang w:eastAsia="es-AR"/>
              </w:rPr>
            </w:pPr>
          </w:p>
        </w:tc>
      </w:tr>
      <w:tr w:rsidR="000A6ED1" w:rsidRPr="009839EB" w14:paraId="07CFDA58" w14:textId="77777777" w:rsidTr="003723B8">
        <w:trPr>
          <w:trHeight w:val="300"/>
        </w:trPr>
        <w:tc>
          <w:tcPr>
            <w:tcW w:w="2896" w:type="dxa"/>
            <w:shd w:val="clear" w:color="auto" w:fill="auto"/>
            <w:noWrap/>
            <w:vAlign w:val="bottom"/>
            <w:hideMark/>
          </w:tcPr>
          <w:p w14:paraId="6C5B5FA4" w14:textId="77777777" w:rsidR="000A6ED1" w:rsidRPr="009839EB" w:rsidRDefault="000A6ED1" w:rsidP="000A6ED1">
            <w:pPr>
              <w:spacing w:after="0" w:line="240" w:lineRule="auto"/>
              <w:jc w:val="left"/>
              <w:rPr>
                <w:rFonts w:ascii="Arial" w:eastAsia="Times New Roman" w:hAnsi="Arial" w:cs="Arial"/>
                <w:sz w:val="18"/>
                <w:szCs w:val="18"/>
                <w:lang w:eastAsia="es-AR"/>
              </w:rPr>
            </w:pPr>
          </w:p>
        </w:tc>
        <w:tc>
          <w:tcPr>
            <w:tcW w:w="1516" w:type="dxa"/>
            <w:shd w:val="clear" w:color="auto" w:fill="auto"/>
            <w:noWrap/>
            <w:vAlign w:val="bottom"/>
            <w:hideMark/>
          </w:tcPr>
          <w:p w14:paraId="0870F597" w14:textId="77777777" w:rsidR="000A6ED1" w:rsidRPr="009839EB" w:rsidRDefault="000A6ED1" w:rsidP="000A6ED1">
            <w:pPr>
              <w:spacing w:after="0" w:line="240" w:lineRule="auto"/>
              <w:jc w:val="right"/>
              <w:rPr>
                <w:rFonts w:ascii="Arial" w:eastAsia="Times New Roman" w:hAnsi="Arial" w:cs="Arial"/>
                <w:sz w:val="18"/>
                <w:szCs w:val="18"/>
                <w:lang w:eastAsia="es-AR"/>
              </w:rPr>
            </w:pPr>
          </w:p>
        </w:tc>
        <w:tc>
          <w:tcPr>
            <w:tcW w:w="2392" w:type="dxa"/>
            <w:shd w:val="clear" w:color="auto" w:fill="auto"/>
            <w:noWrap/>
            <w:vAlign w:val="bottom"/>
            <w:hideMark/>
          </w:tcPr>
          <w:p w14:paraId="708A619E" w14:textId="77777777" w:rsidR="000A6ED1" w:rsidRPr="009839EB" w:rsidRDefault="000A6ED1" w:rsidP="000A6ED1">
            <w:pPr>
              <w:spacing w:after="0" w:line="240" w:lineRule="auto"/>
              <w:jc w:val="left"/>
              <w:rPr>
                <w:rFonts w:ascii="Arial" w:eastAsia="Times New Roman" w:hAnsi="Arial" w:cs="Arial"/>
                <w:sz w:val="18"/>
                <w:szCs w:val="18"/>
                <w:lang w:eastAsia="es-AR"/>
              </w:rPr>
            </w:pPr>
          </w:p>
        </w:tc>
      </w:tr>
      <w:tr w:rsidR="000A6ED1" w:rsidRPr="009839EB" w14:paraId="20F8DDC3" w14:textId="77777777" w:rsidTr="003723B8">
        <w:trPr>
          <w:trHeight w:val="300"/>
        </w:trPr>
        <w:tc>
          <w:tcPr>
            <w:tcW w:w="2896" w:type="dxa"/>
            <w:shd w:val="clear" w:color="auto" w:fill="auto"/>
            <w:noWrap/>
            <w:vAlign w:val="bottom"/>
            <w:hideMark/>
          </w:tcPr>
          <w:p w14:paraId="4BF823D5" w14:textId="77777777" w:rsidR="000A6ED1" w:rsidRPr="009839EB" w:rsidRDefault="000A6ED1" w:rsidP="000A6ED1">
            <w:pPr>
              <w:spacing w:after="0" w:line="240" w:lineRule="auto"/>
              <w:jc w:val="lef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Mantenimiento VR</w:t>
            </w:r>
          </w:p>
        </w:tc>
        <w:tc>
          <w:tcPr>
            <w:tcW w:w="1516" w:type="dxa"/>
            <w:shd w:val="clear" w:color="auto" w:fill="auto"/>
            <w:noWrap/>
            <w:vAlign w:val="bottom"/>
            <w:hideMark/>
          </w:tcPr>
          <w:p w14:paraId="09836F42" w14:textId="77777777" w:rsidR="000A6ED1" w:rsidRPr="009839EB" w:rsidRDefault="000A6ED1" w:rsidP="000A6ED1">
            <w:pPr>
              <w:spacing w:after="0" w:line="240" w:lineRule="auto"/>
              <w:jc w:val="righ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1%</w:t>
            </w:r>
          </w:p>
        </w:tc>
        <w:tc>
          <w:tcPr>
            <w:tcW w:w="2392" w:type="dxa"/>
            <w:shd w:val="clear" w:color="auto" w:fill="auto"/>
            <w:noWrap/>
            <w:vAlign w:val="bottom"/>
            <w:hideMark/>
          </w:tcPr>
          <w:p w14:paraId="124FF864" w14:textId="77777777" w:rsidR="000A6ED1" w:rsidRPr="009839EB" w:rsidRDefault="000A6ED1" w:rsidP="000A6ED1">
            <w:pPr>
              <w:spacing w:after="0" w:line="240" w:lineRule="auto"/>
              <w:jc w:val="lef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anual</w:t>
            </w:r>
          </w:p>
        </w:tc>
      </w:tr>
      <w:tr w:rsidR="000A6ED1" w:rsidRPr="009839EB" w14:paraId="6AA9CEFE" w14:textId="77777777" w:rsidTr="003723B8">
        <w:trPr>
          <w:trHeight w:val="300"/>
        </w:trPr>
        <w:tc>
          <w:tcPr>
            <w:tcW w:w="2896" w:type="dxa"/>
            <w:shd w:val="clear" w:color="auto" w:fill="auto"/>
            <w:noWrap/>
            <w:vAlign w:val="bottom"/>
            <w:hideMark/>
          </w:tcPr>
          <w:p w14:paraId="0660359E" w14:textId="77777777" w:rsidR="000A6ED1" w:rsidRPr="009839EB" w:rsidRDefault="000A6ED1" w:rsidP="000A6ED1">
            <w:pPr>
              <w:spacing w:after="0" w:line="240" w:lineRule="auto"/>
              <w:jc w:val="lef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Mantenimiento VR</w:t>
            </w:r>
          </w:p>
        </w:tc>
        <w:tc>
          <w:tcPr>
            <w:tcW w:w="1516" w:type="dxa"/>
            <w:shd w:val="clear" w:color="auto" w:fill="auto"/>
            <w:noWrap/>
            <w:vAlign w:val="bottom"/>
            <w:hideMark/>
          </w:tcPr>
          <w:p w14:paraId="33F5B595" w14:textId="77777777" w:rsidR="000A6ED1" w:rsidRPr="009839EB" w:rsidRDefault="000A6ED1" w:rsidP="000A6ED1">
            <w:pPr>
              <w:spacing w:after="0" w:line="240" w:lineRule="auto"/>
              <w:jc w:val="righ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5,63</w:t>
            </w:r>
          </w:p>
        </w:tc>
        <w:tc>
          <w:tcPr>
            <w:tcW w:w="2392" w:type="dxa"/>
            <w:shd w:val="clear" w:color="auto" w:fill="auto"/>
            <w:noWrap/>
            <w:vAlign w:val="bottom"/>
            <w:hideMark/>
          </w:tcPr>
          <w:p w14:paraId="7443DE08" w14:textId="77777777" w:rsidR="000A6ED1" w:rsidRPr="009839EB" w:rsidRDefault="000A6ED1" w:rsidP="000A6ED1">
            <w:pPr>
              <w:spacing w:after="0" w:line="240" w:lineRule="auto"/>
              <w:jc w:val="left"/>
              <w:rPr>
                <w:rFonts w:ascii="Arial" w:eastAsia="Times New Roman" w:hAnsi="Arial" w:cs="Arial"/>
                <w:color w:val="000000"/>
                <w:sz w:val="18"/>
                <w:szCs w:val="18"/>
                <w:lang w:eastAsia="es-AR"/>
              </w:rPr>
            </w:pPr>
            <w:r w:rsidRPr="009839EB">
              <w:rPr>
                <w:rFonts w:ascii="Arial" w:eastAsia="Times New Roman" w:hAnsi="Arial" w:cs="Arial"/>
                <w:color w:val="000000"/>
                <w:sz w:val="18"/>
                <w:szCs w:val="18"/>
                <w:lang w:eastAsia="es-AR"/>
              </w:rPr>
              <w:t>miles de USD/año</w:t>
            </w:r>
          </w:p>
        </w:tc>
      </w:tr>
      <w:tr w:rsidR="000A6ED1" w:rsidRPr="009839EB" w14:paraId="5E073FBE" w14:textId="77777777" w:rsidTr="003723B8">
        <w:trPr>
          <w:trHeight w:val="300"/>
        </w:trPr>
        <w:tc>
          <w:tcPr>
            <w:tcW w:w="2896" w:type="dxa"/>
            <w:shd w:val="clear" w:color="auto" w:fill="auto"/>
            <w:noWrap/>
            <w:vAlign w:val="bottom"/>
            <w:hideMark/>
          </w:tcPr>
          <w:p w14:paraId="0F76CA4E" w14:textId="77777777" w:rsidR="000A6ED1" w:rsidRPr="009839EB" w:rsidRDefault="000A6ED1" w:rsidP="000A6ED1">
            <w:pPr>
              <w:spacing w:after="0" w:line="240" w:lineRule="auto"/>
              <w:jc w:val="left"/>
              <w:rPr>
                <w:rFonts w:ascii="Arial" w:eastAsia="Times New Roman" w:hAnsi="Arial" w:cs="Arial"/>
                <w:color w:val="000000"/>
                <w:sz w:val="18"/>
                <w:szCs w:val="18"/>
                <w:lang w:eastAsia="es-AR"/>
              </w:rPr>
            </w:pPr>
          </w:p>
        </w:tc>
        <w:tc>
          <w:tcPr>
            <w:tcW w:w="1516" w:type="dxa"/>
            <w:shd w:val="clear" w:color="auto" w:fill="auto"/>
            <w:noWrap/>
            <w:vAlign w:val="bottom"/>
            <w:hideMark/>
          </w:tcPr>
          <w:p w14:paraId="5B3BD89E" w14:textId="77777777" w:rsidR="000A6ED1" w:rsidRPr="009839EB" w:rsidRDefault="000A6ED1" w:rsidP="000A6ED1">
            <w:pPr>
              <w:spacing w:after="0" w:line="240" w:lineRule="auto"/>
              <w:jc w:val="right"/>
              <w:rPr>
                <w:rFonts w:ascii="Arial" w:eastAsia="Times New Roman" w:hAnsi="Arial" w:cs="Arial"/>
                <w:sz w:val="18"/>
                <w:szCs w:val="18"/>
                <w:lang w:eastAsia="es-AR"/>
              </w:rPr>
            </w:pPr>
          </w:p>
        </w:tc>
        <w:tc>
          <w:tcPr>
            <w:tcW w:w="2392" w:type="dxa"/>
            <w:shd w:val="clear" w:color="auto" w:fill="auto"/>
            <w:noWrap/>
            <w:vAlign w:val="bottom"/>
            <w:hideMark/>
          </w:tcPr>
          <w:p w14:paraId="21F20DC7" w14:textId="77777777" w:rsidR="000A6ED1" w:rsidRPr="009839EB" w:rsidRDefault="000A6ED1" w:rsidP="000A6ED1">
            <w:pPr>
              <w:spacing w:after="0" w:line="240" w:lineRule="auto"/>
              <w:jc w:val="left"/>
              <w:rPr>
                <w:rFonts w:ascii="Arial" w:eastAsia="Times New Roman" w:hAnsi="Arial" w:cs="Arial"/>
                <w:sz w:val="18"/>
                <w:szCs w:val="18"/>
                <w:lang w:eastAsia="es-AR"/>
              </w:rPr>
            </w:pPr>
          </w:p>
        </w:tc>
      </w:tr>
      <w:tr w:rsidR="000A6ED1" w:rsidRPr="009839EB" w14:paraId="57CAC053" w14:textId="77777777" w:rsidTr="003723B8">
        <w:trPr>
          <w:trHeight w:val="300"/>
        </w:trPr>
        <w:tc>
          <w:tcPr>
            <w:tcW w:w="2896" w:type="dxa"/>
            <w:shd w:val="clear" w:color="auto" w:fill="auto"/>
            <w:noWrap/>
            <w:vAlign w:val="bottom"/>
            <w:hideMark/>
          </w:tcPr>
          <w:p w14:paraId="57253B8E" w14:textId="77777777" w:rsidR="000A6ED1" w:rsidRPr="009839EB" w:rsidRDefault="000A6ED1" w:rsidP="000A6ED1">
            <w:pPr>
              <w:spacing w:after="0" w:line="240" w:lineRule="auto"/>
              <w:jc w:val="left"/>
              <w:rPr>
                <w:rFonts w:ascii="Arial" w:eastAsia="Times New Roman" w:hAnsi="Arial" w:cs="Arial"/>
                <w:b/>
                <w:bCs/>
                <w:color w:val="000000"/>
                <w:sz w:val="18"/>
                <w:szCs w:val="18"/>
                <w:lang w:eastAsia="es-AR"/>
              </w:rPr>
            </w:pPr>
            <w:r w:rsidRPr="009839EB">
              <w:rPr>
                <w:rFonts w:ascii="Arial" w:eastAsia="Times New Roman" w:hAnsi="Arial" w:cs="Arial"/>
                <w:b/>
                <w:bCs/>
                <w:color w:val="000000"/>
                <w:sz w:val="18"/>
                <w:szCs w:val="18"/>
                <w:lang w:eastAsia="es-AR"/>
              </w:rPr>
              <w:t>Costo Fijo Total</w:t>
            </w:r>
          </w:p>
        </w:tc>
        <w:tc>
          <w:tcPr>
            <w:tcW w:w="1516" w:type="dxa"/>
            <w:shd w:val="clear" w:color="auto" w:fill="auto"/>
            <w:noWrap/>
            <w:vAlign w:val="bottom"/>
            <w:hideMark/>
          </w:tcPr>
          <w:p w14:paraId="4A6AA721" w14:textId="77777777" w:rsidR="000A6ED1" w:rsidRPr="009839EB" w:rsidRDefault="000A6ED1" w:rsidP="000A6ED1">
            <w:pPr>
              <w:spacing w:after="0" w:line="240" w:lineRule="auto"/>
              <w:jc w:val="right"/>
              <w:rPr>
                <w:rFonts w:ascii="Arial" w:eastAsia="Times New Roman" w:hAnsi="Arial" w:cs="Arial"/>
                <w:b/>
                <w:bCs/>
                <w:color w:val="000000"/>
                <w:sz w:val="18"/>
                <w:szCs w:val="18"/>
                <w:lang w:eastAsia="es-AR"/>
              </w:rPr>
            </w:pPr>
            <w:r w:rsidRPr="009839EB">
              <w:rPr>
                <w:rFonts w:ascii="Arial" w:eastAsia="Times New Roman" w:hAnsi="Arial" w:cs="Arial"/>
                <w:b/>
                <w:bCs/>
                <w:color w:val="000000"/>
                <w:sz w:val="18"/>
                <w:szCs w:val="18"/>
                <w:lang w:eastAsia="es-AR"/>
              </w:rPr>
              <w:t>37,62</w:t>
            </w:r>
          </w:p>
        </w:tc>
        <w:tc>
          <w:tcPr>
            <w:tcW w:w="2392" w:type="dxa"/>
            <w:shd w:val="clear" w:color="auto" w:fill="auto"/>
            <w:noWrap/>
            <w:vAlign w:val="bottom"/>
            <w:hideMark/>
          </w:tcPr>
          <w:p w14:paraId="789A7015" w14:textId="77777777" w:rsidR="000A6ED1" w:rsidRPr="009839EB" w:rsidRDefault="000A6ED1" w:rsidP="000A6ED1">
            <w:pPr>
              <w:spacing w:after="0" w:line="240" w:lineRule="auto"/>
              <w:jc w:val="left"/>
              <w:rPr>
                <w:rFonts w:ascii="Arial" w:eastAsia="Times New Roman" w:hAnsi="Arial" w:cs="Arial"/>
                <w:b/>
                <w:bCs/>
                <w:color w:val="000000"/>
                <w:sz w:val="18"/>
                <w:szCs w:val="18"/>
                <w:lang w:eastAsia="es-AR"/>
              </w:rPr>
            </w:pPr>
            <w:r w:rsidRPr="009839EB">
              <w:rPr>
                <w:rFonts w:ascii="Arial" w:eastAsia="Times New Roman" w:hAnsi="Arial" w:cs="Arial"/>
                <w:b/>
                <w:bCs/>
                <w:color w:val="000000"/>
                <w:sz w:val="18"/>
                <w:szCs w:val="18"/>
                <w:lang w:eastAsia="es-AR"/>
              </w:rPr>
              <w:t>miles de USD/año</w:t>
            </w:r>
          </w:p>
        </w:tc>
      </w:tr>
    </w:tbl>
    <w:p w14:paraId="28A12B2A" w14:textId="3ECCED4B" w:rsidR="00554AD9" w:rsidRPr="00554AD9" w:rsidRDefault="00554AD9" w:rsidP="002B0107">
      <w:pPr>
        <w:pStyle w:val="Heading2"/>
        <w:numPr>
          <w:ilvl w:val="0"/>
          <w:numId w:val="42"/>
        </w:numPr>
      </w:pPr>
      <w:bookmarkStart w:id="113" w:name="_Toc485200094"/>
      <w:r w:rsidRPr="00554AD9">
        <w:t>Análisis SIMOP – Datos Incorporados.</w:t>
      </w:r>
      <w:bookmarkEnd w:id="113"/>
    </w:p>
    <w:p w14:paraId="4A01A826" w14:textId="77777777" w:rsidR="00554AD9" w:rsidRPr="002C012A" w:rsidRDefault="00554AD9" w:rsidP="00554AD9">
      <w:pPr>
        <w:rPr>
          <w:rFonts w:ascii="Arial" w:hAnsi="Arial" w:cs="Arial"/>
        </w:rPr>
      </w:pPr>
      <w:r w:rsidRPr="002C012A">
        <w:rPr>
          <w:rFonts w:ascii="Arial" w:hAnsi="Arial" w:cs="Arial"/>
        </w:rPr>
        <w:t>Puesto que el modelo SIMOP requiere la carga de información estrictamente predeterminada en sus contenidos y con el objetivo adicional de explicitar los criterios utilizados en la evaluación, se presenta a continuación el detalle de la información ingresada al modelo. Luego de este detalle se presentan los resultados de la evaluación con su correspondiente análisis de sensibilidad en las variables más relevantes.</w:t>
      </w:r>
    </w:p>
    <w:p w14:paraId="5E0CB049" w14:textId="2049157D" w:rsidR="00554AD9" w:rsidRDefault="00554AD9" w:rsidP="002B0107">
      <w:pPr>
        <w:pStyle w:val="Heading2"/>
        <w:numPr>
          <w:ilvl w:val="1"/>
          <w:numId w:val="46"/>
        </w:numPr>
      </w:pPr>
      <w:bookmarkStart w:id="114" w:name="_Toc485200095"/>
      <w:r>
        <w:t>Información general del proyecto.</w:t>
      </w:r>
      <w:bookmarkEnd w:id="114"/>
    </w:p>
    <w:p w14:paraId="27D3BC75" w14:textId="0932704D" w:rsidR="00554AD9" w:rsidRDefault="00554AD9" w:rsidP="002B0107">
      <w:pPr>
        <w:pStyle w:val="Heading2"/>
        <w:numPr>
          <w:ilvl w:val="2"/>
          <w:numId w:val="46"/>
        </w:numPr>
      </w:pPr>
      <w:bookmarkStart w:id="115" w:name="_Toc485200096"/>
      <w:r w:rsidRPr="00B25356">
        <w:t>Grupos de consumidores</w:t>
      </w:r>
      <w:r>
        <w:t>.</w:t>
      </w:r>
      <w:bookmarkEnd w:id="115"/>
    </w:p>
    <w:p w14:paraId="00F1A97A" w14:textId="39ABD218" w:rsidR="00554AD9" w:rsidRPr="00B25356" w:rsidRDefault="00554AD9" w:rsidP="00554AD9">
      <w:pPr>
        <w:rPr>
          <w:rFonts w:ascii="Arial" w:hAnsi="Arial" w:cs="Arial"/>
        </w:rPr>
      </w:pPr>
      <w:r w:rsidRPr="00B25356">
        <w:rPr>
          <w:rFonts w:ascii="Arial" w:hAnsi="Arial" w:cs="Arial"/>
        </w:rPr>
        <w:t>A los efectos de la presente evaluación se han considerado 2 grupos de consumidores básicos correspondientes a los usuarios Residenciales y los No Residenciales.</w:t>
      </w:r>
    </w:p>
    <w:p w14:paraId="2CAA29C6" w14:textId="77777777" w:rsidR="00554AD9" w:rsidRPr="00B25356" w:rsidRDefault="00554AD9" w:rsidP="00554AD9">
      <w:pPr>
        <w:rPr>
          <w:rFonts w:ascii="Arial" w:hAnsi="Arial" w:cs="Arial"/>
        </w:rPr>
      </w:pPr>
      <w:r w:rsidRPr="00B25356">
        <w:rPr>
          <w:rFonts w:ascii="Arial" w:hAnsi="Arial" w:cs="Arial"/>
        </w:rPr>
        <w:t xml:space="preserve">Adicionalmente se definió un grupo ficticio utilizado para reflejar de manera separada la mejora de eficiencia producto del menor gasto en reparaciones de redes asociado a la renovación de mallas con alta incidencia de intervenciones. Esta decisión se adoptó con el objeto de incorporar a la evaluación SIMOP la totalidad de los beneficios generados por el proyecto. </w:t>
      </w:r>
    </w:p>
    <w:p w14:paraId="171148D4" w14:textId="172297E8" w:rsidR="00554AD9" w:rsidRPr="00B25356" w:rsidRDefault="00554AD9" w:rsidP="00554AD9">
      <w:pPr>
        <w:rPr>
          <w:rFonts w:ascii="Arial" w:hAnsi="Arial" w:cs="Arial"/>
        </w:rPr>
      </w:pPr>
      <w:r w:rsidRPr="00B25356">
        <w:rPr>
          <w:rFonts w:ascii="Arial" w:hAnsi="Arial" w:cs="Arial"/>
        </w:rPr>
        <w:t xml:space="preserve"> La </w:t>
      </w:r>
      <w:r w:rsidRPr="00B25356">
        <w:rPr>
          <w:rFonts w:ascii="Arial" w:hAnsi="Arial" w:cs="Arial"/>
        </w:rPr>
        <w:fldChar w:fldCharType="begin"/>
      </w:r>
      <w:r w:rsidRPr="00B25356">
        <w:rPr>
          <w:rFonts w:ascii="Arial" w:hAnsi="Arial" w:cs="Arial"/>
        </w:rPr>
        <w:instrText xml:space="preserve"> REF _Ref480190094 \h </w:instrText>
      </w:r>
      <w:r w:rsidR="00B25356">
        <w:rPr>
          <w:rFonts w:ascii="Arial" w:hAnsi="Arial" w:cs="Arial"/>
        </w:rPr>
        <w:instrText xml:space="preserve"> \* MERGEFORMAT </w:instrText>
      </w:r>
      <w:r w:rsidRPr="00B25356">
        <w:rPr>
          <w:rFonts w:ascii="Arial" w:hAnsi="Arial" w:cs="Arial"/>
        </w:rPr>
      </w:r>
      <w:r w:rsidRPr="00B25356">
        <w:rPr>
          <w:rFonts w:ascii="Arial" w:hAnsi="Arial" w:cs="Arial"/>
        </w:rPr>
        <w:fldChar w:fldCharType="separate"/>
      </w:r>
      <w:r w:rsidR="009F66B5" w:rsidRPr="00B25356">
        <w:rPr>
          <w:rFonts w:ascii="Arial" w:hAnsi="Arial" w:cs="Arial"/>
        </w:rPr>
        <w:t xml:space="preserve">Tabla </w:t>
      </w:r>
      <w:r w:rsidR="00B25356">
        <w:rPr>
          <w:rFonts w:ascii="Arial" w:hAnsi="Arial" w:cs="Arial"/>
        </w:rPr>
        <w:t>IV-6</w:t>
      </w:r>
      <w:r w:rsidRPr="00B25356">
        <w:rPr>
          <w:rFonts w:ascii="Arial" w:hAnsi="Arial" w:cs="Arial"/>
        </w:rPr>
        <w:fldChar w:fldCharType="end"/>
      </w:r>
      <w:r w:rsidRPr="00B25356">
        <w:rPr>
          <w:rFonts w:ascii="Arial" w:hAnsi="Arial" w:cs="Arial"/>
        </w:rPr>
        <w:t xml:space="preserve"> presenta los grupos de consumidores cargados en la simulación.</w:t>
      </w:r>
    </w:p>
    <w:p w14:paraId="42D91415" w14:textId="48643DAB" w:rsidR="00554AD9" w:rsidRDefault="00554AD9" w:rsidP="00554AD9">
      <w:pPr>
        <w:pStyle w:val="Caption"/>
      </w:pPr>
      <w:bookmarkStart w:id="116" w:name="_Ref480190094"/>
      <w:r>
        <w:t xml:space="preserve">Tabla </w:t>
      </w:r>
      <w:r w:rsidR="00B25356">
        <w:t>IV-6:</w:t>
      </w:r>
      <w:r w:rsidR="000B2DBC" w:rsidRPr="00B25356">
        <w:rPr>
          <w:color w:val="FFFFFF" w:themeColor="background1"/>
        </w:rPr>
        <w:fldChar w:fldCharType="begin"/>
      </w:r>
      <w:r w:rsidR="000B2DBC" w:rsidRPr="00B25356">
        <w:rPr>
          <w:color w:val="FFFFFF" w:themeColor="background1"/>
        </w:rPr>
        <w:instrText xml:space="preserve"> SEQ Tabla \* ARABIC </w:instrText>
      </w:r>
      <w:r w:rsidR="000B2DBC" w:rsidRPr="00B25356">
        <w:rPr>
          <w:color w:val="FFFFFF" w:themeColor="background1"/>
        </w:rPr>
        <w:fldChar w:fldCharType="separate"/>
      </w:r>
      <w:r w:rsidR="009F66B5" w:rsidRPr="00B25356">
        <w:rPr>
          <w:noProof/>
          <w:color w:val="FFFFFF" w:themeColor="background1"/>
        </w:rPr>
        <w:t>23</w:t>
      </w:r>
      <w:r w:rsidR="000B2DBC" w:rsidRPr="00B25356">
        <w:rPr>
          <w:noProof/>
          <w:color w:val="FFFFFF" w:themeColor="background1"/>
        </w:rPr>
        <w:fldChar w:fldCharType="end"/>
      </w:r>
      <w:bookmarkEnd w:id="116"/>
      <w:r w:rsidRPr="00B25356">
        <w:rPr>
          <w:color w:val="FFFFFF" w:themeColor="background1"/>
        </w:rPr>
        <w:t xml:space="preserve"> </w:t>
      </w:r>
      <w:r w:rsidRPr="009D35AA">
        <w:t>Grupos de Consumidores</w:t>
      </w:r>
    </w:p>
    <w:p w14:paraId="2DB67215" w14:textId="01B803FB" w:rsidR="00554AD9" w:rsidRDefault="00647D6D" w:rsidP="00554AD9">
      <w:r w:rsidRPr="00647D6D">
        <w:rPr>
          <w:noProof/>
          <w:lang w:eastAsia="es-AR"/>
        </w:rPr>
        <w:drawing>
          <wp:inline distT="0" distB="0" distL="0" distR="0" wp14:anchorId="58CE86E2" wp14:editId="27E48B6C">
            <wp:extent cx="4874260" cy="1248410"/>
            <wp:effectExtent l="0" t="0" r="2540" b="889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74260" cy="1248410"/>
                    </a:xfrm>
                    <a:prstGeom prst="rect">
                      <a:avLst/>
                    </a:prstGeom>
                    <a:noFill/>
                    <a:ln>
                      <a:noFill/>
                    </a:ln>
                  </pic:spPr>
                </pic:pic>
              </a:graphicData>
            </a:graphic>
          </wp:inline>
        </w:drawing>
      </w:r>
    </w:p>
    <w:p w14:paraId="4B434D98" w14:textId="6CF9F300" w:rsidR="00554AD9" w:rsidRPr="00B25356" w:rsidRDefault="00554AD9" w:rsidP="00554AD9">
      <w:pPr>
        <w:rPr>
          <w:rFonts w:ascii="Arial" w:hAnsi="Arial" w:cs="Arial"/>
        </w:rPr>
      </w:pPr>
      <w:r w:rsidRPr="00B25356">
        <w:rPr>
          <w:rFonts w:ascii="Arial" w:hAnsi="Arial" w:cs="Arial"/>
        </w:rPr>
        <w:t>A los efectos de la evaluación, solo el grupo número 3 es considerado “Nuevo Consumidor”, por ende, los grupos 1 y 2 serán considerados consumidores existentes.</w:t>
      </w:r>
    </w:p>
    <w:p w14:paraId="4BEC4554" w14:textId="0DEF8DC7" w:rsidR="00554AD9" w:rsidRPr="00B25356" w:rsidRDefault="00554AD9" w:rsidP="00554AD9">
      <w:pPr>
        <w:rPr>
          <w:rFonts w:ascii="Arial" w:hAnsi="Arial" w:cs="Arial"/>
        </w:rPr>
      </w:pPr>
      <w:r w:rsidRPr="00B25356">
        <w:rPr>
          <w:rFonts w:ascii="Arial" w:hAnsi="Arial" w:cs="Arial"/>
        </w:rPr>
        <w:t>En relación con la identificación de los beneficiarios se ha asumido que solamente el 30% de los usuarios con demanda insatisfecha de la región sur del área concesionada a AySA es alcanzada por las mejoras de oferta que permite el presente proyecto.</w:t>
      </w:r>
    </w:p>
    <w:p w14:paraId="31320DE7" w14:textId="77777777" w:rsidR="00A56EE1" w:rsidRPr="00B25356" w:rsidRDefault="00A56EE1" w:rsidP="00554AD9">
      <w:pPr>
        <w:rPr>
          <w:rFonts w:ascii="Arial" w:hAnsi="Arial" w:cs="Arial"/>
        </w:rPr>
      </w:pPr>
    </w:p>
    <w:p w14:paraId="7004A25F" w14:textId="0F3A624E" w:rsidR="00554AD9" w:rsidRPr="00B25356" w:rsidRDefault="00554AD9" w:rsidP="002B0107">
      <w:pPr>
        <w:pStyle w:val="Heading2"/>
        <w:numPr>
          <w:ilvl w:val="2"/>
          <w:numId w:val="46"/>
        </w:numPr>
      </w:pPr>
      <w:bookmarkStart w:id="117" w:name="_Toc485200097"/>
      <w:r w:rsidRPr="00B25356">
        <w:t>Período de simulación.</w:t>
      </w:r>
      <w:bookmarkEnd w:id="117"/>
    </w:p>
    <w:p w14:paraId="7CD614C3" w14:textId="77777777" w:rsidR="00554AD9" w:rsidRPr="00B25356" w:rsidRDefault="00554AD9" w:rsidP="00554AD9">
      <w:pPr>
        <w:rPr>
          <w:rFonts w:ascii="Arial" w:hAnsi="Arial" w:cs="Arial"/>
        </w:rPr>
      </w:pPr>
      <w:r w:rsidRPr="00B25356">
        <w:rPr>
          <w:rFonts w:ascii="Arial" w:hAnsi="Arial" w:cs="Arial"/>
        </w:rPr>
        <w:t>A efectos de realizar la evaluación y considerando la envergadura del proyecto se adoptó un horizonte de análisis de 20 años.</w:t>
      </w:r>
    </w:p>
    <w:p w14:paraId="684C2D4F" w14:textId="77777777" w:rsidR="00A56EE1" w:rsidRPr="00B25356" w:rsidRDefault="00A56EE1" w:rsidP="00554AD9">
      <w:pPr>
        <w:rPr>
          <w:rFonts w:ascii="Arial" w:hAnsi="Arial" w:cs="Arial"/>
        </w:rPr>
      </w:pPr>
    </w:p>
    <w:p w14:paraId="3BE77F97" w14:textId="2FBD3DA1" w:rsidR="00554AD9" w:rsidRPr="00B25356" w:rsidRDefault="00554AD9" w:rsidP="002B0107">
      <w:pPr>
        <w:pStyle w:val="Heading2"/>
        <w:numPr>
          <w:ilvl w:val="2"/>
          <w:numId w:val="46"/>
        </w:numPr>
      </w:pPr>
      <w:bookmarkStart w:id="118" w:name="_Toc485200098"/>
      <w:r w:rsidRPr="00B25356">
        <w:t>Año proyectado de inicio de producción.</w:t>
      </w:r>
      <w:bookmarkEnd w:id="118"/>
    </w:p>
    <w:p w14:paraId="3B169C59" w14:textId="77777777" w:rsidR="00554AD9" w:rsidRPr="00B25356" w:rsidRDefault="00554AD9" w:rsidP="00554AD9">
      <w:pPr>
        <w:rPr>
          <w:rFonts w:ascii="Arial" w:hAnsi="Arial" w:cs="Arial"/>
        </w:rPr>
      </w:pPr>
      <w:r w:rsidRPr="00B25356">
        <w:rPr>
          <w:rFonts w:ascii="Arial" w:hAnsi="Arial" w:cs="Arial"/>
        </w:rPr>
        <w:t>El año en que el proyecto comenzará a funcionar se escogió a partir del programa de inversiones y ejecución de las obras, siendo el mismo el segundo.</w:t>
      </w:r>
    </w:p>
    <w:p w14:paraId="6D78C9A9" w14:textId="2436BD01" w:rsidR="00554AD9" w:rsidRPr="00B25356" w:rsidRDefault="00554AD9" w:rsidP="00554AD9">
      <w:pPr>
        <w:rPr>
          <w:rFonts w:ascii="Arial" w:hAnsi="Arial" w:cs="Arial"/>
        </w:rPr>
      </w:pPr>
      <w:r w:rsidRPr="00B25356">
        <w:rPr>
          <w:rFonts w:ascii="Arial" w:hAnsi="Arial" w:cs="Arial"/>
        </w:rPr>
        <w:t xml:space="preserve">A partir de este año comienza la incorporación </w:t>
      </w:r>
      <w:r w:rsidR="00A56EE1" w:rsidRPr="00B25356">
        <w:rPr>
          <w:rFonts w:ascii="Arial" w:hAnsi="Arial" w:cs="Arial"/>
        </w:rPr>
        <w:t>del incremento de la oferta.</w:t>
      </w:r>
    </w:p>
    <w:p w14:paraId="4D731A19" w14:textId="77777777" w:rsidR="00A56EE1" w:rsidRPr="00B25356" w:rsidRDefault="00A56EE1" w:rsidP="00554AD9">
      <w:pPr>
        <w:rPr>
          <w:rFonts w:ascii="Arial" w:hAnsi="Arial" w:cs="Arial"/>
        </w:rPr>
      </w:pPr>
    </w:p>
    <w:p w14:paraId="4DDD5599" w14:textId="2ADBBF98" w:rsidR="00554AD9" w:rsidRPr="00B25356" w:rsidRDefault="00554AD9" w:rsidP="002B0107">
      <w:pPr>
        <w:pStyle w:val="Heading2"/>
        <w:numPr>
          <w:ilvl w:val="2"/>
          <w:numId w:val="46"/>
        </w:numPr>
      </w:pPr>
      <w:bookmarkStart w:id="119" w:name="_Toc485200099"/>
      <w:r w:rsidRPr="00B25356">
        <w:t>Tasa Social de Descuento.</w:t>
      </w:r>
      <w:bookmarkEnd w:id="119"/>
    </w:p>
    <w:p w14:paraId="3F29BC81" w14:textId="77777777" w:rsidR="00554AD9" w:rsidRPr="00B25356" w:rsidRDefault="00554AD9" w:rsidP="00554AD9">
      <w:pPr>
        <w:rPr>
          <w:rFonts w:ascii="Arial" w:hAnsi="Arial" w:cs="Arial"/>
        </w:rPr>
      </w:pPr>
      <w:r w:rsidRPr="00B25356">
        <w:rPr>
          <w:rFonts w:ascii="Arial" w:hAnsi="Arial" w:cs="Arial"/>
        </w:rPr>
        <w:t>Siguiendo lo estipulado en los términos de referencia para la presente evaluación se utilizó una TSD del 12% anual.</w:t>
      </w:r>
    </w:p>
    <w:p w14:paraId="53BD0839" w14:textId="77777777" w:rsidR="00A56EE1" w:rsidRPr="00B25356" w:rsidRDefault="00A56EE1" w:rsidP="00554AD9">
      <w:pPr>
        <w:rPr>
          <w:rFonts w:ascii="Arial" w:hAnsi="Arial" w:cs="Arial"/>
        </w:rPr>
      </w:pPr>
    </w:p>
    <w:p w14:paraId="3F31663F" w14:textId="68EEEE1F" w:rsidR="00554AD9" w:rsidRPr="00B25356" w:rsidRDefault="00554AD9" w:rsidP="002B0107">
      <w:pPr>
        <w:pStyle w:val="Heading2"/>
        <w:numPr>
          <w:ilvl w:val="1"/>
          <w:numId w:val="46"/>
        </w:numPr>
      </w:pPr>
      <w:bookmarkStart w:id="120" w:name="_Toc485200100"/>
      <w:r w:rsidRPr="00B25356">
        <w:t>Capacidad del sistema SIN Proyecto.</w:t>
      </w:r>
      <w:bookmarkEnd w:id="120"/>
    </w:p>
    <w:p w14:paraId="652C605E" w14:textId="77777777" w:rsidR="00554AD9" w:rsidRPr="00B25356" w:rsidRDefault="00554AD9" w:rsidP="00554AD9">
      <w:pPr>
        <w:rPr>
          <w:rFonts w:ascii="Arial" w:hAnsi="Arial" w:cs="Arial"/>
        </w:rPr>
      </w:pPr>
      <w:r w:rsidRPr="00B25356">
        <w:rPr>
          <w:rFonts w:ascii="Arial" w:hAnsi="Arial" w:cs="Arial"/>
        </w:rPr>
        <w:t>El problema de la demanda insatisfecha en el sistema de agua potable administrado por AySA S.A. posee dos manifestaciones objetivas:</w:t>
      </w:r>
    </w:p>
    <w:p w14:paraId="7279DC0C" w14:textId="616AF8DB" w:rsidR="00554AD9" w:rsidRPr="00B25356" w:rsidRDefault="00554AD9" w:rsidP="00C4100D">
      <w:pPr>
        <w:pStyle w:val="ListParagraph"/>
        <w:numPr>
          <w:ilvl w:val="0"/>
          <w:numId w:val="36"/>
        </w:numPr>
        <w:rPr>
          <w:rFonts w:ascii="Arial" w:hAnsi="Arial" w:cs="Arial"/>
        </w:rPr>
      </w:pPr>
      <w:r w:rsidRPr="00B25356">
        <w:rPr>
          <w:rFonts w:ascii="Arial" w:hAnsi="Arial" w:cs="Arial"/>
        </w:rPr>
        <w:t xml:space="preserve">La sobre utilización de la capacidad de producción durante más de la mitad del año. </w:t>
      </w:r>
    </w:p>
    <w:p w14:paraId="47FBB9C3" w14:textId="19ED4E97" w:rsidR="00554AD9" w:rsidRPr="00B25356" w:rsidRDefault="00554AD9" w:rsidP="00C4100D">
      <w:pPr>
        <w:pStyle w:val="ListParagraph"/>
        <w:numPr>
          <w:ilvl w:val="0"/>
          <w:numId w:val="36"/>
        </w:numPr>
        <w:rPr>
          <w:rFonts w:ascii="Arial" w:hAnsi="Arial" w:cs="Arial"/>
        </w:rPr>
      </w:pPr>
      <w:r w:rsidRPr="00B25356">
        <w:rPr>
          <w:rFonts w:ascii="Arial" w:hAnsi="Arial" w:cs="Arial"/>
        </w:rPr>
        <w:t>La existencia de un elevado número de reclamos de baja presión y falta de agua registrados en temporada estiva</w:t>
      </w:r>
      <w:r w:rsidR="00A56EE1" w:rsidRPr="00B25356">
        <w:rPr>
          <w:rFonts w:ascii="Arial" w:hAnsi="Arial" w:cs="Arial"/>
        </w:rPr>
        <w:t>l</w:t>
      </w:r>
      <w:r w:rsidRPr="00B25356">
        <w:rPr>
          <w:rFonts w:ascii="Arial" w:hAnsi="Arial" w:cs="Arial"/>
        </w:rPr>
        <w:t xml:space="preserve"> (estos reclamos se registran aun cuando el sistema se encuentra produciendo por encima de su capacidad nominal según lo apuntado en a)).</w:t>
      </w:r>
    </w:p>
    <w:p w14:paraId="1F123BFE" w14:textId="77777777" w:rsidR="00554AD9" w:rsidRPr="00B25356" w:rsidRDefault="00554AD9" w:rsidP="00554AD9">
      <w:pPr>
        <w:rPr>
          <w:rFonts w:ascii="Arial" w:hAnsi="Arial" w:cs="Arial"/>
        </w:rPr>
      </w:pPr>
      <w:r w:rsidRPr="00B25356">
        <w:rPr>
          <w:rFonts w:ascii="Arial" w:hAnsi="Arial" w:cs="Arial"/>
        </w:rPr>
        <w:t>El esquema radial de transporte y distribución implica que los usuarios situados aguas arriba (más cercanos a las fuentes) satisfacen integralmente sus demandas, mientras que los que se sitúan aguas abajo se ven afectados doblemente: el aumento estacional de sus demandas coincide con una capacidad disponible mermada por el mayor consumo aguas arriba.</w:t>
      </w:r>
    </w:p>
    <w:p w14:paraId="1994440F" w14:textId="6AC126E0" w:rsidR="00554AD9" w:rsidRPr="00B25356" w:rsidRDefault="00554AD9" w:rsidP="00554AD9">
      <w:pPr>
        <w:rPr>
          <w:rFonts w:ascii="Arial" w:hAnsi="Arial" w:cs="Arial"/>
        </w:rPr>
      </w:pPr>
      <w:r w:rsidRPr="00B25356">
        <w:rPr>
          <w:rFonts w:ascii="Arial" w:hAnsi="Arial" w:cs="Arial"/>
        </w:rPr>
        <w:t xml:space="preserve">Considerando la existencia concreta de la problemática de la demanda insatisfecha y su manifestación en los usuarios servidos en los extremos del sistema, se ha adoptado el supuesto simplificador y </w:t>
      </w:r>
      <w:r w:rsidR="00A56EE1" w:rsidRPr="00B25356">
        <w:rPr>
          <w:rFonts w:ascii="Arial" w:hAnsi="Arial" w:cs="Arial"/>
        </w:rPr>
        <w:t xml:space="preserve">muy </w:t>
      </w:r>
      <w:r w:rsidRPr="00B25356">
        <w:rPr>
          <w:rFonts w:ascii="Arial" w:hAnsi="Arial" w:cs="Arial"/>
        </w:rPr>
        <w:t xml:space="preserve">conservador de una demanda insatisfecha media del </w:t>
      </w:r>
      <w:r w:rsidR="00A56EE1" w:rsidRPr="00B25356">
        <w:rPr>
          <w:rFonts w:ascii="Arial" w:hAnsi="Arial" w:cs="Arial"/>
        </w:rPr>
        <w:t>2</w:t>
      </w:r>
      <w:r w:rsidRPr="00B25356">
        <w:rPr>
          <w:rFonts w:ascii="Arial" w:hAnsi="Arial" w:cs="Arial"/>
        </w:rPr>
        <w:t xml:space="preserve">% entre los beneficiarios del proyecto. A partir de este supuesto, y considerando los consumos medios registrados en la empresa, se ha calculado la capacidad del sistema en la situación sin proyecto, incorporando al SIMOP una </w:t>
      </w:r>
      <w:r w:rsidRPr="00B25356">
        <w:rPr>
          <w:rFonts w:ascii="Arial" w:hAnsi="Arial" w:cs="Arial"/>
          <w:b/>
        </w:rPr>
        <w:t xml:space="preserve">capacidad del sistema SIN proyecto de </w:t>
      </w:r>
      <w:r w:rsidR="00A56EE1" w:rsidRPr="00B25356">
        <w:rPr>
          <w:rFonts w:ascii="Arial" w:hAnsi="Arial" w:cs="Arial"/>
          <w:b/>
        </w:rPr>
        <w:t>60.593</w:t>
      </w:r>
      <w:r w:rsidRPr="00B25356">
        <w:rPr>
          <w:rFonts w:ascii="Arial" w:hAnsi="Arial" w:cs="Arial"/>
          <w:b/>
        </w:rPr>
        <w:t xml:space="preserve"> m</w:t>
      </w:r>
      <w:r w:rsidRPr="00B25356">
        <w:rPr>
          <w:rFonts w:ascii="Arial" w:hAnsi="Arial" w:cs="Arial"/>
          <w:b/>
          <w:vertAlign w:val="superscript"/>
        </w:rPr>
        <w:t>3</w:t>
      </w:r>
      <w:r w:rsidRPr="00B25356">
        <w:rPr>
          <w:rFonts w:ascii="Arial" w:hAnsi="Arial" w:cs="Arial"/>
          <w:b/>
        </w:rPr>
        <w:t xml:space="preserve"> x 10</w:t>
      </w:r>
      <w:r w:rsidRPr="00B25356">
        <w:rPr>
          <w:rFonts w:ascii="Arial" w:hAnsi="Arial" w:cs="Arial"/>
          <w:b/>
          <w:vertAlign w:val="superscript"/>
        </w:rPr>
        <w:t>3</w:t>
      </w:r>
      <w:r w:rsidRPr="00B25356">
        <w:rPr>
          <w:rFonts w:ascii="Arial" w:hAnsi="Arial" w:cs="Arial"/>
          <w:b/>
        </w:rPr>
        <w:t xml:space="preserve"> anuales.</w:t>
      </w:r>
    </w:p>
    <w:p w14:paraId="6803C38C" w14:textId="77777777" w:rsidR="00554AD9" w:rsidRPr="00B25356" w:rsidRDefault="00554AD9" w:rsidP="00554AD9">
      <w:pPr>
        <w:rPr>
          <w:rFonts w:ascii="Arial" w:hAnsi="Arial" w:cs="Arial"/>
        </w:rPr>
      </w:pPr>
      <w:r w:rsidRPr="00B25356">
        <w:rPr>
          <w:rFonts w:ascii="Arial" w:hAnsi="Arial" w:cs="Arial"/>
        </w:rPr>
        <w:t>Si bien resulta esperable que en caso de no realizarse el proyecto esta capacidad no podrá sostenerse en el tiempo, produciéndose un deterioro paulatino de la misma, en la presente evaluación se considerará constante para todo el período analizado.</w:t>
      </w:r>
    </w:p>
    <w:p w14:paraId="7371B25D" w14:textId="77777777" w:rsidR="00554AD9" w:rsidRPr="0002502E" w:rsidRDefault="00554AD9" w:rsidP="00554AD9">
      <w:pPr>
        <w:rPr>
          <w:rFonts w:ascii="Arial" w:hAnsi="Arial" w:cs="Arial"/>
        </w:rPr>
      </w:pPr>
    </w:p>
    <w:p w14:paraId="6BD49830" w14:textId="42B32122" w:rsidR="00554AD9" w:rsidRPr="0002502E" w:rsidRDefault="00554AD9" w:rsidP="002B0107">
      <w:pPr>
        <w:pStyle w:val="Heading2"/>
        <w:numPr>
          <w:ilvl w:val="1"/>
          <w:numId w:val="46"/>
        </w:numPr>
      </w:pPr>
      <w:bookmarkStart w:id="121" w:name="_Toc485200101"/>
      <w:r w:rsidRPr="0002502E">
        <w:lastRenderedPageBreak/>
        <w:t>Capacidad del sistema CON proyecto.</w:t>
      </w:r>
      <w:bookmarkEnd w:id="121"/>
    </w:p>
    <w:p w14:paraId="55DF53C2" w14:textId="6C151EC0" w:rsidR="00554AD9" w:rsidRPr="0002502E" w:rsidRDefault="00554AD9" w:rsidP="00554AD9">
      <w:pPr>
        <w:rPr>
          <w:rFonts w:ascii="Arial" w:hAnsi="Arial" w:cs="Arial"/>
        </w:rPr>
      </w:pPr>
      <w:r w:rsidRPr="0002502E">
        <w:rPr>
          <w:rFonts w:ascii="Arial" w:hAnsi="Arial" w:cs="Arial"/>
        </w:rPr>
        <w:t xml:space="preserve">Tal como se presentó en la descripción del proyecto, el mismo permitirá un incremento de la oferta neta de pérdidas físicas de agua de </w:t>
      </w:r>
      <w:r w:rsidR="00FB40BB" w:rsidRPr="0002502E">
        <w:rPr>
          <w:rFonts w:ascii="Arial" w:hAnsi="Arial" w:cs="Arial"/>
        </w:rPr>
        <w:t>4</w:t>
      </w:r>
      <w:r w:rsidR="00A56EE1" w:rsidRPr="0002502E">
        <w:rPr>
          <w:rFonts w:ascii="Arial" w:hAnsi="Arial" w:cs="Arial"/>
        </w:rPr>
        <w:t>,</w:t>
      </w:r>
      <w:r w:rsidR="00FB40BB" w:rsidRPr="0002502E">
        <w:rPr>
          <w:rFonts w:ascii="Arial" w:hAnsi="Arial" w:cs="Arial"/>
        </w:rPr>
        <w:t>92</w:t>
      </w:r>
      <w:r w:rsidRPr="0002502E">
        <w:rPr>
          <w:rFonts w:ascii="Arial" w:hAnsi="Arial" w:cs="Arial"/>
        </w:rPr>
        <w:t xml:space="preserve"> millones de m</w:t>
      </w:r>
      <w:r w:rsidRPr="0002502E">
        <w:rPr>
          <w:rFonts w:ascii="Arial" w:hAnsi="Arial" w:cs="Arial"/>
          <w:vertAlign w:val="superscript"/>
        </w:rPr>
        <w:t>3</w:t>
      </w:r>
      <w:r w:rsidRPr="0002502E">
        <w:rPr>
          <w:rFonts w:ascii="Arial" w:hAnsi="Arial" w:cs="Arial"/>
        </w:rPr>
        <w:t xml:space="preserve"> por año.</w:t>
      </w:r>
    </w:p>
    <w:p w14:paraId="739D3016" w14:textId="744CD9CA" w:rsidR="00554AD9" w:rsidRPr="0002502E" w:rsidRDefault="00554AD9" w:rsidP="00554AD9">
      <w:pPr>
        <w:rPr>
          <w:rFonts w:ascii="Arial" w:hAnsi="Arial" w:cs="Arial"/>
        </w:rPr>
      </w:pPr>
      <w:r w:rsidRPr="0002502E">
        <w:rPr>
          <w:rFonts w:ascii="Arial" w:hAnsi="Arial" w:cs="Arial"/>
        </w:rPr>
        <w:t xml:space="preserve">Tal incremento de la oferta fue calculado </w:t>
      </w:r>
      <w:r w:rsidR="00A56EE1" w:rsidRPr="0002502E">
        <w:rPr>
          <w:rFonts w:ascii="Arial" w:hAnsi="Arial" w:cs="Arial"/>
        </w:rPr>
        <w:t>a partir de la información suministrada por el área de ingeniería responsable del proyecto a partir de los siguientes datos:</w:t>
      </w:r>
    </w:p>
    <w:p w14:paraId="2F47E5EF" w14:textId="77777777" w:rsidR="00A56EE1" w:rsidRPr="0002502E" w:rsidRDefault="00A56EE1" w:rsidP="00554AD9">
      <w:pPr>
        <w:rPr>
          <w:rFonts w:ascii="Arial" w:hAnsi="Arial" w:cs="Arial"/>
        </w:rPr>
      </w:pPr>
    </w:p>
    <w:tbl>
      <w:tblPr>
        <w:tblW w:w="8548" w:type="dxa"/>
        <w:tblCellMar>
          <w:left w:w="70" w:type="dxa"/>
          <w:right w:w="70" w:type="dxa"/>
        </w:tblCellMar>
        <w:tblLook w:val="04A0" w:firstRow="1" w:lastRow="0" w:firstColumn="1" w:lastColumn="0" w:noHBand="0" w:noVBand="1"/>
      </w:tblPr>
      <w:tblGrid>
        <w:gridCol w:w="4676"/>
        <w:gridCol w:w="1936"/>
        <w:gridCol w:w="1936"/>
      </w:tblGrid>
      <w:tr w:rsidR="00A56EE1" w:rsidRPr="0002502E" w14:paraId="5F43B1E2" w14:textId="77777777" w:rsidTr="00A56EE1">
        <w:trPr>
          <w:trHeight w:val="300"/>
        </w:trPr>
        <w:tc>
          <w:tcPr>
            <w:tcW w:w="4676" w:type="dxa"/>
            <w:tcBorders>
              <w:top w:val="nil"/>
              <w:left w:val="nil"/>
              <w:bottom w:val="nil"/>
              <w:right w:val="nil"/>
            </w:tcBorders>
            <w:shd w:val="clear" w:color="auto" w:fill="auto"/>
            <w:noWrap/>
            <w:vAlign w:val="center"/>
            <w:hideMark/>
          </w:tcPr>
          <w:p w14:paraId="6A890563" w14:textId="77777777" w:rsidR="00A56EE1" w:rsidRPr="0002502E" w:rsidRDefault="00A56EE1" w:rsidP="002C012A">
            <w:pPr>
              <w:keepNext/>
              <w:keepLines/>
              <w:spacing w:after="0" w:line="240" w:lineRule="auto"/>
              <w:jc w:val="left"/>
              <w:rPr>
                <w:rFonts w:ascii="Arial" w:eastAsia="Times New Roman" w:hAnsi="Arial" w:cs="Arial"/>
                <w:sz w:val="20"/>
                <w:szCs w:val="20"/>
                <w:lang w:eastAsia="es-AR"/>
              </w:rPr>
            </w:pPr>
          </w:p>
        </w:tc>
        <w:tc>
          <w:tcPr>
            <w:tcW w:w="1936" w:type="dxa"/>
            <w:tcBorders>
              <w:top w:val="nil"/>
              <w:left w:val="nil"/>
              <w:bottom w:val="nil"/>
              <w:right w:val="nil"/>
            </w:tcBorders>
            <w:shd w:val="clear" w:color="auto" w:fill="auto"/>
            <w:noWrap/>
            <w:vAlign w:val="center"/>
            <w:hideMark/>
          </w:tcPr>
          <w:p w14:paraId="25A0A393" w14:textId="77777777" w:rsidR="00A56EE1" w:rsidRPr="0002502E" w:rsidRDefault="00A56EE1" w:rsidP="002C012A">
            <w:pPr>
              <w:keepNext/>
              <w:keepLines/>
              <w:spacing w:after="0" w:line="240" w:lineRule="auto"/>
              <w:jc w:val="right"/>
              <w:rPr>
                <w:rFonts w:ascii="Arial" w:eastAsia="Times New Roman" w:hAnsi="Arial" w:cs="Arial"/>
                <w:b/>
                <w:color w:val="000000"/>
                <w:sz w:val="20"/>
                <w:szCs w:val="20"/>
                <w:lang w:eastAsia="es-AR"/>
              </w:rPr>
            </w:pPr>
            <w:r w:rsidRPr="0002502E">
              <w:rPr>
                <w:rFonts w:ascii="Arial" w:eastAsia="Times New Roman" w:hAnsi="Arial" w:cs="Arial"/>
                <w:b/>
                <w:color w:val="000000"/>
                <w:sz w:val="20"/>
                <w:szCs w:val="20"/>
                <w:lang w:eastAsia="es-AR"/>
              </w:rPr>
              <w:t>m</w:t>
            </w:r>
            <w:r w:rsidRPr="0002502E">
              <w:rPr>
                <w:rFonts w:ascii="Arial" w:eastAsia="Times New Roman" w:hAnsi="Arial" w:cs="Arial"/>
                <w:b/>
                <w:color w:val="000000"/>
                <w:sz w:val="20"/>
                <w:szCs w:val="20"/>
                <w:vertAlign w:val="superscript"/>
                <w:lang w:eastAsia="es-AR"/>
              </w:rPr>
              <w:t>3</w:t>
            </w:r>
            <w:r w:rsidRPr="0002502E">
              <w:rPr>
                <w:rFonts w:ascii="Arial" w:eastAsia="Times New Roman" w:hAnsi="Arial" w:cs="Arial"/>
                <w:b/>
                <w:color w:val="000000"/>
                <w:sz w:val="20"/>
                <w:szCs w:val="20"/>
                <w:lang w:eastAsia="es-AR"/>
              </w:rPr>
              <w:t>/día</w:t>
            </w:r>
          </w:p>
        </w:tc>
        <w:tc>
          <w:tcPr>
            <w:tcW w:w="1936" w:type="dxa"/>
            <w:tcBorders>
              <w:top w:val="nil"/>
              <w:left w:val="nil"/>
              <w:bottom w:val="nil"/>
              <w:right w:val="nil"/>
            </w:tcBorders>
            <w:shd w:val="clear" w:color="auto" w:fill="auto"/>
            <w:noWrap/>
            <w:vAlign w:val="center"/>
            <w:hideMark/>
          </w:tcPr>
          <w:p w14:paraId="1EAFF481" w14:textId="77777777" w:rsidR="00A56EE1" w:rsidRPr="0002502E" w:rsidRDefault="00A56EE1" w:rsidP="002C012A">
            <w:pPr>
              <w:keepNext/>
              <w:keepLines/>
              <w:spacing w:after="0" w:line="240" w:lineRule="auto"/>
              <w:jc w:val="right"/>
              <w:rPr>
                <w:rFonts w:ascii="Arial" w:eastAsia="Times New Roman" w:hAnsi="Arial" w:cs="Arial"/>
                <w:b/>
                <w:color w:val="000000"/>
                <w:sz w:val="20"/>
                <w:szCs w:val="20"/>
                <w:lang w:eastAsia="es-AR"/>
              </w:rPr>
            </w:pPr>
            <w:r w:rsidRPr="0002502E">
              <w:rPr>
                <w:rFonts w:ascii="Arial" w:eastAsia="Times New Roman" w:hAnsi="Arial" w:cs="Arial"/>
                <w:b/>
                <w:color w:val="000000"/>
                <w:sz w:val="20"/>
                <w:szCs w:val="20"/>
                <w:lang w:eastAsia="es-AR"/>
              </w:rPr>
              <w:t>miles de m</w:t>
            </w:r>
            <w:r w:rsidRPr="0002502E">
              <w:rPr>
                <w:rFonts w:ascii="Arial" w:eastAsia="Times New Roman" w:hAnsi="Arial" w:cs="Arial"/>
                <w:b/>
                <w:color w:val="000000"/>
                <w:sz w:val="20"/>
                <w:szCs w:val="20"/>
                <w:vertAlign w:val="superscript"/>
                <w:lang w:eastAsia="es-AR"/>
              </w:rPr>
              <w:t>3</w:t>
            </w:r>
            <w:r w:rsidRPr="0002502E">
              <w:rPr>
                <w:rFonts w:ascii="Arial" w:eastAsia="Times New Roman" w:hAnsi="Arial" w:cs="Arial"/>
                <w:b/>
                <w:color w:val="000000"/>
                <w:sz w:val="20"/>
                <w:szCs w:val="20"/>
                <w:lang w:eastAsia="es-AR"/>
              </w:rPr>
              <w:t>/año</w:t>
            </w:r>
          </w:p>
        </w:tc>
      </w:tr>
      <w:tr w:rsidR="00A56EE1" w:rsidRPr="0002502E" w14:paraId="69C94407" w14:textId="77777777" w:rsidTr="00A56EE1">
        <w:trPr>
          <w:trHeight w:val="300"/>
        </w:trPr>
        <w:tc>
          <w:tcPr>
            <w:tcW w:w="4676" w:type="dxa"/>
            <w:tcBorders>
              <w:top w:val="nil"/>
              <w:left w:val="nil"/>
              <w:bottom w:val="nil"/>
              <w:right w:val="nil"/>
            </w:tcBorders>
            <w:shd w:val="clear" w:color="auto" w:fill="auto"/>
            <w:noWrap/>
            <w:vAlign w:val="center"/>
            <w:hideMark/>
          </w:tcPr>
          <w:p w14:paraId="430C0DB5" w14:textId="77777777" w:rsidR="00A56EE1" w:rsidRPr="0002502E" w:rsidRDefault="00A56EE1" w:rsidP="002C012A">
            <w:pPr>
              <w:keepNext/>
              <w:keepLines/>
              <w:spacing w:after="0" w:line="240" w:lineRule="auto"/>
              <w:jc w:val="left"/>
              <w:rPr>
                <w:rFonts w:ascii="Arial" w:eastAsia="Times New Roman" w:hAnsi="Arial" w:cs="Arial"/>
                <w:color w:val="000000"/>
                <w:sz w:val="20"/>
                <w:szCs w:val="20"/>
                <w:lang w:eastAsia="es-AR"/>
              </w:rPr>
            </w:pPr>
            <w:r w:rsidRPr="0002502E">
              <w:rPr>
                <w:rFonts w:ascii="Arial" w:eastAsia="Times New Roman" w:hAnsi="Arial" w:cs="Arial"/>
                <w:color w:val="000000"/>
                <w:sz w:val="20"/>
                <w:szCs w:val="20"/>
                <w:lang w:eastAsia="es-AR"/>
              </w:rPr>
              <w:t>Ahorro agua VR</w:t>
            </w:r>
          </w:p>
        </w:tc>
        <w:tc>
          <w:tcPr>
            <w:tcW w:w="1936" w:type="dxa"/>
            <w:tcBorders>
              <w:top w:val="nil"/>
              <w:left w:val="nil"/>
              <w:bottom w:val="nil"/>
              <w:right w:val="nil"/>
            </w:tcBorders>
            <w:shd w:val="clear" w:color="auto" w:fill="auto"/>
            <w:noWrap/>
            <w:vAlign w:val="center"/>
            <w:hideMark/>
          </w:tcPr>
          <w:p w14:paraId="4076B417" w14:textId="77777777" w:rsidR="00A56EE1" w:rsidRPr="0002502E" w:rsidRDefault="00A56EE1" w:rsidP="002C012A">
            <w:pPr>
              <w:keepNext/>
              <w:keepLines/>
              <w:spacing w:after="0" w:line="240" w:lineRule="auto"/>
              <w:jc w:val="right"/>
              <w:rPr>
                <w:rFonts w:ascii="Arial" w:eastAsia="Times New Roman" w:hAnsi="Arial" w:cs="Arial"/>
                <w:color w:val="000000"/>
                <w:sz w:val="20"/>
                <w:szCs w:val="20"/>
                <w:lang w:eastAsia="es-AR"/>
              </w:rPr>
            </w:pPr>
            <w:r w:rsidRPr="0002502E">
              <w:rPr>
                <w:rFonts w:ascii="Arial" w:eastAsia="Times New Roman" w:hAnsi="Arial" w:cs="Arial"/>
                <w:color w:val="000000"/>
                <w:sz w:val="20"/>
                <w:szCs w:val="20"/>
                <w:lang w:eastAsia="es-AR"/>
              </w:rPr>
              <w:t>43.907</w:t>
            </w:r>
          </w:p>
        </w:tc>
        <w:tc>
          <w:tcPr>
            <w:tcW w:w="1936" w:type="dxa"/>
            <w:tcBorders>
              <w:top w:val="nil"/>
              <w:left w:val="nil"/>
              <w:bottom w:val="nil"/>
              <w:right w:val="nil"/>
            </w:tcBorders>
            <w:shd w:val="clear" w:color="auto" w:fill="auto"/>
            <w:noWrap/>
            <w:vAlign w:val="center"/>
            <w:hideMark/>
          </w:tcPr>
          <w:p w14:paraId="24E7C04E" w14:textId="77777777" w:rsidR="00A56EE1" w:rsidRPr="0002502E" w:rsidRDefault="00A56EE1" w:rsidP="002C012A">
            <w:pPr>
              <w:keepNext/>
              <w:keepLines/>
              <w:spacing w:after="0" w:line="240" w:lineRule="auto"/>
              <w:jc w:val="right"/>
              <w:rPr>
                <w:rFonts w:ascii="Arial" w:eastAsia="Times New Roman" w:hAnsi="Arial" w:cs="Arial"/>
                <w:color w:val="000000"/>
                <w:sz w:val="20"/>
                <w:szCs w:val="20"/>
                <w:lang w:eastAsia="es-AR"/>
              </w:rPr>
            </w:pPr>
            <w:r w:rsidRPr="0002502E">
              <w:rPr>
                <w:rFonts w:ascii="Arial" w:eastAsia="Times New Roman" w:hAnsi="Arial" w:cs="Arial"/>
                <w:color w:val="000000"/>
                <w:sz w:val="20"/>
                <w:szCs w:val="20"/>
                <w:lang w:eastAsia="es-AR"/>
              </w:rPr>
              <w:t>16.026</w:t>
            </w:r>
          </w:p>
        </w:tc>
      </w:tr>
      <w:tr w:rsidR="00FB40BB" w:rsidRPr="0002502E" w14:paraId="6F1CFC2D" w14:textId="77777777" w:rsidTr="00FB40BB">
        <w:trPr>
          <w:trHeight w:val="300"/>
        </w:trPr>
        <w:tc>
          <w:tcPr>
            <w:tcW w:w="4676" w:type="dxa"/>
            <w:tcBorders>
              <w:top w:val="nil"/>
              <w:left w:val="nil"/>
              <w:bottom w:val="nil"/>
              <w:right w:val="nil"/>
            </w:tcBorders>
            <w:shd w:val="clear" w:color="auto" w:fill="auto"/>
            <w:noWrap/>
            <w:vAlign w:val="center"/>
            <w:hideMark/>
          </w:tcPr>
          <w:p w14:paraId="6943BC9F" w14:textId="77777777" w:rsidR="00FB40BB" w:rsidRPr="0002502E" w:rsidRDefault="00FB40BB" w:rsidP="002C012A">
            <w:pPr>
              <w:keepNext/>
              <w:keepLines/>
              <w:spacing w:after="0" w:line="240" w:lineRule="auto"/>
              <w:jc w:val="left"/>
              <w:rPr>
                <w:rFonts w:ascii="Arial" w:eastAsia="Times New Roman" w:hAnsi="Arial" w:cs="Arial"/>
                <w:color w:val="000000"/>
                <w:sz w:val="20"/>
                <w:szCs w:val="20"/>
                <w:lang w:eastAsia="es-AR"/>
              </w:rPr>
            </w:pPr>
            <w:r w:rsidRPr="0002502E">
              <w:rPr>
                <w:rFonts w:ascii="Arial" w:eastAsia="Times New Roman" w:hAnsi="Arial" w:cs="Arial"/>
                <w:color w:val="000000"/>
                <w:sz w:val="20"/>
                <w:szCs w:val="20"/>
                <w:lang w:eastAsia="es-AR"/>
              </w:rPr>
              <w:t>Ahorro agua DMA</w:t>
            </w:r>
          </w:p>
        </w:tc>
        <w:tc>
          <w:tcPr>
            <w:tcW w:w="1936" w:type="dxa"/>
            <w:tcBorders>
              <w:top w:val="nil"/>
              <w:left w:val="nil"/>
              <w:bottom w:val="nil"/>
              <w:right w:val="nil"/>
            </w:tcBorders>
            <w:shd w:val="clear" w:color="auto" w:fill="auto"/>
            <w:noWrap/>
            <w:hideMark/>
          </w:tcPr>
          <w:p w14:paraId="66A8182B" w14:textId="2E9C0F58" w:rsidR="00FB40BB" w:rsidRPr="0002502E" w:rsidRDefault="00FB40BB" w:rsidP="002C012A">
            <w:pPr>
              <w:keepNext/>
              <w:keepLines/>
              <w:spacing w:after="0" w:line="240" w:lineRule="auto"/>
              <w:jc w:val="right"/>
              <w:rPr>
                <w:rFonts w:ascii="Arial" w:eastAsia="Times New Roman" w:hAnsi="Arial" w:cs="Arial"/>
                <w:color w:val="000000"/>
                <w:sz w:val="20"/>
                <w:szCs w:val="20"/>
                <w:lang w:eastAsia="es-AR"/>
              </w:rPr>
            </w:pPr>
            <w:r w:rsidRPr="0002502E">
              <w:rPr>
                <w:rFonts w:ascii="Arial" w:hAnsi="Arial" w:cs="Arial"/>
                <w:sz w:val="20"/>
                <w:szCs w:val="20"/>
              </w:rPr>
              <w:t>0</w:t>
            </w:r>
          </w:p>
        </w:tc>
        <w:tc>
          <w:tcPr>
            <w:tcW w:w="1936" w:type="dxa"/>
            <w:tcBorders>
              <w:top w:val="nil"/>
              <w:left w:val="nil"/>
              <w:bottom w:val="nil"/>
              <w:right w:val="nil"/>
            </w:tcBorders>
            <w:shd w:val="clear" w:color="auto" w:fill="auto"/>
            <w:noWrap/>
            <w:hideMark/>
          </w:tcPr>
          <w:p w14:paraId="59B425DA" w14:textId="51866363" w:rsidR="00FB40BB" w:rsidRPr="0002502E" w:rsidRDefault="00FB40BB" w:rsidP="002C012A">
            <w:pPr>
              <w:keepNext/>
              <w:keepLines/>
              <w:spacing w:after="0" w:line="240" w:lineRule="auto"/>
              <w:jc w:val="right"/>
              <w:rPr>
                <w:rFonts w:ascii="Arial" w:eastAsia="Times New Roman" w:hAnsi="Arial" w:cs="Arial"/>
                <w:color w:val="000000"/>
                <w:sz w:val="20"/>
                <w:szCs w:val="20"/>
                <w:lang w:eastAsia="es-AR"/>
              </w:rPr>
            </w:pPr>
            <w:r w:rsidRPr="0002502E">
              <w:rPr>
                <w:rFonts w:ascii="Arial" w:hAnsi="Arial" w:cs="Arial"/>
                <w:sz w:val="20"/>
                <w:szCs w:val="20"/>
              </w:rPr>
              <w:t>0</w:t>
            </w:r>
          </w:p>
        </w:tc>
      </w:tr>
      <w:tr w:rsidR="00FB40BB" w:rsidRPr="0002502E" w14:paraId="3B1BC74E" w14:textId="77777777" w:rsidTr="00FB40BB">
        <w:trPr>
          <w:trHeight w:val="300"/>
        </w:trPr>
        <w:tc>
          <w:tcPr>
            <w:tcW w:w="4676" w:type="dxa"/>
            <w:tcBorders>
              <w:top w:val="nil"/>
              <w:left w:val="nil"/>
              <w:bottom w:val="nil"/>
              <w:right w:val="nil"/>
            </w:tcBorders>
            <w:shd w:val="clear" w:color="auto" w:fill="auto"/>
            <w:noWrap/>
            <w:vAlign w:val="center"/>
            <w:hideMark/>
          </w:tcPr>
          <w:p w14:paraId="46033E56" w14:textId="77777777" w:rsidR="00FB40BB" w:rsidRPr="0002502E" w:rsidRDefault="00FB40BB" w:rsidP="002C012A">
            <w:pPr>
              <w:keepNext/>
              <w:keepLines/>
              <w:spacing w:after="0" w:line="240" w:lineRule="auto"/>
              <w:jc w:val="left"/>
              <w:rPr>
                <w:rFonts w:ascii="Arial" w:eastAsia="Times New Roman" w:hAnsi="Arial" w:cs="Arial"/>
                <w:color w:val="000000"/>
                <w:sz w:val="20"/>
                <w:szCs w:val="20"/>
                <w:lang w:eastAsia="es-AR"/>
              </w:rPr>
            </w:pPr>
            <w:r w:rsidRPr="0002502E">
              <w:rPr>
                <w:rFonts w:ascii="Arial" w:eastAsia="Times New Roman" w:hAnsi="Arial" w:cs="Arial"/>
                <w:color w:val="000000"/>
                <w:sz w:val="20"/>
                <w:szCs w:val="20"/>
                <w:lang w:eastAsia="es-AR"/>
              </w:rPr>
              <w:t>Ahorro agua Micromedición</w:t>
            </w:r>
          </w:p>
        </w:tc>
        <w:tc>
          <w:tcPr>
            <w:tcW w:w="1936" w:type="dxa"/>
            <w:tcBorders>
              <w:top w:val="nil"/>
              <w:left w:val="nil"/>
              <w:bottom w:val="nil"/>
              <w:right w:val="nil"/>
            </w:tcBorders>
            <w:shd w:val="clear" w:color="auto" w:fill="auto"/>
            <w:noWrap/>
            <w:hideMark/>
          </w:tcPr>
          <w:p w14:paraId="057B49FA" w14:textId="293622D5" w:rsidR="00FB40BB" w:rsidRPr="0002502E" w:rsidRDefault="00FB40BB" w:rsidP="002C012A">
            <w:pPr>
              <w:keepNext/>
              <w:keepLines/>
              <w:spacing w:after="0" w:line="240" w:lineRule="auto"/>
              <w:jc w:val="right"/>
              <w:rPr>
                <w:rFonts w:ascii="Arial" w:eastAsia="Times New Roman" w:hAnsi="Arial" w:cs="Arial"/>
                <w:color w:val="000000"/>
                <w:sz w:val="20"/>
                <w:szCs w:val="20"/>
                <w:lang w:eastAsia="es-AR"/>
              </w:rPr>
            </w:pPr>
            <w:r w:rsidRPr="0002502E">
              <w:rPr>
                <w:rFonts w:ascii="Arial" w:hAnsi="Arial" w:cs="Arial"/>
                <w:sz w:val="20"/>
                <w:szCs w:val="20"/>
              </w:rPr>
              <w:t>2.880</w:t>
            </w:r>
          </w:p>
        </w:tc>
        <w:tc>
          <w:tcPr>
            <w:tcW w:w="1936" w:type="dxa"/>
            <w:tcBorders>
              <w:top w:val="nil"/>
              <w:left w:val="nil"/>
              <w:bottom w:val="nil"/>
              <w:right w:val="nil"/>
            </w:tcBorders>
            <w:shd w:val="clear" w:color="auto" w:fill="auto"/>
            <w:noWrap/>
            <w:hideMark/>
          </w:tcPr>
          <w:p w14:paraId="65D1C267" w14:textId="50317904" w:rsidR="00FB40BB" w:rsidRPr="0002502E" w:rsidRDefault="00FB40BB" w:rsidP="002C012A">
            <w:pPr>
              <w:keepNext/>
              <w:keepLines/>
              <w:spacing w:after="0" w:line="240" w:lineRule="auto"/>
              <w:jc w:val="right"/>
              <w:rPr>
                <w:rFonts w:ascii="Arial" w:eastAsia="Times New Roman" w:hAnsi="Arial" w:cs="Arial"/>
                <w:color w:val="000000"/>
                <w:sz w:val="20"/>
                <w:szCs w:val="20"/>
                <w:lang w:eastAsia="es-AR"/>
              </w:rPr>
            </w:pPr>
            <w:r w:rsidRPr="0002502E">
              <w:rPr>
                <w:rFonts w:ascii="Arial" w:hAnsi="Arial" w:cs="Arial"/>
                <w:sz w:val="20"/>
                <w:szCs w:val="20"/>
              </w:rPr>
              <w:t>1.051</w:t>
            </w:r>
          </w:p>
        </w:tc>
      </w:tr>
      <w:tr w:rsidR="00FB40BB" w:rsidRPr="0002502E" w14:paraId="2CBBB3A8" w14:textId="77777777" w:rsidTr="00FB40BB">
        <w:trPr>
          <w:trHeight w:val="315"/>
        </w:trPr>
        <w:tc>
          <w:tcPr>
            <w:tcW w:w="4676" w:type="dxa"/>
            <w:tcBorders>
              <w:top w:val="nil"/>
              <w:left w:val="nil"/>
              <w:bottom w:val="nil"/>
              <w:right w:val="nil"/>
            </w:tcBorders>
            <w:shd w:val="clear" w:color="auto" w:fill="auto"/>
            <w:noWrap/>
            <w:vAlign w:val="center"/>
            <w:hideMark/>
          </w:tcPr>
          <w:p w14:paraId="33B9C5AA" w14:textId="77777777" w:rsidR="00FB40BB" w:rsidRPr="0002502E" w:rsidRDefault="00FB40BB" w:rsidP="002C012A">
            <w:pPr>
              <w:keepNext/>
              <w:keepLines/>
              <w:spacing w:after="0" w:line="240" w:lineRule="auto"/>
              <w:jc w:val="left"/>
              <w:rPr>
                <w:rFonts w:ascii="Arial" w:eastAsia="Times New Roman" w:hAnsi="Arial" w:cs="Arial"/>
                <w:b/>
                <w:bCs/>
                <w:color w:val="000000"/>
                <w:sz w:val="20"/>
                <w:szCs w:val="20"/>
                <w:lang w:eastAsia="es-AR"/>
              </w:rPr>
            </w:pPr>
            <w:r w:rsidRPr="0002502E">
              <w:rPr>
                <w:rFonts w:ascii="Arial" w:eastAsia="Times New Roman" w:hAnsi="Arial" w:cs="Arial"/>
                <w:b/>
                <w:bCs/>
                <w:color w:val="000000"/>
                <w:sz w:val="20"/>
                <w:szCs w:val="20"/>
                <w:lang w:eastAsia="es-AR"/>
              </w:rPr>
              <w:t>Total</w:t>
            </w:r>
          </w:p>
        </w:tc>
        <w:tc>
          <w:tcPr>
            <w:tcW w:w="1936" w:type="dxa"/>
            <w:tcBorders>
              <w:top w:val="nil"/>
              <w:left w:val="nil"/>
              <w:bottom w:val="nil"/>
              <w:right w:val="nil"/>
            </w:tcBorders>
            <w:shd w:val="clear" w:color="auto" w:fill="auto"/>
            <w:noWrap/>
            <w:hideMark/>
          </w:tcPr>
          <w:p w14:paraId="78E0EBC9" w14:textId="322897B2" w:rsidR="00FB40BB" w:rsidRPr="0002502E" w:rsidRDefault="00FB40BB" w:rsidP="002C012A">
            <w:pPr>
              <w:keepNext/>
              <w:keepLines/>
              <w:spacing w:after="0" w:line="240" w:lineRule="auto"/>
              <w:jc w:val="right"/>
              <w:rPr>
                <w:rFonts w:ascii="Arial" w:eastAsia="Times New Roman" w:hAnsi="Arial" w:cs="Arial"/>
                <w:b/>
                <w:bCs/>
                <w:color w:val="000000"/>
                <w:sz w:val="20"/>
                <w:szCs w:val="20"/>
                <w:lang w:eastAsia="es-AR"/>
              </w:rPr>
            </w:pPr>
            <w:r w:rsidRPr="0002502E">
              <w:rPr>
                <w:rFonts w:ascii="Arial" w:hAnsi="Arial" w:cs="Arial"/>
                <w:b/>
                <w:sz w:val="20"/>
                <w:szCs w:val="20"/>
              </w:rPr>
              <w:t>46.787</w:t>
            </w:r>
          </w:p>
        </w:tc>
        <w:tc>
          <w:tcPr>
            <w:tcW w:w="1936" w:type="dxa"/>
            <w:tcBorders>
              <w:top w:val="nil"/>
              <w:left w:val="nil"/>
              <w:bottom w:val="nil"/>
              <w:right w:val="nil"/>
            </w:tcBorders>
            <w:shd w:val="clear" w:color="auto" w:fill="auto"/>
            <w:noWrap/>
            <w:hideMark/>
          </w:tcPr>
          <w:p w14:paraId="67C286D6" w14:textId="569CFBD9" w:rsidR="00FB40BB" w:rsidRPr="0002502E" w:rsidRDefault="00FB40BB" w:rsidP="002C012A">
            <w:pPr>
              <w:keepNext/>
              <w:keepLines/>
              <w:spacing w:after="0" w:line="240" w:lineRule="auto"/>
              <w:jc w:val="right"/>
              <w:rPr>
                <w:rFonts w:ascii="Arial" w:eastAsia="Times New Roman" w:hAnsi="Arial" w:cs="Arial"/>
                <w:b/>
                <w:bCs/>
                <w:color w:val="000000"/>
                <w:sz w:val="20"/>
                <w:szCs w:val="20"/>
                <w:lang w:eastAsia="es-AR"/>
              </w:rPr>
            </w:pPr>
            <w:r w:rsidRPr="0002502E">
              <w:rPr>
                <w:rFonts w:ascii="Arial" w:hAnsi="Arial" w:cs="Arial"/>
                <w:b/>
                <w:sz w:val="20"/>
                <w:szCs w:val="20"/>
              </w:rPr>
              <w:t>17.077</w:t>
            </w:r>
          </w:p>
        </w:tc>
      </w:tr>
      <w:tr w:rsidR="00FB40BB" w:rsidRPr="0002502E" w14:paraId="535FAA12" w14:textId="77777777" w:rsidTr="00FB40BB">
        <w:trPr>
          <w:trHeight w:val="315"/>
        </w:trPr>
        <w:tc>
          <w:tcPr>
            <w:tcW w:w="4676" w:type="dxa"/>
            <w:tcBorders>
              <w:top w:val="nil"/>
              <w:left w:val="nil"/>
              <w:bottom w:val="nil"/>
              <w:right w:val="nil"/>
            </w:tcBorders>
            <w:shd w:val="clear" w:color="auto" w:fill="auto"/>
            <w:noWrap/>
            <w:vAlign w:val="center"/>
            <w:hideMark/>
          </w:tcPr>
          <w:p w14:paraId="37E80DCC" w14:textId="434BFDAA" w:rsidR="00FB40BB" w:rsidRPr="0002502E" w:rsidRDefault="00FB40BB" w:rsidP="002C012A">
            <w:pPr>
              <w:keepNext/>
              <w:keepLines/>
              <w:spacing w:after="0" w:line="240" w:lineRule="auto"/>
              <w:jc w:val="left"/>
              <w:rPr>
                <w:rFonts w:ascii="Arial" w:eastAsia="Times New Roman" w:hAnsi="Arial" w:cs="Arial"/>
                <w:b/>
                <w:bCs/>
                <w:color w:val="000000"/>
                <w:sz w:val="20"/>
                <w:szCs w:val="20"/>
                <w:lang w:eastAsia="es-AR"/>
              </w:rPr>
            </w:pPr>
            <w:r w:rsidRPr="0002502E">
              <w:rPr>
                <w:rFonts w:ascii="Arial" w:eastAsia="Times New Roman" w:hAnsi="Arial" w:cs="Arial"/>
                <w:b/>
                <w:bCs/>
                <w:color w:val="000000"/>
                <w:sz w:val="20"/>
                <w:szCs w:val="20"/>
                <w:lang w:eastAsia="es-AR"/>
              </w:rPr>
              <w:t>Tasa de Transporte</w:t>
            </w:r>
            <w:r w:rsidRPr="0002502E">
              <w:rPr>
                <w:rStyle w:val="FootnoteReference"/>
                <w:rFonts w:ascii="Arial" w:eastAsia="Times New Roman" w:hAnsi="Arial" w:cs="Arial"/>
                <w:b/>
                <w:bCs/>
                <w:color w:val="000000"/>
                <w:sz w:val="20"/>
                <w:szCs w:val="20"/>
                <w:lang w:eastAsia="es-AR"/>
              </w:rPr>
              <w:footnoteReference w:id="12"/>
            </w:r>
            <w:r w:rsidRPr="0002502E">
              <w:rPr>
                <w:rFonts w:ascii="Arial" w:eastAsia="Times New Roman" w:hAnsi="Arial" w:cs="Arial"/>
                <w:b/>
                <w:bCs/>
                <w:color w:val="000000"/>
                <w:sz w:val="20"/>
                <w:szCs w:val="20"/>
                <w:lang w:eastAsia="es-AR"/>
              </w:rPr>
              <w:t xml:space="preserve"> </w:t>
            </w:r>
          </w:p>
        </w:tc>
        <w:tc>
          <w:tcPr>
            <w:tcW w:w="3872" w:type="dxa"/>
            <w:gridSpan w:val="2"/>
            <w:tcBorders>
              <w:top w:val="nil"/>
              <w:left w:val="nil"/>
              <w:bottom w:val="nil"/>
              <w:right w:val="nil"/>
            </w:tcBorders>
            <w:shd w:val="clear" w:color="auto" w:fill="auto"/>
            <w:noWrap/>
            <w:hideMark/>
          </w:tcPr>
          <w:p w14:paraId="5C6615D0" w14:textId="2D7D2C90" w:rsidR="00FB40BB" w:rsidRPr="0002502E" w:rsidRDefault="00FB40BB" w:rsidP="002C012A">
            <w:pPr>
              <w:keepNext/>
              <w:keepLines/>
              <w:spacing w:after="0" w:line="240" w:lineRule="auto"/>
              <w:jc w:val="center"/>
              <w:rPr>
                <w:rFonts w:ascii="Arial" w:eastAsia="Times New Roman" w:hAnsi="Arial" w:cs="Arial"/>
                <w:b/>
                <w:bCs/>
                <w:color w:val="000000"/>
                <w:sz w:val="20"/>
                <w:szCs w:val="20"/>
                <w:lang w:eastAsia="es-AR"/>
              </w:rPr>
            </w:pPr>
            <w:r w:rsidRPr="0002502E">
              <w:rPr>
                <w:rFonts w:ascii="Arial" w:hAnsi="Arial" w:cs="Arial"/>
                <w:b/>
                <w:sz w:val="20"/>
                <w:szCs w:val="20"/>
              </w:rPr>
              <w:t xml:space="preserve">                     40%</w:t>
            </w:r>
          </w:p>
        </w:tc>
      </w:tr>
      <w:tr w:rsidR="00FB40BB" w:rsidRPr="0002502E" w14:paraId="1A87D2DF" w14:textId="77777777" w:rsidTr="00FB40BB">
        <w:trPr>
          <w:trHeight w:val="315"/>
        </w:trPr>
        <w:tc>
          <w:tcPr>
            <w:tcW w:w="4676" w:type="dxa"/>
            <w:tcBorders>
              <w:top w:val="nil"/>
              <w:left w:val="nil"/>
              <w:bottom w:val="nil"/>
              <w:right w:val="nil"/>
            </w:tcBorders>
            <w:shd w:val="clear" w:color="auto" w:fill="auto"/>
            <w:noWrap/>
            <w:vAlign w:val="center"/>
            <w:hideMark/>
          </w:tcPr>
          <w:p w14:paraId="180C68C1" w14:textId="77777777" w:rsidR="00FB40BB" w:rsidRPr="0002502E" w:rsidRDefault="00FB40BB" w:rsidP="002C012A">
            <w:pPr>
              <w:keepNext/>
              <w:keepLines/>
              <w:spacing w:after="0" w:line="240" w:lineRule="auto"/>
              <w:jc w:val="left"/>
              <w:rPr>
                <w:rFonts w:ascii="Arial" w:eastAsia="Times New Roman" w:hAnsi="Arial" w:cs="Arial"/>
                <w:b/>
                <w:bCs/>
                <w:color w:val="000000"/>
                <w:sz w:val="20"/>
                <w:szCs w:val="20"/>
                <w:lang w:eastAsia="es-AR"/>
              </w:rPr>
            </w:pPr>
            <w:r w:rsidRPr="0002502E">
              <w:rPr>
                <w:rFonts w:ascii="Arial" w:eastAsia="Times New Roman" w:hAnsi="Arial" w:cs="Arial"/>
                <w:b/>
                <w:bCs/>
                <w:color w:val="000000"/>
                <w:sz w:val="20"/>
                <w:szCs w:val="20"/>
                <w:lang w:eastAsia="es-AR"/>
              </w:rPr>
              <w:t>Derivable Zona Sur</w:t>
            </w:r>
          </w:p>
        </w:tc>
        <w:tc>
          <w:tcPr>
            <w:tcW w:w="1936" w:type="dxa"/>
            <w:tcBorders>
              <w:top w:val="nil"/>
              <w:left w:val="nil"/>
              <w:bottom w:val="nil"/>
              <w:right w:val="nil"/>
            </w:tcBorders>
            <w:shd w:val="clear" w:color="auto" w:fill="auto"/>
            <w:noWrap/>
            <w:hideMark/>
          </w:tcPr>
          <w:p w14:paraId="2F1B8364" w14:textId="5CF5D305" w:rsidR="00FB40BB" w:rsidRPr="0002502E" w:rsidRDefault="00FB40BB" w:rsidP="002C012A">
            <w:pPr>
              <w:keepNext/>
              <w:keepLines/>
              <w:spacing w:after="0" w:line="240" w:lineRule="auto"/>
              <w:jc w:val="right"/>
              <w:rPr>
                <w:rFonts w:ascii="Arial" w:eastAsia="Times New Roman" w:hAnsi="Arial" w:cs="Arial"/>
                <w:b/>
                <w:bCs/>
                <w:color w:val="000000"/>
                <w:sz w:val="20"/>
                <w:szCs w:val="20"/>
                <w:lang w:eastAsia="es-AR"/>
              </w:rPr>
            </w:pPr>
            <w:r w:rsidRPr="0002502E">
              <w:rPr>
                <w:rFonts w:ascii="Arial" w:hAnsi="Arial" w:cs="Arial"/>
                <w:b/>
                <w:sz w:val="20"/>
                <w:szCs w:val="20"/>
              </w:rPr>
              <w:t>18.715</w:t>
            </w:r>
          </w:p>
        </w:tc>
        <w:tc>
          <w:tcPr>
            <w:tcW w:w="1936" w:type="dxa"/>
            <w:tcBorders>
              <w:top w:val="nil"/>
              <w:left w:val="nil"/>
              <w:bottom w:val="nil"/>
              <w:right w:val="nil"/>
            </w:tcBorders>
            <w:shd w:val="clear" w:color="auto" w:fill="auto"/>
            <w:noWrap/>
            <w:hideMark/>
          </w:tcPr>
          <w:p w14:paraId="4D8C4D8C" w14:textId="5A9BFE71" w:rsidR="00FB40BB" w:rsidRPr="0002502E" w:rsidRDefault="00FB40BB" w:rsidP="002C012A">
            <w:pPr>
              <w:keepNext/>
              <w:keepLines/>
              <w:spacing w:after="0" w:line="240" w:lineRule="auto"/>
              <w:jc w:val="right"/>
              <w:rPr>
                <w:rFonts w:ascii="Arial" w:eastAsia="Times New Roman" w:hAnsi="Arial" w:cs="Arial"/>
                <w:b/>
                <w:bCs/>
                <w:color w:val="000000"/>
                <w:sz w:val="20"/>
                <w:szCs w:val="20"/>
                <w:lang w:eastAsia="es-AR"/>
              </w:rPr>
            </w:pPr>
            <w:r w:rsidRPr="0002502E">
              <w:rPr>
                <w:rFonts w:ascii="Arial" w:hAnsi="Arial" w:cs="Arial"/>
                <w:b/>
                <w:sz w:val="20"/>
                <w:szCs w:val="20"/>
              </w:rPr>
              <w:t>6.831</w:t>
            </w:r>
          </w:p>
        </w:tc>
      </w:tr>
    </w:tbl>
    <w:p w14:paraId="46B847ED" w14:textId="77777777" w:rsidR="00A56EE1" w:rsidRPr="0002502E" w:rsidRDefault="00A56EE1" w:rsidP="00554AD9">
      <w:pPr>
        <w:rPr>
          <w:rFonts w:ascii="Arial" w:hAnsi="Arial" w:cs="Arial"/>
        </w:rPr>
      </w:pPr>
    </w:p>
    <w:p w14:paraId="704AAA6F" w14:textId="3238D7DA" w:rsidR="00554AD9" w:rsidRPr="0002502E" w:rsidRDefault="00EA1133" w:rsidP="00554AD9">
      <w:pPr>
        <w:rPr>
          <w:rFonts w:ascii="Arial" w:hAnsi="Arial" w:cs="Arial"/>
        </w:rPr>
      </w:pPr>
      <w:r w:rsidRPr="0002502E">
        <w:rPr>
          <w:rFonts w:ascii="Arial" w:hAnsi="Arial" w:cs="Arial"/>
        </w:rPr>
        <w:t xml:space="preserve">Adicionalmente se ha considerado que el agua ahorrada se ve expuesta a una tasa de pérdidas físicas del 28%, con lo que a partir de los </w:t>
      </w:r>
      <w:r w:rsidR="00FB40BB" w:rsidRPr="0002502E">
        <w:rPr>
          <w:rFonts w:ascii="Arial" w:hAnsi="Arial" w:cs="Arial"/>
        </w:rPr>
        <w:t>6,8</w:t>
      </w:r>
      <w:r w:rsidRPr="0002502E">
        <w:rPr>
          <w:rFonts w:ascii="Arial" w:hAnsi="Arial" w:cs="Arial"/>
        </w:rPr>
        <w:t xml:space="preserve"> millones de m</w:t>
      </w:r>
      <w:r w:rsidRPr="0002502E">
        <w:rPr>
          <w:rFonts w:ascii="Arial" w:hAnsi="Arial" w:cs="Arial"/>
          <w:vertAlign w:val="superscript"/>
        </w:rPr>
        <w:t>3</w:t>
      </w:r>
      <w:r w:rsidRPr="0002502E">
        <w:rPr>
          <w:rFonts w:ascii="Arial" w:hAnsi="Arial" w:cs="Arial"/>
        </w:rPr>
        <w:t xml:space="preserve"> ahorrados transportables a los beneficiarios finalmente llegan los </w:t>
      </w:r>
      <w:r w:rsidR="00C219C5" w:rsidRPr="0002502E">
        <w:rPr>
          <w:rFonts w:ascii="Arial" w:hAnsi="Arial" w:cs="Arial"/>
        </w:rPr>
        <w:t>4,</w:t>
      </w:r>
      <w:r w:rsidR="00FB40BB" w:rsidRPr="0002502E">
        <w:rPr>
          <w:rFonts w:ascii="Arial" w:hAnsi="Arial" w:cs="Arial"/>
        </w:rPr>
        <w:t>92</w:t>
      </w:r>
      <w:r w:rsidRPr="0002502E">
        <w:rPr>
          <w:rFonts w:ascii="Arial" w:hAnsi="Arial" w:cs="Arial"/>
        </w:rPr>
        <w:t xml:space="preserve"> millones de m</w:t>
      </w:r>
      <w:r w:rsidRPr="0002502E">
        <w:rPr>
          <w:rFonts w:ascii="Arial" w:hAnsi="Arial" w:cs="Arial"/>
          <w:vertAlign w:val="superscript"/>
        </w:rPr>
        <w:t>3</w:t>
      </w:r>
      <w:r w:rsidRPr="0002502E">
        <w:rPr>
          <w:rFonts w:ascii="Arial" w:hAnsi="Arial" w:cs="Arial"/>
        </w:rPr>
        <w:t xml:space="preserve"> consignados en el modelo.</w:t>
      </w:r>
    </w:p>
    <w:p w14:paraId="7B795AA2" w14:textId="491615A2" w:rsidR="00554AD9" w:rsidRPr="0002502E" w:rsidRDefault="00EA1133" w:rsidP="00554AD9">
      <w:pPr>
        <w:rPr>
          <w:rFonts w:ascii="Arial" w:hAnsi="Arial" w:cs="Arial"/>
        </w:rPr>
      </w:pPr>
      <w:r w:rsidRPr="0002502E">
        <w:rPr>
          <w:rFonts w:ascii="Arial" w:hAnsi="Arial" w:cs="Arial"/>
        </w:rPr>
        <w:t xml:space="preserve">La </w:t>
      </w:r>
      <w:r w:rsidRPr="0002502E">
        <w:rPr>
          <w:rFonts w:ascii="Arial" w:hAnsi="Arial" w:cs="Arial"/>
        </w:rPr>
        <w:fldChar w:fldCharType="begin"/>
      </w:r>
      <w:r w:rsidRPr="0002502E">
        <w:rPr>
          <w:rFonts w:ascii="Arial" w:hAnsi="Arial" w:cs="Arial"/>
        </w:rPr>
        <w:instrText xml:space="preserve"> REF _Ref480191513 \h </w:instrText>
      </w:r>
      <w:r w:rsidR="0002502E">
        <w:rPr>
          <w:rFonts w:ascii="Arial" w:hAnsi="Arial" w:cs="Arial"/>
        </w:rPr>
        <w:instrText xml:space="preserve"> \* MERGEFORMAT </w:instrText>
      </w:r>
      <w:r w:rsidRPr="0002502E">
        <w:rPr>
          <w:rFonts w:ascii="Arial" w:hAnsi="Arial" w:cs="Arial"/>
        </w:rPr>
      </w:r>
      <w:r w:rsidRPr="0002502E">
        <w:rPr>
          <w:rFonts w:ascii="Arial" w:hAnsi="Arial" w:cs="Arial"/>
        </w:rPr>
        <w:fldChar w:fldCharType="separate"/>
      </w:r>
      <w:r w:rsidR="009F66B5" w:rsidRPr="0002502E">
        <w:rPr>
          <w:rFonts w:ascii="Arial" w:hAnsi="Arial" w:cs="Arial"/>
        </w:rPr>
        <w:t xml:space="preserve">Tabla </w:t>
      </w:r>
      <w:r w:rsidR="0002502E" w:rsidRPr="0002502E">
        <w:rPr>
          <w:rFonts w:ascii="Arial" w:hAnsi="Arial" w:cs="Arial"/>
        </w:rPr>
        <w:t>IV-7</w:t>
      </w:r>
      <w:r w:rsidRPr="0002502E">
        <w:rPr>
          <w:rFonts w:ascii="Arial" w:hAnsi="Arial" w:cs="Arial"/>
        </w:rPr>
        <w:fldChar w:fldCharType="end"/>
      </w:r>
      <w:r w:rsidRPr="0002502E">
        <w:rPr>
          <w:rFonts w:ascii="Arial" w:hAnsi="Arial" w:cs="Arial"/>
        </w:rPr>
        <w:t xml:space="preserve"> </w:t>
      </w:r>
      <w:r w:rsidR="00554AD9" w:rsidRPr="0002502E">
        <w:rPr>
          <w:rFonts w:ascii="Arial" w:hAnsi="Arial" w:cs="Arial"/>
        </w:rPr>
        <w:t>presenta el detalle de los datos incorporados a la simulación SIMOP.</w:t>
      </w:r>
    </w:p>
    <w:p w14:paraId="43DC320C" w14:textId="540F1EDA" w:rsidR="00EA1133" w:rsidRDefault="00EA1133" w:rsidP="00EA1133">
      <w:pPr>
        <w:pStyle w:val="Caption"/>
      </w:pPr>
      <w:bookmarkStart w:id="122" w:name="_Ref480191513"/>
      <w:r>
        <w:t xml:space="preserve">Tabla </w:t>
      </w:r>
      <w:r w:rsidR="0002502E">
        <w:t>IV-7:</w:t>
      </w:r>
      <w:r w:rsidR="000B2DBC" w:rsidRPr="0002502E">
        <w:rPr>
          <w:color w:val="FFFFFF" w:themeColor="background1"/>
        </w:rPr>
        <w:fldChar w:fldCharType="begin"/>
      </w:r>
      <w:r w:rsidR="000B2DBC" w:rsidRPr="0002502E">
        <w:rPr>
          <w:color w:val="FFFFFF" w:themeColor="background1"/>
        </w:rPr>
        <w:instrText xml:space="preserve"> SEQ Tabla \* ARABIC </w:instrText>
      </w:r>
      <w:r w:rsidR="000B2DBC" w:rsidRPr="0002502E">
        <w:rPr>
          <w:color w:val="FFFFFF" w:themeColor="background1"/>
        </w:rPr>
        <w:fldChar w:fldCharType="separate"/>
      </w:r>
      <w:r w:rsidR="009F66B5" w:rsidRPr="0002502E">
        <w:rPr>
          <w:noProof/>
          <w:color w:val="FFFFFF" w:themeColor="background1"/>
        </w:rPr>
        <w:t>24</w:t>
      </w:r>
      <w:r w:rsidR="000B2DBC" w:rsidRPr="0002502E">
        <w:rPr>
          <w:noProof/>
          <w:color w:val="FFFFFF" w:themeColor="background1"/>
        </w:rPr>
        <w:fldChar w:fldCharType="end"/>
      </w:r>
      <w:bookmarkEnd w:id="122"/>
      <w:r>
        <w:t xml:space="preserve"> </w:t>
      </w:r>
      <w:r w:rsidRPr="001B5654">
        <w:t>Capacidad del sistema CON proyecto.</w:t>
      </w:r>
    </w:p>
    <w:p w14:paraId="2EC96C40" w14:textId="1EB6FB06" w:rsidR="00554AD9" w:rsidRDefault="00FB40BB" w:rsidP="00554AD9">
      <w:r w:rsidRPr="00FB40BB">
        <w:rPr>
          <w:noProof/>
          <w:lang w:eastAsia="es-AR"/>
        </w:rPr>
        <w:drawing>
          <wp:inline distT="0" distB="0" distL="0" distR="0" wp14:anchorId="4FC0E8B1" wp14:editId="01269A6F">
            <wp:extent cx="4218305" cy="118173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18305" cy="1181735"/>
                    </a:xfrm>
                    <a:prstGeom prst="rect">
                      <a:avLst/>
                    </a:prstGeom>
                    <a:noFill/>
                    <a:ln>
                      <a:noFill/>
                    </a:ln>
                  </pic:spPr>
                </pic:pic>
              </a:graphicData>
            </a:graphic>
          </wp:inline>
        </w:drawing>
      </w:r>
    </w:p>
    <w:p w14:paraId="004A9950" w14:textId="77777777" w:rsidR="00554AD9" w:rsidRDefault="00554AD9" w:rsidP="00554AD9"/>
    <w:p w14:paraId="48E83F2B" w14:textId="3AEC108B" w:rsidR="00554AD9" w:rsidRPr="0002502E" w:rsidRDefault="00554AD9" w:rsidP="002B0107">
      <w:pPr>
        <w:pStyle w:val="Heading2"/>
      </w:pPr>
      <w:bookmarkStart w:id="123" w:name="_Toc485200102"/>
      <w:r w:rsidRPr="0002502E">
        <w:t>Capacidad disponible SIN proyecto en el sistema alternativo</w:t>
      </w:r>
      <w:bookmarkEnd w:id="123"/>
      <w:r w:rsidRPr="0002502E">
        <w:t xml:space="preserve"> </w:t>
      </w:r>
    </w:p>
    <w:p w14:paraId="10CC3BCD" w14:textId="77777777" w:rsidR="00554AD9" w:rsidRPr="0002502E" w:rsidRDefault="00554AD9" w:rsidP="00554AD9">
      <w:pPr>
        <w:rPr>
          <w:rFonts w:ascii="Arial" w:hAnsi="Arial" w:cs="Arial"/>
        </w:rPr>
      </w:pPr>
      <w:r w:rsidRPr="0002502E">
        <w:rPr>
          <w:rFonts w:ascii="Arial" w:hAnsi="Arial" w:cs="Arial"/>
        </w:rPr>
        <w:t>Dado que los beneficiarios reales del proyecto son usuarios existentes, no se considera capacidad del sistema alternativo para los mismos.</w:t>
      </w:r>
    </w:p>
    <w:p w14:paraId="061EEDE9" w14:textId="71BFB5FF" w:rsidR="00554AD9" w:rsidRPr="0002502E" w:rsidRDefault="00554AD9" w:rsidP="00554AD9">
      <w:pPr>
        <w:rPr>
          <w:rFonts w:ascii="Arial" w:hAnsi="Arial" w:cs="Arial"/>
        </w:rPr>
      </w:pPr>
      <w:r w:rsidRPr="0002502E">
        <w:rPr>
          <w:rFonts w:ascii="Arial" w:hAnsi="Arial" w:cs="Arial"/>
        </w:rPr>
        <w:t xml:space="preserve">Sin embargo, la existencia del grupo de consumidores ficticio obliga a incorporar una capacidad ficticia igual a su demanda a efectos de no generar beneficios adicionales a los asociados a los ahorros de recursos por reducción de intervenciones. En este caso se introdujo en SIMOP un valor de 1, consistente con la demanda del grupo </w:t>
      </w:r>
      <w:r w:rsidR="00EA1133" w:rsidRPr="0002502E">
        <w:rPr>
          <w:rFonts w:ascii="Arial" w:hAnsi="Arial" w:cs="Arial"/>
        </w:rPr>
        <w:t>3</w:t>
      </w:r>
      <w:r w:rsidRPr="0002502E">
        <w:rPr>
          <w:rFonts w:ascii="Arial" w:hAnsi="Arial" w:cs="Arial"/>
        </w:rPr>
        <w:t xml:space="preserve"> para todo el horizonte del proyecto.</w:t>
      </w:r>
    </w:p>
    <w:p w14:paraId="62B5F43E" w14:textId="77777777" w:rsidR="00EA1133" w:rsidRPr="0002502E" w:rsidRDefault="00EA1133" w:rsidP="00554AD9">
      <w:pPr>
        <w:rPr>
          <w:rFonts w:ascii="Arial" w:hAnsi="Arial" w:cs="Arial"/>
        </w:rPr>
      </w:pPr>
    </w:p>
    <w:p w14:paraId="6B99AD3A" w14:textId="7AC4C823" w:rsidR="00554AD9" w:rsidRPr="0002502E" w:rsidRDefault="00554AD9" w:rsidP="002B0107">
      <w:pPr>
        <w:pStyle w:val="Heading2"/>
      </w:pPr>
      <w:bookmarkStart w:id="124" w:name="_Toc485200103"/>
      <w:r w:rsidRPr="0002502E">
        <w:t>Racionamiento</w:t>
      </w:r>
      <w:bookmarkEnd w:id="124"/>
      <w:r w:rsidRPr="0002502E">
        <w:t xml:space="preserve"> </w:t>
      </w:r>
    </w:p>
    <w:p w14:paraId="01978302" w14:textId="77777777" w:rsidR="00554AD9" w:rsidRPr="0002502E" w:rsidRDefault="00554AD9" w:rsidP="00554AD9">
      <w:pPr>
        <w:rPr>
          <w:rFonts w:ascii="Arial" w:hAnsi="Arial" w:cs="Arial"/>
        </w:rPr>
      </w:pPr>
      <w:r w:rsidRPr="0002502E">
        <w:rPr>
          <w:rFonts w:ascii="Arial" w:hAnsi="Arial" w:cs="Arial"/>
        </w:rPr>
        <w:t>No se explicita regla de racionamiento, por lo que en caso de capacidad insuficiente el racionamiento se distribuirá proporcionalmente a la demanda de cada grupo consumidor según lo hace automáticamente el SIMOP.</w:t>
      </w:r>
    </w:p>
    <w:p w14:paraId="6A3EDDA0" w14:textId="77777777" w:rsidR="00EA1133" w:rsidRPr="0002502E" w:rsidRDefault="00EA1133" w:rsidP="00554AD9">
      <w:pPr>
        <w:rPr>
          <w:rFonts w:ascii="Arial" w:hAnsi="Arial" w:cs="Arial"/>
        </w:rPr>
      </w:pPr>
    </w:p>
    <w:p w14:paraId="2C899DCC" w14:textId="0E06B4F4" w:rsidR="00554AD9" w:rsidRPr="0002502E" w:rsidRDefault="00554AD9" w:rsidP="002B0107">
      <w:pPr>
        <w:pStyle w:val="Heading2"/>
      </w:pPr>
      <w:bookmarkStart w:id="125" w:name="_Toc485200104"/>
      <w:r w:rsidRPr="0002502E">
        <w:t>Demanda</w:t>
      </w:r>
      <w:bookmarkEnd w:id="125"/>
      <w:r w:rsidRPr="0002502E">
        <w:t xml:space="preserve"> </w:t>
      </w:r>
    </w:p>
    <w:p w14:paraId="36776C2F" w14:textId="77777777" w:rsidR="00554AD9" w:rsidRPr="0002502E" w:rsidRDefault="00554AD9" w:rsidP="00554AD9">
      <w:pPr>
        <w:rPr>
          <w:rFonts w:ascii="Arial" w:hAnsi="Arial" w:cs="Arial"/>
        </w:rPr>
      </w:pPr>
      <w:r w:rsidRPr="0002502E">
        <w:rPr>
          <w:rFonts w:ascii="Arial" w:hAnsi="Arial" w:cs="Arial"/>
        </w:rPr>
        <w:t>Los datos referidos a la demanda que solicita el modelo SIMOP son los correspondientes a la situación inmediata anterior a la realización del proyecto.</w:t>
      </w:r>
    </w:p>
    <w:p w14:paraId="20E39996" w14:textId="77777777" w:rsidR="00EA1133" w:rsidRDefault="00EA1133" w:rsidP="00554AD9"/>
    <w:p w14:paraId="1E7E1A96" w14:textId="54FA4987" w:rsidR="00554AD9" w:rsidRDefault="00554AD9" w:rsidP="002B0107">
      <w:pPr>
        <w:pStyle w:val="Heading2"/>
      </w:pPr>
      <w:bookmarkStart w:id="126" w:name="_Toc485200105"/>
      <w:r>
        <w:t>Elasticidad precio de la demanda de agua.</w:t>
      </w:r>
      <w:bookmarkEnd w:id="126"/>
    </w:p>
    <w:p w14:paraId="66CE9DA5" w14:textId="654E7990" w:rsidR="00554AD9" w:rsidRPr="009839EB" w:rsidRDefault="00554AD9" w:rsidP="00554AD9">
      <w:pPr>
        <w:rPr>
          <w:rFonts w:ascii="Arial" w:hAnsi="Arial" w:cs="Arial"/>
        </w:rPr>
      </w:pPr>
      <w:r w:rsidRPr="009839EB">
        <w:rPr>
          <w:rFonts w:ascii="Arial" w:hAnsi="Arial" w:cs="Arial"/>
        </w:rPr>
        <w:t xml:space="preserve">En el caso de los </w:t>
      </w:r>
      <w:r w:rsidRPr="009839EB">
        <w:rPr>
          <w:rFonts w:ascii="Arial" w:hAnsi="Arial" w:cs="Arial"/>
          <w:b/>
        </w:rPr>
        <w:t>usuarios residenciales</w:t>
      </w:r>
      <w:r w:rsidRPr="009839EB">
        <w:rPr>
          <w:rFonts w:ascii="Arial" w:hAnsi="Arial" w:cs="Arial"/>
        </w:rPr>
        <w:t xml:space="preserve"> se aplica la elasticidad calculada según el detalle del </w:t>
      </w:r>
      <w:r w:rsidRPr="0059118E">
        <w:rPr>
          <w:rFonts w:ascii="Arial" w:hAnsi="Arial" w:cs="Arial"/>
        </w:rPr>
        <w:t xml:space="preserve">Anexo </w:t>
      </w:r>
      <w:r w:rsidR="009839EB" w:rsidRPr="0059118E">
        <w:rPr>
          <w:rFonts w:ascii="Arial" w:hAnsi="Arial" w:cs="Arial"/>
        </w:rPr>
        <w:t>3</w:t>
      </w:r>
      <w:r w:rsidRPr="0059118E">
        <w:rPr>
          <w:rFonts w:ascii="Arial" w:hAnsi="Arial" w:cs="Arial"/>
        </w:rPr>
        <w:t>, sien</w:t>
      </w:r>
      <w:r w:rsidRPr="009839EB">
        <w:rPr>
          <w:rFonts w:ascii="Arial" w:hAnsi="Arial" w:cs="Arial"/>
        </w:rPr>
        <w:t xml:space="preserve">do el valor incorporado a la simulación de </w:t>
      </w:r>
      <w:r w:rsidRPr="009839EB">
        <w:rPr>
          <w:rFonts w:ascii="Arial" w:hAnsi="Arial" w:cs="Arial"/>
          <w:b/>
        </w:rPr>
        <w:t>-0,190</w:t>
      </w:r>
      <w:r w:rsidRPr="009839EB">
        <w:rPr>
          <w:rFonts w:ascii="Arial" w:hAnsi="Arial" w:cs="Arial"/>
        </w:rPr>
        <w:t xml:space="preserve"> en este caso.</w:t>
      </w:r>
    </w:p>
    <w:p w14:paraId="1F82A2C7" w14:textId="77777777" w:rsidR="00554AD9" w:rsidRPr="009839EB" w:rsidRDefault="00554AD9" w:rsidP="00554AD9">
      <w:pPr>
        <w:rPr>
          <w:rFonts w:ascii="Arial" w:hAnsi="Arial" w:cs="Arial"/>
        </w:rPr>
      </w:pPr>
      <w:r w:rsidRPr="009839EB">
        <w:rPr>
          <w:rFonts w:ascii="Arial" w:hAnsi="Arial" w:cs="Arial"/>
        </w:rPr>
        <w:t xml:space="preserve">Para los </w:t>
      </w:r>
      <w:r w:rsidRPr="009839EB">
        <w:rPr>
          <w:rFonts w:ascii="Arial" w:hAnsi="Arial" w:cs="Arial"/>
          <w:b/>
        </w:rPr>
        <w:t xml:space="preserve">usuarios no residenciales </w:t>
      </w:r>
      <w:r w:rsidRPr="009839EB">
        <w:rPr>
          <w:rFonts w:ascii="Arial" w:hAnsi="Arial" w:cs="Arial"/>
        </w:rPr>
        <w:t>se asumió como supuesto una elasticidad precio de la demanda que duplica a la estimada para los usuarios residenciales, incorporándose a la simulación un valor de -</w:t>
      </w:r>
      <w:r w:rsidRPr="009839EB">
        <w:rPr>
          <w:rFonts w:ascii="Arial" w:hAnsi="Arial" w:cs="Arial"/>
          <w:b/>
        </w:rPr>
        <w:t>0,380</w:t>
      </w:r>
      <w:r w:rsidRPr="009839EB">
        <w:rPr>
          <w:rFonts w:ascii="Arial" w:hAnsi="Arial" w:cs="Arial"/>
        </w:rPr>
        <w:t>.</w:t>
      </w:r>
    </w:p>
    <w:p w14:paraId="5687C54A" w14:textId="77777777" w:rsidR="00EA1133" w:rsidRPr="009839EB" w:rsidRDefault="00EA1133" w:rsidP="00554AD9">
      <w:pPr>
        <w:rPr>
          <w:rFonts w:ascii="Arial" w:hAnsi="Arial" w:cs="Arial"/>
        </w:rPr>
      </w:pPr>
    </w:p>
    <w:p w14:paraId="71AB6BFB" w14:textId="29657621" w:rsidR="00554AD9" w:rsidRPr="009839EB" w:rsidRDefault="00554AD9" w:rsidP="002B0107">
      <w:pPr>
        <w:pStyle w:val="Heading2"/>
      </w:pPr>
      <w:bookmarkStart w:id="127" w:name="_Toc485200106"/>
      <w:r w:rsidRPr="009839EB">
        <w:t>Precios considerados en la demanda de agua.</w:t>
      </w:r>
      <w:bookmarkEnd w:id="127"/>
    </w:p>
    <w:p w14:paraId="585A6528" w14:textId="77777777" w:rsidR="00554AD9" w:rsidRPr="009839EB" w:rsidRDefault="00554AD9" w:rsidP="00554AD9">
      <w:pPr>
        <w:rPr>
          <w:rFonts w:ascii="Arial" w:hAnsi="Arial" w:cs="Arial"/>
        </w:rPr>
      </w:pPr>
      <w:r w:rsidRPr="009839EB">
        <w:rPr>
          <w:rFonts w:ascii="Arial" w:hAnsi="Arial" w:cs="Arial"/>
        </w:rPr>
        <w:t>Los precios solicitados por el SIMOP corresponden a las tarifas administradas por el componente consumo en el caso de servicios suministrados a través de red pública o bien a los costos variables en el caso de suministro a través de perforaciones individuales. En ambos casos el valor se expresa en la unidad monetaria por m</w:t>
      </w:r>
      <w:r w:rsidRPr="009839EB">
        <w:rPr>
          <w:rFonts w:ascii="Arial" w:hAnsi="Arial" w:cs="Arial"/>
          <w:vertAlign w:val="superscript"/>
        </w:rPr>
        <w:t>3</w:t>
      </w:r>
      <w:r w:rsidRPr="009839EB">
        <w:rPr>
          <w:rFonts w:ascii="Arial" w:hAnsi="Arial" w:cs="Arial"/>
        </w:rPr>
        <w:t xml:space="preserve"> consumido.</w:t>
      </w:r>
    </w:p>
    <w:p w14:paraId="1EE79BCE" w14:textId="02DB71C0" w:rsidR="00554AD9" w:rsidRPr="009839EB" w:rsidRDefault="00554AD9" w:rsidP="00554AD9">
      <w:pPr>
        <w:rPr>
          <w:rFonts w:ascii="Arial" w:hAnsi="Arial" w:cs="Arial"/>
        </w:rPr>
      </w:pPr>
      <w:r w:rsidRPr="009839EB">
        <w:rPr>
          <w:rFonts w:ascii="Arial" w:hAnsi="Arial" w:cs="Arial"/>
        </w:rPr>
        <w:t>Dado que los beneficiarios del proyecto pertenecen en su totalidad al sistema de red en evaluación se incorporó a SIMOP la tarifa variable del m</w:t>
      </w:r>
      <w:r w:rsidRPr="009839EB">
        <w:rPr>
          <w:rFonts w:ascii="Arial" w:hAnsi="Arial" w:cs="Arial"/>
          <w:vertAlign w:val="superscript"/>
        </w:rPr>
        <w:t>3</w:t>
      </w:r>
      <w:r w:rsidRPr="009839EB">
        <w:rPr>
          <w:rFonts w:ascii="Arial" w:hAnsi="Arial" w:cs="Arial"/>
        </w:rPr>
        <w:t xml:space="preserve"> vigente que enfrentan los usuarios, fijada en </w:t>
      </w:r>
      <w:r w:rsidRPr="009839EB">
        <w:rPr>
          <w:rFonts w:ascii="Arial" w:hAnsi="Arial" w:cs="Arial"/>
          <w:b/>
        </w:rPr>
        <w:t>0,3</w:t>
      </w:r>
      <w:r w:rsidR="00EA1133" w:rsidRPr="009839EB">
        <w:rPr>
          <w:rFonts w:ascii="Arial" w:hAnsi="Arial" w:cs="Arial"/>
          <w:b/>
        </w:rPr>
        <w:t>53</w:t>
      </w:r>
      <w:r w:rsidRPr="009839EB">
        <w:rPr>
          <w:rFonts w:ascii="Arial" w:hAnsi="Arial" w:cs="Arial"/>
          <w:b/>
        </w:rPr>
        <w:t xml:space="preserve"> USD/m</w:t>
      </w:r>
      <w:r w:rsidRPr="009839EB">
        <w:rPr>
          <w:rFonts w:ascii="Arial" w:hAnsi="Arial" w:cs="Arial"/>
          <w:b/>
          <w:vertAlign w:val="superscript"/>
        </w:rPr>
        <w:t>3</w:t>
      </w:r>
      <w:r w:rsidRPr="009839EB">
        <w:rPr>
          <w:rFonts w:ascii="Arial" w:hAnsi="Arial" w:cs="Arial"/>
        </w:rPr>
        <w:t xml:space="preserve"> final.</w:t>
      </w:r>
    </w:p>
    <w:p w14:paraId="3650F35F" w14:textId="77777777" w:rsidR="00554AD9" w:rsidRPr="009839EB" w:rsidRDefault="00554AD9" w:rsidP="00554AD9">
      <w:pPr>
        <w:rPr>
          <w:rFonts w:ascii="Arial" w:hAnsi="Arial" w:cs="Arial"/>
        </w:rPr>
      </w:pPr>
    </w:p>
    <w:p w14:paraId="5A954C91" w14:textId="523ED471" w:rsidR="00554AD9" w:rsidRPr="009839EB" w:rsidRDefault="00554AD9" w:rsidP="002B0107">
      <w:pPr>
        <w:pStyle w:val="Heading2"/>
      </w:pPr>
      <w:bookmarkStart w:id="128" w:name="_Toc485200107"/>
      <w:r w:rsidRPr="009839EB">
        <w:t>Cantidad agregada consumida de agua.</w:t>
      </w:r>
      <w:bookmarkEnd w:id="128"/>
    </w:p>
    <w:p w14:paraId="2CA73456" w14:textId="77777777" w:rsidR="00554AD9" w:rsidRPr="009839EB" w:rsidRDefault="00554AD9" w:rsidP="00554AD9">
      <w:pPr>
        <w:rPr>
          <w:rFonts w:ascii="Arial" w:hAnsi="Arial" w:cs="Arial"/>
        </w:rPr>
      </w:pPr>
      <w:r w:rsidRPr="009839EB">
        <w:rPr>
          <w:rFonts w:ascii="Arial" w:hAnsi="Arial" w:cs="Arial"/>
        </w:rPr>
        <w:t>El tercer grupo de datos solicitado por SIMOP es el referido a las cantidades correspondientes a los precios y elasticidades de los puntos 4.4.1 y 4.4.2 para cada grupo consumidor.</w:t>
      </w:r>
    </w:p>
    <w:p w14:paraId="126E30F1" w14:textId="66B9FDBA" w:rsidR="00554AD9" w:rsidRPr="009839EB" w:rsidRDefault="00554AD9" w:rsidP="00554AD9">
      <w:pPr>
        <w:rPr>
          <w:rFonts w:ascii="Arial" w:hAnsi="Arial" w:cs="Arial"/>
        </w:rPr>
      </w:pPr>
      <w:r w:rsidRPr="009839EB">
        <w:rPr>
          <w:rFonts w:ascii="Arial" w:hAnsi="Arial" w:cs="Arial"/>
        </w:rPr>
        <w:t>Tales cantidades se calcularon en base a los datos obrantes en la Empresa referidos a consumo por unidad funcional (viviendas / locales).</w:t>
      </w:r>
      <w:r w:rsidR="009839EB">
        <w:rPr>
          <w:rFonts w:ascii="Arial" w:hAnsi="Arial" w:cs="Arial"/>
        </w:rPr>
        <w:t xml:space="preserve"> </w:t>
      </w:r>
      <w:r w:rsidR="006A6134" w:rsidRPr="009839EB">
        <w:rPr>
          <w:rFonts w:ascii="Arial" w:hAnsi="Arial" w:cs="Arial"/>
        </w:rPr>
        <w:t xml:space="preserve">La </w:t>
      </w:r>
      <w:r w:rsidR="006A6134" w:rsidRPr="009839EB">
        <w:rPr>
          <w:rFonts w:ascii="Arial" w:hAnsi="Arial" w:cs="Arial"/>
        </w:rPr>
        <w:fldChar w:fldCharType="begin"/>
      </w:r>
      <w:r w:rsidR="006A6134" w:rsidRPr="009839EB">
        <w:rPr>
          <w:rFonts w:ascii="Arial" w:hAnsi="Arial" w:cs="Arial"/>
        </w:rPr>
        <w:instrText xml:space="preserve"> REF _Ref480191916 \h </w:instrText>
      </w:r>
      <w:r w:rsidR="009839EB">
        <w:rPr>
          <w:rFonts w:ascii="Arial" w:hAnsi="Arial" w:cs="Arial"/>
        </w:rPr>
        <w:instrText xml:space="preserve"> \* MERGEFORMAT </w:instrText>
      </w:r>
      <w:r w:rsidR="006A6134" w:rsidRPr="009839EB">
        <w:rPr>
          <w:rFonts w:ascii="Arial" w:hAnsi="Arial" w:cs="Arial"/>
        </w:rPr>
      </w:r>
      <w:r w:rsidR="006A6134" w:rsidRPr="009839EB">
        <w:rPr>
          <w:rFonts w:ascii="Arial" w:hAnsi="Arial" w:cs="Arial"/>
        </w:rPr>
        <w:fldChar w:fldCharType="separate"/>
      </w:r>
      <w:r w:rsidR="009F66B5" w:rsidRPr="009839EB">
        <w:rPr>
          <w:rFonts w:ascii="Arial" w:hAnsi="Arial" w:cs="Arial"/>
        </w:rPr>
        <w:t>Tabla</w:t>
      </w:r>
      <w:r w:rsidR="009839EB" w:rsidRPr="009839EB">
        <w:rPr>
          <w:rFonts w:ascii="Arial" w:hAnsi="Arial" w:cs="Arial"/>
        </w:rPr>
        <w:t xml:space="preserve"> IV-8</w:t>
      </w:r>
      <w:r w:rsidR="006A6134" w:rsidRPr="009839EB">
        <w:rPr>
          <w:rFonts w:ascii="Arial" w:hAnsi="Arial" w:cs="Arial"/>
        </w:rPr>
        <w:fldChar w:fldCharType="end"/>
      </w:r>
      <w:r w:rsidRPr="009839EB">
        <w:rPr>
          <w:rFonts w:ascii="Arial" w:hAnsi="Arial" w:cs="Arial"/>
        </w:rPr>
        <w:t xml:space="preserve"> presenta los valores incorporados al modelo.</w:t>
      </w:r>
    </w:p>
    <w:p w14:paraId="4A2E4435" w14:textId="7878FFB2" w:rsidR="006A6134" w:rsidRDefault="006A6134" w:rsidP="006A6134">
      <w:pPr>
        <w:pStyle w:val="Caption"/>
      </w:pPr>
      <w:bookmarkStart w:id="129" w:name="_Ref480191916"/>
      <w:r>
        <w:t>Tabla</w:t>
      </w:r>
      <w:r w:rsidR="009839EB">
        <w:t xml:space="preserve"> IV-8:</w:t>
      </w:r>
      <w:r w:rsidR="000B2DBC" w:rsidRPr="009839EB">
        <w:rPr>
          <w:color w:val="FFFFFF" w:themeColor="background1"/>
        </w:rPr>
        <w:fldChar w:fldCharType="begin"/>
      </w:r>
      <w:r w:rsidR="000B2DBC" w:rsidRPr="009839EB">
        <w:rPr>
          <w:color w:val="FFFFFF" w:themeColor="background1"/>
        </w:rPr>
        <w:instrText xml:space="preserve"> SEQ Tabla \* ARABIC </w:instrText>
      </w:r>
      <w:r w:rsidR="000B2DBC" w:rsidRPr="009839EB">
        <w:rPr>
          <w:color w:val="FFFFFF" w:themeColor="background1"/>
        </w:rPr>
        <w:fldChar w:fldCharType="separate"/>
      </w:r>
      <w:r w:rsidR="009F66B5" w:rsidRPr="009839EB">
        <w:rPr>
          <w:noProof/>
          <w:color w:val="FFFFFF" w:themeColor="background1"/>
        </w:rPr>
        <w:t>25</w:t>
      </w:r>
      <w:r w:rsidR="000B2DBC" w:rsidRPr="009839EB">
        <w:rPr>
          <w:noProof/>
          <w:color w:val="FFFFFF" w:themeColor="background1"/>
        </w:rPr>
        <w:fldChar w:fldCharType="end"/>
      </w:r>
      <w:bookmarkEnd w:id="129"/>
      <w:r>
        <w:t xml:space="preserve"> </w:t>
      </w:r>
      <w:r w:rsidRPr="00925A2B">
        <w:t>Consumo agregado anual</w:t>
      </w:r>
      <w:r>
        <w:t>. Miles de m</w:t>
      </w:r>
      <w:r w:rsidRPr="006A6134">
        <w:rPr>
          <w:vertAlign w:val="superscript"/>
        </w:rPr>
        <w:t>3</w:t>
      </w:r>
      <w:r>
        <w:t>/año</w:t>
      </w:r>
    </w:p>
    <w:p w14:paraId="65DC236F" w14:textId="5DC7C1E0" w:rsidR="00554AD9" w:rsidRDefault="00DE6F7F" w:rsidP="00554AD9">
      <w:r w:rsidRPr="00DE6F7F">
        <w:rPr>
          <w:noProof/>
          <w:lang w:eastAsia="es-AR"/>
        </w:rPr>
        <w:drawing>
          <wp:inline distT="0" distB="0" distL="0" distR="0" wp14:anchorId="29766293" wp14:editId="6D9D7761">
            <wp:extent cx="4993640" cy="1089025"/>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93640" cy="1089025"/>
                    </a:xfrm>
                    <a:prstGeom prst="rect">
                      <a:avLst/>
                    </a:prstGeom>
                    <a:noFill/>
                    <a:ln>
                      <a:noFill/>
                    </a:ln>
                  </pic:spPr>
                </pic:pic>
              </a:graphicData>
            </a:graphic>
          </wp:inline>
        </w:drawing>
      </w:r>
    </w:p>
    <w:p w14:paraId="49484D03" w14:textId="77777777" w:rsidR="00554AD9" w:rsidRPr="009839EB" w:rsidRDefault="00554AD9" w:rsidP="00554AD9">
      <w:pPr>
        <w:rPr>
          <w:rFonts w:ascii="Arial" w:hAnsi="Arial" w:cs="Arial"/>
        </w:rPr>
      </w:pPr>
    </w:p>
    <w:p w14:paraId="75BF574F" w14:textId="38C50D10" w:rsidR="00554AD9" w:rsidRPr="009839EB" w:rsidRDefault="00554AD9" w:rsidP="002B0107">
      <w:pPr>
        <w:pStyle w:val="Heading2"/>
      </w:pPr>
      <w:bookmarkStart w:id="130" w:name="_Toc485200108"/>
      <w:r w:rsidRPr="009839EB">
        <w:t>Tipo de curva de demanda.</w:t>
      </w:r>
      <w:bookmarkEnd w:id="130"/>
    </w:p>
    <w:p w14:paraId="48856F21" w14:textId="77777777" w:rsidR="00554AD9" w:rsidRPr="009839EB" w:rsidRDefault="00554AD9" w:rsidP="00554AD9">
      <w:pPr>
        <w:rPr>
          <w:rFonts w:ascii="Arial" w:hAnsi="Arial" w:cs="Arial"/>
        </w:rPr>
      </w:pPr>
      <w:r w:rsidRPr="009839EB">
        <w:rPr>
          <w:rFonts w:ascii="Arial" w:hAnsi="Arial" w:cs="Arial"/>
        </w:rPr>
        <w:t>El modelo SIMOP permite optar entre tres tipos diferentes de curva de demanda. Los dos primeros tipos (Tipo 1 y Tipo 2) son funciones de demanda lineal que difieren únicamente en la forma de crecer, ya que la primera mantiene constante la ordenada al origen disminuyendo la pendiente y la segunda produce el desplazamiento paralelo de la curva hacia afuera en caso de crecimiento. El tercer tipo corresponde a una función exponencial negativa cuya forma funcional es la siguiente:</w:t>
      </w:r>
    </w:p>
    <w:p w14:paraId="361BB997" w14:textId="77777777" w:rsidR="006A6134" w:rsidRPr="009839EB" w:rsidRDefault="006A6134" w:rsidP="006A6134">
      <w:pPr>
        <w:ind w:firstLine="708"/>
        <w:rPr>
          <w:rFonts w:ascii="Arial" w:hAnsi="Arial" w:cs="Arial"/>
          <w:b/>
          <w:bCs/>
        </w:rPr>
      </w:pPr>
      <w:r w:rsidRPr="009839EB">
        <w:rPr>
          <w:rFonts w:ascii="Arial" w:hAnsi="Arial" w:cs="Arial"/>
          <w:b/>
          <w:bCs/>
        </w:rPr>
        <w:t xml:space="preserve">Q = a * P </w:t>
      </w:r>
      <w:r w:rsidRPr="009839EB">
        <w:rPr>
          <w:rFonts w:ascii="Arial" w:hAnsi="Arial" w:cs="Arial"/>
          <w:b/>
          <w:bCs/>
          <w:sz w:val="24"/>
          <w:vertAlign w:val="superscript"/>
        </w:rPr>
        <w:t></w:t>
      </w:r>
    </w:p>
    <w:p w14:paraId="60ABB803" w14:textId="77777777" w:rsidR="006A6134" w:rsidRPr="009839EB" w:rsidRDefault="006A6134" w:rsidP="006A6134">
      <w:pPr>
        <w:rPr>
          <w:rFonts w:ascii="Arial" w:hAnsi="Arial" w:cs="Arial"/>
        </w:rPr>
      </w:pPr>
      <w:r w:rsidRPr="009839EB">
        <w:rPr>
          <w:rFonts w:ascii="Arial" w:hAnsi="Arial" w:cs="Arial"/>
        </w:rPr>
        <w:t>Dónde:</w:t>
      </w:r>
    </w:p>
    <w:p w14:paraId="36BF22FB" w14:textId="77777777" w:rsidR="006A6134" w:rsidRPr="009839EB" w:rsidRDefault="006A6134" w:rsidP="006A6134">
      <w:pPr>
        <w:ind w:left="708"/>
        <w:rPr>
          <w:rFonts w:ascii="Arial" w:hAnsi="Arial" w:cs="Arial"/>
        </w:rPr>
      </w:pPr>
      <w:r w:rsidRPr="009839EB">
        <w:rPr>
          <w:rFonts w:ascii="Arial" w:hAnsi="Arial" w:cs="Arial"/>
        </w:rPr>
        <w:t>Q: Cantidad de agua.</w:t>
      </w:r>
    </w:p>
    <w:p w14:paraId="5DADD37E" w14:textId="77777777" w:rsidR="006A6134" w:rsidRPr="009839EB" w:rsidRDefault="006A6134" w:rsidP="006A6134">
      <w:pPr>
        <w:ind w:left="708"/>
        <w:rPr>
          <w:rFonts w:ascii="Arial" w:hAnsi="Arial" w:cs="Arial"/>
        </w:rPr>
      </w:pPr>
      <w:r w:rsidRPr="009839EB">
        <w:rPr>
          <w:rFonts w:ascii="Arial" w:hAnsi="Arial" w:cs="Arial"/>
        </w:rPr>
        <w:t>P: Precio.</w:t>
      </w:r>
    </w:p>
    <w:p w14:paraId="70978095" w14:textId="77777777" w:rsidR="006A6134" w:rsidRPr="009839EB" w:rsidRDefault="006A6134" w:rsidP="006A6134">
      <w:pPr>
        <w:ind w:left="708"/>
        <w:rPr>
          <w:rFonts w:ascii="Arial" w:hAnsi="Arial" w:cs="Arial"/>
        </w:rPr>
      </w:pPr>
      <w:r w:rsidRPr="009839EB">
        <w:rPr>
          <w:rFonts w:ascii="Arial" w:hAnsi="Arial" w:cs="Arial"/>
          <w:sz w:val="24"/>
        </w:rPr>
        <w:t></w:t>
      </w:r>
      <w:r w:rsidRPr="009839EB">
        <w:rPr>
          <w:rFonts w:ascii="Arial" w:hAnsi="Arial" w:cs="Arial"/>
        </w:rPr>
        <w:t>: Elasticidad precio.</w:t>
      </w:r>
    </w:p>
    <w:p w14:paraId="353697FA" w14:textId="77777777" w:rsidR="00554AD9" w:rsidRPr="009839EB" w:rsidRDefault="00554AD9" w:rsidP="00554AD9">
      <w:pPr>
        <w:rPr>
          <w:rFonts w:ascii="Arial" w:hAnsi="Arial" w:cs="Arial"/>
        </w:rPr>
      </w:pPr>
      <w:r w:rsidRPr="009839EB">
        <w:rPr>
          <w:rFonts w:ascii="Arial" w:hAnsi="Arial" w:cs="Arial"/>
        </w:rPr>
        <w:t>Este tipo de curva posee la particularidad de tener una elasticidad constante a lo largo de todos sus puntos.</w:t>
      </w:r>
    </w:p>
    <w:p w14:paraId="0A713062" w14:textId="77777777" w:rsidR="00554AD9" w:rsidRPr="009839EB" w:rsidRDefault="00554AD9" w:rsidP="00554AD9">
      <w:pPr>
        <w:rPr>
          <w:rFonts w:ascii="Arial" w:hAnsi="Arial" w:cs="Arial"/>
        </w:rPr>
      </w:pPr>
      <w:r w:rsidRPr="009839EB">
        <w:rPr>
          <w:rFonts w:ascii="Arial" w:hAnsi="Arial" w:cs="Arial"/>
        </w:rPr>
        <w:t>Según la bibliografía relacionada con la evaluación de proyectos mediante SIMOP, este tercer tipo de función de demanda es el que debe ser utilizado en la evaluación de proyectos de agua potable dentro del radio urbano, por lo que la opción cargada en el SIMOP ha sido Tipo 3 para todos los grupos consumidores.</w:t>
      </w:r>
    </w:p>
    <w:p w14:paraId="3359DBEC" w14:textId="77777777" w:rsidR="00554AD9" w:rsidRPr="009839EB" w:rsidRDefault="00554AD9" w:rsidP="00554AD9">
      <w:pPr>
        <w:rPr>
          <w:rFonts w:ascii="Arial" w:hAnsi="Arial" w:cs="Arial"/>
        </w:rPr>
      </w:pPr>
    </w:p>
    <w:p w14:paraId="1956A8AE" w14:textId="21031C59" w:rsidR="00554AD9" w:rsidRPr="009839EB" w:rsidRDefault="00554AD9" w:rsidP="002B0107">
      <w:pPr>
        <w:pStyle w:val="Heading2"/>
      </w:pPr>
      <w:bookmarkStart w:id="131" w:name="_Toc485200109"/>
      <w:r w:rsidRPr="009839EB">
        <w:t>Evolución de la demanda.</w:t>
      </w:r>
      <w:bookmarkEnd w:id="131"/>
    </w:p>
    <w:p w14:paraId="2C91DAAD" w14:textId="77777777" w:rsidR="00554AD9" w:rsidRPr="009839EB" w:rsidRDefault="00554AD9" w:rsidP="00554AD9">
      <w:pPr>
        <w:rPr>
          <w:rFonts w:ascii="Arial" w:hAnsi="Arial" w:cs="Arial"/>
        </w:rPr>
      </w:pPr>
      <w:r w:rsidRPr="009839EB">
        <w:rPr>
          <w:rFonts w:ascii="Arial" w:hAnsi="Arial" w:cs="Arial"/>
        </w:rPr>
        <w:t>Finalmente la Tarjeta D se completa con las tasas de crecimiento de la demanda para cada grupo consumidor.</w:t>
      </w:r>
    </w:p>
    <w:p w14:paraId="727EF2EA" w14:textId="3729AD23" w:rsidR="00554AD9" w:rsidRPr="009839EB" w:rsidRDefault="00554AD9" w:rsidP="00554AD9">
      <w:pPr>
        <w:rPr>
          <w:rFonts w:ascii="Arial" w:hAnsi="Arial" w:cs="Arial"/>
        </w:rPr>
      </w:pPr>
      <w:r w:rsidRPr="009839EB">
        <w:rPr>
          <w:rFonts w:ascii="Arial" w:hAnsi="Arial" w:cs="Arial"/>
        </w:rPr>
        <w:t>Estas tasas de crecimiento pueden diferenciarse en sub períodos a fin de reflejar el verdadero comportamiento esperado del crecimiento.</w:t>
      </w:r>
      <w:r w:rsidR="006A6134" w:rsidRPr="009839EB">
        <w:rPr>
          <w:rFonts w:ascii="Arial" w:hAnsi="Arial" w:cs="Arial"/>
        </w:rPr>
        <w:t xml:space="preserve"> En el caso de la presente evaluación se ha considerado la tasa de crecimiento ponderada media anual para los partidos beneficiarios de acuerdo con la proyección de la serie demográfica 38 del INDEC.</w:t>
      </w:r>
    </w:p>
    <w:p w14:paraId="0B39F392" w14:textId="77777777" w:rsidR="00554AD9" w:rsidRPr="009839EB" w:rsidRDefault="00554AD9" w:rsidP="00554AD9">
      <w:pPr>
        <w:rPr>
          <w:rFonts w:ascii="Arial" w:hAnsi="Arial" w:cs="Arial"/>
        </w:rPr>
      </w:pPr>
      <w:r w:rsidRPr="009839EB">
        <w:rPr>
          <w:rFonts w:ascii="Arial" w:hAnsi="Arial" w:cs="Arial"/>
        </w:rPr>
        <w:t>El siguiente cuadro presenta el detalle de los períodos, tasas de crecimiento y grupos consumidores:</w:t>
      </w:r>
    </w:p>
    <w:p w14:paraId="3889E81B" w14:textId="1B277F63" w:rsidR="006A6134" w:rsidRPr="009839EB" w:rsidRDefault="006A6134" w:rsidP="00554AD9">
      <w:pPr>
        <w:rPr>
          <w:rFonts w:ascii="Arial" w:hAnsi="Arial" w:cs="Arial"/>
        </w:rPr>
      </w:pPr>
    </w:p>
    <w:p w14:paraId="1D9A1E97" w14:textId="7F705608" w:rsidR="006A6134" w:rsidRDefault="006A6134" w:rsidP="006A6134">
      <w:pPr>
        <w:pStyle w:val="Caption"/>
      </w:pPr>
      <w:r>
        <w:t xml:space="preserve">Tabla </w:t>
      </w:r>
      <w:r w:rsidR="009839EB">
        <w:t>IV-9:</w:t>
      </w:r>
      <w:r w:rsidR="000B2DBC" w:rsidRPr="009839EB">
        <w:rPr>
          <w:color w:val="FFFFFF" w:themeColor="background1"/>
        </w:rPr>
        <w:fldChar w:fldCharType="begin"/>
      </w:r>
      <w:r w:rsidR="000B2DBC" w:rsidRPr="009839EB">
        <w:rPr>
          <w:color w:val="FFFFFF" w:themeColor="background1"/>
        </w:rPr>
        <w:instrText xml:space="preserve"> SEQ Tabla \* ARABIC </w:instrText>
      </w:r>
      <w:r w:rsidR="000B2DBC" w:rsidRPr="009839EB">
        <w:rPr>
          <w:color w:val="FFFFFF" w:themeColor="background1"/>
        </w:rPr>
        <w:fldChar w:fldCharType="separate"/>
      </w:r>
      <w:r w:rsidR="009F66B5" w:rsidRPr="009839EB">
        <w:rPr>
          <w:noProof/>
          <w:color w:val="FFFFFF" w:themeColor="background1"/>
        </w:rPr>
        <w:t>26</w:t>
      </w:r>
      <w:r w:rsidR="000B2DBC" w:rsidRPr="009839EB">
        <w:rPr>
          <w:noProof/>
          <w:color w:val="FFFFFF" w:themeColor="background1"/>
        </w:rPr>
        <w:fldChar w:fldCharType="end"/>
      </w:r>
      <w:r w:rsidRPr="009839EB">
        <w:rPr>
          <w:color w:val="FFFFFF" w:themeColor="background1"/>
        </w:rPr>
        <w:t xml:space="preserve"> </w:t>
      </w:r>
      <w:r w:rsidRPr="003F20F8">
        <w:t>Tasas de crecimiento de la demanda.</w:t>
      </w:r>
    </w:p>
    <w:p w14:paraId="0010574D" w14:textId="20B0C533" w:rsidR="00554AD9" w:rsidRDefault="006A6134" w:rsidP="00554AD9">
      <w:r w:rsidRPr="006A6134">
        <w:rPr>
          <w:noProof/>
          <w:lang w:eastAsia="es-AR"/>
        </w:rPr>
        <w:drawing>
          <wp:inline distT="0" distB="0" distL="0" distR="0" wp14:anchorId="52907954" wp14:editId="22E0BBB8">
            <wp:extent cx="3466465" cy="787400"/>
            <wp:effectExtent l="0" t="0" r="63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66465" cy="787400"/>
                    </a:xfrm>
                    <a:prstGeom prst="rect">
                      <a:avLst/>
                    </a:prstGeom>
                    <a:noFill/>
                    <a:ln>
                      <a:noFill/>
                    </a:ln>
                  </pic:spPr>
                </pic:pic>
              </a:graphicData>
            </a:graphic>
          </wp:inline>
        </w:drawing>
      </w:r>
    </w:p>
    <w:p w14:paraId="0FB3A05B" w14:textId="77777777" w:rsidR="00554AD9" w:rsidRDefault="00554AD9" w:rsidP="00554AD9"/>
    <w:p w14:paraId="791B6A90" w14:textId="4951472B" w:rsidR="00554AD9" w:rsidRDefault="00554AD9" w:rsidP="002B0107">
      <w:pPr>
        <w:pStyle w:val="Heading2"/>
      </w:pPr>
      <w:bookmarkStart w:id="132" w:name="_Toc485200110"/>
      <w:r>
        <w:t>Precios del agua potable CON proyecto</w:t>
      </w:r>
      <w:bookmarkEnd w:id="132"/>
      <w:r>
        <w:t xml:space="preserve"> </w:t>
      </w:r>
    </w:p>
    <w:p w14:paraId="2BD4041A" w14:textId="77777777" w:rsidR="00554AD9" w:rsidRPr="009839EB" w:rsidRDefault="00554AD9" w:rsidP="00554AD9">
      <w:pPr>
        <w:rPr>
          <w:rFonts w:ascii="Arial" w:hAnsi="Arial" w:cs="Arial"/>
        </w:rPr>
      </w:pPr>
      <w:r w:rsidRPr="009839EB">
        <w:rPr>
          <w:rFonts w:ascii="Arial" w:hAnsi="Arial" w:cs="Arial"/>
        </w:rPr>
        <w:t>En la tarjeta T se reflejan los precios o tarifas marginales por el consumo de agua potable expresadas en USD/m</w:t>
      </w:r>
      <w:r w:rsidRPr="009839EB">
        <w:rPr>
          <w:rFonts w:ascii="Arial" w:hAnsi="Arial" w:cs="Arial"/>
          <w:vertAlign w:val="superscript"/>
        </w:rPr>
        <w:t>3</w:t>
      </w:r>
      <w:r w:rsidRPr="009839EB">
        <w:rPr>
          <w:rFonts w:ascii="Arial" w:hAnsi="Arial" w:cs="Arial"/>
        </w:rPr>
        <w:t xml:space="preserve"> que enfrentarían los distintos grupos consumidores una vez concluido el proyecto. En este caso se colocaron las tarifas por m</w:t>
      </w:r>
      <w:r w:rsidRPr="009839EB">
        <w:rPr>
          <w:rFonts w:ascii="Arial" w:hAnsi="Arial" w:cs="Arial"/>
          <w:vertAlign w:val="superscript"/>
        </w:rPr>
        <w:t>3</w:t>
      </w:r>
      <w:r w:rsidRPr="009839EB">
        <w:rPr>
          <w:rFonts w:ascii="Arial" w:hAnsi="Arial" w:cs="Arial"/>
        </w:rPr>
        <w:t xml:space="preserve"> vigentes.</w:t>
      </w:r>
    </w:p>
    <w:p w14:paraId="7FAE2F89" w14:textId="59088DDA" w:rsidR="00554AD9" w:rsidRPr="009839EB" w:rsidRDefault="00554AD9" w:rsidP="00554AD9">
      <w:pPr>
        <w:rPr>
          <w:rFonts w:ascii="Arial" w:hAnsi="Arial" w:cs="Arial"/>
        </w:rPr>
      </w:pPr>
      <w:r w:rsidRPr="009839EB">
        <w:rPr>
          <w:rFonts w:ascii="Arial" w:hAnsi="Arial" w:cs="Arial"/>
        </w:rPr>
        <w:t>Dado que el precio variable del m</w:t>
      </w:r>
      <w:r w:rsidRPr="009839EB">
        <w:rPr>
          <w:rFonts w:ascii="Arial" w:hAnsi="Arial" w:cs="Arial"/>
          <w:vertAlign w:val="superscript"/>
        </w:rPr>
        <w:t>3</w:t>
      </w:r>
      <w:r w:rsidRPr="009839EB">
        <w:rPr>
          <w:rFonts w:ascii="Arial" w:hAnsi="Arial" w:cs="Arial"/>
        </w:rPr>
        <w:t xml:space="preserve"> es único en AySA S.A., se incorporó a la simulación </w:t>
      </w:r>
      <w:r w:rsidRPr="009839EB">
        <w:rPr>
          <w:rFonts w:ascii="Arial" w:hAnsi="Arial" w:cs="Arial"/>
          <w:b/>
        </w:rPr>
        <w:t>un precio final del m</w:t>
      </w:r>
      <w:r w:rsidRPr="009839EB">
        <w:rPr>
          <w:rFonts w:ascii="Arial" w:hAnsi="Arial" w:cs="Arial"/>
          <w:b/>
          <w:vertAlign w:val="superscript"/>
        </w:rPr>
        <w:t>3</w:t>
      </w:r>
      <w:r w:rsidRPr="009839EB">
        <w:rPr>
          <w:rFonts w:ascii="Arial" w:hAnsi="Arial" w:cs="Arial"/>
          <w:b/>
        </w:rPr>
        <w:t xml:space="preserve"> de 0,3</w:t>
      </w:r>
      <w:r w:rsidR="006A6134" w:rsidRPr="009839EB">
        <w:rPr>
          <w:rFonts w:ascii="Arial" w:hAnsi="Arial" w:cs="Arial"/>
          <w:b/>
        </w:rPr>
        <w:t>53</w:t>
      </w:r>
      <w:r w:rsidRPr="009839EB">
        <w:rPr>
          <w:rFonts w:ascii="Arial" w:hAnsi="Arial" w:cs="Arial"/>
          <w:b/>
        </w:rPr>
        <w:t xml:space="preserve"> USD/m</w:t>
      </w:r>
      <w:r w:rsidRPr="009839EB">
        <w:rPr>
          <w:rFonts w:ascii="Arial" w:hAnsi="Arial" w:cs="Arial"/>
          <w:b/>
          <w:vertAlign w:val="superscript"/>
        </w:rPr>
        <w:t>3</w:t>
      </w:r>
      <w:r w:rsidRPr="009839EB">
        <w:rPr>
          <w:rFonts w:ascii="Arial" w:hAnsi="Arial" w:cs="Arial"/>
        </w:rPr>
        <w:t>.</w:t>
      </w:r>
    </w:p>
    <w:p w14:paraId="3836CD2C" w14:textId="77777777" w:rsidR="006A6134" w:rsidRPr="009839EB" w:rsidRDefault="006A6134" w:rsidP="00554AD9">
      <w:pPr>
        <w:rPr>
          <w:rFonts w:ascii="Arial" w:hAnsi="Arial" w:cs="Arial"/>
        </w:rPr>
      </w:pPr>
    </w:p>
    <w:p w14:paraId="58628FA8" w14:textId="66B3340C" w:rsidR="00554AD9" w:rsidRPr="009839EB" w:rsidRDefault="00554AD9" w:rsidP="002B0107">
      <w:pPr>
        <w:pStyle w:val="Heading2"/>
      </w:pPr>
      <w:bookmarkStart w:id="133" w:name="_Toc485200111"/>
      <w:r w:rsidRPr="009839EB">
        <w:t>Precios alternativos del agua potable SIN proyecto</w:t>
      </w:r>
      <w:bookmarkEnd w:id="133"/>
      <w:r w:rsidRPr="009839EB">
        <w:t xml:space="preserve"> </w:t>
      </w:r>
    </w:p>
    <w:p w14:paraId="582E07A8" w14:textId="77777777" w:rsidR="00554AD9" w:rsidRPr="009839EB" w:rsidRDefault="00554AD9" w:rsidP="00554AD9">
      <w:pPr>
        <w:rPr>
          <w:rFonts w:ascii="Arial" w:hAnsi="Arial" w:cs="Arial"/>
        </w:rPr>
      </w:pPr>
      <w:r w:rsidRPr="009839EB">
        <w:rPr>
          <w:rFonts w:ascii="Arial" w:hAnsi="Arial" w:cs="Arial"/>
        </w:rPr>
        <w:t>La Tarjeta A presenta los precios que deberían enfrentar los nuevos consumidores del proyecto si este no se llevara adelante.</w:t>
      </w:r>
    </w:p>
    <w:p w14:paraId="78E899E2" w14:textId="5C62F4DA" w:rsidR="00554AD9" w:rsidRPr="009839EB" w:rsidRDefault="00554AD9" w:rsidP="00554AD9">
      <w:pPr>
        <w:rPr>
          <w:rFonts w:ascii="Arial" w:hAnsi="Arial" w:cs="Arial"/>
        </w:rPr>
      </w:pPr>
      <w:r w:rsidRPr="009839EB">
        <w:rPr>
          <w:rFonts w:ascii="Arial" w:hAnsi="Arial" w:cs="Arial"/>
        </w:rPr>
        <w:t>Dado que el único grupo de consumidores nuevos en la presente eval</w:t>
      </w:r>
      <w:r w:rsidR="006A6134" w:rsidRPr="009839EB">
        <w:rPr>
          <w:rFonts w:ascii="Arial" w:hAnsi="Arial" w:cs="Arial"/>
        </w:rPr>
        <w:t>uación es el grupo ficticio E (3</w:t>
      </w:r>
      <w:r w:rsidRPr="009839EB">
        <w:rPr>
          <w:rFonts w:ascii="Arial" w:hAnsi="Arial" w:cs="Arial"/>
        </w:rPr>
        <w:t xml:space="preserve">), a fin de no generar beneficios adicionales a los correspondientes a la mejora de eficiencia se consideró un precio igual al de la situación CON proyecto para este grupo consumidor. </w:t>
      </w:r>
    </w:p>
    <w:p w14:paraId="0E647BD9" w14:textId="77777777" w:rsidR="00554AD9" w:rsidRPr="009839EB" w:rsidRDefault="00554AD9" w:rsidP="00554AD9">
      <w:pPr>
        <w:rPr>
          <w:rFonts w:ascii="Arial" w:hAnsi="Arial" w:cs="Arial"/>
        </w:rPr>
      </w:pPr>
      <w:r w:rsidRPr="009839EB">
        <w:rPr>
          <w:rFonts w:ascii="Arial" w:hAnsi="Arial" w:cs="Arial"/>
        </w:rPr>
        <w:t xml:space="preserve"> </w:t>
      </w:r>
    </w:p>
    <w:p w14:paraId="3FEFFA57" w14:textId="5A3E333F" w:rsidR="00554AD9" w:rsidRPr="009839EB" w:rsidRDefault="00554AD9" w:rsidP="002B0107">
      <w:pPr>
        <w:pStyle w:val="Heading2"/>
      </w:pPr>
      <w:bookmarkStart w:id="134" w:name="_Toc485200112"/>
      <w:r w:rsidRPr="009839EB">
        <w:t>Costos No periódicos</w:t>
      </w:r>
      <w:bookmarkEnd w:id="134"/>
      <w:r w:rsidRPr="009839EB">
        <w:t xml:space="preserve"> </w:t>
      </w:r>
    </w:p>
    <w:p w14:paraId="7463B285" w14:textId="77777777" w:rsidR="00554AD9" w:rsidRPr="009839EB" w:rsidRDefault="00554AD9" w:rsidP="00554AD9">
      <w:pPr>
        <w:rPr>
          <w:rFonts w:ascii="Arial" w:hAnsi="Arial" w:cs="Arial"/>
        </w:rPr>
      </w:pPr>
      <w:r w:rsidRPr="009839EB">
        <w:rPr>
          <w:rFonts w:ascii="Arial" w:hAnsi="Arial" w:cs="Arial"/>
        </w:rPr>
        <w:t>Los costos no periódicos del proyecto corresponden básicamente a las inversiones consideradas en el mismo.</w:t>
      </w:r>
    </w:p>
    <w:p w14:paraId="2FC48D22" w14:textId="77777777" w:rsidR="00554AD9" w:rsidRPr="009839EB" w:rsidRDefault="00554AD9" w:rsidP="00554AD9">
      <w:pPr>
        <w:rPr>
          <w:rFonts w:ascii="Arial" w:hAnsi="Arial" w:cs="Arial"/>
        </w:rPr>
      </w:pPr>
      <w:r w:rsidRPr="009839EB">
        <w:rPr>
          <w:rFonts w:ascii="Arial" w:hAnsi="Arial" w:cs="Arial"/>
        </w:rPr>
        <w:t>Tales costos deben considerarse a precios de cuenta según el análisis desarrollado en el Anexo 1.</w:t>
      </w:r>
    </w:p>
    <w:p w14:paraId="22670BB9" w14:textId="6D736708" w:rsidR="00554AD9" w:rsidRPr="009839EB" w:rsidRDefault="00554AD9" w:rsidP="00554AD9">
      <w:pPr>
        <w:rPr>
          <w:rFonts w:ascii="Arial" w:hAnsi="Arial" w:cs="Arial"/>
        </w:rPr>
      </w:pPr>
      <w:r w:rsidRPr="009839EB">
        <w:rPr>
          <w:rFonts w:ascii="Arial" w:hAnsi="Arial" w:cs="Arial"/>
        </w:rPr>
        <w:t xml:space="preserve">En este caso, los costos no periódicos incorporados al modelo SIMOP son los presentados en </w:t>
      </w:r>
      <w:r w:rsidR="006A6134" w:rsidRPr="009839EB">
        <w:rPr>
          <w:rFonts w:ascii="Arial" w:hAnsi="Arial" w:cs="Arial"/>
        </w:rPr>
        <w:t xml:space="preserve">la </w:t>
      </w:r>
      <w:r w:rsidR="006A6134" w:rsidRPr="009839EB">
        <w:rPr>
          <w:rFonts w:ascii="Arial" w:hAnsi="Arial" w:cs="Arial"/>
        </w:rPr>
        <w:fldChar w:fldCharType="begin"/>
      </w:r>
      <w:r w:rsidR="006A6134" w:rsidRPr="009839EB">
        <w:rPr>
          <w:rFonts w:ascii="Arial" w:hAnsi="Arial" w:cs="Arial"/>
        </w:rPr>
        <w:instrText xml:space="preserve"> REF _Ref480192282 \h </w:instrText>
      </w:r>
      <w:r w:rsidR="009839EB">
        <w:rPr>
          <w:rFonts w:ascii="Arial" w:hAnsi="Arial" w:cs="Arial"/>
        </w:rPr>
        <w:instrText xml:space="preserve"> \* MERGEFORMAT </w:instrText>
      </w:r>
      <w:r w:rsidR="006A6134" w:rsidRPr="009839EB">
        <w:rPr>
          <w:rFonts w:ascii="Arial" w:hAnsi="Arial" w:cs="Arial"/>
        </w:rPr>
      </w:r>
      <w:r w:rsidR="006A6134" w:rsidRPr="009839EB">
        <w:rPr>
          <w:rFonts w:ascii="Arial" w:hAnsi="Arial" w:cs="Arial"/>
        </w:rPr>
        <w:fldChar w:fldCharType="separate"/>
      </w:r>
      <w:r w:rsidR="009F66B5" w:rsidRPr="009839EB">
        <w:rPr>
          <w:rFonts w:ascii="Arial" w:hAnsi="Arial" w:cs="Arial"/>
        </w:rPr>
        <w:t xml:space="preserve">Tabla </w:t>
      </w:r>
      <w:r w:rsidR="009F66B5" w:rsidRPr="009839EB">
        <w:rPr>
          <w:rFonts w:ascii="Arial" w:hAnsi="Arial" w:cs="Arial"/>
          <w:noProof/>
        </w:rPr>
        <w:t>21</w:t>
      </w:r>
      <w:r w:rsidR="009F66B5" w:rsidRPr="009839EB">
        <w:rPr>
          <w:rFonts w:ascii="Arial" w:hAnsi="Arial" w:cs="Arial"/>
        </w:rPr>
        <w:t>: Cronograma de inversiones a precios de cuenta. Miles USD.</w:t>
      </w:r>
      <w:r w:rsidR="006A6134" w:rsidRPr="009839EB">
        <w:rPr>
          <w:rFonts w:ascii="Arial" w:hAnsi="Arial" w:cs="Arial"/>
        </w:rPr>
        <w:fldChar w:fldCharType="end"/>
      </w:r>
    </w:p>
    <w:p w14:paraId="66397ECA" w14:textId="77777777" w:rsidR="00554AD9" w:rsidRPr="009839EB" w:rsidRDefault="00554AD9" w:rsidP="00554AD9">
      <w:pPr>
        <w:rPr>
          <w:rFonts w:ascii="Arial" w:hAnsi="Arial" w:cs="Arial"/>
        </w:rPr>
      </w:pPr>
    </w:p>
    <w:p w14:paraId="46C1E945" w14:textId="477C8200" w:rsidR="00554AD9" w:rsidRPr="009839EB" w:rsidRDefault="00554AD9" w:rsidP="002B0107">
      <w:pPr>
        <w:pStyle w:val="Heading2"/>
      </w:pPr>
      <w:bookmarkStart w:id="135" w:name="_Toc485200113"/>
      <w:r w:rsidRPr="009839EB">
        <w:t>Costos periódicos</w:t>
      </w:r>
      <w:bookmarkEnd w:id="135"/>
      <w:r w:rsidRPr="009839EB">
        <w:t xml:space="preserve"> </w:t>
      </w:r>
    </w:p>
    <w:p w14:paraId="181EC666" w14:textId="0174FACF" w:rsidR="00554AD9" w:rsidRPr="009839EB" w:rsidRDefault="00554AD9" w:rsidP="00554AD9">
      <w:pPr>
        <w:rPr>
          <w:rFonts w:ascii="Arial" w:hAnsi="Arial" w:cs="Arial"/>
        </w:rPr>
      </w:pPr>
      <w:r w:rsidRPr="009839EB">
        <w:rPr>
          <w:rFonts w:ascii="Arial" w:hAnsi="Arial" w:cs="Arial"/>
        </w:rPr>
        <w:t xml:space="preserve">Dado que el programa permite recuperar agua potable que en la situación SIN proyecto es producida y transportada pero finalmente perdida, la situación CON proyecto </w:t>
      </w:r>
      <w:r w:rsidR="006A6134" w:rsidRPr="009839EB">
        <w:rPr>
          <w:rFonts w:ascii="Arial" w:hAnsi="Arial" w:cs="Arial"/>
        </w:rPr>
        <w:t>solo</w:t>
      </w:r>
      <w:r w:rsidRPr="009839EB">
        <w:rPr>
          <w:rFonts w:ascii="Arial" w:hAnsi="Arial" w:cs="Arial"/>
        </w:rPr>
        <w:t xml:space="preserve"> presenta costos fijos periódicos incrementales</w:t>
      </w:r>
      <w:r w:rsidR="004977DA" w:rsidRPr="009839EB">
        <w:rPr>
          <w:rFonts w:ascii="Arial" w:hAnsi="Arial" w:cs="Arial"/>
        </w:rPr>
        <w:t xml:space="preserve"> asociados al mantenimiento del sistema regulador y a la gestión de los micromedidores</w:t>
      </w:r>
      <w:r w:rsidRPr="009839EB">
        <w:rPr>
          <w:rFonts w:ascii="Arial" w:hAnsi="Arial" w:cs="Arial"/>
        </w:rPr>
        <w:t>. En este sentido</w:t>
      </w:r>
      <w:r w:rsidR="004977DA" w:rsidRPr="009839EB">
        <w:rPr>
          <w:rFonts w:ascii="Arial" w:hAnsi="Arial" w:cs="Arial"/>
        </w:rPr>
        <w:t xml:space="preserve">, </w:t>
      </w:r>
      <w:r w:rsidRPr="009839EB">
        <w:rPr>
          <w:rFonts w:ascii="Arial" w:hAnsi="Arial" w:cs="Arial"/>
          <w:b/>
        </w:rPr>
        <w:t xml:space="preserve">el costo periódico incremental del proyecto se fijó en </w:t>
      </w:r>
      <w:r w:rsidR="004977DA" w:rsidRPr="009839EB">
        <w:rPr>
          <w:rFonts w:ascii="Arial" w:hAnsi="Arial" w:cs="Arial"/>
          <w:b/>
        </w:rPr>
        <w:t>37.600 USD/año</w:t>
      </w:r>
      <w:r w:rsidR="004977DA" w:rsidRPr="009839EB">
        <w:rPr>
          <w:rFonts w:ascii="Arial" w:hAnsi="Arial" w:cs="Arial"/>
        </w:rPr>
        <w:t xml:space="preserve"> </w:t>
      </w:r>
      <w:r w:rsidRPr="009839EB">
        <w:rPr>
          <w:rFonts w:ascii="Arial" w:hAnsi="Arial" w:cs="Arial"/>
        </w:rPr>
        <w:t>para el horizonte evaluado</w:t>
      </w:r>
      <w:r w:rsidR="004977DA" w:rsidRPr="009839EB">
        <w:rPr>
          <w:rFonts w:ascii="Arial" w:hAnsi="Arial" w:cs="Arial"/>
        </w:rPr>
        <w:t xml:space="preserve"> y de acuerdo con el detalle del punto 3.2</w:t>
      </w:r>
      <w:r w:rsidRPr="009839EB">
        <w:rPr>
          <w:rFonts w:ascii="Arial" w:hAnsi="Arial" w:cs="Arial"/>
        </w:rPr>
        <w:t>.</w:t>
      </w:r>
    </w:p>
    <w:p w14:paraId="6FADF1B9" w14:textId="77777777" w:rsidR="00554AD9" w:rsidRPr="009839EB" w:rsidRDefault="00554AD9" w:rsidP="00554AD9">
      <w:pPr>
        <w:rPr>
          <w:rFonts w:ascii="Arial" w:hAnsi="Arial" w:cs="Arial"/>
        </w:rPr>
      </w:pPr>
    </w:p>
    <w:p w14:paraId="7F1F28A9" w14:textId="5E0AFE73" w:rsidR="00554AD9" w:rsidRPr="009839EB" w:rsidRDefault="009839EB" w:rsidP="002B0107">
      <w:pPr>
        <w:pStyle w:val="Heading2"/>
      </w:pPr>
      <w:r w:rsidRPr="009839EB">
        <w:t xml:space="preserve">     </w:t>
      </w:r>
      <w:bookmarkStart w:id="136" w:name="_Toc485200114"/>
      <w:r w:rsidR="00554AD9" w:rsidRPr="009839EB">
        <w:t>Costos variables</w:t>
      </w:r>
      <w:bookmarkEnd w:id="136"/>
      <w:r w:rsidR="00554AD9" w:rsidRPr="009839EB">
        <w:t xml:space="preserve"> </w:t>
      </w:r>
    </w:p>
    <w:p w14:paraId="6967CF4E" w14:textId="77777777" w:rsidR="00554AD9" w:rsidRPr="009839EB" w:rsidRDefault="00554AD9" w:rsidP="00554AD9">
      <w:pPr>
        <w:rPr>
          <w:rFonts w:ascii="Arial" w:hAnsi="Arial" w:cs="Arial"/>
        </w:rPr>
      </w:pPr>
      <w:r w:rsidRPr="009839EB">
        <w:rPr>
          <w:rFonts w:ascii="Arial" w:hAnsi="Arial" w:cs="Arial"/>
        </w:rPr>
        <w:t>En la Tarjeta V se incorporan los costos variables del sistema en evaluación expresados en USD por m</w:t>
      </w:r>
      <w:r w:rsidRPr="009839EB">
        <w:rPr>
          <w:rFonts w:ascii="Arial" w:hAnsi="Arial" w:cs="Arial"/>
          <w:vertAlign w:val="superscript"/>
        </w:rPr>
        <w:t>3</w:t>
      </w:r>
      <w:r w:rsidRPr="009839EB">
        <w:rPr>
          <w:rFonts w:ascii="Arial" w:hAnsi="Arial" w:cs="Arial"/>
        </w:rPr>
        <w:t>.</w:t>
      </w:r>
    </w:p>
    <w:p w14:paraId="4E88E38A" w14:textId="77777777" w:rsidR="00554AD9" w:rsidRPr="009839EB" w:rsidRDefault="00554AD9" w:rsidP="00554AD9">
      <w:pPr>
        <w:rPr>
          <w:rFonts w:ascii="Arial" w:hAnsi="Arial" w:cs="Arial"/>
        </w:rPr>
      </w:pPr>
      <w:r w:rsidRPr="009839EB">
        <w:rPr>
          <w:rFonts w:ascii="Arial" w:hAnsi="Arial" w:cs="Arial"/>
        </w:rPr>
        <w:t>Nuevamente, en este caso el proyecto no genera costos incrementales variables significativos (en la situación SIN proyecto el agua ya es producida y transportada). Sin embargo, dado que el agua ahorrada será transportada y distribuida hacia los extremos de la red, existe un pequeño incremental de costos de transporte y suministro que resulta muy difícil de determinar, ya que existen compensaciones y alta complejidad en el sistema de distribución.</w:t>
      </w:r>
    </w:p>
    <w:p w14:paraId="748DF6CD" w14:textId="6D45BD16" w:rsidR="00554AD9" w:rsidRPr="009839EB" w:rsidRDefault="00554AD9" w:rsidP="00554AD9">
      <w:pPr>
        <w:rPr>
          <w:rFonts w:ascii="Arial" w:hAnsi="Arial" w:cs="Arial"/>
        </w:rPr>
      </w:pPr>
      <w:r w:rsidRPr="009839EB">
        <w:rPr>
          <w:rFonts w:ascii="Arial" w:hAnsi="Arial" w:cs="Arial"/>
        </w:rPr>
        <w:t>A fin de simplificar el análisis y adoptando un importante margen de seguridad se consideran en la presente evaluación los costos variables medios de la empresa de transporte y distribución, según el detalle de</w:t>
      </w:r>
      <w:r w:rsidR="004977DA" w:rsidRPr="009839EB">
        <w:rPr>
          <w:rFonts w:ascii="Arial" w:hAnsi="Arial" w:cs="Arial"/>
        </w:rPr>
        <w:t xml:space="preserve"> </w:t>
      </w:r>
      <w:r w:rsidRPr="009839EB">
        <w:rPr>
          <w:rFonts w:ascii="Arial" w:hAnsi="Arial" w:cs="Arial"/>
        </w:rPr>
        <w:t>l</w:t>
      </w:r>
      <w:r w:rsidR="004977DA" w:rsidRPr="009839EB">
        <w:rPr>
          <w:rFonts w:ascii="Arial" w:hAnsi="Arial" w:cs="Arial"/>
        </w:rPr>
        <w:t>a</w:t>
      </w:r>
      <w:r w:rsidRPr="009839EB">
        <w:rPr>
          <w:rFonts w:ascii="Arial" w:hAnsi="Arial" w:cs="Arial"/>
        </w:rPr>
        <w:t xml:space="preserve"> </w:t>
      </w:r>
      <w:r w:rsidR="004977DA" w:rsidRPr="009839EB">
        <w:rPr>
          <w:rFonts w:ascii="Arial" w:hAnsi="Arial" w:cs="Arial"/>
        </w:rPr>
        <w:fldChar w:fldCharType="begin"/>
      </w:r>
      <w:r w:rsidR="004977DA" w:rsidRPr="009839EB">
        <w:rPr>
          <w:rFonts w:ascii="Arial" w:hAnsi="Arial" w:cs="Arial"/>
        </w:rPr>
        <w:instrText xml:space="preserve"> REF _Ref480192506 \h </w:instrText>
      </w:r>
      <w:r w:rsidR="009839EB">
        <w:rPr>
          <w:rFonts w:ascii="Arial" w:hAnsi="Arial" w:cs="Arial"/>
        </w:rPr>
        <w:instrText xml:space="preserve"> \* MERGEFORMAT </w:instrText>
      </w:r>
      <w:r w:rsidR="004977DA" w:rsidRPr="009839EB">
        <w:rPr>
          <w:rFonts w:ascii="Arial" w:hAnsi="Arial" w:cs="Arial"/>
        </w:rPr>
      </w:r>
      <w:r w:rsidR="004977DA" w:rsidRPr="009839EB">
        <w:rPr>
          <w:rFonts w:ascii="Arial" w:hAnsi="Arial" w:cs="Arial"/>
        </w:rPr>
        <w:fldChar w:fldCharType="separate"/>
      </w:r>
      <w:r w:rsidR="009F66B5" w:rsidRPr="009839EB">
        <w:rPr>
          <w:rFonts w:ascii="Arial" w:hAnsi="Arial" w:cs="Arial"/>
        </w:rPr>
        <w:t>Tabla</w:t>
      </w:r>
      <w:r w:rsidR="00CF1091">
        <w:rPr>
          <w:rFonts w:ascii="Arial" w:hAnsi="Arial" w:cs="Arial"/>
        </w:rPr>
        <w:t xml:space="preserve"> IV-5</w:t>
      </w:r>
      <w:r w:rsidR="009F66B5" w:rsidRPr="009839EB">
        <w:rPr>
          <w:rFonts w:ascii="Arial" w:hAnsi="Arial" w:cs="Arial"/>
        </w:rPr>
        <w:t>: Costos operativos en USD/m</w:t>
      </w:r>
      <w:r w:rsidR="009F66B5" w:rsidRPr="009839EB">
        <w:rPr>
          <w:rFonts w:ascii="Arial" w:hAnsi="Arial" w:cs="Arial"/>
          <w:vertAlign w:val="superscript"/>
        </w:rPr>
        <w:t>3</w:t>
      </w:r>
      <w:r w:rsidR="009F66B5" w:rsidRPr="009839EB">
        <w:rPr>
          <w:rFonts w:ascii="Arial" w:hAnsi="Arial" w:cs="Arial"/>
        </w:rPr>
        <w:t>.</w:t>
      </w:r>
      <w:r w:rsidR="004977DA" w:rsidRPr="009839EB">
        <w:rPr>
          <w:rFonts w:ascii="Arial" w:hAnsi="Arial" w:cs="Arial"/>
        </w:rPr>
        <w:fldChar w:fldCharType="end"/>
      </w:r>
      <w:r w:rsidR="004977DA" w:rsidRPr="009839EB">
        <w:rPr>
          <w:rFonts w:ascii="Arial" w:hAnsi="Arial" w:cs="Arial"/>
        </w:rPr>
        <w:t>, presentada</w:t>
      </w:r>
      <w:r w:rsidRPr="009839EB">
        <w:rPr>
          <w:rFonts w:ascii="Arial" w:hAnsi="Arial" w:cs="Arial"/>
        </w:rPr>
        <w:t xml:space="preserve"> en el punto 3.2 del presente capítulo.</w:t>
      </w:r>
    </w:p>
    <w:p w14:paraId="0542163B" w14:textId="77777777" w:rsidR="00554AD9" w:rsidRPr="009839EB" w:rsidRDefault="00554AD9" w:rsidP="00554AD9">
      <w:pPr>
        <w:rPr>
          <w:rFonts w:ascii="Arial" w:hAnsi="Arial" w:cs="Arial"/>
        </w:rPr>
      </w:pPr>
    </w:p>
    <w:p w14:paraId="535B7D5F" w14:textId="49D7BA9A" w:rsidR="00554AD9" w:rsidRPr="009839EB" w:rsidRDefault="00554AD9" w:rsidP="002B0107">
      <w:pPr>
        <w:pStyle w:val="Heading2"/>
      </w:pPr>
      <w:r w:rsidRPr="009839EB">
        <w:tab/>
      </w:r>
      <w:bookmarkStart w:id="137" w:name="_Toc485200115"/>
      <w:r w:rsidRPr="009839EB">
        <w:t>Ahorros asociados al proyecto</w:t>
      </w:r>
      <w:bookmarkEnd w:id="137"/>
      <w:r w:rsidRPr="009839EB">
        <w:t xml:space="preserve"> </w:t>
      </w:r>
    </w:p>
    <w:p w14:paraId="77E5783B" w14:textId="27E2F812" w:rsidR="00554AD9" w:rsidRPr="009839EB" w:rsidRDefault="00554AD9" w:rsidP="00554AD9">
      <w:pPr>
        <w:rPr>
          <w:rFonts w:ascii="Arial" w:hAnsi="Arial" w:cs="Arial"/>
        </w:rPr>
      </w:pPr>
      <w:r w:rsidRPr="009839EB">
        <w:rPr>
          <w:rFonts w:ascii="Arial" w:hAnsi="Arial" w:cs="Arial"/>
        </w:rPr>
        <w:t xml:space="preserve">El componente de ahorro de recursos generado por el plan de </w:t>
      </w:r>
      <w:r w:rsidR="002A6C0E" w:rsidRPr="009839EB">
        <w:rPr>
          <w:rFonts w:ascii="Arial" w:hAnsi="Arial" w:cs="Arial"/>
        </w:rPr>
        <w:t xml:space="preserve">mejora de eficiencia en el sistema de agua potable es uno de los </w:t>
      </w:r>
      <w:r w:rsidRPr="009839EB">
        <w:rPr>
          <w:rFonts w:ascii="Arial" w:hAnsi="Arial" w:cs="Arial"/>
        </w:rPr>
        <w:t>beneficios</w:t>
      </w:r>
      <w:r w:rsidR="002A6C0E" w:rsidRPr="009839EB">
        <w:rPr>
          <w:rFonts w:ascii="Arial" w:hAnsi="Arial" w:cs="Arial"/>
        </w:rPr>
        <w:t xml:space="preserve"> a considerar</w:t>
      </w:r>
      <w:r w:rsidRPr="009839EB">
        <w:rPr>
          <w:rFonts w:ascii="Arial" w:hAnsi="Arial" w:cs="Arial"/>
        </w:rPr>
        <w:t>. Si bien SIMOP permite computar adecuadamente los ahorros adicionales que la incorporación de usuarios al sistema genera en las economías de los mismos, no resulta simple la consideración de los ahorros que a partir de un proyecto puede lograr el prestador del servicio. En este caso, tal como se mencionó, y a efectos de incorporar en el análisis los ahorros en intervenciones sobre la red que se producirían tras la renovación de las mismas, se incluyó en el análisis la participación de un grupo consumidor ficticio cuyo único fin es incorporar tales ahorros en la evaluación.</w:t>
      </w:r>
    </w:p>
    <w:p w14:paraId="39425DA7" w14:textId="77777777" w:rsidR="00554AD9" w:rsidRPr="009839EB" w:rsidRDefault="00554AD9" w:rsidP="00554AD9">
      <w:pPr>
        <w:rPr>
          <w:rFonts w:ascii="Arial" w:hAnsi="Arial" w:cs="Arial"/>
        </w:rPr>
      </w:pPr>
      <w:bookmarkStart w:id="138" w:name="_Hlk484688045"/>
      <w:r w:rsidRPr="009839EB">
        <w:rPr>
          <w:rFonts w:ascii="Arial" w:hAnsi="Arial" w:cs="Arial"/>
        </w:rPr>
        <w:t>Dado este esquema, la determinación de los ahorros debe calcularse por fuera de SIMOP. Con tal objetivo se procedió de  acuerdo con los siguientes criterios:</w:t>
      </w:r>
    </w:p>
    <w:p w14:paraId="420FB100" w14:textId="237387DE" w:rsidR="00554AD9" w:rsidRPr="009839EB" w:rsidRDefault="00554AD9" w:rsidP="00C4100D">
      <w:pPr>
        <w:pStyle w:val="ListParagraph"/>
        <w:numPr>
          <w:ilvl w:val="0"/>
          <w:numId w:val="37"/>
        </w:numPr>
        <w:rPr>
          <w:rFonts w:ascii="Arial" w:hAnsi="Arial" w:cs="Arial"/>
        </w:rPr>
      </w:pPr>
      <w:r w:rsidRPr="009839EB">
        <w:rPr>
          <w:rFonts w:ascii="Arial" w:hAnsi="Arial" w:cs="Arial"/>
        </w:rPr>
        <w:t xml:space="preserve">Se evaluó la evolución de las intervenciones sobre cañería distribuidora </w:t>
      </w:r>
      <w:r w:rsidR="002A6C0E" w:rsidRPr="009839EB">
        <w:rPr>
          <w:rFonts w:ascii="Arial" w:hAnsi="Arial" w:cs="Arial"/>
        </w:rPr>
        <w:t>antes y después de la aplicación de regulaciones de presión</w:t>
      </w:r>
      <w:r w:rsidRPr="009839EB">
        <w:rPr>
          <w:rFonts w:ascii="Arial" w:hAnsi="Arial" w:cs="Arial"/>
        </w:rPr>
        <w:t>.</w:t>
      </w:r>
    </w:p>
    <w:p w14:paraId="6F0624F7" w14:textId="7996C402" w:rsidR="00554AD9" w:rsidRPr="009839EB" w:rsidRDefault="00554AD9" w:rsidP="00C4100D">
      <w:pPr>
        <w:pStyle w:val="ListParagraph"/>
        <w:numPr>
          <w:ilvl w:val="0"/>
          <w:numId w:val="37"/>
        </w:numPr>
        <w:rPr>
          <w:rFonts w:ascii="Arial" w:hAnsi="Arial" w:cs="Arial"/>
        </w:rPr>
      </w:pPr>
      <w:r w:rsidRPr="009839EB">
        <w:rPr>
          <w:rFonts w:ascii="Arial" w:hAnsi="Arial" w:cs="Arial"/>
        </w:rPr>
        <w:t xml:space="preserve">En base a los datos del punto anterior se estimó </w:t>
      </w:r>
      <w:r w:rsidR="002A6C0E" w:rsidRPr="009839EB">
        <w:rPr>
          <w:rFonts w:ascii="Arial" w:hAnsi="Arial" w:cs="Arial"/>
        </w:rPr>
        <w:t>el ahorro anual en términos de reparación de escapes para el sistema existente.</w:t>
      </w:r>
    </w:p>
    <w:p w14:paraId="59C4FB02" w14:textId="20A2BB4D" w:rsidR="00554AD9" w:rsidRPr="009839EB" w:rsidRDefault="00554AD9" w:rsidP="00C4100D">
      <w:pPr>
        <w:pStyle w:val="ListParagraph"/>
        <w:numPr>
          <w:ilvl w:val="0"/>
          <w:numId w:val="37"/>
        </w:numPr>
        <w:rPr>
          <w:rFonts w:ascii="Arial" w:hAnsi="Arial" w:cs="Arial"/>
        </w:rPr>
      </w:pPr>
      <w:r w:rsidRPr="009839EB">
        <w:rPr>
          <w:rFonts w:ascii="Arial" w:hAnsi="Arial" w:cs="Arial"/>
        </w:rPr>
        <w:t xml:space="preserve">Considerando </w:t>
      </w:r>
      <w:r w:rsidR="002A6C0E" w:rsidRPr="009839EB">
        <w:rPr>
          <w:rFonts w:ascii="Arial" w:hAnsi="Arial" w:cs="Arial"/>
        </w:rPr>
        <w:t xml:space="preserve">la ampliación proporcional del sistema sujeto a regulación del presente proyecto, se estimó el número de pérdidas a evitar en 3.391 escapes por año. A partir de un costo medio por reparación de escapes de 190,6 USD/escape a precios de mercado (137,5 USD/escape a precios de cuenta), se calculó un </w:t>
      </w:r>
      <w:r w:rsidR="002A6C0E" w:rsidRPr="009839EB">
        <w:rPr>
          <w:rFonts w:ascii="Arial" w:hAnsi="Arial" w:cs="Arial"/>
          <w:b/>
        </w:rPr>
        <w:t xml:space="preserve">ahorro anual de </w:t>
      </w:r>
      <w:r w:rsidR="00D17C91" w:rsidRPr="009839EB">
        <w:rPr>
          <w:rFonts w:ascii="Arial" w:hAnsi="Arial" w:cs="Arial"/>
          <w:b/>
        </w:rPr>
        <w:t>466,3 miles de USD/año.</w:t>
      </w:r>
    </w:p>
    <w:p w14:paraId="21C0A1F2" w14:textId="03254FF2" w:rsidR="00C87126" w:rsidRPr="009839EB" w:rsidRDefault="00C87126" w:rsidP="00C4100D">
      <w:pPr>
        <w:pStyle w:val="ListParagraph"/>
        <w:numPr>
          <w:ilvl w:val="0"/>
          <w:numId w:val="37"/>
        </w:numPr>
        <w:rPr>
          <w:rFonts w:ascii="Arial" w:hAnsi="Arial" w:cs="Arial"/>
        </w:rPr>
      </w:pPr>
      <w:r w:rsidRPr="009839EB">
        <w:rPr>
          <w:rFonts w:ascii="Arial" w:hAnsi="Arial" w:cs="Arial"/>
        </w:rPr>
        <w:t xml:space="preserve">Adicionalmente se consideró el ahorro en la producción de 28.072 m3/día de agua potable (60% del ahorro generado por los componentes del proyecto), el que se valorizó a los costos de producción a precios de cuenta (ver </w:t>
      </w:r>
      <w:r w:rsidRPr="009839EB">
        <w:rPr>
          <w:rFonts w:ascii="Arial" w:hAnsi="Arial" w:cs="Arial"/>
        </w:rPr>
        <w:fldChar w:fldCharType="begin"/>
      </w:r>
      <w:r w:rsidRPr="009839EB">
        <w:rPr>
          <w:rFonts w:ascii="Arial" w:hAnsi="Arial" w:cs="Arial"/>
        </w:rPr>
        <w:instrText xml:space="preserve"> REF _Ref480192506 \h </w:instrText>
      </w:r>
      <w:r w:rsidR="009839EB">
        <w:rPr>
          <w:rFonts w:ascii="Arial" w:hAnsi="Arial" w:cs="Arial"/>
        </w:rPr>
        <w:instrText xml:space="preserve"> \* MERGEFORMAT </w:instrText>
      </w:r>
      <w:r w:rsidRPr="009839EB">
        <w:rPr>
          <w:rFonts w:ascii="Arial" w:hAnsi="Arial" w:cs="Arial"/>
        </w:rPr>
      </w:r>
      <w:r w:rsidRPr="009839EB">
        <w:rPr>
          <w:rFonts w:ascii="Arial" w:hAnsi="Arial" w:cs="Arial"/>
        </w:rPr>
        <w:fldChar w:fldCharType="separate"/>
      </w:r>
      <w:r w:rsidR="009F66B5" w:rsidRPr="009839EB">
        <w:rPr>
          <w:rFonts w:ascii="Arial" w:hAnsi="Arial" w:cs="Arial"/>
        </w:rPr>
        <w:t xml:space="preserve">Tabla </w:t>
      </w:r>
      <w:r w:rsidR="009F66B5" w:rsidRPr="009839EB">
        <w:rPr>
          <w:rFonts w:ascii="Arial" w:hAnsi="Arial" w:cs="Arial"/>
          <w:noProof/>
        </w:rPr>
        <w:t>22</w:t>
      </w:r>
      <w:r w:rsidR="009F66B5" w:rsidRPr="009839EB">
        <w:rPr>
          <w:rFonts w:ascii="Arial" w:hAnsi="Arial" w:cs="Arial"/>
        </w:rPr>
        <w:t>: Costos operativos en USD/m</w:t>
      </w:r>
      <w:r w:rsidR="009F66B5" w:rsidRPr="009839EB">
        <w:rPr>
          <w:rFonts w:ascii="Arial" w:hAnsi="Arial" w:cs="Arial"/>
          <w:vertAlign w:val="superscript"/>
        </w:rPr>
        <w:t>3</w:t>
      </w:r>
      <w:r w:rsidR="009F66B5" w:rsidRPr="009839EB">
        <w:rPr>
          <w:rFonts w:ascii="Arial" w:hAnsi="Arial" w:cs="Arial"/>
        </w:rPr>
        <w:t>.</w:t>
      </w:r>
      <w:r w:rsidRPr="009839EB">
        <w:rPr>
          <w:rFonts w:ascii="Arial" w:hAnsi="Arial" w:cs="Arial"/>
        </w:rPr>
        <w:fldChar w:fldCharType="end"/>
      </w:r>
      <w:r w:rsidRPr="009839EB">
        <w:rPr>
          <w:rFonts w:ascii="Arial" w:hAnsi="Arial" w:cs="Arial"/>
        </w:rPr>
        <w:t xml:space="preserve">), obteniéndose un </w:t>
      </w:r>
      <w:r w:rsidRPr="009839EB">
        <w:rPr>
          <w:rFonts w:ascii="Arial" w:hAnsi="Arial" w:cs="Arial"/>
          <w:b/>
        </w:rPr>
        <w:t>ahorro adicional de 399,9 miles de USD/año.</w:t>
      </w:r>
    </w:p>
    <w:p w14:paraId="74DE6F7D" w14:textId="0F601CCB" w:rsidR="00554AD9" w:rsidRPr="009839EB" w:rsidRDefault="00554AD9" w:rsidP="00C4100D">
      <w:pPr>
        <w:pStyle w:val="ListParagraph"/>
        <w:numPr>
          <w:ilvl w:val="0"/>
          <w:numId w:val="37"/>
        </w:numPr>
        <w:rPr>
          <w:rFonts w:ascii="Arial" w:hAnsi="Arial" w:cs="Arial"/>
        </w:rPr>
      </w:pPr>
      <w:r w:rsidRPr="009839EB">
        <w:rPr>
          <w:rFonts w:ascii="Arial" w:hAnsi="Arial" w:cs="Arial"/>
        </w:rPr>
        <w:t xml:space="preserve">El flujo de ahorros netos generado </w:t>
      </w:r>
      <w:r w:rsidR="00C87126" w:rsidRPr="009839EB">
        <w:rPr>
          <w:rFonts w:ascii="Arial" w:hAnsi="Arial" w:cs="Arial"/>
        </w:rPr>
        <w:t>(</w:t>
      </w:r>
      <w:r w:rsidR="00C87126" w:rsidRPr="009839EB">
        <w:rPr>
          <w:rFonts w:ascii="Arial" w:hAnsi="Arial" w:cs="Arial"/>
          <w:b/>
        </w:rPr>
        <w:t>866,2 miles de USD/año</w:t>
      </w:r>
      <w:r w:rsidR="00C87126" w:rsidRPr="009839EB">
        <w:rPr>
          <w:rFonts w:ascii="Arial" w:hAnsi="Arial" w:cs="Arial"/>
        </w:rPr>
        <w:t xml:space="preserve">) </w:t>
      </w:r>
      <w:r w:rsidRPr="009839EB">
        <w:rPr>
          <w:rFonts w:ascii="Arial" w:hAnsi="Arial" w:cs="Arial"/>
        </w:rPr>
        <w:t>fue incorporado al SIMOP asignándose el mismo al Grupo Consumidor E</w:t>
      </w:r>
      <w:bookmarkEnd w:id="138"/>
      <w:r w:rsidRPr="009839EB">
        <w:rPr>
          <w:rFonts w:ascii="Arial" w:hAnsi="Arial" w:cs="Arial"/>
        </w:rPr>
        <w:t>.</w:t>
      </w:r>
    </w:p>
    <w:p w14:paraId="529711C5" w14:textId="77777777" w:rsidR="00F05F1A" w:rsidRDefault="00F05F1A" w:rsidP="00F05F1A">
      <w:pPr>
        <w:ind w:left="360"/>
      </w:pPr>
    </w:p>
    <w:p w14:paraId="2D854243" w14:textId="77777777" w:rsidR="003B1C14" w:rsidRPr="002C012A" w:rsidRDefault="003B1C14" w:rsidP="002B0107">
      <w:pPr>
        <w:pStyle w:val="Heading2"/>
        <w:numPr>
          <w:ilvl w:val="0"/>
          <w:numId w:val="42"/>
        </w:numPr>
      </w:pPr>
      <w:bookmarkStart w:id="139" w:name="_Toc485200116"/>
      <w:r w:rsidRPr="002C012A">
        <w:t>Resultados del ACBS.</w:t>
      </w:r>
      <w:bookmarkEnd w:id="139"/>
    </w:p>
    <w:p w14:paraId="0F308224" w14:textId="3CE6C241" w:rsidR="00F05F1A" w:rsidRPr="00994EF3" w:rsidRDefault="00F05F1A" w:rsidP="00F05F1A">
      <w:pPr>
        <w:pStyle w:val="Caption"/>
        <w:rPr>
          <w:rFonts w:ascii="Arial" w:hAnsi="Arial" w:cs="Arial"/>
          <w:b w:val="0"/>
          <w:iCs w:val="0"/>
          <w:szCs w:val="22"/>
        </w:rPr>
      </w:pPr>
      <w:bookmarkStart w:id="140" w:name="_Ref479861679"/>
      <w:r w:rsidRPr="00994EF3">
        <w:rPr>
          <w:rFonts w:ascii="Arial" w:hAnsi="Arial" w:cs="Arial"/>
          <w:b w:val="0"/>
          <w:iCs w:val="0"/>
          <w:szCs w:val="22"/>
        </w:rPr>
        <w:t xml:space="preserve">A </w:t>
      </w:r>
      <w:r w:rsidR="006C4252" w:rsidRPr="00994EF3">
        <w:rPr>
          <w:rFonts w:ascii="Arial" w:hAnsi="Arial" w:cs="Arial"/>
          <w:b w:val="0"/>
          <w:iCs w:val="0"/>
          <w:szCs w:val="22"/>
        </w:rPr>
        <w:t>continuación,</w:t>
      </w:r>
      <w:r w:rsidRPr="00994EF3">
        <w:rPr>
          <w:rFonts w:ascii="Arial" w:hAnsi="Arial" w:cs="Arial"/>
          <w:b w:val="0"/>
          <w:iCs w:val="0"/>
          <w:szCs w:val="22"/>
        </w:rPr>
        <w:t xml:space="preserve"> se presentan las principales salidas del modelo SIMOP.</w:t>
      </w:r>
    </w:p>
    <w:p w14:paraId="52FD51CE" w14:textId="77777777" w:rsidR="00F05F1A" w:rsidRPr="00994EF3" w:rsidRDefault="00F05F1A" w:rsidP="00F05F1A">
      <w:pPr>
        <w:pStyle w:val="Caption"/>
        <w:rPr>
          <w:rFonts w:ascii="Arial" w:hAnsi="Arial" w:cs="Arial"/>
          <w:b w:val="0"/>
          <w:iCs w:val="0"/>
          <w:szCs w:val="22"/>
        </w:rPr>
      </w:pPr>
      <w:r w:rsidRPr="00994EF3">
        <w:rPr>
          <w:rFonts w:ascii="Arial" w:hAnsi="Arial" w:cs="Arial"/>
          <w:b w:val="0"/>
          <w:iCs w:val="0"/>
          <w:szCs w:val="22"/>
        </w:rPr>
        <w:t>La primera de ellas corresponde al balance de oferta y demanda de agua potable proyectadas por el modelo considerando la información suministrada por las tarjetas correspondientes. La última columna de este cuadro indica los años en los que los consumidores enfrentan un racionamiento de agua potable.</w:t>
      </w:r>
    </w:p>
    <w:p w14:paraId="569CD683" w14:textId="77777777" w:rsidR="00F05F1A" w:rsidRPr="00994EF3" w:rsidRDefault="00F05F1A" w:rsidP="00F05F1A">
      <w:pPr>
        <w:pStyle w:val="Caption"/>
        <w:rPr>
          <w:rFonts w:ascii="Arial" w:hAnsi="Arial" w:cs="Arial"/>
          <w:b w:val="0"/>
          <w:iCs w:val="0"/>
          <w:szCs w:val="22"/>
        </w:rPr>
      </w:pPr>
      <w:r w:rsidRPr="00994EF3">
        <w:rPr>
          <w:rFonts w:ascii="Arial" w:hAnsi="Arial" w:cs="Arial"/>
          <w:b w:val="0"/>
          <w:iCs w:val="0"/>
          <w:szCs w:val="22"/>
        </w:rPr>
        <w:t>Luego se presenta el detalle del flujo de fondos a precios de cuenta en miles de dólares generado por el modelo SIMOP.</w:t>
      </w:r>
    </w:p>
    <w:p w14:paraId="0F7BBBFB" w14:textId="77777777" w:rsidR="006630E0" w:rsidRPr="00994EF3" w:rsidRDefault="006630E0" w:rsidP="006630E0">
      <w:pPr>
        <w:rPr>
          <w:rFonts w:ascii="Arial" w:hAnsi="Arial" w:cs="Arial"/>
        </w:rPr>
      </w:pPr>
    </w:p>
    <w:p w14:paraId="13C384CA" w14:textId="04C0029F" w:rsidR="00F05F1A" w:rsidRDefault="00F05F1A" w:rsidP="00F05F1A">
      <w:pPr>
        <w:pStyle w:val="Caption"/>
      </w:pPr>
      <w:r>
        <w:t xml:space="preserve">Tabla </w:t>
      </w:r>
      <w:r w:rsidR="003908E6">
        <w:t>IV-10:</w:t>
      </w:r>
      <w:r w:rsidR="000B2DBC" w:rsidRPr="003908E6">
        <w:rPr>
          <w:color w:val="FFFFFF" w:themeColor="background1"/>
        </w:rPr>
        <w:fldChar w:fldCharType="begin"/>
      </w:r>
      <w:r w:rsidR="000B2DBC" w:rsidRPr="003908E6">
        <w:rPr>
          <w:color w:val="FFFFFF" w:themeColor="background1"/>
        </w:rPr>
        <w:instrText xml:space="preserve"> SEQ Tabla \* ARABIC </w:instrText>
      </w:r>
      <w:r w:rsidR="000B2DBC" w:rsidRPr="003908E6">
        <w:rPr>
          <w:color w:val="FFFFFF" w:themeColor="background1"/>
        </w:rPr>
        <w:fldChar w:fldCharType="separate"/>
      </w:r>
      <w:r w:rsidR="009F66B5" w:rsidRPr="003908E6">
        <w:rPr>
          <w:noProof/>
          <w:color w:val="FFFFFF" w:themeColor="background1"/>
        </w:rPr>
        <w:t>27</w:t>
      </w:r>
      <w:r w:rsidR="000B2DBC" w:rsidRPr="003908E6">
        <w:rPr>
          <w:noProof/>
          <w:color w:val="FFFFFF" w:themeColor="background1"/>
        </w:rPr>
        <w:fldChar w:fldCharType="end"/>
      </w:r>
      <w:r w:rsidRPr="003908E6">
        <w:rPr>
          <w:color w:val="FFFFFF" w:themeColor="background1"/>
        </w:rPr>
        <w:t xml:space="preserve"> </w:t>
      </w:r>
      <w:r w:rsidRPr="00161DCC">
        <w:t>Balance de Demanda y Oferta proyectados – Salida SIMOP</w:t>
      </w:r>
      <w:r>
        <w:t xml:space="preserve"> - miles de m</w:t>
      </w:r>
      <w:r w:rsidRPr="00F05F1A">
        <w:rPr>
          <w:vertAlign w:val="superscript"/>
        </w:rPr>
        <w:t>3</w:t>
      </w:r>
      <w:r>
        <w:t>.</w:t>
      </w:r>
    </w:p>
    <w:p w14:paraId="40533FD8" w14:textId="7C29DDC9" w:rsidR="00F05F1A" w:rsidRDefault="002C0248" w:rsidP="00F05F1A">
      <w:pPr>
        <w:pStyle w:val="Caption"/>
        <w:rPr>
          <w:b w:val="0"/>
          <w:iCs w:val="0"/>
          <w:szCs w:val="22"/>
        </w:rPr>
      </w:pPr>
      <w:r w:rsidRPr="002C0248">
        <w:rPr>
          <w:noProof/>
          <w:lang w:eastAsia="es-AR"/>
        </w:rPr>
        <w:drawing>
          <wp:inline distT="0" distB="0" distL="0" distR="0" wp14:anchorId="44E33B7F" wp14:editId="38A0832A">
            <wp:extent cx="5063490" cy="5219065"/>
            <wp:effectExtent l="0" t="0" r="3810" b="6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63490" cy="5219065"/>
                    </a:xfrm>
                    <a:prstGeom prst="rect">
                      <a:avLst/>
                    </a:prstGeom>
                    <a:noFill/>
                    <a:ln>
                      <a:noFill/>
                    </a:ln>
                  </pic:spPr>
                </pic:pic>
              </a:graphicData>
            </a:graphic>
          </wp:inline>
        </w:drawing>
      </w:r>
    </w:p>
    <w:p w14:paraId="51B37622" w14:textId="77777777" w:rsidR="00F05F1A" w:rsidRDefault="00F05F1A" w:rsidP="00F05F1A"/>
    <w:p w14:paraId="06503D5B" w14:textId="2684523C" w:rsidR="00BE21FC" w:rsidRDefault="00BE21FC" w:rsidP="00BE21FC">
      <w:pPr>
        <w:pStyle w:val="Caption"/>
      </w:pPr>
      <w:r>
        <w:t xml:space="preserve">Tabla </w:t>
      </w:r>
      <w:r w:rsidR="003908E6">
        <w:t>IV-11:</w:t>
      </w:r>
      <w:r w:rsidR="000B2DBC" w:rsidRPr="003908E6">
        <w:rPr>
          <w:color w:val="FFFFFF" w:themeColor="background1"/>
        </w:rPr>
        <w:fldChar w:fldCharType="begin"/>
      </w:r>
      <w:r w:rsidR="000B2DBC" w:rsidRPr="003908E6">
        <w:rPr>
          <w:color w:val="FFFFFF" w:themeColor="background1"/>
        </w:rPr>
        <w:instrText xml:space="preserve"> SEQ Tabla \* ARABIC </w:instrText>
      </w:r>
      <w:r w:rsidR="000B2DBC" w:rsidRPr="003908E6">
        <w:rPr>
          <w:color w:val="FFFFFF" w:themeColor="background1"/>
        </w:rPr>
        <w:fldChar w:fldCharType="separate"/>
      </w:r>
      <w:r w:rsidR="009F66B5" w:rsidRPr="003908E6">
        <w:rPr>
          <w:noProof/>
          <w:color w:val="FFFFFF" w:themeColor="background1"/>
        </w:rPr>
        <w:t>28</w:t>
      </w:r>
      <w:r w:rsidR="000B2DBC" w:rsidRPr="003908E6">
        <w:rPr>
          <w:noProof/>
          <w:color w:val="FFFFFF" w:themeColor="background1"/>
        </w:rPr>
        <w:fldChar w:fldCharType="end"/>
      </w:r>
      <w:r>
        <w:t xml:space="preserve"> </w:t>
      </w:r>
      <w:r w:rsidRPr="0088213F">
        <w:t xml:space="preserve">Flujo de fondos a precios de </w:t>
      </w:r>
      <w:r>
        <w:t>cuenta estimado por SIMOP.</w:t>
      </w:r>
    </w:p>
    <w:p w14:paraId="6CC7E578" w14:textId="6E997867" w:rsidR="00F05F1A" w:rsidRPr="00F05F1A" w:rsidRDefault="002C0248" w:rsidP="00F05F1A">
      <w:r w:rsidRPr="002C0248">
        <w:rPr>
          <w:noProof/>
          <w:lang w:eastAsia="es-AR"/>
        </w:rPr>
        <w:drawing>
          <wp:inline distT="0" distB="0" distL="0" distR="0" wp14:anchorId="643FD76D" wp14:editId="5C21114A">
            <wp:extent cx="5279390" cy="5382895"/>
            <wp:effectExtent l="0" t="0" r="0" b="825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9390" cy="5382895"/>
                    </a:xfrm>
                    <a:prstGeom prst="rect">
                      <a:avLst/>
                    </a:prstGeom>
                    <a:noFill/>
                    <a:ln>
                      <a:noFill/>
                    </a:ln>
                  </pic:spPr>
                </pic:pic>
              </a:graphicData>
            </a:graphic>
          </wp:inline>
        </w:drawing>
      </w:r>
    </w:p>
    <w:bookmarkEnd w:id="140"/>
    <w:p w14:paraId="10ACFE08" w14:textId="6ABA52EC" w:rsidR="002C0248" w:rsidRPr="003908E6" w:rsidRDefault="006630E0" w:rsidP="00306818">
      <w:pPr>
        <w:rPr>
          <w:rFonts w:ascii="Arial" w:hAnsi="Arial" w:cs="Arial"/>
        </w:rPr>
      </w:pPr>
      <w:r w:rsidRPr="003908E6">
        <w:rPr>
          <w:rFonts w:ascii="Arial" w:hAnsi="Arial" w:cs="Arial"/>
        </w:rPr>
        <w:t>El análisis a valor presente de las corrientes de beneficios y costos económicos del proyecto considerando una tasa de descuento del 12% anual permite obtener los siguientes</w:t>
      </w:r>
      <w:r w:rsidR="002C0248" w:rsidRPr="003908E6">
        <w:rPr>
          <w:rFonts w:ascii="Arial" w:hAnsi="Arial" w:cs="Arial"/>
        </w:rPr>
        <w:t xml:space="preserve"> resultados en miles de dólare</w:t>
      </w:r>
      <w:r w:rsidR="003908E6">
        <w:rPr>
          <w:rFonts w:ascii="Arial" w:hAnsi="Arial" w:cs="Arial"/>
        </w:rPr>
        <w:t>s.</w:t>
      </w:r>
    </w:p>
    <w:p w14:paraId="2860DAF3" w14:textId="677D11A1" w:rsidR="00F4561F" w:rsidRDefault="00F4561F" w:rsidP="00F4561F">
      <w:pPr>
        <w:pStyle w:val="Caption"/>
      </w:pPr>
      <w:r>
        <w:t xml:space="preserve">Tabla </w:t>
      </w:r>
      <w:r w:rsidR="003908E6">
        <w:t>IV-12:</w:t>
      </w:r>
      <w:r w:rsidR="000B2DBC" w:rsidRPr="003908E6">
        <w:rPr>
          <w:color w:val="FFFFFF" w:themeColor="background1"/>
        </w:rPr>
        <w:fldChar w:fldCharType="begin"/>
      </w:r>
      <w:r w:rsidR="000B2DBC" w:rsidRPr="003908E6">
        <w:rPr>
          <w:color w:val="FFFFFF" w:themeColor="background1"/>
        </w:rPr>
        <w:instrText xml:space="preserve"> SEQ Tabla \* ARABIC </w:instrText>
      </w:r>
      <w:r w:rsidR="000B2DBC" w:rsidRPr="003908E6">
        <w:rPr>
          <w:color w:val="FFFFFF" w:themeColor="background1"/>
        </w:rPr>
        <w:fldChar w:fldCharType="separate"/>
      </w:r>
      <w:r w:rsidR="009F66B5" w:rsidRPr="003908E6">
        <w:rPr>
          <w:noProof/>
          <w:color w:val="FFFFFF" w:themeColor="background1"/>
        </w:rPr>
        <w:t>29</w:t>
      </w:r>
      <w:r w:rsidR="000B2DBC" w:rsidRPr="003908E6">
        <w:rPr>
          <w:noProof/>
          <w:color w:val="FFFFFF" w:themeColor="background1"/>
        </w:rPr>
        <w:fldChar w:fldCharType="end"/>
      </w:r>
      <w:r>
        <w:t xml:space="preserve"> </w:t>
      </w:r>
      <w:r w:rsidRPr="00776DAA">
        <w:t>VP de los beneficios económicos estimado por SIMOP.</w:t>
      </w:r>
    </w:p>
    <w:p w14:paraId="78B4CFBD" w14:textId="0AC720F8" w:rsidR="00F4561F" w:rsidRDefault="002C0248" w:rsidP="00F4561F">
      <w:r w:rsidRPr="002C0248">
        <w:rPr>
          <w:noProof/>
          <w:lang w:eastAsia="es-AR"/>
        </w:rPr>
        <w:drawing>
          <wp:inline distT="0" distB="0" distL="0" distR="0" wp14:anchorId="6C9378F8" wp14:editId="5E578671">
            <wp:extent cx="3277870" cy="1388745"/>
            <wp:effectExtent l="0" t="0" r="0" b="190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77870" cy="1388745"/>
                    </a:xfrm>
                    <a:prstGeom prst="rect">
                      <a:avLst/>
                    </a:prstGeom>
                    <a:noFill/>
                    <a:ln>
                      <a:noFill/>
                    </a:ln>
                  </pic:spPr>
                </pic:pic>
              </a:graphicData>
            </a:graphic>
          </wp:inline>
        </w:drawing>
      </w:r>
    </w:p>
    <w:p w14:paraId="2103FF9B" w14:textId="3A47DCCC" w:rsidR="00F4561F" w:rsidRDefault="00F4561F" w:rsidP="00F4561F">
      <w:pPr>
        <w:pStyle w:val="Caption"/>
      </w:pPr>
      <w:r>
        <w:t xml:space="preserve">Tabla </w:t>
      </w:r>
      <w:r w:rsidR="00455611">
        <w:t>IV-13:</w:t>
      </w:r>
      <w:r w:rsidR="000B2DBC" w:rsidRPr="00455611">
        <w:rPr>
          <w:color w:val="FFFFFF" w:themeColor="background1"/>
        </w:rPr>
        <w:fldChar w:fldCharType="begin"/>
      </w:r>
      <w:r w:rsidR="000B2DBC" w:rsidRPr="00455611">
        <w:rPr>
          <w:color w:val="FFFFFF" w:themeColor="background1"/>
        </w:rPr>
        <w:instrText xml:space="preserve"> SEQ Tabla \* ARABIC </w:instrText>
      </w:r>
      <w:r w:rsidR="000B2DBC" w:rsidRPr="00455611">
        <w:rPr>
          <w:color w:val="FFFFFF" w:themeColor="background1"/>
        </w:rPr>
        <w:fldChar w:fldCharType="separate"/>
      </w:r>
      <w:r w:rsidR="009F66B5" w:rsidRPr="00455611">
        <w:rPr>
          <w:noProof/>
          <w:color w:val="FFFFFF" w:themeColor="background1"/>
        </w:rPr>
        <w:t>30</w:t>
      </w:r>
      <w:r w:rsidR="000B2DBC" w:rsidRPr="00455611">
        <w:rPr>
          <w:noProof/>
          <w:color w:val="FFFFFF" w:themeColor="background1"/>
        </w:rPr>
        <w:fldChar w:fldCharType="end"/>
      </w:r>
      <w:r w:rsidRPr="00455611">
        <w:rPr>
          <w:color w:val="FFFFFF" w:themeColor="background1"/>
        </w:rPr>
        <w:t xml:space="preserve"> </w:t>
      </w:r>
      <w:r w:rsidRPr="001A198F">
        <w:t>VP de los costos económicos estimado por SIMOP.</w:t>
      </w:r>
    </w:p>
    <w:p w14:paraId="1875BB44" w14:textId="152ED1C8" w:rsidR="00F4561F" w:rsidRDefault="002C0248" w:rsidP="00F4561F">
      <w:r w:rsidRPr="002C0248">
        <w:rPr>
          <w:noProof/>
          <w:lang w:eastAsia="es-AR"/>
        </w:rPr>
        <w:drawing>
          <wp:inline distT="0" distB="0" distL="0" distR="0" wp14:anchorId="321C180C" wp14:editId="566F0ED8">
            <wp:extent cx="3277870" cy="163893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77870" cy="1638935"/>
                    </a:xfrm>
                    <a:prstGeom prst="rect">
                      <a:avLst/>
                    </a:prstGeom>
                    <a:noFill/>
                    <a:ln>
                      <a:noFill/>
                    </a:ln>
                  </pic:spPr>
                </pic:pic>
              </a:graphicData>
            </a:graphic>
          </wp:inline>
        </w:drawing>
      </w:r>
    </w:p>
    <w:p w14:paraId="233EA47C" w14:textId="77777777" w:rsidR="00647D6D" w:rsidRPr="00455611" w:rsidRDefault="00647D6D" w:rsidP="00F4561F">
      <w:pPr>
        <w:rPr>
          <w:rFonts w:ascii="Arial" w:hAnsi="Arial" w:cs="Arial"/>
        </w:rPr>
      </w:pPr>
    </w:p>
    <w:p w14:paraId="7F985C67" w14:textId="470D8F16" w:rsidR="00F4561F" w:rsidRPr="00455611" w:rsidRDefault="00F4561F" w:rsidP="00F4561F">
      <w:pPr>
        <w:pBdr>
          <w:top w:val="single" w:sz="4" w:space="1" w:color="auto"/>
          <w:left w:val="single" w:sz="4" w:space="4" w:color="auto"/>
          <w:bottom w:val="single" w:sz="4" w:space="1" w:color="auto"/>
          <w:right w:val="single" w:sz="4" w:space="4" w:color="auto"/>
        </w:pBdr>
        <w:rPr>
          <w:rFonts w:ascii="Arial" w:hAnsi="Arial" w:cs="Arial"/>
          <w:b/>
        </w:rPr>
      </w:pPr>
      <w:r w:rsidRPr="00455611">
        <w:rPr>
          <w:rFonts w:ascii="Arial" w:hAnsi="Arial" w:cs="Arial"/>
          <w:b/>
        </w:rPr>
        <w:t xml:space="preserve">Estos resultados implican un Valor Presente Neto del proyecto de </w:t>
      </w:r>
      <w:r w:rsidR="00647D6D" w:rsidRPr="00455611">
        <w:rPr>
          <w:rFonts w:ascii="Arial" w:hAnsi="Arial" w:cs="Arial"/>
          <w:b/>
        </w:rPr>
        <w:t>1</w:t>
      </w:r>
      <w:r w:rsidR="002C0248" w:rsidRPr="00455611">
        <w:rPr>
          <w:rFonts w:ascii="Arial" w:hAnsi="Arial" w:cs="Arial"/>
          <w:b/>
        </w:rPr>
        <w:t>2,01</w:t>
      </w:r>
      <w:r w:rsidR="00647D6D" w:rsidRPr="00455611">
        <w:rPr>
          <w:rFonts w:ascii="Arial" w:hAnsi="Arial" w:cs="Arial"/>
          <w:b/>
        </w:rPr>
        <w:t xml:space="preserve"> </w:t>
      </w:r>
      <w:r w:rsidRPr="00455611">
        <w:rPr>
          <w:rFonts w:ascii="Arial" w:hAnsi="Arial" w:cs="Arial"/>
          <w:b/>
        </w:rPr>
        <w:t xml:space="preserve">millones de dólares y una Tasa Interna de Retorno del </w:t>
      </w:r>
      <w:r w:rsidR="002C0248" w:rsidRPr="00455611">
        <w:rPr>
          <w:rFonts w:ascii="Arial" w:hAnsi="Arial" w:cs="Arial"/>
          <w:b/>
        </w:rPr>
        <w:t>30,6</w:t>
      </w:r>
      <w:r w:rsidRPr="00455611">
        <w:rPr>
          <w:rFonts w:ascii="Arial" w:hAnsi="Arial" w:cs="Arial"/>
          <w:b/>
        </w:rPr>
        <w:t>%.</w:t>
      </w:r>
    </w:p>
    <w:p w14:paraId="70528348" w14:textId="77777777" w:rsidR="000663C3" w:rsidRPr="00455611" w:rsidRDefault="00F4561F" w:rsidP="00F4561F">
      <w:pPr>
        <w:rPr>
          <w:rFonts w:ascii="Arial" w:hAnsi="Arial" w:cs="Arial"/>
        </w:rPr>
      </w:pPr>
      <w:r w:rsidRPr="00455611">
        <w:rPr>
          <w:rFonts w:ascii="Arial" w:hAnsi="Arial" w:cs="Arial"/>
        </w:rPr>
        <w:t>Tales resultados hacen recomendable la realización del proyecto desde el punto de vista socioeconómico.</w:t>
      </w:r>
    </w:p>
    <w:p w14:paraId="4D2E6B62" w14:textId="77777777" w:rsidR="00F4561F" w:rsidRDefault="00F4561F" w:rsidP="00F4561F"/>
    <w:p w14:paraId="3EE85215" w14:textId="77777777" w:rsidR="003B1C14" w:rsidRDefault="003B1C14" w:rsidP="002B0107">
      <w:pPr>
        <w:pStyle w:val="Heading2"/>
        <w:numPr>
          <w:ilvl w:val="0"/>
          <w:numId w:val="42"/>
        </w:numPr>
      </w:pPr>
      <w:bookmarkStart w:id="141" w:name="_Toc485200117"/>
      <w:r>
        <w:t>Análisis de sensibilidad.</w:t>
      </w:r>
      <w:bookmarkEnd w:id="141"/>
      <w:r>
        <w:tab/>
      </w:r>
    </w:p>
    <w:p w14:paraId="31E581BB" w14:textId="77777777" w:rsidR="00F4561F" w:rsidRPr="00C734DD" w:rsidRDefault="00F4561F" w:rsidP="00F4561F">
      <w:pPr>
        <w:rPr>
          <w:rFonts w:ascii="Arial" w:hAnsi="Arial" w:cs="Arial"/>
        </w:rPr>
      </w:pPr>
      <w:r w:rsidRPr="00C734DD">
        <w:rPr>
          <w:rFonts w:ascii="Arial" w:hAnsi="Arial" w:cs="Arial"/>
        </w:rPr>
        <w:t>SIMOP permite realizar un amplio análisis de sensibilidad considerando las opciones ofrecidas por el programa mediante las instrucciones de “Análisis paramétrico SIMOP”.</w:t>
      </w:r>
    </w:p>
    <w:p w14:paraId="4CAEBF2B" w14:textId="77777777" w:rsidR="00F4561F" w:rsidRPr="00C734DD" w:rsidRDefault="00F4561F" w:rsidP="00F4561F">
      <w:pPr>
        <w:rPr>
          <w:rFonts w:ascii="Arial" w:hAnsi="Arial" w:cs="Arial"/>
        </w:rPr>
      </w:pPr>
      <w:r w:rsidRPr="00C734DD">
        <w:rPr>
          <w:rFonts w:ascii="Arial" w:hAnsi="Arial" w:cs="Arial"/>
        </w:rPr>
        <w:t>A tal efecto se han seleccionado las principales variables que afectan al proyecto y se han realizado nueve análisis paramétricos de las mismas obteniendo los resultados presentados a continuación.</w:t>
      </w:r>
    </w:p>
    <w:p w14:paraId="2BBAB01F" w14:textId="77777777" w:rsidR="009B4C0C" w:rsidRPr="00C734DD" w:rsidRDefault="00F4561F" w:rsidP="00F4561F">
      <w:pPr>
        <w:rPr>
          <w:rFonts w:ascii="Arial" w:hAnsi="Arial" w:cs="Arial"/>
        </w:rPr>
      </w:pPr>
      <w:r w:rsidRPr="00C734DD">
        <w:rPr>
          <w:rFonts w:ascii="Arial" w:hAnsi="Arial" w:cs="Arial"/>
        </w:rPr>
        <w:t>Adicionalmente al análisis paramétrico se ha computado la opción “TIMING” a fin de determinar el año óptimo de inicio de las inversiones.</w:t>
      </w:r>
    </w:p>
    <w:p w14:paraId="3538F9AC" w14:textId="77777777" w:rsidR="00647D6D" w:rsidRDefault="00647D6D" w:rsidP="00F4561F"/>
    <w:p w14:paraId="74A382B5" w14:textId="28B8CDBF" w:rsidR="00D13970" w:rsidRDefault="00D13970" w:rsidP="002B0107">
      <w:pPr>
        <w:pStyle w:val="Heading2"/>
        <w:numPr>
          <w:ilvl w:val="1"/>
          <w:numId w:val="48"/>
        </w:numPr>
      </w:pPr>
      <w:bookmarkStart w:id="142" w:name="_Toc479881455"/>
      <w:bookmarkStart w:id="143" w:name="_Toc479881459"/>
      <w:bookmarkStart w:id="144" w:name="_Toc478928888"/>
      <w:bookmarkStart w:id="145" w:name="_Toc485200118"/>
      <w:bookmarkEnd w:id="142"/>
      <w:bookmarkEnd w:id="143"/>
      <w:r w:rsidRPr="006F76C6">
        <w:t>Análisis</w:t>
      </w:r>
      <w:r>
        <w:t xml:space="preserve"> de sensibilidad paramétrico</w:t>
      </w:r>
      <w:bookmarkEnd w:id="144"/>
      <w:bookmarkEnd w:id="145"/>
    </w:p>
    <w:p w14:paraId="73260B2C" w14:textId="77777777" w:rsidR="00F4561F" w:rsidRPr="00C734DD" w:rsidRDefault="00F4561F" w:rsidP="00F4561F">
      <w:pPr>
        <w:rPr>
          <w:rFonts w:ascii="Arial" w:hAnsi="Arial" w:cs="Arial"/>
        </w:rPr>
      </w:pPr>
      <w:r w:rsidRPr="00C734DD">
        <w:rPr>
          <w:rFonts w:ascii="Arial" w:hAnsi="Arial" w:cs="Arial"/>
        </w:rPr>
        <w:t>SIMOP permite realizar un amplio análisis de sensibilidad considerando las opciones ofrecidas por el programa en su nueva versión Excel (V4.4).</w:t>
      </w:r>
    </w:p>
    <w:p w14:paraId="1DBD5E8E" w14:textId="0F831647" w:rsidR="00F4561F" w:rsidRPr="00C734DD" w:rsidRDefault="00647D6D" w:rsidP="00F4561F">
      <w:pPr>
        <w:rPr>
          <w:rFonts w:ascii="Arial" w:hAnsi="Arial" w:cs="Arial"/>
        </w:rPr>
      </w:pPr>
      <w:r w:rsidRPr="00C734DD">
        <w:rPr>
          <w:rFonts w:ascii="Arial" w:hAnsi="Arial" w:cs="Arial"/>
        </w:rPr>
        <w:t xml:space="preserve">En la </w:t>
      </w:r>
      <w:r w:rsidRPr="00C734DD">
        <w:rPr>
          <w:rFonts w:ascii="Arial" w:hAnsi="Arial" w:cs="Arial"/>
        </w:rPr>
        <w:fldChar w:fldCharType="begin"/>
      </w:r>
      <w:r w:rsidRPr="00C734DD">
        <w:rPr>
          <w:rFonts w:ascii="Arial" w:hAnsi="Arial" w:cs="Arial"/>
        </w:rPr>
        <w:instrText xml:space="preserve"> REF _Ref480198729 \h </w:instrText>
      </w:r>
      <w:r w:rsidR="00C734DD">
        <w:rPr>
          <w:rFonts w:ascii="Arial" w:hAnsi="Arial" w:cs="Arial"/>
        </w:rPr>
        <w:instrText xml:space="preserve"> \* MERGEFORMAT </w:instrText>
      </w:r>
      <w:r w:rsidRPr="00C734DD">
        <w:rPr>
          <w:rFonts w:ascii="Arial" w:hAnsi="Arial" w:cs="Arial"/>
        </w:rPr>
      </w:r>
      <w:r w:rsidRPr="00C734DD">
        <w:rPr>
          <w:rFonts w:ascii="Arial" w:hAnsi="Arial" w:cs="Arial"/>
        </w:rPr>
        <w:fldChar w:fldCharType="separate"/>
      </w:r>
      <w:r w:rsidR="009F66B5" w:rsidRPr="00C734DD">
        <w:rPr>
          <w:rFonts w:ascii="Arial" w:hAnsi="Arial" w:cs="Arial"/>
        </w:rPr>
        <w:t xml:space="preserve">Tabla </w:t>
      </w:r>
      <w:r w:rsidR="00C734DD">
        <w:rPr>
          <w:rFonts w:ascii="Arial" w:hAnsi="Arial" w:cs="Arial"/>
        </w:rPr>
        <w:t>IV-14</w:t>
      </w:r>
      <w:r w:rsidRPr="00C734DD">
        <w:rPr>
          <w:rFonts w:ascii="Arial" w:hAnsi="Arial" w:cs="Arial"/>
        </w:rPr>
        <w:fldChar w:fldCharType="end"/>
      </w:r>
      <w:r w:rsidR="00F4561F" w:rsidRPr="00C734DD">
        <w:rPr>
          <w:rFonts w:ascii="Arial" w:hAnsi="Arial" w:cs="Arial"/>
        </w:rPr>
        <w:t xml:space="preserve"> se presenta el resultado del análisis de sensibilidad variable a variable realizado.</w:t>
      </w:r>
    </w:p>
    <w:p w14:paraId="5605247B" w14:textId="71F068B4" w:rsidR="00647D6D" w:rsidRPr="00C734DD" w:rsidRDefault="00647D6D" w:rsidP="00F4561F">
      <w:pPr>
        <w:rPr>
          <w:rFonts w:ascii="Arial" w:hAnsi="Arial" w:cs="Arial"/>
        </w:rPr>
      </w:pPr>
      <w:r w:rsidRPr="00C734DD">
        <w:rPr>
          <w:rFonts w:ascii="Arial" w:hAnsi="Arial" w:cs="Arial"/>
        </w:rPr>
        <w:t>Según se observa, debido a al bajo nivel inicial de demanda insatisfecha considerado (3%), la variable más sensible es la cantidad inicial de agua en la situación sin proyecto (un pequeño incremento presenta un fuerte impacto). Fuera de esta particularidad</w:t>
      </w:r>
      <w:r w:rsidR="00BB7AD4" w:rsidRPr="00C734DD">
        <w:rPr>
          <w:rFonts w:ascii="Arial" w:hAnsi="Arial" w:cs="Arial"/>
        </w:rPr>
        <w:t>, el resto de las variables sensibilizadas presenta un bajo impacto en los resultados del proyecto.</w:t>
      </w:r>
    </w:p>
    <w:p w14:paraId="21D95551" w14:textId="68D4077A" w:rsidR="00647D6D" w:rsidRDefault="00647D6D" w:rsidP="00647D6D">
      <w:pPr>
        <w:pStyle w:val="Caption"/>
      </w:pPr>
      <w:bookmarkStart w:id="146" w:name="_Ref480198729"/>
      <w:r>
        <w:t xml:space="preserve">Tabla </w:t>
      </w:r>
      <w:r w:rsidR="00C734DD">
        <w:t>IV-14:</w:t>
      </w:r>
      <w:r w:rsidR="000B2DBC" w:rsidRPr="00C734DD">
        <w:rPr>
          <w:color w:val="FFFFFF" w:themeColor="background1"/>
        </w:rPr>
        <w:fldChar w:fldCharType="begin"/>
      </w:r>
      <w:r w:rsidR="000B2DBC" w:rsidRPr="00C734DD">
        <w:rPr>
          <w:color w:val="FFFFFF" w:themeColor="background1"/>
        </w:rPr>
        <w:instrText xml:space="preserve"> SEQ Tabla \* ARABIC </w:instrText>
      </w:r>
      <w:r w:rsidR="000B2DBC" w:rsidRPr="00C734DD">
        <w:rPr>
          <w:color w:val="FFFFFF" w:themeColor="background1"/>
        </w:rPr>
        <w:fldChar w:fldCharType="separate"/>
      </w:r>
      <w:r w:rsidR="009F66B5" w:rsidRPr="00C734DD">
        <w:rPr>
          <w:noProof/>
          <w:color w:val="FFFFFF" w:themeColor="background1"/>
        </w:rPr>
        <w:t>31</w:t>
      </w:r>
      <w:r w:rsidR="000B2DBC" w:rsidRPr="00C734DD">
        <w:rPr>
          <w:noProof/>
          <w:color w:val="FFFFFF" w:themeColor="background1"/>
        </w:rPr>
        <w:fldChar w:fldCharType="end"/>
      </w:r>
      <w:bookmarkEnd w:id="146"/>
      <w:r>
        <w:t xml:space="preserve"> </w:t>
      </w:r>
      <w:r w:rsidRPr="00700889">
        <w:t>Resultado SIMOP del análisis de sensibilidad.</w:t>
      </w:r>
    </w:p>
    <w:p w14:paraId="464FB859" w14:textId="261194B5" w:rsidR="00F4561F" w:rsidRDefault="00652AD1" w:rsidP="00D13970">
      <w:r w:rsidRPr="00652AD1">
        <w:rPr>
          <w:noProof/>
          <w:lang w:eastAsia="es-AR"/>
        </w:rPr>
        <w:drawing>
          <wp:inline distT="0" distB="0" distL="0" distR="0" wp14:anchorId="4B174599" wp14:editId="3EA5251B">
            <wp:extent cx="4848225" cy="5149850"/>
            <wp:effectExtent l="0" t="0" r="952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48225" cy="5149850"/>
                    </a:xfrm>
                    <a:prstGeom prst="rect">
                      <a:avLst/>
                    </a:prstGeom>
                    <a:noFill/>
                    <a:ln>
                      <a:noFill/>
                    </a:ln>
                  </pic:spPr>
                </pic:pic>
              </a:graphicData>
            </a:graphic>
          </wp:inline>
        </w:drawing>
      </w:r>
    </w:p>
    <w:p w14:paraId="36A7516A" w14:textId="77777777" w:rsidR="00BB7AD4" w:rsidRDefault="00BB7AD4" w:rsidP="00BB7AD4"/>
    <w:p w14:paraId="02CC50B5" w14:textId="76600731" w:rsidR="00BB7AD4" w:rsidRDefault="00BB7AD4" w:rsidP="002B0107">
      <w:pPr>
        <w:pStyle w:val="Heading2"/>
      </w:pPr>
      <w:bookmarkStart w:id="147" w:name="_Toc485200119"/>
      <w:r>
        <w:t>Momento óptimo de inicio del proyecto.</w:t>
      </w:r>
      <w:bookmarkEnd w:id="147"/>
    </w:p>
    <w:p w14:paraId="7340EB2B" w14:textId="77777777" w:rsidR="00BB7AD4" w:rsidRDefault="00BB7AD4" w:rsidP="00BB7AD4">
      <w:r>
        <w:t>SIMOP permite identificar el momento óptimo de inicio del proyecto a partir de la simulación de retrasos en su ejecución y evaluación del cambio en el valor presente neto del proyecto. Esta simulación se realiza a partir de la instrucción TIMING y definiendo un horizonte temporal de análisis de momento de ejecución, que en este caso comprendió a los 20 primeros años (alternativa de atraso de hasta 19 años).</w:t>
      </w:r>
    </w:p>
    <w:p w14:paraId="1C8AD267" w14:textId="78338E11" w:rsidR="00BB7AD4" w:rsidRDefault="00BB7AD4" w:rsidP="00BB7AD4">
      <w:r>
        <w:t xml:space="preserve">El resultado de este ejercicio se presenta en la </w:t>
      </w:r>
      <w:r>
        <w:fldChar w:fldCharType="begin"/>
      </w:r>
      <w:r>
        <w:instrText xml:space="preserve"> REF _Ref480199099 \h </w:instrText>
      </w:r>
      <w:r>
        <w:fldChar w:fldCharType="separate"/>
      </w:r>
      <w:r w:rsidR="009F66B5">
        <w:t xml:space="preserve">Tabla </w:t>
      </w:r>
      <w:r w:rsidR="00C734DD">
        <w:t>IV-15</w:t>
      </w:r>
      <w:r>
        <w:fldChar w:fldCharType="end"/>
      </w:r>
      <w:r>
        <w:t>.</w:t>
      </w:r>
    </w:p>
    <w:p w14:paraId="0DA3A117" w14:textId="3A882773" w:rsidR="00BB7AD4" w:rsidRDefault="00BB7AD4" w:rsidP="00BB7AD4">
      <w:r>
        <w:t>En este caso, según se observa el momento de inicio óptimo es el primer año, ya que retrasar el inicio de las inversiones implica una reducción del Valor Presente Neto.</w:t>
      </w:r>
    </w:p>
    <w:p w14:paraId="1599FF2F" w14:textId="0F253B76" w:rsidR="00BB7AD4" w:rsidRDefault="00BB7AD4" w:rsidP="00BB7AD4">
      <w:pPr>
        <w:pStyle w:val="Caption"/>
      </w:pPr>
      <w:bookmarkStart w:id="148" w:name="_Ref480199099"/>
      <w:r>
        <w:t xml:space="preserve">Tabla </w:t>
      </w:r>
      <w:r w:rsidR="00C734DD">
        <w:t>IV-15:</w:t>
      </w:r>
      <w:r w:rsidR="000B2DBC" w:rsidRPr="00C734DD">
        <w:rPr>
          <w:color w:val="FFFFFF" w:themeColor="background1"/>
        </w:rPr>
        <w:fldChar w:fldCharType="begin"/>
      </w:r>
      <w:r w:rsidR="000B2DBC" w:rsidRPr="00C734DD">
        <w:rPr>
          <w:color w:val="FFFFFF" w:themeColor="background1"/>
        </w:rPr>
        <w:instrText xml:space="preserve"> SEQ Tabla \* ARABIC </w:instrText>
      </w:r>
      <w:r w:rsidR="000B2DBC" w:rsidRPr="00C734DD">
        <w:rPr>
          <w:color w:val="FFFFFF" w:themeColor="background1"/>
        </w:rPr>
        <w:fldChar w:fldCharType="separate"/>
      </w:r>
      <w:r w:rsidR="009F66B5" w:rsidRPr="00C734DD">
        <w:rPr>
          <w:noProof/>
          <w:color w:val="FFFFFF" w:themeColor="background1"/>
        </w:rPr>
        <w:t>32</w:t>
      </w:r>
      <w:r w:rsidR="000B2DBC" w:rsidRPr="00C734DD">
        <w:rPr>
          <w:noProof/>
          <w:color w:val="FFFFFF" w:themeColor="background1"/>
        </w:rPr>
        <w:fldChar w:fldCharType="end"/>
      </w:r>
      <w:bookmarkEnd w:id="148"/>
      <w:r>
        <w:t xml:space="preserve"> </w:t>
      </w:r>
      <w:r w:rsidRPr="000617A6">
        <w:t>Momento óptimo de inicio del proyecto – Salida SIMOP.</w:t>
      </w:r>
    </w:p>
    <w:p w14:paraId="5D00D36B" w14:textId="7A3F5EA9" w:rsidR="00BB7AD4" w:rsidRDefault="00652AD1" w:rsidP="00BB7AD4">
      <w:r w:rsidRPr="00652AD1">
        <w:rPr>
          <w:noProof/>
          <w:lang w:eastAsia="es-AR"/>
        </w:rPr>
        <w:drawing>
          <wp:inline distT="0" distB="0" distL="0" distR="0" wp14:anchorId="3F74A92E" wp14:editId="429FCA60">
            <wp:extent cx="4865370" cy="3019425"/>
            <wp:effectExtent l="0" t="0" r="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65370" cy="3019425"/>
                    </a:xfrm>
                    <a:prstGeom prst="rect">
                      <a:avLst/>
                    </a:prstGeom>
                    <a:noFill/>
                    <a:ln>
                      <a:noFill/>
                    </a:ln>
                  </pic:spPr>
                </pic:pic>
              </a:graphicData>
            </a:graphic>
          </wp:inline>
        </w:drawing>
      </w:r>
    </w:p>
    <w:p w14:paraId="145E2977" w14:textId="77777777" w:rsidR="00BB7AD4" w:rsidRDefault="00BB7AD4" w:rsidP="00BB7AD4"/>
    <w:p w14:paraId="684E4164" w14:textId="77777777" w:rsidR="00D13970" w:rsidRDefault="00D13970" w:rsidP="002B0107">
      <w:pPr>
        <w:pStyle w:val="Heading2"/>
        <w:numPr>
          <w:ilvl w:val="0"/>
          <w:numId w:val="42"/>
        </w:numPr>
      </w:pPr>
      <w:bookmarkStart w:id="149" w:name="_Toc478928889"/>
      <w:bookmarkStart w:id="150" w:name="_Toc485200120"/>
      <w:r>
        <w:t>Análisis de riesgo</w:t>
      </w:r>
      <w:bookmarkEnd w:id="149"/>
      <w:bookmarkEnd w:id="150"/>
    </w:p>
    <w:p w14:paraId="0D5A8CB4" w14:textId="77777777" w:rsidR="00BB7AD4" w:rsidRPr="00CF1091" w:rsidRDefault="00BB7AD4" w:rsidP="00BB7AD4">
      <w:pPr>
        <w:rPr>
          <w:rFonts w:ascii="Arial" w:hAnsi="Arial" w:cs="Arial"/>
        </w:rPr>
      </w:pPr>
      <w:r w:rsidRPr="00CF1091">
        <w:rPr>
          <w:rFonts w:ascii="Arial" w:hAnsi="Arial" w:cs="Arial"/>
        </w:rPr>
        <w:t>En el caso del análisis de riesgo, el mismo se realizó a partir de una simulación tipo Montecarlo en la que se introdujeron las siguientes especificaciones:</w:t>
      </w:r>
    </w:p>
    <w:p w14:paraId="65D49933" w14:textId="727F8427" w:rsidR="00BB7AD4" w:rsidRPr="00CF1091" w:rsidRDefault="00BB7AD4" w:rsidP="00C4100D">
      <w:pPr>
        <w:pStyle w:val="ListParagraph"/>
        <w:numPr>
          <w:ilvl w:val="0"/>
          <w:numId w:val="38"/>
        </w:numPr>
        <w:rPr>
          <w:rFonts w:ascii="Arial" w:hAnsi="Arial" w:cs="Arial"/>
        </w:rPr>
      </w:pPr>
      <w:r w:rsidRPr="00CF1091">
        <w:rPr>
          <w:rFonts w:ascii="Arial" w:hAnsi="Arial" w:cs="Arial"/>
        </w:rPr>
        <w:t>Variación de costos de inversión, operación y mantenimiento con funciones de distribución triangulares con valor esperado 0 y extremos -20% / +20% introducidas independientemente para cada componente de costo.</w:t>
      </w:r>
    </w:p>
    <w:p w14:paraId="28062221" w14:textId="42097C1B" w:rsidR="00BB7AD4" w:rsidRPr="00CF1091" w:rsidRDefault="00BB7AD4" w:rsidP="00C4100D">
      <w:pPr>
        <w:pStyle w:val="ListParagraph"/>
        <w:numPr>
          <w:ilvl w:val="0"/>
          <w:numId w:val="38"/>
        </w:numPr>
        <w:rPr>
          <w:rFonts w:ascii="Arial" w:hAnsi="Arial" w:cs="Arial"/>
        </w:rPr>
      </w:pPr>
      <w:r w:rsidRPr="00CF1091">
        <w:rPr>
          <w:rFonts w:ascii="Arial" w:hAnsi="Arial" w:cs="Arial"/>
        </w:rPr>
        <w:t>Variación de las elasticidades de demanda y tarifas por el servicio de agua incorporando valores de +/- 20%.</w:t>
      </w:r>
    </w:p>
    <w:p w14:paraId="0E581559" w14:textId="503C9F5D" w:rsidR="00BB7AD4" w:rsidRPr="00CF1091" w:rsidRDefault="00BB7AD4" w:rsidP="00C4100D">
      <w:pPr>
        <w:pStyle w:val="ListParagraph"/>
        <w:numPr>
          <w:ilvl w:val="0"/>
          <w:numId w:val="38"/>
        </w:numPr>
        <w:rPr>
          <w:rFonts w:ascii="Arial" w:hAnsi="Arial" w:cs="Arial"/>
        </w:rPr>
      </w:pPr>
      <w:r w:rsidRPr="00CF1091">
        <w:rPr>
          <w:rFonts w:ascii="Arial" w:hAnsi="Arial" w:cs="Arial"/>
        </w:rPr>
        <w:t>Variación en el monto de ahorros del +/- 20%.</w:t>
      </w:r>
    </w:p>
    <w:p w14:paraId="04E57D04" w14:textId="2D6ECC69" w:rsidR="00BB7AD4" w:rsidRPr="00CF1091" w:rsidRDefault="00BB7AD4" w:rsidP="00BB7AD4">
      <w:pPr>
        <w:rPr>
          <w:rFonts w:ascii="Arial" w:hAnsi="Arial" w:cs="Arial"/>
        </w:rPr>
      </w:pPr>
      <w:r w:rsidRPr="00CF1091">
        <w:rPr>
          <w:rFonts w:ascii="Arial" w:hAnsi="Arial" w:cs="Arial"/>
        </w:rPr>
        <w:t xml:space="preserve">Se realizaron 5.000 simulaciones obteniéndose los </w:t>
      </w:r>
      <w:r w:rsidR="004543A4" w:rsidRPr="00CF1091">
        <w:rPr>
          <w:rFonts w:ascii="Arial" w:hAnsi="Arial" w:cs="Arial"/>
        </w:rPr>
        <w:t xml:space="preserve">resultados de la </w:t>
      </w:r>
      <w:r w:rsidR="004543A4" w:rsidRPr="00CF1091">
        <w:rPr>
          <w:rFonts w:ascii="Arial" w:hAnsi="Arial" w:cs="Arial"/>
        </w:rPr>
        <w:fldChar w:fldCharType="begin"/>
      </w:r>
      <w:r w:rsidR="004543A4" w:rsidRPr="00CF1091">
        <w:rPr>
          <w:rFonts w:ascii="Arial" w:hAnsi="Arial" w:cs="Arial"/>
        </w:rPr>
        <w:instrText xml:space="preserve"> REF _Ref480200691 \h </w:instrText>
      </w:r>
      <w:r w:rsidR="00CF1091">
        <w:rPr>
          <w:rFonts w:ascii="Arial" w:hAnsi="Arial" w:cs="Arial"/>
        </w:rPr>
        <w:instrText xml:space="preserve"> \* MERGEFORMAT </w:instrText>
      </w:r>
      <w:r w:rsidR="004543A4" w:rsidRPr="00CF1091">
        <w:rPr>
          <w:rFonts w:ascii="Arial" w:hAnsi="Arial" w:cs="Arial"/>
        </w:rPr>
      </w:r>
      <w:r w:rsidR="004543A4" w:rsidRPr="00CF1091">
        <w:rPr>
          <w:rFonts w:ascii="Arial" w:hAnsi="Arial" w:cs="Arial"/>
        </w:rPr>
        <w:fldChar w:fldCharType="separate"/>
      </w:r>
      <w:r w:rsidR="00CF1091">
        <w:rPr>
          <w:rFonts w:ascii="Arial" w:hAnsi="Arial" w:cs="Arial"/>
        </w:rPr>
        <w:t>Figura IV-1</w:t>
      </w:r>
      <w:r w:rsidR="004543A4" w:rsidRPr="00CF1091">
        <w:rPr>
          <w:rFonts w:ascii="Arial" w:hAnsi="Arial" w:cs="Arial"/>
        </w:rPr>
        <w:fldChar w:fldCharType="end"/>
      </w:r>
      <w:r w:rsidR="004543A4" w:rsidRPr="00CF1091">
        <w:rPr>
          <w:rFonts w:ascii="Arial" w:hAnsi="Arial" w:cs="Arial"/>
        </w:rPr>
        <w:t xml:space="preserve">, </w:t>
      </w:r>
      <w:r w:rsidR="004543A4" w:rsidRPr="00CF1091">
        <w:rPr>
          <w:rFonts w:ascii="Arial" w:hAnsi="Arial" w:cs="Arial"/>
        </w:rPr>
        <w:fldChar w:fldCharType="begin"/>
      </w:r>
      <w:r w:rsidR="004543A4" w:rsidRPr="00CF1091">
        <w:rPr>
          <w:rFonts w:ascii="Arial" w:hAnsi="Arial" w:cs="Arial"/>
        </w:rPr>
        <w:instrText xml:space="preserve"> REF _Ref480200699 \h </w:instrText>
      </w:r>
      <w:r w:rsidR="00CF1091">
        <w:rPr>
          <w:rFonts w:ascii="Arial" w:hAnsi="Arial" w:cs="Arial"/>
        </w:rPr>
        <w:instrText xml:space="preserve"> \* MERGEFORMAT </w:instrText>
      </w:r>
      <w:r w:rsidR="004543A4" w:rsidRPr="00CF1091">
        <w:rPr>
          <w:rFonts w:ascii="Arial" w:hAnsi="Arial" w:cs="Arial"/>
        </w:rPr>
      </w:r>
      <w:r w:rsidR="004543A4" w:rsidRPr="00CF1091">
        <w:rPr>
          <w:rFonts w:ascii="Arial" w:hAnsi="Arial" w:cs="Arial"/>
        </w:rPr>
        <w:fldChar w:fldCharType="separate"/>
      </w:r>
      <w:r w:rsidR="00126143">
        <w:rPr>
          <w:rFonts w:ascii="Arial" w:hAnsi="Arial" w:cs="Arial"/>
        </w:rPr>
        <w:t>Figura IV-2</w:t>
      </w:r>
      <w:r w:rsidR="004543A4" w:rsidRPr="00CF1091">
        <w:rPr>
          <w:rFonts w:ascii="Arial" w:hAnsi="Arial" w:cs="Arial"/>
        </w:rPr>
        <w:fldChar w:fldCharType="end"/>
      </w:r>
      <w:r w:rsidR="00126143">
        <w:rPr>
          <w:rFonts w:ascii="Arial" w:hAnsi="Arial" w:cs="Arial"/>
        </w:rPr>
        <w:t xml:space="preserve"> y</w:t>
      </w:r>
      <w:r w:rsidR="004543A4" w:rsidRPr="00CF1091">
        <w:rPr>
          <w:rFonts w:ascii="Arial" w:hAnsi="Arial" w:cs="Arial"/>
        </w:rPr>
        <w:t xml:space="preserve"> </w:t>
      </w:r>
      <w:r w:rsidR="004543A4" w:rsidRPr="00CF1091">
        <w:rPr>
          <w:rFonts w:ascii="Arial" w:hAnsi="Arial" w:cs="Arial"/>
        </w:rPr>
        <w:fldChar w:fldCharType="begin"/>
      </w:r>
      <w:r w:rsidR="004543A4" w:rsidRPr="00CF1091">
        <w:rPr>
          <w:rFonts w:ascii="Arial" w:hAnsi="Arial" w:cs="Arial"/>
        </w:rPr>
        <w:instrText xml:space="preserve"> REF _Ref480200710 \h </w:instrText>
      </w:r>
      <w:r w:rsidR="00CF1091">
        <w:rPr>
          <w:rFonts w:ascii="Arial" w:hAnsi="Arial" w:cs="Arial"/>
        </w:rPr>
        <w:instrText xml:space="preserve"> \* MERGEFORMAT </w:instrText>
      </w:r>
      <w:r w:rsidR="004543A4" w:rsidRPr="00CF1091">
        <w:rPr>
          <w:rFonts w:ascii="Arial" w:hAnsi="Arial" w:cs="Arial"/>
        </w:rPr>
      </w:r>
      <w:r w:rsidR="004543A4" w:rsidRPr="00CF1091">
        <w:rPr>
          <w:rFonts w:ascii="Arial" w:hAnsi="Arial" w:cs="Arial"/>
        </w:rPr>
        <w:fldChar w:fldCharType="separate"/>
      </w:r>
      <w:r w:rsidR="00126143">
        <w:rPr>
          <w:rFonts w:ascii="Arial" w:hAnsi="Arial" w:cs="Arial"/>
        </w:rPr>
        <w:t>Figura IV-3</w:t>
      </w:r>
      <w:r w:rsidR="004543A4" w:rsidRPr="00CF1091">
        <w:rPr>
          <w:rFonts w:ascii="Arial" w:hAnsi="Arial" w:cs="Arial"/>
        </w:rPr>
        <w:fldChar w:fldCharType="end"/>
      </w:r>
      <w:r w:rsidR="004543A4" w:rsidRPr="00CF1091">
        <w:rPr>
          <w:rFonts w:ascii="Arial" w:hAnsi="Arial" w:cs="Arial"/>
        </w:rPr>
        <w:t>.</w:t>
      </w:r>
    </w:p>
    <w:p w14:paraId="2E898527" w14:textId="7DA3BD31" w:rsidR="004543A4" w:rsidRPr="00CF1091" w:rsidRDefault="004543A4" w:rsidP="00BB7AD4">
      <w:pPr>
        <w:rPr>
          <w:rFonts w:ascii="Arial" w:hAnsi="Arial" w:cs="Arial"/>
        </w:rPr>
      </w:pPr>
      <w:r w:rsidRPr="00CF1091">
        <w:rPr>
          <w:rFonts w:ascii="Arial" w:hAnsi="Arial" w:cs="Arial"/>
        </w:rPr>
        <w:t>Según se aprecia, la probabilidad de obtener un Valor Presente Neto negativo / una TIRE inferior a 12% es prácticamente nula.</w:t>
      </w:r>
    </w:p>
    <w:p w14:paraId="73757F5B" w14:textId="530E9B6E" w:rsidR="004543A4" w:rsidRPr="00CF1091" w:rsidRDefault="004543A4" w:rsidP="00BB7AD4">
      <w:pPr>
        <w:rPr>
          <w:rFonts w:ascii="Arial" w:hAnsi="Arial" w:cs="Arial"/>
        </w:rPr>
      </w:pPr>
      <w:r w:rsidRPr="00CF1091">
        <w:rPr>
          <w:rFonts w:ascii="Arial" w:hAnsi="Arial" w:cs="Arial"/>
        </w:rPr>
        <w:t>Asimismo, dentro de las variables sometidas a la simulación, el monto de las inversiones es la que presenta mayor influencia en el resultado final de la evaluación del proyecto.</w:t>
      </w:r>
    </w:p>
    <w:p w14:paraId="6735FA22" w14:textId="6555EEFD" w:rsidR="00DA6ED3" w:rsidRDefault="00CF1091" w:rsidP="004F131E">
      <w:pPr>
        <w:pStyle w:val="Caption"/>
      </w:pPr>
      <w:bookmarkStart w:id="151" w:name="_Ref480200691"/>
      <w:r>
        <w:t>Figura IV-1:</w:t>
      </w:r>
      <w:r w:rsidR="000B2DBC" w:rsidRPr="00CF1091">
        <w:rPr>
          <w:color w:val="FFFFFF" w:themeColor="background1"/>
        </w:rPr>
        <w:fldChar w:fldCharType="begin"/>
      </w:r>
      <w:r w:rsidR="000B2DBC" w:rsidRPr="00CF1091">
        <w:rPr>
          <w:color w:val="FFFFFF" w:themeColor="background1"/>
        </w:rPr>
        <w:instrText xml:space="preserve"> SEQ Ilustración \* ARABIC </w:instrText>
      </w:r>
      <w:r w:rsidR="000B2DBC" w:rsidRPr="00CF1091">
        <w:rPr>
          <w:color w:val="FFFFFF" w:themeColor="background1"/>
        </w:rPr>
        <w:fldChar w:fldCharType="separate"/>
      </w:r>
      <w:r w:rsidR="009F66B5" w:rsidRPr="00CF1091">
        <w:rPr>
          <w:noProof/>
          <w:color w:val="FFFFFF" w:themeColor="background1"/>
        </w:rPr>
        <w:t>11</w:t>
      </w:r>
      <w:r w:rsidR="000B2DBC" w:rsidRPr="00CF1091">
        <w:rPr>
          <w:noProof/>
          <w:color w:val="FFFFFF" w:themeColor="background1"/>
        </w:rPr>
        <w:fldChar w:fldCharType="end"/>
      </w:r>
      <w:bookmarkEnd w:id="151"/>
      <w:r w:rsidR="00DA6ED3" w:rsidRPr="00CF1091">
        <w:rPr>
          <w:color w:val="FFFFFF" w:themeColor="background1"/>
        </w:rPr>
        <w:t xml:space="preserve"> </w:t>
      </w:r>
      <w:r w:rsidR="00DA6ED3">
        <w:t>Distribución de probabilidad VPN.</w:t>
      </w:r>
    </w:p>
    <w:p w14:paraId="5D22027E" w14:textId="7098CD8C" w:rsidR="00722276" w:rsidRDefault="00652AD1" w:rsidP="00D13970">
      <w:r w:rsidRPr="00652AD1">
        <w:rPr>
          <w:noProof/>
          <w:lang w:eastAsia="es-AR"/>
        </w:rPr>
        <w:drawing>
          <wp:inline distT="0" distB="0" distL="0" distR="0" wp14:anchorId="30185A86" wp14:editId="20978A13">
            <wp:extent cx="5400675" cy="3105476"/>
            <wp:effectExtent l="19050" t="19050" r="9525" b="190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00675" cy="3105476"/>
                    </a:xfrm>
                    <a:prstGeom prst="rect">
                      <a:avLst/>
                    </a:prstGeom>
                    <a:noFill/>
                    <a:ln>
                      <a:solidFill>
                        <a:schemeClr val="tx1"/>
                      </a:solidFill>
                    </a:ln>
                  </pic:spPr>
                </pic:pic>
              </a:graphicData>
            </a:graphic>
          </wp:inline>
        </w:drawing>
      </w:r>
    </w:p>
    <w:p w14:paraId="5DB33FE9" w14:textId="77777777" w:rsidR="00F70EFC" w:rsidRDefault="00F70EFC" w:rsidP="00D13970"/>
    <w:p w14:paraId="351723C3" w14:textId="3C273300" w:rsidR="00DA6ED3" w:rsidRDefault="00CF1091" w:rsidP="004F131E">
      <w:pPr>
        <w:pStyle w:val="Caption"/>
      </w:pPr>
      <w:bookmarkStart w:id="152" w:name="_Ref480200699"/>
      <w:r>
        <w:t>Figura IV-2:</w:t>
      </w:r>
      <w:r w:rsidR="000B2DBC" w:rsidRPr="00CF1091">
        <w:rPr>
          <w:color w:val="FFFFFF" w:themeColor="background1"/>
        </w:rPr>
        <w:fldChar w:fldCharType="begin"/>
      </w:r>
      <w:r w:rsidR="000B2DBC" w:rsidRPr="00CF1091">
        <w:rPr>
          <w:color w:val="FFFFFF" w:themeColor="background1"/>
        </w:rPr>
        <w:instrText xml:space="preserve"> SEQ Ilustración \* ARABIC </w:instrText>
      </w:r>
      <w:r w:rsidR="000B2DBC" w:rsidRPr="00CF1091">
        <w:rPr>
          <w:color w:val="FFFFFF" w:themeColor="background1"/>
        </w:rPr>
        <w:fldChar w:fldCharType="separate"/>
      </w:r>
      <w:r w:rsidR="009F66B5" w:rsidRPr="00CF1091">
        <w:rPr>
          <w:noProof/>
          <w:color w:val="FFFFFF" w:themeColor="background1"/>
        </w:rPr>
        <w:t>12</w:t>
      </w:r>
      <w:r w:rsidR="000B2DBC" w:rsidRPr="00CF1091">
        <w:rPr>
          <w:noProof/>
          <w:color w:val="FFFFFF" w:themeColor="background1"/>
        </w:rPr>
        <w:fldChar w:fldCharType="end"/>
      </w:r>
      <w:bookmarkEnd w:id="152"/>
      <w:r w:rsidR="00DA6ED3" w:rsidRPr="00CF1091">
        <w:rPr>
          <w:color w:val="FFFFFF" w:themeColor="background1"/>
        </w:rPr>
        <w:t xml:space="preserve"> </w:t>
      </w:r>
      <w:r w:rsidR="00DA6ED3" w:rsidRPr="001E2CB6">
        <w:t>Distribución de probabilidad de TIRE.</w:t>
      </w:r>
    </w:p>
    <w:p w14:paraId="76F90884" w14:textId="0B809691" w:rsidR="00DA6ED3" w:rsidRDefault="00652AD1" w:rsidP="00D13970">
      <w:r w:rsidRPr="00652AD1">
        <w:rPr>
          <w:noProof/>
          <w:lang w:eastAsia="es-AR"/>
        </w:rPr>
        <w:drawing>
          <wp:inline distT="0" distB="0" distL="0" distR="0" wp14:anchorId="120C8907" wp14:editId="725A7452">
            <wp:extent cx="5400675" cy="3105476"/>
            <wp:effectExtent l="19050" t="19050" r="9525" b="1905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00675" cy="3105476"/>
                    </a:xfrm>
                    <a:prstGeom prst="rect">
                      <a:avLst/>
                    </a:prstGeom>
                    <a:noFill/>
                    <a:ln>
                      <a:solidFill>
                        <a:schemeClr val="tx1"/>
                      </a:solidFill>
                    </a:ln>
                  </pic:spPr>
                </pic:pic>
              </a:graphicData>
            </a:graphic>
          </wp:inline>
        </w:drawing>
      </w:r>
    </w:p>
    <w:p w14:paraId="6E6A1CC7" w14:textId="77777777" w:rsidR="00DA6ED3" w:rsidRDefault="00DA6ED3" w:rsidP="00D13970"/>
    <w:p w14:paraId="6DBD3906" w14:textId="633C36E5" w:rsidR="00DA6ED3" w:rsidRDefault="00CF1091" w:rsidP="004F131E">
      <w:pPr>
        <w:pStyle w:val="Caption"/>
      </w:pPr>
      <w:bookmarkStart w:id="153" w:name="_Ref480200710"/>
      <w:r>
        <w:t>Figura IV-3</w:t>
      </w:r>
      <w:r w:rsidRPr="00CF1091">
        <w:rPr>
          <w:color w:val="FFFFFF" w:themeColor="background1"/>
        </w:rPr>
        <w:t>:</w:t>
      </w:r>
      <w:r w:rsidR="000B2DBC" w:rsidRPr="00CF1091">
        <w:rPr>
          <w:color w:val="FFFFFF" w:themeColor="background1"/>
        </w:rPr>
        <w:fldChar w:fldCharType="begin"/>
      </w:r>
      <w:r w:rsidR="000B2DBC" w:rsidRPr="00CF1091">
        <w:rPr>
          <w:color w:val="FFFFFF" w:themeColor="background1"/>
        </w:rPr>
        <w:instrText xml:space="preserve"> SEQ Ilustración \* ARABIC </w:instrText>
      </w:r>
      <w:r w:rsidR="000B2DBC" w:rsidRPr="00CF1091">
        <w:rPr>
          <w:color w:val="FFFFFF" w:themeColor="background1"/>
        </w:rPr>
        <w:fldChar w:fldCharType="separate"/>
      </w:r>
      <w:r w:rsidR="009F66B5" w:rsidRPr="00CF1091">
        <w:rPr>
          <w:noProof/>
          <w:color w:val="FFFFFF" w:themeColor="background1"/>
        </w:rPr>
        <w:t>13</w:t>
      </w:r>
      <w:r w:rsidR="000B2DBC" w:rsidRPr="00CF1091">
        <w:rPr>
          <w:noProof/>
          <w:color w:val="FFFFFF" w:themeColor="background1"/>
        </w:rPr>
        <w:fldChar w:fldCharType="end"/>
      </w:r>
      <w:bookmarkEnd w:id="153"/>
      <w:r w:rsidR="00DA6ED3">
        <w:t xml:space="preserve"> </w:t>
      </w:r>
      <w:r w:rsidR="00DA6ED3" w:rsidRPr="004D3060">
        <w:t>Efectos de los componentes sobre la TIRE</w:t>
      </w:r>
    </w:p>
    <w:p w14:paraId="28884B5A" w14:textId="0A98D5DA" w:rsidR="00DA6ED3" w:rsidRDefault="00652AD1" w:rsidP="00D13970">
      <w:r w:rsidRPr="00652AD1">
        <w:rPr>
          <w:noProof/>
          <w:lang w:eastAsia="es-AR"/>
        </w:rPr>
        <w:drawing>
          <wp:inline distT="0" distB="0" distL="0" distR="0" wp14:anchorId="1069E812" wp14:editId="479F8920">
            <wp:extent cx="5400675" cy="3105476"/>
            <wp:effectExtent l="19050" t="19050" r="9525" b="190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00675" cy="3105476"/>
                    </a:xfrm>
                    <a:prstGeom prst="rect">
                      <a:avLst/>
                    </a:prstGeom>
                    <a:noFill/>
                    <a:ln>
                      <a:solidFill>
                        <a:schemeClr val="tx1"/>
                      </a:solidFill>
                    </a:ln>
                  </pic:spPr>
                </pic:pic>
              </a:graphicData>
            </a:graphic>
          </wp:inline>
        </w:drawing>
      </w:r>
    </w:p>
    <w:p w14:paraId="7250F4AB" w14:textId="77777777" w:rsidR="0038314F" w:rsidRDefault="005974EF" w:rsidP="0038314F">
      <w:pPr>
        <w:rPr>
          <w:rFonts w:ascii="Arial" w:hAnsi="Arial" w:cs="Arial"/>
        </w:rPr>
      </w:pPr>
      <w:r w:rsidRPr="00CF1091">
        <w:rPr>
          <w:rFonts w:ascii="Arial" w:hAnsi="Arial" w:cs="Arial"/>
        </w:rPr>
        <w:t>El análisis de riesgo desarrollado permite confirmar</w:t>
      </w:r>
      <w:r w:rsidR="004543A4" w:rsidRPr="00CF1091">
        <w:rPr>
          <w:rFonts w:ascii="Arial" w:hAnsi="Arial" w:cs="Arial"/>
        </w:rPr>
        <w:t xml:space="preserve"> claramente</w:t>
      </w:r>
      <w:r w:rsidRPr="00CF1091">
        <w:rPr>
          <w:rFonts w:ascii="Arial" w:hAnsi="Arial" w:cs="Arial"/>
        </w:rPr>
        <w:t xml:space="preserve"> la robustez de los resultados obtenidos en la evaluación socioeconómica del proyecto de inversión “</w:t>
      </w:r>
      <w:r w:rsidR="004543A4" w:rsidRPr="00CF1091">
        <w:rPr>
          <w:rFonts w:ascii="Arial" w:hAnsi="Arial" w:cs="Arial"/>
        </w:rPr>
        <w:t>Mejora de eficiencia en el sistema de agua potable</w:t>
      </w:r>
      <w:r w:rsidRPr="00CF1091">
        <w:rPr>
          <w:rFonts w:ascii="Arial" w:hAnsi="Arial" w:cs="Arial"/>
        </w:rPr>
        <w:t xml:space="preserve">”. </w:t>
      </w:r>
    </w:p>
    <w:p w14:paraId="0897C8B1" w14:textId="322AA403" w:rsidR="0038314F" w:rsidRPr="0038314F" w:rsidRDefault="0038314F" w:rsidP="0038314F">
      <w:pPr>
        <w:rPr>
          <w:rFonts w:ascii="Arial" w:hAnsi="Arial" w:cs="Arial"/>
        </w:rPr>
      </w:pPr>
      <w:r w:rsidRPr="0038314F">
        <w:rPr>
          <w:rFonts w:ascii="Arial" w:hAnsi="Arial" w:cs="Arial"/>
        </w:rPr>
        <w:t>Las mayores variaciones en los resultados se asocian a las variaciones en los costos de inversión</w:t>
      </w:r>
      <w:r>
        <w:rPr>
          <w:rFonts w:ascii="Arial" w:hAnsi="Arial" w:cs="Arial"/>
        </w:rPr>
        <w:t>, variación de los ahorros operativos (grupo 3)</w:t>
      </w:r>
      <w:r w:rsidRPr="0038314F">
        <w:rPr>
          <w:rFonts w:ascii="Arial" w:hAnsi="Arial" w:cs="Arial"/>
        </w:rPr>
        <w:t xml:space="preserve"> y a las variaciones de la elasticidad del Grupo Consumidor 1 (usuarios residenciales).</w:t>
      </w:r>
    </w:p>
    <w:p w14:paraId="763C08DA" w14:textId="086839A3" w:rsidR="005974EF" w:rsidRPr="00CF1091" w:rsidRDefault="0038314F" w:rsidP="0038314F">
      <w:pPr>
        <w:rPr>
          <w:rFonts w:ascii="Arial" w:hAnsi="Arial" w:cs="Arial"/>
        </w:rPr>
      </w:pPr>
      <w:r w:rsidRPr="0038314F">
        <w:rPr>
          <w:rFonts w:ascii="Arial" w:hAnsi="Arial" w:cs="Arial"/>
        </w:rPr>
        <w:t xml:space="preserve">Se destaca que aún en los casos más desfavorables, con una probabilidad de ocurrencia del 99%, la TIR obtenida se sitúa por encima del </w:t>
      </w:r>
      <w:r>
        <w:rPr>
          <w:rFonts w:ascii="Arial" w:hAnsi="Arial" w:cs="Arial"/>
        </w:rPr>
        <w:t>26,88</w:t>
      </w:r>
      <w:r w:rsidRPr="0038314F">
        <w:rPr>
          <w:rFonts w:ascii="Arial" w:hAnsi="Arial" w:cs="Arial"/>
        </w:rPr>
        <w:t>%.</w:t>
      </w:r>
    </w:p>
    <w:p w14:paraId="01C68B98" w14:textId="77777777" w:rsidR="003B1C14" w:rsidRDefault="003B1C14" w:rsidP="00D13970"/>
    <w:p w14:paraId="1AD117CC" w14:textId="77777777" w:rsidR="003B1C14" w:rsidRDefault="003B1C14" w:rsidP="002B0107">
      <w:pPr>
        <w:pStyle w:val="Heading2"/>
        <w:numPr>
          <w:ilvl w:val="0"/>
          <w:numId w:val="42"/>
        </w:numPr>
      </w:pPr>
      <w:bookmarkStart w:id="154" w:name="_Toc485200121"/>
      <w:r>
        <w:t>Conclusiones y recomendaciones.</w:t>
      </w:r>
      <w:bookmarkEnd w:id="154"/>
    </w:p>
    <w:p w14:paraId="093091FC" w14:textId="415018FF" w:rsidR="00CE0726" w:rsidRPr="00CF1091" w:rsidRDefault="00CE0726" w:rsidP="00CE0726">
      <w:pPr>
        <w:rPr>
          <w:rFonts w:ascii="Arial" w:hAnsi="Arial" w:cs="Arial"/>
        </w:rPr>
      </w:pPr>
      <w:r w:rsidRPr="00CF1091">
        <w:rPr>
          <w:rFonts w:ascii="Arial" w:hAnsi="Arial" w:cs="Arial"/>
        </w:rPr>
        <w:t>El Proyecto de Inversión “</w:t>
      </w:r>
      <w:r w:rsidR="00A018EC" w:rsidRPr="00CF1091">
        <w:rPr>
          <w:rFonts w:ascii="Arial" w:hAnsi="Arial" w:cs="Arial"/>
        </w:rPr>
        <w:t>Mejora de eficiencia en el sistema de agua potable</w:t>
      </w:r>
      <w:r w:rsidRPr="00CF1091">
        <w:rPr>
          <w:rFonts w:ascii="Arial" w:hAnsi="Arial" w:cs="Arial"/>
        </w:rPr>
        <w:t>”</w:t>
      </w:r>
      <w:r w:rsidR="0038315F" w:rsidRPr="00CF1091">
        <w:rPr>
          <w:rFonts w:ascii="Arial" w:hAnsi="Arial" w:cs="Arial"/>
        </w:rPr>
        <w:t>,</w:t>
      </w:r>
      <w:r w:rsidRPr="00CF1091">
        <w:rPr>
          <w:rFonts w:ascii="Arial" w:hAnsi="Arial" w:cs="Arial"/>
        </w:rPr>
        <w:t xml:space="preserve"> que </w:t>
      </w:r>
      <w:r w:rsidR="00A018EC" w:rsidRPr="00CF1091">
        <w:rPr>
          <w:rFonts w:ascii="Arial" w:hAnsi="Arial" w:cs="Arial"/>
        </w:rPr>
        <w:t>permite generar por un lado considerables ahorros de agua bombeada a la red por efecto de reducción de volumen perdid</w:t>
      </w:r>
      <w:r w:rsidR="0038315F" w:rsidRPr="00CF1091">
        <w:rPr>
          <w:rFonts w:ascii="Arial" w:hAnsi="Arial" w:cs="Arial"/>
        </w:rPr>
        <w:t>o en escapes y</w:t>
      </w:r>
      <w:r w:rsidR="00A018EC" w:rsidRPr="00CF1091">
        <w:rPr>
          <w:rFonts w:ascii="Arial" w:hAnsi="Arial" w:cs="Arial"/>
        </w:rPr>
        <w:t xml:space="preserve"> eliminación del derroche por parte de los usuarios y por el otro ahorros de costos operativos vinculados a la reparación de fugas, presenta una elevada rentabilidad social</w:t>
      </w:r>
      <w:r w:rsidRPr="00CF1091">
        <w:rPr>
          <w:rFonts w:ascii="Arial" w:hAnsi="Arial" w:cs="Arial"/>
        </w:rPr>
        <w:t>.</w:t>
      </w:r>
    </w:p>
    <w:p w14:paraId="38DBB931" w14:textId="14F848B2" w:rsidR="0038315F" w:rsidRPr="00CF1091" w:rsidRDefault="0038315F" w:rsidP="00CE0726">
      <w:pPr>
        <w:rPr>
          <w:rFonts w:ascii="Arial" w:hAnsi="Arial" w:cs="Arial"/>
        </w:rPr>
      </w:pPr>
      <w:r w:rsidRPr="00CF1091">
        <w:rPr>
          <w:rFonts w:ascii="Arial" w:hAnsi="Arial" w:cs="Arial"/>
        </w:rPr>
        <w:t>La evaluación económica realizada fue sometida a un exhaustivo análisis de sensibilidad, tanto paramétrico como de riesgo que no generó variaciones significativas sobre los indicadores económicos.</w:t>
      </w:r>
    </w:p>
    <w:p w14:paraId="275D334F" w14:textId="77DC5534" w:rsidR="00CE0726" w:rsidRPr="00CF1091" w:rsidRDefault="00CE0726" w:rsidP="00CE0726">
      <w:pPr>
        <w:rPr>
          <w:rFonts w:ascii="Arial" w:hAnsi="Arial" w:cs="Arial"/>
          <w:b/>
        </w:rPr>
      </w:pPr>
      <w:r w:rsidRPr="00CF1091">
        <w:rPr>
          <w:rFonts w:ascii="Arial" w:hAnsi="Arial" w:cs="Arial"/>
          <w:b/>
        </w:rPr>
        <w:t xml:space="preserve">Los indicadores económicos calculados, VPN de </w:t>
      </w:r>
      <w:r w:rsidR="00A94080" w:rsidRPr="00CF1091">
        <w:rPr>
          <w:rFonts w:ascii="Arial" w:hAnsi="Arial" w:cs="Arial"/>
          <w:b/>
        </w:rPr>
        <w:t>1</w:t>
      </w:r>
      <w:r w:rsidR="00C219C5" w:rsidRPr="00CF1091">
        <w:rPr>
          <w:rFonts w:ascii="Arial" w:hAnsi="Arial" w:cs="Arial"/>
          <w:b/>
        </w:rPr>
        <w:t>2</w:t>
      </w:r>
      <w:r w:rsidR="00C811FD" w:rsidRPr="00CF1091">
        <w:rPr>
          <w:rFonts w:ascii="Arial" w:hAnsi="Arial" w:cs="Arial"/>
          <w:b/>
        </w:rPr>
        <w:t>,</w:t>
      </w:r>
      <w:r w:rsidR="00C219C5" w:rsidRPr="00CF1091">
        <w:rPr>
          <w:rFonts w:ascii="Arial" w:hAnsi="Arial" w:cs="Arial"/>
          <w:b/>
        </w:rPr>
        <w:t>0</w:t>
      </w:r>
      <w:r w:rsidR="00A94080" w:rsidRPr="00CF1091">
        <w:rPr>
          <w:rFonts w:ascii="Arial" w:hAnsi="Arial" w:cs="Arial"/>
          <w:b/>
        </w:rPr>
        <w:t>1</w:t>
      </w:r>
      <w:r w:rsidR="00C811FD" w:rsidRPr="00CF1091">
        <w:rPr>
          <w:rFonts w:ascii="Arial" w:hAnsi="Arial" w:cs="Arial"/>
          <w:b/>
        </w:rPr>
        <w:t xml:space="preserve"> millones de USD y TIRE de </w:t>
      </w:r>
      <w:r w:rsidR="00C219C5" w:rsidRPr="00CF1091">
        <w:rPr>
          <w:rFonts w:ascii="Arial" w:hAnsi="Arial" w:cs="Arial"/>
          <w:b/>
        </w:rPr>
        <w:t>30,6</w:t>
      </w:r>
      <w:r w:rsidRPr="00CF1091">
        <w:rPr>
          <w:rFonts w:ascii="Arial" w:hAnsi="Arial" w:cs="Arial"/>
          <w:b/>
        </w:rPr>
        <w:t>%, y el análisis de sensibilidad realizado permiten afirmar que es conveniente, en el sentido de que mejora el bienestar de la sociedad, la realización del proyecto.</w:t>
      </w:r>
    </w:p>
    <w:p w14:paraId="628AB796" w14:textId="3AE42FFC" w:rsidR="003B1C14" w:rsidRPr="00CF1091" w:rsidRDefault="0038315F" w:rsidP="00CE0726">
      <w:pPr>
        <w:rPr>
          <w:rFonts w:ascii="Arial" w:hAnsi="Arial" w:cs="Arial"/>
        </w:rPr>
      </w:pPr>
      <w:r w:rsidRPr="00CF1091">
        <w:rPr>
          <w:rFonts w:ascii="Arial" w:hAnsi="Arial" w:cs="Arial"/>
        </w:rPr>
        <w:t>Asimismo, el análisis de oportunidad de la inversión provisto por SIMOP señaló que resulta óptima la ejecución inmediata de las inversiones</w:t>
      </w:r>
      <w:r w:rsidR="00CE0726" w:rsidRPr="00CF1091">
        <w:rPr>
          <w:rFonts w:ascii="Arial" w:hAnsi="Arial" w:cs="Arial"/>
        </w:rPr>
        <w:t>.</w:t>
      </w:r>
    </w:p>
    <w:p w14:paraId="5F119782" w14:textId="3722304F" w:rsidR="0038315F" w:rsidRPr="00CF1091" w:rsidRDefault="0038315F" w:rsidP="00CE0726">
      <w:pPr>
        <w:rPr>
          <w:rFonts w:ascii="Arial" w:hAnsi="Arial" w:cs="Arial"/>
        </w:rPr>
      </w:pPr>
      <w:r w:rsidRPr="00CF1091">
        <w:rPr>
          <w:rFonts w:ascii="Arial" w:hAnsi="Arial" w:cs="Arial"/>
        </w:rPr>
        <w:t xml:space="preserve">Finalmente se debe destacar que se han asumido hipótesis de mínima en relación con la demanda insatisfecha a cubrir (sólo 40% del ahorro es aprovechable por los usuarios con demanda insatisfecha, el 60% restante implicaría, ceteris paribus, una reducción en el agua a producir). </w:t>
      </w:r>
      <w:r w:rsidR="00C219C5" w:rsidRPr="00CF1091">
        <w:rPr>
          <w:rFonts w:ascii="Arial" w:hAnsi="Arial" w:cs="Arial"/>
        </w:rPr>
        <w:t>La introducción de mejoras a estas</w:t>
      </w:r>
      <w:r w:rsidR="00541925" w:rsidRPr="00CF1091">
        <w:rPr>
          <w:rFonts w:ascii="Arial" w:hAnsi="Arial" w:cs="Arial"/>
        </w:rPr>
        <w:t xml:space="preserve"> hipótesis más cercanas a la que efectivamente se espera, implicarían un</w:t>
      </w:r>
      <w:r w:rsidR="004734A8" w:rsidRPr="00CF1091">
        <w:rPr>
          <w:rFonts w:ascii="Arial" w:hAnsi="Arial" w:cs="Arial"/>
        </w:rPr>
        <w:t>a</w:t>
      </w:r>
      <w:r w:rsidR="00541925" w:rsidRPr="00CF1091">
        <w:rPr>
          <w:rFonts w:ascii="Arial" w:hAnsi="Arial" w:cs="Arial"/>
        </w:rPr>
        <w:t xml:space="preserve"> rentabilidad social aún superior</w:t>
      </w:r>
      <w:r w:rsidR="004734A8" w:rsidRPr="00CF1091">
        <w:rPr>
          <w:rFonts w:ascii="Arial" w:hAnsi="Arial" w:cs="Arial"/>
        </w:rPr>
        <w:t>.</w:t>
      </w:r>
    </w:p>
    <w:p w14:paraId="09965D16" w14:textId="77777777" w:rsidR="00C67705" w:rsidRDefault="00C67705" w:rsidP="00C67705"/>
    <w:p w14:paraId="58631E8A" w14:textId="77777777" w:rsidR="00A759D5" w:rsidRDefault="00A759D5" w:rsidP="00C67705">
      <w:pPr>
        <w:sectPr w:rsidR="00A759D5" w:rsidSect="00E53BCF">
          <w:pgSz w:w="11907" w:h="16839" w:code="9"/>
          <w:pgMar w:top="1985" w:right="1701" w:bottom="1276" w:left="1701" w:header="709" w:footer="264" w:gutter="0"/>
          <w:cols w:space="708"/>
          <w:titlePg/>
          <w:docGrid w:linePitch="360"/>
        </w:sectPr>
      </w:pPr>
    </w:p>
    <w:p w14:paraId="76234395" w14:textId="6C542F7F" w:rsidR="000316AC" w:rsidRPr="000316AC" w:rsidRDefault="000316AC" w:rsidP="00F5783E">
      <w:pPr>
        <w:pStyle w:val="Heading1"/>
      </w:pPr>
      <w:bookmarkStart w:id="155" w:name="_Toc479892449"/>
      <w:bookmarkStart w:id="156" w:name="_Toc485200122"/>
      <w:r w:rsidRPr="000316AC">
        <w:t>SISTEMA DE SANEAMIENTO EN LOS PARTIDOS DE MORENO Y SAN MIGUEL.</w:t>
      </w:r>
      <w:bookmarkEnd w:id="155"/>
      <w:bookmarkEnd w:id="156"/>
    </w:p>
    <w:p w14:paraId="5BF17571" w14:textId="77777777" w:rsidR="000316AC" w:rsidRDefault="000316AC" w:rsidP="002A5CF6"/>
    <w:p w14:paraId="41E49D65" w14:textId="55313600" w:rsidR="000316AC" w:rsidRPr="000316AC" w:rsidRDefault="000316AC" w:rsidP="002A5CF6">
      <w:pPr>
        <w:rPr>
          <w:rFonts w:ascii="Arial" w:hAnsi="Arial" w:cs="Arial"/>
        </w:rPr>
      </w:pPr>
      <w:r w:rsidRPr="000316AC">
        <w:rPr>
          <w:rFonts w:ascii="Arial" w:hAnsi="Arial" w:cs="Arial"/>
        </w:rPr>
        <w:t>El proyecto de inversión “Sistema de saneamiento en los partidos de Moreno y San Miguel” como parte integrante del Plan Director de Saneamiento de AySA S.A. comprende la ejecución de las obras básicas (ampliación de la planta depuradora Las Catonas, colectores, impulsiones y estaciones de bombeo) y de las redes secundarias que completan las capacidades de transporte y tratamiento asociadas a la ampliación del establecimiento depurador. En este sentido, más allá de que en el financiamiento solicitado solo se incluye una parte de tales obras, en la presente evaluación se ha considerado una unidad de proyecto que asegura la integralidad del sistema (redes + transporte + tratamiento).</w:t>
      </w:r>
    </w:p>
    <w:p w14:paraId="7A7705AD" w14:textId="77777777" w:rsidR="000316AC" w:rsidRPr="000316AC" w:rsidRDefault="000316AC" w:rsidP="002A5CF6">
      <w:pPr>
        <w:rPr>
          <w:rFonts w:ascii="Arial" w:hAnsi="Arial" w:cs="Arial"/>
        </w:rPr>
      </w:pPr>
      <w:r w:rsidRPr="000316AC">
        <w:rPr>
          <w:rFonts w:ascii="Arial" w:hAnsi="Arial" w:cs="Arial"/>
        </w:rPr>
        <w:t>Las obras a ejecutar permitirán reemplazar el actual sistema individual de eliminación de excretas utilizado por los hogares beneficiarios por un sistema de desagües cloacales integral que considera la recolección, transporte, tratamiento y disposición final de las aguas servidas.</w:t>
      </w:r>
    </w:p>
    <w:p w14:paraId="4321C3D2" w14:textId="77777777" w:rsidR="000316AC" w:rsidRPr="000316AC" w:rsidRDefault="000316AC" w:rsidP="002A5CF6">
      <w:pPr>
        <w:rPr>
          <w:rFonts w:ascii="Arial" w:hAnsi="Arial" w:cs="Arial"/>
        </w:rPr>
      </w:pPr>
      <w:r w:rsidRPr="000316AC">
        <w:rPr>
          <w:rFonts w:ascii="Arial" w:hAnsi="Arial" w:cs="Arial"/>
        </w:rPr>
        <w:t>Cabe destacar que debido al fenómeno hidrológico de ascenso de la napa freática registrado desde hace aproximadamente 15 años en el conurbano bonaerense, el sistema de pozos ciegos individuales se ha vuelto extremadamente oneroso (necesidad de alta frecuencia de vaciado y renovación de pozos) e inviable ambientalmente, ya que su existencia contribuye a agravar el aumento del nivel de la napa, además de la infiltración que se produce hacia los cursos de agua y los acuíferos más profundos.</w:t>
      </w:r>
    </w:p>
    <w:p w14:paraId="01622071" w14:textId="77777777" w:rsidR="000316AC" w:rsidRPr="000316AC" w:rsidRDefault="000316AC" w:rsidP="002A5CF6">
      <w:pPr>
        <w:rPr>
          <w:rFonts w:ascii="Arial" w:hAnsi="Arial" w:cs="Arial"/>
        </w:rPr>
      </w:pPr>
      <w:r w:rsidRPr="000316AC">
        <w:rPr>
          <w:rFonts w:ascii="Arial" w:hAnsi="Arial" w:cs="Arial"/>
        </w:rPr>
        <w:t>Socioeconómicamente la población beneficiaria presenta un su gran mayoría condiciones socioeconómicas medias bajas y bajas, por lo que la ejecución de las obras propuestas representa una mejora sustancial en su calidad de vida y en sus condiciones de desarrollo.</w:t>
      </w:r>
    </w:p>
    <w:p w14:paraId="2C8337AA" w14:textId="77777777" w:rsidR="000316AC" w:rsidRPr="000316AC" w:rsidRDefault="000316AC" w:rsidP="002A5CF6">
      <w:pPr>
        <w:rPr>
          <w:rFonts w:ascii="Arial" w:hAnsi="Arial" w:cs="Arial"/>
        </w:rPr>
      </w:pPr>
      <w:r w:rsidRPr="000316AC">
        <w:rPr>
          <w:rFonts w:ascii="Arial" w:hAnsi="Arial" w:cs="Arial"/>
        </w:rPr>
        <w:t xml:space="preserve">La evaluación económica en sí es realizada mediante un análisis costo – beneficio social (a precios de eficiencia o cuenta) en el que los beneficios son obtenidos a partir de la transferencia de beneficios determinados mediante valoración contingente en un área lindante a la del proyecto para el caso del servicio cloacal, junto con la inclusión de la disposición a pagar ambiental determinada para el caso del saneamiento de la cuenca Matanza – Riachuelo en el año 2008. El horizonte de evaluación es de 20 años y la tasa social de descuento adoptada es del 12%. </w:t>
      </w:r>
    </w:p>
    <w:p w14:paraId="40FB3978" w14:textId="77777777" w:rsidR="000316AC" w:rsidRPr="000316AC" w:rsidRDefault="000316AC" w:rsidP="002A5CF6">
      <w:pPr>
        <w:rPr>
          <w:rFonts w:ascii="Arial" w:hAnsi="Arial" w:cs="Arial"/>
          <w:b/>
        </w:rPr>
      </w:pPr>
      <w:r w:rsidRPr="000316AC">
        <w:rPr>
          <w:rFonts w:ascii="Arial" w:hAnsi="Arial" w:cs="Arial"/>
          <w:b/>
        </w:rPr>
        <w:t>Como resultado se obtuvo una rentabilidad social positiva (Valor Presente Neto de 31,9 millones de USD - Tasa Interna de Retorno Económica del 14,4%) que no presenta alteraciones significativas ante un análisis de sensibilidad realizado sobre las variables más importantes.</w:t>
      </w:r>
    </w:p>
    <w:p w14:paraId="00D8853B" w14:textId="77777777" w:rsidR="000316AC" w:rsidRPr="000316AC" w:rsidRDefault="000316AC" w:rsidP="000316AC">
      <w:pPr>
        <w:rPr>
          <w:rFonts w:ascii="Arial" w:hAnsi="Arial" w:cs="Arial"/>
        </w:rPr>
      </w:pPr>
      <w:r w:rsidRPr="000316AC">
        <w:rPr>
          <w:rFonts w:ascii="Arial" w:hAnsi="Arial" w:cs="Arial"/>
        </w:rPr>
        <w:t>Por otro lado, y sumado a los costos de ampliación del establecimiento depurador, las áreas a servir presentan una moderada densidad habitacional y grandes distancias hasta la planta de tratamiento, lo que obliga a construir un sistema de transporte costoso y de enormes magnitudes, elevando sustancialmente los costos del proyecto.</w:t>
      </w:r>
    </w:p>
    <w:p w14:paraId="0D7BCEF3" w14:textId="77777777" w:rsidR="000316AC" w:rsidRPr="000316AC" w:rsidRDefault="000316AC" w:rsidP="002A5CF6">
      <w:pPr>
        <w:rPr>
          <w:rFonts w:ascii="Arial" w:hAnsi="Arial" w:cs="Arial"/>
          <w:bCs/>
        </w:rPr>
      </w:pPr>
      <w:r w:rsidRPr="000316AC">
        <w:rPr>
          <w:rFonts w:ascii="Arial" w:hAnsi="Arial" w:cs="Arial"/>
          <w:bCs/>
        </w:rPr>
        <w:t xml:space="preserve">Teniendo en cuenta estas particularidades, y dado que los beneficios calculados por servicio cloacal no contemplan los servicios de tratamiento de efluentes brindados por las mejoras y ampliación en la planta Las Catonas, cuyos costos sí están incluidos, se ha realizado un análisis alternativo sin la inclusión de tales costos a fin de hacer comparables costos y beneficios. </w:t>
      </w:r>
    </w:p>
    <w:p w14:paraId="61BF01B0" w14:textId="77777777" w:rsidR="000316AC" w:rsidRPr="000316AC" w:rsidRDefault="000316AC" w:rsidP="002A5CF6">
      <w:pPr>
        <w:rPr>
          <w:rFonts w:ascii="Arial" w:hAnsi="Arial" w:cs="Arial"/>
          <w:bCs/>
        </w:rPr>
      </w:pPr>
      <w:r w:rsidRPr="000316AC">
        <w:rPr>
          <w:rFonts w:ascii="Arial" w:hAnsi="Arial" w:cs="Arial"/>
          <w:b/>
          <w:bCs/>
        </w:rPr>
        <w:t>Bajo esta hipótesis de no inclusión de la ampliación de la planta depuradora, los indicadores económicos obtenidos son un VPN de 51,7 millones de USD y una TIRE de 17,0%, presentando como es esperable una mejora sustancial en los resultados de la evaluación.</w:t>
      </w:r>
    </w:p>
    <w:p w14:paraId="77B0B83B" w14:textId="77777777" w:rsidR="000316AC" w:rsidRDefault="000316AC" w:rsidP="003B1C14"/>
    <w:p w14:paraId="05ED12D2" w14:textId="2538DF85" w:rsidR="000316AC" w:rsidRDefault="000316AC">
      <w:pPr>
        <w:jc w:val="left"/>
      </w:pPr>
    </w:p>
    <w:p w14:paraId="4A815867" w14:textId="77777777" w:rsidR="00F5783E" w:rsidRDefault="00F5783E">
      <w:pPr>
        <w:jc w:val="left"/>
        <w:rPr>
          <w:rFonts w:ascii="Arial" w:eastAsiaTheme="majorEastAsia" w:hAnsi="Arial" w:cs="Arial"/>
          <w:b/>
          <w:smallCaps/>
          <w:sz w:val="28"/>
          <w:szCs w:val="28"/>
        </w:rPr>
      </w:pPr>
      <w:bookmarkStart w:id="157" w:name="_Toc479892450"/>
      <w:r>
        <w:br w:type="page"/>
      </w:r>
    </w:p>
    <w:p w14:paraId="72F7C619" w14:textId="2A06308D" w:rsidR="000316AC" w:rsidRDefault="000316AC" w:rsidP="00F5783E">
      <w:pPr>
        <w:pStyle w:val="Heading1"/>
      </w:pPr>
      <w:bookmarkStart w:id="158" w:name="_Toc485200123"/>
      <w:r>
        <w:t>Capítulo I: Contexto del proyecto.</w:t>
      </w:r>
      <w:bookmarkEnd w:id="157"/>
      <w:bookmarkEnd w:id="158"/>
    </w:p>
    <w:p w14:paraId="267795AF" w14:textId="25CB5098" w:rsidR="000316AC" w:rsidRDefault="000316AC" w:rsidP="002B0107">
      <w:pPr>
        <w:pStyle w:val="Heading2"/>
        <w:numPr>
          <w:ilvl w:val="0"/>
          <w:numId w:val="64"/>
        </w:numPr>
      </w:pPr>
      <w:bookmarkStart w:id="159" w:name="_Toc479892451"/>
      <w:bookmarkStart w:id="160" w:name="_Toc485200124"/>
      <w:r>
        <w:t>Antecedentes generales.</w:t>
      </w:r>
      <w:bookmarkEnd w:id="159"/>
      <w:bookmarkEnd w:id="160"/>
    </w:p>
    <w:p w14:paraId="54B623EE" w14:textId="77777777" w:rsidR="000316AC" w:rsidRPr="00C460BD" w:rsidRDefault="000316AC" w:rsidP="00E56F95">
      <w:pPr>
        <w:rPr>
          <w:rFonts w:ascii="Arial" w:hAnsi="Arial" w:cs="Arial"/>
        </w:rPr>
      </w:pPr>
      <w:r w:rsidRPr="00C460BD">
        <w:rPr>
          <w:rFonts w:ascii="Arial" w:hAnsi="Arial" w:cs="Arial"/>
        </w:rPr>
        <w:t>El área de acción de Aguas y Saneamientos Argentinos (AySA S.A.) está constituida por la Ciudad de Buenos Aires y 23 partidos del primer y segundo cordón del conurbano bonaerense</w:t>
      </w:r>
      <w:r w:rsidRPr="00C460BD">
        <w:rPr>
          <w:rStyle w:val="FootnoteReference"/>
          <w:rFonts w:ascii="Arial" w:hAnsi="Arial" w:cs="Arial"/>
        </w:rPr>
        <w:footnoteReference w:id="13"/>
      </w:r>
      <w:r w:rsidRPr="00C460BD">
        <w:rPr>
          <w:rFonts w:ascii="Arial" w:hAnsi="Arial" w:cs="Arial"/>
        </w:rPr>
        <w:t>. La misma comprende de aproximadamente 2.588 kilómetros cuadrados y allí viven 12,6 millones de personas, lo que la convierte en una de las más grandes proveedoras de agua potable y saneamiento de efluentes cloacales en el mundo.</w:t>
      </w:r>
    </w:p>
    <w:p w14:paraId="6A8D34A1" w14:textId="77777777" w:rsidR="000316AC" w:rsidRPr="00C460BD" w:rsidRDefault="000316AC" w:rsidP="00E56F95">
      <w:pPr>
        <w:rPr>
          <w:rFonts w:ascii="Arial" w:hAnsi="Arial" w:cs="Arial"/>
        </w:rPr>
      </w:pPr>
      <w:r w:rsidRPr="00C460BD">
        <w:rPr>
          <w:rFonts w:ascii="Arial" w:hAnsi="Arial" w:cs="Arial"/>
        </w:rPr>
        <w:t>Actualmente, en el área de intervención de la concesionaria, la población abastecida con agua potable es de aproximadamente 9,8 millones de habitantes (78%), mientras 7,7 millones de personas (61%) cuentan con el servicio de desagües cloacales. La incorporación de aquellos habitantes que aún no cuentan con estas prestaciones esenciales, es una prioridad para las autoridades y una de las tareas más importantes que AySA S.A. tiene por delante.</w:t>
      </w:r>
    </w:p>
    <w:p w14:paraId="4628F628" w14:textId="77777777" w:rsidR="000316AC" w:rsidRPr="00C460BD" w:rsidRDefault="000316AC" w:rsidP="00E56F95">
      <w:pPr>
        <w:rPr>
          <w:rFonts w:ascii="Arial" w:hAnsi="Arial" w:cs="Arial"/>
        </w:rPr>
      </w:pPr>
      <w:r w:rsidRPr="00C460BD">
        <w:rPr>
          <w:rFonts w:ascii="Arial" w:hAnsi="Arial" w:cs="Arial"/>
        </w:rPr>
        <w:t>La crítica situación sanitaria en el área de acción de la empresa impulsó el diseño de un Plan Director en el que se detallan las obras necesarias para cumplir los objetivos de cobertura y calidad de servicios en los plazos estipulados por la Autoridad Concedente. Tales objetivos, previstos en el PMOEM (Plan de Mejoras Operación Expansión y Mantenimiento), aprobado por la Autoridad de Aplicación, se sintetizan en los siguientes puntos:</w:t>
      </w:r>
    </w:p>
    <w:p w14:paraId="2C782510" w14:textId="77777777" w:rsidR="000316AC" w:rsidRPr="00C460BD" w:rsidRDefault="000316AC" w:rsidP="00C4100D">
      <w:pPr>
        <w:pStyle w:val="ListParagraph"/>
        <w:numPr>
          <w:ilvl w:val="0"/>
          <w:numId w:val="2"/>
        </w:numPr>
        <w:rPr>
          <w:rFonts w:ascii="Arial" w:hAnsi="Arial" w:cs="Arial"/>
        </w:rPr>
      </w:pPr>
      <w:r w:rsidRPr="00C460BD">
        <w:rPr>
          <w:rFonts w:ascii="Arial" w:hAnsi="Arial" w:cs="Arial"/>
        </w:rPr>
        <w:t>Incorporación de 2.500.000 habitantes al servicio de agua potable dentro del período 2016-2020, lo que representa prácticamente el total de cobertura del área concesionada.</w:t>
      </w:r>
    </w:p>
    <w:p w14:paraId="1832AA10" w14:textId="77777777" w:rsidR="000316AC" w:rsidRPr="00C460BD" w:rsidRDefault="000316AC" w:rsidP="00C4100D">
      <w:pPr>
        <w:pStyle w:val="ListParagraph"/>
        <w:numPr>
          <w:ilvl w:val="0"/>
          <w:numId w:val="2"/>
        </w:numPr>
        <w:rPr>
          <w:rFonts w:ascii="Arial" w:hAnsi="Arial" w:cs="Arial"/>
        </w:rPr>
      </w:pPr>
      <w:r w:rsidRPr="00C460BD">
        <w:rPr>
          <w:rFonts w:ascii="Arial" w:hAnsi="Arial" w:cs="Arial"/>
        </w:rPr>
        <w:t>Incorporación de 2.500.000 habitantes al servicio de desagües cloacales dentro del período 2014-2020, lo que representa el 80 % de la cobertura, y lograr el mayor margen posible en los diez año subsiguientes hasta llegar al 95 % antes del 2025.</w:t>
      </w:r>
    </w:p>
    <w:p w14:paraId="6AB2D3B8" w14:textId="77777777" w:rsidR="000316AC" w:rsidRPr="00C460BD" w:rsidRDefault="000316AC" w:rsidP="00E56F95">
      <w:pPr>
        <w:rPr>
          <w:rFonts w:ascii="Arial" w:hAnsi="Arial" w:cs="Arial"/>
        </w:rPr>
      </w:pPr>
      <w:r w:rsidRPr="00C460BD">
        <w:rPr>
          <w:rFonts w:ascii="Arial" w:hAnsi="Arial" w:cs="Arial"/>
        </w:rPr>
        <w:t>Entre las obras emblemáticas del Plan Director se destacan:</w:t>
      </w:r>
    </w:p>
    <w:p w14:paraId="6971249D"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Construcción de la planta de tratamiento de agua potable Paraná de la Palmas en el Partido de Tigre.</w:t>
      </w:r>
    </w:p>
    <w:p w14:paraId="34969505"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Construcción de la Planta depuradora de Berazategui.</w:t>
      </w:r>
    </w:p>
    <w:p w14:paraId="0FDFAF92"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Construcción de los Colectores Margen Izquierdo</w:t>
      </w:r>
    </w:p>
    <w:p w14:paraId="135F23D9"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 xml:space="preserve">Construcción y/o ampliación de las Plantas Depuradoras Norte, Laferrere, El Jagüel, Fiorito, Sudoeste, Hurlingham y </w:t>
      </w:r>
      <w:r w:rsidRPr="00C460BD">
        <w:rPr>
          <w:rFonts w:ascii="Arial" w:hAnsi="Arial" w:cs="Arial"/>
          <w:b/>
        </w:rPr>
        <w:t>Las Catonas.</w:t>
      </w:r>
      <w:r w:rsidRPr="00C460BD">
        <w:rPr>
          <w:rFonts w:ascii="Arial" w:hAnsi="Arial" w:cs="Arial"/>
        </w:rPr>
        <w:t xml:space="preserve"> </w:t>
      </w:r>
    </w:p>
    <w:p w14:paraId="43EEEAF6"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Construcción de la Planta Depuradora Capital Federal</w:t>
      </w:r>
    </w:p>
    <w:p w14:paraId="3FB8C2DF"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Ampliación de establecimientos potabilizadores y depuradores, y estaciones de bombeo.</w:t>
      </w:r>
    </w:p>
    <w:p w14:paraId="2E18C73E"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Programa de renovación y rehabilitación de redes e instalaciones existentes.</w:t>
      </w:r>
    </w:p>
    <w:p w14:paraId="07A07463" w14:textId="77777777" w:rsidR="000316AC" w:rsidRPr="00C460BD" w:rsidRDefault="000316AC" w:rsidP="00C4100D">
      <w:pPr>
        <w:pStyle w:val="ListParagraph"/>
        <w:numPr>
          <w:ilvl w:val="0"/>
          <w:numId w:val="3"/>
        </w:numPr>
        <w:rPr>
          <w:rFonts w:ascii="Arial" w:hAnsi="Arial" w:cs="Arial"/>
          <w:b/>
        </w:rPr>
      </w:pPr>
      <w:r w:rsidRPr="00C460BD">
        <w:rPr>
          <w:rFonts w:ascii="Arial" w:hAnsi="Arial" w:cs="Arial"/>
          <w:b/>
        </w:rPr>
        <w:t>Construcción de redes primarias y secundarias.</w:t>
      </w:r>
    </w:p>
    <w:p w14:paraId="319DABCB" w14:textId="77777777" w:rsidR="000316AC" w:rsidRPr="00C460BD" w:rsidRDefault="000316AC" w:rsidP="00641D39">
      <w:pPr>
        <w:rPr>
          <w:rFonts w:ascii="Arial" w:hAnsi="Arial" w:cs="Arial"/>
        </w:rPr>
      </w:pPr>
    </w:p>
    <w:p w14:paraId="08D45C92" w14:textId="77777777" w:rsidR="000316AC" w:rsidRPr="00C460BD" w:rsidRDefault="000316AC" w:rsidP="002B0107">
      <w:pPr>
        <w:pStyle w:val="Heading2"/>
        <w:numPr>
          <w:ilvl w:val="1"/>
          <w:numId w:val="65"/>
        </w:numPr>
      </w:pPr>
      <w:bookmarkStart w:id="161" w:name="_Toc479892452"/>
      <w:bookmarkStart w:id="162" w:name="_Toc485200125"/>
      <w:r w:rsidRPr="00C460BD">
        <w:t>Antecedentes institucionales.</w:t>
      </w:r>
      <w:bookmarkEnd w:id="161"/>
      <w:bookmarkEnd w:id="162"/>
    </w:p>
    <w:p w14:paraId="55F00E00" w14:textId="77777777" w:rsidR="000316AC" w:rsidRPr="00C460BD" w:rsidRDefault="000316AC" w:rsidP="00FA6EE3">
      <w:pPr>
        <w:rPr>
          <w:rFonts w:ascii="Arial" w:hAnsi="Arial" w:cs="Arial"/>
        </w:rPr>
      </w:pPr>
      <w:r w:rsidRPr="00C460BD">
        <w:rPr>
          <w:rFonts w:ascii="Arial" w:hAnsi="Arial" w:cs="Arial"/>
        </w:rPr>
        <w:t xml:space="preserve">El 21 de marzo de 2006, el Gobierno Nacional creó AySA S.A. (Agua y Saneamientos Argentinos S.A.) con la intención de prestar y mejorar los servicios esenciales de agua potable y desagües cloacales en la Ciudad de Buenos Aires y 17 partidos del primer cordón del conurbano bonaerense, así como también lograr la paulatina incorporación de aquellos habitantes de esa área que aún no cuentan con estas prestaciones. </w:t>
      </w:r>
    </w:p>
    <w:p w14:paraId="75560258" w14:textId="77777777" w:rsidR="000316AC" w:rsidRPr="00C460BD" w:rsidRDefault="000316AC" w:rsidP="00FA6EE3">
      <w:pPr>
        <w:rPr>
          <w:rFonts w:ascii="Arial" w:hAnsi="Arial" w:cs="Arial"/>
        </w:rPr>
      </w:pPr>
      <w:r w:rsidRPr="00C460BD">
        <w:rPr>
          <w:rFonts w:ascii="Arial" w:hAnsi="Arial" w:cs="Arial"/>
        </w:rPr>
        <w:t>Desde entonces, la empresa, junto al Estado Nacional, están abocados a la tarea de dar un nuevo impulso a los sistemas de tratamiento y distribución tanto de agua potable como de saneamiento, pilares fundamentales para el desarrollo y bienestar de la comunidad.</w:t>
      </w:r>
    </w:p>
    <w:p w14:paraId="7FA4DCD5" w14:textId="77777777" w:rsidR="000316AC" w:rsidRPr="00C460BD" w:rsidRDefault="000316AC" w:rsidP="00FA6EE3">
      <w:pPr>
        <w:rPr>
          <w:rFonts w:ascii="Arial" w:hAnsi="Arial" w:cs="Arial"/>
        </w:rPr>
      </w:pPr>
      <w:r w:rsidRPr="00C460BD">
        <w:rPr>
          <w:rFonts w:ascii="Arial" w:hAnsi="Arial" w:cs="Arial"/>
        </w:rPr>
        <w:t>Durante 2016 un acuerdo entre la Provincia de Buenos Aires, los municipios involucrados y el Estado Nacional dio inicio a un proceso de ampliación de la concesión incorporándose a la fecha al área de acción de AySA S.A. los partidos de Escobar, José C. Paz, Moreno, Malvinas Argentinas, San Miguel y Presidente Perón, sumándose nuevos desafíos en materia de provisión y ampliación de los servicios de agua potable y saneamiento, especialmente considerando la crítica situación social en las nuevas áreas.</w:t>
      </w:r>
    </w:p>
    <w:p w14:paraId="72B8C2C0" w14:textId="77777777" w:rsidR="000316AC" w:rsidRPr="00C460BD" w:rsidRDefault="000316AC" w:rsidP="00FA6EE3">
      <w:pPr>
        <w:rPr>
          <w:rFonts w:ascii="Arial" w:hAnsi="Arial" w:cs="Arial"/>
        </w:rPr>
      </w:pPr>
      <w:r w:rsidRPr="00C460BD">
        <w:rPr>
          <w:rFonts w:ascii="Arial" w:hAnsi="Arial" w:cs="Arial"/>
        </w:rPr>
        <w:t>Actualmente la empresa dispone de 27 Centros de Atención al Usuario distribuidos en diferentes puntos de su área de acción con personal capacitado para recibir y dar respuestas a las consultas comerciales.</w:t>
      </w:r>
    </w:p>
    <w:p w14:paraId="351424D4" w14:textId="77777777" w:rsidR="000316AC" w:rsidRPr="00C460BD" w:rsidRDefault="000316AC" w:rsidP="00FA6EE3">
      <w:pPr>
        <w:rPr>
          <w:rFonts w:ascii="Arial" w:hAnsi="Arial" w:cs="Arial"/>
        </w:rPr>
      </w:pPr>
      <w:r w:rsidRPr="00C460BD">
        <w:rPr>
          <w:rFonts w:ascii="Arial" w:hAnsi="Arial" w:cs="Arial"/>
        </w:rPr>
        <w:t>Por otra parte, posee un equipo de operarios y técnicos especializados para realizar tareas en la vía pública y atender rápidamente cualquier reclamo, con una guardia que trabaja las 24 horas, los 365 días del año.</w:t>
      </w:r>
    </w:p>
    <w:p w14:paraId="60D5B434" w14:textId="77777777" w:rsidR="000316AC" w:rsidRPr="00C460BD" w:rsidRDefault="000316AC" w:rsidP="00FA6EE3">
      <w:pPr>
        <w:rPr>
          <w:rFonts w:ascii="Arial" w:hAnsi="Arial" w:cs="Arial"/>
        </w:rPr>
      </w:pPr>
      <w:r w:rsidRPr="00C460BD">
        <w:rPr>
          <w:rFonts w:ascii="Arial" w:hAnsi="Arial" w:cs="Arial"/>
        </w:rPr>
        <w:t>Para el cumplimiento de sus fines y su objeto social, la empresa realiza actividades complementarias tales como estudios, proyectos, construcción, renovación, ampliación y explotación de las obras de provisión de agua y saneamiento urbano, también se ocupa de la fiscalización de los efluentes industriales, así como la explotación, mantenimiento y utilización de aguas subterráneas y superficiales.</w:t>
      </w:r>
    </w:p>
    <w:p w14:paraId="016F0AE8" w14:textId="77777777" w:rsidR="000316AC" w:rsidRPr="00C460BD" w:rsidRDefault="000316AC" w:rsidP="00FA6EE3">
      <w:pPr>
        <w:rPr>
          <w:rFonts w:ascii="Arial" w:hAnsi="Arial" w:cs="Arial"/>
        </w:rPr>
      </w:pPr>
    </w:p>
    <w:p w14:paraId="1C021BDC" w14:textId="77777777" w:rsidR="000316AC" w:rsidRPr="00C460BD" w:rsidRDefault="000316AC" w:rsidP="002B0107">
      <w:pPr>
        <w:pStyle w:val="Heading2"/>
        <w:numPr>
          <w:ilvl w:val="1"/>
          <w:numId w:val="65"/>
        </w:numPr>
      </w:pPr>
      <w:bookmarkStart w:id="163" w:name="_Toc479892453"/>
      <w:bookmarkStart w:id="164" w:name="_Toc485200126"/>
      <w:r w:rsidRPr="00C460BD">
        <w:t>Antecedentes técnicos.</w:t>
      </w:r>
      <w:bookmarkEnd w:id="163"/>
      <w:bookmarkEnd w:id="164"/>
      <w:r w:rsidRPr="00C460BD">
        <w:tab/>
      </w:r>
    </w:p>
    <w:p w14:paraId="17F37588" w14:textId="77777777" w:rsidR="000316AC" w:rsidRPr="00C460BD" w:rsidRDefault="000316AC" w:rsidP="00A07E94">
      <w:pPr>
        <w:rPr>
          <w:rFonts w:ascii="Arial" w:hAnsi="Arial" w:cs="Arial"/>
        </w:rPr>
      </w:pPr>
      <w:r w:rsidRPr="00C460BD">
        <w:rPr>
          <w:rFonts w:ascii="Arial" w:hAnsi="Arial" w:cs="Arial"/>
        </w:rPr>
        <w:t xml:space="preserve">AySA S.A. realiza el pre-tratamiento o tratamiento de las aguas servidas antes de ser devueltas a los cursos de agua, para esto la empresa cuenta con once plantas depuradoras: Bicentenario, Sudoeste, Norte, Hurlingham, Santa Catalina, El Jagüel, Barrio Uno, Bella Vista, 24 de Febrero, Escobar y Las Catonas. </w:t>
      </w:r>
    </w:p>
    <w:p w14:paraId="71F0A0A2" w14:textId="77777777" w:rsidR="000316AC" w:rsidRPr="00C460BD" w:rsidRDefault="000316AC" w:rsidP="00A07E94">
      <w:pPr>
        <w:rPr>
          <w:rFonts w:ascii="Arial" w:hAnsi="Arial" w:cs="Arial"/>
        </w:rPr>
      </w:pPr>
      <w:r w:rsidRPr="00C460BD">
        <w:rPr>
          <w:rFonts w:ascii="Arial" w:hAnsi="Arial" w:cs="Arial"/>
        </w:rPr>
        <w:t xml:space="preserve">La estructura principal de la red de saneamiento está constituida por redes colectoras, grandes conductos llamados cloacas máximas -cuyo diámetro varía entre 2 y 4 metros-, colectores principales y colectoras, así como también estaciones de bombeo de mayor o menor envergadura y plantas depuradoras. </w:t>
      </w:r>
    </w:p>
    <w:p w14:paraId="374F4E37" w14:textId="77777777" w:rsidR="000316AC" w:rsidRPr="00C460BD" w:rsidRDefault="000316AC" w:rsidP="00A07E94">
      <w:pPr>
        <w:rPr>
          <w:rFonts w:ascii="Arial" w:hAnsi="Arial" w:cs="Arial"/>
        </w:rPr>
      </w:pPr>
      <w:r w:rsidRPr="00C460BD">
        <w:rPr>
          <w:rFonts w:ascii="Arial" w:hAnsi="Arial" w:cs="Arial"/>
        </w:rPr>
        <w:t>Las primeras cañerías de desagües cloacales de Buenos Aires datan de 1874. En la actualidad, en el área de acción de AySA (Ciudad de Buenos Aires y 23 partidos del conurbano bonaerense), el sistema supera los 13.300 Km. de longitud.</w:t>
      </w:r>
    </w:p>
    <w:p w14:paraId="787870AA" w14:textId="77777777" w:rsidR="000316AC" w:rsidRPr="00C460BD" w:rsidRDefault="000316AC" w:rsidP="00A07E94">
      <w:pPr>
        <w:rPr>
          <w:rFonts w:ascii="Arial" w:hAnsi="Arial" w:cs="Arial"/>
        </w:rPr>
      </w:pPr>
      <w:r w:rsidRPr="00C460BD">
        <w:rPr>
          <w:rFonts w:ascii="Arial" w:hAnsi="Arial" w:cs="Arial"/>
        </w:rPr>
        <w:t>El sistema de saneamiento está actualmente dividido en cuencas básicas o iniciales de desagüe de efluentes residuales: Sudoeste, Norte, Hurlingham, El Jagüel y Berazategui, a las que se suman las correspondientes a los nuevos partidos recientemente incorporados a la concesión.</w:t>
      </w:r>
    </w:p>
    <w:p w14:paraId="3F871E0C" w14:textId="32EF5659" w:rsidR="000316AC" w:rsidRPr="00C460BD" w:rsidRDefault="000316AC" w:rsidP="00A07E94">
      <w:pPr>
        <w:rPr>
          <w:rFonts w:ascii="Arial" w:hAnsi="Arial" w:cs="Arial"/>
        </w:rPr>
      </w:pPr>
      <w:r w:rsidRPr="00C460BD">
        <w:rPr>
          <w:rFonts w:ascii="Arial" w:hAnsi="Arial" w:cs="Arial"/>
        </w:rPr>
        <w:t xml:space="preserve">La </w:t>
      </w:r>
      <w:r w:rsidRPr="00C460BD">
        <w:rPr>
          <w:rFonts w:ascii="Arial" w:hAnsi="Arial" w:cs="Arial"/>
        </w:rPr>
        <w:fldChar w:fldCharType="begin"/>
      </w:r>
      <w:r w:rsidRPr="00C460BD">
        <w:rPr>
          <w:rFonts w:ascii="Arial" w:hAnsi="Arial" w:cs="Arial"/>
        </w:rPr>
        <w:instrText xml:space="preserve"> REF _Ref478406233 \h </w:instrText>
      </w:r>
      <w:r w:rsidR="00C460BD">
        <w:rPr>
          <w:rFonts w:ascii="Arial" w:hAnsi="Arial" w:cs="Arial"/>
        </w:rPr>
        <w:instrText xml:space="preserve"> \* MERGEFORMAT </w:instrText>
      </w:r>
      <w:r w:rsidRPr="00C460BD">
        <w:rPr>
          <w:rFonts w:ascii="Arial" w:hAnsi="Arial" w:cs="Arial"/>
        </w:rPr>
      </w:r>
      <w:r w:rsidRPr="00C460BD">
        <w:rPr>
          <w:rFonts w:ascii="Arial" w:hAnsi="Arial" w:cs="Arial"/>
        </w:rPr>
        <w:fldChar w:fldCharType="separate"/>
      </w:r>
      <w:r w:rsidRPr="00C460BD">
        <w:rPr>
          <w:rFonts w:ascii="Arial" w:hAnsi="Arial" w:cs="Arial"/>
        </w:rPr>
        <w:t xml:space="preserve">Ilustración </w:t>
      </w:r>
      <w:r w:rsidRPr="00C460BD">
        <w:rPr>
          <w:rFonts w:ascii="Arial" w:hAnsi="Arial" w:cs="Arial"/>
          <w:noProof/>
        </w:rPr>
        <w:t>1</w:t>
      </w:r>
      <w:r w:rsidRPr="00C460BD">
        <w:rPr>
          <w:rFonts w:ascii="Arial" w:hAnsi="Arial" w:cs="Arial"/>
        </w:rPr>
        <w:fldChar w:fldCharType="end"/>
      </w:r>
      <w:r w:rsidRPr="00C460BD">
        <w:rPr>
          <w:rFonts w:ascii="Arial" w:hAnsi="Arial" w:cs="Arial"/>
        </w:rPr>
        <w:t xml:space="preserve"> presenta esquemáticamente el sistema de desagües actualmente en operación.</w:t>
      </w:r>
    </w:p>
    <w:p w14:paraId="3D98889A" w14:textId="77777777" w:rsidR="000316AC" w:rsidRPr="00C460BD" w:rsidRDefault="000316AC" w:rsidP="00A07E94">
      <w:pPr>
        <w:pStyle w:val="Caption"/>
        <w:rPr>
          <w:rFonts w:ascii="Arial" w:hAnsi="Arial" w:cs="Arial"/>
        </w:rPr>
      </w:pPr>
      <w:bookmarkStart w:id="165" w:name="_Ref478406233"/>
      <w:r w:rsidRPr="00C460BD">
        <w:rPr>
          <w:rFonts w:ascii="Arial" w:hAnsi="Arial" w:cs="Arial"/>
        </w:rPr>
        <w:t xml:space="preserve">Ilustración </w:t>
      </w:r>
      <w:r w:rsidRPr="00C460BD">
        <w:rPr>
          <w:rFonts w:ascii="Arial" w:hAnsi="Arial" w:cs="Arial"/>
        </w:rPr>
        <w:fldChar w:fldCharType="begin"/>
      </w:r>
      <w:r w:rsidRPr="00C460BD">
        <w:rPr>
          <w:rFonts w:ascii="Arial" w:hAnsi="Arial" w:cs="Arial"/>
        </w:rPr>
        <w:instrText xml:space="preserve"> SEQ Ilustración \* ARABIC </w:instrText>
      </w:r>
      <w:r w:rsidRPr="00C460BD">
        <w:rPr>
          <w:rFonts w:ascii="Arial" w:hAnsi="Arial" w:cs="Arial"/>
        </w:rPr>
        <w:fldChar w:fldCharType="separate"/>
      </w:r>
      <w:r w:rsidRPr="00C460BD">
        <w:rPr>
          <w:rFonts w:ascii="Arial" w:hAnsi="Arial" w:cs="Arial"/>
          <w:noProof/>
        </w:rPr>
        <w:t>1</w:t>
      </w:r>
      <w:r w:rsidRPr="00C460BD">
        <w:rPr>
          <w:rFonts w:ascii="Arial" w:hAnsi="Arial" w:cs="Arial"/>
          <w:noProof/>
        </w:rPr>
        <w:fldChar w:fldCharType="end"/>
      </w:r>
      <w:bookmarkEnd w:id="165"/>
      <w:r w:rsidRPr="00C460BD">
        <w:rPr>
          <w:rFonts w:ascii="Arial" w:hAnsi="Arial" w:cs="Arial"/>
        </w:rPr>
        <w:t>: Sistema de desagües cloacales actualmente operado por AySA S.A.</w:t>
      </w:r>
    </w:p>
    <w:p w14:paraId="1FBD5869" w14:textId="77777777" w:rsidR="000316AC" w:rsidRPr="00C460BD" w:rsidRDefault="000316AC" w:rsidP="003B1C14">
      <w:pPr>
        <w:rPr>
          <w:rFonts w:ascii="Arial" w:hAnsi="Arial" w:cs="Arial"/>
        </w:rPr>
      </w:pPr>
      <w:r w:rsidRPr="00C460BD">
        <w:rPr>
          <w:rFonts w:ascii="Arial" w:hAnsi="Arial" w:cs="Arial"/>
          <w:noProof/>
          <w:lang w:eastAsia="es-AR"/>
        </w:rPr>
        <w:drawing>
          <wp:inline distT="0" distB="0" distL="0" distR="0" wp14:anchorId="071BD828" wp14:editId="5240340C">
            <wp:extent cx="5400675" cy="3114040"/>
            <wp:effectExtent l="0" t="0" r="9525" b="0"/>
            <wp:docPr id="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CoberturaSaneamientoFinal.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400675" cy="3114040"/>
                    </a:xfrm>
                    <a:prstGeom prst="rect">
                      <a:avLst/>
                    </a:prstGeom>
                  </pic:spPr>
                </pic:pic>
              </a:graphicData>
            </a:graphic>
          </wp:inline>
        </w:drawing>
      </w:r>
    </w:p>
    <w:p w14:paraId="3DF56D2A" w14:textId="77777777" w:rsidR="000316AC" w:rsidRPr="00C460BD" w:rsidRDefault="000316AC" w:rsidP="00A205B0">
      <w:pPr>
        <w:pStyle w:val="NormalWeb"/>
        <w:shd w:val="clear" w:color="auto" w:fill="FFFFFF"/>
        <w:spacing w:before="240" w:beforeAutospacing="0" w:after="240" w:afterAutospacing="0" w:line="276" w:lineRule="auto"/>
        <w:jc w:val="both"/>
        <w:rPr>
          <w:rFonts w:ascii="Arial" w:eastAsiaTheme="minorHAnsi" w:hAnsi="Arial" w:cs="Arial"/>
          <w:sz w:val="22"/>
          <w:szCs w:val="22"/>
          <w:lang w:val="es-AR" w:eastAsia="en-US"/>
        </w:rPr>
      </w:pPr>
      <w:r w:rsidRPr="00C460BD">
        <w:rPr>
          <w:rFonts w:ascii="Arial" w:eastAsiaTheme="minorHAnsi" w:hAnsi="Arial" w:cs="Arial"/>
          <w:sz w:val="22"/>
          <w:szCs w:val="22"/>
          <w:lang w:val="es-AR" w:eastAsia="en-US"/>
        </w:rPr>
        <w:t>La cuenca Norte drena parte de los efluentes del partido de San Isidro y todos los de los partidos de San Fernando y Tigre hasta la Planta Norte. La misma cuenta con una capacidad instalada equivalente a 550.000 habitantes y el líquido tratado vuelca al río Reconquista.</w:t>
      </w:r>
    </w:p>
    <w:p w14:paraId="0B69C6DE" w14:textId="77777777" w:rsidR="000316AC" w:rsidRPr="00C460BD" w:rsidRDefault="000316AC" w:rsidP="00A205B0">
      <w:pPr>
        <w:pStyle w:val="NormalWeb"/>
        <w:shd w:val="clear" w:color="auto" w:fill="FFFFFF"/>
        <w:spacing w:before="240" w:beforeAutospacing="0" w:after="240" w:afterAutospacing="0" w:line="276" w:lineRule="auto"/>
        <w:jc w:val="both"/>
        <w:rPr>
          <w:rFonts w:ascii="Arial" w:eastAsiaTheme="minorHAnsi" w:hAnsi="Arial" w:cs="Arial"/>
          <w:sz w:val="22"/>
          <w:szCs w:val="22"/>
          <w:lang w:val="es-AR" w:eastAsia="en-US"/>
        </w:rPr>
      </w:pPr>
      <w:r w:rsidRPr="00C460BD">
        <w:rPr>
          <w:rFonts w:ascii="Arial" w:eastAsiaTheme="minorHAnsi" w:hAnsi="Arial" w:cs="Arial"/>
          <w:sz w:val="22"/>
          <w:szCs w:val="22"/>
          <w:lang w:val="es-AR" w:eastAsia="en-US"/>
        </w:rPr>
        <w:t>La cuenca Sudoeste drena una gran parte de los efluentes del partido de la Matanza hacia las plantas Sudoeste I y II. Cuenta actualmente con una capacidad de tratamiento instalada equivalente a 850.000 habitantes. Los efluentes tratados son vertidos a la cuenca del río Matanza.</w:t>
      </w:r>
    </w:p>
    <w:p w14:paraId="73FEE79F" w14:textId="77777777" w:rsidR="000316AC" w:rsidRPr="00C460BD" w:rsidRDefault="000316AC" w:rsidP="00A205B0">
      <w:pPr>
        <w:pStyle w:val="NormalWeb"/>
        <w:shd w:val="clear" w:color="auto" w:fill="FFFFFF"/>
        <w:spacing w:before="240" w:beforeAutospacing="0" w:after="240" w:afterAutospacing="0" w:line="276" w:lineRule="auto"/>
        <w:jc w:val="both"/>
        <w:rPr>
          <w:rFonts w:ascii="Arial" w:eastAsiaTheme="minorHAnsi" w:hAnsi="Arial" w:cs="Arial"/>
          <w:sz w:val="22"/>
          <w:szCs w:val="22"/>
          <w:lang w:val="es-AR" w:eastAsia="en-US"/>
        </w:rPr>
      </w:pPr>
      <w:r w:rsidRPr="00C460BD">
        <w:rPr>
          <w:rFonts w:ascii="Arial" w:eastAsiaTheme="minorHAnsi" w:hAnsi="Arial" w:cs="Arial"/>
          <w:sz w:val="22"/>
          <w:szCs w:val="22"/>
          <w:lang w:val="es-AR" w:eastAsia="en-US"/>
        </w:rPr>
        <w:t>La cuenca Ezeiza incorporada al sistema desde 2003 drena hoy los efluentes recientemente incorporados al sistema en los partidos de Esteban Echeverría y Ezeiza hacia la planta El Jagüel. Cuenta con una planta antigua con capacidad para 30.000 habitantes y una nueva planta inaugurada en Noviembre de 2013 con capacidad instalada equivalente a 150.000 habitantes. Los efluentes tratados son vertidos al río Matanza.</w:t>
      </w:r>
    </w:p>
    <w:p w14:paraId="1508A8B7" w14:textId="77777777" w:rsidR="000316AC" w:rsidRPr="00C460BD" w:rsidRDefault="000316AC" w:rsidP="00A205B0">
      <w:pPr>
        <w:pStyle w:val="NormalWeb"/>
        <w:shd w:val="clear" w:color="auto" w:fill="FFFFFF"/>
        <w:spacing w:before="240" w:beforeAutospacing="0" w:after="240" w:afterAutospacing="0" w:line="276" w:lineRule="auto"/>
        <w:jc w:val="both"/>
        <w:rPr>
          <w:rFonts w:ascii="Arial" w:eastAsiaTheme="minorHAnsi" w:hAnsi="Arial" w:cs="Arial"/>
          <w:sz w:val="22"/>
          <w:szCs w:val="22"/>
          <w:lang w:val="es-AR" w:eastAsia="en-US"/>
        </w:rPr>
      </w:pPr>
      <w:r w:rsidRPr="00C460BD">
        <w:rPr>
          <w:rFonts w:ascii="Arial" w:eastAsiaTheme="minorHAnsi" w:hAnsi="Arial" w:cs="Arial"/>
          <w:sz w:val="22"/>
          <w:szCs w:val="22"/>
          <w:lang w:val="es-AR" w:eastAsia="en-US"/>
        </w:rPr>
        <w:t>La cuenca Hurlingham drena los efluentes de los partidos de Ituzaingó, Hurlingham y parte del partido de Morón hacia la planta Hurlingham, que cuenta con una capacidad de tratamiento de 135.000 habitantes equivalentes.</w:t>
      </w:r>
    </w:p>
    <w:p w14:paraId="083D21F7" w14:textId="77777777" w:rsidR="000316AC" w:rsidRPr="00C460BD" w:rsidRDefault="000316AC" w:rsidP="00A205B0">
      <w:pPr>
        <w:pStyle w:val="NormalWeb"/>
        <w:shd w:val="clear" w:color="auto" w:fill="FFFFFF"/>
        <w:spacing w:before="240" w:beforeAutospacing="0" w:after="240" w:afterAutospacing="0" w:line="276" w:lineRule="auto"/>
        <w:jc w:val="both"/>
        <w:rPr>
          <w:rFonts w:ascii="Arial" w:eastAsiaTheme="minorHAnsi" w:hAnsi="Arial" w:cs="Arial"/>
          <w:sz w:val="22"/>
          <w:szCs w:val="22"/>
          <w:lang w:val="es-AR" w:eastAsia="en-US"/>
        </w:rPr>
      </w:pPr>
      <w:r w:rsidRPr="00C460BD">
        <w:rPr>
          <w:rFonts w:ascii="Arial" w:eastAsiaTheme="minorHAnsi" w:hAnsi="Arial" w:cs="Arial"/>
          <w:sz w:val="22"/>
          <w:szCs w:val="22"/>
          <w:lang w:val="es-AR" w:eastAsia="en-US"/>
        </w:rPr>
        <w:t>La cuenca Santa Catalina drena los efluentes de una parte del partido de Lomas de Zamora hacia la Planta Santa Catalina, con capacidad para 50.000 habitantes equivalentes.</w:t>
      </w:r>
    </w:p>
    <w:p w14:paraId="2C4CBE06" w14:textId="77777777" w:rsidR="000316AC" w:rsidRPr="00C460BD" w:rsidRDefault="000316AC" w:rsidP="00A205B0">
      <w:pPr>
        <w:pStyle w:val="NormalWeb"/>
        <w:shd w:val="clear" w:color="auto" w:fill="FFFFFF"/>
        <w:spacing w:before="240" w:beforeAutospacing="0" w:after="240" w:afterAutospacing="0" w:line="276" w:lineRule="auto"/>
        <w:jc w:val="both"/>
        <w:rPr>
          <w:rFonts w:ascii="Arial" w:eastAsiaTheme="minorHAnsi" w:hAnsi="Arial" w:cs="Arial"/>
          <w:sz w:val="22"/>
          <w:szCs w:val="22"/>
          <w:lang w:val="es-AR" w:eastAsia="en-US"/>
        </w:rPr>
      </w:pPr>
      <w:r w:rsidRPr="00C460BD">
        <w:rPr>
          <w:rFonts w:ascii="Arial" w:eastAsiaTheme="minorHAnsi" w:hAnsi="Arial" w:cs="Arial"/>
          <w:sz w:val="22"/>
          <w:szCs w:val="22"/>
          <w:lang w:val="es-AR" w:eastAsia="en-US"/>
        </w:rPr>
        <w:t>La cuenca Berazategui drena el resto de los efluentes del área de acción e incluye los líquidos provenientes del Establecimiento Wilde, conducidos a través de las Cloacas Máximas 2°, 3° y 4°, y los provenientes de la ciudad de Quilmes, a través de la 1° Cloaca Máxima, hacia la Planta Berazategui, la cual cuenta con una capacidad instalada de 6.500.000 habitantes equivalentes. Los efluentes son descargados a 2,5 km de la costa del Río de la Plata, mediante un emisario con 10 difusores. El líquido procedente del Establecimiento Wilde abarca los partidos de la zona Norte (parte de San Isidro y Vicente López), de la zona Oeste (Tres de Febrero, San Martín, Morón, una parte de la Matanza), Capital Federal, y los partidos de la zona Sur (Avellaneda, Lanús, Lomas de Zamora, Almirante Brown, E. Echeverría y Quilmes).</w:t>
      </w:r>
    </w:p>
    <w:p w14:paraId="1722B5FD" w14:textId="77777777" w:rsidR="000316AC" w:rsidRPr="00C460BD" w:rsidRDefault="000316AC" w:rsidP="00A07E94">
      <w:pPr>
        <w:rPr>
          <w:rFonts w:ascii="Arial" w:hAnsi="Arial" w:cs="Arial"/>
        </w:rPr>
      </w:pPr>
      <w:r w:rsidRPr="00C460BD">
        <w:rPr>
          <w:rFonts w:ascii="Arial" w:hAnsi="Arial" w:cs="Arial"/>
        </w:rPr>
        <w:t>Finalmente, en el caso de los partidos de Moreno y San Miguel, recientemente incorporados, los efluentes son tratados en la Planta Depuradora Las Catonas, cuya ampliación es objeto de la presente evaluación socioeconómica.</w:t>
      </w:r>
    </w:p>
    <w:p w14:paraId="29AC5B2A" w14:textId="77777777" w:rsidR="000316AC" w:rsidRPr="00C460BD" w:rsidRDefault="000316AC" w:rsidP="00A07E94">
      <w:pPr>
        <w:rPr>
          <w:rFonts w:ascii="Arial" w:hAnsi="Arial" w:cs="Arial"/>
        </w:rPr>
      </w:pPr>
      <w:r w:rsidRPr="00C460BD">
        <w:rPr>
          <w:rFonts w:ascii="Arial" w:hAnsi="Arial" w:cs="Arial"/>
        </w:rPr>
        <w:t>En esta oportunidad se evalúan socioeconómicamente en el presente informe la totalidad de las obras que permiten completar la capacidad ampliada de la Planta depuradora Las Catonas incluyéndose ampliación de dicha planta, las obras básicas de transporte y las redes secundarias, tratándose por ello de un proyecto integral de saneamiento en los partidos de Moreno y San Miguel.</w:t>
      </w:r>
    </w:p>
    <w:p w14:paraId="54323332" w14:textId="77777777" w:rsidR="000316AC" w:rsidRPr="00C460BD" w:rsidRDefault="000316AC" w:rsidP="00A07E94">
      <w:pPr>
        <w:rPr>
          <w:rFonts w:ascii="Arial" w:hAnsi="Arial" w:cs="Arial"/>
        </w:rPr>
      </w:pPr>
      <w:r w:rsidRPr="00C460BD">
        <w:rPr>
          <w:rFonts w:ascii="Arial" w:hAnsi="Arial" w:cs="Arial"/>
        </w:rPr>
        <w:t>Se destaca que no todas las obras necesarias para dar cobertura integral a las áreas aún sin servicio de la cuenca han sido incluidas en la solicitud de financiamiento.</w:t>
      </w:r>
    </w:p>
    <w:p w14:paraId="4E1A8DE8" w14:textId="77777777" w:rsidR="000316AC" w:rsidRDefault="000316AC" w:rsidP="006A3DB1"/>
    <w:p w14:paraId="6BC2CA61" w14:textId="77777777" w:rsidR="000316AC" w:rsidRPr="00C460BD" w:rsidRDefault="000316AC" w:rsidP="002B0107">
      <w:pPr>
        <w:pStyle w:val="Heading2"/>
        <w:numPr>
          <w:ilvl w:val="0"/>
          <w:numId w:val="64"/>
        </w:numPr>
      </w:pPr>
      <w:bookmarkStart w:id="166" w:name="_Toc479892463"/>
      <w:bookmarkStart w:id="167" w:name="_Toc485200127"/>
      <w:r w:rsidRPr="00C460BD">
        <w:t>Situación actual y objetivos del proyecto.</w:t>
      </w:r>
      <w:bookmarkEnd w:id="166"/>
      <w:bookmarkEnd w:id="167"/>
    </w:p>
    <w:p w14:paraId="2ADAE7EC" w14:textId="77777777" w:rsidR="000316AC" w:rsidRPr="00C460BD" w:rsidRDefault="000316AC" w:rsidP="003B1C14">
      <w:pPr>
        <w:rPr>
          <w:rFonts w:ascii="Arial" w:hAnsi="Arial" w:cs="Arial"/>
        </w:rPr>
      </w:pPr>
      <w:r w:rsidRPr="00C460BD">
        <w:rPr>
          <w:rFonts w:ascii="Arial" w:hAnsi="Arial" w:cs="Arial"/>
        </w:rPr>
        <w:t>El proyecto bajo análisis tiene como finalidad dotar del servicio cloacal a una población de 240.000 habitantes pertenecientes a los partidos de San Miguel y Moreno a través de la ampliación de la Planta Las Catonas</w:t>
      </w:r>
      <w:r w:rsidRPr="00C460BD">
        <w:rPr>
          <w:rStyle w:val="FootnoteReference"/>
          <w:rFonts w:ascii="Arial" w:hAnsi="Arial" w:cs="Arial"/>
        </w:rPr>
        <w:footnoteReference w:id="14"/>
      </w:r>
      <w:r w:rsidRPr="00C460BD">
        <w:rPr>
          <w:rFonts w:ascii="Arial" w:hAnsi="Arial" w:cs="Arial"/>
        </w:rPr>
        <w:t>, ubicada en el partido de Moreno, y la construcción de colectores y redes secundarias. Este propósito abarca el establecimiento de un nuevo punto de vuelco en el Río Reconquista para los efluentes actuales y futuros.</w:t>
      </w:r>
    </w:p>
    <w:p w14:paraId="2B0005CD" w14:textId="77777777" w:rsidR="000316AC" w:rsidRPr="00C460BD" w:rsidRDefault="000316AC" w:rsidP="002B0107">
      <w:pPr>
        <w:pStyle w:val="Heading2"/>
        <w:numPr>
          <w:ilvl w:val="1"/>
          <w:numId w:val="66"/>
        </w:numPr>
      </w:pPr>
      <w:bookmarkStart w:id="168" w:name="_Toc479892464"/>
      <w:bookmarkStart w:id="169" w:name="_Toc485200128"/>
      <w:r w:rsidRPr="00C460BD">
        <w:t>Situación actual.</w:t>
      </w:r>
      <w:bookmarkEnd w:id="168"/>
      <w:bookmarkEnd w:id="169"/>
    </w:p>
    <w:p w14:paraId="3AEB64BC" w14:textId="77777777" w:rsidR="000316AC" w:rsidRPr="00C460BD" w:rsidRDefault="000316AC" w:rsidP="00E012E1">
      <w:pPr>
        <w:rPr>
          <w:rFonts w:ascii="Arial" w:hAnsi="Arial" w:cs="Arial"/>
        </w:rPr>
      </w:pPr>
      <w:r w:rsidRPr="00C460BD">
        <w:rPr>
          <w:rFonts w:ascii="Arial" w:hAnsi="Arial" w:cs="Arial"/>
        </w:rPr>
        <w:t>Respecto de la situación actual, la población objetivo corresponde a hogares que evacuan los efluentes a pozos sépticos individuales de cada vivienda.</w:t>
      </w:r>
    </w:p>
    <w:p w14:paraId="73846346" w14:textId="77777777" w:rsidR="000316AC" w:rsidRPr="00C460BD" w:rsidRDefault="000316AC" w:rsidP="00E012E1">
      <w:pPr>
        <w:rPr>
          <w:rFonts w:ascii="Arial" w:hAnsi="Arial" w:cs="Arial"/>
        </w:rPr>
      </w:pPr>
      <w:r w:rsidRPr="00C460BD">
        <w:rPr>
          <w:rFonts w:ascii="Arial" w:hAnsi="Arial" w:cs="Arial"/>
        </w:rPr>
        <w:t>Estos pozos son vaciados a través de camiones atmosféricos con una periodicidad de entre uno y tres meses. Debe destacarse que esta situación produce desbordes de los pozos debido a que muchas veces los hogares no realizan el vaciado con la periodicidad necesaria. Asimismo el nivel de las napas freáticas también influye en los desbordes de los pozos, así como en el anegamiento de sótanos, garajes, e inclusive de inundaciones en viviendas.</w:t>
      </w:r>
    </w:p>
    <w:p w14:paraId="38E1729C" w14:textId="77777777" w:rsidR="000316AC" w:rsidRPr="00C460BD" w:rsidRDefault="000316AC" w:rsidP="00E012E1">
      <w:pPr>
        <w:rPr>
          <w:rFonts w:ascii="Arial" w:hAnsi="Arial" w:cs="Arial"/>
        </w:rPr>
      </w:pPr>
      <w:r w:rsidRPr="00C460BD">
        <w:rPr>
          <w:rFonts w:ascii="Arial" w:hAnsi="Arial" w:cs="Arial"/>
        </w:rPr>
        <w:t>Adicionalmente cabe mencionar que no existen controles respecto del estado y mantenimiento de los pozos, por lo que muchos de los mismos han superado su vida útil y pueden estar infiltrando efluentes a las napas.</w:t>
      </w:r>
    </w:p>
    <w:p w14:paraId="3BF6A004" w14:textId="77777777" w:rsidR="000316AC" w:rsidRPr="00C460BD" w:rsidRDefault="000316AC" w:rsidP="00E012E1">
      <w:pPr>
        <w:rPr>
          <w:rFonts w:ascii="Arial" w:hAnsi="Arial" w:cs="Arial"/>
        </w:rPr>
      </w:pPr>
      <w:r w:rsidRPr="00C460BD">
        <w:rPr>
          <w:rFonts w:ascii="Arial" w:hAnsi="Arial" w:cs="Arial"/>
        </w:rPr>
        <w:t>Como dato adicional cabe mencionar que en días con precipitaciones algunos vecinos descargan los efluentes de los pozos a los pluviales con el riesgo sanitario que esto conlleva.</w:t>
      </w:r>
    </w:p>
    <w:p w14:paraId="7F658F05" w14:textId="77777777" w:rsidR="000316AC" w:rsidRPr="00C460BD" w:rsidRDefault="000316AC" w:rsidP="00E012E1">
      <w:pPr>
        <w:rPr>
          <w:rFonts w:ascii="Arial" w:hAnsi="Arial" w:cs="Arial"/>
        </w:rPr>
      </w:pPr>
      <w:r w:rsidRPr="00C460BD">
        <w:rPr>
          <w:rFonts w:ascii="Arial" w:hAnsi="Arial" w:cs="Arial"/>
        </w:rPr>
        <w:t>En resumen podemos afirmar que la situación actual es la siguiente:</w:t>
      </w:r>
    </w:p>
    <w:p w14:paraId="762C9D49"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Riesgo de contagio de enfermedades de origen hídrico</w:t>
      </w:r>
    </w:p>
    <w:p w14:paraId="289AFE12"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Limitación en el valor de la vivienda</w:t>
      </w:r>
    </w:p>
    <w:p w14:paraId="5D11B874"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Generación de gastos por evacuación de pozos absorbentes</w:t>
      </w:r>
    </w:p>
    <w:p w14:paraId="0BDE11A9"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Poco desarrollo edilicio del área</w:t>
      </w:r>
    </w:p>
    <w:p w14:paraId="615839DD"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Falta de confort</w:t>
      </w:r>
    </w:p>
    <w:p w14:paraId="10B0B957"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Deterioro del medio ambiente del entorno</w:t>
      </w:r>
    </w:p>
    <w:p w14:paraId="66C30137"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Pérdida de la calidad del agua de los arroyos</w:t>
      </w:r>
    </w:p>
    <w:p w14:paraId="6212872D"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Presencia de olores desagradables</w:t>
      </w:r>
    </w:p>
    <w:p w14:paraId="7BD8AE46" w14:textId="77777777" w:rsidR="000316AC" w:rsidRPr="00C460BD" w:rsidRDefault="000316AC" w:rsidP="00E012E1">
      <w:pPr>
        <w:rPr>
          <w:rFonts w:ascii="Arial" w:hAnsi="Arial" w:cs="Arial"/>
        </w:rPr>
      </w:pPr>
      <w:r w:rsidRPr="00C460BD">
        <w:rPr>
          <w:rFonts w:ascii="Arial" w:hAnsi="Arial" w:cs="Arial"/>
        </w:rPr>
        <w:t>Asimismo se estima que la situación ambiental futura sin la implementación del proyecto será la siguiente:</w:t>
      </w:r>
    </w:p>
    <w:p w14:paraId="42A2A6F8"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Aumento de las concentraciones de nitratos y carga bacteriológica en los pozos de abastecimiento de agua para consumo humano</w:t>
      </w:r>
    </w:p>
    <w:p w14:paraId="74EC5587"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Limitación del valor de los inmuebles</w:t>
      </w:r>
    </w:p>
    <w:p w14:paraId="299A094A"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Mayores gastos en evacuación de los pozos absorbentes por recarga del acuífero del área</w:t>
      </w:r>
    </w:p>
    <w:p w14:paraId="15632F6E"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Recarga y contaminación de los acuíferos del área</w:t>
      </w:r>
    </w:p>
    <w:p w14:paraId="191F56BF"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Limitación del desarrollo inmobiliario e industrial en la zona</w:t>
      </w:r>
    </w:p>
    <w:p w14:paraId="624F914F"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Aumento del deterioro del medio ambiente general en el área</w:t>
      </w:r>
    </w:p>
    <w:p w14:paraId="21867F2F"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Mayor gasto en salud por la aumento de enfermedades de origen hídrico</w:t>
      </w:r>
    </w:p>
    <w:p w14:paraId="3FC9EEBD"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Pérdida de la fauna y flora de las márgenes y cursos de los arroyos por deterioro de la calidad del agua de los mismos</w:t>
      </w:r>
    </w:p>
    <w:p w14:paraId="40D89922" w14:textId="77777777" w:rsidR="000316AC" w:rsidRPr="00C460BD" w:rsidRDefault="000316AC" w:rsidP="00C4100D">
      <w:pPr>
        <w:pStyle w:val="ListParagraph"/>
        <w:numPr>
          <w:ilvl w:val="0"/>
          <w:numId w:val="3"/>
        </w:numPr>
        <w:rPr>
          <w:rFonts w:ascii="Arial" w:hAnsi="Arial" w:cs="Arial"/>
        </w:rPr>
      </w:pPr>
      <w:r w:rsidRPr="00C460BD">
        <w:rPr>
          <w:rFonts w:ascii="Arial" w:hAnsi="Arial" w:cs="Arial"/>
        </w:rPr>
        <w:t>Aumento de los olores desagradables</w:t>
      </w:r>
    </w:p>
    <w:p w14:paraId="50778A56" w14:textId="77777777" w:rsidR="000316AC" w:rsidRPr="00C460BD" w:rsidRDefault="000316AC" w:rsidP="00445155">
      <w:pPr>
        <w:rPr>
          <w:rFonts w:ascii="Arial" w:hAnsi="Arial" w:cs="Arial"/>
        </w:rPr>
      </w:pPr>
      <w:r w:rsidRPr="00C460BD">
        <w:rPr>
          <w:rFonts w:ascii="Arial" w:hAnsi="Arial" w:cs="Arial"/>
        </w:rPr>
        <w:t>En materia de tratamiento de los efluentes, actualmente la planta de depuración Las Catonas cuenta con un módulo de tratamiento de aireación extendida by-passeado, debido a lo cual se ha dado curso al proyecto de Revamping de la misma con el objeto de ponerla nuevamente en operaciones, habiéndose verificado la capacidad de las instalaciones de acuerdo con los criterios de diseño de AySA (DBO de salida menor a 15 mg/l). Del análisis efectuado se concluyó que la planta existente dispone de una capacidad de tratamiento de 0,4 m³/s correspondiente a un número de habitantes equivalentes de 140.000, aunque en la actualidad se encuentran concluidas las redes secundarias correspondientes a 110.908 habitantes equivalentes.</w:t>
      </w:r>
    </w:p>
    <w:p w14:paraId="1502EF0B" w14:textId="77777777" w:rsidR="000316AC" w:rsidRPr="00C460BD" w:rsidRDefault="000316AC" w:rsidP="00445155">
      <w:pPr>
        <w:rPr>
          <w:rFonts w:ascii="Arial" w:hAnsi="Arial" w:cs="Arial"/>
        </w:rPr>
      </w:pPr>
      <w:r w:rsidRPr="00C460BD">
        <w:rPr>
          <w:rFonts w:ascii="Arial" w:hAnsi="Arial" w:cs="Arial"/>
        </w:rPr>
        <w:t>Dicha planta se encuentra ubicada en un terreno limitado por las calles Quilmes, Gral Martín de Gainza, calle sin nombre (paralela a Quilmes) y calle sin nombre (paralela a Gral Martín de Gainza) en el partido de Moreno, provincia de Buenos Aires. La superficie total del predio alcanza las 9 hectáreas.</w:t>
      </w:r>
    </w:p>
    <w:p w14:paraId="2C993EC1" w14:textId="77777777" w:rsidR="000316AC" w:rsidRPr="00C460BD" w:rsidRDefault="000316AC" w:rsidP="00445155">
      <w:pPr>
        <w:rPr>
          <w:rFonts w:ascii="Arial" w:hAnsi="Arial" w:cs="Arial"/>
        </w:rPr>
      </w:pPr>
      <w:r w:rsidRPr="00C460BD">
        <w:rPr>
          <w:rFonts w:ascii="Arial" w:hAnsi="Arial" w:cs="Arial"/>
        </w:rPr>
        <w:t>En este momento la planta recibe el efluente proveniente de las redes de los partidos de San Miguel y Moreno aportados por 110.908 habitantes equivalentes, con un caudal asociado de 0,31m3/s; debiéndose incorporar a futuro los habitantes beneficiados con la expansión del servicio cloacal en dichos partidos. Al momento, la planta vuelca sus efluentes en el Arroyo Las Catonas (tributario del Río Reconquista) a través de un emisario existente, afectando a personas de bajos recursos que viven en las inmediaciones (se estima 1,3 km de margen del arroyo).</w:t>
      </w:r>
    </w:p>
    <w:p w14:paraId="0E095014" w14:textId="77777777" w:rsidR="000316AC" w:rsidRPr="00C460BD" w:rsidRDefault="000316AC" w:rsidP="00445155">
      <w:pPr>
        <w:rPr>
          <w:rFonts w:ascii="Arial" w:hAnsi="Arial" w:cs="Arial"/>
        </w:rPr>
      </w:pPr>
      <w:r w:rsidRPr="00C460BD">
        <w:rPr>
          <w:rFonts w:ascii="Arial" w:hAnsi="Arial" w:cs="Arial"/>
        </w:rPr>
        <w:t>El terreno a ser utilizado para la ampliación de la Planta se encuentra lindero al módulo de planta existente, en el mismo predio.</w:t>
      </w:r>
    </w:p>
    <w:p w14:paraId="1651BA34" w14:textId="4795DEC7" w:rsidR="000316AC" w:rsidRPr="00C460BD" w:rsidRDefault="000316AC" w:rsidP="00445155">
      <w:pPr>
        <w:rPr>
          <w:rFonts w:ascii="Arial" w:hAnsi="Arial" w:cs="Arial"/>
        </w:rPr>
      </w:pPr>
      <w:r w:rsidRPr="00C460BD">
        <w:rPr>
          <w:rFonts w:ascii="Arial" w:hAnsi="Arial" w:cs="Arial"/>
        </w:rPr>
        <w:t xml:space="preserve">A </w:t>
      </w:r>
      <w:r w:rsidR="00B250DB" w:rsidRPr="00C460BD">
        <w:rPr>
          <w:rFonts w:ascii="Arial" w:hAnsi="Arial" w:cs="Arial"/>
        </w:rPr>
        <w:t>continuación,</w:t>
      </w:r>
      <w:r w:rsidRPr="00C460BD">
        <w:rPr>
          <w:rFonts w:ascii="Arial" w:hAnsi="Arial" w:cs="Arial"/>
        </w:rPr>
        <w:t xml:space="preserve"> se presenta el relevamiento fotográfico correspondiente a la planta de tratamiento en cuestión:</w:t>
      </w:r>
    </w:p>
    <w:p w14:paraId="58611370" w14:textId="61F1BDC4" w:rsidR="000316AC" w:rsidRPr="00C460BD" w:rsidRDefault="00B250DB" w:rsidP="00E72BB7">
      <w:pPr>
        <w:pStyle w:val="Caption"/>
        <w:rPr>
          <w:rFonts w:ascii="Arial" w:hAnsi="Arial" w:cs="Arial"/>
        </w:rPr>
      </w:pPr>
      <w:r>
        <w:rPr>
          <w:rFonts w:ascii="Arial" w:hAnsi="Arial" w:cs="Arial"/>
        </w:rPr>
        <w:t>Figura I-1</w:t>
      </w:r>
      <w:r w:rsidR="000316AC" w:rsidRPr="00C460BD">
        <w:rPr>
          <w:rFonts w:ascii="Arial" w:hAnsi="Arial" w:cs="Arial"/>
        </w:rPr>
        <w:t xml:space="preserve"> </w:t>
      </w:r>
      <w:r w:rsidR="000316AC" w:rsidRPr="00B250DB">
        <w:rPr>
          <w:rFonts w:ascii="Arial" w:hAnsi="Arial" w:cs="Arial"/>
          <w:color w:val="FFFFFF" w:themeColor="background1"/>
        </w:rPr>
        <w:fldChar w:fldCharType="begin"/>
      </w:r>
      <w:r w:rsidR="000316AC" w:rsidRPr="00B250DB">
        <w:rPr>
          <w:rFonts w:ascii="Arial" w:hAnsi="Arial" w:cs="Arial"/>
          <w:color w:val="FFFFFF" w:themeColor="background1"/>
        </w:rPr>
        <w:instrText xml:space="preserve"> SEQ Ilustración \* ARABIC </w:instrText>
      </w:r>
      <w:r w:rsidR="000316AC" w:rsidRPr="00B250DB">
        <w:rPr>
          <w:rFonts w:ascii="Arial" w:hAnsi="Arial" w:cs="Arial"/>
          <w:color w:val="FFFFFF" w:themeColor="background1"/>
        </w:rPr>
        <w:fldChar w:fldCharType="separate"/>
      </w:r>
      <w:r w:rsidRPr="00B250DB">
        <w:rPr>
          <w:rFonts w:ascii="Arial" w:hAnsi="Arial" w:cs="Arial"/>
          <w:noProof/>
          <w:color w:val="FFFFFF" w:themeColor="background1"/>
        </w:rPr>
        <w:t>12</w:t>
      </w:r>
      <w:r w:rsidR="000316AC" w:rsidRPr="00B250DB">
        <w:rPr>
          <w:rFonts w:ascii="Arial" w:hAnsi="Arial" w:cs="Arial"/>
          <w:noProof/>
          <w:color w:val="FFFFFF" w:themeColor="background1"/>
        </w:rPr>
        <w:fldChar w:fldCharType="end"/>
      </w:r>
      <w:r w:rsidR="000316AC" w:rsidRPr="00B250DB">
        <w:rPr>
          <w:rFonts w:ascii="Arial" w:hAnsi="Arial" w:cs="Arial"/>
          <w:color w:val="FFFFFF" w:themeColor="background1"/>
        </w:rPr>
        <w:t xml:space="preserve"> </w:t>
      </w:r>
      <w:r w:rsidR="000316AC" w:rsidRPr="00C460BD">
        <w:rPr>
          <w:rFonts w:ascii="Arial" w:hAnsi="Arial" w:cs="Arial"/>
        </w:rPr>
        <w:t>Inmediaciones de la Planta</w:t>
      </w:r>
    </w:p>
    <w:p w14:paraId="1F339285" w14:textId="77777777" w:rsidR="000316AC" w:rsidRPr="00C460BD" w:rsidRDefault="000316AC" w:rsidP="00445155">
      <w:pPr>
        <w:rPr>
          <w:rFonts w:ascii="Arial" w:hAnsi="Arial" w:cs="Arial"/>
        </w:rPr>
      </w:pPr>
      <w:r w:rsidRPr="00C460BD">
        <w:rPr>
          <w:rFonts w:ascii="Arial" w:hAnsi="Arial" w:cs="Arial"/>
          <w:noProof/>
          <w:lang w:eastAsia="es-AR"/>
        </w:rPr>
        <w:drawing>
          <wp:inline distT="0" distB="0" distL="0" distR="0" wp14:anchorId="04198F13" wp14:editId="63926FCB">
            <wp:extent cx="5400675" cy="3019895"/>
            <wp:effectExtent l="0" t="0" r="0" b="9525"/>
            <wp:docPr id="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00675" cy="3019895"/>
                    </a:xfrm>
                    <a:prstGeom prst="rect">
                      <a:avLst/>
                    </a:prstGeom>
                    <a:noFill/>
                    <a:ln>
                      <a:noFill/>
                    </a:ln>
                  </pic:spPr>
                </pic:pic>
              </a:graphicData>
            </a:graphic>
          </wp:inline>
        </w:drawing>
      </w:r>
    </w:p>
    <w:p w14:paraId="1888C233" w14:textId="407736F1" w:rsidR="000316AC" w:rsidRPr="00C460BD" w:rsidRDefault="00B250DB" w:rsidP="00E72BB7">
      <w:pPr>
        <w:pStyle w:val="Caption"/>
        <w:rPr>
          <w:rFonts w:ascii="Arial" w:hAnsi="Arial" w:cs="Arial"/>
        </w:rPr>
      </w:pPr>
      <w:r>
        <w:rPr>
          <w:rFonts w:ascii="Arial" w:hAnsi="Arial" w:cs="Arial"/>
        </w:rPr>
        <w:t>Figura I-2:</w:t>
      </w:r>
      <w:r w:rsidR="000316AC" w:rsidRPr="00C460BD">
        <w:rPr>
          <w:rFonts w:ascii="Arial" w:hAnsi="Arial" w:cs="Arial"/>
        </w:rPr>
        <w:t xml:space="preserve"> </w:t>
      </w:r>
      <w:r w:rsidR="000316AC" w:rsidRPr="00B250DB">
        <w:rPr>
          <w:rFonts w:ascii="Arial" w:hAnsi="Arial" w:cs="Arial"/>
          <w:color w:val="FFFFFF" w:themeColor="background1"/>
        </w:rPr>
        <w:fldChar w:fldCharType="begin"/>
      </w:r>
      <w:r w:rsidR="000316AC" w:rsidRPr="00B250DB">
        <w:rPr>
          <w:rFonts w:ascii="Arial" w:hAnsi="Arial" w:cs="Arial"/>
          <w:color w:val="FFFFFF" w:themeColor="background1"/>
        </w:rPr>
        <w:instrText xml:space="preserve"> SEQ Ilustración \* ARABIC </w:instrText>
      </w:r>
      <w:r w:rsidR="000316AC" w:rsidRPr="00B250DB">
        <w:rPr>
          <w:rFonts w:ascii="Arial" w:hAnsi="Arial" w:cs="Arial"/>
          <w:color w:val="FFFFFF" w:themeColor="background1"/>
        </w:rPr>
        <w:fldChar w:fldCharType="separate"/>
      </w:r>
      <w:r w:rsidR="000316AC" w:rsidRPr="00B250DB">
        <w:rPr>
          <w:rFonts w:ascii="Arial" w:hAnsi="Arial" w:cs="Arial"/>
          <w:noProof/>
          <w:color w:val="FFFFFF" w:themeColor="background1"/>
        </w:rPr>
        <w:t>3</w:t>
      </w:r>
      <w:r w:rsidR="000316AC" w:rsidRPr="00B250DB">
        <w:rPr>
          <w:rFonts w:ascii="Arial" w:hAnsi="Arial" w:cs="Arial"/>
          <w:noProof/>
          <w:color w:val="FFFFFF" w:themeColor="background1"/>
        </w:rPr>
        <w:fldChar w:fldCharType="end"/>
      </w:r>
      <w:r w:rsidR="000316AC" w:rsidRPr="00C460BD">
        <w:rPr>
          <w:rFonts w:ascii="Arial" w:hAnsi="Arial" w:cs="Arial"/>
        </w:rPr>
        <w:t xml:space="preserve"> Inmediaciones de la Cámara de contacto</w:t>
      </w:r>
    </w:p>
    <w:p w14:paraId="518ED5C0" w14:textId="77777777" w:rsidR="000316AC" w:rsidRPr="00C460BD" w:rsidRDefault="000316AC" w:rsidP="00445155">
      <w:pPr>
        <w:rPr>
          <w:rFonts w:ascii="Arial" w:hAnsi="Arial" w:cs="Arial"/>
        </w:rPr>
      </w:pPr>
      <w:r w:rsidRPr="00C460BD">
        <w:rPr>
          <w:rFonts w:ascii="Arial" w:hAnsi="Arial" w:cs="Arial"/>
          <w:noProof/>
          <w:lang w:eastAsia="es-AR"/>
        </w:rPr>
        <w:drawing>
          <wp:inline distT="0" distB="0" distL="0" distR="0" wp14:anchorId="03D798D0" wp14:editId="010E23C8">
            <wp:extent cx="5400675" cy="3035636"/>
            <wp:effectExtent l="0" t="0" r="0" b="0"/>
            <wp:docPr id="4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0675" cy="3035636"/>
                    </a:xfrm>
                    <a:prstGeom prst="rect">
                      <a:avLst/>
                    </a:prstGeom>
                    <a:noFill/>
                    <a:ln>
                      <a:noFill/>
                    </a:ln>
                  </pic:spPr>
                </pic:pic>
              </a:graphicData>
            </a:graphic>
          </wp:inline>
        </w:drawing>
      </w:r>
    </w:p>
    <w:p w14:paraId="6FAAFB91" w14:textId="5B2E66C7" w:rsidR="000316AC" w:rsidRPr="00C460BD" w:rsidRDefault="00B250DB" w:rsidP="00E72BB7">
      <w:pPr>
        <w:pStyle w:val="Caption"/>
        <w:rPr>
          <w:rFonts w:ascii="Arial" w:hAnsi="Arial" w:cs="Arial"/>
        </w:rPr>
      </w:pPr>
      <w:r>
        <w:rPr>
          <w:rFonts w:ascii="Arial" w:hAnsi="Arial" w:cs="Arial"/>
        </w:rPr>
        <w:t>Figura I-3:</w:t>
      </w:r>
      <w:r w:rsidR="000316AC" w:rsidRPr="00B250DB">
        <w:rPr>
          <w:rFonts w:ascii="Arial" w:hAnsi="Arial" w:cs="Arial"/>
          <w:color w:val="FFFFFF" w:themeColor="background1"/>
        </w:rPr>
        <w:fldChar w:fldCharType="begin"/>
      </w:r>
      <w:r w:rsidR="000316AC" w:rsidRPr="00B250DB">
        <w:rPr>
          <w:rFonts w:ascii="Arial" w:hAnsi="Arial" w:cs="Arial"/>
          <w:color w:val="FFFFFF" w:themeColor="background1"/>
        </w:rPr>
        <w:instrText xml:space="preserve"> SEQ Ilustración \* ARABIC </w:instrText>
      </w:r>
      <w:r w:rsidR="000316AC" w:rsidRPr="00B250DB">
        <w:rPr>
          <w:rFonts w:ascii="Arial" w:hAnsi="Arial" w:cs="Arial"/>
          <w:color w:val="FFFFFF" w:themeColor="background1"/>
        </w:rPr>
        <w:fldChar w:fldCharType="separate"/>
      </w:r>
      <w:r w:rsidR="000316AC" w:rsidRPr="00B250DB">
        <w:rPr>
          <w:rFonts w:ascii="Arial" w:hAnsi="Arial" w:cs="Arial"/>
          <w:noProof/>
          <w:color w:val="FFFFFF" w:themeColor="background1"/>
        </w:rPr>
        <w:t>4</w:t>
      </w:r>
      <w:r w:rsidR="000316AC" w:rsidRPr="00B250DB">
        <w:rPr>
          <w:rFonts w:ascii="Arial" w:hAnsi="Arial" w:cs="Arial"/>
          <w:noProof/>
          <w:color w:val="FFFFFF" w:themeColor="background1"/>
        </w:rPr>
        <w:fldChar w:fldCharType="end"/>
      </w:r>
      <w:r w:rsidR="000316AC" w:rsidRPr="00C460BD">
        <w:rPr>
          <w:rFonts w:ascii="Arial" w:hAnsi="Arial" w:cs="Arial"/>
        </w:rPr>
        <w:t>Inmediaciones de Desarenador</w:t>
      </w:r>
    </w:p>
    <w:p w14:paraId="0D81DB32" w14:textId="77777777" w:rsidR="000316AC" w:rsidRPr="00C460BD" w:rsidRDefault="000316AC" w:rsidP="00445155">
      <w:pPr>
        <w:rPr>
          <w:rFonts w:ascii="Arial" w:hAnsi="Arial" w:cs="Arial"/>
        </w:rPr>
      </w:pPr>
      <w:r w:rsidRPr="00C460BD">
        <w:rPr>
          <w:rFonts w:ascii="Arial" w:hAnsi="Arial" w:cs="Arial"/>
          <w:noProof/>
          <w:lang w:eastAsia="es-AR"/>
        </w:rPr>
        <w:drawing>
          <wp:inline distT="0" distB="0" distL="0" distR="0" wp14:anchorId="167F5652" wp14:editId="2E1F5724">
            <wp:extent cx="5400675" cy="3039890"/>
            <wp:effectExtent l="0" t="0" r="0" b="8255"/>
            <wp:docPr id="4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0675" cy="3039890"/>
                    </a:xfrm>
                    <a:prstGeom prst="rect">
                      <a:avLst/>
                    </a:prstGeom>
                    <a:noFill/>
                    <a:ln>
                      <a:noFill/>
                    </a:ln>
                  </pic:spPr>
                </pic:pic>
              </a:graphicData>
            </a:graphic>
          </wp:inline>
        </w:drawing>
      </w:r>
    </w:p>
    <w:p w14:paraId="49C2C7D5" w14:textId="77777777" w:rsidR="000316AC" w:rsidRPr="00C460BD" w:rsidRDefault="000316AC" w:rsidP="00445155">
      <w:pPr>
        <w:rPr>
          <w:rFonts w:ascii="Arial" w:hAnsi="Arial" w:cs="Arial"/>
        </w:rPr>
      </w:pPr>
    </w:p>
    <w:p w14:paraId="507918D6" w14:textId="77777777" w:rsidR="000316AC" w:rsidRDefault="000316AC" w:rsidP="002B0107">
      <w:pPr>
        <w:pStyle w:val="Heading2"/>
        <w:numPr>
          <w:ilvl w:val="1"/>
          <w:numId w:val="17"/>
        </w:numPr>
      </w:pPr>
      <w:bookmarkStart w:id="170" w:name="_Toc479892465"/>
      <w:bookmarkStart w:id="171" w:name="_Toc485200129"/>
      <w:r>
        <w:t>Objetivos del Proyecto.</w:t>
      </w:r>
      <w:bookmarkEnd w:id="170"/>
      <w:bookmarkEnd w:id="171"/>
    </w:p>
    <w:p w14:paraId="50BA9724" w14:textId="77777777" w:rsidR="000316AC" w:rsidRPr="00B250DB" w:rsidRDefault="000316AC" w:rsidP="00D63AA7">
      <w:pPr>
        <w:rPr>
          <w:rFonts w:ascii="Arial" w:hAnsi="Arial" w:cs="Arial"/>
        </w:rPr>
      </w:pPr>
      <w:r w:rsidRPr="00B250DB">
        <w:rPr>
          <w:rFonts w:ascii="Arial" w:hAnsi="Arial" w:cs="Arial"/>
        </w:rPr>
        <w:t>Los objetivos del proyecto son brindar el servicio de desagües cloacales por red a 279.000 habitantes, calculados al año 20, a los efectos de:</w:t>
      </w:r>
    </w:p>
    <w:p w14:paraId="21453245" w14:textId="77777777" w:rsidR="000316AC" w:rsidRPr="00B250DB" w:rsidRDefault="000316AC" w:rsidP="00C4100D">
      <w:pPr>
        <w:pStyle w:val="ListParagraph"/>
        <w:numPr>
          <w:ilvl w:val="0"/>
          <w:numId w:val="3"/>
        </w:numPr>
        <w:rPr>
          <w:rFonts w:ascii="Arial" w:hAnsi="Arial" w:cs="Arial"/>
        </w:rPr>
      </w:pPr>
      <w:r w:rsidRPr="00B250DB">
        <w:rPr>
          <w:rFonts w:ascii="Arial" w:hAnsi="Arial" w:cs="Arial"/>
        </w:rPr>
        <w:t>Eliminar los desbordes de los pozos</w:t>
      </w:r>
    </w:p>
    <w:p w14:paraId="76A65402" w14:textId="77777777" w:rsidR="000316AC" w:rsidRPr="00B250DB" w:rsidRDefault="000316AC" w:rsidP="00C4100D">
      <w:pPr>
        <w:pStyle w:val="ListParagraph"/>
        <w:numPr>
          <w:ilvl w:val="0"/>
          <w:numId w:val="3"/>
        </w:numPr>
        <w:rPr>
          <w:rFonts w:ascii="Arial" w:hAnsi="Arial" w:cs="Arial"/>
        </w:rPr>
      </w:pPr>
      <w:r w:rsidRPr="00B250DB">
        <w:rPr>
          <w:rFonts w:ascii="Arial" w:hAnsi="Arial" w:cs="Arial"/>
        </w:rPr>
        <w:t>Eliminar las descargas de los pozos a la vía pública</w:t>
      </w:r>
    </w:p>
    <w:p w14:paraId="65F1D3D9" w14:textId="77777777" w:rsidR="000316AC" w:rsidRPr="00B250DB" w:rsidRDefault="000316AC" w:rsidP="00C4100D">
      <w:pPr>
        <w:pStyle w:val="ListParagraph"/>
        <w:numPr>
          <w:ilvl w:val="0"/>
          <w:numId w:val="3"/>
        </w:numPr>
        <w:rPr>
          <w:rFonts w:ascii="Arial" w:hAnsi="Arial" w:cs="Arial"/>
        </w:rPr>
      </w:pPr>
      <w:r w:rsidRPr="00B250DB">
        <w:rPr>
          <w:rFonts w:ascii="Arial" w:hAnsi="Arial" w:cs="Arial"/>
        </w:rPr>
        <w:t>Mitigar el problema del nivel de las napas freáticas</w:t>
      </w:r>
    </w:p>
    <w:p w14:paraId="0959273E" w14:textId="77777777" w:rsidR="000316AC" w:rsidRPr="00B250DB" w:rsidRDefault="000316AC" w:rsidP="00C4100D">
      <w:pPr>
        <w:pStyle w:val="ListParagraph"/>
        <w:numPr>
          <w:ilvl w:val="0"/>
          <w:numId w:val="3"/>
        </w:numPr>
        <w:rPr>
          <w:rFonts w:ascii="Arial" w:hAnsi="Arial" w:cs="Arial"/>
        </w:rPr>
      </w:pPr>
      <w:r w:rsidRPr="00B250DB">
        <w:rPr>
          <w:rFonts w:ascii="Arial" w:hAnsi="Arial" w:cs="Arial"/>
        </w:rPr>
        <w:t>Consignar ahorros para la sociedad en términos de inversión y costos necesarios para la evacuación de los efluentes cloacales.</w:t>
      </w:r>
    </w:p>
    <w:p w14:paraId="3C432F38" w14:textId="77777777" w:rsidR="000316AC" w:rsidRPr="00B250DB" w:rsidRDefault="000316AC" w:rsidP="00C4100D">
      <w:pPr>
        <w:pStyle w:val="ListParagraph"/>
        <w:numPr>
          <w:ilvl w:val="0"/>
          <w:numId w:val="3"/>
        </w:numPr>
        <w:rPr>
          <w:rFonts w:ascii="Arial" w:hAnsi="Arial" w:cs="Arial"/>
        </w:rPr>
      </w:pPr>
      <w:r w:rsidRPr="00B250DB">
        <w:rPr>
          <w:rFonts w:ascii="Arial" w:hAnsi="Arial" w:cs="Arial"/>
        </w:rPr>
        <w:t>Mejorar la factibilidad de ampliación y densificación urbana</w:t>
      </w:r>
    </w:p>
    <w:p w14:paraId="78774BEF" w14:textId="77777777" w:rsidR="000316AC" w:rsidRPr="00B250DB" w:rsidRDefault="000316AC" w:rsidP="00C4100D">
      <w:pPr>
        <w:pStyle w:val="ListParagraph"/>
        <w:numPr>
          <w:ilvl w:val="0"/>
          <w:numId w:val="3"/>
        </w:numPr>
        <w:rPr>
          <w:rFonts w:ascii="Arial" w:hAnsi="Arial" w:cs="Arial"/>
        </w:rPr>
      </w:pPr>
      <w:r w:rsidRPr="00B250DB">
        <w:rPr>
          <w:rFonts w:ascii="Arial" w:hAnsi="Arial" w:cs="Arial"/>
        </w:rPr>
        <w:t>Disminuir enfermedades hídricas</w:t>
      </w:r>
    </w:p>
    <w:p w14:paraId="13A912CD" w14:textId="77777777" w:rsidR="000316AC" w:rsidRPr="00B250DB" w:rsidRDefault="000316AC" w:rsidP="00C4100D">
      <w:pPr>
        <w:pStyle w:val="ListParagraph"/>
        <w:numPr>
          <w:ilvl w:val="0"/>
          <w:numId w:val="3"/>
        </w:numPr>
        <w:rPr>
          <w:rFonts w:ascii="Arial" w:hAnsi="Arial" w:cs="Arial"/>
        </w:rPr>
      </w:pPr>
      <w:r w:rsidRPr="00B250DB">
        <w:rPr>
          <w:rFonts w:ascii="Arial" w:hAnsi="Arial" w:cs="Arial"/>
        </w:rPr>
        <w:t>Disminuir los gastos en salud</w:t>
      </w:r>
    </w:p>
    <w:p w14:paraId="5843096E" w14:textId="77777777" w:rsidR="000316AC" w:rsidRPr="00B250DB" w:rsidRDefault="000316AC" w:rsidP="00C4100D">
      <w:pPr>
        <w:pStyle w:val="ListParagraph"/>
        <w:numPr>
          <w:ilvl w:val="0"/>
          <w:numId w:val="3"/>
        </w:numPr>
        <w:rPr>
          <w:rFonts w:ascii="Arial" w:hAnsi="Arial" w:cs="Arial"/>
        </w:rPr>
      </w:pPr>
      <w:r w:rsidRPr="00B250DB">
        <w:rPr>
          <w:rFonts w:ascii="Arial" w:hAnsi="Arial" w:cs="Arial"/>
        </w:rPr>
        <w:t>Disminuir los vertidos contaminantes a los acuíferos del área</w:t>
      </w:r>
    </w:p>
    <w:p w14:paraId="1ECD9B54" w14:textId="77777777" w:rsidR="000316AC" w:rsidRPr="00B250DB" w:rsidRDefault="000316AC" w:rsidP="00C4100D">
      <w:pPr>
        <w:pStyle w:val="ListParagraph"/>
        <w:numPr>
          <w:ilvl w:val="0"/>
          <w:numId w:val="3"/>
        </w:numPr>
        <w:rPr>
          <w:rFonts w:ascii="Arial" w:hAnsi="Arial" w:cs="Arial"/>
        </w:rPr>
      </w:pPr>
      <w:r w:rsidRPr="00B250DB">
        <w:rPr>
          <w:rFonts w:ascii="Arial" w:hAnsi="Arial" w:cs="Arial"/>
        </w:rPr>
        <w:t>Disminución de vertidos contaminantes a pluviales</w:t>
      </w:r>
    </w:p>
    <w:p w14:paraId="50CC9B3D" w14:textId="77777777" w:rsidR="000316AC" w:rsidRPr="00B250DB" w:rsidRDefault="000316AC" w:rsidP="00C4100D">
      <w:pPr>
        <w:pStyle w:val="ListParagraph"/>
        <w:numPr>
          <w:ilvl w:val="0"/>
          <w:numId w:val="3"/>
        </w:numPr>
        <w:rPr>
          <w:rFonts w:ascii="Arial" w:hAnsi="Arial" w:cs="Arial"/>
        </w:rPr>
      </w:pPr>
      <w:r w:rsidRPr="00B250DB">
        <w:rPr>
          <w:rFonts w:ascii="Arial" w:hAnsi="Arial" w:cs="Arial"/>
        </w:rPr>
        <w:t>Aumento del confort en las viviendas</w:t>
      </w:r>
    </w:p>
    <w:p w14:paraId="546C5611" w14:textId="77777777" w:rsidR="000316AC" w:rsidRPr="00B250DB" w:rsidRDefault="000316AC" w:rsidP="00C4100D">
      <w:pPr>
        <w:pStyle w:val="ListParagraph"/>
        <w:numPr>
          <w:ilvl w:val="0"/>
          <w:numId w:val="3"/>
        </w:numPr>
        <w:rPr>
          <w:rFonts w:ascii="Arial" w:hAnsi="Arial" w:cs="Arial"/>
        </w:rPr>
      </w:pPr>
      <w:r w:rsidRPr="00B250DB">
        <w:rPr>
          <w:rFonts w:ascii="Arial" w:hAnsi="Arial" w:cs="Arial"/>
        </w:rPr>
        <w:t>Mayor valor de los inmuebles</w:t>
      </w:r>
    </w:p>
    <w:p w14:paraId="5B2E9B06" w14:textId="77777777" w:rsidR="000316AC" w:rsidRPr="00B250DB" w:rsidRDefault="000316AC" w:rsidP="003B1C14">
      <w:pPr>
        <w:rPr>
          <w:rFonts w:ascii="Arial" w:hAnsi="Arial" w:cs="Arial"/>
        </w:rPr>
      </w:pPr>
      <w:r w:rsidRPr="00B250DB">
        <w:rPr>
          <w:rFonts w:ascii="Arial" w:hAnsi="Arial" w:cs="Arial"/>
        </w:rPr>
        <w:t>Por otro lado, en materia de depuración de efluentes el presente proyecto busca elevar la capacidad de tratamiento de la planta en 210.000 habitantes, los que sumados a la capacidad remanente actual de la misma permiten completar el saneamiento de 350.000 habitantes en los partidos de Moreno y San Miguel.</w:t>
      </w:r>
    </w:p>
    <w:p w14:paraId="25FE0EA5" w14:textId="77777777" w:rsidR="000316AC" w:rsidRPr="00B250DB" w:rsidRDefault="000316AC" w:rsidP="003B1C14">
      <w:pPr>
        <w:rPr>
          <w:rFonts w:ascii="Arial" w:hAnsi="Arial" w:cs="Arial"/>
        </w:rPr>
      </w:pPr>
      <w:r w:rsidRPr="00B250DB">
        <w:rPr>
          <w:rFonts w:ascii="Arial" w:hAnsi="Arial" w:cs="Arial"/>
        </w:rPr>
        <w:t>A fin de cumplir con estos objetivos, el proyecto contempla la ejecución de redes colectoras, la construcción de los colectores asociados y la ampliación de la planta depuradora.</w:t>
      </w:r>
    </w:p>
    <w:p w14:paraId="1E84A523" w14:textId="77777777" w:rsidR="000316AC" w:rsidRPr="00B250DB" w:rsidRDefault="000316AC" w:rsidP="003B1C14">
      <w:pPr>
        <w:rPr>
          <w:rFonts w:ascii="Arial" w:hAnsi="Arial" w:cs="Arial"/>
        </w:rPr>
      </w:pPr>
    </w:p>
    <w:p w14:paraId="61BFF758" w14:textId="77777777" w:rsidR="000316AC" w:rsidRPr="00B250DB" w:rsidRDefault="000316AC" w:rsidP="002B0107">
      <w:pPr>
        <w:pStyle w:val="Heading2"/>
        <w:numPr>
          <w:ilvl w:val="0"/>
          <w:numId w:val="64"/>
        </w:numPr>
      </w:pPr>
      <w:bookmarkStart w:id="172" w:name="_Toc479892466"/>
      <w:bookmarkStart w:id="173" w:name="_Toc485200130"/>
      <w:r w:rsidRPr="00B250DB">
        <w:t>Metodología adoptada para la evaluación del proyecto.</w:t>
      </w:r>
      <w:bookmarkEnd w:id="172"/>
      <w:bookmarkEnd w:id="173"/>
    </w:p>
    <w:p w14:paraId="1C80DDB0" w14:textId="77777777" w:rsidR="000316AC" w:rsidRPr="00B250DB" w:rsidRDefault="000316AC" w:rsidP="00E15EF6">
      <w:pPr>
        <w:rPr>
          <w:rFonts w:ascii="Arial" w:hAnsi="Arial" w:cs="Arial"/>
        </w:rPr>
      </w:pPr>
      <w:r w:rsidRPr="00B250DB">
        <w:rPr>
          <w:rFonts w:ascii="Arial" w:hAnsi="Arial" w:cs="Arial"/>
        </w:rPr>
        <w:t>El esquema de evaluación socioeconómica adoptado en el caso del presente proyecto se compone de dos aspectos a saber:</w:t>
      </w:r>
    </w:p>
    <w:p w14:paraId="16C55FF0" w14:textId="77777777" w:rsidR="000316AC" w:rsidRPr="00B250DB" w:rsidRDefault="000316AC" w:rsidP="00C4100D">
      <w:pPr>
        <w:pStyle w:val="ListParagraph"/>
        <w:numPr>
          <w:ilvl w:val="0"/>
          <w:numId w:val="5"/>
        </w:numPr>
        <w:rPr>
          <w:rFonts w:ascii="Arial" w:hAnsi="Arial" w:cs="Arial"/>
        </w:rPr>
      </w:pPr>
      <w:r w:rsidRPr="00B250DB">
        <w:rPr>
          <w:rFonts w:ascii="Arial" w:hAnsi="Arial" w:cs="Arial"/>
        </w:rPr>
        <w:t>Identificación de beneficiarios y análisis de su situación socioeconómica.</w:t>
      </w:r>
    </w:p>
    <w:p w14:paraId="2CFE3A1A" w14:textId="77777777" w:rsidR="000316AC" w:rsidRPr="00B250DB" w:rsidRDefault="000316AC" w:rsidP="00C4100D">
      <w:pPr>
        <w:pStyle w:val="ListParagraph"/>
        <w:numPr>
          <w:ilvl w:val="0"/>
          <w:numId w:val="5"/>
        </w:numPr>
        <w:rPr>
          <w:rFonts w:ascii="Arial" w:hAnsi="Arial" w:cs="Arial"/>
        </w:rPr>
      </w:pPr>
      <w:r w:rsidRPr="00B250DB">
        <w:rPr>
          <w:rFonts w:ascii="Arial" w:hAnsi="Arial" w:cs="Arial"/>
        </w:rPr>
        <w:t>Análisis costo beneficio social (ACBS) de la solución adoptada.</w:t>
      </w:r>
    </w:p>
    <w:p w14:paraId="3007CEF6" w14:textId="77777777" w:rsidR="000316AC" w:rsidRPr="00B250DB" w:rsidRDefault="000316AC" w:rsidP="00E15EF6">
      <w:pPr>
        <w:rPr>
          <w:rFonts w:ascii="Arial" w:hAnsi="Arial" w:cs="Arial"/>
        </w:rPr>
      </w:pPr>
      <w:r w:rsidRPr="00B250DB">
        <w:rPr>
          <w:rFonts w:ascii="Arial" w:hAnsi="Arial" w:cs="Arial"/>
        </w:rPr>
        <w:t>En este caso se obvia el análisis de alternativas por tratarse de un proyecto de construcción de redes secundarias y de sistema de transporte para los que ya están definidas las cuencas por estar construido una parte importante del sistema de transporte y tratamiento. Por otro lado, los materiales y las técnicas constructivas son las tradicionales y habituales en este tipo de obra, por lo que se entiende son la opción de mínimo costo.</w:t>
      </w:r>
    </w:p>
    <w:p w14:paraId="369B9334" w14:textId="77777777" w:rsidR="000316AC" w:rsidRPr="002F507C" w:rsidRDefault="000316AC" w:rsidP="000F7BCB">
      <w:pPr>
        <w:rPr>
          <w:rFonts w:ascii="Arial" w:hAnsi="Arial" w:cs="Arial"/>
        </w:rPr>
      </w:pPr>
    </w:p>
    <w:p w14:paraId="096AF195" w14:textId="77777777" w:rsidR="000316AC" w:rsidRPr="002F507C" w:rsidRDefault="000316AC" w:rsidP="002B0107">
      <w:pPr>
        <w:pStyle w:val="Heading2"/>
        <w:numPr>
          <w:ilvl w:val="1"/>
          <w:numId w:val="67"/>
        </w:numPr>
      </w:pPr>
      <w:bookmarkStart w:id="174" w:name="_Toc479892467"/>
      <w:bookmarkStart w:id="175" w:name="_Toc485200131"/>
      <w:r w:rsidRPr="002F507C">
        <w:t>Beneficiarios y situación socioeconómica.</w:t>
      </w:r>
      <w:bookmarkEnd w:id="174"/>
      <w:bookmarkEnd w:id="175"/>
    </w:p>
    <w:p w14:paraId="66C2A3BD" w14:textId="77777777" w:rsidR="000316AC" w:rsidRPr="002F507C" w:rsidRDefault="000316AC" w:rsidP="00E15EF6">
      <w:pPr>
        <w:rPr>
          <w:rFonts w:ascii="Arial" w:hAnsi="Arial" w:cs="Arial"/>
        </w:rPr>
      </w:pPr>
      <w:r w:rsidRPr="002F507C">
        <w:rPr>
          <w:rFonts w:ascii="Arial" w:hAnsi="Arial" w:cs="Arial"/>
        </w:rPr>
        <w:t>La identificación de los beneficiarios del proyecto surge de los estudios desarrollados por las áreas de ingeniería de la empresa.</w:t>
      </w:r>
    </w:p>
    <w:p w14:paraId="541075DB" w14:textId="77777777" w:rsidR="000316AC" w:rsidRPr="002F507C" w:rsidRDefault="000316AC" w:rsidP="00E15EF6">
      <w:pPr>
        <w:rPr>
          <w:rFonts w:ascii="Arial" w:hAnsi="Arial" w:cs="Arial"/>
        </w:rPr>
      </w:pPr>
      <w:r w:rsidRPr="002F507C">
        <w:rPr>
          <w:rFonts w:ascii="Arial" w:hAnsi="Arial" w:cs="Arial"/>
        </w:rPr>
        <w:t>Una vez determinadas las áreas en las que se desarrollarán las obras se analiza su situación socioeconómica a partir de los datos agregados a nivel de radio censal utilizando como fuente el Censo Nacional de Población y Viviendas 2010 (último disponible). Estos datos serán complementados con información proveniente de la Encuesta Permanente de Hogares correspondiente al tercer trimestre del 2016 (última base usuaria disponible para análisis público).</w:t>
      </w:r>
    </w:p>
    <w:p w14:paraId="1686377D" w14:textId="77777777" w:rsidR="000316AC" w:rsidRPr="002F507C" w:rsidRDefault="000316AC" w:rsidP="00E15EF6">
      <w:pPr>
        <w:rPr>
          <w:rFonts w:ascii="Arial" w:hAnsi="Arial" w:cs="Arial"/>
        </w:rPr>
      </w:pPr>
    </w:p>
    <w:p w14:paraId="360B8396" w14:textId="77777777" w:rsidR="000316AC" w:rsidRPr="002F507C" w:rsidRDefault="000316AC" w:rsidP="002B0107">
      <w:pPr>
        <w:pStyle w:val="Heading2"/>
        <w:numPr>
          <w:ilvl w:val="1"/>
          <w:numId w:val="17"/>
        </w:numPr>
      </w:pPr>
      <w:bookmarkStart w:id="176" w:name="_Toc479892468"/>
      <w:bookmarkStart w:id="177" w:name="_Toc485200132"/>
      <w:r w:rsidRPr="002F507C">
        <w:t>Análisis costo beneficio social (ACBS) – Transferencia de DAP.</w:t>
      </w:r>
      <w:bookmarkEnd w:id="176"/>
      <w:bookmarkEnd w:id="177"/>
    </w:p>
    <w:p w14:paraId="72C3EEC6" w14:textId="77777777" w:rsidR="000316AC" w:rsidRPr="002F507C" w:rsidRDefault="000316AC" w:rsidP="000B6CCF">
      <w:pPr>
        <w:rPr>
          <w:rFonts w:ascii="Arial" w:hAnsi="Arial" w:cs="Arial"/>
        </w:rPr>
      </w:pPr>
      <w:r w:rsidRPr="002F507C">
        <w:rPr>
          <w:rFonts w:ascii="Arial" w:hAnsi="Arial" w:cs="Arial"/>
        </w:rPr>
        <w:t>El análisis a realizar será del tipo Costo – Beneficio social. En tal sentido, dado que las obras a financiar mediante la operación de préstamo en el área de la cuenca tienen distintos alcances, los impactos económico – sociales son nivelados incluyendo todas las obras que complementan a las incluidas en el financiamiento de modo tal de considerar la totalidad de los costos junto con la totalidad de los beneficios. En el caso particular de la cuenca de la Planta Las Catonas la unidad de proyecto está definida por la capacidad del nuevo módulo a construir (210.000 habitantes adicionales), el que permitirá, junto con la actual capacidad remanente de la planta, dar servicio a 68.000 hogares que aún no cuentan con los mismos dentro de la cuenca. Esta situación obliga a contemplar junto con la planta a todas las obras básicas faltantes así como a la totalidad de las redes secundarias asociadas.</w:t>
      </w:r>
    </w:p>
    <w:p w14:paraId="61AC279A" w14:textId="77777777" w:rsidR="000316AC" w:rsidRPr="002F507C" w:rsidRDefault="000316AC" w:rsidP="000B6CCF">
      <w:pPr>
        <w:rPr>
          <w:rFonts w:ascii="Arial" w:hAnsi="Arial" w:cs="Arial"/>
        </w:rPr>
      </w:pPr>
      <w:r w:rsidRPr="002F507C">
        <w:rPr>
          <w:rFonts w:ascii="Arial" w:hAnsi="Arial" w:cs="Arial"/>
        </w:rPr>
        <w:t>De acuerdo con la práctica habitual en la materia, los costos del proyecto (inversión, operación, mantenimiento y gastos a cargo de los hogares beneficiarios) son llevados a sus precios sociales mediante la aplicación de coeficientes conocidos como razones de precio de cuenta, lo que implica descomponer los mismos en sus distintos rubros de relevancia económica.</w:t>
      </w:r>
    </w:p>
    <w:p w14:paraId="24781A96" w14:textId="77777777" w:rsidR="000316AC" w:rsidRPr="002F507C" w:rsidRDefault="000316AC" w:rsidP="00E72BB7">
      <w:pPr>
        <w:rPr>
          <w:rFonts w:ascii="Arial" w:hAnsi="Arial" w:cs="Arial"/>
        </w:rPr>
      </w:pPr>
      <w:r w:rsidRPr="002F507C">
        <w:rPr>
          <w:rFonts w:ascii="Arial" w:hAnsi="Arial" w:cs="Arial"/>
        </w:rPr>
        <w:t>En el caso de los beneficios el método adoptado en esta oportunidad es el de valoración contingente a partir de la transferencia de resultados observados en proyectos similares evaluados en el área. En el capítulo IV se detalla la metodología y los ajustes aplicados a fin de realizar la transferencia de beneficios.</w:t>
      </w:r>
    </w:p>
    <w:p w14:paraId="2EA0A597" w14:textId="77777777" w:rsidR="000316AC" w:rsidRDefault="000316AC" w:rsidP="003B1C14"/>
    <w:p w14:paraId="63FD5510" w14:textId="77777777" w:rsidR="000316AC" w:rsidRDefault="000316AC">
      <w:pPr>
        <w:jc w:val="left"/>
      </w:pPr>
      <w:r>
        <w:br w:type="page"/>
      </w:r>
    </w:p>
    <w:p w14:paraId="2D0D9AA7" w14:textId="77777777" w:rsidR="000316AC" w:rsidRDefault="000316AC" w:rsidP="00F5783E">
      <w:pPr>
        <w:pStyle w:val="Heading1"/>
      </w:pPr>
      <w:bookmarkStart w:id="178" w:name="_Toc479892469"/>
      <w:bookmarkStart w:id="179" w:name="_Toc485200133"/>
      <w:r>
        <w:t>Capítulo II: Beneficiarios.</w:t>
      </w:r>
      <w:bookmarkEnd w:id="178"/>
      <w:bookmarkEnd w:id="179"/>
    </w:p>
    <w:p w14:paraId="7DF2C8D6" w14:textId="77777777" w:rsidR="000316AC" w:rsidRDefault="000316AC" w:rsidP="00DC6E12"/>
    <w:p w14:paraId="660FC794" w14:textId="77777777" w:rsidR="000316AC" w:rsidRDefault="000316AC" w:rsidP="002B0107">
      <w:pPr>
        <w:pStyle w:val="Heading2"/>
        <w:numPr>
          <w:ilvl w:val="0"/>
          <w:numId w:val="68"/>
        </w:numPr>
      </w:pPr>
      <w:bookmarkStart w:id="180" w:name="_Toc479892470"/>
      <w:bookmarkStart w:id="181" w:name="_Toc485200134"/>
      <w:r>
        <w:t>Determinación de beneficiarios.</w:t>
      </w:r>
      <w:bookmarkEnd w:id="180"/>
      <w:bookmarkEnd w:id="181"/>
    </w:p>
    <w:p w14:paraId="06687321" w14:textId="77777777" w:rsidR="000316AC" w:rsidRPr="00E36BB5" w:rsidRDefault="000316AC" w:rsidP="000A7F56">
      <w:pPr>
        <w:rPr>
          <w:rFonts w:ascii="Arial" w:hAnsi="Arial" w:cs="Arial"/>
        </w:rPr>
      </w:pPr>
      <w:r w:rsidRPr="00E36BB5">
        <w:rPr>
          <w:rFonts w:ascii="Arial" w:hAnsi="Arial" w:cs="Arial"/>
        </w:rPr>
        <w:t xml:space="preserve">Como se señaló el proyecto se desarrolla en el territorio de los partidos de Moreno y San Miguel que forma parte del segundo cordón del Área Metropolitana con la que posee continuidad en términos físicos, económicos y funcionales. En términos de superficies, población y densidad los partidos beneficiarios del proyecto presentan las siguientes características: </w:t>
      </w:r>
    </w:p>
    <w:p w14:paraId="70155DDA" w14:textId="77777777" w:rsidR="000316AC" w:rsidRDefault="000316AC" w:rsidP="000A7F56"/>
    <w:p w14:paraId="7EBE5C1E" w14:textId="1F53B69B" w:rsidR="000316AC" w:rsidRDefault="000316AC" w:rsidP="00867FB7">
      <w:pPr>
        <w:pStyle w:val="Caption"/>
      </w:pPr>
      <w:r>
        <w:t xml:space="preserve">Tabla </w:t>
      </w:r>
      <w:r w:rsidR="00E36BB5">
        <w:t>II-</w:t>
      </w:r>
      <w:r w:rsidR="005C1A74">
        <w:fldChar w:fldCharType="begin"/>
      </w:r>
      <w:r w:rsidR="005C1A74">
        <w:instrText xml:space="preserve"> SEQ Tabla \* ARABIC </w:instrText>
      </w:r>
      <w:r w:rsidR="005C1A74">
        <w:fldChar w:fldCharType="separate"/>
      </w:r>
      <w:r>
        <w:rPr>
          <w:noProof/>
        </w:rPr>
        <w:t>1</w:t>
      </w:r>
      <w:r w:rsidR="005C1A74">
        <w:rPr>
          <w:noProof/>
        </w:rPr>
        <w:fldChar w:fldCharType="end"/>
      </w:r>
      <w:r>
        <w:t xml:space="preserve">: </w:t>
      </w:r>
      <w:r w:rsidRPr="00CE30E3">
        <w:t>Población y densidad de los partidos</w:t>
      </w:r>
      <w:r>
        <w:t xml:space="preserve"> beneficiarios.</w:t>
      </w:r>
    </w:p>
    <w:p w14:paraId="67E0E8B3" w14:textId="77777777" w:rsidR="000316AC" w:rsidRDefault="000316AC" w:rsidP="003B1C14">
      <w:r w:rsidRPr="000A7F56">
        <w:rPr>
          <w:noProof/>
          <w:lang w:eastAsia="es-AR"/>
        </w:rPr>
        <w:drawing>
          <wp:inline distT="0" distB="0" distL="0" distR="0" wp14:anchorId="035ECCC5" wp14:editId="66E264BD">
            <wp:extent cx="3625850" cy="1454785"/>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25850" cy="1454785"/>
                    </a:xfrm>
                    <a:prstGeom prst="rect">
                      <a:avLst/>
                    </a:prstGeom>
                    <a:noFill/>
                    <a:ln>
                      <a:noFill/>
                    </a:ln>
                  </pic:spPr>
                </pic:pic>
              </a:graphicData>
            </a:graphic>
          </wp:inline>
        </w:drawing>
      </w:r>
    </w:p>
    <w:p w14:paraId="3A4C1A55" w14:textId="77777777" w:rsidR="000316AC" w:rsidRPr="00E36BB5" w:rsidRDefault="000316AC" w:rsidP="00DC6E12">
      <w:pPr>
        <w:rPr>
          <w:rFonts w:ascii="Arial" w:hAnsi="Arial" w:cs="Arial"/>
        </w:rPr>
      </w:pPr>
      <w:r w:rsidRPr="00E36BB5">
        <w:rPr>
          <w:rFonts w:ascii="Arial" w:hAnsi="Arial" w:cs="Arial"/>
        </w:rPr>
        <w:t>La provisión de servicio cloacal es una demanda de los habitantes de esta región y su materialización es motivo de fuertes expectativas.</w:t>
      </w:r>
    </w:p>
    <w:p w14:paraId="149AF9A9" w14:textId="7D5FCECD" w:rsidR="000316AC" w:rsidRPr="00E36BB5" w:rsidRDefault="000316AC" w:rsidP="00DC6E12">
      <w:pPr>
        <w:rPr>
          <w:rFonts w:ascii="Arial" w:hAnsi="Arial" w:cs="Arial"/>
        </w:rPr>
      </w:pPr>
      <w:r w:rsidRPr="00E36BB5">
        <w:rPr>
          <w:rFonts w:ascii="Arial" w:hAnsi="Arial" w:cs="Arial"/>
        </w:rPr>
        <w:t>Considerando la información del CNPV 2010, disponible a nivel de radio censal, las áreas y la población sin servicio cloacal en los partidos beneficiarios proyectada a 2017 es la siguiente</w:t>
      </w:r>
      <w:r w:rsidR="00E36BB5">
        <w:rPr>
          <w:rFonts w:ascii="Arial" w:hAnsi="Arial" w:cs="Arial"/>
        </w:rPr>
        <w:t xml:space="preserve"> Tabla.</w:t>
      </w:r>
    </w:p>
    <w:p w14:paraId="18688683" w14:textId="77777777" w:rsidR="000316AC" w:rsidRDefault="000316AC" w:rsidP="00DC6E12"/>
    <w:p w14:paraId="7CFD1951" w14:textId="29736622" w:rsidR="000316AC" w:rsidRDefault="000316AC" w:rsidP="00DC6E12">
      <w:pPr>
        <w:pStyle w:val="Caption"/>
      </w:pPr>
      <w:r>
        <w:t xml:space="preserve">Tabla </w:t>
      </w:r>
      <w:r w:rsidR="00E36BB5">
        <w:t>II-</w:t>
      </w:r>
      <w:r w:rsidR="005C1A74">
        <w:fldChar w:fldCharType="begin"/>
      </w:r>
      <w:r w:rsidR="005C1A74">
        <w:instrText xml:space="preserve"> SEQ Tabla \* ARABIC </w:instrText>
      </w:r>
      <w:r w:rsidR="005C1A74">
        <w:fldChar w:fldCharType="separate"/>
      </w:r>
      <w:r>
        <w:rPr>
          <w:noProof/>
        </w:rPr>
        <w:t>2</w:t>
      </w:r>
      <w:r w:rsidR="005C1A74">
        <w:rPr>
          <w:noProof/>
        </w:rPr>
        <w:fldChar w:fldCharType="end"/>
      </w:r>
      <w:r>
        <w:t>: Áreas, p</w:t>
      </w:r>
      <w:r w:rsidRPr="00C72F19">
        <w:t xml:space="preserve">oblación y densidad </w:t>
      </w:r>
      <w:r>
        <w:t>RC sin servicio cloacal.</w:t>
      </w:r>
    </w:p>
    <w:p w14:paraId="14C12E71" w14:textId="77777777" w:rsidR="000316AC" w:rsidRDefault="000316AC" w:rsidP="00DC6E12">
      <w:r w:rsidRPr="00E335A7">
        <w:rPr>
          <w:noProof/>
          <w:lang w:eastAsia="es-AR"/>
        </w:rPr>
        <w:drawing>
          <wp:inline distT="0" distB="0" distL="0" distR="0" wp14:anchorId="163F8D94" wp14:editId="1F271992">
            <wp:extent cx="4451478" cy="1304925"/>
            <wp:effectExtent l="0" t="0" r="6350" b="0"/>
            <wp:docPr id="4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56181" cy="1306304"/>
                    </a:xfrm>
                    <a:prstGeom prst="rect">
                      <a:avLst/>
                    </a:prstGeom>
                    <a:noFill/>
                    <a:ln>
                      <a:noFill/>
                    </a:ln>
                  </pic:spPr>
                </pic:pic>
              </a:graphicData>
            </a:graphic>
          </wp:inline>
        </w:drawing>
      </w:r>
      <w:r w:rsidRPr="00E335A7">
        <w:t xml:space="preserve"> </w:t>
      </w:r>
    </w:p>
    <w:p w14:paraId="06344105" w14:textId="77777777" w:rsidR="00D86A60" w:rsidRDefault="00D86A60" w:rsidP="00867FB7">
      <w:pPr>
        <w:rPr>
          <w:rFonts w:ascii="Arial" w:hAnsi="Arial" w:cs="Arial"/>
        </w:rPr>
      </w:pPr>
      <w:r>
        <w:rPr>
          <w:rFonts w:ascii="Arial" w:hAnsi="Arial" w:cs="Arial"/>
        </w:rPr>
        <w:t>La Tabla</w:t>
      </w:r>
      <w:r w:rsidRPr="00D86A60">
        <w:rPr>
          <w:rFonts w:ascii="Arial" w:hAnsi="Arial" w:cs="Arial"/>
        </w:rPr>
        <w:t xml:space="preserve"> II.1 se refiere a la población total de los municipios considerados de acuerdo con los resultados del CNPV2010, es decir que incluye habitantes servidos y no servidos, sirviendo de marco general del proyecto. </w:t>
      </w:r>
      <w:r>
        <w:rPr>
          <w:rFonts w:ascii="Arial" w:hAnsi="Arial" w:cs="Arial"/>
        </w:rPr>
        <w:t>La Tabla</w:t>
      </w:r>
      <w:r w:rsidRPr="00D86A60">
        <w:rPr>
          <w:rFonts w:ascii="Arial" w:hAnsi="Arial" w:cs="Arial"/>
        </w:rPr>
        <w:t xml:space="preserve"> II.2 corresponde a la población de tales partidos al año 2010 y que al año 201</w:t>
      </w:r>
      <w:r>
        <w:rPr>
          <w:rFonts w:ascii="Arial" w:hAnsi="Arial" w:cs="Arial"/>
        </w:rPr>
        <w:t>7</w:t>
      </w:r>
      <w:r w:rsidRPr="00D86A60">
        <w:rPr>
          <w:rFonts w:ascii="Arial" w:hAnsi="Arial" w:cs="Arial"/>
        </w:rPr>
        <w:t xml:space="preserve"> no estaba servida con desagües cloacales (población de los radios censa</w:t>
      </w:r>
      <w:r>
        <w:rPr>
          <w:rFonts w:ascii="Arial" w:hAnsi="Arial" w:cs="Arial"/>
        </w:rPr>
        <w:t>les 2010 no servidos al año 2017</w:t>
      </w:r>
      <w:r w:rsidRPr="00D86A60">
        <w:rPr>
          <w:rFonts w:ascii="Arial" w:hAnsi="Arial" w:cs="Arial"/>
        </w:rPr>
        <w:t>).</w:t>
      </w:r>
    </w:p>
    <w:p w14:paraId="521F5BD3" w14:textId="41F267F4" w:rsidR="000316AC" w:rsidRPr="00E36BB5" w:rsidRDefault="000316AC" w:rsidP="00867FB7">
      <w:pPr>
        <w:rPr>
          <w:rFonts w:ascii="Arial" w:hAnsi="Arial" w:cs="Arial"/>
        </w:rPr>
      </w:pPr>
      <w:r w:rsidRPr="00E36BB5">
        <w:rPr>
          <w:rFonts w:ascii="Arial" w:hAnsi="Arial" w:cs="Arial"/>
        </w:rPr>
        <w:t xml:space="preserve">La ejecución del proyecto que se analiza en el presente informe permitirá un considerable incremento de la cobertura del servicio, proyectándose los escenarios de la </w:t>
      </w:r>
      <w:r w:rsidRPr="00E36BB5">
        <w:rPr>
          <w:rFonts w:ascii="Arial" w:hAnsi="Arial" w:cs="Arial"/>
        </w:rPr>
        <w:fldChar w:fldCharType="begin"/>
      </w:r>
      <w:r w:rsidRPr="00E36BB5">
        <w:rPr>
          <w:rFonts w:ascii="Arial" w:hAnsi="Arial" w:cs="Arial"/>
        </w:rPr>
        <w:instrText xml:space="preserve"> REF _Ref479873250 \h </w:instrText>
      </w:r>
      <w:r w:rsidR="00E36BB5">
        <w:rPr>
          <w:rFonts w:ascii="Arial" w:hAnsi="Arial" w:cs="Arial"/>
        </w:rPr>
        <w:instrText xml:space="preserve"> \* MERGEFORMAT </w:instrText>
      </w:r>
      <w:r w:rsidRPr="00E36BB5">
        <w:rPr>
          <w:rFonts w:ascii="Arial" w:hAnsi="Arial" w:cs="Arial"/>
        </w:rPr>
      </w:r>
      <w:r w:rsidRPr="00E36BB5">
        <w:rPr>
          <w:rFonts w:ascii="Arial" w:hAnsi="Arial" w:cs="Arial"/>
        </w:rPr>
        <w:fldChar w:fldCharType="separate"/>
      </w:r>
      <w:r w:rsidRPr="00E36BB5">
        <w:rPr>
          <w:rFonts w:ascii="Arial" w:hAnsi="Arial" w:cs="Arial"/>
        </w:rPr>
        <w:t xml:space="preserve">Tabla </w:t>
      </w:r>
      <w:r w:rsidR="00E36BB5">
        <w:rPr>
          <w:rFonts w:ascii="Arial" w:hAnsi="Arial" w:cs="Arial"/>
        </w:rPr>
        <w:t>II-</w:t>
      </w:r>
      <w:r w:rsidRPr="00E36BB5">
        <w:rPr>
          <w:rFonts w:ascii="Arial" w:hAnsi="Arial" w:cs="Arial"/>
          <w:noProof/>
        </w:rPr>
        <w:t>3</w:t>
      </w:r>
      <w:r w:rsidRPr="00E36BB5">
        <w:rPr>
          <w:rFonts w:ascii="Arial" w:hAnsi="Arial" w:cs="Arial"/>
        </w:rPr>
        <w:fldChar w:fldCharType="end"/>
      </w:r>
      <w:r w:rsidRPr="00E36BB5">
        <w:rPr>
          <w:rFonts w:ascii="Arial" w:hAnsi="Arial" w:cs="Arial"/>
        </w:rPr>
        <w:t>, calculando las poblaciones a los años 2017 y 2022 (fin del proyecto)</w:t>
      </w:r>
      <w:r w:rsidR="00D86A60" w:rsidRPr="00D86A60">
        <w:rPr>
          <w:rStyle w:val="Heading3Char"/>
          <w:rFonts w:ascii="Times New Roman" w:hAnsi="Times New Roman"/>
        </w:rPr>
        <w:t xml:space="preserve"> </w:t>
      </w:r>
      <w:r w:rsidR="00D86A60">
        <w:rPr>
          <w:rStyle w:val="FootnoteReference"/>
          <w:rFonts w:ascii="Times New Roman" w:hAnsi="Times New Roman"/>
        </w:rPr>
        <w:footnoteReference w:id="15"/>
      </w:r>
      <w:r w:rsidRPr="00E36BB5">
        <w:rPr>
          <w:rFonts w:ascii="Arial" w:hAnsi="Arial" w:cs="Arial"/>
        </w:rPr>
        <w:t>.</w:t>
      </w:r>
    </w:p>
    <w:p w14:paraId="18127F07" w14:textId="3E0D3262" w:rsidR="000316AC" w:rsidRDefault="000316AC" w:rsidP="00DC6E12">
      <w:pPr>
        <w:pStyle w:val="Caption"/>
      </w:pPr>
      <w:bookmarkStart w:id="182" w:name="_Ref479873250"/>
      <w:r>
        <w:t xml:space="preserve">Tabla </w:t>
      </w:r>
      <w:r w:rsidR="00E36BB5">
        <w:t>II-</w:t>
      </w:r>
      <w:r w:rsidR="005C1A74">
        <w:fldChar w:fldCharType="begin"/>
      </w:r>
      <w:r w:rsidR="005C1A74">
        <w:instrText xml:space="preserve"> SEQ Tabla \* ARABIC </w:instrText>
      </w:r>
      <w:r w:rsidR="005C1A74">
        <w:fldChar w:fldCharType="separate"/>
      </w:r>
      <w:r>
        <w:rPr>
          <w:noProof/>
        </w:rPr>
        <w:t>3</w:t>
      </w:r>
      <w:r w:rsidR="005C1A74">
        <w:rPr>
          <w:noProof/>
        </w:rPr>
        <w:fldChar w:fldCharType="end"/>
      </w:r>
      <w:bookmarkEnd w:id="182"/>
      <w:r>
        <w:t xml:space="preserve">: </w:t>
      </w:r>
      <w:r w:rsidRPr="00A211FC">
        <w:t>Evolución de cobertu</w:t>
      </w:r>
      <w:r>
        <w:t>ra asociada al proyecto– Datos de cobertura ajustados.</w:t>
      </w:r>
    </w:p>
    <w:p w14:paraId="189FED10" w14:textId="77777777" w:rsidR="000316AC" w:rsidRDefault="000316AC" w:rsidP="003B1C14">
      <w:r w:rsidRPr="00F97E34">
        <w:rPr>
          <w:noProof/>
          <w:lang w:eastAsia="es-AR"/>
        </w:rPr>
        <w:drawing>
          <wp:inline distT="0" distB="0" distL="0" distR="0" wp14:anchorId="3A0CAF5C" wp14:editId="13B0348A">
            <wp:extent cx="4399280" cy="2579370"/>
            <wp:effectExtent l="0" t="0" r="1270" b="0"/>
            <wp:docPr id="49"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99280" cy="2579370"/>
                    </a:xfrm>
                    <a:prstGeom prst="rect">
                      <a:avLst/>
                    </a:prstGeom>
                    <a:noFill/>
                    <a:ln>
                      <a:noFill/>
                    </a:ln>
                  </pic:spPr>
                </pic:pic>
              </a:graphicData>
            </a:graphic>
          </wp:inline>
        </w:drawing>
      </w:r>
      <w:r w:rsidRPr="00F21921">
        <w:t xml:space="preserve"> </w:t>
      </w:r>
    </w:p>
    <w:p w14:paraId="4A563729" w14:textId="77777777" w:rsidR="000316AC" w:rsidRPr="00D60095" w:rsidRDefault="000316AC" w:rsidP="002B0107">
      <w:pPr>
        <w:pStyle w:val="Heading2"/>
        <w:numPr>
          <w:ilvl w:val="0"/>
          <w:numId w:val="68"/>
        </w:numPr>
      </w:pPr>
      <w:bookmarkStart w:id="183" w:name="_Toc479892471"/>
      <w:bookmarkStart w:id="184" w:name="_Toc485200135"/>
      <w:r w:rsidRPr="00D60095">
        <w:t>Caracterización socioeconómica.</w:t>
      </w:r>
      <w:bookmarkEnd w:id="183"/>
      <w:bookmarkEnd w:id="184"/>
    </w:p>
    <w:p w14:paraId="688EEA25" w14:textId="77777777" w:rsidR="000316AC" w:rsidRPr="00D60095" w:rsidRDefault="000316AC" w:rsidP="00453205">
      <w:pPr>
        <w:rPr>
          <w:rFonts w:ascii="Arial" w:hAnsi="Arial" w:cs="Arial"/>
        </w:rPr>
      </w:pPr>
      <w:r w:rsidRPr="00D60095">
        <w:rPr>
          <w:rFonts w:ascii="Arial" w:hAnsi="Arial" w:cs="Arial"/>
        </w:rPr>
        <w:t>A efectos de realizar la caracterización socioeconómica de los beneficiarios, la ausencia de una encuesta dedicada, obliga a recurrir a fuentes secundarias.</w:t>
      </w:r>
    </w:p>
    <w:p w14:paraId="4DB98DDE" w14:textId="77777777" w:rsidR="000316AC" w:rsidRPr="00D60095" w:rsidRDefault="000316AC" w:rsidP="00453205">
      <w:pPr>
        <w:rPr>
          <w:rFonts w:ascii="Arial" w:hAnsi="Arial" w:cs="Arial"/>
        </w:rPr>
      </w:pPr>
      <w:r w:rsidRPr="00D60095">
        <w:rPr>
          <w:rFonts w:ascii="Arial" w:hAnsi="Arial" w:cs="Arial"/>
        </w:rPr>
        <w:t>Las fuentes disponibles a tal efecto son básicamente dos:</w:t>
      </w:r>
    </w:p>
    <w:p w14:paraId="62846439" w14:textId="77777777" w:rsidR="000316AC" w:rsidRPr="00D60095" w:rsidRDefault="000316AC" w:rsidP="00C4100D">
      <w:pPr>
        <w:numPr>
          <w:ilvl w:val="0"/>
          <w:numId w:val="10"/>
        </w:numPr>
        <w:spacing w:before="120" w:after="120" w:line="360" w:lineRule="auto"/>
        <w:rPr>
          <w:rFonts w:ascii="Arial" w:hAnsi="Arial" w:cs="Arial"/>
        </w:rPr>
      </w:pPr>
      <w:r w:rsidRPr="00D60095">
        <w:rPr>
          <w:rFonts w:ascii="Arial" w:hAnsi="Arial" w:cs="Arial"/>
        </w:rPr>
        <w:t>Datos del Censo 2010, agregados por radio censal</w:t>
      </w:r>
      <w:r w:rsidRPr="00D60095">
        <w:rPr>
          <w:rStyle w:val="FootnoteReference"/>
          <w:rFonts w:ascii="Arial" w:hAnsi="Arial" w:cs="Arial"/>
        </w:rPr>
        <w:footnoteReference w:id="16"/>
      </w:r>
      <w:r w:rsidRPr="00D60095">
        <w:rPr>
          <w:rFonts w:ascii="Arial" w:hAnsi="Arial" w:cs="Arial"/>
        </w:rPr>
        <w:t>.</w:t>
      </w:r>
    </w:p>
    <w:p w14:paraId="0C05D21A" w14:textId="77777777" w:rsidR="000316AC" w:rsidRPr="00D60095" w:rsidRDefault="000316AC" w:rsidP="00C4100D">
      <w:pPr>
        <w:numPr>
          <w:ilvl w:val="0"/>
          <w:numId w:val="10"/>
        </w:numPr>
        <w:spacing w:before="120" w:after="120" w:line="360" w:lineRule="auto"/>
        <w:rPr>
          <w:rFonts w:ascii="Arial" w:hAnsi="Arial" w:cs="Arial"/>
        </w:rPr>
      </w:pPr>
      <w:r w:rsidRPr="00D60095">
        <w:rPr>
          <w:rFonts w:ascii="Arial" w:hAnsi="Arial" w:cs="Arial"/>
        </w:rPr>
        <w:t>Datos provenientes de la Encuesta Permanente de Hogares (EPH) continua realizada por el INDEC.</w:t>
      </w:r>
    </w:p>
    <w:p w14:paraId="5659D86E" w14:textId="77777777" w:rsidR="000316AC" w:rsidRPr="00D60095" w:rsidRDefault="000316AC" w:rsidP="00453205">
      <w:pPr>
        <w:rPr>
          <w:rFonts w:ascii="Arial" w:hAnsi="Arial" w:cs="Arial"/>
        </w:rPr>
      </w:pPr>
      <w:r w:rsidRPr="00D60095">
        <w:rPr>
          <w:rFonts w:ascii="Arial" w:hAnsi="Arial" w:cs="Arial"/>
        </w:rPr>
        <w:t>En el caso de los datos censales, se posee un elevado nivel de detalle y desagregación ya que la unidad territorial de la información es muy pequeña (agregado de 350 hogares aproximadamente y según la densidad). Esto permite circunscribir claramente las áreas y obtener información precisa de los beneficiarios. Como contrapartida, esta información data del 2010 y no presenta datos de ingresos monetarios, por lo que deben ser suplidos por otros indicadores.</w:t>
      </w:r>
    </w:p>
    <w:p w14:paraId="4FD0DB83" w14:textId="77777777" w:rsidR="000316AC" w:rsidRPr="001467B8" w:rsidRDefault="000316AC" w:rsidP="00453205">
      <w:pPr>
        <w:rPr>
          <w:rFonts w:ascii="Arial" w:hAnsi="Arial" w:cs="Arial"/>
        </w:rPr>
      </w:pPr>
      <w:r w:rsidRPr="001467B8">
        <w:rPr>
          <w:rFonts w:ascii="Arial" w:hAnsi="Arial" w:cs="Arial"/>
        </w:rPr>
        <w:t>Por el contrario, la EPH se encuentra publicada hasta el 3º trimestre del 2016 con detalle de los ingresos y medios de vida, pero su nivel de desagregación mínimo es la sub región Gran Buenos Aires / sub región Ciudad de Buenos Aires.</w:t>
      </w:r>
    </w:p>
    <w:p w14:paraId="1A820B7B" w14:textId="77777777" w:rsidR="000316AC" w:rsidRPr="001467B8" w:rsidRDefault="000316AC" w:rsidP="00453205">
      <w:pPr>
        <w:rPr>
          <w:rFonts w:ascii="Arial" w:hAnsi="Arial" w:cs="Arial"/>
        </w:rPr>
      </w:pPr>
      <w:r w:rsidRPr="001467B8">
        <w:rPr>
          <w:rFonts w:ascii="Arial" w:hAnsi="Arial" w:cs="Arial"/>
        </w:rPr>
        <w:t>Dados estos límites impuestos por los datos disponibles, se complementarán ambas fuentes obteniendo una caracterización detallada de la población a partir de los datos censales para luego actualizar su información o inferir ingresos a partir de la transferencia desde la EPH.</w:t>
      </w:r>
    </w:p>
    <w:p w14:paraId="09FF2DD3" w14:textId="38F69129" w:rsidR="000316AC" w:rsidRPr="001467B8" w:rsidRDefault="000316AC" w:rsidP="00453205">
      <w:pPr>
        <w:rPr>
          <w:rFonts w:ascii="Arial" w:hAnsi="Arial" w:cs="Arial"/>
        </w:rPr>
      </w:pPr>
      <w:r w:rsidRPr="0059118E">
        <w:rPr>
          <w:rFonts w:ascii="Arial" w:hAnsi="Arial" w:cs="Arial"/>
        </w:rPr>
        <w:t xml:space="preserve">En Anexo </w:t>
      </w:r>
      <w:r w:rsidR="001467B8" w:rsidRPr="0059118E">
        <w:rPr>
          <w:rFonts w:ascii="Arial" w:hAnsi="Arial" w:cs="Arial"/>
        </w:rPr>
        <w:t>1</w:t>
      </w:r>
      <w:r w:rsidRPr="0059118E">
        <w:rPr>
          <w:rFonts w:ascii="Arial" w:hAnsi="Arial" w:cs="Arial"/>
        </w:rPr>
        <w:t xml:space="preserve"> se presentan</w:t>
      </w:r>
      <w:r w:rsidRPr="001467B8">
        <w:rPr>
          <w:rFonts w:ascii="Arial" w:hAnsi="Arial" w:cs="Arial"/>
        </w:rPr>
        <w:t xml:space="preserve"> las notas metodológicas referidas al análisis socioeconómico.</w:t>
      </w:r>
    </w:p>
    <w:p w14:paraId="1D8DBDB6" w14:textId="77777777" w:rsidR="000316AC" w:rsidRPr="001467B8" w:rsidRDefault="000316AC" w:rsidP="00453205">
      <w:pPr>
        <w:rPr>
          <w:rFonts w:ascii="Arial" w:hAnsi="Arial" w:cs="Arial"/>
        </w:rPr>
      </w:pPr>
      <w:r w:rsidRPr="001467B8">
        <w:rPr>
          <w:rFonts w:ascii="Arial" w:hAnsi="Arial" w:cs="Arial"/>
        </w:rPr>
        <w:t>En términos generales, la población de estos municipios presenta características socioeconómicas típicas del conurbano bonaerense, reflejándose en su geografía los problemas propios de situaciones de fragmentación social con la presencia de niveles de extrema pobreza. En el caso de la región oeste, segundo y tercer cordón del GBA se destaca una marcada preponderancia de áreas pobres con importantes bolsones de población vulnerable.</w:t>
      </w:r>
    </w:p>
    <w:p w14:paraId="61B3C296" w14:textId="77777777" w:rsidR="000316AC" w:rsidRPr="001467B8" w:rsidRDefault="000316AC" w:rsidP="00453205">
      <w:pPr>
        <w:rPr>
          <w:rFonts w:ascii="Arial" w:hAnsi="Arial" w:cs="Arial"/>
        </w:rPr>
      </w:pPr>
      <w:r w:rsidRPr="001467B8">
        <w:rPr>
          <w:rFonts w:ascii="Arial" w:hAnsi="Arial" w:cs="Arial"/>
        </w:rPr>
        <w:t>Uno de los indicadores que permiten reflejar la debilidad de la estructura socioeconómica es la incidencia de Hogares con necesidades básicas insatisfechas (NBI). Si bien la información disponible data del año 2010 sigue constituyendo un marcador robusto de las carencias presentes en el área.</w:t>
      </w:r>
    </w:p>
    <w:p w14:paraId="483CDBAB" w14:textId="68DB80E3" w:rsidR="000316AC" w:rsidRPr="001467B8" w:rsidRDefault="000316AC" w:rsidP="00453205">
      <w:pPr>
        <w:rPr>
          <w:rFonts w:ascii="Arial" w:hAnsi="Arial" w:cs="Arial"/>
        </w:rPr>
      </w:pPr>
      <w:r w:rsidRPr="001467B8">
        <w:rPr>
          <w:rFonts w:ascii="Arial" w:hAnsi="Arial" w:cs="Arial"/>
        </w:rPr>
        <w:t xml:space="preserve">En la </w:t>
      </w:r>
      <w:r w:rsidRPr="001467B8">
        <w:rPr>
          <w:rFonts w:ascii="Arial" w:hAnsi="Arial" w:cs="Arial"/>
        </w:rPr>
        <w:fldChar w:fldCharType="begin"/>
      </w:r>
      <w:r w:rsidRPr="001467B8">
        <w:rPr>
          <w:rFonts w:ascii="Arial" w:hAnsi="Arial" w:cs="Arial"/>
        </w:rPr>
        <w:instrText xml:space="preserve"> REF _Ref479875145 \h </w:instrText>
      </w:r>
      <w:r w:rsidR="001467B8">
        <w:rPr>
          <w:rFonts w:ascii="Arial" w:hAnsi="Arial" w:cs="Arial"/>
        </w:rPr>
        <w:instrText xml:space="preserve"> \* MERGEFORMAT </w:instrText>
      </w:r>
      <w:r w:rsidRPr="001467B8">
        <w:rPr>
          <w:rFonts w:ascii="Arial" w:hAnsi="Arial" w:cs="Arial"/>
        </w:rPr>
      </w:r>
      <w:r w:rsidRPr="001467B8">
        <w:rPr>
          <w:rFonts w:ascii="Arial" w:hAnsi="Arial" w:cs="Arial"/>
        </w:rPr>
        <w:fldChar w:fldCharType="separate"/>
      </w:r>
      <w:r w:rsidR="001467B8" w:rsidRPr="001467B8">
        <w:rPr>
          <w:rFonts w:ascii="Arial" w:hAnsi="Arial" w:cs="Arial"/>
        </w:rPr>
        <w:t>Figura II-1</w:t>
      </w:r>
      <w:r w:rsidRPr="001467B8">
        <w:rPr>
          <w:rFonts w:ascii="Arial" w:hAnsi="Arial" w:cs="Arial"/>
        </w:rPr>
        <w:fldChar w:fldCharType="end"/>
      </w:r>
      <w:r w:rsidRPr="001467B8">
        <w:rPr>
          <w:rFonts w:ascii="Arial" w:hAnsi="Arial" w:cs="Arial"/>
        </w:rPr>
        <w:t xml:space="preserve"> se presentan las cantidades de hogares con y sin NBI para la totalidad de los partidos incluidos, mientras que en la </w:t>
      </w:r>
      <w:r w:rsidRPr="001467B8">
        <w:rPr>
          <w:rFonts w:ascii="Arial" w:hAnsi="Arial" w:cs="Arial"/>
        </w:rPr>
        <w:fldChar w:fldCharType="begin"/>
      </w:r>
      <w:r w:rsidRPr="001467B8">
        <w:rPr>
          <w:rFonts w:ascii="Arial" w:hAnsi="Arial" w:cs="Arial"/>
        </w:rPr>
        <w:instrText xml:space="preserve"> REF _Ref479875172 \h </w:instrText>
      </w:r>
      <w:r w:rsidR="001467B8">
        <w:rPr>
          <w:rFonts w:ascii="Arial" w:hAnsi="Arial" w:cs="Arial"/>
        </w:rPr>
        <w:instrText xml:space="preserve"> \* MERGEFORMAT </w:instrText>
      </w:r>
      <w:r w:rsidRPr="001467B8">
        <w:rPr>
          <w:rFonts w:ascii="Arial" w:hAnsi="Arial" w:cs="Arial"/>
        </w:rPr>
      </w:r>
      <w:r w:rsidRPr="001467B8">
        <w:rPr>
          <w:rFonts w:ascii="Arial" w:hAnsi="Arial" w:cs="Arial"/>
        </w:rPr>
        <w:fldChar w:fldCharType="separate"/>
      </w:r>
      <w:r w:rsidR="001467B8" w:rsidRPr="001467B8">
        <w:rPr>
          <w:rFonts w:ascii="Arial" w:hAnsi="Arial" w:cs="Arial"/>
        </w:rPr>
        <w:t>Figura II-2</w:t>
      </w:r>
      <w:r w:rsidRPr="001467B8">
        <w:rPr>
          <w:rFonts w:ascii="Arial" w:hAnsi="Arial" w:cs="Arial"/>
        </w:rPr>
        <w:fldChar w:fldCharType="end"/>
      </w:r>
      <w:r w:rsidRPr="001467B8">
        <w:rPr>
          <w:rFonts w:ascii="Arial" w:hAnsi="Arial" w:cs="Arial"/>
        </w:rPr>
        <w:t xml:space="preserve"> se presenta la misma información para los radios censales que actualmente no cuentan con el servicio de desagües cloacales.</w:t>
      </w:r>
    </w:p>
    <w:p w14:paraId="61C40D87" w14:textId="08266C4A" w:rsidR="000316AC" w:rsidRDefault="001467B8" w:rsidP="00F6723B">
      <w:pPr>
        <w:pStyle w:val="Caption"/>
      </w:pPr>
      <w:bookmarkStart w:id="185" w:name="_Ref479875145"/>
      <w:r>
        <w:t>Figura II-1:</w:t>
      </w:r>
      <w:r w:rsidR="000316AC" w:rsidRPr="001467B8">
        <w:rPr>
          <w:color w:val="FFFFFF" w:themeColor="background1"/>
        </w:rPr>
        <w:fldChar w:fldCharType="begin"/>
      </w:r>
      <w:r w:rsidR="000316AC" w:rsidRPr="001467B8">
        <w:rPr>
          <w:color w:val="FFFFFF" w:themeColor="background1"/>
        </w:rPr>
        <w:instrText xml:space="preserve"> SEQ Ilustración \* ARABIC </w:instrText>
      </w:r>
      <w:r w:rsidR="000316AC" w:rsidRPr="001467B8">
        <w:rPr>
          <w:color w:val="FFFFFF" w:themeColor="background1"/>
        </w:rPr>
        <w:fldChar w:fldCharType="separate"/>
      </w:r>
      <w:r w:rsidR="000316AC" w:rsidRPr="001467B8">
        <w:rPr>
          <w:noProof/>
          <w:color w:val="FFFFFF" w:themeColor="background1"/>
        </w:rPr>
        <w:t>5</w:t>
      </w:r>
      <w:r w:rsidR="000316AC" w:rsidRPr="001467B8">
        <w:rPr>
          <w:noProof/>
          <w:color w:val="FFFFFF" w:themeColor="background1"/>
        </w:rPr>
        <w:fldChar w:fldCharType="end"/>
      </w:r>
      <w:bookmarkEnd w:id="185"/>
      <w:r w:rsidR="000316AC" w:rsidRPr="001559B6">
        <w:t xml:space="preserve">Hogares según presencia de NBI. Total </w:t>
      </w:r>
      <w:r w:rsidR="000316AC">
        <w:t>partidos proyecto.</w:t>
      </w:r>
    </w:p>
    <w:p w14:paraId="3947EF27" w14:textId="77777777" w:rsidR="000316AC" w:rsidRDefault="000316AC" w:rsidP="00453205">
      <w:r w:rsidRPr="00F6723B">
        <w:rPr>
          <w:noProof/>
          <w:lang w:eastAsia="es-AR"/>
        </w:rPr>
        <w:drawing>
          <wp:inline distT="0" distB="0" distL="0" distR="0" wp14:anchorId="69DC5CFC" wp14:editId="45E81AFE">
            <wp:extent cx="5375275" cy="2496709"/>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381356" cy="2499534"/>
                    </a:xfrm>
                    <a:prstGeom prst="rect">
                      <a:avLst/>
                    </a:prstGeom>
                    <a:noFill/>
                    <a:ln>
                      <a:noFill/>
                    </a:ln>
                  </pic:spPr>
                </pic:pic>
              </a:graphicData>
            </a:graphic>
          </wp:inline>
        </w:drawing>
      </w:r>
    </w:p>
    <w:p w14:paraId="17AE6F5B" w14:textId="6273DABF" w:rsidR="000316AC" w:rsidRDefault="001467B8" w:rsidP="00F6723B">
      <w:pPr>
        <w:pStyle w:val="Caption"/>
      </w:pPr>
      <w:bookmarkStart w:id="186" w:name="_Ref479875172"/>
      <w:r>
        <w:t>Figura II-2:</w:t>
      </w:r>
      <w:r w:rsidR="000316AC" w:rsidRPr="001467B8">
        <w:rPr>
          <w:color w:val="FFFFFF" w:themeColor="background1"/>
        </w:rPr>
        <w:fldChar w:fldCharType="begin"/>
      </w:r>
      <w:r w:rsidR="000316AC" w:rsidRPr="001467B8">
        <w:rPr>
          <w:color w:val="FFFFFF" w:themeColor="background1"/>
        </w:rPr>
        <w:instrText xml:space="preserve"> SEQ Ilustración \* ARABIC </w:instrText>
      </w:r>
      <w:r w:rsidR="000316AC" w:rsidRPr="001467B8">
        <w:rPr>
          <w:color w:val="FFFFFF" w:themeColor="background1"/>
        </w:rPr>
        <w:fldChar w:fldCharType="separate"/>
      </w:r>
      <w:r w:rsidR="000316AC" w:rsidRPr="001467B8">
        <w:rPr>
          <w:noProof/>
          <w:color w:val="FFFFFF" w:themeColor="background1"/>
        </w:rPr>
        <w:t>6</w:t>
      </w:r>
      <w:r w:rsidR="000316AC" w:rsidRPr="001467B8">
        <w:rPr>
          <w:noProof/>
          <w:color w:val="FFFFFF" w:themeColor="background1"/>
        </w:rPr>
        <w:fldChar w:fldCharType="end"/>
      </w:r>
      <w:bookmarkEnd w:id="186"/>
      <w:r w:rsidR="000316AC" w:rsidRPr="001133D9">
        <w:t>Hogare</w:t>
      </w:r>
      <w:r w:rsidR="000316AC">
        <w:t>s según presencia de NBI. Áreas sin cloaca.</w:t>
      </w:r>
    </w:p>
    <w:p w14:paraId="19F2B4C7" w14:textId="77777777" w:rsidR="000316AC" w:rsidRDefault="000316AC" w:rsidP="00453205">
      <w:r w:rsidRPr="00F6723B">
        <w:rPr>
          <w:noProof/>
          <w:lang w:eastAsia="es-AR"/>
        </w:rPr>
        <w:drawing>
          <wp:inline distT="0" distB="0" distL="0" distR="0" wp14:anchorId="74606E3E" wp14:editId="327236E9">
            <wp:extent cx="5382895" cy="2615979"/>
            <wp:effectExtent l="0" t="0" r="825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384984" cy="2616994"/>
                    </a:xfrm>
                    <a:prstGeom prst="rect">
                      <a:avLst/>
                    </a:prstGeom>
                    <a:noFill/>
                    <a:ln>
                      <a:noFill/>
                    </a:ln>
                  </pic:spPr>
                </pic:pic>
              </a:graphicData>
            </a:graphic>
          </wp:inline>
        </w:drawing>
      </w:r>
    </w:p>
    <w:p w14:paraId="0F0DEB0C" w14:textId="77777777" w:rsidR="000316AC" w:rsidRPr="001467B8" w:rsidRDefault="000316AC" w:rsidP="00F6723B">
      <w:pPr>
        <w:rPr>
          <w:rFonts w:ascii="Arial" w:hAnsi="Arial" w:cs="Arial"/>
        </w:rPr>
      </w:pPr>
      <w:r w:rsidRPr="001467B8">
        <w:rPr>
          <w:rFonts w:ascii="Arial" w:hAnsi="Arial" w:cs="Arial"/>
        </w:rPr>
        <w:t>Según se observa, la incidencia de hogares con NBI para la totalidad de los partidos se encontraba a octubre de 2010 en torno al 9%, mientras que si se consideran las áreas sin cloaca la misma alcanza al 11%.</w:t>
      </w:r>
    </w:p>
    <w:p w14:paraId="23FEDA0B" w14:textId="77777777" w:rsidR="000316AC" w:rsidRDefault="000316AC" w:rsidP="00F6723B"/>
    <w:p w14:paraId="02FF91B2" w14:textId="77777777" w:rsidR="000316AC" w:rsidRDefault="000316AC" w:rsidP="002B0107">
      <w:pPr>
        <w:pStyle w:val="Heading2"/>
        <w:numPr>
          <w:ilvl w:val="1"/>
          <w:numId w:val="69"/>
        </w:numPr>
      </w:pPr>
      <w:bookmarkStart w:id="187" w:name="_Toc479892472"/>
      <w:bookmarkStart w:id="188" w:name="_Toc485200136"/>
      <w:r>
        <w:t>Contexto general Gran Buenos Aires.</w:t>
      </w:r>
      <w:bookmarkEnd w:id="187"/>
      <w:bookmarkEnd w:id="188"/>
    </w:p>
    <w:p w14:paraId="218507E6" w14:textId="77777777" w:rsidR="000316AC" w:rsidRPr="005C480F" w:rsidRDefault="000316AC" w:rsidP="00E95E40">
      <w:pPr>
        <w:rPr>
          <w:rFonts w:ascii="Arial" w:hAnsi="Arial" w:cs="Arial"/>
        </w:rPr>
      </w:pPr>
      <w:r w:rsidRPr="005C480F">
        <w:rPr>
          <w:rFonts w:ascii="Arial" w:hAnsi="Arial" w:cs="Arial"/>
        </w:rPr>
        <w:t xml:space="preserve">El conurbano bonaerense (Gran Buenos Aires) se caracteriza socioeconómicamente por un elevado grado de desigualdad y niveles de pobreza considerables y persistentes. </w:t>
      </w:r>
    </w:p>
    <w:p w14:paraId="078CB8CF" w14:textId="77777777" w:rsidR="000316AC" w:rsidRPr="005C480F" w:rsidRDefault="000316AC" w:rsidP="00E95E40">
      <w:pPr>
        <w:rPr>
          <w:rFonts w:ascii="Arial" w:hAnsi="Arial" w:cs="Arial"/>
        </w:rPr>
      </w:pPr>
      <w:r w:rsidRPr="005C480F">
        <w:rPr>
          <w:rFonts w:ascii="Arial" w:hAnsi="Arial" w:cs="Arial"/>
        </w:rPr>
        <w:t>En este ámbito se destaca la coincidencia de áreas pobladas por hogares pobres con relativamente baja cobertura de servicios, especialmente de cloacas, agua potable y gas natural.</w:t>
      </w:r>
    </w:p>
    <w:p w14:paraId="3C9A94CC" w14:textId="77777777" w:rsidR="000316AC" w:rsidRPr="005C480F" w:rsidRDefault="000316AC" w:rsidP="00E95E40">
      <w:pPr>
        <w:rPr>
          <w:rFonts w:ascii="Arial" w:hAnsi="Arial" w:cs="Arial"/>
        </w:rPr>
      </w:pPr>
      <w:r w:rsidRPr="005C480F">
        <w:rPr>
          <w:rFonts w:ascii="Arial" w:hAnsi="Arial" w:cs="Arial"/>
        </w:rPr>
        <w:t>La combinación de la pobreza estructural con la ausencia de una infraestructura social básica adecuada incrementa las dificultades que deben enfrentar estos hogares para salir de su condición de carencia reforzándose un proceso de reproducción de la pobreza y concentración territorial de la misma.</w:t>
      </w:r>
    </w:p>
    <w:p w14:paraId="114B2769" w14:textId="05A213F9" w:rsidR="000316AC" w:rsidRPr="005C480F" w:rsidRDefault="000316AC" w:rsidP="00E95E40">
      <w:pPr>
        <w:rPr>
          <w:rFonts w:ascii="Arial" w:hAnsi="Arial" w:cs="Arial"/>
        </w:rPr>
      </w:pPr>
      <w:r w:rsidRPr="005C480F">
        <w:rPr>
          <w:rFonts w:ascii="Arial" w:hAnsi="Arial" w:cs="Arial"/>
        </w:rPr>
        <w:t xml:space="preserve">Si bien durante los años 2003 a 2010 se observa una caída en los niveles de pobreza y de desigualdad, los valores registrados en el conurbano para los últimos años se han estabilizado y pueden considerarse aún elevados para el grado de desarrollo y volumen de la economía argentina. La </w:t>
      </w:r>
      <w:r w:rsidRPr="005C480F">
        <w:rPr>
          <w:rFonts w:ascii="Arial" w:hAnsi="Arial" w:cs="Arial"/>
        </w:rPr>
        <w:fldChar w:fldCharType="begin"/>
      </w:r>
      <w:r w:rsidRPr="005C480F">
        <w:rPr>
          <w:rFonts w:ascii="Arial" w:hAnsi="Arial" w:cs="Arial"/>
        </w:rPr>
        <w:instrText xml:space="preserve"> REF _Ref479694988 \h </w:instrText>
      </w:r>
      <w:r w:rsidR="005C480F">
        <w:rPr>
          <w:rFonts w:ascii="Arial" w:hAnsi="Arial" w:cs="Arial"/>
        </w:rPr>
        <w:instrText xml:space="preserve"> \* MERGEFORMAT </w:instrText>
      </w:r>
      <w:r w:rsidRPr="005C480F">
        <w:rPr>
          <w:rFonts w:ascii="Arial" w:hAnsi="Arial" w:cs="Arial"/>
        </w:rPr>
      </w:r>
      <w:r w:rsidRPr="005C480F">
        <w:rPr>
          <w:rFonts w:ascii="Arial" w:hAnsi="Arial" w:cs="Arial"/>
        </w:rPr>
        <w:fldChar w:fldCharType="separate"/>
      </w:r>
      <w:r w:rsidRPr="005C480F">
        <w:rPr>
          <w:rFonts w:ascii="Arial" w:hAnsi="Arial" w:cs="Arial"/>
        </w:rPr>
        <w:t xml:space="preserve">Tabla </w:t>
      </w:r>
      <w:r w:rsidR="005C480F" w:rsidRPr="005C480F">
        <w:rPr>
          <w:rFonts w:ascii="Arial" w:hAnsi="Arial" w:cs="Arial"/>
        </w:rPr>
        <w:t>II-</w:t>
      </w:r>
      <w:r w:rsidRPr="005C480F">
        <w:rPr>
          <w:rFonts w:ascii="Arial" w:hAnsi="Arial" w:cs="Arial"/>
          <w:noProof/>
        </w:rPr>
        <w:t>4</w:t>
      </w:r>
      <w:r w:rsidRPr="005C480F">
        <w:rPr>
          <w:rFonts w:ascii="Arial" w:hAnsi="Arial" w:cs="Arial"/>
        </w:rPr>
        <w:fldChar w:fldCharType="end"/>
      </w:r>
      <w:r w:rsidRPr="005C480F">
        <w:rPr>
          <w:rFonts w:ascii="Arial" w:hAnsi="Arial" w:cs="Arial"/>
        </w:rPr>
        <w:t xml:space="preserve"> presenta la evolución de los principales indicadores de desigualdad, pobreza e indigencia del conurbano bonaerense calculados en base al ingreso familiar por adulto equivalente</w:t>
      </w:r>
      <w:r w:rsidRPr="005C480F">
        <w:rPr>
          <w:rStyle w:val="FootnoteReference"/>
          <w:rFonts w:ascii="Arial" w:hAnsi="Arial" w:cs="Arial"/>
        </w:rPr>
        <w:footnoteReference w:id="17"/>
      </w:r>
      <w:r w:rsidRPr="005C480F">
        <w:rPr>
          <w:rFonts w:ascii="Arial" w:hAnsi="Arial" w:cs="Arial"/>
        </w:rPr>
        <w:t>.</w:t>
      </w:r>
    </w:p>
    <w:p w14:paraId="0B339DB2" w14:textId="61BE5989" w:rsidR="000316AC" w:rsidRPr="005C480F" w:rsidRDefault="000316AC" w:rsidP="00E95E40">
      <w:pPr>
        <w:rPr>
          <w:rFonts w:ascii="Arial" w:hAnsi="Arial" w:cs="Arial"/>
        </w:rPr>
      </w:pPr>
      <w:r w:rsidRPr="005C480F">
        <w:rPr>
          <w:rFonts w:ascii="Arial" w:hAnsi="Arial" w:cs="Arial"/>
        </w:rPr>
        <w:t xml:space="preserve">En términos de ingresos corrientes la </w:t>
      </w:r>
      <w:r w:rsidRPr="005C480F">
        <w:rPr>
          <w:rFonts w:ascii="Arial" w:hAnsi="Arial" w:cs="Arial"/>
        </w:rPr>
        <w:fldChar w:fldCharType="begin"/>
      </w:r>
      <w:r w:rsidRPr="005C480F">
        <w:rPr>
          <w:rFonts w:ascii="Arial" w:hAnsi="Arial" w:cs="Arial"/>
        </w:rPr>
        <w:instrText xml:space="preserve"> REF _Ref479695259 \h </w:instrText>
      </w:r>
      <w:r w:rsidR="005C480F">
        <w:rPr>
          <w:rFonts w:ascii="Arial" w:hAnsi="Arial" w:cs="Arial"/>
        </w:rPr>
        <w:instrText xml:space="preserve"> \* MERGEFORMAT </w:instrText>
      </w:r>
      <w:r w:rsidRPr="005C480F">
        <w:rPr>
          <w:rFonts w:ascii="Arial" w:hAnsi="Arial" w:cs="Arial"/>
        </w:rPr>
      </w:r>
      <w:r w:rsidRPr="005C480F">
        <w:rPr>
          <w:rFonts w:ascii="Arial" w:hAnsi="Arial" w:cs="Arial"/>
        </w:rPr>
        <w:fldChar w:fldCharType="separate"/>
      </w:r>
      <w:r w:rsidRPr="005C480F">
        <w:rPr>
          <w:rFonts w:ascii="Arial" w:hAnsi="Arial" w:cs="Arial"/>
        </w:rPr>
        <w:t xml:space="preserve">Tabla </w:t>
      </w:r>
      <w:r w:rsidR="005C480F" w:rsidRPr="005C480F">
        <w:rPr>
          <w:rFonts w:ascii="Arial" w:hAnsi="Arial" w:cs="Arial"/>
        </w:rPr>
        <w:t>II-</w:t>
      </w:r>
      <w:r w:rsidRPr="005C480F">
        <w:rPr>
          <w:rFonts w:ascii="Arial" w:hAnsi="Arial" w:cs="Arial"/>
          <w:noProof/>
        </w:rPr>
        <w:t>5</w:t>
      </w:r>
      <w:r w:rsidRPr="005C480F">
        <w:rPr>
          <w:rFonts w:ascii="Arial" w:hAnsi="Arial" w:cs="Arial"/>
        </w:rPr>
        <w:fldChar w:fldCharType="end"/>
      </w:r>
      <w:r w:rsidRPr="005C480F">
        <w:rPr>
          <w:rFonts w:ascii="Arial" w:hAnsi="Arial" w:cs="Arial"/>
        </w:rPr>
        <w:t xml:space="preserve">, </w:t>
      </w:r>
      <w:r w:rsidRPr="005C480F">
        <w:rPr>
          <w:rFonts w:ascii="Arial" w:hAnsi="Arial" w:cs="Arial"/>
        </w:rPr>
        <w:fldChar w:fldCharType="begin"/>
      </w:r>
      <w:r w:rsidRPr="005C480F">
        <w:rPr>
          <w:rFonts w:ascii="Arial" w:hAnsi="Arial" w:cs="Arial"/>
        </w:rPr>
        <w:instrText xml:space="preserve"> REF _Ref479695281 \h </w:instrText>
      </w:r>
      <w:r w:rsidR="005C480F">
        <w:rPr>
          <w:rFonts w:ascii="Arial" w:hAnsi="Arial" w:cs="Arial"/>
        </w:rPr>
        <w:instrText xml:space="preserve"> \* MERGEFORMAT </w:instrText>
      </w:r>
      <w:r w:rsidRPr="005C480F">
        <w:rPr>
          <w:rFonts w:ascii="Arial" w:hAnsi="Arial" w:cs="Arial"/>
        </w:rPr>
      </w:r>
      <w:r w:rsidRPr="005C480F">
        <w:rPr>
          <w:rFonts w:ascii="Arial" w:hAnsi="Arial" w:cs="Arial"/>
        </w:rPr>
        <w:fldChar w:fldCharType="separate"/>
      </w:r>
      <w:r w:rsidRPr="005C480F">
        <w:rPr>
          <w:rFonts w:ascii="Arial" w:hAnsi="Arial" w:cs="Arial"/>
        </w:rPr>
        <w:t xml:space="preserve">Tabla </w:t>
      </w:r>
      <w:r w:rsidR="005C480F" w:rsidRPr="005C480F">
        <w:rPr>
          <w:rFonts w:ascii="Arial" w:hAnsi="Arial" w:cs="Arial"/>
        </w:rPr>
        <w:t>II-</w:t>
      </w:r>
      <w:r w:rsidRPr="005C480F">
        <w:rPr>
          <w:rFonts w:ascii="Arial" w:hAnsi="Arial" w:cs="Arial"/>
          <w:noProof/>
        </w:rPr>
        <w:t>6</w:t>
      </w:r>
      <w:r w:rsidRPr="005C480F">
        <w:rPr>
          <w:rFonts w:ascii="Arial" w:hAnsi="Arial" w:cs="Arial"/>
        </w:rPr>
        <w:fldChar w:fldCharType="end"/>
      </w:r>
      <w:r w:rsidRPr="005C480F">
        <w:rPr>
          <w:rFonts w:ascii="Arial" w:hAnsi="Arial" w:cs="Arial"/>
        </w:rPr>
        <w:t xml:space="preserve"> y </w:t>
      </w:r>
      <w:r w:rsidRPr="005C480F">
        <w:rPr>
          <w:rFonts w:ascii="Arial" w:hAnsi="Arial" w:cs="Arial"/>
        </w:rPr>
        <w:fldChar w:fldCharType="begin"/>
      </w:r>
      <w:r w:rsidRPr="005C480F">
        <w:rPr>
          <w:rFonts w:ascii="Arial" w:hAnsi="Arial" w:cs="Arial"/>
        </w:rPr>
        <w:instrText xml:space="preserve"> REF _Ref479695293 \h </w:instrText>
      </w:r>
      <w:r w:rsidR="005C480F">
        <w:rPr>
          <w:rFonts w:ascii="Arial" w:hAnsi="Arial" w:cs="Arial"/>
        </w:rPr>
        <w:instrText xml:space="preserve"> \* MERGEFORMAT </w:instrText>
      </w:r>
      <w:r w:rsidRPr="005C480F">
        <w:rPr>
          <w:rFonts w:ascii="Arial" w:hAnsi="Arial" w:cs="Arial"/>
        </w:rPr>
      </w:r>
      <w:r w:rsidRPr="005C480F">
        <w:rPr>
          <w:rFonts w:ascii="Arial" w:hAnsi="Arial" w:cs="Arial"/>
        </w:rPr>
        <w:fldChar w:fldCharType="separate"/>
      </w:r>
      <w:r w:rsidRPr="005C480F">
        <w:rPr>
          <w:rFonts w:ascii="Arial" w:hAnsi="Arial" w:cs="Arial"/>
        </w:rPr>
        <w:t xml:space="preserve">Tabla </w:t>
      </w:r>
      <w:r w:rsidR="005C480F" w:rsidRPr="005C480F">
        <w:rPr>
          <w:rFonts w:ascii="Arial" w:hAnsi="Arial" w:cs="Arial"/>
        </w:rPr>
        <w:t>II-</w:t>
      </w:r>
      <w:r w:rsidRPr="005C480F">
        <w:rPr>
          <w:rFonts w:ascii="Arial" w:hAnsi="Arial" w:cs="Arial"/>
          <w:noProof/>
        </w:rPr>
        <w:t>7</w:t>
      </w:r>
      <w:r w:rsidRPr="005C480F">
        <w:rPr>
          <w:rFonts w:ascii="Arial" w:hAnsi="Arial" w:cs="Arial"/>
        </w:rPr>
        <w:fldChar w:fldCharType="end"/>
      </w:r>
      <w:r w:rsidRPr="005C480F">
        <w:rPr>
          <w:rFonts w:ascii="Arial" w:hAnsi="Arial" w:cs="Arial"/>
        </w:rPr>
        <w:t xml:space="preserve"> resumen por decil de hogares los datos de ingreso por adulto equivalente, adultos equivalentes medios de los hogares para cada decil e ingreso total familiar, siempre calculados a partir de los microdatos de la Encuesta Permanente de Hogares realizada por el INDEC.</w:t>
      </w:r>
    </w:p>
    <w:p w14:paraId="56357221" w14:textId="77777777" w:rsidR="000316AC" w:rsidRDefault="000316AC" w:rsidP="00E95E40"/>
    <w:p w14:paraId="5B684C3B" w14:textId="4F68A3A7" w:rsidR="000316AC" w:rsidRDefault="000316AC" w:rsidP="00E95E40">
      <w:pPr>
        <w:pStyle w:val="Caption"/>
      </w:pPr>
      <w:r>
        <w:t xml:space="preserve">Tabla </w:t>
      </w:r>
      <w:r w:rsidR="005C480F">
        <w:t>II-</w:t>
      </w:r>
      <w:r w:rsidR="005C1A74">
        <w:fldChar w:fldCharType="begin"/>
      </w:r>
      <w:r w:rsidR="005C1A74">
        <w:instrText xml:space="preserve"> SEQ Tabla \* ARABIC </w:instrText>
      </w:r>
      <w:r w:rsidR="005C1A74">
        <w:fldChar w:fldCharType="separate"/>
      </w:r>
      <w:r>
        <w:rPr>
          <w:noProof/>
        </w:rPr>
        <w:t>4</w:t>
      </w:r>
      <w:r w:rsidR="005C1A74">
        <w:rPr>
          <w:noProof/>
        </w:rPr>
        <w:fldChar w:fldCharType="end"/>
      </w:r>
      <w:r>
        <w:t xml:space="preserve">: </w:t>
      </w:r>
      <w:r w:rsidRPr="0095269F">
        <w:t>Evolución de indicadores de desigualdad, pobreza e indigencia GBA.</w:t>
      </w:r>
    </w:p>
    <w:p w14:paraId="4B415105" w14:textId="77777777" w:rsidR="000316AC" w:rsidRDefault="000316AC" w:rsidP="002000F7">
      <w:pPr>
        <w:pStyle w:val="NoSpacing"/>
      </w:pPr>
      <w:r w:rsidRPr="00E95E40">
        <w:rPr>
          <w:noProof/>
          <w:lang w:eastAsia="es-AR"/>
        </w:rPr>
        <w:drawing>
          <wp:inline distT="0" distB="0" distL="0" distR="0" wp14:anchorId="62B1622F" wp14:editId="4A10813C">
            <wp:extent cx="5400675" cy="3092119"/>
            <wp:effectExtent l="0" t="0" r="0" b="0"/>
            <wp:docPr id="6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675" cy="3092119"/>
                    </a:xfrm>
                    <a:prstGeom prst="rect">
                      <a:avLst/>
                    </a:prstGeom>
                    <a:noFill/>
                    <a:ln>
                      <a:noFill/>
                    </a:ln>
                  </pic:spPr>
                </pic:pic>
              </a:graphicData>
            </a:graphic>
          </wp:inline>
        </w:drawing>
      </w:r>
    </w:p>
    <w:p w14:paraId="23CE01A3" w14:textId="76188CFA" w:rsidR="000316AC" w:rsidRDefault="000316AC" w:rsidP="002000F7">
      <w:pPr>
        <w:pStyle w:val="NoSpacing"/>
      </w:pPr>
      <w:r w:rsidRPr="00E95E40">
        <w:t>Fuente: Elaboración sobre bases de microdatos EPH.</w:t>
      </w:r>
    </w:p>
    <w:p w14:paraId="3121955F" w14:textId="77777777" w:rsidR="000316AC" w:rsidRDefault="000316AC" w:rsidP="002000F7">
      <w:pPr>
        <w:pStyle w:val="NoSpacing"/>
      </w:pPr>
    </w:p>
    <w:p w14:paraId="706C181A" w14:textId="720C1AE2" w:rsidR="000316AC" w:rsidRDefault="000316AC" w:rsidP="00E95E40">
      <w:pPr>
        <w:pStyle w:val="Caption"/>
      </w:pPr>
      <w:r>
        <w:t xml:space="preserve">Tabla </w:t>
      </w:r>
      <w:r w:rsidR="005C480F">
        <w:t>II-</w:t>
      </w:r>
      <w:r w:rsidR="005C1A74">
        <w:fldChar w:fldCharType="begin"/>
      </w:r>
      <w:r w:rsidR="005C1A74">
        <w:instrText xml:space="preserve"> SEQ Tabla \* ARABIC </w:instrText>
      </w:r>
      <w:r w:rsidR="005C1A74">
        <w:fldChar w:fldCharType="separate"/>
      </w:r>
      <w:r>
        <w:rPr>
          <w:noProof/>
        </w:rPr>
        <w:t>5</w:t>
      </w:r>
      <w:r w:rsidR="005C1A74">
        <w:rPr>
          <w:noProof/>
        </w:rPr>
        <w:fldChar w:fldCharType="end"/>
      </w:r>
      <w:r>
        <w:t xml:space="preserve">: </w:t>
      </w:r>
      <w:r w:rsidRPr="008502E0">
        <w:t>Ingresos ($/mes) por adulto equivalente GBA.</w:t>
      </w:r>
    </w:p>
    <w:p w14:paraId="7DE59F4B" w14:textId="77777777" w:rsidR="000316AC" w:rsidRDefault="000316AC" w:rsidP="002000F7">
      <w:pPr>
        <w:pStyle w:val="NoSpacing"/>
      </w:pPr>
      <w:r w:rsidRPr="00E95E40">
        <w:rPr>
          <w:noProof/>
          <w:lang w:eastAsia="es-AR"/>
        </w:rPr>
        <w:drawing>
          <wp:inline distT="0" distB="0" distL="0" distR="0" wp14:anchorId="763AC4AB" wp14:editId="4797C736">
            <wp:extent cx="4866005" cy="3474720"/>
            <wp:effectExtent l="0" t="0" r="0" b="0"/>
            <wp:docPr id="6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66005" cy="3474720"/>
                    </a:xfrm>
                    <a:prstGeom prst="rect">
                      <a:avLst/>
                    </a:prstGeom>
                    <a:noFill/>
                    <a:ln>
                      <a:noFill/>
                    </a:ln>
                  </pic:spPr>
                </pic:pic>
              </a:graphicData>
            </a:graphic>
          </wp:inline>
        </w:drawing>
      </w:r>
    </w:p>
    <w:p w14:paraId="6D1CF834" w14:textId="759ADA52" w:rsidR="000316AC" w:rsidRDefault="000316AC" w:rsidP="002000F7">
      <w:pPr>
        <w:pStyle w:val="NoSpacing"/>
      </w:pPr>
      <w:r w:rsidRPr="00E95E40">
        <w:t>Fuente: Elaboración sobre bases de microdatos EPH.</w:t>
      </w:r>
    </w:p>
    <w:p w14:paraId="0B6ADBC1" w14:textId="77777777" w:rsidR="000316AC" w:rsidRDefault="000316AC" w:rsidP="00E95E40"/>
    <w:p w14:paraId="1D7D2E24" w14:textId="0209D10E" w:rsidR="000316AC" w:rsidRDefault="000316AC" w:rsidP="00E95E40">
      <w:pPr>
        <w:pStyle w:val="Caption"/>
      </w:pPr>
      <w:r>
        <w:t xml:space="preserve">Tabla </w:t>
      </w:r>
      <w:r w:rsidR="005C480F">
        <w:t>II-</w:t>
      </w:r>
      <w:r w:rsidR="005C1A74">
        <w:fldChar w:fldCharType="begin"/>
      </w:r>
      <w:r w:rsidR="005C1A74">
        <w:instrText xml:space="preserve"> SEQ Tabla \* ARABIC </w:instrText>
      </w:r>
      <w:r w:rsidR="005C1A74">
        <w:fldChar w:fldCharType="separate"/>
      </w:r>
      <w:r>
        <w:rPr>
          <w:noProof/>
        </w:rPr>
        <w:t>6</w:t>
      </w:r>
      <w:r w:rsidR="005C1A74">
        <w:rPr>
          <w:noProof/>
        </w:rPr>
        <w:fldChar w:fldCharType="end"/>
      </w:r>
      <w:r>
        <w:t xml:space="preserve">: </w:t>
      </w:r>
      <w:r w:rsidRPr="00F459C1">
        <w:t>Cantidad de adultos equivalentes por hogar en GBA.</w:t>
      </w:r>
    </w:p>
    <w:p w14:paraId="665FE94D" w14:textId="77777777" w:rsidR="000316AC" w:rsidRDefault="000316AC" w:rsidP="002000F7">
      <w:pPr>
        <w:pStyle w:val="NoSpacing"/>
      </w:pPr>
      <w:r w:rsidRPr="00E95E40">
        <w:rPr>
          <w:noProof/>
          <w:lang w:eastAsia="es-AR"/>
        </w:rPr>
        <w:drawing>
          <wp:inline distT="0" distB="0" distL="0" distR="0" wp14:anchorId="24C23C75" wp14:editId="4A96262D">
            <wp:extent cx="4866005" cy="3474720"/>
            <wp:effectExtent l="0" t="0" r="0" b="0"/>
            <wp:docPr id="6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66005" cy="3474720"/>
                    </a:xfrm>
                    <a:prstGeom prst="rect">
                      <a:avLst/>
                    </a:prstGeom>
                    <a:noFill/>
                    <a:ln>
                      <a:noFill/>
                    </a:ln>
                  </pic:spPr>
                </pic:pic>
              </a:graphicData>
            </a:graphic>
          </wp:inline>
        </w:drawing>
      </w:r>
    </w:p>
    <w:p w14:paraId="08862118" w14:textId="45DA30B8" w:rsidR="000316AC" w:rsidRDefault="000316AC" w:rsidP="002000F7">
      <w:pPr>
        <w:pStyle w:val="NoSpacing"/>
      </w:pPr>
      <w:r w:rsidRPr="00E95E40">
        <w:t>Fuente: Elaboración sobre bases de microdatos EPH.</w:t>
      </w:r>
    </w:p>
    <w:p w14:paraId="1CB03B56" w14:textId="5970D70F" w:rsidR="000316AC" w:rsidRDefault="000316AC" w:rsidP="00E95E40">
      <w:pPr>
        <w:pStyle w:val="Caption"/>
      </w:pPr>
      <w:r>
        <w:t xml:space="preserve">Tabla </w:t>
      </w:r>
      <w:r w:rsidR="005C480F">
        <w:t>II-</w:t>
      </w:r>
      <w:r w:rsidR="005C1A74">
        <w:fldChar w:fldCharType="begin"/>
      </w:r>
      <w:r w:rsidR="005C1A74">
        <w:instrText xml:space="preserve"> SEQ Tabla \* ARABIC </w:instrText>
      </w:r>
      <w:r w:rsidR="005C1A74">
        <w:fldChar w:fldCharType="separate"/>
      </w:r>
      <w:r>
        <w:rPr>
          <w:noProof/>
        </w:rPr>
        <w:t>7</w:t>
      </w:r>
      <w:r w:rsidR="005C1A74">
        <w:rPr>
          <w:noProof/>
        </w:rPr>
        <w:fldChar w:fldCharType="end"/>
      </w:r>
      <w:r>
        <w:t xml:space="preserve">: </w:t>
      </w:r>
      <w:r w:rsidRPr="00FB30CE">
        <w:t>Ingreso total ($/mes) por hogar GBA.</w:t>
      </w:r>
    </w:p>
    <w:p w14:paraId="2FE10CC3" w14:textId="77777777" w:rsidR="000316AC" w:rsidRDefault="000316AC" w:rsidP="002000F7">
      <w:pPr>
        <w:pStyle w:val="NoSpacing"/>
      </w:pPr>
      <w:r w:rsidRPr="00E95E40">
        <w:rPr>
          <w:noProof/>
          <w:lang w:eastAsia="es-AR"/>
        </w:rPr>
        <w:drawing>
          <wp:inline distT="0" distB="0" distL="0" distR="0" wp14:anchorId="7D4365BC" wp14:editId="1DA2D1E3">
            <wp:extent cx="5400675" cy="3364075"/>
            <wp:effectExtent l="0" t="0" r="0" b="8255"/>
            <wp:docPr id="6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675" cy="3364075"/>
                    </a:xfrm>
                    <a:prstGeom prst="rect">
                      <a:avLst/>
                    </a:prstGeom>
                    <a:noFill/>
                    <a:ln>
                      <a:noFill/>
                    </a:ln>
                  </pic:spPr>
                </pic:pic>
              </a:graphicData>
            </a:graphic>
          </wp:inline>
        </w:drawing>
      </w:r>
    </w:p>
    <w:p w14:paraId="67B3695B" w14:textId="5AF839B3" w:rsidR="000316AC" w:rsidRDefault="000316AC" w:rsidP="002000F7">
      <w:pPr>
        <w:pStyle w:val="NoSpacing"/>
      </w:pPr>
      <w:r w:rsidRPr="00E95E40">
        <w:t>Fuente: Elaboración sobre bases de microdatos EPH.</w:t>
      </w:r>
    </w:p>
    <w:p w14:paraId="68DDC410" w14:textId="0F375347" w:rsidR="000316AC" w:rsidRPr="00C01C12" w:rsidRDefault="000316AC" w:rsidP="002000F7">
      <w:pPr>
        <w:rPr>
          <w:rFonts w:ascii="Arial" w:hAnsi="Arial" w:cs="Arial"/>
        </w:rPr>
      </w:pPr>
      <w:r w:rsidRPr="00C01C12">
        <w:rPr>
          <w:rFonts w:ascii="Arial" w:hAnsi="Arial" w:cs="Arial"/>
        </w:rPr>
        <w:t xml:space="preserve">Con base en los datos del Censo Nacional de Población y Viviendas 2010 (CNPV 2010), la situación de la pobreza en los 17 partidos del conurbano bonaerense atendidos por AySA S.A. se resume en la </w:t>
      </w:r>
      <w:r w:rsidRPr="00C01C12">
        <w:rPr>
          <w:rFonts w:ascii="Arial" w:hAnsi="Arial" w:cs="Arial"/>
        </w:rPr>
        <w:fldChar w:fldCharType="begin"/>
      </w:r>
      <w:r w:rsidRPr="00C01C12">
        <w:rPr>
          <w:rFonts w:ascii="Arial" w:hAnsi="Arial" w:cs="Arial"/>
        </w:rPr>
        <w:instrText xml:space="preserve"> REF _Ref479695762 \h </w:instrText>
      </w:r>
      <w:r w:rsidR="00C01C12">
        <w:rPr>
          <w:rFonts w:ascii="Arial" w:hAnsi="Arial" w:cs="Arial"/>
        </w:rPr>
        <w:instrText xml:space="preserve"> \* MERGEFORMAT </w:instrText>
      </w:r>
      <w:r w:rsidRPr="00C01C12">
        <w:rPr>
          <w:rFonts w:ascii="Arial" w:hAnsi="Arial" w:cs="Arial"/>
        </w:rPr>
      </w:r>
      <w:r w:rsidRPr="00C01C12">
        <w:rPr>
          <w:rFonts w:ascii="Arial" w:hAnsi="Arial" w:cs="Arial"/>
        </w:rPr>
        <w:fldChar w:fldCharType="separate"/>
      </w:r>
      <w:r w:rsidRPr="00C01C12">
        <w:rPr>
          <w:rFonts w:ascii="Arial" w:hAnsi="Arial" w:cs="Arial"/>
        </w:rPr>
        <w:t xml:space="preserve">Tabla </w:t>
      </w:r>
      <w:r w:rsidR="00C01C12" w:rsidRPr="00C01C12">
        <w:rPr>
          <w:rFonts w:ascii="Arial" w:hAnsi="Arial" w:cs="Arial"/>
        </w:rPr>
        <w:t>II-</w:t>
      </w:r>
      <w:r w:rsidRPr="00C01C12">
        <w:rPr>
          <w:rFonts w:ascii="Arial" w:hAnsi="Arial" w:cs="Arial"/>
          <w:noProof/>
        </w:rPr>
        <w:t>8</w:t>
      </w:r>
      <w:r w:rsidRPr="00C01C12">
        <w:rPr>
          <w:rFonts w:ascii="Arial" w:hAnsi="Arial" w:cs="Arial"/>
        </w:rPr>
        <w:fldChar w:fldCharType="end"/>
      </w:r>
      <w:r w:rsidRPr="00C01C12">
        <w:rPr>
          <w:rFonts w:ascii="Arial" w:hAnsi="Arial" w:cs="Arial"/>
        </w:rPr>
        <w:t>, donde se presentan los indicadores de pobreza directos (NBI) clasificados de acuerdo con el nivel socioeconómico de los radios censales (estratificación social surgida del indicador de capacidad económica (CAPECO) (Ver Anexo 3)) y datos generales de habitantes, hogares y densidad.</w:t>
      </w:r>
    </w:p>
    <w:p w14:paraId="1EB78B42" w14:textId="50FE9D60" w:rsidR="000316AC" w:rsidRPr="00C01C12" w:rsidRDefault="000316AC" w:rsidP="002000F7">
      <w:pPr>
        <w:rPr>
          <w:rFonts w:ascii="Arial" w:hAnsi="Arial" w:cs="Arial"/>
        </w:rPr>
      </w:pPr>
      <w:r w:rsidRPr="00C01C12">
        <w:rPr>
          <w:rFonts w:ascii="Arial" w:hAnsi="Arial" w:cs="Arial"/>
        </w:rPr>
        <w:t xml:space="preserve">Según se observa, la mayor parte de los hogares del conurbano bonaerense se localizan en radios censales clasificados como de bajo nivel socioeconómico según el criterio del indicador de capacidad económica (CAPECO). En la </w:t>
      </w:r>
      <w:r w:rsidRPr="00C01C12">
        <w:rPr>
          <w:rFonts w:ascii="Arial" w:hAnsi="Arial" w:cs="Arial"/>
        </w:rPr>
        <w:fldChar w:fldCharType="begin"/>
      </w:r>
      <w:r w:rsidRPr="00C01C12">
        <w:rPr>
          <w:rFonts w:ascii="Arial" w:hAnsi="Arial" w:cs="Arial"/>
        </w:rPr>
        <w:instrText xml:space="preserve"> REF _Ref479695812 \h </w:instrText>
      </w:r>
      <w:r w:rsidR="00C01C12">
        <w:rPr>
          <w:rFonts w:ascii="Arial" w:hAnsi="Arial" w:cs="Arial"/>
        </w:rPr>
        <w:instrText xml:space="preserve"> \* MERGEFORMAT </w:instrText>
      </w:r>
      <w:r w:rsidRPr="00C01C12">
        <w:rPr>
          <w:rFonts w:ascii="Arial" w:hAnsi="Arial" w:cs="Arial"/>
        </w:rPr>
      </w:r>
      <w:r w:rsidRPr="00C01C12">
        <w:rPr>
          <w:rFonts w:ascii="Arial" w:hAnsi="Arial" w:cs="Arial"/>
        </w:rPr>
        <w:fldChar w:fldCharType="separate"/>
      </w:r>
      <w:r w:rsidR="00C01C12">
        <w:rPr>
          <w:rFonts w:ascii="Arial" w:hAnsi="Arial" w:cs="Arial"/>
        </w:rPr>
        <w:t>Figura II-3</w:t>
      </w:r>
      <w:r w:rsidRPr="00C01C12">
        <w:rPr>
          <w:rFonts w:ascii="Arial" w:hAnsi="Arial" w:cs="Arial"/>
        </w:rPr>
        <w:fldChar w:fldCharType="end"/>
      </w:r>
      <w:r w:rsidRPr="00C01C12">
        <w:rPr>
          <w:rFonts w:ascii="Arial" w:hAnsi="Arial" w:cs="Arial"/>
        </w:rPr>
        <w:t xml:space="preserve"> se presenta la distribución de hogares de los 17 partidos del GBA que forman parte del área concesionada a AySA según estrato socioeconómico del radio censal.</w:t>
      </w:r>
    </w:p>
    <w:p w14:paraId="0266169B" w14:textId="002BAEF1" w:rsidR="000316AC" w:rsidRDefault="000316AC" w:rsidP="002000F7">
      <w:pPr>
        <w:pStyle w:val="Caption"/>
      </w:pPr>
      <w:r>
        <w:t xml:space="preserve">Tabla </w:t>
      </w:r>
      <w:r w:rsidR="00C01C12">
        <w:t>II-</w:t>
      </w:r>
      <w:r w:rsidR="005C1A74">
        <w:fldChar w:fldCharType="begin"/>
      </w:r>
      <w:r w:rsidR="005C1A74">
        <w:instrText xml:space="preserve"> SEQ Tabla \* ARABIC </w:instrText>
      </w:r>
      <w:r w:rsidR="005C1A74">
        <w:fldChar w:fldCharType="separate"/>
      </w:r>
      <w:r>
        <w:rPr>
          <w:noProof/>
        </w:rPr>
        <w:t>8</w:t>
      </w:r>
      <w:r w:rsidR="005C1A74">
        <w:rPr>
          <w:noProof/>
        </w:rPr>
        <w:fldChar w:fldCharType="end"/>
      </w:r>
      <w:r>
        <w:t xml:space="preserve">: </w:t>
      </w:r>
      <w:r w:rsidRPr="00F33184">
        <w:t>NBI y datos generales según NSE GBA – CNPV 2010.</w:t>
      </w:r>
    </w:p>
    <w:p w14:paraId="217DF18E" w14:textId="77777777" w:rsidR="000316AC" w:rsidRDefault="000316AC" w:rsidP="002000F7">
      <w:pPr>
        <w:pStyle w:val="NoSpacing"/>
      </w:pPr>
      <w:r w:rsidRPr="002000F7">
        <w:rPr>
          <w:noProof/>
          <w:lang w:eastAsia="es-AR"/>
        </w:rPr>
        <w:drawing>
          <wp:inline distT="0" distB="0" distL="0" distR="0" wp14:anchorId="0A5ABD39" wp14:editId="5619D952">
            <wp:extent cx="5208105" cy="2692263"/>
            <wp:effectExtent l="0" t="0" r="0" b="0"/>
            <wp:docPr id="8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14358" cy="2695496"/>
                    </a:xfrm>
                    <a:prstGeom prst="rect">
                      <a:avLst/>
                    </a:prstGeom>
                    <a:noFill/>
                    <a:ln>
                      <a:noFill/>
                    </a:ln>
                  </pic:spPr>
                </pic:pic>
              </a:graphicData>
            </a:graphic>
          </wp:inline>
        </w:drawing>
      </w:r>
    </w:p>
    <w:p w14:paraId="77A8A5BC" w14:textId="5E17FBEF" w:rsidR="000316AC" w:rsidRDefault="000316AC" w:rsidP="002000F7">
      <w:pPr>
        <w:pStyle w:val="NoSpacing"/>
      </w:pPr>
      <w:r w:rsidRPr="002000F7">
        <w:t>Fuente: Elaboración sobre datos CNPV 2010.</w:t>
      </w:r>
    </w:p>
    <w:p w14:paraId="1BEB0347" w14:textId="2967A593" w:rsidR="000316AC" w:rsidRDefault="00C01C12" w:rsidP="002000F7">
      <w:pPr>
        <w:pStyle w:val="Caption"/>
      </w:pPr>
      <w:r>
        <w:t>Figura II-3:</w:t>
      </w:r>
      <w:r w:rsidR="000316AC" w:rsidRPr="00C01C12">
        <w:rPr>
          <w:color w:val="FFFFFF" w:themeColor="background1"/>
        </w:rPr>
        <w:fldChar w:fldCharType="begin"/>
      </w:r>
      <w:r w:rsidR="000316AC" w:rsidRPr="00C01C12">
        <w:rPr>
          <w:color w:val="FFFFFF" w:themeColor="background1"/>
        </w:rPr>
        <w:instrText xml:space="preserve"> SEQ Ilustración \* ARABIC </w:instrText>
      </w:r>
      <w:r w:rsidR="000316AC" w:rsidRPr="00C01C12">
        <w:rPr>
          <w:color w:val="FFFFFF" w:themeColor="background1"/>
        </w:rPr>
        <w:fldChar w:fldCharType="separate"/>
      </w:r>
      <w:r w:rsidR="000316AC" w:rsidRPr="00C01C12">
        <w:rPr>
          <w:noProof/>
          <w:color w:val="FFFFFF" w:themeColor="background1"/>
        </w:rPr>
        <w:t>7</w:t>
      </w:r>
      <w:r w:rsidR="000316AC" w:rsidRPr="00C01C12">
        <w:rPr>
          <w:noProof/>
          <w:color w:val="FFFFFF" w:themeColor="background1"/>
        </w:rPr>
        <w:fldChar w:fldCharType="end"/>
      </w:r>
      <w:r w:rsidR="000316AC" w:rsidRPr="00183106">
        <w:t>Distribución de hogares según NSE - CAPECO.</w:t>
      </w:r>
    </w:p>
    <w:p w14:paraId="21E97683" w14:textId="77777777" w:rsidR="000316AC" w:rsidRDefault="000316AC" w:rsidP="002000F7">
      <w:pPr>
        <w:pStyle w:val="NoSpacing"/>
      </w:pPr>
      <w:r w:rsidRPr="002000F7">
        <w:rPr>
          <w:noProof/>
          <w:lang w:eastAsia="es-AR"/>
        </w:rPr>
        <w:drawing>
          <wp:inline distT="0" distB="0" distL="0" distR="0" wp14:anchorId="38B2FFAC" wp14:editId="46073E01">
            <wp:extent cx="5025225" cy="3078852"/>
            <wp:effectExtent l="0" t="0" r="0" b="0"/>
            <wp:docPr id="9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33051" cy="3083647"/>
                    </a:xfrm>
                    <a:prstGeom prst="rect">
                      <a:avLst/>
                    </a:prstGeom>
                    <a:noFill/>
                    <a:ln>
                      <a:noFill/>
                    </a:ln>
                  </pic:spPr>
                </pic:pic>
              </a:graphicData>
            </a:graphic>
          </wp:inline>
        </w:drawing>
      </w:r>
    </w:p>
    <w:p w14:paraId="14745084" w14:textId="77777777" w:rsidR="000316AC" w:rsidRDefault="000316AC" w:rsidP="002000F7">
      <w:pPr>
        <w:pStyle w:val="NoSpacing"/>
      </w:pPr>
      <w:r w:rsidRPr="002000F7">
        <w:t>Fuente: Elaboración propia sobre datos CNPV 2010.</w:t>
      </w:r>
    </w:p>
    <w:p w14:paraId="4D419206" w14:textId="77777777" w:rsidR="000316AC" w:rsidRPr="00C01C12" w:rsidRDefault="000316AC" w:rsidP="002000F7">
      <w:pPr>
        <w:rPr>
          <w:rFonts w:ascii="Arial" w:hAnsi="Arial" w:cs="Arial"/>
        </w:rPr>
      </w:pPr>
      <w:r w:rsidRPr="00C01C12">
        <w:rPr>
          <w:rFonts w:ascii="Arial" w:hAnsi="Arial" w:cs="Arial"/>
        </w:rPr>
        <w:t>Finalmente, para completar el contexto del proyecto, se presenta a continuación la cobertura de los principales servicios públicos en los partidos del conurbano bonaerense cuyo servicio de agua y saneamiento se encuentra concesionado a AySA S.A.. En este caso la información se complementa con la estratificación social surgida del indicador CAPECO a fin de mostrar la relación existente entre pobreza y falta de acceso a los servicios públicos.</w:t>
      </w:r>
    </w:p>
    <w:p w14:paraId="678BC140" w14:textId="69411619" w:rsidR="000316AC" w:rsidRDefault="000316AC" w:rsidP="002000F7">
      <w:pPr>
        <w:pStyle w:val="Caption"/>
      </w:pPr>
      <w:r>
        <w:t xml:space="preserve">Tabla </w:t>
      </w:r>
      <w:r w:rsidR="00C01C12">
        <w:t>II-</w:t>
      </w:r>
      <w:r w:rsidR="005C1A74">
        <w:fldChar w:fldCharType="begin"/>
      </w:r>
      <w:r w:rsidR="005C1A74">
        <w:instrText xml:space="preserve"> SEQ Tabla \* ARABIC </w:instrText>
      </w:r>
      <w:r w:rsidR="005C1A74">
        <w:fldChar w:fldCharType="separate"/>
      </w:r>
      <w:r>
        <w:rPr>
          <w:noProof/>
        </w:rPr>
        <w:t>9</w:t>
      </w:r>
      <w:r w:rsidR="005C1A74">
        <w:rPr>
          <w:noProof/>
        </w:rPr>
        <w:fldChar w:fldCharType="end"/>
      </w:r>
      <w:r>
        <w:t xml:space="preserve">: </w:t>
      </w:r>
      <w:r w:rsidRPr="00C55374">
        <w:t>Acceso a servicios según CAPECO por Radio Censal CNPV 2010 – 17 partidos del GBA</w:t>
      </w:r>
    </w:p>
    <w:p w14:paraId="7781A29E" w14:textId="77777777" w:rsidR="000316AC" w:rsidRDefault="000316AC" w:rsidP="002000F7">
      <w:pPr>
        <w:pStyle w:val="NoSpacing"/>
      </w:pPr>
      <w:r w:rsidRPr="002000F7">
        <w:rPr>
          <w:noProof/>
          <w:lang w:eastAsia="es-AR"/>
        </w:rPr>
        <w:drawing>
          <wp:inline distT="0" distB="0" distL="0" distR="0" wp14:anchorId="1EE28202" wp14:editId="72A251CD">
            <wp:extent cx="5391150" cy="1280160"/>
            <wp:effectExtent l="0" t="0" r="0" b="0"/>
            <wp:docPr id="9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91150" cy="1280160"/>
                    </a:xfrm>
                    <a:prstGeom prst="rect">
                      <a:avLst/>
                    </a:prstGeom>
                    <a:noFill/>
                    <a:ln>
                      <a:noFill/>
                    </a:ln>
                  </pic:spPr>
                </pic:pic>
              </a:graphicData>
            </a:graphic>
          </wp:inline>
        </w:drawing>
      </w:r>
    </w:p>
    <w:p w14:paraId="43487698" w14:textId="37034EEE" w:rsidR="000316AC" w:rsidRDefault="000316AC" w:rsidP="002000F7">
      <w:pPr>
        <w:pStyle w:val="NoSpacing"/>
      </w:pPr>
      <w:r w:rsidRPr="002000F7">
        <w:t>Fuente: Elaboración sobre datos CNPV 2010.</w:t>
      </w:r>
    </w:p>
    <w:p w14:paraId="4DFA6DF9" w14:textId="77777777" w:rsidR="000316AC" w:rsidRPr="00C01C12" w:rsidRDefault="000316AC" w:rsidP="002000F7">
      <w:pPr>
        <w:rPr>
          <w:rFonts w:ascii="Arial" w:hAnsi="Arial" w:cs="Arial"/>
        </w:rPr>
      </w:pPr>
      <w:r w:rsidRPr="00C01C12">
        <w:rPr>
          <w:rFonts w:ascii="Arial" w:hAnsi="Arial" w:cs="Arial"/>
        </w:rPr>
        <w:t>En este caso se aprecia que el mayor déficit de servicios corresponde al servicio de desagües cloacales, el que además presenta una cobertura menor a medida que desciende el nivel socioeconómico del área.</w:t>
      </w:r>
    </w:p>
    <w:p w14:paraId="1B59D19C" w14:textId="77777777" w:rsidR="000316AC" w:rsidRPr="00E831A9" w:rsidRDefault="000316AC" w:rsidP="002000F7">
      <w:pPr>
        <w:rPr>
          <w:rFonts w:ascii="Arial" w:hAnsi="Arial" w:cs="Arial"/>
        </w:rPr>
      </w:pPr>
    </w:p>
    <w:p w14:paraId="5FCB1394" w14:textId="77777777" w:rsidR="000316AC" w:rsidRPr="00E831A9" w:rsidRDefault="000316AC" w:rsidP="002B0107">
      <w:pPr>
        <w:pStyle w:val="Heading2"/>
        <w:numPr>
          <w:ilvl w:val="1"/>
          <w:numId w:val="17"/>
        </w:numPr>
      </w:pPr>
      <w:bookmarkStart w:id="189" w:name="_Toc479892473"/>
      <w:bookmarkStart w:id="190" w:name="_Toc485200137"/>
      <w:r w:rsidRPr="00E831A9">
        <w:t>Detalle socioeconómico de los beneficiarios del proyecto.</w:t>
      </w:r>
      <w:bookmarkEnd w:id="189"/>
      <w:bookmarkEnd w:id="190"/>
    </w:p>
    <w:p w14:paraId="0CBB00AA" w14:textId="009B7729" w:rsidR="000316AC" w:rsidRPr="00E831A9" w:rsidRDefault="000316AC" w:rsidP="00B95FB6">
      <w:pPr>
        <w:rPr>
          <w:rFonts w:ascii="Arial" w:hAnsi="Arial" w:cs="Arial"/>
        </w:rPr>
      </w:pPr>
      <w:r w:rsidRPr="00E831A9">
        <w:rPr>
          <w:rFonts w:ascii="Arial" w:hAnsi="Arial" w:cs="Arial"/>
        </w:rPr>
        <w:t xml:space="preserve">Para el análisis de la situación socioeconómica de los beneficiarios directos se presenta a continuación la </w:t>
      </w:r>
      <w:r w:rsidRPr="00E831A9">
        <w:rPr>
          <w:rFonts w:ascii="Arial" w:hAnsi="Arial" w:cs="Arial"/>
        </w:rPr>
        <w:fldChar w:fldCharType="begin"/>
      </w:r>
      <w:r w:rsidRPr="00E831A9">
        <w:rPr>
          <w:rFonts w:ascii="Arial" w:hAnsi="Arial" w:cs="Arial"/>
        </w:rPr>
        <w:instrText xml:space="preserve"> REF _Ref479874987 \h </w:instrText>
      </w:r>
      <w:r w:rsidR="00E831A9">
        <w:rPr>
          <w:rFonts w:ascii="Arial" w:hAnsi="Arial" w:cs="Arial"/>
        </w:rPr>
        <w:instrText xml:space="preserve"> \* MERGEFORMAT </w:instrText>
      </w:r>
      <w:r w:rsidRPr="00E831A9">
        <w:rPr>
          <w:rFonts w:ascii="Arial" w:hAnsi="Arial" w:cs="Arial"/>
        </w:rPr>
      </w:r>
      <w:r w:rsidRPr="00E831A9">
        <w:rPr>
          <w:rFonts w:ascii="Arial" w:hAnsi="Arial" w:cs="Arial"/>
        </w:rPr>
        <w:fldChar w:fldCharType="separate"/>
      </w:r>
      <w:r w:rsidR="00E831A9" w:rsidRPr="00E831A9">
        <w:rPr>
          <w:rFonts w:ascii="Arial" w:hAnsi="Arial" w:cs="Arial"/>
        </w:rPr>
        <w:t>Figura II-4</w:t>
      </w:r>
      <w:r w:rsidRPr="00E831A9">
        <w:rPr>
          <w:rFonts w:ascii="Arial" w:hAnsi="Arial" w:cs="Arial"/>
        </w:rPr>
        <w:fldChar w:fldCharType="end"/>
      </w:r>
      <w:r w:rsidRPr="00E831A9">
        <w:rPr>
          <w:rFonts w:ascii="Arial" w:hAnsi="Arial" w:cs="Arial"/>
        </w:rPr>
        <w:t xml:space="preserve"> en el que se presenta la distribución de hogares según nivel socioeconómico del radio censal.</w:t>
      </w:r>
    </w:p>
    <w:p w14:paraId="7D1542CF" w14:textId="64ED38C7" w:rsidR="000316AC" w:rsidRDefault="00E831A9" w:rsidP="00C616C6">
      <w:pPr>
        <w:pStyle w:val="Caption"/>
      </w:pPr>
      <w:r>
        <w:t>Figura II-4:</w:t>
      </w:r>
      <w:r w:rsidR="000316AC" w:rsidRPr="00E831A9">
        <w:rPr>
          <w:color w:val="FFFFFF" w:themeColor="background1"/>
        </w:rPr>
        <w:fldChar w:fldCharType="begin"/>
      </w:r>
      <w:r w:rsidR="000316AC" w:rsidRPr="00E831A9">
        <w:rPr>
          <w:color w:val="FFFFFF" w:themeColor="background1"/>
        </w:rPr>
        <w:instrText xml:space="preserve"> SEQ Ilustración \* ARABIC </w:instrText>
      </w:r>
      <w:r w:rsidR="000316AC" w:rsidRPr="00E831A9">
        <w:rPr>
          <w:color w:val="FFFFFF" w:themeColor="background1"/>
        </w:rPr>
        <w:fldChar w:fldCharType="separate"/>
      </w:r>
      <w:r w:rsidR="000316AC" w:rsidRPr="00E831A9">
        <w:rPr>
          <w:noProof/>
          <w:color w:val="FFFFFF" w:themeColor="background1"/>
        </w:rPr>
        <w:t>8</w:t>
      </w:r>
      <w:r w:rsidR="000316AC" w:rsidRPr="00E831A9">
        <w:rPr>
          <w:noProof/>
          <w:color w:val="FFFFFF" w:themeColor="background1"/>
        </w:rPr>
        <w:fldChar w:fldCharType="end"/>
      </w:r>
      <w:r w:rsidR="000316AC" w:rsidRPr="00581457">
        <w:t>Distribución de hogares beneficiarios según NSE - CAPECO</w:t>
      </w:r>
      <w:r w:rsidR="000316AC">
        <w:t>.</w:t>
      </w:r>
    </w:p>
    <w:p w14:paraId="33B10339" w14:textId="77777777" w:rsidR="000316AC" w:rsidRDefault="000316AC" w:rsidP="00B95FB6">
      <w:pPr>
        <w:pStyle w:val="CuadrosyTablas"/>
      </w:pPr>
      <w:r w:rsidRPr="00C616C6">
        <w:rPr>
          <w:noProof/>
          <w:lang w:eastAsia="es-AR"/>
        </w:rPr>
        <w:drawing>
          <wp:inline distT="0" distB="0" distL="0" distR="0" wp14:anchorId="582925D3" wp14:editId="3D9CEF56">
            <wp:extent cx="4850130" cy="2743200"/>
            <wp:effectExtent l="0" t="0" r="762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850130" cy="2743200"/>
                    </a:xfrm>
                    <a:prstGeom prst="rect">
                      <a:avLst/>
                    </a:prstGeom>
                    <a:noFill/>
                    <a:ln>
                      <a:noFill/>
                    </a:ln>
                  </pic:spPr>
                </pic:pic>
              </a:graphicData>
            </a:graphic>
          </wp:inline>
        </w:drawing>
      </w:r>
      <w:r w:rsidRPr="00806E71">
        <w:t xml:space="preserve"> </w:t>
      </w:r>
    </w:p>
    <w:p w14:paraId="28D57DA5" w14:textId="253E3606" w:rsidR="000316AC" w:rsidRDefault="000316AC" w:rsidP="00C616C6">
      <w:pPr>
        <w:pStyle w:val="NoSpacing"/>
      </w:pPr>
      <w:r w:rsidRPr="00901208">
        <w:t xml:space="preserve">Fuente: Elaboración sobre </w:t>
      </w:r>
      <w:r>
        <w:t>datos CNPV 2010.</w:t>
      </w:r>
    </w:p>
    <w:p w14:paraId="2141F7EA" w14:textId="77777777" w:rsidR="000316AC" w:rsidRDefault="000316AC" w:rsidP="00B95FB6"/>
    <w:p w14:paraId="7AD07EBB" w14:textId="43A45E88" w:rsidR="000316AC" w:rsidRPr="00E831A9" w:rsidRDefault="000316AC" w:rsidP="00B95FB6">
      <w:pPr>
        <w:rPr>
          <w:rFonts w:ascii="Arial" w:hAnsi="Arial" w:cs="Arial"/>
        </w:rPr>
      </w:pPr>
      <w:r w:rsidRPr="00E831A9">
        <w:rPr>
          <w:rFonts w:ascii="Arial" w:hAnsi="Arial" w:cs="Arial"/>
        </w:rPr>
        <w:t xml:space="preserve">En la </w:t>
      </w:r>
      <w:r w:rsidRPr="00E831A9">
        <w:rPr>
          <w:rFonts w:ascii="Arial" w:hAnsi="Arial" w:cs="Arial"/>
        </w:rPr>
        <w:fldChar w:fldCharType="begin"/>
      </w:r>
      <w:r w:rsidRPr="00E831A9">
        <w:rPr>
          <w:rFonts w:ascii="Arial" w:hAnsi="Arial" w:cs="Arial"/>
        </w:rPr>
        <w:instrText xml:space="preserve"> REF _Ref479875097 \h </w:instrText>
      </w:r>
      <w:r w:rsidR="00E831A9">
        <w:rPr>
          <w:rFonts w:ascii="Arial" w:hAnsi="Arial" w:cs="Arial"/>
        </w:rPr>
        <w:instrText xml:space="preserve"> \* MERGEFORMAT </w:instrText>
      </w:r>
      <w:r w:rsidRPr="00E831A9">
        <w:rPr>
          <w:rFonts w:ascii="Arial" w:hAnsi="Arial" w:cs="Arial"/>
        </w:rPr>
      </w:r>
      <w:r w:rsidRPr="00E831A9">
        <w:rPr>
          <w:rFonts w:ascii="Arial" w:hAnsi="Arial" w:cs="Arial"/>
        </w:rPr>
        <w:fldChar w:fldCharType="separate"/>
      </w:r>
      <w:r w:rsidRPr="00E831A9">
        <w:rPr>
          <w:rFonts w:ascii="Arial" w:hAnsi="Arial" w:cs="Arial"/>
        </w:rPr>
        <w:t xml:space="preserve">Tabla </w:t>
      </w:r>
      <w:r w:rsidR="00E831A9" w:rsidRPr="00E831A9">
        <w:rPr>
          <w:rFonts w:ascii="Arial" w:hAnsi="Arial" w:cs="Arial"/>
        </w:rPr>
        <w:t>II-</w:t>
      </w:r>
      <w:r w:rsidRPr="00E831A9">
        <w:rPr>
          <w:rFonts w:ascii="Arial" w:hAnsi="Arial" w:cs="Arial"/>
          <w:noProof/>
        </w:rPr>
        <w:t>10</w:t>
      </w:r>
      <w:r w:rsidRPr="00E831A9">
        <w:rPr>
          <w:rFonts w:ascii="Arial" w:hAnsi="Arial" w:cs="Arial"/>
        </w:rPr>
        <w:fldChar w:fldCharType="end"/>
      </w:r>
      <w:r w:rsidRPr="00E831A9">
        <w:rPr>
          <w:rFonts w:ascii="Arial" w:hAnsi="Arial" w:cs="Arial"/>
        </w:rPr>
        <w:t xml:space="preserve"> se presenta información general análoga a la de la </w:t>
      </w:r>
      <w:r w:rsidRPr="00E831A9">
        <w:rPr>
          <w:rFonts w:ascii="Arial" w:hAnsi="Arial" w:cs="Arial"/>
        </w:rPr>
        <w:fldChar w:fldCharType="begin"/>
      </w:r>
      <w:r w:rsidRPr="00E831A9">
        <w:rPr>
          <w:rFonts w:ascii="Arial" w:hAnsi="Arial" w:cs="Arial"/>
        </w:rPr>
        <w:instrText xml:space="preserve"> REF _Ref479695762 \h </w:instrText>
      </w:r>
      <w:r w:rsidR="00E831A9">
        <w:rPr>
          <w:rFonts w:ascii="Arial" w:hAnsi="Arial" w:cs="Arial"/>
        </w:rPr>
        <w:instrText xml:space="preserve"> \* MERGEFORMAT </w:instrText>
      </w:r>
      <w:r w:rsidRPr="00E831A9">
        <w:rPr>
          <w:rFonts w:ascii="Arial" w:hAnsi="Arial" w:cs="Arial"/>
        </w:rPr>
      </w:r>
      <w:r w:rsidRPr="00E831A9">
        <w:rPr>
          <w:rFonts w:ascii="Arial" w:hAnsi="Arial" w:cs="Arial"/>
        </w:rPr>
        <w:fldChar w:fldCharType="separate"/>
      </w:r>
      <w:r w:rsidRPr="00E831A9">
        <w:rPr>
          <w:rFonts w:ascii="Arial" w:hAnsi="Arial" w:cs="Arial"/>
        </w:rPr>
        <w:t xml:space="preserve">Tabla </w:t>
      </w:r>
      <w:r w:rsidRPr="00E831A9">
        <w:rPr>
          <w:rFonts w:ascii="Arial" w:hAnsi="Arial" w:cs="Arial"/>
          <w:noProof/>
        </w:rPr>
        <w:t>8</w:t>
      </w:r>
      <w:r w:rsidRPr="00E831A9">
        <w:rPr>
          <w:rFonts w:ascii="Arial" w:hAnsi="Arial" w:cs="Arial"/>
        </w:rPr>
        <w:fldChar w:fldCharType="end"/>
      </w:r>
      <w:r w:rsidRPr="00E831A9">
        <w:rPr>
          <w:rFonts w:ascii="Arial" w:hAnsi="Arial" w:cs="Arial"/>
        </w:rPr>
        <w:t xml:space="preserve"> para el área beneficiaria del proyecto.</w:t>
      </w:r>
    </w:p>
    <w:p w14:paraId="2B9ACB03" w14:textId="756988AD" w:rsidR="000316AC" w:rsidRDefault="000316AC" w:rsidP="00C616C6">
      <w:pPr>
        <w:pStyle w:val="Caption"/>
      </w:pPr>
      <w:r>
        <w:t xml:space="preserve">Tabla </w:t>
      </w:r>
      <w:r w:rsidR="00E831A9">
        <w:t>II-</w:t>
      </w:r>
      <w:r w:rsidR="005C1A74">
        <w:fldChar w:fldCharType="begin"/>
      </w:r>
      <w:r w:rsidR="005C1A74">
        <w:instrText xml:space="preserve"> SEQ Tabla \* ARABIC </w:instrText>
      </w:r>
      <w:r w:rsidR="005C1A74">
        <w:fldChar w:fldCharType="separate"/>
      </w:r>
      <w:r>
        <w:rPr>
          <w:noProof/>
        </w:rPr>
        <w:t>10</w:t>
      </w:r>
      <w:r w:rsidR="005C1A74">
        <w:rPr>
          <w:noProof/>
        </w:rPr>
        <w:fldChar w:fldCharType="end"/>
      </w:r>
      <w:r>
        <w:t xml:space="preserve">: </w:t>
      </w:r>
      <w:r w:rsidRPr="002E4803">
        <w:t>NBI y datos generales según NSE área beneficiaria del proyecto – CNPV 2010</w:t>
      </w:r>
    </w:p>
    <w:p w14:paraId="6C6B0E53" w14:textId="77777777" w:rsidR="000316AC" w:rsidRPr="00EB18A9" w:rsidRDefault="000316AC" w:rsidP="00B95FB6">
      <w:pPr>
        <w:pStyle w:val="CuadrosyTablas"/>
      </w:pPr>
      <w:r w:rsidRPr="00C616C6">
        <w:rPr>
          <w:noProof/>
          <w:lang w:eastAsia="es-AR"/>
        </w:rPr>
        <w:drawing>
          <wp:inline distT="0" distB="0" distL="0" distR="0" wp14:anchorId="48968E5C" wp14:editId="52E02A46">
            <wp:extent cx="5400675" cy="2987329"/>
            <wp:effectExtent l="0" t="0" r="0" b="381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0675" cy="2987329"/>
                    </a:xfrm>
                    <a:prstGeom prst="rect">
                      <a:avLst/>
                    </a:prstGeom>
                    <a:noFill/>
                    <a:ln>
                      <a:noFill/>
                    </a:ln>
                  </pic:spPr>
                </pic:pic>
              </a:graphicData>
            </a:graphic>
          </wp:inline>
        </w:drawing>
      </w:r>
      <w:r w:rsidRPr="00C616C6">
        <w:t xml:space="preserve"> </w:t>
      </w:r>
    </w:p>
    <w:p w14:paraId="621176FE" w14:textId="530C9CF2" w:rsidR="000316AC" w:rsidRDefault="000316AC" w:rsidP="00C616C6">
      <w:pPr>
        <w:pStyle w:val="NoSpacing"/>
      </w:pPr>
      <w:r w:rsidRPr="00901208">
        <w:t xml:space="preserve">Fuente: Elaboración sobre </w:t>
      </w:r>
      <w:r>
        <w:t>datos CNPV 2010.</w:t>
      </w:r>
    </w:p>
    <w:p w14:paraId="530EDD64" w14:textId="77777777" w:rsidR="000316AC" w:rsidRPr="00E831A9" w:rsidRDefault="000316AC" w:rsidP="00B95FB6">
      <w:pPr>
        <w:rPr>
          <w:rFonts w:ascii="Arial" w:hAnsi="Arial" w:cs="Arial"/>
        </w:rPr>
      </w:pPr>
      <w:r w:rsidRPr="00E831A9">
        <w:rPr>
          <w:rFonts w:ascii="Arial" w:hAnsi="Arial" w:cs="Arial"/>
        </w:rPr>
        <w:t>El otro aspecto analizado para el área beneficiaria del proyecto es el relacionado con las formas de acceso al agua para bebida e higiene, los combustibles utilizados en la cocina y calefacción y la modalidad de desecho de los efluentes cloacales.</w:t>
      </w:r>
    </w:p>
    <w:p w14:paraId="7C502D7A" w14:textId="3C9E9213" w:rsidR="000316AC" w:rsidRPr="00E831A9" w:rsidRDefault="000316AC" w:rsidP="00B95FB6">
      <w:pPr>
        <w:rPr>
          <w:rFonts w:ascii="Arial" w:hAnsi="Arial" w:cs="Arial"/>
        </w:rPr>
      </w:pPr>
      <w:r w:rsidRPr="00E831A9">
        <w:rPr>
          <w:rFonts w:ascii="Arial" w:hAnsi="Arial" w:cs="Arial"/>
        </w:rPr>
        <w:t xml:space="preserve">La </w:t>
      </w:r>
      <w:r w:rsidRPr="00E831A9">
        <w:rPr>
          <w:rFonts w:ascii="Arial" w:hAnsi="Arial" w:cs="Arial"/>
        </w:rPr>
        <w:fldChar w:fldCharType="begin"/>
      </w:r>
      <w:r w:rsidRPr="00E831A9">
        <w:rPr>
          <w:rFonts w:ascii="Arial" w:hAnsi="Arial" w:cs="Arial"/>
        </w:rPr>
        <w:instrText xml:space="preserve"> REF _Ref479876835 \h </w:instrText>
      </w:r>
      <w:r w:rsidR="00E831A9">
        <w:rPr>
          <w:rFonts w:ascii="Arial" w:hAnsi="Arial" w:cs="Arial"/>
        </w:rPr>
        <w:instrText xml:space="preserve"> \* MERGEFORMAT </w:instrText>
      </w:r>
      <w:r w:rsidRPr="00E831A9">
        <w:rPr>
          <w:rFonts w:ascii="Arial" w:hAnsi="Arial" w:cs="Arial"/>
        </w:rPr>
      </w:r>
      <w:r w:rsidRPr="00E831A9">
        <w:rPr>
          <w:rFonts w:ascii="Arial" w:hAnsi="Arial" w:cs="Arial"/>
        </w:rPr>
        <w:fldChar w:fldCharType="separate"/>
      </w:r>
      <w:r w:rsidRPr="00E831A9">
        <w:rPr>
          <w:rFonts w:ascii="Arial" w:hAnsi="Arial" w:cs="Arial"/>
        </w:rPr>
        <w:t xml:space="preserve">Tabla </w:t>
      </w:r>
      <w:r w:rsidR="00E831A9" w:rsidRPr="00E831A9">
        <w:rPr>
          <w:rFonts w:ascii="Arial" w:hAnsi="Arial" w:cs="Arial"/>
        </w:rPr>
        <w:t>II-</w:t>
      </w:r>
      <w:r w:rsidRPr="00E831A9">
        <w:rPr>
          <w:rFonts w:ascii="Arial" w:hAnsi="Arial" w:cs="Arial"/>
          <w:noProof/>
        </w:rPr>
        <w:t>11</w:t>
      </w:r>
      <w:r w:rsidRPr="00E831A9">
        <w:rPr>
          <w:rFonts w:ascii="Arial" w:hAnsi="Arial" w:cs="Arial"/>
        </w:rPr>
        <w:fldChar w:fldCharType="end"/>
      </w:r>
      <w:r w:rsidRPr="00E831A9">
        <w:rPr>
          <w:rFonts w:ascii="Arial" w:hAnsi="Arial" w:cs="Arial"/>
        </w:rPr>
        <w:t xml:space="preserve">, </w:t>
      </w:r>
      <w:r w:rsidRPr="00E831A9">
        <w:rPr>
          <w:rFonts w:ascii="Arial" w:hAnsi="Arial" w:cs="Arial"/>
        </w:rPr>
        <w:fldChar w:fldCharType="begin"/>
      </w:r>
      <w:r w:rsidRPr="00E831A9">
        <w:rPr>
          <w:rFonts w:ascii="Arial" w:hAnsi="Arial" w:cs="Arial"/>
        </w:rPr>
        <w:instrText xml:space="preserve"> REF _Ref479876843 \h </w:instrText>
      </w:r>
      <w:r w:rsidR="00E831A9">
        <w:rPr>
          <w:rFonts w:ascii="Arial" w:hAnsi="Arial" w:cs="Arial"/>
        </w:rPr>
        <w:instrText xml:space="preserve"> \* MERGEFORMAT </w:instrText>
      </w:r>
      <w:r w:rsidRPr="00E831A9">
        <w:rPr>
          <w:rFonts w:ascii="Arial" w:hAnsi="Arial" w:cs="Arial"/>
        </w:rPr>
      </w:r>
      <w:r w:rsidRPr="00E831A9">
        <w:rPr>
          <w:rFonts w:ascii="Arial" w:hAnsi="Arial" w:cs="Arial"/>
        </w:rPr>
        <w:fldChar w:fldCharType="separate"/>
      </w:r>
      <w:r w:rsidRPr="00E831A9">
        <w:rPr>
          <w:rFonts w:ascii="Arial" w:hAnsi="Arial" w:cs="Arial"/>
        </w:rPr>
        <w:t xml:space="preserve">Tabla </w:t>
      </w:r>
      <w:r w:rsidR="00E831A9" w:rsidRPr="00E831A9">
        <w:rPr>
          <w:rFonts w:ascii="Arial" w:hAnsi="Arial" w:cs="Arial"/>
        </w:rPr>
        <w:t>II-</w:t>
      </w:r>
      <w:r w:rsidRPr="00E831A9">
        <w:rPr>
          <w:rFonts w:ascii="Arial" w:hAnsi="Arial" w:cs="Arial"/>
          <w:noProof/>
        </w:rPr>
        <w:t>12</w:t>
      </w:r>
      <w:r w:rsidRPr="00E831A9">
        <w:rPr>
          <w:rFonts w:ascii="Arial" w:hAnsi="Arial" w:cs="Arial"/>
        </w:rPr>
        <w:fldChar w:fldCharType="end"/>
      </w:r>
      <w:r w:rsidRPr="00E831A9">
        <w:rPr>
          <w:rFonts w:ascii="Arial" w:hAnsi="Arial" w:cs="Arial"/>
        </w:rPr>
        <w:t xml:space="preserve"> y </w:t>
      </w:r>
      <w:r w:rsidRPr="00E831A9">
        <w:rPr>
          <w:rFonts w:ascii="Arial" w:hAnsi="Arial" w:cs="Arial"/>
        </w:rPr>
        <w:fldChar w:fldCharType="begin"/>
      </w:r>
      <w:r w:rsidRPr="00E831A9">
        <w:rPr>
          <w:rFonts w:ascii="Arial" w:hAnsi="Arial" w:cs="Arial"/>
        </w:rPr>
        <w:instrText xml:space="preserve"> REF _Ref479876859 \h </w:instrText>
      </w:r>
      <w:r w:rsidR="00E831A9">
        <w:rPr>
          <w:rFonts w:ascii="Arial" w:hAnsi="Arial" w:cs="Arial"/>
        </w:rPr>
        <w:instrText xml:space="preserve"> \* MERGEFORMAT </w:instrText>
      </w:r>
      <w:r w:rsidRPr="00E831A9">
        <w:rPr>
          <w:rFonts w:ascii="Arial" w:hAnsi="Arial" w:cs="Arial"/>
        </w:rPr>
      </w:r>
      <w:r w:rsidRPr="00E831A9">
        <w:rPr>
          <w:rFonts w:ascii="Arial" w:hAnsi="Arial" w:cs="Arial"/>
        </w:rPr>
        <w:fldChar w:fldCharType="separate"/>
      </w:r>
      <w:r w:rsidRPr="00E831A9">
        <w:rPr>
          <w:rFonts w:ascii="Arial" w:hAnsi="Arial" w:cs="Arial"/>
        </w:rPr>
        <w:t xml:space="preserve">Tabla </w:t>
      </w:r>
      <w:r w:rsidR="00E831A9" w:rsidRPr="00E831A9">
        <w:rPr>
          <w:rFonts w:ascii="Arial" w:hAnsi="Arial" w:cs="Arial"/>
        </w:rPr>
        <w:t>II-</w:t>
      </w:r>
      <w:r w:rsidRPr="00E831A9">
        <w:rPr>
          <w:rFonts w:ascii="Arial" w:hAnsi="Arial" w:cs="Arial"/>
          <w:noProof/>
        </w:rPr>
        <w:t>13</w:t>
      </w:r>
      <w:r w:rsidRPr="00E831A9">
        <w:rPr>
          <w:rFonts w:ascii="Arial" w:hAnsi="Arial" w:cs="Arial"/>
        </w:rPr>
        <w:fldChar w:fldCharType="end"/>
      </w:r>
      <w:r w:rsidRPr="00E831A9">
        <w:rPr>
          <w:rFonts w:ascii="Arial" w:hAnsi="Arial" w:cs="Arial"/>
        </w:rPr>
        <w:t xml:space="preserve"> presentan el detalle de tales aspectos de acuerdo con la estratificación socioeconómica de los radios censales según datos del relevamiento del año 2010.</w:t>
      </w:r>
    </w:p>
    <w:p w14:paraId="2AED8D98" w14:textId="6C4AC9E2" w:rsidR="000316AC" w:rsidRDefault="000316AC" w:rsidP="00283044">
      <w:pPr>
        <w:pStyle w:val="Caption"/>
      </w:pPr>
      <w:bookmarkStart w:id="191" w:name="_Ref479876835"/>
      <w:r>
        <w:t xml:space="preserve">Tabla </w:t>
      </w:r>
      <w:r w:rsidR="00E831A9">
        <w:t>II-</w:t>
      </w:r>
      <w:r w:rsidR="005C1A74">
        <w:fldChar w:fldCharType="begin"/>
      </w:r>
      <w:r w:rsidR="005C1A74">
        <w:instrText xml:space="preserve"> SEQ Tabla \* ARABIC </w:instrText>
      </w:r>
      <w:r w:rsidR="005C1A74">
        <w:fldChar w:fldCharType="separate"/>
      </w:r>
      <w:r>
        <w:rPr>
          <w:noProof/>
        </w:rPr>
        <w:t>11</w:t>
      </w:r>
      <w:r w:rsidR="005C1A74">
        <w:rPr>
          <w:noProof/>
        </w:rPr>
        <w:fldChar w:fldCharType="end"/>
      </w:r>
      <w:bookmarkEnd w:id="191"/>
      <w:r>
        <w:t xml:space="preserve">: </w:t>
      </w:r>
      <w:r w:rsidRPr="00E5049E">
        <w:t>Acceso al agua área beneficiaria del proyecto – CNPV 2010</w:t>
      </w:r>
    </w:p>
    <w:p w14:paraId="765DC5D3" w14:textId="77777777" w:rsidR="000316AC" w:rsidRDefault="000316AC" w:rsidP="00B95FB6">
      <w:r w:rsidRPr="00283044">
        <w:rPr>
          <w:noProof/>
          <w:lang w:eastAsia="es-AR"/>
        </w:rPr>
        <w:drawing>
          <wp:inline distT="0" distB="0" distL="0" distR="0" wp14:anchorId="7CC2AAE0" wp14:editId="53223F59">
            <wp:extent cx="5400675" cy="2421989"/>
            <wp:effectExtent l="0" t="0" r="0" b="0"/>
            <wp:docPr id="92"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0675" cy="2421989"/>
                    </a:xfrm>
                    <a:prstGeom prst="rect">
                      <a:avLst/>
                    </a:prstGeom>
                    <a:noFill/>
                    <a:ln>
                      <a:noFill/>
                    </a:ln>
                  </pic:spPr>
                </pic:pic>
              </a:graphicData>
            </a:graphic>
          </wp:inline>
        </w:drawing>
      </w:r>
    </w:p>
    <w:p w14:paraId="067B260B" w14:textId="05C368A3" w:rsidR="000316AC" w:rsidRDefault="000316AC" w:rsidP="00283044">
      <w:pPr>
        <w:pStyle w:val="NoSpacing"/>
      </w:pPr>
      <w:r w:rsidRPr="00901208">
        <w:t xml:space="preserve">Fuente: Elaboración sobre </w:t>
      </w:r>
      <w:r>
        <w:t>datos CNPV 2010.</w:t>
      </w:r>
    </w:p>
    <w:p w14:paraId="3D6F272C" w14:textId="77777777" w:rsidR="000316AC" w:rsidRDefault="000316AC" w:rsidP="00B95FB6"/>
    <w:p w14:paraId="6C3E9F25" w14:textId="77777777" w:rsidR="000316AC" w:rsidRDefault="000316AC" w:rsidP="00B95FB6"/>
    <w:p w14:paraId="396C3851" w14:textId="77777777" w:rsidR="000316AC" w:rsidRDefault="000316AC" w:rsidP="00B95FB6"/>
    <w:p w14:paraId="07B9483B" w14:textId="77777777" w:rsidR="000316AC" w:rsidRDefault="000316AC" w:rsidP="00B95FB6"/>
    <w:p w14:paraId="6A14B9E0" w14:textId="741AC3B9" w:rsidR="000316AC" w:rsidRDefault="000316AC" w:rsidP="00FF271C">
      <w:pPr>
        <w:pStyle w:val="Caption"/>
      </w:pPr>
      <w:r>
        <w:t xml:space="preserve">Tabla </w:t>
      </w:r>
      <w:r w:rsidR="00E831A9">
        <w:t>II-</w:t>
      </w:r>
      <w:r w:rsidR="005C1A74">
        <w:fldChar w:fldCharType="begin"/>
      </w:r>
      <w:r w:rsidR="005C1A74">
        <w:instrText xml:space="preserve"> SEQ Tabla \* ARABIC </w:instrText>
      </w:r>
      <w:r w:rsidR="005C1A74">
        <w:fldChar w:fldCharType="separate"/>
      </w:r>
      <w:r>
        <w:rPr>
          <w:noProof/>
        </w:rPr>
        <w:t>12</w:t>
      </w:r>
      <w:r w:rsidR="005C1A74">
        <w:rPr>
          <w:noProof/>
        </w:rPr>
        <w:fldChar w:fldCharType="end"/>
      </w:r>
      <w:r>
        <w:t xml:space="preserve">: </w:t>
      </w:r>
      <w:r w:rsidRPr="00963CA9">
        <w:t>Combustible utilizado por los hogares área beneficiaria del proyecto – CNPV 2010</w:t>
      </w:r>
    </w:p>
    <w:p w14:paraId="382BBA4A" w14:textId="77777777" w:rsidR="000316AC" w:rsidRPr="00EB18A9" w:rsidRDefault="000316AC" w:rsidP="00B95FB6">
      <w:pPr>
        <w:pStyle w:val="CuadrosyTablas"/>
      </w:pPr>
      <w:r w:rsidRPr="00FF271C">
        <w:rPr>
          <w:noProof/>
          <w:lang w:eastAsia="es-AR"/>
        </w:rPr>
        <w:drawing>
          <wp:inline distT="0" distB="0" distL="0" distR="0" wp14:anchorId="63E5096E" wp14:editId="64A7A177">
            <wp:extent cx="5400675" cy="3163219"/>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00675" cy="3163219"/>
                    </a:xfrm>
                    <a:prstGeom prst="rect">
                      <a:avLst/>
                    </a:prstGeom>
                    <a:noFill/>
                    <a:ln>
                      <a:noFill/>
                    </a:ln>
                  </pic:spPr>
                </pic:pic>
              </a:graphicData>
            </a:graphic>
          </wp:inline>
        </w:drawing>
      </w:r>
    </w:p>
    <w:p w14:paraId="009682A7" w14:textId="5AEDD309" w:rsidR="000316AC" w:rsidRDefault="000316AC" w:rsidP="00FF271C">
      <w:pPr>
        <w:pStyle w:val="NoSpacing"/>
      </w:pPr>
      <w:r w:rsidRPr="00901208">
        <w:t xml:space="preserve">Fuente: Elaboración sobre </w:t>
      </w:r>
      <w:r>
        <w:t>datos CNPV 2010.</w:t>
      </w:r>
    </w:p>
    <w:p w14:paraId="291EE503" w14:textId="77777777" w:rsidR="000316AC" w:rsidRDefault="000316AC" w:rsidP="00B95FB6">
      <w:pPr>
        <w:pStyle w:val="CuadrosyTablas"/>
      </w:pPr>
    </w:p>
    <w:p w14:paraId="21445B3E" w14:textId="4372352D" w:rsidR="000316AC" w:rsidRDefault="000316AC" w:rsidP="00283044">
      <w:pPr>
        <w:pStyle w:val="Caption"/>
      </w:pPr>
      <w:r>
        <w:t xml:space="preserve">Tabla </w:t>
      </w:r>
      <w:r w:rsidR="00E831A9">
        <w:t>II-</w:t>
      </w:r>
      <w:r w:rsidR="005C1A74">
        <w:fldChar w:fldCharType="begin"/>
      </w:r>
      <w:r w:rsidR="005C1A74">
        <w:instrText xml:space="preserve"> SEQ Tabla \* ARABIC </w:instrText>
      </w:r>
      <w:r w:rsidR="005C1A74">
        <w:fldChar w:fldCharType="separate"/>
      </w:r>
      <w:r>
        <w:rPr>
          <w:noProof/>
        </w:rPr>
        <w:t>13</w:t>
      </w:r>
      <w:r w:rsidR="005C1A74">
        <w:rPr>
          <w:noProof/>
        </w:rPr>
        <w:fldChar w:fldCharType="end"/>
      </w:r>
      <w:r>
        <w:t xml:space="preserve">: </w:t>
      </w:r>
      <w:r w:rsidRPr="00394C17">
        <w:t>Sistema de eliminación de excretas área beneficiaria del proyecto – CNPV 2010</w:t>
      </w:r>
    </w:p>
    <w:p w14:paraId="566D0C83" w14:textId="77777777" w:rsidR="000316AC" w:rsidRDefault="000316AC" w:rsidP="00283044">
      <w:pPr>
        <w:pStyle w:val="NoSpacing"/>
      </w:pPr>
      <w:r w:rsidRPr="00283044">
        <w:rPr>
          <w:noProof/>
          <w:lang w:eastAsia="es-AR"/>
        </w:rPr>
        <w:drawing>
          <wp:inline distT="0" distB="0" distL="0" distR="0" wp14:anchorId="0DEA50A3" wp14:editId="71244119">
            <wp:extent cx="5400675" cy="1553594"/>
            <wp:effectExtent l="0" t="0" r="0" b="889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0675" cy="1553594"/>
                    </a:xfrm>
                    <a:prstGeom prst="rect">
                      <a:avLst/>
                    </a:prstGeom>
                    <a:noFill/>
                    <a:ln>
                      <a:noFill/>
                    </a:ln>
                  </pic:spPr>
                </pic:pic>
              </a:graphicData>
            </a:graphic>
          </wp:inline>
        </w:drawing>
      </w:r>
    </w:p>
    <w:p w14:paraId="3085DB84" w14:textId="5F7AEE98" w:rsidR="000316AC" w:rsidRDefault="000316AC" w:rsidP="00283044">
      <w:pPr>
        <w:pStyle w:val="NoSpacing"/>
      </w:pPr>
      <w:r w:rsidRPr="00901208">
        <w:t xml:space="preserve">Fuente: Elaboración sobre </w:t>
      </w:r>
      <w:r>
        <w:t>datos CNPV 2010.</w:t>
      </w:r>
    </w:p>
    <w:p w14:paraId="1A43118D" w14:textId="77777777" w:rsidR="000316AC" w:rsidRDefault="000316AC" w:rsidP="00B95FB6"/>
    <w:p w14:paraId="1A050359" w14:textId="6ED6DFE6" w:rsidR="000316AC" w:rsidRPr="00E831A9" w:rsidRDefault="000316AC" w:rsidP="00B95FB6">
      <w:pPr>
        <w:rPr>
          <w:rFonts w:ascii="Arial" w:hAnsi="Arial" w:cs="Arial"/>
        </w:rPr>
      </w:pPr>
      <w:r w:rsidRPr="00E831A9">
        <w:rPr>
          <w:rFonts w:ascii="Arial" w:hAnsi="Arial" w:cs="Arial"/>
        </w:rPr>
        <w:t xml:space="preserve">Finalmente, la última característica evaluada es la estimación del ingreso familiar total a febrero de 2017. A tal efecto la </w:t>
      </w:r>
      <w:r w:rsidRPr="00E831A9">
        <w:rPr>
          <w:rFonts w:ascii="Arial" w:hAnsi="Arial" w:cs="Arial"/>
        </w:rPr>
        <w:fldChar w:fldCharType="begin"/>
      </w:r>
      <w:r w:rsidRPr="00E831A9">
        <w:rPr>
          <w:rFonts w:ascii="Arial" w:hAnsi="Arial" w:cs="Arial"/>
        </w:rPr>
        <w:instrText xml:space="preserve"> REF _Ref479877054 \h </w:instrText>
      </w:r>
      <w:r w:rsidR="00E831A9">
        <w:rPr>
          <w:rFonts w:ascii="Arial" w:hAnsi="Arial" w:cs="Arial"/>
        </w:rPr>
        <w:instrText xml:space="preserve"> \* MERGEFORMAT </w:instrText>
      </w:r>
      <w:r w:rsidRPr="00E831A9">
        <w:rPr>
          <w:rFonts w:ascii="Arial" w:hAnsi="Arial" w:cs="Arial"/>
        </w:rPr>
      </w:r>
      <w:r w:rsidRPr="00E831A9">
        <w:rPr>
          <w:rFonts w:ascii="Arial" w:hAnsi="Arial" w:cs="Arial"/>
        </w:rPr>
        <w:fldChar w:fldCharType="separate"/>
      </w:r>
      <w:r w:rsidRPr="00E831A9">
        <w:rPr>
          <w:rFonts w:ascii="Arial" w:hAnsi="Arial" w:cs="Arial"/>
        </w:rPr>
        <w:t xml:space="preserve">Tabla </w:t>
      </w:r>
      <w:r w:rsidR="00E831A9">
        <w:rPr>
          <w:rFonts w:ascii="Arial" w:hAnsi="Arial" w:cs="Arial"/>
        </w:rPr>
        <w:t>II-</w:t>
      </w:r>
      <w:r w:rsidRPr="00E831A9">
        <w:rPr>
          <w:rFonts w:ascii="Arial" w:hAnsi="Arial" w:cs="Arial"/>
          <w:noProof/>
        </w:rPr>
        <w:t>14</w:t>
      </w:r>
      <w:r w:rsidRPr="00E831A9">
        <w:rPr>
          <w:rFonts w:ascii="Arial" w:hAnsi="Arial" w:cs="Arial"/>
        </w:rPr>
        <w:fldChar w:fldCharType="end"/>
      </w:r>
      <w:r w:rsidRPr="00E831A9">
        <w:rPr>
          <w:rFonts w:ascii="Arial" w:hAnsi="Arial" w:cs="Arial"/>
        </w:rPr>
        <w:t xml:space="preserve"> presenta la distribución según estrato social de CAPECO asociada al nivel medio del ingreso total familiar según datos de la última encuesta permanente de hogares para el GBA (3º trimestre de 2016), actualizados a partir del coeficiente de variación salarial (CVS) publicado por el INDEC.</w:t>
      </w:r>
    </w:p>
    <w:p w14:paraId="4D5E3EDB" w14:textId="6CD303F9" w:rsidR="000316AC" w:rsidRDefault="000316AC" w:rsidP="00283044">
      <w:pPr>
        <w:pStyle w:val="Caption"/>
      </w:pPr>
      <w:r>
        <w:t xml:space="preserve">Tabla </w:t>
      </w:r>
      <w:r w:rsidR="00E831A9">
        <w:t>II-</w:t>
      </w:r>
      <w:r w:rsidR="005C1A74">
        <w:fldChar w:fldCharType="begin"/>
      </w:r>
      <w:r w:rsidR="005C1A74">
        <w:instrText xml:space="preserve"> SEQ Tabla \* ARABIC </w:instrText>
      </w:r>
      <w:r w:rsidR="005C1A74">
        <w:fldChar w:fldCharType="separate"/>
      </w:r>
      <w:r>
        <w:rPr>
          <w:noProof/>
        </w:rPr>
        <w:t>14</w:t>
      </w:r>
      <w:r w:rsidR="005C1A74">
        <w:rPr>
          <w:noProof/>
        </w:rPr>
        <w:fldChar w:fldCharType="end"/>
      </w:r>
      <w:r>
        <w:t xml:space="preserve">: </w:t>
      </w:r>
      <w:r w:rsidRPr="00F11E06">
        <w:t>Determinación del Ingreso Familiar medio de los beneficiarios ($/mes).</w:t>
      </w:r>
    </w:p>
    <w:p w14:paraId="339E2303" w14:textId="77777777" w:rsidR="000316AC" w:rsidRDefault="000316AC" w:rsidP="00B95FB6">
      <w:pPr>
        <w:pStyle w:val="CuadrosyTablas"/>
      </w:pPr>
      <w:r w:rsidRPr="00283044">
        <w:rPr>
          <w:noProof/>
          <w:lang w:eastAsia="es-AR"/>
        </w:rPr>
        <w:drawing>
          <wp:inline distT="0" distB="0" distL="0" distR="0" wp14:anchorId="16E24BA7" wp14:editId="027D0AFB">
            <wp:extent cx="5073015" cy="3928110"/>
            <wp:effectExtent l="0" t="0" r="0" b="0"/>
            <wp:docPr id="93"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73015" cy="3928110"/>
                    </a:xfrm>
                    <a:prstGeom prst="rect">
                      <a:avLst/>
                    </a:prstGeom>
                    <a:noFill/>
                    <a:ln>
                      <a:noFill/>
                    </a:ln>
                  </pic:spPr>
                </pic:pic>
              </a:graphicData>
            </a:graphic>
          </wp:inline>
        </w:drawing>
      </w:r>
    </w:p>
    <w:p w14:paraId="54B2008E" w14:textId="77777777" w:rsidR="000316AC" w:rsidRDefault="000316AC" w:rsidP="00FF271C">
      <w:pPr>
        <w:pStyle w:val="NoSpacing"/>
      </w:pPr>
      <w:r w:rsidRPr="00901208">
        <w:t xml:space="preserve">Fuente: Elaboración propia sobre </w:t>
      </w:r>
      <w:r>
        <w:t>datos CNPV 2010, EPH y CVS INDEC.</w:t>
      </w:r>
    </w:p>
    <w:p w14:paraId="4BCC38F4" w14:textId="77777777" w:rsidR="000316AC" w:rsidRDefault="000316AC" w:rsidP="00B95FB6">
      <w:pPr>
        <w:pStyle w:val="CuadrosyTablas"/>
      </w:pPr>
    </w:p>
    <w:p w14:paraId="6179261F" w14:textId="77777777" w:rsidR="000316AC" w:rsidRDefault="000316AC" w:rsidP="002B0107">
      <w:pPr>
        <w:pStyle w:val="Heading2"/>
        <w:numPr>
          <w:ilvl w:val="1"/>
          <w:numId w:val="17"/>
        </w:numPr>
      </w:pPr>
      <w:bookmarkStart w:id="192" w:name="_Toc479892474"/>
      <w:bookmarkStart w:id="193" w:name="_Toc485200138"/>
      <w:r>
        <w:t>Situación socioeconómica de la población – Comentarios generales.</w:t>
      </w:r>
      <w:bookmarkEnd w:id="192"/>
      <w:bookmarkEnd w:id="193"/>
    </w:p>
    <w:p w14:paraId="7FB86A78" w14:textId="58219AF7" w:rsidR="000316AC" w:rsidRPr="00E12461" w:rsidRDefault="000316AC" w:rsidP="007944BA">
      <w:pPr>
        <w:rPr>
          <w:rFonts w:ascii="Arial" w:hAnsi="Arial" w:cs="Arial"/>
        </w:rPr>
      </w:pPr>
      <w:r w:rsidRPr="00E12461">
        <w:rPr>
          <w:rFonts w:ascii="Arial" w:hAnsi="Arial" w:cs="Arial"/>
        </w:rPr>
        <w:t>El perfil socioeconómico de la población beneficiaria puede caracterizarse como preponderantemente bajo</w:t>
      </w:r>
      <w:r w:rsidR="00346CE3">
        <w:rPr>
          <w:rFonts w:ascii="Arial" w:hAnsi="Arial" w:cs="Arial"/>
        </w:rPr>
        <w:t xml:space="preserve"> (94% de la población beneficiaria)</w:t>
      </w:r>
      <w:r w:rsidRPr="00E12461">
        <w:rPr>
          <w:rFonts w:ascii="Arial" w:hAnsi="Arial" w:cs="Arial"/>
        </w:rPr>
        <w:t xml:space="preserve">. </w:t>
      </w:r>
    </w:p>
    <w:p w14:paraId="60D97D6B" w14:textId="77777777" w:rsidR="000316AC" w:rsidRPr="00E12461" w:rsidRDefault="000316AC" w:rsidP="00682064">
      <w:pPr>
        <w:rPr>
          <w:rFonts w:ascii="Arial" w:hAnsi="Arial" w:cs="Arial"/>
        </w:rPr>
      </w:pPr>
      <w:r w:rsidRPr="00E12461">
        <w:rPr>
          <w:rFonts w:ascii="Arial" w:hAnsi="Arial" w:cs="Arial"/>
        </w:rPr>
        <w:t>Al analizar distintos indicadores vinculados a las condiciones de vida, salud, educación y trabajo del área beneficiaria se observa una fuerte correlación en todas las variables lo que permite definir claramente una fuerte presencia de pobreza multidimensional.</w:t>
      </w:r>
    </w:p>
    <w:p w14:paraId="12AD6D95" w14:textId="77777777" w:rsidR="000316AC" w:rsidRPr="00E12461" w:rsidRDefault="000316AC" w:rsidP="00682064">
      <w:pPr>
        <w:rPr>
          <w:rFonts w:ascii="Arial" w:hAnsi="Arial" w:cs="Arial"/>
        </w:rPr>
      </w:pPr>
      <w:r w:rsidRPr="00E12461">
        <w:rPr>
          <w:rFonts w:ascii="Arial" w:hAnsi="Arial" w:cs="Arial"/>
        </w:rPr>
        <w:t>El medio ambiente familiar y las condiciones de habitabilidad de las viviendas y los barrios, las posibilidades educativas, los recursos destinados a la formación, las problemáticas vinculadas con la salud (en lo relativo a la cobertura y a la previsión), y el trabajo resultan ser puntos de partida y llegada de las trayectorias personales y colectivas signadas por límites marcados por la inequidad en la distribución del ingreso, los recursos y de los servicios públicos.</w:t>
      </w:r>
    </w:p>
    <w:p w14:paraId="22519C56" w14:textId="77777777" w:rsidR="000316AC" w:rsidRPr="00E12461" w:rsidRDefault="000316AC" w:rsidP="00682064">
      <w:pPr>
        <w:rPr>
          <w:rFonts w:ascii="Arial" w:hAnsi="Arial" w:cs="Arial"/>
        </w:rPr>
      </w:pPr>
      <w:r w:rsidRPr="00E12461">
        <w:rPr>
          <w:rFonts w:ascii="Arial" w:hAnsi="Arial" w:cs="Arial"/>
        </w:rPr>
        <w:t>Ante este panorama, el avance en la cobertura de un servicio esencial como el de desagües cloacales implica una importante mejora para las poblaciones beneficiarias, cuestión que desde una óptica social hace recomendable la ejecución de las obras que se proponen.</w:t>
      </w:r>
    </w:p>
    <w:p w14:paraId="2FE7535A" w14:textId="77777777" w:rsidR="000316AC" w:rsidRDefault="000316AC" w:rsidP="003B1C14"/>
    <w:p w14:paraId="587581CE" w14:textId="77777777" w:rsidR="000316AC" w:rsidRDefault="000316AC" w:rsidP="002B0107">
      <w:pPr>
        <w:pStyle w:val="Heading2"/>
        <w:numPr>
          <w:ilvl w:val="0"/>
          <w:numId w:val="68"/>
        </w:numPr>
      </w:pPr>
      <w:bookmarkStart w:id="194" w:name="_Toc479892475"/>
      <w:bookmarkStart w:id="195" w:name="_Toc485200139"/>
      <w:r>
        <w:t>Análisis de capacidad de pago.</w:t>
      </w:r>
      <w:bookmarkEnd w:id="194"/>
      <w:bookmarkEnd w:id="195"/>
    </w:p>
    <w:p w14:paraId="2F019B12" w14:textId="77777777" w:rsidR="000316AC" w:rsidRPr="00346CE3" w:rsidRDefault="000316AC" w:rsidP="00E0605B">
      <w:pPr>
        <w:rPr>
          <w:rFonts w:ascii="Arial" w:hAnsi="Arial" w:cs="Arial"/>
        </w:rPr>
      </w:pPr>
      <w:r w:rsidRPr="00346CE3">
        <w:rPr>
          <w:rFonts w:ascii="Arial" w:hAnsi="Arial" w:cs="Arial"/>
        </w:rPr>
        <w:t>A fin de verificar la incidencia del pago del servicio considerando las tarifas reguladas vigentes de AySA S.A., se analizó para cada estrato socioeconómico el impacto de las mismas sobre el presupuesto familiar, considerando la prestación de servicios de agua y cloacas.</w:t>
      </w:r>
    </w:p>
    <w:p w14:paraId="6BA6D635" w14:textId="64192BFA" w:rsidR="000316AC" w:rsidRPr="00346CE3" w:rsidRDefault="000316AC" w:rsidP="00E0605B">
      <w:pPr>
        <w:rPr>
          <w:rFonts w:ascii="Arial" w:hAnsi="Arial" w:cs="Arial"/>
        </w:rPr>
      </w:pPr>
      <w:r w:rsidRPr="00346CE3">
        <w:rPr>
          <w:rFonts w:ascii="Arial" w:hAnsi="Arial" w:cs="Arial"/>
        </w:rPr>
        <w:t xml:space="preserve">La </w:t>
      </w:r>
      <w:r w:rsidRPr="00346CE3">
        <w:rPr>
          <w:rFonts w:ascii="Arial" w:hAnsi="Arial" w:cs="Arial"/>
        </w:rPr>
        <w:fldChar w:fldCharType="begin"/>
      </w:r>
      <w:r w:rsidRPr="00346CE3">
        <w:rPr>
          <w:rFonts w:ascii="Arial" w:hAnsi="Arial" w:cs="Arial"/>
        </w:rPr>
        <w:instrText xml:space="preserve"> REF _Ref479696624 \h </w:instrText>
      </w:r>
      <w:r w:rsidR="00346CE3">
        <w:rPr>
          <w:rFonts w:ascii="Arial" w:hAnsi="Arial" w:cs="Arial"/>
        </w:rPr>
        <w:instrText xml:space="preserve"> \* MERGEFORMAT </w:instrText>
      </w:r>
      <w:r w:rsidRPr="00346CE3">
        <w:rPr>
          <w:rFonts w:ascii="Arial" w:hAnsi="Arial" w:cs="Arial"/>
        </w:rPr>
      </w:r>
      <w:r w:rsidRPr="00346CE3">
        <w:rPr>
          <w:rFonts w:ascii="Arial" w:hAnsi="Arial" w:cs="Arial"/>
        </w:rPr>
        <w:fldChar w:fldCharType="separate"/>
      </w:r>
      <w:r w:rsidRPr="00346CE3">
        <w:rPr>
          <w:rFonts w:ascii="Arial" w:hAnsi="Arial" w:cs="Arial"/>
        </w:rPr>
        <w:t xml:space="preserve">Tabla </w:t>
      </w:r>
      <w:r w:rsidR="00346CE3" w:rsidRPr="00346CE3">
        <w:rPr>
          <w:rFonts w:ascii="Arial" w:hAnsi="Arial" w:cs="Arial"/>
        </w:rPr>
        <w:t>II-</w:t>
      </w:r>
      <w:r w:rsidRPr="00346CE3">
        <w:rPr>
          <w:rFonts w:ascii="Arial" w:hAnsi="Arial" w:cs="Arial"/>
          <w:noProof/>
        </w:rPr>
        <w:t>15</w:t>
      </w:r>
      <w:r w:rsidRPr="00346CE3">
        <w:rPr>
          <w:rFonts w:ascii="Arial" w:hAnsi="Arial" w:cs="Arial"/>
        </w:rPr>
        <w:fldChar w:fldCharType="end"/>
      </w:r>
      <w:r w:rsidRPr="00346CE3">
        <w:rPr>
          <w:rFonts w:ascii="Arial" w:hAnsi="Arial" w:cs="Arial"/>
        </w:rPr>
        <w:t xml:space="preserve"> presenta el resultado obtenido.</w:t>
      </w:r>
    </w:p>
    <w:p w14:paraId="7A7492D5" w14:textId="77777777" w:rsidR="000316AC" w:rsidRPr="00346CE3" w:rsidRDefault="000316AC" w:rsidP="00E0605B">
      <w:pPr>
        <w:rPr>
          <w:rFonts w:ascii="Arial" w:hAnsi="Arial" w:cs="Arial"/>
        </w:rPr>
      </w:pPr>
      <w:r w:rsidRPr="00346CE3">
        <w:rPr>
          <w:rFonts w:ascii="Arial" w:hAnsi="Arial" w:cs="Arial"/>
        </w:rPr>
        <w:t>Según se aprecia, los usuarios situados en el estrato social bajo y medio bajo enfrentarán un costo de los servicios de agua y de desagües cloacales que va del 1,48% de sus ingresos al 2,45%, mientras que para los estratos superiores la incidencia se encuentra por debajo del 1,5%. Adicionalmente debe destacarse que la empresa cuenta con un programa de tarifa social que permite reducir la factura en aquellos casos que presenten una situación socioeconómica delicada, facilitándose ampliamente el pago de las facturas.</w:t>
      </w:r>
    </w:p>
    <w:p w14:paraId="6531DEA7" w14:textId="5E5E5C9D" w:rsidR="000316AC" w:rsidRDefault="000316AC" w:rsidP="00E0605B">
      <w:pPr>
        <w:pStyle w:val="Caption"/>
      </w:pPr>
      <w:r>
        <w:t xml:space="preserve">Tabla </w:t>
      </w:r>
      <w:r w:rsidR="00346CE3">
        <w:t>II-</w:t>
      </w:r>
      <w:r w:rsidR="005C1A74">
        <w:fldChar w:fldCharType="begin"/>
      </w:r>
      <w:r w:rsidR="005C1A74">
        <w:instrText xml:space="preserve"> SEQ Tabla \* ARABIC </w:instrText>
      </w:r>
      <w:r w:rsidR="005C1A74">
        <w:fldChar w:fldCharType="separate"/>
      </w:r>
      <w:r>
        <w:rPr>
          <w:noProof/>
        </w:rPr>
        <w:t>15</w:t>
      </w:r>
      <w:r w:rsidR="005C1A74">
        <w:rPr>
          <w:noProof/>
        </w:rPr>
        <w:fldChar w:fldCharType="end"/>
      </w:r>
      <w:r>
        <w:t xml:space="preserve">: </w:t>
      </w:r>
      <w:r w:rsidRPr="00DD7ABA">
        <w:t>Incidencia del pago del servicio sobre el presupuesto familiar.</w:t>
      </w:r>
    </w:p>
    <w:p w14:paraId="45378E73" w14:textId="77777777" w:rsidR="000316AC" w:rsidRDefault="000316AC" w:rsidP="00E0605B">
      <w:r w:rsidRPr="00E0605B">
        <w:rPr>
          <w:noProof/>
          <w:lang w:eastAsia="es-AR"/>
        </w:rPr>
        <w:drawing>
          <wp:inline distT="0" distB="0" distL="0" distR="0" wp14:anchorId="121AF356" wp14:editId="2EF5EDE8">
            <wp:extent cx="4102735" cy="2592070"/>
            <wp:effectExtent l="0" t="0" r="0" b="0"/>
            <wp:docPr id="9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02735" cy="2592070"/>
                    </a:xfrm>
                    <a:prstGeom prst="rect">
                      <a:avLst/>
                    </a:prstGeom>
                    <a:noFill/>
                    <a:ln>
                      <a:noFill/>
                    </a:ln>
                  </pic:spPr>
                </pic:pic>
              </a:graphicData>
            </a:graphic>
          </wp:inline>
        </w:drawing>
      </w:r>
    </w:p>
    <w:p w14:paraId="5CDBDC9E" w14:textId="77777777" w:rsidR="00346CE3" w:rsidRPr="00346CE3" w:rsidRDefault="00346CE3" w:rsidP="00346CE3">
      <w:pPr>
        <w:spacing w:line="240" w:lineRule="auto"/>
        <w:rPr>
          <w:rFonts w:ascii="Arial" w:hAnsi="Arial" w:cs="Arial"/>
        </w:rPr>
      </w:pPr>
      <w:r w:rsidRPr="00346CE3">
        <w:rPr>
          <w:rFonts w:ascii="Arial" w:hAnsi="Arial" w:cs="Arial"/>
        </w:rPr>
        <w:t>Adicionalmente debe destacarse que la empresa cuenta con un programa de tarifa social que permite reducir la factura en aquellos casos que presenten una situación socioeconómica delicada, facilitándose ampliamente el pago de las facturas.</w:t>
      </w:r>
    </w:p>
    <w:p w14:paraId="7F60AD30" w14:textId="07B943E7" w:rsidR="000316AC" w:rsidRPr="00346CE3" w:rsidRDefault="000316AC" w:rsidP="00E0605B">
      <w:pPr>
        <w:rPr>
          <w:rFonts w:ascii="Arial" w:hAnsi="Arial" w:cs="Arial"/>
        </w:rPr>
      </w:pPr>
      <w:r w:rsidRPr="00346CE3">
        <w:rPr>
          <w:rFonts w:ascii="Arial" w:hAnsi="Arial" w:cs="Arial"/>
        </w:rPr>
        <w:t xml:space="preserve">Finalmente se aclara </w:t>
      </w:r>
      <w:r w:rsidR="00346CE3" w:rsidRPr="00346CE3">
        <w:rPr>
          <w:rFonts w:ascii="Arial" w:hAnsi="Arial" w:cs="Arial"/>
        </w:rPr>
        <w:t>que,</w:t>
      </w:r>
      <w:r w:rsidRPr="00346CE3">
        <w:rPr>
          <w:rFonts w:ascii="Arial" w:hAnsi="Arial" w:cs="Arial"/>
        </w:rPr>
        <w:t xml:space="preserve"> en caso de evaluar únicamente el servicio de cloaca, la factura pasa a ser exactamente la mitad de los valores presentados (los precios de cada servicio son idénticos), por lo que la incidencia de los servicios sanitarios se reduce en un 50%.</w:t>
      </w:r>
    </w:p>
    <w:p w14:paraId="3AE0FB5B" w14:textId="77777777" w:rsidR="000316AC" w:rsidRDefault="000316AC" w:rsidP="003B1C14"/>
    <w:p w14:paraId="6417A1B5" w14:textId="77777777" w:rsidR="000316AC" w:rsidRDefault="000316AC">
      <w:pPr>
        <w:jc w:val="left"/>
      </w:pPr>
      <w:r>
        <w:br w:type="page"/>
      </w:r>
    </w:p>
    <w:p w14:paraId="79A379D0" w14:textId="77777777" w:rsidR="000316AC" w:rsidRDefault="000316AC" w:rsidP="005F4D0E"/>
    <w:p w14:paraId="0F851155" w14:textId="77777777" w:rsidR="000316AC" w:rsidRDefault="000316AC" w:rsidP="00F5783E">
      <w:pPr>
        <w:pStyle w:val="Heading1"/>
      </w:pPr>
      <w:bookmarkStart w:id="196" w:name="_Toc479892476"/>
      <w:bookmarkStart w:id="197" w:name="_Toc485200140"/>
      <w:r>
        <w:t>Capítulo III: Solución adoptada – Descripción del proyecto.</w:t>
      </w:r>
      <w:bookmarkEnd w:id="196"/>
      <w:bookmarkEnd w:id="197"/>
    </w:p>
    <w:p w14:paraId="7EF6AB96" w14:textId="77777777" w:rsidR="000316AC" w:rsidRPr="005F4D0E" w:rsidRDefault="000316AC" w:rsidP="005F4D0E"/>
    <w:p w14:paraId="5821A528" w14:textId="77777777" w:rsidR="000316AC" w:rsidRDefault="000316AC" w:rsidP="002B0107">
      <w:pPr>
        <w:pStyle w:val="Heading2"/>
        <w:numPr>
          <w:ilvl w:val="0"/>
          <w:numId w:val="70"/>
        </w:numPr>
      </w:pPr>
      <w:bookmarkStart w:id="198" w:name="_Toc479892477"/>
      <w:bookmarkStart w:id="199" w:name="_Toc485200141"/>
      <w:r>
        <w:t>Descripción general del proyecto.</w:t>
      </w:r>
      <w:bookmarkEnd w:id="198"/>
      <w:bookmarkEnd w:id="199"/>
    </w:p>
    <w:p w14:paraId="1DC9DF8D" w14:textId="77777777" w:rsidR="000316AC" w:rsidRPr="002D2A14" w:rsidRDefault="000316AC" w:rsidP="0017709A">
      <w:pPr>
        <w:rPr>
          <w:rFonts w:ascii="Arial" w:hAnsi="Arial" w:cs="Arial"/>
        </w:rPr>
      </w:pPr>
      <w:r w:rsidRPr="002D2A14">
        <w:rPr>
          <w:rFonts w:ascii="Arial" w:hAnsi="Arial" w:cs="Arial"/>
        </w:rPr>
        <w:t>El proyecto se inscribe dentro de una zona altamente postergada en materia de saneamiento, dado que se encuentra en la cuenca hídrica del Río Reconquista que abarca 1670 km2 donde tal río es el principal curso de agua y cerca de cuyas márgenes viven 4,2 millones de personas a lo largo de 600 Km.</w:t>
      </w:r>
    </w:p>
    <w:p w14:paraId="6491ECE7" w14:textId="77777777" w:rsidR="000316AC" w:rsidRPr="002D2A14" w:rsidRDefault="000316AC" w:rsidP="0017709A">
      <w:pPr>
        <w:rPr>
          <w:rFonts w:ascii="Arial" w:hAnsi="Arial" w:cs="Arial"/>
        </w:rPr>
      </w:pPr>
      <w:r w:rsidRPr="002D2A14">
        <w:rPr>
          <w:rFonts w:ascii="Arial" w:hAnsi="Arial" w:cs="Arial"/>
        </w:rPr>
        <w:t>El río Reconquista es hoy en día el segundo río más contaminado de Argentina, siendo el primero el Riachuelo. Sus aguas poseen niveles excesivos de metales pesados y microorganismos patógenos, que provienen de las descargas del alcantarillado, mataderos, curtiembres y otras industrias que se ubican en su cuenca y vuelcan sus desechos al río y sus afluentes sin tratamiento previo. Esta situación resulta evidente a simple vista y es perceptible por el desagradable olor que se siente a cientos de metros del río. Junto con el río Matanza-Riachuelo aportan una enorme cantidad de contaminantes a las aguas del Río de la Plata, provocando mortandad de peces y poniendo en peligro la salud de millones de personas.</w:t>
      </w:r>
    </w:p>
    <w:p w14:paraId="4D3A3B19" w14:textId="77777777" w:rsidR="000316AC" w:rsidRPr="002D2A14" w:rsidRDefault="000316AC" w:rsidP="0017709A">
      <w:pPr>
        <w:rPr>
          <w:rFonts w:ascii="Arial" w:hAnsi="Arial" w:cs="Arial"/>
        </w:rPr>
      </w:pPr>
      <w:r w:rsidRPr="002D2A14">
        <w:rPr>
          <w:rFonts w:ascii="Arial" w:hAnsi="Arial" w:cs="Arial"/>
        </w:rPr>
        <w:t>El desarrollo sostenible de la cuenca requiere necesariamente la provisión de servicios cloacales, dado que una parte importante de los efluentes cloacales que genera esta población se vuelcan al río. Esta afirmación del deterioro que provocan de manera considerable los residuos domiciliarios al río surge de un informe presentado por la Defensoría del Pueblo en marzo del 2007 y elaborado por cuatro universidades y varias fundaciones. En el mismo se pone en evidencia que el 100% la superficie de San Miguel está influenciado por el río, mientras que en el partido de Moreno la superficie influenciada es de 94,6%.</w:t>
      </w:r>
    </w:p>
    <w:p w14:paraId="4DFA1E79" w14:textId="77777777" w:rsidR="000316AC" w:rsidRPr="002D2A14" w:rsidRDefault="000316AC" w:rsidP="0017709A">
      <w:pPr>
        <w:rPr>
          <w:rFonts w:ascii="Arial" w:hAnsi="Arial" w:cs="Arial"/>
        </w:rPr>
      </w:pPr>
      <w:r w:rsidRPr="002D2A14">
        <w:rPr>
          <w:rFonts w:ascii="Arial" w:hAnsi="Arial" w:cs="Arial"/>
        </w:rPr>
        <w:t>El retraso en la ejecución de las obras básicas, entre ellas las de facilitar el acceso al servicio de cloacas, viene arrastrándose por décadas, y para comenzar a resolver esta rémora no sólo se necesita que se entienda el desafío ambiental que está en juego sino que también se ejecuten obras que transformen la realidad y se constituyan en parte de la solución.</w:t>
      </w:r>
    </w:p>
    <w:p w14:paraId="0F6FF37B" w14:textId="77777777" w:rsidR="000316AC" w:rsidRPr="002D2A14" w:rsidRDefault="000316AC" w:rsidP="0017709A">
      <w:pPr>
        <w:rPr>
          <w:rFonts w:ascii="Arial" w:hAnsi="Arial" w:cs="Arial"/>
        </w:rPr>
      </w:pPr>
      <w:r w:rsidRPr="002D2A14">
        <w:rPr>
          <w:rFonts w:ascii="Arial" w:hAnsi="Arial" w:cs="Arial"/>
        </w:rPr>
        <w:t>Las obras previstas en el programa de AySA, que vienen desarrollándose sin pausa en el área desde 2008, acompañarán otros emprendimientos en el resto de los partidos de la cuenca Reconquista como Merlo, Moreno y San Miguel donde se está previendo, según consta en las proyecciones de la Unidad Ejecutora de Obras para el Gran Buenos Aires, la incorporación al servicio de cloacas de 210.000 personas en una primera etapa.</w:t>
      </w:r>
    </w:p>
    <w:p w14:paraId="54DC8242" w14:textId="77777777" w:rsidR="000316AC" w:rsidRPr="002D2A14" w:rsidRDefault="000316AC" w:rsidP="0017709A">
      <w:pPr>
        <w:rPr>
          <w:rFonts w:ascii="Arial" w:hAnsi="Arial" w:cs="Arial"/>
        </w:rPr>
      </w:pPr>
      <w:r w:rsidRPr="002D2A14">
        <w:rPr>
          <w:rFonts w:ascii="Arial" w:hAnsi="Arial" w:cs="Arial"/>
        </w:rPr>
        <w:t>En el caso particular de la presente evaluación, se incluyen las obras necesarias para alcanzar la capacidad de tratamiento de la Planta Las Catonas, considerando la construcción de un nuevo módulo, redes secundarias y colectores, que permiten la incorporación de un total de 240 mil habitantes al servicio de desagües cloacales (210.000 provenientes de la ampliación + 30.000 correspondientes a la capacidad remanente).</w:t>
      </w:r>
    </w:p>
    <w:p w14:paraId="2A7E103E" w14:textId="77777777" w:rsidR="000316AC" w:rsidRPr="002D2A14" w:rsidRDefault="000316AC" w:rsidP="00C200BC">
      <w:pPr>
        <w:rPr>
          <w:rFonts w:ascii="Arial" w:hAnsi="Arial" w:cs="Arial"/>
        </w:rPr>
      </w:pPr>
      <w:r w:rsidRPr="002D2A14">
        <w:rPr>
          <w:rFonts w:ascii="Arial" w:hAnsi="Arial" w:cs="Arial"/>
        </w:rPr>
        <w:t>La realización de la ampliación de planta se efectuará de la siguiente forma:</w:t>
      </w:r>
    </w:p>
    <w:p w14:paraId="4141F470" w14:textId="77777777" w:rsidR="000316AC" w:rsidRPr="002D2A14" w:rsidRDefault="000316AC" w:rsidP="00C4100D">
      <w:pPr>
        <w:pStyle w:val="ListParagraph"/>
        <w:numPr>
          <w:ilvl w:val="0"/>
          <w:numId w:val="49"/>
        </w:numPr>
        <w:rPr>
          <w:rFonts w:ascii="Arial" w:hAnsi="Arial" w:cs="Arial"/>
        </w:rPr>
      </w:pPr>
      <w:r w:rsidRPr="002D2A14">
        <w:rPr>
          <w:rFonts w:ascii="Arial" w:hAnsi="Arial" w:cs="Arial"/>
        </w:rPr>
        <w:t>Incorporación de 210.000 habitantes equivalentes (presente proyecto), a lo que se suma una capacidad remanente de aproximadamente 30.000 habitantes.</w:t>
      </w:r>
    </w:p>
    <w:p w14:paraId="1A4B4555" w14:textId="77777777" w:rsidR="000316AC" w:rsidRPr="002D2A14" w:rsidRDefault="000316AC" w:rsidP="00C4100D">
      <w:pPr>
        <w:pStyle w:val="ListParagraph"/>
        <w:numPr>
          <w:ilvl w:val="0"/>
          <w:numId w:val="49"/>
        </w:numPr>
        <w:rPr>
          <w:rFonts w:ascii="Arial" w:hAnsi="Arial" w:cs="Arial"/>
        </w:rPr>
      </w:pPr>
      <w:r w:rsidRPr="002D2A14">
        <w:rPr>
          <w:rFonts w:ascii="Arial" w:hAnsi="Arial" w:cs="Arial"/>
        </w:rPr>
        <w:t>Incorporación de 120.000 habitantes equivalentes (proyecto futuro)</w:t>
      </w:r>
    </w:p>
    <w:p w14:paraId="6B52F99E" w14:textId="77777777" w:rsidR="000316AC" w:rsidRPr="002D2A14" w:rsidRDefault="000316AC" w:rsidP="00C200BC">
      <w:pPr>
        <w:rPr>
          <w:rFonts w:ascii="Arial" w:hAnsi="Arial" w:cs="Arial"/>
        </w:rPr>
      </w:pPr>
      <w:r w:rsidRPr="002D2A14">
        <w:rPr>
          <w:rFonts w:ascii="Arial" w:hAnsi="Arial" w:cs="Arial"/>
        </w:rPr>
        <w:t xml:space="preserve">De esta manera, en conjunto con el módulo de planta existente, se contará con una capacidad final de 500.000 habitantes. </w:t>
      </w:r>
    </w:p>
    <w:p w14:paraId="693F10FE" w14:textId="77777777" w:rsidR="000316AC" w:rsidRPr="002D2A14" w:rsidRDefault="000316AC" w:rsidP="00C200BC">
      <w:pPr>
        <w:rPr>
          <w:rFonts w:ascii="Arial" w:hAnsi="Arial" w:cs="Arial"/>
        </w:rPr>
      </w:pPr>
      <w:r w:rsidRPr="002D2A14">
        <w:rPr>
          <w:rFonts w:ascii="Arial" w:hAnsi="Arial" w:cs="Arial"/>
        </w:rPr>
        <w:t>En el presente proyecto, el nuevo módulo de tratamiento ha sido concebido para tratar un caudal medio de 0,67 m³/s y producir un efluente que respete el 90% del tiempo un vuelco con una DBO</w:t>
      </w:r>
      <w:r w:rsidRPr="002D2A14">
        <w:rPr>
          <w:rFonts w:ascii="Arial" w:hAnsi="Arial" w:cs="Arial"/>
          <w:vertAlign w:val="subscript"/>
        </w:rPr>
        <w:t>5</w:t>
      </w:r>
      <w:r w:rsidRPr="002D2A14">
        <w:rPr>
          <w:rFonts w:ascii="Arial" w:hAnsi="Arial" w:cs="Arial"/>
        </w:rPr>
        <w:t xml:space="preserve"> de salida menor o igual a 15 mg/l. El vuelco de la planta existente y del nuevo módulo se realizará al Río Reconquista, por lo que deberá construirse un nuevo emisario.</w:t>
      </w:r>
    </w:p>
    <w:p w14:paraId="337BBE03" w14:textId="77777777" w:rsidR="000316AC" w:rsidRPr="002D2A14" w:rsidRDefault="000316AC" w:rsidP="00C200BC">
      <w:pPr>
        <w:rPr>
          <w:rFonts w:ascii="Arial" w:hAnsi="Arial" w:cs="Arial"/>
        </w:rPr>
      </w:pPr>
      <w:r w:rsidRPr="002D2A14">
        <w:rPr>
          <w:rFonts w:ascii="Arial" w:hAnsi="Arial" w:cs="Arial"/>
        </w:rPr>
        <w:t>Teniendo en cuenta que la DBO de entrada es de 208 mg/l (dato de diseño adoptado por AySA) y la DBO de salida requerida es de 15 mg/l (dato de diseño adoptado por AySA), el porcentaje de remoción debe ser superior al 92%, lo cual es posible lograr mediante un tratamiento de lodos activados de baja carga. Debe destacarse que con este tipo de tratamiento se podría producir el fenómeno de Nitrificación en el tanque de aireación, por lo cual podría ser necesario llevar a cabo una Desnitrificación previa para evitar la flotación de lodos en el clarificador. Esto se logra mediante la generación de una zona anóxica.</w:t>
      </w:r>
    </w:p>
    <w:p w14:paraId="2D35357C" w14:textId="77777777" w:rsidR="000316AC" w:rsidRPr="002D2A14" w:rsidRDefault="000316AC" w:rsidP="00C200BC">
      <w:pPr>
        <w:rPr>
          <w:rFonts w:ascii="Arial" w:hAnsi="Arial" w:cs="Arial"/>
        </w:rPr>
      </w:pPr>
      <w:r w:rsidRPr="002D2A14">
        <w:rPr>
          <w:rFonts w:ascii="Arial" w:hAnsi="Arial" w:cs="Arial"/>
        </w:rPr>
        <w:t xml:space="preserve">De esta forma la planta dispondrá de una capacidad total de 1,07 m³/s correspondiente a 350.000 habitantes equivalentes y estará conformada por dos módulos de tratamiento diferentes: </w:t>
      </w:r>
    </w:p>
    <w:p w14:paraId="6D5198F5" w14:textId="77777777" w:rsidR="000316AC" w:rsidRPr="002D2A14" w:rsidRDefault="000316AC" w:rsidP="00C4100D">
      <w:pPr>
        <w:pStyle w:val="ListParagraph"/>
        <w:numPr>
          <w:ilvl w:val="0"/>
          <w:numId w:val="50"/>
        </w:numPr>
        <w:rPr>
          <w:rFonts w:ascii="Arial" w:hAnsi="Arial" w:cs="Arial"/>
        </w:rPr>
      </w:pPr>
      <w:r w:rsidRPr="002D2A14">
        <w:rPr>
          <w:rFonts w:ascii="Arial" w:hAnsi="Arial" w:cs="Arial"/>
        </w:rPr>
        <w:t xml:space="preserve">Módulo existente: tratamiento mediante aireación extendida, con una capacidad de 0,4 m³/s correspondiente a 140.000 habitantes equivalentes </w:t>
      </w:r>
    </w:p>
    <w:p w14:paraId="6E65D0B5" w14:textId="77777777" w:rsidR="000316AC" w:rsidRPr="002D2A14" w:rsidRDefault="000316AC" w:rsidP="00C4100D">
      <w:pPr>
        <w:pStyle w:val="ListParagraph"/>
        <w:numPr>
          <w:ilvl w:val="0"/>
          <w:numId w:val="50"/>
        </w:numPr>
        <w:rPr>
          <w:rFonts w:ascii="Arial" w:hAnsi="Arial" w:cs="Arial"/>
        </w:rPr>
      </w:pPr>
      <w:r w:rsidRPr="002D2A14">
        <w:rPr>
          <w:rFonts w:ascii="Arial" w:hAnsi="Arial" w:cs="Arial"/>
        </w:rPr>
        <w:t>Módulo nuevo: tratamiento de lodos activados con zona pre-anóxica, con una capacidad de 0,67 m³/s correspondiente a 210.000 habitantes equivalentes.</w:t>
      </w:r>
    </w:p>
    <w:p w14:paraId="5304AA8F" w14:textId="77777777" w:rsidR="000316AC" w:rsidRPr="002D2A14" w:rsidRDefault="000316AC" w:rsidP="00353B91">
      <w:pPr>
        <w:rPr>
          <w:rFonts w:ascii="Arial" w:hAnsi="Arial" w:cs="Arial"/>
        </w:rPr>
      </w:pPr>
      <w:r w:rsidRPr="002D2A14">
        <w:rPr>
          <w:rFonts w:ascii="Arial" w:hAnsi="Arial" w:cs="Arial"/>
        </w:rPr>
        <w:t>Esta capacidad de tratamiento es completada en el presente proyecto mediante la incorporación de los componentes necesarios en materia de transporte (colectores) y de redes secundarias.</w:t>
      </w:r>
    </w:p>
    <w:p w14:paraId="7510250F" w14:textId="77777777" w:rsidR="000316AC" w:rsidRPr="002D2A14" w:rsidRDefault="000316AC" w:rsidP="00367960">
      <w:pPr>
        <w:rPr>
          <w:rFonts w:ascii="Arial" w:hAnsi="Arial" w:cs="Arial"/>
        </w:rPr>
      </w:pPr>
      <w:r w:rsidRPr="002D2A14">
        <w:rPr>
          <w:rFonts w:ascii="Arial" w:hAnsi="Arial" w:cs="Arial"/>
        </w:rPr>
        <w:t>Así, dentro del área de expansión se encuentran las siguientes obras primarias y secundarias:</w:t>
      </w:r>
    </w:p>
    <w:p w14:paraId="076AACFC" w14:textId="77777777" w:rsidR="000316AC" w:rsidRPr="002D2A14" w:rsidRDefault="000316AC" w:rsidP="00C4100D">
      <w:pPr>
        <w:pStyle w:val="ListParagraph"/>
        <w:numPr>
          <w:ilvl w:val="0"/>
          <w:numId w:val="51"/>
        </w:numPr>
        <w:rPr>
          <w:rFonts w:ascii="Arial" w:hAnsi="Arial" w:cs="Arial"/>
        </w:rPr>
      </w:pPr>
      <w:r w:rsidRPr="002D2A14">
        <w:rPr>
          <w:rFonts w:ascii="Arial" w:hAnsi="Arial" w:cs="Arial"/>
        </w:rPr>
        <w:t>Colector “San Miguel Centro” al cual volcarán las zonas denominadas Santa María 1 y Santa María 2.</w:t>
      </w:r>
    </w:p>
    <w:p w14:paraId="227AEED4" w14:textId="77777777" w:rsidR="000316AC" w:rsidRPr="002D2A14" w:rsidRDefault="000316AC" w:rsidP="00C4100D">
      <w:pPr>
        <w:pStyle w:val="ListParagraph"/>
        <w:numPr>
          <w:ilvl w:val="0"/>
          <w:numId w:val="51"/>
        </w:numPr>
        <w:rPr>
          <w:rFonts w:ascii="Arial" w:hAnsi="Arial" w:cs="Arial"/>
        </w:rPr>
      </w:pPr>
      <w:r w:rsidRPr="002D2A14">
        <w:rPr>
          <w:rFonts w:ascii="Arial" w:hAnsi="Arial" w:cs="Arial"/>
        </w:rPr>
        <w:t>Colector “Las Catonas” al cual volcarán las zonas denominadas Bella Vista 1, Santa María 3 y parte de Marilo Resto.</w:t>
      </w:r>
    </w:p>
    <w:p w14:paraId="61290618" w14:textId="77777777" w:rsidR="000316AC" w:rsidRPr="002D2A14" w:rsidRDefault="000316AC" w:rsidP="00C4100D">
      <w:pPr>
        <w:pStyle w:val="ListParagraph"/>
        <w:numPr>
          <w:ilvl w:val="0"/>
          <w:numId w:val="51"/>
        </w:numPr>
        <w:rPr>
          <w:rFonts w:ascii="Arial" w:hAnsi="Arial" w:cs="Arial"/>
        </w:rPr>
      </w:pPr>
      <w:r w:rsidRPr="002D2A14">
        <w:rPr>
          <w:rFonts w:ascii="Arial" w:hAnsi="Arial" w:cs="Arial"/>
        </w:rPr>
        <w:t>Colector “Colector Marilo” al cual volcarán las zonas denominadas Santa Barbara y Marilo.</w:t>
      </w:r>
    </w:p>
    <w:p w14:paraId="7DDBA0B4" w14:textId="77777777" w:rsidR="000316AC" w:rsidRPr="002D2A14" w:rsidRDefault="000316AC" w:rsidP="00C4100D">
      <w:pPr>
        <w:pStyle w:val="ListParagraph"/>
        <w:numPr>
          <w:ilvl w:val="0"/>
          <w:numId w:val="51"/>
        </w:numPr>
        <w:rPr>
          <w:rFonts w:ascii="Arial" w:hAnsi="Arial" w:cs="Arial"/>
        </w:rPr>
      </w:pPr>
      <w:r w:rsidRPr="002D2A14">
        <w:rPr>
          <w:rFonts w:ascii="Arial" w:hAnsi="Arial" w:cs="Arial"/>
        </w:rPr>
        <w:t>Colector “San Cayetano” al cual volcarán la zona denominada San Cayetano 2.</w:t>
      </w:r>
    </w:p>
    <w:p w14:paraId="6DB11F5C" w14:textId="77777777" w:rsidR="000316AC" w:rsidRPr="002D2A14" w:rsidRDefault="000316AC" w:rsidP="00C4100D">
      <w:pPr>
        <w:pStyle w:val="ListParagraph"/>
        <w:numPr>
          <w:ilvl w:val="0"/>
          <w:numId w:val="51"/>
        </w:numPr>
        <w:rPr>
          <w:rFonts w:ascii="Arial" w:hAnsi="Arial" w:cs="Arial"/>
        </w:rPr>
      </w:pPr>
      <w:r w:rsidRPr="002D2A14">
        <w:rPr>
          <w:rFonts w:ascii="Arial" w:hAnsi="Arial" w:cs="Arial"/>
        </w:rPr>
        <w:t>Colector “Bongiovanni” al cual volcarán la zona denominada Bongiovanni y otras zonas no incluidas en esta primera etapa de ampliación de la Planta.</w:t>
      </w:r>
    </w:p>
    <w:p w14:paraId="3F0D03EF" w14:textId="77777777" w:rsidR="000316AC" w:rsidRPr="002D2A14" w:rsidRDefault="000316AC" w:rsidP="00C4100D">
      <w:pPr>
        <w:pStyle w:val="ListParagraph"/>
        <w:numPr>
          <w:ilvl w:val="0"/>
          <w:numId w:val="51"/>
        </w:numPr>
        <w:rPr>
          <w:rFonts w:ascii="Arial" w:hAnsi="Arial" w:cs="Arial"/>
        </w:rPr>
      </w:pPr>
      <w:r w:rsidRPr="002D2A14">
        <w:rPr>
          <w:rFonts w:ascii="Arial" w:hAnsi="Arial" w:cs="Arial"/>
        </w:rPr>
        <w:t>Las zonas denominadas San Cayetano 1, 25 de Mayo y Catonas 4 volcarán a los colectores existentes.</w:t>
      </w:r>
    </w:p>
    <w:p w14:paraId="715CB6DF" w14:textId="4E106633" w:rsidR="000316AC" w:rsidRPr="002D2A14" w:rsidRDefault="000316AC" w:rsidP="00367960">
      <w:pPr>
        <w:rPr>
          <w:rFonts w:ascii="Arial" w:hAnsi="Arial" w:cs="Arial"/>
        </w:rPr>
      </w:pPr>
      <w:r w:rsidRPr="002D2A14">
        <w:rPr>
          <w:rFonts w:ascii="Arial" w:hAnsi="Arial" w:cs="Arial"/>
        </w:rPr>
        <w:t>De este modo el conjunto de obras (Ampliación, Colectores y Redes Secundarias) permiten agotar la capacidad de la ampliación de la planta depuradora, más allá de que el financiamiento de las mismas exceda el alcance de</w:t>
      </w:r>
      <w:r w:rsidR="002D2A14">
        <w:rPr>
          <w:rFonts w:ascii="Arial" w:hAnsi="Arial" w:cs="Arial"/>
        </w:rPr>
        <w:t xml:space="preserve"> </w:t>
      </w:r>
      <w:r w:rsidRPr="002D2A14">
        <w:rPr>
          <w:rFonts w:ascii="Arial" w:hAnsi="Arial" w:cs="Arial"/>
        </w:rPr>
        <w:t>l</w:t>
      </w:r>
      <w:r w:rsidR="002D2A14">
        <w:rPr>
          <w:rFonts w:ascii="Arial" w:hAnsi="Arial" w:cs="Arial"/>
        </w:rPr>
        <w:t>a</w:t>
      </w:r>
      <w:r w:rsidRPr="002D2A14">
        <w:rPr>
          <w:rFonts w:ascii="Arial" w:hAnsi="Arial" w:cs="Arial"/>
        </w:rPr>
        <w:t xml:space="preserve"> </w:t>
      </w:r>
      <w:r w:rsidR="002D2A14">
        <w:rPr>
          <w:rFonts w:ascii="Arial" w:hAnsi="Arial" w:cs="Arial"/>
        </w:rPr>
        <w:t xml:space="preserve">operación de </w:t>
      </w:r>
      <w:r w:rsidRPr="002D2A14">
        <w:rPr>
          <w:rFonts w:ascii="Arial" w:hAnsi="Arial" w:cs="Arial"/>
        </w:rPr>
        <w:t>préstamo.</w:t>
      </w:r>
    </w:p>
    <w:p w14:paraId="0CE07B0E" w14:textId="77777777" w:rsidR="000316AC" w:rsidRPr="002D2A14" w:rsidRDefault="000316AC" w:rsidP="00367960">
      <w:pPr>
        <w:rPr>
          <w:rFonts w:ascii="Arial" w:hAnsi="Arial" w:cs="Arial"/>
        </w:rPr>
      </w:pPr>
      <w:r w:rsidRPr="002D2A14">
        <w:rPr>
          <w:rFonts w:ascii="Arial" w:hAnsi="Arial" w:cs="Arial"/>
        </w:rPr>
        <w:t>La Tabla siguiente presenta el detalle de las obras secundarias y las poblaciones beneficiarias consideradas.</w:t>
      </w:r>
    </w:p>
    <w:p w14:paraId="1ADD8D3F" w14:textId="4682EA91" w:rsidR="000316AC" w:rsidRDefault="000316AC" w:rsidP="00367960">
      <w:pPr>
        <w:pStyle w:val="Caption"/>
      </w:pPr>
      <w:r>
        <w:t xml:space="preserve">Tabla </w:t>
      </w:r>
      <w:r w:rsidR="00AA3827">
        <w:t>III-1:</w:t>
      </w:r>
      <w:r w:rsidRPr="00AA3827">
        <w:rPr>
          <w:color w:val="FFFFFF" w:themeColor="background1"/>
        </w:rPr>
        <w:fldChar w:fldCharType="begin"/>
      </w:r>
      <w:r w:rsidRPr="00AA3827">
        <w:rPr>
          <w:color w:val="FFFFFF" w:themeColor="background1"/>
        </w:rPr>
        <w:instrText xml:space="preserve"> SEQ Tabla \* ARABIC </w:instrText>
      </w:r>
      <w:r w:rsidRPr="00AA3827">
        <w:rPr>
          <w:color w:val="FFFFFF" w:themeColor="background1"/>
        </w:rPr>
        <w:fldChar w:fldCharType="separate"/>
      </w:r>
      <w:r w:rsidRPr="00AA3827">
        <w:rPr>
          <w:noProof/>
          <w:color w:val="FFFFFF" w:themeColor="background1"/>
        </w:rPr>
        <w:t>16</w:t>
      </w:r>
      <w:r w:rsidRPr="00AA3827">
        <w:rPr>
          <w:noProof/>
          <w:color w:val="FFFFFF" w:themeColor="background1"/>
        </w:rPr>
        <w:fldChar w:fldCharType="end"/>
      </w:r>
      <w:r w:rsidRPr="00AA3827">
        <w:rPr>
          <w:color w:val="FFFFFF" w:themeColor="background1"/>
        </w:rPr>
        <w:t xml:space="preserve">: </w:t>
      </w:r>
      <w:r>
        <w:t>Detalle de redes secundarias del sistema.</w:t>
      </w:r>
    </w:p>
    <w:p w14:paraId="40807677" w14:textId="77777777" w:rsidR="000316AC" w:rsidRDefault="000316AC" w:rsidP="00367960">
      <w:r w:rsidRPr="00367960">
        <w:rPr>
          <w:noProof/>
          <w:lang w:eastAsia="es-AR"/>
        </w:rPr>
        <w:drawing>
          <wp:inline distT="0" distB="0" distL="0" distR="0" wp14:anchorId="2BB4A896" wp14:editId="4CB44B06">
            <wp:extent cx="5400675" cy="2723313"/>
            <wp:effectExtent l="0" t="0" r="0" b="1270"/>
            <wp:docPr id="9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00675" cy="2723313"/>
                    </a:xfrm>
                    <a:prstGeom prst="rect">
                      <a:avLst/>
                    </a:prstGeom>
                    <a:noFill/>
                    <a:ln>
                      <a:noFill/>
                    </a:ln>
                  </pic:spPr>
                </pic:pic>
              </a:graphicData>
            </a:graphic>
          </wp:inline>
        </w:drawing>
      </w:r>
    </w:p>
    <w:p w14:paraId="1B4D7F23" w14:textId="77777777" w:rsidR="000316AC" w:rsidRDefault="000316AC" w:rsidP="00367960"/>
    <w:p w14:paraId="07131545" w14:textId="77777777" w:rsidR="000316AC" w:rsidRDefault="000316AC" w:rsidP="002B0107">
      <w:pPr>
        <w:pStyle w:val="Heading2"/>
        <w:numPr>
          <w:ilvl w:val="0"/>
          <w:numId w:val="70"/>
        </w:numPr>
      </w:pPr>
      <w:bookmarkStart w:id="200" w:name="_Toc479892478"/>
      <w:bookmarkStart w:id="201" w:name="_Toc485200142"/>
      <w:r>
        <w:t>Detalle de las obras incluidas en financiamiento.</w:t>
      </w:r>
      <w:bookmarkEnd w:id="200"/>
      <w:bookmarkEnd w:id="201"/>
    </w:p>
    <w:p w14:paraId="0223AA59" w14:textId="77777777" w:rsidR="000316AC" w:rsidRPr="0021399C" w:rsidRDefault="000316AC" w:rsidP="00353B91">
      <w:pPr>
        <w:rPr>
          <w:rFonts w:ascii="Arial" w:hAnsi="Arial" w:cs="Arial"/>
        </w:rPr>
      </w:pPr>
      <w:r w:rsidRPr="0021399C">
        <w:rPr>
          <w:rFonts w:ascii="Arial" w:hAnsi="Arial" w:cs="Arial"/>
        </w:rPr>
        <w:t>Las obras incluidas en el priorización del programa BID son las siguientes:</w:t>
      </w:r>
    </w:p>
    <w:p w14:paraId="2D4AC73D" w14:textId="77777777" w:rsidR="000316AC" w:rsidRPr="0021399C" w:rsidRDefault="000316AC" w:rsidP="00C4100D">
      <w:pPr>
        <w:pStyle w:val="ListParagraph"/>
        <w:numPr>
          <w:ilvl w:val="0"/>
          <w:numId w:val="8"/>
        </w:numPr>
        <w:rPr>
          <w:rFonts w:ascii="Arial" w:hAnsi="Arial" w:cs="Arial"/>
        </w:rPr>
      </w:pPr>
      <w:r w:rsidRPr="0021399C">
        <w:rPr>
          <w:rFonts w:ascii="Arial" w:hAnsi="Arial" w:cs="Arial"/>
        </w:rPr>
        <w:t>Ampliación de la Planta depuradora Las Catonas en 210.000 habitantes adicionales.</w:t>
      </w:r>
    </w:p>
    <w:p w14:paraId="28CA3DC4" w14:textId="77777777" w:rsidR="000316AC" w:rsidRPr="0021399C" w:rsidRDefault="000316AC" w:rsidP="00B06177">
      <w:pPr>
        <w:pStyle w:val="ListParagraph"/>
        <w:rPr>
          <w:rFonts w:ascii="Arial" w:hAnsi="Arial" w:cs="Arial"/>
        </w:rPr>
      </w:pPr>
    </w:p>
    <w:p w14:paraId="71B04112" w14:textId="77777777" w:rsidR="000316AC" w:rsidRPr="0021399C" w:rsidRDefault="000316AC" w:rsidP="00C4100D">
      <w:pPr>
        <w:pStyle w:val="ListParagraph"/>
        <w:numPr>
          <w:ilvl w:val="0"/>
          <w:numId w:val="8"/>
        </w:numPr>
        <w:rPr>
          <w:rFonts w:ascii="Arial" w:hAnsi="Arial" w:cs="Arial"/>
        </w:rPr>
      </w:pPr>
      <w:r w:rsidRPr="0021399C">
        <w:rPr>
          <w:rFonts w:ascii="Arial" w:hAnsi="Arial" w:cs="Arial"/>
        </w:rPr>
        <w:t>Ejecución del colector “Las Catonas”, de una longitud total de 7.213 m (1.683m en DN 1000mm y 5.530 en DN 1200mm).</w:t>
      </w:r>
    </w:p>
    <w:p w14:paraId="11BD4A93" w14:textId="77777777" w:rsidR="000316AC" w:rsidRPr="0021399C" w:rsidRDefault="000316AC" w:rsidP="00B06177">
      <w:pPr>
        <w:pStyle w:val="ListParagraph"/>
        <w:rPr>
          <w:rFonts w:ascii="Arial" w:hAnsi="Arial" w:cs="Arial"/>
        </w:rPr>
      </w:pPr>
    </w:p>
    <w:p w14:paraId="25E2A6C5" w14:textId="77777777" w:rsidR="000316AC" w:rsidRPr="0021399C" w:rsidRDefault="000316AC" w:rsidP="00C4100D">
      <w:pPr>
        <w:pStyle w:val="ListParagraph"/>
        <w:numPr>
          <w:ilvl w:val="0"/>
          <w:numId w:val="8"/>
        </w:numPr>
        <w:rPr>
          <w:rFonts w:ascii="Arial" w:hAnsi="Arial" w:cs="Arial"/>
        </w:rPr>
      </w:pPr>
      <w:r w:rsidRPr="0021399C">
        <w:rPr>
          <w:rFonts w:ascii="Arial" w:hAnsi="Arial" w:cs="Arial"/>
        </w:rPr>
        <w:t>Ejecución de 19.462 conexiones, de las cuales 8.800 corresponden al área Mariló Resto, Santa Bárbara y San Cayetano en el Partido de Moreno e implica la incorporación de 34.848 habitantes (Censo 2010), y 10.663 conexiones correspondientes a las áreas “Santa María 3” y “Bella vista 1” en el Partido de San Miguel, e implica la incorporación de 42.651 habitantes (Censo 2010).</w:t>
      </w:r>
    </w:p>
    <w:p w14:paraId="0324A458" w14:textId="3F65E698" w:rsidR="000316AC" w:rsidRPr="0021399C" w:rsidRDefault="000316AC" w:rsidP="00353B91">
      <w:pPr>
        <w:rPr>
          <w:rFonts w:ascii="Arial" w:hAnsi="Arial" w:cs="Arial"/>
        </w:rPr>
      </w:pPr>
      <w:r w:rsidRPr="0021399C">
        <w:rPr>
          <w:rFonts w:ascii="Arial" w:hAnsi="Arial" w:cs="Arial"/>
        </w:rPr>
        <w:t xml:space="preserve">La tabla siguiente resume las obras incluidas en la operación, mientras que la </w:t>
      </w:r>
      <w:r w:rsidRPr="0021399C">
        <w:rPr>
          <w:rFonts w:ascii="Arial" w:hAnsi="Arial" w:cs="Arial"/>
        </w:rPr>
        <w:fldChar w:fldCharType="begin"/>
      </w:r>
      <w:r w:rsidRPr="0021399C">
        <w:rPr>
          <w:rFonts w:ascii="Arial" w:hAnsi="Arial" w:cs="Arial"/>
        </w:rPr>
        <w:instrText xml:space="preserve"> REF _Ref479772789 \h </w:instrText>
      </w:r>
      <w:r w:rsidR="0021399C">
        <w:rPr>
          <w:rFonts w:ascii="Arial" w:hAnsi="Arial" w:cs="Arial"/>
        </w:rPr>
        <w:instrText xml:space="preserve"> \* MERGEFORMAT </w:instrText>
      </w:r>
      <w:r w:rsidRPr="0021399C">
        <w:rPr>
          <w:rFonts w:ascii="Arial" w:hAnsi="Arial" w:cs="Arial"/>
        </w:rPr>
      </w:r>
      <w:r w:rsidRPr="0021399C">
        <w:rPr>
          <w:rFonts w:ascii="Arial" w:hAnsi="Arial" w:cs="Arial"/>
        </w:rPr>
        <w:fldChar w:fldCharType="separate"/>
      </w:r>
      <w:r w:rsidR="0021399C">
        <w:rPr>
          <w:rFonts w:ascii="Arial" w:hAnsi="Arial" w:cs="Arial"/>
        </w:rPr>
        <w:t>Figura III-1</w:t>
      </w:r>
      <w:r w:rsidRPr="0021399C">
        <w:rPr>
          <w:rFonts w:ascii="Arial" w:hAnsi="Arial" w:cs="Arial"/>
        </w:rPr>
        <w:fldChar w:fldCharType="end"/>
      </w:r>
      <w:r w:rsidRPr="0021399C">
        <w:rPr>
          <w:rFonts w:ascii="Arial" w:hAnsi="Arial" w:cs="Arial"/>
        </w:rPr>
        <w:t xml:space="preserve"> presenta detalle total de las áreas de expansión en ambos partidos. En este último caso, las áreas color naranja corresponden a las obras incluidas en la operación BID, mientras que las de color verde corresponden al complemento que permite agotar la capacidad de la planta y dota por ende de integralidad al sistema.</w:t>
      </w:r>
    </w:p>
    <w:p w14:paraId="2FC1701A" w14:textId="3113AF98" w:rsidR="000316AC" w:rsidRDefault="000316AC" w:rsidP="005F4D0E">
      <w:pPr>
        <w:pStyle w:val="Caption"/>
      </w:pPr>
      <w:r>
        <w:t xml:space="preserve">Tabla </w:t>
      </w:r>
      <w:r w:rsidR="0021399C">
        <w:t>III-2:</w:t>
      </w:r>
      <w:r w:rsidR="005C1A74">
        <w:fldChar w:fldCharType="begin"/>
      </w:r>
      <w:r w:rsidR="005C1A74">
        <w:instrText xml:space="preserve"> SEQ Tabla \* ARABIC </w:instrText>
      </w:r>
      <w:r w:rsidR="005C1A74">
        <w:fldChar w:fldCharType="separate"/>
      </w:r>
      <w:r w:rsidRPr="0021399C">
        <w:rPr>
          <w:noProof/>
          <w:color w:val="FFFFFF" w:themeColor="background1"/>
        </w:rPr>
        <w:t>17</w:t>
      </w:r>
      <w:r w:rsidR="005C1A74">
        <w:rPr>
          <w:noProof/>
          <w:color w:val="FFFFFF" w:themeColor="background1"/>
        </w:rPr>
        <w:fldChar w:fldCharType="end"/>
      </w:r>
      <w:r w:rsidRPr="00E73FE1">
        <w:t>Detalle de obras incluidas en financiamiento BID</w:t>
      </w:r>
      <w:r>
        <w:t>.</w:t>
      </w:r>
    </w:p>
    <w:p w14:paraId="2AF66EC4" w14:textId="77777777" w:rsidR="000316AC" w:rsidRDefault="000316AC" w:rsidP="00353B91">
      <w:r w:rsidRPr="005F4D0E">
        <w:rPr>
          <w:noProof/>
          <w:lang w:eastAsia="es-AR"/>
        </w:rPr>
        <w:drawing>
          <wp:inline distT="0" distB="0" distL="0" distR="0" wp14:anchorId="3BAEF86D" wp14:editId="427D3FDE">
            <wp:extent cx="5400675" cy="3819959"/>
            <wp:effectExtent l="0" t="0" r="0" b="9525"/>
            <wp:docPr id="28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0675" cy="3819959"/>
                    </a:xfrm>
                    <a:prstGeom prst="rect">
                      <a:avLst/>
                    </a:prstGeom>
                    <a:noFill/>
                    <a:ln>
                      <a:noFill/>
                    </a:ln>
                  </pic:spPr>
                </pic:pic>
              </a:graphicData>
            </a:graphic>
          </wp:inline>
        </w:drawing>
      </w:r>
    </w:p>
    <w:p w14:paraId="4B040D19" w14:textId="3FF182E3" w:rsidR="000316AC" w:rsidRDefault="0021399C" w:rsidP="007F5FE6">
      <w:pPr>
        <w:pStyle w:val="Caption"/>
      </w:pPr>
      <w:bookmarkStart w:id="202" w:name="_Ref479772789"/>
      <w:r>
        <w:t>Figura III-1:</w:t>
      </w:r>
      <w:r w:rsidR="000316AC" w:rsidRPr="0021399C">
        <w:rPr>
          <w:color w:val="FFFFFF" w:themeColor="background1"/>
        </w:rPr>
        <w:fldChar w:fldCharType="begin"/>
      </w:r>
      <w:r w:rsidR="000316AC" w:rsidRPr="0021399C">
        <w:rPr>
          <w:color w:val="FFFFFF" w:themeColor="background1"/>
        </w:rPr>
        <w:instrText xml:space="preserve"> SEQ Ilustración \* ARABIC </w:instrText>
      </w:r>
      <w:r w:rsidR="000316AC" w:rsidRPr="0021399C">
        <w:rPr>
          <w:color w:val="FFFFFF" w:themeColor="background1"/>
        </w:rPr>
        <w:fldChar w:fldCharType="separate"/>
      </w:r>
      <w:r w:rsidR="000316AC" w:rsidRPr="0021399C">
        <w:rPr>
          <w:noProof/>
          <w:color w:val="FFFFFF" w:themeColor="background1"/>
        </w:rPr>
        <w:t>9</w:t>
      </w:r>
      <w:r w:rsidR="000316AC" w:rsidRPr="0021399C">
        <w:rPr>
          <w:noProof/>
          <w:color w:val="FFFFFF" w:themeColor="background1"/>
        </w:rPr>
        <w:fldChar w:fldCharType="end"/>
      </w:r>
      <w:bookmarkEnd w:id="202"/>
      <w:r w:rsidR="000316AC">
        <w:t>Áreas beneficiarias sistema Las Catonas.</w:t>
      </w:r>
    </w:p>
    <w:p w14:paraId="75776540" w14:textId="77777777" w:rsidR="000316AC" w:rsidRDefault="000316AC" w:rsidP="00353B91">
      <w:r w:rsidRPr="007F5FE6">
        <w:rPr>
          <w:noProof/>
          <w:lang w:eastAsia="es-AR"/>
        </w:rPr>
        <w:drawing>
          <wp:inline distT="0" distB="0" distL="0" distR="0" wp14:anchorId="5A08126C" wp14:editId="02B78CDC">
            <wp:extent cx="5400675" cy="3887470"/>
            <wp:effectExtent l="0" t="0" r="9525" b="0"/>
            <wp:docPr id="28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00675" cy="3887470"/>
                    </a:xfrm>
                    <a:prstGeom prst="rect">
                      <a:avLst/>
                    </a:prstGeom>
                  </pic:spPr>
                </pic:pic>
              </a:graphicData>
            </a:graphic>
          </wp:inline>
        </w:drawing>
      </w:r>
    </w:p>
    <w:p w14:paraId="00743B0B" w14:textId="77777777" w:rsidR="000316AC" w:rsidRDefault="000316AC" w:rsidP="00353B91"/>
    <w:p w14:paraId="0609D2F7" w14:textId="2FE836A5" w:rsidR="000316AC" w:rsidRDefault="000316AC" w:rsidP="002B0107">
      <w:pPr>
        <w:pStyle w:val="Heading2"/>
        <w:numPr>
          <w:ilvl w:val="0"/>
          <w:numId w:val="70"/>
        </w:numPr>
      </w:pPr>
      <w:bookmarkStart w:id="203" w:name="_Toc479892479"/>
      <w:bookmarkStart w:id="204" w:name="_Toc485200143"/>
      <w:r>
        <w:t xml:space="preserve">Detalle de las obras complementarias no incluidas en </w:t>
      </w:r>
      <w:r w:rsidR="00943AEA">
        <w:t>financiamiento, pero consideradas en el análisis</w:t>
      </w:r>
      <w:r>
        <w:t>.</w:t>
      </w:r>
      <w:bookmarkEnd w:id="203"/>
      <w:bookmarkEnd w:id="204"/>
    </w:p>
    <w:p w14:paraId="41EF0986" w14:textId="77777777" w:rsidR="000316AC" w:rsidRPr="00943AEA" w:rsidRDefault="000316AC" w:rsidP="000B4894">
      <w:pPr>
        <w:rPr>
          <w:rFonts w:ascii="Arial" w:hAnsi="Arial" w:cs="Arial"/>
        </w:rPr>
      </w:pPr>
      <w:r w:rsidRPr="00943AEA">
        <w:rPr>
          <w:rFonts w:ascii="Arial" w:hAnsi="Arial" w:cs="Arial"/>
        </w:rPr>
        <w:t>Tal como se mencionó, la evaluación integral del proyecto requiere considerar una serie de obras complementarias que otorgan unidad al sistema contemplando tanto las capacidades de depuración (ampliación de la planta Las Catonas) y de transporte (colectores, impulsiones y estaciones de bombeo) junto con las redes secundarias faltantes en el área.</w:t>
      </w:r>
    </w:p>
    <w:p w14:paraId="0A4D3D12" w14:textId="74472219" w:rsidR="000316AC" w:rsidRPr="00943AEA" w:rsidRDefault="000316AC" w:rsidP="000B4894">
      <w:pPr>
        <w:rPr>
          <w:rFonts w:ascii="Arial" w:hAnsi="Arial" w:cs="Arial"/>
        </w:rPr>
      </w:pPr>
      <w:r w:rsidRPr="00943AEA">
        <w:rPr>
          <w:rFonts w:ascii="Arial" w:hAnsi="Arial" w:cs="Arial"/>
        </w:rPr>
        <w:t xml:space="preserve">Las obras complementarias que completan el proyecto (no incluidas en el financiamiento </w:t>
      </w:r>
      <w:r w:rsidR="00943AEA">
        <w:rPr>
          <w:rFonts w:ascii="Arial" w:hAnsi="Arial" w:cs="Arial"/>
        </w:rPr>
        <w:t>con el Banco</w:t>
      </w:r>
      <w:r w:rsidRPr="00943AEA">
        <w:rPr>
          <w:rFonts w:ascii="Arial" w:hAnsi="Arial" w:cs="Arial"/>
        </w:rPr>
        <w:t>), de acuerdo con la nomenclatura adoptada en el Plan Director de AySA, son las siguientes:</w:t>
      </w:r>
    </w:p>
    <w:p w14:paraId="502C9888" w14:textId="77777777" w:rsidR="000316AC" w:rsidRPr="00943AEA" w:rsidRDefault="000316AC" w:rsidP="000B4894">
      <w:pPr>
        <w:rPr>
          <w:rFonts w:ascii="Arial" w:hAnsi="Arial" w:cs="Arial"/>
          <w:b/>
          <w:u w:val="single"/>
        </w:rPr>
      </w:pPr>
      <w:r w:rsidRPr="00943AEA">
        <w:rPr>
          <w:rFonts w:ascii="Arial" w:hAnsi="Arial" w:cs="Arial"/>
          <w:b/>
          <w:u w:val="single"/>
        </w:rPr>
        <w:t>Colectores:</w:t>
      </w:r>
    </w:p>
    <w:p w14:paraId="59E46DB3" w14:textId="77777777" w:rsidR="000316AC" w:rsidRPr="00943AEA" w:rsidRDefault="000316AC" w:rsidP="00C4100D">
      <w:pPr>
        <w:pStyle w:val="ListParagraph"/>
        <w:numPr>
          <w:ilvl w:val="0"/>
          <w:numId w:val="52"/>
        </w:numPr>
        <w:rPr>
          <w:rFonts w:ascii="Arial" w:hAnsi="Arial" w:cs="Arial"/>
        </w:rPr>
      </w:pPr>
      <w:r w:rsidRPr="00943AEA">
        <w:rPr>
          <w:rFonts w:ascii="Arial" w:hAnsi="Arial" w:cs="Arial"/>
        </w:rPr>
        <w:t>Colector “San Miguel Centro” al cual volcarán las zonas denominadas Santa María 1 y Santa María 2.</w:t>
      </w:r>
    </w:p>
    <w:p w14:paraId="2B515321" w14:textId="77777777" w:rsidR="000316AC" w:rsidRPr="00943AEA" w:rsidRDefault="000316AC" w:rsidP="00C4100D">
      <w:pPr>
        <w:pStyle w:val="ListParagraph"/>
        <w:numPr>
          <w:ilvl w:val="0"/>
          <w:numId w:val="52"/>
        </w:numPr>
        <w:rPr>
          <w:rFonts w:ascii="Arial" w:hAnsi="Arial" w:cs="Arial"/>
        </w:rPr>
      </w:pPr>
      <w:r w:rsidRPr="00943AEA">
        <w:rPr>
          <w:rFonts w:ascii="Arial" w:hAnsi="Arial" w:cs="Arial"/>
        </w:rPr>
        <w:t>Colector “San Cayetano” al cual volcarán la zona denominada San Cayetano 2.</w:t>
      </w:r>
    </w:p>
    <w:p w14:paraId="69EEF06D" w14:textId="77777777" w:rsidR="000316AC" w:rsidRPr="00943AEA" w:rsidRDefault="000316AC" w:rsidP="00C4100D">
      <w:pPr>
        <w:pStyle w:val="ListParagraph"/>
        <w:numPr>
          <w:ilvl w:val="0"/>
          <w:numId w:val="52"/>
        </w:numPr>
        <w:rPr>
          <w:rFonts w:ascii="Arial" w:hAnsi="Arial" w:cs="Arial"/>
        </w:rPr>
      </w:pPr>
      <w:r w:rsidRPr="00943AEA">
        <w:rPr>
          <w:rFonts w:ascii="Arial" w:hAnsi="Arial" w:cs="Arial"/>
        </w:rPr>
        <w:t>Colector “Bongiovanni” al cual volcarán la zona denominada Bongiovanni y otras zonas no incluidas en esta primera etapa de ampliación de la Planta.</w:t>
      </w:r>
    </w:p>
    <w:p w14:paraId="0E8A84D4" w14:textId="77777777" w:rsidR="000316AC" w:rsidRPr="00943AEA" w:rsidRDefault="000316AC" w:rsidP="000B4894">
      <w:pPr>
        <w:rPr>
          <w:rFonts w:ascii="Arial" w:hAnsi="Arial" w:cs="Arial"/>
          <w:b/>
          <w:u w:val="single"/>
        </w:rPr>
      </w:pPr>
      <w:r w:rsidRPr="00943AEA">
        <w:rPr>
          <w:rFonts w:ascii="Arial" w:hAnsi="Arial" w:cs="Arial"/>
          <w:b/>
          <w:u w:val="single"/>
        </w:rPr>
        <w:t>Redes Secundarias:</w:t>
      </w:r>
    </w:p>
    <w:p w14:paraId="73167CD3" w14:textId="2289FEBF" w:rsidR="000316AC" w:rsidRDefault="000316AC" w:rsidP="000B4894">
      <w:pPr>
        <w:pStyle w:val="Caption"/>
      </w:pPr>
      <w:r>
        <w:t>Tabla</w:t>
      </w:r>
      <w:r w:rsidR="00943AEA">
        <w:t xml:space="preserve"> III-3:</w:t>
      </w:r>
      <w:r w:rsidRPr="00943AEA">
        <w:rPr>
          <w:color w:val="FFFFFF" w:themeColor="background1"/>
        </w:rPr>
        <w:fldChar w:fldCharType="begin"/>
      </w:r>
      <w:r w:rsidRPr="00943AEA">
        <w:rPr>
          <w:color w:val="FFFFFF" w:themeColor="background1"/>
        </w:rPr>
        <w:instrText xml:space="preserve"> SEQ Tabla \* ARABIC </w:instrText>
      </w:r>
      <w:r w:rsidRPr="00943AEA">
        <w:rPr>
          <w:color w:val="FFFFFF" w:themeColor="background1"/>
        </w:rPr>
        <w:fldChar w:fldCharType="separate"/>
      </w:r>
      <w:r w:rsidRPr="00943AEA">
        <w:rPr>
          <w:noProof/>
          <w:color w:val="FFFFFF" w:themeColor="background1"/>
        </w:rPr>
        <w:t>18</w:t>
      </w:r>
      <w:r w:rsidRPr="00943AEA">
        <w:rPr>
          <w:noProof/>
          <w:color w:val="FFFFFF" w:themeColor="background1"/>
        </w:rPr>
        <w:fldChar w:fldCharType="end"/>
      </w:r>
      <w:r>
        <w:t>Redes secundarias complementarias Sistema Las Catonas.</w:t>
      </w:r>
    </w:p>
    <w:p w14:paraId="40BF9341" w14:textId="77777777" w:rsidR="000316AC" w:rsidRDefault="000316AC" w:rsidP="000B4894">
      <w:r w:rsidRPr="000B4894">
        <w:rPr>
          <w:noProof/>
          <w:lang w:eastAsia="es-AR"/>
        </w:rPr>
        <w:drawing>
          <wp:inline distT="0" distB="0" distL="0" distR="0" wp14:anchorId="56A37C4F" wp14:editId="58E4B8DE">
            <wp:extent cx="3689350" cy="2504440"/>
            <wp:effectExtent l="0" t="0" r="6350" b="0"/>
            <wp:docPr id="29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89350" cy="2504440"/>
                    </a:xfrm>
                    <a:prstGeom prst="rect">
                      <a:avLst/>
                    </a:prstGeom>
                    <a:noFill/>
                    <a:ln>
                      <a:noFill/>
                    </a:ln>
                  </pic:spPr>
                </pic:pic>
              </a:graphicData>
            </a:graphic>
          </wp:inline>
        </w:drawing>
      </w:r>
    </w:p>
    <w:p w14:paraId="1080EDF9" w14:textId="77777777" w:rsidR="000316AC" w:rsidRDefault="000316AC" w:rsidP="000B4894"/>
    <w:p w14:paraId="3D361644" w14:textId="77777777" w:rsidR="000316AC" w:rsidRDefault="000316AC" w:rsidP="003B1C14"/>
    <w:p w14:paraId="5F00FA01" w14:textId="77777777" w:rsidR="000316AC" w:rsidRDefault="000316AC">
      <w:pPr>
        <w:jc w:val="left"/>
      </w:pPr>
      <w:r>
        <w:br w:type="page"/>
      </w:r>
    </w:p>
    <w:p w14:paraId="4383E742" w14:textId="77777777" w:rsidR="000316AC" w:rsidRDefault="000316AC" w:rsidP="000B4894"/>
    <w:p w14:paraId="364BA239" w14:textId="77777777" w:rsidR="000316AC" w:rsidRDefault="000316AC" w:rsidP="00F5783E">
      <w:pPr>
        <w:pStyle w:val="Heading1"/>
      </w:pPr>
      <w:bookmarkStart w:id="205" w:name="_Toc479892480"/>
      <w:bookmarkStart w:id="206" w:name="_Toc485200144"/>
      <w:r>
        <w:t>Capítulo IV: Análisis Costo Beneficio Social (ACBS).</w:t>
      </w:r>
      <w:bookmarkEnd w:id="205"/>
      <w:bookmarkEnd w:id="206"/>
    </w:p>
    <w:p w14:paraId="0E9B36FB" w14:textId="77777777" w:rsidR="000316AC" w:rsidRPr="000B4894" w:rsidRDefault="000316AC" w:rsidP="000B4894"/>
    <w:p w14:paraId="7398FF97" w14:textId="77777777" w:rsidR="000316AC" w:rsidRDefault="000316AC" w:rsidP="002B0107">
      <w:pPr>
        <w:pStyle w:val="Heading2"/>
        <w:numPr>
          <w:ilvl w:val="0"/>
          <w:numId w:val="71"/>
        </w:numPr>
      </w:pPr>
      <w:bookmarkStart w:id="207" w:name="_Toc479892481"/>
      <w:bookmarkStart w:id="208" w:name="_Toc485200145"/>
      <w:r>
        <w:t>Introducción.</w:t>
      </w:r>
      <w:bookmarkEnd w:id="207"/>
      <w:bookmarkEnd w:id="208"/>
    </w:p>
    <w:p w14:paraId="4F923DD7" w14:textId="77777777" w:rsidR="000316AC" w:rsidRPr="005A2C2A" w:rsidRDefault="000316AC" w:rsidP="00340F46">
      <w:pPr>
        <w:rPr>
          <w:rFonts w:ascii="Arial" w:hAnsi="Arial" w:cs="Arial"/>
        </w:rPr>
      </w:pPr>
      <w:r w:rsidRPr="005A2C2A">
        <w:rPr>
          <w:rFonts w:ascii="Arial" w:hAnsi="Arial" w:cs="Arial"/>
        </w:rPr>
        <w:t>Tal como se mencionó en el punto 3.2 del capítulo 1, la metodología de evaluación adoptada es un análisis costo – beneficio social (a precios de cuenta) en el que los beneficios son estimados a través del método de valoración contingente a partir de la transferencia de resultados observados en proyectos similares evaluados en el área.</w:t>
      </w:r>
    </w:p>
    <w:p w14:paraId="385B2FDB" w14:textId="77777777" w:rsidR="000316AC" w:rsidRPr="005A2C2A" w:rsidRDefault="000316AC" w:rsidP="00340F46">
      <w:pPr>
        <w:rPr>
          <w:rFonts w:ascii="Arial" w:hAnsi="Arial" w:cs="Arial"/>
        </w:rPr>
      </w:pPr>
      <w:r w:rsidRPr="005A2C2A">
        <w:rPr>
          <w:rFonts w:ascii="Arial" w:hAnsi="Arial" w:cs="Arial"/>
        </w:rPr>
        <w:t>Esta metodología fue adoptada considerando las características del bien – servicio bajo evaluación que por un lado posee importantes externalidades positivas y por el otro, por tratarse de un bien cuasi público, no posee un mercado en el que se transe libre de distorsiones.</w:t>
      </w:r>
    </w:p>
    <w:p w14:paraId="1D47BABB" w14:textId="77777777" w:rsidR="000316AC" w:rsidRPr="005A2C2A" w:rsidRDefault="000316AC" w:rsidP="00340F46">
      <w:pPr>
        <w:rPr>
          <w:rFonts w:ascii="Arial" w:hAnsi="Arial" w:cs="Arial"/>
        </w:rPr>
      </w:pPr>
      <w:r w:rsidRPr="005A2C2A">
        <w:rPr>
          <w:rFonts w:ascii="Arial" w:hAnsi="Arial" w:cs="Arial"/>
        </w:rPr>
        <w:t>Cabe destacar que según lo señalado en proyectos evaluados con anterioridad, la disposición a pagar (DAP) obtenida mediante el método de valoración contingente no recoge los beneficios derivados del proceso de depuración realizado en la planta, toda vez que debido a las distancias y al grave estado de deterioro de los cursos de agua, los beneficiarios no incluyen en su valoración los beneficios de índole ambiental, no obstante, dado la importancia del esfuerzo económico volcado para la mejora ambiental se han incluido beneficios ambientales más allá de la valoración de los usuarios transfiriéndolos de análisis sobre la problemática en el Gran Buenos Aires.</w:t>
      </w:r>
    </w:p>
    <w:p w14:paraId="63D34710" w14:textId="77777777" w:rsidR="000316AC" w:rsidRPr="005A2C2A" w:rsidRDefault="000316AC" w:rsidP="00340F46">
      <w:pPr>
        <w:rPr>
          <w:rFonts w:ascii="Arial" w:hAnsi="Arial" w:cs="Arial"/>
        </w:rPr>
      </w:pPr>
      <w:r w:rsidRPr="005A2C2A">
        <w:rPr>
          <w:rFonts w:ascii="Arial" w:hAnsi="Arial" w:cs="Arial"/>
        </w:rPr>
        <w:t>Alternativamente, dado que la presente evaluación incluye la construcción de un nuevo módulo de depuración en la Planta Depuradora Las Catonas, se considerará el resultado económico social del proyecto con y sin inversiones en Planta Depuradora y con y sin beneficios ambientales.</w:t>
      </w:r>
    </w:p>
    <w:p w14:paraId="3B5A1451" w14:textId="0EC66A3C" w:rsidR="000316AC" w:rsidRPr="005A2C2A" w:rsidRDefault="000316AC" w:rsidP="00340F46">
      <w:pPr>
        <w:rPr>
          <w:rFonts w:ascii="Arial" w:hAnsi="Arial" w:cs="Arial"/>
        </w:rPr>
      </w:pPr>
      <w:r w:rsidRPr="0059118E">
        <w:rPr>
          <w:rFonts w:ascii="Arial" w:hAnsi="Arial" w:cs="Arial"/>
        </w:rPr>
        <w:t xml:space="preserve">En Anexo </w:t>
      </w:r>
      <w:r w:rsidR="005A2C2A" w:rsidRPr="0059118E">
        <w:rPr>
          <w:rFonts w:ascii="Arial" w:hAnsi="Arial" w:cs="Arial"/>
        </w:rPr>
        <w:t>4</w:t>
      </w:r>
      <w:r w:rsidRPr="005A2C2A">
        <w:rPr>
          <w:rFonts w:ascii="Arial" w:hAnsi="Arial" w:cs="Arial"/>
        </w:rPr>
        <w:t xml:space="preserve"> se presenta el detalle de la estimación de la disposición a pagar utilizada, en este caso tomada del proyecto “Construcción de red de desagüe cloacal en la Cuenca media y baja del Río Reconquista” evaluado en diciembre de 2012, el que actualizado a valores de febrero 2017 permite computar los beneficios directos del proyecto.</w:t>
      </w:r>
    </w:p>
    <w:p w14:paraId="27EABD55" w14:textId="77777777" w:rsidR="005A2C2A" w:rsidRPr="005A2C2A" w:rsidRDefault="005A2C2A" w:rsidP="005A2C2A">
      <w:pPr>
        <w:spacing w:line="240" w:lineRule="auto"/>
        <w:rPr>
          <w:rFonts w:ascii="Arial" w:hAnsi="Arial" w:cs="Arial"/>
        </w:rPr>
      </w:pPr>
    </w:p>
    <w:p w14:paraId="736E3C6B" w14:textId="77777777" w:rsidR="005A2C2A" w:rsidRPr="005A2C2A" w:rsidRDefault="005A2C2A" w:rsidP="002B0107">
      <w:pPr>
        <w:pStyle w:val="Heading2"/>
        <w:numPr>
          <w:ilvl w:val="0"/>
          <w:numId w:val="71"/>
        </w:numPr>
      </w:pPr>
      <w:bookmarkStart w:id="209" w:name="_Toc453720158"/>
      <w:bookmarkStart w:id="210" w:name="_Toc485200146"/>
      <w:r w:rsidRPr="005A2C2A">
        <w:t>Criterios de evaluación.</w:t>
      </w:r>
      <w:bookmarkEnd w:id="209"/>
      <w:bookmarkEnd w:id="210"/>
    </w:p>
    <w:p w14:paraId="6710CD34" w14:textId="77777777" w:rsidR="005A2C2A" w:rsidRPr="005A2C2A" w:rsidRDefault="005A2C2A" w:rsidP="005A2C2A">
      <w:pPr>
        <w:spacing w:after="0" w:line="240" w:lineRule="auto"/>
        <w:rPr>
          <w:rFonts w:ascii="Arial" w:hAnsi="Arial" w:cs="Arial"/>
        </w:rPr>
      </w:pPr>
    </w:p>
    <w:p w14:paraId="0A9D394F" w14:textId="702A126F" w:rsidR="005A2C2A" w:rsidRPr="005A2C2A" w:rsidRDefault="005A2C2A" w:rsidP="005A2C2A">
      <w:pPr>
        <w:spacing w:after="0" w:line="240" w:lineRule="auto"/>
        <w:rPr>
          <w:rFonts w:ascii="Arial" w:hAnsi="Arial" w:cs="Arial"/>
        </w:rPr>
      </w:pPr>
      <w:r w:rsidRPr="005A2C2A">
        <w:rPr>
          <w:rFonts w:ascii="Arial" w:hAnsi="Arial" w:cs="Arial"/>
        </w:rPr>
        <w:t>A fin de evaluar el proyecto se adoptaron los siguientes criterios:</w:t>
      </w:r>
    </w:p>
    <w:p w14:paraId="04E12B77" w14:textId="43582362" w:rsidR="005A2C2A" w:rsidRPr="005A2C2A" w:rsidRDefault="005A2C2A" w:rsidP="005A2C2A">
      <w:pPr>
        <w:spacing w:after="0" w:line="240" w:lineRule="auto"/>
        <w:rPr>
          <w:rFonts w:ascii="Arial" w:hAnsi="Arial" w:cs="Arial"/>
        </w:rPr>
      </w:pPr>
    </w:p>
    <w:p w14:paraId="4D4D32DF" w14:textId="77777777" w:rsidR="005A2C2A" w:rsidRPr="005A2C2A" w:rsidRDefault="005A2C2A" w:rsidP="005A2C2A">
      <w:pPr>
        <w:spacing w:after="0" w:line="240" w:lineRule="auto"/>
        <w:ind w:firstLine="709"/>
        <w:rPr>
          <w:rFonts w:ascii="Arial" w:hAnsi="Arial" w:cs="Arial"/>
        </w:rPr>
      </w:pPr>
    </w:p>
    <w:p w14:paraId="25A56928" w14:textId="77777777" w:rsidR="005A2C2A" w:rsidRPr="005A2C2A" w:rsidRDefault="005A2C2A" w:rsidP="005A2C2A">
      <w:pPr>
        <w:spacing w:after="0" w:line="240" w:lineRule="auto"/>
        <w:ind w:firstLine="709"/>
        <w:rPr>
          <w:rFonts w:ascii="Arial" w:hAnsi="Arial" w:cs="Arial"/>
        </w:rPr>
      </w:pPr>
      <w:r w:rsidRPr="005A2C2A">
        <w:rPr>
          <w:rFonts w:ascii="Arial" w:hAnsi="Arial" w:cs="Arial"/>
        </w:rPr>
        <w:t>Horizonte de evaluación:</w:t>
      </w:r>
      <w:r w:rsidRPr="005A2C2A">
        <w:rPr>
          <w:rFonts w:ascii="Arial" w:hAnsi="Arial" w:cs="Arial"/>
        </w:rPr>
        <w:tab/>
      </w:r>
      <w:r w:rsidRPr="005A2C2A">
        <w:rPr>
          <w:rFonts w:ascii="Arial" w:hAnsi="Arial" w:cs="Arial"/>
        </w:rPr>
        <w:tab/>
        <w:t>20 años.</w:t>
      </w:r>
    </w:p>
    <w:p w14:paraId="55BFFCB2" w14:textId="77777777" w:rsidR="005A2C2A" w:rsidRPr="005A2C2A" w:rsidRDefault="005A2C2A" w:rsidP="005A2C2A">
      <w:pPr>
        <w:spacing w:after="0" w:line="240" w:lineRule="auto"/>
        <w:ind w:firstLine="709"/>
        <w:rPr>
          <w:rFonts w:ascii="Arial" w:hAnsi="Arial" w:cs="Arial"/>
        </w:rPr>
      </w:pPr>
      <w:r w:rsidRPr="005A2C2A">
        <w:rPr>
          <w:rFonts w:ascii="Arial" w:hAnsi="Arial" w:cs="Arial"/>
        </w:rPr>
        <w:t>Tasa social de descuento:</w:t>
      </w:r>
      <w:r w:rsidRPr="005A2C2A">
        <w:rPr>
          <w:rFonts w:ascii="Arial" w:hAnsi="Arial" w:cs="Arial"/>
        </w:rPr>
        <w:tab/>
      </w:r>
      <w:r w:rsidRPr="005A2C2A">
        <w:rPr>
          <w:rFonts w:ascii="Arial" w:hAnsi="Arial" w:cs="Arial"/>
        </w:rPr>
        <w:tab/>
        <w:t>12% anual real.</w:t>
      </w:r>
    </w:p>
    <w:p w14:paraId="414E1859" w14:textId="77777777" w:rsidR="005A2C2A" w:rsidRPr="005A2C2A" w:rsidRDefault="005A2C2A" w:rsidP="005A2C2A">
      <w:pPr>
        <w:spacing w:after="0" w:line="240" w:lineRule="auto"/>
        <w:ind w:firstLine="709"/>
        <w:rPr>
          <w:rFonts w:ascii="Arial" w:hAnsi="Arial" w:cs="Arial"/>
        </w:rPr>
      </w:pPr>
      <w:r w:rsidRPr="005A2C2A">
        <w:rPr>
          <w:rFonts w:ascii="Arial" w:hAnsi="Arial" w:cs="Arial"/>
        </w:rPr>
        <w:t>Cronograma de los desembolsos:</w:t>
      </w:r>
      <w:r w:rsidRPr="005A2C2A">
        <w:rPr>
          <w:rFonts w:ascii="Arial" w:hAnsi="Arial" w:cs="Arial"/>
        </w:rPr>
        <w:tab/>
        <w:t>las obras se realizan en el primer año.</w:t>
      </w:r>
    </w:p>
    <w:p w14:paraId="6C08E672" w14:textId="77777777" w:rsidR="005A2C2A" w:rsidRPr="005A2C2A" w:rsidRDefault="005A2C2A" w:rsidP="005A2C2A">
      <w:pPr>
        <w:spacing w:after="0" w:line="240" w:lineRule="auto"/>
        <w:ind w:firstLine="709"/>
        <w:rPr>
          <w:rFonts w:ascii="Arial" w:hAnsi="Arial" w:cs="Arial"/>
        </w:rPr>
      </w:pPr>
      <w:r w:rsidRPr="005A2C2A">
        <w:rPr>
          <w:rFonts w:ascii="Arial" w:hAnsi="Arial" w:cs="Arial"/>
        </w:rPr>
        <w:t>Año de inicio de producción</w:t>
      </w:r>
      <w:r w:rsidRPr="005A2C2A">
        <w:rPr>
          <w:rFonts w:ascii="Arial" w:hAnsi="Arial" w:cs="Arial"/>
        </w:rPr>
        <w:tab/>
      </w:r>
      <w:r w:rsidRPr="005A2C2A">
        <w:rPr>
          <w:rFonts w:ascii="Arial" w:hAnsi="Arial" w:cs="Arial"/>
        </w:rPr>
        <w:tab/>
        <w:t>segundo año</w:t>
      </w:r>
    </w:p>
    <w:p w14:paraId="2C7D94A2" w14:textId="5F7D7606" w:rsidR="005A2C2A" w:rsidRPr="005A2C2A" w:rsidRDefault="005A2C2A" w:rsidP="005A2C2A">
      <w:pPr>
        <w:spacing w:after="0" w:line="240" w:lineRule="auto"/>
        <w:ind w:left="4320" w:hanging="3611"/>
        <w:rPr>
          <w:rFonts w:ascii="Arial" w:hAnsi="Arial" w:cs="Arial"/>
        </w:rPr>
      </w:pPr>
      <w:r w:rsidRPr="005A2C2A">
        <w:rPr>
          <w:rFonts w:ascii="Arial" w:hAnsi="Arial" w:cs="Arial"/>
        </w:rPr>
        <w:t xml:space="preserve">Flujos monetarios: </w:t>
      </w:r>
      <w:r w:rsidRPr="005A2C2A">
        <w:rPr>
          <w:rFonts w:ascii="Arial" w:hAnsi="Arial" w:cs="Arial"/>
        </w:rPr>
        <w:tab/>
        <w:t xml:space="preserve">La unidad monetaria utilizada es pesos de </w:t>
      </w:r>
      <w:r>
        <w:rPr>
          <w:rFonts w:ascii="Arial" w:hAnsi="Arial" w:cs="Arial"/>
        </w:rPr>
        <w:t>febrero 2017</w:t>
      </w:r>
      <w:r w:rsidRPr="005A2C2A">
        <w:rPr>
          <w:rFonts w:ascii="Arial" w:hAnsi="Arial" w:cs="Arial"/>
        </w:rPr>
        <w:t>. Los valores monetarios en pesos de distintas fechas fueron actualizados según el Índice de Variación del Salario (IVS) y el el índice de variación de ingreso calculado a partir de datos de la encuesta permanente de hogares (EPH) aplicándose el tipo de cambio de AR$ 15</w:t>
      </w:r>
      <w:r>
        <w:rPr>
          <w:rFonts w:ascii="Arial" w:hAnsi="Arial" w:cs="Arial"/>
        </w:rPr>
        <w:t>.7</w:t>
      </w:r>
      <w:r w:rsidRPr="005A2C2A">
        <w:rPr>
          <w:rFonts w:ascii="Arial" w:hAnsi="Arial" w:cs="Arial"/>
        </w:rPr>
        <w:t xml:space="preserve"> por US$, correspondiente a la fecha mencionada</w:t>
      </w:r>
    </w:p>
    <w:p w14:paraId="68BBD002" w14:textId="77777777" w:rsidR="005A2C2A" w:rsidRPr="005A2C2A" w:rsidRDefault="005A2C2A" w:rsidP="005A2C2A">
      <w:pPr>
        <w:spacing w:after="0" w:line="240" w:lineRule="auto"/>
        <w:ind w:left="4320" w:hanging="3611"/>
        <w:rPr>
          <w:rFonts w:ascii="Arial" w:hAnsi="Arial" w:cs="Arial"/>
        </w:rPr>
      </w:pPr>
      <w:r w:rsidRPr="005A2C2A">
        <w:rPr>
          <w:rFonts w:ascii="Arial" w:hAnsi="Arial" w:cs="Arial"/>
        </w:rPr>
        <w:t xml:space="preserve">Tasa de crecimiento de la demanda: </w:t>
      </w:r>
      <w:r w:rsidRPr="005A2C2A">
        <w:rPr>
          <w:rFonts w:ascii="Arial" w:hAnsi="Arial" w:cs="Arial"/>
        </w:rPr>
        <w:tab/>
        <w:t xml:space="preserve">Se aplican las tasas de crecimiento del Instituto Nacional de Estadísticas y Censos (INDEC) sobre la base de información censal y estadísticas vitales en el documento “Estimaciones de población por sexo, departamento y año calendario 2010-2025 – Serie demográfica N°38”. </w:t>
      </w:r>
    </w:p>
    <w:p w14:paraId="0827CFAC" w14:textId="77777777" w:rsidR="005A2C2A" w:rsidRPr="005A2C2A" w:rsidRDefault="005A2C2A" w:rsidP="005A2C2A">
      <w:pPr>
        <w:pStyle w:val="ListParagraph"/>
        <w:spacing w:line="240" w:lineRule="auto"/>
        <w:ind w:left="4320" w:hanging="3600"/>
        <w:rPr>
          <w:rFonts w:ascii="Arial" w:eastAsia="Calibri" w:hAnsi="Arial" w:cs="Arial"/>
        </w:rPr>
      </w:pPr>
      <w:r w:rsidRPr="005A2C2A">
        <w:rPr>
          <w:rFonts w:ascii="Arial" w:hAnsi="Arial" w:cs="Arial"/>
        </w:rPr>
        <w:t xml:space="preserve">Tasa de conexión: </w:t>
      </w:r>
      <w:r w:rsidRPr="005A2C2A">
        <w:rPr>
          <w:rFonts w:ascii="Arial" w:hAnsi="Arial" w:cs="Arial"/>
        </w:rPr>
        <w:tab/>
        <w:t xml:space="preserve">El total de viviendas que se conectarán depende de la tasa de conexión. La progresión de las conexiones efectivas ha considerado que luego de la finalización de las obras se conecta inmediatamente un 70% de los hogares, un 90% lo hace al año siguiente y el 95% de conexionado se alcanza luego del tercer año. Estas probabilidades se estimaron a partir de la </w:t>
      </w:r>
      <w:r w:rsidRPr="005A2C2A">
        <w:rPr>
          <w:rFonts w:ascii="Arial" w:eastAsia="Calibri" w:hAnsi="Arial" w:cs="Arial"/>
        </w:rPr>
        <w:t>Asimismo, del análisis de la encuesta de del estudio de 2012, pregunta 307 “¿Cuándo se conectaría a la red cloacal si hicieran la obra?”, se obtienen los siguientes resultados:</w:t>
      </w:r>
    </w:p>
    <w:p w14:paraId="7A569F05" w14:textId="77777777" w:rsidR="005A2C2A" w:rsidRPr="005A2C2A" w:rsidRDefault="005A2C2A" w:rsidP="005A2C2A">
      <w:pPr>
        <w:spacing w:after="200" w:line="240" w:lineRule="auto"/>
        <w:ind w:left="720"/>
        <w:contextualSpacing/>
        <w:jc w:val="right"/>
        <w:rPr>
          <w:rFonts w:ascii="Arial" w:eastAsia="Calibri" w:hAnsi="Arial" w:cs="Arial"/>
        </w:rPr>
      </w:pPr>
      <w:r w:rsidRPr="005A2C2A">
        <w:rPr>
          <w:rFonts w:ascii="Arial" w:eastAsia="Calibri" w:hAnsi="Arial" w:cs="Arial"/>
          <w:noProof/>
          <w:lang w:val="en-US"/>
        </w:rPr>
        <w:drawing>
          <wp:inline distT="0" distB="0" distL="0" distR="0" wp14:anchorId="1BF5085D" wp14:editId="224E86B1">
            <wp:extent cx="2688181" cy="1065475"/>
            <wp:effectExtent l="0" t="0" r="0" b="1905"/>
            <wp:docPr id="31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93836" cy="1067716"/>
                    </a:xfrm>
                    <a:prstGeom prst="rect">
                      <a:avLst/>
                    </a:prstGeom>
                    <a:noFill/>
                    <a:ln>
                      <a:noFill/>
                    </a:ln>
                  </pic:spPr>
                </pic:pic>
              </a:graphicData>
            </a:graphic>
          </wp:inline>
        </w:drawing>
      </w:r>
    </w:p>
    <w:p w14:paraId="681F8317" w14:textId="77777777" w:rsidR="005A2C2A" w:rsidRPr="005A2C2A" w:rsidRDefault="005A2C2A" w:rsidP="005A2C2A">
      <w:pPr>
        <w:spacing w:after="200" w:line="240" w:lineRule="auto"/>
        <w:ind w:left="4230"/>
        <w:contextualSpacing/>
        <w:rPr>
          <w:rFonts w:ascii="Arial" w:eastAsia="Calibri" w:hAnsi="Arial" w:cs="Arial"/>
        </w:rPr>
      </w:pPr>
      <w:r w:rsidRPr="005A2C2A">
        <w:rPr>
          <w:rFonts w:ascii="Arial" w:eastAsia="Calibri" w:hAnsi="Arial" w:cs="Arial"/>
        </w:rPr>
        <w:t>Según se observa, la tasa de conexión manifestada en un área del conurbano aún más pobre sería superior a la utilizada en la evaluación. Esta cuestión refuerza los argumentos referidos a los costos e inconvenientes asociados a no tener cloacas en un área urbana densa y extendida como la del gran Buenos Aires.</w:t>
      </w:r>
    </w:p>
    <w:p w14:paraId="5A510F7A" w14:textId="6BE5E65A" w:rsidR="005A2C2A" w:rsidRDefault="005A2C2A" w:rsidP="00340F46"/>
    <w:p w14:paraId="6DC2F637" w14:textId="5D06A22D" w:rsidR="005A2C2A" w:rsidRDefault="005A2C2A" w:rsidP="00340F46">
      <w:r w:rsidRPr="005A2C2A">
        <w:rPr>
          <w:rFonts w:ascii="Arial" w:hAnsi="Arial" w:cs="Arial"/>
        </w:rPr>
        <w:t>A continuación, se vuelven a repasar los beneficios del proyecto desde un punto de vista económico, luego se presenta el análisis de los costos del proyecto, tanto a precios de mercado como a precios de cuenta y finalmente se desarrolla el ACBS junto con un análisis de sensibilidad sobre las principales variables que afectan al proyecto</w:t>
      </w:r>
    </w:p>
    <w:p w14:paraId="1C5B5305" w14:textId="77777777" w:rsidR="000316AC" w:rsidRDefault="000316AC" w:rsidP="002B0107">
      <w:pPr>
        <w:pStyle w:val="Heading2"/>
        <w:numPr>
          <w:ilvl w:val="0"/>
          <w:numId w:val="71"/>
        </w:numPr>
      </w:pPr>
      <w:bookmarkStart w:id="211" w:name="_Toc479892482"/>
      <w:bookmarkStart w:id="212" w:name="_Toc485200147"/>
      <w:r>
        <w:t>Beneficios económicos del proyecto.</w:t>
      </w:r>
      <w:bookmarkEnd w:id="211"/>
      <w:bookmarkEnd w:id="212"/>
    </w:p>
    <w:p w14:paraId="768CB8A3" w14:textId="1B6D77D8" w:rsidR="000316AC" w:rsidRPr="007C7343" w:rsidRDefault="000316AC" w:rsidP="000E5EA3">
      <w:pPr>
        <w:rPr>
          <w:rFonts w:ascii="Arial" w:hAnsi="Arial" w:cs="Arial"/>
        </w:rPr>
      </w:pPr>
      <w:r w:rsidRPr="007C7343">
        <w:rPr>
          <w:rFonts w:ascii="Arial" w:hAnsi="Arial" w:cs="Arial"/>
        </w:rPr>
        <w:t xml:space="preserve">Si bien los beneficios asociados a la provisión del servicio cloacal fueron mencionados en los </w:t>
      </w:r>
      <w:r w:rsidR="00246C89" w:rsidRPr="007C7343">
        <w:rPr>
          <w:rFonts w:ascii="Arial" w:hAnsi="Arial" w:cs="Arial"/>
        </w:rPr>
        <w:t>anteriormente</w:t>
      </w:r>
      <w:r w:rsidRPr="007C7343">
        <w:rPr>
          <w:rFonts w:ascii="Arial" w:hAnsi="Arial" w:cs="Arial"/>
        </w:rPr>
        <w:t>, en este punto se repasan los mismos con el objetivo de identificar los canales mediante los cuales se trasmite el impacto económico a los beneficiarios de las obras.</w:t>
      </w:r>
    </w:p>
    <w:p w14:paraId="0F942C8B" w14:textId="77777777" w:rsidR="000316AC" w:rsidRPr="007C7343" w:rsidRDefault="000316AC" w:rsidP="000E5EA3">
      <w:pPr>
        <w:rPr>
          <w:rFonts w:ascii="Arial" w:hAnsi="Arial" w:cs="Arial"/>
        </w:rPr>
      </w:pPr>
      <w:r w:rsidRPr="007C7343">
        <w:rPr>
          <w:rFonts w:ascii="Arial" w:hAnsi="Arial" w:cs="Arial"/>
        </w:rPr>
        <w:t>Actualmente los beneficiarios de las obras que se evalúan en el presente documento poseen un sistema de eliminación de excretas basado en pozos ciegos que en algunos casos son acompañados de cámaras sépticas y en otros no. Este sistema de disposición de aguas servidas, que funciona aprovechando las capacidades absorbentes del suelo y la autodepuración orgánica de los líquidos cloacales, se encuentra agotado en el área metropolitana de Buenos Aires tras los cambios hidrológicos ocurridos desde hace aproximadamente 15 años. Desde entonces se verifica un importante ascenso de la napa freática que en muchos casos aflora a la superficie de los terrenos. Esta situación implica que los pozos en servicio no tengan capacidad absorbente y deban, por un lado ser vaciados con mayor asiduidad, y por el otro ser renovados integralmente con mayor frecuencia, lo que involucra el cegamiento del pozo en servicio y la construcción de un nuevo pozo.</w:t>
      </w:r>
    </w:p>
    <w:p w14:paraId="427D968E" w14:textId="77777777" w:rsidR="000316AC" w:rsidRPr="007C7343" w:rsidRDefault="000316AC" w:rsidP="000E5EA3">
      <w:pPr>
        <w:rPr>
          <w:rFonts w:ascii="Arial" w:hAnsi="Arial" w:cs="Arial"/>
        </w:rPr>
      </w:pPr>
      <w:r w:rsidRPr="007C7343">
        <w:rPr>
          <w:rFonts w:ascii="Arial" w:hAnsi="Arial" w:cs="Arial"/>
        </w:rPr>
        <w:t>Dado el elevado costo del vaciado de los pozos ciegos, que es realizado mediante camiones atmosféricos y cobrado a razón de entre 600 y 1.200 pesos, y el aumento de la frecuencia de esta operación que puede volverse hasta mensual, los hogares que hoy no cuentan con el servicio cloacal deben enfrentar un importante impacto en sus economías familiares.</w:t>
      </w:r>
    </w:p>
    <w:p w14:paraId="6705990E" w14:textId="77777777" w:rsidR="000316AC" w:rsidRPr="007C7343" w:rsidRDefault="000316AC" w:rsidP="000E5EA3">
      <w:pPr>
        <w:rPr>
          <w:rFonts w:ascii="Arial" w:hAnsi="Arial" w:cs="Arial"/>
        </w:rPr>
      </w:pPr>
      <w:r w:rsidRPr="007C7343">
        <w:rPr>
          <w:rFonts w:ascii="Arial" w:hAnsi="Arial" w:cs="Arial"/>
        </w:rPr>
        <w:t xml:space="preserve">Adicionalmente, la situación de la napa freática a flor de suelo implica una serie de impactos negativos adicionales sobre el bienestar de los hogares: </w:t>
      </w:r>
    </w:p>
    <w:p w14:paraId="5CCD9543" w14:textId="77777777" w:rsidR="000316AC" w:rsidRPr="007C7343" w:rsidRDefault="000316AC" w:rsidP="00C4100D">
      <w:pPr>
        <w:pStyle w:val="ListParagraph"/>
        <w:numPr>
          <w:ilvl w:val="0"/>
          <w:numId w:val="53"/>
        </w:numPr>
        <w:ind w:left="851" w:hanging="422"/>
        <w:rPr>
          <w:rFonts w:ascii="Arial" w:hAnsi="Arial" w:cs="Arial"/>
        </w:rPr>
      </w:pPr>
      <w:r w:rsidRPr="007C7343">
        <w:rPr>
          <w:rFonts w:ascii="Arial" w:hAnsi="Arial" w:cs="Arial"/>
        </w:rPr>
        <w:t>La presencia de contaminación y malos olores es una realidad cotidiana a la que la población se ve expuesta incrementándose considerablemente la morbilidad;</w:t>
      </w:r>
    </w:p>
    <w:p w14:paraId="55E409C0" w14:textId="77777777" w:rsidR="000316AC" w:rsidRPr="007C7343" w:rsidRDefault="000316AC" w:rsidP="00C4100D">
      <w:pPr>
        <w:pStyle w:val="ListParagraph"/>
        <w:numPr>
          <w:ilvl w:val="0"/>
          <w:numId w:val="53"/>
        </w:numPr>
        <w:ind w:left="851" w:hanging="422"/>
        <w:rPr>
          <w:rFonts w:ascii="Arial" w:hAnsi="Arial" w:cs="Arial"/>
        </w:rPr>
      </w:pPr>
      <w:r w:rsidRPr="007C7343">
        <w:rPr>
          <w:rFonts w:ascii="Arial" w:hAnsi="Arial" w:cs="Arial"/>
        </w:rPr>
        <w:t>Las construcciones se deterioran por efecto de la humedad que asciende por capilaridad desde los cimientos;</w:t>
      </w:r>
    </w:p>
    <w:p w14:paraId="2856DF7F" w14:textId="77777777" w:rsidR="000316AC" w:rsidRPr="007C7343" w:rsidRDefault="000316AC" w:rsidP="00C4100D">
      <w:pPr>
        <w:pStyle w:val="ListParagraph"/>
        <w:numPr>
          <w:ilvl w:val="0"/>
          <w:numId w:val="53"/>
        </w:numPr>
        <w:ind w:left="851" w:hanging="422"/>
        <w:rPr>
          <w:rFonts w:ascii="Arial" w:hAnsi="Arial" w:cs="Arial"/>
        </w:rPr>
      </w:pPr>
      <w:r w:rsidRPr="007C7343">
        <w:rPr>
          <w:rFonts w:ascii="Arial" w:hAnsi="Arial" w:cs="Arial"/>
        </w:rPr>
        <w:t>Los sótanos y garajes subterráneos se anegan debiéndose recurrir a costosos sistemas de achique;</w:t>
      </w:r>
    </w:p>
    <w:p w14:paraId="27C8CF53" w14:textId="77777777" w:rsidR="000316AC" w:rsidRPr="007C7343" w:rsidRDefault="000316AC" w:rsidP="000E5EA3">
      <w:pPr>
        <w:rPr>
          <w:rFonts w:ascii="Arial" w:hAnsi="Arial" w:cs="Arial"/>
        </w:rPr>
      </w:pPr>
      <w:r w:rsidRPr="007C7343">
        <w:rPr>
          <w:rFonts w:ascii="Arial" w:hAnsi="Arial" w:cs="Arial"/>
        </w:rPr>
        <w:t>Por otro lado, la delicada situación hidrológica ha obligado a muchos de los hogares que no pueden enfrentar los costos de un vaciado recurrente a disponer las aguas blancas (aguas servidas en cocinas y lavaderos) en la vía pública empeorando la situación ambiental en tales barrios. Esta práctica se ha extendido considerablemente debido a su característica de “mal” público ya que decidir no evacuar estas aguas a la vía pública no reporta beneficios para quien lo decide, puesto que aún en este caso se ve expuesto a los vertidos de sus vecinos. Aún peor es el caso de los hogares que durante los días de lluvia vacían directamente sus pozos ciegos a la calle aumentando los riesgos sobre la salud y los perjuicios ambientales.</w:t>
      </w:r>
    </w:p>
    <w:p w14:paraId="5DC661DE" w14:textId="77777777" w:rsidR="000316AC" w:rsidRPr="007C7343" w:rsidRDefault="000316AC" w:rsidP="000E5EA3">
      <w:pPr>
        <w:rPr>
          <w:rFonts w:ascii="Arial" w:hAnsi="Arial" w:cs="Arial"/>
        </w:rPr>
      </w:pPr>
      <w:r w:rsidRPr="007C7343">
        <w:rPr>
          <w:rFonts w:ascii="Arial" w:hAnsi="Arial" w:cs="Arial"/>
        </w:rPr>
        <w:t>Finalmente, existe un serio problema ambiental vinculado al vuelco de efluentes en el arroyo Las Catonas. En este caso, el escaso caudal del mismo en tiempo seco no lo hace adecuado para la recepción de los efluentes, acarreando serios problemas de contaminación que afectan a poblaciones vulnerables que se localizan en sus márgenes en aproximadamente 1,3 km de recorrido hasta el río Reconquista.</w:t>
      </w:r>
    </w:p>
    <w:p w14:paraId="1EA55CC3" w14:textId="77777777" w:rsidR="000316AC" w:rsidRPr="007C7343" w:rsidRDefault="000316AC" w:rsidP="000E5EA3">
      <w:pPr>
        <w:rPr>
          <w:rFonts w:ascii="Arial" w:hAnsi="Arial" w:cs="Arial"/>
        </w:rPr>
      </w:pPr>
      <w:r w:rsidRPr="007C7343">
        <w:rPr>
          <w:rFonts w:ascii="Arial" w:hAnsi="Arial" w:cs="Arial"/>
        </w:rPr>
        <w:t>En síntesis, es posible identificar los siguientes problemas asociados al actual sistema de eliminación de aguas servidas:</w:t>
      </w:r>
    </w:p>
    <w:p w14:paraId="48E479E2" w14:textId="77777777" w:rsidR="000316AC" w:rsidRPr="007C7343" w:rsidRDefault="000316AC" w:rsidP="00C4100D">
      <w:pPr>
        <w:pStyle w:val="ListParagraph"/>
        <w:numPr>
          <w:ilvl w:val="0"/>
          <w:numId w:val="53"/>
        </w:numPr>
        <w:ind w:left="851" w:hanging="422"/>
        <w:rPr>
          <w:rFonts w:ascii="Arial" w:hAnsi="Arial" w:cs="Arial"/>
        </w:rPr>
      </w:pPr>
      <w:r w:rsidRPr="007C7343">
        <w:rPr>
          <w:rFonts w:ascii="Arial" w:hAnsi="Arial" w:cs="Arial"/>
        </w:rPr>
        <w:t>Aumento de la morbilidad y por ende jornadas laborales / escolares perdidas. Implica mayores gastos y menores ingresos para los hogares afectados.</w:t>
      </w:r>
    </w:p>
    <w:p w14:paraId="0024B32A" w14:textId="77777777" w:rsidR="000316AC" w:rsidRPr="007C7343" w:rsidRDefault="000316AC" w:rsidP="00C4100D">
      <w:pPr>
        <w:pStyle w:val="ListParagraph"/>
        <w:numPr>
          <w:ilvl w:val="0"/>
          <w:numId w:val="53"/>
        </w:numPr>
        <w:ind w:left="851" w:hanging="422"/>
        <w:rPr>
          <w:rFonts w:ascii="Arial" w:hAnsi="Arial" w:cs="Arial"/>
        </w:rPr>
      </w:pPr>
      <w:r w:rsidRPr="007C7343">
        <w:rPr>
          <w:rFonts w:ascii="Arial" w:hAnsi="Arial" w:cs="Arial"/>
        </w:rPr>
        <w:t>Elevado costo de mantenimiento del sistema (vaciado de los pozos ciegos) tras el ascenso de la napa freática.</w:t>
      </w:r>
    </w:p>
    <w:p w14:paraId="1AFA007E" w14:textId="77777777" w:rsidR="000316AC" w:rsidRPr="007C7343" w:rsidRDefault="000316AC" w:rsidP="00C4100D">
      <w:pPr>
        <w:pStyle w:val="ListParagraph"/>
        <w:numPr>
          <w:ilvl w:val="0"/>
          <w:numId w:val="53"/>
        </w:numPr>
        <w:ind w:left="851" w:hanging="422"/>
        <w:rPr>
          <w:rFonts w:ascii="Arial" w:hAnsi="Arial" w:cs="Arial"/>
        </w:rPr>
      </w:pPr>
      <w:r w:rsidRPr="007C7343">
        <w:rPr>
          <w:rFonts w:ascii="Arial" w:hAnsi="Arial" w:cs="Arial"/>
        </w:rPr>
        <w:t>Deterioro prematuro de las construcciones por efecto de la humedad ascendente. Pérdida de valor de los inmuebles y elevados costos de reparación y mantenimiento.</w:t>
      </w:r>
    </w:p>
    <w:p w14:paraId="03F19807" w14:textId="77777777" w:rsidR="000316AC" w:rsidRPr="007C7343" w:rsidRDefault="000316AC" w:rsidP="00C4100D">
      <w:pPr>
        <w:pStyle w:val="ListParagraph"/>
        <w:numPr>
          <w:ilvl w:val="0"/>
          <w:numId w:val="53"/>
        </w:numPr>
        <w:ind w:left="851" w:hanging="422"/>
        <w:rPr>
          <w:rFonts w:ascii="Arial" w:hAnsi="Arial" w:cs="Arial"/>
        </w:rPr>
      </w:pPr>
      <w:r w:rsidRPr="007C7343">
        <w:rPr>
          <w:rFonts w:ascii="Arial" w:hAnsi="Arial" w:cs="Arial"/>
        </w:rPr>
        <w:t>Desagrado y molestias por efecto de la presencia permanente de aguas servidas en la vía pública (especialmente aguas blancas). En los casos de calles pavimentadas la presencia permanente de agua deteriora aceleradamente los pavimentos. La pavimentación mediante concreto asfáltico (opción más económica) es inviable en estas áreas por la degradación que sufre tal material ante la presencia de agua. En las áreas sin pavimentar la presencia de zanjas a cielo abierto son fuente de contaminación y proliferación de insectos y roedores que a su vez son vectores de diversas enfermedades infecciosas.</w:t>
      </w:r>
    </w:p>
    <w:p w14:paraId="6661F385" w14:textId="77777777" w:rsidR="000316AC" w:rsidRPr="007C7343" w:rsidRDefault="000316AC" w:rsidP="00C4100D">
      <w:pPr>
        <w:pStyle w:val="ListParagraph"/>
        <w:numPr>
          <w:ilvl w:val="0"/>
          <w:numId w:val="53"/>
        </w:numPr>
        <w:ind w:left="851" w:hanging="422"/>
        <w:rPr>
          <w:rFonts w:ascii="Arial" w:hAnsi="Arial" w:cs="Arial"/>
        </w:rPr>
      </w:pPr>
      <w:r w:rsidRPr="007C7343">
        <w:rPr>
          <w:rFonts w:ascii="Arial" w:hAnsi="Arial" w:cs="Arial"/>
        </w:rPr>
        <w:t>La ausencia de cloacas afecta el nivel de la napa freática y tal nivel repercute negativamente sobre los costos de construcción de inmuebles e infraestructura (construcción de plateas de hormigón, zapatas romanas, cimientos encadenados, necesidad de depresión de napa y tablestacado, etc.)</w:t>
      </w:r>
    </w:p>
    <w:p w14:paraId="56C8313F" w14:textId="77777777" w:rsidR="000316AC" w:rsidRPr="007C7343" w:rsidRDefault="000316AC" w:rsidP="00C4100D">
      <w:pPr>
        <w:pStyle w:val="ListParagraph"/>
        <w:numPr>
          <w:ilvl w:val="0"/>
          <w:numId w:val="53"/>
        </w:numPr>
        <w:ind w:left="851" w:hanging="422"/>
        <w:rPr>
          <w:rFonts w:ascii="Arial" w:hAnsi="Arial" w:cs="Arial"/>
        </w:rPr>
      </w:pPr>
      <w:r w:rsidRPr="007C7343">
        <w:rPr>
          <w:rFonts w:ascii="Arial" w:hAnsi="Arial" w:cs="Arial"/>
        </w:rPr>
        <w:t>La elevación del nivel de la napa freática obligó a instalar perforaciones permanentes de depresión de napa que poseen un elevado costo de inversión y operación (alto consumo de energía eléctrica).</w:t>
      </w:r>
    </w:p>
    <w:p w14:paraId="5916285C" w14:textId="77777777" w:rsidR="000316AC" w:rsidRPr="007C7343" w:rsidRDefault="000316AC" w:rsidP="00C4100D">
      <w:pPr>
        <w:pStyle w:val="ListParagraph"/>
        <w:numPr>
          <w:ilvl w:val="0"/>
          <w:numId w:val="53"/>
        </w:numPr>
        <w:ind w:left="851" w:hanging="422"/>
        <w:rPr>
          <w:rFonts w:ascii="Arial" w:hAnsi="Arial" w:cs="Arial"/>
        </w:rPr>
      </w:pPr>
      <w:r w:rsidRPr="007C7343">
        <w:rPr>
          <w:rFonts w:ascii="Arial" w:hAnsi="Arial" w:cs="Arial"/>
        </w:rPr>
        <w:t>Graves impactos en la salud de poblaciones vulnerables localizadas a la vera del arroyo Las Catonas.</w:t>
      </w:r>
    </w:p>
    <w:p w14:paraId="42172F88" w14:textId="77777777" w:rsidR="000316AC" w:rsidRPr="007C7343" w:rsidRDefault="000316AC" w:rsidP="000E5EA3">
      <w:pPr>
        <w:rPr>
          <w:rFonts w:ascii="Arial" w:hAnsi="Arial" w:cs="Arial"/>
        </w:rPr>
      </w:pPr>
      <w:r w:rsidRPr="007C7343">
        <w:rPr>
          <w:rFonts w:ascii="Arial" w:hAnsi="Arial" w:cs="Arial"/>
        </w:rPr>
        <w:t>Todos estos problemas son susceptibles de valoración económica y dado que son independientes unos de otros, sus costos deberían sumarse para obtener una idea del impacto de la ausencia del sistema de desagües cloacales.</w:t>
      </w:r>
    </w:p>
    <w:p w14:paraId="0E8753A5" w14:textId="77777777" w:rsidR="000316AC" w:rsidRPr="007C7343" w:rsidRDefault="000316AC" w:rsidP="000E5EA3">
      <w:pPr>
        <w:rPr>
          <w:rFonts w:ascii="Arial" w:hAnsi="Arial" w:cs="Arial"/>
        </w:rPr>
      </w:pPr>
      <w:r w:rsidRPr="007C7343">
        <w:rPr>
          <w:rFonts w:ascii="Arial" w:hAnsi="Arial" w:cs="Arial"/>
        </w:rPr>
        <w:t xml:space="preserve">La instalación del sistema de desagües cloacales propuesto permitirá evitar estos costos y generará una serie de externalidades positivas adicionales no consideradas en este resumen. </w:t>
      </w:r>
    </w:p>
    <w:p w14:paraId="78A08F3E" w14:textId="77777777" w:rsidR="000316AC" w:rsidRPr="007C7343" w:rsidRDefault="000316AC" w:rsidP="000E5EA3">
      <w:pPr>
        <w:rPr>
          <w:rFonts w:ascii="Arial" w:hAnsi="Arial" w:cs="Arial"/>
        </w:rPr>
      </w:pPr>
      <w:r w:rsidRPr="007C7343">
        <w:rPr>
          <w:rFonts w:ascii="Arial" w:hAnsi="Arial" w:cs="Arial"/>
        </w:rPr>
        <w:t>Si todos estos costos fueran valorizados, tal monto podría considerarse como el beneficio de la instalación del sistema de desagües en un análisis de costos evitados. Sin embargo la cuantificación de los mismos es una tarea difícil y para la que no se cuenta con información completa y confiable, por lo que en la presente evaluación se adoptó el método directo de valoración contingente, transferido en este caso de un análisis realizado a partir de una encuesta socioeconómica desarrollada a fines del año 2011.</w:t>
      </w:r>
    </w:p>
    <w:p w14:paraId="42A44777" w14:textId="77777777" w:rsidR="000316AC" w:rsidRPr="007C7343" w:rsidRDefault="000316AC" w:rsidP="000E5EA3">
      <w:pPr>
        <w:rPr>
          <w:rFonts w:ascii="Arial" w:hAnsi="Arial" w:cs="Arial"/>
        </w:rPr>
      </w:pPr>
      <w:r w:rsidRPr="007C7343">
        <w:rPr>
          <w:rFonts w:ascii="Arial" w:hAnsi="Arial" w:cs="Arial"/>
        </w:rPr>
        <w:t>A continuación se detalla la determinación de beneficios por hogar, destacándose que tal cómputo no incluye beneficios ambientales, particularmente para las poblaciones linderas al curso del arroyo Las Catonas.</w:t>
      </w:r>
    </w:p>
    <w:p w14:paraId="33568981" w14:textId="77777777" w:rsidR="000316AC" w:rsidRPr="00B956E9" w:rsidRDefault="000316AC" w:rsidP="000E5EA3"/>
    <w:p w14:paraId="19E5FB93" w14:textId="77777777" w:rsidR="000316AC" w:rsidRDefault="000316AC" w:rsidP="002B0107">
      <w:pPr>
        <w:pStyle w:val="Heading2"/>
        <w:numPr>
          <w:ilvl w:val="1"/>
          <w:numId w:val="74"/>
        </w:numPr>
      </w:pPr>
      <w:bookmarkStart w:id="213" w:name="_Toc479892483"/>
      <w:bookmarkStart w:id="214" w:name="_Toc485200148"/>
      <w:r>
        <w:t>Método de determinación de beneficios.</w:t>
      </w:r>
      <w:bookmarkEnd w:id="213"/>
      <w:bookmarkEnd w:id="214"/>
    </w:p>
    <w:p w14:paraId="26F0E47C" w14:textId="77777777" w:rsidR="000316AC" w:rsidRPr="007C7343" w:rsidRDefault="000316AC" w:rsidP="00DD0DF8">
      <w:pPr>
        <w:rPr>
          <w:rFonts w:ascii="Arial" w:hAnsi="Arial" w:cs="Arial"/>
        </w:rPr>
      </w:pPr>
      <w:r w:rsidRPr="007C7343">
        <w:rPr>
          <w:rFonts w:ascii="Arial" w:hAnsi="Arial" w:cs="Arial"/>
        </w:rPr>
        <w:t>La determinación de beneficios en la presente evaluación se realiza mediante la transferencia de resultados del informe “Evaluación de un proyecto de ampliación de la red de desagüe cloacal en el territorio comprendido entre el Camino de Buen Ayre, la Avenida Panamericana y las rutas 4 y 8, perteneciente a los partidos de San Martín, San Isidro y Tres de Febrero, en el Gran Buenos Aires” elaborado en febrero de 2012 en lo que respecta a los beneficios asociados a la provisión del servicio cloacal (recolección y transporte).</w:t>
      </w:r>
    </w:p>
    <w:p w14:paraId="027A37BA" w14:textId="77777777" w:rsidR="000316AC" w:rsidRPr="007C7343" w:rsidRDefault="000316AC" w:rsidP="000316AC">
      <w:pPr>
        <w:rPr>
          <w:rFonts w:ascii="Arial" w:hAnsi="Arial" w:cs="Arial"/>
        </w:rPr>
      </w:pPr>
      <w:r w:rsidRPr="007C7343">
        <w:rPr>
          <w:rFonts w:ascii="Arial" w:hAnsi="Arial" w:cs="Arial"/>
        </w:rPr>
        <w:t>Adicionalmente se consideran beneficios vinculados estrictamente al tratamiento de los efluentes en el E°D° Las Catonas (Beneficios Ambientales) transferidos desde el estudio “Estudio de la Disponibilidad de Pago Para la Mejora Ambiental de los Ríos Matanza</w:t>
      </w:r>
      <w:r w:rsidRPr="007C7343">
        <w:rPr>
          <w:rFonts w:ascii="Cambria Math" w:hAnsi="Cambria Math" w:cs="Cambria Math"/>
        </w:rPr>
        <w:t>‐</w:t>
      </w:r>
      <w:r w:rsidRPr="007C7343">
        <w:rPr>
          <w:rFonts w:ascii="Arial" w:hAnsi="Arial" w:cs="Arial"/>
        </w:rPr>
        <w:t>Riachuelo y Río de la Plata” realizado por Diomira Maria Cicci Pinto Faria durante el año 2008 a solicitud del Banco Mundial.</w:t>
      </w:r>
    </w:p>
    <w:p w14:paraId="25B88368" w14:textId="07091EA9" w:rsidR="000316AC" w:rsidRPr="003275D3" w:rsidRDefault="000316AC" w:rsidP="00DD0DF8">
      <w:pPr>
        <w:rPr>
          <w:rFonts w:ascii="Arial" w:hAnsi="Arial" w:cs="Arial"/>
        </w:rPr>
      </w:pPr>
      <w:r w:rsidRPr="003275D3">
        <w:rPr>
          <w:rFonts w:ascii="Arial" w:hAnsi="Arial" w:cs="Arial"/>
        </w:rPr>
        <w:t>En</w:t>
      </w:r>
      <w:r w:rsidR="003275D3" w:rsidRPr="003275D3">
        <w:rPr>
          <w:rFonts w:ascii="Arial" w:hAnsi="Arial" w:cs="Arial"/>
        </w:rPr>
        <w:t xml:space="preserve"> el</w:t>
      </w:r>
      <w:r w:rsidRPr="003275D3">
        <w:rPr>
          <w:rFonts w:ascii="Arial" w:hAnsi="Arial" w:cs="Arial"/>
        </w:rPr>
        <w:t xml:space="preserve"> </w:t>
      </w:r>
      <w:r w:rsidRPr="0059118E">
        <w:rPr>
          <w:rFonts w:ascii="Arial" w:hAnsi="Arial" w:cs="Arial"/>
        </w:rPr>
        <w:t xml:space="preserve">Anexo </w:t>
      </w:r>
      <w:r w:rsidR="007C7343" w:rsidRPr="0059118E">
        <w:rPr>
          <w:rFonts w:ascii="Arial" w:hAnsi="Arial" w:cs="Arial"/>
        </w:rPr>
        <w:t>4</w:t>
      </w:r>
      <w:r w:rsidRPr="003275D3">
        <w:rPr>
          <w:rFonts w:ascii="Arial" w:hAnsi="Arial" w:cs="Arial"/>
        </w:rPr>
        <w:t xml:space="preserve"> se detalla el proceso de transferencia de beneficios, el cálculo econométrico del modelo original y su actualización a valores de febrero 2017 correspondiente al componente servicio cloacal. En el caso de los beneficios ambientales, la DAP determinada ha sido actualizada en función a la variación de ingresos de los hogares.</w:t>
      </w:r>
    </w:p>
    <w:p w14:paraId="32960666" w14:textId="77777777" w:rsidR="000316AC" w:rsidRPr="003275D3" w:rsidRDefault="000316AC" w:rsidP="00DD0DF8">
      <w:pPr>
        <w:rPr>
          <w:rFonts w:ascii="Arial" w:hAnsi="Arial" w:cs="Arial"/>
        </w:rPr>
      </w:pPr>
      <w:r w:rsidRPr="003275D3">
        <w:rPr>
          <w:rFonts w:ascii="Arial" w:hAnsi="Arial" w:cs="Arial"/>
        </w:rPr>
        <w:t>Para los beneficios por servicio cloacal el estudio fuente seleccionado utilizó el método directo de valoración contingente consistente en calcular la máxima disposición a pagar a partir del análisis del resultado de una encuesta socioeconómica especialmente aplicada a tal fin.</w:t>
      </w:r>
    </w:p>
    <w:p w14:paraId="40804AD3" w14:textId="77777777" w:rsidR="000316AC" w:rsidRPr="003275D3" w:rsidRDefault="000316AC" w:rsidP="00DD0DF8">
      <w:pPr>
        <w:rPr>
          <w:rFonts w:ascii="Arial" w:hAnsi="Arial" w:cs="Arial"/>
        </w:rPr>
      </w:pPr>
      <w:r w:rsidRPr="003275D3">
        <w:rPr>
          <w:rFonts w:ascii="Arial" w:hAnsi="Arial" w:cs="Arial"/>
        </w:rPr>
        <w:t>En todos los casos el método de determinación de beneficios fue el de Valoración Contingente, obteniéndose a partir del análisis econométrico las funciones que permiten determinar la Máxima Disposición a Pagar.</w:t>
      </w:r>
    </w:p>
    <w:p w14:paraId="14C35D57" w14:textId="77777777" w:rsidR="000316AC" w:rsidRPr="003275D3" w:rsidRDefault="000316AC" w:rsidP="00DD0DF8">
      <w:pPr>
        <w:rPr>
          <w:rFonts w:ascii="Arial" w:hAnsi="Arial" w:cs="Arial"/>
        </w:rPr>
      </w:pPr>
      <w:r w:rsidRPr="003275D3">
        <w:rPr>
          <w:rFonts w:ascii="Arial" w:hAnsi="Arial" w:cs="Arial"/>
        </w:rPr>
        <w:t>En términos teóricos se parte de una función de utilidad para un individuo representativo:</w:t>
      </w:r>
    </w:p>
    <w:p w14:paraId="25E0A088" w14:textId="77777777" w:rsidR="000316AC" w:rsidRPr="003275D3" w:rsidRDefault="000316AC" w:rsidP="00DD0DF8">
      <w:pPr>
        <w:rPr>
          <w:rFonts w:ascii="Arial" w:hAnsi="Arial" w:cs="Arial"/>
        </w:rPr>
      </w:pPr>
    </w:p>
    <w:p w14:paraId="357B57A6" w14:textId="77777777" w:rsidR="000316AC" w:rsidRPr="003275D3" w:rsidRDefault="000316AC" w:rsidP="00DD0DF8">
      <w:pPr>
        <w:jc w:val="center"/>
        <w:rPr>
          <w:rFonts w:ascii="Arial" w:hAnsi="Arial" w:cs="Arial"/>
        </w:rPr>
      </w:pPr>
      <w:r w:rsidRPr="003275D3">
        <w:rPr>
          <w:rFonts w:ascii="Arial" w:hAnsi="Arial" w:cs="Arial"/>
        </w:rPr>
        <w:t>U = U (Proy, I; G)</w:t>
      </w:r>
    </w:p>
    <w:p w14:paraId="57DE57C4" w14:textId="77777777" w:rsidR="000316AC" w:rsidRPr="003275D3" w:rsidRDefault="000316AC" w:rsidP="00DD0DF8">
      <w:pPr>
        <w:spacing w:after="0"/>
        <w:rPr>
          <w:rFonts w:ascii="Arial" w:hAnsi="Arial" w:cs="Arial"/>
        </w:rPr>
      </w:pPr>
    </w:p>
    <w:p w14:paraId="07D9D997" w14:textId="77777777" w:rsidR="000316AC" w:rsidRPr="003275D3" w:rsidRDefault="000316AC" w:rsidP="00DD0DF8">
      <w:pPr>
        <w:spacing w:after="0"/>
        <w:rPr>
          <w:rFonts w:ascii="Arial" w:hAnsi="Arial" w:cs="Arial"/>
        </w:rPr>
      </w:pPr>
      <w:r w:rsidRPr="003275D3">
        <w:rPr>
          <w:rFonts w:ascii="Arial" w:hAnsi="Arial" w:cs="Arial"/>
        </w:rPr>
        <w:t>Donde:</w:t>
      </w:r>
    </w:p>
    <w:p w14:paraId="4B7D3219" w14:textId="77777777" w:rsidR="000316AC" w:rsidRPr="003275D3" w:rsidRDefault="000316AC" w:rsidP="00DD0DF8">
      <w:pPr>
        <w:spacing w:after="0"/>
        <w:ind w:left="708"/>
        <w:rPr>
          <w:rFonts w:ascii="Arial" w:hAnsi="Arial" w:cs="Arial"/>
        </w:rPr>
      </w:pPr>
      <w:r w:rsidRPr="003275D3">
        <w:rPr>
          <w:rFonts w:ascii="Arial" w:hAnsi="Arial" w:cs="Arial"/>
        </w:rPr>
        <w:t>U = Utilidad</w:t>
      </w:r>
    </w:p>
    <w:p w14:paraId="1CF7C46C" w14:textId="77777777" w:rsidR="000316AC" w:rsidRPr="003275D3" w:rsidRDefault="000316AC" w:rsidP="00DD0DF8">
      <w:pPr>
        <w:spacing w:after="0"/>
        <w:ind w:left="708"/>
        <w:rPr>
          <w:rFonts w:ascii="Arial" w:hAnsi="Arial" w:cs="Arial"/>
        </w:rPr>
      </w:pPr>
      <w:r w:rsidRPr="003275D3">
        <w:rPr>
          <w:rFonts w:ascii="Arial" w:hAnsi="Arial" w:cs="Arial"/>
        </w:rPr>
        <w:t>Proy = Existencia o no de un proyecto</w:t>
      </w:r>
    </w:p>
    <w:p w14:paraId="683726D1" w14:textId="77777777" w:rsidR="000316AC" w:rsidRPr="003275D3" w:rsidRDefault="000316AC" w:rsidP="00DD0DF8">
      <w:pPr>
        <w:spacing w:after="0"/>
        <w:ind w:left="708"/>
        <w:rPr>
          <w:rFonts w:ascii="Arial" w:hAnsi="Arial" w:cs="Arial"/>
        </w:rPr>
      </w:pPr>
      <w:r w:rsidRPr="003275D3">
        <w:rPr>
          <w:rFonts w:ascii="Arial" w:hAnsi="Arial" w:cs="Arial"/>
        </w:rPr>
        <w:t>I = Ingreso disponible</w:t>
      </w:r>
    </w:p>
    <w:p w14:paraId="26D919FC" w14:textId="77777777" w:rsidR="000316AC" w:rsidRPr="003275D3" w:rsidRDefault="000316AC" w:rsidP="00DD0DF8">
      <w:pPr>
        <w:spacing w:after="0"/>
        <w:ind w:left="708"/>
        <w:rPr>
          <w:rFonts w:ascii="Arial" w:hAnsi="Arial" w:cs="Arial"/>
        </w:rPr>
      </w:pPr>
      <w:r w:rsidRPr="003275D3">
        <w:rPr>
          <w:rFonts w:ascii="Arial" w:hAnsi="Arial" w:cs="Arial"/>
        </w:rPr>
        <w:t>G = Gustos</w:t>
      </w:r>
    </w:p>
    <w:p w14:paraId="71C6AE43" w14:textId="77777777" w:rsidR="000316AC" w:rsidRPr="003275D3" w:rsidRDefault="000316AC" w:rsidP="00DD0DF8">
      <w:pPr>
        <w:rPr>
          <w:rFonts w:ascii="Arial" w:hAnsi="Arial" w:cs="Arial"/>
        </w:rPr>
      </w:pPr>
    </w:p>
    <w:p w14:paraId="6E1838BF" w14:textId="77777777" w:rsidR="000316AC" w:rsidRPr="003275D3" w:rsidRDefault="000316AC" w:rsidP="00DD0DF8">
      <w:pPr>
        <w:rPr>
          <w:rFonts w:ascii="Arial" w:hAnsi="Arial" w:cs="Arial"/>
        </w:rPr>
      </w:pPr>
      <w:r w:rsidRPr="003275D3">
        <w:rPr>
          <w:rFonts w:ascii="Arial" w:hAnsi="Arial" w:cs="Arial"/>
        </w:rPr>
        <w:t>La utilidad con proyecto será U (1, I; G)</w:t>
      </w:r>
    </w:p>
    <w:p w14:paraId="3245F3B2" w14:textId="77777777" w:rsidR="000316AC" w:rsidRPr="003275D3" w:rsidRDefault="000316AC" w:rsidP="00DD0DF8">
      <w:pPr>
        <w:rPr>
          <w:rFonts w:ascii="Arial" w:hAnsi="Arial" w:cs="Arial"/>
        </w:rPr>
      </w:pPr>
      <w:r w:rsidRPr="003275D3">
        <w:rPr>
          <w:rFonts w:ascii="Arial" w:hAnsi="Arial" w:cs="Arial"/>
        </w:rPr>
        <w:t>La utilidad sin proyecto es U (0, I; G)</w:t>
      </w:r>
    </w:p>
    <w:p w14:paraId="40A2B454" w14:textId="77777777" w:rsidR="000316AC" w:rsidRPr="003275D3" w:rsidRDefault="000316AC" w:rsidP="00DD0DF8">
      <w:pPr>
        <w:rPr>
          <w:rFonts w:ascii="Arial" w:hAnsi="Arial" w:cs="Arial"/>
        </w:rPr>
      </w:pPr>
      <w:r w:rsidRPr="003275D3">
        <w:rPr>
          <w:rFonts w:ascii="Arial" w:hAnsi="Arial" w:cs="Arial"/>
        </w:rPr>
        <w:t>Se debe cumplir que U (1, I; G) &gt; U (0, I; G)</w:t>
      </w:r>
    </w:p>
    <w:p w14:paraId="3CECCAFD" w14:textId="77777777" w:rsidR="000316AC" w:rsidRPr="003275D3" w:rsidRDefault="000316AC" w:rsidP="00DD0DF8">
      <w:pPr>
        <w:rPr>
          <w:rFonts w:ascii="Arial" w:hAnsi="Arial" w:cs="Arial"/>
        </w:rPr>
      </w:pPr>
      <w:r w:rsidRPr="003275D3">
        <w:rPr>
          <w:rFonts w:ascii="Arial" w:hAnsi="Arial" w:cs="Arial"/>
        </w:rPr>
        <w:t>La Variación compensada (VC) del Ingreso se define como:</w:t>
      </w:r>
    </w:p>
    <w:p w14:paraId="633428E5" w14:textId="77777777" w:rsidR="000316AC" w:rsidRPr="003275D3" w:rsidRDefault="000316AC" w:rsidP="00DD0DF8">
      <w:pPr>
        <w:rPr>
          <w:rFonts w:ascii="Arial" w:hAnsi="Arial" w:cs="Arial"/>
        </w:rPr>
      </w:pPr>
    </w:p>
    <w:p w14:paraId="6311C2FD" w14:textId="77777777" w:rsidR="000316AC" w:rsidRPr="003275D3" w:rsidRDefault="000316AC" w:rsidP="00DD0DF8">
      <w:pPr>
        <w:jc w:val="center"/>
        <w:rPr>
          <w:rFonts w:ascii="Arial" w:hAnsi="Arial" w:cs="Arial"/>
        </w:rPr>
      </w:pPr>
      <w:r w:rsidRPr="003275D3">
        <w:rPr>
          <w:rFonts w:ascii="Arial" w:hAnsi="Arial" w:cs="Arial"/>
        </w:rPr>
        <w:t>U (1, I-A; G) = U (0, I; G)</w:t>
      </w:r>
    </w:p>
    <w:p w14:paraId="3B725008" w14:textId="77777777" w:rsidR="000316AC" w:rsidRPr="003275D3" w:rsidRDefault="000316AC" w:rsidP="00DD0DF8">
      <w:pPr>
        <w:jc w:val="center"/>
        <w:rPr>
          <w:rFonts w:ascii="Arial" w:hAnsi="Arial" w:cs="Arial"/>
        </w:rPr>
      </w:pPr>
    </w:p>
    <w:p w14:paraId="2B7520DE" w14:textId="77777777" w:rsidR="000316AC" w:rsidRPr="003275D3" w:rsidRDefault="000316AC" w:rsidP="00DD0DF8">
      <w:pPr>
        <w:rPr>
          <w:rFonts w:ascii="Arial" w:hAnsi="Arial" w:cs="Arial"/>
        </w:rPr>
      </w:pPr>
      <w:r w:rsidRPr="003275D3">
        <w:rPr>
          <w:rFonts w:ascii="Arial" w:hAnsi="Arial" w:cs="Arial"/>
        </w:rPr>
        <w:t>Donde A = V. C.</w:t>
      </w:r>
    </w:p>
    <w:p w14:paraId="477AB5F2" w14:textId="77777777" w:rsidR="000316AC" w:rsidRPr="003275D3" w:rsidRDefault="000316AC" w:rsidP="00DD0DF8">
      <w:pPr>
        <w:rPr>
          <w:rFonts w:ascii="Arial" w:hAnsi="Arial" w:cs="Arial"/>
        </w:rPr>
      </w:pPr>
      <w:r w:rsidRPr="003275D3">
        <w:rPr>
          <w:rFonts w:ascii="Arial" w:hAnsi="Arial" w:cs="Arial"/>
        </w:rPr>
        <w:t>Por su parte, la Variación Equivalente del Ingreso (VE) se define como:</w:t>
      </w:r>
    </w:p>
    <w:p w14:paraId="49A2E1D3" w14:textId="77777777" w:rsidR="000316AC" w:rsidRPr="003275D3" w:rsidRDefault="000316AC" w:rsidP="00DD0DF8">
      <w:pPr>
        <w:rPr>
          <w:rFonts w:ascii="Arial" w:hAnsi="Arial" w:cs="Arial"/>
        </w:rPr>
      </w:pPr>
    </w:p>
    <w:p w14:paraId="08BE3E7D" w14:textId="77777777" w:rsidR="000316AC" w:rsidRPr="003275D3" w:rsidRDefault="000316AC" w:rsidP="00DD0DF8">
      <w:pPr>
        <w:jc w:val="center"/>
        <w:rPr>
          <w:rFonts w:ascii="Arial" w:hAnsi="Arial" w:cs="Arial"/>
        </w:rPr>
      </w:pPr>
      <w:r w:rsidRPr="003275D3">
        <w:rPr>
          <w:rFonts w:ascii="Arial" w:hAnsi="Arial" w:cs="Arial"/>
        </w:rPr>
        <w:t>U (1, I; G) = U (0, I + A'; G)</w:t>
      </w:r>
    </w:p>
    <w:p w14:paraId="056FE4EE" w14:textId="77777777" w:rsidR="000316AC" w:rsidRPr="003275D3" w:rsidRDefault="000316AC" w:rsidP="00DD0DF8">
      <w:pPr>
        <w:jc w:val="center"/>
        <w:rPr>
          <w:rFonts w:ascii="Arial" w:hAnsi="Arial" w:cs="Arial"/>
        </w:rPr>
      </w:pPr>
    </w:p>
    <w:p w14:paraId="30AE35AF" w14:textId="77777777" w:rsidR="000316AC" w:rsidRPr="003275D3" w:rsidRDefault="000316AC" w:rsidP="00DD0DF8">
      <w:pPr>
        <w:rPr>
          <w:rFonts w:ascii="Arial" w:hAnsi="Arial" w:cs="Arial"/>
        </w:rPr>
      </w:pPr>
      <w:r w:rsidRPr="003275D3">
        <w:rPr>
          <w:rFonts w:ascii="Arial" w:hAnsi="Arial" w:cs="Arial"/>
        </w:rPr>
        <w:t>Donde A' = V. E.</w:t>
      </w:r>
    </w:p>
    <w:p w14:paraId="264E4F65" w14:textId="77777777" w:rsidR="000316AC" w:rsidRPr="003275D3" w:rsidRDefault="000316AC" w:rsidP="00DD0DF8">
      <w:pPr>
        <w:rPr>
          <w:rFonts w:ascii="Arial" w:hAnsi="Arial" w:cs="Arial"/>
        </w:rPr>
      </w:pPr>
      <w:r w:rsidRPr="003275D3">
        <w:rPr>
          <w:rFonts w:ascii="Arial" w:hAnsi="Arial" w:cs="Arial"/>
        </w:rPr>
        <w:t>Desde el punto de vista de la teoría económica, se puede desarrollar con mayor rigurosidad el método del siguiente modo:</w:t>
      </w:r>
    </w:p>
    <w:p w14:paraId="2548A0D9" w14:textId="77777777" w:rsidR="000316AC" w:rsidRPr="003275D3" w:rsidRDefault="000316AC" w:rsidP="00DD0DF8">
      <w:pPr>
        <w:rPr>
          <w:rFonts w:ascii="Arial" w:hAnsi="Arial" w:cs="Arial"/>
        </w:rPr>
      </w:pPr>
      <w:r w:rsidRPr="003275D3">
        <w:rPr>
          <w:rFonts w:ascii="Arial" w:hAnsi="Arial" w:cs="Arial"/>
        </w:rPr>
        <w:t>Se representa la función de utilidad indirecta:</w:t>
      </w:r>
    </w:p>
    <w:p w14:paraId="6E4F5F6C" w14:textId="77777777" w:rsidR="000316AC" w:rsidRPr="003275D3" w:rsidRDefault="000316AC" w:rsidP="00DD0DF8">
      <w:pPr>
        <w:rPr>
          <w:rFonts w:ascii="Arial" w:hAnsi="Arial" w:cs="Arial"/>
        </w:rPr>
      </w:pPr>
    </w:p>
    <w:p w14:paraId="760CB415" w14:textId="77777777" w:rsidR="000316AC" w:rsidRPr="003275D3" w:rsidRDefault="000316AC" w:rsidP="00DD0DF8">
      <w:pPr>
        <w:jc w:val="center"/>
        <w:rPr>
          <w:rFonts w:ascii="Arial" w:hAnsi="Arial" w:cs="Arial"/>
        </w:rPr>
      </w:pPr>
      <w:r w:rsidRPr="003275D3">
        <w:rPr>
          <w:rFonts w:ascii="Arial" w:hAnsi="Arial" w:cs="Arial"/>
        </w:rPr>
        <w:t>Uij = Uij (Xi, Yi - Pij, δ) + Eij</w:t>
      </w:r>
    </w:p>
    <w:p w14:paraId="60658196" w14:textId="77777777" w:rsidR="000316AC" w:rsidRPr="003275D3" w:rsidRDefault="000316AC" w:rsidP="00DD0DF8">
      <w:pPr>
        <w:jc w:val="center"/>
        <w:rPr>
          <w:rFonts w:ascii="Arial" w:hAnsi="Arial" w:cs="Arial"/>
        </w:rPr>
      </w:pPr>
    </w:p>
    <w:p w14:paraId="3129505A" w14:textId="77777777" w:rsidR="000316AC" w:rsidRPr="003275D3" w:rsidRDefault="000316AC" w:rsidP="00DD0DF8">
      <w:pPr>
        <w:spacing w:after="0"/>
        <w:rPr>
          <w:rFonts w:ascii="Arial" w:hAnsi="Arial" w:cs="Arial"/>
        </w:rPr>
      </w:pPr>
      <w:r w:rsidRPr="003275D3">
        <w:rPr>
          <w:rFonts w:ascii="Arial" w:hAnsi="Arial" w:cs="Arial"/>
        </w:rPr>
        <w:t>Donde:</w:t>
      </w:r>
    </w:p>
    <w:p w14:paraId="18FC6603" w14:textId="77777777" w:rsidR="000316AC" w:rsidRPr="003275D3" w:rsidRDefault="000316AC" w:rsidP="00DD0DF8">
      <w:pPr>
        <w:spacing w:after="0"/>
        <w:ind w:left="708"/>
        <w:rPr>
          <w:rFonts w:ascii="Arial" w:hAnsi="Arial" w:cs="Arial"/>
        </w:rPr>
      </w:pPr>
      <w:r w:rsidRPr="003275D3">
        <w:rPr>
          <w:rFonts w:ascii="Arial" w:hAnsi="Arial" w:cs="Arial"/>
        </w:rPr>
        <w:t>i : individuo</w:t>
      </w:r>
    </w:p>
    <w:p w14:paraId="25E24859" w14:textId="77777777" w:rsidR="000316AC" w:rsidRPr="003275D3" w:rsidRDefault="000316AC" w:rsidP="00DD0DF8">
      <w:pPr>
        <w:spacing w:after="0"/>
        <w:ind w:left="708"/>
        <w:rPr>
          <w:rFonts w:ascii="Arial" w:hAnsi="Arial" w:cs="Arial"/>
        </w:rPr>
      </w:pPr>
      <w:r w:rsidRPr="003275D3">
        <w:rPr>
          <w:rFonts w:ascii="Arial" w:hAnsi="Arial" w:cs="Arial"/>
        </w:rPr>
        <w:t>Xi: características del individuo</w:t>
      </w:r>
    </w:p>
    <w:p w14:paraId="74FE4E34" w14:textId="77777777" w:rsidR="000316AC" w:rsidRPr="003275D3" w:rsidRDefault="000316AC" w:rsidP="00DD0DF8">
      <w:pPr>
        <w:spacing w:after="0"/>
        <w:ind w:left="708"/>
        <w:rPr>
          <w:rFonts w:ascii="Arial" w:hAnsi="Arial" w:cs="Arial"/>
        </w:rPr>
      </w:pPr>
      <w:r w:rsidRPr="003275D3">
        <w:rPr>
          <w:rFonts w:ascii="Arial" w:hAnsi="Arial" w:cs="Arial"/>
        </w:rPr>
        <w:t>Yi: ingreso del individuo</w:t>
      </w:r>
    </w:p>
    <w:p w14:paraId="5B0B12DB" w14:textId="77777777" w:rsidR="000316AC" w:rsidRPr="003275D3" w:rsidRDefault="000316AC" w:rsidP="00DD0DF8">
      <w:pPr>
        <w:spacing w:after="0"/>
        <w:ind w:left="708"/>
        <w:rPr>
          <w:rFonts w:ascii="Arial" w:hAnsi="Arial" w:cs="Arial"/>
        </w:rPr>
      </w:pPr>
      <w:r w:rsidRPr="003275D3">
        <w:rPr>
          <w:rFonts w:ascii="Arial" w:hAnsi="Arial" w:cs="Arial"/>
        </w:rPr>
        <w:t>j : situación con respecto a la compra del bien, donde j toma dos posibles valores: 1 compra; 2 no compra</w:t>
      </w:r>
    </w:p>
    <w:p w14:paraId="52DF4009" w14:textId="77777777" w:rsidR="000316AC" w:rsidRPr="003275D3" w:rsidRDefault="000316AC" w:rsidP="00DD0DF8">
      <w:pPr>
        <w:spacing w:after="0"/>
        <w:ind w:left="708"/>
        <w:rPr>
          <w:rFonts w:ascii="Arial" w:hAnsi="Arial" w:cs="Arial"/>
        </w:rPr>
      </w:pPr>
      <w:r w:rsidRPr="003275D3">
        <w:rPr>
          <w:rFonts w:ascii="Arial" w:hAnsi="Arial" w:cs="Arial"/>
        </w:rPr>
        <w:t>Pij : disposición a pagar de individuo i</w:t>
      </w:r>
    </w:p>
    <w:p w14:paraId="59A8895C" w14:textId="77777777" w:rsidR="000316AC" w:rsidRPr="003275D3" w:rsidRDefault="000316AC" w:rsidP="00DD0DF8">
      <w:pPr>
        <w:spacing w:after="0"/>
        <w:ind w:left="708"/>
        <w:rPr>
          <w:rFonts w:ascii="Arial" w:hAnsi="Arial" w:cs="Arial"/>
        </w:rPr>
      </w:pPr>
      <w:r w:rsidRPr="003275D3">
        <w:rPr>
          <w:rFonts w:ascii="Arial" w:hAnsi="Arial" w:cs="Arial"/>
        </w:rPr>
        <w:t>Pi2: 0</w:t>
      </w:r>
    </w:p>
    <w:p w14:paraId="31AA846F" w14:textId="77777777" w:rsidR="000316AC" w:rsidRPr="003275D3" w:rsidRDefault="000316AC" w:rsidP="00DD0DF8">
      <w:pPr>
        <w:spacing w:after="0"/>
        <w:ind w:left="708"/>
        <w:rPr>
          <w:rFonts w:ascii="Arial" w:hAnsi="Arial" w:cs="Arial"/>
        </w:rPr>
      </w:pPr>
      <w:r w:rsidRPr="003275D3">
        <w:rPr>
          <w:rFonts w:ascii="Arial" w:hAnsi="Arial" w:cs="Arial"/>
        </w:rPr>
        <w:t>δ: variables desconocidas (no observables)</w:t>
      </w:r>
    </w:p>
    <w:p w14:paraId="75A77362" w14:textId="77777777" w:rsidR="000316AC" w:rsidRPr="003275D3" w:rsidRDefault="000316AC" w:rsidP="00DD0DF8">
      <w:pPr>
        <w:spacing w:after="0"/>
        <w:ind w:left="708"/>
        <w:rPr>
          <w:rFonts w:ascii="Arial" w:hAnsi="Arial" w:cs="Arial"/>
        </w:rPr>
      </w:pPr>
      <w:r w:rsidRPr="003275D3">
        <w:rPr>
          <w:rFonts w:ascii="Arial" w:hAnsi="Arial" w:cs="Arial"/>
        </w:rPr>
        <w:t>E: término aleatorio</w:t>
      </w:r>
    </w:p>
    <w:p w14:paraId="3402675F" w14:textId="77777777" w:rsidR="000316AC" w:rsidRPr="003275D3" w:rsidRDefault="000316AC" w:rsidP="00DD0DF8">
      <w:pPr>
        <w:spacing w:after="0"/>
        <w:ind w:left="708"/>
        <w:rPr>
          <w:rFonts w:ascii="Arial" w:hAnsi="Arial" w:cs="Arial"/>
        </w:rPr>
      </w:pPr>
    </w:p>
    <w:p w14:paraId="5B446939" w14:textId="77777777" w:rsidR="000316AC" w:rsidRPr="003275D3" w:rsidRDefault="000316AC" w:rsidP="00DD0DF8">
      <w:pPr>
        <w:rPr>
          <w:rFonts w:ascii="Arial" w:hAnsi="Arial" w:cs="Arial"/>
        </w:rPr>
      </w:pPr>
      <w:r w:rsidRPr="003275D3">
        <w:rPr>
          <w:rFonts w:ascii="Arial" w:hAnsi="Arial" w:cs="Arial"/>
        </w:rPr>
        <w:t>Sea Li = Ui1 - Ui2 = W (xi, yi, pi1, δ) + Qi</w:t>
      </w:r>
    </w:p>
    <w:p w14:paraId="6A859502" w14:textId="77777777" w:rsidR="000316AC" w:rsidRPr="003275D3" w:rsidRDefault="000316AC" w:rsidP="00DD0DF8">
      <w:pPr>
        <w:rPr>
          <w:rFonts w:ascii="Arial" w:hAnsi="Arial" w:cs="Arial"/>
        </w:rPr>
      </w:pPr>
      <w:r w:rsidRPr="003275D3">
        <w:rPr>
          <w:rFonts w:ascii="Arial" w:hAnsi="Arial" w:cs="Arial"/>
        </w:rPr>
        <w:t>Q = Ei1 y Ei2</w:t>
      </w:r>
    </w:p>
    <w:p w14:paraId="21B25DBF" w14:textId="77777777" w:rsidR="000316AC" w:rsidRPr="003275D3" w:rsidRDefault="000316AC" w:rsidP="00DD0DF8">
      <w:pPr>
        <w:rPr>
          <w:rFonts w:ascii="Arial" w:hAnsi="Arial" w:cs="Arial"/>
        </w:rPr>
      </w:pPr>
      <w:r w:rsidRPr="003275D3">
        <w:rPr>
          <w:rFonts w:ascii="Arial" w:hAnsi="Arial" w:cs="Arial"/>
        </w:rPr>
        <w:t>Así, la probabilidad de que un individuo compre es:</w:t>
      </w:r>
    </w:p>
    <w:p w14:paraId="52C33111" w14:textId="77777777" w:rsidR="000316AC" w:rsidRPr="003275D3" w:rsidRDefault="000316AC" w:rsidP="00DD0DF8">
      <w:pPr>
        <w:rPr>
          <w:rFonts w:ascii="Arial" w:hAnsi="Arial" w:cs="Arial"/>
        </w:rPr>
      </w:pPr>
    </w:p>
    <w:p w14:paraId="253E3A5C" w14:textId="77777777" w:rsidR="000316AC" w:rsidRPr="003275D3" w:rsidRDefault="000316AC" w:rsidP="00DD0DF8">
      <w:pPr>
        <w:jc w:val="center"/>
        <w:rPr>
          <w:rFonts w:ascii="Arial" w:hAnsi="Arial" w:cs="Arial"/>
          <w:lang w:val="es-ES_tradnl"/>
        </w:rPr>
      </w:pPr>
      <w:r w:rsidRPr="003275D3">
        <w:rPr>
          <w:rFonts w:ascii="Arial" w:hAnsi="Arial" w:cs="Arial"/>
          <w:lang w:val="es-ES_tradnl"/>
        </w:rPr>
        <w:t>Pr [Li &gt; 0] = Pr [Qi &gt; - W (xi, yi, Pi1,)]</w:t>
      </w:r>
    </w:p>
    <w:p w14:paraId="5F51A573" w14:textId="77777777" w:rsidR="000316AC" w:rsidRPr="003275D3" w:rsidRDefault="000316AC" w:rsidP="00DD0DF8">
      <w:pPr>
        <w:jc w:val="center"/>
        <w:rPr>
          <w:rFonts w:ascii="Arial" w:hAnsi="Arial" w:cs="Arial"/>
          <w:lang w:val="es-ES_tradnl"/>
        </w:rPr>
      </w:pPr>
    </w:p>
    <w:p w14:paraId="5A45184C" w14:textId="77777777" w:rsidR="000316AC" w:rsidRPr="003275D3" w:rsidRDefault="000316AC" w:rsidP="00DD0DF8">
      <w:pPr>
        <w:rPr>
          <w:rFonts w:ascii="Arial" w:hAnsi="Arial" w:cs="Arial"/>
        </w:rPr>
      </w:pPr>
      <w:r w:rsidRPr="003275D3">
        <w:rPr>
          <w:rFonts w:ascii="Arial" w:hAnsi="Arial" w:cs="Arial"/>
        </w:rPr>
        <w:t>Para especificar la función de utilidad existen varias opciones. En el caso de una especificación lineal y omitiendo el subíndice i (individuo), se tiene:</w:t>
      </w:r>
    </w:p>
    <w:p w14:paraId="27C20E8D" w14:textId="77777777" w:rsidR="000316AC" w:rsidRPr="003275D3" w:rsidRDefault="000316AC" w:rsidP="00DD0DF8">
      <w:pPr>
        <w:rPr>
          <w:rFonts w:ascii="Arial" w:hAnsi="Arial" w:cs="Arial"/>
        </w:rPr>
      </w:pPr>
    </w:p>
    <w:p w14:paraId="5AB50320" w14:textId="77777777" w:rsidR="000316AC" w:rsidRPr="003275D3" w:rsidRDefault="000316AC" w:rsidP="00DD0DF8">
      <w:pPr>
        <w:jc w:val="center"/>
        <w:rPr>
          <w:rFonts w:ascii="Arial" w:hAnsi="Arial" w:cs="Arial"/>
        </w:rPr>
      </w:pPr>
      <w:r w:rsidRPr="003275D3">
        <w:rPr>
          <w:rFonts w:ascii="Arial" w:hAnsi="Arial" w:cs="Arial"/>
        </w:rPr>
        <w:t>Uj = α d + β (y - Pj) + E j</w:t>
      </w:r>
    </w:p>
    <w:p w14:paraId="6D45BC89" w14:textId="77777777" w:rsidR="000316AC" w:rsidRPr="003275D3" w:rsidRDefault="000316AC" w:rsidP="00DD0DF8">
      <w:pPr>
        <w:jc w:val="center"/>
        <w:rPr>
          <w:rFonts w:ascii="Arial" w:hAnsi="Arial" w:cs="Arial"/>
        </w:rPr>
      </w:pPr>
    </w:p>
    <w:p w14:paraId="275ED2C6" w14:textId="77777777" w:rsidR="000316AC" w:rsidRPr="003275D3" w:rsidRDefault="000316AC" w:rsidP="00DD0DF8">
      <w:pPr>
        <w:rPr>
          <w:rFonts w:ascii="Arial" w:hAnsi="Arial" w:cs="Arial"/>
        </w:rPr>
      </w:pPr>
      <w:r w:rsidRPr="003275D3">
        <w:rPr>
          <w:rFonts w:ascii="Arial" w:hAnsi="Arial" w:cs="Arial"/>
        </w:rPr>
        <w:t>Siendo: d = 1 compra; d = 0 no compra</w:t>
      </w:r>
    </w:p>
    <w:p w14:paraId="7BC8CB45" w14:textId="77777777" w:rsidR="000316AC" w:rsidRPr="003275D3" w:rsidRDefault="000316AC" w:rsidP="00DD0DF8">
      <w:pPr>
        <w:jc w:val="center"/>
        <w:rPr>
          <w:rFonts w:ascii="Arial" w:hAnsi="Arial" w:cs="Arial"/>
        </w:rPr>
      </w:pPr>
    </w:p>
    <w:p w14:paraId="612B11FF" w14:textId="77777777" w:rsidR="000316AC" w:rsidRPr="003275D3" w:rsidRDefault="000316AC" w:rsidP="00DD0DF8">
      <w:pPr>
        <w:jc w:val="center"/>
        <w:rPr>
          <w:rFonts w:ascii="Arial" w:hAnsi="Arial" w:cs="Arial"/>
        </w:rPr>
      </w:pPr>
      <w:r w:rsidRPr="003275D3">
        <w:rPr>
          <w:rFonts w:ascii="Cambria Math" w:hAnsi="Cambria Math" w:cs="Cambria Math"/>
        </w:rPr>
        <w:t>⇒</w:t>
      </w:r>
      <w:r w:rsidRPr="003275D3">
        <w:rPr>
          <w:rFonts w:ascii="Arial" w:hAnsi="Arial" w:cs="Arial"/>
        </w:rPr>
        <w:t xml:space="preserve"> L = α - β P1 + Q</w:t>
      </w:r>
    </w:p>
    <w:p w14:paraId="4C5E4E42" w14:textId="77777777" w:rsidR="000316AC" w:rsidRPr="003275D3" w:rsidRDefault="000316AC" w:rsidP="00DD0DF8">
      <w:pPr>
        <w:jc w:val="center"/>
        <w:rPr>
          <w:rFonts w:ascii="Arial" w:hAnsi="Arial" w:cs="Arial"/>
        </w:rPr>
      </w:pPr>
    </w:p>
    <w:p w14:paraId="58ED2606" w14:textId="77777777" w:rsidR="000316AC" w:rsidRPr="003275D3" w:rsidRDefault="000316AC" w:rsidP="00DD0DF8">
      <w:pPr>
        <w:rPr>
          <w:rFonts w:ascii="Arial" w:hAnsi="Arial" w:cs="Arial"/>
        </w:rPr>
      </w:pPr>
      <w:r w:rsidRPr="003275D3">
        <w:rPr>
          <w:rFonts w:ascii="Arial" w:hAnsi="Arial" w:cs="Arial"/>
        </w:rPr>
        <w:t>Econométricamente, y asumiendo una distribución logística, se obtienen α y β y se despeja P*</w:t>
      </w:r>
    </w:p>
    <w:p w14:paraId="1CD88B2D" w14:textId="77777777" w:rsidR="000316AC" w:rsidRPr="003275D3" w:rsidRDefault="000316AC" w:rsidP="00DD0DF8">
      <w:pPr>
        <w:rPr>
          <w:rFonts w:ascii="Arial" w:hAnsi="Arial" w:cs="Arial"/>
        </w:rPr>
      </w:pPr>
      <w:r w:rsidRPr="003275D3">
        <w:rPr>
          <w:rFonts w:ascii="Arial" w:hAnsi="Arial" w:cs="Arial"/>
        </w:rPr>
        <w:t>(Se calcula P* para la situación de indiferencia, i.e. L = 0)</w:t>
      </w:r>
    </w:p>
    <w:p w14:paraId="3A5FEC67" w14:textId="77777777" w:rsidR="000316AC" w:rsidRPr="003275D3" w:rsidRDefault="000316AC" w:rsidP="00DD0DF8">
      <w:pPr>
        <w:jc w:val="center"/>
        <w:rPr>
          <w:rFonts w:ascii="Arial" w:hAnsi="Arial" w:cs="Arial"/>
        </w:rPr>
      </w:pPr>
      <w:r w:rsidRPr="003275D3">
        <w:rPr>
          <w:rFonts w:ascii="Arial" w:hAnsi="Arial" w:cs="Arial"/>
        </w:rPr>
        <w:t>P i* = α/ β + Q/ β</w:t>
      </w:r>
    </w:p>
    <w:p w14:paraId="0CFD07F5" w14:textId="77777777" w:rsidR="000316AC" w:rsidRPr="003275D3" w:rsidRDefault="000316AC" w:rsidP="00DD0DF8">
      <w:pPr>
        <w:rPr>
          <w:rFonts w:ascii="Arial" w:hAnsi="Arial" w:cs="Arial"/>
        </w:rPr>
      </w:pPr>
      <w:r w:rsidRPr="003275D3">
        <w:rPr>
          <w:rFonts w:ascii="Arial" w:hAnsi="Arial" w:cs="Arial"/>
        </w:rPr>
        <w:t>Dado que Q sigue una función logística, se cumple que E (Q)=0</w:t>
      </w:r>
    </w:p>
    <w:p w14:paraId="622701FE" w14:textId="77777777" w:rsidR="000316AC" w:rsidRPr="003275D3" w:rsidRDefault="000316AC" w:rsidP="00DD0DF8">
      <w:pPr>
        <w:rPr>
          <w:rFonts w:ascii="Arial" w:hAnsi="Arial" w:cs="Arial"/>
        </w:rPr>
      </w:pPr>
      <w:r w:rsidRPr="003275D3">
        <w:rPr>
          <w:rFonts w:ascii="Arial" w:hAnsi="Arial" w:cs="Arial"/>
        </w:rPr>
        <w:t>Obtenemos entonces,</w:t>
      </w:r>
    </w:p>
    <w:p w14:paraId="0D844BC3" w14:textId="77777777" w:rsidR="000316AC" w:rsidRPr="003275D3" w:rsidRDefault="000316AC" w:rsidP="00DD0DF8">
      <w:pPr>
        <w:jc w:val="center"/>
        <w:rPr>
          <w:rFonts w:ascii="Arial" w:hAnsi="Arial" w:cs="Arial"/>
        </w:rPr>
      </w:pPr>
      <w:r w:rsidRPr="003275D3">
        <w:rPr>
          <w:rFonts w:ascii="Arial" w:hAnsi="Arial" w:cs="Arial"/>
        </w:rPr>
        <w:t>Pi* = α/ β</w:t>
      </w:r>
    </w:p>
    <w:p w14:paraId="275B2D31" w14:textId="77777777" w:rsidR="000316AC" w:rsidRPr="003275D3" w:rsidRDefault="000316AC" w:rsidP="00DD0DF8">
      <w:pPr>
        <w:rPr>
          <w:rFonts w:ascii="Arial" w:hAnsi="Arial" w:cs="Arial"/>
        </w:rPr>
      </w:pPr>
      <w:r w:rsidRPr="003275D3">
        <w:rPr>
          <w:rFonts w:ascii="Arial" w:hAnsi="Arial" w:cs="Arial"/>
        </w:rPr>
        <w:t>Que es la disposición a pagar (beneficio) para un individuo representativo.</w:t>
      </w:r>
    </w:p>
    <w:p w14:paraId="6FE170DD" w14:textId="77777777" w:rsidR="000316AC" w:rsidRPr="003275D3" w:rsidRDefault="000316AC" w:rsidP="00DD0DF8">
      <w:pPr>
        <w:rPr>
          <w:rFonts w:ascii="Arial" w:hAnsi="Arial" w:cs="Arial"/>
        </w:rPr>
      </w:pPr>
      <w:r w:rsidRPr="003275D3">
        <w:rPr>
          <w:rFonts w:ascii="Arial" w:hAnsi="Arial" w:cs="Arial"/>
        </w:rPr>
        <w:t>En términos operativos el método de valuación contingente combina elementos de estadística, econometría y teoría del bienestar social, y, sintéticamente, consiste en:</w:t>
      </w:r>
    </w:p>
    <w:p w14:paraId="36B3B3BD" w14:textId="77777777" w:rsidR="000316AC" w:rsidRPr="003275D3" w:rsidRDefault="000316AC" w:rsidP="00C4100D">
      <w:pPr>
        <w:pStyle w:val="ListParagraph"/>
        <w:numPr>
          <w:ilvl w:val="0"/>
          <w:numId w:val="54"/>
        </w:numPr>
        <w:spacing w:after="200" w:line="276" w:lineRule="auto"/>
        <w:rPr>
          <w:rFonts w:ascii="Arial" w:hAnsi="Arial" w:cs="Arial"/>
        </w:rPr>
      </w:pPr>
      <w:r w:rsidRPr="003275D3">
        <w:rPr>
          <w:rFonts w:ascii="Arial" w:hAnsi="Arial" w:cs="Arial"/>
        </w:rPr>
        <w:t>Encuestar a los hogares potencialmente beneficiarios de las mejoras en el sistema cloacal, para conocer su disposición a pagar por tal cambio. A cada unidad entrevistada se le pregunta si está dispuesta a pagar un precio determinado por la mejora del servicio, de modo que la respuesta sea por sí o por no;</w:t>
      </w:r>
    </w:p>
    <w:p w14:paraId="27033167" w14:textId="77777777" w:rsidR="000316AC" w:rsidRPr="003275D3" w:rsidRDefault="000316AC" w:rsidP="00C4100D">
      <w:pPr>
        <w:pStyle w:val="ListParagraph"/>
        <w:numPr>
          <w:ilvl w:val="0"/>
          <w:numId w:val="54"/>
        </w:numPr>
        <w:spacing w:after="200" w:line="276" w:lineRule="auto"/>
        <w:rPr>
          <w:rFonts w:ascii="Arial" w:hAnsi="Arial" w:cs="Arial"/>
        </w:rPr>
      </w:pPr>
      <w:r w:rsidRPr="003275D3">
        <w:rPr>
          <w:rFonts w:ascii="Arial" w:hAnsi="Arial" w:cs="Arial"/>
        </w:rPr>
        <w:t>Revisar la consistencia de la base de datos generada a partir de la encuesta, la cual contiene una variable independiente discreta (el precio), una variable dependiente de naturaleza dicotómica (sí o no) y un conjunto de variables que expresan las características de la familias y sus viviendas;</w:t>
      </w:r>
    </w:p>
    <w:p w14:paraId="408B0ACB" w14:textId="77777777" w:rsidR="000316AC" w:rsidRPr="003275D3" w:rsidRDefault="000316AC" w:rsidP="00C4100D">
      <w:pPr>
        <w:pStyle w:val="ListParagraph"/>
        <w:numPr>
          <w:ilvl w:val="0"/>
          <w:numId w:val="54"/>
        </w:numPr>
        <w:spacing w:after="200" w:line="276" w:lineRule="auto"/>
        <w:rPr>
          <w:rFonts w:ascii="Arial" w:hAnsi="Arial" w:cs="Arial"/>
        </w:rPr>
      </w:pPr>
      <w:r w:rsidRPr="003275D3">
        <w:rPr>
          <w:rFonts w:ascii="Arial" w:hAnsi="Arial" w:cs="Arial"/>
        </w:rPr>
        <w:t>Obtener, econométricamente, la ecuación de Disposición a Pagar;</w:t>
      </w:r>
    </w:p>
    <w:p w14:paraId="3129E770" w14:textId="77777777" w:rsidR="000316AC" w:rsidRPr="003275D3" w:rsidRDefault="000316AC" w:rsidP="00C4100D">
      <w:pPr>
        <w:pStyle w:val="ListParagraph"/>
        <w:numPr>
          <w:ilvl w:val="0"/>
          <w:numId w:val="54"/>
        </w:numPr>
        <w:spacing w:after="200" w:line="276" w:lineRule="auto"/>
        <w:rPr>
          <w:rFonts w:ascii="Arial" w:hAnsi="Arial" w:cs="Arial"/>
        </w:rPr>
      </w:pPr>
      <w:r w:rsidRPr="003275D3">
        <w:rPr>
          <w:rFonts w:ascii="Arial" w:hAnsi="Arial" w:cs="Arial"/>
        </w:rPr>
        <w:t>Calcular la máxima disposición a pagar (DAP) de los hogares beneficiarios, por el bien público que se les ofrece.</w:t>
      </w:r>
    </w:p>
    <w:p w14:paraId="2FA0776D" w14:textId="77777777" w:rsidR="000316AC" w:rsidRPr="003275D3" w:rsidRDefault="000316AC" w:rsidP="00C4100D">
      <w:pPr>
        <w:pStyle w:val="ListParagraph"/>
        <w:numPr>
          <w:ilvl w:val="0"/>
          <w:numId w:val="54"/>
        </w:numPr>
        <w:spacing w:after="200" w:line="276" w:lineRule="auto"/>
        <w:rPr>
          <w:rFonts w:ascii="Arial" w:hAnsi="Arial" w:cs="Arial"/>
        </w:rPr>
      </w:pPr>
      <w:r w:rsidRPr="003275D3">
        <w:rPr>
          <w:rFonts w:ascii="Arial" w:hAnsi="Arial" w:cs="Arial"/>
        </w:rPr>
        <w:t>Determinar los hogares beneficiarios del proyecto a lo largo del tiempo, es de decir considerando el crecimiento vegetativo de la población y aplicar sobre ellos la máxima disposición a pagar obtenida en d).</w:t>
      </w:r>
    </w:p>
    <w:p w14:paraId="3A124BDE" w14:textId="77777777" w:rsidR="000316AC" w:rsidRDefault="000316AC" w:rsidP="002B0107">
      <w:pPr>
        <w:pStyle w:val="Heading2"/>
        <w:numPr>
          <w:ilvl w:val="1"/>
          <w:numId w:val="74"/>
        </w:numPr>
      </w:pPr>
      <w:bookmarkStart w:id="215" w:name="_Toc479892484"/>
      <w:bookmarkStart w:id="216" w:name="_Toc485200149"/>
      <w:r>
        <w:t>Estimación de beneficios.</w:t>
      </w:r>
      <w:bookmarkEnd w:id="215"/>
      <w:bookmarkEnd w:id="216"/>
    </w:p>
    <w:p w14:paraId="6AF5511F" w14:textId="77777777" w:rsidR="000316AC" w:rsidRPr="00F958A6" w:rsidRDefault="000316AC" w:rsidP="00DD0DF8">
      <w:pPr>
        <w:rPr>
          <w:rFonts w:ascii="Arial" w:hAnsi="Arial" w:cs="Arial"/>
        </w:rPr>
      </w:pPr>
      <w:r w:rsidRPr="00F958A6">
        <w:rPr>
          <w:rFonts w:ascii="Arial" w:hAnsi="Arial" w:cs="Arial"/>
        </w:rPr>
        <w:t>La estimación de los beneficios del proyecto surge de considerar los siguientes aspectos:</w:t>
      </w:r>
    </w:p>
    <w:p w14:paraId="60360B6B" w14:textId="77777777" w:rsidR="000316AC" w:rsidRPr="00F958A6" w:rsidRDefault="000316AC" w:rsidP="00C4100D">
      <w:pPr>
        <w:pStyle w:val="ListParagraph"/>
        <w:numPr>
          <w:ilvl w:val="0"/>
          <w:numId w:val="55"/>
        </w:numPr>
        <w:rPr>
          <w:rFonts w:ascii="Arial" w:hAnsi="Arial" w:cs="Arial"/>
        </w:rPr>
      </w:pPr>
      <w:r w:rsidRPr="00F958A6">
        <w:rPr>
          <w:rFonts w:ascii="Arial" w:hAnsi="Arial" w:cs="Arial"/>
        </w:rPr>
        <w:t>Determinar los hogares beneficiarios del proyecto a lo largo del tiempo, es de decir considerando el crecimiento vegetativo de la población.</w:t>
      </w:r>
    </w:p>
    <w:p w14:paraId="1460FD23" w14:textId="77777777" w:rsidR="000316AC" w:rsidRPr="00F958A6" w:rsidRDefault="000316AC" w:rsidP="00C4100D">
      <w:pPr>
        <w:pStyle w:val="ListParagraph"/>
        <w:numPr>
          <w:ilvl w:val="0"/>
          <w:numId w:val="55"/>
        </w:numPr>
        <w:rPr>
          <w:rFonts w:ascii="Arial" w:hAnsi="Arial" w:cs="Arial"/>
        </w:rPr>
      </w:pPr>
      <w:r w:rsidRPr="00F958A6">
        <w:rPr>
          <w:rFonts w:ascii="Arial" w:hAnsi="Arial" w:cs="Arial"/>
        </w:rPr>
        <w:t>Definir la progresión de la conexión efectiva de los hogares al servicio de desagües cloacales provisto por el proyecto.</w:t>
      </w:r>
    </w:p>
    <w:p w14:paraId="67DBE574" w14:textId="77777777" w:rsidR="000316AC" w:rsidRPr="00F958A6" w:rsidRDefault="000316AC" w:rsidP="00C4100D">
      <w:pPr>
        <w:pStyle w:val="ListParagraph"/>
        <w:numPr>
          <w:ilvl w:val="0"/>
          <w:numId w:val="55"/>
        </w:numPr>
        <w:rPr>
          <w:rFonts w:ascii="Arial" w:hAnsi="Arial" w:cs="Arial"/>
        </w:rPr>
      </w:pPr>
      <w:r w:rsidRPr="00F958A6">
        <w:rPr>
          <w:rFonts w:ascii="Arial" w:hAnsi="Arial" w:cs="Arial"/>
        </w:rPr>
        <w:t>Establecer los valores medios de las variables que intervienen en la función de disposición a pagar para los hogares beneficiarios.</w:t>
      </w:r>
    </w:p>
    <w:p w14:paraId="79FE86C0" w14:textId="77777777" w:rsidR="000316AC" w:rsidRPr="00F958A6" w:rsidRDefault="000316AC" w:rsidP="00C4100D">
      <w:pPr>
        <w:pStyle w:val="ListParagraph"/>
        <w:numPr>
          <w:ilvl w:val="0"/>
          <w:numId w:val="55"/>
        </w:numPr>
        <w:rPr>
          <w:rFonts w:ascii="Arial" w:hAnsi="Arial" w:cs="Arial"/>
        </w:rPr>
      </w:pPr>
      <w:r w:rsidRPr="00F958A6">
        <w:rPr>
          <w:rFonts w:ascii="Arial" w:hAnsi="Arial" w:cs="Arial"/>
        </w:rPr>
        <w:t>Estimar la máxima disposición a pagar (DAP) de los hogares beneficiarios por el servicio cloacal, asumiendo como criterio general, para familias de bajos ingresos que la DAP a utilizar no resulte superior al 5% de su ingreso familiar mensual.</w:t>
      </w:r>
    </w:p>
    <w:p w14:paraId="34847E5E" w14:textId="77777777" w:rsidR="000316AC" w:rsidRPr="00F958A6" w:rsidRDefault="000316AC" w:rsidP="00C4100D">
      <w:pPr>
        <w:pStyle w:val="ListParagraph"/>
        <w:numPr>
          <w:ilvl w:val="0"/>
          <w:numId w:val="55"/>
        </w:numPr>
        <w:rPr>
          <w:rFonts w:ascii="Arial" w:hAnsi="Arial" w:cs="Arial"/>
        </w:rPr>
      </w:pPr>
      <w:r w:rsidRPr="00F958A6">
        <w:rPr>
          <w:rFonts w:ascii="Arial" w:hAnsi="Arial" w:cs="Arial"/>
        </w:rPr>
        <w:t>Estimar la máxima disposición a pagar (DAP) de los hogares beneficiarios por beneficios ambientales vinculados al tratamiento de efluentes en el E°D°.</w:t>
      </w:r>
    </w:p>
    <w:p w14:paraId="59F0B77C" w14:textId="77777777" w:rsidR="000316AC" w:rsidRPr="00F958A6" w:rsidRDefault="000316AC" w:rsidP="00DD0DF8">
      <w:pPr>
        <w:rPr>
          <w:rFonts w:ascii="Arial" w:hAnsi="Arial" w:cs="Arial"/>
        </w:rPr>
      </w:pPr>
      <w:r w:rsidRPr="00F958A6">
        <w:rPr>
          <w:rFonts w:ascii="Arial" w:hAnsi="Arial" w:cs="Arial"/>
        </w:rPr>
        <w:t>A continuación se detalla la estimación de beneficiarios, beneficio medio y flujo de beneficios del proyecto.</w:t>
      </w:r>
    </w:p>
    <w:p w14:paraId="02BBFA00" w14:textId="77777777" w:rsidR="000316AC" w:rsidRDefault="000316AC" w:rsidP="002B0107">
      <w:pPr>
        <w:pStyle w:val="Heading2"/>
        <w:numPr>
          <w:ilvl w:val="2"/>
          <w:numId w:val="74"/>
        </w:numPr>
      </w:pPr>
      <w:bookmarkStart w:id="217" w:name="_Toc479892485"/>
      <w:bookmarkStart w:id="218" w:name="_Toc485200150"/>
      <w:r>
        <w:t>Hogares beneficiarios.</w:t>
      </w:r>
      <w:bookmarkEnd w:id="217"/>
      <w:bookmarkEnd w:id="218"/>
    </w:p>
    <w:p w14:paraId="00727F56" w14:textId="77777777" w:rsidR="000316AC" w:rsidRPr="00F958A6" w:rsidRDefault="000316AC" w:rsidP="008240C0">
      <w:pPr>
        <w:rPr>
          <w:rFonts w:ascii="Arial" w:hAnsi="Arial" w:cs="Arial"/>
        </w:rPr>
      </w:pPr>
      <w:r w:rsidRPr="00F958A6">
        <w:rPr>
          <w:rFonts w:ascii="Arial" w:hAnsi="Arial" w:cs="Arial"/>
        </w:rPr>
        <w:t>Los hogares beneficiarios fueron estimados partiendo de los datos correspondientes al CNPV 2010 en las áreas alcanzadas por las obras de redes secundarias de desagüe cloacal incluidas en el proyecto bajo evaluación.</w:t>
      </w:r>
    </w:p>
    <w:p w14:paraId="438BB599" w14:textId="77777777" w:rsidR="000316AC" w:rsidRPr="00F958A6" w:rsidRDefault="000316AC" w:rsidP="008240C0">
      <w:pPr>
        <w:rPr>
          <w:rFonts w:ascii="Arial" w:hAnsi="Arial" w:cs="Arial"/>
        </w:rPr>
      </w:pPr>
      <w:r w:rsidRPr="00F958A6">
        <w:rPr>
          <w:rFonts w:ascii="Arial" w:hAnsi="Arial" w:cs="Arial"/>
        </w:rPr>
        <w:t>Asimismo la proyección de las poblaciones corresponden a las realizadas por el INDEC sobre la base de información censal y estadísticas vitales en el documento “Estimaciones de población por sexo, departamento y año calendario 2010-2025 – Serie demográfica N°38”.</w:t>
      </w:r>
    </w:p>
    <w:p w14:paraId="61C297A0" w14:textId="77777777" w:rsidR="000316AC" w:rsidRPr="00F958A6" w:rsidRDefault="000316AC" w:rsidP="008240C0">
      <w:pPr>
        <w:rPr>
          <w:rFonts w:ascii="Arial" w:hAnsi="Arial" w:cs="Arial"/>
        </w:rPr>
      </w:pPr>
      <w:r w:rsidRPr="00F958A6">
        <w:rPr>
          <w:rFonts w:ascii="Arial" w:hAnsi="Arial" w:cs="Arial"/>
        </w:rPr>
        <w:t>La progresión de las conexiones efectivas ha considerado que luego de la finalización de las obras se conecta inmediatamente un 70% de los hogares, un 80% lo hace al año siguiente y el 95% de conexionado se alcanza luego del tercer año.</w:t>
      </w:r>
    </w:p>
    <w:p w14:paraId="013FB530" w14:textId="6288F1F8" w:rsidR="000316AC" w:rsidRDefault="000316AC" w:rsidP="008240C0">
      <w:r w:rsidRPr="00F958A6">
        <w:rPr>
          <w:rFonts w:ascii="Arial" w:hAnsi="Arial" w:cs="Arial"/>
        </w:rPr>
        <w:t xml:space="preserve">La Tabla </w:t>
      </w:r>
      <w:r w:rsidR="00FC6DA8">
        <w:rPr>
          <w:rFonts w:ascii="Arial" w:hAnsi="Arial" w:cs="Arial"/>
        </w:rPr>
        <w:t>IV-1</w:t>
      </w:r>
      <w:r w:rsidRPr="00F958A6">
        <w:rPr>
          <w:rFonts w:ascii="Arial" w:hAnsi="Arial" w:cs="Arial"/>
        </w:rPr>
        <w:t xml:space="preserve">y la </w:t>
      </w:r>
      <w:r w:rsidR="00F958A6">
        <w:rPr>
          <w:rFonts w:ascii="Arial" w:hAnsi="Arial" w:cs="Arial"/>
        </w:rPr>
        <w:t>Figura</w:t>
      </w:r>
      <w:r w:rsidRPr="00F958A6">
        <w:rPr>
          <w:rFonts w:ascii="Arial" w:hAnsi="Arial" w:cs="Arial"/>
        </w:rPr>
        <w:t xml:space="preserve"> </w:t>
      </w:r>
      <w:r w:rsidR="00FC6DA8">
        <w:rPr>
          <w:rFonts w:ascii="Arial" w:hAnsi="Arial" w:cs="Arial"/>
        </w:rPr>
        <w:t xml:space="preserve">IV-1 </w:t>
      </w:r>
      <w:r w:rsidR="00F958A6">
        <w:rPr>
          <w:rFonts w:ascii="Arial" w:hAnsi="Arial" w:cs="Arial"/>
        </w:rPr>
        <w:t>a seguir</w:t>
      </w:r>
      <w:r w:rsidRPr="00F958A6">
        <w:rPr>
          <w:rFonts w:ascii="Arial" w:hAnsi="Arial" w:cs="Arial"/>
        </w:rPr>
        <w:t xml:space="preserve"> presentan la proyección de población y hogares beneficiarios</w:t>
      </w:r>
      <w:r>
        <w:t>.</w:t>
      </w:r>
    </w:p>
    <w:p w14:paraId="0416A0AC" w14:textId="6EDDBADE" w:rsidR="000316AC" w:rsidRDefault="000316AC" w:rsidP="00195362">
      <w:pPr>
        <w:pStyle w:val="Caption"/>
      </w:pPr>
      <w:bookmarkStart w:id="219" w:name="_Ref479849023"/>
      <w:r>
        <w:t xml:space="preserve">Tabla </w:t>
      </w:r>
      <w:r w:rsidR="00FC6DA8">
        <w:t xml:space="preserve">IV-1: </w:t>
      </w:r>
      <w:r w:rsidRPr="00FC6DA8">
        <w:rPr>
          <w:color w:val="FFFFFF" w:themeColor="background1"/>
        </w:rPr>
        <w:fldChar w:fldCharType="begin"/>
      </w:r>
      <w:r w:rsidRPr="00FC6DA8">
        <w:rPr>
          <w:color w:val="FFFFFF" w:themeColor="background1"/>
        </w:rPr>
        <w:instrText xml:space="preserve"> SEQ Tabla \* ARABIC </w:instrText>
      </w:r>
      <w:r w:rsidRPr="00FC6DA8">
        <w:rPr>
          <w:color w:val="FFFFFF" w:themeColor="background1"/>
        </w:rPr>
        <w:fldChar w:fldCharType="separate"/>
      </w:r>
      <w:r w:rsidRPr="00FC6DA8">
        <w:rPr>
          <w:noProof/>
          <w:color w:val="FFFFFF" w:themeColor="background1"/>
        </w:rPr>
        <w:t>19</w:t>
      </w:r>
      <w:r w:rsidRPr="00FC6DA8">
        <w:rPr>
          <w:noProof/>
          <w:color w:val="FFFFFF" w:themeColor="background1"/>
        </w:rPr>
        <w:fldChar w:fldCharType="end"/>
      </w:r>
      <w:bookmarkEnd w:id="219"/>
      <w:r>
        <w:t xml:space="preserve"> </w:t>
      </w:r>
      <w:r w:rsidRPr="00EA1927">
        <w:t>Proyección de beneficiarios del proyecto</w:t>
      </w:r>
      <w:r>
        <w:rPr>
          <w:rStyle w:val="FootnoteReference"/>
        </w:rPr>
        <w:footnoteReference w:id="18"/>
      </w:r>
      <w:r w:rsidRPr="00EA1927">
        <w:t>.</w:t>
      </w:r>
    </w:p>
    <w:p w14:paraId="731E9CBB" w14:textId="77777777" w:rsidR="000316AC" w:rsidRDefault="000316AC" w:rsidP="008240C0">
      <w:r w:rsidRPr="008460AB">
        <w:rPr>
          <w:noProof/>
          <w:lang w:eastAsia="es-AR"/>
        </w:rPr>
        <w:drawing>
          <wp:inline distT="0" distB="0" distL="0" distR="0" wp14:anchorId="59950925" wp14:editId="458CAAE1">
            <wp:extent cx="5046345" cy="4468483"/>
            <wp:effectExtent l="0" t="0" r="1905" b="8890"/>
            <wp:docPr id="291"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49955" cy="4471679"/>
                    </a:xfrm>
                    <a:prstGeom prst="rect">
                      <a:avLst/>
                    </a:prstGeom>
                    <a:noFill/>
                    <a:ln>
                      <a:noFill/>
                    </a:ln>
                  </pic:spPr>
                </pic:pic>
              </a:graphicData>
            </a:graphic>
          </wp:inline>
        </w:drawing>
      </w:r>
      <w:r w:rsidRPr="008460AB">
        <w:t xml:space="preserve"> </w:t>
      </w:r>
    </w:p>
    <w:p w14:paraId="786FAABF" w14:textId="395C2B9A" w:rsidR="000316AC" w:rsidRDefault="00FC6DA8" w:rsidP="00195362">
      <w:pPr>
        <w:pStyle w:val="Caption"/>
      </w:pPr>
      <w:r>
        <w:t>Figura IV-1:</w:t>
      </w:r>
      <w:r w:rsidR="005C1A74">
        <w:fldChar w:fldCharType="begin"/>
      </w:r>
      <w:r w:rsidR="005C1A74">
        <w:instrText xml:space="preserve"> SEQ Ilustración \* ARABIC </w:instrText>
      </w:r>
      <w:r w:rsidR="005C1A74">
        <w:fldChar w:fldCharType="separate"/>
      </w:r>
      <w:r w:rsidR="000316AC" w:rsidRPr="00FC6DA8">
        <w:rPr>
          <w:noProof/>
          <w:color w:val="FFFFFF" w:themeColor="background1"/>
        </w:rPr>
        <w:t>10</w:t>
      </w:r>
      <w:r w:rsidR="005C1A74">
        <w:rPr>
          <w:noProof/>
          <w:color w:val="FFFFFF" w:themeColor="background1"/>
        </w:rPr>
        <w:fldChar w:fldCharType="end"/>
      </w:r>
      <w:r w:rsidR="000316AC" w:rsidRPr="000F4B42">
        <w:t>Proyección de beneficiarios del proyecto.</w:t>
      </w:r>
    </w:p>
    <w:p w14:paraId="6EF6693B" w14:textId="77777777" w:rsidR="000316AC" w:rsidRDefault="000316AC" w:rsidP="008240C0">
      <w:r w:rsidRPr="008460AB">
        <w:rPr>
          <w:noProof/>
          <w:lang w:eastAsia="es-AR"/>
        </w:rPr>
        <w:drawing>
          <wp:inline distT="0" distB="0" distL="0" distR="0" wp14:anchorId="40845CCB" wp14:editId="30E8B688">
            <wp:extent cx="5372859" cy="2562045"/>
            <wp:effectExtent l="0" t="0" r="0" b="0"/>
            <wp:docPr id="292"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414391" cy="2581850"/>
                    </a:xfrm>
                    <a:prstGeom prst="rect">
                      <a:avLst/>
                    </a:prstGeom>
                    <a:noFill/>
                    <a:ln>
                      <a:noFill/>
                    </a:ln>
                  </pic:spPr>
                </pic:pic>
              </a:graphicData>
            </a:graphic>
          </wp:inline>
        </w:drawing>
      </w:r>
      <w:r w:rsidRPr="008460AB">
        <w:t xml:space="preserve"> </w:t>
      </w:r>
    </w:p>
    <w:p w14:paraId="7E2FE268" w14:textId="77777777" w:rsidR="000316AC" w:rsidRDefault="000316AC" w:rsidP="002B0107">
      <w:pPr>
        <w:pStyle w:val="Heading2"/>
        <w:numPr>
          <w:ilvl w:val="2"/>
          <w:numId w:val="74"/>
        </w:numPr>
      </w:pPr>
      <w:bookmarkStart w:id="220" w:name="_Toc479892486"/>
      <w:bookmarkStart w:id="221" w:name="_Toc485200151"/>
      <w:r>
        <w:t>Beneficio medio servicio cloacal.</w:t>
      </w:r>
      <w:bookmarkEnd w:id="220"/>
      <w:bookmarkEnd w:id="221"/>
    </w:p>
    <w:p w14:paraId="0E0DB83B" w14:textId="4D149372" w:rsidR="000316AC" w:rsidRPr="008C15B3" w:rsidRDefault="000316AC" w:rsidP="001F6316">
      <w:pPr>
        <w:rPr>
          <w:rFonts w:ascii="Arial" w:hAnsi="Arial" w:cs="Arial"/>
        </w:rPr>
      </w:pPr>
      <w:r w:rsidRPr="008C15B3">
        <w:rPr>
          <w:rFonts w:ascii="Arial" w:hAnsi="Arial" w:cs="Arial"/>
        </w:rPr>
        <w:t xml:space="preserve">La función de disposición a pagar actualizada a febrero de 2017 según el procedimiento detallado </w:t>
      </w:r>
      <w:r w:rsidR="0059118E" w:rsidRPr="008C15B3">
        <w:rPr>
          <w:rFonts w:ascii="Arial" w:hAnsi="Arial" w:cs="Arial"/>
        </w:rPr>
        <w:t>en el</w:t>
      </w:r>
      <w:r w:rsidR="008C15B3" w:rsidRPr="008C15B3">
        <w:rPr>
          <w:rFonts w:ascii="Arial" w:hAnsi="Arial" w:cs="Arial"/>
        </w:rPr>
        <w:t xml:space="preserve"> </w:t>
      </w:r>
      <w:r w:rsidRPr="0059118E">
        <w:rPr>
          <w:rFonts w:ascii="Arial" w:hAnsi="Arial" w:cs="Arial"/>
        </w:rPr>
        <w:t>anexo 2</w:t>
      </w:r>
      <w:r w:rsidRPr="008C15B3">
        <w:rPr>
          <w:rFonts w:ascii="Arial" w:hAnsi="Arial" w:cs="Arial"/>
        </w:rPr>
        <w:t xml:space="preserve"> presenta los coeficientes de la siguiente tabla:</w:t>
      </w:r>
    </w:p>
    <w:p w14:paraId="3F615A11" w14:textId="24B12FAA" w:rsidR="000316AC" w:rsidRDefault="000316AC" w:rsidP="00BA784D">
      <w:pPr>
        <w:pStyle w:val="Caption"/>
      </w:pPr>
      <w:r>
        <w:t xml:space="preserve">Tabla </w:t>
      </w:r>
      <w:r w:rsidR="008C15B3">
        <w:t>IV-</w:t>
      </w:r>
      <w:r w:rsidR="005C1A74">
        <w:fldChar w:fldCharType="begin"/>
      </w:r>
      <w:r w:rsidR="005C1A74">
        <w:instrText xml:space="preserve"> SEQ Tabla \* ARABIC </w:instrText>
      </w:r>
      <w:r w:rsidR="005C1A74">
        <w:fldChar w:fldCharType="separate"/>
      </w:r>
      <w:r>
        <w:rPr>
          <w:noProof/>
        </w:rPr>
        <w:t>2</w:t>
      </w:r>
      <w:r w:rsidR="005C1A74">
        <w:rPr>
          <w:noProof/>
        </w:rPr>
        <w:fldChar w:fldCharType="end"/>
      </w:r>
      <w:r>
        <w:t xml:space="preserve">: </w:t>
      </w:r>
      <w:r w:rsidRPr="00887AE8">
        <w:t>Modelo DAP actualizado a febrero de 2017.</w:t>
      </w:r>
    </w:p>
    <w:p w14:paraId="14C92594" w14:textId="77777777" w:rsidR="000316AC" w:rsidRDefault="000316AC" w:rsidP="001F6316">
      <w:r w:rsidRPr="00BA784D">
        <w:rPr>
          <w:noProof/>
          <w:lang w:eastAsia="es-AR"/>
        </w:rPr>
        <w:drawing>
          <wp:inline distT="0" distB="0" distL="0" distR="0" wp14:anchorId="6AAF50A0" wp14:editId="62B5066E">
            <wp:extent cx="5400675" cy="1245015"/>
            <wp:effectExtent l="0" t="0" r="0" b="0"/>
            <wp:docPr id="293"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00675" cy="1245015"/>
                    </a:xfrm>
                    <a:prstGeom prst="rect">
                      <a:avLst/>
                    </a:prstGeom>
                    <a:noFill/>
                    <a:ln>
                      <a:noFill/>
                    </a:ln>
                  </pic:spPr>
                </pic:pic>
              </a:graphicData>
            </a:graphic>
          </wp:inline>
        </w:drawing>
      </w:r>
    </w:p>
    <w:p w14:paraId="03B36BB9" w14:textId="77777777" w:rsidR="000316AC" w:rsidRPr="008C15B3" w:rsidRDefault="000316AC" w:rsidP="001F6316">
      <w:pPr>
        <w:rPr>
          <w:rFonts w:ascii="Arial" w:hAnsi="Arial" w:cs="Arial"/>
        </w:rPr>
      </w:pPr>
      <w:r w:rsidRPr="008C15B3">
        <w:rPr>
          <w:rFonts w:ascii="Arial" w:hAnsi="Arial" w:cs="Arial"/>
        </w:rPr>
        <w:t>A partir de estos coeficientes, actualizando los valores de ingreso medio relevado en la encuesta socioeconómica y de acuerdo con la metodología presentada arriba, es posible estimar para los hogares que se sitúan por encima de la línea de pobreza la máxima disposición a pagar según se presenta en la siguiente tabla:</w:t>
      </w:r>
    </w:p>
    <w:p w14:paraId="15383A3A" w14:textId="29BFF517" w:rsidR="000316AC" w:rsidRDefault="000316AC" w:rsidP="00BA784D">
      <w:pPr>
        <w:pStyle w:val="Caption"/>
      </w:pPr>
      <w:r>
        <w:t xml:space="preserve">Tabla </w:t>
      </w:r>
      <w:r w:rsidR="008C15B3">
        <w:t>IV-3:</w:t>
      </w:r>
      <w:r w:rsidRPr="008C15B3">
        <w:rPr>
          <w:color w:val="FFFFFF" w:themeColor="background1"/>
        </w:rPr>
        <w:fldChar w:fldCharType="begin"/>
      </w:r>
      <w:r w:rsidRPr="008C15B3">
        <w:rPr>
          <w:color w:val="FFFFFF" w:themeColor="background1"/>
        </w:rPr>
        <w:instrText xml:space="preserve"> SEQ Tabla \* ARABIC </w:instrText>
      </w:r>
      <w:r w:rsidRPr="008C15B3">
        <w:rPr>
          <w:color w:val="FFFFFF" w:themeColor="background1"/>
        </w:rPr>
        <w:fldChar w:fldCharType="separate"/>
      </w:r>
      <w:r w:rsidRPr="008C15B3">
        <w:rPr>
          <w:noProof/>
          <w:color w:val="FFFFFF" w:themeColor="background1"/>
        </w:rPr>
        <w:t>21</w:t>
      </w:r>
      <w:r w:rsidRPr="008C15B3">
        <w:rPr>
          <w:noProof/>
          <w:color w:val="FFFFFF" w:themeColor="background1"/>
        </w:rPr>
        <w:fldChar w:fldCharType="end"/>
      </w:r>
      <w:r w:rsidRPr="00B24F85">
        <w:t xml:space="preserve">Estimación de beneficios hogares no pobres - $ de </w:t>
      </w:r>
      <w:r>
        <w:t>febrero de 2017.</w:t>
      </w:r>
    </w:p>
    <w:p w14:paraId="291E8861" w14:textId="77777777" w:rsidR="000316AC" w:rsidRDefault="000316AC" w:rsidP="001F6316">
      <w:r w:rsidRPr="00BA784D">
        <w:rPr>
          <w:noProof/>
          <w:lang w:eastAsia="es-AR"/>
        </w:rPr>
        <w:drawing>
          <wp:inline distT="0" distB="0" distL="0" distR="0" wp14:anchorId="55C490E9" wp14:editId="70F82A83">
            <wp:extent cx="3641725" cy="2313940"/>
            <wp:effectExtent l="0" t="0" r="0" b="0"/>
            <wp:docPr id="294"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41725" cy="2313940"/>
                    </a:xfrm>
                    <a:prstGeom prst="rect">
                      <a:avLst/>
                    </a:prstGeom>
                    <a:noFill/>
                    <a:ln>
                      <a:noFill/>
                    </a:ln>
                  </pic:spPr>
                </pic:pic>
              </a:graphicData>
            </a:graphic>
          </wp:inline>
        </w:drawing>
      </w:r>
    </w:p>
    <w:p w14:paraId="1362CBC1" w14:textId="77777777" w:rsidR="000316AC" w:rsidRPr="008C15B3" w:rsidRDefault="000316AC" w:rsidP="00BA784D">
      <w:pPr>
        <w:rPr>
          <w:rFonts w:ascii="Arial" w:hAnsi="Arial" w:cs="Arial"/>
        </w:rPr>
      </w:pPr>
      <w:r w:rsidRPr="008C15B3">
        <w:rPr>
          <w:rFonts w:ascii="Arial" w:hAnsi="Arial" w:cs="Arial"/>
        </w:rPr>
        <w:t>Asimismo se ha considerado un 24% de hogares por debajo de la línea de pobreza</w:t>
      </w:r>
      <w:r w:rsidRPr="008C15B3">
        <w:rPr>
          <w:rStyle w:val="FootnoteReference"/>
          <w:rFonts w:ascii="Arial" w:hAnsi="Arial" w:cs="Arial"/>
        </w:rPr>
        <w:footnoteReference w:id="19"/>
      </w:r>
      <w:r w:rsidRPr="008C15B3">
        <w:rPr>
          <w:rFonts w:ascii="Arial" w:hAnsi="Arial" w:cs="Arial"/>
        </w:rPr>
        <w:t xml:space="preserve"> y se ha establecido un ingreso medio para tales hogares de $9.206 / mes</w:t>
      </w:r>
      <w:r w:rsidRPr="008C15B3">
        <w:rPr>
          <w:rStyle w:val="FootnoteReference"/>
          <w:rFonts w:ascii="Arial" w:hAnsi="Arial" w:cs="Arial"/>
        </w:rPr>
        <w:footnoteReference w:id="20"/>
      </w:r>
      <w:r w:rsidRPr="008C15B3">
        <w:rPr>
          <w:rFonts w:ascii="Arial" w:hAnsi="Arial" w:cs="Arial"/>
        </w:rPr>
        <w:t>, lo que implica una DAP máxima de $460,3/mes por hogar en el caso de los hogares pobres.</w:t>
      </w:r>
    </w:p>
    <w:p w14:paraId="502F6EC6" w14:textId="77777777" w:rsidR="000316AC" w:rsidRPr="008C15B3" w:rsidRDefault="000316AC" w:rsidP="00BA784D">
      <w:pPr>
        <w:rPr>
          <w:rFonts w:ascii="Arial" w:hAnsi="Arial" w:cs="Arial"/>
          <w:b/>
        </w:rPr>
      </w:pPr>
      <w:r w:rsidRPr="008C15B3">
        <w:rPr>
          <w:rFonts w:ascii="Arial" w:hAnsi="Arial" w:cs="Arial"/>
          <w:b/>
        </w:rPr>
        <w:t>De este modo, la disposición a pagar máxima media aplicable a los hogares beneficiarios del proyecto se estableció en $761,9 por mes, equivalentes a USD 48,41 por mes y por hogar a un tipo de cambio de $15,74 por USD.</w:t>
      </w:r>
    </w:p>
    <w:p w14:paraId="46B97C98" w14:textId="77777777" w:rsidR="000316AC" w:rsidRDefault="000316AC" w:rsidP="00BA784D">
      <w:pPr>
        <w:rPr>
          <w:b/>
        </w:rPr>
      </w:pPr>
    </w:p>
    <w:p w14:paraId="54EDA4D1" w14:textId="77777777" w:rsidR="000316AC" w:rsidRDefault="000316AC" w:rsidP="002B0107">
      <w:pPr>
        <w:pStyle w:val="Heading2"/>
        <w:numPr>
          <w:ilvl w:val="2"/>
          <w:numId w:val="74"/>
        </w:numPr>
      </w:pPr>
      <w:bookmarkStart w:id="222" w:name="_Toc485200152"/>
      <w:r>
        <w:t>Beneficio medio tratamiento.</w:t>
      </w:r>
      <w:bookmarkEnd w:id="222"/>
    </w:p>
    <w:p w14:paraId="3BD8B859" w14:textId="77777777" w:rsidR="000316AC" w:rsidRPr="008C15B3" w:rsidRDefault="000316AC" w:rsidP="001F6316">
      <w:pPr>
        <w:rPr>
          <w:rFonts w:ascii="Arial" w:hAnsi="Arial" w:cs="Arial"/>
        </w:rPr>
      </w:pPr>
      <w:r w:rsidRPr="008C15B3">
        <w:rPr>
          <w:rFonts w:ascii="Arial" w:hAnsi="Arial" w:cs="Arial"/>
        </w:rPr>
        <w:t>Dado que la encuesta por disposición a pagar aplicada en el estudio fuente utilizado no detallaba los beneficios asociados a la mejora ambiental y que habitualmente, debido a las grandes distancias desde las viviendas de los beneficiarios hasta los cuerpos receptores, tales beneficios no son vinculados directamente con el servicio cloacal se ha incorporado un beneficio de carácter ambiental vinculado a los servicios prestados por el E°D°.</w:t>
      </w:r>
    </w:p>
    <w:p w14:paraId="042500AF" w14:textId="77777777" w:rsidR="000316AC" w:rsidRPr="008C15B3" w:rsidRDefault="000316AC" w:rsidP="001F6316">
      <w:pPr>
        <w:rPr>
          <w:rFonts w:ascii="Arial" w:hAnsi="Arial" w:cs="Arial"/>
        </w:rPr>
      </w:pPr>
      <w:r w:rsidRPr="008C15B3">
        <w:rPr>
          <w:rFonts w:ascii="Arial" w:hAnsi="Arial" w:cs="Arial"/>
        </w:rPr>
        <w:t>Para ello se han tomado los resultados correspondientes a la Disposición a Pagar por la mejora ambiental en el río Matanza – Riachuelo (similar al río Reconquista) del informe “Estudio de la Disponibilidad de Pago Para la Mejora Ambiental de los Ríos Matanza</w:t>
      </w:r>
      <w:r w:rsidRPr="008C15B3">
        <w:rPr>
          <w:rFonts w:ascii="Cambria Math" w:hAnsi="Cambria Math" w:cs="Cambria Math"/>
        </w:rPr>
        <w:t>‐</w:t>
      </w:r>
      <w:r w:rsidRPr="008C15B3">
        <w:rPr>
          <w:rFonts w:ascii="Arial" w:hAnsi="Arial" w:cs="Arial"/>
        </w:rPr>
        <w:t>Riachuelo y Río de la Plata” realizado por Diomira Maria Cicci Pinto Faria durante el año 2008 a solicitud del Banco Mundial.</w:t>
      </w:r>
    </w:p>
    <w:p w14:paraId="1A97DE97" w14:textId="77777777" w:rsidR="000316AC" w:rsidRPr="008C15B3" w:rsidRDefault="000316AC" w:rsidP="001F6316">
      <w:pPr>
        <w:rPr>
          <w:rFonts w:ascii="Arial" w:hAnsi="Arial" w:cs="Arial"/>
        </w:rPr>
      </w:pPr>
      <w:r w:rsidRPr="008C15B3">
        <w:rPr>
          <w:rFonts w:ascii="Arial" w:hAnsi="Arial" w:cs="Arial"/>
        </w:rPr>
        <w:t>Dicho estudio estableció una DAP por mejora ambiental exclusiva en el río Matanza-Riachuelo de $16.65 cado dos meses por hogar a valores de agosto de 2008.</w:t>
      </w:r>
    </w:p>
    <w:p w14:paraId="4F43165B" w14:textId="77777777" w:rsidR="000316AC" w:rsidRPr="008C15B3" w:rsidRDefault="000316AC" w:rsidP="001F6316">
      <w:pPr>
        <w:rPr>
          <w:rFonts w:ascii="Arial" w:hAnsi="Arial" w:cs="Arial"/>
        </w:rPr>
      </w:pPr>
      <w:r w:rsidRPr="008C15B3">
        <w:rPr>
          <w:rFonts w:ascii="Arial" w:hAnsi="Arial" w:cs="Arial"/>
        </w:rPr>
        <w:t xml:space="preserve">Para la actualización de dicho valor se tomó en consideración la variación de ingresos totales de los hogares del aglomerado GBA recogidos por la Encuesta Permanente de Hogares del INDEC entre el tercer trimestre de 2008 y la estimación de ingresos correspondiente a febrero de 2017. </w:t>
      </w:r>
      <w:r w:rsidRPr="008C15B3">
        <w:rPr>
          <w:rFonts w:ascii="Arial" w:hAnsi="Arial" w:cs="Arial"/>
          <w:b/>
        </w:rPr>
        <w:t>Este análisis implicó un factor de actualización de 9,49, lo que permitió definir una DAP por mejora ambiental de $79/mes por hogar, equivalentes a USD 5,02 por mes y por hogar</w:t>
      </w:r>
      <w:r w:rsidRPr="008C15B3">
        <w:rPr>
          <w:rStyle w:val="FootnoteReference"/>
          <w:rFonts w:ascii="Arial" w:hAnsi="Arial" w:cs="Arial"/>
          <w:b/>
        </w:rPr>
        <w:footnoteReference w:id="21"/>
      </w:r>
      <w:r w:rsidRPr="008C15B3">
        <w:rPr>
          <w:rFonts w:ascii="Arial" w:hAnsi="Arial" w:cs="Arial"/>
          <w:b/>
        </w:rPr>
        <w:t>.</w:t>
      </w:r>
      <w:r w:rsidRPr="008C15B3">
        <w:rPr>
          <w:rFonts w:ascii="Arial" w:hAnsi="Arial" w:cs="Arial"/>
        </w:rPr>
        <w:t xml:space="preserve"> </w:t>
      </w:r>
    </w:p>
    <w:p w14:paraId="5BBD702E" w14:textId="77777777" w:rsidR="000316AC" w:rsidRPr="008C15B3" w:rsidRDefault="000316AC" w:rsidP="001F6316">
      <w:pPr>
        <w:rPr>
          <w:rFonts w:ascii="Arial" w:hAnsi="Arial" w:cs="Arial"/>
        </w:rPr>
      </w:pPr>
    </w:p>
    <w:p w14:paraId="0D858DB9" w14:textId="77777777" w:rsidR="000316AC" w:rsidRDefault="000316AC" w:rsidP="002B0107">
      <w:pPr>
        <w:pStyle w:val="Heading2"/>
        <w:numPr>
          <w:ilvl w:val="2"/>
          <w:numId w:val="74"/>
        </w:numPr>
      </w:pPr>
      <w:bookmarkStart w:id="223" w:name="_Toc479892487"/>
      <w:bookmarkStart w:id="224" w:name="_Toc485200153"/>
      <w:r>
        <w:t>Flujo de beneficios del proyecto.</w:t>
      </w:r>
      <w:bookmarkEnd w:id="223"/>
      <w:bookmarkEnd w:id="224"/>
    </w:p>
    <w:p w14:paraId="579AB318" w14:textId="78AB5670" w:rsidR="000316AC" w:rsidRPr="008C15B3" w:rsidRDefault="000316AC" w:rsidP="003B1C14">
      <w:pPr>
        <w:rPr>
          <w:rFonts w:ascii="Arial" w:hAnsi="Arial" w:cs="Arial"/>
        </w:rPr>
      </w:pPr>
      <w:r w:rsidRPr="008C15B3">
        <w:rPr>
          <w:rFonts w:ascii="Arial" w:hAnsi="Arial" w:cs="Arial"/>
        </w:rPr>
        <w:t xml:space="preserve">El flujo de beneficios del proyecto se presenta integrado al flujo de fondos económico del proyecto, considerando la proyección de beneficiarios del punto </w:t>
      </w:r>
      <w:r w:rsidR="008C15B3">
        <w:rPr>
          <w:rFonts w:ascii="Arial" w:hAnsi="Arial" w:cs="Arial"/>
        </w:rPr>
        <w:t>3</w:t>
      </w:r>
      <w:r w:rsidRPr="008C15B3">
        <w:rPr>
          <w:rFonts w:ascii="Arial" w:hAnsi="Arial" w:cs="Arial"/>
        </w:rPr>
        <w:t xml:space="preserve">.2.1 y los beneficios del punto </w:t>
      </w:r>
      <w:r w:rsidR="008C15B3">
        <w:rPr>
          <w:rFonts w:ascii="Arial" w:hAnsi="Arial" w:cs="Arial"/>
        </w:rPr>
        <w:t>3</w:t>
      </w:r>
      <w:r w:rsidRPr="008C15B3">
        <w:rPr>
          <w:rFonts w:ascii="Arial" w:hAnsi="Arial" w:cs="Arial"/>
        </w:rPr>
        <w:t>.2.2 del presente capítulo.</w:t>
      </w:r>
    </w:p>
    <w:p w14:paraId="64D58518" w14:textId="77777777" w:rsidR="000316AC" w:rsidRDefault="000316AC" w:rsidP="002B0107">
      <w:pPr>
        <w:pStyle w:val="Heading2"/>
        <w:numPr>
          <w:ilvl w:val="0"/>
          <w:numId w:val="71"/>
        </w:numPr>
      </w:pPr>
      <w:bookmarkStart w:id="225" w:name="_Toc479892488"/>
      <w:bookmarkStart w:id="226" w:name="_Toc485200154"/>
      <w:r>
        <w:t>Costos económicos del proyecto.</w:t>
      </w:r>
      <w:bookmarkEnd w:id="225"/>
      <w:bookmarkEnd w:id="226"/>
    </w:p>
    <w:p w14:paraId="6E5FE0B4" w14:textId="0E4161F1" w:rsidR="000316AC" w:rsidRPr="008C15B3" w:rsidRDefault="000316AC" w:rsidP="00B61C33">
      <w:pPr>
        <w:rPr>
          <w:rFonts w:ascii="Arial" w:hAnsi="Arial" w:cs="Arial"/>
        </w:rPr>
      </w:pPr>
      <w:r w:rsidRPr="008C15B3">
        <w:rPr>
          <w:rFonts w:ascii="Arial" w:hAnsi="Arial" w:cs="Arial"/>
        </w:rPr>
        <w:t>El financiamiento es el correspondiente a inversiones asociadas a la construcción de las redes secundarias y sus conexiones individuales hasta la línea municipal, según el detalle d</w:t>
      </w:r>
      <w:r w:rsidR="008C15B3">
        <w:rPr>
          <w:rFonts w:ascii="Arial" w:hAnsi="Arial" w:cs="Arial"/>
        </w:rPr>
        <w:t>e la siguiente Figura</w:t>
      </w:r>
      <w:r w:rsidRPr="008C15B3">
        <w:rPr>
          <w:rFonts w:ascii="Arial" w:hAnsi="Arial" w:cs="Arial"/>
        </w:rPr>
        <w:t>.</w:t>
      </w:r>
    </w:p>
    <w:p w14:paraId="6F3C4450" w14:textId="1F108772" w:rsidR="000316AC" w:rsidRDefault="008C15B3" w:rsidP="00B61C33">
      <w:pPr>
        <w:pStyle w:val="Caption"/>
      </w:pPr>
      <w:r>
        <w:t>Figura IV-2:</w:t>
      </w:r>
      <w:r w:rsidR="000316AC" w:rsidRPr="008C15B3">
        <w:rPr>
          <w:color w:val="FFFFFF" w:themeColor="background1"/>
        </w:rPr>
        <w:fldChar w:fldCharType="begin"/>
      </w:r>
      <w:r w:rsidR="000316AC" w:rsidRPr="008C15B3">
        <w:rPr>
          <w:color w:val="FFFFFF" w:themeColor="background1"/>
        </w:rPr>
        <w:instrText xml:space="preserve"> SEQ Ilustración \* ARABIC </w:instrText>
      </w:r>
      <w:r w:rsidR="000316AC" w:rsidRPr="008C15B3">
        <w:rPr>
          <w:color w:val="FFFFFF" w:themeColor="background1"/>
        </w:rPr>
        <w:fldChar w:fldCharType="separate"/>
      </w:r>
      <w:r w:rsidR="000316AC" w:rsidRPr="008C15B3">
        <w:rPr>
          <w:noProof/>
          <w:color w:val="FFFFFF" w:themeColor="background1"/>
        </w:rPr>
        <w:t>11</w:t>
      </w:r>
      <w:r w:rsidR="000316AC" w:rsidRPr="008C15B3">
        <w:rPr>
          <w:noProof/>
          <w:color w:val="FFFFFF" w:themeColor="background1"/>
        </w:rPr>
        <w:fldChar w:fldCharType="end"/>
      </w:r>
      <w:r w:rsidR="000316AC" w:rsidRPr="00227118">
        <w:t>Instalación considerada en el alcance del proyecto.</w:t>
      </w:r>
    </w:p>
    <w:p w14:paraId="761592B1" w14:textId="77777777" w:rsidR="000316AC" w:rsidRDefault="000316AC" w:rsidP="00B61C33">
      <w:pPr>
        <w:pStyle w:val="CuadrosyTablas"/>
      </w:pPr>
      <w:r w:rsidRPr="00AD086B">
        <w:rPr>
          <w:noProof/>
          <w:lang w:eastAsia="es-AR"/>
        </w:rPr>
        <w:drawing>
          <wp:inline distT="0" distB="0" distL="0" distR="0" wp14:anchorId="7B83C4B2" wp14:editId="091DCA18">
            <wp:extent cx="4802505" cy="2099310"/>
            <wp:effectExtent l="19050" t="19050" r="17145" b="15240"/>
            <wp:docPr id="295" name="Imagen 32" descr="infr_cloac_f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nfr_cloac_f0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02505" cy="2099310"/>
                    </a:xfrm>
                    <a:prstGeom prst="rect">
                      <a:avLst/>
                    </a:prstGeom>
                    <a:noFill/>
                    <a:ln w="6350" cmpd="sng">
                      <a:solidFill>
                        <a:srgbClr val="000000"/>
                      </a:solidFill>
                      <a:miter lim="800000"/>
                      <a:headEnd/>
                      <a:tailEnd/>
                    </a:ln>
                    <a:effectLst/>
                  </pic:spPr>
                </pic:pic>
              </a:graphicData>
            </a:graphic>
          </wp:inline>
        </w:drawing>
      </w:r>
    </w:p>
    <w:p w14:paraId="34A98437" w14:textId="77777777" w:rsidR="000316AC" w:rsidRDefault="000316AC" w:rsidP="00B61C33"/>
    <w:p w14:paraId="66420BD1" w14:textId="77777777" w:rsidR="000316AC" w:rsidRPr="008C15B3" w:rsidRDefault="000316AC" w:rsidP="00B61C33">
      <w:pPr>
        <w:rPr>
          <w:rFonts w:ascii="Arial" w:hAnsi="Arial" w:cs="Arial"/>
        </w:rPr>
      </w:pPr>
      <w:r w:rsidRPr="008C15B3">
        <w:rPr>
          <w:rFonts w:ascii="Arial" w:hAnsi="Arial" w:cs="Arial"/>
        </w:rPr>
        <w:t>Adicionalmente a las redes secundarias y las conexiones se incluye también la construcción de las redes secundarias y obras básicas complementarias faltantes según el detalle presentado en el capítulo 3.</w:t>
      </w:r>
    </w:p>
    <w:p w14:paraId="0ECC48F7" w14:textId="77777777" w:rsidR="000316AC" w:rsidRPr="008C15B3" w:rsidRDefault="000316AC" w:rsidP="00B61C33">
      <w:pPr>
        <w:rPr>
          <w:rFonts w:ascii="Arial" w:hAnsi="Arial" w:cs="Arial"/>
        </w:rPr>
      </w:pPr>
      <w:r w:rsidRPr="008C15B3">
        <w:rPr>
          <w:rFonts w:ascii="Arial" w:hAnsi="Arial" w:cs="Arial"/>
        </w:rPr>
        <w:t>Estas inversiones no agotan las erogaciones necesarias para la puesta en funcionamiento del sistema de desagües cloacales, sino que es necesario considerar otros componentes del sistema, especialmente la adecuación de las instalaciones internas en aquellas viviendas que lo requieran a fin de poder conectarse al sistema cloacal.</w:t>
      </w:r>
    </w:p>
    <w:p w14:paraId="4E17DEC2" w14:textId="09BB34B5" w:rsidR="000316AC" w:rsidRPr="008C15B3" w:rsidRDefault="000316AC" w:rsidP="00B61C33">
      <w:pPr>
        <w:rPr>
          <w:rFonts w:ascii="Arial" w:hAnsi="Arial" w:cs="Arial"/>
        </w:rPr>
      </w:pPr>
      <w:r w:rsidRPr="008C15B3">
        <w:rPr>
          <w:rFonts w:ascii="Arial" w:hAnsi="Arial" w:cs="Arial"/>
        </w:rPr>
        <w:t>En este caso, las mismas son incluidas en la presente evaluación más allá de que no formen parte del financiamiento por considerarse imprescindibles para la utilización del sistema de desagües propuesto.</w:t>
      </w:r>
    </w:p>
    <w:p w14:paraId="04C986B5" w14:textId="77777777" w:rsidR="000316AC" w:rsidRPr="008C15B3" w:rsidRDefault="000316AC" w:rsidP="00B61C33">
      <w:pPr>
        <w:rPr>
          <w:rFonts w:ascii="Arial" w:hAnsi="Arial" w:cs="Arial"/>
        </w:rPr>
      </w:pPr>
      <w:r w:rsidRPr="008C15B3">
        <w:rPr>
          <w:rFonts w:ascii="Arial" w:hAnsi="Arial" w:cs="Arial"/>
        </w:rPr>
        <w:t>Respecto a los costos de operación, mantenimiento y rehabilitación básica, se consideran en la evaluación la totalidad de los mismos, es decir los costos de tratamiento, transporte, recolección y mantenimiento del sistema.</w:t>
      </w:r>
    </w:p>
    <w:p w14:paraId="42417325" w14:textId="77777777" w:rsidR="000316AC" w:rsidRPr="008C15B3" w:rsidRDefault="000316AC" w:rsidP="00B61C33">
      <w:pPr>
        <w:rPr>
          <w:rFonts w:ascii="Arial" w:hAnsi="Arial" w:cs="Arial"/>
        </w:rPr>
      </w:pPr>
      <w:r w:rsidRPr="008C15B3">
        <w:rPr>
          <w:rFonts w:ascii="Arial" w:hAnsi="Arial" w:cs="Arial"/>
        </w:rPr>
        <w:t xml:space="preserve">Dado que en la presente evaluación solo interesa el costo económico, los presupuestos calculados a precios de mercado son corregidos eliminándose las principales distorsiones a partir de la aplicación de coeficientes de corrección conocidos como Razones de Precio de Cuenta. En Anexo 1 se presenta una síntesis conceptual de tales coeficientes y su detalle de cálculo. </w:t>
      </w:r>
    </w:p>
    <w:p w14:paraId="63EB1E6B" w14:textId="77777777" w:rsidR="000316AC" w:rsidRPr="008C15B3" w:rsidRDefault="000316AC" w:rsidP="00B61C33">
      <w:pPr>
        <w:rPr>
          <w:rFonts w:ascii="Arial" w:hAnsi="Arial" w:cs="Arial"/>
        </w:rPr>
      </w:pPr>
      <w:r w:rsidRPr="008C15B3">
        <w:rPr>
          <w:rFonts w:ascii="Arial" w:hAnsi="Arial" w:cs="Arial"/>
        </w:rPr>
        <w:t>A continuación se detallan los costos de inversión y operación del sistema de desagües cloacales.</w:t>
      </w:r>
    </w:p>
    <w:p w14:paraId="4DFACFC1" w14:textId="77777777" w:rsidR="000316AC" w:rsidRDefault="000316AC" w:rsidP="00B61C33"/>
    <w:p w14:paraId="2A00F3A2" w14:textId="77777777" w:rsidR="000316AC" w:rsidRDefault="000316AC" w:rsidP="002B0107">
      <w:pPr>
        <w:pStyle w:val="Heading2"/>
        <w:numPr>
          <w:ilvl w:val="1"/>
          <w:numId w:val="75"/>
        </w:numPr>
      </w:pPr>
      <w:bookmarkStart w:id="227" w:name="_Toc479892489"/>
      <w:bookmarkStart w:id="228" w:name="_Toc485200155"/>
      <w:r>
        <w:t>Costos de inversión.</w:t>
      </w:r>
      <w:bookmarkEnd w:id="227"/>
      <w:bookmarkEnd w:id="228"/>
    </w:p>
    <w:p w14:paraId="018F6380" w14:textId="77777777" w:rsidR="000316AC" w:rsidRPr="005567DD" w:rsidRDefault="000316AC" w:rsidP="00AD3C1C">
      <w:pPr>
        <w:rPr>
          <w:rFonts w:ascii="Arial" w:hAnsi="Arial" w:cs="Arial"/>
        </w:rPr>
      </w:pPr>
      <w:r w:rsidRPr="005567DD">
        <w:rPr>
          <w:rFonts w:ascii="Arial" w:hAnsi="Arial" w:cs="Arial"/>
        </w:rPr>
        <w:t>Se presentan a continuación los costos de inversión asociados al sistema de saneamiento en los partidos de Moreno y San Miguel objeto del presente informe.</w:t>
      </w:r>
    </w:p>
    <w:p w14:paraId="74E8CA36" w14:textId="77777777" w:rsidR="000316AC" w:rsidRPr="005567DD" w:rsidRDefault="000316AC" w:rsidP="00AD3C1C">
      <w:pPr>
        <w:rPr>
          <w:rFonts w:ascii="Arial" w:hAnsi="Arial" w:cs="Arial"/>
        </w:rPr>
      </w:pPr>
      <w:r w:rsidRPr="005567DD">
        <w:rPr>
          <w:rFonts w:ascii="Arial" w:hAnsi="Arial" w:cs="Arial"/>
        </w:rPr>
        <w:t xml:space="preserve">Los mismos han sido calculados por las áreas de ingeniería y costeo de la empresa teniendo en cuenta la apertura necesaria para la corrección a precios de cuenta, tratándose de costos directos sin Impuesto al Valor Agregado (IVA). </w:t>
      </w:r>
    </w:p>
    <w:p w14:paraId="21A279F9" w14:textId="08AE2EB0" w:rsidR="000316AC" w:rsidRDefault="000316AC" w:rsidP="008565A3">
      <w:pPr>
        <w:pStyle w:val="Caption"/>
      </w:pPr>
      <w:r>
        <w:t xml:space="preserve">Tabla </w:t>
      </w:r>
      <w:r w:rsidR="005567DD">
        <w:t>IV-4:</w:t>
      </w:r>
      <w:r w:rsidRPr="005567DD">
        <w:rPr>
          <w:color w:val="FFFFFF" w:themeColor="background1"/>
        </w:rPr>
        <w:fldChar w:fldCharType="begin"/>
      </w:r>
      <w:r w:rsidRPr="005567DD">
        <w:rPr>
          <w:color w:val="FFFFFF" w:themeColor="background1"/>
        </w:rPr>
        <w:instrText xml:space="preserve"> SEQ Tabla \* ARABIC </w:instrText>
      </w:r>
      <w:r w:rsidRPr="005567DD">
        <w:rPr>
          <w:color w:val="FFFFFF" w:themeColor="background1"/>
        </w:rPr>
        <w:fldChar w:fldCharType="separate"/>
      </w:r>
      <w:r w:rsidRPr="005567DD">
        <w:rPr>
          <w:noProof/>
          <w:color w:val="FFFFFF" w:themeColor="background1"/>
        </w:rPr>
        <w:t>22</w:t>
      </w:r>
      <w:r w:rsidRPr="005567DD">
        <w:rPr>
          <w:noProof/>
          <w:color w:val="FFFFFF" w:themeColor="background1"/>
        </w:rPr>
        <w:fldChar w:fldCharType="end"/>
      </w:r>
      <w:r w:rsidRPr="0017179C">
        <w:t>Detalle de inversiones a precios de mercado. Miles de USD.</w:t>
      </w:r>
    </w:p>
    <w:p w14:paraId="712E0A50" w14:textId="77777777" w:rsidR="000316AC" w:rsidRDefault="000316AC" w:rsidP="00AD3C1C">
      <w:r w:rsidRPr="00DD65BD">
        <w:rPr>
          <w:noProof/>
          <w:lang w:eastAsia="es-AR"/>
        </w:rPr>
        <w:drawing>
          <wp:inline distT="0" distB="0" distL="0" distR="0" wp14:anchorId="56DE9DB6" wp14:editId="3555224A">
            <wp:extent cx="5400675" cy="2141470"/>
            <wp:effectExtent l="0" t="0" r="0" b="0"/>
            <wp:docPr id="296"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00675" cy="2141470"/>
                    </a:xfrm>
                    <a:prstGeom prst="rect">
                      <a:avLst/>
                    </a:prstGeom>
                    <a:noFill/>
                    <a:ln>
                      <a:noFill/>
                    </a:ln>
                  </pic:spPr>
                </pic:pic>
              </a:graphicData>
            </a:graphic>
          </wp:inline>
        </w:drawing>
      </w:r>
    </w:p>
    <w:p w14:paraId="6E476138" w14:textId="76D7CCB5" w:rsidR="000316AC" w:rsidRPr="005567DD" w:rsidRDefault="000316AC" w:rsidP="005567DD">
      <w:pPr>
        <w:spacing w:after="0" w:line="240" w:lineRule="auto"/>
        <w:rPr>
          <w:sz w:val="18"/>
          <w:szCs w:val="18"/>
        </w:rPr>
      </w:pPr>
      <w:r w:rsidRPr="005567DD">
        <w:rPr>
          <w:sz w:val="18"/>
          <w:szCs w:val="18"/>
        </w:rPr>
        <w:t>Referencias:</w:t>
      </w:r>
      <w:r w:rsidR="005567DD">
        <w:rPr>
          <w:sz w:val="18"/>
          <w:szCs w:val="18"/>
        </w:rPr>
        <w:t xml:space="preserve"> </w:t>
      </w:r>
      <w:r w:rsidRPr="005567DD">
        <w:rPr>
          <w:sz w:val="18"/>
          <w:szCs w:val="18"/>
        </w:rPr>
        <w:t>MONC: Mano de Obra No Calificada</w:t>
      </w:r>
      <w:r w:rsidR="005567DD">
        <w:rPr>
          <w:sz w:val="18"/>
          <w:szCs w:val="18"/>
        </w:rPr>
        <w:t xml:space="preserve"> </w:t>
      </w:r>
      <w:r w:rsidRPr="005567DD">
        <w:rPr>
          <w:sz w:val="18"/>
          <w:szCs w:val="18"/>
        </w:rPr>
        <w:t>MOC: Mano de Obra Calificada</w:t>
      </w:r>
      <w:r w:rsidR="005567DD">
        <w:rPr>
          <w:sz w:val="18"/>
          <w:szCs w:val="18"/>
        </w:rPr>
        <w:t xml:space="preserve"> </w:t>
      </w:r>
      <w:r w:rsidRPr="005567DD">
        <w:rPr>
          <w:sz w:val="18"/>
          <w:szCs w:val="18"/>
        </w:rPr>
        <w:t>MN: Materiales Nacionales</w:t>
      </w:r>
      <w:r w:rsidR="005567DD">
        <w:rPr>
          <w:sz w:val="18"/>
          <w:szCs w:val="18"/>
        </w:rPr>
        <w:t xml:space="preserve"> </w:t>
      </w:r>
      <w:r w:rsidRPr="005567DD">
        <w:rPr>
          <w:sz w:val="18"/>
          <w:szCs w:val="18"/>
        </w:rPr>
        <w:t>MI: Materiales Importados</w:t>
      </w:r>
      <w:r w:rsidR="005567DD">
        <w:rPr>
          <w:sz w:val="18"/>
          <w:szCs w:val="18"/>
        </w:rPr>
        <w:t xml:space="preserve"> </w:t>
      </w:r>
      <w:r w:rsidRPr="005567DD">
        <w:rPr>
          <w:sz w:val="18"/>
          <w:szCs w:val="18"/>
        </w:rPr>
        <w:t>EyR: Equipos y Repuestos</w:t>
      </w:r>
      <w:r w:rsidR="005567DD">
        <w:rPr>
          <w:sz w:val="18"/>
          <w:szCs w:val="18"/>
        </w:rPr>
        <w:t xml:space="preserve"> </w:t>
      </w:r>
      <w:r w:rsidRPr="005567DD">
        <w:rPr>
          <w:sz w:val="18"/>
          <w:szCs w:val="18"/>
        </w:rPr>
        <w:t>CyE: Combustible y Energía</w:t>
      </w:r>
      <w:r w:rsidR="005567DD">
        <w:rPr>
          <w:sz w:val="18"/>
          <w:szCs w:val="18"/>
        </w:rPr>
        <w:t xml:space="preserve"> </w:t>
      </w:r>
      <w:r w:rsidRPr="005567DD">
        <w:rPr>
          <w:sz w:val="18"/>
          <w:szCs w:val="18"/>
        </w:rPr>
        <w:t>Benef.: Beneficios (11,29% según coeficiente de pase a precios AySA)</w:t>
      </w:r>
      <w:r w:rsidR="005567DD">
        <w:rPr>
          <w:sz w:val="18"/>
          <w:szCs w:val="18"/>
        </w:rPr>
        <w:t xml:space="preserve"> </w:t>
      </w:r>
      <w:r w:rsidRPr="005567DD">
        <w:rPr>
          <w:sz w:val="18"/>
          <w:szCs w:val="18"/>
        </w:rPr>
        <w:t>Otros: Impuestos, costos financieros y costos indirectos.</w:t>
      </w:r>
    </w:p>
    <w:p w14:paraId="43698779" w14:textId="77777777" w:rsidR="000316AC" w:rsidRPr="00B35253" w:rsidRDefault="000316AC" w:rsidP="008565A3">
      <w:pPr>
        <w:ind w:left="709"/>
      </w:pPr>
    </w:p>
    <w:p w14:paraId="427EF69D" w14:textId="2A7917E6" w:rsidR="000316AC" w:rsidRDefault="000316AC" w:rsidP="008565A3">
      <w:pPr>
        <w:pStyle w:val="Caption"/>
      </w:pPr>
      <w:r>
        <w:t xml:space="preserve">Tabla </w:t>
      </w:r>
      <w:r w:rsidR="005567DD">
        <w:t>IV-5:</w:t>
      </w:r>
      <w:r w:rsidRPr="005567DD">
        <w:rPr>
          <w:color w:val="FFFFFF" w:themeColor="background1"/>
        </w:rPr>
        <w:fldChar w:fldCharType="begin"/>
      </w:r>
      <w:r w:rsidRPr="005567DD">
        <w:rPr>
          <w:color w:val="FFFFFF" w:themeColor="background1"/>
        </w:rPr>
        <w:instrText xml:space="preserve"> SEQ Tabla \* ARABIC </w:instrText>
      </w:r>
      <w:r w:rsidRPr="005567DD">
        <w:rPr>
          <w:color w:val="FFFFFF" w:themeColor="background1"/>
        </w:rPr>
        <w:fldChar w:fldCharType="separate"/>
      </w:r>
      <w:r w:rsidRPr="005567DD">
        <w:rPr>
          <w:noProof/>
          <w:color w:val="FFFFFF" w:themeColor="background1"/>
        </w:rPr>
        <w:t>23</w:t>
      </w:r>
      <w:r w:rsidRPr="005567DD">
        <w:rPr>
          <w:noProof/>
          <w:color w:val="FFFFFF" w:themeColor="background1"/>
        </w:rPr>
        <w:fldChar w:fldCharType="end"/>
      </w:r>
      <w:r w:rsidRPr="00501C42">
        <w:t>Razones de precio de cuenta aplicadas.</w:t>
      </w:r>
    </w:p>
    <w:p w14:paraId="1BC7ADB8" w14:textId="77777777" w:rsidR="000316AC" w:rsidRDefault="000316AC" w:rsidP="00AD3C1C">
      <w:r w:rsidRPr="0014330F">
        <w:rPr>
          <w:noProof/>
          <w:lang w:eastAsia="es-AR"/>
        </w:rPr>
        <w:drawing>
          <wp:inline distT="0" distB="0" distL="0" distR="0" wp14:anchorId="1E113C30" wp14:editId="163EC5F9">
            <wp:extent cx="2902108" cy="1796995"/>
            <wp:effectExtent l="0" t="0" r="0" b="0"/>
            <wp:docPr id="297"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08274" cy="1800813"/>
                    </a:xfrm>
                    <a:prstGeom prst="rect">
                      <a:avLst/>
                    </a:prstGeom>
                    <a:noFill/>
                    <a:ln>
                      <a:noFill/>
                    </a:ln>
                  </pic:spPr>
                </pic:pic>
              </a:graphicData>
            </a:graphic>
          </wp:inline>
        </w:drawing>
      </w:r>
    </w:p>
    <w:p w14:paraId="566026A9" w14:textId="77777777" w:rsidR="000316AC" w:rsidRPr="005567DD" w:rsidRDefault="000316AC" w:rsidP="00AD3C1C">
      <w:pPr>
        <w:rPr>
          <w:rFonts w:ascii="Arial" w:hAnsi="Arial" w:cs="Arial"/>
        </w:rPr>
      </w:pPr>
      <w:r w:rsidRPr="005567DD">
        <w:rPr>
          <w:rFonts w:ascii="Arial" w:hAnsi="Arial" w:cs="Arial"/>
        </w:rPr>
        <w:t>En el caso del ítem “Otros”, dado que se trata de impuestos, costos indirectos (costos hundidos) y costos financieros vinculados con los pagos no corresponde su inclusión entre los costos económicos del proyecto.</w:t>
      </w:r>
    </w:p>
    <w:p w14:paraId="41B811CA" w14:textId="3AA5B173" w:rsidR="000316AC" w:rsidRDefault="000316AC" w:rsidP="008565A3">
      <w:pPr>
        <w:pStyle w:val="Caption"/>
      </w:pPr>
      <w:r>
        <w:t xml:space="preserve">Tabla </w:t>
      </w:r>
      <w:r w:rsidR="005567DD">
        <w:t>IV-6:</w:t>
      </w:r>
      <w:r w:rsidRPr="005567DD">
        <w:rPr>
          <w:color w:val="FFFFFF" w:themeColor="background1"/>
        </w:rPr>
        <w:fldChar w:fldCharType="begin"/>
      </w:r>
      <w:r w:rsidRPr="005567DD">
        <w:rPr>
          <w:color w:val="FFFFFF" w:themeColor="background1"/>
        </w:rPr>
        <w:instrText xml:space="preserve"> SEQ Tabla \* ARABIC </w:instrText>
      </w:r>
      <w:r w:rsidRPr="005567DD">
        <w:rPr>
          <w:color w:val="FFFFFF" w:themeColor="background1"/>
        </w:rPr>
        <w:fldChar w:fldCharType="separate"/>
      </w:r>
      <w:r w:rsidRPr="005567DD">
        <w:rPr>
          <w:noProof/>
          <w:color w:val="FFFFFF" w:themeColor="background1"/>
        </w:rPr>
        <w:t>24</w:t>
      </w:r>
      <w:r w:rsidRPr="005567DD">
        <w:rPr>
          <w:noProof/>
          <w:color w:val="FFFFFF" w:themeColor="background1"/>
        </w:rPr>
        <w:fldChar w:fldCharType="end"/>
      </w:r>
      <w:r w:rsidRPr="00D27586">
        <w:t>Detalle de inversiones a precios de cuenta. Miles de USD.</w:t>
      </w:r>
    </w:p>
    <w:p w14:paraId="4D8F378B" w14:textId="77777777" w:rsidR="000316AC" w:rsidRDefault="000316AC" w:rsidP="00AD3C1C">
      <w:r w:rsidRPr="00DD65BD">
        <w:rPr>
          <w:noProof/>
          <w:lang w:eastAsia="es-AR"/>
        </w:rPr>
        <w:drawing>
          <wp:inline distT="0" distB="0" distL="0" distR="0" wp14:anchorId="013D8E58" wp14:editId="318A71E1">
            <wp:extent cx="5400675" cy="2128350"/>
            <wp:effectExtent l="0" t="0" r="0" b="571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675" cy="2128350"/>
                    </a:xfrm>
                    <a:prstGeom prst="rect">
                      <a:avLst/>
                    </a:prstGeom>
                    <a:noFill/>
                    <a:ln>
                      <a:noFill/>
                    </a:ln>
                  </pic:spPr>
                </pic:pic>
              </a:graphicData>
            </a:graphic>
          </wp:inline>
        </w:drawing>
      </w:r>
    </w:p>
    <w:p w14:paraId="0A529C14" w14:textId="77777777" w:rsidR="000316AC" w:rsidRPr="005567DD" w:rsidRDefault="000316AC" w:rsidP="00AD3C1C">
      <w:pPr>
        <w:rPr>
          <w:rFonts w:ascii="Arial" w:hAnsi="Arial" w:cs="Arial"/>
        </w:rPr>
      </w:pPr>
      <w:r w:rsidRPr="005567DD">
        <w:rPr>
          <w:rFonts w:ascii="Arial" w:hAnsi="Arial" w:cs="Arial"/>
        </w:rPr>
        <w:t>Asimismo, considerando la programación de obras definida, las erogaciones a incorporar en el flujo de fondos del proyecto en materia de inversiones son las que se presentan en la siguiente tabla.</w:t>
      </w:r>
    </w:p>
    <w:p w14:paraId="1E3A50CF" w14:textId="7EDFDD46" w:rsidR="000316AC" w:rsidRDefault="000316AC" w:rsidP="00962734">
      <w:pPr>
        <w:pStyle w:val="Caption"/>
      </w:pPr>
      <w:r>
        <w:t xml:space="preserve">Tabla </w:t>
      </w:r>
      <w:r w:rsidR="005567DD">
        <w:t>IV-7:</w:t>
      </w:r>
      <w:r w:rsidRPr="005567DD">
        <w:rPr>
          <w:color w:val="FFFFFF" w:themeColor="background1"/>
        </w:rPr>
        <w:fldChar w:fldCharType="begin"/>
      </w:r>
      <w:r w:rsidRPr="005567DD">
        <w:rPr>
          <w:color w:val="FFFFFF" w:themeColor="background1"/>
        </w:rPr>
        <w:instrText xml:space="preserve"> SEQ Tabla \* ARABIC </w:instrText>
      </w:r>
      <w:r w:rsidRPr="005567DD">
        <w:rPr>
          <w:color w:val="FFFFFF" w:themeColor="background1"/>
        </w:rPr>
        <w:fldChar w:fldCharType="separate"/>
      </w:r>
      <w:r w:rsidRPr="005567DD">
        <w:rPr>
          <w:noProof/>
          <w:color w:val="FFFFFF" w:themeColor="background1"/>
        </w:rPr>
        <w:t>25</w:t>
      </w:r>
      <w:r w:rsidRPr="005567DD">
        <w:rPr>
          <w:noProof/>
          <w:color w:val="FFFFFF" w:themeColor="background1"/>
        </w:rPr>
        <w:fldChar w:fldCharType="end"/>
      </w:r>
      <w:r w:rsidRPr="00C450AC">
        <w:t>Cronograma de inversiones a precios de cuenta. Miles USD.</w:t>
      </w:r>
    </w:p>
    <w:p w14:paraId="3E3AC8C0" w14:textId="77777777" w:rsidR="000316AC" w:rsidRDefault="000316AC" w:rsidP="00AD3C1C">
      <w:r w:rsidRPr="00622C2F">
        <w:rPr>
          <w:noProof/>
          <w:lang w:eastAsia="es-AR"/>
        </w:rPr>
        <w:drawing>
          <wp:inline distT="0" distB="0" distL="0" distR="0" wp14:anchorId="273F8927" wp14:editId="4B7D55ED">
            <wp:extent cx="5400675" cy="2606413"/>
            <wp:effectExtent l="0" t="0" r="0" b="3810"/>
            <wp:docPr id="29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675" cy="2606413"/>
                    </a:xfrm>
                    <a:prstGeom prst="rect">
                      <a:avLst/>
                    </a:prstGeom>
                    <a:noFill/>
                    <a:ln>
                      <a:noFill/>
                    </a:ln>
                  </pic:spPr>
                </pic:pic>
              </a:graphicData>
            </a:graphic>
          </wp:inline>
        </w:drawing>
      </w:r>
    </w:p>
    <w:p w14:paraId="70344663" w14:textId="77777777" w:rsidR="000316AC" w:rsidRPr="005567DD" w:rsidRDefault="000316AC" w:rsidP="00962734">
      <w:pPr>
        <w:rPr>
          <w:rFonts w:ascii="Arial" w:hAnsi="Arial" w:cs="Arial"/>
        </w:rPr>
      </w:pPr>
      <w:r w:rsidRPr="005567DD">
        <w:rPr>
          <w:rFonts w:ascii="Arial" w:hAnsi="Arial" w:cs="Arial"/>
        </w:rPr>
        <w:t>Dado que el horizonte de evaluación del proyecto es de 20 años y la vida útil mínima de las redes colectoras puede establecerse en 40 años, en el año 20 se ha considerado el valor residual de las mismas. Adicionalmente, en el caso de los colectores primarios se ha considerado una vida útil de 50 años, computándose el valor residual correspondiente. Para las Estaciones de Bombeo y la ampliación de la planta depuradora se consideró que presentan una vida útil de 40 años.</w:t>
      </w:r>
    </w:p>
    <w:p w14:paraId="207D3F99" w14:textId="77777777" w:rsidR="000316AC" w:rsidRPr="005567DD" w:rsidRDefault="000316AC" w:rsidP="00962734">
      <w:pPr>
        <w:rPr>
          <w:rFonts w:ascii="Arial" w:hAnsi="Arial" w:cs="Arial"/>
        </w:rPr>
      </w:pPr>
      <w:r w:rsidRPr="005567DD">
        <w:rPr>
          <w:rFonts w:ascii="Arial" w:hAnsi="Arial" w:cs="Arial"/>
        </w:rPr>
        <w:t>En el gráfico siguiente se presenta el diagrama de inversiones del proyecto.</w:t>
      </w:r>
    </w:p>
    <w:p w14:paraId="7FFD9F54" w14:textId="12B210E4" w:rsidR="000316AC" w:rsidRDefault="005567DD" w:rsidP="00962734">
      <w:pPr>
        <w:pStyle w:val="Caption"/>
      </w:pPr>
      <w:r>
        <w:t>Figura IV-3:</w:t>
      </w:r>
      <w:r w:rsidR="000316AC" w:rsidRPr="005567DD">
        <w:rPr>
          <w:color w:val="FFFFFF" w:themeColor="background1"/>
        </w:rPr>
        <w:fldChar w:fldCharType="begin"/>
      </w:r>
      <w:r w:rsidR="000316AC" w:rsidRPr="005567DD">
        <w:rPr>
          <w:color w:val="FFFFFF" w:themeColor="background1"/>
        </w:rPr>
        <w:instrText xml:space="preserve"> SEQ Ilustración \* ARABIC </w:instrText>
      </w:r>
      <w:r w:rsidR="000316AC" w:rsidRPr="005567DD">
        <w:rPr>
          <w:color w:val="FFFFFF" w:themeColor="background1"/>
        </w:rPr>
        <w:fldChar w:fldCharType="separate"/>
      </w:r>
      <w:r w:rsidR="000316AC" w:rsidRPr="005567DD">
        <w:rPr>
          <w:noProof/>
          <w:color w:val="FFFFFF" w:themeColor="background1"/>
        </w:rPr>
        <w:t>12</w:t>
      </w:r>
      <w:r w:rsidR="000316AC" w:rsidRPr="005567DD">
        <w:rPr>
          <w:noProof/>
          <w:color w:val="FFFFFF" w:themeColor="background1"/>
        </w:rPr>
        <w:fldChar w:fldCharType="end"/>
      </w:r>
      <w:r w:rsidR="000316AC" w:rsidRPr="006435A5">
        <w:t>Diagrama de erogaciones de inversión.</w:t>
      </w:r>
      <w:r w:rsidR="000316AC">
        <w:t xml:space="preserve"> Cifras monetarias en miles de USD.</w:t>
      </w:r>
    </w:p>
    <w:p w14:paraId="3FD6560C" w14:textId="77777777" w:rsidR="000316AC" w:rsidRDefault="000316AC" w:rsidP="00962734">
      <w:r w:rsidRPr="00622C2F">
        <w:rPr>
          <w:noProof/>
          <w:lang w:eastAsia="es-AR"/>
        </w:rPr>
        <w:drawing>
          <wp:inline distT="0" distB="0" distL="0" distR="0" wp14:anchorId="2256427F" wp14:editId="6241D8C1">
            <wp:extent cx="5400675" cy="2848076"/>
            <wp:effectExtent l="0" t="0" r="0" b="9525"/>
            <wp:docPr id="29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400675" cy="2848076"/>
                    </a:xfrm>
                    <a:prstGeom prst="rect">
                      <a:avLst/>
                    </a:prstGeom>
                    <a:noFill/>
                    <a:ln>
                      <a:noFill/>
                    </a:ln>
                  </pic:spPr>
                </pic:pic>
              </a:graphicData>
            </a:graphic>
          </wp:inline>
        </w:drawing>
      </w:r>
    </w:p>
    <w:p w14:paraId="1CAFE001" w14:textId="77777777" w:rsidR="000316AC" w:rsidRDefault="000316AC" w:rsidP="002B0107">
      <w:pPr>
        <w:pStyle w:val="Heading2"/>
        <w:numPr>
          <w:ilvl w:val="1"/>
          <w:numId w:val="75"/>
        </w:numPr>
      </w:pPr>
      <w:bookmarkStart w:id="229" w:name="_Toc479892490"/>
      <w:bookmarkStart w:id="230" w:name="_Toc485200156"/>
      <w:r>
        <w:t>Costos a cargo de los beneficiarios.</w:t>
      </w:r>
      <w:bookmarkEnd w:id="229"/>
      <w:bookmarkEnd w:id="230"/>
    </w:p>
    <w:p w14:paraId="22315172" w14:textId="77777777" w:rsidR="000316AC" w:rsidRPr="00365A2F" w:rsidRDefault="000316AC" w:rsidP="00637CFF">
      <w:pPr>
        <w:rPr>
          <w:rFonts w:ascii="Arial" w:hAnsi="Arial" w:cs="Arial"/>
        </w:rPr>
      </w:pPr>
      <w:r w:rsidRPr="00365A2F">
        <w:rPr>
          <w:rFonts w:ascii="Arial" w:hAnsi="Arial" w:cs="Arial"/>
        </w:rPr>
        <w:t>A fin de realizar el ACBS es necesario incorporar, como se mencionó anteriormente, la totalidad de los costos (consumo de recursos) necesarios para la obtención del beneficio que brinda el proyecto. Entre ellos se encuentra un costo que no es realizado por quien gestiona el proyecto pero que debe ser enfrentado por los beneficiarios a fin de utilizar los servicios del mismo. Tal costo es el correspondiente a la adecuación de la instalación interna de los domicilios a fin de conectarse a la red de alcantarillado.</w:t>
      </w:r>
    </w:p>
    <w:p w14:paraId="590E360A" w14:textId="77777777" w:rsidR="000316AC" w:rsidRDefault="000316AC" w:rsidP="00637CFF">
      <w:r w:rsidRPr="00365A2F">
        <w:rPr>
          <w:rFonts w:ascii="Arial" w:hAnsi="Arial" w:cs="Arial"/>
        </w:rPr>
        <w:t>El mismo ha sido calculado sobre la base a un valor medio de distancia de 30 m, con su correspondiente cámara de inspección y accesorios de instalación. El detalle es el siguiente</w:t>
      </w:r>
      <w:r>
        <w:t>:</w:t>
      </w:r>
    </w:p>
    <w:p w14:paraId="113BFD3F" w14:textId="02ED8DA8" w:rsidR="000316AC" w:rsidRDefault="000316AC" w:rsidP="00637CFF">
      <w:pPr>
        <w:pStyle w:val="Caption"/>
      </w:pPr>
      <w:r>
        <w:t xml:space="preserve">Tabla </w:t>
      </w:r>
      <w:r w:rsidR="00365A2F">
        <w:t>IV-8:</w:t>
      </w:r>
      <w:r w:rsidRPr="00365A2F">
        <w:rPr>
          <w:color w:val="FFFFFF" w:themeColor="background1"/>
        </w:rPr>
        <w:fldChar w:fldCharType="begin"/>
      </w:r>
      <w:r w:rsidRPr="00365A2F">
        <w:rPr>
          <w:color w:val="FFFFFF" w:themeColor="background1"/>
        </w:rPr>
        <w:instrText xml:space="preserve"> SEQ Tabla \* ARABIC </w:instrText>
      </w:r>
      <w:r w:rsidRPr="00365A2F">
        <w:rPr>
          <w:color w:val="FFFFFF" w:themeColor="background1"/>
        </w:rPr>
        <w:fldChar w:fldCharType="separate"/>
      </w:r>
      <w:r w:rsidRPr="00365A2F">
        <w:rPr>
          <w:noProof/>
          <w:color w:val="FFFFFF" w:themeColor="background1"/>
        </w:rPr>
        <w:t>26</w:t>
      </w:r>
      <w:r w:rsidRPr="00365A2F">
        <w:rPr>
          <w:noProof/>
          <w:color w:val="FFFFFF" w:themeColor="background1"/>
        </w:rPr>
        <w:fldChar w:fldCharType="end"/>
      </w:r>
      <w:r>
        <w:t>Costo de adecuación de instalaciones internas a precios de mercado. Cifras en USD.</w:t>
      </w:r>
    </w:p>
    <w:p w14:paraId="456F04AC" w14:textId="77777777" w:rsidR="000316AC" w:rsidRDefault="000316AC" w:rsidP="00637CFF">
      <w:r w:rsidRPr="00637CFF">
        <w:rPr>
          <w:noProof/>
          <w:lang w:eastAsia="es-AR"/>
        </w:rPr>
        <w:drawing>
          <wp:inline distT="0" distB="0" distL="0" distR="0" wp14:anchorId="13253D0E" wp14:editId="16A40CDE">
            <wp:extent cx="5400675" cy="2656123"/>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00675" cy="2656123"/>
                    </a:xfrm>
                    <a:prstGeom prst="rect">
                      <a:avLst/>
                    </a:prstGeom>
                    <a:noFill/>
                    <a:ln>
                      <a:noFill/>
                    </a:ln>
                  </pic:spPr>
                </pic:pic>
              </a:graphicData>
            </a:graphic>
          </wp:inline>
        </w:drawing>
      </w:r>
    </w:p>
    <w:p w14:paraId="4F130975" w14:textId="77777777" w:rsidR="000316AC" w:rsidRPr="00365A2F" w:rsidRDefault="000316AC" w:rsidP="00637CFF">
      <w:pPr>
        <w:rPr>
          <w:rFonts w:ascii="Arial" w:hAnsi="Arial" w:cs="Arial"/>
          <w:b/>
          <w:bCs/>
        </w:rPr>
      </w:pPr>
      <w:r w:rsidRPr="00365A2F">
        <w:rPr>
          <w:rFonts w:ascii="Arial" w:hAnsi="Arial" w:cs="Arial"/>
        </w:rPr>
        <w:t xml:space="preserve">A fin de incorporar tal costo al ACBS se lo multiplicó por las RPC para los materiales (0,848) y la mano de obra (0,511), arribando a un </w:t>
      </w:r>
      <w:r w:rsidRPr="00365A2F">
        <w:rPr>
          <w:rFonts w:ascii="Arial" w:hAnsi="Arial" w:cs="Arial"/>
          <w:b/>
          <w:bCs/>
        </w:rPr>
        <w:t>costo unitario de adecuación de instalaciones internas de USD 365,68.</w:t>
      </w:r>
    </w:p>
    <w:p w14:paraId="285EB894" w14:textId="77777777" w:rsidR="000316AC" w:rsidRPr="00365A2F" w:rsidRDefault="000316AC" w:rsidP="00637CFF">
      <w:pPr>
        <w:rPr>
          <w:rFonts w:ascii="Arial" w:hAnsi="Arial" w:cs="Arial"/>
        </w:rPr>
      </w:pPr>
      <w:r w:rsidRPr="00365A2F">
        <w:rPr>
          <w:rFonts w:ascii="Arial" w:hAnsi="Arial" w:cs="Arial"/>
        </w:rPr>
        <w:t xml:space="preserve">Por otro lado, y según surge de encuestas desarrolladas en el conurbano bonaerense, el mismo </w:t>
      </w:r>
      <w:r w:rsidRPr="00365A2F">
        <w:rPr>
          <w:rFonts w:ascii="Arial" w:hAnsi="Arial" w:cs="Arial"/>
          <w:b/>
          <w:bCs/>
        </w:rPr>
        <w:t>se aplicó al 65% de los casos</w:t>
      </w:r>
      <w:r w:rsidRPr="00365A2F">
        <w:rPr>
          <w:rFonts w:ascii="Arial" w:hAnsi="Arial" w:cs="Arial"/>
        </w:rPr>
        <w:t>, ya que ese porcentaje de la población manifestó explícitamente no poseer su instalación interna preparada para la conexión al sistema.</w:t>
      </w:r>
    </w:p>
    <w:p w14:paraId="54DBCEE5" w14:textId="77777777" w:rsidR="000316AC" w:rsidRDefault="000316AC" w:rsidP="002B0107">
      <w:pPr>
        <w:pStyle w:val="Heading2"/>
        <w:numPr>
          <w:ilvl w:val="1"/>
          <w:numId w:val="75"/>
        </w:numPr>
      </w:pPr>
      <w:bookmarkStart w:id="231" w:name="_Toc479892491"/>
      <w:bookmarkStart w:id="232" w:name="_Toc485200157"/>
      <w:r>
        <w:t>Costos de operación y mantenimiento.</w:t>
      </w:r>
      <w:bookmarkEnd w:id="231"/>
      <w:bookmarkEnd w:id="232"/>
    </w:p>
    <w:p w14:paraId="0F9D0BD3" w14:textId="77777777" w:rsidR="000316AC" w:rsidRPr="00DE3D6E" w:rsidRDefault="000316AC" w:rsidP="0006528D">
      <w:pPr>
        <w:rPr>
          <w:rFonts w:ascii="Arial" w:hAnsi="Arial" w:cs="Arial"/>
        </w:rPr>
      </w:pPr>
      <w:r w:rsidRPr="00DE3D6E">
        <w:rPr>
          <w:rFonts w:ascii="Arial" w:hAnsi="Arial" w:cs="Arial"/>
        </w:rPr>
        <w:t>El sistema de desagües analizado en el presente proyecto posee costos de operación y mantenimiento que se pueden clasificar en cuatro tipos:</w:t>
      </w:r>
    </w:p>
    <w:p w14:paraId="16DB4EF5" w14:textId="77777777" w:rsidR="000316AC" w:rsidRPr="00DE3D6E" w:rsidRDefault="000316AC" w:rsidP="00C4100D">
      <w:pPr>
        <w:numPr>
          <w:ilvl w:val="0"/>
          <w:numId w:val="56"/>
        </w:numPr>
        <w:spacing w:before="120" w:after="120" w:line="360" w:lineRule="auto"/>
        <w:rPr>
          <w:rFonts w:ascii="Arial" w:hAnsi="Arial" w:cs="Arial"/>
        </w:rPr>
      </w:pPr>
      <w:r w:rsidRPr="00DE3D6E">
        <w:rPr>
          <w:rFonts w:ascii="Arial" w:hAnsi="Arial" w:cs="Arial"/>
        </w:rPr>
        <w:t>Costos de recolección: Son los costos asociados a la operación y mantenimiento de las redes colectoras. Los mismos poseen un importante componente de mano de obra ya que consisten básicamente en limpieza y desobstrucción de las redes junto con reparaciones puntuales esporádicas y menores. Para la determinación de tal costo se utilizó el valor unitario por m</w:t>
      </w:r>
      <w:r w:rsidRPr="00DE3D6E">
        <w:rPr>
          <w:rFonts w:ascii="Arial" w:hAnsi="Arial" w:cs="Arial"/>
          <w:vertAlign w:val="superscript"/>
        </w:rPr>
        <w:t>3</w:t>
      </w:r>
      <w:r w:rsidRPr="00DE3D6E">
        <w:rPr>
          <w:rFonts w:ascii="Arial" w:hAnsi="Arial" w:cs="Arial"/>
        </w:rPr>
        <w:t xml:space="preserve"> volcado surgido del esquema de contabilidad regulatoria de la empresa.</w:t>
      </w:r>
    </w:p>
    <w:p w14:paraId="7670D468" w14:textId="77777777" w:rsidR="000316AC" w:rsidRPr="00DE3D6E" w:rsidRDefault="000316AC" w:rsidP="00C4100D">
      <w:pPr>
        <w:numPr>
          <w:ilvl w:val="0"/>
          <w:numId w:val="56"/>
        </w:numPr>
        <w:spacing w:before="120" w:after="120" w:line="360" w:lineRule="auto"/>
        <w:rPr>
          <w:rFonts w:ascii="Arial" w:hAnsi="Arial" w:cs="Arial"/>
        </w:rPr>
      </w:pPr>
      <w:r w:rsidRPr="00DE3D6E">
        <w:rPr>
          <w:rFonts w:ascii="Arial" w:hAnsi="Arial" w:cs="Arial"/>
        </w:rPr>
        <w:t>Costos de transporte: Son los costos asociados básicamente al bombeo de los líquidos cloacales. El componente principal de los mismos es la energía eléctrica utilizada en el proceso. Adicionalmente se incluyen reparaciones menores sobre los sistemas de bombeo. Cabe aclarar que el mantenimiento de los colectores es muy bajo (rastreo periódico) y se encuentra incluido en los costos de recolección del punto a). Para la determinación de tal costo se utilizó el valor unitario por m</w:t>
      </w:r>
      <w:r w:rsidRPr="00DE3D6E">
        <w:rPr>
          <w:rFonts w:ascii="Arial" w:hAnsi="Arial" w:cs="Arial"/>
          <w:vertAlign w:val="superscript"/>
        </w:rPr>
        <w:t>3</w:t>
      </w:r>
      <w:r w:rsidRPr="00DE3D6E">
        <w:rPr>
          <w:rFonts w:ascii="Arial" w:hAnsi="Arial" w:cs="Arial"/>
        </w:rPr>
        <w:t xml:space="preserve"> volcado surgido del esquema de contabilidad regulatoria de la empresa.</w:t>
      </w:r>
    </w:p>
    <w:p w14:paraId="61919DF4" w14:textId="77777777" w:rsidR="000316AC" w:rsidRPr="00DE3D6E" w:rsidRDefault="000316AC" w:rsidP="00C4100D">
      <w:pPr>
        <w:numPr>
          <w:ilvl w:val="0"/>
          <w:numId w:val="56"/>
        </w:numPr>
        <w:spacing w:before="120" w:after="120" w:line="360" w:lineRule="auto"/>
        <w:rPr>
          <w:rFonts w:ascii="Arial" w:hAnsi="Arial" w:cs="Arial"/>
        </w:rPr>
      </w:pPr>
      <w:r w:rsidRPr="00DE3D6E">
        <w:rPr>
          <w:rFonts w:ascii="Arial" w:hAnsi="Arial" w:cs="Arial"/>
        </w:rPr>
        <w:t>Costos de tratamiento: Son los costos incurridos en el tratamiento de los efluentes cloacales en la Planta Depuradora Las Catonas. Los mismos fueron calculados especialmente por el área de ingeniería de la Empresa considerando las particularidades de la planta.</w:t>
      </w:r>
    </w:p>
    <w:p w14:paraId="2A65835E" w14:textId="77777777" w:rsidR="000316AC" w:rsidRPr="00DE3D6E" w:rsidRDefault="000316AC" w:rsidP="00C4100D">
      <w:pPr>
        <w:numPr>
          <w:ilvl w:val="0"/>
          <w:numId w:val="56"/>
        </w:numPr>
        <w:spacing w:before="120" w:after="120" w:line="360" w:lineRule="auto"/>
        <w:rPr>
          <w:rFonts w:ascii="Arial" w:hAnsi="Arial" w:cs="Arial"/>
        </w:rPr>
      </w:pPr>
      <w:r w:rsidRPr="00DE3D6E">
        <w:rPr>
          <w:rFonts w:ascii="Arial" w:hAnsi="Arial" w:cs="Arial"/>
        </w:rPr>
        <w:t>Costos de renovación y rehabilitación: Se adoptaron costos de renovación y rehabilitación del 0,5%.</w:t>
      </w:r>
    </w:p>
    <w:p w14:paraId="136D6BF1" w14:textId="77777777" w:rsidR="000316AC" w:rsidRPr="00DE3D6E" w:rsidRDefault="000316AC" w:rsidP="0006528D">
      <w:pPr>
        <w:rPr>
          <w:rFonts w:ascii="Arial" w:hAnsi="Arial" w:cs="Arial"/>
        </w:rPr>
      </w:pPr>
      <w:r w:rsidRPr="00DE3D6E">
        <w:rPr>
          <w:rFonts w:ascii="Arial" w:hAnsi="Arial" w:cs="Arial"/>
        </w:rPr>
        <w:t>De este modo, partiendo de los datos obrantes en la empresa, se adoptaron los siguientes costos de operación y mantenimiento:</w:t>
      </w:r>
    </w:p>
    <w:p w14:paraId="67D2B844" w14:textId="77777777" w:rsidR="000316AC" w:rsidRPr="00DE3D6E" w:rsidRDefault="000316AC" w:rsidP="00612C5D">
      <w:pPr>
        <w:rPr>
          <w:rFonts w:ascii="Arial" w:hAnsi="Arial" w:cs="Arial"/>
          <w:b/>
          <w:sz w:val="20"/>
          <w:szCs w:val="20"/>
        </w:rPr>
      </w:pPr>
      <w:r w:rsidRPr="00DE3D6E">
        <w:rPr>
          <w:rFonts w:ascii="Arial" w:hAnsi="Arial" w:cs="Arial"/>
          <w:b/>
          <w:sz w:val="20"/>
          <w:szCs w:val="20"/>
        </w:rPr>
        <w:t>Costo de recolección y transporte a precios de mercado:</w:t>
      </w:r>
      <w:r w:rsidRPr="00DE3D6E">
        <w:rPr>
          <w:rFonts w:ascii="Arial" w:hAnsi="Arial" w:cs="Arial"/>
          <w:b/>
          <w:sz w:val="20"/>
          <w:szCs w:val="20"/>
        </w:rPr>
        <w:tab/>
        <w:t>33,31 USD/1000 m</w:t>
      </w:r>
      <w:r w:rsidRPr="00DE3D6E">
        <w:rPr>
          <w:rFonts w:ascii="Arial" w:hAnsi="Arial" w:cs="Arial"/>
          <w:b/>
          <w:sz w:val="20"/>
          <w:szCs w:val="20"/>
          <w:vertAlign w:val="superscript"/>
        </w:rPr>
        <w:t>3</w:t>
      </w:r>
    </w:p>
    <w:p w14:paraId="19F3FFFE" w14:textId="71F307FF" w:rsidR="000316AC" w:rsidRPr="00DE3D6E" w:rsidRDefault="000316AC" w:rsidP="00612C5D">
      <w:pPr>
        <w:rPr>
          <w:rFonts w:ascii="Arial" w:hAnsi="Arial" w:cs="Arial"/>
          <w:b/>
          <w:sz w:val="20"/>
          <w:szCs w:val="20"/>
        </w:rPr>
      </w:pPr>
      <w:r w:rsidRPr="00DE3D6E">
        <w:rPr>
          <w:rFonts w:ascii="Arial" w:hAnsi="Arial" w:cs="Arial"/>
          <w:b/>
          <w:sz w:val="20"/>
          <w:szCs w:val="20"/>
        </w:rPr>
        <w:t>Costo variable de tratamiento a precios de mercado:</w:t>
      </w:r>
      <w:r w:rsidRPr="00DE3D6E">
        <w:rPr>
          <w:rFonts w:ascii="Arial" w:hAnsi="Arial" w:cs="Arial"/>
          <w:b/>
          <w:sz w:val="20"/>
          <w:szCs w:val="20"/>
        </w:rPr>
        <w:tab/>
        <w:t xml:space="preserve"> 77,22 USD/1000 m</w:t>
      </w:r>
      <w:r w:rsidRPr="00DE3D6E">
        <w:rPr>
          <w:rFonts w:ascii="Arial" w:hAnsi="Arial" w:cs="Arial"/>
          <w:b/>
          <w:sz w:val="20"/>
          <w:szCs w:val="20"/>
          <w:vertAlign w:val="superscript"/>
        </w:rPr>
        <w:t>3</w:t>
      </w:r>
    </w:p>
    <w:p w14:paraId="40B06D58" w14:textId="77777777" w:rsidR="000316AC" w:rsidRPr="00DE3D6E" w:rsidRDefault="000316AC" w:rsidP="00612C5D">
      <w:pPr>
        <w:rPr>
          <w:rFonts w:ascii="Arial" w:hAnsi="Arial" w:cs="Arial"/>
          <w:b/>
          <w:sz w:val="20"/>
          <w:szCs w:val="20"/>
        </w:rPr>
      </w:pPr>
      <w:r w:rsidRPr="00DE3D6E">
        <w:rPr>
          <w:rFonts w:ascii="Arial" w:hAnsi="Arial" w:cs="Arial"/>
          <w:b/>
          <w:sz w:val="20"/>
          <w:szCs w:val="20"/>
        </w:rPr>
        <w:t>Costo fijo de tratamiento a precios de mercado:</w:t>
      </w:r>
      <w:r w:rsidRPr="00DE3D6E">
        <w:rPr>
          <w:rFonts w:ascii="Arial" w:hAnsi="Arial" w:cs="Arial"/>
          <w:b/>
          <w:sz w:val="20"/>
          <w:szCs w:val="20"/>
        </w:rPr>
        <w:tab/>
      </w:r>
      <w:r w:rsidRPr="00DE3D6E">
        <w:rPr>
          <w:rFonts w:ascii="Arial" w:hAnsi="Arial" w:cs="Arial"/>
          <w:b/>
          <w:sz w:val="20"/>
          <w:szCs w:val="20"/>
        </w:rPr>
        <w:tab/>
        <w:t xml:space="preserve"> 629,27 miles de USD</w:t>
      </w:r>
    </w:p>
    <w:p w14:paraId="4B5F9A0A" w14:textId="2BE564E8" w:rsidR="000316AC" w:rsidRPr="00DE3D6E" w:rsidRDefault="000316AC" w:rsidP="00612C5D">
      <w:pPr>
        <w:rPr>
          <w:rFonts w:ascii="Arial" w:hAnsi="Arial" w:cs="Arial"/>
        </w:rPr>
      </w:pPr>
      <w:r w:rsidRPr="00DE3D6E">
        <w:rPr>
          <w:rFonts w:ascii="Arial" w:hAnsi="Arial" w:cs="Arial"/>
        </w:rPr>
        <w:t xml:space="preserve">A efectos de incorporar tales costos se consideró una dotación cloacal de </w:t>
      </w:r>
      <w:r w:rsidRPr="00DE3D6E">
        <w:rPr>
          <w:rFonts w:ascii="Arial" w:hAnsi="Arial" w:cs="Arial"/>
          <w:b/>
        </w:rPr>
        <w:t>250,6 l/habitante día</w:t>
      </w:r>
      <w:r w:rsidRPr="00DE3D6E">
        <w:rPr>
          <w:rFonts w:ascii="Arial" w:hAnsi="Arial" w:cs="Arial"/>
        </w:rPr>
        <w:t xml:space="preserve">, que fue aplicada al número de habitantes incorporados según detalle de la </w:t>
      </w:r>
      <w:r w:rsidRPr="00DE3D6E">
        <w:rPr>
          <w:rFonts w:ascii="Arial" w:hAnsi="Arial" w:cs="Arial"/>
        </w:rPr>
        <w:fldChar w:fldCharType="begin"/>
      </w:r>
      <w:r w:rsidRPr="00DE3D6E">
        <w:rPr>
          <w:rFonts w:ascii="Arial" w:hAnsi="Arial" w:cs="Arial"/>
        </w:rPr>
        <w:instrText xml:space="preserve"> REF _Ref479849023 \h </w:instrText>
      </w:r>
      <w:r w:rsidR="00DE3D6E">
        <w:rPr>
          <w:rFonts w:ascii="Arial" w:hAnsi="Arial" w:cs="Arial"/>
        </w:rPr>
        <w:instrText xml:space="preserve"> \* MERGEFORMAT </w:instrText>
      </w:r>
      <w:r w:rsidRPr="00DE3D6E">
        <w:rPr>
          <w:rFonts w:ascii="Arial" w:hAnsi="Arial" w:cs="Arial"/>
        </w:rPr>
      </w:r>
      <w:r w:rsidRPr="00DE3D6E">
        <w:rPr>
          <w:rFonts w:ascii="Arial" w:hAnsi="Arial" w:cs="Arial"/>
        </w:rPr>
        <w:fldChar w:fldCharType="separate"/>
      </w:r>
      <w:r w:rsidRPr="00DE3D6E">
        <w:rPr>
          <w:rFonts w:ascii="Arial" w:hAnsi="Arial" w:cs="Arial"/>
        </w:rPr>
        <w:t xml:space="preserve">Tabla </w:t>
      </w:r>
      <w:r w:rsidR="00DE3D6E">
        <w:rPr>
          <w:rFonts w:ascii="Arial" w:hAnsi="Arial" w:cs="Arial"/>
        </w:rPr>
        <w:t>IV-1</w:t>
      </w:r>
      <w:r w:rsidRPr="00DE3D6E">
        <w:rPr>
          <w:rFonts w:ascii="Arial" w:hAnsi="Arial" w:cs="Arial"/>
        </w:rPr>
        <w:fldChar w:fldCharType="end"/>
      </w:r>
      <w:r w:rsidRPr="00DE3D6E">
        <w:rPr>
          <w:rFonts w:ascii="Arial" w:hAnsi="Arial" w:cs="Arial"/>
        </w:rPr>
        <w:t>.</w:t>
      </w:r>
    </w:p>
    <w:p w14:paraId="2DA56001" w14:textId="77777777" w:rsidR="000316AC" w:rsidRPr="00DE3D6E" w:rsidRDefault="000316AC" w:rsidP="00612C5D">
      <w:pPr>
        <w:rPr>
          <w:rFonts w:ascii="Arial" w:hAnsi="Arial" w:cs="Arial"/>
        </w:rPr>
      </w:pPr>
      <w:r w:rsidRPr="00DE3D6E">
        <w:rPr>
          <w:rFonts w:ascii="Arial" w:hAnsi="Arial" w:cs="Arial"/>
        </w:rPr>
        <w:t>Para la transformación de tales costos a sus precios sociales, se aplicaron razones de precio de cuenta de 0,711, 0,896 y 0,666 respectivamente, las que responden a las composiciones de insumo, energía y mano de obra de cada costo.</w:t>
      </w:r>
    </w:p>
    <w:p w14:paraId="3C60CF32" w14:textId="77777777" w:rsidR="000316AC" w:rsidRPr="00DE3D6E" w:rsidRDefault="000316AC" w:rsidP="00612C5D">
      <w:pPr>
        <w:rPr>
          <w:rFonts w:ascii="Arial" w:hAnsi="Arial" w:cs="Arial"/>
        </w:rPr>
      </w:pPr>
      <w:r w:rsidRPr="00DE3D6E">
        <w:rPr>
          <w:rFonts w:ascii="Arial" w:hAnsi="Arial" w:cs="Arial"/>
        </w:rPr>
        <w:t>Así, los costos operativos a precios de cuenta incorporados en la evaluación fueron los siguientes:</w:t>
      </w:r>
    </w:p>
    <w:p w14:paraId="68F979EB" w14:textId="7F632194" w:rsidR="000316AC" w:rsidRPr="00DE3D6E" w:rsidRDefault="000316AC" w:rsidP="00612C5D">
      <w:pPr>
        <w:rPr>
          <w:rFonts w:ascii="Arial" w:hAnsi="Arial" w:cs="Arial"/>
          <w:b/>
          <w:sz w:val="20"/>
          <w:szCs w:val="20"/>
        </w:rPr>
      </w:pPr>
      <w:r w:rsidRPr="00DE3D6E">
        <w:rPr>
          <w:rFonts w:ascii="Arial" w:hAnsi="Arial" w:cs="Arial"/>
          <w:b/>
          <w:sz w:val="20"/>
          <w:szCs w:val="20"/>
        </w:rPr>
        <w:t>Costo de recolección y transporte a precios de cuenta:</w:t>
      </w:r>
      <w:r w:rsidRPr="00DE3D6E">
        <w:rPr>
          <w:rFonts w:ascii="Arial" w:hAnsi="Arial" w:cs="Arial"/>
          <w:b/>
          <w:sz w:val="20"/>
          <w:szCs w:val="20"/>
        </w:rPr>
        <w:tab/>
        <w:t>23,69 USD/1000 m</w:t>
      </w:r>
      <w:r w:rsidRPr="00DE3D6E">
        <w:rPr>
          <w:rFonts w:ascii="Arial" w:hAnsi="Arial" w:cs="Arial"/>
          <w:b/>
          <w:sz w:val="20"/>
          <w:szCs w:val="20"/>
          <w:vertAlign w:val="superscript"/>
        </w:rPr>
        <w:t>3</w:t>
      </w:r>
    </w:p>
    <w:p w14:paraId="45C71485" w14:textId="77777777" w:rsidR="000316AC" w:rsidRPr="00DE3D6E" w:rsidRDefault="000316AC" w:rsidP="00612C5D">
      <w:pPr>
        <w:rPr>
          <w:rFonts w:ascii="Arial" w:hAnsi="Arial" w:cs="Arial"/>
          <w:b/>
          <w:sz w:val="20"/>
          <w:szCs w:val="20"/>
        </w:rPr>
      </w:pPr>
      <w:r w:rsidRPr="00DE3D6E">
        <w:rPr>
          <w:rFonts w:ascii="Arial" w:hAnsi="Arial" w:cs="Arial"/>
          <w:b/>
          <w:sz w:val="20"/>
          <w:szCs w:val="20"/>
        </w:rPr>
        <w:t>Costo de tratamiento a precios de cuenta:</w:t>
      </w:r>
      <w:r w:rsidRPr="00DE3D6E">
        <w:rPr>
          <w:rFonts w:ascii="Arial" w:hAnsi="Arial" w:cs="Arial"/>
          <w:b/>
          <w:sz w:val="20"/>
          <w:szCs w:val="20"/>
        </w:rPr>
        <w:tab/>
      </w:r>
      <w:r w:rsidRPr="00DE3D6E">
        <w:rPr>
          <w:rFonts w:ascii="Arial" w:hAnsi="Arial" w:cs="Arial"/>
          <w:b/>
          <w:sz w:val="20"/>
          <w:szCs w:val="20"/>
        </w:rPr>
        <w:tab/>
      </w:r>
      <w:r w:rsidRPr="00DE3D6E">
        <w:rPr>
          <w:rFonts w:ascii="Arial" w:hAnsi="Arial" w:cs="Arial"/>
          <w:b/>
          <w:sz w:val="20"/>
          <w:szCs w:val="20"/>
        </w:rPr>
        <w:tab/>
        <w:t>69,18 USD/1000 m</w:t>
      </w:r>
      <w:r w:rsidRPr="00DE3D6E">
        <w:rPr>
          <w:rFonts w:ascii="Arial" w:hAnsi="Arial" w:cs="Arial"/>
          <w:b/>
          <w:sz w:val="20"/>
          <w:szCs w:val="20"/>
          <w:vertAlign w:val="superscript"/>
        </w:rPr>
        <w:t>3</w:t>
      </w:r>
    </w:p>
    <w:p w14:paraId="016B1E98" w14:textId="070A7DC9" w:rsidR="000316AC" w:rsidRPr="00DE3D6E" w:rsidRDefault="000316AC" w:rsidP="00612C5D">
      <w:pPr>
        <w:rPr>
          <w:rFonts w:ascii="Arial" w:hAnsi="Arial" w:cs="Arial"/>
          <w:b/>
          <w:sz w:val="20"/>
          <w:szCs w:val="20"/>
        </w:rPr>
      </w:pPr>
      <w:r w:rsidRPr="00DE3D6E">
        <w:rPr>
          <w:rFonts w:ascii="Arial" w:hAnsi="Arial" w:cs="Arial"/>
          <w:b/>
          <w:sz w:val="20"/>
          <w:szCs w:val="20"/>
        </w:rPr>
        <w:t>Costo fijo de tratamiento a precios de cuenta:</w:t>
      </w:r>
      <w:r w:rsidRPr="00DE3D6E">
        <w:rPr>
          <w:rFonts w:ascii="Arial" w:hAnsi="Arial" w:cs="Arial"/>
          <w:b/>
          <w:sz w:val="20"/>
          <w:szCs w:val="20"/>
        </w:rPr>
        <w:tab/>
      </w:r>
      <w:r w:rsidRPr="00DE3D6E">
        <w:rPr>
          <w:rFonts w:ascii="Arial" w:hAnsi="Arial" w:cs="Arial"/>
          <w:b/>
          <w:sz w:val="20"/>
          <w:szCs w:val="20"/>
        </w:rPr>
        <w:tab/>
        <w:t xml:space="preserve"> 419,36 miles de USD</w:t>
      </w:r>
    </w:p>
    <w:p w14:paraId="05814C65" w14:textId="77777777" w:rsidR="000316AC" w:rsidRDefault="000316AC" w:rsidP="00612C5D">
      <w:pPr>
        <w:rPr>
          <w:b/>
        </w:rPr>
      </w:pPr>
    </w:p>
    <w:p w14:paraId="4C5C6162" w14:textId="77777777" w:rsidR="000316AC" w:rsidRDefault="000316AC" w:rsidP="002B0107">
      <w:pPr>
        <w:pStyle w:val="Heading2"/>
        <w:numPr>
          <w:ilvl w:val="0"/>
          <w:numId w:val="71"/>
        </w:numPr>
      </w:pPr>
      <w:bookmarkStart w:id="233" w:name="_Toc479892492"/>
      <w:bookmarkStart w:id="234" w:name="_Toc485200158"/>
      <w:r>
        <w:t>Resultados del ACBS.</w:t>
      </w:r>
      <w:bookmarkEnd w:id="233"/>
      <w:bookmarkEnd w:id="234"/>
    </w:p>
    <w:p w14:paraId="0F10D5C3" w14:textId="77777777" w:rsidR="000316AC" w:rsidRPr="00DE3D6E" w:rsidRDefault="000316AC" w:rsidP="00262123">
      <w:pPr>
        <w:rPr>
          <w:rFonts w:ascii="Arial" w:hAnsi="Arial" w:cs="Arial"/>
        </w:rPr>
      </w:pPr>
      <w:r w:rsidRPr="00DE3D6E">
        <w:rPr>
          <w:rFonts w:ascii="Arial" w:hAnsi="Arial" w:cs="Arial"/>
        </w:rPr>
        <w:t>Habiendo identificado y valorado los beneficios y costos que el proyecto genera sobre la comunidad independientemente de quién es el beneficiario o quién es el que paga y habiendo aplicado las correcciones necesarias para expresar tales valores en sus precios de cuenta, a continuación se presenta el flujo de fondos económico del proyecto.</w:t>
      </w:r>
    </w:p>
    <w:p w14:paraId="13E5564F" w14:textId="77777777" w:rsidR="000316AC" w:rsidRPr="00DE3D6E" w:rsidRDefault="000316AC" w:rsidP="00262123">
      <w:pPr>
        <w:rPr>
          <w:rFonts w:ascii="Arial" w:hAnsi="Arial" w:cs="Arial"/>
        </w:rPr>
      </w:pPr>
      <w:r w:rsidRPr="00DE3D6E">
        <w:rPr>
          <w:rFonts w:ascii="Arial" w:hAnsi="Arial" w:cs="Arial"/>
        </w:rPr>
        <w:t>El flujo de fondos permite obtener el Valor Presente de los Costos y Beneficios del proyecto considerando en este caso una Tasa Social de Descuento del 12% anual y un horizonte de evaluación de 21 años. Esta actualización permite incorporar el valor social tiempo de los recursos aplicados al proyecto y sus beneficios.</w:t>
      </w:r>
    </w:p>
    <w:p w14:paraId="602CDE94" w14:textId="08E8E2B5" w:rsidR="000316AC" w:rsidRPr="00DE3D6E" w:rsidRDefault="000316AC" w:rsidP="00262123">
      <w:pPr>
        <w:rPr>
          <w:rFonts w:ascii="Arial" w:hAnsi="Arial" w:cs="Arial"/>
        </w:rPr>
      </w:pPr>
      <w:r w:rsidRPr="00DE3D6E">
        <w:rPr>
          <w:rFonts w:ascii="Arial" w:hAnsi="Arial" w:cs="Arial"/>
        </w:rPr>
        <w:t>A continuación se presentan el diagrama de pagos (</w:t>
      </w:r>
      <w:r w:rsidRPr="00DE3D6E">
        <w:rPr>
          <w:rFonts w:ascii="Arial" w:hAnsi="Arial" w:cs="Arial"/>
        </w:rPr>
        <w:fldChar w:fldCharType="begin"/>
      </w:r>
      <w:r w:rsidRPr="00DE3D6E">
        <w:rPr>
          <w:rFonts w:ascii="Arial" w:hAnsi="Arial" w:cs="Arial"/>
        </w:rPr>
        <w:instrText xml:space="preserve"> REF _Ref479861679 \h </w:instrText>
      </w:r>
      <w:r w:rsidR="00DE3D6E">
        <w:rPr>
          <w:rFonts w:ascii="Arial" w:hAnsi="Arial" w:cs="Arial"/>
        </w:rPr>
        <w:instrText xml:space="preserve"> \* MERGEFORMAT </w:instrText>
      </w:r>
      <w:r w:rsidRPr="00DE3D6E">
        <w:rPr>
          <w:rFonts w:ascii="Arial" w:hAnsi="Arial" w:cs="Arial"/>
        </w:rPr>
      </w:r>
      <w:r w:rsidRPr="00DE3D6E">
        <w:rPr>
          <w:rFonts w:ascii="Arial" w:hAnsi="Arial" w:cs="Arial"/>
        </w:rPr>
        <w:fldChar w:fldCharType="separate"/>
      </w:r>
      <w:r w:rsidR="00C43559">
        <w:rPr>
          <w:rFonts w:ascii="Arial" w:hAnsi="Arial" w:cs="Arial"/>
        </w:rPr>
        <w:t>Figura IV-4</w:t>
      </w:r>
      <w:r w:rsidRPr="00DE3D6E">
        <w:rPr>
          <w:rFonts w:ascii="Arial" w:hAnsi="Arial" w:cs="Arial"/>
        </w:rPr>
        <w:fldChar w:fldCharType="end"/>
      </w:r>
      <w:r w:rsidRPr="00DE3D6E">
        <w:rPr>
          <w:rFonts w:ascii="Arial" w:hAnsi="Arial" w:cs="Arial"/>
        </w:rPr>
        <w:t>), el flujo de fondos y el Valor Presente obtenido para los costos de inversión, costos de operación y mantenimiento y beneficios (</w:t>
      </w:r>
      <w:r w:rsidRPr="00DE3D6E">
        <w:rPr>
          <w:rFonts w:ascii="Arial" w:hAnsi="Arial" w:cs="Arial"/>
        </w:rPr>
        <w:fldChar w:fldCharType="begin"/>
      </w:r>
      <w:r w:rsidRPr="00DE3D6E">
        <w:rPr>
          <w:rFonts w:ascii="Arial" w:hAnsi="Arial" w:cs="Arial"/>
        </w:rPr>
        <w:instrText xml:space="preserve"> REF _Ref479861695 \h </w:instrText>
      </w:r>
      <w:r w:rsidR="00DE3D6E">
        <w:rPr>
          <w:rFonts w:ascii="Arial" w:hAnsi="Arial" w:cs="Arial"/>
        </w:rPr>
        <w:instrText xml:space="preserve"> \* MERGEFORMAT </w:instrText>
      </w:r>
      <w:r w:rsidRPr="00DE3D6E">
        <w:rPr>
          <w:rFonts w:ascii="Arial" w:hAnsi="Arial" w:cs="Arial"/>
        </w:rPr>
      </w:r>
      <w:r w:rsidRPr="00DE3D6E">
        <w:rPr>
          <w:rFonts w:ascii="Arial" w:hAnsi="Arial" w:cs="Arial"/>
        </w:rPr>
        <w:fldChar w:fldCharType="separate"/>
      </w:r>
      <w:r w:rsidRPr="00DE3D6E">
        <w:rPr>
          <w:rFonts w:ascii="Arial" w:hAnsi="Arial" w:cs="Arial"/>
        </w:rPr>
        <w:t xml:space="preserve">Tabla </w:t>
      </w:r>
      <w:r w:rsidR="00C43559">
        <w:rPr>
          <w:rFonts w:ascii="Arial" w:hAnsi="Arial" w:cs="Arial"/>
        </w:rPr>
        <w:t>IV-9</w:t>
      </w:r>
      <w:r w:rsidRPr="00DE3D6E">
        <w:rPr>
          <w:rFonts w:ascii="Arial" w:hAnsi="Arial" w:cs="Arial"/>
        </w:rPr>
        <w:fldChar w:fldCharType="end"/>
      </w:r>
      <w:r w:rsidRPr="00DE3D6E">
        <w:rPr>
          <w:rFonts w:ascii="Arial" w:hAnsi="Arial" w:cs="Arial"/>
        </w:rPr>
        <w:t>).</w:t>
      </w:r>
    </w:p>
    <w:p w14:paraId="3463B15A" w14:textId="669F524F" w:rsidR="000316AC" w:rsidRDefault="00C43559" w:rsidP="000663C3">
      <w:pPr>
        <w:pStyle w:val="Caption"/>
      </w:pPr>
      <w:r>
        <w:t>Figura IV-4:</w:t>
      </w:r>
      <w:r w:rsidR="000316AC" w:rsidRPr="00C43559">
        <w:rPr>
          <w:color w:val="FFFFFF" w:themeColor="background1"/>
        </w:rPr>
        <w:fldChar w:fldCharType="begin"/>
      </w:r>
      <w:r w:rsidR="000316AC" w:rsidRPr="00C43559">
        <w:rPr>
          <w:color w:val="FFFFFF" w:themeColor="background1"/>
        </w:rPr>
        <w:instrText xml:space="preserve"> SEQ Ilustración \* ARABIC </w:instrText>
      </w:r>
      <w:r w:rsidR="000316AC" w:rsidRPr="00C43559">
        <w:rPr>
          <w:color w:val="FFFFFF" w:themeColor="background1"/>
        </w:rPr>
        <w:fldChar w:fldCharType="separate"/>
      </w:r>
      <w:r w:rsidR="000316AC" w:rsidRPr="00C43559">
        <w:rPr>
          <w:noProof/>
          <w:color w:val="FFFFFF" w:themeColor="background1"/>
        </w:rPr>
        <w:t>13</w:t>
      </w:r>
      <w:r w:rsidR="000316AC" w:rsidRPr="00C43559">
        <w:rPr>
          <w:noProof/>
          <w:color w:val="FFFFFF" w:themeColor="background1"/>
        </w:rPr>
        <w:fldChar w:fldCharType="end"/>
      </w:r>
      <w:r w:rsidR="000316AC" w:rsidRPr="00642ED3">
        <w:t>Costos y beneficios del proy</w:t>
      </w:r>
      <w:r w:rsidR="000316AC">
        <w:t>ecto. Miles de USD de febrero de 2017.</w:t>
      </w:r>
    </w:p>
    <w:p w14:paraId="6F979E83" w14:textId="77777777" w:rsidR="000316AC" w:rsidRDefault="000316AC" w:rsidP="00262123">
      <w:pPr>
        <w:sectPr w:rsidR="000316AC" w:rsidSect="000316AC">
          <w:headerReference w:type="default" r:id="rId99"/>
          <w:footerReference w:type="default" r:id="rId100"/>
          <w:pgSz w:w="11907" w:h="16839" w:code="9"/>
          <w:pgMar w:top="1985" w:right="1701" w:bottom="1276" w:left="1701" w:header="709" w:footer="264" w:gutter="0"/>
          <w:cols w:space="708"/>
          <w:titlePg/>
          <w:docGrid w:linePitch="360"/>
        </w:sectPr>
      </w:pPr>
      <w:r w:rsidRPr="00622C2F">
        <w:rPr>
          <w:noProof/>
          <w:lang w:eastAsia="es-AR"/>
        </w:rPr>
        <w:drawing>
          <wp:inline distT="0" distB="0" distL="0" distR="0" wp14:anchorId="2E8E5EC4" wp14:editId="26D64EEF">
            <wp:extent cx="5400675" cy="2810639"/>
            <wp:effectExtent l="0" t="0" r="0" b="8890"/>
            <wp:docPr id="30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00675" cy="2810639"/>
                    </a:xfrm>
                    <a:prstGeom prst="rect">
                      <a:avLst/>
                    </a:prstGeom>
                    <a:noFill/>
                    <a:ln>
                      <a:noFill/>
                    </a:ln>
                  </pic:spPr>
                </pic:pic>
              </a:graphicData>
            </a:graphic>
          </wp:inline>
        </w:drawing>
      </w:r>
    </w:p>
    <w:p w14:paraId="26A8F91C" w14:textId="04835FD7" w:rsidR="000316AC" w:rsidRDefault="000316AC" w:rsidP="00306818">
      <w:pPr>
        <w:pStyle w:val="Caption"/>
      </w:pPr>
      <w:bookmarkStart w:id="235" w:name="_Ref479861695"/>
      <w:r>
        <w:t xml:space="preserve">Tabla </w:t>
      </w:r>
      <w:r w:rsidR="00C43559">
        <w:t>IV-9:</w:t>
      </w:r>
      <w:r w:rsidRPr="00C43559">
        <w:rPr>
          <w:color w:val="FFFFFF" w:themeColor="background1"/>
        </w:rPr>
        <w:fldChar w:fldCharType="begin"/>
      </w:r>
      <w:r w:rsidRPr="00C43559">
        <w:rPr>
          <w:color w:val="FFFFFF" w:themeColor="background1"/>
        </w:rPr>
        <w:instrText xml:space="preserve"> SEQ Tabla \* ARABIC </w:instrText>
      </w:r>
      <w:r w:rsidRPr="00C43559">
        <w:rPr>
          <w:color w:val="FFFFFF" w:themeColor="background1"/>
        </w:rPr>
        <w:fldChar w:fldCharType="separate"/>
      </w:r>
      <w:r w:rsidRPr="00C43559">
        <w:rPr>
          <w:noProof/>
          <w:color w:val="FFFFFF" w:themeColor="background1"/>
        </w:rPr>
        <w:t>27</w:t>
      </w:r>
      <w:r w:rsidRPr="00C43559">
        <w:rPr>
          <w:noProof/>
          <w:color w:val="FFFFFF" w:themeColor="background1"/>
        </w:rPr>
        <w:fldChar w:fldCharType="end"/>
      </w:r>
      <w:bookmarkEnd w:id="235"/>
      <w:r w:rsidRPr="001876D6">
        <w:t xml:space="preserve">Flujo de Fondos </w:t>
      </w:r>
      <w:r>
        <w:t>Sistema de saneamiento Las Catonas</w:t>
      </w:r>
      <w:r w:rsidRPr="001876D6">
        <w:t xml:space="preserve"> - Cif</w:t>
      </w:r>
      <w:r>
        <w:t>ras en miles de USD de febrero de 2017</w:t>
      </w:r>
      <w:r w:rsidRPr="001876D6">
        <w:t xml:space="preserve"> - Precios de Cuenta</w:t>
      </w:r>
      <w:r>
        <w:t>.</w:t>
      </w:r>
    </w:p>
    <w:p w14:paraId="3B6961D7" w14:textId="77777777" w:rsidR="000316AC" w:rsidRDefault="000316AC" w:rsidP="00262123">
      <w:r w:rsidRPr="00622C2F">
        <w:rPr>
          <w:noProof/>
          <w:lang w:eastAsia="es-AR"/>
        </w:rPr>
        <w:drawing>
          <wp:inline distT="0" distB="0" distL="0" distR="0" wp14:anchorId="069EF67A" wp14:editId="2D3EAFBB">
            <wp:extent cx="9089950" cy="4572000"/>
            <wp:effectExtent l="0" t="0" r="0" b="0"/>
            <wp:docPr id="301"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097806" cy="4575952"/>
                    </a:xfrm>
                    <a:prstGeom prst="rect">
                      <a:avLst/>
                    </a:prstGeom>
                    <a:noFill/>
                    <a:ln>
                      <a:noFill/>
                    </a:ln>
                  </pic:spPr>
                </pic:pic>
              </a:graphicData>
            </a:graphic>
          </wp:inline>
        </w:drawing>
      </w:r>
    </w:p>
    <w:p w14:paraId="54DB578F" w14:textId="77777777" w:rsidR="000316AC" w:rsidRDefault="000316AC" w:rsidP="005E1D49">
      <w:pPr>
        <w:tabs>
          <w:tab w:val="left" w:pos="1064"/>
        </w:tabs>
      </w:pPr>
      <w:r>
        <w:tab/>
      </w:r>
    </w:p>
    <w:p w14:paraId="7DBAFCB6" w14:textId="77777777" w:rsidR="000316AC" w:rsidRPr="005E1D49" w:rsidRDefault="000316AC" w:rsidP="005E1D49">
      <w:pPr>
        <w:tabs>
          <w:tab w:val="left" w:pos="1064"/>
        </w:tabs>
        <w:sectPr w:rsidR="000316AC" w:rsidRPr="005E1D49" w:rsidSect="009304C1">
          <w:headerReference w:type="default" r:id="rId103"/>
          <w:footerReference w:type="default" r:id="rId104"/>
          <w:headerReference w:type="first" r:id="rId105"/>
          <w:pgSz w:w="16839" w:h="11907" w:orient="landscape" w:code="9"/>
          <w:pgMar w:top="1701" w:right="1246" w:bottom="1701" w:left="1276" w:header="709" w:footer="264" w:gutter="0"/>
          <w:cols w:space="708"/>
          <w:docGrid w:linePitch="360"/>
        </w:sectPr>
      </w:pPr>
      <w:r>
        <w:tab/>
      </w:r>
    </w:p>
    <w:p w14:paraId="097DC450" w14:textId="77777777" w:rsidR="000316AC" w:rsidRPr="00C43559" w:rsidRDefault="000316AC" w:rsidP="000663C3">
      <w:pPr>
        <w:rPr>
          <w:rFonts w:ascii="Arial" w:hAnsi="Arial" w:cs="Arial"/>
        </w:rPr>
      </w:pPr>
      <w:r w:rsidRPr="00C43559">
        <w:rPr>
          <w:rFonts w:ascii="Arial" w:hAnsi="Arial" w:cs="Arial"/>
        </w:rPr>
        <w:t>El cálculo de las inversiones a realizar por los beneficiarios en concepto de adecuación de instalaciones internas se realizó considerando una conservadora proyección de conexionado en la que si la inversión es realizada en el año “n”, en el año “n+1” se conecta el 70% de los usuarios, en el año “n+2” se incorpora un 10% adicional y finalmente se alcanza una conexión al servicio del 95%.</w:t>
      </w:r>
    </w:p>
    <w:p w14:paraId="38E0DDA5" w14:textId="77777777" w:rsidR="000316AC" w:rsidRPr="00C43559" w:rsidRDefault="000316AC" w:rsidP="00306818">
      <w:pPr>
        <w:rPr>
          <w:rFonts w:ascii="Arial" w:hAnsi="Arial" w:cs="Arial"/>
        </w:rPr>
      </w:pPr>
      <w:r w:rsidRPr="00C43559">
        <w:rPr>
          <w:rFonts w:ascii="Arial" w:hAnsi="Arial" w:cs="Arial"/>
        </w:rPr>
        <w:t>El proyecto sistema de saneamiento en los partidos de Moreno y San Miguel presenta un costo total a precios de cuenta en Valor Presente de 186,22 millones de USD, de los cuales, 169,7 millones de USD corresponden a inversión y 16,6 millones de USD corresponden a operación y mantenimiento.</w:t>
      </w:r>
    </w:p>
    <w:p w14:paraId="25A3DFB4" w14:textId="77777777" w:rsidR="000316AC" w:rsidRPr="00C43559" w:rsidRDefault="000316AC" w:rsidP="00306818">
      <w:pPr>
        <w:rPr>
          <w:rFonts w:ascii="Arial" w:hAnsi="Arial" w:cs="Arial"/>
        </w:rPr>
      </w:pPr>
      <w:r w:rsidRPr="00C43559">
        <w:rPr>
          <w:rFonts w:ascii="Arial" w:hAnsi="Arial" w:cs="Arial"/>
        </w:rPr>
        <w:t>Como contrapartida, los beneficios estimados para el proyecto en términos de disposición a pagar total ascienden a 218,2 millones de USD en Valor Presente.</w:t>
      </w:r>
    </w:p>
    <w:p w14:paraId="1AC9D149" w14:textId="77777777" w:rsidR="000316AC" w:rsidRPr="00C43559" w:rsidRDefault="000316AC" w:rsidP="00306818">
      <w:pPr>
        <w:rPr>
          <w:rFonts w:ascii="Arial" w:hAnsi="Arial" w:cs="Arial"/>
        </w:rPr>
      </w:pPr>
      <w:r w:rsidRPr="00C43559">
        <w:rPr>
          <w:rFonts w:ascii="Arial" w:hAnsi="Arial" w:cs="Arial"/>
        </w:rPr>
        <w:t>El Valor Presente Neto del proyecto es de 31,9 millones de dólares, lo que implica una Tasa Interna de Retorno Económico del 14,4%.</w:t>
      </w:r>
    </w:p>
    <w:p w14:paraId="4B6EAFA4" w14:textId="77777777" w:rsidR="000316AC" w:rsidRPr="00C43559" w:rsidRDefault="000316AC" w:rsidP="00306818">
      <w:pPr>
        <w:rPr>
          <w:rFonts w:ascii="Arial" w:hAnsi="Arial" w:cs="Arial"/>
        </w:rPr>
      </w:pPr>
      <w:r w:rsidRPr="00C43559">
        <w:rPr>
          <w:rFonts w:ascii="Arial" w:hAnsi="Arial" w:cs="Arial"/>
        </w:rPr>
        <w:t>Adicionalmente se ha realizado la evaluación del proyecto SIN incluir los beneficios y los costos de inversión asociados a la ampliación del E°D°, obteniéndose un Valor Presente de 51,7 millones de USD con una TIRE de 17%.</w:t>
      </w:r>
    </w:p>
    <w:p w14:paraId="70550369" w14:textId="77777777" w:rsidR="000316AC" w:rsidRDefault="000316AC" w:rsidP="00262123"/>
    <w:p w14:paraId="0870D560" w14:textId="77777777" w:rsidR="000316AC" w:rsidRDefault="000316AC" w:rsidP="002B0107">
      <w:pPr>
        <w:pStyle w:val="Heading2"/>
        <w:numPr>
          <w:ilvl w:val="1"/>
          <w:numId w:val="76"/>
        </w:numPr>
      </w:pPr>
      <w:bookmarkStart w:id="236" w:name="_Toc479892493"/>
      <w:bookmarkStart w:id="237" w:name="_Toc485200159"/>
      <w:r>
        <w:t>Indicadores económicos.</w:t>
      </w:r>
      <w:bookmarkEnd w:id="236"/>
      <w:bookmarkEnd w:id="237"/>
    </w:p>
    <w:p w14:paraId="6BB66BA9" w14:textId="732DC2AA" w:rsidR="000316AC" w:rsidRPr="00C43559" w:rsidRDefault="000316AC" w:rsidP="00210809">
      <w:pPr>
        <w:rPr>
          <w:rFonts w:ascii="Arial" w:hAnsi="Arial" w:cs="Arial"/>
        </w:rPr>
      </w:pPr>
      <w:r w:rsidRPr="00C43559">
        <w:rPr>
          <w:rFonts w:ascii="Arial" w:hAnsi="Arial" w:cs="Arial"/>
        </w:rPr>
        <w:t xml:space="preserve">A </w:t>
      </w:r>
      <w:r w:rsidR="00C43559" w:rsidRPr="00C43559">
        <w:rPr>
          <w:rFonts w:ascii="Arial" w:hAnsi="Arial" w:cs="Arial"/>
        </w:rPr>
        <w:t>continuación,</w:t>
      </w:r>
      <w:r w:rsidRPr="00C43559">
        <w:rPr>
          <w:rFonts w:ascii="Arial" w:hAnsi="Arial" w:cs="Arial"/>
        </w:rPr>
        <w:t xml:space="preserve"> se presentan los principales indicadores económicos resultantes de la evaluación realizada.</w:t>
      </w:r>
    </w:p>
    <w:p w14:paraId="504D1D8B" w14:textId="77777777" w:rsidR="000316AC" w:rsidRPr="00C43559" w:rsidRDefault="000316AC" w:rsidP="003B1C14">
      <w:pPr>
        <w:rPr>
          <w:rFonts w:ascii="Arial" w:hAnsi="Arial" w:cs="Arial"/>
        </w:rPr>
      </w:pPr>
      <w:r w:rsidRPr="00C43559">
        <w:rPr>
          <w:rFonts w:ascii="Arial" w:hAnsi="Arial" w:cs="Arial"/>
          <w:noProof/>
          <w:lang w:eastAsia="es-AR"/>
        </w:rPr>
        <w:drawing>
          <wp:inline distT="0" distB="0" distL="0" distR="0" wp14:anchorId="27975339" wp14:editId="73607357">
            <wp:extent cx="5400675" cy="1426759"/>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00675" cy="1426759"/>
                    </a:xfrm>
                    <a:prstGeom prst="rect">
                      <a:avLst/>
                    </a:prstGeom>
                    <a:noFill/>
                    <a:ln>
                      <a:noFill/>
                    </a:ln>
                  </pic:spPr>
                </pic:pic>
              </a:graphicData>
            </a:graphic>
          </wp:inline>
        </w:drawing>
      </w:r>
    </w:p>
    <w:p w14:paraId="39732DBF" w14:textId="77777777" w:rsidR="000316AC" w:rsidRPr="00C43559" w:rsidRDefault="000316AC" w:rsidP="00210809">
      <w:pPr>
        <w:pBdr>
          <w:top w:val="single" w:sz="4" w:space="1" w:color="auto"/>
          <w:left w:val="single" w:sz="4" w:space="4" w:color="auto"/>
          <w:bottom w:val="single" w:sz="4" w:space="1" w:color="auto"/>
          <w:right w:val="single" w:sz="4" w:space="4" w:color="auto"/>
        </w:pBdr>
        <w:rPr>
          <w:rFonts w:ascii="Arial" w:hAnsi="Arial" w:cs="Arial"/>
          <w:b/>
          <w:bCs/>
        </w:rPr>
      </w:pPr>
      <w:r w:rsidRPr="00C43559">
        <w:rPr>
          <w:rFonts w:ascii="Arial" w:hAnsi="Arial" w:cs="Arial"/>
          <w:b/>
          <w:bCs/>
        </w:rPr>
        <w:t xml:space="preserve">Según el análisis desarrollado, el proyecto “Sistema de Saneamiento en los partidos de Moreno y San Miguel” posee un Valor Presente Neto (VPN) de 31,9 millones de dólares a precios de cuenta del año 2017 y una Tasa Interna de Retorno Económico (TIRE) del 14,4%. </w:t>
      </w:r>
    </w:p>
    <w:p w14:paraId="12AEC079" w14:textId="77777777" w:rsidR="000316AC" w:rsidRPr="00C43559" w:rsidRDefault="000316AC" w:rsidP="00210809">
      <w:pPr>
        <w:pBdr>
          <w:top w:val="single" w:sz="4" w:space="1" w:color="auto"/>
          <w:left w:val="single" w:sz="4" w:space="4" w:color="auto"/>
          <w:bottom w:val="single" w:sz="4" w:space="1" w:color="auto"/>
          <w:right w:val="single" w:sz="4" w:space="4" w:color="auto"/>
        </w:pBdr>
        <w:rPr>
          <w:rFonts w:ascii="Arial" w:hAnsi="Arial" w:cs="Arial"/>
          <w:b/>
          <w:bCs/>
        </w:rPr>
      </w:pPr>
      <w:r w:rsidRPr="00C43559">
        <w:rPr>
          <w:rFonts w:ascii="Arial" w:hAnsi="Arial" w:cs="Arial"/>
          <w:b/>
          <w:bCs/>
        </w:rPr>
        <w:t>En caso de omitir los costos asociados a la ampliación de la Planta Depuradora Las Catonas, junto con los beneficios ambientales asociados, el Valor Presente Neto (VPN) alcanza los 51,7 millones de dólares a precios de cuenta del año 2017 y la Tasa Interna de Retorno Económico (TIRE) el 17,0%.</w:t>
      </w:r>
    </w:p>
    <w:p w14:paraId="551A8B64" w14:textId="77777777" w:rsidR="000316AC" w:rsidRPr="00C43559" w:rsidRDefault="000316AC" w:rsidP="003B1C14">
      <w:pPr>
        <w:rPr>
          <w:rFonts w:ascii="Arial" w:hAnsi="Arial" w:cs="Arial"/>
        </w:rPr>
      </w:pPr>
    </w:p>
    <w:p w14:paraId="76626653" w14:textId="77777777" w:rsidR="000316AC" w:rsidRPr="00C43559" w:rsidRDefault="000316AC" w:rsidP="002B0107">
      <w:pPr>
        <w:pStyle w:val="Heading2"/>
        <w:numPr>
          <w:ilvl w:val="1"/>
          <w:numId w:val="76"/>
        </w:numPr>
      </w:pPr>
      <w:bookmarkStart w:id="238" w:name="_Toc479892494"/>
      <w:bookmarkStart w:id="239" w:name="_Toc485200160"/>
      <w:r w:rsidRPr="00C43559">
        <w:t>Costo Marginal de largo plazo.</w:t>
      </w:r>
      <w:bookmarkEnd w:id="238"/>
      <w:bookmarkEnd w:id="239"/>
    </w:p>
    <w:p w14:paraId="37FC66AE" w14:textId="77777777" w:rsidR="000316AC" w:rsidRPr="00C43559" w:rsidRDefault="000316AC" w:rsidP="003B0883">
      <w:pPr>
        <w:rPr>
          <w:rFonts w:ascii="Arial" w:hAnsi="Arial" w:cs="Arial"/>
        </w:rPr>
      </w:pPr>
      <w:r w:rsidRPr="00C43559">
        <w:rPr>
          <w:rFonts w:ascii="Arial" w:hAnsi="Arial" w:cs="Arial"/>
        </w:rPr>
        <w:t>Definido el cronograma de inversión del proyecto, sus costos periódicos, sus costos no periódicos y, elaborado el flujo de fondos del proyecto para un horizonte de 21 años, se puede obtener el costo marginal de largo plazo de equilibrio calculado de la siguiente forma:</w:t>
      </w:r>
    </w:p>
    <w:p w14:paraId="68FBE3AC" w14:textId="77777777" w:rsidR="000316AC" w:rsidRPr="00C43559" w:rsidRDefault="000316AC" w:rsidP="003B0883">
      <w:pPr>
        <w:rPr>
          <w:rFonts w:ascii="Arial" w:hAnsi="Arial" w:cs="Arial"/>
        </w:rPr>
      </w:pPr>
      <w:r w:rsidRPr="00C43559">
        <w:rPr>
          <w:rFonts w:ascii="Arial" w:hAnsi="Arial" w:cs="Arial"/>
        </w:rPr>
        <w:t xml:space="preserve"> </w:t>
      </w:r>
      <w:r w:rsidRPr="00C43559">
        <w:rPr>
          <w:rFonts w:ascii="Arial" w:hAnsi="Arial" w:cs="Arial"/>
          <w:position w:val="-32"/>
        </w:rPr>
        <w:object w:dxaOrig="2299" w:dyaOrig="740" w14:anchorId="296EFD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45.8pt;height:47.4pt" o:ole="" fillcolor="window">
            <v:imagedata r:id="rId107" o:title=""/>
          </v:shape>
          <o:OLEObject Type="Embed" ProgID="Equation.3" ShapeID="_x0000_i1026" DrawAspect="Content" ObjectID="_1560797561" r:id="rId108"/>
        </w:object>
      </w:r>
    </w:p>
    <w:p w14:paraId="225A1BBF" w14:textId="77777777" w:rsidR="000316AC" w:rsidRPr="00C43559" w:rsidRDefault="000316AC" w:rsidP="003B0883">
      <w:pPr>
        <w:rPr>
          <w:rFonts w:ascii="Arial" w:hAnsi="Arial" w:cs="Arial"/>
        </w:rPr>
      </w:pPr>
      <w:r w:rsidRPr="00C43559">
        <w:rPr>
          <w:rFonts w:ascii="Arial" w:hAnsi="Arial" w:cs="Arial"/>
        </w:rPr>
        <w:t>dónde, CMg LP es el costo marginal de largo plazo; VPN Proyecto es el valor presente neto del flujo de costos a precios de cuenta a una tasa de descuento del 12% anual y VPN Beneficiarios es el valor presente neto de las viviendas conectadas en la vida útil del proyecto.</w:t>
      </w:r>
    </w:p>
    <w:p w14:paraId="75E73531" w14:textId="77777777" w:rsidR="000316AC" w:rsidRPr="00C43559" w:rsidRDefault="000316AC" w:rsidP="003B0883">
      <w:pPr>
        <w:rPr>
          <w:rFonts w:ascii="Arial" w:hAnsi="Arial" w:cs="Arial"/>
        </w:rPr>
      </w:pPr>
      <w:r w:rsidRPr="00C43559">
        <w:rPr>
          <w:rFonts w:ascii="Arial" w:hAnsi="Arial" w:cs="Arial"/>
        </w:rPr>
        <w:t xml:space="preserve">El CMg obtenido por este procedimiento es igual al beneficio por vivienda que anualmente debe generar el proyecto, entendiéndose el mismo, en términos monetarios a precios de eficiencia, el necesario para hacer “cero” el valor presente neto del proyecto. </w:t>
      </w:r>
    </w:p>
    <w:p w14:paraId="41F08B97" w14:textId="77777777" w:rsidR="000316AC" w:rsidRPr="00C43559" w:rsidRDefault="000316AC" w:rsidP="003B0883">
      <w:pPr>
        <w:rPr>
          <w:rFonts w:ascii="Arial" w:hAnsi="Arial" w:cs="Arial"/>
          <w:b/>
        </w:rPr>
      </w:pPr>
      <w:r w:rsidRPr="00C43559">
        <w:rPr>
          <w:rFonts w:ascii="Arial" w:hAnsi="Arial" w:cs="Arial"/>
        </w:rPr>
        <w:t xml:space="preserve">Así, considerando un horizonte de 21 años y una tasa de descuento del 12% anual el </w:t>
      </w:r>
      <w:r w:rsidRPr="00C43559">
        <w:rPr>
          <w:rFonts w:ascii="Arial" w:hAnsi="Arial" w:cs="Arial"/>
          <w:b/>
        </w:rPr>
        <w:t>CMg Largo Plazo es de USD 45,6 / conex. Mes.</w:t>
      </w:r>
    </w:p>
    <w:p w14:paraId="4428042F" w14:textId="77777777" w:rsidR="000316AC" w:rsidRDefault="000316AC" w:rsidP="003B0883"/>
    <w:p w14:paraId="4E35613B" w14:textId="77777777" w:rsidR="000316AC" w:rsidRDefault="000316AC" w:rsidP="002B0107">
      <w:pPr>
        <w:pStyle w:val="Heading2"/>
        <w:numPr>
          <w:ilvl w:val="0"/>
          <w:numId w:val="71"/>
        </w:numPr>
      </w:pPr>
      <w:bookmarkStart w:id="240" w:name="_Toc479892495"/>
      <w:bookmarkStart w:id="241" w:name="_Toc485200161"/>
      <w:r>
        <w:t>Análisis de sensibilidad.</w:t>
      </w:r>
      <w:bookmarkEnd w:id="240"/>
      <w:bookmarkEnd w:id="241"/>
      <w:r>
        <w:tab/>
      </w:r>
    </w:p>
    <w:p w14:paraId="70DFEC52" w14:textId="42A796D1" w:rsidR="000316AC" w:rsidRPr="00C43559" w:rsidRDefault="000316AC" w:rsidP="00D13970">
      <w:pPr>
        <w:rPr>
          <w:rFonts w:ascii="Arial" w:hAnsi="Arial" w:cs="Arial"/>
        </w:rPr>
      </w:pPr>
      <w:r w:rsidRPr="00C43559">
        <w:rPr>
          <w:rFonts w:ascii="Arial" w:hAnsi="Arial" w:cs="Arial"/>
        </w:rPr>
        <w:t xml:space="preserve">A </w:t>
      </w:r>
      <w:r w:rsidR="00385B98" w:rsidRPr="00C43559">
        <w:rPr>
          <w:rFonts w:ascii="Arial" w:hAnsi="Arial" w:cs="Arial"/>
        </w:rPr>
        <w:t>continuación,</w:t>
      </w:r>
      <w:r w:rsidRPr="00C43559">
        <w:rPr>
          <w:rFonts w:ascii="Arial" w:hAnsi="Arial" w:cs="Arial"/>
        </w:rPr>
        <w:t xml:space="preserve"> se realiza un análisis de sensibilidad con el objeto de conocer el impacto de distintos supuestos sobre la TIRE y el VPN como indicadores clave del proyecto.</w:t>
      </w:r>
    </w:p>
    <w:p w14:paraId="597A0876" w14:textId="77777777" w:rsidR="000316AC" w:rsidRPr="00C43559" w:rsidRDefault="000316AC" w:rsidP="00D13970">
      <w:pPr>
        <w:rPr>
          <w:rFonts w:ascii="Arial" w:hAnsi="Arial" w:cs="Arial"/>
        </w:rPr>
      </w:pPr>
      <w:r w:rsidRPr="00C43559">
        <w:rPr>
          <w:rFonts w:ascii="Arial" w:hAnsi="Arial" w:cs="Arial"/>
        </w:rPr>
        <w:t>A tal efecto se plantean las siguientes variaciones a aplicar sobre el proyecto en carácter de análisis paramétrico:</w:t>
      </w:r>
    </w:p>
    <w:p w14:paraId="39A38EAE" w14:textId="77777777" w:rsidR="000316AC" w:rsidRPr="00C43559" w:rsidRDefault="000316AC" w:rsidP="00C4100D">
      <w:pPr>
        <w:pStyle w:val="ListParagraph"/>
        <w:numPr>
          <w:ilvl w:val="0"/>
          <w:numId w:val="57"/>
        </w:numPr>
        <w:rPr>
          <w:rFonts w:ascii="Arial" w:hAnsi="Arial" w:cs="Arial"/>
        </w:rPr>
      </w:pPr>
      <w:r w:rsidRPr="00C43559">
        <w:rPr>
          <w:rFonts w:ascii="Arial" w:hAnsi="Arial" w:cs="Arial"/>
        </w:rPr>
        <w:t>Incrementos en los costos de inversión para los distintos componentes.</w:t>
      </w:r>
    </w:p>
    <w:p w14:paraId="52A56DB2" w14:textId="77777777" w:rsidR="000316AC" w:rsidRPr="00C43559" w:rsidRDefault="000316AC" w:rsidP="00C4100D">
      <w:pPr>
        <w:pStyle w:val="ListParagraph"/>
        <w:numPr>
          <w:ilvl w:val="0"/>
          <w:numId w:val="57"/>
        </w:numPr>
        <w:rPr>
          <w:rFonts w:ascii="Arial" w:hAnsi="Arial" w:cs="Arial"/>
        </w:rPr>
      </w:pPr>
      <w:r w:rsidRPr="00C43559">
        <w:rPr>
          <w:rFonts w:ascii="Arial" w:hAnsi="Arial" w:cs="Arial"/>
        </w:rPr>
        <w:t>Incrementos en los costos de operación detallados.</w:t>
      </w:r>
    </w:p>
    <w:p w14:paraId="2F6E2041" w14:textId="77777777" w:rsidR="000316AC" w:rsidRPr="00C43559" w:rsidRDefault="000316AC" w:rsidP="00C4100D">
      <w:pPr>
        <w:pStyle w:val="ListParagraph"/>
        <w:numPr>
          <w:ilvl w:val="0"/>
          <w:numId w:val="57"/>
        </w:numPr>
        <w:rPr>
          <w:rFonts w:ascii="Arial" w:hAnsi="Arial" w:cs="Arial"/>
        </w:rPr>
      </w:pPr>
      <w:r w:rsidRPr="00C43559">
        <w:rPr>
          <w:rFonts w:ascii="Arial" w:hAnsi="Arial" w:cs="Arial"/>
        </w:rPr>
        <w:t>Reducción en los beneficios.</w:t>
      </w:r>
    </w:p>
    <w:p w14:paraId="2ED8283E" w14:textId="77777777" w:rsidR="000316AC" w:rsidRPr="00C43559" w:rsidRDefault="000316AC" w:rsidP="00C4100D">
      <w:pPr>
        <w:pStyle w:val="ListParagraph"/>
        <w:numPr>
          <w:ilvl w:val="0"/>
          <w:numId w:val="57"/>
        </w:numPr>
        <w:rPr>
          <w:rFonts w:ascii="Arial" w:hAnsi="Arial" w:cs="Arial"/>
        </w:rPr>
      </w:pPr>
      <w:r w:rsidRPr="00C43559">
        <w:rPr>
          <w:rFonts w:ascii="Arial" w:hAnsi="Arial" w:cs="Arial"/>
        </w:rPr>
        <w:t>Sensibilidad del VPN ante distintas tasas de descuento.</w:t>
      </w:r>
    </w:p>
    <w:p w14:paraId="358CA911" w14:textId="77777777" w:rsidR="000316AC" w:rsidRPr="00C43559" w:rsidRDefault="000316AC" w:rsidP="00D13970">
      <w:pPr>
        <w:rPr>
          <w:rFonts w:ascii="Arial" w:hAnsi="Arial" w:cs="Arial"/>
        </w:rPr>
      </w:pPr>
      <w:r w:rsidRPr="00C43559">
        <w:rPr>
          <w:rFonts w:ascii="Arial" w:hAnsi="Arial" w:cs="Arial"/>
        </w:rPr>
        <w:t>Por otro lado, se realiza también un análisis de riesgo mediante el cual se introducen variaciones simultáneas y aleatorias sobre una serie de variables clave.</w:t>
      </w:r>
    </w:p>
    <w:p w14:paraId="703EC325" w14:textId="77777777" w:rsidR="000316AC" w:rsidRPr="00C43559" w:rsidRDefault="000316AC" w:rsidP="00D13970">
      <w:pPr>
        <w:rPr>
          <w:rFonts w:ascii="Arial" w:hAnsi="Arial" w:cs="Arial"/>
        </w:rPr>
      </w:pPr>
    </w:p>
    <w:p w14:paraId="32D157B5" w14:textId="77777777" w:rsidR="000316AC" w:rsidRPr="00C43559" w:rsidRDefault="000316AC" w:rsidP="002B0107">
      <w:pPr>
        <w:pStyle w:val="Heading2"/>
        <w:numPr>
          <w:ilvl w:val="1"/>
          <w:numId w:val="77"/>
        </w:numPr>
      </w:pPr>
      <w:bookmarkStart w:id="242" w:name="_Toc479892496"/>
      <w:bookmarkStart w:id="243" w:name="_Toc485200162"/>
      <w:r w:rsidRPr="00C43559">
        <w:t>Análisis de sensibilidad paramétrico</w:t>
      </w:r>
      <w:bookmarkEnd w:id="242"/>
      <w:bookmarkEnd w:id="243"/>
    </w:p>
    <w:p w14:paraId="241E7892" w14:textId="77777777" w:rsidR="000316AC" w:rsidRPr="00C43559" w:rsidRDefault="000316AC" w:rsidP="00D13970">
      <w:pPr>
        <w:rPr>
          <w:rFonts w:ascii="Arial" w:hAnsi="Arial" w:cs="Arial"/>
        </w:rPr>
      </w:pPr>
      <w:r w:rsidRPr="00C43559">
        <w:rPr>
          <w:rFonts w:ascii="Arial" w:hAnsi="Arial" w:cs="Arial"/>
        </w:rPr>
        <w:t>A fin de comprobar la robustez del análisis costo beneficio social realizado se aplicó un vector de sensibilidad con variaciones desde -28% a +28% sobre los componentes inversiones en Redes; Inversiones en Colector; inversiones EºDº, Costos de operación y mantenimiento y Beneficios totales.</w:t>
      </w:r>
    </w:p>
    <w:p w14:paraId="40044D42" w14:textId="5CDF21B7" w:rsidR="000316AC" w:rsidRPr="00C43559" w:rsidRDefault="000316AC" w:rsidP="00D13970">
      <w:pPr>
        <w:rPr>
          <w:rFonts w:ascii="Arial" w:hAnsi="Arial" w:cs="Arial"/>
        </w:rPr>
      </w:pPr>
      <w:r w:rsidRPr="00C43559">
        <w:rPr>
          <w:rFonts w:ascii="Arial" w:hAnsi="Arial" w:cs="Arial"/>
        </w:rPr>
        <w:t xml:space="preserve">El resultado de tal análisis se resume en las siguientes </w:t>
      </w:r>
      <w:r w:rsidR="00C43559">
        <w:rPr>
          <w:rFonts w:ascii="Arial" w:hAnsi="Arial" w:cs="Arial"/>
        </w:rPr>
        <w:t>Figuras</w:t>
      </w:r>
      <w:r w:rsidRPr="00C43559">
        <w:rPr>
          <w:rFonts w:ascii="Arial" w:hAnsi="Arial" w:cs="Arial"/>
        </w:rPr>
        <w:t>.</w:t>
      </w:r>
    </w:p>
    <w:p w14:paraId="0014BD1D" w14:textId="579BB96C" w:rsidR="000316AC" w:rsidRDefault="00C43559" w:rsidP="00D13970">
      <w:pPr>
        <w:pStyle w:val="Caption"/>
      </w:pPr>
      <w:r>
        <w:t>Figura IV-5</w:t>
      </w:r>
      <w:r w:rsidR="000316AC" w:rsidRPr="00C43559">
        <w:rPr>
          <w:color w:val="FFFFFF" w:themeColor="background1"/>
        </w:rPr>
        <w:fldChar w:fldCharType="begin"/>
      </w:r>
      <w:r w:rsidR="000316AC" w:rsidRPr="00C43559">
        <w:rPr>
          <w:color w:val="FFFFFF" w:themeColor="background1"/>
        </w:rPr>
        <w:instrText xml:space="preserve"> SEQ Ilustración \* ARABIC </w:instrText>
      </w:r>
      <w:r w:rsidR="000316AC" w:rsidRPr="00C43559">
        <w:rPr>
          <w:color w:val="FFFFFF" w:themeColor="background1"/>
        </w:rPr>
        <w:fldChar w:fldCharType="separate"/>
      </w:r>
      <w:r w:rsidR="000316AC" w:rsidRPr="00C43559">
        <w:rPr>
          <w:noProof/>
          <w:color w:val="FFFFFF" w:themeColor="background1"/>
        </w:rPr>
        <w:t>14</w:t>
      </w:r>
      <w:r w:rsidR="000316AC" w:rsidRPr="00C43559">
        <w:rPr>
          <w:noProof/>
          <w:color w:val="FFFFFF" w:themeColor="background1"/>
        </w:rPr>
        <w:fldChar w:fldCharType="end"/>
      </w:r>
      <w:r w:rsidR="000316AC">
        <w:t xml:space="preserve">VPN ante variaciones en los principales componentes del proyecto. </w:t>
      </w:r>
    </w:p>
    <w:p w14:paraId="36A7B6BC" w14:textId="77777777" w:rsidR="000316AC" w:rsidRDefault="000316AC" w:rsidP="003B1C14">
      <w:r w:rsidRPr="002C6486">
        <w:rPr>
          <w:noProof/>
          <w:lang w:eastAsia="es-AR"/>
        </w:rPr>
        <w:drawing>
          <wp:inline distT="0" distB="0" distL="0" distR="0" wp14:anchorId="5635D54D" wp14:editId="6A44DF2F">
            <wp:extent cx="5400675" cy="2948887"/>
            <wp:effectExtent l="0" t="0" r="0" b="444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00675" cy="2948887"/>
                    </a:xfrm>
                    <a:prstGeom prst="rect">
                      <a:avLst/>
                    </a:prstGeom>
                    <a:noFill/>
                    <a:ln>
                      <a:noFill/>
                    </a:ln>
                  </pic:spPr>
                </pic:pic>
              </a:graphicData>
            </a:graphic>
          </wp:inline>
        </w:drawing>
      </w:r>
    </w:p>
    <w:p w14:paraId="5B1A22CA" w14:textId="77777777" w:rsidR="000316AC" w:rsidRDefault="000316AC" w:rsidP="003B1C14"/>
    <w:p w14:paraId="14B5745B" w14:textId="16A0E047" w:rsidR="000316AC" w:rsidRDefault="00C43559" w:rsidP="00D13970">
      <w:pPr>
        <w:pStyle w:val="Caption"/>
      </w:pPr>
      <w:r>
        <w:t>Figura IV-6:</w:t>
      </w:r>
      <w:r w:rsidR="000316AC">
        <w:t xml:space="preserve"> </w:t>
      </w:r>
      <w:r w:rsidR="000316AC" w:rsidRPr="00C43559">
        <w:rPr>
          <w:color w:val="FFFFFF" w:themeColor="background1"/>
        </w:rPr>
        <w:fldChar w:fldCharType="begin"/>
      </w:r>
      <w:r w:rsidR="000316AC" w:rsidRPr="00C43559">
        <w:rPr>
          <w:color w:val="FFFFFF" w:themeColor="background1"/>
        </w:rPr>
        <w:instrText xml:space="preserve"> SEQ Ilustración \* ARABIC </w:instrText>
      </w:r>
      <w:r w:rsidR="000316AC" w:rsidRPr="00C43559">
        <w:rPr>
          <w:color w:val="FFFFFF" w:themeColor="background1"/>
        </w:rPr>
        <w:fldChar w:fldCharType="separate"/>
      </w:r>
      <w:r w:rsidR="000316AC" w:rsidRPr="00C43559">
        <w:rPr>
          <w:noProof/>
          <w:color w:val="FFFFFF" w:themeColor="background1"/>
        </w:rPr>
        <w:t>15</w:t>
      </w:r>
      <w:r w:rsidR="000316AC" w:rsidRPr="00C43559">
        <w:rPr>
          <w:noProof/>
          <w:color w:val="FFFFFF" w:themeColor="background1"/>
        </w:rPr>
        <w:fldChar w:fldCharType="end"/>
      </w:r>
      <w:r w:rsidR="000316AC" w:rsidRPr="009B48B5">
        <w:t>TIRE ante variaciones en los principales componentes del proyecto.</w:t>
      </w:r>
    </w:p>
    <w:p w14:paraId="103D79CA" w14:textId="77777777" w:rsidR="000316AC" w:rsidRDefault="000316AC" w:rsidP="003B1C14">
      <w:r w:rsidRPr="002C6486">
        <w:rPr>
          <w:noProof/>
          <w:lang w:eastAsia="es-AR"/>
        </w:rPr>
        <w:drawing>
          <wp:inline distT="0" distB="0" distL="0" distR="0" wp14:anchorId="6F3303B6" wp14:editId="13223DB4">
            <wp:extent cx="5400675" cy="2948887"/>
            <wp:effectExtent l="0" t="0" r="0" b="444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400675" cy="2948887"/>
                    </a:xfrm>
                    <a:prstGeom prst="rect">
                      <a:avLst/>
                    </a:prstGeom>
                    <a:noFill/>
                    <a:ln>
                      <a:noFill/>
                    </a:ln>
                  </pic:spPr>
                </pic:pic>
              </a:graphicData>
            </a:graphic>
          </wp:inline>
        </w:drawing>
      </w:r>
    </w:p>
    <w:p w14:paraId="2175ECBD" w14:textId="7001A082" w:rsidR="000316AC" w:rsidRPr="00C43559" w:rsidRDefault="000316AC" w:rsidP="00D13970">
      <w:pPr>
        <w:rPr>
          <w:rFonts w:ascii="Arial" w:hAnsi="Arial" w:cs="Arial"/>
        </w:rPr>
      </w:pPr>
      <w:r w:rsidRPr="00C43559">
        <w:rPr>
          <w:rFonts w:ascii="Arial" w:hAnsi="Arial" w:cs="Arial"/>
        </w:rPr>
        <w:t xml:space="preserve">Según se aprecia, aún ante variaciones de +/- 28% en sus principales componentes el proyecto presenta una elevada rentabilidad social, que en el peor de los casos (Reducción del 28% de los beneficios) implica una TIRE del 9,8%, destacándose que se requiere una reducción del 16% en los beneficios para alcanzar el límite de VPN </w:t>
      </w:r>
      <w:r w:rsidR="00C43559">
        <w:rPr>
          <w:rFonts w:ascii="Arial" w:hAnsi="Arial" w:cs="Arial"/>
        </w:rPr>
        <w:t>“cero”</w:t>
      </w:r>
      <w:r w:rsidRPr="00C43559">
        <w:rPr>
          <w:rFonts w:ascii="Arial" w:hAnsi="Arial" w:cs="Arial"/>
        </w:rPr>
        <w:t>.</w:t>
      </w:r>
    </w:p>
    <w:p w14:paraId="59AB1C66" w14:textId="77777777" w:rsidR="00385B98" w:rsidRPr="002B0107" w:rsidRDefault="00385B98" w:rsidP="002B0107">
      <w:pPr>
        <w:pStyle w:val="Heading2"/>
        <w:numPr>
          <w:ilvl w:val="1"/>
          <w:numId w:val="77"/>
        </w:numPr>
        <w:rPr>
          <w:bCs/>
        </w:rPr>
      </w:pPr>
      <w:bookmarkStart w:id="244" w:name="_Toc453720186"/>
      <w:bookmarkStart w:id="245" w:name="_Toc485200163"/>
      <w:r w:rsidRPr="00385B98">
        <w:t>Efectos</w:t>
      </w:r>
      <w:r w:rsidRPr="00B31ACE">
        <w:t xml:space="preserve"> del cambio en el ritmo de conexión.</w:t>
      </w:r>
      <w:bookmarkEnd w:id="244"/>
      <w:bookmarkEnd w:id="245"/>
    </w:p>
    <w:p w14:paraId="146D6467" w14:textId="0DE1CE7E" w:rsidR="00385B98" w:rsidRPr="00385B98" w:rsidRDefault="00385B98" w:rsidP="00385B98">
      <w:pPr>
        <w:spacing w:line="240" w:lineRule="auto"/>
        <w:rPr>
          <w:rFonts w:ascii="Arial" w:hAnsi="Arial" w:cs="Arial"/>
        </w:rPr>
      </w:pPr>
      <w:r w:rsidRPr="00385B98">
        <w:rPr>
          <w:rFonts w:ascii="Arial" w:hAnsi="Arial" w:cs="Arial"/>
        </w:rPr>
        <w:t>Se ha realizado un análisis de sensibilidad adicional referido al efecto de distintos escenarios en el ritmo de conexionado.</w:t>
      </w:r>
    </w:p>
    <w:p w14:paraId="43B173BF" w14:textId="77777777" w:rsidR="00385B98" w:rsidRPr="00385B98" w:rsidRDefault="00385B98" w:rsidP="00385B98">
      <w:pPr>
        <w:spacing w:line="240" w:lineRule="auto"/>
        <w:rPr>
          <w:rFonts w:ascii="Arial" w:hAnsi="Arial" w:cs="Arial"/>
        </w:rPr>
      </w:pPr>
      <w:r w:rsidRPr="00385B98">
        <w:rPr>
          <w:rFonts w:ascii="Arial" w:hAnsi="Arial" w:cs="Arial"/>
        </w:rPr>
        <w:t>En tal sentido se han propuesto los siguientes escenarios:</w:t>
      </w:r>
    </w:p>
    <w:p w14:paraId="09B2464C" w14:textId="49615E56" w:rsidR="00385B98" w:rsidRPr="00385B98" w:rsidRDefault="00385B98" w:rsidP="00C4100D">
      <w:pPr>
        <w:numPr>
          <w:ilvl w:val="0"/>
          <w:numId w:val="78"/>
        </w:numPr>
        <w:spacing w:before="120" w:after="120" w:line="240" w:lineRule="auto"/>
        <w:rPr>
          <w:rFonts w:ascii="Arial" w:hAnsi="Arial" w:cs="Arial"/>
        </w:rPr>
      </w:pPr>
      <w:r w:rsidRPr="00385B98">
        <w:rPr>
          <w:rFonts w:ascii="Arial" w:hAnsi="Arial" w:cs="Arial"/>
        </w:rPr>
        <w:t xml:space="preserve">Luego de la finalización de las obras se conecta inmediatamente un 70% de los hogares, un 80% lo hace al año siguiente, 90% al tercer año y el 100% de conexionado se alcanza al cuarto año (Escenario base– </w:t>
      </w:r>
      <w:r w:rsidRPr="00385B98">
        <w:rPr>
          <w:rFonts w:ascii="Arial" w:hAnsi="Arial" w:cs="Arial"/>
          <w:b/>
        </w:rPr>
        <w:t>Escenario 1</w:t>
      </w:r>
      <w:r w:rsidRPr="00385B98">
        <w:rPr>
          <w:rFonts w:ascii="Arial" w:hAnsi="Arial" w:cs="Arial"/>
        </w:rPr>
        <w:t>.</w:t>
      </w:r>
    </w:p>
    <w:p w14:paraId="173F9845" w14:textId="77777777" w:rsidR="00385B98" w:rsidRPr="00385B98" w:rsidRDefault="00385B98" w:rsidP="00C4100D">
      <w:pPr>
        <w:numPr>
          <w:ilvl w:val="0"/>
          <w:numId w:val="78"/>
        </w:numPr>
        <w:spacing w:before="120" w:after="120" w:line="240" w:lineRule="auto"/>
        <w:rPr>
          <w:rFonts w:ascii="Arial" w:hAnsi="Arial" w:cs="Arial"/>
        </w:rPr>
      </w:pPr>
      <w:r w:rsidRPr="00385B98">
        <w:rPr>
          <w:rFonts w:ascii="Arial" w:hAnsi="Arial" w:cs="Arial"/>
        </w:rPr>
        <w:t xml:space="preserve">Luego de la finalización de las obras se conecta inmediatamente un 50% de los hogares, un 75% lo hace al año siguiente, 90% al tercer año y el 100% de conexionado se alcanza al cuarto año – </w:t>
      </w:r>
      <w:r w:rsidRPr="00385B98">
        <w:rPr>
          <w:rFonts w:ascii="Arial" w:hAnsi="Arial" w:cs="Arial"/>
          <w:b/>
        </w:rPr>
        <w:t>Escenario 2.</w:t>
      </w:r>
    </w:p>
    <w:p w14:paraId="7DC14D8E" w14:textId="77777777" w:rsidR="00385B98" w:rsidRPr="00385B98" w:rsidRDefault="00385B98" w:rsidP="00C4100D">
      <w:pPr>
        <w:numPr>
          <w:ilvl w:val="0"/>
          <w:numId w:val="78"/>
        </w:numPr>
        <w:spacing w:before="120" w:after="120" w:line="240" w:lineRule="auto"/>
        <w:rPr>
          <w:rFonts w:ascii="Arial" w:hAnsi="Arial" w:cs="Arial"/>
        </w:rPr>
      </w:pPr>
      <w:r w:rsidRPr="00385B98">
        <w:rPr>
          <w:rFonts w:ascii="Arial" w:hAnsi="Arial" w:cs="Arial"/>
        </w:rPr>
        <w:t xml:space="preserve">Luego de la finalización de las obras se conecta inmediatamente un 60% de los hogares, un 80% lo hace al año siguiente, 90% al tercer año y el 100% de conexionado se alcanza al cuarto año – </w:t>
      </w:r>
      <w:r w:rsidRPr="00385B98">
        <w:rPr>
          <w:rFonts w:ascii="Arial" w:hAnsi="Arial" w:cs="Arial"/>
          <w:b/>
        </w:rPr>
        <w:t>Escenario 3.</w:t>
      </w:r>
    </w:p>
    <w:p w14:paraId="7BC92D27" w14:textId="77777777" w:rsidR="00385B98" w:rsidRPr="00385B98" w:rsidRDefault="00385B98" w:rsidP="00C4100D">
      <w:pPr>
        <w:numPr>
          <w:ilvl w:val="0"/>
          <w:numId w:val="78"/>
        </w:numPr>
        <w:spacing w:before="120" w:after="120" w:line="240" w:lineRule="auto"/>
        <w:rPr>
          <w:rFonts w:ascii="Arial" w:hAnsi="Arial" w:cs="Arial"/>
        </w:rPr>
      </w:pPr>
      <w:r w:rsidRPr="00385B98">
        <w:rPr>
          <w:rFonts w:ascii="Arial" w:hAnsi="Arial" w:cs="Arial"/>
        </w:rPr>
        <w:t xml:space="preserve">Luego de la finalización de las obras se conecta inmediatamente un 70% de los hogares, un 90% lo hace al año siguiente y el 100% de conexionado se alcanza al tercer año – </w:t>
      </w:r>
      <w:r w:rsidRPr="00385B98">
        <w:rPr>
          <w:rFonts w:ascii="Arial" w:hAnsi="Arial" w:cs="Arial"/>
          <w:b/>
        </w:rPr>
        <w:t>Escenario 4.</w:t>
      </w:r>
    </w:p>
    <w:p w14:paraId="6FD63903" w14:textId="77777777" w:rsidR="00385B98" w:rsidRPr="00385B98" w:rsidRDefault="00385B98" w:rsidP="00385B98">
      <w:pPr>
        <w:spacing w:line="240" w:lineRule="auto"/>
        <w:rPr>
          <w:rFonts w:ascii="Arial" w:hAnsi="Arial" w:cs="Arial"/>
        </w:rPr>
      </w:pPr>
      <w:r w:rsidRPr="00385B98">
        <w:rPr>
          <w:rFonts w:ascii="Arial" w:hAnsi="Arial" w:cs="Arial"/>
        </w:rPr>
        <w:t>Los principales indicadores del proyecto obtenidos en cada caso fueron los siguientes:</w:t>
      </w:r>
    </w:p>
    <w:p w14:paraId="08560E12" w14:textId="7CD1D6D3" w:rsidR="00385B98" w:rsidRPr="00704F87" w:rsidRDefault="00C0403B" w:rsidP="00385B98">
      <w:pPr>
        <w:spacing w:line="240" w:lineRule="auto"/>
        <w:rPr>
          <w:rFonts w:ascii="Times New Roman" w:hAnsi="Times New Roman"/>
        </w:rPr>
      </w:pPr>
      <w:r w:rsidRPr="00C0403B">
        <w:rPr>
          <w:noProof/>
        </w:rPr>
        <w:drawing>
          <wp:inline distT="0" distB="0" distL="0" distR="0" wp14:anchorId="006FAD92" wp14:editId="3014171B">
            <wp:extent cx="4876800" cy="1287780"/>
            <wp:effectExtent l="0" t="0" r="0" b="762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76800" cy="1287780"/>
                    </a:xfrm>
                    <a:prstGeom prst="rect">
                      <a:avLst/>
                    </a:prstGeom>
                    <a:noFill/>
                    <a:ln>
                      <a:noFill/>
                    </a:ln>
                  </pic:spPr>
                </pic:pic>
              </a:graphicData>
            </a:graphic>
          </wp:inline>
        </w:drawing>
      </w:r>
      <w:r w:rsidRPr="00C0403B">
        <w:t xml:space="preserve"> </w:t>
      </w:r>
    </w:p>
    <w:p w14:paraId="68668441" w14:textId="77777777" w:rsidR="00385B98" w:rsidRPr="00501E04" w:rsidRDefault="00385B98" w:rsidP="00385B98">
      <w:pPr>
        <w:spacing w:line="240" w:lineRule="auto"/>
        <w:rPr>
          <w:rFonts w:ascii="Arial" w:hAnsi="Arial" w:cs="Arial"/>
        </w:rPr>
      </w:pPr>
    </w:p>
    <w:p w14:paraId="3FECA8E6" w14:textId="194C3DA2" w:rsidR="00385B98" w:rsidRPr="00501E04" w:rsidRDefault="00385B98" w:rsidP="00385B98">
      <w:pPr>
        <w:spacing w:line="240" w:lineRule="auto"/>
        <w:rPr>
          <w:rFonts w:ascii="Arial" w:hAnsi="Arial" w:cs="Arial"/>
        </w:rPr>
      </w:pPr>
      <w:r w:rsidRPr="00501E04">
        <w:rPr>
          <w:rFonts w:ascii="Arial" w:hAnsi="Arial" w:cs="Arial"/>
        </w:rPr>
        <w:t xml:space="preserve">Según se aprecia la variabilidad introducida ante distintos escenarios de ritmo de conexionado no resulta significativa, obteniéndose valores extremos de entre </w:t>
      </w:r>
      <w:r w:rsidR="00501E04" w:rsidRPr="00501E04">
        <w:rPr>
          <w:rFonts w:ascii="Arial" w:hAnsi="Arial" w:cs="Arial"/>
        </w:rPr>
        <w:t>14,67</w:t>
      </w:r>
      <w:r w:rsidRPr="00501E04">
        <w:rPr>
          <w:rFonts w:ascii="Arial" w:hAnsi="Arial" w:cs="Arial"/>
        </w:rPr>
        <w:t xml:space="preserve">% de TIRE (Escenario 4) a </w:t>
      </w:r>
      <w:r w:rsidR="00501E04" w:rsidRPr="00501E04">
        <w:rPr>
          <w:rFonts w:ascii="Arial" w:hAnsi="Arial" w:cs="Arial"/>
        </w:rPr>
        <w:t>14,13</w:t>
      </w:r>
      <w:r w:rsidRPr="00501E04">
        <w:rPr>
          <w:rFonts w:ascii="Arial" w:hAnsi="Arial" w:cs="Arial"/>
        </w:rPr>
        <w:t>% (Escenario 2).</w:t>
      </w:r>
    </w:p>
    <w:p w14:paraId="4407C489" w14:textId="77777777" w:rsidR="000316AC" w:rsidRDefault="000316AC" w:rsidP="00D13970"/>
    <w:p w14:paraId="790B863F" w14:textId="77777777" w:rsidR="000316AC" w:rsidRDefault="000316AC" w:rsidP="002B0107">
      <w:pPr>
        <w:pStyle w:val="Heading2"/>
        <w:numPr>
          <w:ilvl w:val="0"/>
          <w:numId w:val="71"/>
        </w:numPr>
      </w:pPr>
      <w:bookmarkStart w:id="246" w:name="_Toc479892497"/>
      <w:bookmarkStart w:id="247" w:name="_Toc485200164"/>
      <w:r>
        <w:t>Análisis de riesgo</w:t>
      </w:r>
      <w:bookmarkEnd w:id="246"/>
      <w:bookmarkEnd w:id="247"/>
    </w:p>
    <w:p w14:paraId="4A2A0DDB" w14:textId="77777777" w:rsidR="000316AC" w:rsidRPr="005213FA" w:rsidRDefault="000316AC" w:rsidP="00D13970">
      <w:pPr>
        <w:rPr>
          <w:rFonts w:ascii="Arial" w:hAnsi="Arial" w:cs="Arial"/>
        </w:rPr>
      </w:pPr>
      <w:r w:rsidRPr="005213FA">
        <w:rPr>
          <w:rFonts w:ascii="Arial" w:hAnsi="Arial" w:cs="Arial"/>
        </w:rPr>
        <w:t>A fin de realizar el análisis de riesgo correspondiente al proyecto se aplicó el método Montecarlo consistente en generar un muestreo aleatorio para vectores probabilísticos que afectan a las principales variables del proyecto.</w:t>
      </w:r>
    </w:p>
    <w:p w14:paraId="4A6264D9" w14:textId="77777777" w:rsidR="000316AC" w:rsidRPr="005213FA" w:rsidRDefault="000316AC" w:rsidP="00D13970">
      <w:pPr>
        <w:rPr>
          <w:rFonts w:ascii="Arial" w:hAnsi="Arial" w:cs="Arial"/>
        </w:rPr>
      </w:pPr>
      <w:r w:rsidRPr="005213FA">
        <w:rPr>
          <w:rFonts w:ascii="Arial" w:hAnsi="Arial" w:cs="Arial"/>
        </w:rPr>
        <w:t>El análisis involucró 5.000 simulaciones derivadas de la aplicación aleatoria de las siguientes características para cada componente del proyecto.</w:t>
      </w:r>
    </w:p>
    <w:p w14:paraId="3BC3ADF3" w14:textId="0DDFBF1E" w:rsidR="000316AC" w:rsidRDefault="000316AC" w:rsidP="00DA6ED3">
      <w:pPr>
        <w:pStyle w:val="Caption"/>
      </w:pPr>
      <w:r>
        <w:t xml:space="preserve">Tabla </w:t>
      </w:r>
      <w:r w:rsidR="005213FA">
        <w:t>IV-10:</w:t>
      </w:r>
      <w:r w:rsidRPr="005213FA">
        <w:rPr>
          <w:color w:val="FFFFFF" w:themeColor="background1"/>
        </w:rPr>
        <w:fldChar w:fldCharType="begin"/>
      </w:r>
      <w:r w:rsidRPr="005213FA">
        <w:rPr>
          <w:color w:val="FFFFFF" w:themeColor="background1"/>
        </w:rPr>
        <w:instrText xml:space="preserve"> SEQ Tabla \* ARABIC </w:instrText>
      </w:r>
      <w:r w:rsidRPr="005213FA">
        <w:rPr>
          <w:color w:val="FFFFFF" w:themeColor="background1"/>
        </w:rPr>
        <w:fldChar w:fldCharType="separate"/>
      </w:r>
      <w:r w:rsidRPr="005213FA">
        <w:rPr>
          <w:noProof/>
          <w:color w:val="FFFFFF" w:themeColor="background1"/>
        </w:rPr>
        <w:t>28</w:t>
      </w:r>
      <w:r w:rsidRPr="005213FA">
        <w:rPr>
          <w:noProof/>
          <w:color w:val="FFFFFF" w:themeColor="background1"/>
        </w:rPr>
        <w:fldChar w:fldCharType="end"/>
      </w:r>
      <w:r w:rsidRPr="0014233F">
        <w:t>Variaciones aleatorias simulación Montecarlo.</w:t>
      </w:r>
    </w:p>
    <w:p w14:paraId="5CF52A4D" w14:textId="77777777" w:rsidR="000316AC" w:rsidRDefault="000316AC" w:rsidP="00D13970">
      <w:r w:rsidRPr="002C6486">
        <w:rPr>
          <w:noProof/>
          <w:lang w:eastAsia="es-AR"/>
        </w:rPr>
        <w:drawing>
          <wp:inline distT="0" distB="0" distL="0" distR="0" wp14:anchorId="23A5DB1D" wp14:editId="2CD3AE45">
            <wp:extent cx="5400675" cy="2833513"/>
            <wp:effectExtent l="0" t="0" r="0" b="5080"/>
            <wp:docPr id="30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00675" cy="2833513"/>
                    </a:xfrm>
                    <a:prstGeom prst="rect">
                      <a:avLst/>
                    </a:prstGeom>
                    <a:noFill/>
                    <a:ln>
                      <a:noFill/>
                    </a:ln>
                  </pic:spPr>
                </pic:pic>
              </a:graphicData>
            </a:graphic>
          </wp:inline>
        </w:drawing>
      </w:r>
    </w:p>
    <w:p w14:paraId="4464C2CF" w14:textId="77777777" w:rsidR="000316AC" w:rsidRDefault="000316AC" w:rsidP="00DA6ED3">
      <w:r w:rsidRPr="00AF70D8">
        <w:t>Los resultados obtenidos se presentan en l</w:t>
      </w:r>
      <w:r>
        <w:t>as siguientes ilustraciones.</w:t>
      </w:r>
    </w:p>
    <w:p w14:paraId="68925C2F" w14:textId="7EC99F85" w:rsidR="000316AC" w:rsidRDefault="005213FA" w:rsidP="00DA6ED3">
      <w:pPr>
        <w:pStyle w:val="Caption"/>
      </w:pPr>
      <w:r>
        <w:t>Figura IV-7:</w:t>
      </w:r>
      <w:r w:rsidR="005C1A74">
        <w:fldChar w:fldCharType="begin"/>
      </w:r>
      <w:r w:rsidR="005C1A74">
        <w:instrText xml:space="preserve"> SEQ Ilustración \* ARABIC </w:instrText>
      </w:r>
      <w:r w:rsidR="005C1A74">
        <w:fldChar w:fldCharType="separate"/>
      </w:r>
      <w:r w:rsidR="000316AC" w:rsidRPr="005213FA">
        <w:rPr>
          <w:noProof/>
          <w:color w:val="FFFFFF" w:themeColor="background1"/>
        </w:rPr>
        <w:t>16</w:t>
      </w:r>
      <w:r w:rsidR="005C1A74">
        <w:rPr>
          <w:noProof/>
          <w:color w:val="FFFFFF" w:themeColor="background1"/>
        </w:rPr>
        <w:fldChar w:fldCharType="end"/>
      </w:r>
      <w:r w:rsidR="000316AC">
        <w:t>Distribución de probabilidad VPN.</w:t>
      </w:r>
    </w:p>
    <w:p w14:paraId="51E760DF" w14:textId="77777777" w:rsidR="000316AC" w:rsidRDefault="000316AC" w:rsidP="00D13970">
      <w:r w:rsidRPr="008728D2">
        <w:rPr>
          <w:noProof/>
          <w:lang w:eastAsia="es-AR"/>
        </w:rPr>
        <w:drawing>
          <wp:inline distT="0" distB="0" distL="0" distR="0" wp14:anchorId="4FD15286" wp14:editId="2C57C722">
            <wp:extent cx="5400675" cy="3103635"/>
            <wp:effectExtent l="19050" t="19050" r="9525" b="20955"/>
            <wp:docPr id="303"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00675" cy="3103635"/>
                    </a:xfrm>
                    <a:prstGeom prst="rect">
                      <a:avLst/>
                    </a:prstGeom>
                    <a:noFill/>
                    <a:ln>
                      <a:solidFill>
                        <a:schemeClr val="tx1"/>
                      </a:solidFill>
                    </a:ln>
                  </pic:spPr>
                </pic:pic>
              </a:graphicData>
            </a:graphic>
          </wp:inline>
        </w:drawing>
      </w:r>
    </w:p>
    <w:p w14:paraId="347C3722" w14:textId="715DCF96" w:rsidR="000316AC" w:rsidRDefault="005213FA" w:rsidP="00DA6ED3">
      <w:pPr>
        <w:pStyle w:val="Caption"/>
      </w:pPr>
      <w:r>
        <w:t>Figura IV-8:</w:t>
      </w:r>
      <w:r w:rsidR="000316AC" w:rsidRPr="005213FA">
        <w:rPr>
          <w:color w:val="FFFFFF" w:themeColor="background1"/>
        </w:rPr>
        <w:fldChar w:fldCharType="begin"/>
      </w:r>
      <w:r w:rsidR="000316AC" w:rsidRPr="005213FA">
        <w:rPr>
          <w:color w:val="FFFFFF" w:themeColor="background1"/>
        </w:rPr>
        <w:instrText xml:space="preserve"> SEQ Ilustración \* ARABIC </w:instrText>
      </w:r>
      <w:r w:rsidR="000316AC" w:rsidRPr="005213FA">
        <w:rPr>
          <w:color w:val="FFFFFF" w:themeColor="background1"/>
        </w:rPr>
        <w:fldChar w:fldCharType="separate"/>
      </w:r>
      <w:r w:rsidR="000316AC" w:rsidRPr="005213FA">
        <w:rPr>
          <w:noProof/>
          <w:color w:val="FFFFFF" w:themeColor="background1"/>
        </w:rPr>
        <w:t>17</w:t>
      </w:r>
      <w:r w:rsidR="000316AC" w:rsidRPr="005213FA">
        <w:rPr>
          <w:noProof/>
          <w:color w:val="FFFFFF" w:themeColor="background1"/>
        </w:rPr>
        <w:fldChar w:fldCharType="end"/>
      </w:r>
      <w:r w:rsidR="000316AC" w:rsidRPr="001E2CB6">
        <w:t>Distribución de probabilidad de TIRE.</w:t>
      </w:r>
    </w:p>
    <w:p w14:paraId="1C5BF150" w14:textId="77777777" w:rsidR="000316AC" w:rsidRDefault="000316AC" w:rsidP="00D13970">
      <w:r w:rsidRPr="008728D2">
        <w:rPr>
          <w:noProof/>
          <w:lang w:eastAsia="es-AR"/>
        </w:rPr>
        <w:drawing>
          <wp:inline distT="0" distB="0" distL="0" distR="0" wp14:anchorId="3E7F1EC5" wp14:editId="2DCC46FB">
            <wp:extent cx="5400675" cy="3103635"/>
            <wp:effectExtent l="19050" t="19050" r="9525" b="20955"/>
            <wp:docPr id="304"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400675" cy="3103635"/>
                    </a:xfrm>
                    <a:prstGeom prst="rect">
                      <a:avLst/>
                    </a:prstGeom>
                    <a:noFill/>
                    <a:ln>
                      <a:solidFill>
                        <a:schemeClr val="tx1"/>
                      </a:solidFill>
                    </a:ln>
                  </pic:spPr>
                </pic:pic>
              </a:graphicData>
            </a:graphic>
          </wp:inline>
        </w:drawing>
      </w:r>
    </w:p>
    <w:p w14:paraId="0E455B5D" w14:textId="77777777" w:rsidR="000316AC" w:rsidRDefault="000316AC" w:rsidP="00D13970"/>
    <w:p w14:paraId="15CEB556" w14:textId="75691C97" w:rsidR="000316AC" w:rsidRDefault="005213FA" w:rsidP="00DA6ED3">
      <w:pPr>
        <w:pStyle w:val="Caption"/>
      </w:pPr>
      <w:r>
        <w:t>Figura IV-9:</w:t>
      </w:r>
      <w:r w:rsidR="000316AC" w:rsidRPr="005213FA">
        <w:rPr>
          <w:color w:val="FFFFFF" w:themeColor="background1"/>
        </w:rPr>
        <w:fldChar w:fldCharType="begin"/>
      </w:r>
      <w:r w:rsidR="000316AC" w:rsidRPr="005213FA">
        <w:rPr>
          <w:color w:val="FFFFFF" w:themeColor="background1"/>
        </w:rPr>
        <w:instrText xml:space="preserve"> SEQ Ilustración \* ARABIC </w:instrText>
      </w:r>
      <w:r w:rsidR="000316AC" w:rsidRPr="005213FA">
        <w:rPr>
          <w:color w:val="FFFFFF" w:themeColor="background1"/>
        </w:rPr>
        <w:fldChar w:fldCharType="separate"/>
      </w:r>
      <w:r w:rsidR="000316AC" w:rsidRPr="005213FA">
        <w:rPr>
          <w:noProof/>
          <w:color w:val="FFFFFF" w:themeColor="background1"/>
        </w:rPr>
        <w:t>18</w:t>
      </w:r>
      <w:r w:rsidR="000316AC" w:rsidRPr="005213FA">
        <w:rPr>
          <w:noProof/>
          <w:color w:val="FFFFFF" w:themeColor="background1"/>
        </w:rPr>
        <w:fldChar w:fldCharType="end"/>
      </w:r>
      <w:r w:rsidR="000316AC" w:rsidRPr="004D3060">
        <w:t>Efectos de los componentes sobre la TIRE</w:t>
      </w:r>
    </w:p>
    <w:p w14:paraId="360F60B6" w14:textId="77777777" w:rsidR="000316AC" w:rsidRDefault="000316AC" w:rsidP="00D13970">
      <w:r w:rsidRPr="008728D2">
        <w:rPr>
          <w:noProof/>
          <w:lang w:eastAsia="es-AR"/>
        </w:rPr>
        <w:drawing>
          <wp:inline distT="0" distB="0" distL="0" distR="0" wp14:anchorId="10CBD5BE" wp14:editId="76D3833B">
            <wp:extent cx="5400675" cy="3103635"/>
            <wp:effectExtent l="19050" t="19050" r="9525" b="2095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400675" cy="3103635"/>
                    </a:xfrm>
                    <a:prstGeom prst="rect">
                      <a:avLst/>
                    </a:prstGeom>
                    <a:noFill/>
                    <a:ln>
                      <a:solidFill>
                        <a:schemeClr val="tx1"/>
                      </a:solidFill>
                    </a:ln>
                  </pic:spPr>
                </pic:pic>
              </a:graphicData>
            </a:graphic>
          </wp:inline>
        </w:drawing>
      </w:r>
    </w:p>
    <w:p w14:paraId="06FDF000" w14:textId="77777777" w:rsidR="000316AC" w:rsidRPr="005213FA" w:rsidRDefault="000316AC" w:rsidP="005974EF">
      <w:pPr>
        <w:rPr>
          <w:rFonts w:ascii="Arial" w:hAnsi="Arial" w:cs="Arial"/>
        </w:rPr>
      </w:pPr>
      <w:r w:rsidRPr="005213FA">
        <w:rPr>
          <w:rFonts w:ascii="Arial" w:hAnsi="Arial" w:cs="Arial"/>
        </w:rPr>
        <w:t xml:space="preserve">El análisis de riesgo desarrollado permite confirmar la robustez de los resultados obtenidos en la evaluación socioeconómica del proyecto de inversión “Sistema de saneamiento en los partidos de Moreno y San Miguel”. </w:t>
      </w:r>
    </w:p>
    <w:p w14:paraId="56ECE739" w14:textId="77777777" w:rsidR="000316AC" w:rsidRDefault="000316AC" w:rsidP="005974EF">
      <w:r w:rsidRPr="005213FA">
        <w:rPr>
          <w:rFonts w:ascii="Arial" w:hAnsi="Arial" w:cs="Arial"/>
        </w:rPr>
        <w:t>En este sentido, la probabilidad de obtener una TIRE superior al 12% o bien un VPN positivo es mayor que 84%, destacándose que para valores inferiores en esos parámetros deben producirse efectos negativos concurrentes en las principales variables que afectan al proyecto</w:t>
      </w:r>
      <w:r>
        <w:t>.</w:t>
      </w:r>
    </w:p>
    <w:p w14:paraId="596F4A86" w14:textId="77777777" w:rsidR="000316AC" w:rsidRDefault="000316AC" w:rsidP="00D13970"/>
    <w:p w14:paraId="1D8AE833" w14:textId="77777777" w:rsidR="000316AC" w:rsidRDefault="000316AC" w:rsidP="002B0107">
      <w:pPr>
        <w:pStyle w:val="Heading2"/>
        <w:numPr>
          <w:ilvl w:val="0"/>
          <w:numId w:val="71"/>
        </w:numPr>
      </w:pPr>
      <w:bookmarkStart w:id="248" w:name="_Toc479892498"/>
      <w:bookmarkStart w:id="249" w:name="_Toc485200165"/>
      <w:r>
        <w:t>Conclusiones y recomendaciones.</w:t>
      </w:r>
      <w:bookmarkEnd w:id="248"/>
      <w:bookmarkEnd w:id="249"/>
    </w:p>
    <w:p w14:paraId="74FAA71E" w14:textId="77777777" w:rsidR="000316AC" w:rsidRPr="005213FA" w:rsidRDefault="000316AC" w:rsidP="00CE0726">
      <w:pPr>
        <w:rPr>
          <w:rFonts w:ascii="Arial" w:hAnsi="Arial" w:cs="Arial"/>
        </w:rPr>
      </w:pPr>
      <w:r w:rsidRPr="005213FA">
        <w:rPr>
          <w:rFonts w:ascii="Arial" w:hAnsi="Arial" w:cs="Arial"/>
        </w:rPr>
        <w:t>El Proyecto de Inversión “Sistema de saneamiento en los partidos de Moreno y San Miguel” que brinda solución integral a la problemática de los desagües cloacales de una importante área de los partidos de Moreno y San Miguel presenta una rentabilidad social positiva por lo que su ejecución inmediata resulta recomendable desde este punto de vista.</w:t>
      </w:r>
    </w:p>
    <w:p w14:paraId="4EEA2BC0" w14:textId="77777777" w:rsidR="000316AC" w:rsidRPr="005213FA" w:rsidRDefault="000316AC" w:rsidP="00CE0726">
      <w:pPr>
        <w:rPr>
          <w:rFonts w:ascii="Arial" w:hAnsi="Arial" w:cs="Arial"/>
          <w:b/>
        </w:rPr>
      </w:pPr>
      <w:r w:rsidRPr="005213FA">
        <w:rPr>
          <w:rFonts w:ascii="Arial" w:hAnsi="Arial" w:cs="Arial"/>
          <w:b/>
        </w:rPr>
        <w:t>Los indicadores económicos calculados, VPN de 31,9 millones de USD y TIRE de 14,4%, y el análisis de sensibilidad realizado permiten afirmar que es conveniente, en el sentido de que mejora el bienestar de la sociedad, la realización del proyecto.</w:t>
      </w:r>
    </w:p>
    <w:p w14:paraId="089D365A" w14:textId="77777777" w:rsidR="000316AC" w:rsidRPr="005213FA" w:rsidRDefault="000316AC" w:rsidP="00CE0726">
      <w:pPr>
        <w:rPr>
          <w:rFonts w:ascii="Arial" w:hAnsi="Arial" w:cs="Arial"/>
        </w:rPr>
      </w:pPr>
      <w:r w:rsidRPr="005213FA">
        <w:rPr>
          <w:rFonts w:ascii="Arial" w:hAnsi="Arial" w:cs="Arial"/>
        </w:rPr>
        <w:t xml:space="preserve">Cabe desatacar que en caso de no incluirse los costos de inversión en la ampliación de la Planta Las Catonas ni los beneficios ambientales correspondientes, el proyecto alcanzaría una TIRE del 17% junto con un VPN de 51,7 millones de dólares a precios de cuenta. </w:t>
      </w:r>
    </w:p>
    <w:p w14:paraId="123AC6C2" w14:textId="77777777" w:rsidR="000316AC" w:rsidRPr="005213FA" w:rsidRDefault="000316AC" w:rsidP="00CE0726">
      <w:pPr>
        <w:rPr>
          <w:rFonts w:ascii="Arial" w:hAnsi="Arial" w:cs="Arial"/>
        </w:rPr>
      </w:pPr>
      <w:r w:rsidRPr="005213FA">
        <w:rPr>
          <w:rFonts w:ascii="Arial" w:hAnsi="Arial" w:cs="Arial"/>
        </w:rPr>
        <w:t>Por otro lado, las áreas a servir presentan una moderada densidad habitacional y grandes distancias hasta la planta de tratamiento, lo que obliga a construir un sistema de transporte costoso y de enormes magnitudes, elevando sustancialmente los costos del proyecto.</w:t>
      </w:r>
    </w:p>
    <w:p w14:paraId="73E7AC75" w14:textId="77777777" w:rsidR="000316AC" w:rsidRPr="003B1C14" w:rsidRDefault="000316AC" w:rsidP="003B1C14"/>
    <w:p w14:paraId="19CFF63F" w14:textId="77777777" w:rsidR="000316AC" w:rsidRDefault="000316AC" w:rsidP="00C67705"/>
    <w:p w14:paraId="5A269E89" w14:textId="77777777" w:rsidR="000316AC" w:rsidRDefault="000316AC" w:rsidP="00C67705"/>
    <w:p w14:paraId="169CCAD5" w14:textId="77777777" w:rsidR="000316AC" w:rsidRDefault="000316AC" w:rsidP="00C67705">
      <w:pPr>
        <w:sectPr w:rsidR="000316AC" w:rsidSect="009304C1">
          <w:headerReference w:type="default" r:id="rId116"/>
          <w:footerReference w:type="default" r:id="rId117"/>
          <w:headerReference w:type="first" r:id="rId118"/>
          <w:pgSz w:w="11907" w:h="16839" w:code="9"/>
          <w:pgMar w:top="1985" w:right="1701" w:bottom="1276" w:left="1701" w:header="709" w:footer="264" w:gutter="0"/>
          <w:cols w:space="708"/>
          <w:docGrid w:linePitch="360"/>
        </w:sectPr>
      </w:pPr>
    </w:p>
    <w:p w14:paraId="67C55A0F" w14:textId="5743E78E" w:rsidR="00A95DF9" w:rsidRPr="00A95DF9" w:rsidRDefault="00A95DF9" w:rsidP="00222B10">
      <w:pPr>
        <w:pStyle w:val="Heading1"/>
        <w:rPr>
          <w:smallCaps w:val="0"/>
        </w:rPr>
      </w:pPr>
      <w:bookmarkStart w:id="250" w:name="_Toc483227409"/>
      <w:bookmarkStart w:id="251" w:name="_Toc485200166"/>
      <w:r w:rsidRPr="00A95DF9">
        <w:rPr>
          <w:smallCaps w:val="0"/>
        </w:rPr>
        <w:t>PROYECTO SISTEMA DE TRATAMIENTO POR DILUCIÓN BERAZATEGUI.</w:t>
      </w:r>
      <w:bookmarkEnd w:id="250"/>
      <w:bookmarkEnd w:id="251"/>
    </w:p>
    <w:p w14:paraId="026A53A4" w14:textId="6DDDD0EE" w:rsidR="00A95DF9" w:rsidRPr="001B37C6" w:rsidRDefault="00A95DF9" w:rsidP="008B3220">
      <w:pPr>
        <w:pStyle w:val="BodyText"/>
        <w:spacing w:before="120" w:after="60"/>
        <w:jc w:val="both"/>
        <w:rPr>
          <w:sz w:val="22"/>
          <w:szCs w:val="22"/>
          <w:lang w:val="es-AR"/>
        </w:rPr>
      </w:pPr>
      <w:r>
        <w:rPr>
          <w:w w:val="105"/>
          <w:sz w:val="22"/>
          <w:szCs w:val="22"/>
          <w:lang w:val="es-AR"/>
        </w:rPr>
        <w:t xml:space="preserve">A </w:t>
      </w:r>
      <w:r w:rsidR="0087147E">
        <w:rPr>
          <w:w w:val="105"/>
          <w:sz w:val="22"/>
          <w:szCs w:val="22"/>
          <w:lang w:val="es-AR"/>
        </w:rPr>
        <w:t>continuación,</w:t>
      </w:r>
      <w:r>
        <w:rPr>
          <w:w w:val="105"/>
          <w:sz w:val="22"/>
          <w:szCs w:val="22"/>
          <w:lang w:val="es-AR"/>
        </w:rPr>
        <w:t xml:space="preserve"> se</w:t>
      </w:r>
      <w:r w:rsidRPr="001B37C6">
        <w:rPr>
          <w:w w:val="105"/>
          <w:sz w:val="22"/>
          <w:szCs w:val="22"/>
          <w:lang w:val="es-AR"/>
        </w:rPr>
        <w:t xml:space="preserve"> detalla la problemática vinculada a la descarga de efluentes cloacales</w:t>
      </w:r>
      <w:r w:rsidRPr="001B37C6">
        <w:rPr>
          <w:spacing w:val="-4"/>
          <w:w w:val="105"/>
          <w:sz w:val="22"/>
          <w:szCs w:val="22"/>
          <w:lang w:val="es-AR"/>
        </w:rPr>
        <w:t xml:space="preserve"> </w:t>
      </w:r>
      <w:r w:rsidRPr="001B37C6">
        <w:rPr>
          <w:w w:val="105"/>
          <w:sz w:val="22"/>
          <w:szCs w:val="22"/>
          <w:lang w:val="es-AR"/>
        </w:rPr>
        <w:t>en</w:t>
      </w:r>
      <w:r w:rsidRPr="001B37C6">
        <w:rPr>
          <w:spacing w:val="-6"/>
          <w:w w:val="105"/>
          <w:sz w:val="22"/>
          <w:szCs w:val="22"/>
          <w:lang w:val="es-AR"/>
        </w:rPr>
        <w:t xml:space="preserve"> </w:t>
      </w:r>
      <w:r w:rsidRPr="001B37C6">
        <w:rPr>
          <w:w w:val="105"/>
          <w:sz w:val="22"/>
          <w:szCs w:val="22"/>
          <w:lang w:val="es-AR"/>
        </w:rPr>
        <w:t>Berazategui</w:t>
      </w:r>
      <w:r w:rsidRPr="001B37C6">
        <w:rPr>
          <w:spacing w:val="-4"/>
          <w:w w:val="105"/>
          <w:sz w:val="22"/>
          <w:szCs w:val="22"/>
          <w:lang w:val="es-AR"/>
        </w:rPr>
        <w:t xml:space="preserve"> </w:t>
      </w:r>
      <w:r w:rsidRPr="001B37C6">
        <w:rPr>
          <w:w w:val="105"/>
          <w:sz w:val="22"/>
          <w:szCs w:val="22"/>
          <w:lang w:val="es-AR"/>
        </w:rPr>
        <w:t>y</w:t>
      </w:r>
      <w:r w:rsidRPr="001B37C6">
        <w:rPr>
          <w:spacing w:val="-11"/>
          <w:w w:val="105"/>
          <w:sz w:val="22"/>
          <w:szCs w:val="22"/>
          <w:lang w:val="es-AR"/>
        </w:rPr>
        <w:t xml:space="preserve"> </w:t>
      </w:r>
      <w:r w:rsidRPr="001B37C6">
        <w:rPr>
          <w:w w:val="105"/>
          <w:sz w:val="22"/>
          <w:szCs w:val="22"/>
          <w:lang w:val="es-AR"/>
        </w:rPr>
        <w:t>desarrolla</w:t>
      </w:r>
      <w:r w:rsidRPr="001B37C6">
        <w:rPr>
          <w:spacing w:val="-4"/>
          <w:w w:val="105"/>
          <w:sz w:val="22"/>
          <w:szCs w:val="22"/>
          <w:lang w:val="es-AR"/>
        </w:rPr>
        <w:t xml:space="preserve"> </w:t>
      </w:r>
      <w:r w:rsidRPr="001B37C6">
        <w:rPr>
          <w:w w:val="105"/>
          <w:sz w:val="22"/>
          <w:szCs w:val="22"/>
          <w:lang w:val="es-AR"/>
        </w:rPr>
        <w:t>el</w:t>
      </w:r>
      <w:r w:rsidRPr="001B37C6">
        <w:rPr>
          <w:spacing w:val="-7"/>
          <w:w w:val="105"/>
          <w:sz w:val="22"/>
          <w:szCs w:val="22"/>
          <w:lang w:val="es-AR"/>
        </w:rPr>
        <w:t xml:space="preserve"> </w:t>
      </w:r>
      <w:r w:rsidRPr="001B37C6">
        <w:rPr>
          <w:w w:val="105"/>
          <w:sz w:val="22"/>
          <w:szCs w:val="22"/>
          <w:lang w:val="es-AR"/>
        </w:rPr>
        <w:t>análisis</w:t>
      </w:r>
      <w:r w:rsidRPr="001B37C6">
        <w:rPr>
          <w:spacing w:val="-4"/>
          <w:w w:val="105"/>
          <w:sz w:val="22"/>
          <w:szCs w:val="22"/>
          <w:lang w:val="es-AR"/>
        </w:rPr>
        <w:t xml:space="preserve"> </w:t>
      </w:r>
      <w:r w:rsidRPr="001B37C6">
        <w:rPr>
          <w:w w:val="105"/>
          <w:sz w:val="22"/>
          <w:szCs w:val="22"/>
          <w:lang w:val="es-AR"/>
        </w:rPr>
        <w:t>técnico</w:t>
      </w:r>
      <w:r w:rsidRPr="001B37C6">
        <w:rPr>
          <w:spacing w:val="-6"/>
          <w:w w:val="105"/>
          <w:sz w:val="22"/>
          <w:szCs w:val="22"/>
          <w:lang w:val="es-AR"/>
        </w:rPr>
        <w:t xml:space="preserve"> </w:t>
      </w:r>
      <w:r w:rsidRPr="001B37C6">
        <w:rPr>
          <w:w w:val="105"/>
          <w:sz w:val="22"/>
          <w:szCs w:val="22"/>
          <w:lang w:val="es-AR"/>
        </w:rPr>
        <w:t>y</w:t>
      </w:r>
      <w:r w:rsidRPr="001B37C6">
        <w:rPr>
          <w:spacing w:val="-8"/>
          <w:w w:val="105"/>
          <w:sz w:val="22"/>
          <w:szCs w:val="22"/>
          <w:lang w:val="es-AR"/>
        </w:rPr>
        <w:t xml:space="preserve"> </w:t>
      </w:r>
      <w:r w:rsidRPr="001B37C6">
        <w:rPr>
          <w:w w:val="105"/>
          <w:sz w:val="22"/>
          <w:szCs w:val="22"/>
          <w:lang w:val="es-AR"/>
        </w:rPr>
        <w:t>económico</w:t>
      </w:r>
      <w:r w:rsidRPr="001B37C6">
        <w:rPr>
          <w:spacing w:val="-4"/>
          <w:w w:val="105"/>
          <w:sz w:val="22"/>
          <w:szCs w:val="22"/>
          <w:lang w:val="es-AR"/>
        </w:rPr>
        <w:t xml:space="preserve"> </w:t>
      </w:r>
      <w:r w:rsidRPr="001B37C6">
        <w:rPr>
          <w:w w:val="105"/>
          <w:sz w:val="22"/>
          <w:szCs w:val="22"/>
          <w:lang w:val="es-AR"/>
        </w:rPr>
        <w:t>de</w:t>
      </w:r>
      <w:r w:rsidRPr="001B37C6">
        <w:rPr>
          <w:spacing w:val="-6"/>
          <w:w w:val="105"/>
          <w:sz w:val="22"/>
          <w:szCs w:val="22"/>
          <w:lang w:val="es-AR"/>
        </w:rPr>
        <w:t xml:space="preserve"> </w:t>
      </w:r>
      <w:r w:rsidRPr="001B37C6">
        <w:rPr>
          <w:w w:val="105"/>
          <w:sz w:val="22"/>
          <w:szCs w:val="22"/>
          <w:lang w:val="es-AR"/>
        </w:rPr>
        <w:t>dos</w:t>
      </w:r>
      <w:r w:rsidRPr="001B37C6">
        <w:rPr>
          <w:spacing w:val="-7"/>
          <w:w w:val="105"/>
          <w:sz w:val="22"/>
          <w:szCs w:val="22"/>
          <w:lang w:val="es-AR"/>
        </w:rPr>
        <w:t xml:space="preserve"> </w:t>
      </w:r>
      <w:r w:rsidRPr="001B37C6">
        <w:rPr>
          <w:w w:val="105"/>
          <w:sz w:val="22"/>
          <w:szCs w:val="22"/>
          <w:lang w:val="es-AR"/>
        </w:rPr>
        <w:t>variantes tecnológicas para el tratamiento de los efluentes que llegan a la actual Planta de Pretratamiento del Bicentenario. Se pretende una mejora sustancial del impacto ambiental de la descarga con un mínimo</w:t>
      </w:r>
      <w:r w:rsidRPr="001B37C6">
        <w:rPr>
          <w:spacing w:val="-8"/>
          <w:w w:val="105"/>
          <w:sz w:val="22"/>
          <w:szCs w:val="22"/>
          <w:lang w:val="es-AR"/>
        </w:rPr>
        <w:t xml:space="preserve"> </w:t>
      </w:r>
      <w:r w:rsidRPr="001B37C6">
        <w:rPr>
          <w:w w:val="105"/>
          <w:sz w:val="22"/>
          <w:szCs w:val="22"/>
          <w:lang w:val="es-AR"/>
        </w:rPr>
        <w:t>costo</w:t>
      </w:r>
      <w:r w:rsidRPr="001B37C6">
        <w:rPr>
          <w:spacing w:val="-8"/>
          <w:w w:val="105"/>
          <w:sz w:val="22"/>
          <w:szCs w:val="22"/>
          <w:lang w:val="es-AR"/>
        </w:rPr>
        <w:t xml:space="preserve"> </w:t>
      </w:r>
      <w:r w:rsidRPr="001B37C6">
        <w:rPr>
          <w:w w:val="105"/>
          <w:sz w:val="22"/>
          <w:szCs w:val="22"/>
          <w:lang w:val="es-AR"/>
        </w:rPr>
        <w:t>de</w:t>
      </w:r>
      <w:r w:rsidRPr="001B37C6">
        <w:rPr>
          <w:spacing w:val="-8"/>
          <w:w w:val="105"/>
          <w:sz w:val="22"/>
          <w:szCs w:val="22"/>
          <w:lang w:val="es-AR"/>
        </w:rPr>
        <w:t xml:space="preserve"> </w:t>
      </w:r>
      <w:r w:rsidRPr="001B37C6">
        <w:rPr>
          <w:w w:val="105"/>
          <w:sz w:val="22"/>
          <w:szCs w:val="22"/>
          <w:lang w:val="es-AR"/>
        </w:rPr>
        <w:t>inversión,</w:t>
      </w:r>
      <w:r w:rsidRPr="001B37C6">
        <w:rPr>
          <w:spacing w:val="-7"/>
          <w:w w:val="105"/>
          <w:sz w:val="22"/>
          <w:szCs w:val="22"/>
          <w:lang w:val="es-AR"/>
        </w:rPr>
        <w:t xml:space="preserve"> </w:t>
      </w:r>
      <w:r w:rsidRPr="001B37C6">
        <w:rPr>
          <w:w w:val="105"/>
          <w:sz w:val="22"/>
          <w:szCs w:val="22"/>
          <w:lang w:val="es-AR"/>
        </w:rPr>
        <w:t>satisfaciendo</w:t>
      </w:r>
      <w:r w:rsidRPr="001B37C6">
        <w:rPr>
          <w:spacing w:val="-8"/>
          <w:w w:val="105"/>
          <w:sz w:val="22"/>
          <w:szCs w:val="22"/>
          <w:lang w:val="es-AR"/>
        </w:rPr>
        <w:t xml:space="preserve"> </w:t>
      </w:r>
      <w:r w:rsidRPr="001B37C6">
        <w:rPr>
          <w:w w:val="105"/>
          <w:sz w:val="22"/>
          <w:szCs w:val="22"/>
          <w:lang w:val="es-AR"/>
        </w:rPr>
        <w:t>una</w:t>
      </w:r>
      <w:r w:rsidRPr="001B37C6">
        <w:rPr>
          <w:spacing w:val="-8"/>
          <w:w w:val="105"/>
          <w:sz w:val="22"/>
          <w:szCs w:val="22"/>
          <w:lang w:val="es-AR"/>
        </w:rPr>
        <w:t xml:space="preserve"> </w:t>
      </w:r>
      <w:r w:rsidRPr="001B37C6">
        <w:rPr>
          <w:w w:val="105"/>
          <w:sz w:val="22"/>
          <w:szCs w:val="22"/>
          <w:lang w:val="es-AR"/>
        </w:rPr>
        <w:t>demanda</w:t>
      </w:r>
      <w:r w:rsidRPr="001B37C6">
        <w:rPr>
          <w:spacing w:val="-8"/>
          <w:w w:val="105"/>
          <w:sz w:val="22"/>
          <w:szCs w:val="22"/>
          <w:lang w:val="es-AR"/>
        </w:rPr>
        <w:t xml:space="preserve"> </w:t>
      </w:r>
      <w:r w:rsidRPr="001B37C6">
        <w:rPr>
          <w:w w:val="105"/>
          <w:sz w:val="22"/>
          <w:szCs w:val="22"/>
          <w:lang w:val="es-AR"/>
        </w:rPr>
        <w:t>social que se ha manifestado institucionalmente tanto a través del Poder Judicial (Jurisprudencia) como del Poder Ejecutivo (Convenio PEN – Municipalidad de Berazategui – AASA y decreto ratificatorio). Por otro lado la mitigación del impacto ambiental de la descarga es una obligación establecida por la Constitución Nacional, Leyes Nacionales, Leyes Provinciales y reglamentaciones específicas. El análisis realizado permite concluir que la alternativa propuesta de construcción de nuevo emisario para completar un sistema de Tratamiento por Dilución propuesto por AySA resulta la más conveniente en términos tanto económicos – sociales como técnicos, siendo</w:t>
      </w:r>
      <w:r w:rsidRPr="001B37C6">
        <w:rPr>
          <w:spacing w:val="-13"/>
          <w:w w:val="105"/>
          <w:sz w:val="22"/>
          <w:szCs w:val="22"/>
          <w:lang w:val="es-AR"/>
        </w:rPr>
        <w:t xml:space="preserve"> </w:t>
      </w:r>
      <w:r w:rsidRPr="001B37C6">
        <w:rPr>
          <w:w w:val="105"/>
          <w:sz w:val="22"/>
          <w:szCs w:val="22"/>
          <w:lang w:val="es-AR"/>
        </w:rPr>
        <w:t>recomendable</w:t>
      </w:r>
      <w:r w:rsidRPr="001B37C6">
        <w:rPr>
          <w:spacing w:val="-16"/>
          <w:w w:val="105"/>
          <w:sz w:val="22"/>
          <w:szCs w:val="22"/>
          <w:lang w:val="es-AR"/>
        </w:rPr>
        <w:t xml:space="preserve"> </w:t>
      </w:r>
      <w:r w:rsidRPr="001B37C6">
        <w:rPr>
          <w:w w:val="105"/>
          <w:sz w:val="22"/>
          <w:szCs w:val="22"/>
          <w:lang w:val="es-AR"/>
        </w:rPr>
        <w:t>la</w:t>
      </w:r>
      <w:r w:rsidRPr="001B37C6">
        <w:rPr>
          <w:spacing w:val="-16"/>
          <w:w w:val="105"/>
          <w:sz w:val="22"/>
          <w:szCs w:val="22"/>
          <w:lang w:val="es-AR"/>
        </w:rPr>
        <w:t xml:space="preserve"> </w:t>
      </w:r>
      <w:r w:rsidRPr="001B37C6">
        <w:rPr>
          <w:w w:val="105"/>
          <w:sz w:val="22"/>
          <w:szCs w:val="22"/>
          <w:lang w:val="es-AR"/>
        </w:rPr>
        <w:t>ejecución</w:t>
      </w:r>
      <w:r w:rsidRPr="001B37C6">
        <w:rPr>
          <w:spacing w:val="-13"/>
          <w:w w:val="105"/>
          <w:sz w:val="22"/>
          <w:szCs w:val="22"/>
          <w:lang w:val="es-AR"/>
        </w:rPr>
        <w:t xml:space="preserve"> </w:t>
      </w:r>
      <w:r w:rsidRPr="001B37C6">
        <w:rPr>
          <w:w w:val="105"/>
          <w:sz w:val="22"/>
          <w:szCs w:val="22"/>
          <w:lang w:val="es-AR"/>
        </w:rPr>
        <w:t>de</w:t>
      </w:r>
      <w:r w:rsidRPr="001B37C6">
        <w:rPr>
          <w:spacing w:val="-17"/>
          <w:w w:val="105"/>
          <w:sz w:val="22"/>
          <w:szCs w:val="22"/>
          <w:lang w:val="es-AR"/>
        </w:rPr>
        <w:t xml:space="preserve"> </w:t>
      </w:r>
      <w:r w:rsidRPr="001B37C6">
        <w:rPr>
          <w:w w:val="105"/>
          <w:sz w:val="22"/>
          <w:szCs w:val="22"/>
          <w:lang w:val="es-AR"/>
        </w:rPr>
        <w:t>la</w:t>
      </w:r>
      <w:r w:rsidRPr="001B37C6">
        <w:rPr>
          <w:spacing w:val="-16"/>
          <w:w w:val="105"/>
          <w:sz w:val="22"/>
          <w:szCs w:val="22"/>
          <w:lang w:val="es-AR"/>
        </w:rPr>
        <w:t xml:space="preserve"> </w:t>
      </w:r>
      <w:r w:rsidRPr="001B37C6">
        <w:rPr>
          <w:w w:val="105"/>
          <w:sz w:val="22"/>
          <w:szCs w:val="22"/>
          <w:lang w:val="es-AR"/>
        </w:rPr>
        <w:t>obra</w:t>
      </w:r>
      <w:r w:rsidRPr="001B37C6">
        <w:rPr>
          <w:spacing w:val="-16"/>
          <w:w w:val="105"/>
          <w:sz w:val="22"/>
          <w:szCs w:val="22"/>
          <w:lang w:val="es-AR"/>
        </w:rPr>
        <w:t xml:space="preserve"> </w:t>
      </w:r>
      <w:r w:rsidRPr="001B37C6">
        <w:rPr>
          <w:w w:val="105"/>
          <w:sz w:val="22"/>
          <w:szCs w:val="22"/>
          <w:lang w:val="es-AR"/>
        </w:rPr>
        <w:t>bajo</w:t>
      </w:r>
      <w:r w:rsidRPr="001B37C6">
        <w:rPr>
          <w:spacing w:val="-16"/>
          <w:w w:val="105"/>
          <w:sz w:val="22"/>
          <w:szCs w:val="22"/>
          <w:lang w:val="es-AR"/>
        </w:rPr>
        <w:t xml:space="preserve"> </w:t>
      </w:r>
      <w:r w:rsidRPr="001B37C6">
        <w:rPr>
          <w:w w:val="105"/>
          <w:sz w:val="22"/>
          <w:szCs w:val="22"/>
          <w:lang w:val="es-AR"/>
        </w:rPr>
        <w:t>tal</w:t>
      </w:r>
      <w:r w:rsidRPr="001B37C6">
        <w:rPr>
          <w:spacing w:val="-17"/>
          <w:w w:val="105"/>
          <w:sz w:val="22"/>
          <w:szCs w:val="22"/>
          <w:lang w:val="es-AR"/>
        </w:rPr>
        <w:t xml:space="preserve"> </w:t>
      </w:r>
      <w:r w:rsidRPr="001B37C6">
        <w:rPr>
          <w:w w:val="105"/>
          <w:sz w:val="22"/>
          <w:szCs w:val="22"/>
          <w:lang w:val="es-AR"/>
        </w:rPr>
        <w:t>modalidad</w:t>
      </w:r>
      <w:r w:rsidRPr="001B37C6">
        <w:rPr>
          <w:spacing w:val="-13"/>
          <w:w w:val="105"/>
          <w:sz w:val="22"/>
          <w:szCs w:val="22"/>
          <w:lang w:val="es-AR"/>
        </w:rPr>
        <w:t xml:space="preserve"> </w:t>
      </w:r>
      <w:r w:rsidRPr="001B37C6">
        <w:rPr>
          <w:w w:val="105"/>
          <w:sz w:val="22"/>
          <w:szCs w:val="22"/>
          <w:lang w:val="es-AR"/>
        </w:rPr>
        <w:t>tecnológica.</w:t>
      </w:r>
    </w:p>
    <w:p w14:paraId="31A2B1F1" w14:textId="77777777" w:rsidR="00A95DF9" w:rsidRPr="00573E67" w:rsidRDefault="00A95DF9" w:rsidP="0087147E">
      <w:pPr>
        <w:spacing w:before="240" w:line="360" w:lineRule="auto"/>
      </w:pPr>
      <w:r w:rsidRPr="00573E67">
        <w:br w:type="page"/>
      </w:r>
    </w:p>
    <w:p w14:paraId="49913867" w14:textId="77777777" w:rsidR="00A95DF9" w:rsidRPr="00573E67" w:rsidRDefault="00A95DF9" w:rsidP="0087147E">
      <w:pPr>
        <w:spacing w:before="240" w:line="360" w:lineRule="auto"/>
      </w:pPr>
    </w:p>
    <w:p w14:paraId="632D96B1" w14:textId="2ED2347C" w:rsidR="00A95DF9" w:rsidRPr="00573E67" w:rsidRDefault="00A95DF9" w:rsidP="00224482">
      <w:pPr>
        <w:pStyle w:val="Heading1"/>
      </w:pPr>
      <w:bookmarkStart w:id="252" w:name="_Toc483227410"/>
      <w:bookmarkStart w:id="253" w:name="_Toc485200167"/>
      <w:r w:rsidRPr="00573E67">
        <w:t xml:space="preserve">Capítulo </w:t>
      </w:r>
      <w:r w:rsidR="00222B10">
        <w:t>I</w:t>
      </w:r>
      <w:r w:rsidRPr="00573E67">
        <w:t>: Contexto del proyecto.</w:t>
      </w:r>
      <w:bookmarkEnd w:id="252"/>
      <w:bookmarkEnd w:id="253"/>
    </w:p>
    <w:p w14:paraId="422B911C" w14:textId="77777777" w:rsidR="00A95DF9" w:rsidRPr="00573E67" w:rsidRDefault="00A95DF9" w:rsidP="002B0107">
      <w:pPr>
        <w:pStyle w:val="Heading2"/>
        <w:numPr>
          <w:ilvl w:val="0"/>
          <w:numId w:val="93"/>
        </w:numPr>
      </w:pPr>
      <w:bookmarkStart w:id="254" w:name="_Toc483227411"/>
      <w:bookmarkStart w:id="255" w:name="_Toc485200168"/>
      <w:r w:rsidRPr="00573E67">
        <w:t>Problemática a resolver.</w:t>
      </w:r>
      <w:bookmarkEnd w:id="254"/>
      <w:bookmarkEnd w:id="255"/>
    </w:p>
    <w:p w14:paraId="1C6AC54D" w14:textId="77777777" w:rsidR="00A95DF9" w:rsidRPr="00222B10" w:rsidRDefault="00A95DF9" w:rsidP="00676777">
      <w:pPr>
        <w:spacing w:before="240" w:line="240" w:lineRule="auto"/>
        <w:rPr>
          <w:rFonts w:ascii="Arial" w:hAnsi="Arial" w:cs="Arial"/>
        </w:rPr>
      </w:pPr>
      <w:r w:rsidRPr="00222B10">
        <w:rPr>
          <w:rFonts w:ascii="Arial" w:hAnsi="Arial" w:cs="Arial"/>
        </w:rPr>
        <w:t xml:space="preserve">La problemática que se propone resolver el presente proyecto tiene un carácter fundamentalmente ambiental, vinculado al impacto sobre el Rio de la Plata generado por la disposición de efluentes cloacales a través del emisario Berazategui. La contaminación costera del Río de la Plata es un problema que atañe al menos a la franja costera limitada por la costa de Tigre en el Norte y la costa de Punta Lara en el sur, aunque la disposición de efluentes del actual emisario en Berazategui afecta a solo un tramo de la misma delimitado por la costa del partido de Quilmes en el norte y por la costa de Punta Lara hacia el sur. </w:t>
      </w:r>
    </w:p>
    <w:p w14:paraId="471FE48D" w14:textId="77777777" w:rsidR="00A95DF9" w:rsidRPr="00222B10" w:rsidRDefault="00A95DF9" w:rsidP="00676777">
      <w:pPr>
        <w:spacing w:before="240" w:line="240" w:lineRule="auto"/>
        <w:rPr>
          <w:rFonts w:ascii="Arial" w:eastAsia="Calibri" w:hAnsi="Arial" w:cs="Arial"/>
        </w:rPr>
      </w:pPr>
      <w:r w:rsidRPr="00222B10">
        <w:rPr>
          <w:rFonts w:ascii="Arial" w:eastAsia="Calibri" w:hAnsi="Arial" w:cs="Arial"/>
        </w:rPr>
        <w:t xml:space="preserve">Al </w:t>
      </w:r>
      <w:r w:rsidRPr="00676777">
        <w:rPr>
          <w:rFonts w:ascii="Arial" w:hAnsi="Arial" w:cs="Arial"/>
        </w:rPr>
        <w:t>analizar</w:t>
      </w:r>
      <w:r w:rsidRPr="00222B10">
        <w:rPr>
          <w:rFonts w:ascii="Arial" w:eastAsia="Calibri" w:hAnsi="Arial" w:cs="Arial"/>
        </w:rPr>
        <w:t xml:space="preserve"> detalladamente la situación del emisario Berazategui es posible apreciar una “</w:t>
      </w:r>
      <w:r w:rsidRPr="00676777">
        <w:rPr>
          <w:rFonts w:ascii="Arial" w:hAnsi="Arial" w:cs="Arial"/>
        </w:rPr>
        <w:t>pluma</w:t>
      </w:r>
      <w:r w:rsidRPr="00222B10">
        <w:rPr>
          <w:rFonts w:ascii="Arial" w:eastAsia="Calibri" w:hAnsi="Arial" w:cs="Arial"/>
        </w:rPr>
        <w:t>” de contaminación considerable en la zona actual de vertido</w:t>
      </w:r>
      <w:r w:rsidRPr="00222B10">
        <w:rPr>
          <w:rFonts w:ascii="Arial" w:hAnsi="Arial" w:cs="Arial"/>
        </w:rPr>
        <w:t xml:space="preserve"> “pluma” de contaminación de 1,5 kilómetros de largo por 600 metros de ancho en promedio que se produce por el volcamiento de efluentes cloacales de más de 5 millones</w:t>
      </w:r>
      <w:r w:rsidRPr="00222B10">
        <w:rPr>
          <w:rFonts w:ascii="Arial" w:hAnsi="Arial" w:cs="Arial"/>
          <w:color w:val="FF0000"/>
        </w:rPr>
        <w:t xml:space="preserve"> </w:t>
      </w:r>
      <w:r w:rsidRPr="00222B10">
        <w:rPr>
          <w:rFonts w:ascii="Arial" w:hAnsi="Arial" w:cs="Arial"/>
        </w:rPr>
        <w:t xml:space="preserve">de habitantes mediante el actual emisario Berazategui. </w:t>
      </w:r>
    </w:p>
    <w:p w14:paraId="2D8FDD4D" w14:textId="77777777" w:rsidR="00A95DF9" w:rsidRPr="00222B10" w:rsidRDefault="00A95DF9" w:rsidP="00676777">
      <w:pPr>
        <w:spacing w:before="240" w:line="240" w:lineRule="auto"/>
        <w:rPr>
          <w:rFonts w:ascii="Arial" w:hAnsi="Arial" w:cs="Arial"/>
        </w:rPr>
      </w:pPr>
      <w:r w:rsidRPr="00222B10">
        <w:rPr>
          <w:rFonts w:ascii="Arial" w:hAnsi="Arial" w:cs="Arial"/>
        </w:rPr>
        <w:t xml:space="preserve">Dicha pluma se caracteriza por sus dimensiones longitudinales y transversales. La profundidad de la misma no resulta relevante en este caso debido a la baja profundidad general del cuerpo receptor y el carácter más o menos constante de la misma. El parámetro que presenta mayor variabilidad es el de dispersión transversal debido a que el efecto de las mareas hace que las aguas residuales, si bien en términos netos se dirigen hacia el mar abierto, en ocasión de creciente se desplacen en sentido contrario. Durante los cambios de mareas, y en un intervalo de entre 30 y 40 minutos, la dispersión transversal se hace máxima formándose flujos de trayectoria circular. En ciertas ocasiones, y bajo circunstancias extraordinarias, la pluma de contaminación puede alcanzar a la toma de agua cruda de la Planta Potabilizadora Gral. Belgrano (Bernal) afectando y encareciendo el proceso de potabilización. </w:t>
      </w:r>
    </w:p>
    <w:p w14:paraId="032991EB" w14:textId="77777777" w:rsidR="00A95DF9" w:rsidRPr="00222B10" w:rsidRDefault="00A95DF9" w:rsidP="00676777">
      <w:pPr>
        <w:spacing w:before="240" w:line="240" w:lineRule="auto"/>
        <w:rPr>
          <w:rFonts w:ascii="Arial" w:hAnsi="Arial" w:cs="Arial"/>
        </w:rPr>
      </w:pPr>
      <w:r w:rsidRPr="00222B10">
        <w:rPr>
          <w:rFonts w:ascii="Arial" w:hAnsi="Arial" w:cs="Arial"/>
        </w:rPr>
        <w:t xml:space="preserve">Esta problemática ambiental descripta para la franja costera sur del Río de la Plata derivó en una sucesión de causas judiciales en las que se exigía la realización de las obras necesarias para morigerar los efectos contaminantes. Entre tales causas judiciales se destacan las siguientes: “Municipalidad de Berazategui c/Aguas Argentinas S.A. s/Ordinario” (Expte. N° 1694/01), radicada ante el Juzgado Federal de Primera Instancia de La Plata N° 4, Secretaría 11; “Municipalidad de Berazategui c/Aguas Argentinas S.A. s/Ordinario” (Expte. M-2695/03), radicada ante la Corte Suprema de Justicia de la Nación y “Municipalidad de Berazategui c/Aguas Argentinas S.A. s/Ordinario” (Expte. M-2714/03), radicada ante la Corte Suprema de Justicia de la Nación. </w:t>
      </w:r>
    </w:p>
    <w:p w14:paraId="6CCF87A9" w14:textId="77777777" w:rsidR="00A95DF9" w:rsidRPr="00222B10" w:rsidRDefault="00A95DF9" w:rsidP="00676777">
      <w:pPr>
        <w:spacing w:before="240" w:line="240" w:lineRule="auto"/>
        <w:rPr>
          <w:rFonts w:ascii="Arial" w:hAnsi="Arial" w:cs="Arial"/>
        </w:rPr>
      </w:pPr>
      <w:r w:rsidRPr="00222B10">
        <w:rPr>
          <w:rFonts w:ascii="Arial" w:hAnsi="Arial" w:cs="Arial"/>
        </w:rPr>
        <w:t>Ante esta situación, el Poder Judicial de la Nación convocó a los involucrados (Estado Nacional, Municipio de Berazategui y Empresa prestataria del servicio) y propició la firma de un convenio entre las partes a fin de acordar la ejecución de las obras de una planta de pretratamiento, que permite disminuir considerablemente el tamaño de la “pluma” al eliminar las grasas (que se extienden en la superficie) y otros residuos flotantes que afectan hasta la costa del río. Tal convenio fue suscripto por los representantes legales de las partes el 22 de septiembre del año 2004 y ratificado por el Poder Ejecutivo Nacional mediante Decreto 1885/2005 del 22 de diciembre del año 2004.</w:t>
      </w:r>
    </w:p>
    <w:p w14:paraId="70944D70" w14:textId="77777777" w:rsidR="00A95DF9" w:rsidRPr="00222B10" w:rsidRDefault="00A95DF9" w:rsidP="00676777">
      <w:pPr>
        <w:spacing w:before="240" w:line="240" w:lineRule="auto"/>
        <w:rPr>
          <w:rFonts w:ascii="Arial" w:hAnsi="Arial" w:cs="Arial"/>
        </w:rPr>
      </w:pPr>
      <w:r w:rsidRPr="00222B10">
        <w:rPr>
          <w:rFonts w:ascii="Arial" w:hAnsi="Arial" w:cs="Arial"/>
        </w:rPr>
        <w:t>Si bien el servicio de agua y saneamiento fue concesionado en el 2006 a la Empresa AySA S.A., las obligaciones emanadas de tal convenio fueron heredadas por la actual concesionaria. Finalmente, en 2014 se inauguró la “Planta de Pretratamiento Del Bicentenario”, como primera etapa necesaria para resolver la problemática. Sin embargo, la misma debe ser completada, siendo ineludible la implementación de una segunda etapa para alcanzar los estándares ambientales requeridos por la justicia.</w:t>
      </w:r>
    </w:p>
    <w:p w14:paraId="046BB9F4" w14:textId="77777777" w:rsidR="00A95DF9" w:rsidRPr="00573E67" w:rsidRDefault="00A95DF9" w:rsidP="0087147E">
      <w:pPr>
        <w:spacing w:before="240" w:line="360" w:lineRule="auto"/>
      </w:pPr>
    </w:p>
    <w:p w14:paraId="33C96749" w14:textId="77777777" w:rsidR="00A95DF9" w:rsidRPr="00573E67" w:rsidRDefault="00A95DF9" w:rsidP="002B0107">
      <w:pPr>
        <w:pStyle w:val="Heading2"/>
        <w:numPr>
          <w:ilvl w:val="0"/>
          <w:numId w:val="93"/>
        </w:numPr>
      </w:pPr>
      <w:bookmarkStart w:id="256" w:name="_Toc483227412"/>
      <w:bookmarkStart w:id="257" w:name="_Toc485200169"/>
      <w:r w:rsidRPr="00573E67">
        <w:t>Solución propuesta.</w:t>
      </w:r>
      <w:bookmarkEnd w:id="256"/>
      <w:bookmarkEnd w:id="257"/>
    </w:p>
    <w:p w14:paraId="508C2459" w14:textId="77777777" w:rsidR="00A95DF9" w:rsidRPr="00222B10" w:rsidRDefault="00A95DF9" w:rsidP="00676777">
      <w:pPr>
        <w:spacing w:before="240" w:line="240" w:lineRule="auto"/>
        <w:rPr>
          <w:rFonts w:ascii="Arial" w:hAnsi="Arial" w:cs="Arial"/>
        </w:rPr>
      </w:pPr>
      <w:r w:rsidRPr="00222B10">
        <w:rPr>
          <w:rFonts w:ascii="Arial" w:hAnsi="Arial" w:cs="Arial"/>
        </w:rPr>
        <w:t>Salas (2000)</w:t>
      </w:r>
      <w:r w:rsidRPr="00222B10">
        <w:rPr>
          <w:rStyle w:val="FootnoteReference"/>
          <w:rFonts w:ascii="Arial" w:hAnsi="Arial" w:cs="Arial"/>
        </w:rPr>
        <w:footnoteReference w:id="22"/>
      </w:r>
      <w:r w:rsidRPr="00222B10">
        <w:rPr>
          <w:rFonts w:ascii="Arial" w:hAnsi="Arial" w:cs="Arial"/>
          <w:b/>
        </w:rPr>
        <w:t xml:space="preserve"> </w:t>
      </w:r>
      <w:r w:rsidRPr="00222B10">
        <w:rPr>
          <w:rFonts w:ascii="Arial" w:hAnsi="Arial" w:cs="Arial"/>
        </w:rPr>
        <w:t>estudió el dilema sobre cuál es la manera más apropiada de disposición final: la adopción de tratamiento convencional de aguas servidas versus emisarios subacuáticos. Según su trabajo, a excepción de casos especiales, en América Latina no se debe adoptar, a priori, prácticas de algunos países desarrollados que, obedeciendo a razones políticas en vez de técnicas, exigen el tratamiento secundario de aguas residuales. Más bien, en una situación de aguas abiertas, no compleja, los emisarios subfluviales en combinación con tratamiento primario o el pretratamiento sólo para la remoción de material flotante y grasa y aceite posee muchas ventajas sobre las soluciones convencionales que utilizan tratamiento secundario de aguas residuales con descargas más cercanas al litoral.</w:t>
      </w:r>
    </w:p>
    <w:p w14:paraId="6A8378ED" w14:textId="77777777" w:rsidR="00A95DF9" w:rsidRPr="00222B10" w:rsidRDefault="00A95DF9" w:rsidP="00676777">
      <w:pPr>
        <w:spacing w:before="240" w:line="240" w:lineRule="auto"/>
        <w:rPr>
          <w:rFonts w:ascii="Arial" w:hAnsi="Arial" w:cs="Arial"/>
        </w:rPr>
      </w:pPr>
      <w:r w:rsidRPr="00222B10">
        <w:rPr>
          <w:rFonts w:ascii="Arial" w:hAnsi="Arial" w:cs="Arial"/>
        </w:rPr>
        <w:t xml:space="preserve">En este sentido, Salas plantea que es lógico así como económico, que la descarga de las aguas residuales de las ciudades costeras se haga a las aguas costeras adyacentes. Un emisario subacuático diseñado apropiadamente provee de un mecanismo eficaz para la eliminación de estas aguas servidas, pudiéndose alcanzar diluciones inmediatas iniciales del orden de 100 a 1 en forma consistente durante los primeros minutos de descarga, lo que reduce la concentración de materia orgánica y nutrientes a niveles que no tendrían efectos ecológicos significativamente adversos. Asimismo, la mortalidad de bacterias puede reducir aún más los patógenos a niveles comparables, o menores, a aquéllos alcanzados por cloración de los efluentes secundarios. </w:t>
      </w:r>
    </w:p>
    <w:p w14:paraId="50C3085E" w14:textId="77777777" w:rsidR="00A95DF9" w:rsidRPr="00222B10" w:rsidRDefault="00A95DF9" w:rsidP="00676777">
      <w:pPr>
        <w:spacing w:before="240" w:line="240" w:lineRule="auto"/>
        <w:rPr>
          <w:rFonts w:ascii="Arial" w:hAnsi="Arial" w:cs="Arial"/>
        </w:rPr>
      </w:pPr>
      <w:r w:rsidRPr="00222B10">
        <w:rPr>
          <w:rFonts w:ascii="Arial" w:hAnsi="Arial" w:cs="Arial"/>
        </w:rPr>
        <w:t>Un argumento adicional que favorece a los emisarios frente al tratamiento convencional es que los procesos de tratamiento biológico están sujetos frecuentemente a trastornos que podrían resultar en la descarga de aguas residuales crudas en o cerca del litoral. Descontando la falla estructural, lo que raramente se encuentra en diseños modernos, tales descargas no pueden ocurrir con el uso de emisarios submarinos que descargan fuera del litoral.</w:t>
      </w:r>
    </w:p>
    <w:p w14:paraId="6524EA0B" w14:textId="77777777" w:rsidR="00A95DF9" w:rsidRPr="00222B10" w:rsidRDefault="00A95DF9" w:rsidP="0087147E">
      <w:pPr>
        <w:rPr>
          <w:rFonts w:ascii="Arial" w:hAnsi="Arial" w:cs="Arial"/>
        </w:rPr>
      </w:pPr>
    </w:p>
    <w:p w14:paraId="5433976A" w14:textId="42652FED" w:rsidR="00A95DF9" w:rsidRPr="00222B10" w:rsidRDefault="00A95DF9" w:rsidP="002B0107">
      <w:pPr>
        <w:pStyle w:val="Heading2"/>
        <w:numPr>
          <w:ilvl w:val="1"/>
          <w:numId w:val="94"/>
        </w:numPr>
      </w:pPr>
      <w:bookmarkStart w:id="258" w:name="_Toc483227413"/>
      <w:bookmarkStart w:id="259" w:name="_Toc485200170"/>
      <w:r w:rsidRPr="00222B10">
        <w:t>Alternativa 1: Tratamiento por Dilución</w:t>
      </w:r>
      <w:bookmarkEnd w:id="258"/>
      <w:bookmarkEnd w:id="259"/>
    </w:p>
    <w:p w14:paraId="5A449B2B" w14:textId="77777777" w:rsidR="00A95DF9" w:rsidRPr="00222B10" w:rsidRDefault="00A95DF9" w:rsidP="00676777">
      <w:pPr>
        <w:spacing w:before="240" w:line="240" w:lineRule="auto"/>
        <w:rPr>
          <w:rFonts w:ascii="Arial" w:hAnsi="Arial" w:cs="Arial"/>
        </w:rPr>
      </w:pPr>
      <w:r w:rsidRPr="00222B10">
        <w:rPr>
          <w:rFonts w:ascii="Arial" w:hAnsi="Arial" w:cs="Arial"/>
        </w:rPr>
        <w:t xml:space="preserve">La construcción de </w:t>
      </w:r>
      <w:r w:rsidRPr="00222B10">
        <w:rPr>
          <w:rFonts w:ascii="Arial" w:hAnsi="Arial" w:cs="Arial"/>
          <w:b/>
        </w:rPr>
        <w:t>nuevo emisario</w:t>
      </w:r>
      <w:r w:rsidRPr="00222B10">
        <w:rPr>
          <w:rFonts w:ascii="Arial" w:hAnsi="Arial" w:cs="Arial"/>
        </w:rPr>
        <w:t xml:space="preserve"> es necesaria para completar un esquema de proceso de </w:t>
      </w:r>
      <w:r w:rsidRPr="00222B10">
        <w:rPr>
          <w:rFonts w:ascii="Arial" w:hAnsi="Arial" w:cs="Arial"/>
          <w:b/>
        </w:rPr>
        <w:t>“Tratamiento por Dilución”</w:t>
      </w:r>
      <w:r w:rsidRPr="00222B10">
        <w:rPr>
          <w:rFonts w:ascii="Arial" w:hAnsi="Arial" w:cs="Arial"/>
        </w:rPr>
        <w:t>. Este proceso consiste en mezclar, mediante un emisario con difusores, los caudales relativos del Río de la Plata y de la descarga de aguas servidas de Berazategui en proporciones adecuadas para lograr una concentración suficientemente baja en la mezcla, compatible con el poder auto-depurador del medio receptor.</w:t>
      </w:r>
    </w:p>
    <w:p w14:paraId="15019C69" w14:textId="77777777" w:rsidR="00A95DF9" w:rsidRPr="00222B10" w:rsidRDefault="00A95DF9" w:rsidP="0087147E">
      <w:pPr>
        <w:spacing w:before="240" w:line="360" w:lineRule="auto"/>
        <w:rPr>
          <w:rFonts w:ascii="Arial" w:hAnsi="Arial" w:cs="Arial"/>
        </w:rPr>
      </w:pPr>
      <w:r w:rsidRPr="00222B10">
        <w:rPr>
          <w:rFonts w:ascii="Arial" w:hAnsi="Arial" w:cs="Arial"/>
        </w:rPr>
        <w:t>Luego el esquema completo y armónico para lograr ese objetivo está compuesto por:</w:t>
      </w:r>
    </w:p>
    <w:p w14:paraId="79DA2F2C" w14:textId="77777777" w:rsidR="00A95DF9" w:rsidRPr="00222B10" w:rsidRDefault="00A95DF9" w:rsidP="00C4100D">
      <w:pPr>
        <w:pStyle w:val="ListParagraph"/>
        <w:numPr>
          <w:ilvl w:val="0"/>
          <w:numId w:val="80"/>
        </w:numPr>
        <w:spacing w:before="240" w:after="60" w:line="360" w:lineRule="auto"/>
        <w:rPr>
          <w:rFonts w:ascii="Arial" w:hAnsi="Arial" w:cs="Arial"/>
        </w:rPr>
      </w:pPr>
      <w:r w:rsidRPr="00222B10">
        <w:rPr>
          <w:rFonts w:ascii="Arial" w:hAnsi="Arial" w:cs="Arial"/>
        </w:rPr>
        <w:t>Un pretratamiento (ya dado por la Planta Del Bicentenario), conformado por bandas de tamices de desbaste fino (</w:t>
      </w:r>
      <w:smartTag w:uri="urn:schemas-microsoft-com:office:smarttags" w:element="metricconverter">
        <w:smartTagPr>
          <w:attr w:name="ProductID" w:val="6 mm"/>
        </w:smartTagPr>
        <w:r w:rsidRPr="00222B10">
          <w:rPr>
            <w:rFonts w:ascii="Arial" w:hAnsi="Arial" w:cs="Arial"/>
          </w:rPr>
          <w:t>6 mm</w:t>
        </w:r>
      </w:smartTag>
      <w:r w:rsidRPr="00222B10">
        <w:rPr>
          <w:rFonts w:ascii="Arial" w:hAnsi="Arial" w:cs="Arial"/>
        </w:rPr>
        <w:t>) y desarenadores – desengrasadores, que permite adecuar el efluente al tratamiento por dilución eliminando los elementos que escaparían a la dilución y que sirve además para proteger a las instalaciones de difusión.</w:t>
      </w:r>
    </w:p>
    <w:p w14:paraId="4250B2AE" w14:textId="77777777" w:rsidR="00A95DF9" w:rsidRPr="00222B10" w:rsidRDefault="00A95DF9" w:rsidP="00C4100D">
      <w:pPr>
        <w:pStyle w:val="ListParagraph"/>
        <w:numPr>
          <w:ilvl w:val="0"/>
          <w:numId w:val="80"/>
        </w:numPr>
        <w:spacing w:before="240" w:after="60" w:line="360" w:lineRule="auto"/>
        <w:rPr>
          <w:rFonts w:ascii="Arial" w:hAnsi="Arial" w:cs="Arial"/>
        </w:rPr>
      </w:pPr>
      <w:r w:rsidRPr="00222B10">
        <w:rPr>
          <w:rFonts w:ascii="Arial" w:hAnsi="Arial" w:cs="Arial"/>
        </w:rPr>
        <w:t>Una estación de bombeo para dar la carga necesaria para el escurrimiento en el emisario y la energía para la difusión.</w:t>
      </w:r>
    </w:p>
    <w:p w14:paraId="2CE39541" w14:textId="77777777" w:rsidR="00A95DF9" w:rsidRPr="00222B10" w:rsidRDefault="00A95DF9" w:rsidP="00C4100D">
      <w:pPr>
        <w:pStyle w:val="ListParagraph"/>
        <w:numPr>
          <w:ilvl w:val="0"/>
          <w:numId w:val="80"/>
        </w:numPr>
        <w:spacing w:before="240" w:after="60" w:line="360" w:lineRule="auto"/>
        <w:rPr>
          <w:rFonts w:ascii="Arial" w:hAnsi="Arial" w:cs="Arial"/>
        </w:rPr>
      </w:pPr>
      <w:r w:rsidRPr="00222B10">
        <w:rPr>
          <w:rFonts w:ascii="Arial" w:hAnsi="Arial" w:cs="Arial"/>
        </w:rPr>
        <w:t xml:space="preserve">Un emisario subacuático con dispositivo de difusión del efluente en el río, que realiza el proceso de dilución. El mismo se constituye por un conducto que parte desde la costa en forma aproximadamente perpendicular a la misma, internándose </w:t>
      </w:r>
      <w:smartTag w:uri="urn:schemas-microsoft-com:office:smarttags" w:element="metricconverter">
        <w:smartTagPr>
          <w:attr w:name="ProductID" w:val="7500 m"/>
        </w:smartTagPr>
        <w:r w:rsidRPr="00222B10">
          <w:rPr>
            <w:rFonts w:ascii="Arial" w:hAnsi="Arial" w:cs="Arial"/>
          </w:rPr>
          <w:t>7500 m</w:t>
        </w:r>
      </w:smartTag>
      <w:r w:rsidRPr="00222B10">
        <w:rPr>
          <w:rFonts w:ascii="Arial" w:hAnsi="Arial" w:cs="Arial"/>
        </w:rPr>
        <w:t xml:space="preserve"> en el río, con difusores distribuidos en los últimos </w:t>
      </w:r>
      <w:smartTag w:uri="urn:schemas-microsoft-com:office:smarttags" w:element="metricconverter">
        <w:smartTagPr>
          <w:attr w:name="ProductID" w:val="1500 m"/>
        </w:smartTagPr>
        <w:r w:rsidRPr="00222B10">
          <w:rPr>
            <w:rFonts w:ascii="Arial" w:hAnsi="Arial" w:cs="Arial"/>
          </w:rPr>
          <w:t>1500 m</w:t>
        </w:r>
      </w:smartTag>
      <w:r w:rsidRPr="00222B10">
        <w:rPr>
          <w:rFonts w:ascii="Arial" w:hAnsi="Arial" w:cs="Arial"/>
        </w:rPr>
        <w:t xml:space="preserve"> del conducto.</w:t>
      </w:r>
    </w:p>
    <w:p w14:paraId="31E1A280" w14:textId="77777777" w:rsidR="00A95DF9" w:rsidRPr="00222B10" w:rsidRDefault="00A95DF9" w:rsidP="0087147E">
      <w:pPr>
        <w:pStyle w:val="ListParagraph"/>
        <w:spacing w:before="240" w:after="60" w:line="360" w:lineRule="auto"/>
        <w:ind w:left="0"/>
        <w:rPr>
          <w:rFonts w:ascii="Arial" w:hAnsi="Arial" w:cs="Arial"/>
        </w:rPr>
      </w:pPr>
    </w:p>
    <w:p w14:paraId="3823D1B5" w14:textId="3AEE6F0B" w:rsidR="00A95DF9" w:rsidRPr="00222B10" w:rsidRDefault="00A95DF9" w:rsidP="002B0107">
      <w:pPr>
        <w:pStyle w:val="Heading2"/>
        <w:numPr>
          <w:ilvl w:val="1"/>
          <w:numId w:val="94"/>
        </w:numPr>
      </w:pPr>
      <w:bookmarkStart w:id="260" w:name="_Toc483227414"/>
      <w:bookmarkStart w:id="261" w:name="_Toc485200171"/>
      <w:r w:rsidRPr="00222B10">
        <w:t>Alternativa 2: Planta de tratamiento en dos etapas</w:t>
      </w:r>
      <w:bookmarkEnd w:id="260"/>
      <w:bookmarkEnd w:id="261"/>
    </w:p>
    <w:p w14:paraId="5130D1FD" w14:textId="77777777" w:rsidR="00A95DF9" w:rsidRPr="00222B10" w:rsidRDefault="00A95DF9" w:rsidP="00676777">
      <w:pPr>
        <w:spacing w:before="240" w:line="240" w:lineRule="auto"/>
        <w:rPr>
          <w:rFonts w:ascii="Arial" w:hAnsi="Arial" w:cs="Arial"/>
        </w:rPr>
      </w:pPr>
      <w:r w:rsidRPr="00222B10">
        <w:rPr>
          <w:rFonts w:ascii="Arial" w:hAnsi="Arial" w:cs="Arial"/>
        </w:rPr>
        <w:t>La alternativa al esquema de Tratamiento por Dilución estudiada consiste en transformar la planta de pretratamiento Del Bicentenario en una planta de tratamiento en dos etapas, primario y secundario, asegurando una calidad de líquido de salida que permitiese seguir operando con el Emisario actual de menor longitud sin construir un nuevo conducto.</w:t>
      </w:r>
    </w:p>
    <w:p w14:paraId="58F4AA74" w14:textId="77777777" w:rsidR="00A95DF9" w:rsidRPr="00573E67" w:rsidRDefault="00A95DF9" w:rsidP="0087147E">
      <w:pPr>
        <w:spacing w:before="240" w:line="360" w:lineRule="auto"/>
      </w:pPr>
    </w:p>
    <w:p w14:paraId="3D3C1249" w14:textId="77777777" w:rsidR="00A95DF9" w:rsidRPr="00573E67" w:rsidRDefault="00A95DF9" w:rsidP="002B0107">
      <w:pPr>
        <w:pStyle w:val="Heading2"/>
        <w:numPr>
          <w:ilvl w:val="0"/>
          <w:numId w:val="93"/>
        </w:numPr>
      </w:pPr>
      <w:bookmarkStart w:id="262" w:name="_Toc483227415"/>
      <w:bookmarkStart w:id="263" w:name="_Toc485200172"/>
      <w:r w:rsidRPr="00573E67">
        <w:t>Beneficiarios</w:t>
      </w:r>
      <w:bookmarkEnd w:id="262"/>
      <w:bookmarkEnd w:id="263"/>
    </w:p>
    <w:p w14:paraId="449654CF" w14:textId="77777777" w:rsidR="00A95DF9" w:rsidRPr="00222B10" w:rsidRDefault="00A95DF9" w:rsidP="00676777">
      <w:pPr>
        <w:spacing w:before="240" w:line="240" w:lineRule="auto"/>
        <w:rPr>
          <w:rFonts w:ascii="Arial" w:hAnsi="Arial" w:cs="Arial"/>
          <w:b/>
          <w:u w:val="single"/>
        </w:rPr>
      </w:pPr>
      <w:r w:rsidRPr="00222B10">
        <w:rPr>
          <w:rFonts w:ascii="Arial" w:hAnsi="Arial" w:cs="Arial"/>
        </w:rPr>
        <w:t>Los beneficiarios directos actuales localizados dentro de la concesión de AySA alcanzan los 5.064.000 habitantes, e involucra a la Ciudad Autónoma de Buenos Aires y a los partidos de San Isidro, San Martin, Vicente López, La Matanza, Morón, Hurlimgham, Tres de Febrero, Almirante Brown, Esteban Echeverría, Lomas de Zamora, Avellaneda, Lanús y Quilmes. Las expansiones previstas para redes de desagües cloacales permiten contabilizar otros 7.000.000 de habitantes como futuros beneficiarios directos localizados dentro  de la concesión de AySA. A su vez, se contabilizan 200.000 habitantes como beneficiarios directos localizados fuera del área de concesión de AySA, provenientes de los partidos Berazategui y Florencio Varela.</w:t>
      </w:r>
    </w:p>
    <w:p w14:paraId="56405E51" w14:textId="77777777" w:rsidR="00A95DF9" w:rsidRPr="00573E67" w:rsidRDefault="00A95DF9" w:rsidP="0087147E">
      <w:pPr>
        <w:spacing w:before="240" w:line="360" w:lineRule="auto"/>
      </w:pPr>
    </w:p>
    <w:p w14:paraId="7E6F3073" w14:textId="77777777" w:rsidR="00A95DF9" w:rsidRPr="00573E67" w:rsidRDefault="00A95DF9" w:rsidP="002B0107">
      <w:pPr>
        <w:pStyle w:val="Heading2"/>
        <w:numPr>
          <w:ilvl w:val="0"/>
          <w:numId w:val="93"/>
        </w:numPr>
      </w:pPr>
      <w:bookmarkStart w:id="264" w:name="_Toc483227416"/>
      <w:bookmarkStart w:id="265" w:name="_Toc485200173"/>
      <w:r w:rsidRPr="00573E67">
        <w:t>Metodología de evaluación adoptada.</w:t>
      </w:r>
      <w:bookmarkEnd w:id="264"/>
      <w:bookmarkEnd w:id="265"/>
    </w:p>
    <w:p w14:paraId="0AA2A29E" w14:textId="77777777" w:rsidR="00A95DF9" w:rsidRPr="00222B10" w:rsidRDefault="00A95DF9" w:rsidP="00676777">
      <w:pPr>
        <w:spacing w:before="240" w:line="240" w:lineRule="auto"/>
        <w:rPr>
          <w:rFonts w:ascii="Arial" w:hAnsi="Arial" w:cs="Arial"/>
        </w:rPr>
      </w:pPr>
      <w:r w:rsidRPr="00222B10">
        <w:rPr>
          <w:rFonts w:ascii="Arial" w:hAnsi="Arial" w:cs="Arial"/>
        </w:rPr>
        <w:t>En la presente evaluación económica se utilizaron dos tipos de análisis: de minimización de costos y de costo-efectividad. La diferencia entre ellos radica esencialmente en la forma de medir las consecuencias de las soluciones evaluadas.</w:t>
      </w:r>
    </w:p>
    <w:p w14:paraId="1C453E2C" w14:textId="77777777" w:rsidR="00A95DF9" w:rsidRPr="00222B10" w:rsidRDefault="00A95DF9" w:rsidP="00676777">
      <w:pPr>
        <w:spacing w:before="240" w:line="240" w:lineRule="auto"/>
        <w:rPr>
          <w:rFonts w:ascii="Arial" w:hAnsi="Arial" w:cs="Arial"/>
        </w:rPr>
      </w:pPr>
      <w:r w:rsidRPr="00222B10">
        <w:rPr>
          <w:rFonts w:ascii="Arial" w:hAnsi="Arial" w:cs="Arial"/>
          <w:b/>
          <w:bCs/>
        </w:rPr>
        <w:t>Análisis de minimización de costos</w:t>
      </w:r>
      <w:r w:rsidRPr="00222B10">
        <w:rPr>
          <w:rFonts w:ascii="Arial" w:hAnsi="Arial" w:cs="Arial"/>
        </w:rPr>
        <w:t>. En este tipo de análisis la consecuencia de dos o más alternativas de solución debe ser la misma, evaluándose solamente el costo de ambas (p.e.: evaluación de dos tecnologías de tratamiento de efluentes: sistemas de lagunaje y dilución en cuerpo receptor. El resultado en ambas es el mismo: la disposición final de los efluentes con un bajo impacto ambiental).</w:t>
      </w:r>
    </w:p>
    <w:p w14:paraId="276EEF5C" w14:textId="77777777" w:rsidR="00A95DF9" w:rsidRPr="00222B10" w:rsidRDefault="00A95DF9" w:rsidP="00676777">
      <w:pPr>
        <w:spacing w:before="240" w:line="240" w:lineRule="auto"/>
        <w:rPr>
          <w:rFonts w:ascii="Arial" w:hAnsi="Arial" w:cs="Arial"/>
        </w:rPr>
      </w:pPr>
      <w:r w:rsidRPr="00222B10">
        <w:rPr>
          <w:rFonts w:ascii="Arial" w:hAnsi="Arial" w:cs="Arial"/>
          <w:b/>
          <w:bCs/>
        </w:rPr>
        <w:t>Análisis de costo-efectividad</w:t>
      </w:r>
      <w:r w:rsidRPr="00222B10">
        <w:rPr>
          <w:rFonts w:ascii="Arial" w:hAnsi="Arial" w:cs="Arial"/>
        </w:rPr>
        <w:t>. En este caso la unidad de medida de la consecuencia de dos alternativas de solución es la misma, (p.e.: m3 de efluentes dispuesto con bajo impacto ambiental). Las alternativas pueden tener distinto grado de éxito en alcanzar la meta, así como costos distintos. Para comparar las alternativas se usa la medida de costo por unidad de efecto: costo por m3 dispuesto o, al revés, m3 dispuesto por unidad monetaria gastada.</w:t>
      </w:r>
    </w:p>
    <w:p w14:paraId="65E159F0" w14:textId="77777777" w:rsidR="00A95DF9" w:rsidRPr="00222B10" w:rsidRDefault="00A95DF9" w:rsidP="00676777">
      <w:pPr>
        <w:spacing w:before="240" w:line="240" w:lineRule="auto"/>
        <w:rPr>
          <w:rFonts w:ascii="Arial" w:hAnsi="Arial" w:cs="Arial"/>
        </w:rPr>
      </w:pPr>
      <w:r w:rsidRPr="00222B10">
        <w:rPr>
          <w:rFonts w:ascii="Arial" w:hAnsi="Arial" w:cs="Arial"/>
        </w:rPr>
        <w:t>La evaluación de ese proyecto presenta una serie de dificultades inherentes a su naturaleza. Entre las particularidades más salientes del proyecto desde un punto de vista económico se destacan las siguientes:</w:t>
      </w:r>
    </w:p>
    <w:p w14:paraId="11442AE6" w14:textId="77777777" w:rsidR="00A95DF9" w:rsidRPr="00222B10" w:rsidRDefault="00A95DF9" w:rsidP="00C4100D">
      <w:pPr>
        <w:numPr>
          <w:ilvl w:val="0"/>
          <w:numId w:val="79"/>
        </w:numPr>
        <w:spacing w:before="240" w:after="60" w:line="240" w:lineRule="auto"/>
        <w:rPr>
          <w:rFonts w:ascii="Arial" w:hAnsi="Arial" w:cs="Arial"/>
        </w:rPr>
      </w:pPr>
      <w:r w:rsidRPr="00222B10">
        <w:rPr>
          <w:rFonts w:ascii="Arial" w:hAnsi="Arial" w:cs="Arial"/>
        </w:rPr>
        <w:t>El proyecto forma parte de un sistema integrado de saneamiento, no es un proyecto aislado autocontenido. En este sentido gran parte de los beneficios directos que genera surgen de la viabilización de una porción importante del sistema cloacal del área metropolitana de Buenos Aires. Si bien el sistema cloacal puede funcionar sin el proyecto, tal concepción es incompleta e inadmisible en cualquier evaluación que se haga del mismo.</w:t>
      </w:r>
    </w:p>
    <w:p w14:paraId="7F2E83CE" w14:textId="77777777" w:rsidR="00A95DF9" w:rsidRPr="00222B10" w:rsidRDefault="00A95DF9" w:rsidP="00C4100D">
      <w:pPr>
        <w:numPr>
          <w:ilvl w:val="0"/>
          <w:numId w:val="79"/>
        </w:numPr>
        <w:spacing w:before="240" w:after="60" w:line="240" w:lineRule="auto"/>
        <w:rPr>
          <w:rFonts w:ascii="Arial" w:hAnsi="Arial" w:cs="Arial"/>
        </w:rPr>
      </w:pPr>
      <w:r w:rsidRPr="00222B10">
        <w:rPr>
          <w:rFonts w:ascii="Arial" w:hAnsi="Arial" w:cs="Arial"/>
        </w:rPr>
        <w:t>De los servicios prestados por el sistema de desagües cloacales (colección domiciliaria de efluentes, transporte, tratamiento y disposición final), el tratamiento y la disposición final (objeto del proyecto) son los que presentan el mayor grado de bienes públicos en el sentido de no rivalidad ni exclusión. Este carácter de tales componentes del sistema implica que debido a comportamientos estratégicos sea el menos valorado por los beneficiarios del sistema cloacal.</w:t>
      </w:r>
    </w:p>
    <w:p w14:paraId="36837644" w14:textId="77777777" w:rsidR="00A95DF9" w:rsidRPr="00222B10" w:rsidRDefault="00A95DF9" w:rsidP="00C4100D">
      <w:pPr>
        <w:numPr>
          <w:ilvl w:val="0"/>
          <w:numId w:val="79"/>
        </w:numPr>
        <w:spacing w:before="240" w:after="60" w:line="240" w:lineRule="auto"/>
        <w:rPr>
          <w:rFonts w:ascii="Arial" w:hAnsi="Arial" w:cs="Arial"/>
        </w:rPr>
      </w:pPr>
      <w:r w:rsidRPr="00222B10">
        <w:rPr>
          <w:rFonts w:ascii="Arial" w:hAnsi="Arial" w:cs="Arial"/>
        </w:rPr>
        <w:t>El tipo de impacto ambiental producido por la descarga de Berazategui compromete el estado de las costas y del río en particular para las generaciones futuras, sobre todo si se considera una mayor densificación urbana del área metropolitana. A fin de contemplar los derechos de las generaciones futuras, la Constitución Nacional incorpora la problemática en su artículo 41, estableciendo “...el derecho a gozar de un ambiente sano, equilibrado, apto para el desarrollo humano y para que las actividades productivas satisfagan las necesidades presentes sin comprometer las de las generaciones futuras. El daño ambiental generará prioritariamente el derecho a recomponer según lo establezca la ley.”</w:t>
      </w:r>
    </w:p>
    <w:p w14:paraId="6C5CCF10" w14:textId="77777777" w:rsidR="00A95DF9" w:rsidRPr="00222B10" w:rsidRDefault="00A95DF9" w:rsidP="00C4100D">
      <w:pPr>
        <w:numPr>
          <w:ilvl w:val="0"/>
          <w:numId w:val="79"/>
        </w:numPr>
        <w:spacing w:before="240" w:after="60" w:line="240" w:lineRule="auto"/>
        <w:rPr>
          <w:rFonts w:ascii="Arial" w:hAnsi="Arial" w:cs="Arial"/>
        </w:rPr>
      </w:pPr>
      <w:r w:rsidRPr="00222B10">
        <w:rPr>
          <w:rFonts w:ascii="Arial" w:hAnsi="Arial" w:cs="Arial"/>
        </w:rPr>
        <w:t>La existencia del convenio suscripto entre el Estado Nacional, el Municipio de Berazategui y la anterior concesionaria del servicio se interpreta como la cristalización de la decisión social de ejecutar las obras objeto de la presente evaluación. En tal sentido el foco del análisis no debería hacerse sobre la decisión de ejecutar o no la obra (esta decisión fue avalada por el Poder Judicial, el gobierno municipal de Berazategui (Intendente y Concejo deliberante) y Poder Ejecutivo Nacional) sino sobre la alternativa más</w:t>
      </w:r>
      <w:r w:rsidRPr="00222B10">
        <w:rPr>
          <w:rFonts w:ascii="Arial" w:hAnsi="Arial" w:cs="Arial"/>
          <w:color w:val="FF0000"/>
        </w:rPr>
        <w:t xml:space="preserve"> </w:t>
      </w:r>
      <w:r w:rsidRPr="00222B10">
        <w:rPr>
          <w:rFonts w:ascii="Arial" w:hAnsi="Arial" w:cs="Arial"/>
        </w:rPr>
        <w:t>eficiente/económica.</w:t>
      </w:r>
    </w:p>
    <w:p w14:paraId="3F809A24" w14:textId="77777777" w:rsidR="00A95DF9" w:rsidRPr="00222B10" w:rsidRDefault="00A95DF9" w:rsidP="00676777">
      <w:pPr>
        <w:spacing w:before="240" w:line="240" w:lineRule="auto"/>
        <w:rPr>
          <w:rFonts w:ascii="Arial" w:hAnsi="Arial" w:cs="Arial"/>
        </w:rPr>
      </w:pPr>
      <w:r w:rsidRPr="00222B10">
        <w:rPr>
          <w:rFonts w:ascii="Arial" w:hAnsi="Arial" w:cs="Arial"/>
        </w:rPr>
        <w:t>Dado que existe la decisión social y legal manifestada mediante sus representantes en el sistema político de ejecutar la obra, la presente evaluación se realizará a partir de un análisis de minimización de costos basado en la comparación de dos alternativas tecnológicas para el tratamiento de los efluentes derivados de la Planta de Pretratamiento Del Bicentenario.</w:t>
      </w:r>
    </w:p>
    <w:p w14:paraId="43A61E56" w14:textId="77777777" w:rsidR="00A95DF9" w:rsidRPr="00573E67" w:rsidRDefault="00A95DF9" w:rsidP="0087147E">
      <w:pPr>
        <w:spacing w:before="240" w:line="360" w:lineRule="auto"/>
      </w:pPr>
    </w:p>
    <w:p w14:paraId="56E6991D" w14:textId="77777777" w:rsidR="00A95DF9" w:rsidRDefault="00A95DF9">
      <w:pPr>
        <w:spacing w:after="0" w:line="240" w:lineRule="auto"/>
        <w:jc w:val="left"/>
      </w:pPr>
      <w:r>
        <w:br w:type="page"/>
      </w:r>
    </w:p>
    <w:p w14:paraId="678CDF80" w14:textId="67987C49" w:rsidR="00A95DF9" w:rsidRPr="00323883" w:rsidRDefault="00A95DF9" w:rsidP="0087147E">
      <w:pPr>
        <w:pStyle w:val="Heading1"/>
      </w:pPr>
      <w:bookmarkStart w:id="266" w:name="_Toc483227417"/>
      <w:bookmarkStart w:id="267" w:name="_Toc485200174"/>
      <w:r w:rsidRPr="00323883">
        <w:t xml:space="preserve">Capítulo </w:t>
      </w:r>
      <w:r w:rsidR="00222B10">
        <w:t>II</w:t>
      </w:r>
      <w:r w:rsidRPr="00323883">
        <w:t>: Beneficiarios.</w:t>
      </w:r>
      <w:bookmarkEnd w:id="266"/>
      <w:bookmarkEnd w:id="267"/>
    </w:p>
    <w:p w14:paraId="226715E8" w14:textId="77777777" w:rsidR="00A95DF9" w:rsidRPr="00323883" w:rsidRDefault="00A95DF9" w:rsidP="0087147E"/>
    <w:p w14:paraId="67C0280A" w14:textId="77777777" w:rsidR="00A95DF9" w:rsidRPr="00323883" w:rsidRDefault="00A95DF9" w:rsidP="002B0107">
      <w:pPr>
        <w:pStyle w:val="Heading2"/>
        <w:numPr>
          <w:ilvl w:val="0"/>
          <w:numId w:val="95"/>
        </w:numPr>
      </w:pPr>
      <w:bookmarkStart w:id="268" w:name="_Toc483227418"/>
      <w:bookmarkStart w:id="269" w:name="_Toc485200175"/>
      <w:r w:rsidRPr="00323883">
        <w:t>Determinación de beneficiarios.</w:t>
      </w:r>
      <w:bookmarkEnd w:id="268"/>
      <w:bookmarkEnd w:id="269"/>
    </w:p>
    <w:p w14:paraId="51CD01C4" w14:textId="77777777" w:rsidR="00A95DF9" w:rsidRPr="00222B10" w:rsidRDefault="00A95DF9" w:rsidP="0087147E">
      <w:pPr>
        <w:rPr>
          <w:rFonts w:ascii="Arial" w:hAnsi="Arial" w:cs="Arial"/>
        </w:rPr>
      </w:pPr>
      <w:r w:rsidRPr="00222B10">
        <w:rPr>
          <w:rFonts w:ascii="Arial" w:hAnsi="Arial" w:cs="Arial"/>
        </w:rPr>
        <w:t>Como se señaló el proyecto bajo análisis tiene como principal objeto lograr disminuir el impacto social y ambiental que genera el vertido de efluentes cloacales en el Rio de la Plata a través del actual emisario Berazategui, que al no cumplir la normativa ambiental vigente obstaculiza el desarrollo y operación de una porción importante del sistema cloacal del área metropolitana de Buenos Aires.</w:t>
      </w:r>
    </w:p>
    <w:p w14:paraId="40C998E4" w14:textId="77777777" w:rsidR="00A95DF9" w:rsidRPr="00222B10" w:rsidRDefault="00A95DF9" w:rsidP="0087147E">
      <w:pPr>
        <w:rPr>
          <w:rFonts w:ascii="Arial" w:hAnsi="Arial" w:cs="Arial"/>
        </w:rPr>
      </w:pPr>
      <w:r w:rsidRPr="00222B10">
        <w:rPr>
          <w:rFonts w:ascii="Arial" w:hAnsi="Arial" w:cs="Arial"/>
        </w:rPr>
        <w:t xml:space="preserve">Para este análisis se consideraron como beneficiarios del proyecto a todos los hogares cuyos efluentes cloacales están, o estarán en el futuro, conectados al sistema Berazategui. Sobre este grupo de hogares resulta necesario realizar una caracterización socioeconómica. </w:t>
      </w:r>
    </w:p>
    <w:p w14:paraId="10FB30C2" w14:textId="77777777" w:rsidR="00A95DF9" w:rsidRPr="00222B10" w:rsidRDefault="00A95DF9" w:rsidP="0087147E">
      <w:pPr>
        <w:rPr>
          <w:rFonts w:ascii="Arial" w:hAnsi="Arial" w:cs="Arial"/>
        </w:rPr>
      </w:pPr>
      <w:r w:rsidRPr="00222B10">
        <w:rPr>
          <w:rFonts w:ascii="Arial" w:hAnsi="Arial" w:cs="Arial"/>
        </w:rPr>
        <w:t>Cabe resaltar que los definidos “beneficiarios” no recibirán una mejora concreta en el servicio, aunque si se favorecerán por las externalidades positivas que genera el proyecto.</w:t>
      </w:r>
    </w:p>
    <w:p w14:paraId="0F8A325C" w14:textId="4535A37A" w:rsidR="00A95DF9" w:rsidRPr="00222B10" w:rsidRDefault="00A95DF9" w:rsidP="0087147E">
      <w:pPr>
        <w:rPr>
          <w:rFonts w:ascii="Arial" w:hAnsi="Arial" w:cs="Arial"/>
        </w:rPr>
      </w:pPr>
      <w:r w:rsidRPr="00222B10">
        <w:rPr>
          <w:rFonts w:ascii="Arial" w:hAnsi="Arial" w:cs="Arial"/>
        </w:rPr>
        <w:t xml:space="preserve">La </w:t>
      </w:r>
      <w:r w:rsidRPr="00222B10">
        <w:rPr>
          <w:rFonts w:ascii="Arial" w:hAnsi="Arial" w:cs="Arial"/>
        </w:rPr>
        <w:fldChar w:fldCharType="begin"/>
      </w:r>
      <w:r w:rsidRPr="00222B10">
        <w:rPr>
          <w:rFonts w:ascii="Arial" w:hAnsi="Arial" w:cs="Arial"/>
        </w:rPr>
        <w:instrText xml:space="preserve"> REF _Ref480133136 \h  \* MERGEFORMAT </w:instrText>
      </w:r>
      <w:r w:rsidRPr="00222B10">
        <w:rPr>
          <w:rFonts w:ascii="Arial" w:hAnsi="Arial" w:cs="Arial"/>
        </w:rPr>
      </w:r>
      <w:r w:rsidRPr="00222B10">
        <w:rPr>
          <w:rFonts w:ascii="Arial" w:hAnsi="Arial" w:cs="Arial"/>
        </w:rPr>
        <w:fldChar w:fldCharType="separate"/>
      </w:r>
      <w:r w:rsidRPr="00222B10">
        <w:rPr>
          <w:rFonts w:ascii="Arial" w:hAnsi="Arial" w:cs="Arial"/>
        </w:rPr>
        <w:t xml:space="preserve">Tabla </w:t>
      </w:r>
      <w:r w:rsidR="00222B10">
        <w:rPr>
          <w:rFonts w:ascii="Arial" w:hAnsi="Arial" w:cs="Arial"/>
        </w:rPr>
        <w:t>II-</w:t>
      </w:r>
      <w:r w:rsidRPr="00222B10">
        <w:rPr>
          <w:rFonts w:ascii="Arial" w:hAnsi="Arial" w:cs="Arial"/>
          <w:noProof/>
        </w:rPr>
        <w:t>1</w:t>
      </w:r>
      <w:r w:rsidRPr="00222B10">
        <w:rPr>
          <w:rFonts w:ascii="Arial" w:hAnsi="Arial" w:cs="Arial"/>
        </w:rPr>
        <w:fldChar w:fldCharType="end"/>
      </w:r>
      <w:r w:rsidRPr="00222B10">
        <w:rPr>
          <w:rFonts w:ascii="Arial" w:hAnsi="Arial" w:cs="Arial"/>
        </w:rPr>
        <w:t xml:space="preserve"> presenta la cantidad de hogares y de población identificada en cada partido del GBA y en la Ciudad Autónoma de Buenos Aires que es alcanzada por el presente proyecto.</w:t>
      </w:r>
    </w:p>
    <w:p w14:paraId="43BAA985" w14:textId="0E2EFF35" w:rsidR="00A95DF9" w:rsidRPr="00323883" w:rsidRDefault="00A95DF9" w:rsidP="0087147E">
      <w:pPr>
        <w:pStyle w:val="Caption"/>
      </w:pPr>
      <w:r w:rsidRPr="00323883">
        <w:t xml:space="preserve">Tabla </w:t>
      </w:r>
      <w:r w:rsidR="00222B10">
        <w:t>II-</w:t>
      </w:r>
      <w:r w:rsidR="005C1A74">
        <w:fldChar w:fldCharType="begin"/>
      </w:r>
      <w:r w:rsidR="005C1A74">
        <w:instrText xml:space="preserve"> SEQ Tabla \* ARABIC </w:instrText>
      </w:r>
      <w:r w:rsidR="005C1A74">
        <w:fldChar w:fldCharType="separate"/>
      </w:r>
      <w:r w:rsidRPr="00323883">
        <w:rPr>
          <w:noProof/>
        </w:rPr>
        <w:t>1</w:t>
      </w:r>
      <w:r w:rsidR="005C1A74">
        <w:rPr>
          <w:noProof/>
        </w:rPr>
        <w:fldChar w:fldCharType="end"/>
      </w:r>
      <w:r w:rsidRPr="00323883">
        <w:t>: Hogares y población alcanzada por el proyecto.</w:t>
      </w:r>
    </w:p>
    <w:p w14:paraId="6B0632B3" w14:textId="77777777" w:rsidR="00A95DF9" w:rsidRPr="00323883" w:rsidRDefault="00A95DF9" w:rsidP="0087147E">
      <w:r w:rsidRPr="00323883">
        <w:rPr>
          <w:noProof/>
          <w:lang w:eastAsia="es-AR"/>
        </w:rPr>
        <w:drawing>
          <wp:inline distT="0" distB="0" distL="0" distR="0" wp14:anchorId="45690EA3" wp14:editId="6A636EBC">
            <wp:extent cx="3625850" cy="2413635"/>
            <wp:effectExtent l="0" t="0" r="0" b="0"/>
            <wp:docPr id="9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625850" cy="2413635"/>
                    </a:xfrm>
                    <a:prstGeom prst="rect">
                      <a:avLst/>
                    </a:prstGeom>
                    <a:noFill/>
                    <a:ln>
                      <a:noFill/>
                    </a:ln>
                  </pic:spPr>
                </pic:pic>
              </a:graphicData>
            </a:graphic>
          </wp:inline>
        </w:drawing>
      </w:r>
    </w:p>
    <w:p w14:paraId="67D3DFA2" w14:textId="77777777" w:rsidR="00A95DF9" w:rsidRPr="00323883" w:rsidRDefault="00A95DF9" w:rsidP="0087147E"/>
    <w:p w14:paraId="46372530" w14:textId="77777777" w:rsidR="00A95DF9" w:rsidRPr="00323883" w:rsidRDefault="00A95DF9" w:rsidP="002B0107">
      <w:pPr>
        <w:pStyle w:val="Heading2"/>
        <w:numPr>
          <w:ilvl w:val="0"/>
          <w:numId w:val="95"/>
        </w:numPr>
      </w:pPr>
      <w:bookmarkStart w:id="270" w:name="_Toc483227419"/>
      <w:bookmarkStart w:id="271" w:name="_Toc485200176"/>
      <w:r w:rsidRPr="00323883">
        <w:t>Caracterización socioeconómica.</w:t>
      </w:r>
      <w:bookmarkEnd w:id="270"/>
      <w:bookmarkEnd w:id="271"/>
    </w:p>
    <w:p w14:paraId="4C9A8C63" w14:textId="77777777" w:rsidR="00A95DF9" w:rsidRPr="00222B10" w:rsidRDefault="00A95DF9" w:rsidP="0087147E">
      <w:pPr>
        <w:rPr>
          <w:rFonts w:ascii="Arial" w:hAnsi="Arial" w:cs="Arial"/>
        </w:rPr>
      </w:pPr>
      <w:r w:rsidRPr="00222B10">
        <w:rPr>
          <w:rFonts w:ascii="Arial" w:hAnsi="Arial" w:cs="Arial"/>
        </w:rPr>
        <w:t>A efectos de realizar la caracterización socioeconómica de los beneficiarios, la ausencia de una encuesta dedicada, obliga a recurrir a fuentes secundarias.</w:t>
      </w:r>
    </w:p>
    <w:p w14:paraId="600885A8" w14:textId="77777777" w:rsidR="00A95DF9" w:rsidRPr="00222B10" w:rsidRDefault="00A95DF9" w:rsidP="0087147E">
      <w:pPr>
        <w:rPr>
          <w:rFonts w:ascii="Arial" w:hAnsi="Arial" w:cs="Arial"/>
        </w:rPr>
      </w:pPr>
      <w:r w:rsidRPr="00222B10">
        <w:rPr>
          <w:rFonts w:ascii="Arial" w:hAnsi="Arial" w:cs="Arial"/>
        </w:rPr>
        <w:t>Las fuentes disponibles a tal efecto son básicamente dos:</w:t>
      </w:r>
    </w:p>
    <w:p w14:paraId="41FC7A1D" w14:textId="77777777" w:rsidR="00A95DF9" w:rsidRPr="00222B10" w:rsidRDefault="00A95DF9" w:rsidP="00C4100D">
      <w:pPr>
        <w:numPr>
          <w:ilvl w:val="0"/>
          <w:numId w:val="10"/>
        </w:numPr>
        <w:spacing w:before="120" w:after="120" w:line="360" w:lineRule="auto"/>
        <w:rPr>
          <w:rFonts w:ascii="Arial" w:hAnsi="Arial" w:cs="Arial"/>
        </w:rPr>
      </w:pPr>
      <w:r w:rsidRPr="00222B10">
        <w:rPr>
          <w:rFonts w:ascii="Arial" w:hAnsi="Arial" w:cs="Arial"/>
        </w:rPr>
        <w:t>Datos del Censo 2010, agregados por radio censal</w:t>
      </w:r>
      <w:r w:rsidRPr="00222B10">
        <w:rPr>
          <w:rStyle w:val="FootnoteReference"/>
          <w:rFonts w:ascii="Arial" w:hAnsi="Arial" w:cs="Arial"/>
        </w:rPr>
        <w:footnoteReference w:id="23"/>
      </w:r>
      <w:r w:rsidRPr="00222B10">
        <w:rPr>
          <w:rFonts w:ascii="Arial" w:hAnsi="Arial" w:cs="Arial"/>
        </w:rPr>
        <w:t>.</w:t>
      </w:r>
    </w:p>
    <w:p w14:paraId="0DE57C96" w14:textId="77777777" w:rsidR="00A95DF9" w:rsidRPr="00222B10" w:rsidRDefault="00A95DF9" w:rsidP="00C4100D">
      <w:pPr>
        <w:numPr>
          <w:ilvl w:val="0"/>
          <w:numId w:val="10"/>
        </w:numPr>
        <w:spacing w:before="120" w:after="120" w:line="360" w:lineRule="auto"/>
        <w:rPr>
          <w:rFonts w:ascii="Arial" w:hAnsi="Arial" w:cs="Arial"/>
        </w:rPr>
      </w:pPr>
      <w:r w:rsidRPr="00222B10">
        <w:rPr>
          <w:rFonts w:ascii="Arial" w:hAnsi="Arial" w:cs="Arial"/>
        </w:rPr>
        <w:t>Datos provenientes de la Encuesta Permanente de Hogares (EPH) continua realizada por el INDEC.</w:t>
      </w:r>
    </w:p>
    <w:p w14:paraId="37E935FF" w14:textId="77777777" w:rsidR="00A95DF9" w:rsidRPr="00222B10" w:rsidRDefault="00A95DF9" w:rsidP="0087147E">
      <w:pPr>
        <w:rPr>
          <w:rFonts w:ascii="Arial" w:hAnsi="Arial" w:cs="Arial"/>
        </w:rPr>
      </w:pPr>
      <w:r w:rsidRPr="00222B10">
        <w:rPr>
          <w:rFonts w:ascii="Arial" w:hAnsi="Arial" w:cs="Arial"/>
        </w:rPr>
        <w:t>En el caso de los datos censales, se posee un elevado nivel de detalle y desagregación ya que la unidad territorial de la información es muy pequeña (agregado de 350 hogares aproximadamente y según la densidad). Esto permite circunscribir claramente las áreas y obtener información precisa de los beneficiarios. Como contrapartida, esta información data del 2010 y no presenta datos de ingresos monetarios, por lo que deben ser suplidos por otros indicadores.</w:t>
      </w:r>
    </w:p>
    <w:p w14:paraId="08C957A0" w14:textId="77777777" w:rsidR="00A95DF9" w:rsidRPr="00222B10" w:rsidRDefault="00A95DF9" w:rsidP="0087147E">
      <w:pPr>
        <w:rPr>
          <w:rFonts w:ascii="Arial" w:hAnsi="Arial" w:cs="Arial"/>
        </w:rPr>
      </w:pPr>
      <w:r w:rsidRPr="00222B10">
        <w:rPr>
          <w:rFonts w:ascii="Arial" w:hAnsi="Arial" w:cs="Arial"/>
        </w:rPr>
        <w:t>Por el contrario, la EPH se encuentra publicada hasta el 3º trimestre del 2016 con detalle de los ingresos y medios de vida, pero su nivel de desagregación mínimo es la sub región Gran Buenos Aires / sub región Ciudad de Buenos Aires.</w:t>
      </w:r>
    </w:p>
    <w:p w14:paraId="2F333C64" w14:textId="77777777" w:rsidR="00A95DF9" w:rsidRPr="00222B10" w:rsidRDefault="00A95DF9" w:rsidP="0087147E">
      <w:pPr>
        <w:rPr>
          <w:rFonts w:ascii="Arial" w:hAnsi="Arial" w:cs="Arial"/>
        </w:rPr>
      </w:pPr>
      <w:r w:rsidRPr="00222B10">
        <w:rPr>
          <w:rFonts w:ascii="Arial" w:hAnsi="Arial" w:cs="Arial"/>
        </w:rPr>
        <w:t>Dados estos límites impuestos por los datos disponibles, se complementarán ambas fuentes obteniendo una caracterización detallada de la población a partir de los datos censales para luego actualizar su información o inferir ingresos a partir de la transferencia desde la EPH.</w:t>
      </w:r>
    </w:p>
    <w:p w14:paraId="5BA082B2" w14:textId="61DFBAE6" w:rsidR="00A95DF9" w:rsidRPr="00222B10" w:rsidRDefault="00A95DF9" w:rsidP="0087147E">
      <w:pPr>
        <w:rPr>
          <w:rFonts w:ascii="Arial" w:hAnsi="Arial" w:cs="Arial"/>
        </w:rPr>
      </w:pPr>
      <w:r w:rsidRPr="00222B10">
        <w:rPr>
          <w:rFonts w:ascii="Arial" w:hAnsi="Arial" w:cs="Arial"/>
        </w:rPr>
        <w:t xml:space="preserve">En </w:t>
      </w:r>
      <w:r w:rsidRPr="0059118E">
        <w:rPr>
          <w:rFonts w:ascii="Arial" w:hAnsi="Arial" w:cs="Arial"/>
        </w:rPr>
        <w:t xml:space="preserve">Anexo </w:t>
      </w:r>
      <w:r w:rsidR="00222B10" w:rsidRPr="0059118E">
        <w:rPr>
          <w:rFonts w:ascii="Arial" w:hAnsi="Arial" w:cs="Arial"/>
        </w:rPr>
        <w:t>1</w:t>
      </w:r>
      <w:r w:rsidRPr="00222B10">
        <w:rPr>
          <w:rFonts w:ascii="Arial" w:hAnsi="Arial" w:cs="Arial"/>
        </w:rPr>
        <w:t xml:space="preserve"> se presentan las notas metodológicas referidas al análisis socioeconómico.</w:t>
      </w:r>
    </w:p>
    <w:p w14:paraId="37C2D39C" w14:textId="77777777" w:rsidR="00A95DF9" w:rsidRPr="00323883" w:rsidRDefault="00A95DF9" w:rsidP="0087147E"/>
    <w:p w14:paraId="483CE58F" w14:textId="77777777" w:rsidR="00A95DF9" w:rsidRPr="00323883" w:rsidRDefault="00A95DF9" w:rsidP="002B0107">
      <w:pPr>
        <w:pStyle w:val="Heading2"/>
        <w:numPr>
          <w:ilvl w:val="1"/>
          <w:numId w:val="96"/>
        </w:numPr>
      </w:pPr>
      <w:bookmarkStart w:id="272" w:name="_Toc483227420"/>
      <w:bookmarkStart w:id="273" w:name="_Toc485200177"/>
      <w:r w:rsidRPr="00323883">
        <w:t>Contexto general del AMBA.</w:t>
      </w:r>
      <w:bookmarkEnd w:id="272"/>
      <w:bookmarkEnd w:id="273"/>
    </w:p>
    <w:p w14:paraId="633F6947" w14:textId="77777777" w:rsidR="00A95DF9" w:rsidRPr="001C2E32" w:rsidRDefault="00A95DF9" w:rsidP="0087147E">
      <w:pPr>
        <w:rPr>
          <w:rFonts w:ascii="Arial" w:hAnsi="Arial" w:cs="Arial"/>
        </w:rPr>
      </w:pPr>
      <w:r w:rsidRPr="001C2E32">
        <w:rPr>
          <w:rFonts w:ascii="Arial" w:hAnsi="Arial" w:cs="Arial"/>
        </w:rPr>
        <w:t xml:space="preserve">El Área Metropolitana de Buenos Aires (AMBA) comprende a la Ciudad Autónoma de Buenos Aires y al Conurbano Bonaerense (o Gran Buenos Aires). Según el Censo Nacional de Población y Viviendas 2010, esta área ocupa una superficie total de 2.590 kilómetros cuadrados y reúne 12.8 millones de habitantes, lo que representa un tercio de la población total del país; al mismo tiempo que produce alrededor del 40% del PBI nacional. Su destacada participación económica y demográfica la constituyen como el centro productivo, comercial, financiero y político más importante del país. </w:t>
      </w:r>
    </w:p>
    <w:p w14:paraId="12B6A9D4" w14:textId="77777777" w:rsidR="00A95DF9" w:rsidRPr="001C2E32" w:rsidRDefault="00A95DF9" w:rsidP="0087147E">
      <w:pPr>
        <w:rPr>
          <w:rFonts w:ascii="Arial" w:hAnsi="Arial" w:cs="Arial"/>
        </w:rPr>
      </w:pPr>
      <w:r w:rsidRPr="001C2E32">
        <w:rPr>
          <w:rFonts w:ascii="Arial" w:hAnsi="Arial" w:cs="Arial"/>
        </w:rPr>
        <w:t>Según un análisis del Observatorio de la Deuda Social Argentina (ODSA) de la Universidad Católica Argentina</w:t>
      </w:r>
      <w:r w:rsidRPr="001C2E32">
        <w:rPr>
          <w:rStyle w:val="FootnoteReference"/>
          <w:rFonts w:ascii="Arial" w:hAnsi="Arial" w:cs="Arial"/>
        </w:rPr>
        <w:footnoteReference w:id="24"/>
      </w:r>
      <w:r w:rsidRPr="001C2E32">
        <w:rPr>
          <w:rFonts w:ascii="Arial" w:hAnsi="Arial" w:cs="Arial"/>
        </w:rPr>
        <w:t xml:space="preserve">, el 23% de la población del AMBA reside en la Ciudad Autónoma de Buenos Aires (2.9 millones de habitantes), mientras que el 77% lo hace en el Conurbano Bonaerense (9.9 millones de habitantes). En este marco, mientras que cuatro de cada diez hogares de la Ciudad de Buenos Aires se ubican en el estrato más alto de la clasificación socioeconómica (38%), en el Conurbano Bonaerense ocho de cada diez se ubican en el más bajo (81%). </w:t>
      </w:r>
    </w:p>
    <w:p w14:paraId="049DE61D" w14:textId="77777777" w:rsidR="00A95DF9" w:rsidRPr="001C2E32" w:rsidRDefault="00A95DF9" w:rsidP="0087147E">
      <w:pPr>
        <w:rPr>
          <w:rFonts w:ascii="Arial" w:hAnsi="Arial" w:cs="Arial"/>
        </w:rPr>
      </w:pPr>
      <w:r w:rsidRPr="001C2E32">
        <w:rPr>
          <w:rFonts w:ascii="Arial" w:hAnsi="Arial" w:cs="Arial"/>
        </w:rPr>
        <w:t>Por otra parte, el estudio destaca que el 6% de los hogares del AMBA residen en villas o asentamientos precarios, con una incidencia mayor en el Conurbano Bonaerense (6%) que en la ciudad Capital (3%).</w:t>
      </w:r>
    </w:p>
    <w:p w14:paraId="38918D93" w14:textId="77777777" w:rsidR="00A95DF9" w:rsidRPr="001C2E32" w:rsidRDefault="00A95DF9" w:rsidP="0087147E">
      <w:pPr>
        <w:rPr>
          <w:rFonts w:ascii="Arial" w:hAnsi="Arial" w:cs="Arial"/>
        </w:rPr>
      </w:pPr>
      <w:r w:rsidRPr="001C2E32">
        <w:rPr>
          <w:rFonts w:ascii="Arial" w:hAnsi="Arial" w:cs="Arial"/>
        </w:rPr>
        <w:t>El conurbano bonaerense se caracteriza socioeconómicamente por un elevado grado de desigualdad y niveles de pobreza considerables y persistentes. En este ámbito se destaca la coincidencia de áreas pobladas por hogares pobres con relativamente baja cobertura de servicios, especialmente de cloacas, agua potable y gas natural. La combinación de la pobreza estructural con la ausencia de una infraestructura social básica adecuada incrementa las dificultades que deben enfrentar estos hogares para salir de su condición de carencia, reforzándose un proceso de reproducción de la pobreza y concentración territorial de la misma.</w:t>
      </w:r>
    </w:p>
    <w:p w14:paraId="42F10C3B" w14:textId="5C6D25DD" w:rsidR="00A95DF9" w:rsidRPr="001C2E32" w:rsidRDefault="00A95DF9" w:rsidP="0087147E">
      <w:pPr>
        <w:rPr>
          <w:rFonts w:ascii="Arial" w:hAnsi="Arial" w:cs="Arial"/>
        </w:rPr>
      </w:pPr>
      <w:r w:rsidRPr="001C2E32">
        <w:rPr>
          <w:rFonts w:ascii="Arial" w:hAnsi="Arial" w:cs="Arial"/>
        </w:rPr>
        <w:t xml:space="preserve">De este análisis se desprende que la unidad geográfica del AMBA, encubre una clara heterogeneidad entre la Ciudad Autónoma de Buenos Aires y el Conurbano Bonaerense. Las </w:t>
      </w:r>
      <w:r w:rsidRPr="001C2E32">
        <w:rPr>
          <w:rFonts w:ascii="Arial" w:hAnsi="Arial" w:cs="Arial"/>
        </w:rPr>
        <w:fldChar w:fldCharType="begin"/>
      </w:r>
      <w:r w:rsidRPr="001C2E32">
        <w:rPr>
          <w:rFonts w:ascii="Arial" w:hAnsi="Arial" w:cs="Arial"/>
        </w:rPr>
        <w:instrText xml:space="preserve"> REF _Ref479694988 \h  \* MERGEFORMAT </w:instrText>
      </w:r>
      <w:r w:rsidRPr="001C2E32">
        <w:rPr>
          <w:rFonts w:ascii="Arial" w:hAnsi="Arial" w:cs="Arial"/>
        </w:rPr>
      </w:r>
      <w:r w:rsidRPr="001C2E32">
        <w:rPr>
          <w:rFonts w:ascii="Arial" w:hAnsi="Arial" w:cs="Arial"/>
        </w:rPr>
        <w:fldChar w:fldCharType="separate"/>
      </w:r>
      <w:r w:rsidRPr="001C2E32">
        <w:rPr>
          <w:rFonts w:ascii="Arial" w:hAnsi="Arial" w:cs="Arial"/>
        </w:rPr>
        <w:t xml:space="preserve">Tablas </w:t>
      </w:r>
      <w:r w:rsidR="001C2E32">
        <w:rPr>
          <w:rFonts w:ascii="Arial" w:hAnsi="Arial" w:cs="Arial"/>
        </w:rPr>
        <w:t>II-</w:t>
      </w:r>
      <w:r w:rsidRPr="001C2E32">
        <w:rPr>
          <w:rFonts w:ascii="Arial" w:hAnsi="Arial" w:cs="Arial"/>
        </w:rPr>
        <w:t>2</w:t>
      </w:r>
      <w:r w:rsidRPr="001C2E32">
        <w:rPr>
          <w:rFonts w:ascii="Arial" w:hAnsi="Arial" w:cs="Arial"/>
        </w:rPr>
        <w:fldChar w:fldCharType="end"/>
      </w:r>
      <w:r w:rsidRPr="001C2E32">
        <w:rPr>
          <w:rFonts w:ascii="Arial" w:hAnsi="Arial" w:cs="Arial"/>
        </w:rPr>
        <w:t xml:space="preserve"> y </w:t>
      </w:r>
      <w:r w:rsidR="001C2E32">
        <w:rPr>
          <w:rFonts w:ascii="Arial" w:hAnsi="Arial" w:cs="Arial"/>
        </w:rPr>
        <w:t>II-</w:t>
      </w:r>
      <w:r w:rsidRPr="001C2E32">
        <w:rPr>
          <w:rFonts w:ascii="Arial" w:hAnsi="Arial" w:cs="Arial"/>
        </w:rPr>
        <w:t>3 presentan la evolución de los principales indicadores de desigualdad, pobreza e indigencia del Gran Buenos Aires (GBA) y en la Ciudad Autónoma de Buenos Aires (CABA) calculados en base al ingreso familiar por adulto equivalente</w:t>
      </w:r>
      <w:r w:rsidRPr="001C2E32">
        <w:rPr>
          <w:rStyle w:val="FootnoteReference"/>
          <w:rFonts w:ascii="Arial" w:hAnsi="Arial" w:cs="Arial"/>
        </w:rPr>
        <w:footnoteReference w:id="25"/>
      </w:r>
      <w:r w:rsidRPr="001C2E32">
        <w:rPr>
          <w:rFonts w:ascii="Arial" w:hAnsi="Arial" w:cs="Arial"/>
        </w:rPr>
        <w:t>.</w:t>
      </w:r>
    </w:p>
    <w:p w14:paraId="346F0661" w14:textId="58788795" w:rsidR="00A95DF9" w:rsidRPr="00323883" w:rsidRDefault="00A95DF9" w:rsidP="0087147E">
      <w:pPr>
        <w:pStyle w:val="Caption"/>
      </w:pPr>
      <w:r w:rsidRPr="00323883">
        <w:t xml:space="preserve">Tabla </w:t>
      </w:r>
      <w:r w:rsidR="001C2E32">
        <w:t>II-</w:t>
      </w:r>
      <w:r w:rsidR="005C1A74">
        <w:fldChar w:fldCharType="begin"/>
      </w:r>
      <w:r w:rsidR="005C1A74">
        <w:instrText xml:space="preserve"> SEQ Tabla \* ARABIC </w:instrText>
      </w:r>
      <w:r w:rsidR="005C1A74">
        <w:fldChar w:fldCharType="separate"/>
      </w:r>
      <w:r w:rsidRPr="00323883">
        <w:rPr>
          <w:noProof/>
        </w:rPr>
        <w:t>2</w:t>
      </w:r>
      <w:r w:rsidR="005C1A74">
        <w:rPr>
          <w:noProof/>
        </w:rPr>
        <w:fldChar w:fldCharType="end"/>
      </w:r>
      <w:r w:rsidRPr="00323883">
        <w:t>: Evolución de indicadores de desigualdad, pobreza e indigencia en GBA.</w:t>
      </w:r>
    </w:p>
    <w:p w14:paraId="22549400" w14:textId="77777777" w:rsidR="00A95DF9" w:rsidRPr="00323883" w:rsidRDefault="00A95DF9" w:rsidP="0087147E">
      <w:r w:rsidRPr="00323883">
        <w:rPr>
          <w:noProof/>
          <w:lang w:eastAsia="es-AR"/>
        </w:rPr>
        <w:drawing>
          <wp:inline distT="0" distB="0" distL="0" distR="0" wp14:anchorId="039C153E" wp14:editId="15E79111">
            <wp:extent cx="5612130" cy="3317831"/>
            <wp:effectExtent l="0" t="0" r="7620" b="0"/>
            <wp:docPr id="10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12130" cy="3317831"/>
                    </a:xfrm>
                    <a:prstGeom prst="rect">
                      <a:avLst/>
                    </a:prstGeom>
                    <a:noFill/>
                    <a:ln>
                      <a:noFill/>
                    </a:ln>
                  </pic:spPr>
                </pic:pic>
              </a:graphicData>
            </a:graphic>
          </wp:inline>
        </w:drawing>
      </w:r>
    </w:p>
    <w:p w14:paraId="21BE98E5" w14:textId="2F790DC0" w:rsidR="00A95DF9" w:rsidRPr="00323883" w:rsidRDefault="00A95DF9" w:rsidP="0087147E">
      <w:pPr>
        <w:pStyle w:val="Caption"/>
      </w:pPr>
      <w:r w:rsidRPr="00323883">
        <w:t xml:space="preserve">Tabla </w:t>
      </w:r>
      <w:r w:rsidR="001C2E32">
        <w:t>II-</w:t>
      </w:r>
      <w:r w:rsidRPr="00323883">
        <w:t>3: Evolución de indicadores de desigualdad, pobreza e indigencia en CABA.</w:t>
      </w:r>
    </w:p>
    <w:p w14:paraId="27FC5B51" w14:textId="77777777" w:rsidR="00A95DF9" w:rsidRPr="00323883" w:rsidRDefault="00A95DF9" w:rsidP="0087147E">
      <w:r w:rsidRPr="00323883">
        <w:rPr>
          <w:noProof/>
          <w:lang w:eastAsia="es-AR"/>
        </w:rPr>
        <w:drawing>
          <wp:inline distT="0" distB="0" distL="0" distR="0" wp14:anchorId="6FB4ECB9" wp14:editId="0AEA7437">
            <wp:extent cx="5612130" cy="3317831"/>
            <wp:effectExtent l="0" t="0" r="7620" b="0"/>
            <wp:docPr id="101"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12130" cy="3317831"/>
                    </a:xfrm>
                    <a:prstGeom prst="rect">
                      <a:avLst/>
                    </a:prstGeom>
                    <a:noFill/>
                    <a:ln>
                      <a:noFill/>
                    </a:ln>
                  </pic:spPr>
                </pic:pic>
              </a:graphicData>
            </a:graphic>
          </wp:inline>
        </w:drawing>
      </w:r>
    </w:p>
    <w:p w14:paraId="1747E8E7" w14:textId="7F541B7C" w:rsidR="00A95DF9" w:rsidRPr="00323883" w:rsidRDefault="00A95DF9" w:rsidP="0087147E">
      <w:pPr>
        <w:pStyle w:val="NoSpacing"/>
      </w:pPr>
      <w:r w:rsidRPr="00323883">
        <w:t>Fuente: Elaboración sobre bases de microdatos EPH.</w:t>
      </w:r>
    </w:p>
    <w:p w14:paraId="3CBE9B6B" w14:textId="77777777" w:rsidR="00A95DF9" w:rsidRPr="00323883" w:rsidRDefault="00A95DF9" w:rsidP="0087147E">
      <w:pPr>
        <w:pStyle w:val="NoSpacing"/>
      </w:pPr>
    </w:p>
    <w:p w14:paraId="775D25DE" w14:textId="35F1A41B" w:rsidR="00A95DF9" w:rsidRPr="001C2E32" w:rsidRDefault="00A95DF9" w:rsidP="0087147E">
      <w:pPr>
        <w:rPr>
          <w:rFonts w:ascii="Arial" w:hAnsi="Arial" w:cs="Arial"/>
        </w:rPr>
      </w:pPr>
      <w:r w:rsidRPr="001C2E32">
        <w:rPr>
          <w:rFonts w:ascii="Arial" w:hAnsi="Arial" w:cs="Arial"/>
        </w:rPr>
        <w:t xml:space="preserve">En términos de ingresos corrientes se resumieron por decil de hogares los datos de ingreso por adulto equivalente (Tabla </w:t>
      </w:r>
      <w:r w:rsidR="001C2E32">
        <w:rPr>
          <w:rFonts w:ascii="Arial" w:hAnsi="Arial" w:cs="Arial"/>
        </w:rPr>
        <w:t>II-</w:t>
      </w:r>
      <w:r w:rsidRPr="001C2E32">
        <w:rPr>
          <w:rFonts w:ascii="Arial" w:hAnsi="Arial" w:cs="Arial"/>
        </w:rPr>
        <w:t xml:space="preserve">4 y Tabla </w:t>
      </w:r>
      <w:r w:rsidR="001C2E32">
        <w:rPr>
          <w:rFonts w:ascii="Arial" w:hAnsi="Arial" w:cs="Arial"/>
        </w:rPr>
        <w:t>II-</w:t>
      </w:r>
      <w:r w:rsidRPr="001C2E32">
        <w:rPr>
          <w:rFonts w:ascii="Arial" w:hAnsi="Arial" w:cs="Arial"/>
        </w:rPr>
        <w:t xml:space="preserve">5), adultos equivalentes medios de los hogares para cada decil (Tabla </w:t>
      </w:r>
      <w:r w:rsidR="001C2E32">
        <w:rPr>
          <w:rFonts w:ascii="Arial" w:hAnsi="Arial" w:cs="Arial"/>
        </w:rPr>
        <w:t>II-</w:t>
      </w:r>
      <w:r w:rsidRPr="001C2E32">
        <w:rPr>
          <w:rFonts w:ascii="Arial" w:hAnsi="Arial" w:cs="Arial"/>
        </w:rPr>
        <w:t xml:space="preserve">6 y </w:t>
      </w:r>
      <w:r w:rsidR="001C2E32">
        <w:rPr>
          <w:rFonts w:ascii="Arial" w:hAnsi="Arial" w:cs="Arial"/>
        </w:rPr>
        <w:t>II-</w:t>
      </w:r>
      <w:r w:rsidRPr="001C2E32">
        <w:rPr>
          <w:rFonts w:ascii="Arial" w:hAnsi="Arial" w:cs="Arial"/>
        </w:rPr>
        <w:t xml:space="preserve">7) e ingreso total familiar (Tabla </w:t>
      </w:r>
      <w:r w:rsidR="001C2E32">
        <w:rPr>
          <w:rFonts w:ascii="Arial" w:hAnsi="Arial" w:cs="Arial"/>
        </w:rPr>
        <w:t>II-</w:t>
      </w:r>
      <w:r w:rsidRPr="001C2E32">
        <w:rPr>
          <w:rFonts w:ascii="Arial" w:hAnsi="Arial" w:cs="Arial"/>
        </w:rPr>
        <w:t xml:space="preserve">8 y </w:t>
      </w:r>
      <w:r w:rsidR="001C2E32">
        <w:rPr>
          <w:rFonts w:ascii="Arial" w:hAnsi="Arial" w:cs="Arial"/>
        </w:rPr>
        <w:t>II-</w:t>
      </w:r>
      <w:r w:rsidRPr="001C2E32">
        <w:rPr>
          <w:rFonts w:ascii="Arial" w:hAnsi="Arial" w:cs="Arial"/>
        </w:rPr>
        <w:t>9), siempre calculados a partir de los microdatos de la Encuesta Permanente de Hogares realizada por el INDEC.</w:t>
      </w:r>
    </w:p>
    <w:p w14:paraId="4B82B939" w14:textId="40682AAA" w:rsidR="00A95DF9" w:rsidRPr="00323883" w:rsidRDefault="00A95DF9" w:rsidP="0087147E">
      <w:pPr>
        <w:pStyle w:val="Caption"/>
      </w:pPr>
      <w:r w:rsidRPr="00323883">
        <w:t xml:space="preserve">Tabla </w:t>
      </w:r>
      <w:r w:rsidR="001C2E32">
        <w:t>II-</w:t>
      </w:r>
      <w:r w:rsidRPr="00323883">
        <w:t>4: Ingresos ($/mes) por adulto equivalente en GBA.</w:t>
      </w:r>
    </w:p>
    <w:p w14:paraId="7108980B" w14:textId="77777777" w:rsidR="00A95DF9" w:rsidRPr="00323883" w:rsidRDefault="00A95DF9" w:rsidP="0087147E">
      <w:pPr>
        <w:pStyle w:val="NoSpacing"/>
      </w:pPr>
      <w:r w:rsidRPr="00323883">
        <w:rPr>
          <w:noProof/>
          <w:lang w:eastAsia="es-AR"/>
        </w:rPr>
        <w:drawing>
          <wp:inline distT="0" distB="0" distL="0" distR="0" wp14:anchorId="5F7910F5" wp14:editId="428C82EF">
            <wp:extent cx="4678680" cy="3479165"/>
            <wp:effectExtent l="0" t="0" r="7620" b="6985"/>
            <wp:docPr id="10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678680" cy="3479165"/>
                    </a:xfrm>
                    <a:prstGeom prst="rect">
                      <a:avLst/>
                    </a:prstGeom>
                    <a:noFill/>
                    <a:ln>
                      <a:noFill/>
                    </a:ln>
                  </pic:spPr>
                </pic:pic>
              </a:graphicData>
            </a:graphic>
          </wp:inline>
        </w:drawing>
      </w:r>
    </w:p>
    <w:p w14:paraId="71BDE41D" w14:textId="77777777" w:rsidR="00A95DF9" w:rsidRPr="00323883" w:rsidRDefault="00A95DF9" w:rsidP="0087147E">
      <w:pPr>
        <w:pStyle w:val="NoSpacing"/>
      </w:pPr>
    </w:p>
    <w:p w14:paraId="1CE53223" w14:textId="20E266F9" w:rsidR="00A95DF9" w:rsidRPr="00323883" w:rsidRDefault="00A95DF9" w:rsidP="0087147E">
      <w:pPr>
        <w:pStyle w:val="Caption"/>
      </w:pPr>
      <w:r w:rsidRPr="00323883">
        <w:t xml:space="preserve">Tabla </w:t>
      </w:r>
      <w:r w:rsidR="001C2E32">
        <w:t>II-</w:t>
      </w:r>
      <w:r w:rsidRPr="00323883">
        <w:t>5: Ingresos ($/mes) por adulto equivalente en CABA.</w:t>
      </w:r>
    </w:p>
    <w:p w14:paraId="1FC11719" w14:textId="77777777" w:rsidR="00A95DF9" w:rsidRPr="00323883" w:rsidRDefault="00A95DF9" w:rsidP="0087147E">
      <w:r w:rsidRPr="00323883">
        <w:rPr>
          <w:noProof/>
          <w:lang w:eastAsia="es-AR"/>
        </w:rPr>
        <w:drawing>
          <wp:inline distT="0" distB="0" distL="0" distR="0" wp14:anchorId="2387F54D" wp14:editId="31DA42B8">
            <wp:extent cx="4676775" cy="3476625"/>
            <wp:effectExtent l="0" t="0" r="9525" b="9525"/>
            <wp:docPr id="104"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676775" cy="3476625"/>
                    </a:xfrm>
                    <a:prstGeom prst="rect">
                      <a:avLst/>
                    </a:prstGeom>
                    <a:noFill/>
                    <a:ln>
                      <a:noFill/>
                    </a:ln>
                  </pic:spPr>
                </pic:pic>
              </a:graphicData>
            </a:graphic>
          </wp:inline>
        </w:drawing>
      </w:r>
    </w:p>
    <w:p w14:paraId="4D9FDE44" w14:textId="6DDD7547" w:rsidR="00A95DF9" w:rsidRPr="00323883" w:rsidRDefault="00A95DF9" w:rsidP="0087147E">
      <w:pPr>
        <w:pStyle w:val="NoSpacing"/>
      </w:pPr>
      <w:r w:rsidRPr="00323883">
        <w:t>Fuente: Elaboración sobre bases de microdatos EPH.</w:t>
      </w:r>
    </w:p>
    <w:p w14:paraId="091EBBC9" w14:textId="77777777" w:rsidR="00A95DF9" w:rsidRPr="00323883" w:rsidRDefault="00A95DF9" w:rsidP="0087147E"/>
    <w:p w14:paraId="7B16C2C4" w14:textId="5C0E5E74" w:rsidR="00A95DF9" w:rsidRPr="00323883" w:rsidRDefault="00A95DF9" w:rsidP="0087147E">
      <w:pPr>
        <w:pStyle w:val="Caption"/>
      </w:pPr>
      <w:r w:rsidRPr="00323883">
        <w:t xml:space="preserve">Tabla </w:t>
      </w:r>
      <w:r w:rsidR="001C2E32">
        <w:t>II-</w:t>
      </w:r>
      <w:r w:rsidRPr="00323883">
        <w:t>6: Cantidad de adultos equivalentes por hogar en GBA.</w:t>
      </w:r>
    </w:p>
    <w:p w14:paraId="333AD49C" w14:textId="77777777" w:rsidR="00A95DF9" w:rsidRPr="00323883" w:rsidRDefault="00A95DF9" w:rsidP="0087147E">
      <w:pPr>
        <w:pStyle w:val="NoSpacing"/>
      </w:pPr>
      <w:r w:rsidRPr="00323883">
        <w:rPr>
          <w:noProof/>
          <w:lang w:eastAsia="es-AR"/>
        </w:rPr>
        <w:drawing>
          <wp:inline distT="0" distB="0" distL="0" distR="0" wp14:anchorId="1D3E6C14" wp14:editId="7EC50FEE">
            <wp:extent cx="4678680" cy="3479165"/>
            <wp:effectExtent l="0" t="0" r="7620" b="6985"/>
            <wp:docPr id="105"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678680" cy="3479165"/>
                    </a:xfrm>
                    <a:prstGeom prst="rect">
                      <a:avLst/>
                    </a:prstGeom>
                    <a:noFill/>
                    <a:ln>
                      <a:noFill/>
                    </a:ln>
                  </pic:spPr>
                </pic:pic>
              </a:graphicData>
            </a:graphic>
          </wp:inline>
        </w:drawing>
      </w:r>
    </w:p>
    <w:p w14:paraId="72FB44CD" w14:textId="77777777" w:rsidR="00A95DF9" w:rsidRPr="00323883" w:rsidRDefault="00A95DF9" w:rsidP="0087147E">
      <w:pPr>
        <w:pStyle w:val="NoSpacing"/>
      </w:pPr>
    </w:p>
    <w:p w14:paraId="2C8B6E66" w14:textId="0598D6BF" w:rsidR="00A95DF9" w:rsidRPr="00323883" w:rsidRDefault="00A95DF9" w:rsidP="0087147E">
      <w:pPr>
        <w:pStyle w:val="Caption"/>
      </w:pPr>
      <w:r w:rsidRPr="00323883">
        <w:t xml:space="preserve">Tabla </w:t>
      </w:r>
      <w:r w:rsidR="001C2E32">
        <w:t>II-</w:t>
      </w:r>
      <w:r w:rsidRPr="00323883">
        <w:t>7: Cantidad de adultos equivalentes por hogar en CABA.</w:t>
      </w:r>
    </w:p>
    <w:p w14:paraId="7C1717B1" w14:textId="77777777" w:rsidR="00A95DF9" w:rsidRPr="00323883" w:rsidRDefault="00A95DF9" w:rsidP="0087147E">
      <w:r w:rsidRPr="00323883">
        <w:rPr>
          <w:noProof/>
          <w:lang w:eastAsia="es-AR"/>
        </w:rPr>
        <w:drawing>
          <wp:inline distT="0" distB="0" distL="0" distR="0" wp14:anchorId="69012767" wp14:editId="6C5183B1">
            <wp:extent cx="4678680" cy="3479165"/>
            <wp:effectExtent l="0" t="0" r="7620" b="6985"/>
            <wp:docPr id="106"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678680" cy="3479165"/>
                    </a:xfrm>
                    <a:prstGeom prst="rect">
                      <a:avLst/>
                    </a:prstGeom>
                    <a:noFill/>
                    <a:ln>
                      <a:noFill/>
                    </a:ln>
                  </pic:spPr>
                </pic:pic>
              </a:graphicData>
            </a:graphic>
          </wp:inline>
        </w:drawing>
      </w:r>
    </w:p>
    <w:p w14:paraId="1CF4DCEF" w14:textId="734621A2" w:rsidR="00A95DF9" w:rsidRPr="00323883" w:rsidRDefault="00A95DF9" w:rsidP="0087147E">
      <w:pPr>
        <w:pStyle w:val="NoSpacing"/>
      </w:pPr>
      <w:r w:rsidRPr="00323883">
        <w:t>Fuente: Elaboración sobre bases de microdatos EPH.</w:t>
      </w:r>
    </w:p>
    <w:p w14:paraId="78CC8B92" w14:textId="77777777" w:rsidR="00A95DF9" w:rsidRPr="00323883" w:rsidRDefault="00A95DF9" w:rsidP="0087147E">
      <w:pPr>
        <w:pStyle w:val="NoSpacing"/>
      </w:pPr>
    </w:p>
    <w:p w14:paraId="5A135C92" w14:textId="40CB7155" w:rsidR="00A95DF9" w:rsidRPr="00323883" w:rsidRDefault="00A95DF9" w:rsidP="0087147E">
      <w:pPr>
        <w:pStyle w:val="Caption"/>
      </w:pPr>
      <w:r w:rsidRPr="00323883">
        <w:t xml:space="preserve">Tabla </w:t>
      </w:r>
      <w:r w:rsidR="001C2E32">
        <w:t>II-</w:t>
      </w:r>
      <w:r w:rsidRPr="00323883">
        <w:t>8: Ingreso total ($/mes) por hogar en GBA.</w:t>
      </w:r>
    </w:p>
    <w:p w14:paraId="33D322AF" w14:textId="77777777" w:rsidR="00A95DF9" w:rsidRPr="00323883" w:rsidRDefault="00A95DF9" w:rsidP="0087147E">
      <w:pPr>
        <w:pStyle w:val="NoSpacing"/>
      </w:pPr>
      <w:r w:rsidRPr="00323883">
        <w:rPr>
          <w:noProof/>
          <w:lang w:eastAsia="es-AR"/>
        </w:rPr>
        <w:drawing>
          <wp:inline distT="0" distB="0" distL="0" distR="0" wp14:anchorId="0E35FF03" wp14:editId="4884C42C">
            <wp:extent cx="5400675" cy="3364075"/>
            <wp:effectExtent l="0" t="0" r="0" b="8255"/>
            <wp:docPr id="107"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675" cy="3364075"/>
                    </a:xfrm>
                    <a:prstGeom prst="rect">
                      <a:avLst/>
                    </a:prstGeom>
                    <a:noFill/>
                    <a:ln>
                      <a:noFill/>
                    </a:ln>
                  </pic:spPr>
                </pic:pic>
              </a:graphicData>
            </a:graphic>
          </wp:inline>
        </w:drawing>
      </w:r>
    </w:p>
    <w:p w14:paraId="45E65EA7" w14:textId="77777777" w:rsidR="00A95DF9" w:rsidRPr="00323883" w:rsidRDefault="00A95DF9" w:rsidP="0087147E">
      <w:pPr>
        <w:pStyle w:val="Caption"/>
      </w:pPr>
    </w:p>
    <w:p w14:paraId="31CA06A8" w14:textId="0E503D31" w:rsidR="00A95DF9" w:rsidRPr="00323883" w:rsidRDefault="00A95DF9" w:rsidP="0087147E">
      <w:pPr>
        <w:pStyle w:val="Caption"/>
      </w:pPr>
      <w:r w:rsidRPr="00323883">
        <w:t xml:space="preserve">Tabla </w:t>
      </w:r>
      <w:r w:rsidR="001C2E32">
        <w:t>II-</w:t>
      </w:r>
      <w:r w:rsidRPr="00323883">
        <w:t>9: Ingreso total ($/mes) por hogar en CABA.</w:t>
      </w:r>
    </w:p>
    <w:p w14:paraId="2E6E3AA4" w14:textId="77777777" w:rsidR="00A95DF9" w:rsidRPr="00323883" w:rsidRDefault="00A95DF9" w:rsidP="0087147E">
      <w:pPr>
        <w:pStyle w:val="NoSpacing"/>
      </w:pPr>
      <w:r w:rsidRPr="00323883">
        <w:rPr>
          <w:noProof/>
          <w:lang w:eastAsia="es-AR"/>
        </w:rPr>
        <w:drawing>
          <wp:inline distT="0" distB="0" distL="0" distR="0" wp14:anchorId="28669AA9" wp14:editId="03481499">
            <wp:extent cx="5443855" cy="3509010"/>
            <wp:effectExtent l="0" t="0" r="0" b="0"/>
            <wp:docPr id="108"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43855" cy="3509010"/>
                    </a:xfrm>
                    <a:prstGeom prst="rect">
                      <a:avLst/>
                    </a:prstGeom>
                    <a:noFill/>
                    <a:ln>
                      <a:noFill/>
                    </a:ln>
                  </pic:spPr>
                </pic:pic>
              </a:graphicData>
            </a:graphic>
          </wp:inline>
        </w:drawing>
      </w:r>
    </w:p>
    <w:p w14:paraId="55CC76B9" w14:textId="40CC5C44" w:rsidR="00A95DF9" w:rsidRPr="00323883" w:rsidRDefault="00A95DF9" w:rsidP="0087147E">
      <w:pPr>
        <w:pStyle w:val="NoSpacing"/>
      </w:pPr>
      <w:r w:rsidRPr="00323883">
        <w:t>Fuente: Elaboración sobre bases de microdatos EPH.</w:t>
      </w:r>
    </w:p>
    <w:p w14:paraId="1FF38C8C" w14:textId="77777777" w:rsidR="00A95DF9" w:rsidRPr="00323883" w:rsidRDefault="00A95DF9" w:rsidP="0087147E"/>
    <w:p w14:paraId="5D639B91" w14:textId="7F6E6585" w:rsidR="00A95DF9" w:rsidRPr="001C2E32" w:rsidRDefault="00A95DF9" w:rsidP="0087147E">
      <w:pPr>
        <w:rPr>
          <w:rFonts w:ascii="Arial" w:hAnsi="Arial" w:cs="Arial"/>
        </w:rPr>
      </w:pPr>
      <w:r w:rsidRPr="001C2E32">
        <w:rPr>
          <w:rFonts w:ascii="Arial" w:hAnsi="Arial" w:cs="Arial"/>
        </w:rPr>
        <w:t xml:space="preserve">Con base en los datos del Censo Nacional de Población y Viviendas 2010 (CNPV 2010), la situación de la pobreza en los 17 partidos del conurbano bonaerense atendidos por AySA S.A. y en la Ciudad Autónoma de Buenos Aires se resume en la </w:t>
      </w:r>
      <w:r w:rsidRPr="001C2E32">
        <w:rPr>
          <w:rFonts w:ascii="Arial" w:hAnsi="Arial" w:cs="Arial"/>
        </w:rPr>
        <w:fldChar w:fldCharType="begin"/>
      </w:r>
      <w:r w:rsidRPr="001C2E32">
        <w:rPr>
          <w:rFonts w:ascii="Arial" w:hAnsi="Arial" w:cs="Arial"/>
        </w:rPr>
        <w:instrText xml:space="preserve"> REF _Ref479695762 \h  \* MERGEFORMAT </w:instrText>
      </w:r>
      <w:r w:rsidRPr="001C2E32">
        <w:rPr>
          <w:rFonts w:ascii="Arial" w:hAnsi="Arial" w:cs="Arial"/>
        </w:rPr>
      </w:r>
      <w:r w:rsidRPr="001C2E32">
        <w:rPr>
          <w:rFonts w:ascii="Arial" w:hAnsi="Arial" w:cs="Arial"/>
        </w:rPr>
        <w:fldChar w:fldCharType="separate"/>
      </w:r>
      <w:r w:rsidRPr="001C2E32">
        <w:rPr>
          <w:rFonts w:ascii="Arial" w:hAnsi="Arial" w:cs="Arial"/>
        </w:rPr>
        <w:t xml:space="preserve">Tabla </w:t>
      </w:r>
      <w:r w:rsidRPr="001C2E32">
        <w:rPr>
          <w:rFonts w:ascii="Arial" w:hAnsi="Arial" w:cs="Arial"/>
        </w:rPr>
        <w:fldChar w:fldCharType="end"/>
      </w:r>
      <w:r w:rsidR="001C2E32">
        <w:rPr>
          <w:rFonts w:ascii="Arial" w:hAnsi="Arial" w:cs="Arial"/>
        </w:rPr>
        <w:t>II-</w:t>
      </w:r>
      <w:r w:rsidRPr="001C2E32">
        <w:rPr>
          <w:rFonts w:ascii="Arial" w:hAnsi="Arial" w:cs="Arial"/>
        </w:rPr>
        <w:t>10, donde se presentan los indicadores de pobreza directos (NBI) clasificados de acuerdo con el nivel socioeconómico de los radios censales (estratificación social surgida del indicador de capacidad económica (CAPECO) (Ver Anexo VI)) y datos generales de habitantes, hogares y densidad.</w:t>
      </w:r>
    </w:p>
    <w:p w14:paraId="5153F92B" w14:textId="77777777" w:rsidR="00A95DF9" w:rsidRPr="00323883" w:rsidRDefault="00A95DF9" w:rsidP="0087147E">
      <w:pPr>
        <w:pStyle w:val="Caption"/>
      </w:pPr>
      <w:r w:rsidRPr="00323883">
        <w:t xml:space="preserve">Tabla 10: NBI y datos generales según NSE – CNPV 2010. </w:t>
      </w:r>
    </w:p>
    <w:p w14:paraId="1D8ACB41" w14:textId="77777777" w:rsidR="00A95DF9" w:rsidRPr="00323883" w:rsidRDefault="00A95DF9" w:rsidP="0087147E">
      <w:pPr>
        <w:pStyle w:val="NoSpacing"/>
      </w:pPr>
      <w:r w:rsidRPr="00323883">
        <w:rPr>
          <w:noProof/>
          <w:lang w:eastAsia="es-AR"/>
        </w:rPr>
        <w:drawing>
          <wp:inline distT="0" distB="0" distL="0" distR="0" wp14:anchorId="7F4AE4D4" wp14:editId="7739A282">
            <wp:extent cx="5612130" cy="3073899"/>
            <wp:effectExtent l="0" t="0" r="0" b="0"/>
            <wp:docPr id="109"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12130" cy="3073899"/>
                    </a:xfrm>
                    <a:prstGeom prst="rect">
                      <a:avLst/>
                    </a:prstGeom>
                    <a:noFill/>
                    <a:ln>
                      <a:noFill/>
                    </a:ln>
                  </pic:spPr>
                </pic:pic>
              </a:graphicData>
            </a:graphic>
          </wp:inline>
        </w:drawing>
      </w:r>
    </w:p>
    <w:p w14:paraId="70A42DEA" w14:textId="51E53CBF" w:rsidR="00A95DF9" w:rsidRPr="00323883" w:rsidRDefault="00A95DF9" w:rsidP="0087147E">
      <w:pPr>
        <w:pStyle w:val="NoSpacing"/>
      </w:pPr>
      <w:r w:rsidRPr="00323883">
        <w:t>Fuente: Elaboración sobre datos CNPV 2010.</w:t>
      </w:r>
    </w:p>
    <w:p w14:paraId="658257C7" w14:textId="77777777" w:rsidR="00A95DF9" w:rsidRPr="001C2E32" w:rsidRDefault="00A95DF9" w:rsidP="0087147E">
      <w:pPr>
        <w:rPr>
          <w:rFonts w:ascii="Arial" w:hAnsi="Arial" w:cs="Arial"/>
        </w:rPr>
      </w:pPr>
    </w:p>
    <w:p w14:paraId="546E4B2D" w14:textId="77777777" w:rsidR="00A95DF9" w:rsidRPr="001C2E32" w:rsidRDefault="00A95DF9" w:rsidP="0087147E">
      <w:pPr>
        <w:rPr>
          <w:rFonts w:ascii="Arial" w:hAnsi="Arial" w:cs="Arial"/>
        </w:rPr>
      </w:pPr>
      <w:r w:rsidRPr="001C2E32">
        <w:rPr>
          <w:rFonts w:ascii="Arial" w:hAnsi="Arial" w:cs="Arial"/>
        </w:rPr>
        <w:t>Según se observa, la mayor parte de los hogares se localizan en radios censales clasificados como de bajo nivel socioeconómico según el criterio del indicador de capacidad económica (CAPECO). En la Ilustración 1 se presenta la distribución de hogares de los 17 partidos del GBA que forman parte del área concesionada a AySA y de la Ciudad Autónoma de Buenos Aires según estrato socioeconómico del radio censal.</w:t>
      </w:r>
    </w:p>
    <w:p w14:paraId="2646EE0B" w14:textId="001F5D0C" w:rsidR="00A95DF9" w:rsidRPr="00323883" w:rsidRDefault="001C2E32" w:rsidP="0087147E">
      <w:pPr>
        <w:pStyle w:val="Caption"/>
      </w:pPr>
      <w:r>
        <w:t>Figura II-</w:t>
      </w:r>
      <w:r w:rsidR="00A95DF9" w:rsidRPr="00323883">
        <w:t>1: Distribución de hogares según NSE - CAPECO.</w:t>
      </w:r>
    </w:p>
    <w:p w14:paraId="0A26D6AB" w14:textId="77777777" w:rsidR="00A95DF9" w:rsidRPr="00323883" w:rsidRDefault="00A95DF9" w:rsidP="0087147E">
      <w:pPr>
        <w:pStyle w:val="NoSpacing"/>
      </w:pPr>
      <w:r w:rsidRPr="00323883">
        <w:rPr>
          <w:noProof/>
          <w:lang w:eastAsia="es-AR"/>
        </w:rPr>
        <w:drawing>
          <wp:inline distT="0" distB="0" distL="0" distR="0" wp14:anchorId="791C51FB" wp14:editId="4E81F4A8">
            <wp:extent cx="5229225" cy="3067050"/>
            <wp:effectExtent l="0" t="0" r="0" b="0"/>
            <wp:docPr id="110"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229225" cy="3067050"/>
                    </a:xfrm>
                    <a:prstGeom prst="rect">
                      <a:avLst/>
                    </a:prstGeom>
                    <a:noFill/>
                    <a:ln>
                      <a:noFill/>
                    </a:ln>
                  </pic:spPr>
                </pic:pic>
              </a:graphicData>
            </a:graphic>
          </wp:inline>
        </w:drawing>
      </w:r>
    </w:p>
    <w:p w14:paraId="0F061A38" w14:textId="21F1582E" w:rsidR="00A95DF9" w:rsidRPr="00323883" w:rsidRDefault="00A95DF9" w:rsidP="0087147E">
      <w:pPr>
        <w:pStyle w:val="NoSpacing"/>
      </w:pPr>
      <w:r w:rsidRPr="00323883">
        <w:t>Fuente: Elaboración sobre datos CNPV 2010.</w:t>
      </w:r>
    </w:p>
    <w:p w14:paraId="78287D61" w14:textId="77777777" w:rsidR="00A95DF9" w:rsidRPr="00323883" w:rsidRDefault="00A95DF9" w:rsidP="0087147E">
      <w:pPr>
        <w:pStyle w:val="NoSpacing"/>
      </w:pPr>
    </w:p>
    <w:p w14:paraId="445EE46E" w14:textId="7093C6B5" w:rsidR="00A95DF9" w:rsidRPr="001C2E32" w:rsidRDefault="00A95DF9" w:rsidP="0087147E">
      <w:pPr>
        <w:rPr>
          <w:rFonts w:ascii="Arial" w:hAnsi="Arial" w:cs="Arial"/>
        </w:rPr>
      </w:pPr>
      <w:r w:rsidRPr="001C2E32">
        <w:rPr>
          <w:rFonts w:ascii="Arial" w:hAnsi="Arial" w:cs="Arial"/>
        </w:rPr>
        <w:t xml:space="preserve">Finalmente, para completar el contexto del proyecto, se presenta a continuación (Tabla </w:t>
      </w:r>
      <w:r w:rsidR="001C2E32">
        <w:rPr>
          <w:rFonts w:ascii="Arial" w:hAnsi="Arial" w:cs="Arial"/>
        </w:rPr>
        <w:t>II-</w:t>
      </w:r>
      <w:r w:rsidRPr="001C2E32">
        <w:rPr>
          <w:rFonts w:ascii="Arial" w:hAnsi="Arial" w:cs="Arial"/>
        </w:rPr>
        <w:t xml:space="preserve">11) la cobertura de los principales servicios públicos en los partidos del conurbano bonaerense cuyo servicio de agua y saneamiento se encuentra concesionado a AySA S.A.. En este caso la información se complementa con la estratificación social surgida del indicador CAPECO a fin de mostrar la relación existente entre pobreza y falta de acceso a los servicios públicos. No se presentan los datos para la Ciudad Autónoma de Buenos Aires dado que el acceso a los servicios es casi universal. </w:t>
      </w:r>
    </w:p>
    <w:p w14:paraId="076E22E9" w14:textId="1E998D76" w:rsidR="00A95DF9" w:rsidRPr="00323883" w:rsidRDefault="00A95DF9" w:rsidP="0087147E">
      <w:pPr>
        <w:pStyle w:val="NoSpacing"/>
        <w:spacing w:before="240" w:after="0"/>
        <w:rPr>
          <w:b/>
          <w:sz w:val="22"/>
        </w:rPr>
      </w:pPr>
      <w:r w:rsidRPr="00323883">
        <w:rPr>
          <w:b/>
          <w:sz w:val="22"/>
        </w:rPr>
        <w:t xml:space="preserve">Tabla </w:t>
      </w:r>
      <w:r w:rsidR="001C2E32">
        <w:rPr>
          <w:b/>
          <w:sz w:val="22"/>
        </w:rPr>
        <w:t>II-</w:t>
      </w:r>
      <w:r w:rsidRPr="00323883">
        <w:rPr>
          <w:b/>
          <w:sz w:val="22"/>
        </w:rPr>
        <w:t>11: Acceso a servicios según CAPECO por Radio Censal CNPV 2010 – 17 partidos del GBA</w:t>
      </w:r>
    </w:p>
    <w:p w14:paraId="273DFB0B" w14:textId="77777777" w:rsidR="00A95DF9" w:rsidRPr="00323883" w:rsidRDefault="00A95DF9" w:rsidP="0087147E">
      <w:pPr>
        <w:pStyle w:val="NoSpacing"/>
      </w:pPr>
      <w:r w:rsidRPr="00323883">
        <w:rPr>
          <w:b/>
          <w:noProof/>
          <w:lang w:val="es-ES" w:eastAsia="es-ES"/>
        </w:rPr>
        <w:t xml:space="preserve"> </w:t>
      </w:r>
      <w:r w:rsidRPr="00323883">
        <w:rPr>
          <w:noProof/>
          <w:lang w:eastAsia="es-AR"/>
        </w:rPr>
        <w:drawing>
          <wp:inline distT="0" distB="0" distL="0" distR="0" wp14:anchorId="6A93AF37" wp14:editId="3EB5B72F">
            <wp:extent cx="5391150" cy="1280160"/>
            <wp:effectExtent l="0" t="0" r="0" b="0"/>
            <wp:docPr id="111"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91150" cy="1280160"/>
                    </a:xfrm>
                    <a:prstGeom prst="rect">
                      <a:avLst/>
                    </a:prstGeom>
                    <a:noFill/>
                    <a:ln>
                      <a:noFill/>
                    </a:ln>
                  </pic:spPr>
                </pic:pic>
              </a:graphicData>
            </a:graphic>
          </wp:inline>
        </w:drawing>
      </w:r>
    </w:p>
    <w:p w14:paraId="0FD4A9E5" w14:textId="71CB7CD1" w:rsidR="00A95DF9" w:rsidRPr="00323883" w:rsidRDefault="00A95DF9" w:rsidP="0087147E">
      <w:pPr>
        <w:pStyle w:val="NoSpacing"/>
      </w:pPr>
      <w:r w:rsidRPr="00323883">
        <w:t>Fuente: Elaboración sobre datos CNPV 2010.</w:t>
      </w:r>
    </w:p>
    <w:p w14:paraId="6C8661F2" w14:textId="77777777" w:rsidR="00A95DF9" w:rsidRPr="001C2E32" w:rsidRDefault="00A95DF9" w:rsidP="0087147E">
      <w:pPr>
        <w:pStyle w:val="NoSpacing"/>
        <w:rPr>
          <w:rFonts w:ascii="Arial" w:hAnsi="Arial" w:cs="Arial"/>
        </w:rPr>
      </w:pPr>
    </w:p>
    <w:p w14:paraId="7A68841C" w14:textId="77777777" w:rsidR="00A95DF9" w:rsidRPr="001C2E32" w:rsidRDefault="00A95DF9" w:rsidP="0087147E">
      <w:pPr>
        <w:rPr>
          <w:rFonts w:ascii="Arial" w:hAnsi="Arial" w:cs="Arial"/>
        </w:rPr>
      </w:pPr>
      <w:r w:rsidRPr="001C2E32">
        <w:rPr>
          <w:rFonts w:ascii="Arial" w:hAnsi="Arial" w:cs="Arial"/>
        </w:rPr>
        <w:t>En este caso se aprecia que el mayor déficit de servicios corresponde al servicio de desagües cloacales, el que además presenta una cobertura menor a medida que desciende el nivel socioeconómico del área.</w:t>
      </w:r>
    </w:p>
    <w:p w14:paraId="16A1287A" w14:textId="77777777" w:rsidR="00A95DF9" w:rsidRPr="001C2E32" w:rsidRDefault="00A95DF9" w:rsidP="0087147E">
      <w:pPr>
        <w:rPr>
          <w:rFonts w:ascii="Arial" w:hAnsi="Arial" w:cs="Arial"/>
        </w:rPr>
      </w:pPr>
    </w:p>
    <w:p w14:paraId="3F9A7F00" w14:textId="77777777" w:rsidR="00A95DF9" w:rsidRPr="00323883" w:rsidRDefault="00A95DF9" w:rsidP="002B0107">
      <w:pPr>
        <w:pStyle w:val="Heading2"/>
        <w:numPr>
          <w:ilvl w:val="1"/>
          <w:numId w:val="96"/>
        </w:numPr>
      </w:pPr>
      <w:bookmarkStart w:id="274" w:name="_Toc483227421"/>
      <w:bookmarkStart w:id="275" w:name="_Toc485200178"/>
      <w:r w:rsidRPr="00323883">
        <w:t>Detalle socioeconómico de los beneficiarios del proyecto.</w:t>
      </w:r>
      <w:bookmarkEnd w:id="274"/>
      <w:bookmarkEnd w:id="275"/>
    </w:p>
    <w:p w14:paraId="2507030F" w14:textId="5A239895" w:rsidR="00A95DF9" w:rsidRPr="00D5032F" w:rsidRDefault="00A95DF9" w:rsidP="0087147E">
      <w:pPr>
        <w:rPr>
          <w:rFonts w:ascii="Arial" w:hAnsi="Arial" w:cs="Arial"/>
        </w:rPr>
      </w:pPr>
      <w:r w:rsidRPr="00D5032F">
        <w:rPr>
          <w:rFonts w:ascii="Arial" w:hAnsi="Arial" w:cs="Arial"/>
        </w:rPr>
        <w:t xml:space="preserve">Para el análisis de la situación socioeconómica de los considerados beneficiarios del proyecto, se presenta a continuación la </w:t>
      </w:r>
      <w:r w:rsidR="00D5032F" w:rsidRPr="00D5032F">
        <w:rPr>
          <w:rFonts w:ascii="Arial" w:hAnsi="Arial" w:cs="Arial"/>
        </w:rPr>
        <w:t>Figura II-</w:t>
      </w:r>
      <w:r w:rsidRPr="00D5032F">
        <w:rPr>
          <w:rFonts w:ascii="Arial" w:hAnsi="Arial" w:cs="Arial"/>
        </w:rPr>
        <w:t>2 en el que se presenta la distribución de hogares según nivel socioeconómico (NSE) del radio censal.</w:t>
      </w:r>
    </w:p>
    <w:p w14:paraId="190D2B0C" w14:textId="665A0497" w:rsidR="00A95DF9" w:rsidRPr="00323883" w:rsidRDefault="00D5032F" w:rsidP="0087147E">
      <w:pPr>
        <w:pStyle w:val="Caption"/>
      </w:pPr>
      <w:r>
        <w:t>Figura II-</w:t>
      </w:r>
      <w:r w:rsidR="00A95DF9" w:rsidRPr="00323883">
        <w:t>2: Hogares beneficiarios según NSE - CAPECO.</w:t>
      </w:r>
    </w:p>
    <w:p w14:paraId="2939219C" w14:textId="77777777" w:rsidR="00A95DF9" w:rsidRPr="00323883" w:rsidRDefault="00A95DF9" w:rsidP="0087147E">
      <w:pPr>
        <w:pStyle w:val="NoSpacing"/>
      </w:pPr>
      <w:r w:rsidRPr="00323883">
        <w:rPr>
          <w:noProof/>
          <w:lang w:eastAsia="es-AR"/>
        </w:rPr>
        <w:drawing>
          <wp:inline distT="0" distB="0" distL="0" distR="0" wp14:anchorId="5C41569F" wp14:editId="51A4F5B7">
            <wp:extent cx="4582795" cy="2753995"/>
            <wp:effectExtent l="0" t="0" r="0" b="0"/>
            <wp:docPr id="112"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582795" cy="2753995"/>
                    </a:xfrm>
                    <a:prstGeom prst="rect">
                      <a:avLst/>
                    </a:prstGeom>
                    <a:noFill/>
                    <a:ln>
                      <a:noFill/>
                    </a:ln>
                  </pic:spPr>
                </pic:pic>
              </a:graphicData>
            </a:graphic>
          </wp:inline>
        </w:drawing>
      </w:r>
    </w:p>
    <w:p w14:paraId="0FCB24A2" w14:textId="4DF89292" w:rsidR="00A95DF9" w:rsidRPr="00323883" w:rsidRDefault="00A95DF9" w:rsidP="0087147E">
      <w:pPr>
        <w:pStyle w:val="NoSpacing"/>
      </w:pPr>
      <w:r w:rsidRPr="00323883">
        <w:t>Fuente: Elaboración sobre datos CNPV 2010.</w:t>
      </w:r>
    </w:p>
    <w:p w14:paraId="7F490ED9" w14:textId="77777777" w:rsidR="00A95DF9" w:rsidRPr="00D5032F" w:rsidRDefault="00A95DF9" w:rsidP="0087147E">
      <w:pPr>
        <w:pStyle w:val="NoSpacing"/>
        <w:rPr>
          <w:rFonts w:ascii="Arial" w:hAnsi="Arial" w:cs="Arial"/>
        </w:rPr>
      </w:pPr>
    </w:p>
    <w:p w14:paraId="30CB9D49" w14:textId="1738E3AC" w:rsidR="00A95DF9" w:rsidRPr="00D5032F" w:rsidRDefault="00A95DF9" w:rsidP="0087147E">
      <w:pPr>
        <w:rPr>
          <w:rFonts w:ascii="Arial" w:hAnsi="Arial" w:cs="Arial"/>
        </w:rPr>
      </w:pPr>
      <w:r w:rsidRPr="00D5032F">
        <w:rPr>
          <w:rFonts w:ascii="Arial" w:hAnsi="Arial" w:cs="Arial"/>
        </w:rPr>
        <w:t xml:space="preserve">En la Tabla </w:t>
      </w:r>
      <w:r w:rsidR="00D5032F" w:rsidRPr="00D5032F">
        <w:rPr>
          <w:rFonts w:ascii="Arial" w:hAnsi="Arial" w:cs="Arial"/>
        </w:rPr>
        <w:t>II-</w:t>
      </w:r>
      <w:r w:rsidRPr="00D5032F">
        <w:rPr>
          <w:rFonts w:ascii="Arial" w:hAnsi="Arial" w:cs="Arial"/>
        </w:rPr>
        <w:t>12 se presenta información general análoga a la de la Tabla 10 para el área beneficiaria del proyecto.</w:t>
      </w:r>
    </w:p>
    <w:p w14:paraId="0E5DB624" w14:textId="2C0D08A4" w:rsidR="00A95DF9" w:rsidRPr="00323883" w:rsidRDefault="00A95DF9" w:rsidP="0087147E">
      <w:pPr>
        <w:pStyle w:val="Caption"/>
      </w:pPr>
      <w:r w:rsidRPr="00323883">
        <w:t xml:space="preserve">Tabla </w:t>
      </w:r>
      <w:r w:rsidR="00D5032F">
        <w:t>II-</w:t>
      </w:r>
      <w:r w:rsidRPr="00323883">
        <w:t>12: NBI y datos generales según NSE área beneficiaria del proyecto – CNPV 2010</w:t>
      </w:r>
    </w:p>
    <w:p w14:paraId="3C213488" w14:textId="77777777" w:rsidR="00A95DF9" w:rsidRPr="00323883" w:rsidRDefault="00A95DF9" w:rsidP="0087147E">
      <w:pPr>
        <w:pStyle w:val="NoSpacing"/>
      </w:pPr>
      <w:r w:rsidRPr="00323883">
        <w:rPr>
          <w:noProof/>
          <w:lang w:eastAsia="es-AR"/>
        </w:rPr>
        <w:drawing>
          <wp:inline distT="0" distB="0" distL="0" distR="0" wp14:anchorId="40735329" wp14:editId="234A1208">
            <wp:extent cx="5612130" cy="2108749"/>
            <wp:effectExtent l="0" t="0" r="0" b="0"/>
            <wp:docPr id="113"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12130" cy="2108749"/>
                    </a:xfrm>
                    <a:prstGeom prst="rect">
                      <a:avLst/>
                    </a:prstGeom>
                    <a:noFill/>
                    <a:ln>
                      <a:noFill/>
                    </a:ln>
                  </pic:spPr>
                </pic:pic>
              </a:graphicData>
            </a:graphic>
          </wp:inline>
        </w:drawing>
      </w:r>
    </w:p>
    <w:p w14:paraId="60E91ABF" w14:textId="71112E9F" w:rsidR="00A95DF9" w:rsidRPr="00323883" w:rsidRDefault="00A95DF9" w:rsidP="0087147E">
      <w:pPr>
        <w:pStyle w:val="NoSpacing"/>
      </w:pPr>
      <w:r w:rsidRPr="00323883">
        <w:t>Fuente: Elaboración sobre datos CNPV 2010.</w:t>
      </w:r>
    </w:p>
    <w:p w14:paraId="69B40D51" w14:textId="77777777" w:rsidR="00A95DF9" w:rsidRPr="00D5032F" w:rsidRDefault="00A95DF9" w:rsidP="0087147E">
      <w:pPr>
        <w:pStyle w:val="NoSpacing"/>
        <w:rPr>
          <w:rFonts w:ascii="Arial" w:hAnsi="Arial" w:cs="Arial"/>
          <w:sz w:val="22"/>
        </w:rPr>
      </w:pPr>
    </w:p>
    <w:p w14:paraId="3B6FC6E6" w14:textId="109A5E9E" w:rsidR="00A95DF9" w:rsidRPr="00D5032F" w:rsidRDefault="00A95DF9" w:rsidP="0087147E">
      <w:pPr>
        <w:pStyle w:val="NoSpacing"/>
        <w:rPr>
          <w:rFonts w:ascii="Arial" w:hAnsi="Arial" w:cs="Arial"/>
          <w:sz w:val="22"/>
        </w:rPr>
      </w:pPr>
      <w:r w:rsidRPr="00D5032F">
        <w:rPr>
          <w:rFonts w:ascii="Arial" w:hAnsi="Arial" w:cs="Arial"/>
          <w:sz w:val="22"/>
        </w:rPr>
        <w:t xml:space="preserve">Complementariamente, en la Tabla </w:t>
      </w:r>
      <w:r w:rsidR="00D5032F">
        <w:rPr>
          <w:rFonts w:ascii="Arial" w:hAnsi="Arial" w:cs="Arial"/>
          <w:sz w:val="22"/>
        </w:rPr>
        <w:t>II-</w:t>
      </w:r>
      <w:r w:rsidRPr="00D5032F">
        <w:rPr>
          <w:rFonts w:ascii="Arial" w:hAnsi="Arial" w:cs="Arial"/>
          <w:sz w:val="22"/>
        </w:rPr>
        <w:t xml:space="preserve">13 se presentan otros datos para observar la situación socioeconómica de los beneficiarios del proyecto Berazategui en base al IPMH, es decir el Índice de Privación Material de los Hogares (ver Anexo </w:t>
      </w:r>
      <w:r w:rsidR="00D5032F">
        <w:rPr>
          <w:rFonts w:ascii="Arial" w:hAnsi="Arial" w:cs="Arial"/>
          <w:sz w:val="22"/>
        </w:rPr>
        <w:t>1</w:t>
      </w:r>
      <w:r w:rsidRPr="00D5032F">
        <w:rPr>
          <w:rFonts w:ascii="Arial" w:hAnsi="Arial" w:cs="Arial"/>
          <w:sz w:val="22"/>
        </w:rPr>
        <w:t xml:space="preserve">). </w:t>
      </w:r>
    </w:p>
    <w:p w14:paraId="4A2E43AA" w14:textId="77777777" w:rsidR="00A95DF9" w:rsidRPr="00323883" w:rsidRDefault="00A95DF9" w:rsidP="0087147E">
      <w:pPr>
        <w:pStyle w:val="NoSpacing"/>
        <w:rPr>
          <w:sz w:val="22"/>
        </w:rPr>
      </w:pPr>
    </w:p>
    <w:p w14:paraId="6BE6AFFD" w14:textId="022EE330" w:rsidR="00A95DF9" w:rsidRPr="00323883" w:rsidRDefault="00A95DF9" w:rsidP="0087147E">
      <w:pPr>
        <w:pStyle w:val="Caption"/>
        <w:ind w:left="708" w:hanging="708"/>
      </w:pPr>
      <w:r w:rsidRPr="00323883">
        <w:t xml:space="preserve">Tabla </w:t>
      </w:r>
      <w:r w:rsidR="00D5032F">
        <w:t>II-</w:t>
      </w:r>
      <w:r w:rsidRPr="00323883">
        <w:t>13: Componentes del IPMH según NSE área beneficiaria del proyecto – CNPV 2010</w:t>
      </w:r>
    </w:p>
    <w:p w14:paraId="0BFA77F2" w14:textId="77777777" w:rsidR="00A95DF9" w:rsidRPr="00323883" w:rsidRDefault="00A95DF9" w:rsidP="0087147E">
      <w:pPr>
        <w:pStyle w:val="NoSpacing"/>
      </w:pPr>
      <w:r w:rsidRPr="00323883">
        <w:rPr>
          <w:noProof/>
          <w:lang w:eastAsia="es-AR"/>
        </w:rPr>
        <w:drawing>
          <wp:inline distT="0" distB="0" distL="0" distR="0" wp14:anchorId="6BA270FB" wp14:editId="51D5303D">
            <wp:extent cx="5612130" cy="2100348"/>
            <wp:effectExtent l="0" t="0" r="0" b="0"/>
            <wp:docPr id="114"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12130" cy="2100348"/>
                    </a:xfrm>
                    <a:prstGeom prst="rect">
                      <a:avLst/>
                    </a:prstGeom>
                    <a:noFill/>
                    <a:ln>
                      <a:noFill/>
                    </a:ln>
                  </pic:spPr>
                </pic:pic>
              </a:graphicData>
            </a:graphic>
          </wp:inline>
        </w:drawing>
      </w:r>
    </w:p>
    <w:p w14:paraId="22D83C48" w14:textId="6EDB1054" w:rsidR="00A95DF9" w:rsidRPr="00323883" w:rsidRDefault="00A95DF9" w:rsidP="0087147E">
      <w:pPr>
        <w:pStyle w:val="NoSpacing"/>
      </w:pPr>
      <w:r w:rsidRPr="00323883">
        <w:t>Fuente: Elaboración sobre datos CNPV 2010.</w:t>
      </w:r>
    </w:p>
    <w:p w14:paraId="37B28AF5" w14:textId="42F496E0" w:rsidR="00A95DF9" w:rsidRPr="00323883" w:rsidRDefault="00A95DF9" w:rsidP="0087147E">
      <w:r w:rsidRPr="00323883">
        <w:t xml:space="preserve">El otro aspecto analizado para el área beneficiaria del proyecto es el relacionado a los combustibles utilizados en la cocina y calefacción y la modalidad de desecho de los efluentes cloacales. La Tabla </w:t>
      </w:r>
      <w:r w:rsidR="00D5032F">
        <w:t>II-</w:t>
      </w:r>
      <w:r w:rsidRPr="00323883">
        <w:t xml:space="preserve">14 y la </w:t>
      </w:r>
      <w:r w:rsidRPr="00323883">
        <w:fldChar w:fldCharType="begin"/>
      </w:r>
      <w:r w:rsidRPr="00323883">
        <w:instrText xml:space="preserve"> REF _Ref479876859 \h </w:instrText>
      </w:r>
      <w:r>
        <w:instrText xml:space="preserve"> \* MERGEFORMAT </w:instrText>
      </w:r>
      <w:r w:rsidRPr="00323883">
        <w:fldChar w:fldCharType="separate"/>
      </w:r>
      <w:r w:rsidRPr="00323883">
        <w:t xml:space="preserve">Tabla </w:t>
      </w:r>
      <w:r w:rsidR="00D5032F">
        <w:t>II-</w:t>
      </w:r>
      <w:r w:rsidRPr="00323883">
        <w:rPr>
          <w:noProof/>
        </w:rPr>
        <w:t>1</w:t>
      </w:r>
      <w:r w:rsidRPr="00323883">
        <w:fldChar w:fldCharType="end"/>
      </w:r>
      <w:r w:rsidRPr="00323883">
        <w:t>5 presentan el detalle de tales aspectos de acuerdo con la estratificación socioeconómica de los radios censales según datos del relevamiento del año 2010.</w:t>
      </w:r>
    </w:p>
    <w:p w14:paraId="5789B251" w14:textId="4DAEA2ED" w:rsidR="00A95DF9" w:rsidRPr="00323883" w:rsidRDefault="00A95DF9" w:rsidP="0087147E">
      <w:pPr>
        <w:pStyle w:val="Caption"/>
      </w:pPr>
      <w:r w:rsidRPr="00323883">
        <w:t xml:space="preserve">Tabla </w:t>
      </w:r>
      <w:r w:rsidR="00D5032F">
        <w:t>II-</w:t>
      </w:r>
      <w:r w:rsidRPr="00323883">
        <w:t>14: Combustible utilizado por los hogares área beneficiaria del proyecto – CNPV 2010</w:t>
      </w:r>
    </w:p>
    <w:p w14:paraId="588ABB0B" w14:textId="77777777" w:rsidR="00A95DF9" w:rsidRPr="00323883" w:rsidRDefault="00A95DF9" w:rsidP="0087147E">
      <w:pPr>
        <w:pStyle w:val="NoSpacing"/>
      </w:pPr>
      <w:r w:rsidRPr="00323883">
        <w:rPr>
          <w:noProof/>
          <w:lang w:eastAsia="es-AR"/>
        </w:rPr>
        <w:drawing>
          <wp:inline distT="0" distB="0" distL="0" distR="0" wp14:anchorId="7AA87317" wp14:editId="2B543EE1">
            <wp:extent cx="5612130" cy="2427112"/>
            <wp:effectExtent l="0" t="0" r="0" b="0"/>
            <wp:docPr id="115"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12130" cy="2427112"/>
                    </a:xfrm>
                    <a:prstGeom prst="rect">
                      <a:avLst/>
                    </a:prstGeom>
                    <a:noFill/>
                    <a:ln>
                      <a:noFill/>
                    </a:ln>
                  </pic:spPr>
                </pic:pic>
              </a:graphicData>
            </a:graphic>
          </wp:inline>
        </w:drawing>
      </w:r>
    </w:p>
    <w:p w14:paraId="5D368B3B" w14:textId="14F50381" w:rsidR="00A95DF9" w:rsidRPr="00323883" w:rsidRDefault="00A95DF9" w:rsidP="0087147E">
      <w:pPr>
        <w:pStyle w:val="NoSpacing"/>
      </w:pPr>
      <w:r w:rsidRPr="00323883">
        <w:t>Fuente: Elaboración sobre datos CNPV 2010.</w:t>
      </w:r>
    </w:p>
    <w:p w14:paraId="10884867" w14:textId="7FDE9D92" w:rsidR="00A95DF9" w:rsidRPr="00323883" w:rsidRDefault="00A95DF9" w:rsidP="0087147E">
      <w:pPr>
        <w:pStyle w:val="Caption"/>
      </w:pPr>
      <w:r w:rsidRPr="00323883">
        <w:t xml:space="preserve">Tabla </w:t>
      </w:r>
      <w:r w:rsidR="00D5032F">
        <w:t>II-</w:t>
      </w:r>
      <w:r w:rsidRPr="00323883">
        <w:t>15: Sistema de eliminación de excretas área beneficiaria del proyecto – CNPV 2010</w:t>
      </w:r>
    </w:p>
    <w:p w14:paraId="574E5575" w14:textId="77777777" w:rsidR="00A95DF9" w:rsidRPr="00323883" w:rsidRDefault="00A95DF9" w:rsidP="0087147E">
      <w:pPr>
        <w:pStyle w:val="NoSpacing"/>
      </w:pPr>
      <w:r w:rsidRPr="00323883">
        <w:rPr>
          <w:noProof/>
          <w:lang w:eastAsia="es-AR"/>
        </w:rPr>
        <w:drawing>
          <wp:inline distT="0" distB="0" distL="0" distR="0" wp14:anchorId="59FD0B96" wp14:editId="5BB26F21">
            <wp:extent cx="5612130" cy="1576643"/>
            <wp:effectExtent l="0" t="0" r="0" b="0"/>
            <wp:docPr id="116"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12130" cy="1576643"/>
                    </a:xfrm>
                    <a:prstGeom prst="rect">
                      <a:avLst/>
                    </a:prstGeom>
                    <a:noFill/>
                    <a:ln>
                      <a:noFill/>
                    </a:ln>
                  </pic:spPr>
                </pic:pic>
              </a:graphicData>
            </a:graphic>
          </wp:inline>
        </w:drawing>
      </w:r>
    </w:p>
    <w:p w14:paraId="733152A0" w14:textId="77777777" w:rsidR="00A95DF9" w:rsidRPr="00323883" w:rsidRDefault="00A95DF9" w:rsidP="0087147E">
      <w:pPr>
        <w:pStyle w:val="NoSpacing"/>
      </w:pPr>
      <w:r w:rsidRPr="00323883">
        <w:t>Fuente: Elaboración propia sobre datos CNPV 2010.</w:t>
      </w:r>
    </w:p>
    <w:p w14:paraId="7CFEC6CF" w14:textId="12B8E919" w:rsidR="00A95DF9" w:rsidRPr="00D5032F" w:rsidRDefault="00A95DF9" w:rsidP="0087147E">
      <w:pPr>
        <w:rPr>
          <w:rFonts w:ascii="Arial" w:hAnsi="Arial" w:cs="Arial"/>
        </w:rPr>
      </w:pPr>
      <w:r w:rsidRPr="00D5032F">
        <w:rPr>
          <w:rFonts w:ascii="Arial" w:hAnsi="Arial" w:cs="Arial"/>
        </w:rPr>
        <w:t xml:space="preserve">Finalmente, la última característica evaluada es la estimación del ingreso familiar total a febrero de 2017. A tal efecto la </w:t>
      </w:r>
      <w:r w:rsidRPr="00D5032F">
        <w:rPr>
          <w:rFonts w:ascii="Arial" w:hAnsi="Arial" w:cs="Arial"/>
        </w:rPr>
        <w:fldChar w:fldCharType="begin"/>
      </w:r>
      <w:r w:rsidRPr="00D5032F">
        <w:rPr>
          <w:rFonts w:ascii="Arial" w:hAnsi="Arial" w:cs="Arial"/>
        </w:rPr>
        <w:instrText xml:space="preserve"> REF _Ref479877054 \h  \* MERGEFORMAT </w:instrText>
      </w:r>
      <w:r w:rsidRPr="00D5032F">
        <w:rPr>
          <w:rFonts w:ascii="Arial" w:hAnsi="Arial" w:cs="Arial"/>
        </w:rPr>
      </w:r>
      <w:r w:rsidRPr="00D5032F">
        <w:rPr>
          <w:rFonts w:ascii="Arial" w:hAnsi="Arial" w:cs="Arial"/>
        </w:rPr>
        <w:fldChar w:fldCharType="separate"/>
      </w:r>
      <w:r w:rsidRPr="00D5032F">
        <w:rPr>
          <w:rFonts w:ascii="Arial" w:hAnsi="Arial" w:cs="Arial"/>
        </w:rPr>
        <w:t xml:space="preserve">Tabla </w:t>
      </w:r>
      <w:r w:rsidRPr="00D5032F">
        <w:rPr>
          <w:rFonts w:ascii="Arial" w:hAnsi="Arial" w:cs="Arial"/>
        </w:rPr>
        <w:fldChar w:fldCharType="end"/>
      </w:r>
      <w:r w:rsidR="00D5032F" w:rsidRPr="00D5032F">
        <w:rPr>
          <w:rFonts w:ascii="Arial" w:hAnsi="Arial" w:cs="Arial"/>
        </w:rPr>
        <w:t>II-</w:t>
      </w:r>
      <w:r w:rsidRPr="00D5032F">
        <w:rPr>
          <w:rFonts w:ascii="Arial" w:hAnsi="Arial" w:cs="Arial"/>
        </w:rPr>
        <w:t>16 presenta la distribución según estrato social de CAPECO asociada al nivel medio del ingreso total familiar según datos de la última encuesta permanente de hogares (3º trimestre de 2016), actualizados a partir del coeficiente de variación salarial (CVS) publicado por el INDEC para el caso de la sub región GBA. En el caso de CABA, dado que la totalidad de los hogares son beneficiarios, la actualización de ingresos a febrero de 2017 implica un ingreso medio de $ 35.186/mes por hogar.</w:t>
      </w:r>
    </w:p>
    <w:p w14:paraId="551DF56C" w14:textId="44A64FC5" w:rsidR="00A95DF9" w:rsidRPr="00323883" w:rsidRDefault="00A95DF9" w:rsidP="0087147E">
      <w:pPr>
        <w:pStyle w:val="Caption"/>
      </w:pPr>
      <w:r w:rsidRPr="00323883">
        <w:t xml:space="preserve">Tabla </w:t>
      </w:r>
      <w:r w:rsidR="00D5032F">
        <w:t>II-</w:t>
      </w:r>
      <w:r w:rsidRPr="00323883">
        <w:t>16: Determinación del Ingreso Familiar medio ($/mes) de los beneficiarios de GBA.</w:t>
      </w:r>
    </w:p>
    <w:p w14:paraId="795D24BF" w14:textId="77777777" w:rsidR="00A95DF9" w:rsidRPr="00323883" w:rsidRDefault="00A95DF9" w:rsidP="0087147E">
      <w:r w:rsidRPr="00323883">
        <w:rPr>
          <w:noProof/>
          <w:lang w:eastAsia="es-AR"/>
        </w:rPr>
        <w:drawing>
          <wp:inline distT="0" distB="0" distL="0" distR="0" wp14:anchorId="675E2592" wp14:editId="21D4310D">
            <wp:extent cx="4295775" cy="3731895"/>
            <wp:effectExtent l="0" t="0" r="0" b="0"/>
            <wp:docPr id="117"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295775" cy="3731895"/>
                    </a:xfrm>
                    <a:prstGeom prst="rect">
                      <a:avLst/>
                    </a:prstGeom>
                    <a:noFill/>
                    <a:ln>
                      <a:noFill/>
                    </a:ln>
                  </pic:spPr>
                </pic:pic>
              </a:graphicData>
            </a:graphic>
          </wp:inline>
        </w:drawing>
      </w:r>
    </w:p>
    <w:p w14:paraId="05579E8A" w14:textId="016AFEC6" w:rsidR="00A95DF9" w:rsidRPr="00323883" w:rsidRDefault="00A95DF9" w:rsidP="0087147E">
      <w:pPr>
        <w:pStyle w:val="NoSpacing"/>
      </w:pPr>
      <w:r w:rsidRPr="00323883">
        <w:t>Fuente: Elaboración sobre datos CNPV 2010, EPH y CVS INDEC.</w:t>
      </w:r>
    </w:p>
    <w:p w14:paraId="0D69BE05" w14:textId="77777777" w:rsidR="00A95DF9" w:rsidRPr="00323883" w:rsidRDefault="00A95DF9" w:rsidP="0087147E"/>
    <w:p w14:paraId="2CAB8DE6" w14:textId="77777777" w:rsidR="00A95DF9" w:rsidRPr="00323883" w:rsidRDefault="00A95DF9" w:rsidP="002B0107">
      <w:pPr>
        <w:pStyle w:val="Heading2"/>
        <w:numPr>
          <w:ilvl w:val="1"/>
          <w:numId w:val="96"/>
        </w:numPr>
      </w:pPr>
      <w:bookmarkStart w:id="276" w:name="_Toc483227422"/>
      <w:bookmarkStart w:id="277" w:name="_Toc485200179"/>
      <w:r w:rsidRPr="00323883">
        <w:t>Situación socioeconómica de la población – Comentarios generales.</w:t>
      </w:r>
      <w:bookmarkEnd w:id="276"/>
      <w:bookmarkEnd w:id="277"/>
    </w:p>
    <w:p w14:paraId="4C6F805A" w14:textId="77777777" w:rsidR="00A95DF9" w:rsidRPr="000B37B9" w:rsidRDefault="00A95DF9" w:rsidP="0087147E">
      <w:pPr>
        <w:rPr>
          <w:rFonts w:ascii="Arial" w:hAnsi="Arial" w:cs="Arial"/>
        </w:rPr>
      </w:pPr>
      <w:r w:rsidRPr="000B37B9">
        <w:rPr>
          <w:rFonts w:ascii="Arial" w:hAnsi="Arial" w:cs="Arial"/>
        </w:rPr>
        <w:t>El área beneficiaria del proyecto corresponde a una porción importante del Área Metropolitana de Buenos Aires, por lo que se observa en la misma la presencia de fuertes heterogeneidades socioeconómicas.</w:t>
      </w:r>
    </w:p>
    <w:p w14:paraId="6C9BE7B1" w14:textId="77777777" w:rsidR="00A95DF9" w:rsidRPr="000B37B9" w:rsidRDefault="00A95DF9" w:rsidP="0087147E">
      <w:pPr>
        <w:rPr>
          <w:rFonts w:ascii="Arial" w:hAnsi="Arial" w:cs="Arial"/>
        </w:rPr>
      </w:pPr>
      <w:r w:rsidRPr="000B37B9">
        <w:rPr>
          <w:rFonts w:ascii="Arial" w:hAnsi="Arial" w:cs="Arial"/>
        </w:rPr>
        <w:t>En este caso se destaca que el sistema cloacal Berazategui sirve preponderantemente a porciones de elevada consolidación urbana (Ciudad de Buenos Aires, Vicente López, Avellaneda, Lanús) junto con algunas áreas algo más periféricas (Almirante Brown, por ejemplo), diferenciándose de este modo de la estructura socioeconómica general del área metropolitana (Ilustración 1). Así, según se aprecia, la participación de hogares con elevado nivel socioeconómico resulta mayoritaria (niveles medio alto y alto), pero no uniforme ya que el área también está integrada por sectores muy pobres.</w:t>
      </w:r>
    </w:p>
    <w:p w14:paraId="341459D4" w14:textId="77777777" w:rsidR="00A95DF9" w:rsidRPr="000B37B9" w:rsidRDefault="00A95DF9" w:rsidP="0087147E">
      <w:pPr>
        <w:rPr>
          <w:rFonts w:ascii="Arial" w:hAnsi="Arial" w:cs="Arial"/>
        </w:rPr>
      </w:pPr>
      <w:r w:rsidRPr="000B37B9">
        <w:rPr>
          <w:rFonts w:ascii="Arial" w:hAnsi="Arial" w:cs="Arial"/>
        </w:rPr>
        <w:t>Cabe destacar que en términos de superficie, la participación de las áreas pobres alcanza el 25% aproximadamente.</w:t>
      </w:r>
    </w:p>
    <w:p w14:paraId="0BC6DC7B" w14:textId="4851F8BA" w:rsidR="00A95DF9" w:rsidRPr="000B37B9" w:rsidRDefault="00A95DF9" w:rsidP="0087147E">
      <w:pPr>
        <w:rPr>
          <w:rFonts w:ascii="Arial" w:hAnsi="Arial" w:cs="Arial"/>
        </w:rPr>
      </w:pPr>
      <w:r w:rsidRPr="000B37B9">
        <w:rPr>
          <w:rFonts w:ascii="Arial" w:hAnsi="Arial" w:cs="Arial"/>
        </w:rPr>
        <w:t xml:space="preserve">La </w:t>
      </w:r>
      <w:r w:rsidR="000B37B9">
        <w:rPr>
          <w:rFonts w:ascii="Arial" w:hAnsi="Arial" w:cs="Arial"/>
        </w:rPr>
        <w:t>Figura II-</w:t>
      </w:r>
      <w:r w:rsidRPr="000B37B9">
        <w:rPr>
          <w:rFonts w:ascii="Arial" w:hAnsi="Arial" w:cs="Arial"/>
        </w:rPr>
        <w:t>3 presenta la distribución de hogares beneficiarios según estratificación socioeconómica del radio censal.</w:t>
      </w:r>
    </w:p>
    <w:p w14:paraId="67051294" w14:textId="18FAD410" w:rsidR="00A95DF9" w:rsidRPr="00323883" w:rsidRDefault="000B37B9" w:rsidP="0087147E">
      <w:pPr>
        <w:pStyle w:val="Caption"/>
      </w:pPr>
      <w:r>
        <w:t>Figura II-</w:t>
      </w:r>
      <w:r w:rsidR="00A95DF9" w:rsidRPr="00323883">
        <w:t>3: Estratificación Socioeconómica hogares beneficiarios.</w:t>
      </w:r>
    </w:p>
    <w:p w14:paraId="48A6A4F0" w14:textId="77777777" w:rsidR="00A95DF9" w:rsidRPr="00323883" w:rsidRDefault="00A95DF9" w:rsidP="0087147E">
      <w:r w:rsidRPr="00323883">
        <w:rPr>
          <w:noProof/>
          <w:lang w:eastAsia="es-AR"/>
        </w:rPr>
        <w:drawing>
          <wp:inline distT="0" distB="0" distL="0" distR="0" wp14:anchorId="646A7F7C" wp14:editId="64A9A7FD">
            <wp:extent cx="4505325" cy="3181350"/>
            <wp:effectExtent l="0" t="0" r="0" b="0"/>
            <wp:docPr id="118"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505325" cy="3181350"/>
                    </a:xfrm>
                    <a:prstGeom prst="rect">
                      <a:avLst/>
                    </a:prstGeom>
                    <a:noFill/>
                    <a:ln>
                      <a:noFill/>
                    </a:ln>
                  </pic:spPr>
                </pic:pic>
              </a:graphicData>
            </a:graphic>
          </wp:inline>
        </w:drawing>
      </w:r>
    </w:p>
    <w:p w14:paraId="3C12579D" w14:textId="77777777" w:rsidR="00A95DF9" w:rsidRPr="00323883" w:rsidRDefault="00A95DF9" w:rsidP="0087147E">
      <w:pPr>
        <w:pStyle w:val="NoSpacing"/>
      </w:pPr>
      <w:r w:rsidRPr="00323883">
        <w:t>Fuente: Elaboración propia sobre datos CNPV 2010.</w:t>
      </w:r>
    </w:p>
    <w:p w14:paraId="26B8065E" w14:textId="77777777" w:rsidR="00A95DF9" w:rsidRPr="00323883" w:rsidRDefault="00A95DF9" w:rsidP="0087147E"/>
    <w:p w14:paraId="7CD8FFF0" w14:textId="77777777" w:rsidR="00A95DF9" w:rsidRPr="00323883" w:rsidRDefault="00A95DF9" w:rsidP="002B0107">
      <w:pPr>
        <w:pStyle w:val="Heading2"/>
        <w:numPr>
          <w:ilvl w:val="0"/>
          <w:numId w:val="96"/>
        </w:numPr>
      </w:pPr>
      <w:bookmarkStart w:id="278" w:name="_Toc483227423"/>
      <w:bookmarkStart w:id="279" w:name="_Toc485200180"/>
      <w:r w:rsidRPr="00323883">
        <w:t>Análisis de capacidad de pago.</w:t>
      </w:r>
      <w:bookmarkEnd w:id="278"/>
      <w:bookmarkEnd w:id="279"/>
    </w:p>
    <w:p w14:paraId="2BDF9871" w14:textId="405A5573" w:rsidR="00A95DF9" w:rsidRPr="000B37B9" w:rsidRDefault="00A95DF9" w:rsidP="0087147E">
      <w:pPr>
        <w:rPr>
          <w:rFonts w:ascii="Arial" w:hAnsi="Arial" w:cs="Arial"/>
        </w:rPr>
      </w:pPr>
      <w:r w:rsidRPr="000B37B9">
        <w:rPr>
          <w:rFonts w:ascii="Arial" w:hAnsi="Arial" w:cs="Arial"/>
        </w:rPr>
        <w:t xml:space="preserve">A fin de verificar la incidencia del pago del servicio considerando las tarifas reguladas vigentes de AySA S.A., se analizó para cada estrato socioeconómico el impacto de las mismas sobre el presupuesto familiar, considerando la prestación de servicios de agua y cloacas. La Tabla </w:t>
      </w:r>
      <w:r w:rsidR="000B37B9" w:rsidRPr="000B37B9">
        <w:rPr>
          <w:rFonts w:ascii="Arial" w:hAnsi="Arial" w:cs="Arial"/>
        </w:rPr>
        <w:t>II-</w:t>
      </w:r>
      <w:r w:rsidRPr="000B37B9">
        <w:rPr>
          <w:rFonts w:ascii="Arial" w:hAnsi="Arial" w:cs="Arial"/>
        </w:rPr>
        <w:t>17 presenta el resultado obtenido para el caso de la sub región GBA (área más desfavorecida).</w:t>
      </w:r>
    </w:p>
    <w:p w14:paraId="3BE80370" w14:textId="77777777" w:rsidR="00A95DF9" w:rsidRPr="000B37B9" w:rsidRDefault="00A95DF9" w:rsidP="0087147E">
      <w:pPr>
        <w:rPr>
          <w:rFonts w:ascii="Arial" w:hAnsi="Arial" w:cs="Arial"/>
        </w:rPr>
      </w:pPr>
      <w:r w:rsidRPr="000B37B9">
        <w:rPr>
          <w:rFonts w:ascii="Arial" w:hAnsi="Arial" w:cs="Arial"/>
        </w:rPr>
        <w:t xml:space="preserve">Según se aprecia, en el Gran Buenos Aires los usuarios situados en el estrato social bajo y medio bajo enfrentarán un costo de los servicios de agua y de desagües cloacales que va del 1,48% de sus ingresos al 2,45%, mientras que para los estratos superiores la incidencia se encuentra por debajo del 1,48%.  </w:t>
      </w:r>
    </w:p>
    <w:p w14:paraId="4ED8B81A" w14:textId="77777777" w:rsidR="00A95DF9" w:rsidRPr="000B37B9" w:rsidRDefault="00A95DF9" w:rsidP="0087147E">
      <w:pPr>
        <w:rPr>
          <w:rFonts w:ascii="Arial" w:hAnsi="Arial" w:cs="Arial"/>
        </w:rPr>
      </w:pPr>
      <w:r w:rsidRPr="000B37B9">
        <w:rPr>
          <w:rFonts w:ascii="Arial" w:hAnsi="Arial" w:cs="Arial"/>
        </w:rPr>
        <w:t>Adicionalmente debe destacarse que la empresa cuenta con un programa de tarifa social que permite reducir la factura en aquellos casos que presenten una situación socioeconómica delicada, facilitándose ampliamente el pago de las facturas.</w:t>
      </w:r>
    </w:p>
    <w:p w14:paraId="6B1BA42B" w14:textId="3FD447D6" w:rsidR="00A95DF9" w:rsidRPr="00323883" w:rsidRDefault="00A95DF9" w:rsidP="0087147E">
      <w:pPr>
        <w:pStyle w:val="Caption"/>
      </w:pPr>
      <w:r w:rsidRPr="00323883">
        <w:t xml:space="preserve">Tabla </w:t>
      </w:r>
      <w:r w:rsidR="000B37B9">
        <w:t>II-</w:t>
      </w:r>
      <w:r w:rsidRPr="00323883">
        <w:t>17: Incidencia del pago del servicio sobre el presupuesto familiar en GBA.</w:t>
      </w:r>
    </w:p>
    <w:p w14:paraId="1E7606F3" w14:textId="77777777" w:rsidR="00A95DF9" w:rsidRPr="00323883" w:rsidRDefault="00A95DF9" w:rsidP="0087147E">
      <w:r w:rsidRPr="00323883">
        <w:rPr>
          <w:noProof/>
          <w:lang w:eastAsia="es-AR"/>
        </w:rPr>
        <w:drawing>
          <wp:inline distT="0" distB="0" distL="0" distR="0" wp14:anchorId="5B9E7CFC" wp14:editId="6A2DB4D9">
            <wp:extent cx="4295775" cy="2402840"/>
            <wp:effectExtent l="0" t="0" r="0" b="0"/>
            <wp:docPr id="119"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295775" cy="2402840"/>
                    </a:xfrm>
                    <a:prstGeom prst="rect">
                      <a:avLst/>
                    </a:prstGeom>
                    <a:noFill/>
                    <a:ln>
                      <a:noFill/>
                    </a:ln>
                  </pic:spPr>
                </pic:pic>
              </a:graphicData>
            </a:graphic>
          </wp:inline>
        </w:drawing>
      </w:r>
    </w:p>
    <w:p w14:paraId="30F55F89" w14:textId="77777777" w:rsidR="00A95DF9" w:rsidRPr="00323883" w:rsidRDefault="00A95DF9" w:rsidP="0087147E">
      <w:pPr>
        <w:pStyle w:val="Caption"/>
      </w:pPr>
    </w:p>
    <w:p w14:paraId="505EDAA4" w14:textId="77777777" w:rsidR="00A95DF9" w:rsidRPr="000B37B9" w:rsidRDefault="00A95DF9" w:rsidP="0087147E">
      <w:pPr>
        <w:rPr>
          <w:rFonts w:ascii="Arial" w:hAnsi="Arial" w:cs="Arial"/>
        </w:rPr>
      </w:pPr>
      <w:r w:rsidRPr="000B37B9">
        <w:rPr>
          <w:rFonts w:ascii="Arial" w:hAnsi="Arial" w:cs="Arial"/>
        </w:rPr>
        <w:t>Finalmente se aclara que en caso de evaluar únicamente el servicio de cloaca, la factura pasa a ser exactamente la mitad de los valores presentados (los precios de cada servicio son idénticos), por lo que la incidencia de los servicios sanitarios se reduce en un 50%.</w:t>
      </w:r>
    </w:p>
    <w:p w14:paraId="61F6B78B" w14:textId="77777777" w:rsidR="00A95DF9" w:rsidRPr="000B37B9" w:rsidRDefault="00A95DF9" w:rsidP="0087147E">
      <w:pPr>
        <w:spacing w:before="240" w:line="360" w:lineRule="auto"/>
        <w:rPr>
          <w:rFonts w:ascii="Arial" w:hAnsi="Arial" w:cs="Arial"/>
        </w:rPr>
      </w:pPr>
    </w:p>
    <w:p w14:paraId="50EC33E6" w14:textId="77777777" w:rsidR="00A95DF9" w:rsidRPr="00573E67" w:rsidRDefault="00A95DF9" w:rsidP="0087147E">
      <w:pPr>
        <w:spacing w:before="240" w:line="360" w:lineRule="auto"/>
      </w:pPr>
    </w:p>
    <w:p w14:paraId="108FE7AF" w14:textId="77777777" w:rsidR="00A95DF9" w:rsidRPr="00573E67" w:rsidRDefault="00A95DF9" w:rsidP="0087147E">
      <w:pPr>
        <w:spacing w:before="240" w:line="360" w:lineRule="auto"/>
      </w:pPr>
      <w:r w:rsidRPr="00573E67">
        <w:br w:type="page"/>
      </w:r>
    </w:p>
    <w:p w14:paraId="7BB7D1FA" w14:textId="1DFDEBF4" w:rsidR="00A95DF9" w:rsidRPr="00573E67" w:rsidRDefault="00A95DF9" w:rsidP="00191AC4">
      <w:pPr>
        <w:pStyle w:val="Heading1"/>
      </w:pPr>
      <w:bookmarkStart w:id="280" w:name="_Toc483227424"/>
      <w:bookmarkStart w:id="281" w:name="_Toc485200181"/>
      <w:r w:rsidRPr="00573E67">
        <w:t xml:space="preserve">Capítulo </w:t>
      </w:r>
      <w:r w:rsidR="00191AC4">
        <w:t>III</w:t>
      </w:r>
      <w:r w:rsidRPr="00573E67">
        <w:t>: Descripción del proyecto.</w:t>
      </w:r>
      <w:bookmarkEnd w:id="280"/>
      <w:bookmarkEnd w:id="281"/>
    </w:p>
    <w:p w14:paraId="55FF66DE" w14:textId="77777777" w:rsidR="00A95DF9" w:rsidRPr="00573E67" w:rsidRDefault="00A95DF9" w:rsidP="0087147E">
      <w:pPr>
        <w:pStyle w:val="Header"/>
        <w:spacing w:before="240" w:line="360" w:lineRule="auto"/>
      </w:pPr>
    </w:p>
    <w:p w14:paraId="421A4703" w14:textId="511C548A" w:rsidR="00A95DF9" w:rsidRPr="00573E67" w:rsidRDefault="00A95DF9" w:rsidP="002B0107">
      <w:pPr>
        <w:pStyle w:val="Heading2"/>
        <w:numPr>
          <w:ilvl w:val="0"/>
          <w:numId w:val="97"/>
        </w:numPr>
      </w:pPr>
      <w:bookmarkStart w:id="282" w:name="_Toc483227425"/>
      <w:bookmarkStart w:id="283" w:name="_Toc485200182"/>
      <w:r w:rsidRPr="00573E67">
        <w:t>Antecedentes del proyecto.</w:t>
      </w:r>
      <w:bookmarkEnd w:id="282"/>
      <w:bookmarkEnd w:id="283"/>
    </w:p>
    <w:p w14:paraId="2EDB3151" w14:textId="79E5ED7C" w:rsidR="00A95DF9" w:rsidRPr="00573E67" w:rsidRDefault="00A95DF9" w:rsidP="002B0107">
      <w:pPr>
        <w:pStyle w:val="Heading2"/>
        <w:numPr>
          <w:ilvl w:val="1"/>
          <w:numId w:val="98"/>
        </w:numPr>
      </w:pPr>
      <w:bookmarkStart w:id="284" w:name="_Toc483227426"/>
      <w:bookmarkStart w:id="285" w:name="_Toc485200183"/>
      <w:r w:rsidRPr="00573E67">
        <w:t>Antecedentes generales</w:t>
      </w:r>
      <w:bookmarkEnd w:id="284"/>
      <w:bookmarkEnd w:id="285"/>
    </w:p>
    <w:p w14:paraId="29FFA9D3" w14:textId="77777777" w:rsidR="00A95DF9" w:rsidRPr="009B6EEA" w:rsidRDefault="00A95DF9" w:rsidP="00741EF7">
      <w:pPr>
        <w:spacing w:after="100" w:afterAutospacing="1" w:line="240" w:lineRule="auto"/>
        <w:rPr>
          <w:rFonts w:ascii="Arial" w:hAnsi="Arial" w:cs="Arial"/>
        </w:rPr>
      </w:pPr>
      <w:r w:rsidRPr="009B6EEA">
        <w:rPr>
          <w:rFonts w:ascii="Arial" w:hAnsi="Arial" w:cs="Arial"/>
        </w:rPr>
        <w:t>El área de acción de Aguas y Saneamientos Argentinos (AySA S.A.) está constituida por la Ciudad de Buenos Aires y 23 partidos del primer y segundo cordón del conurbano bonaerense</w:t>
      </w:r>
      <w:r w:rsidRPr="009B6EEA">
        <w:rPr>
          <w:rStyle w:val="FootnoteReference"/>
          <w:rFonts w:ascii="Arial" w:eastAsia="Calibri" w:hAnsi="Arial" w:cs="Arial"/>
        </w:rPr>
        <w:footnoteReference w:id="26"/>
      </w:r>
      <w:r w:rsidRPr="009B6EEA">
        <w:rPr>
          <w:rFonts w:ascii="Arial" w:hAnsi="Arial" w:cs="Arial"/>
        </w:rPr>
        <w:t>. La misma comprende de aproximadamente 2.588 kilómetros cuadrados y allí viven 12,6 millones de personas, lo que la convierte en una de las más grandes proveedoras de agua potable y saneamiento de efluentes cloacales en el mundo.</w:t>
      </w:r>
    </w:p>
    <w:p w14:paraId="5022BC5F" w14:textId="77777777" w:rsidR="00A95DF9" w:rsidRPr="009B6EEA" w:rsidRDefault="00A95DF9" w:rsidP="00741EF7">
      <w:pPr>
        <w:spacing w:after="100" w:afterAutospacing="1" w:line="240" w:lineRule="auto"/>
        <w:rPr>
          <w:rFonts w:ascii="Arial" w:hAnsi="Arial" w:cs="Arial"/>
        </w:rPr>
      </w:pPr>
      <w:r w:rsidRPr="009B6EEA">
        <w:rPr>
          <w:rFonts w:ascii="Arial" w:hAnsi="Arial" w:cs="Arial"/>
        </w:rPr>
        <w:t>Actualmente, en el área de intervención de la concesionaria, la población abastecida con agua potable es de aproximadamente 9,8 millones de habitantes (78%), mientras 7,7 millones de personas (61%) cuentan con el servicio de desagües cloacales. La incorporación de aquellos habitantes que aún no cuentan con estas prestaciones esenciales, es una prioridad para las autoridades y una de las tareas más importantes que AySA S.A. tiene por delante.</w:t>
      </w:r>
    </w:p>
    <w:p w14:paraId="5FA1759B" w14:textId="77777777" w:rsidR="00A95DF9" w:rsidRPr="009B6EEA" w:rsidRDefault="00A95DF9" w:rsidP="00741EF7">
      <w:pPr>
        <w:spacing w:after="100" w:afterAutospacing="1" w:line="240" w:lineRule="auto"/>
        <w:rPr>
          <w:rFonts w:ascii="Arial" w:hAnsi="Arial" w:cs="Arial"/>
        </w:rPr>
      </w:pPr>
      <w:r w:rsidRPr="009B6EEA">
        <w:rPr>
          <w:rFonts w:ascii="Arial" w:hAnsi="Arial" w:cs="Arial"/>
        </w:rPr>
        <w:t>La crítica situación sanitaria en el área de acción de la empresa impulsó el diseño de un Plan Director en el que se detallan las obras necesarias para cumplir los objetivos de cobertura y calidad de servicios en los plazos estipulados por la Autoridad Concedente. Tales objetivos, previstos en el PMOEM (Plan de Mejoras Operación Expansión y Mantenimiento), aprobado por la Autoridad de Aplicación, se sintetizan en los siguientes puntos:</w:t>
      </w:r>
    </w:p>
    <w:p w14:paraId="5029A721" w14:textId="77777777" w:rsidR="00A95DF9" w:rsidRPr="009B6EEA" w:rsidRDefault="00A95DF9" w:rsidP="00C4100D">
      <w:pPr>
        <w:pStyle w:val="ListParagraph"/>
        <w:numPr>
          <w:ilvl w:val="0"/>
          <w:numId w:val="2"/>
        </w:numPr>
        <w:spacing w:before="240" w:after="60" w:line="360" w:lineRule="auto"/>
        <w:rPr>
          <w:rFonts w:ascii="Arial" w:hAnsi="Arial" w:cs="Arial"/>
        </w:rPr>
      </w:pPr>
      <w:r w:rsidRPr="009B6EEA">
        <w:rPr>
          <w:rFonts w:ascii="Arial" w:hAnsi="Arial" w:cs="Arial"/>
        </w:rPr>
        <w:t>Incorporación de 2.500.000 habitantes al servicio de agua potable dentro del período 2016-2020, lo que representa prácticamente el total de cobertura del área concesionada.</w:t>
      </w:r>
    </w:p>
    <w:p w14:paraId="68FD8570" w14:textId="77777777" w:rsidR="00A95DF9" w:rsidRPr="009B6EEA" w:rsidRDefault="00A95DF9" w:rsidP="00C4100D">
      <w:pPr>
        <w:pStyle w:val="ListParagraph"/>
        <w:numPr>
          <w:ilvl w:val="0"/>
          <w:numId w:val="2"/>
        </w:numPr>
        <w:spacing w:before="240" w:after="60" w:line="360" w:lineRule="auto"/>
        <w:rPr>
          <w:rFonts w:ascii="Arial" w:hAnsi="Arial" w:cs="Arial"/>
        </w:rPr>
      </w:pPr>
      <w:r w:rsidRPr="009B6EEA">
        <w:rPr>
          <w:rFonts w:ascii="Arial" w:hAnsi="Arial" w:cs="Arial"/>
        </w:rPr>
        <w:t>Incorporación de 2.500.000 habitantes al servicio de desagües cloacales dentro del período 2014-2020, lo que representa el 80 % de la cobertura, y lograr el mayor margen posible en los diez año subsiguientes hasta llegar al 95 % antes del 2025.</w:t>
      </w:r>
    </w:p>
    <w:p w14:paraId="60F4FB78" w14:textId="77777777" w:rsidR="00A95DF9" w:rsidRPr="009B6EEA" w:rsidRDefault="00A95DF9" w:rsidP="0087147E">
      <w:pPr>
        <w:spacing w:before="240" w:line="360" w:lineRule="auto"/>
        <w:rPr>
          <w:rFonts w:ascii="Arial" w:hAnsi="Arial" w:cs="Arial"/>
        </w:rPr>
      </w:pPr>
      <w:r w:rsidRPr="009B6EEA">
        <w:rPr>
          <w:rFonts w:ascii="Arial" w:hAnsi="Arial" w:cs="Arial"/>
        </w:rPr>
        <w:t>Entre las obras emblemáticas del Plan Director se destacan:</w:t>
      </w:r>
    </w:p>
    <w:p w14:paraId="31600602" w14:textId="77777777" w:rsidR="00A95DF9" w:rsidRPr="009B6EEA" w:rsidRDefault="00A95DF9" w:rsidP="00C4100D">
      <w:pPr>
        <w:pStyle w:val="ListParagraph"/>
        <w:numPr>
          <w:ilvl w:val="0"/>
          <w:numId w:val="3"/>
        </w:numPr>
        <w:spacing w:before="240" w:after="60" w:line="360" w:lineRule="auto"/>
        <w:rPr>
          <w:rFonts w:ascii="Arial" w:hAnsi="Arial" w:cs="Arial"/>
        </w:rPr>
      </w:pPr>
      <w:r w:rsidRPr="009B6EEA">
        <w:rPr>
          <w:rFonts w:ascii="Arial" w:hAnsi="Arial" w:cs="Arial"/>
        </w:rPr>
        <w:t>Construcción de la planta de tratamiento de agua potable Paraná de la Palmas en el Partido de Tigre.</w:t>
      </w:r>
    </w:p>
    <w:p w14:paraId="4BD34548" w14:textId="77777777" w:rsidR="00A95DF9" w:rsidRPr="009B6EEA" w:rsidRDefault="00A95DF9" w:rsidP="00C4100D">
      <w:pPr>
        <w:pStyle w:val="ListParagraph"/>
        <w:numPr>
          <w:ilvl w:val="0"/>
          <w:numId w:val="3"/>
        </w:numPr>
        <w:spacing w:before="240" w:after="60" w:line="360" w:lineRule="auto"/>
        <w:rPr>
          <w:rFonts w:ascii="Arial" w:hAnsi="Arial" w:cs="Arial"/>
        </w:rPr>
      </w:pPr>
      <w:r w:rsidRPr="009B6EEA">
        <w:rPr>
          <w:rFonts w:ascii="Arial" w:hAnsi="Arial" w:cs="Arial"/>
        </w:rPr>
        <w:t>Construcción de la Planta depuradora de Berazategui.</w:t>
      </w:r>
    </w:p>
    <w:p w14:paraId="0315AABC" w14:textId="77777777" w:rsidR="00A95DF9" w:rsidRPr="009B6EEA" w:rsidRDefault="00A95DF9" w:rsidP="00C4100D">
      <w:pPr>
        <w:pStyle w:val="ListParagraph"/>
        <w:numPr>
          <w:ilvl w:val="0"/>
          <w:numId w:val="3"/>
        </w:numPr>
        <w:spacing w:before="240" w:after="60" w:line="360" w:lineRule="auto"/>
        <w:rPr>
          <w:rFonts w:ascii="Arial" w:hAnsi="Arial" w:cs="Arial"/>
        </w:rPr>
      </w:pPr>
      <w:r w:rsidRPr="009B6EEA">
        <w:rPr>
          <w:rFonts w:ascii="Arial" w:hAnsi="Arial" w:cs="Arial"/>
        </w:rPr>
        <w:t>Construcción de los Colectores Margen Izquierdo</w:t>
      </w:r>
    </w:p>
    <w:p w14:paraId="71439E06" w14:textId="77777777" w:rsidR="00A95DF9" w:rsidRPr="009B6EEA" w:rsidRDefault="00A95DF9" w:rsidP="00C4100D">
      <w:pPr>
        <w:pStyle w:val="ListParagraph"/>
        <w:numPr>
          <w:ilvl w:val="0"/>
          <w:numId w:val="3"/>
        </w:numPr>
        <w:spacing w:before="240" w:after="60" w:line="360" w:lineRule="auto"/>
        <w:rPr>
          <w:rFonts w:ascii="Arial" w:hAnsi="Arial" w:cs="Arial"/>
        </w:rPr>
      </w:pPr>
      <w:r w:rsidRPr="009B6EEA">
        <w:rPr>
          <w:rFonts w:ascii="Arial" w:hAnsi="Arial" w:cs="Arial"/>
        </w:rPr>
        <w:t xml:space="preserve">Construcción y/o ampliación de las Plantas Depuradoras Norte, Laferrere, El Jagüel, Fiorito, Sudoeste, Hurlingham y Las Catonas. </w:t>
      </w:r>
    </w:p>
    <w:p w14:paraId="4A124112" w14:textId="77777777" w:rsidR="00A95DF9" w:rsidRPr="009B6EEA" w:rsidRDefault="00A95DF9" w:rsidP="00C4100D">
      <w:pPr>
        <w:pStyle w:val="ListParagraph"/>
        <w:numPr>
          <w:ilvl w:val="0"/>
          <w:numId w:val="3"/>
        </w:numPr>
        <w:spacing w:before="240" w:after="60" w:line="360" w:lineRule="auto"/>
        <w:rPr>
          <w:rFonts w:ascii="Arial" w:hAnsi="Arial" w:cs="Arial"/>
        </w:rPr>
      </w:pPr>
      <w:r w:rsidRPr="009B6EEA">
        <w:rPr>
          <w:rFonts w:ascii="Arial" w:hAnsi="Arial" w:cs="Arial"/>
        </w:rPr>
        <w:t>Construcción de la Planta Depuradora Capital Federal</w:t>
      </w:r>
    </w:p>
    <w:p w14:paraId="395727E1" w14:textId="77777777" w:rsidR="00A95DF9" w:rsidRPr="009B6EEA" w:rsidRDefault="00A95DF9" w:rsidP="00C4100D">
      <w:pPr>
        <w:pStyle w:val="ListParagraph"/>
        <w:numPr>
          <w:ilvl w:val="0"/>
          <w:numId w:val="3"/>
        </w:numPr>
        <w:spacing w:before="240" w:after="60" w:line="360" w:lineRule="auto"/>
        <w:rPr>
          <w:rFonts w:ascii="Arial" w:hAnsi="Arial" w:cs="Arial"/>
        </w:rPr>
      </w:pPr>
      <w:r w:rsidRPr="009B6EEA">
        <w:rPr>
          <w:rFonts w:ascii="Arial" w:hAnsi="Arial" w:cs="Arial"/>
        </w:rPr>
        <w:t>Ampliación de establecimientos potabilizadores y depuradores, y estaciones de bombeo.</w:t>
      </w:r>
    </w:p>
    <w:p w14:paraId="5FA1C27F" w14:textId="77777777" w:rsidR="00A95DF9" w:rsidRPr="009B6EEA" w:rsidRDefault="00A95DF9" w:rsidP="00C4100D">
      <w:pPr>
        <w:pStyle w:val="ListParagraph"/>
        <w:numPr>
          <w:ilvl w:val="0"/>
          <w:numId w:val="3"/>
        </w:numPr>
        <w:spacing w:before="240" w:after="60" w:line="360" w:lineRule="auto"/>
        <w:rPr>
          <w:rFonts w:ascii="Arial" w:hAnsi="Arial" w:cs="Arial"/>
        </w:rPr>
      </w:pPr>
      <w:r w:rsidRPr="009B6EEA">
        <w:rPr>
          <w:rFonts w:ascii="Arial" w:hAnsi="Arial" w:cs="Arial"/>
        </w:rPr>
        <w:t>Programa de renovación y rehabilitación de redes e instalaciones existentes.</w:t>
      </w:r>
    </w:p>
    <w:p w14:paraId="5BAF6138" w14:textId="77777777" w:rsidR="00A95DF9" w:rsidRPr="00191AC4" w:rsidRDefault="00A95DF9" w:rsidP="00C4100D">
      <w:pPr>
        <w:pStyle w:val="ListParagraph"/>
        <w:numPr>
          <w:ilvl w:val="0"/>
          <w:numId w:val="3"/>
        </w:numPr>
        <w:spacing w:before="240" w:after="60" w:line="360" w:lineRule="auto"/>
        <w:rPr>
          <w:rFonts w:ascii="Arial" w:hAnsi="Arial" w:cs="Arial"/>
        </w:rPr>
      </w:pPr>
      <w:r w:rsidRPr="00191AC4">
        <w:rPr>
          <w:rFonts w:ascii="Arial" w:hAnsi="Arial" w:cs="Arial"/>
        </w:rPr>
        <w:t>Construcción de redes primarias y secundarias.</w:t>
      </w:r>
    </w:p>
    <w:p w14:paraId="72318E70" w14:textId="77777777" w:rsidR="00A95DF9" w:rsidRPr="00191AC4" w:rsidRDefault="00A95DF9" w:rsidP="0087147E">
      <w:pPr>
        <w:rPr>
          <w:rFonts w:ascii="Arial" w:hAnsi="Arial" w:cs="Arial"/>
        </w:rPr>
      </w:pPr>
      <w:bookmarkStart w:id="286" w:name="_Toc478406669"/>
    </w:p>
    <w:p w14:paraId="72324A82" w14:textId="3DB56271" w:rsidR="00A95DF9" w:rsidRPr="00191AC4" w:rsidRDefault="00A95DF9" w:rsidP="002B0107">
      <w:pPr>
        <w:pStyle w:val="Heading2"/>
        <w:numPr>
          <w:ilvl w:val="1"/>
          <w:numId w:val="98"/>
        </w:numPr>
      </w:pPr>
      <w:bookmarkStart w:id="287" w:name="_Toc483227427"/>
      <w:bookmarkStart w:id="288" w:name="_Toc485200184"/>
      <w:r w:rsidRPr="00191AC4">
        <w:t>Antecedentes institucionales.</w:t>
      </w:r>
      <w:bookmarkEnd w:id="286"/>
      <w:bookmarkEnd w:id="287"/>
      <w:bookmarkEnd w:id="288"/>
    </w:p>
    <w:p w14:paraId="0E6145C1" w14:textId="77777777" w:rsidR="00A95DF9" w:rsidRPr="00191AC4" w:rsidRDefault="00A95DF9" w:rsidP="00741EF7">
      <w:pPr>
        <w:spacing w:after="100" w:afterAutospacing="1" w:line="240" w:lineRule="auto"/>
        <w:rPr>
          <w:rFonts w:ascii="Arial" w:hAnsi="Arial" w:cs="Arial"/>
        </w:rPr>
      </w:pPr>
      <w:r w:rsidRPr="00191AC4">
        <w:rPr>
          <w:rFonts w:ascii="Arial" w:hAnsi="Arial" w:cs="Arial"/>
        </w:rPr>
        <w:t xml:space="preserve">El 21 de marzo de 2006, el Gobierno Nacional creó AySA S.A. (Agua y Saneamientos Argentinos S.A.) con la intención de prestar y mejorar los servicios esenciales de agua potable y desagües cloacales en la Ciudad de Buenos Aires y 17 partidos del primer cordón del conurbano bonaerense, así como también lograr la paulatina incorporación de aquellos habitantes de esa área que aún no cuentan con estas prestaciones. </w:t>
      </w:r>
    </w:p>
    <w:p w14:paraId="44BDBF93" w14:textId="77777777" w:rsidR="00A95DF9" w:rsidRPr="00191AC4" w:rsidRDefault="00A95DF9" w:rsidP="0087147E">
      <w:pPr>
        <w:spacing w:before="240" w:line="360" w:lineRule="auto"/>
        <w:rPr>
          <w:rFonts w:ascii="Arial" w:hAnsi="Arial" w:cs="Arial"/>
        </w:rPr>
      </w:pPr>
      <w:r w:rsidRPr="00191AC4">
        <w:rPr>
          <w:rFonts w:ascii="Arial" w:hAnsi="Arial" w:cs="Arial"/>
        </w:rPr>
        <w:t>Desde entonces, la empresa, junto al Estado Nacional, están abocados a la tarea de dar un nuevo impulso a los sistemas de tratamiento y distribución tanto de agua potable como de saneamiento, pilares fundamentales para el desarrollo y bienestar de la comunidad.</w:t>
      </w:r>
    </w:p>
    <w:p w14:paraId="3E6B48AA" w14:textId="77777777" w:rsidR="00A95DF9" w:rsidRPr="00191AC4" w:rsidRDefault="00A95DF9" w:rsidP="00741EF7">
      <w:pPr>
        <w:spacing w:after="100" w:afterAutospacing="1" w:line="240" w:lineRule="auto"/>
        <w:rPr>
          <w:rFonts w:ascii="Arial" w:hAnsi="Arial" w:cs="Arial"/>
        </w:rPr>
      </w:pPr>
      <w:r w:rsidRPr="00191AC4">
        <w:rPr>
          <w:rFonts w:ascii="Arial" w:hAnsi="Arial" w:cs="Arial"/>
        </w:rPr>
        <w:t>Durante 2016 un acuerdo entre la Provincia de Buenos Aires, los municipios involucrados y el Estado Nacional dio inicio a un proceso de ampliación de la concesión incorporándose a la fecha al área de acción de AySA S.A. los partidos de Escobar, José C. Paz, Moreno, Malvinas Argentinas, San Miguel y Presidente Perón, sumándose nuevos desafíos en materia de provisión y ampliación de los servicios de agua potable y saneamiento, especialmente considerando la crítica situación social en las nuevas áreas.</w:t>
      </w:r>
    </w:p>
    <w:p w14:paraId="34CF6891" w14:textId="77777777" w:rsidR="00A95DF9" w:rsidRPr="00191AC4" w:rsidRDefault="00A95DF9" w:rsidP="00741EF7">
      <w:pPr>
        <w:spacing w:after="100" w:afterAutospacing="1" w:line="240" w:lineRule="auto"/>
        <w:rPr>
          <w:rFonts w:ascii="Arial" w:hAnsi="Arial" w:cs="Arial"/>
        </w:rPr>
      </w:pPr>
      <w:r w:rsidRPr="00191AC4">
        <w:rPr>
          <w:rFonts w:ascii="Arial" w:hAnsi="Arial" w:cs="Arial"/>
        </w:rPr>
        <w:t>Actualmente la empresa dispone de 27 Centros de Atención al Usuario distribuidos en diferentes puntos de su área de acción con personal capacitado para recibir y dar respuestas a las consultas comerciales.</w:t>
      </w:r>
    </w:p>
    <w:p w14:paraId="13EB4F1B" w14:textId="77777777" w:rsidR="00A95DF9" w:rsidRPr="00191AC4" w:rsidRDefault="00A95DF9" w:rsidP="00741EF7">
      <w:pPr>
        <w:spacing w:after="100" w:afterAutospacing="1" w:line="240" w:lineRule="auto"/>
        <w:rPr>
          <w:rFonts w:ascii="Arial" w:hAnsi="Arial" w:cs="Arial"/>
        </w:rPr>
      </w:pPr>
      <w:r w:rsidRPr="00191AC4">
        <w:rPr>
          <w:rFonts w:ascii="Arial" w:hAnsi="Arial" w:cs="Arial"/>
        </w:rPr>
        <w:t>Por otra parte, posee un equipo de operarios y técnicos especializados para realizar tareas en la vía pública y atender rápidamente cualquier reclamo, con una guardia que trabaja las 24 horas, los 365 días del año.</w:t>
      </w:r>
    </w:p>
    <w:p w14:paraId="45467CC6" w14:textId="77777777" w:rsidR="00A95DF9" w:rsidRPr="00191AC4" w:rsidRDefault="00A95DF9" w:rsidP="00741EF7">
      <w:pPr>
        <w:spacing w:after="100" w:afterAutospacing="1" w:line="240" w:lineRule="auto"/>
        <w:rPr>
          <w:rFonts w:ascii="Arial" w:hAnsi="Arial" w:cs="Arial"/>
        </w:rPr>
      </w:pPr>
      <w:r w:rsidRPr="00191AC4">
        <w:rPr>
          <w:rFonts w:ascii="Arial" w:hAnsi="Arial" w:cs="Arial"/>
        </w:rPr>
        <w:t>Para el cumplimiento de sus fines y su objeto social, la empresa realiza actividades complementarias tales como estudios, proyectos, construcción, renovación, ampliación y explotación de las obras de provisión de agua y saneamiento urbano, también se ocupa de la fiscalización de los efluentes industriales, así como la explotación, mantenimiento y utilización de aguas subterráneas y superficiales.</w:t>
      </w:r>
    </w:p>
    <w:p w14:paraId="3C2D9A16" w14:textId="77777777" w:rsidR="00A95DF9" w:rsidRPr="00573E67" w:rsidRDefault="00A95DF9" w:rsidP="0087147E">
      <w:pPr>
        <w:spacing w:before="240" w:line="360" w:lineRule="auto"/>
      </w:pPr>
    </w:p>
    <w:p w14:paraId="3C7D15E2" w14:textId="66FBFD96" w:rsidR="00A95DF9" w:rsidRPr="00573E67" w:rsidRDefault="00A95DF9" w:rsidP="002B0107">
      <w:pPr>
        <w:pStyle w:val="Heading2"/>
        <w:numPr>
          <w:ilvl w:val="1"/>
          <w:numId w:val="98"/>
        </w:numPr>
      </w:pPr>
      <w:bookmarkStart w:id="289" w:name="_Toc478406670"/>
      <w:bookmarkStart w:id="290" w:name="_Toc483227428"/>
      <w:bookmarkStart w:id="291" w:name="_Toc485200185"/>
      <w:r w:rsidRPr="00573E67">
        <w:t>Antecedentes técnicos.</w:t>
      </w:r>
      <w:bookmarkEnd w:id="289"/>
      <w:bookmarkEnd w:id="290"/>
      <w:bookmarkEnd w:id="291"/>
      <w:r w:rsidRPr="00573E67">
        <w:tab/>
      </w:r>
    </w:p>
    <w:p w14:paraId="25BD5B6A" w14:textId="77777777" w:rsidR="00A95DF9" w:rsidRPr="00F16F40" w:rsidRDefault="00A95DF9" w:rsidP="00741EF7">
      <w:pPr>
        <w:spacing w:after="100" w:afterAutospacing="1" w:line="240" w:lineRule="auto"/>
        <w:rPr>
          <w:rFonts w:ascii="Arial" w:hAnsi="Arial" w:cs="Arial"/>
        </w:rPr>
      </w:pPr>
      <w:r w:rsidRPr="00F16F40">
        <w:rPr>
          <w:rFonts w:ascii="Arial" w:hAnsi="Arial" w:cs="Arial"/>
        </w:rPr>
        <w:t>AySA S.A. realiza el pre-tratamiento o tratamiento de las aguas servidas antes de ser devueltas a los cursos de agua, para esto la empresa cuenta con once plantas depuradoras:</w:t>
      </w:r>
      <w:r w:rsidRPr="00F16F40">
        <w:rPr>
          <w:rFonts w:ascii="Arial" w:hAnsi="Arial" w:cs="Arial"/>
          <w:b/>
        </w:rPr>
        <w:t xml:space="preserve"> Del Bicentenario</w:t>
      </w:r>
      <w:r w:rsidRPr="00F16F40">
        <w:rPr>
          <w:rFonts w:ascii="Arial" w:hAnsi="Arial" w:cs="Arial"/>
        </w:rPr>
        <w:t xml:space="preserve">, Sudoeste, Norte, Hurlingham, Santa Catalina, El Jagüel, Barrio Uno, Bella Vista, 24 de Febrero, Escobar y Las Catonas. </w:t>
      </w:r>
    </w:p>
    <w:p w14:paraId="6C68C2F4" w14:textId="77777777" w:rsidR="00A95DF9" w:rsidRPr="00F16F40" w:rsidRDefault="00A95DF9" w:rsidP="00741EF7">
      <w:pPr>
        <w:spacing w:after="100" w:afterAutospacing="1" w:line="240" w:lineRule="auto"/>
        <w:rPr>
          <w:rFonts w:ascii="Arial" w:hAnsi="Arial" w:cs="Arial"/>
        </w:rPr>
      </w:pPr>
      <w:r w:rsidRPr="00F16F40">
        <w:rPr>
          <w:rFonts w:ascii="Arial" w:hAnsi="Arial" w:cs="Arial"/>
        </w:rPr>
        <w:t xml:space="preserve">La estructura principal de la red de saneamiento está constituida por redes colectoras, grandes conductos llamados cloacas máximas -cuyo diámetro varía entre 2 y 4 metros-, colectores principales y colectoras, así como también estaciones de bombeo de mayor o menor envergadura y plantas depuradoras. </w:t>
      </w:r>
    </w:p>
    <w:p w14:paraId="0A0BF57E" w14:textId="77777777" w:rsidR="00A95DF9" w:rsidRPr="00F16F40" w:rsidRDefault="00A95DF9" w:rsidP="00741EF7">
      <w:pPr>
        <w:spacing w:after="100" w:afterAutospacing="1" w:line="240" w:lineRule="auto"/>
        <w:rPr>
          <w:rFonts w:ascii="Arial" w:hAnsi="Arial" w:cs="Arial"/>
        </w:rPr>
      </w:pPr>
      <w:r w:rsidRPr="00F16F40">
        <w:rPr>
          <w:rFonts w:ascii="Arial" w:hAnsi="Arial" w:cs="Arial"/>
        </w:rPr>
        <w:t>Las primeras cañerías de desagües cloacales de Buenos Aires datan de 1874. En la actualidad, en el área de acción de AySA (Ciudad de Buenos Aires y 23 partidos del conurbano bonaerense), el sistema supera los 13.300 Km. de longitud.</w:t>
      </w:r>
    </w:p>
    <w:p w14:paraId="07D59727" w14:textId="77777777" w:rsidR="00A95DF9" w:rsidRPr="00F16F40" w:rsidRDefault="00A95DF9" w:rsidP="00741EF7">
      <w:pPr>
        <w:spacing w:after="100" w:afterAutospacing="1" w:line="240" w:lineRule="auto"/>
        <w:rPr>
          <w:rFonts w:ascii="Arial" w:hAnsi="Arial" w:cs="Arial"/>
        </w:rPr>
      </w:pPr>
      <w:r w:rsidRPr="00F16F40">
        <w:rPr>
          <w:rFonts w:ascii="Arial" w:hAnsi="Arial" w:cs="Arial"/>
        </w:rPr>
        <w:t>El sistema de saneamiento está actualmente dividido en cuencas básicas o iniciales de desagüe de efluentes residuales: Sudoeste, Norte, Hurlingham, Santa Catalina y Berazategui, a las que se suman las correspondientes a los nuevos partidos recientemente incorporados a la concesión.</w:t>
      </w:r>
    </w:p>
    <w:p w14:paraId="2814655F" w14:textId="0F768ADE" w:rsidR="00A95DF9" w:rsidRPr="00F16F40" w:rsidRDefault="00A95DF9" w:rsidP="00741EF7">
      <w:pPr>
        <w:spacing w:after="100" w:afterAutospacing="1" w:line="240" w:lineRule="auto"/>
        <w:rPr>
          <w:rFonts w:ascii="Arial" w:hAnsi="Arial" w:cs="Arial"/>
        </w:rPr>
      </w:pPr>
      <w:r w:rsidRPr="00F16F40">
        <w:rPr>
          <w:rFonts w:ascii="Arial" w:hAnsi="Arial" w:cs="Arial"/>
        </w:rPr>
        <w:t xml:space="preserve">La </w:t>
      </w:r>
      <w:r w:rsidRPr="00F16F40">
        <w:rPr>
          <w:rFonts w:ascii="Arial" w:hAnsi="Arial" w:cs="Arial"/>
        </w:rPr>
        <w:fldChar w:fldCharType="begin"/>
      </w:r>
      <w:r w:rsidRPr="00F16F40">
        <w:rPr>
          <w:rFonts w:ascii="Arial" w:hAnsi="Arial" w:cs="Arial"/>
        </w:rPr>
        <w:instrText xml:space="preserve"> REF _Ref478406233 \h  \* MERGEFORMAT </w:instrText>
      </w:r>
      <w:r w:rsidRPr="00F16F40">
        <w:rPr>
          <w:rFonts w:ascii="Arial" w:hAnsi="Arial" w:cs="Arial"/>
        </w:rPr>
      </w:r>
      <w:r w:rsidRPr="00F16F40">
        <w:rPr>
          <w:rFonts w:ascii="Arial" w:hAnsi="Arial" w:cs="Arial"/>
        </w:rPr>
        <w:fldChar w:fldCharType="separate"/>
      </w:r>
      <w:r w:rsidRPr="00F16F40">
        <w:rPr>
          <w:rFonts w:ascii="Arial" w:hAnsi="Arial" w:cs="Arial"/>
          <w:b/>
        </w:rPr>
        <w:t xml:space="preserve">Figura </w:t>
      </w:r>
      <w:r w:rsidR="00191AC4">
        <w:rPr>
          <w:rFonts w:ascii="Arial" w:hAnsi="Arial" w:cs="Arial"/>
          <w:b/>
        </w:rPr>
        <w:t>I</w:t>
      </w:r>
      <w:r w:rsidRPr="00F16F40">
        <w:rPr>
          <w:rFonts w:ascii="Arial" w:hAnsi="Arial" w:cs="Arial"/>
          <w:b/>
        </w:rPr>
        <w:t>II</w:t>
      </w:r>
      <w:r w:rsidR="00191AC4">
        <w:rPr>
          <w:rFonts w:ascii="Arial" w:hAnsi="Arial" w:cs="Arial"/>
          <w:b/>
        </w:rPr>
        <w:t>-</w:t>
      </w:r>
      <w:r w:rsidRPr="00F16F40">
        <w:rPr>
          <w:rFonts w:ascii="Arial" w:hAnsi="Arial" w:cs="Arial"/>
          <w:b/>
          <w:noProof/>
        </w:rPr>
        <w:t>1</w:t>
      </w:r>
      <w:r w:rsidRPr="00F16F40">
        <w:rPr>
          <w:rFonts w:ascii="Arial" w:hAnsi="Arial" w:cs="Arial"/>
        </w:rPr>
        <w:fldChar w:fldCharType="end"/>
      </w:r>
      <w:r w:rsidRPr="00F16F40">
        <w:rPr>
          <w:rFonts w:ascii="Arial" w:hAnsi="Arial" w:cs="Arial"/>
        </w:rPr>
        <w:t xml:space="preserve"> presenta esquemáticamente el sistema de desagües actualmente en operación.</w:t>
      </w:r>
    </w:p>
    <w:p w14:paraId="3181BBD0" w14:textId="55DE90ED" w:rsidR="00A95DF9" w:rsidRPr="00573E67" w:rsidRDefault="00A95DF9" w:rsidP="00191AC4">
      <w:pPr>
        <w:keepNext/>
        <w:keepLines/>
        <w:spacing w:after="0" w:line="240" w:lineRule="auto"/>
        <w:rPr>
          <w:b/>
        </w:rPr>
      </w:pPr>
      <w:r w:rsidRPr="00573E67">
        <w:rPr>
          <w:b/>
        </w:rPr>
        <w:t xml:space="preserve">Figura </w:t>
      </w:r>
      <w:r>
        <w:rPr>
          <w:b/>
        </w:rPr>
        <w:t>II</w:t>
      </w:r>
      <w:r w:rsidR="00191AC4">
        <w:rPr>
          <w:b/>
        </w:rPr>
        <w:t>I-</w:t>
      </w:r>
      <w:r w:rsidRPr="00573E67">
        <w:rPr>
          <w:b/>
        </w:rPr>
        <w:fldChar w:fldCharType="begin"/>
      </w:r>
      <w:r w:rsidRPr="00573E67">
        <w:rPr>
          <w:b/>
        </w:rPr>
        <w:instrText xml:space="preserve"> SEQ Ilustración \* ARABIC </w:instrText>
      </w:r>
      <w:r w:rsidRPr="00573E67">
        <w:rPr>
          <w:b/>
        </w:rPr>
        <w:fldChar w:fldCharType="separate"/>
      </w:r>
      <w:r>
        <w:rPr>
          <w:b/>
          <w:noProof/>
        </w:rPr>
        <w:t>1</w:t>
      </w:r>
      <w:r w:rsidRPr="00573E67">
        <w:rPr>
          <w:b/>
          <w:noProof/>
        </w:rPr>
        <w:fldChar w:fldCharType="end"/>
      </w:r>
      <w:r w:rsidRPr="00573E67">
        <w:rPr>
          <w:b/>
        </w:rPr>
        <w:t>: Sistema de desagües cloacales actualmente operado por AySA S.A.</w:t>
      </w:r>
    </w:p>
    <w:p w14:paraId="590EED48" w14:textId="77777777" w:rsidR="00A95DF9" w:rsidRPr="00573E67" w:rsidRDefault="00A95DF9" w:rsidP="00191AC4">
      <w:pPr>
        <w:keepNext/>
        <w:keepLines/>
        <w:spacing w:after="0" w:line="240" w:lineRule="auto"/>
      </w:pPr>
      <w:r w:rsidRPr="00573E67">
        <w:rPr>
          <w:noProof/>
          <w:lang w:eastAsia="es-AR"/>
        </w:rPr>
        <w:drawing>
          <wp:inline distT="0" distB="0" distL="0" distR="0" wp14:anchorId="767FD8D9" wp14:editId="21AEEBE1">
            <wp:extent cx="5400675" cy="3114675"/>
            <wp:effectExtent l="0" t="0" r="9525" b="9525"/>
            <wp:docPr id="1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675" cy="3114675"/>
                    </a:xfrm>
                    <a:prstGeom prst="rect">
                      <a:avLst/>
                    </a:prstGeom>
                    <a:noFill/>
                    <a:ln>
                      <a:noFill/>
                    </a:ln>
                  </pic:spPr>
                </pic:pic>
              </a:graphicData>
            </a:graphic>
          </wp:inline>
        </w:drawing>
      </w:r>
    </w:p>
    <w:p w14:paraId="2CB1D161" w14:textId="77777777" w:rsidR="00A95DF9" w:rsidRPr="00573E67" w:rsidRDefault="00A95DF9" w:rsidP="00741EF7">
      <w:pPr>
        <w:spacing w:after="100" w:afterAutospacing="1" w:line="240" w:lineRule="auto"/>
        <w:rPr>
          <w:rFonts w:ascii="Arial" w:eastAsia="Calibri" w:hAnsi="Arial" w:cs="Arial"/>
        </w:rPr>
      </w:pPr>
      <w:r w:rsidRPr="00573E67">
        <w:rPr>
          <w:rFonts w:ascii="Arial" w:eastAsia="Calibri" w:hAnsi="Arial" w:cs="Arial"/>
        </w:rPr>
        <w:t xml:space="preserve">La cuenca Norte drena parte de los efluentes del partido de San Isidro y todos los de los partidos de San Fernando y Tigre hasta la Planta Norte. La misma cuenta con una </w:t>
      </w:r>
      <w:r w:rsidRPr="00741EF7">
        <w:rPr>
          <w:rFonts w:ascii="Arial" w:hAnsi="Arial" w:cs="Arial"/>
        </w:rPr>
        <w:t>capacidad</w:t>
      </w:r>
      <w:r w:rsidRPr="00573E67">
        <w:rPr>
          <w:rFonts w:ascii="Arial" w:eastAsia="Calibri" w:hAnsi="Arial" w:cs="Arial"/>
        </w:rPr>
        <w:t xml:space="preserve"> instalada equivalente a 550.000 habitantes y el líquido tratado vuelca al río Reconquista.</w:t>
      </w:r>
    </w:p>
    <w:p w14:paraId="3CBA3122" w14:textId="77777777" w:rsidR="00A95DF9" w:rsidRPr="00573E67" w:rsidRDefault="00A95DF9" w:rsidP="00741EF7">
      <w:pPr>
        <w:spacing w:after="100" w:afterAutospacing="1" w:line="240" w:lineRule="auto"/>
        <w:rPr>
          <w:rFonts w:ascii="Arial" w:eastAsia="Calibri" w:hAnsi="Arial" w:cs="Arial"/>
        </w:rPr>
      </w:pPr>
      <w:r w:rsidRPr="00573E67">
        <w:rPr>
          <w:rFonts w:ascii="Arial" w:eastAsia="Calibri" w:hAnsi="Arial" w:cs="Arial"/>
        </w:rPr>
        <w:t xml:space="preserve">La cuenca Sudoeste drena una gran parte de los efluentes del partido de la Matanza hacia las plantas Sudoeste I y II. Cuenta actualmente con una capacidad de tratamiento </w:t>
      </w:r>
      <w:r w:rsidRPr="00741EF7">
        <w:rPr>
          <w:rFonts w:ascii="Arial" w:hAnsi="Arial" w:cs="Arial"/>
        </w:rPr>
        <w:t>instalada</w:t>
      </w:r>
      <w:r w:rsidRPr="00573E67">
        <w:rPr>
          <w:rFonts w:ascii="Arial" w:eastAsia="Calibri" w:hAnsi="Arial" w:cs="Arial"/>
        </w:rPr>
        <w:t xml:space="preserve"> equivalente a 850.000 habitantes. Los efluentes tratados son vertidos a la cuenca del río Matanza.</w:t>
      </w:r>
    </w:p>
    <w:p w14:paraId="4DFBB659" w14:textId="77777777" w:rsidR="00A95DF9" w:rsidRPr="00573E67" w:rsidRDefault="00A95DF9" w:rsidP="00741EF7">
      <w:pPr>
        <w:spacing w:after="100" w:afterAutospacing="1" w:line="240" w:lineRule="auto"/>
        <w:rPr>
          <w:rFonts w:ascii="Arial" w:eastAsia="Calibri" w:hAnsi="Arial" w:cs="Arial"/>
        </w:rPr>
      </w:pPr>
      <w:r w:rsidRPr="00573E67">
        <w:rPr>
          <w:rFonts w:ascii="Arial" w:eastAsia="Calibri" w:hAnsi="Arial" w:cs="Arial"/>
        </w:rPr>
        <w:t xml:space="preserve">La cuenca Ezeiza incorporada al sistema desde 2003 drena hoy los efluentes recientemente incorporados al sistema en los partidos de Esteban Echeverría y Ezeiza hacia la planta El Jagüel. Cuenta con una planta antigua con capacidad para 30.000 habitantes y una nueva planta inaugurada en Noviembre de 2013 con capacidad </w:t>
      </w:r>
      <w:r w:rsidRPr="00741EF7">
        <w:rPr>
          <w:rFonts w:ascii="Arial" w:hAnsi="Arial" w:cs="Arial"/>
        </w:rPr>
        <w:t>instalada</w:t>
      </w:r>
      <w:r w:rsidRPr="00573E67">
        <w:rPr>
          <w:rFonts w:ascii="Arial" w:eastAsia="Calibri" w:hAnsi="Arial" w:cs="Arial"/>
        </w:rPr>
        <w:t xml:space="preserve"> equivalente a 150.000 habitantes. Los efluentes tratados son vertidos al río Matanza.</w:t>
      </w:r>
    </w:p>
    <w:p w14:paraId="4C8F5BBC" w14:textId="77777777" w:rsidR="00A95DF9" w:rsidRPr="00573E67" w:rsidRDefault="00A95DF9" w:rsidP="00741EF7">
      <w:pPr>
        <w:spacing w:after="100" w:afterAutospacing="1" w:line="240" w:lineRule="auto"/>
        <w:rPr>
          <w:rFonts w:ascii="Arial" w:eastAsia="Calibri" w:hAnsi="Arial" w:cs="Arial"/>
        </w:rPr>
      </w:pPr>
      <w:r w:rsidRPr="00573E67">
        <w:rPr>
          <w:rFonts w:ascii="Arial" w:eastAsia="Calibri" w:hAnsi="Arial" w:cs="Arial"/>
        </w:rPr>
        <w:t xml:space="preserve">La cuenca Hurlingham drena los efluentes de los partidos de Ituzaingo, Hurlingham y parte del partido de Morón hacia la planta Hurlingham, que cuenta con una capacidad de tratamiento de </w:t>
      </w:r>
      <w:r w:rsidRPr="00741EF7">
        <w:rPr>
          <w:rFonts w:ascii="Arial" w:hAnsi="Arial" w:cs="Arial"/>
        </w:rPr>
        <w:t>135</w:t>
      </w:r>
      <w:r w:rsidRPr="00573E67">
        <w:rPr>
          <w:rFonts w:ascii="Arial" w:eastAsia="Calibri" w:hAnsi="Arial" w:cs="Arial"/>
        </w:rPr>
        <w:t>.000 habitantes equivalentes.</w:t>
      </w:r>
    </w:p>
    <w:p w14:paraId="32BF0840" w14:textId="77777777" w:rsidR="00A95DF9" w:rsidRPr="00573E67" w:rsidRDefault="00A95DF9" w:rsidP="00741EF7">
      <w:pPr>
        <w:spacing w:after="100" w:afterAutospacing="1" w:line="240" w:lineRule="auto"/>
        <w:rPr>
          <w:rFonts w:ascii="Arial" w:eastAsia="Calibri" w:hAnsi="Arial" w:cs="Arial"/>
        </w:rPr>
      </w:pPr>
      <w:r w:rsidRPr="00573E67">
        <w:rPr>
          <w:rFonts w:ascii="Arial" w:eastAsia="Calibri" w:hAnsi="Arial" w:cs="Arial"/>
        </w:rPr>
        <w:t xml:space="preserve">La cuenca Santa Catalina drena los efluentes de una parte del partido de Lomas de Zamora hacia la Planta Santa Catalina, con capacidad para 50.000 habitantes </w:t>
      </w:r>
      <w:r w:rsidRPr="00741EF7">
        <w:rPr>
          <w:rFonts w:ascii="Arial" w:hAnsi="Arial" w:cs="Arial"/>
        </w:rPr>
        <w:t>equivalentes</w:t>
      </w:r>
      <w:r w:rsidRPr="00573E67">
        <w:rPr>
          <w:rFonts w:ascii="Arial" w:eastAsia="Calibri" w:hAnsi="Arial" w:cs="Arial"/>
        </w:rPr>
        <w:t>.</w:t>
      </w:r>
    </w:p>
    <w:p w14:paraId="65AC47A1" w14:textId="77777777" w:rsidR="00A95DF9" w:rsidRPr="00573E67" w:rsidRDefault="00A95DF9" w:rsidP="00741EF7">
      <w:pPr>
        <w:spacing w:after="100" w:afterAutospacing="1" w:line="240" w:lineRule="auto"/>
        <w:rPr>
          <w:rFonts w:ascii="Arial" w:eastAsia="Calibri" w:hAnsi="Arial" w:cs="Arial"/>
        </w:rPr>
      </w:pPr>
      <w:r w:rsidRPr="00573E67">
        <w:rPr>
          <w:rFonts w:ascii="Arial" w:eastAsia="Calibri" w:hAnsi="Arial" w:cs="Arial"/>
        </w:rPr>
        <w:t xml:space="preserve">La cuenca Berazategui drena el resto de los efluentes del área de acción e incluye los líquidos provenientes del Establecimiento Wilde, conducidos a través de las Cloacas Máximas 2°, 3° y 4°, y los provenientes de la ciudad de  Quilmes, a través de la 1° Cloaca Máxima, hacia la Planta Berazategui, la cual cuenta con una capacidad instalada de 6.500.000 habitantes equivalentes. Los Efluentes son descargados a 2,5 km de la costa del Río de la Plata, mediante un emisario con 10 difusores. El líquido procedente del Establecimiento Wilde abarca los partidos de la zona Norte (parte de San Isidro y Vicente López), de la zona Oeste (Tres de Febrero, San Martín, Morón, una parte de la </w:t>
      </w:r>
      <w:r w:rsidRPr="00741EF7">
        <w:rPr>
          <w:rFonts w:ascii="Arial" w:hAnsi="Arial" w:cs="Arial"/>
        </w:rPr>
        <w:t>Matanza</w:t>
      </w:r>
      <w:r w:rsidRPr="00573E67">
        <w:rPr>
          <w:rFonts w:ascii="Arial" w:eastAsia="Calibri" w:hAnsi="Arial" w:cs="Arial"/>
        </w:rPr>
        <w:t xml:space="preserve">), Capital Federal, y los partidos de la zona Sur (Avellaneda, Lanús, Lomas de Zamora, Almirante Brown, E. Echeverría y Quilmes). </w:t>
      </w:r>
    </w:p>
    <w:p w14:paraId="1D44D72A" w14:textId="77777777" w:rsidR="00A95DF9" w:rsidRPr="00191AC4" w:rsidRDefault="00A95DF9" w:rsidP="0087147E">
      <w:pPr>
        <w:spacing w:before="240" w:line="360" w:lineRule="auto"/>
        <w:rPr>
          <w:rFonts w:ascii="Arial" w:hAnsi="Arial" w:cs="Arial"/>
        </w:rPr>
      </w:pPr>
    </w:p>
    <w:p w14:paraId="74FF1A68" w14:textId="706EB1DE" w:rsidR="00A95DF9" w:rsidRPr="00191AC4" w:rsidRDefault="00A95DF9" w:rsidP="002B0107">
      <w:pPr>
        <w:pStyle w:val="Heading2"/>
        <w:numPr>
          <w:ilvl w:val="1"/>
          <w:numId w:val="98"/>
        </w:numPr>
      </w:pPr>
      <w:bookmarkStart w:id="292" w:name="_Toc478406671"/>
      <w:bookmarkStart w:id="293" w:name="_Toc483227429"/>
      <w:bookmarkStart w:id="294" w:name="_Toc485200186"/>
      <w:r w:rsidRPr="00191AC4">
        <w:t>Antecedentes normativos.</w:t>
      </w:r>
      <w:bookmarkEnd w:id="292"/>
      <w:bookmarkEnd w:id="293"/>
      <w:bookmarkEnd w:id="294"/>
    </w:p>
    <w:p w14:paraId="79A4F1CD" w14:textId="77777777" w:rsidR="00A95DF9" w:rsidRPr="00191AC4" w:rsidRDefault="00A95DF9" w:rsidP="00741EF7">
      <w:pPr>
        <w:spacing w:after="100" w:afterAutospacing="1" w:line="240" w:lineRule="auto"/>
        <w:rPr>
          <w:rFonts w:ascii="Arial" w:hAnsi="Arial" w:cs="Arial"/>
        </w:rPr>
      </w:pPr>
      <w:r w:rsidRPr="00191AC4">
        <w:rPr>
          <w:rFonts w:ascii="Arial" w:hAnsi="Arial" w:cs="Arial"/>
        </w:rPr>
        <w:t>La normativa que regula la concesión del servicio público de provisión de agua potable y desagües cloacales, que actualmente se encuentran a cargo de AySA, es la que seguidamente se detalla.</w:t>
      </w:r>
    </w:p>
    <w:p w14:paraId="47DD4693" w14:textId="77777777" w:rsidR="00A95DF9" w:rsidRPr="00191AC4" w:rsidRDefault="00A95DF9" w:rsidP="0087147E">
      <w:pPr>
        <w:spacing w:before="240" w:line="360" w:lineRule="auto"/>
        <w:rPr>
          <w:rFonts w:ascii="Arial" w:hAnsi="Arial" w:cs="Arial"/>
        </w:rPr>
      </w:pPr>
    </w:p>
    <w:p w14:paraId="0EE94E0C" w14:textId="5B029ADC" w:rsidR="00A95DF9" w:rsidRPr="00191AC4" w:rsidRDefault="00A95DF9" w:rsidP="002B0107">
      <w:pPr>
        <w:pStyle w:val="Heading2"/>
        <w:numPr>
          <w:ilvl w:val="2"/>
          <w:numId w:val="98"/>
        </w:numPr>
      </w:pPr>
      <w:bookmarkStart w:id="295" w:name="_Toc478406672"/>
      <w:bookmarkStart w:id="296" w:name="_Toc483227430"/>
      <w:bookmarkStart w:id="297" w:name="_Toc485200187"/>
      <w:r w:rsidRPr="00191AC4">
        <w:t>Decreto PEN Nro. 304/06.</w:t>
      </w:r>
      <w:bookmarkEnd w:id="295"/>
      <w:bookmarkEnd w:id="296"/>
      <w:bookmarkEnd w:id="297"/>
    </w:p>
    <w:p w14:paraId="2763D144" w14:textId="77777777" w:rsidR="00A95DF9" w:rsidRPr="00191AC4" w:rsidRDefault="00A95DF9" w:rsidP="00741EF7">
      <w:pPr>
        <w:spacing w:after="100" w:afterAutospacing="1" w:line="240" w:lineRule="auto"/>
        <w:rPr>
          <w:rFonts w:ascii="Arial" w:hAnsi="Arial" w:cs="Arial"/>
        </w:rPr>
      </w:pPr>
      <w:r w:rsidRPr="00191AC4">
        <w:rPr>
          <w:rFonts w:ascii="Arial" w:hAnsi="Arial" w:cs="Arial"/>
        </w:rPr>
        <w:t>Dispone la constitución de la sociedad Agua y Saneamientos Argentinos SA en la órbita de la Secretaría de Obras Públicas del Ministerio de Planificación Federal Inversión Pública y Servicios, bajo el régimen de la Ley 19.550 teniendo por objeto la prestación del servicio público de provisión de agua potable y desagües cloacales en el área atendida por la ex concesionaria, de acuerdo a las disposiciones que integran el régimen regulatorio de este servicio.</w:t>
      </w:r>
    </w:p>
    <w:p w14:paraId="3B5FEC4E" w14:textId="77777777" w:rsidR="00A95DF9" w:rsidRPr="00741EF7" w:rsidRDefault="00A95DF9" w:rsidP="002B0107">
      <w:pPr>
        <w:pStyle w:val="Heading2"/>
        <w:numPr>
          <w:ilvl w:val="2"/>
          <w:numId w:val="98"/>
        </w:numPr>
      </w:pPr>
      <w:bookmarkStart w:id="298" w:name="_Toc485200188"/>
      <w:r w:rsidRPr="00741EF7">
        <w:t>Régimen Legal:</w:t>
      </w:r>
      <w:bookmarkEnd w:id="298"/>
    </w:p>
    <w:p w14:paraId="69F93491" w14:textId="77777777" w:rsidR="00A95DF9" w:rsidRPr="00191AC4" w:rsidRDefault="00A95DF9" w:rsidP="00741EF7">
      <w:pPr>
        <w:spacing w:after="100" w:afterAutospacing="1" w:line="240" w:lineRule="auto"/>
        <w:rPr>
          <w:rFonts w:ascii="Arial" w:hAnsi="Arial" w:cs="Arial"/>
        </w:rPr>
      </w:pPr>
      <w:r w:rsidRPr="00191AC4">
        <w:rPr>
          <w:rFonts w:ascii="Arial" w:hAnsi="Arial" w:cs="Arial"/>
        </w:rPr>
        <w:t>Se regirá por las normas y principio del derecho privado, por lo que no le serán aplicables las disposiciones de la Ley 19.549 de Procedimientos Administrativos, del Decreto PEN Nro. 1023 de Contrataciones del Estado, de la Ley 13.064 de Obra Pública, ni en general, normas o principios del derecho administrativo sin perjuicio de los controles que resulten aplicables por imperio de la Ley 24.156 de Administración Financiera y de los Controles del Sector Público Nacional.</w:t>
      </w:r>
    </w:p>
    <w:p w14:paraId="18627C6A" w14:textId="77777777" w:rsidR="00A95DF9" w:rsidRPr="00191AC4" w:rsidRDefault="00A95DF9" w:rsidP="00741EF7">
      <w:pPr>
        <w:spacing w:after="100" w:afterAutospacing="1" w:line="240" w:lineRule="auto"/>
        <w:rPr>
          <w:rFonts w:ascii="Arial" w:hAnsi="Arial" w:cs="Arial"/>
        </w:rPr>
      </w:pPr>
      <w:r w:rsidRPr="00191AC4">
        <w:rPr>
          <w:rFonts w:ascii="Arial" w:hAnsi="Arial" w:cs="Arial"/>
        </w:rPr>
        <w:t>Se regirá por los Estatutos de su creación y por los arts. 163 a 307 de la Ley 19.550. Establece que la sociedad podrá realizar aquellas actividades complementarias que resulten necesarias para el cumplimiento de sus fines y su objeto social, o bien que sean propias, conexas y/o complementarias a las mismas, tales como el estudio, proyecto, construcción, renovación, ampliación, y explotación de las obras de provisión de agua y saneamiento urbano.</w:t>
      </w:r>
    </w:p>
    <w:p w14:paraId="12E822D5" w14:textId="3B2F9ADF" w:rsidR="00A95DF9" w:rsidRPr="00191AC4" w:rsidRDefault="00A95DF9" w:rsidP="002B0107">
      <w:pPr>
        <w:pStyle w:val="Heading2"/>
        <w:numPr>
          <w:ilvl w:val="2"/>
          <w:numId w:val="98"/>
        </w:numPr>
      </w:pPr>
      <w:bookmarkStart w:id="299" w:name="_Toc478406673"/>
      <w:bookmarkStart w:id="300" w:name="_Toc483227431"/>
      <w:bookmarkStart w:id="301" w:name="_Toc485200189"/>
      <w:r w:rsidRPr="00191AC4">
        <w:t>Ley 26.100.</w:t>
      </w:r>
      <w:bookmarkEnd w:id="299"/>
      <w:bookmarkEnd w:id="300"/>
      <w:bookmarkEnd w:id="301"/>
    </w:p>
    <w:p w14:paraId="6E8D00B8"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Ratifica las disposiciones contenidas en los Dtos. PEN Nros. 304/06 y 373/06 y en la Resolución del MPFIP y S Nro. 676/06.</w:t>
      </w:r>
    </w:p>
    <w:p w14:paraId="63840E6A" w14:textId="56055A2F" w:rsidR="00A95DF9" w:rsidRPr="00191AC4" w:rsidRDefault="00A95DF9" w:rsidP="002B0107">
      <w:pPr>
        <w:pStyle w:val="Heading2"/>
        <w:numPr>
          <w:ilvl w:val="2"/>
          <w:numId w:val="98"/>
        </w:numPr>
      </w:pPr>
      <w:bookmarkStart w:id="302" w:name="_Toc478406674"/>
      <w:bookmarkStart w:id="303" w:name="_Toc483227432"/>
      <w:bookmarkStart w:id="304" w:name="_Toc485200190"/>
      <w:r w:rsidRPr="00191AC4">
        <w:t>Ley 26.221.</w:t>
      </w:r>
      <w:bookmarkEnd w:id="302"/>
      <w:bookmarkEnd w:id="303"/>
      <w:bookmarkEnd w:id="304"/>
    </w:p>
    <w:p w14:paraId="5C29F50A"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Caracteriza como servicio público a la prestación del servicio de provisión de agua potable y colección de desagües cloacales, se tiene como concesionaria a la sociedad Agua y Saneamientos Argentinos SA.</w:t>
      </w:r>
    </w:p>
    <w:p w14:paraId="50AA5620"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Disuelve el Ente Tripartito de Obras y Servicios Sanitarios creado por Ley 23.696. Crea al Ente Regulador de Agua y Saneamiento y a la Agencia de Planificación en el ámbito del Ministerio de Planificación Federal y Servicios Públicos.</w:t>
      </w:r>
    </w:p>
    <w:p w14:paraId="31B6ED22" w14:textId="77777777" w:rsidR="00A95DF9" w:rsidRPr="00191AC4" w:rsidRDefault="00A95DF9" w:rsidP="0087147E">
      <w:pPr>
        <w:spacing w:before="240" w:line="360" w:lineRule="auto"/>
        <w:rPr>
          <w:rFonts w:ascii="Arial" w:hAnsi="Arial" w:cs="Arial"/>
        </w:rPr>
      </w:pPr>
      <w:r w:rsidRPr="00191AC4">
        <w:rPr>
          <w:rFonts w:ascii="Arial" w:hAnsi="Arial" w:cs="Arial"/>
        </w:rPr>
        <w:t>Aprueba el Marco Regulatorio para la prestación del servicio.</w:t>
      </w:r>
    </w:p>
    <w:p w14:paraId="7EA05C33" w14:textId="41C62638" w:rsidR="00A95DF9" w:rsidRPr="00191AC4" w:rsidRDefault="00A95DF9" w:rsidP="002B0107">
      <w:pPr>
        <w:pStyle w:val="Heading2"/>
        <w:numPr>
          <w:ilvl w:val="2"/>
          <w:numId w:val="98"/>
        </w:numPr>
      </w:pPr>
      <w:bookmarkStart w:id="305" w:name="_Toc478406675"/>
      <w:bookmarkStart w:id="306" w:name="_Toc483227433"/>
      <w:bookmarkStart w:id="307" w:name="_Toc485200191"/>
      <w:r w:rsidRPr="00191AC4">
        <w:t>Marco Regulatorio.</w:t>
      </w:r>
      <w:bookmarkEnd w:id="305"/>
      <w:bookmarkEnd w:id="306"/>
      <w:bookmarkEnd w:id="307"/>
    </w:p>
    <w:p w14:paraId="68FE0F14"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En esta sección se presenta una síntesis de las disposiciones relevantes para este estudio, motivo por el cual y a los efectos de obtener la visión integral y sistemática de la regulación de la prestación del servicio público, es aconsejable la remisión al texto del Marco Regulatorio. Hecha esta salvedad, se detallan las disposiciones pertinentes:</w:t>
      </w:r>
    </w:p>
    <w:p w14:paraId="75956A86"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Define al servicio público regulado como la captación y potabilización de agua cruda, transporte, distribución y comercialización de agua potable; la colección, transporte, tratamiento, disposición y comercialización de desagües cloacales, incluyéndose también aquellos efluentes industriales que el régimen vigente permita se viertan al sistema cloacal y su fiscalización.</w:t>
      </w:r>
    </w:p>
    <w:p w14:paraId="002484FA" w14:textId="77777777" w:rsidR="00A95DF9" w:rsidRPr="00191AC4" w:rsidRDefault="00A95DF9" w:rsidP="0087147E">
      <w:pPr>
        <w:spacing w:before="240" w:line="360" w:lineRule="auto"/>
        <w:rPr>
          <w:rFonts w:ascii="Arial" w:hAnsi="Arial" w:cs="Arial"/>
        </w:rPr>
      </w:pPr>
      <w:r w:rsidRPr="00191AC4">
        <w:rPr>
          <w:rFonts w:ascii="Arial" w:hAnsi="Arial" w:cs="Arial"/>
        </w:rPr>
        <w:t>Dentro de los objetivos se contemplan los siguientes:</w:t>
      </w:r>
    </w:p>
    <w:p w14:paraId="140E2CAF" w14:textId="77777777" w:rsidR="00A95DF9" w:rsidRPr="00191AC4" w:rsidRDefault="00A95DF9" w:rsidP="00C4100D">
      <w:pPr>
        <w:pStyle w:val="ListParagraph"/>
        <w:numPr>
          <w:ilvl w:val="0"/>
          <w:numId w:val="4"/>
        </w:numPr>
        <w:spacing w:before="240" w:after="60" w:line="360" w:lineRule="auto"/>
        <w:rPr>
          <w:rFonts w:ascii="Arial" w:hAnsi="Arial" w:cs="Arial"/>
        </w:rPr>
      </w:pPr>
      <w:r w:rsidRPr="00191AC4">
        <w:rPr>
          <w:rFonts w:ascii="Arial" w:hAnsi="Arial" w:cs="Arial"/>
        </w:rPr>
        <w:t>La prestación eficiente de los servicios,</w:t>
      </w:r>
    </w:p>
    <w:p w14:paraId="7ED50273" w14:textId="77777777" w:rsidR="00A95DF9" w:rsidRPr="00191AC4" w:rsidRDefault="00A95DF9" w:rsidP="00C4100D">
      <w:pPr>
        <w:pStyle w:val="ListParagraph"/>
        <w:numPr>
          <w:ilvl w:val="0"/>
          <w:numId w:val="4"/>
        </w:numPr>
        <w:spacing w:before="240" w:after="60" w:line="360" w:lineRule="auto"/>
        <w:rPr>
          <w:rFonts w:ascii="Arial" w:hAnsi="Arial" w:cs="Arial"/>
        </w:rPr>
      </w:pPr>
      <w:r w:rsidRPr="00191AC4">
        <w:rPr>
          <w:rFonts w:ascii="Arial" w:hAnsi="Arial" w:cs="Arial"/>
        </w:rPr>
        <w:t>La protección de la salud pública, los recursos hídricos y el medio ambiente, en un todo de acuerdo a la normativa vigente e inherente al servicio regulado.</w:t>
      </w:r>
    </w:p>
    <w:p w14:paraId="4CCBEBEC"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Se encuentran excluidas del alcance de la prestación del servicio las actividades de control de la contaminación y preservación de los recursos hídricos en todo lo que exceda el control de vertidos a sus instalaciones manteniéndose el derecho de la Concesionaria a requerir de la Autoridad competente la preservación de sus fuentes de provisión.</w:t>
      </w:r>
    </w:p>
    <w:p w14:paraId="4626893C"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Por su parte y en lo que respecta a las Normas de Servicio, en el Capítulo II -art. 7, se prevé que el mismo debe ser prestado en condiciones que aseguren su continuidad, regularidad, calidad y generalidad, de manera tal que se asegure su eficiente prestación y cuidado del medio ambiente, en los términos del marco Regulatorio y la Reglamentación técnica vigente. La Autoridad de Aplicación, con intervención del Ente Regulador del servicio de Agua y Saneamiento aprobará y/o intervendrá en las modificaciones a las mismas, las que podrán ser requeridas por la Concesionaria.</w:t>
      </w:r>
    </w:p>
    <w:p w14:paraId="4F6BAE18"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En materia de agua potable, en su art. 9, específicamente establece que en lo que respecta a calidad, AySA deberá cumplir con los requerimientos técnicos contenidos en los Anexos A y C del Marco Regulatorio y los que disponga el Ministerio de Planificación Federal Inversión Pública y Servicios. A tal efecto, se deberá establecer, mantener, operar y registrar un sistema de muestreo regular y para emergencias, tanto de agua cruda como de agua en tratamiento y tratada.</w:t>
      </w:r>
    </w:p>
    <w:p w14:paraId="7102ACC0"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En cuanto al servicio de provisión, el mismo, deberá en condiciones normales ser continuo.</w:t>
      </w:r>
    </w:p>
    <w:p w14:paraId="0EAA4062"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En lo atinente a Normas de Calidad de Agua Cruda, según lo normado en el art. 12, la Concesionaria deberá contemplar en el Plan de Acción, todas las medidas necesarias para que el agua cruda que ingrese en la Plantas de Tratamiento sea de calidad aceptable a los efectos de ser sometida a los tratamientos de potabilización correspondientes.</w:t>
      </w:r>
    </w:p>
    <w:p w14:paraId="3474A22E"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Para el caso de ocurrencia de un accidente de contaminación que afecte el suministro de agua cruda, la Concesionaria deberá tomar todas las medidas necesarias para detectar e impedir la contaminación de las Plantas de Tratamiento o del sistema de distribución, informando en el plazo de dos horas a la Agencia de Planificación, al Ente Regulador y a los usuarios sobre las medidas adoptadas.</w:t>
      </w:r>
    </w:p>
    <w:p w14:paraId="797E897C"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En este sentido, deberá preverse la instalación de un sistema automático de control y alarma en cada toma de agua superficial para controlar instrumentalmente parámetros físicos químicos en las Plantas de Potabilización.</w:t>
      </w:r>
    </w:p>
    <w:p w14:paraId="066D64E5"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A su vez se dispone que el agua que la Concesionaria provea deberá cumplir con los requerimientos técnicos establecidos en el Marco Regulatorio, (Anexo A) y contemplar las recomendaciones y Guías de la Organización Mundial de la Salud o la Autoridad de Aplicación.</w:t>
      </w:r>
    </w:p>
    <w:p w14:paraId="2DC448A2"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En el Capítulo XIV se encuentra contemplada especialmente la protección al medio ambiente, estableciendo la obligación de realizar un Estudio de Impacto Ambiental para aquellas obras que ocasionen un impacto ambiental significativo.</w:t>
      </w:r>
    </w:p>
    <w:p w14:paraId="5E234578"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Es obligación para la Concesionaria que la infraestructura física, las instalaciones y la operación de los equipos y máquinas relacionadas con la operación del servicio respondan a los estándares de emisión de contaminantes vigentes y los que se establezcan en el futuro.</w:t>
      </w:r>
    </w:p>
    <w:p w14:paraId="0A2CE58A"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En lo que a la contaminación hídrica se refiere, la Concesionaria estará sujeta a la regulación de la Secretaría de Ambiente y Desarrollo Sustentable de la Nación.</w:t>
      </w:r>
    </w:p>
    <w:p w14:paraId="776E838B"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Es atribución de la Concesionaria captar aguas superficiales de ríos y cursos de agua nacionales o provinciales, y aguas subterráneas, para la prestación de los servicios concesionados sin otra limitación que su uso racional y sin cargo alguno con conocimiento de la Autoridad de Aplicación.</w:t>
      </w:r>
    </w:p>
    <w:p w14:paraId="65B97656"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AySA tiene el derecho al vertido de los efluentes cloacales sin cargo alguno y de acuerdo a las normas de calidad indicadas en el Marco Regulatorio y las establecidas por la Autoridad de Aplicación.</w:t>
      </w:r>
    </w:p>
    <w:p w14:paraId="1D8BDFC4" w14:textId="043FA475" w:rsidR="00A95DF9" w:rsidRPr="00191AC4" w:rsidRDefault="00A95DF9" w:rsidP="002B0107">
      <w:pPr>
        <w:pStyle w:val="Heading2"/>
        <w:numPr>
          <w:ilvl w:val="2"/>
          <w:numId w:val="98"/>
        </w:numPr>
      </w:pPr>
      <w:bookmarkStart w:id="308" w:name="_Toc478406676"/>
      <w:bookmarkStart w:id="309" w:name="_Toc483227434"/>
      <w:bookmarkStart w:id="310" w:name="_Toc485200192"/>
      <w:r w:rsidRPr="00191AC4">
        <w:t>Instrumento de Vinculación.</w:t>
      </w:r>
      <w:bookmarkEnd w:id="308"/>
      <w:bookmarkEnd w:id="309"/>
      <w:bookmarkEnd w:id="310"/>
    </w:p>
    <w:p w14:paraId="1A1414C8"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 xml:space="preserve">Mediante Resolución 170/2010 del Ministerio de Planificación Federal, Inversión Pública y Servicios fue aprobado el “Instrumento de Vinculación entre el Estado Nacional y Agua y Saneamientos Argentinos Sociedad Anónima”. </w:t>
      </w:r>
    </w:p>
    <w:p w14:paraId="0F6E0770"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Tal documento instrumenta el Marco Regulatorio y formaliza la relación entre el Estado Nacional (concedente del servicio) y AySA (concesionaria). El mismo recoge lo establecido en el Marco Regulatorio e incorpora precisiones en las esferas técnicas, comerciales y normativas.</w:t>
      </w:r>
    </w:p>
    <w:p w14:paraId="0B2011CE" w14:textId="77777777" w:rsidR="00A95DF9" w:rsidRPr="00191AC4" w:rsidRDefault="00A95DF9" w:rsidP="0087147E">
      <w:pPr>
        <w:spacing w:before="240" w:line="360" w:lineRule="auto"/>
        <w:rPr>
          <w:rFonts w:ascii="Arial" w:hAnsi="Arial" w:cs="Arial"/>
        </w:rPr>
      </w:pPr>
    </w:p>
    <w:p w14:paraId="6857D590" w14:textId="048D9986" w:rsidR="00A95DF9" w:rsidRPr="00191AC4" w:rsidRDefault="00A95DF9" w:rsidP="002B0107">
      <w:pPr>
        <w:pStyle w:val="Heading2"/>
        <w:numPr>
          <w:ilvl w:val="2"/>
          <w:numId w:val="98"/>
        </w:numPr>
      </w:pPr>
      <w:bookmarkStart w:id="311" w:name="_Toc478406677"/>
      <w:bookmarkStart w:id="312" w:name="_Toc483227435"/>
      <w:bookmarkStart w:id="313" w:name="_Toc485200193"/>
      <w:r w:rsidRPr="00191AC4">
        <w:t>Ley 13.577 - Orgánica de Obras Sanitarias de la Nación y sus modificatorias.</w:t>
      </w:r>
      <w:bookmarkEnd w:id="311"/>
      <w:bookmarkEnd w:id="312"/>
      <w:bookmarkEnd w:id="313"/>
    </w:p>
    <w:p w14:paraId="0CA8EB54" w14:textId="77777777" w:rsidR="00A95DF9" w:rsidRPr="00191AC4" w:rsidRDefault="00A95DF9" w:rsidP="0087147E">
      <w:pPr>
        <w:spacing w:before="240" w:line="360" w:lineRule="auto"/>
        <w:rPr>
          <w:rFonts w:ascii="Arial" w:hAnsi="Arial" w:cs="Arial"/>
        </w:rPr>
      </w:pPr>
      <w:r w:rsidRPr="00191AC4">
        <w:rPr>
          <w:rFonts w:ascii="Arial" w:hAnsi="Arial" w:cs="Arial"/>
        </w:rPr>
        <w:t>Su aplicación es de carácter supletorio.</w:t>
      </w:r>
    </w:p>
    <w:p w14:paraId="4758AC37" w14:textId="77777777" w:rsidR="00A95DF9" w:rsidRPr="00191AC4" w:rsidRDefault="00A95DF9" w:rsidP="0087147E">
      <w:pPr>
        <w:spacing w:before="240" w:line="360" w:lineRule="auto"/>
        <w:rPr>
          <w:rFonts w:ascii="Arial" w:hAnsi="Arial" w:cs="Arial"/>
        </w:rPr>
      </w:pPr>
    </w:p>
    <w:p w14:paraId="2FD38463" w14:textId="19DB419D" w:rsidR="00A95DF9" w:rsidRPr="00191AC4" w:rsidRDefault="00A95DF9" w:rsidP="002B0107">
      <w:pPr>
        <w:pStyle w:val="Heading2"/>
        <w:numPr>
          <w:ilvl w:val="2"/>
          <w:numId w:val="98"/>
        </w:numPr>
      </w:pPr>
      <w:bookmarkStart w:id="314" w:name="_Toc483227436"/>
      <w:bookmarkStart w:id="315" w:name="_Toc485200194"/>
      <w:r w:rsidRPr="00191AC4">
        <w:t>Ley 14.830 de la Provincia de Buenos Aires</w:t>
      </w:r>
      <w:bookmarkEnd w:id="314"/>
      <w:bookmarkEnd w:id="315"/>
    </w:p>
    <w:p w14:paraId="608A8B9A" w14:textId="77777777" w:rsidR="00A95DF9" w:rsidRPr="00191AC4" w:rsidRDefault="00A95DF9" w:rsidP="00B048A3">
      <w:pPr>
        <w:spacing w:after="100" w:afterAutospacing="1" w:line="240" w:lineRule="auto"/>
        <w:rPr>
          <w:rFonts w:ascii="Arial" w:hAnsi="Arial" w:cs="Arial"/>
        </w:rPr>
      </w:pPr>
      <w:r w:rsidRPr="00191AC4">
        <w:rPr>
          <w:rFonts w:ascii="Arial" w:hAnsi="Arial" w:cs="Arial"/>
          <w:color w:val="000000"/>
        </w:rPr>
        <w:t xml:space="preserve">A partir de esto </w:t>
      </w:r>
      <w:r w:rsidRPr="00191AC4">
        <w:rPr>
          <w:rFonts w:ascii="Arial" w:hAnsi="Arial" w:cs="Arial"/>
        </w:rPr>
        <w:t>la provincia de Buenos Aires, a través del Ministerio de Infraestructura y Servicios Públicos, cede la prestación del servicio de abastecimiento de agua potable y desagües cloacales en los partidos de José C. Paz, Moreno, Merlo, Malvinas Argentinas, Florencio Varela, San Miguel, Presidente Perón y la Ciudad de Belén de Escobar a LA NACION y esta, a través del Ministerio del Interior, Obras Públicas y Vivienda, las acepta. Asimismo se transfiere la prestación del servicio a AySA S.A. por el plazo establecido en el respectivo contrato de concesión.</w:t>
      </w:r>
    </w:p>
    <w:p w14:paraId="3E1A7148" w14:textId="7EA7B756" w:rsidR="00A95DF9" w:rsidRPr="00191AC4" w:rsidRDefault="00A95DF9" w:rsidP="002B0107">
      <w:pPr>
        <w:pStyle w:val="Heading2"/>
        <w:numPr>
          <w:ilvl w:val="2"/>
          <w:numId w:val="98"/>
        </w:numPr>
      </w:pPr>
      <w:bookmarkStart w:id="316" w:name="_Toc485200195"/>
      <w:r w:rsidRPr="00191AC4">
        <w:t>Resolución SRNyDS Nro. 634/98</w:t>
      </w:r>
      <w:bookmarkEnd w:id="316"/>
    </w:p>
    <w:p w14:paraId="1778A4EF"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Establece los usos prioritarios para la Franja Costera del Río de la Plata y del Río Matanza – Riachuelo.</w:t>
      </w:r>
    </w:p>
    <w:p w14:paraId="0A5C2D22" w14:textId="4A4DF543" w:rsidR="00A95DF9" w:rsidRPr="00573E67" w:rsidRDefault="00A95DF9" w:rsidP="002B0107">
      <w:pPr>
        <w:pStyle w:val="Heading2"/>
        <w:numPr>
          <w:ilvl w:val="0"/>
          <w:numId w:val="96"/>
        </w:numPr>
      </w:pPr>
      <w:bookmarkStart w:id="317" w:name="_Toc483227437"/>
      <w:bookmarkStart w:id="318" w:name="_Toc485200196"/>
      <w:r w:rsidRPr="00573E67">
        <w:t>Descripción General del Proyecto.</w:t>
      </w:r>
      <w:bookmarkEnd w:id="317"/>
      <w:bookmarkEnd w:id="318"/>
      <w:r w:rsidRPr="00573E67">
        <w:t xml:space="preserve"> </w:t>
      </w:r>
    </w:p>
    <w:p w14:paraId="0D3C2FB2" w14:textId="77777777" w:rsidR="00A95DF9" w:rsidRPr="00BA05F3" w:rsidRDefault="00A95DF9" w:rsidP="00B048A3">
      <w:pPr>
        <w:spacing w:after="100" w:afterAutospacing="1" w:line="240" w:lineRule="auto"/>
        <w:rPr>
          <w:rFonts w:ascii="Arial" w:hAnsi="Arial" w:cs="Arial"/>
          <w:color w:val="FFC000"/>
        </w:rPr>
      </w:pPr>
      <w:r w:rsidRPr="00BA05F3">
        <w:rPr>
          <w:rFonts w:ascii="Arial" w:hAnsi="Arial" w:cs="Arial"/>
        </w:rPr>
        <w:t>Las obras en estudio a ejecutar, pertenecientes al Sistema de Tratamiento de efluentes Berazategui, tienen la finalidad de asegurar la disposición adecuada de los efluentes cloacales tratados de la Cuenca de saneamiento Berazategui en el Río de la Plata, asegurando la calidad ambiental del cuerpo receptor.</w:t>
      </w:r>
    </w:p>
    <w:p w14:paraId="58FE77EF" w14:textId="6AAAE806" w:rsidR="00A95DF9" w:rsidRPr="00573E67" w:rsidRDefault="00A95DF9" w:rsidP="002B0107">
      <w:pPr>
        <w:pStyle w:val="Heading2"/>
        <w:numPr>
          <w:ilvl w:val="1"/>
          <w:numId w:val="99"/>
        </w:numPr>
      </w:pPr>
      <w:bookmarkStart w:id="319" w:name="_Toc483227438"/>
      <w:bookmarkStart w:id="320" w:name="_Toc485200197"/>
      <w:r w:rsidRPr="00573E67">
        <w:t>Descripción de las instalaciones existentes</w:t>
      </w:r>
      <w:bookmarkEnd w:id="319"/>
      <w:bookmarkEnd w:id="320"/>
    </w:p>
    <w:p w14:paraId="354BF579" w14:textId="2CEE9018" w:rsidR="00A95DF9" w:rsidRPr="00191AC4" w:rsidRDefault="00A95DF9" w:rsidP="00B048A3">
      <w:pPr>
        <w:spacing w:after="100" w:afterAutospacing="1" w:line="240" w:lineRule="auto"/>
        <w:rPr>
          <w:rFonts w:ascii="Arial" w:hAnsi="Arial" w:cs="Arial"/>
        </w:rPr>
      </w:pPr>
      <w:r w:rsidRPr="00191AC4">
        <w:rPr>
          <w:rFonts w:ascii="Arial" w:hAnsi="Arial" w:cs="Arial"/>
        </w:rPr>
        <w:t xml:space="preserve">Las obras a realizar se desarrollarán en el predio de la Planta Del Bicentenario, ubicada en el partido de Berazategui </w:t>
      </w:r>
      <w:r w:rsidR="00191AC4" w:rsidRPr="00191AC4">
        <w:rPr>
          <w:rFonts w:ascii="Arial" w:hAnsi="Arial" w:cs="Arial"/>
        </w:rPr>
        <w:t>(</w:t>
      </w:r>
      <w:r w:rsidR="00BA05F3">
        <w:rPr>
          <w:rFonts w:ascii="Arial" w:hAnsi="Arial" w:cs="Arial"/>
        </w:rPr>
        <w:t>Imagen</w:t>
      </w:r>
      <w:r w:rsidRPr="00191AC4">
        <w:rPr>
          <w:rFonts w:ascii="Arial" w:hAnsi="Arial" w:cs="Arial"/>
        </w:rPr>
        <w:t xml:space="preserve"> </w:t>
      </w:r>
      <w:r w:rsidR="00191AC4" w:rsidRPr="00191AC4">
        <w:rPr>
          <w:rFonts w:ascii="Arial" w:hAnsi="Arial" w:cs="Arial"/>
        </w:rPr>
        <w:t>I</w:t>
      </w:r>
      <w:r w:rsidRPr="00191AC4">
        <w:rPr>
          <w:rFonts w:ascii="Arial" w:hAnsi="Arial" w:cs="Arial"/>
        </w:rPr>
        <w:t>II</w:t>
      </w:r>
      <w:r w:rsidR="00191AC4" w:rsidRPr="00191AC4">
        <w:rPr>
          <w:rFonts w:ascii="Arial" w:hAnsi="Arial" w:cs="Arial"/>
        </w:rPr>
        <w:t>-</w:t>
      </w:r>
      <w:r w:rsidR="00BA05F3">
        <w:rPr>
          <w:rFonts w:ascii="Arial" w:hAnsi="Arial" w:cs="Arial"/>
        </w:rPr>
        <w:t>1</w:t>
      </w:r>
      <w:r w:rsidRPr="00191AC4">
        <w:rPr>
          <w:rFonts w:ascii="Arial" w:hAnsi="Arial" w:cs="Arial"/>
        </w:rPr>
        <w:t xml:space="preserve">). </w:t>
      </w:r>
    </w:p>
    <w:p w14:paraId="3E150124" w14:textId="321BBB08" w:rsidR="00A95DF9" w:rsidRPr="00573E67" w:rsidRDefault="00BA05F3" w:rsidP="0087147E">
      <w:pPr>
        <w:spacing w:before="240" w:line="360" w:lineRule="auto"/>
        <w:rPr>
          <w:b/>
        </w:rPr>
      </w:pPr>
      <w:r>
        <w:rPr>
          <w:b/>
        </w:rPr>
        <w:t>Imagen</w:t>
      </w:r>
      <w:r w:rsidR="00A95DF9">
        <w:rPr>
          <w:b/>
        </w:rPr>
        <w:t xml:space="preserve"> II</w:t>
      </w:r>
      <w:r w:rsidR="00191AC4">
        <w:rPr>
          <w:b/>
        </w:rPr>
        <w:t>I-</w:t>
      </w:r>
      <w:r>
        <w:rPr>
          <w:b/>
        </w:rPr>
        <w:t>1</w:t>
      </w:r>
      <w:r w:rsidR="00A95DF9" w:rsidRPr="00573E67">
        <w:rPr>
          <w:b/>
        </w:rPr>
        <w:t xml:space="preserve">: Entorno del predio de emplazamiento de la planta del Bicentenario. </w:t>
      </w:r>
    </w:p>
    <w:p w14:paraId="46D9A848" w14:textId="77777777" w:rsidR="00A95DF9" w:rsidRPr="00573E67" w:rsidRDefault="00A95DF9" w:rsidP="0087147E">
      <w:pPr>
        <w:spacing w:before="240" w:line="360" w:lineRule="auto"/>
        <w:rPr>
          <w:b/>
        </w:rPr>
      </w:pPr>
      <w:r w:rsidRPr="00573E67">
        <w:rPr>
          <w:b/>
          <w:noProof/>
          <w:lang w:eastAsia="es-AR"/>
        </w:rPr>
        <w:drawing>
          <wp:inline distT="0" distB="0" distL="0" distR="0" wp14:anchorId="4E9BD1B5" wp14:editId="4AC8E4B8">
            <wp:extent cx="5391150" cy="3571875"/>
            <wp:effectExtent l="0" t="0" r="0" b="9525"/>
            <wp:docPr id="12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91150" cy="3571875"/>
                    </a:xfrm>
                    <a:prstGeom prst="rect">
                      <a:avLst/>
                    </a:prstGeom>
                    <a:noFill/>
                    <a:ln>
                      <a:noFill/>
                    </a:ln>
                  </pic:spPr>
                </pic:pic>
              </a:graphicData>
            </a:graphic>
          </wp:inline>
        </w:drawing>
      </w:r>
    </w:p>
    <w:p w14:paraId="1D83B759"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Las aguas servidas interceptadas a partir de las obras actuales de descarga son conducidas hacia la planta de pretratamiento. El proceso de pretratamiento incluye una etapa de elevación con bombas a tornillo, un tamizado y una batería de desarenadores con retención de flotantes. La planta tiene una capacidad de 33,5 m</w:t>
      </w:r>
      <w:r w:rsidRPr="00191AC4">
        <w:rPr>
          <w:rFonts w:ascii="Arial" w:hAnsi="Arial" w:cs="Arial"/>
          <w:vertAlign w:val="superscript"/>
        </w:rPr>
        <w:t>3</w:t>
      </w:r>
      <w:r w:rsidRPr="00191AC4">
        <w:rPr>
          <w:rFonts w:ascii="Arial" w:hAnsi="Arial" w:cs="Arial"/>
        </w:rPr>
        <w:t>/seg.</w:t>
      </w:r>
    </w:p>
    <w:p w14:paraId="611D90A5" w14:textId="77777777" w:rsidR="00A95DF9" w:rsidRPr="00191AC4" w:rsidRDefault="00A95DF9" w:rsidP="00B048A3">
      <w:pPr>
        <w:spacing w:after="100" w:afterAutospacing="1" w:line="240" w:lineRule="auto"/>
        <w:rPr>
          <w:rFonts w:ascii="Arial" w:hAnsi="Arial" w:cs="Arial"/>
        </w:rPr>
      </w:pPr>
      <w:r w:rsidRPr="00191AC4">
        <w:rPr>
          <w:rFonts w:ascii="Arial" w:hAnsi="Arial" w:cs="Arial"/>
        </w:rPr>
        <w:t>Las unidades desarenadoras – separadoras de flotantes- descargan el líquido pretratado a un canal ubicado sobre el eje longitudinal de la planta. En la actualidad, el líquido pretratado sale por un extremo de dicho canal hacia la descarga al río, la que se hace mediante el emisario existente de 2.500m de longitud.</w:t>
      </w:r>
    </w:p>
    <w:p w14:paraId="4642F670" w14:textId="77777777" w:rsidR="00A95DF9" w:rsidRDefault="00A95DF9" w:rsidP="0087147E"/>
    <w:p w14:paraId="11F50121" w14:textId="18166FE6" w:rsidR="00A95DF9" w:rsidRDefault="00A95DF9" w:rsidP="002B0107">
      <w:pPr>
        <w:pStyle w:val="Heading2"/>
        <w:numPr>
          <w:ilvl w:val="1"/>
          <w:numId w:val="99"/>
        </w:numPr>
      </w:pPr>
      <w:bookmarkStart w:id="321" w:name="_Toc483227439"/>
      <w:bookmarkStart w:id="322" w:name="_Toc485200198"/>
      <w:r>
        <w:t>Descripción de las alternativas</w:t>
      </w:r>
      <w:bookmarkEnd w:id="321"/>
      <w:bookmarkEnd w:id="322"/>
    </w:p>
    <w:p w14:paraId="7F390BAD" w14:textId="21B1075F" w:rsidR="00A95DF9" w:rsidRPr="00191AC4" w:rsidRDefault="00A95DF9" w:rsidP="0087147E">
      <w:pPr>
        <w:spacing w:line="360" w:lineRule="auto"/>
        <w:rPr>
          <w:rFonts w:ascii="Arial" w:hAnsi="Arial" w:cs="Arial"/>
        </w:rPr>
      </w:pPr>
      <w:r w:rsidRPr="00191AC4">
        <w:rPr>
          <w:rFonts w:ascii="Arial" w:hAnsi="Arial" w:cs="Arial"/>
        </w:rPr>
        <w:t>Se comparan dos alternativas ideales de disposición de aguas residuales (Figura I</w:t>
      </w:r>
      <w:r w:rsidR="00BA05F3">
        <w:rPr>
          <w:rFonts w:ascii="Arial" w:hAnsi="Arial" w:cs="Arial"/>
        </w:rPr>
        <w:t>I</w:t>
      </w:r>
      <w:r w:rsidR="00191AC4" w:rsidRPr="00191AC4">
        <w:rPr>
          <w:rFonts w:ascii="Arial" w:hAnsi="Arial" w:cs="Arial"/>
        </w:rPr>
        <w:t>I-</w:t>
      </w:r>
      <w:r w:rsidR="00BA05F3">
        <w:rPr>
          <w:rFonts w:ascii="Arial" w:hAnsi="Arial" w:cs="Arial"/>
        </w:rPr>
        <w:t>2</w:t>
      </w:r>
      <w:r w:rsidRPr="00191AC4">
        <w:rPr>
          <w:rFonts w:ascii="Arial" w:hAnsi="Arial" w:cs="Arial"/>
        </w:rPr>
        <w:t>):</w:t>
      </w:r>
    </w:p>
    <w:p w14:paraId="4A81F0FF" w14:textId="79463869" w:rsidR="00A95DF9" w:rsidRPr="00B048A3" w:rsidRDefault="00A95DF9" w:rsidP="00C4100D">
      <w:pPr>
        <w:pStyle w:val="ListParagraph"/>
        <w:numPr>
          <w:ilvl w:val="0"/>
          <w:numId w:val="104"/>
        </w:numPr>
        <w:spacing w:line="360" w:lineRule="auto"/>
        <w:ind w:left="540"/>
        <w:rPr>
          <w:rFonts w:ascii="Arial" w:hAnsi="Arial" w:cs="Arial"/>
        </w:rPr>
      </w:pPr>
      <w:r w:rsidRPr="00B048A3">
        <w:rPr>
          <w:rFonts w:ascii="Arial" w:hAnsi="Arial" w:cs="Arial"/>
        </w:rPr>
        <w:t xml:space="preserve">Tratamiento por dilución: Tratamiento preliminar + descarga en nuevo emisario subfluvial de 7,5 km. </w:t>
      </w:r>
    </w:p>
    <w:p w14:paraId="760737EE" w14:textId="716B8205" w:rsidR="00A95DF9" w:rsidRPr="00B048A3" w:rsidRDefault="00A95DF9" w:rsidP="00C4100D">
      <w:pPr>
        <w:pStyle w:val="ListParagraph"/>
        <w:numPr>
          <w:ilvl w:val="0"/>
          <w:numId w:val="104"/>
        </w:numPr>
        <w:spacing w:line="360" w:lineRule="auto"/>
        <w:ind w:left="540"/>
        <w:rPr>
          <w:rFonts w:ascii="Arial" w:hAnsi="Arial" w:cs="Arial"/>
        </w:rPr>
      </w:pPr>
      <w:r w:rsidRPr="00B048A3">
        <w:rPr>
          <w:rFonts w:ascii="Arial" w:hAnsi="Arial" w:cs="Arial"/>
        </w:rPr>
        <w:t>Tratamiento en dos etapas: Tratamiento primario y secundario + descarga en actual emisario Berazategui.</w:t>
      </w:r>
    </w:p>
    <w:p w14:paraId="0DF9A8BD" w14:textId="3CBA687B" w:rsidR="00A95DF9" w:rsidRPr="005F05D3" w:rsidRDefault="00A95DF9" w:rsidP="00684EE8">
      <w:pPr>
        <w:keepNext/>
        <w:keepLines/>
        <w:spacing w:after="0" w:line="240" w:lineRule="auto"/>
        <w:rPr>
          <w:b/>
        </w:rPr>
      </w:pPr>
      <w:r w:rsidRPr="005F05D3">
        <w:rPr>
          <w:b/>
        </w:rPr>
        <w:t xml:space="preserve">Figura </w:t>
      </w:r>
      <w:r>
        <w:rPr>
          <w:b/>
        </w:rPr>
        <w:t>I</w:t>
      </w:r>
      <w:r w:rsidR="00191AC4">
        <w:rPr>
          <w:b/>
        </w:rPr>
        <w:t>I</w:t>
      </w:r>
      <w:r>
        <w:rPr>
          <w:b/>
        </w:rPr>
        <w:t>I</w:t>
      </w:r>
      <w:r w:rsidR="00191AC4">
        <w:rPr>
          <w:b/>
        </w:rPr>
        <w:t>-</w:t>
      </w:r>
      <w:r w:rsidR="00BA05F3">
        <w:rPr>
          <w:b/>
        </w:rPr>
        <w:t>2</w:t>
      </w:r>
      <w:r w:rsidRPr="005F05D3">
        <w:rPr>
          <w:b/>
        </w:rPr>
        <w:t>: Alternativas ideales para una disposición en costa abierta.</w:t>
      </w:r>
    </w:p>
    <w:p w14:paraId="3DCB1721" w14:textId="77777777" w:rsidR="00A95DF9" w:rsidRPr="004775B5" w:rsidRDefault="00A95DF9" w:rsidP="00684EE8">
      <w:pPr>
        <w:keepNext/>
        <w:keepLines/>
        <w:spacing w:after="0" w:line="240" w:lineRule="auto"/>
      </w:pPr>
      <w:r>
        <w:rPr>
          <w:noProof/>
          <w:lang w:eastAsia="es-AR"/>
        </w:rPr>
        <w:drawing>
          <wp:inline distT="0" distB="0" distL="0" distR="0" wp14:anchorId="17FB4A20" wp14:editId="1E577AF4">
            <wp:extent cx="5343525" cy="3009900"/>
            <wp:effectExtent l="19050" t="19050" r="28575" b="19050"/>
            <wp:docPr id="1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43525" cy="3009900"/>
                    </a:xfrm>
                    <a:prstGeom prst="rect">
                      <a:avLst/>
                    </a:prstGeom>
                    <a:noFill/>
                    <a:ln w="6350" cmpd="sng">
                      <a:solidFill>
                        <a:srgbClr val="000000"/>
                      </a:solidFill>
                      <a:miter lim="800000"/>
                      <a:headEnd/>
                      <a:tailEnd/>
                    </a:ln>
                    <a:effectLst/>
                  </pic:spPr>
                </pic:pic>
              </a:graphicData>
            </a:graphic>
          </wp:inline>
        </w:drawing>
      </w:r>
    </w:p>
    <w:p w14:paraId="334316DE" w14:textId="77777777" w:rsidR="00A95DF9" w:rsidRDefault="00A95DF9" w:rsidP="0087147E"/>
    <w:p w14:paraId="2FD1203C" w14:textId="19ADDBF0" w:rsidR="00A95DF9" w:rsidRPr="00573E67" w:rsidRDefault="00A95DF9" w:rsidP="002B0107">
      <w:pPr>
        <w:pStyle w:val="Heading2"/>
        <w:numPr>
          <w:ilvl w:val="2"/>
          <w:numId w:val="99"/>
        </w:numPr>
      </w:pPr>
      <w:bookmarkStart w:id="323" w:name="_Toc483227440"/>
      <w:bookmarkStart w:id="324" w:name="_Toc485200199"/>
      <w:r w:rsidRPr="00573E67">
        <w:t>Alte</w:t>
      </w:r>
      <w:r>
        <w:t>rnativa 1: Tratamiento por dilución</w:t>
      </w:r>
      <w:bookmarkEnd w:id="323"/>
      <w:bookmarkEnd w:id="324"/>
    </w:p>
    <w:p w14:paraId="04CE729F" w14:textId="77777777" w:rsidR="00A95DF9" w:rsidRPr="00BA05F3" w:rsidRDefault="00A95DF9" w:rsidP="0087147E">
      <w:pPr>
        <w:spacing w:before="240" w:line="360" w:lineRule="auto"/>
        <w:rPr>
          <w:rFonts w:ascii="Arial" w:hAnsi="Arial" w:cs="Arial"/>
        </w:rPr>
      </w:pPr>
      <w:r w:rsidRPr="00BA05F3">
        <w:rPr>
          <w:rFonts w:ascii="Arial" w:hAnsi="Arial" w:cs="Arial"/>
        </w:rPr>
        <w:t>La obra de descarga incluiría en esta alternativa:</w:t>
      </w:r>
    </w:p>
    <w:p w14:paraId="7F0FE28C" w14:textId="77777777" w:rsidR="00A95DF9" w:rsidRPr="00BA05F3" w:rsidRDefault="00A95DF9" w:rsidP="00C4100D">
      <w:pPr>
        <w:pStyle w:val="ListParagraph"/>
        <w:numPr>
          <w:ilvl w:val="0"/>
          <w:numId w:val="83"/>
        </w:numPr>
        <w:spacing w:before="240" w:after="60" w:line="360" w:lineRule="auto"/>
        <w:rPr>
          <w:rFonts w:ascii="Arial" w:hAnsi="Arial" w:cs="Arial"/>
        </w:rPr>
      </w:pPr>
      <w:r w:rsidRPr="00BA05F3">
        <w:rPr>
          <w:rFonts w:ascii="Arial" w:hAnsi="Arial" w:cs="Arial"/>
        </w:rPr>
        <w:t>La construcción de la estación de bombeo de salida.</w:t>
      </w:r>
    </w:p>
    <w:p w14:paraId="1F731C2F" w14:textId="77777777" w:rsidR="00A95DF9" w:rsidRPr="00BA05F3" w:rsidRDefault="00A95DF9" w:rsidP="00C4100D">
      <w:pPr>
        <w:pStyle w:val="ListParagraph"/>
        <w:numPr>
          <w:ilvl w:val="0"/>
          <w:numId w:val="83"/>
        </w:numPr>
        <w:spacing w:before="240" w:after="60" w:line="360" w:lineRule="auto"/>
        <w:rPr>
          <w:rFonts w:ascii="Arial" w:hAnsi="Arial" w:cs="Arial"/>
        </w:rPr>
      </w:pPr>
      <w:r w:rsidRPr="00BA05F3">
        <w:rPr>
          <w:rFonts w:ascii="Arial" w:hAnsi="Arial" w:cs="Arial"/>
        </w:rPr>
        <w:t xml:space="preserve">la construcción de un </w:t>
      </w:r>
      <w:r w:rsidRPr="00BA05F3">
        <w:rPr>
          <w:rFonts w:ascii="Arial" w:hAnsi="Arial" w:cs="Arial"/>
          <w:b/>
        </w:rPr>
        <w:t>nuevo emisario</w:t>
      </w:r>
      <w:r w:rsidRPr="00BA05F3">
        <w:rPr>
          <w:rFonts w:ascii="Arial" w:hAnsi="Arial" w:cs="Arial"/>
        </w:rPr>
        <w:t xml:space="preserve"> y difusores</w:t>
      </w:r>
    </w:p>
    <w:p w14:paraId="1E0CEC5A" w14:textId="77777777" w:rsidR="00A95DF9" w:rsidRPr="00BA05F3" w:rsidRDefault="00A95DF9" w:rsidP="00C4100D">
      <w:pPr>
        <w:pStyle w:val="ListParagraph"/>
        <w:numPr>
          <w:ilvl w:val="0"/>
          <w:numId w:val="83"/>
        </w:numPr>
        <w:spacing w:before="240" w:after="60" w:line="360" w:lineRule="auto"/>
        <w:rPr>
          <w:rFonts w:ascii="Arial" w:hAnsi="Arial" w:cs="Arial"/>
        </w:rPr>
      </w:pPr>
      <w:r w:rsidRPr="00BA05F3">
        <w:rPr>
          <w:rFonts w:ascii="Arial" w:hAnsi="Arial" w:cs="Arial"/>
        </w:rPr>
        <w:t>la construcción de una cámara de transición entre el tramo de transporte y el de difusión</w:t>
      </w:r>
    </w:p>
    <w:p w14:paraId="70D3F1CA" w14:textId="77777777" w:rsidR="00A95DF9" w:rsidRPr="00BA05F3" w:rsidRDefault="00A95DF9" w:rsidP="00C4100D">
      <w:pPr>
        <w:pStyle w:val="ListParagraph"/>
        <w:numPr>
          <w:ilvl w:val="0"/>
          <w:numId w:val="83"/>
        </w:numPr>
        <w:spacing w:before="240" w:after="60" w:line="360" w:lineRule="auto"/>
        <w:rPr>
          <w:rFonts w:ascii="Arial" w:hAnsi="Arial" w:cs="Arial"/>
        </w:rPr>
      </w:pPr>
      <w:r w:rsidRPr="00BA05F3">
        <w:rPr>
          <w:rFonts w:ascii="Arial" w:hAnsi="Arial" w:cs="Arial"/>
        </w:rPr>
        <w:t>la construcción de una cámara de carga/ chimenea de equilibrio</w:t>
      </w:r>
    </w:p>
    <w:p w14:paraId="0DEFBBF6" w14:textId="4CFCC4AA" w:rsidR="00A95DF9" w:rsidRPr="00BA05F3" w:rsidRDefault="00A95DF9" w:rsidP="0087147E">
      <w:pPr>
        <w:spacing w:before="240" w:line="360" w:lineRule="auto"/>
        <w:rPr>
          <w:rFonts w:ascii="Arial" w:hAnsi="Arial" w:cs="Arial"/>
        </w:rPr>
      </w:pPr>
      <w:r w:rsidRPr="00BA05F3">
        <w:rPr>
          <w:rFonts w:ascii="Arial" w:hAnsi="Arial" w:cs="Arial"/>
        </w:rPr>
        <w:t xml:space="preserve">El conducto presentaría las características presentadas en el </w:t>
      </w:r>
      <w:r w:rsidR="00BA05F3">
        <w:rPr>
          <w:rFonts w:ascii="Arial" w:hAnsi="Arial" w:cs="Arial"/>
        </w:rPr>
        <w:t xml:space="preserve">Tabla </w:t>
      </w:r>
      <w:r w:rsidRPr="00BA05F3">
        <w:rPr>
          <w:rFonts w:ascii="Arial" w:hAnsi="Arial" w:cs="Arial"/>
        </w:rPr>
        <w:t>II</w:t>
      </w:r>
      <w:r w:rsidR="00BA05F3">
        <w:rPr>
          <w:rFonts w:ascii="Arial" w:hAnsi="Arial" w:cs="Arial"/>
        </w:rPr>
        <w:t>I-1</w:t>
      </w:r>
      <w:r w:rsidRPr="00BA05F3">
        <w:rPr>
          <w:rFonts w:ascii="Arial" w:hAnsi="Arial" w:cs="Arial"/>
        </w:rPr>
        <w:t>.</w:t>
      </w:r>
    </w:p>
    <w:p w14:paraId="410A7D4C" w14:textId="4371010E" w:rsidR="00A95DF9" w:rsidRPr="009F34ED" w:rsidRDefault="00BA05F3" w:rsidP="00BA05F3">
      <w:pPr>
        <w:keepNext/>
        <w:keepLines/>
        <w:spacing w:after="0" w:line="240" w:lineRule="auto"/>
        <w:rPr>
          <w:b/>
        </w:rPr>
      </w:pPr>
      <w:r>
        <w:rPr>
          <w:b/>
        </w:rPr>
        <w:t>Tabla III-</w:t>
      </w:r>
      <w:r w:rsidR="00A95DF9" w:rsidRPr="009F34ED">
        <w:rPr>
          <w:b/>
        </w:rPr>
        <w:t>1: Características del nuevo emisario proyectado.</w:t>
      </w:r>
    </w:p>
    <w:tbl>
      <w:tblPr>
        <w:tblW w:w="8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030"/>
        <w:gridCol w:w="2160"/>
        <w:gridCol w:w="1980"/>
      </w:tblGrid>
      <w:tr w:rsidR="00A95DF9" w:rsidRPr="00573E67" w14:paraId="38F9FB7F" w14:textId="77777777" w:rsidTr="0087147E">
        <w:trPr>
          <w:jc w:val="center"/>
        </w:trPr>
        <w:tc>
          <w:tcPr>
            <w:tcW w:w="4030" w:type="dxa"/>
            <w:vAlign w:val="center"/>
          </w:tcPr>
          <w:p w14:paraId="4A75978A" w14:textId="77777777" w:rsidR="00A95DF9" w:rsidRPr="00573E67" w:rsidRDefault="00A95DF9" w:rsidP="00BA05F3">
            <w:pPr>
              <w:keepNext/>
              <w:keepLines/>
              <w:spacing w:after="0" w:line="240" w:lineRule="auto"/>
              <w:jc w:val="center"/>
              <w:rPr>
                <w:b/>
              </w:rPr>
            </w:pPr>
            <w:r w:rsidRPr="00573E67">
              <w:rPr>
                <w:b/>
              </w:rPr>
              <w:t>Tramo</w:t>
            </w:r>
          </w:p>
        </w:tc>
        <w:tc>
          <w:tcPr>
            <w:tcW w:w="2160" w:type="dxa"/>
            <w:vAlign w:val="center"/>
          </w:tcPr>
          <w:p w14:paraId="1C435530" w14:textId="77777777" w:rsidR="00A95DF9" w:rsidRPr="00573E67" w:rsidRDefault="00A95DF9" w:rsidP="00BA05F3">
            <w:pPr>
              <w:keepNext/>
              <w:keepLines/>
              <w:spacing w:after="0" w:line="240" w:lineRule="auto"/>
              <w:jc w:val="center"/>
              <w:rPr>
                <w:b/>
              </w:rPr>
            </w:pPr>
            <w:r w:rsidRPr="00573E67">
              <w:rPr>
                <w:b/>
              </w:rPr>
              <w:t>Diámetro[mm]</w:t>
            </w:r>
          </w:p>
        </w:tc>
        <w:tc>
          <w:tcPr>
            <w:tcW w:w="1980" w:type="dxa"/>
            <w:vAlign w:val="center"/>
          </w:tcPr>
          <w:p w14:paraId="5E27D3EC" w14:textId="77777777" w:rsidR="00A95DF9" w:rsidRPr="00573E67" w:rsidRDefault="00A95DF9" w:rsidP="00BA05F3">
            <w:pPr>
              <w:keepNext/>
              <w:keepLines/>
              <w:spacing w:after="0" w:line="240" w:lineRule="auto"/>
              <w:jc w:val="center"/>
              <w:rPr>
                <w:b/>
              </w:rPr>
            </w:pPr>
            <w:r w:rsidRPr="00573E67">
              <w:rPr>
                <w:b/>
              </w:rPr>
              <w:t>Longitud[m]</w:t>
            </w:r>
          </w:p>
        </w:tc>
      </w:tr>
      <w:tr w:rsidR="00A95DF9" w:rsidRPr="00573E67" w14:paraId="0F44E625" w14:textId="77777777" w:rsidTr="0087147E">
        <w:trPr>
          <w:jc w:val="center"/>
        </w:trPr>
        <w:tc>
          <w:tcPr>
            <w:tcW w:w="4030" w:type="dxa"/>
            <w:tcBorders>
              <w:bottom w:val="single" w:sz="4" w:space="0" w:color="auto"/>
            </w:tcBorders>
            <w:vAlign w:val="center"/>
          </w:tcPr>
          <w:p w14:paraId="69320D27" w14:textId="77777777" w:rsidR="00A95DF9" w:rsidRPr="00573E67" w:rsidRDefault="00A95DF9" w:rsidP="00BA05F3">
            <w:pPr>
              <w:keepNext/>
              <w:keepLines/>
              <w:spacing w:after="0" w:line="240" w:lineRule="auto"/>
              <w:ind w:left="180"/>
              <w:jc w:val="center"/>
            </w:pPr>
            <w:r w:rsidRPr="00573E67">
              <w:t>Emisario – Tramo de Transporte en túnel</w:t>
            </w:r>
          </w:p>
        </w:tc>
        <w:tc>
          <w:tcPr>
            <w:tcW w:w="2160" w:type="dxa"/>
            <w:vAlign w:val="center"/>
          </w:tcPr>
          <w:p w14:paraId="402F7F17" w14:textId="77777777" w:rsidR="00A95DF9" w:rsidRPr="00573E67" w:rsidRDefault="00A95DF9" w:rsidP="00BA05F3">
            <w:pPr>
              <w:keepNext/>
              <w:keepLines/>
              <w:spacing w:after="0" w:line="240" w:lineRule="auto"/>
              <w:ind w:left="359"/>
              <w:jc w:val="center"/>
            </w:pPr>
            <w:r w:rsidRPr="00573E67">
              <w:t>4.400</w:t>
            </w:r>
          </w:p>
        </w:tc>
        <w:tc>
          <w:tcPr>
            <w:tcW w:w="1980" w:type="dxa"/>
            <w:vAlign w:val="center"/>
          </w:tcPr>
          <w:p w14:paraId="792B5ABC" w14:textId="77777777" w:rsidR="00A95DF9" w:rsidRPr="00573E67" w:rsidRDefault="00A95DF9" w:rsidP="00BA05F3">
            <w:pPr>
              <w:keepNext/>
              <w:keepLines/>
              <w:spacing w:after="0" w:line="240" w:lineRule="auto"/>
              <w:ind w:left="359"/>
              <w:jc w:val="center"/>
            </w:pPr>
            <w:r w:rsidRPr="00573E67">
              <w:t>3970</w:t>
            </w:r>
          </w:p>
        </w:tc>
      </w:tr>
      <w:tr w:rsidR="00A95DF9" w:rsidRPr="00573E67" w14:paraId="0475950B" w14:textId="77777777" w:rsidTr="0087147E">
        <w:trPr>
          <w:jc w:val="center"/>
        </w:trPr>
        <w:tc>
          <w:tcPr>
            <w:tcW w:w="4030" w:type="dxa"/>
            <w:tcBorders>
              <w:bottom w:val="nil"/>
            </w:tcBorders>
            <w:vAlign w:val="center"/>
          </w:tcPr>
          <w:p w14:paraId="613DD90E" w14:textId="77777777" w:rsidR="00A95DF9" w:rsidRPr="00573E67" w:rsidRDefault="00A95DF9" w:rsidP="00BA05F3">
            <w:pPr>
              <w:keepNext/>
              <w:keepLines/>
              <w:spacing w:after="0" w:line="240" w:lineRule="auto"/>
              <w:ind w:left="180"/>
              <w:jc w:val="center"/>
            </w:pPr>
            <w:r w:rsidRPr="00573E67">
              <w:t>Emisario – Tramo de Transporte en zanja</w:t>
            </w:r>
          </w:p>
        </w:tc>
        <w:tc>
          <w:tcPr>
            <w:tcW w:w="2160" w:type="dxa"/>
            <w:vAlign w:val="center"/>
          </w:tcPr>
          <w:p w14:paraId="1CBCD018" w14:textId="77777777" w:rsidR="00A95DF9" w:rsidRPr="00573E67" w:rsidRDefault="00A95DF9" w:rsidP="00BA05F3">
            <w:pPr>
              <w:keepNext/>
              <w:keepLines/>
              <w:spacing w:after="0" w:line="240" w:lineRule="auto"/>
              <w:ind w:left="359"/>
              <w:jc w:val="center"/>
            </w:pPr>
            <w:r w:rsidRPr="00573E67">
              <w:t>4.400</w:t>
            </w:r>
          </w:p>
        </w:tc>
        <w:tc>
          <w:tcPr>
            <w:tcW w:w="1980" w:type="dxa"/>
            <w:vAlign w:val="center"/>
          </w:tcPr>
          <w:p w14:paraId="1287F2AD" w14:textId="77777777" w:rsidR="00A95DF9" w:rsidRPr="00573E67" w:rsidRDefault="00A95DF9" w:rsidP="00BA05F3">
            <w:pPr>
              <w:keepNext/>
              <w:keepLines/>
              <w:spacing w:after="0" w:line="240" w:lineRule="auto"/>
              <w:ind w:left="359"/>
              <w:jc w:val="center"/>
            </w:pPr>
            <w:r w:rsidRPr="00573E67">
              <w:t>1230</w:t>
            </w:r>
          </w:p>
        </w:tc>
      </w:tr>
      <w:tr w:rsidR="00A95DF9" w:rsidRPr="00573E67" w14:paraId="7EA9EF39" w14:textId="77777777" w:rsidTr="0087147E">
        <w:trPr>
          <w:jc w:val="center"/>
        </w:trPr>
        <w:tc>
          <w:tcPr>
            <w:tcW w:w="4030" w:type="dxa"/>
            <w:tcBorders>
              <w:bottom w:val="nil"/>
            </w:tcBorders>
            <w:vAlign w:val="center"/>
          </w:tcPr>
          <w:p w14:paraId="2DE37155" w14:textId="77777777" w:rsidR="00A95DF9" w:rsidRPr="00573E67" w:rsidRDefault="00A95DF9" w:rsidP="00BA05F3">
            <w:pPr>
              <w:keepNext/>
              <w:keepLines/>
              <w:spacing w:after="0" w:line="240" w:lineRule="auto"/>
              <w:ind w:left="180"/>
              <w:jc w:val="center"/>
            </w:pPr>
            <w:r w:rsidRPr="00573E67">
              <w:t>Emisario – Tramo de Difusión</w:t>
            </w:r>
          </w:p>
        </w:tc>
        <w:tc>
          <w:tcPr>
            <w:tcW w:w="2160" w:type="dxa"/>
            <w:vAlign w:val="center"/>
          </w:tcPr>
          <w:p w14:paraId="097F9569" w14:textId="77777777" w:rsidR="00A95DF9" w:rsidRPr="00573E67" w:rsidRDefault="00A95DF9" w:rsidP="00BA05F3">
            <w:pPr>
              <w:keepNext/>
              <w:keepLines/>
              <w:spacing w:after="0" w:line="240" w:lineRule="auto"/>
              <w:ind w:left="359"/>
              <w:jc w:val="center"/>
            </w:pPr>
            <w:r w:rsidRPr="00573E67">
              <w:t>4.400</w:t>
            </w:r>
          </w:p>
        </w:tc>
        <w:tc>
          <w:tcPr>
            <w:tcW w:w="1980" w:type="dxa"/>
            <w:vAlign w:val="center"/>
          </w:tcPr>
          <w:p w14:paraId="7E939437" w14:textId="77777777" w:rsidR="00A95DF9" w:rsidRPr="00573E67" w:rsidRDefault="00A95DF9" w:rsidP="00BA05F3">
            <w:pPr>
              <w:keepNext/>
              <w:keepLines/>
              <w:spacing w:after="0" w:line="240" w:lineRule="auto"/>
              <w:ind w:left="359"/>
              <w:jc w:val="center"/>
            </w:pPr>
            <w:r w:rsidRPr="00573E67">
              <w:t>800</w:t>
            </w:r>
          </w:p>
        </w:tc>
      </w:tr>
      <w:tr w:rsidR="00A95DF9" w:rsidRPr="00573E67" w14:paraId="1D4B3203" w14:textId="77777777" w:rsidTr="0087147E">
        <w:trPr>
          <w:jc w:val="center"/>
        </w:trPr>
        <w:tc>
          <w:tcPr>
            <w:tcW w:w="4030" w:type="dxa"/>
            <w:tcBorders>
              <w:top w:val="nil"/>
              <w:bottom w:val="nil"/>
            </w:tcBorders>
            <w:vAlign w:val="center"/>
          </w:tcPr>
          <w:p w14:paraId="584B579D" w14:textId="77777777" w:rsidR="00A95DF9" w:rsidRPr="00573E67" w:rsidRDefault="00A95DF9" w:rsidP="00BA05F3">
            <w:pPr>
              <w:keepNext/>
              <w:keepLines/>
              <w:spacing w:after="0" w:line="240" w:lineRule="auto"/>
              <w:jc w:val="center"/>
            </w:pPr>
          </w:p>
        </w:tc>
        <w:tc>
          <w:tcPr>
            <w:tcW w:w="2160" w:type="dxa"/>
            <w:vAlign w:val="center"/>
          </w:tcPr>
          <w:p w14:paraId="5D6D1041" w14:textId="77777777" w:rsidR="00A95DF9" w:rsidRPr="00573E67" w:rsidRDefault="00A95DF9" w:rsidP="00BA05F3">
            <w:pPr>
              <w:keepNext/>
              <w:keepLines/>
              <w:spacing w:after="0" w:line="240" w:lineRule="auto"/>
              <w:ind w:left="359"/>
              <w:jc w:val="center"/>
            </w:pPr>
            <w:r w:rsidRPr="00573E67">
              <w:t>2800</w:t>
            </w:r>
          </w:p>
        </w:tc>
        <w:tc>
          <w:tcPr>
            <w:tcW w:w="1980" w:type="dxa"/>
            <w:vAlign w:val="center"/>
          </w:tcPr>
          <w:p w14:paraId="3C156EDF" w14:textId="77777777" w:rsidR="00A95DF9" w:rsidRPr="00573E67" w:rsidRDefault="00A95DF9" w:rsidP="00BA05F3">
            <w:pPr>
              <w:keepNext/>
              <w:keepLines/>
              <w:spacing w:after="0" w:line="240" w:lineRule="auto"/>
              <w:ind w:left="359"/>
              <w:jc w:val="center"/>
            </w:pPr>
            <w:r w:rsidRPr="00573E67">
              <w:t>1000</w:t>
            </w:r>
          </w:p>
        </w:tc>
      </w:tr>
      <w:tr w:rsidR="00A95DF9" w:rsidRPr="00573E67" w14:paraId="7989CB21" w14:textId="77777777" w:rsidTr="0087147E">
        <w:trPr>
          <w:jc w:val="center"/>
        </w:trPr>
        <w:tc>
          <w:tcPr>
            <w:tcW w:w="4030" w:type="dxa"/>
            <w:tcBorders>
              <w:top w:val="nil"/>
            </w:tcBorders>
            <w:vAlign w:val="center"/>
          </w:tcPr>
          <w:p w14:paraId="68CA5E20" w14:textId="77777777" w:rsidR="00A95DF9" w:rsidRPr="00573E67" w:rsidRDefault="00A95DF9" w:rsidP="00BA05F3">
            <w:pPr>
              <w:keepNext/>
              <w:keepLines/>
              <w:spacing w:after="0" w:line="240" w:lineRule="auto"/>
              <w:jc w:val="center"/>
            </w:pPr>
          </w:p>
        </w:tc>
        <w:tc>
          <w:tcPr>
            <w:tcW w:w="2160" w:type="dxa"/>
            <w:vAlign w:val="center"/>
          </w:tcPr>
          <w:p w14:paraId="3689E4F1" w14:textId="77777777" w:rsidR="00A95DF9" w:rsidRPr="00573E67" w:rsidRDefault="00A95DF9" w:rsidP="00BA05F3">
            <w:pPr>
              <w:keepNext/>
              <w:keepLines/>
              <w:spacing w:after="0" w:line="240" w:lineRule="auto"/>
              <w:ind w:left="359"/>
              <w:jc w:val="center"/>
            </w:pPr>
            <w:r w:rsidRPr="00573E67">
              <w:t>1.700</w:t>
            </w:r>
          </w:p>
        </w:tc>
        <w:tc>
          <w:tcPr>
            <w:tcW w:w="1980" w:type="dxa"/>
            <w:vAlign w:val="center"/>
          </w:tcPr>
          <w:p w14:paraId="6320B9EE" w14:textId="77777777" w:rsidR="00A95DF9" w:rsidRPr="00573E67" w:rsidRDefault="00A95DF9" w:rsidP="00BA05F3">
            <w:pPr>
              <w:keepNext/>
              <w:keepLines/>
              <w:spacing w:after="0" w:line="240" w:lineRule="auto"/>
              <w:ind w:left="359"/>
              <w:jc w:val="center"/>
            </w:pPr>
            <w:r w:rsidRPr="00573E67">
              <w:t>500</w:t>
            </w:r>
          </w:p>
        </w:tc>
      </w:tr>
    </w:tbl>
    <w:p w14:paraId="3642B1DE" w14:textId="77777777" w:rsidR="00A95DF9" w:rsidRPr="00BA05F3" w:rsidRDefault="00A95DF9" w:rsidP="0087147E">
      <w:pPr>
        <w:spacing w:before="240" w:line="360" w:lineRule="auto"/>
        <w:rPr>
          <w:rFonts w:ascii="Arial" w:hAnsi="Arial" w:cs="Arial"/>
        </w:rPr>
      </w:pPr>
      <w:r w:rsidRPr="00BA05F3">
        <w:rPr>
          <w:rFonts w:ascii="Arial" w:hAnsi="Arial" w:cs="Arial"/>
        </w:rPr>
        <w:t>La construcción del emisario se realizaría en tres tramos:</w:t>
      </w:r>
    </w:p>
    <w:p w14:paraId="37AE554F" w14:textId="14203FD9" w:rsidR="00A95DF9" w:rsidRPr="00B048A3" w:rsidRDefault="00A95DF9" w:rsidP="00C4100D">
      <w:pPr>
        <w:pStyle w:val="ListParagraph"/>
        <w:numPr>
          <w:ilvl w:val="0"/>
          <w:numId w:val="103"/>
        </w:numPr>
        <w:spacing w:before="240" w:line="240" w:lineRule="auto"/>
        <w:ind w:left="908" w:hanging="706"/>
        <w:rPr>
          <w:rFonts w:ascii="Arial" w:hAnsi="Arial" w:cs="Arial"/>
        </w:rPr>
      </w:pPr>
      <w:r w:rsidRPr="00B048A3">
        <w:rPr>
          <w:rFonts w:ascii="Arial" w:hAnsi="Arial" w:cs="Arial"/>
        </w:rPr>
        <w:t xml:space="preserve">Tramo de transporte: un conducto de aproximadamente </w:t>
      </w:r>
      <w:smartTag w:uri="urn:schemas-microsoft-com:office:smarttags" w:element="metricconverter">
        <w:smartTagPr>
          <w:attr w:name="ProductID" w:val="3970 metros"/>
        </w:smartTagPr>
        <w:r w:rsidRPr="00B048A3">
          <w:rPr>
            <w:rFonts w:ascii="Arial" w:hAnsi="Arial" w:cs="Arial"/>
          </w:rPr>
          <w:t>3970 metros</w:t>
        </w:r>
      </w:smartTag>
      <w:r w:rsidRPr="00B048A3">
        <w:rPr>
          <w:rFonts w:ascii="Arial" w:hAnsi="Arial" w:cs="Arial"/>
        </w:rPr>
        <w:t xml:space="preserve"> de longitud y se extenderá desde la salida de la estación de bombeo de la Planta Berazategui.</w:t>
      </w:r>
    </w:p>
    <w:p w14:paraId="360B925D" w14:textId="571E1DCC" w:rsidR="00A95DF9" w:rsidRPr="00B048A3" w:rsidRDefault="00A95DF9" w:rsidP="00C4100D">
      <w:pPr>
        <w:pStyle w:val="ListParagraph"/>
        <w:numPr>
          <w:ilvl w:val="0"/>
          <w:numId w:val="103"/>
        </w:numPr>
        <w:spacing w:before="240" w:line="240" w:lineRule="auto"/>
        <w:ind w:left="908" w:hanging="706"/>
        <w:rPr>
          <w:rFonts w:ascii="Arial" w:hAnsi="Arial" w:cs="Arial"/>
        </w:rPr>
      </w:pPr>
      <w:r w:rsidRPr="00B048A3">
        <w:rPr>
          <w:rFonts w:ascii="Arial" w:hAnsi="Arial" w:cs="Arial"/>
        </w:rPr>
        <w:t xml:space="preserve">Tramo de transporte aguas debajo de la cámara de transición de 4,40m de diámetro interno construido en zanja y fundado sobre pilotes. </w:t>
      </w:r>
    </w:p>
    <w:p w14:paraId="74FACB61" w14:textId="4C72509D" w:rsidR="00A95DF9" w:rsidRPr="00B048A3" w:rsidRDefault="00A95DF9" w:rsidP="00C4100D">
      <w:pPr>
        <w:pStyle w:val="ListParagraph"/>
        <w:numPr>
          <w:ilvl w:val="0"/>
          <w:numId w:val="103"/>
        </w:numPr>
        <w:spacing w:before="240" w:line="240" w:lineRule="auto"/>
        <w:ind w:left="908" w:hanging="706"/>
        <w:rPr>
          <w:rFonts w:ascii="Arial" w:hAnsi="Arial" w:cs="Arial"/>
        </w:rPr>
      </w:pPr>
      <w:r w:rsidRPr="00B048A3">
        <w:rPr>
          <w:rFonts w:ascii="Arial" w:hAnsi="Arial" w:cs="Arial"/>
        </w:rPr>
        <w:t>Tramo de difusión: un conducto construido en zanja y fundado sobre pilotes de sección variable por tramos</w:t>
      </w:r>
    </w:p>
    <w:p w14:paraId="54594106" w14:textId="2641F479" w:rsidR="00A95DF9" w:rsidRPr="00B048A3" w:rsidRDefault="00A95DF9" w:rsidP="00B048A3">
      <w:pPr>
        <w:spacing w:after="100" w:afterAutospacing="1" w:line="240" w:lineRule="auto"/>
        <w:rPr>
          <w:rFonts w:ascii="Arial" w:hAnsi="Arial" w:cs="Arial"/>
        </w:rPr>
      </w:pPr>
      <w:r w:rsidRPr="00B048A3">
        <w:rPr>
          <w:rFonts w:ascii="Arial" w:hAnsi="Arial" w:cs="Arial"/>
        </w:rPr>
        <w:t xml:space="preserve">El conducto difusor tendrá 47 “raisers” tipo roseta con un diámetro interno de </w:t>
      </w:r>
      <w:smartTag w:uri="urn:schemas-microsoft-com:office:smarttags" w:element="metricconverter">
        <w:smartTagPr>
          <w:attr w:name="ProductID" w:val="52 cent￭metros"/>
        </w:smartTagPr>
        <w:r w:rsidRPr="00B048A3">
          <w:rPr>
            <w:rFonts w:ascii="Arial" w:hAnsi="Arial" w:cs="Arial"/>
          </w:rPr>
          <w:t>52 centímetros</w:t>
        </w:r>
      </w:smartTag>
      <w:r w:rsidRPr="00B048A3">
        <w:rPr>
          <w:rFonts w:ascii="Arial" w:hAnsi="Arial" w:cs="Arial"/>
        </w:rPr>
        <w:t xml:space="preserve">, con 6 puertos con un diámetro de salida de </w:t>
      </w:r>
      <w:smartTag w:uri="urn:schemas-microsoft-com:office:smarttags" w:element="metricconverter">
        <w:smartTagPr>
          <w:attr w:name="ProductID" w:val="18 cent￭metros"/>
        </w:smartTagPr>
        <w:r w:rsidRPr="00B048A3">
          <w:rPr>
            <w:rFonts w:ascii="Arial" w:hAnsi="Arial" w:cs="Arial"/>
          </w:rPr>
          <w:t>18 centímetros</w:t>
        </w:r>
      </w:smartTag>
      <w:r w:rsidRPr="00B048A3">
        <w:rPr>
          <w:rFonts w:ascii="Arial" w:hAnsi="Arial" w:cs="Arial"/>
        </w:rPr>
        <w:t xml:space="preserve">. </w:t>
      </w:r>
    </w:p>
    <w:p w14:paraId="7F205586" w14:textId="77777777" w:rsidR="00A95DF9" w:rsidRPr="00BA05F3" w:rsidRDefault="00A95DF9" w:rsidP="00B048A3">
      <w:pPr>
        <w:spacing w:after="100" w:afterAutospacing="1" w:line="240" w:lineRule="auto"/>
        <w:rPr>
          <w:rFonts w:ascii="Arial" w:hAnsi="Arial" w:cs="Arial"/>
        </w:rPr>
      </w:pPr>
      <w:r w:rsidRPr="00BA05F3">
        <w:rPr>
          <w:rFonts w:ascii="Arial" w:hAnsi="Arial" w:cs="Arial"/>
        </w:rPr>
        <w:t xml:space="preserve">Esta alternativa contempla para la construcción del tramo de transporte incluido en a) del túnel del Emisario la utilización de una máquina tunelera con escudo y colocación simultánea de dovelas prefabricadas de hormigón, a una profundidad (tapada) variable entre 12 y </w:t>
      </w:r>
      <w:smartTag w:uri="urn:schemas-microsoft-com:office:smarttags" w:element="metricconverter">
        <w:smartTagPr>
          <w:attr w:name="ProductID" w:val="16 m"/>
        </w:smartTagPr>
        <w:r w:rsidRPr="00BA05F3">
          <w:rPr>
            <w:rFonts w:ascii="Arial" w:hAnsi="Arial" w:cs="Arial"/>
          </w:rPr>
          <w:t>16 m</w:t>
        </w:r>
      </w:smartTag>
      <w:r w:rsidRPr="00BA05F3">
        <w:rPr>
          <w:rFonts w:ascii="Arial" w:hAnsi="Arial" w:cs="Arial"/>
        </w:rPr>
        <w:t xml:space="preserve">, y bajo una carga de agua interior variable entre 30 y 35  metros sobre el intradós de los conductos. </w:t>
      </w:r>
    </w:p>
    <w:p w14:paraId="167DE76C" w14:textId="77777777" w:rsidR="00A95DF9" w:rsidRPr="00BA05F3" w:rsidRDefault="00A95DF9" w:rsidP="00B048A3">
      <w:pPr>
        <w:spacing w:after="100" w:afterAutospacing="1" w:line="240" w:lineRule="auto"/>
        <w:rPr>
          <w:rFonts w:ascii="Arial" w:hAnsi="Arial" w:cs="Arial"/>
        </w:rPr>
      </w:pPr>
      <w:r w:rsidRPr="00BA05F3">
        <w:rPr>
          <w:rFonts w:ascii="Arial" w:hAnsi="Arial" w:cs="Arial"/>
        </w:rPr>
        <w:t xml:space="preserve"> El Túnel a construirse deberá contar con un revestimiento interno que asegure su funcionamiento bajo la carga de presión de diseño.</w:t>
      </w:r>
    </w:p>
    <w:p w14:paraId="7723E9E1" w14:textId="77777777" w:rsidR="00A95DF9" w:rsidRPr="00BA05F3" w:rsidRDefault="00A95DF9" w:rsidP="0085767D">
      <w:pPr>
        <w:spacing w:after="100" w:afterAutospacing="1" w:line="240" w:lineRule="auto"/>
        <w:rPr>
          <w:rFonts w:ascii="Arial" w:hAnsi="Arial" w:cs="Arial"/>
        </w:rPr>
      </w:pPr>
      <w:r w:rsidRPr="00BA05F3">
        <w:rPr>
          <w:rFonts w:ascii="Arial" w:hAnsi="Arial" w:cs="Arial"/>
        </w:rPr>
        <w:t>La construcción del Emisario ha sido proyectada para que el túnel se inicie en un pozo de ataque a ubicarse en el predio Planta de Pretratamiento Del Bicentenario que conformará la chimenea de equilibrio del sistema.  Este pozo se conforma por 3 pozos consecutivos que permiten optimizar las tareas de retiro de tierra e ingreso de materiales</w:t>
      </w:r>
    </w:p>
    <w:p w14:paraId="37D0602A" w14:textId="77777777" w:rsidR="00A95DF9" w:rsidRPr="00BA05F3" w:rsidRDefault="00A95DF9" w:rsidP="0085767D">
      <w:pPr>
        <w:spacing w:after="100" w:afterAutospacing="1" w:line="240" w:lineRule="auto"/>
        <w:rPr>
          <w:rFonts w:ascii="Arial" w:hAnsi="Arial" w:cs="Arial"/>
        </w:rPr>
      </w:pPr>
      <w:r w:rsidRPr="00BA05F3">
        <w:rPr>
          <w:rFonts w:ascii="Arial" w:hAnsi="Arial" w:cs="Arial"/>
        </w:rPr>
        <w:t>El final del tramo en túnel está constituido por la denominada cámara de transición y la tunelera se ha previsto abandonarla al final del tramo previéndose la ejecución de un tapón estanco a posteriori del avance de la tunelera.</w:t>
      </w:r>
    </w:p>
    <w:p w14:paraId="5005F5D0" w14:textId="77777777" w:rsidR="00A95DF9" w:rsidRPr="00BA05F3" w:rsidRDefault="00A95DF9" w:rsidP="0085767D">
      <w:pPr>
        <w:spacing w:after="100" w:afterAutospacing="1" w:line="240" w:lineRule="auto"/>
        <w:rPr>
          <w:rFonts w:ascii="Arial" w:hAnsi="Arial" w:cs="Arial"/>
        </w:rPr>
      </w:pPr>
      <w:r w:rsidRPr="00BA05F3">
        <w:rPr>
          <w:rFonts w:ascii="Arial" w:hAnsi="Arial" w:cs="Arial"/>
        </w:rPr>
        <w:t xml:space="preserve">Para el revestimiento interno secundario del túnel se ha previsto una protección constante de 0,15m de espesor mínimo en toda la longitud </w:t>
      </w:r>
    </w:p>
    <w:p w14:paraId="0FB3FC24" w14:textId="77777777" w:rsidR="00A95DF9" w:rsidRPr="00BA05F3" w:rsidRDefault="00A95DF9" w:rsidP="0085767D">
      <w:pPr>
        <w:spacing w:after="100" w:afterAutospacing="1" w:line="240" w:lineRule="auto"/>
        <w:rPr>
          <w:rFonts w:ascii="Arial" w:hAnsi="Arial" w:cs="Arial"/>
        </w:rPr>
      </w:pPr>
      <w:r w:rsidRPr="00BA05F3">
        <w:rPr>
          <w:rFonts w:ascii="Arial" w:hAnsi="Arial" w:cs="Arial"/>
        </w:rPr>
        <w:t xml:space="preserve">Los tramos indicados en b) y c) se han previsto con colocación de tubería de hormigón prefabricada montada sobre pilotes en zanja dragada </w:t>
      </w:r>
    </w:p>
    <w:p w14:paraId="06DCA0D0" w14:textId="77777777" w:rsidR="00A95DF9" w:rsidRPr="00BA05F3" w:rsidRDefault="00A95DF9" w:rsidP="0085767D">
      <w:pPr>
        <w:spacing w:after="100" w:afterAutospacing="1" w:line="240" w:lineRule="auto"/>
        <w:rPr>
          <w:rFonts w:ascii="Arial" w:hAnsi="Arial" w:cs="Arial"/>
        </w:rPr>
      </w:pPr>
      <w:r w:rsidRPr="00BA05F3">
        <w:rPr>
          <w:rFonts w:ascii="Arial" w:hAnsi="Arial" w:cs="Arial"/>
          <w:bCs/>
        </w:rPr>
        <w:t>La metodología constructiva de cámara de transición s</w:t>
      </w:r>
      <w:r w:rsidRPr="00BA05F3">
        <w:rPr>
          <w:rFonts w:ascii="Arial" w:hAnsi="Arial" w:cs="Arial"/>
        </w:rPr>
        <w:t xml:space="preserve">e ha previsto con una cámara cilíndrica de 6m de diámetro interior. Se conforma por un cilindro de acero exterior y está revestida </w:t>
      </w:r>
      <w:r w:rsidRPr="00BA05F3">
        <w:rPr>
          <w:rFonts w:ascii="Arial" w:hAnsi="Arial" w:cs="Arial"/>
          <w:i/>
        </w:rPr>
        <w:t>in situ</w:t>
      </w:r>
      <w:r w:rsidRPr="00BA05F3">
        <w:rPr>
          <w:rFonts w:ascii="Arial" w:hAnsi="Arial" w:cs="Arial"/>
        </w:rPr>
        <w:t xml:space="preserve"> interiormente con hormigón. El prerevestimiento de acero se ha previsto hincado previo al paso de la tunelera. </w:t>
      </w:r>
    </w:p>
    <w:p w14:paraId="5911F3B9" w14:textId="77777777" w:rsidR="00A95DF9" w:rsidRPr="00BA05F3" w:rsidRDefault="00A95DF9" w:rsidP="0087147E">
      <w:pPr>
        <w:spacing w:before="240" w:line="360" w:lineRule="auto"/>
        <w:rPr>
          <w:rFonts w:ascii="Arial" w:hAnsi="Arial" w:cs="Arial"/>
        </w:rPr>
      </w:pPr>
      <w:r w:rsidRPr="00BA05F3">
        <w:rPr>
          <w:rFonts w:ascii="Arial" w:hAnsi="Arial" w:cs="Arial"/>
        </w:rPr>
        <w:t>Las principales desventajas de la presente alternativa son:</w:t>
      </w:r>
    </w:p>
    <w:p w14:paraId="20BFE7D6" w14:textId="77777777" w:rsidR="00A95DF9" w:rsidRPr="00BA05F3" w:rsidRDefault="00A95DF9" w:rsidP="00C4100D">
      <w:pPr>
        <w:pStyle w:val="ListParagraph"/>
        <w:numPr>
          <w:ilvl w:val="0"/>
          <w:numId w:val="84"/>
        </w:numPr>
        <w:spacing w:before="240" w:after="60" w:line="360" w:lineRule="auto"/>
        <w:rPr>
          <w:rFonts w:ascii="Arial" w:hAnsi="Arial" w:cs="Arial"/>
        </w:rPr>
      </w:pPr>
      <w:r w:rsidRPr="00BA05F3">
        <w:rPr>
          <w:rFonts w:ascii="Arial" w:hAnsi="Arial" w:cs="Arial"/>
        </w:rPr>
        <w:t>Complejidad de la ejecución de un túnel de gran longitud con una única cámara de ingreso</w:t>
      </w:r>
    </w:p>
    <w:p w14:paraId="7D2DB83B" w14:textId="77777777" w:rsidR="00A95DF9" w:rsidRPr="00BA05F3" w:rsidRDefault="00A95DF9" w:rsidP="00C4100D">
      <w:pPr>
        <w:pStyle w:val="ListParagraph"/>
        <w:numPr>
          <w:ilvl w:val="0"/>
          <w:numId w:val="84"/>
        </w:numPr>
        <w:spacing w:before="240" w:after="60" w:line="360" w:lineRule="auto"/>
        <w:rPr>
          <w:rFonts w:ascii="Arial" w:hAnsi="Arial" w:cs="Arial"/>
        </w:rPr>
      </w:pPr>
      <w:r w:rsidRPr="00BA05F3">
        <w:rPr>
          <w:rFonts w:ascii="Arial" w:hAnsi="Arial" w:cs="Arial"/>
        </w:rPr>
        <w:t xml:space="preserve">Complejidad de la ejecución de la cámara de transición </w:t>
      </w:r>
    </w:p>
    <w:p w14:paraId="5E01B82D" w14:textId="77777777" w:rsidR="00A95DF9" w:rsidRPr="00BA05F3" w:rsidRDefault="00A95DF9" w:rsidP="00C4100D">
      <w:pPr>
        <w:pStyle w:val="ListParagraph"/>
        <w:numPr>
          <w:ilvl w:val="0"/>
          <w:numId w:val="84"/>
        </w:numPr>
        <w:spacing w:before="240" w:after="60" w:line="360" w:lineRule="auto"/>
        <w:rPr>
          <w:rFonts w:ascii="Arial" w:hAnsi="Arial" w:cs="Arial"/>
        </w:rPr>
      </w:pPr>
      <w:r w:rsidRPr="00BA05F3">
        <w:rPr>
          <w:rFonts w:ascii="Arial" w:hAnsi="Arial" w:cs="Arial"/>
        </w:rPr>
        <w:t>Riesgo de transporte e instalación de tubos de hormigón en zanja</w:t>
      </w:r>
    </w:p>
    <w:p w14:paraId="03038339" w14:textId="77777777" w:rsidR="00A95DF9" w:rsidRPr="00BA05F3" w:rsidRDefault="00A95DF9" w:rsidP="00C4100D">
      <w:pPr>
        <w:pStyle w:val="ListParagraph"/>
        <w:numPr>
          <w:ilvl w:val="0"/>
          <w:numId w:val="84"/>
        </w:numPr>
        <w:spacing w:before="240" w:after="60" w:line="360" w:lineRule="auto"/>
        <w:rPr>
          <w:rFonts w:ascii="Arial" w:hAnsi="Arial" w:cs="Arial"/>
        </w:rPr>
      </w:pPr>
      <w:r w:rsidRPr="00BA05F3">
        <w:rPr>
          <w:rFonts w:ascii="Arial" w:hAnsi="Arial" w:cs="Arial"/>
        </w:rPr>
        <w:t xml:space="preserve">Plazo de la obra </w:t>
      </w:r>
    </w:p>
    <w:p w14:paraId="38CDD243" w14:textId="77777777" w:rsidR="00A95DF9" w:rsidRDefault="00A95DF9" w:rsidP="0087147E">
      <w:pPr>
        <w:spacing w:before="240" w:line="360" w:lineRule="auto"/>
        <w:rPr>
          <w:b/>
        </w:rPr>
      </w:pPr>
    </w:p>
    <w:p w14:paraId="7F2E11A2" w14:textId="77777777" w:rsidR="00684EE8" w:rsidRDefault="00684EE8" w:rsidP="0087147E">
      <w:pPr>
        <w:spacing w:before="240" w:line="360" w:lineRule="auto"/>
        <w:rPr>
          <w:b/>
        </w:rPr>
      </w:pPr>
    </w:p>
    <w:p w14:paraId="295FC733" w14:textId="77777777" w:rsidR="00684EE8" w:rsidRDefault="00684EE8" w:rsidP="0087147E">
      <w:pPr>
        <w:spacing w:before="240" w:line="360" w:lineRule="auto"/>
        <w:rPr>
          <w:b/>
        </w:rPr>
      </w:pPr>
    </w:p>
    <w:p w14:paraId="4B0822CB" w14:textId="15744AA1" w:rsidR="00A95DF9" w:rsidRPr="00573E67" w:rsidRDefault="00A95DF9" w:rsidP="0087147E">
      <w:pPr>
        <w:spacing w:before="240" w:line="360" w:lineRule="auto"/>
        <w:rPr>
          <w:b/>
        </w:rPr>
      </w:pPr>
      <w:r>
        <w:rPr>
          <w:b/>
        </w:rPr>
        <w:t>Imagen</w:t>
      </w:r>
      <w:r w:rsidRPr="00573E67">
        <w:rPr>
          <w:b/>
        </w:rPr>
        <w:t xml:space="preserve"> </w:t>
      </w:r>
      <w:r>
        <w:rPr>
          <w:b/>
        </w:rPr>
        <w:t>II</w:t>
      </w:r>
      <w:r w:rsidR="00BA05F3">
        <w:rPr>
          <w:b/>
        </w:rPr>
        <w:t>I-2</w:t>
      </w:r>
      <w:r w:rsidRPr="00573E67">
        <w:rPr>
          <w:b/>
        </w:rPr>
        <w:t>: Ubicación general del emisario</w:t>
      </w:r>
    </w:p>
    <w:p w14:paraId="122B970C" w14:textId="77777777" w:rsidR="00A95DF9" w:rsidRPr="00573E67" w:rsidRDefault="00A95DF9" w:rsidP="0087147E">
      <w:pPr>
        <w:spacing w:before="240" w:line="360" w:lineRule="auto"/>
        <w:contextualSpacing/>
      </w:pPr>
      <w:r w:rsidRPr="00573E67">
        <w:rPr>
          <w:noProof/>
          <w:lang w:eastAsia="es-AR"/>
        </w:rPr>
        <w:drawing>
          <wp:inline distT="0" distB="0" distL="0" distR="0" wp14:anchorId="1D14A781" wp14:editId="3C6AB091">
            <wp:extent cx="5400675" cy="3571875"/>
            <wp:effectExtent l="0" t="0" r="9525" b="9525"/>
            <wp:docPr id="1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00675" cy="3571875"/>
                    </a:xfrm>
                    <a:prstGeom prst="rect">
                      <a:avLst/>
                    </a:prstGeom>
                    <a:noFill/>
                    <a:ln>
                      <a:noFill/>
                    </a:ln>
                  </pic:spPr>
                </pic:pic>
              </a:graphicData>
            </a:graphic>
          </wp:inline>
        </w:drawing>
      </w:r>
    </w:p>
    <w:p w14:paraId="2D4E5DE9" w14:textId="7C821F1A" w:rsidR="00A95DF9" w:rsidRPr="00573E67" w:rsidRDefault="00A95DF9" w:rsidP="0087147E">
      <w:pPr>
        <w:spacing w:before="240" w:line="360" w:lineRule="auto"/>
        <w:rPr>
          <w:b/>
        </w:rPr>
      </w:pPr>
      <w:r>
        <w:rPr>
          <w:b/>
        </w:rPr>
        <w:t>Imagen</w:t>
      </w:r>
      <w:r w:rsidRPr="00573E67">
        <w:rPr>
          <w:b/>
        </w:rPr>
        <w:t xml:space="preserve"> </w:t>
      </w:r>
      <w:r w:rsidR="00BA05F3">
        <w:rPr>
          <w:b/>
        </w:rPr>
        <w:t>III-</w:t>
      </w:r>
      <w:r>
        <w:rPr>
          <w:b/>
        </w:rPr>
        <w:t>3</w:t>
      </w:r>
      <w:r w:rsidRPr="00573E67">
        <w:rPr>
          <w:b/>
        </w:rPr>
        <w:t xml:space="preserve">: Contexto regional costero del proyecto. </w:t>
      </w:r>
    </w:p>
    <w:p w14:paraId="3275701D" w14:textId="77777777" w:rsidR="00A95DF9" w:rsidRPr="00573E67" w:rsidRDefault="00A95DF9" w:rsidP="0087147E">
      <w:pPr>
        <w:spacing w:before="240" w:line="360" w:lineRule="auto"/>
        <w:rPr>
          <w:b/>
        </w:rPr>
      </w:pPr>
      <w:r w:rsidRPr="00573E67">
        <w:rPr>
          <w:b/>
          <w:noProof/>
          <w:lang w:eastAsia="es-AR"/>
        </w:rPr>
        <w:drawing>
          <wp:inline distT="0" distB="0" distL="0" distR="0" wp14:anchorId="6404870F" wp14:editId="1CBE493B">
            <wp:extent cx="5391150" cy="3800475"/>
            <wp:effectExtent l="0" t="0" r="0" b="9525"/>
            <wp:docPr id="12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91150" cy="3800475"/>
                    </a:xfrm>
                    <a:prstGeom prst="rect">
                      <a:avLst/>
                    </a:prstGeom>
                    <a:noFill/>
                    <a:ln>
                      <a:noFill/>
                    </a:ln>
                  </pic:spPr>
                </pic:pic>
              </a:graphicData>
            </a:graphic>
          </wp:inline>
        </w:drawing>
      </w:r>
    </w:p>
    <w:p w14:paraId="5E5AD26A" w14:textId="628DF6A0" w:rsidR="00A95DF9" w:rsidRPr="00BA05F3" w:rsidRDefault="00A95DF9" w:rsidP="0087147E">
      <w:pPr>
        <w:pStyle w:val="ListParagraph"/>
        <w:spacing w:before="240" w:after="60" w:line="360" w:lineRule="auto"/>
        <w:ind w:left="0"/>
        <w:rPr>
          <w:rFonts w:ascii="Arial" w:hAnsi="Arial" w:cs="Arial"/>
        </w:rPr>
      </w:pPr>
      <w:r w:rsidRPr="00BA05F3">
        <w:rPr>
          <w:rFonts w:ascii="Arial" w:hAnsi="Arial" w:cs="Arial"/>
        </w:rPr>
        <w:t>El detalle de las obras necesarias para esta al</w:t>
      </w:r>
      <w:r w:rsidR="00BA05F3">
        <w:rPr>
          <w:rFonts w:ascii="Arial" w:hAnsi="Arial" w:cs="Arial"/>
        </w:rPr>
        <w:t xml:space="preserve">ternativa se presenta </w:t>
      </w:r>
      <w:r w:rsidR="00BA05F3" w:rsidRPr="0059118E">
        <w:rPr>
          <w:rFonts w:ascii="Arial" w:hAnsi="Arial" w:cs="Arial"/>
        </w:rPr>
        <w:t>en Anexo 5</w:t>
      </w:r>
      <w:r w:rsidRPr="0059118E">
        <w:rPr>
          <w:rFonts w:ascii="Arial" w:hAnsi="Arial" w:cs="Arial"/>
        </w:rPr>
        <w:t>.</w:t>
      </w:r>
    </w:p>
    <w:p w14:paraId="5D470A17" w14:textId="77777777" w:rsidR="00A95DF9" w:rsidRDefault="00A95DF9" w:rsidP="0087147E"/>
    <w:p w14:paraId="095B0F8B" w14:textId="035AA8A3" w:rsidR="00A95DF9" w:rsidRPr="00573E67" w:rsidRDefault="00A95DF9" w:rsidP="002B0107">
      <w:pPr>
        <w:pStyle w:val="Heading2"/>
        <w:numPr>
          <w:ilvl w:val="2"/>
          <w:numId w:val="99"/>
        </w:numPr>
      </w:pPr>
      <w:bookmarkStart w:id="325" w:name="_Toc483227441"/>
      <w:bookmarkStart w:id="326" w:name="_Toc485200200"/>
      <w:r w:rsidRPr="00573E67">
        <w:t>Alternativa 2: Planta de tratamiento en dos etapas.</w:t>
      </w:r>
      <w:bookmarkEnd w:id="325"/>
      <w:bookmarkEnd w:id="326"/>
    </w:p>
    <w:p w14:paraId="056FEC4A" w14:textId="77777777" w:rsidR="00A95DF9" w:rsidRPr="00D47F59" w:rsidRDefault="00A95DF9" w:rsidP="0085767D">
      <w:pPr>
        <w:spacing w:after="100" w:afterAutospacing="1" w:line="240" w:lineRule="auto"/>
        <w:rPr>
          <w:rFonts w:ascii="Arial" w:hAnsi="Arial" w:cs="Arial"/>
        </w:rPr>
      </w:pPr>
      <w:r w:rsidRPr="00D47F59">
        <w:rPr>
          <w:rFonts w:ascii="Arial" w:hAnsi="Arial" w:cs="Arial"/>
        </w:rPr>
        <w:t>Esta alternativa consiste en transformar la Planta de Pretratamiento Del Bicentenario en una planta de tratamiento en dos etapas, primario y secundario, asegurando una calidad de líquido de salida que permitiese seguir operando con el Emisario actual de menor longitud sin construir un nuevo conducto.</w:t>
      </w:r>
    </w:p>
    <w:p w14:paraId="31C88D7A" w14:textId="77777777" w:rsidR="00A95DF9" w:rsidRPr="00D47F59" w:rsidRDefault="00A95DF9" w:rsidP="0087147E">
      <w:pPr>
        <w:spacing w:before="240" w:line="360" w:lineRule="auto"/>
        <w:rPr>
          <w:rFonts w:ascii="Arial" w:hAnsi="Arial" w:cs="Arial"/>
        </w:rPr>
      </w:pPr>
      <w:r w:rsidRPr="00D47F59">
        <w:rPr>
          <w:rFonts w:ascii="Arial" w:hAnsi="Arial" w:cs="Arial"/>
        </w:rPr>
        <w:t>Este esquema incluye:</w:t>
      </w:r>
    </w:p>
    <w:p w14:paraId="75E85CCE" w14:textId="77777777" w:rsidR="00A95DF9" w:rsidRPr="00D47F59" w:rsidRDefault="00A95DF9" w:rsidP="00C4100D">
      <w:pPr>
        <w:pStyle w:val="ListParagraph"/>
        <w:numPr>
          <w:ilvl w:val="0"/>
          <w:numId w:val="81"/>
        </w:numPr>
        <w:spacing w:before="240" w:after="60" w:line="360" w:lineRule="auto"/>
        <w:rPr>
          <w:rFonts w:ascii="Arial" w:hAnsi="Arial" w:cs="Arial"/>
        </w:rPr>
      </w:pPr>
      <w:r w:rsidRPr="00D47F59">
        <w:rPr>
          <w:rFonts w:ascii="Arial" w:hAnsi="Arial" w:cs="Arial"/>
        </w:rPr>
        <w:t>Una estación de rebombeo para elevación de los líquidos generados por la actual planta de pretratamiento</w:t>
      </w:r>
    </w:p>
    <w:p w14:paraId="6E3D42B8" w14:textId="77777777" w:rsidR="00A95DF9" w:rsidRPr="00D47F59" w:rsidRDefault="00A95DF9" w:rsidP="00C4100D">
      <w:pPr>
        <w:pStyle w:val="ListParagraph"/>
        <w:numPr>
          <w:ilvl w:val="0"/>
          <w:numId w:val="81"/>
        </w:numPr>
        <w:spacing w:before="240" w:after="60" w:line="360" w:lineRule="auto"/>
        <w:rPr>
          <w:rFonts w:ascii="Arial" w:hAnsi="Arial" w:cs="Arial"/>
        </w:rPr>
      </w:pPr>
      <w:r w:rsidRPr="00D47F59">
        <w:rPr>
          <w:rFonts w:ascii="Arial" w:hAnsi="Arial" w:cs="Arial"/>
        </w:rPr>
        <w:t xml:space="preserve">Un tratamiento primario constituido por 56 sedimentadores de 43m de diámetro </w:t>
      </w:r>
    </w:p>
    <w:p w14:paraId="3F357EA9" w14:textId="77777777" w:rsidR="00A95DF9" w:rsidRPr="00D47F59" w:rsidRDefault="00A95DF9" w:rsidP="00C4100D">
      <w:pPr>
        <w:pStyle w:val="ListParagraph"/>
        <w:numPr>
          <w:ilvl w:val="0"/>
          <w:numId w:val="81"/>
        </w:numPr>
        <w:spacing w:before="240" w:after="60" w:line="360" w:lineRule="auto"/>
        <w:rPr>
          <w:rFonts w:ascii="Arial" w:hAnsi="Arial" w:cs="Arial"/>
        </w:rPr>
      </w:pPr>
      <w:r w:rsidRPr="00D47F59">
        <w:rPr>
          <w:rFonts w:ascii="Arial" w:hAnsi="Arial" w:cs="Arial"/>
        </w:rPr>
        <w:t>Un tratamiento secundario constituido por :</w:t>
      </w:r>
    </w:p>
    <w:p w14:paraId="0248EFF1" w14:textId="77777777" w:rsidR="00A95DF9" w:rsidRPr="00D47F59" w:rsidRDefault="00A95DF9" w:rsidP="00C4100D">
      <w:pPr>
        <w:pStyle w:val="ListParagraph"/>
        <w:numPr>
          <w:ilvl w:val="1"/>
          <w:numId w:val="81"/>
        </w:numPr>
        <w:spacing w:before="240" w:after="60" w:line="360" w:lineRule="auto"/>
        <w:rPr>
          <w:rFonts w:ascii="Arial" w:hAnsi="Arial" w:cs="Arial"/>
        </w:rPr>
      </w:pPr>
      <w:r w:rsidRPr="00D47F59">
        <w:rPr>
          <w:rFonts w:ascii="Arial" w:hAnsi="Arial" w:cs="Arial"/>
        </w:rPr>
        <w:t>28 módulos de 4 tanques de aireación de 3500m3 cada uno</w:t>
      </w:r>
    </w:p>
    <w:p w14:paraId="43299C29" w14:textId="77777777" w:rsidR="00A95DF9" w:rsidRPr="00D47F59" w:rsidRDefault="00A95DF9" w:rsidP="00C4100D">
      <w:pPr>
        <w:pStyle w:val="ListParagraph"/>
        <w:numPr>
          <w:ilvl w:val="1"/>
          <w:numId w:val="81"/>
        </w:numPr>
        <w:spacing w:before="240" w:after="60" w:line="360" w:lineRule="auto"/>
        <w:rPr>
          <w:rFonts w:ascii="Arial" w:hAnsi="Arial" w:cs="Arial"/>
        </w:rPr>
      </w:pPr>
      <w:r w:rsidRPr="00D47F59">
        <w:rPr>
          <w:rFonts w:ascii="Arial" w:hAnsi="Arial" w:cs="Arial"/>
        </w:rPr>
        <w:t>112 clarificadores secundarios de 43m de diámetro</w:t>
      </w:r>
    </w:p>
    <w:p w14:paraId="2E589FCC" w14:textId="77777777" w:rsidR="00A95DF9" w:rsidRPr="00D47F59" w:rsidRDefault="00A95DF9" w:rsidP="00C4100D">
      <w:pPr>
        <w:pStyle w:val="ListParagraph"/>
        <w:numPr>
          <w:ilvl w:val="0"/>
          <w:numId w:val="81"/>
        </w:numPr>
        <w:spacing w:before="240" w:after="60" w:line="360" w:lineRule="auto"/>
        <w:rPr>
          <w:rFonts w:ascii="Arial" w:hAnsi="Arial" w:cs="Arial"/>
        </w:rPr>
      </w:pPr>
      <w:r w:rsidRPr="00D47F59">
        <w:rPr>
          <w:rFonts w:ascii="Arial" w:hAnsi="Arial" w:cs="Arial"/>
        </w:rPr>
        <w:t>Un tratamiento de barros constituido por:</w:t>
      </w:r>
    </w:p>
    <w:p w14:paraId="18F729DB" w14:textId="77777777" w:rsidR="00A95DF9" w:rsidRPr="00D47F59" w:rsidRDefault="00A95DF9" w:rsidP="00C4100D">
      <w:pPr>
        <w:pStyle w:val="ListParagraph"/>
        <w:numPr>
          <w:ilvl w:val="1"/>
          <w:numId w:val="81"/>
        </w:numPr>
        <w:spacing w:before="240" w:after="60" w:line="360" w:lineRule="auto"/>
        <w:rPr>
          <w:rFonts w:ascii="Arial" w:hAnsi="Arial" w:cs="Arial"/>
        </w:rPr>
      </w:pPr>
      <w:r w:rsidRPr="00D47F59">
        <w:rPr>
          <w:rFonts w:ascii="Arial" w:hAnsi="Arial" w:cs="Arial"/>
        </w:rPr>
        <w:t>28 espesadores gravitacionales de 18m de diámetro</w:t>
      </w:r>
    </w:p>
    <w:p w14:paraId="5D0D7ABE" w14:textId="77777777" w:rsidR="00A95DF9" w:rsidRPr="00D47F59" w:rsidRDefault="00A95DF9" w:rsidP="00C4100D">
      <w:pPr>
        <w:pStyle w:val="ListParagraph"/>
        <w:numPr>
          <w:ilvl w:val="1"/>
          <w:numId w:val="81"/>
        </w:numPr>
        <w:spacing w:before="240" w:after="60" w:line="360" w:lineRule="auto"/>
        <w:rPr>
          <w:rFonts w:ascii="Arial" w:hAnsi="Arial" w:cs="Arial"/>
        </w:rPr>
      </w:pPr>
      <w:r w:rsidRPr="00D47F59">
        <w:rPr>
          <w:rFonts w:ascii="Arial" w:hAnsi="Arial" w:cs="Arial"/>
        </w:rPr>
        <w:t>56 flotadores de 10m de diámetro</w:t>
      </w:r>
    </w:p>
    <w:p w14:paraId="692AB019" w14:textId="77777777" w:rsidR="00A95DF9" w:rsidRPr="00D47F59" w:rsidRDefault="00A95DF9" w:rsidP="00C4100D">
      <w:pPr>
        <w:pStyle w:val="ListParagraph"/>
        <w:numPr>
          <w:ilvl w:val="1"/>
          <w:numId w:val="81"/>
        </w:numPr>
        <w:spacing w:before="240" w:after="60" w:line="360" w:lineRule="auto"/>
        <w:rPr>
          <w:rFonts w:ascii="Arial" w:hAnsi="Arial" w:cs="Arial"/>
        </w:rPr>
      </w:pPr>
      <w:r w:rsidRPr="00D47F59">
        <w:rPr>
          <w:rFonts w:ascii="Arial" w:hAnsi="Arial" w:cs="Arial"/>
        </w:rPr>
        <w:t xml:space="preserve">28 digestores de </w:t>
      </w:r>
      <w:smartTag w:uri="urn:schemas-microsoft-com:office:smarttags" w:element="metricconverter">
        <w:smartTagPr>
          <w:attr w:name="ProductID" w:val="8500 m3"/>
        </w:smartTagPr>
        <w:r w:rsidRPr="00D47F59">
          <w:rPr>
            <w:rFonts w:ascii="Arial" w:hAnsi="Arial" w:cs="Arial"/>
          </w:rPr>
          <w:t>8500 m3</w:t>
        </w:r>
      </w:smartTag>
      <w:r w:rsidRPr="00D47F59">
        <w:rPr>
          <w:rFonts w:ascii="Arial" w:hAnsi="Arial" w:cs="Arial"/>
        </w:rPr>
        <w:t xml:space="preserve"> </w:t>
      </w:r>
    </w:p>
    <w:p w14:paraId="25B2B08F" w14:textId="77777777" w:rsidR="00A95DF9" w:rsidRPr="00D47F59" w:rsidRDefault="00A95DF9" w:rsidP="00B3473B">
      <w:pPr>
        <w:spacing w:after="100" w:afterAutospacing="1" w:line="240" w:lineRule="auto"/>
        <w:rPr>
          <w:rFonts w:ascii="Arial" w:hAnsi="Arial" w:cs="Arial"/>
        </w:rPr>
      </w:pPr>
      <w:r w:rsidRPr="00D47F59">
        <w:rPr>
          <w:rFonts w:ascii="Arial" w:hAnsi="Arial" w:cs="Arial"/>
        </w:rPr>
        <w:t>Esta opción involucra la necesidad de un terreno 300ha, atento la necesidad no sólo de la construcción de las instalaciones citadas sino de las áreas auxiliares para bombeos internos, tratamientos de residuos, etc.</w:t>
      </w:r>
    </w:p>
    <w:p w14:paraId="532C32FE" w14:textId="77777777" w:rsidR="00A95DF9" w:rsidRPr="00B3473B" w:rsidRDefault="00A95DF9" w:rsidP="00B3473B">
      <w:pPr>
        <w:spacing w:after="100" w:afterAutospacing="1" w:line="240" w:lineRule="auto"/>
        <w:rPr>
          <w:rFonts w:ascii="Arial" w:hAnsi="Arial" w:cs="Arial"/>
        </w:rPr>
      </w:pPr>
      <w:r w:rsidRPr="00B3473B">
        <w:rPr>
          <w:rFonts w:ascii="Arial" w:hAnsi="Arial" w:cs="Arial"/>
        </w:rPr>
        <w:t xml:space="preserve">El proceso de depuración propuesto comienza con el pretramiento en la actual Planta Del Bicentenario. Luego, los líquidos se conducen a los sedimentadores primarios para luego ingresar al tratamiento biológico. El tratamiento biológico transforma la materia orgánica disuelta en sedimentable a través de un tratamiento de barros activados. A continuación, el líquido es enviado a los clarificadores para la etapa de separación de los barros. Parte de éstos se recirculan a la entrada de las cámaras de aireación y el líquido efluente sale de planta hacia su vuelco mediante el actual emisario. </w:t>
      </w:r>
    </w:p>
    <w:p w14:paraId="61AD1A54" w14:textId="77777777" w:rsidR="00A95DF9" w:rsidRPr="00B3473B" w:rsidRDefault="00A95DF9" w:rsidP="00B3473B">
      <w:pPr>
        <w:spacing w:after="100" w:afterAutospacing="1" w:line="240" w:lineRule="auto"/>
        <w:rPr>
          <w:rFonts w:ascii="Arial" w:hAnsi="Arial" w:cs="Arial"/>
        </w:rPr>
      </w:pPr>
      <w:r w:rsidRPr="00B3473B">
        <w:rPr>
          <w:rFonts w:ascii="Arial" w:hAnsi="Arial" w:cs="Arial"/>
        </w:rPr>
        <w:t xml:space="preserve">Los barros excedentes del tratamiento se tratan por medio de procesos de digestión y deshidratación y, luego de pasar por un proceso de concentración, se envían a la digestión anaeróbica. En esta etapa se produce la estabilización de los barros tanto de la sedimentación primaria como secundaria por la acción de microorganismos facultativos y anaeróbicos que degradan la materia volátil y producen biogás. </w:t>
      </w:r>
    </w:p>
    <w:p w14:paraId="48D80379" w14:textId="77777777" w:rsidR="00A95DF9" w:rsidRPr="00B3473B" w:rsidRDefault="00A95DF9" w:rsidP="00B3473B">
      <w:pPr>
        <w:spacing w:after="100" w:afterAutospacing="1" w:line="240" w:lineRule="auto"/>
        <w:rPr>
          <w:rFonts w:ascii="Arial" w:hAnsi="Arial" w:cs="Arial"/>
        </w:rPr>
      </w:pPr>
      <w:r w:rsidRPr="00B3473B">
        <w:rPr>
          <w:rFonts w:ascii="Arial" w:hAnsi="Arial" w:cs="Arial"/>
        </w:rPr>
        <w:t>Los lodos digeridos son extraídos del digestor por medio de dos cañerías con válvulas telescópicas que succionan desde el fondo y la superficie del digestor. Para el acondicionamiento de los barros se utiliza un polielectrolito catiónico. Los barros se bombean a las centrifugas. Luego se disponen para ser transportados. La disposición de los mismos se realiza en “land farming”.</w:t>
      </w:r>
    </w:p>
    <w:p w14:paraId="220A1592" w14:textId="7EB18EE5" w:rsidR="00A95DF9" w:rsidRDefault="00A95DF9" w:rsidP="0087147E">
      <w:pPr>
        <w:spacing w:before="240" w:line="360" w:lineRule="auto"/>
      </w:pPr>
      <w:r w:rsidRPr="00D47F59">
        <w:rPr>
          <w:rFonts w:ascii="Arial" w:hAnsi="Arial" w:cs="Arial"/>
        </w:rPr>
        <w:t>La Figura II</w:t>
      </w:r>
      <w:r w:rsidR="00D47F59">
        <w:rPr>
          <w:rFonts w:ascii="Arial" w:hAnsi="Arial" w:cs="Arial"/>
        </w:rPr>
        <w:t>I-</w:t>
      </w:r>
      <w:r w:rsidRPr="00D47F59">
        <w:rPr>
          <w:rFonts w:ascii="Arial" w:hAnsi="Arial" w:cs="Arial"/>
        </w:rPr>
        <w:t>3 ilustra el proceso de depuración descripto</w:t>
      </w:r>
      <w:r w:rsidRPr="00573E67">
        <w:t>.</w:t>
      </w:r>
    </w:p>
    <w:p w14:paraId="77EA48FE" w14:textId="1C959074" w:rsidR="00A95DF9" w:rsidRPr="00573E67" w:rsidRDefault="00A95DF9" w:rsidP="00E634C6">
      <w:pPr>
        <w:pStyle w:val="BodyText"/>
        <w:keepNext/>
        <w:keepLines/>
        <w:jc w:val="both"/>
        <w:rPr>
          <w:b/>
          <w:sz w:val="22"/>
          <w:szCs w:val="22"/>
          <w:lang w:val="es-AR"/>
        </w:rPr>
      </w:pPr>
      <w:r w:rsidRPr="00D47F59">
        <w:rPr>
          <w:b/>
          <w:lang w:val="es-AR"/>
        </w:rPr>
        <w:t>Figura II</w:t>
      </w:r>
      <w:r w:rsidR="00D47F59" w:rsidRPr="00D47F59">
        <w:rPr>
          <w:b/>
          <w:lang w:val="es-AR"/>
        </w:rPr>
        <w:t>I-</w:t>
      </w:r>
      <w:r w:rsidRPr="00D47F59">
        <w:rPr>
          <w:b/>
          <w:lang w:val="es-AR"/>
        </w:rPr>
        <w:t>3: Proceso de depuración propuesto</w:t>
      </w:r>
      <w:r w:rsidRPr="00573E67">
        <w:rPr>
          <w:b/>
          <w:sz w:val="22"/>
          <w:szCs w:val="22"/>
          <w:lang w:val="es-AR"/>
        </w:rPr>
        <w:t>.</w:t>
      </w:r>
    </w:p>
    <w:p w14:paraId="71FF38FF" w14:textId="77777777" w:rsidR="00A95DF9" w:rsidRPr="00573E67" w:rsidRDefault="00A95DF9" w:rsidP="00E634C6">
      <w:pPr>
        <w:keepNext/>
        <w:keepLines/>
        <w:spacing w:after="0" w:line="240" w:lineRule="auto"/>
      </w:pPr>
      <w:r w:rsidRPr="00573E67">
        <w:rPr>
          <w:noProof/>
          <w:lang w:eastAsia="es-AR"/>
        </w:rPr>
        <w:drawing>
          <wp:inline distT="0" distB="0" distL="0" distR="0" wp14:anchorId="4B0C1CCC" wp14:editId="2AB99913">
            <wp:extent cx="5353050" cy="3743325"/>
            <wp:effectExtent l="19050" t="19050" r="19050" b="28575"/>
            <wp:docPr id="13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53050" cy="3743325"/>
                    </a:xfrm>
                    <a:prstGeom prst="rect">
                      <a:avLst/>
                    </a:prstGeom>
                    <a:noFill/>
                    <a:ln w="6350" cmpd="sng">
                      <a:solidFill>
                        <a:srgbClr val="000000"/>
                      </a:solidFill>
                      <a:miter lim="800000"/>
                      <a:headEnd/>
                      <a:tailEnd/>
                    </a:ln>
                    <a:effectLst/>
                  </pic:spPr>
                </pic:pic>
              </a:graphicData>
            </a:graphic>
          </wp:inline>
        </w:drawing>
      </w:r>
    </w:p>
    <w:p w14:paraId="673A913C" w14:textId="77777777" w:rsidR="00A95DF9" w:rsidRPr="00E634C6" w:rsidRDefault="00A95DF9" w:rsidP="0087147E">
      <w:pPr>
        <w:spacing w:before="240" w:line="360" w:lineRule="auto"/>
        <w:rPr>
          <w:rFonts w:ascii="Arial" w:hAnsi="Arial" w:cs="Arial"/>
        </w:rPr>
      </w:pPr>
      <w:r w:rsidRPr="00E634C6">
        <w:rPr>
          <w:rFonts w:ascii="Arial" w:hAnsi="Arial" w:cs="Arial"/>
        </w:rPr>
        <w:t>Esta alternativa presenta ciertas desventajas técnicas, entre las que se destacan:</w:t>
      </w:r>
    </w:p>
    <w:p w14:paraId="4CE29BB7" w14:textId="77777777" w:rsidR="00A95DF9" w:rsidRPr="00E634C6" w:rsidRDefault="00A95DF9" w:rsidP="00C4100D">
      <w:pPr>
        <w:pStyle w:val="ListParagraph"/>
        <w:numPr>
          <w:ilvl w:val="0"/>
          <w:numId w:val="82"/>
        </w:numPr>
        <w:spacing w:before="240" w:after="60" w:line="360" w:lineRule="auto"/>
        <w:rPr>
          <w:rFonts w:ascii="Arial" w:hAnsi="Arial" w:cs="Arial"/>
        </w:rPr>
      </w:pPr>
      <w:r w:rsidRPr="00E634C6">
        <w:rPr>
          <w:rFonts w:ascii="Arial" w:hAnsi="Arial" w:cs="Arial"/>
        </w:rPr>
        <w:t>Los altos costos de la inversión inicial</w:t>
      </w:r>
    </w:p>
    <w:p w14:paraId="2C7C8B0E" w14:textId="77777777" w:rsidR="00A95DF9" w:rsidRPr="00E634C6" w:rsidRDefault="00A95DF9" w:rsidP="00C4100D">
      <w:pPr>
        <w:pStyle w:val="ListParagraph"/>
        <w:numPr>
          <w:ilvl w:val="0"/>
          <w:numId w:val="82"/>
        </w:numPr>
        <w:spacing w:before="240" w:after="60" w:line="360" w:lineRule="auto"/>
        <w:rPr>
          <w:rFonts w:ascii="Arial" w:hAnsi="Arial" w:cs="Arial"/>
        </w:rPr>
      </w:pPr>
      <w:r w:rsidRPr="00E634C6">
        <w:rPr>
          <w:rFonts w:ascii="Arial" w:hAnsi="Arial" w:cs="Arial"/>
        </w:rPr>
        <w:t>La alta dificultad operativa para el manejo de gran número de unidades funcionando simultáneamente.</w:t>
      </w:r>
    </w:p>
    <w:p w14:paraId="40EF6E2E" w14:textId="77777777" w:rsidR="00A95DF9" w:rsidRPr="00E634C6" w:rsidRDefault="00A95DF9" w:rsidP="00C4100D">
      <w:pPr>
        <w:pStyle w:val="ListParagraph"/>
        <w:numPr>
          <w:ilvl w:val="0"/>
          <w:numId w:val="82"/>
        </w:numPr>
        <w:spacing w:before="240" w:after="60" w:line="360" w:lineRule="auto"/>
        <w:rPr>
          <w:rFonts w:ascii="Arial" w:hAnsi="Arial" w:cs="Arial"/>
        </w:rPr>
      </w:pPr>
      <w:r w:rsidRPr="00E634C6">
        <w:rPr>
          <w:rFonts w:ascii="Arial" w:hAnsi="Arial" w:cs="Arial"/>
        </w:rPr>
        <w:t>El altísimo costo de energía que se estima triplicaría los costos estimados para el tratamiento por difusión.</w:t>
      </w:r>
    </w:p>
    <w:p w14:paraId="3C62A93D" w14:textId="77777777" w:rsidR="00A95DF9" w:rsidRPr="00E634C6" w:rsidRDefault="00A95DF9" w:rsidP="00C4100D">
      <w:pPr>
        <w:pStyle w:val="ListParagraph"/>
        <w:numPr>
          <w:ilvl w:val="0"/>
          <w:numId w:val="82"/>
        </w:numPr>
        <w:spacing w:before="240" w:after="60" w:line="360" w:lineRule="auto"/>
        <w:rPr>
          <w:rFonts w:ascii="Arial" w:hAnsi="Arial" w:cs="Arial"/>
        </w:rPr>
      </w:pPr>
      <w:r w:rsidRPr="00E634C6">
        <w:rPr>
          <w:rFonts w:ascii="Arial" w:hAnsi="Arial" w:cs="Arial"/>
        </w:rPr>
        <w:t>Los altos costos de disposición de barros estabilizados</w:t>
      </w:r>
    </w:p>
    <w:p w14:paraId="30034A6D" w14:textId="77777777" w:rsidR="00A95DF9" w:rsidRPr="00E634C6" w:rsidRDefault="00A95DF9" w:rsidP="0087147E">
      <w:pPr>
        <w:pStyle w:val="ListParagraph"/>
        <w:spacing w:before="240" w:after="60" w:line="360" w:lineRule="auto"/>
        <w:ind w:left="0"/>
        <w:rPr>
          <w:rFonts w:ascii="Arial" w:hAnsi="Arial" w:cs="Arial"/>
        </w:rPr>
      </w:pPr>
    </w:p>
    <w:p w14:paraId="094AF318" w14:textId="69DAE63D" w:rsidR="00A95DF9" w:rsidRPr="00E634C6" w:rsidRDefault="00A95DF9" w:rsidP="0087147E">
      <w:pPr>
        <w:pStyle w:val="ListParagraph"/>
        <w:spacing w:before="240" w:after="60" w:line="360" w:lineRule="auto"/>
        <w:ind w:left="0"/>
        <w:rPr>
          <w:rFonts w:ascii="Arial" w:hAnsi="Arial" w:cs="Arial"/>
        </w:rPr>
      </w:pPr>
      <w:r w:rsidRPr="00E634C6">
        <w:rPr>
          <w:rFonts w:ascii="Arial" w:hAnsi="Arial" w:cs="Arial"/>
        </w:rPr>
        <w:t xml:space="preserve">El detalle de las obras necesarias se presenta en el </w:t>
      </w:r>
      <w:r w:rsidRPr="0059118E">
        <w:rPr>
          <w:rFonts w:ascii="Arial" w:hAnsi="Arial" w:cs="Arial"/>
        </w:rPr>
        <w:t xml:space="preserve">Anexo </w:t>
      </w:r>
      <w:r w:rsidR="00E634C6" w:rsidRPr="0059118E">
        <w:rPr>
          <w:rFonts w:ascii="Arial" w:hAnsi="Arial" w:cs="Arial"/>
        </w:rPr>
        <w:t>6</w:t>
      </w:r>
      <w:r w:rsidRPr="0059118E">
        <w:rPr>
          <w:rFonts w:ascii="Arial" w:hAnsi="Arial" w:cs="Arial"/>
        </w:rPr>
        <w:t>.</w:t>
      </w:r>
    </w:p>
    <w:p w14:paraId="1B5C9BBD" w14:textId="77777777" w:rsidR="00A95DF9" w:rsidRPr="00573E67" w:rsidRDefault="00A95DF9" w:rsidP="0087147E">
      <w:pPr>
        <w:spacing w:before="240" w:line="360" w:lineRule="auto"/>
      </w:pPr>
    </w:p>
    <w:p w14:paraId="4ACF6818" w14:textId="77777777" w:rsidR="00A95DF9" w:rsidRPr="00573E67" w:rsidRDefault="00A95DF9" w:rsidP="0087147E">
      <w:pPr>
        <w:spacing w:before="240" w:line="360" w:lineRule="auto"/>
      </w:pPr>
      <w:r w:rsidRPr="00573E67">
        <w:br w:type="page"/>
      </w:r>
    </w:p>
    <w:p w14:paraId="11D930AC" w14:textId="1728D1FB" w:rsidR="00A95DF9" w:rsidRPr="00573E67" w:rsidRDefault="00A95DF9" w:rsidP="00331529">
      <w:pPr>
        <w:pStyle w:val="Heading1"/>
      </w:pPr>
      <w:bookmarkStart w:id="327" w:name="_Toc483227442"/>
      <w:bookmarkStart w:id="328" w:name="_Toc485200201"/>
      <w:r>
        <w:t xml:space="preserve">Capítulo </w:t>
      </w:r>
      <w:r w:rsidR="00331529">
        <w:t>IV</w:t>
      </w:r>
      <w:r w:rsidRPr="00573E67">
        <w:t xml:space="preserve">: Análisis de </w:t>
      </w:r>
      <w:bookmarkEnd w:id="327"/>
      <w:r w:rsidR="00684EE8">
        <w:t>Costo Efectividad</w:t>
      </w:r>
      <w:bookmarkEnd w:id="328"/>
    </w:p>
    <w:p w14:paraId="542CE2B1" w14:textId="77777777" w:rsidR="00A95DF9" w:rsidRPr="00331529" w:rsidRDefault="00A95DF9" w:rsidP="0087147E">
      <w:pPr>
        <w:spacing w:before="240" w:line="360" w:lineRule="auto"/>
        <w:rPr>
          <w:rFonts w:ascii="Arial" w:hAnsi="Arial" w:cs="Arial"/>
        </w:rPr>
      </w:pPr>
    </w:p>
    <w:p w14:paraId="59018095" w14:textId="59C9B30D" w:rsidR="00A95DF9" w:rsidRPr="00331529" w:rsidRDefault="00A95DF9" w:rsidP="002B0107">
      <w:pPr>
        <w:pStyle w:val="Heading2"/>
        <w:numPr>
          <w:ilvl w:val="0"/>
          <w:numId w:val="100"/>
        </w:numPr>
      </w:pPr>
      <w:bookmarkStart w:id="329" w:name="_Toc483227443"/>
      <w:bookmarkStart w:id="330" w:name="_Toc485200202"/>
      <w:r w:rsidRPr="00331529">
        <w:t>Análisis de alternativas</w:t>
      </w:r>
      <w:bookmarkEnd w:id="329"/>
      <w:bookmarkEnd w:id="330"/>
    </w:p>
    <w:p w14:paraId="5335DBD2" w14:textId="25A21692" w:rsidR="00A95DF9" w:rsidRPr="00331529" w:rsidRDefault="00A95DF9" w:rsidP="00B3473B">
      <w:pPr>
        <w:spacing w:after="100" w:afterAutospacing="1" w:line="240" w:lineRule="auto"/>
        <w:rPr>
          <w:rFonts w:ascii="Arial" w:hAnsi="Arial" w:cs="Arial"/>
        </w:rPr>
      </w:pPr>
      <w:r w:rsidRPr="00331529">
        <w:rPr>
          <w:rFonts w:ascii="Arial" w:hAnsi="Arial" w:cs="Arial"/>
        </w:rPr>
        <w:t>En este capítulo se realiza el análisis de alternativas para el pro</w:t>
      </w:r>
      <w:r w:rsidR="00331529" w:rsidRPr="00331529">
        <w:rPr>
          <w:rFonts w:ascii="Arial" w:hAnsi="Arial" w:cs="Arial"/>
        </w:rPr>
        <w:t xml:space="preserve">yecto del Emisario Berazategui. </w:t>
      </w:r>
      <w:r w:rsidRPr="00331529">
        <w:rPr>
          <w:rFonts w:ascii="Arial" w:hAnsi="Arial" w:cs="Arial"/>
        </w:rPr>
        <w:t xml:space="preserve">El análisis económico de las alternativas utiliza el criterio de “mínimo costo”. </w:t>
      </w:r>
      <w:r w:rsidR="00331529" w:rsidRPr="00331529">
        <w:rPr>
          <w:rFonts w:ascii="Arial" w:hAnsi="Arial" w:cs="Arial"/>
        </w:rPr>
        <w:t xml:space="preserve"> </w:t>
      </w:r>
      <w:r w:rsidRPr="00331529">
        <w:rPr>
          <w:rFonts w:ascii="Arial" w:hAnsi="Arial" w:cs="Arial"/>
        </w:rPr>
        <w:t>El objetivo es comparar alternativas para el proyecto que generan similares beneficios.</w:t>
      </w:r>
      <w:r w:rsidR="00331529" w:rsidRPr="00331529">
        <w:rPr>
          <w:rFonts w:ascii="Arial" w:hAnsi="Arial" w:cs="Arial"/>
        </w:rPr>
        <w:t xml:space="preserve"> </w:t>
      </w:r>
      <w:r w:rsidRPr="00331529">
        <w:rPr>
          <w:rFonts w:ascii="Arial" w:hAnsi="Arial" w:cs="Arial"/>
        </w:rPr>
        <w:t xml:space="preserve">Así, si los beneficios son parecidos, las alternativas se diferenciarán sólo en sus costos, por lo que se podrá elegir aquella que permite alcanzar el objetivo deseado con el menor gasto (uso) de recursos. </w:t>
      </w:r>
    </w:p>
    <w:p w14:paraId="543EF249" w14:textId="77777777" w:rsidR="00A95DF9" w:rsidRPr="00331529" w:rsidRDefault="00A95DF9" w:rsidP="00B3473B">
      <w:pPr>
        <w:spacing w:after="100" w:afterAutospacing="1" w:line="240" w:lineRule="auto"/>
        <w:rPr>
          <w:rFonts w:ascii="Arial" w:hAnsi="Arial" w:cs="Arial"/>
        </w:rPr>
      </w:pPr>
      <w:r w:rsidRPr="00331529">
        <w:rPr>
          <w:rFonts w:ascii="Arial" w:hAnsi="Arial" w:cs="Arial"/>
        </w:rPr>
        <w:t xml:space="preserve">Los costos de las distintas alternativas pueden ocurrir en distintos momentos del tiempo, por lo que la comparación debe realizarse en valor actual.  </w:t>
      </w:r>
    </w:p>
    <w:p w14:paraId="0DE1C30C" w14:textId="77777777" w:rsidR="00A95DF9" w:rsidRPr="00331529" w:rsidRDefault="00A95DF9" w:rsidP="0087147E">
      <w:pPr>
        <w:spacing w:before="240" w:line="360" w:lineRule="auto"/>
        <w:rPr>
          <w:rFonts w:ascii="Arial" w:hAnsi="Arial" w:cs="Arial"/>
        </w:rPr>
      </w:pPr>
      <w:r w:rsidRPr="00331529">
        <w:rPr>
          <w:rFonts w:ascii="Arial" w:hAnsi="Arial" w:cs="Arial"/>
        </w:rPr>
        <w:t>Para ello debe aplicarse la siguiente fórmula:</w:t>
      </w:r>
    </w:p>
    <w:p w14:paraId="290465BF" w14:textId="77777777" w:rsidR="00A95DF9" w:rsidRPr="00331529" w:rsidRDefault="00A95DF9" w:rsidP="0087147E">
      <w:pPr>
        <w:spacing w:before="240" w:line="360" w:lineRule="auto"/>
        <w:jc w:val="left"/>
        <w:rPr>
          <w:rFonts w:ascii="Arial" w:hAnsi="Arial" w:cs="Arial"/>
        </w:rPr>
      </w:pPr>
      <w:r w:rsidRPr="00331529">
        <w:rPr>
          <w:rFonts w:ascii="Arial" w:hAnsi="Arial" w:cs="Arial"/>
          <w:position w:val="-30"/>
        </w:rPr>
        <w:object w:dxaOrig="1740" w:dyaOrig="700" w14:anchorId="7C412164">
          <v:shape id="_x0000_i1027" type="#_x0000_t75" style="width:107.4pt;height:42pt" o:ole="">
            <v:imagedata r:id="rId142" o:title=""/>
          </v:shape>
          <o:OLEObject Type="Embed" ProgID="Equation.3" ShapeID="_x0000_i1027" DrawAspect="Content" ObjectID="_1560797562" r:id="rId143"/>
        </w:object>
      </w:r>
    </w:p>
    <w:p w14:paraId="28C027AE" w14:textId="77777777" w:rsidR="00A95DF9" w:rsidRPr="00331529" w:rsidRDefault="00A95DF9" w:rsidP="0087147E">
      <w:pPr>
        <w:spacing w:before="240" w:line="360" w:lineRule="auto"/>
        <w:rPr>
          <w:rFonts w:ascii="Arial" w:hAnsi="Arial" w:cs="Arial"/>
        </w:rPr>
      </w:pPr>
      <w:r w:rsidRPr="00331529">
        <w:rPr>
          <w:rFonts w:ascii="Arial" w:hAnsi="Arial" w:cs="Arial"/>
        </w:rPr>
        <w:t xml:space="preserve">Dónde: </w:t>
      </w:r>
    </w:p>
    <w:p w14:paraId="6EBF0923" w14:textId="77777777" w:rsidR="00A95DF9" w:rsidRPr="00331529" w:rsidRDefault="00A95DF9" w:rsidP="00FA7442">
      <w:pPr>
        <w:spacing w:after="0" w:line="240" w:lineRule="auto"/>
        <w:ind w:left="706"/>
        <w:rPr>
          <w:rFonts w:ascii="Arial" w:hAnsi="Arial" w:cs="Arial"/>
        </w:rPr>
      </w:pPr>
      <w:r w:rsidRPr="00331529">
        <w:rPr>
          <w:rFonts w:ascii="Arial" w:hAnsi="Arial" w:cs="Arial"/>
        </w:rPr>
        <w:t>VAC  =  Valor actual de los costos</w:t>
      </w:r>
    </w:p>
    <w:p w14:paraId="31CE7622" w14:textId="77777777" w:rsidR="00A95DF9" w:rsidRPr="00331529" w:rsidRDefault="00A95DF9" w:rsidP="00FA7442">
      <w:pPr>
        <w:spacing w:after="0" w:line="240" w:lineRule="auto"/>
        <w:ind w:left="706"/>
        <w:rPr>
          <w:rFonts w:ascii="Arial" w:hAnsi="Arial" w:cs="Arial"/>
        </w:rPr>
      </w:pPr>
      <w:r w:rsidRPr="00331529">
        <w:rPr>
          <w:rFonts w:ascii="Arial" w:hAnsi="Arial" w:cs="Arial"/>
        </w:rPr>
        <w:t>Ci      =  Costos del proyecto en el año</w:t>
      </w:r>
    </w:p>
    <w:p w14:paraId="5896B7EA" w14:textId="77777777" w:rsidR="00A95DF9" w:rsidRPr="00331529" w:rsidRDefault="00A95DF9" w:rsidP="00FA7442">
      <w:pPr>
        <w:spacing w:after="0" w:line="240" w:lineRule="auto"/>
        <w:ind w:left="706"/>
        <w:rPr>
          <w:rFonts w:ascii="Arial" w:hAnsi="Arial" w:cs="Arial"/>
        </w:rPr>
      </w:pPr>
      <w:r w:rsidRPr="00331529">
        <w:rPr>
          <w:rFonts w:ascii="Arial" w:hAnsi="Arial" w:cs="Arial"/>
        </w:rPr>
        <w:t>r        =  Tasa de descuento</w:t>
      </w:r>
    </w:p>
    <w:p w14:paraId="291A6360" w14:textId="77777777" w:rsidR="00A95DF9" w:rsidRPr="00331529" w:rsidRDefault="00A95DF9" w:rsidP="00FA7442">
      <w:pPr>
        <w:spacing w:after="0" w:line="240" w:lineRule="auto"/>
        <w:ind w:left="706"/>
        <w:rPr>
          <w:rFonts w:ascii="Arial" w:hAnsi="Arial" w:cs="Arial"/>
        </w:rPr>
      </w:pPr>
      <w:r w:rsidRPr="00331529">
        <w:rPr>
          <w:rFonts w:ascii="Arial" w:hAnsi="Arial" w:cs="Arial"/>
        </w:rPr>
        <w:t>i        =  Número de años</w:t>
      </w:r>
    </w:p>
    <w:p w14:paraId="40D649D8" w14:textId="77777777" w:rsidR="00B3473B" w:rsidRDefault="00B3473B" w:rsidP="00B3473B">
      <w:pPr>
        <w:spacing w:after="100" w:afterAutospacing="1" w:line="240" w:lineRule="auto"/>
        <w:rPr>
          <w:rFonts w:ascii="Arial" w:hAnsi="Arial" w:cs="Arial"/>
        </w:rPr>
      </w:pPr>
    </w:p>
    <w:p w14:paraId="74632BC5" w14:textId="0B4DC048" w:rsidR="00A95DF9" w:rsidRPr="00331529" w:rsidRDefault="00A95DF9" w:rsidP="00B3473B">
      <w:pPr>
        <w:spacing w:after="100" w:afterAutospacing="1" w:line="240" w:lineRule="auto"/>
        <w:rPr>
          <w:rFonts w:ascii="Arial" w:hAnsi="Arial" w:cs="Arial"/>
        </w:rPr>
      </w:pPr>
      <w:r w:rsidRPr="00331529">
        <w:rPr>
          <w:rFonts w:ascii="Arial" w:hAnsi="Arial" w:cs="Arial"/>
        </w:rPr>
        <w:t xml:space="preserve">Otra forma de comparar alternativas que generan beneficios similares es aplicando el cálculo del Costo Anual Equivalente. </w:t>
      </w:r>
    </w:p>
    <w:p w14:paraId="1B9312DD" w14:textId="77777777" w:rsidR="00A95DF9" w:rsidRPr="00331529" w:rsidRDefault="00A95DF9" w:rsidP="00B3473B">
      <w:pPr>
        <w:spacing w:after="100" w:afterAutospacing="1" w:line="240" w:lineRule="auto"/>
        <w:rPr>
          <w:rFonts w:ascii="Arial" w:hAnsi="Arial" w:cs="Arial"/>
        </w:rPr>
      </w:pPr>
      <w:r w:rsidRPr="00331529">
        <w:rPr>
          <w:rFonts w:ascii="Arial" w:hAnsi="Arial" w:cs="Arial"/>
        </w:rPr>
        <w:t xml:space="preserve">Esta forma de cálculo consiste en expresar todos los componentes del proyecto en términos de una cuota anual, cuyo valor actualizado es igual al VAC de los costos del proyecto. </w:t>
      </w:r>
    </w:p>
    <w:p w14:paraId="74476A25" w14:textId="77777777" w:rsidR="00A95DF9" w:rsidRPr="00331529" w:rsidRDefault="00A95DF9" w:rsidP="0087147E">
      <w:pPr>
        <w:spacing w:before="240" w:line="360" w:lineRule="auto"/>
        <w:rPr>
          <w:rFonts w:ascii="Arial" w:hAnsi="Arial" w:cs="Arial"/>
        </w:rPr>
      </w:pPr>
      <w:r w:rsidRPr="00331529">
        <w:rPr>
          <w:rFonts w:ascii="Arial" w:hAnsi="Arial" w:cs="Arial"/>
        </w:rPr>
        <w:t>Para su cálculo se aplica la siguiente fórmula:</w:t>
      </w:r>
    </w:p>
    <w:p w14:paraId="72C000AE" w14:textId="77777777" w:rsidR="00A95DF9" w:rsidRPr="00331529" w:rsidRDefault="00A95DF9" w:rsidP="0087147E">
      <w:pPr>
        <w:spacing w:before="240" w:line="360" w:lineRule="auto"/>
        <w:jc w:val="left"/>
        <w:rPr>
          <w:rFonts w:ascii="Arial" w:hAnsi="Arial" w:cs="Arial"/>
        </w:rPr>
      </w:pPr>
      <w:r w:rsidRPr="00331529">
        <w:rPr>
          <w:rFonts w:ascii="Arial" w:hAnsi="Arial" w:cs="Arial"/>
          <w:position w:val="-6"/>
        </w:rPr>
        <w:object w:dxaOrig="1880" w:dyaOrig="279" w14:anchorId="69AAF40F">
          <v:shape id="_x0000_i1028" type="#_x0000_t75" style="width:114pt;height:17.4pt" o:ole="">
            <v:imagedata r:id="rId144" o:title=""/>
          </v:shape>
          <o:OLEObject Type="Embed" ProgID="Equation.3" ShapeID="_x0000_i1028" DrawAspect="Content" ObjectID="_1560797563" r:id="rId145"/>
        </w:object>
      </w:r>
    </w:p>
    <w:p w14:paraId="4AE6FB23" w14:textId="77777777" w:rsidR="00A95DF9" w:rsidRPr="00331529" w:rsidRDefault="00A95DF9" w:rsidP="0087147E">
      <w:pPr>
        <w:spacing w:before="240" w:line="360" w:lineRule="auto"/>
        <w:rPr>
          <w:rFonts w:ascii="Arial" w:hAnsi="Arial" w:cs="Arial"/>
        </w:rPr>
      </w:pPr>
      <w:r w:rsidRPr="00331529">
        <w:rPr>
          <w:rFonts w:ascii="Arial" w:hAnsi="Arial" w:cs="Arial"/>
        </w:rPr>
        <w:t xml:space="preserve">Dónde: </w:t>
      </w:r>
    </w:p>
    <w:p w14:paraId="1A3D4529" w14:textId="77777777" w:rsidR="00A95DF9" w:rsidRPr="00331529" w:rsidRDefault="00A95DF9" w:rsidP="00FA7442">
      <w:pPr>
        <w:spacing w:after="0" w:line="240" w:lineRule="auto"/>
        <w:ind w:left="708"/>
        <w:rPr>
          <w:rFonts w:ascii="Arial" w:hAnsi="Arial" w:cs="Arial"/>
        </w:rPr>
      </w:pPr>
      <w:r w:rsidRPr="00331529">
        <w:rPr>
          <w:rFonts w:ascii="Arial" w:hAnsi="Arial" w:cs="Arial"/>
        </w:rPr>
        <w:t>CAE  =  Costo Anual Equivalente</w:t>
      </w:r>
    </w:p>
    <w:p w14:paraId="3B92E866" w14:textId="77777777" w:rsidR="00A95DF9" w:rsidRPr="00331529" w:rsidRDefault="00A95DF9" w:rsidP="00FA7442">
      <w:pPr>
        <w:spacing w:after="0" w:line="240" w:lineRule="auto"/>
        <w:ind w:left="708"/>
        <w:rPr>
          <w:rFonts w:ascii="Arial" w:hAnsi="Arial" w:cs="Arial"/>
        </w:rPr>
      </w:pPr>
      <w:r w:rsidRPr="00331529">
        <w:rPr>
          <w:rFonts w:ascii="Arial" w:hAnsi="Arial" w:cs="Arial"/>
        </w:rPr>
        <w:t>VAC  =  Valor Actual de los Costos del Proyecto</w:t>
      </w:r>
    </w:p>
    <w:p w14:paraId="0DEA54DE" w14:textId="77777777" w:rsidR="00A95DF9" w:rsidRPr="00331529" w:rsidRDefault="00A95DF9" w:rsidP="00FA7442">
      <w:pPr>
        <w:spacing w:after="0" w:line="240" w:lineRule="auto"/>
        <w:ind w:left="709"/>
        <w:rPr>
          <w:rFonts w:ascii="Arial" w:hAnsi="Arial" w:cs="Arial"/>
        </w:rPr>
      </w:pPr>
      <w:r w:rsidRPr="00331529">
        <w:rPr>
          <w:rFonts w:ascii="Arial" w:hAnsi="Arial" w:cs="Arial"/>
        </w:rPr>
        <w:t>FRC  =  Factor de Recuperación del Capital</w:t>
      </w:r>
      <w:r w:rsidRPr="00331529">
        <w:rPr>
          <w:rStyle w:val="FootnoteReference"/>
          <w:rFonts w:ascii="Arial" w:hAnsi="Arial" w:cs="Arial"/>
        </w:rPr>
        <w:footnoteReference w:id="27"/>
      </w:r>
    </w:p>
    <w:p w14:paraId="71C68AE2" w14:textId="77777777" w:rsidR="00A95DF9" w:rsidRPr="00331529" w:rsidRDefault="00A95DF9" w:rsidP="0087147E">
      <w:pPr>
        <w:spacing w:line="360" w:lineRule="auto"/>
        <w:rPr>
          <w:rFonts w:ascii="Arial" w:hAnsi="Arial" w:cs="Arial"/>
        </w:rPr>
      </w:pPr>
    </w:p>
    <w:p w14:paraId="52354B83" w14:textId="2ACB0F99" w:rsidR="00A5042E" w:rsidRPr="00A5042E" w:rsidRDefault="00A5042E" w:rsidP="00A5042E">
      <w:pPr>
        <w:spacing w:line="240" w:lineRule="auto"/>
        <w:rPr>
          <w:rFonts w:ascii="Arial" w:hAnsi="Arial" w:cs="Arial"/>
        </w:rPr>
      </w:pPr>
      <w:r w:rsidRPr="00A5042E">
        <w:rPr>
          <w:rFonts w:ascii="Arial" w:hAnsi="Arial" w:cs="Arial"/>
        </w:rPr>
        <w:t xml:space="preserve">Finalmente, otro de los indicadores utilizados para evaluar la minimización de costos es el conocido como “Costo Medio Incremental de largo plazo” (CMI). Este indicador es una aproximación al costo marginal de largo plazo de una unidad de producto generado por el proyecto. En este caso el proyecto permite disponer efluentes cloacales tratados en el Río </w:t>
      </w:r>
      <w:r>
        <w:rPr>
          <w:rFonts w:ascii="Arial" w:hAnsi="Arial" w:cs="Arial"/>
        </w:rPr>
        <w:t>de La Plata</w:t>
      </w:r>
      <w:r w:rsidRPr="00A5042E">
        <w:rPr>
          <w:rFonts w:ascii="Arial" w:hAnsi="Arial" w:cs="Arial"/>
        </w:rPr>
        <w:t>, por lo que la unidad de producto considerada será el m</w:t>
      </w:r>
      <w:r w:rsidRPr="00A5042E">
        <w:rPr>
          <w:rFonts w:ascii="Arial" w:hAnsi="Arial" w:cs="Arial"/>
          <w:vertAlign w:val="superscript"/>
        </w:rPr>
        <w:t>3</w:t>
      </w:r>
      <w:r w:rsidRPr="00A5042E">
        <w:rPr>
          <w:rFonts w:ascii="Arial" w:hAnsi="Arial" w:cs="Arial"/>
        </w:rPr>
        <w:t xml:space="preserve"> de tales efluentes.</w:t>
      </w:r>
    </w:p>
    <w:p w14:paraId="619ED1CE" w14:textId="77777777" w:rsidR="00A5042E" w:rsidRPr="00A5042E" w:rsidRDefault="00A5042E" w:rsidP="00A5042E">
      <w:pPr>
        <w:spacing w:line="240" w:lineRule="auto"/>
        <w:rPr>
          <w:rFonts w:ascii="Arial" w:hAnsi="Arial" w:cs="Arial"/>
        </w:rPr>
      </w:pPr>
      <w:r w:rsidRPr="00A5042E">
        <w:rPr>
          <w:rFonts w:ascii="Arial" w:hAnsi="Arial" w:cs="Arial"/>
        </w:rPr>
        <w:t>El cálculo del CMI se realizará aplicando la siguiente fórmula:</w:t>
      </w:r>
    </w:p>
    <w:p w14:paraId="24E3B749" w14:textId="77777777" w:rsidR="00A5042E" w:rsidRPr="00A5042E" w:rsidRDefault="00A5042E" w:rsidP="00A5042E">
      <w:pPr>
        <w:spacing w:line="240" w:lineRule="auto"/>
        <w:rPr>
          <w:rFonts w:ascii="Arial" w:hAnsi="Arial" w:cs="Arial"/>
        </w:rPr>
      </w:pPr>
    </w:p>
    <w:p w14:paraId="4EFB3121" w14:textId="77777777" w:rsidR="00A5042E" w:rsidRPr="00A5042E" w:rsidRDefault="00A5042E" w:rsidP="00A5042E">
      <w:pPr>
        <w:spacing w:line="240" w:lineRule="auto"/>
        <w:rPr>
          <w:rFonts w:ascii="Arial" w:hAnsi="Arial" w:cs="Arial"/>
        </w:rPr>
      </w:pPr>
      <w:r w:rsidRPr="00A5042E">
        <w:rPr>
          <w:rFonts w:ascii="Arial" w:hAnsi="Arial" w:cs="Arial"/>
          <w:position w:val="-24"/>
        </w:rPr>
        <w:object w:dxaOrig="1380" w:dyaOrig="620" w14:anchorId="33FB7E9E">
          <v:shape id="_x0000_i1029" type="#_x0000_t75" style="width:69pt;height:30.6pt" o:ole="">
            <v:imagedata r:id="rId146" o:title=""/>
          </v:shape>
          <o:OLEObject Type="Embed" ProgID="Equation.3" ShapeID="_x0000_i1029" DrawAspect="Content" ObjectID="_1560797564" r:id="rId147"/>
        </w:object>
      </w:r>
    </w:p>
    <w:p w14:paraId="15988F04" w14:textId="77777777" w:rsidR="00A5042E" w:rsidRPr="00A5042E" w:rsidRDefault="00A5042E" w:rsidP="00A5042E">
      <w:pPr>
        <w:spacing w:line="240" w:lineRule="auto"/>
        <w:rPr>
          <w:rFonts w:ascii="Arial" w:hAnsi="Arial" w:cs="Arial"/>
        </w:rPr>
      </w:pPr>
      <w:r w:rsidRPr="00A5042E">
        <w:rPr>
          <w:rFonts w:ascii="Arial" w:hAnsi="Arial" w:cs="Arial"/>
        </w:rPr>
        <w:t xml:space="preserve">Dónde: </w:t>
      </w:r>
    </w:p>
    <w:p w14:paraId="18B33FA2" w14:textId="77777777" w:rsidR="00A5042E" w:rsidRPr="00A5042E" w:rsidRDefault="00A5042E" w:rsidP="00A5042E">
      <w:pPr>
        <w:spacing w:line="240" w:lineRule="auto"/>
        <w:ind w:left="708"/>
        <w:rPr>
          <w:rFonts w:ascii="Arial" w:hAnsi="Arial" w:cs="Arial"/>
        </w:rPr>
      </w:pPr>
      <w:r w:rsidRPr="00A5042E">
        <w:rPr>
          <w:rFonts w:ascii="Arial" w:hAnsi="Arial" w:cs="Arial"/>
        </w:rPr>
        <w:t>VAC  =  Valor Actual de los Costos del Proyecto.</w:t>
      </w:r>
    </w:p>
    <w:p w14:paraId="2F9CDFA7" w14:textId="77777777" w:rsidR="00A5042E" w:rsidRPr="00A5042E" w:rsidRDefault="00A5042E" w:rsidP="00A5042E">
      <w:pPr>
        <w:spacing w:line="240" w:lineRule="auto"/>
        <w:ind w:left="708"/>
        <w:rPr>
          <w:rFonts w:ascii="Arial" w:hAnsi="Arial" w:cs="Arial"/>
        </w:rPr>
      </w:pPr>
      <w:r w:rsidRPr="00A5042E">
        <w:rPr>
          <w:rFonts w:ascii="Arial" w:hAnsi="Arial" w:cs="Arial"/>
        </w:rPr>
        <w:t>VAm</w:t>
      </w:r>
      <w:r w:rsidRPr="00A5042E">
        <w:rPr>
          <w:rFonts w:ascii="Arial" w:hAnsi="Arial" w:cs="Arial"/>
          <w:vertAlign w:val="superscript"/>
        </w:rPr>
        <w:t>3</w:t>
      </w:r>
      <w:r w:rsidRPr="00A5042E">
        <w:rPr>
          <w:rFonts w:ascii="Arial" w:hAnsi="Arial" w:cs="Arial"/>
        </w:rPr>
        <w:t>= Valor actual de los m3 de efluentes.</w:t>
      </w:r>
    </w:p>
    <w:p w14:paraId="303CCD2E" w14:textId="77777777" w:rsidR="00A5042E" w:rsidRPr="00A5042E" w:rsidRDefault="00A5042E" w:rsidP="00A5042E">
      <w:pPr>
        <w:pStyle w:val="Header"/>
        <w:rPr>
          <w:rFonts w:ascii="Arial" w:hAnsi="Arial" w:cs="Arial"/>
        </w:rPr>
      </w:pPr>
    </w:p>
    <w:p w14:paraId="27982A70" w14:textId="77777777" w:rsidR="00A5042E" w:rsidRPr="00A5042E" w:rsidRDefault="00A5042E" w:rsidP="00A5042E">
      <w:pPr>
        <w:spacing w:line="240" w:lineRule="auto"/>
        <w:rPr>
          <w:rFonts w:ascii="Arial" w:hAnsi="Arial" w:cs="Arial"/>
        </w:rPr>
      </w:pPr>
      <w:r w:rsidRPr="00A5042E">
        <w:rPr>
          <w:rFonts w:ascii="Arial" w:hAnsi="Arial" w:cs="Arial"/>
        </w:rPr>
        <w:t>El análisis de mínimo costo realiza la comparación de las alternativas desde un punto de vista estrictamente técnico – económico considerando únicamente los costos asociados a cada una de ellas a lo largo del tiempo.</w:t>
      </w:r>
    </w:p>
    <w:p w14:paraId="13A0E488" w14:textId="77777777" w:rsidR="00A5042E" w:rsidRPr="00A5042E" w:rsidRDefault="00A5042E" w:rsidP="00A5042E">
      <w:pPr>
        <w:spacing w:line="240" w:lineRule="auto"/>
        <w:rPr>
          <w:rFonts w:ascii="Arial" w:hAnsi="Arial" w:cs="Arial"/>
        </w:rPr>
      </w:pPr>
      <w:r w:rsidRPr="00A5042E">
        <w:rPr>
          <w:rFonts w:ascii="Arial" w:hAnsi="Arial" w:cs="Arial"/>
        </w:rPr>
        <w:t>Dado que desde un punto de vista social lo relevante es el uso / generación de recursos reales de la economía, el análisis se desarrolla tras corregir los costos a sus precios sociales. Para ello se recurre a la transformación de precios de mercado a precios de cuenta a partir de las razones de precio de cuenta (RPC). En anexo 1 se presentan los criterios y detalle de cálculo de las RPC utilizadas.</w:t>
      </w:r>
    </w:p>
    <w:p w14:paraId="68CAEFD1" w14:textId="482130D7" w:rsidR="00A95DF9" w:rsidRPr="00331529" w:rsidRDefault="00A95DF9" w:rsidP="00B3473B">
      <w:pPr>
        <w:spacing w:after="100" w:afterAutospacing="1" w:line="240" w:lineRule="auto"/>
        <w:rPr>
          <w:rFonts w:ascii="Arial" w:hAnsi="Arial" w:cs="Arial"/>
        </w:rPr>
      </w:pPr>
      <w:r w:rsidRPr="00331529">
        <w:rPr>
          <w:rFonts w:ascii="Arial" w:hAnsi="Arial" w:cs="Arial"/>
        </w:rPr>
        <w:t xml:space="preserve">A </w:t>
      </w:r>
      <w:r w:rsidR="00A5042E" w:rsidRPr="00331529">
        <w:rPr>
          <w:rFonts w:ascii="Arial" w:hAnsi="Arial" w:cs="Arial"/>
        </w:rPr>
        <w:t>continuación,</w:t>
      </w:r>
      <w:r w:rsidRPr="00331529">
        <w:rPr>
          <w:rFonts w:ascii="Arial" w:hAnsi="Arial" w:cs="Arial"/>
        </w:rPr>
        <w:t xml:space="preserve"> se presentan los criterios de evaluación, la descripción de alternativas analizadas y el análisis de los costos y su transformación a precios de cuenta.</w:t>
      </w:r>
    </w:p>
    <w:p w14:paraId="4C5F1E89" w14:textId="77777777" w:rsidR="00A95DF9" w:rsidRPr="00331529" w:rsidRDefault="00A95DF9" w:rsidP="0087147E">
      <w:pPr>
        <w:spacing w:line="360" w:lineRule="auto"/>
        <w:rPr>
          <w:rFonts w:ascii="Arial" w:hAnsi="Arial" w:cs="Arial"/>
        </w:rPr>
      </w:pPr>
    </w:p>
    <w:p w14:paraId="7823400A" w14:textId="62CCC00D" w:rsidR="00A95DF9" w:rsidRPr="00331529" w:rsidRDefault="00A95DF9" w:rsidP="002B0107">
      <w:pPr>
        <w:pStyle w:val="Heading2"/>
        <w:numPr>
          <w:ilvl w:val="0"/>
          <w:numId w:val="100"/>
        </w:numPr>
      </w:pPr>
      <w:bookmarkStart w:id="331" w:name="_Toc483227444"/>
      <w:bookmarkStart w:id="332" w:name="_Toc485200203"/>
      <w:r w:rsidRPr="00331529">
        <w:t>Criterios de evaluación</w:t>
      </w:r>
      <w:bookmarkEnd w:id="331"/>
      <w:bookmarkEnd w:id="332"/>
      <w:r w:rsidRPr="00331529">
        <w:t xml:space="preserve"> </w:t>
      </w:r>
    </w:p>
    <w:p w14:paraId="7B5CAA67" w14:textId="77777777" w:rsidR="00A95DF9" w:rsidRPr="00331529" w:rsidRDefault="00A95DF9" w:rsidP="00B3473B">
      <w:pPr>
        <w:spacing w:after="100" w:afterAutospacing="1" w:line="240" w:lineRule="auto"/>
        <w:rPr>
          <w:rFonts w:ascii="Arial" w:hAnsi="Arial" w:cs="Arial"/>
        </w:rPr>
      </w:pPr>
      <w:r w:rsidRPr="00331529">
        <w:rPr>
          <w:rFonts w:ascii="Arial" w:hAnsi="Arial" w:cs="Arial"/>
        </w:rPr>
        <w:t>A fin de evaluar los costos de las alternativas analizadas según los indicadores presentados en la introducción se adoptaron los siguientes criterios:</w:t>
      </w:r>
    </w:p>
    <w:p w14:paraId="2D022B7A" w14:textId="77777777" w:rsidR="00A95DF9" w:rsidRPr="00331529" w:rsidRDefault="00A95DF9" w:rsidP="0087147E">
      <w:pPr>
        <w:spacing w:before="240" w:line="360" w:lineRule="auto"/>
        <w:ind w:left="708"/>
        <w:rPr>
          <w:rFonts w:ascii="Arial" w:hAnsi="Arial" w:cs="Arial"/>
        </w:rPr>
      </w:pPr>
      <w:r w:rsidRPr="00331529">
        <w:rPr>
          <w:rFonts w:ascii="Arial" w:hAnsi="Arial" w:cs="Arial"/>
        </w:rPr>
        <w:t>Horizonte de evaluación:</w:t>
      </w:r>
      <w:r w:rsidRPr="00331529">
        <w:rPr>
          <w:rFonts w:ascii="Arial" w:hAnsi="Arial" w:cs="Arial"/>
        </w:rPr>
        <w:tab/>
      </w:r>
      <w:r w:rsidRPr="00331529">
        <w:rPr>
          <w:rFonts w:ascii="Arial" w:hAnsi="Arial" w:cs="Arial"/>
        </w:rPr>
        <w:tab/>
      </w:r>
      <w:r w:rsidRPr="00331529">
        <w:rPr>
          <w:rFonts w:ascii="Arial" w:hAnsi="Arial" w:cs="Arial"/>
        </w:rPr>
        <w:tab/>
      </w:r>
      <w:r w:rsidRPr="00331529">
        <w:rPr>
          <w:rFonts w:ascii="Arial" w:hAnsi="Arial" w:cs="Arial"/>
        </w:rPr>
        <w:tab/>
        <w:t>20 años.</w:t>
      </w:r>
    </w:p>
    <w:p w14:paraId="474ABD1D" w14:textId="77777777" w:rsidR="00A95DF9" w:rsidRPr="00331529" w:rsidRDefault="00A95DF9" w:rsidP="0087147E">
      <w:pPr>
        <w:spacing w:before="240" w:line="360" w:lineRule="auto"/>
        <w:ind w:left="708"/>
        <w:rPr>
          <w:rFonts w:ascii="Arial" w:hAnsi="Arial" w:cs="Arial"/>
        </w:rPr>
      </w:pPr>
      <w:r w:rsidRPr="00331529">
        <w:rPr>
          <w:rFonts w:ascii="Arial" w:hAnsi="Arial" w:cs="Arial"/>
        </w:rPr>
        <w:t>Tasa social de descuento:</w:t>
      </w:r>
      <w:r w:rsidRPr="00331529">
        <w:rPr>
          <w:rFonts w:ascii="Arial" w:hAnsi="Arial" w:cs="Arial"/>
        </w:rPr>
        <w:tab/>
      </w:r>
      <w:r w:rsidRPr="00331529">
        <w:rPr>
          <w:rFonts w:ascii="Arial" w:hAnsi="Arial" w:cs="Arial"/>
        </w:rPr>
        <w:tab/>
      </w:r>
      <w:r w:rsidRPr="00331529">
        <w:rPr>
          <w:rFonts w:ascii="Arial" w:hAnsi="Arial" w:cs="Arial"/>
        </w:rPr>
        <w:tab/>
      </w:r>
      <w:r w:rsidRPr="00331529">
        <w:rPr>
          <w:rFonts w:ascii="Arial" w:hAnsi="Arial" w:cs="Arial"/>
        </w:rPr>
        <w:tab/>
        <w:t>12% anual real.</w:t>
      </w:r>
    </w:p>
    <w:p w14:paraId="1945DA8D" w14:textId="77777777" w:rsidR="00A95DF9" w:rsidRPr="00331529" w:rsidRDefault="00A95DF9" w:rsidP="0087147E">
      <w:pPr>
        <w:spacing w:before="240" w:line="360" w:lineRule="auto"/>
        <w:ind w:left="5664" w:hanging="4956"/>
        <w:rPr>
          <w:rFonts w:ascii="Arial" w:hAnsi="Arial" w:cs="Arial"/>
        </w:rPr>
      </w:pPr>
      <w:r w:rsidRPr="00331529">
        <w:rPr>
          <w:rFonts w:ascii="Arial" w:hAnsi="Arial" w:cs="Arial"/>
        </w:rPr>
        <w:t>Cronograma de los desembolsos:</w:t>
      </w:r>
      <w:r w:rsidRPr="00331529">
        <w:rPr>
          <w:rFonts w:ascii="Arial" w:hAnsi="Arial" w:cs="Arial"/>
        </w:rPr>
        <w:tab/>
        <w:t>Las obras se realizan durante los  primeros cuatro años.</w:t>
      </w:r>
    </w:p>
    <w:p w14:paraId="27DE24F9" w14:textId="77777777" w:rsidR="00A95DF9" w:rsidRPr="00331529" w:rsidRDefault="00A95DF9" w:rsidP="0087147E">
      <w:pPr>
        <w:spacing w:before="240" w:line="360" w:lineRule="auto"/>
        <w:rPr>
          <w:rFonts w:ascii="Arial" w:hAnsi="Arial" w:cs="Arial"/>
        </w:rPr>
      </w:pPr>
    </w:p>
    <w:p w14:paraId="103D1E74" w14:textId="609C94FA" w:rsidR="00A95DF9" w:rsidRPr="00331529" w:rsidRDefault="00A95DF9" w:rsidP="002B0107">
      <w:pPr>
        <w:pStyle w:val="Heading2"/>
        <w:numPr>
          <w:ilvl w:val="0"/>
          <w:numId w:val="100"/>
        </w:numPr>
      </w:pPr>
      <w:bookmarkStart w:id="333" w:name="_Toc483227445"/>
      <w:bookmarkStart w:id="334" w:name="_Toc485200204"/>
      <w:r w:rsidRPr="00331529">
        <w:t>Alternativas propuestas</w:t>
      </w:r>
      <w:bookmarkEnd w:id="333"/>
      <w:bookmarkEnd w:id="334"/>
    </w:p>
    <w:p w14:paraId="13C6123F" w14:textId="77777777" w:rsidR="00A95DF9" w:rsidRPr="00331529" w:rsidRDefault="00A95DF9" w:rsidP="00B3473B">
      <w:pPr>
        <w:spacing w:after="100" w:afterAutospacing="1" w:line="240" w:lineRule="auto"/>
        <w:rPr>
          <w:rFonts w:ascii="Arial" w:hAnsi="Arial" w:cs="Arial"/>
        </w:rPr>
      </w:pPr>
      <w:r w:rsidRPr="00331529">
        <w:rPr>
          <w:rFonts w:ascii="Arial" w:hAnsi="Arial" w:cs="Arial"/>
        </w:rPr>
        <w:t xml:space="preserve">El proyecto para cumplir con los objetivos integrales para el saneamiento vinculado a las obras de Berazategui puede realizarse a través de distintas tecnologías. </w:t>
      </w:r>
      <w:r w:rsidRPr="00331529">
        <w:rPr>
          <w:rFonts w:ascii="Arial" w:hAnsi="Arial" w:cs="Arial"/>
        </w:rPr>
        <w:br/>
        <w:t>En particular, existen dos alternativas que resultan relevantes en materia de análisis técnico y económico:</w:t>
      </w:r>
    </w:p>
    <w:p w14:paraId="30B6C704" w14:textId="77777777" w:rsidR="00A95DF9" w:rsidRPr="00331529" w:rsidRDefault="00A95DF9" w:rsidP="00C4100D">
      <w:pPr>
        <w:pStyle w:val="ListParagraph"/>
        <w:numPr>
          <w:ilvl w:val="0"/>
          <w:numId w:val="92"/>
        </w:numPr>
        <w:spacing w:before="240" w:after="120" w:line="360" w:lineRule="auto"/>
        <w:contextualSpacing w:val="0"/>
        <w:rPr>
          <w:rFonts w:ascii="Arial" w:hAnsi="Arial" w:cs="Arial"/>
        </w:rPr>
      </w:pPr>
      <w:r w:rsidRPr="00331529">
        <w:rPr>
          <w:rFonts w:ascii="Arial" w:hAnsi="Arial" w:cs="Arial"/>
        </w:rPr>
        <w:t>Pretratamiento, estación de bombeo y emisario largo</w:t>
      </w:r>
    </w:p>
    <w:p w14:paraId="6EFDACE8" w14:textId="77777777" w:rsidR="00A95DF9" w:rsidRPr="00331529" w:rsidRDefault="00A95DF9" w:rsidP="00C4100D">
      <w:pPr>
        <w:pStyle w:val="ListParagraph"/>
        <w:numPr>
          <w:ilvl w:val="0"/>
          <w:numId w:val="92"/>
        </w:numPr>
        <w:spacing w:before="240" w:after="120" w:line="360" w:lineRule="auto"/>
        <w:contextualSpacing w:val="0"/>
        <w:rPr>
          <w:rFonts w:ascii="Arial" w:hAnsi="Arial" w:cs="Arial"/>
        </w:rPr>
      </w:pPr>
      <w:r w:rsidRPr="00331529">
        <w:rPr>
          <w:rFonts w:ascii="Arial" w:hAnsi="Arial" w:cs="Arial"/>
        </w:rPr>
        <w:t xml:space="preserve">Pretratamiento, estación de bombeo, tratamientos secundario y emisario corto </w:t>
      </w:r>
    </w:p>
    <w:p w14:paraId="14DF32ED" w14:textId="77777777" w:rsidR="00A95DF9" w:rsidRPr="00331529" w:rsidRDefault="00A95DF9" w:rsidP="00B3473B">
      <w:pPr>
        <w:spacing w:after="100" w:afterAutospacing="1" w:line="240" w:lineRule="auto"/>
        <w:rPr>
          <w:rFonts w:ascii="Arial" w:hAnsi="Arial" w:cs="Arial"/>
        </w:rPr>
      </w:pPr>
      <w:r w:rsidRPr="00331529">
        <w:rPr>
          <w:rFonts w:ascii="Arial" w:hAnsi="Arial" w:cs="Arial"/>
        </w:rPr>
        <w:t>La alternativa 1 se denomina en este apartado como Alternativa de Nuevo Emisario (NE) y la alternativa 2 como Alternativa de Tratamiento Secundario.</w:t>
      </w:r>
    </w:p>
    <w:p w14:paraId="51B15E47" w14:textId="77777777" w:rsidR="00A95DF9" w:rsidRDefault="00A95DF9" w:rsidP="0087147E">
      <w:bookmarkStart w:id="335" w:name="_Toc476322040"/>
    </w:p>
    <w:p w14:paraId="1C7A9BC4" w14:textId="31834947" w:rsidR="00A95DF9" w:rsidRDefault="00A95DF9" w:rsidP="002B0107">
      <w:pPr>
        <w:pStyle w:val="Heading2"/>
        <w:numPr>
          <w:ilvl w:val="1"/>
          <w:numId w:val="101"/>
        </w:numPr>
      </w:pPr>
      <w:bookmarkStart w:id="336" w:name="_Toc483227446"/>
      <w:bookmarkStart w:id="337" w:name="_Toc485200205"/>
      <w:r w:rsidRPr="00DF02F2">
        <w:t>Alternativa 1 –</w:t>
      </w:r>
      <w:bookmarkEnd w:id="335"/>
      <w:r w:rsidRPr="00DF02F2">
        <w:t xml:space="preserve"> Alternativa de Nuevo Emisario</w:t>
      </w:r>
      <w:bookmarkEnd w:id="336"/>
      <w:bookmarkEnd w:id="337"/>
    </w:p>
    <w:p w14:paraId="41EA328D" w14:textId="5C5A7900" w:rsidR="00A95DF9" w:rsidRPr="00F259D3" w:rsidRDefault="00A95DF9" w:rsidP="00B3473B">
      <w:pPr>
        <w:spacing w:after="100" w:afterAutospacing="1" w:line="240" w:lineRule="auto"/>
        <w:rPr>
          <w:rFonts w:ascii="Arial" w:hAnsi="Arial" w:cs="Arial"/>
        </w:rPr>
      </w:pPr>
      <w:r w:rsidRPr="00F259D3">
        <w:rPr>
          <w:rFonts w:ascii="Arial" w:hAnsi="Arial" w:cs="Arial"/>
        </w:rPr>
        <w:t xml:space="preserve">Esta alternativa requiere la construcción de </w:t>
      </w:r>
      <w:r w:rsidRPr="00F259D3">
        <w:rPr>
          <w:rFonts w:ascii="Arial" w:hAnsi="Arial" w:cs="Arial"/>
          <w:b/>
        </w:rPr>
        <w:t>un nuevo emisario</w:t>
      </w:r>
      <w:r w:rsidRPr="00F259D3">
        <w:rPr>
          <w:rFonts w:ascii="Arial" w:hAnsi="Arial" w:cs="Arial"/>
        </w:rPr>
        <w:t xml:space="preserve"> para completar el esquema de tratamiento de las aguas negras por dilución.</w:t>
      </w:r>
      <w:r w:rsidR="00F259D3" w:rsidRPr="00F259D3">
        <w:rPr>
          <w:rFonts w:ascii="Arial" w:hAnsi="Arial" w:cs="Arial"/>
        </w:rPr>
        <w:t xml:space="preserve"> </w:t>
      </w:r>
      <w:r w:rsidRPr="00F259D3">
        <w:rPr>
          <w:rFonts w:ascii="Arial" w:hAnsi="Arial" w:cs="Arial"/>
        </w:rPr>
        <w:t>Se trata de un proceso que consiste en mezclar, mediante un emisario con difusiones, los caudales relativos del Río de la Plata y de la descarga de aguas servidas de Berazategui en proporciones adecuadas para lograr una concentración suficientemente baja en la mezcla, compatible con el poder auto-depurador del medio receptor.</w:t>
      </w:r>
    </w:p>
    <w:p w14:paraId="7591BE35" w14:textId="431B0B87" w:rsidR="00A95DF9" w:rsidRPr="00F259D3" w:rsidRDefault="00A95DF9" w:rsidP="00B3473B">
      <w:pPr>
        <w:spacing w:after="100" w:afterAutospacing="1" w:line="240" w:lineRule="auto"/>
        <w:rPr>
          <w:rFonts w:ascii="Arial" w:hAnsi="Arial" w:cs="Arial"/>
        </w:rPr>
      </w:pPr>
      <w:r w:rsidRPr="00F259D3">
        <w:rPr>
          <w:rFonts w:ascii="Arial" w:hAnsi="Arial" w:cs="Arial"/>
        </w:rPr>
        <w:t xml:space="preserve">El esquema completo y armónico de descarga en el río incluye un pre tratamiento, una estación de bombeo y un emisario subacuático. </w:t>
      </w:r>
      <w:r w:rsidR="00F259D3" w:rsidRPr="00F259D3">
        <w:rPr>
          <w:rFonts w:ascii="Arial" w:hAnsi="Arial" w:cs="Arial"/>
        </w:rPr>
        <w:t xml:space="preserve"> </w:t>
      </w:r>
      <w:r w:rsidRPr="00F259D3">
        <w:rPr>
          <w:rFonts w:ascii="Arial" w:hAnsi="Arial" w:cs="Arial"/>
        </w:rPr>
        <w:t>La propuesta contempla que el Emisario de efluentes de la Planta Berazategui se inicie en el predio de la misma, internándose en el Río de la Plata con una dirección general Sudoeste-Noreste con una longitud aproximada total de 7</w:t>
      </w:r>
      <w:r w:rsidR="00F259D3" w:rsidRPr="00F259D3">
        <w:rPr>
          <w:rFonts w:ascii="Arial" w:hAnsi="Arial" w:cs="Arial"/>
        </w:rPr>
        <w:t>.</w:t>
      </w:r>
      <w:r w:rsidRPr="00F259D3">
        <w:rPr>
          <w:rFonts w:ascii="Arial" w:hAnsi="Arial" w:cs="Arial"/>
        </w:rPr>
        <w:t>500 metros.</w:t>
      </w:r>
    </w:p>
    <w:p w14:paraId="733AF8CD" w14:textId="77777777" w:rsidR="00A95DF9" w:rsidRPr="00F259D3" w:rsidRDefault="00A95DF9" w:rsidP="00B3473B">
      <w:pPr>
        <w:spacing w:after="100" w:afterAutospacing="1" w:line="240" w:lineRule="auto"/>
        <w:rPr>
          <w:rFonts w:ascii="Arial" w:hAnsi="Arial" w:cs="Arial"/>
        </w:rPr>
      </w:pPr>
      <w:r w:rsidRPr="00F259D3">
        <w:rPr>
          <w:rFonts w:ascii="Arial" w:hAnsi="Arial" w:cs="Arial"/>
        </w:rPr>
        <w:t>La construcción del emisario se ha previsto en tres tramos:</w:t>
      </w:r>
    </w:p>
    <w:p w14:paraId="3867D2EC" w14:textId="42A0BF4A" w:rsidR="00A95DF9" w:rsidRPr="00B3473B" w:rsidRDefault="00A95DF9" w:rsidP="00C4100D">
      <w:pPr>
        <w:pStyle w:val="ListParagraph"/>
        <w:numPr>
          <w:ilvl w:val="3"/>
          <w:numId w:val="102"/>
        </w:numPr>
        <w:spacing w:before="240" w:line="360" w:lineRule="auto"/>
        <w:ind w:left="990"/>
        <w:rPr>
          <w:rFonts w:ascii="Arial" w:hAnsi="Arial" w:cs="Arial"/>
        </w:rPr>
      </w:pPr>
      <w:r w:rsidRPr="00B3473B">
        <w:rPr>
          <w:rFonts w:ascii="Arial" w:hAnsi="Arial" w:cs="Arial"/>
        </w:rPr>
        <w:t xml:space="preserve">Tramo de transporte: un conducto de aproximadamente </w:t>
      </w:r>
      <w:smartTag w:uri="urn:schemas-microsoft-com:office:smarttags" w:element="metricconverter">
        <w:smartTagPr>
          <w:attr w:name="ProductID" w:val="3970 metros"/>
        </w:smartTagPr>
        <w:r w:rsidRPr="00B3473B">
          <w:rPr>
            <w:rFonts w:ascii="Arial" w:hAnsi="Arial" w:cs="Arial"/>
          </w:rPr>
          <w:t>3970 metros</w:t>
        </w:r>
      </w:smartTag>
      <w:r w:rsidRPr="00B3473B">
        <w:rPr>
          <w:rFonts w:ascii="Arial" w:hAnsi="Arial" w:cs="Arial"/>
        </w:rPr>
        <w:t xml:space="preserve"> de longitud y se extenderá desde la salida de la estación de bombeo de la Planta Berazategui.</w:t>
      </w:r>
    </w:p>
    <w:p w14:paraId="02138AB8" w14:textId="60E44A3A" w:rsidR="00A95DF9" w:rsidRPr="00B3473B" w:rsidRDefault="00A95DF9" w:rsidP="00C4100D">
      <w:pPr>
        <w:pStyle w:val="ListParagraph"/>
        <w:numPr>
          <w:ilvl w:val="3"/>
          <w:numId w:val="102"/>
        </w:numPr>
        <w:spacing w:before="240" w:line="360" w:lineRule="auto"/>
        <w:ind w:left="990"/>
        <w:rPr>
          <w:rFonts w:ascii="Arial" w:hAnsi="Arial" w:cs="Arial"/>
        </w:rPr>
      </w:pPr>
      <w:r w:rsidRPr="00B3473B">
        <w:rPr>
          <w:rFonts w:ascii="Arial" w:hAnsi="Arial" w:cs="Arial"/>
        </w:rPr>
        <w:t xml:space="preserve">Tramo de transporte aguas debajo de la cámara de transición de 4,40m de diámetro interno construido en zanja y fundado sobre pilotes. </w:t>
      </w:r>
    </w:p>
    <w:p w14:paraId="42BD664C" w14:textId="0B5AF06F" w:rsidR="00A95DF9" w:rsidRPr="00B3473B" w:rsidRDefault="00A95DF9" w:rsidP="00C4100D">
      <w:pPr>
        <w:pStyle w:val="ListParagraph"/>
        <w:numPr>
          <w:ilvl w:val="3"/>
          <w:numId w:val="102"/>
        </w:numPr>
        <w:spacing w:after="100" w:afterAutospacing="1" w:line="240" w:lineRule="auto"/>
        <w:ind w:left="990"/>
        <w:rPr>
          <w:rFonts w:ascii="Arial" w:hAnsi="Arial" w:cs="Arial"/>
        </w:rPr>
      </w:pPr>
      <w:r w:rsidRPr="00B3473B">
        <w:rPr>
          <w:rFonts w:ascii="Arial" w:hAnsi="Arial" w:cs="Arial"/>
        </w:rPr>
        <w:t>Tramo de difusión: un conducto construido en zanja y fundado sobre pilotes de sección variable por tramos</w:t>
      </w:r>
    </w:p>
    <w:p w14:paraId="770A46F4" w14:textId="349A5D94" w:rsidR="00A95DF9" w:rsidRPr="00B3473B" w:rsidRDefault="00A95DF9" w:rsidP="00B3473B">
      <w:pPr>
        <w:spacing w:after="100" w:afterAutospacing="1" w:line="240" w:lineRule="auto"/>
        <w:rPr>
          <w:rFonts w:ascii="Arial" w:hAnsi="Arial" w:cs="Arial"/>
        </w:rPr>
      </w:pPr>
      <w:r w:rsidRPr="00B3473B">
        <w:rPr>
          <w:rFonts w:ascii="Arial" w:hAnsi="Arial" w:cs="Arial"/>
          <w:b/>
        </w:rPr>
        <w:t xml:space="preserve">El </w:t>
      </w:r>
      <w:r w:rsidRPr="00B3473B">
        <w:rPr>
          <w:rFonts w:ascii="Arial" w:hAnsi="Arial" w:cs="Arial"/>
        </w:rPr>
        <w:t>conducto</w:t>
      </w:r>
      <w:r w:rsidRPr="00B3473B">
        <w:rPr>
          <w:rFonts w:ascii="Arial" w:hAnsi="Arial" w:cs="Arial"/>
          <w:b/>
        </w:rPr>
        <w:t xml:space="preserve"> difusor tendrá 47 “raisers” tipo roseta con un diámetro interno de </w:t>
      </w:r>
      <w:smartTag w:uri="urn:schemas-microsoft-com:office:smarttags" w:element="metricconverter">
        <w:smartTagPr>
          <w:attr w:name="ProductID" w:val="52 cent￭metros"/>
        </w:smartTagPr>
        <w:r w:rsidRPr="00B3473B">
          <w:rPr>
            <w:rFonts w:ascii="Arial" w:hAnsi="Arial" w:cs="Arial"/>
            <w:b/>
          </w:rPr>
          <w:t>52 centímetros</w:t>
        </w:r>
      </w:smartTag>
      <w:r w:rsidRPr="00B3473B">
        <w:rPr>
          <w:rFonts w:ascii="Arial" w:hAnsi="Arial" w:cs="Arial"/>
          <w:b/>
        </w:rPr>
        <w:t xml:space="preserve">, con 6 puertos con un diámetro de salida de </w:t>
      </w:r>
      <w:smartTag w:uri="urn:schemas-microsoft-com:office:smarttags" w:element="metricconverter">
        <w:smartTagPr>
          <w:attr w:name="ProductID" w:val="18 cent￭metros"/>
        </w:smartTagPr>
        <w:r w:rsidRPr="00B3473B">
          <w:rPr>
            <w:rFonts w:ascii="Arial" w:hAnsi="Arial" w:cs="Arial"/>
            <w:b/>
          </w:rPr>
          <w:t>18 centímetros</w:t>
        </w:r>
      </w:smartTag>
      <w:r w:rsidRPr="00B3473B">
        <w:rPr>
          <w:rFonts w:ascii="Arial" w:hAnsi="Arial" w:cs="Arial"/>
        </w:rPr>
        <w:t>.</w:t>
      </w:r>
    </w:p>
    <w:p w14:paraId="6050EB36" w14:textId="77777777" w:rsidR="00A95DF9" w:rsidRPr="00B3473B" w:rsidRDefault="00A95DF9" w:rsidP="00B3473B">
      <w:pPr>
        <w:spacing w:after="100" w:afterAutospacing="1" w:line="240" w:lineRule="auto"/>
        <w:rPr>
          <w:rFonts w:ascii="Arial" w:hAnsi="Arial" w:cs="Arial"/>
        </w:rPr>
      </w:pPr>
      <w:r w:rsidRPr="00B3473B">
        <w:rPr>
          <w:rFonts w:ascii="Arial" w:hAnsi="Arial" w:cs="Arial"/>
        </w:rPr>
        <w:t>La obra incluirá el suministro de materiales y equipos para la construcción y la provisión y montaje del tramo y zanja  los difusores.</w:t>
      </w:r>
    </w:p>
    <w:p w14:paraId="1B5C581A" w14:textId="77777777" w:rsidR="00A95DF9" w:rsidRPr="00F259D3" w:rsidRDefault="00A95DF9" w:rsidP="00B3473B">
      <w:pPr>
        <w:spacing w:after="100" w:afterAutospacing="1" w:line="240" w:lineRule="auto"/>
        <w:rPr>
          <w:rFonts w:ascii="Arial" w:hAnsi="Arial" w:cs="Arial"/>
        </w:rPr>
      </w:pPr>
      <w:r w:rsidRPr="00F259D3">
        <w:rPr>
          <w:rFonts w:ascii="Arial" w:hAnsi="Arial" w:cs="Arial"/>
        </w:rPr>
        <w:t xml:space="preserve">En lo que refiere a los detalles técnicos del diseño del emisario, se definieron las siguientes pautas para el funcionamiento hidráulico y de dilución: </w:t>
      </w:r>
    </w:p>
    <w:p w14:paraId="40AC9CFC" w14:textId="77777777" w:rsidR="00A95DF9" w:rsidRPr="00F259D3" w:rsidRDefault="00A95DF9" w:rsidP="00C4100D">
      <w:pPr>
        <w:pStyle w:val="ListParagraph"/>
        <w:numPr>
          <w:ilvl w:val="0"/>
          <w:numId w:val="87"/>
        </w:numPr>
        <w:spacing w:before="240" w:after="60" w:line="360" w:lineRule="auto"/>
        <w:ind w:left="993"/>
        <w:rPr>
          <w:rFonts w:ascii="Arial" w:hAnsi="Arial" w:cs="Arial"/>
        </w:rPr>
      </w:pPr>
      <w:r w:rsidRPr="00F259D3">
        <w:rPr>
          <w:rFonts w:ascii="Arial" w:hAnsi="Arial" w:cs="Arial"/>
        </w:rPr>
        <w:t xml:space="preserve">Longitud total de la zona de difusión del Emisario: 2300m </w:t>
      </w:r>
    </w:p>
    <w:p w14:paraId="390F4A96" w14:textId="77777777" w:rsidR="00A95DF9" w:rsidRPr="00F259D3" w:rsidRDefault="00A95DF9" w:rsidP="00C4100D">
      <w:pPr>
        <w:pStyle w:val="ListParagraph"/>
        <w:numPr>
          <w:ilvl w:val="0"/>
          <w:numId w:val="87"/>
        </w:numPr>
        <w:spacing w:before="240" w:after="60" w:line="360" w:lineRule="auto"/>
        <w:ind w:left="993"/>
        <w:rPr>
          <w:rFonts w:ascii="Arial" w:hAnsi="Arial" w:cs="Arial"/>
        </w:rPr>
      </w:pPr>
      <w:r w:rsidRPr="00F259D3">
        <w:rPr>
          <w:rFonts w:ascii="Arial" w:hAnsi="Arial" w:cs="Arial"/>
        </w:rPr>
        <w:t>Difusores: 47</w:t>
      </w:r>
    </w:p>
    <w:p w14:paraId="1AAD2A92" w14:textId="77777777" w:rsidR="00A95DF9" w:rsidRPr="00F259D3" w:rsidRDefault="00A95DF9" w:rsidP="00C4100D">
      <w:pPr>
        <w:pStyle w:val="ListParagraph"/>
        <w:numPr>
          <w:ilvl w:val="0"/>
          <w:numId w:val="87"/>
        </w:numPr>
        <w:spacing w:before="240" w:after="60" w:line="360" w:lineRule="auto"/>
        <w:ind w:left="993"/>
        <w:rPr>
          <w:rFonts w:ascii="Arial" w:hAnsi="Arial" w:cs="Arial"/>
        </w:rPr>
      </w:pPr>
      <w:r w:rsidRPr="00F259D3">
        <w:rPr>
          <w:rFonts w:ascii="Arial" w:hAnsi="Arial" w:cs="Arial"/>
        </w:rPr>
        <w:t>Separación entre raiser 50 m</w:t>
      </w:r>
    </w:p>
    <w:p w14:paraId="0046E0DC" w14:textId="77777777" w:rsidR="00A95DF9" w:rsidRPr="00F259D3" w:rsidRDefault="00A95DF9" w:rsidP="00C4100D">
      <w:pPr>
        <w:pStyle w:val="ListParagraph"/>
        <w:numPr>
          <w:ilvl w:val="0"/>
          <w:numId w:val="87"/>
        </w:numPr>
        <w:spacing w:before="240" w:after="60" w:line="360" w:lineRule="auto"/>
        <w:ind w:left="993"/>
        <w:rPr>
          <w:rFonts w:ascii="Arial" w:hAnsi="Arial" w:cs="Arial"/>
        </w:rPr>
      </w:pPr>
      <w:r w:rsidRPr="00F259D3">
        <w:rPr>
          <w:rFonts w:ascii="Arial" w:hAnsi="Arial" w:cs="Arial"/>
        </w:rPr>
        <w:t>Raiser tipo roseta con 6 puertos</w:t>
      </w:r>
    </w:p>
    <w:p w14:paraId="3A2D05C7" w14:textId="77777777" w:rsidR="00A95DF9" w:rsidRPr="00F259D3" w:rsidRDefault="00A95DF9" w:rsidP="00C4100D">
      <w:pPr>
        <w:pStyle w:val="ListParagraph"/>
        <w:numPr>
          <w:ilvl w:val="0"/>
          <w:numId w:val="87"/>
        </w:numPr>
        <w:spacing w:before="240" w:after="60" w:line="360" w:lineRule="auto"/>
        <w:ind w:left="993"/>
        <w:rPr>
          <w:rFonts w:ascii="Arial" w:hAnsi="Arial" w:cs="Arial"/>
        </w:rPr>
      </w:pPr>
      <w:r w:rsidRPr="00F259D3">
        <w:rPr>
          <w:rFonts w:ascii="Arial" w:hAnsi="Arial" w:cs="Arial"/>
        </w:rPr>
        <w:t>No se permitirá el uso de válvulas tipo Duckbill o similar.</w:t>
      </w:r>
    </w:p>
    <w:p w14:paraId="6C43836D" w14:textId="77777777" w:rsidR="00A95DF9" w:rsidRPr="00F259D3" w:rsidRDefault="00A95DF9" w:rsidP="00B3473B">
      <w:pPr>
        <w:spacing w:after="100" w:afterAutospacing="1" w:line="240" w:lineRule="auto"/>
        <w:rPr>
          <w:rFonts w:ascii="Arial" w:hAnsi="Arial" w:cs="Arial"/>
        </w:rPr>
      </w:pPr>
      <w:r w:rsidRPr="00F259D3">
        <w:rPr>
          <w:rFonts w:ascii="Arial" w:hAnsi="Arial" w:cs="Arial"/>
        </w:rPr>
        <w:t xml:space="preserve">Los puertos, su orientación y ubicación altimétrica, y la forma y dimensiones del raiser tipo roseta fueron realizadas por modelo de campo cercano. </w:t>
      </w:r>
    </w:p>
    <w:p w14:paraId="7515D68B" w14:textId="77777777" w:rsidR="00A95DF9" w:rsidRPr="00F259D3" w:rsidRDefault="00A95DF9" w:rsidP="00B3473B">
      <w:pPr>
        <w:spacing w:after="100" w:afterAutospacing="1" w:line="240" w:lineRule="auto"/>
        <w:rPr>
          <w:rFonts w:ascii="Arial" w:hAnsi="Arial" w:cs="Arial"/>
        </w:rPr>
      </w:pPr>
      <w:r w:rsidRPr="00F259D3">
        <w:rPr>
          <w:rFonts w:ascii="Arial" w:hAnsi="Arial" w:cs="Arial"/>
        </w:rPr>
        <w:t xml:space="preserve">La dilución inducida por el chorro en el campo cercano se estimó a partir de ecuaciones analíticas para garantizar que los chorros alcanzaran una dilución de campo cercano de al menos 50:1. Esto determinó los diámetros de los puertos. </w:t>
      </w:r>
    </w:p>
    <w:p w14:paraId="61D48CB4" w14:textId="77777777" w:rsidR="00A95DF9" w:rsidRPr="00F259D3" w:rsidRDefault="00A95DF9" w:rsidP="00B3473B">
      <w:pPr>
        <w:spacing w:after="100" w:afterAutospacing="1" w:line="240" w:lineRule="auto"/>
        <w:rPr>
          <w:rFonts w:ascii="Arial" w:hAnsi="Arial" w:cs="Arial"/>
        </w:rPr>
      </w:pPr>
      <w:r w:rsidRPr="00F259D3">
        <w:rPr>
          <w:rFonts w:ascii="Arial" w:hAnsi="Arial" w:cs="Arial"/>
        </w:rPr>
        <w:t>Las diluciones de campo cercano fueron entonces simuladas con variaciones de flujo diarias asumiendo una dilución del chorro de campo cercano de 50:1.</w:t>
      </w:r>
    </w:p>
    <w:p w14:paraId="3226B91F" w14:textId="77777777" w:rsidR="00A95DF9" w:rsidRPr="00F259D3" w:rsidRDefault="00A95DF9" w:rsidP="00B3473B">
      <w:pPr>
        <w:spacing w:after="100" w:afterAutospacing="1" w:line="240" w:lineRule="auto"/>
        <w:rPr>
          <w:rFonts w:ascii="Arial" w:hAnsi="Arial" w:cs="Arial"/>
        </w:rPr>
      </w:pPr>
      <w:r w:rsidRPr="00F259D3">
        <w:rPr>
          <w:rFonts w:ascii="Arial" w:hAnsi="Arial" w:cs="Arial"/>
        </w:rPr>
        <w:t xml:space="preserve">El efecto de las corrientes en los chorros fue modelado con el modelo de campo cercano Visjet para determinar el número de puertos por raiser y su separación. </w:t>
      </w:r>
    </w:p>
    <w:p w14:paraId="1298AB0A" w14:textId="77777777" w:rsidR="00A95DF9" w:rsidRPr="00F259D3" w:rsidRDefault="00A95DF9" w:rsidP="00B3473B">
      <w:pPr>
        <w:spacing w:after="100" w:afterAutospacing="1" w:line="240" w:lineRule="auto"/>
        <w:rPr>
          <w:rFonts w:ascii="Arial" w:hAnsi="Arial" w:cs="Arial"/>
        </w:rPr>
      </w:pPr>
      <w:r w:rsidRPr="00F259D3">
        <w:rPr>
          <w:rFonts w:ascii="Arial" w:hAnsi="Arial" w:cs="Arial"/>
        </w:rPr>
        <w:t>Los raiser y puertos se construirán en acero inoxidable, y llevarán las protecciones mecánicas correspondientes. Se incorporará una sección fusible ante eventuales acciones que produzcan la rotura del mismo.</w:t>
      </w:r>
    </w:p>
    <w:p w14:paraId="05E64AC5" w14:textId="77777777" w:rsidR="00A95DF9" w:rsidRPr="00F259D3" w:rsidRDefault="00A95DF9" w:rsidP="00B3473B">
      <w:pPr>
        <w:spacing w:after="100" w:afterAutospacing="1" w:line="240" w:lineRule="auto"/>
        <w:rPr>
          <w:rFonts w:ascii="Arial" w:hAnsi="Arial" w:cs="Arial"/>
        </w:rPr>
      </w:pPr>
      <w:r w:rsidRPr="00F259D3">
        <w:rPr>
          <w:rFonts w:ascii="Arial" w:hAnsi="Arial" w:cs="Arial"/>
        </w:rPr>
        <w:t>Todos los materiales utilizados deberán ser tales que las características del medio receptor y las propias del efluente no afecten el correcto funcionamiento de la obra.</w:t>
      </w:r>
    </w:p>
    <w:p w14:paraId="6ECF1A84" w14:textId="77777777" w:rsidR="00A95DF9" w:rsidRPr="00F259D3" w:rsidRDefault="00A95DF9" w:rsidP="00B3473B">
      <w:pPr>
        <w:spacing w:after="100" w:afterAutospacing="1" w:line="240" w:lineRule="auto"/>
        <w:rPr>
          <w:rFonts w:ascii="Arial" w:hAnsi="Arial" w:cs="Arial"/>
        </w:rPr>
      </w:pPr>
      <w:r w:rsidRPr="00F259D3">
        <w:rPr>
          <w:rFonts w:ascii="Arial" w:hAnsi="Arial" w:cs="Arial"/>
        </w:rPr>
        <w:t xml:space="preserve">Los raiser contarán con un sistema de protección, asegurando que los chorros eyectados por los puertos no interfieran con la protección propuesta y que la misma brinde un grado de seguridad adecuada. </w:t>
      </w:r>
    </w:p>
    <w:p w14:paraId="1A392793" w14:textId="00939B9F" w:rsidR="00A95DF9" w:rsidRPr="00F259D3" w:rsidRDefault="00A95DF9" w:rsidP="00B3473B">
      <w:pPr>
        <w:spacing w:after="100" w:afterAutospacing="1" w:line="240" w:lineRule="auto"/>
        <w:rPr>
          <w:rFonts w:ascii="Arial" w:hAnsi="Arial" w:cs="Arial"/>
        </w:rPr>
      </w:pPr>
      <w:r w:rsidRPr="00F259D3">
        <w:rPr>
          <w:rFonts w:ascii="Arial" w:hAnsi="Arial" w:cs="Arial"/>
        </w:rPr>
        <w:t xml:space="preserve">La descripción detallada de los aspectos técnicos de la Alternativa 1 se puede analizar en el </w:t>
      </w:r>
      <w:r w:rsidRPr="0059118E">
        <w:rPr>
          <w:rFonts w:ascii="Arial" w:hAnsi="Arial" w:cs="Arial"/>
        </w:rPr>
        <w:t xml:space="preserve">Anexo </w:t>
      </w:r>
      <w:r w:rsidR="00B3473B" w:rsidRPr="0059118E">
        <w:rPr>
          <w:rFonts w:ascii="Arial" w:hAnsi="Arial" w:cs="Arial"/>
        </w:rPr>
        <w:t>5</w:t>
      </w:r>
      <w:r w:rsidRPr="0059118E">
        <w:rPr>
          <w:rFonts w:ascii="Arial" w:hAnsi="Arial" w:cs="Arial"/>
        </w:rPr>
        <w:t xml:space="preserve"> de</w:t>
      </w:r>
      <w:r w:rsidRPr="00F259D3">
        <w:rPr>
          <w:rFonts w:ascii="Arial" w:hAnsi="Arial" w:cs="Arial"/>
        </w:rPr>
        <w:t xml:space="preserve"> este documento. </w:t>
      </w:r>
    </w:p>
    <w:p w14:paraId="1DB0025A" w14:textId="77777777" w:rsidR="00A95DF9" w:rsidRPr="00F259D3" w:rsidRDefault="00A95DF9" w:rsidP="0087147E">
      <w:pPr>
        <w:rPr>
          <w:rFonts w:ascii="Arial" w:hAnsi="Arial" w:cs="Arial"/>
          <w:highlight w:val="yellow"/>
        </w:rPr>
      </w:pPr>
      <w:bookmarkStart w:id="338" w:name="_Toc476322041"/>
    </w:p>
    <w:p w14:paraId="04570945" w14:textId="216A4A76" w:rsidR="00A95DF9" w:rsidRPr="00F259D3" w:rsidRDefault="00A95DF9" w:rsidP="002B0107">
      <w:pPr>
        <w:pStyle w:val="Heading2"/>
        <w:numPr>
          <w:ilvl w:val="1"/>
          <w:numId w:val="101"/>
        </w:numPr>
      </w:pPr>
      <w:bookmarkStart w:id="339" w:name="_Toc483227447"/>
      <w:bookmarkStart w:id="340" w:name="_Toc485200206"/>
      <w:r w:rsidRPr="00F259D3">
        <w:t>Alternativa 2 –</w:t>
      </w:r>
      <w:bookmarkEnd w:id="338"/>
      <w:r w:rsidRPr="00F259D3">
        <w:t xml:space="preserve"> Alternativa de Tratamiento Secundario</w:t>
      </w:r>
      <w:bookmarkEnd w:id="339"/>
      <w:bookmarkEnd w:id="340"/>
    </w:p>
    <w:p w14:paraId="1A0B55FD" w14:textId="77777777" w:rsidR="00A95DF9" w:rsidRPr="00F259D3" w:rsidRDefault="00A95DF9" w:rsidP="00B3473B">
      <w:pPr>
        <w:spacing w:after="100" w:afterAutospacing="1" w:line="240" w:lineRule="auto"/>
        <w:rPr>
          <w:rFonts w:ascii="Arial" w:hAnsi="Arial" w:cs="Arial"/>
        </w:rPr>
      </w:pPr>
      <w:r w:rsidRPr="00F259D3">
        <w:rPr>
          <w:rFonts w:ascii="Arial" w:hAnsi="Arial" w:cs="Arial"/>
        </w:rPr>
        <w:t xml:space="preserve">La alternativa 2 consiste en transformar la planta de pre tratamiento Del Bicentenario en una planta de tratamiento en dos etapas, primario y secundario, asegurando una calidad de líquido de salida que permita seguir operando con el Emisario actual (de menor longitud) sin necesidad de construir u nuevo conducto. </w:t>
      </w:r>
    </w:p>
    <w:p w14:paraId="3FEE8E0C" w14:textId="77777777" w:rsidR="00A95DF9" w:rsidRPr="00F259D3" w:rsidRDefault="00A95DF9" w:rsidP="00B3473B">
      <w:pPr>
        <w:spacing w:after="100" w:afterAutospacing="1" w:line="240" w:lineRule="auto"/>
        <w:rPr>
          <w:rFonts w:ascii="Arial" w:hAnsi="Arial" w:cs="Arial"/>
        </w:rPr>
      </w:pPr>
      <w:r w:rsidRPr="00F259D3">
        <w:rPr>
          <w:rFonts w:ascii="Arial" w:hAnsi="Arial" w:cs="Arial"/>
        </w:rPr>
        <w:t xml:space="preserve">El proceso elegido para avanzar en esta dirección fue el de lodos activados media carga, el cual está integrado por siguiente elemento: </w:t>
      </w:r>
    </w:p>
    <w:p w14:paraId="3DCC329C" w14:textId="77777777" w:rsidR="00A95DF9" w:rsidRPr="00F259D3" w:rsidRDefault="00A95DF9" w:rsidP="00C4100D">
      <w:pPr>
        <w:pStyle w:val="Default"/>
        <w:numPr>
          <w:ilvl w:val="0"/>
          <w:numId w:val="85"/>
        </w:numPr>
        <w:spacing w:line="360" w:lineRule="auto"/>
        <w:jc w:val="both"/>
        <w:rPr>
          <w:rFonts w:ascii="Arial" w:hAnsi="Arial" w:cs="Arial"/>
          <w:color w:val="auto"/>
          <w:sz w:val="22"/>
          <w:szCs w:val="22"/>
        </w:rPr>
      </w:pPr>
      <w:r w:rsidRPr="00F259D3">
        <w:rPr>
          <w:rFonts w:ascii="Arial" w:hAnsi="Arial" w:cs="Arial"/>
          <w:color w:val="auto"/>
          <w:sz w:val="22"/>
          <w:szCs w:val="22"/>
        </w:rPr>
        <w:t xml:space="preserve">Rejas Gruesas y Finas (ya incluidas en la Planta de Pretratamiento del Bicentenario), </w:t>
      </w:r>
    </w:p>
    <w:p w14:paraId="5DBE52C0" w14:textId="77777777" w:rsidR="00A95DF9" w:rsidRPr="00F259D3" w:rsidRDefault="00A95DF9" w:rsidP="00C4100D">
      <w:pPr>
        <w:pStyle w:val="Default"/>
        <w:numPr>
          <w:ilvl w:val="0"/>
          <w:numId w:val="85"/>
        </w:numPr>
        <w:spacing w:line="360" w:lineRule="auto"/>
        <w:jc w:val="both"/>
        <w:rPr>
          <w:rFonts w:ascii="Arial" w:hAnsi="Arial" w:cs="Arial"/>
          <w:color w:val="auto"/>
          <w:sz w:val="22"/>
          <w:szCs w:val="22"/>
        </w:rPr>
      </w:pPr>
      <w:r w:rsidRPr="00F259D3">
        <w:rPr>
          <w:rFonts w:ascii="Arial" w:hAnsi="Arial" w:cs="Arial"/>
          <w:color w:val="auto"/>
          <w:sz w:val="22"/>
          <w:szCs w:val="22"/>
        </w:rPr>
        <w:t xml:space="preserve">Desarenadores-Desengrasadores (ya incluidos en la Planta de Pretratamiento del Bicentenario),  </w:t>
      </w:r>
    </w:p>
    <w:p w14:paraId="697985E9" w14:textId="77777777" w:rsidR="00A95DF9" w:rsidRPr="00F259D3" w:rsidRDefault="00A95DF9" w:rsidP="00C4100D">
      <w:pPr>
        <w:pStyle w:val="Default"/>
        <w:numPr>
          <w:ilvl w:val="0"/>
          <w:numId w:val="85"/>
        </w:numPr>
        <w:spacing w:line="360" w:lineRule="auto"/>
        <w:jc w:val="both"/>
        <w:rPr>
          <w:rFonts w:ascii="Arial" w:hAnsi="Arial" w:cs="Arial"/>
          <w:sz w:val="22"/>
          <w:szCs w:val="22"/>
        </w:rPr>
      </w:pPr>
      <w:r w:rsidRPr="00F259D3">
        <w:rPr>
          <w:rFonts w:ascii="Arial" w:hAnsi="Arial" w:cs="Arial"/>
          <w:sz w:val="22"/>
          <w:szCs w:val="22"/>
        </w:rPr>
        <w:t xml:space="preserve">Decantadores Primarios </w:t>
      </w:r>
    </w:p>
    <w:p w14:paraId="761326A4" w14:textId="77777777" w:rsidR="00A95DF9" w:rsidRPr="00F259D3" w:rsidRDefault="00A95DF9" w:rsidP="00C4100D">
      <w:pPr>
        <w:pStyle w:val="Default"/>
        <w:numPr>
          <w:ilvl w:val="0"/>
          <w:numId w:val="85"/>
        </w:numPr>
        <w:spacing w:line="360" w:lineRule="auto"/>
        <w:jc w:val="both"/>
        <w:rPr>
          <w:rFonts w:ascii="Arial" w:hAnsi="Arial" w:cs="Arial"/>
          <w:sz w:val="22"/>
          <w:szCs w:val="22"/>
        </w:rPr>
      </w:pPr>
      <w:r w:rsidRPr="00F259D3">
        <w:rPr>
          <w:rFonts w:ascii="Arial" w:hAnsi="Arial" w:cs="Arial"/>
          <w:sz w:val="22"/>
          <w:szCs w:val="22"/>
        </w:rPr>
        <w:t xml:space="preserve">Reactor biológico </w:t>
      </w:r>
    </w:p>
    <w:p w14:paraId="57BE4A1A" w14:textId="77777777" w:rsidR="00A95DF9" w:rsidRPr="00F259D3" w:rsidRDefault="00A95DF9" w:rsidP="00C4100D">
      <w:pPr>
        <w:pStyle w:val="Default"/>
        <w:numPr>
          <w:ilvl w:val="0"/>
          <w:numId w:val="85"/>
        </w:numPr>
        <w:spacing w:line="360" w:lineRule="auto"/>
        <w:jc w:val="both"/>
        <w:rPr>
          <w:rFonts w:ascii="Arial" w:hAnsi="Arial" w:cs="Arial"/>
          <w:sz w:val="22"/>
          <w:szCs w:val="22"/>
        </w:rPr>
      </w:pPr>
      <w:r w:rsidRPr="00F259D3">
        <w:rPr>
          <w:rFonts w:ascii="Arial" w:hAnsi="Arial" w:cs="Arial"/>
          <w:sz w:val="22"/>
          <w:szCs w:val="22"/>
        </w:rPr>
        <w:t xml:space="preserve">Decantadores Secundarios </w:t>
      </w:r>
    </w:p>
    <w:p w14:paraId="3A2DB045" w14:textId="77777777" w:rsidR="00A95DF9" w:rsidRPr="00F259D3" w:rsidRDefault="00A95DF9" w:rsidP="00C4100D">
      <w:pPr>
        <w:pStyle w:val="Default"/>
        <w:numPr>
          <w:ilvl w:val="0"/>
          <w:numId w:val="85"/>
        </w:numPr>
        <w:spacing w:line="360" w:lineRule="auto"/>
        <w:jc w:val="both"/>
        <w:rPr>
          <w:rFonts w:ascii="Arial" w:hAnsi="Arial" w:cs="Arial"/>
          <w:sz w:val="22"/>
          <w:szCs w:val="22"/>
        </w:rPr>
      </w:pPr>
      <w:r w:rsidRPr="00F259D3">
        <w:rPr>
          <w:rFonts w:ascii="Arial" w:hAnsi="Arial" w:cs="Arial"/>
          <w:sz w:val="22"/>
          <w:szCs w:val="22"/>
        </w:rPr>
        <w:t xml:space="preserve">Tratamiento de lodos primarios y secundarios mediante digestor anaeróbico </w:t>
      </w:r>
    </w:p>
    <w:p w14:paraId="05D02554" w14:textId="77777777" w:rsidR="00A95DF9" w:rsidRPr="00F259D3" w:rsidRDefault="00A95DF9" w:rsidP="00C4100D">
      <w:pPr>
        <w:pStyle w:val="Default"/>
        <w:numPr>
          <w:ilvl w:val="0"/>
          <w:numId w:val="85"/>
        </w:numPr>
        <w:spacing w:line="360" w:lineRule="auto"/>
        <w:jc w:val="both"/>
        <w:rPr>
          <w:rFonts w:ascii="Arial" w:hAnsi="Arial" w:cs="Arial"/>
          <w:sz w:val="22"/>
          <w:szCs w:val="22"/>
        </w:rPr>
      </w:pPr>
      <w:r w:rsidRPr="00F259D3">
        <w:rPr>
          <w:rFonts w:ascii="Arial" w:hAnsi="Arial" w:cs="Arial"/>
          <w:sz w:val="22"/>
          <w:szCs w:val="22"/>
        </w:rPr>
        <w:t xml:space="preserve">Deshidratación de lodos estabilizados con equipo centrifugo </w:t>
      </w:r>
    </w:p>
    <w:p w14:paraId="1D34CE53" w14:textId="77777777" w:rsidR="00A95DF9" w:rsidRPr="00F259D3" w:rsidRDefault="00A95DF9" w:rsidP="00B3473B">
      <w:pPr>
        <w:spacing w:after="100" w:afterAutospacing="1" w:line="240" w:lineRule="auto"/>
        <w:rPr>
          <w:rFonts w:ascii="Arial" w:hAnsi="Arial" w:cs="Arial"/>
        </w:rPr>
      </w:pPr>
      <w:r w:rsidRPr="00F259D3">
        <w:rPr>
          <w:rFonts w:ascii="Arial" w:hAnsi="Arial" w:cs="Arial"/>
        </w:rPr>
        <w:t xml:space="preserve">Se planificó la construcción de 28 módulos para un tratamiento de nivel secundario. </w:t>
      </w:r>
    </w:p>
    <w:p w14:paraId="0DDC1295" w14:textId="77777777" w:rsidR="00A95DF9" w:rsidRPr="00F259D3" w:rsidRDefault="00A95DF9" w:rsidP="00B3473B">
      <w:pPr>
        <w:spacing w:after="100" w:afterAutospacing="1" w:line="240" w:lineRule="auto"/>
        <w:rPr>
          <w:rFonts w:ascii="Arial" w:hAnsi="Arial" w:cs="Arial"/>
        </w:rPr>
      </w:pPr>
      <w:r w:rsidRPr="00F259D3">
        <w:rPr>
          <w:rFonts w:ascii="Arial" w:hAnsi="Arial" w:cs="Arial"/>
        </w:rPr>
        <w:t xml:space="preserve">Los módulos proyectados cuentas con las siguientes capacidades de tratamiento: </w:t>
      </w:r>
    </w:p>
    <w:p w14:paraId="4EC19C18" w14:textId="77777777" w:rsidR="00A95DF9" w:rsidRPr="00F259D3" w:rsidRDefault="00A95DF9" w:rsidP="00C4100D">
      <w:pPr>
        <w:pStyle w:val="Default"/>
        <w:numPr>
          <w:ilvl w:val="0"/>
          <w:numId w:val="85"/>
        </w:numPr>
        <w:spacing w:line="360" w:lineRule="auto"/>
        <w:jc w:val="both"/>
        <w:rPr>
          <w:rFonts w:ascii="Arial" w:hAnsi="Arial" w:cs="Arial"/>
          <w:sz w:val="22"/>
          <w:szCs w:val="22"/>
        </w:rPr>
      </w:pPr>
      <w:r w:rsidRPr="00F259D3">
        <w:rPr>
          <w:rFonts w:ascii="Arial" w:hAnsi="Arial" w:cs="Arial"/>
          <w:sz w:val="22"/>
          <w:szCs w:val="22"/>
        </w:rPr>
        <w:t xml:space="preserve">Caudal promedio diario: 0,9 m³/s </w:t>
      </w:r>
    </w:p>
    <w:p w14:paraId="748E26DF" w14:textId="77777777" w:rsidR="00A95DF9" w:rsidRPr="00F259D3" w:rsidRDefault="00A95DF9" w:rsidP="00C4100D">
      <w:pPr>
        <w:pStyle w:val="Default"/>
        <w:numPr>
          <w:ilvl w:val="0"/>
          <w:numId w:val="85"/>
        </w:numPr>
        <w:spacing w:line="360" w:lineRule="auto"/>
        <w:jc w:val="both"/>
        <w:rPr>
          <w:rFonts w:ascii="Arial" w:hAnsi="Arial" w:cs="Arial"/>
          <w:sz w:val="22"/>
          <w:szCs w:val="22"/>
        </w:rPr>
      </w:pPr>
      <w:r w:rsidRPr="00F259D3">
        <w:rPr>
          <w:rFonts w:ascii="Arial" w:hAnsi="Arial" w:cs="Arial"/>
          <w:sz w:val="22"/>
          <w:szCs w:val="22"/>
        </w:rPr>
        <w:t xml:space="preserve">Caudal diario en horas pico: 1,35 m³/s </w:t>
      </w:r>
    </w:p>
    <w:p w14:paraId="0C763745" w14:textId="77777777" w:rsidR="00A95DF9" w:rsidRPr="00F259D3" w:rsidRDefault="00A95DF9" w:rsidP="00C4100D">
      <w:pPr>
        <w:pStyle w:val="Default"/>
        <w:numPr>
          <w:ilvl w:val="0"/>
          <w:numId w:val="85"/>
        </w:numPr>
        <w:spacing w:line="360" w:lineRule="auto"/>
        <w:jc w:val="both"/>
        <w:rPr>
          <w:rFonts w:ascii="Arial" w:hAnsi="Arial" w:cs="Arial"/>
          <w:sz w:val="22"/>
          <w:szCs w:val="22"/>
        </w:rPr>
      </w:pPr>
      <w:r w:rsidRPr="00F259D3">
        <w:rPr>
          <w:rFonts w:ascii="Arial" w:hAnsi="Arial" w:cs="Arial"/>
          <w:sz w:val="22"/>
          <w:szCs w:val="22"/>
        </w:rPr>
        <w:t xml:space="preserve">Factor para caudal pico de proceso: 1,5 </w:t>
      </w:r>
    </w:p>
    <w:p w14:paraId="2E330817" w14:textId="77777777" w:rsidR="00A95DF9" w:rsidRPr="00F259D3" w:rsidRDefault="00A95DF9" w:rsidP="00C4100D">
      <w:pPr>
        <w:pStyle w:val="Default"/>
        <w:numPr>
          <w:ilvl w:val="0"/>
          <w:numId w:val="85"/>
        </w:numPr>
        <w:spacing w:line="360" w:lineRule="auto"/>
        <w:jc w:val="both"/>
        <w:rPr>
          <w:rFonts w:ascii="Arial" w:hAnsi="Arial" w:cs="Arial"/>
          <w:sz w:val="22"/>
          <w:szCs w:val="22"/>
        </w:rPr>
      </w:pPr>
      <w:r w:rsidRPr="00F259D3">
        <w:rPr>
          <w:rFonts w:ascii="Arial" w:hAnsi="Arial" w:cs="Arial"/>
          <w:sz w:val="22"/>
          <w:szCs w:val="22"/>
        </w:rPr>
        <w:t xml:space="preserve">Carga promedio: 60 g/hab/dia. </w:t>
      </w:r>
    </w:p>
    <w:p w14:paraId="76CA32C5" w14:textId="77777777" w:rsidR="00A95DF9" w:rsidRPr="00F259D3" w:rsidRDefault="00A95DF9" w:rsidP="00C4100D">
      <w:pPr>
        <w:pStyle w:val="Default"/>
        <w:numPr>
          <w:ilvl w:val="0"/>
          <w:numId w:val="85"/>
        </w:numPr>
        <w:spacing w:line="360" w:lineRule="auto"/>
        <w:jc w:val="both"/>
        <w:rPr>
          <w:rFonts w:ascii="Arial" w:hAnsi="Arial" w:cs="Arial"/>
          <w:sz w:val="22"/>
          <w:szCs w:val="22"/>
        </w:rPr>
      </w:pPr>
      <w:r w:rsidRPr="00F259D3">
        <w:rPr>
          <w:rFonts w:ascii="Arial" w:hAnsi="Arial" w:cs="Arial"/>
          <w:sz w:val="22"/>
          <w:szCs w:val="22"/>
        </w:rPr>
        <w:t>Descarga inferior a 30 mg/l de DBO5</w:t>
      </w:r>
    </w:p>
    <w:p w14:paraId="460A964B" w14:textId="77777777" w:rsidR="00A95DF9" w:rsidRPr="00F259D3" w:rsidRDefault="00A95DF9" w:rsidP="00C4100D">
      <w:pPr>
        <w:pStyle w:val="Default"/>
        <w:numPr>
          <w:ilvl w:val="0"/>
          <w:numId w:val="85"/>
        </w:numPr>
        <w:spacing w:line="360" w:lineRule="auto"/>
        <w:jc w:val="both"/>
        <w:rPr>
          <w:rFonts w:ascii="Arial" w:hAnsi="Arial" w:cs="Arial"/>
          <w:sz w:val="22"/>
          <w:szCs w:val="22"/>
        </w:rPr>
      </w:pPr>
      <w:r w:rsidRPr="00F259D3">
        <w:rPr>
          <w:rFonts w:ascii="Arial" w:hAnsi="Arial" w:cs="Arial"/>
          <w:sz w:val="22"/>
          <w:szCs w:val="22"/>
        </w:rPr>
        <w:t xml:space="preserve">Población equivalente aproximada de cada modulo: 300.000 habitantes </w:t>
      </w:r>
    </w:p>
    <w:p w14:paraId="1F349649" w14:textId="77777777" w:rsidR="00A95DF9" w:rsidRPr="00F259D3" w:rsidRDefault="00A95DF9" w:rsidP="0087147E">
      <w:pPr>
        <w:pStyle w:val="Default"/>
        <w:spacing w:before="240" w:after="60" w:line="360" w:lineRule="auto"/>
        <w:jc w:val="both"/>
        <w:rPr>
          <w:rFonts w:ascii="Arial" w:hAnsi="Arial" w:cs="Arial"/>
          <w:sz w:val="22"/>
          <w:szCs w:val="22"/>
        </w:rPr>
      </w:pPr>
      <w:r w:rsidRPr="00F259D3">
        <w:rPr>
          <w:rFonts w:ascii="Arial" w:hAnsi="Arial" w:cs="Arial"/>
          <w:sz w:val="22"/>
          <w:szCs w:val="22"/>
        </w:rPr>
        <w:t xml:space="preserve">En lo que refiere a la obra civil, se propone la construcción: </w:t>
      </w:r>
    </w:p>
    <w:p w14:paraId="3F763C98" w14:textId="77777777" w:rsidR="00A95DF9" w:rsidRPr="00F259D3" w:rsidRDefault="00A95DF9" w:rsidP="00C4100D">
      <w:pPr>
        <w:pStyle w:val="Default"/>
        <w:numPr>
          <w:ilvl w:val="0"/>
          <w:numId w:val="85"/>
        </w:numPr>
        <w:spacing w:line="360" w:lineRule="auto"/>
        <w:jc w:val="both"/>
        <w:rPr>
          <w:rFonts w:ascii="Arial" w:hAnsi="Arial" w:cs="Arial"/>
          <w:sz w:val="22"/>
          <w:szCs w:val="22"/>
        </w:rPr>
      </w:pPr>
      <w:r w:rsidRPr="00F259D3">
        <w:rPr>
          <w:rFonts w:ascii="Arial" w:hAnsi="Arial" w:cs="Arial"/>
          <w:sz w:val="22"/>
          <w:szCs w:val="22"/>
        </w:rPr>
        <w:t xml:space="preserve">Tanques de Aireación: que incluye la Cámara de entrada, la Cámara de salida y la Cámara de recirculación de lodos </w:t>
      </w:r>
    </w:p>
    <w:p w14:paraId="35FF7766" w14:textId="77777777" w:rsidR="00A95DF9" w:rsidRPr="00F259D3" w:rsidRDefault="00A95DF9" w:rsidP="00C4100D">
      <w:pPr>
        <w:pStyle w:val="Default"/>
        <w:numPr>
          <w:ilvl w:val="0"/>
          <w:numId w:val="85"/>
        </w:numPr>
        <w:spacing w:line="360" w:lineRule="auto"/>
        <w:jc w:val="both"/>
        <w:rPr>
          <w:rFonts w:ascii="Arial" w:hAnsi="Arial" w:cs="Arial"/>
          <w:sz w:val="22"/>
          <w:szCs w:val="22"/>
        </w:rPr>
      </w:pPr>
      <w:r w:rsidRPr="00F259D3">
        <w:rPr>
          <w:rFonts w:ascii="Arial" w:hAnsi="Arial" w:cs="Arial"/>
          <w:sz w:val="22"/>
          <w:szCs w:val="22"/>
        </w:rPr>
        <w:t xml:space="preserve">Cámara de medición de ingreso a aireación </w:t>
      </w:r>
    </w:p>
    <w:p w14:paraId="24945847" w14:textId="77777777" w:rsidR="00A95DF9" w:rsidRPr="00F259D3" w:rsidRDefault="00A95DF9" w:rsidP="00C4100D">
      <w:pPr>
        <w:pStyle w:val="Default"/>
        <w:numPr>
          <w:ilvl w:val="0"/>
          <w:numId w:val="85"/>
        </w:numPr>
        <w:spacing w:line="360" w:lineRule="auto"/>
        <w:jc w:val="both"/>
        <w:rPr>
          <w:rFonts w:ascii="Arial" w:hAnsi="Arial" w:cs="Arial"/>
          <w:sz w:val="22"/>
          <w:szCs w:val="22"/>
        </w:rPr>
      </w:pPr>
      <w:r w:rsidRPr="00F259D3">
        <w:rPr>
          <w:rFonts w:ascii="Arial" w:hAnsi="Arial" w:cs="Arial"/>
          <w:sz w:val="22"/>
          <w:szCs w:val="22"/>
        </w:rPr>
        <w:t xml:space="preserve">Edificio de soplantes </w:t>
      </w:r>
    </w:p>
    <w:p w14:paraId="6A0B558F" w14:textId="77777777" w:rsidR="00A95DF9" w:rsidRPr="00F259D3" w:rsidRDefault="00A95DF9" w:rsidP="00B3473B">
      <w:pPr>
        <w:spacing w:after="100" w:afterAutospacing="1" w:line="240" w:lineRule="auto"/>
        <w:rPr>
          <w:rFonts w:ascii="Arial" w:hAnsi="Arial" w:cs="Arial"/>
        </w:rPr>
      </w:pPr>
      <w:r w:rsidRPr="00F259D3">
        <w:rPr>
          <w:rFonts w:ascii="Arial" w:hAnsi="Arial" w:cs="Arial"/>
        </w:rPr>
        <w:t xml:space="preserve">Es necesario aclarar que el ítem “Edificio de soplantes” incluye la obra civil para la colocación de los equipos de aireación y de la parte eléctrica necesaria (transformadores y grupo electrógeno). </w:t>
      </w:r>
    </w:p>
    <w:p w14:paraId="4FDE50E0" w14:textId="77777777" w:rsidR="00A95DF9" w:rsidRPr="00F259D3" w:rsidRDefault="00A95DF9" w:rsidP="00B3473B">
      <w:pPr>
        <w:spacing w:after="100" w:afterAutospacing="1" w:line="240" w:lineRule="auto"/>
        <w:rPr>
          <w:rFonts w:ascii="Arial" w:hAnsi="Arial" w:cs="Arial"/>
        </w:rPr>
      </w:pPr>
      <w:r w:rsidRPr="00F259D3">
        <w:rPr>
          <w:rFonts w:ascii="Arial" w:hAnsi="Arial" w:cs="Arial"/>
        </w:rPr>
        <w:t xml:space="preserve">Respecto de la obra electromecánica, la provisión y el montaje se incluyen: </w:t>
      </w:r>
    </w:p>
    <w:p w14:paraId="1ED179DE" w14:textId="77777777" w:rsidR="00A95DF9" w:rsidRPr="00F259D3" w:rsidRDefault="00A95DF9" w:rsidP="00C4100D">
      <w:pPr>
        <w:pStyle w:val="Default"/>
        <w:numPr>
          <w:ilvl w:val="0"/>
          <w:numId w:val="85"/>
        </w:numPr>
        <w:spacing w:line="360" w:lineRule="auto"/>
        <w:jc w:val="both"/>
        <w:rPr>
          <w:rFonts w:ascii="Arial" w:hAnsi="Arial" w:cs="Arial"/>
          <w:sz w:val="22"/>
          <w:szCs w:val="22"/>
        </w:rPr>
      </w:pPr>
      <w:r w:rsidRPr="00F259D3">
        <w:rPr>
          <w:rFonts w:ascii="Arial" w:hAnsi="Arial" w:cs="Arial"/>
          <w:sz w:val="22"/>
          <w:szCs w:val="22"/>
        </w:rPr>
        <w:t xml:space="preserve">Soplantes de aire con cañerías de distribución a los tanques de aireación, </w:t>
      </w:r>
    </w:p>
    <w:p w14:paraId="653D00FA" w14:textId="77777777" w:rsidR="00A95DF9" w:rsidRPr="00F259D3" w:rsidRDefault="00A95DF9" w:rsidP="00C4100D">
      <w:pPr>
        <w:pStyle w:val="Default"/>
        <w:numPr>
          <w:ilvl w:val="0"/>
          <w:numId w:val="85"/>
        </w:numPr>
        <w:spacing w:line="360" w:lineRule="auto"/>
        <w:jc w:val="both"/>
        <w:rPr>
          <w:rFonts w:ascii="Arial" w:hAnsi="Arial" w:cs="Arial"/>
          <w:sz w:val="22"/>
          <w:szCs w:val="22"/>
        </w:rPr>
      </w:pPr>
      <w:r w:rsidRPr="00F259D3">
        <w:rPr>
          <w:rFonts w:ascii="Arial" w:hAnsi="Arial" w:cs="Arial"/>
          <w:sz w:val="22"/>
          <w:szCs w:val="22"/>
        </w:rPr>
        <w:t xml:space="preserve">Parrillas de distribución y soportes </w:t>
      </w:r>
    </w:p>
    <w:p w14:paraId="705B7406" w14:textId="77777777" w:rsidR="00A95DF9" w:rsidRPr="00F259D3" w:rsidRDefault="00A95DF9" w:rsidP="00C4100D">
      <w:pPr>
        <w:pStyle w:val="Default"/>
        <w:numPr>
          <w:ilvl w:val="0"/>
          <w:numId w:val="85"/>
        </w:numPr>
        <w:spacing w:line="360" w:lineRule="auto"/>
        <w:jc w:val="both"/>
        <w:rPr>
          <w:rFonts w:ascii="Arial" w:hAnsi="Arial" w:cs="Arial"/>
          <w:sz w:val="22"/>
          <w:szCs w:val="22"/>
        </w:rPr>
      </w:pPr>
      <w:r w:rsidRPr="00F259D3">
        <w:rPr>
          <w:rFonts w:ascii="Arial" w:hAnsi="Arial" w:cs="Arial"/>
          <w:sz w:val="22"/>
          <w:szCs w:val="22"/>
        </w:rPr>
        <w:t xml:space="preserve">Difusores de burbujas finas. </w:t>
      </w:r>
    </w:p>
    <w:p w14:paraId="7F7EF805" w14:textId="77777777" w:rsidR="00A95DF9" w:rsidRPr="00F259D3" w:rsidRDefault="00A95DF9" w:rsidP="00C4100D">
      <w:pPr>
        <w:pStyle w:val="Default"/>
        <w:numPr>
          <w:ilvl w:val="0"/>
          <w:numId w:val="85"/>
        </w:numPr>
        <w:spacing w:line="360" w:lineRule="auto"/>
        <w:jc w:val="both"/>
        <w:rPr>
          <w:rFonts w:ascii="Arial" w:hAnsi="Arial" w:cs="Arial"/>
          <w:sz w:val="22"/>
          <w:szCs w:val="22"/>
        </w:rPr>
      </w:pPr>
      <w:r w:rsidRPr="00F259D3">
        <w:rPr>
          <w:rFonts w:ascii="Arial" w:hAnsi="Arial" w:cs="Arial"/>
          <w:sz w:val="22"/>
          <w:szCs w:val="22"/>
        </w:rPr>
        <w:t xml:space="preserve">Clarificadores de succión para una recirculación del 100% al 150% </w:t>
      </w:r>
    </w:p>
    <w:p w14:paraId="44FDE31C" w14:textId="77777777" w:rsidR="00A95DF9" w:rsidRPr="00F259D3" w:rsidRDefault="00A95DF9" w:rsidP="00C4100D">
      <w:pPr>
        <w:pStyle w:val="Default"/>
        <w:numPr>
          <w:ilvl w:val="0"/>
          <w:numId w:val="85"/>
        </w:numPr>
        <w:spacing w:line="360" w:lineRule="auto"/>
        <w:jc w:val="both"/>
        <w:rPr>
          <w:rFonts w:ascii="Arial" w:hAnsi="Arial" w:cs="Arial"/>
          <w:sz w:val="22"/>
          <w:szCs w:val="22"/>
        </w:rPr>
      </w:pPr>
      <w:r w:rsidRPr="00F259D3">
        <w:rPr>
          <w:rFonts w:ascii="Arial" w:hAnsi="Arial" w:cs="Arial"/>
          <w:sz w:val="22"/>
          <w:szCs w:val="22"/>
        </w:rPr>
        <w:t xml:space="preserve">Conjunto de bombas de recirculación de lodos </w:t>
      </w:r>
    </w:p>
    <w:p w14:paraId="5AFE766C" w14:textId="24278B92" w:rsidR="00A95DF9" w:rsidRPr="00F259D3" w:rsidRDefault="00A95DF9" w:rsidP="00B3473B">
      <w:pPr>
        <w:spacing w:after="100" w:afterAutospacing="1" w:line="240" w:lineRule="auto"/>
        <w:rPr>
          <w:rFonts w:ascii="Arial" w:hAnsi="Arial" w:cs="Arial"/>
        </w:rPr>
      </w:pPr>
      <w:r w:rsidRPr="00F259D3">
        <w:rPr>
          <w:rFonts w:ascii="Arial" w:hAnsi="Arial" w:cs="Arial"/>
        </w:rPr>
        <w:t xml:space="preserve">El detalle técnico propuesto para la Alternativa 2 (Tratamiento Secundario) se presenta en el </w:t>
      </w:r>
      <w:r w:rsidRPr="0059118E">
        <w:rPr>
          <w:rFonts w:ascii="Arial" w:hAnsi="Arial" w:cs="Arial"/>
        </w:rPr>
        <w:t xml:space="preserve">Anexo </w:t>
      </w:r>
      <w:r w:rsidR="00FA7442">
        <w:rPr>
          <w:rFonts w:ascii="Arial" w:hAnsi="Arial" w:cs="Arial"/>
        </w:rPr>
        <w:t>7</w:t>
      </w:r>
      <w:r w:rsidRPr="00F259D3">
        <w:rPr>
          <w:rFonts w:ascii="Arial" w:hAnsi="Arial" w:cs="Arial"/>
        </w:rPr>
        <w:t xml:space="preserve"> de este documento. </w:t>
      </w:r>
    </w:p>
    <w:p w14:paraId="6F11F17C" w14:textId="77777777" w:rsidR="00A95DF9" w:rsidRPr="007965F7" w:rsidRDefault="00A95DF9" w:rsidP="0087147E">
      <w:pPr>
        <w:spacing w:line="360" w:lineRule="auto"/>
        <w:rPr>
          <w:rFonts w:ascii="Arial" w:hAnsi="Arial" w:cs="Arial"/>
        </w:rPr>
      </w:pPr>
    </w:p>
    <w:p w14:paraId="1E6A239A" w14:textId="379B0E40" w:rsidR="00A95DF9" w:rsidRPr="007965F7" w:rsidRDefault="00A95DF9" w:rsidP="002B0107">
      <w:pPr>
        <w:pStyle w:val="Heading2"/>
        <w:numPr>
          <w:ilvl w:val="0"/>
          <w:numId w:val="100"/>
        </w:numPr>
      </w:pPr>
      <w:bookmarkStart w:id="341" w:name="_Toc476322043"/>
      <w:bookmarkStart w:id="342" w:name="_Toc483227448"/>
      <w:bookmarkStart w:id="343" w:name="_Toc485200207"/>
      <w:r w:rsidRPr="007965F7">
        <w:t>Costos de inversión de las alternativa</w:t>
      </w:r>
      <w:bookmarkEnd w:id="341"/>
      <w:r w:rsidRPr="007965F7">
        <w:t>s</w:t>
      </w:r>
      <w:bookmarkEnd w:id="342"/>
      <w:bookmarkEnd w:id="343"/>
    </w:p>
    <w:p w14:paraId="68E480AB" w14:textId="712E2510" w:rsidR="00A95DF9" w:rsidRPr="007965F7" w:rsidRDefault="00A95DF9" w:rsidP="00B3473B">
      <w:pPr>
        <w:spacing w:after="100" w:afterAutospacing="1" w:line="240" w:lineRule="auto"/>
        <w:rPr>
          <w:rFonts w:ascii="Arial" w:hAnsi="Arial" w:cs="Arial"/>
        </w:rPr>
      </w:pPr>
      <w:r w:rsidRPr="007965F7">
        <w:rPr>
          <w:rFonts w:ascii="Arial" w:hAnsi="Arial" w:cs="Arial"/>
        </w:rPr>
        <w:t>El estudio de los costos de inversión resulta central para evaluar cuál de las dos alternativas es más conveniente para poner en marcha el proyecto de Berazategui.</w:t>
      </w:r>
      <w:r w:rsidR="007965F7" w:rsidRPr="007965F7">
        <w:rPr>
          <w:rFonts w:ascii="Arial" w:hAnsi="Arial" w:cs="Arial"/>
        </w:rPr>
        <w:t xml:space="preserve"> </w:t>
      </w:r>
      <w:r w:rsidRPr="007965F7">
        <w:rPr>
          <w:rFonts w:ascii="Arial" w:hAnsi="Arial" w:cs="Arial"/>
        </w:rPr>
        <w:t xml:space="preserve">A fin de simplificar el análisis, se evaluaron los costos de la obra civil para cada una de las dos alternativas, resultado que se presenta en el cuadro que sigue. </w:t>
      </w:r>
    </w:p>
    <w:p w14:paraId="21290307" w14:textId="77777777" w:rsidR="00A95DF9" w:rsidRPr="007965F7" w:rsidRDefault="00A95DF9" w:rsidP="00B3473B">
      <w:pPr>
        <w:spacing w:after="100" w:afterAutospacing="1" w:line="240" w:lineRule="auto"/>
        <w:rPr>
          <w:rFonts w:ascii="Arial" w:hAnsi="Arial" w:cs="Arial"/>
        </w:rPr>
      </w:pPr>
      <w:r w:rsidRPr="007965F7">
        <w:rPr>
          <w:rFonts w:ascii="Arial" w:hAnsi="Arial" w:cs="Arial"/>
        </w:rPr>
        <w:t>Debe precisarse que se registran los costos de inversión a precios de mercado y sin IVA para ambas opciones.</w:t>
      </w:r>
    </w:p>
    <w:p w14:paraId="458823F5" w14:textId="7CD24513" w:rsidR="00A95DF9" w:rsidRDefault="007965F7" w:rsidP="00984A1C">
      <w:pPr>
        <w:keepNext/>
        <w:keepLines/>
        <w:spacing w:after="0" w:line="240" w:lineRule="auto"/>
        <w:rPr>
          <w:b/>
        </w:rPr>
      </w:pPr>
      <w:r>
        <w:rPr>
          <w:b/>
        </w:rPr>
        <w:t>Cuadro IV-</w:t>
      </w:r>
      <w:r w:rsidR="00A95DF9">
        <w:rPr>
          <w:b/>
        </w:rPr>
        <w:t xml:space="preserve">1. Inversión </w:t>
      </w:r>
      <w:r w:rsidR="00A95DF9" w:rsidRPr="009C787B">
        <w:rPr>
          <w:b/>
        </w:rPr>
        <w:t>a Precios de Mercado</w:t>
      </w:r>
      <w:r w:rsidR="00A95DF9">
        <w:rPr>
          <w:b/>
        </w:rPr>
        <w:t xml:space="preserve">, </w:t>
      </w:r>
      <w:r w:rsidR="00A95DF9" w:rsidRPr="009C787B">
        <w:rPr>
          <w:b/>
        </w:rPr>
        <w:t>en miles de dólares</w:t>
      </w:r>
    </w:p>
    <w:tbl>
      <w:tblPr>
        <w:tblW w:w="5743" w:type="dxa"/>
        <w:tblInd w:w="55" w:type="dxa"/>
        <w:tblCellMar>
          <w:left w:w="70" w:type="dxa"/>
          <w:right w:w="70" w:type="dxa"/>
        </w:tblCellMar>
        <w:tblLook w:val="04A0" w:firstRow="1" w:lastRow="0" w:firstColumn="1" w:lastColumn="0" w:noHBand="0" w:noVBand="1"/>
      </w:tblPr>
      <w:tblGrid>
        <w:gridCol w:w="1063"/>
        <w:gridCol w:w="1780"/>
        <w:gridCol w:w="1420"/>
        <w:gridCol w:w="1480"/>
      </w:tblGrid>
      <w:tr w:rsidR="00A95DF9" w:rsidRPr="008C04DF" w14:paraId="7B1A854B" w14:textId="77777777" w:rsidTr="0087147E">
        <w:trPr>
          <w:trHeight w:val="285"/>
        </w:trPr>
        <w:tc>
          <w:tcPr>
            <w:tcW w:w="1063" w:type="dxa"/>
            <w:tcBorders>
              <w:top w:val="nil"/>
              <w:left w:val="nil"/>
              <w:bottom w:val="nil"/>
              <w:right w:val="nil"/>
            </w:tcBorders>
            <w:shd w:val="clear" w:color="000000" w:fill="FFFFFF"/>
            <w:noWrap/>
            <w:vAlign w:val="bottom"/>
            <w:hideMark/>
          </w:tcPr>
          <w:p w14:paraId="12D85449"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780" w:type="dxa"/>
            <w:tcBorders>
              <w:top w:val="nil"/>
              <w:left w:val="nil"/>
              <w:bottom w:val="nil"/>
              <w:right w:val="nil"/>
            </w:tcBorders>
            <w:shd w:val="clear" w:color="000000" w:fill="FFFFFF"/>
            <w:noWrap/>
            <w:vAlign w:val="bottom"/>
            <w:hideMark/>
          </w:tcPr>
          <w:p w14:paraId="102625AD"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4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2801752" w14:textId="77777777" w:rsidR="00A95DF9" w:rsidRPr="008C04DF" w:rsidRDefault="00A95DF9" w:rsidP="00984A1C">
            <w:pPr>
              <w:keepNext/>
              <w:keepLines/>
              <w:spacing w:after="0" w:line="240" w:lineRule="auto"/>
              <w:jc w:val="center"/>
              <w:rPr>
                <w:color w:val="000000"/>
                <w:sz w:val="20"/>
                <w:szCs w:val="20"/>
                <w:lang w:eastAsia="es-AR"/>
              </w:rPr>
            </w:pPr>
            <w:r w:rsidRPr="008C04DF">
              <w:rPr>
                <w:color w:val="000000"/>
                <w:sz w:val="20"/>
                <w:szCs w:val="20"/>
                <w:lang w:eastAsia="es-AR"/>
              </w:rPr>
              <w:t>Alternativa 1</w:t>
            </w:r>
          </w:p>
        </w:tc>
        <w:tc>
          <w:tcPr>
            <w:tcW w:w="1480" w:type="dxa"/>
            <w:tcBorders>
              <w:top w:val="single" w:sz="4" w:space="0" w:color="auto"/>
              <w:left w:val="nil"/>
              <w:bottom w:val="single" w:sz="4" w:space="0" w:color="auto"/>
              <w:right w:val="single" w:sz="4" w:space="0" w:color="auto"/>
            </w:tcBorders>
            <w:shd w:val="clear" w:color="000000" w:fill="FFFFFF"/>
            <w:vAlign w:val="center"/>
            <w:hideMark/>
          </w:tcPr>
          <w:p w14:paraId="270B647B" w14:textId="77777777" w:rsidR="00A95DF9" w:rsidRPr="008C04DF" w:rsidRDefault="00A95DF9" w:rsidP="00984A1C">
            <w:pPr>
              <w:keepNext/>
              <w:keepLines/>
              <w:spacing w:after="0" w:line="240" w:lineRule="auto"/>
              <w:jc w:val="center"/>
              <w:rPr>
                <w:color w:val="000000"/>
                <w:sz w:val="20"/>
                <w:szCs w:val="20"/>
                <w:lang w:eastAsia="es-AR"/>
              </w:rPr>
            </w:pPr>
            <w:r w:rsidRPr="008C04DF">
              <w:rPr>
                <w:color w:val="000000"/>
                <w:sz w:val="20"/>
                <w:szCs w:val="20"/>
                <w:lang w:eastAsia="es-AR"/>
              </w:rPr>
              <w:t>Alternativa 2</w:t>
            </w:r>
          </w:p>
        </w:tc>
      </w:tr>
      <w:tr w:rsidR="00A95DF9" w:rsidRPr="008C04DF" w14:paraId="1D35FFCE" w14:textId="77777777" w:rsidTr="0087147E">
        <w:trPr>
          <w:trHeight w:val="660"/>
        </w:trPr>
        <w:tc>
          <w:tcPr>
            <w:tcW w:w="1063" w:type="dxa"/>
            <w:tcBorders>
              <w:top w:val="nil"/>
              <w:left w:val="nil"/>
              <w:bottom w:val="nil"/>
              <w:right w:val="nil"/>
            </w:tcBorders>
            <w:shd w:val="clear" w:color="000000" w:fill="FFFFFF"/>
            <w:noWrap/>
            <w:vAlign w:val="bottom"/>
            <w:hideMark/>
          </w:tcPr>
          <w:p w14:paraId="43787A71"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780" w:type="dxa"/>
            <w:tcBorders>
              <w:top w:val="nil"/>
              <w:left w:val="nil"/>
              <w:bottom w:val="nil"/>
              <w:right w:val="nil"/>
            </w:tcBorders>
            <w:shd w:val="clear" w:color="000000" w:fill="FFFFFF"/>
            <w:noWrap/>
            <w:vAlign w:val="bottom"/>
            <w:hideMark/>
          </w:tcPr>
          <w:p w14:paraId="7FFE25FA"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420" w:type="dxa"/>
            <w:tcBorders>
              <w:top w:val="nil"/>
              <w:left w:val="single" w:sz="4" w:space="0" w:color="auto"/>
              <w:bottom w:val="single" w:sz="4" w:space="0" w:color="auto"/>
              <w:right w:val="single" w:sz="4" w:space="0" w:color="auto"/>
            </w:tcBorders>
            <w:shd w:val="clear" w:color="000000" w:fill="FFFFFF"/>
            <w:vAlign w:val="center"/>
            <w:hideMark/>
          </w:tcPr>
          <w:p w14:paraId="5403DB5C" w14:textId="77777777" w:rsidR="00A95DF9" w:rsidRPr="008C04DF" w:rsidRDefault="00A95DF9" w:rsidP="00984A1C">
            <w:pPr>
              <w:keepNext/>
              <w:keepLines/>
              <w:spacing w:after="0" w:line="240" w:lineRule="auto"/>
              <w:jc w:val="center"/>
              <w:rPr>
                <w:color w:val="000000"/>
                <w:sz w:val="20"/>
                <w:szCs w:val="20"/>
                <w:lang w:eastAsia="es-AR"/>
              </w:rPr>
            </w:pPr>
            <w:r w:rsidRPr="008C04DF">
              <w:rPr>
                <w:color w:val="000000"/>
                <w:sz w:val="20"/>
                <w:szCs w:val="20"/>
                <w:lang w:eastAsia="es-AR"/>
              </w:rPr>
              <w:t>Nuevo Emisario</w:t>
            </w:r>
          </w:p>
        </w:tc>
        <w:tc>
          <w:tcPr>
            <w:tcW w:w="1480" w:type="dxa"/>
            <w:tcBorders>
              <w:top w:val="nil"/>
              <w:left w:val="nil"/>
              <w:bottom w:val="single" w:sz="4" w:space="0" w:color="auto"/>
              <w:right w:val="single" w:sz="4" w:space="0" w:color="auto"/>
            </w:tcBorders>
            <w:shd w:val="clear" w:color="000000" w:fill="FFFFFF"/>
            <w:vAlign w:val="center"/>
            <w:hideMark/>
          </w:tcPr>
          <w:p w14:paraId="330335DC" w14:textId="77777777" w:rsidR="00A95DF9" w:rsidRPr="008C04DF" w:rsidRDefault="00A95DF9" w:rsidP="00984A1C">
            <w:pPr>
              <w:keepNext/>
              <w:keepLines/>
              <w:spacing w:after="0" w:line="240" w:lineRule="auto"/>
              <w:jc w:val="center"/>
              <w:rPr>
                <w:color w:val="000000"/>
                <w:sz w:val="20"/>
                <w:szCs w:val="20"/>
                <w:lang w:eastAsia="es-AR"/>
              </w:rPr>
            </w:pPr>
            <w:r w:rsidRPr="008C04DF">
              <w:rPr>
                <w:color w:val="000000"/>
                <w:sz w:val="20"/>
                <w:szCs w:val="20"/>
                <w:lang w:eastAsia="es-AR"/>
              </w:rPr>
              <w:t>Tratamiento Secundario</w:t>
            </w:r>
          </w:p>
        </w:tc>
      </w:tr>
      <w:tr w:rsidR="00A95DF9" w:rsidRPr="008C04DF" w14:paraId="54AC685A" w14:textId="77777777" w:rsidTr="0087147E">
        <w:trPr>
          <w:trHeight w:val="285"/>
        </w:trPr>
        <w:tc>
          <w:tcPr>
            <w:tcW w:w="1063" w:type="dxa"/>
            <w:tcBorders>
              <w:top w:val="nil"/>
              <w:left w:val="nil"/>
              <w:bottom w:val="nil"/>
              <w:right w:val="nil"/>
            </w:tcBorders>
            <w:shd w:val="clear" w:color="000000" w:fill="FFFFFF"/>
            <w:noWrap/>
            <w:vAlign w:val="bottom"/>
            <w:hideMark/>
          </w:tcPr>
          <w:p w14:paraId="3BA3553B"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780" w:type="dxa"/>
            <w:tcBorders>
              <w:top w:val="nil"/>
              <w:left w:val="nil"/>
              <w:bottom w:val="nil"/>
              <w:right w:val="nil"/>
            </w:tcBorders>
            <w:shd w:val="clear" w:color="000000" w:fill="FFFFFF"/>
            <w:noWrap/>
            <w:vAlign w:val="bottom"/>
            <w:hideMark/>
          </w:tcPr>
          <w:p w14:paraId="040998A5"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420" w:type="dxa"/>
            <w:tcBorders>
              <w:top w:val="nil"/>
              <w:left w:val="nil"/>
              <w:bottom w:val="nil"/>
              <w:right w:val="nil"/>
            </w:tcBorders>
            <w:shd w:val="clear" w:color="000000" w:fill="FFFFFF"/>
            <w:noWrap/>
            <w:vAlign w:val="bottom"/>
            <w:hideMark/>
          </w:tcPr>
          <w:p w14:paraId="7F31AE1B"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480" w:type="dxa"/>
            <w:tcBorders>
              <w:top w:val="nil"/>
              <w:left w:val="nil"/>
              <w:bottom w:val="nil"/>
              <w:right w:val="nil"/>
            </w:tcBorders>
            <w:shd w:val="clear" w:color="000000" w:fill="FFFFFF"/>
            <w:noWrap/>
            <w:vAlign w:val="bottom"/>
            <w:hideMark/>
          </w:tcPr>
          <w:p w14:paraId="2FF13C8B"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r>
      <w:tr w:rsidR="00A95DF9" w:rsidRPr="008C04DF" w14:paraId="7555C038" w14:textId="77777777" w:rsidTr="0087147E">
        <w:trPr>
          <w:trHeight w:val="285"/>
        </w:trPr>
        <w:tc>
          <w:tcPr>
            <w:tcW w:w="2843" w:type="dxa"/>
            <w:gridSpan w:val="2"/>
            <w:tcBorders>
              <w:top w:val="single" w:sz="4" w:space="0" w:color="auto"/>
              <w:left w:val="single" w:sz="4" w:space="0" w:color="auto"/>
              <w:bottom w:val="single" w:sz="4" w:space="0" w:color="auto"/>
              <w:right w:val="single" w:sz="4" w:space="0" w:color="000000"/>
            </w:tcBorders>
            <w:shd w:val="clear" w:color="000000" w:fill="FFFFFF"/>
            <w:noWrap/>
            <w:vAlign w:val="bottom"/>
            <w:hideMark/>
          </w:tcPr>
          <w:p w14:paraId="752C25F3"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Mano de obra</w:t>
            </w:r>
          </w:p>
        </w:tc>
        <w:tc>
          <w:tcPr>
            <w:tcW w:w="1420" w:type="dxa"/>
            <w:tcBorders>
              <w:top w:val="single" w:sz="4" w:space="0" w:color="auto"/>
              <w:left w:val="nil"/>
              <w:bottom w:val="single" w:sz="4" w:space="0" w:color="auto"/>
              <w:right w:val="single" w:sz="4" w:space="0" w:color="auto"/>
            </w:tcBorders>
            <w:shd w:val="clear" w:color="000000" w:fill="FFFFFF"/>
            <w:noWrap/>
            <w:vAlign w:val="bottom"/>
            <w:hideMark/>
          </w:tcPr>
          <w:p w14:paraId="39B8D2A4" w14:textId="77777777" w:rsidR="00A95DF9" w:rsidRPr="008C04DF" w:rsidRDefault="00A95DF9" w:rsidP="00984A1C">
            <w:pPr>
              <w:keepNext/>
              <w:keepLines/>
              <w:spacing w:after="0" w:line="240" w:lineRule="auto"/>
              <w:jc w:val="right"/>
              <w:rPr>
                <w:color w:val="000000"/>
                <w:sz w:val="20"/>
                <w:szCs w:val="20"/>
                <w:lang w:eastAsia="es-AR"/>
              </w:rPr>
            </w:pPr>
            <w:r w:rsidRPr="008C04DF">
              <w:rPr>
                <w:color w:val="000000"/>
                <w:sz w:val="20"/>
                <w:szCs w:val="20"/>
                <w:lang w:eastAsia="es-AR"/>
              </w:rPr>
              <w:t>7.951</w:t>
            </w:r>
          </w:p>
        </w:tc>
        <w:tc>
          <w:tcPr>
            <w:tcW w:w="1480" w:type="dxa"/>
            <w:tcBorders>
              <w:top w:val="single" w:sz="4" w:space="0" w:color="auto"/>
              <w:left w:val="nil"/>
              <w:bottom w:val="single" w:sz="4" w:space="0" w:color="auto"/>
              <w:right w:val="single" w:sz="4" w:space="0" w:color="auto"/>
            </w:tcBorders>
            <w:shd w:val="clear" w:color="000000" w:fill="FFFFFF"/>
            <w:noWrap/>
            <w:vAlign w:val="bottom"/>
            <w:hideMark/>
          </w:tcPr>
          <w:p w14:paraId="02759EB2" w14:textId="77777777" w:rsidR="00A95DF9" w:rsidRPr="008C04DF" w:rsidRDefault="00A95DF9" w:rsidP="00984A1C">
            <w:pPr>
              <w:keepNext/>
              <w:keepLines/>
              <w:spacing w:after="0" w:line="240" w:lineRule="auto"/>
              <w:jc w:val="right"/>
              <w:rPr>
                <w:color w:val="000000"/>
                <w:sz w:val="20"/>
                <w:szCs w:val="20"/>
                <w:lang w:eastAsia="es-AR"/>
              </w:rPr>
            </w:pPr>
            <w:r w:rsidRPr="008C04DF">
              <w:rPr>
                <w:color w:val="000000"/>
                <w:sz w:val="20"/>
                <w:szCs w:val="20"/>
                <w:lang w:eastAsia="es-AR"/>
              </w:rPr>
              <w:t>205.546</w:t>
            </w:r>
          </w:p>
        </w:tc>
      </w:tr>
      <w:tr w:rsidR="00A95DF9" w:rsidRPr="008C04DF" w14:paraId="56FAC6DD" w14:textId="77777777" w:rsidTr="0087147E">
        <w:trPr>
          <w:trHeight w:val="285"/>
        </w:trPr>
        <w:tc>
          <w:tcPr>
            <w:tcW w:w="1063" w:type="dxa"/>
            <w:tcBorders>
              <w:top w:val="nil"/>
              <w:left w:val="single" w:sz="4" w:space="0" w:color="auto"/>
              <w:bottom w:val="nil"/>
              <w:right w:val="nil"/>
            </w:tcBorders>
            <w:shd w:val="clear" w:color="000000" w:fill="FFFFFF"/>
            <w:noWrap/>
            <w:vAlign w:val="bottom"/>
            <w:hideMark/>
          </w:tcPr>
          <w:p w14:paraId="75BC0EF7"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780" w:type="dxa"/>
            <w:tcBorders>
              <w:top w:val="nil"/>
              <w:left w:val="nil"/>
              <w:bottom w:val="nil"/>
              <w:right w:val="single" w:sz="4" w:space="0" w:color="auto"/>
            </w:tcBorders>
            <w:shd w:val="clear" w:color="000000" w:fill="FFFFFF"/>
            <w:noWrap/>
            <w:vAlign w:val="bottom"/>
            <w:hideMark/>
          </w:tcPr>
          <w:p w14:paraId="4A971CC8"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Calificada</w:t>
            </w:r>
          </w:p>
        </w:tc>
        <w:tc>
          <w:tcPr>
            <w:tcW w:w="1420" w:type="dxa"/>
            <w:tcBorders>
              <w:top w:val="nil"/>
              <w:left w:val="nil"/>
              <w:bottom w:val="nil"/>
              <w:right w:val="single" w:sz="4" w:space="0" w:color="auto"/>
            </w:tcBorders>
            <w:shd w:val="clear" w:color="000000" w:fill="FFFFFF"/>
            <w:noWrap/>
            <w:vAlign w:val="bottom"/>
            <w:hideMark/>
          </w:tcPr>
          <w:p w14:paraId="2237F2A9" w14:textId="77777777" w:rsidR="00A95DF9" w:rsidRPr="008C04DF" w:rsidRDefault="00A95DF9" w:rsidP="00984A1C">
            <w:pPr>
              <w:keepNext/>
              <w:keepLines/>
              <w:spacing w:after="0" w:line="240" w:lineRule="auto"/>
              <w:jc w:val="right"/>
              <w:rPr>
                <w:color w:val="000000"/>
                <w:sz w:val="20"/>
                <w:szCs w:val="20"/>
                <w:lang w:eastAsia="es-AR"/>
              </w:rPr>
            </w:pPr>
            <w:r w:rsidRPr="008C04DF">
              <w:rPr>
                <w:color w:val="000000"/>
                <w:sz w:val="20"/>
                <w:szCs w:val="20"/>
                <w:lang w:eastAsia="es-AR"/>
              </w:rPr>
              <w:t>795</w:t>
            </w:r>
          </w:p>
        </w:tc>
        <w:tc>
          <w:tcPr>
            <w:tcW w:w="1480" w:type="dxa"/>
            <w:tcBorders>
              <w:top w:val="nil"/>
              <w:left w:val="nil"/>
              <w:bottom w:val="nil"/>
              <w:right w:val="single" w:sz="4" w:space="0" w:color="auto"/>
            </w:tcBorders>
            <w:shd w:val="clear" w:color="000000" w:fill="FFFFFF"/>
            <w:noWrap/>
            <w:vAlign w:val="bottom"/>
            <w:hideMark/>
          </w:tcPr>
          <w:p w14:paraId="5764F43E" w14:textId="77777777" w:rsidR="00A95DF9" w:rsidRPr="008C04DF" w:rsidRDefault="00A95DF9" w:rsidP="00984A1C">
            <w:pPr>
              <w:keepNext/>
              <w:keepLines/>
              <w:spacing w:after="0" w:line="240" w:lineRule="auto"/>
              <w:jc w:val="right"/>
              <w:rPr>
                <w:color w:val="000000"/>
                <w:sz w:val="20"/>
                <w:szCs w:val="20"/>
                <w:lang w:eastAsia="es-AR"/>
              </w:rPr>
            </w:pPr>
            <w:r w:rsidRPr="008C04DF">
              <w:rPr>
                <w:color w:val="000000"/>
                <w:sz w:val="20"/>
                <w:szCs w:val="20"/>
                <w:lang w:eastAsia="es-AR"/>
              </w:rPr>
              <w:t>69.886</w:t>
            </w:r>
          </w:p>
        </w:tc>
      </w:tr>
      <w:tr w:rsidR="00A95DF9" w:rsidRPr="008C04DF" w14:paraId="212DCEBD" w14:textId="77777777" w:rsidTr="0087147E">
        <w:trPr>
          <w:trHeight w:val="285"/>
        </w:trPr>
        <w:tc>
          <w:tcPr>
            <w:tcW w:w="1063" w:type="dxa"/>
            <w:tcBorders>
              <w:top w:val="nil"/>
              <w:left w:val="single" w:sz="4" w:space="0" w:color="auto"/>
              <w:bottom w:val="nil"/>
              <w:right w:val="nil"/>
            </w:tcBorders>
            <w:shd w:val="clear" w:color="000000" w:fill="FFFFFF"/>
            <w:noWrap/>
            <w:vAlign w:val="bottom"/>
            <w:hideMark/>
          </w:tcPr>
          <w:p w14:paraId="6DABEC0B"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780" w:type="dxa"/>
            <w:tcBorders>
              <w:top w:val="nil"/>
              <w:left w:val="nil"/>
              <w:bottom w:val="nil"/>
              <w:right w:val="single" w:sz="4" w:space="0" w:color="auto"/>
            </w:tcBorders>
            <w:shd w:val="clear" w:color="000000" w:fill="FFFFFF"/>
            <w:noWrap/>
            <w:vAlign w:val="bottom"/>
            <w:hideMark/>
          </w:tcPr>
          <w:p w14:paraId="778B4114"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No calificada</w:t>
            </w:r>
          </w:p>
        </w:tc>
        <w:tc>
          <w:tcPr>
            <w:tcW w:w="1420" w:type="dxa"/>
            <w:tcBorders>
              <w:top w:val="nil"/>
              <w:left w:val="nil"/>
              <w:bottom w:val="nil"/>
              <w:right w:val="single" w:sz="4" w:space="0" w:color="auto"/>
            </w:tcBorders>
            <w:shd w:val="clear" w:color="000000" w:fill="FFFFFF"/>
            <w:noWrap/>
            <w:vAlign w:val="bottom"/>
            <w:hideMark/>
          </w:tcPr>
          <w:p w14:paraId="344C8970" w14:textId="77777777" w:rsidR="00A95DF9" w:rsidRPr="008C04DF" w:rsidRDefault="00A95DF9" w:rsidP="00984A1C">
            <w:pPr>
              <w:keepNext/>
              <w:keepLines/>
              <w:spacing w:after="0" w:line="240" w:lineRule="auto"/>
              <w:jc w:val="right"/>
              <w:rPr>
                <w:color w:val="000000"/>
                <w:sz w:val="20"/>
                <w:szCs w:val="20"/>
                <w:lang w:eastAsia="es-AR"/>
              </w:rPr>
            </w:pPr>
            <w:r w:rsidRPr="008C04DF">
              <w:rPr>
                <w:color w:val="000000"/>
                <w:sz w:val="20"/>
                <w:szCs w:val="20"/>
                <w:lang w:eastAsia="es-AR"/>
              </w:rPr>
              <w:t>7.156</w:t>
            </w:r>
          </w:p>
        </w:tc>
        <w:tc>
          <w:tcPr>
            <w:tcW w:w="1480" w:type="dxa"/>
            <w:tcBorders>
              <w:top w:val="nil"/>
              <w:left w:val="nil"/>
              <w:bottom w:val="nil"/>
              <w:right w:val="single" w:sz="4" w:space="0" w:color="auto"/>
            </w:tcBorders>
            <w:shd w:val="clear" w:color="000000" w:fill="FFFFFF"/>
            <w:noWrap/>
            <w:vAlign w:val="bottom"/>
            <w:hideMark/>
          </w:tcPr>
          <w:p w14:paraId="77415A30" w14:textId="77777777" w:rsidR="00A95DF9" w:rsidRPr="008C04DF" w:rsidRDefault="00A95DF9" w:rsidP="00984A1C">
            <w:pPr>
              <w:keepNext/>
              <w:keepLines/>
              <w:spacing w:after="0" w:line="240" w:lineRule="auto"/>
              <w:jc w:val="right"/>
              <w:rPr>
                <w:color w:val="000000"/>
                <w:sz w:val="20"/>
                <w:szCs w:val="20"/>
                <w:lang w:eastAsia="es-AR"/>
              </w:rPr>
            </w:pPr>
            <w:r w:rsidRPr="008C04DF">
              <w:rPr>
                <w:color w:val="000000"/>
                <w:sz w:val="20"/>
                <w:szCs w:val="20"/>
                <w:lang w:eastAsia="es-AR"/>
              </w:rPr>
              <w:t>135.660</w:t>
            </w:r>
          </w:p>
        </w:tc>
      </w:tr>
      <w:tr w:rsidR="00A95DF9" w:rsidRPr="008C04DF" w14:paraId="1A960CB8" w14:textId="77777777" w:rsidTr="0087147E">
        <w:trPr>
          <w:trHeight w:val="285"/>
        </w:trPr>
        <w:tc>
          <w:tcPr>
            <w:tcW w:w="1063" w:type="dxa"/>
            <w:tcBorders>
              <w:top w:val="nil"/>
              <w:left w:val="single" w:sz="4" w:space="0" w:color="auto"/>
              <w:bottom w:val="nil"/>
              <w:right w:val="nil"/>
            </w:tcBorders>
            <w:shd w:val="clear" w:color="000000" w:fill="FFFFFF"/>
            <w:noWrap/>
            <w:vAlign w:val="bottom"/>
            <w:hideMark/>
          </w:tcPr>
          <w:p w14:paraId="7560E054"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780" w:type="dxa"/>
            <w:tcBorders>
              <w:top w:val="nil"/>
              <w:left w:val="nil"/>
              <w:bottom w:val="nil"/>
              <w:right w:val="single" w:sz="4" w:space="0" w:color="auto"/>
            </w:tcBorders>
            <w:shd w:val="clear" w:color="000000" w:fill="FFFFFF"/>
            <w:noWrap/>
            <w:vAlign w:val="bottom"/>
            <w:hideMark/>
          </w:tcPr>
          <w:p w14:paraId="208AF526"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420" w:type="dxa"/>
            <w:tcBorders>
              <w:top w:val="nil"/>
              <w:left w:val="nil"/>
              <w:bottom w:val="nil"/>
              <w:right w:val="single" w:sz="4" w:space="0" w:color="auto"/>
            </w:tcBorders>
            <w:shd w:val="clear" w:color="000000" w:fill="FFFFFF"/>
            <w:noWrap/>
            <w:vAlign w:val="bottom"/>
            <w:hideMark/>
          </w:tcPr>
          <w:p w14:paraId="0DEB6562"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480" w:type="dxa"/>
            <w:tcBorders>
              <w:top w:val="nil"/>
              <w:left w:val="nil"/>
              <w:bottom w:val="nil"/>
              <w:right w:val="single" w:sz="4" w:space="0" w:color="auto"/>
            </w:tcBorders>
            <w:shd w:val="clear" w:color="000000" w:fill="FFFFFF"/>
            <w:noWrap/>
            <w:vAlign w:val="bottom"/>
            <w:hideMark/>
          </w:tcPr>
          <w:p w14:paraId="1A9D2B62"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r>
      <w:tr w:rsidR="00A95DF9" w:rsidRPr="008C04DF" w14:paraId="4A13AE3C" w14:textId="77777777" w:rsidTr="0087147E">
        <w:trPr>
          <w:trHeight w:val="285"/>
        </w:trPr>
        <w:tc>
          <w:tcPr>
            <w:tcW w:w="1063" w:type="dxa"/>
            <w:tcBorders>
              <w:top w:val="single" w:sz="4" w:space="0" w:color="auto"/>
              <w:left w:val="single" w:sz="4" w:space="0" w:color="auto"/>
              <w:bottom w:val="single" w:sz="4" w:space="0" w:color="auto"/>
              <w:right w:val="nil"/>
            </w:tcBorders>
            <w:shd w:val="clear" w:color="000000" w:fill="FFFFFF"/>
            <w:noWrap/>
            <w:vAlign w:val="bottom"/>
            <w:hideMark/>
          </w:tcPr>
          <w:p w14:paraId="0972B894"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Materiales</w:t>
            </w:r>
          </w:p>
        </w:tc>
        <w:tc>
          <w:tcPr>
            <w:tcW w:w="1780" w:type="dxa"/>
            <w:tcBorders>
              <w:top w:val="single" w:sz="4" w:space="0" w:color="auto"/>
              <w:left w:val="nil"/>
              <w:bottom w:val="single" w:sz="4" w:space="0" w:color="auto"/>
              <w:right w:val="single" w:sz="4" w:space="0" w:color="auto"/>
            </w:tcBorders>
            <w:shd w:val="clear" w:color="000000" w:fill="FFFFFF"/>
            <w:noWrap/>
            <w:vAlign w:val="bottom"/>
            <w:hideMark/>
          </w:tcPr>
          <w:p w14:paraId="111FAF0E"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420" w:type="dxa"/>
            <w:tcBorders>
              <w:top w:val="single" w:sz="4" w:space="0" w:color="auto"/>
              <w:left w:val="nil"/>
              <w:bottom w:val="single" w:sz="4" w:space="0" w:color="auto"/>
              <w:right w:val="single" w:sz="4" w:space="0" w:color="auto"/>
            </w:tcBorders>
            <w:shd w:val="clear" w:color="000000" w:fill="FFFFFF"/>
            <w:noWrap/>
            <w:vAlign w:val="bottom"/>
            <w:hideMark/>
          </w:tcPr>
          <w:p w14:paraId="078B62CA" w14:textId="77777777" w:rsidR="00A95DF9" w:rsidRPr="008C04DF" w:rsidRDefault="00A95DF9" w:rsidP="00984A1C">
            <w:pPr>
              <w:keepNext/>
              <w:keepLines/>
              <w:spacing w:after="0" w:line="240" w:lineRule="auto"/>
              <w:jc w:val="right"/>
              <w:rPr>
                <w:color w:val="000000"/>
                <w:sz w:val="20"/>
                <w:szCs w:val="20"/>
                <w:lang w:eastAsia="es-AR"/>
              </w:rPr>
            </w:pPr>
            <w:r w:rsidRPr="008C04DF">
              <w:rPr>
                <w:color w:val="000000"/>
                <w:sz w:val="20"/>
                <w:szCs w:val="20"/>
                <w:lang w:eastAsia="es-AR"/>
              </w:rPr>
              <w:t>147.891</w:t>
            </w:r>
          </w:p>
        </w:tc>
        <w:tc>
          <w:tcPr>
            <w:tcW w:w="1480" w:type="dxa"/>
            <w:tcBorders>
              <w:top w:val="single" w:sz="4" w:space="0" w:color="auto"/>
              <w:left w:val="nil"/>
              <w:bottom w:val="single" w:sz="4" w:space="0" w:color="auto"/>
              <w:right w:val="single" w:sz="4" w:space="0" w:color="auto"/>
            </w:tcBorders>
            <w:shd w:val="clear" w:color="000000" w:fill="FFFFFF"/>
            <w:noWrap/>
            <w:vAlign w:val="bottom"/>
            <w:hideMark/>
          </w:tcPr>
          <w:p w14:paraId="0959836D" w14:textId="77777777" w:rsidR="00A95DF9" w:rsidRPr="008C04DF" w:rsidRDefault="00A95DF9" w:rsidP="00984A1C">
            <w:pPr>
              <w:keepNext/>
              <w:keepLines/>
              <w:spacing w:after="0" w:line="240" w:lineRule="auto"/>
              <w:jc w:val="right"/>
              <w:rPr>
                <w:color w:val="000000"/>
                <w:sz w:val="20"/>
                <w:szCs w:val="20"/>
                <w:lang w:eastAsia="es-AR"/>
              </w:rPr>
            </w:pPr>
            <w:r w:rsidRPr="008C04DF">
              <w:rPr>
                <w:color w:val="000000"/>
                <w:sz w:val="20"/>
                <w:szCs w:val="20"/>
                <w:lang w:eastAsia="es-AR"/>
              </w:rPr>
              <w:t>276.019</w:t>
            </w:r>
          </w:p>
        </w:tc>
      </w:tr>
      <w:tr w:rsidR="00A95DF9" w:rsidRPr="008C04DF" w14:paraId="4B0B53B1" w14:textId="77777777" w:rsidTr="0087147E">
        <w:trPr>
          <w:trHeight w:val="285"/>
        </w:trPr>
        <w:tc>
          <w:tcPr>
            <w:tcW w:w="1063" w:type="dxa"/>
            <w:tcBorders>
              <w:top w:val="nil"/>
              <w:left w:val="single" w:sz="4" w:space="0" w:color="auto"/>
              <w:bottom w:val="nil"/>
              <w:right w:val="nil"/>
            </w:tcBorders>
            <w:shd w:val="clear" w:color="000000" w:fill="FFFFFF"/>
            <w:noWrap/>
            <w:vAlign w:val="bottom"/>
            <w:hideMark/>
          </w:tcPr>
          <w:p w14:paraId="70101221"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780" w:type="dxa"/>
            <w:tcBorders>
              <w:top w:val="nil"/>
              <w:left w:val="nil"/>
              <w:bottom w:val="nil"/>
              <w:right w:val="single" w:sz="4" w:space="0" w:color="auto"/>
            </w:tcBorders>
            <w:shd w:val="clear" w:color="000000" w:fill="FFFFFF"/>
            <w:noWrap/>
            <w:vAlign w:val="bottom"/>
            <w:hideMark/>
          </w:tcPr>
          <w:p w14:paraId="33947021"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Nacionales</w:t>
            </w:r>
          </w:p>
        </w:tc>
        <w:tc>
          <w:tcPr>
            <w:tcW w:w="1420" w:type="dxa"/>
            <w:tcBorders>
              <w:top w:val="nil"/>
              <w:left w:val="nil"/>
              <w:bottom w:val="nil"/>
              <w:right w:val="single" w:sz="4" w:space="0" w:color="auto"/>
            </w:tcBorders>
            <w:shd w:val="clear" w:color="000000" w:fill="FFFFFF"/>
            <w:noWrap/>
            <w:vAlign w:val="bottom"/>
            <w:hideMark/>
          </w:tcPr>
          <w:p w14:paraId="609E6A71" w14:textId="77777777" w:rsidR="00A95DF9" w:rsidRPr="008C04DF" w:rsidRDefault="00A95DF9" w:rsidP="00984A1C">
            <w:pPr>
              <w:keepNext/>
              <w:keepLines/>
              <w:spacing w:after="0" w:line="240" w:lineRule="auto"/>
              <w:jc w:val="right"/>
              <w:rPr>
                <w:color w:val="000000"/>
                <w:sz w:val="20"/>
                <w:szCs w:val="20"/>
                <w:lang w:eastAsia="es-AR"/>
              </w:rPr>
            </w:pPr>
            <w:r w:rsidRPr="008C04DF">
              <w:rPr>
                <w:color w:val="000000"/>
                <w:sz w:val="20"/>
                <w:szCs w:val="20"/>
                <w:lang w:eastAsia="es-AR"/>
              </w:rPr>
              <w:t>56.199</w:t>
            </w:r>
          </w:p>
        </w:tc>
        <w:tc>
          <w:tcPr>
            <w:tcW w:w="1480" w:type="dxa"/>
            <w:tcBorders>
              <w:top w:val="nil"/>
              <w:left w:val="nil"/>
              <w:bottom w:val="nil"/>
              <w:right w:val="single" w:sz="4" w:space="0" w:color="auto"/>
            </w:tcBorders>
            <w:shd w:val="clear" w:color="000000" w:fill="FFFFFF"/>
            <w:noWrap/>
            <w:vAlign w:val="bottom"/>
            <w:hideMark/>
          </w:tcPr>
          <w:p w14:paraId="386663B1" w14:textId="77777777" w:rsidR="00A95DF9" w:rsidRPr="008C04DF" w:rsidRDefault="00A95DF9" w:rsidP="00984A1C">
            <w:pPr>
              <w:keepNext/>
              <w:keepLines/>
              <w:spacing w:after="0" w:line="240" w:lineRule="auto"/>
              <w:jc w:val="right"/>
              <w:rPr>
                <w:color w:val="000000"/>
                <w:sz w:val="20"/>
                <w:szCs w:val="20"/>
                <w:lang w:eastAsia="es-AR"/>
              </w:rPr>
            </w:pPr>
            <w:r w:rsidRPr="008C04DF">
              <w:rPr>
                <w:color w:val="000000"/>
                <w:sz w:val="20"/>
                <w:szCs w:val="20"/>
                <w:lang w:eastAsia="es-AR"/>
              </w:rPr>
              <w:t>245.656</w:t>
            </w:r>
          </w:p>
        </w:tc>
      </w:tr>
      <w:tr w:rsidR="00A95DF9" w:rsidRPr="008C04DF" w14:paraId="06F20BA4" w14:textId="77777777" w:rsidTr="0087147E">
        <w:trPr>
          <w:trHeight w:val="285"/>
        </w:trPr>
        <w:tc>
          <w:tcPr>
            <w:tcW w:w="1063" w:type="dxa"/>
            <w:tcBorders>
              <w:top w:val="nil"/>
              <w:left w:val="single" w:sz="4" w:space="0" w:color="auto"/>
              <w:bottom w:val="nil"/>
              <w:right w:val="nil"/>
            </w:tcBorders>
            <w:shd w:val="clear" w:color="000000" w:fill="FFFFFF"/>
            <w:noWrap/>
            <w:vAlign w:val="bottom"/>
            <w:hideMark/>
          </w:tcPr>
          <w:p w14:paraId="0C9697B4"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780" w:type="dxa"/>
            <w:tcBorders>
              <w:top w:val="nil"/>
              <w:left w:val="nil"/>
              <w:bottom w:val="nil"/>
              <w:right w:val="single" w:sz="4" w:space="0" w:color="auto"/>
            </w:tcBorders>
            <w:shd w:val="clear" w:color="000000" w:fill="FFFFFF"/>
            <w:noWrap/>
            <w:vAlign w:val="bottom"/>
            <w:hideMark/>
          </w:tcPr>
          <w:p w14:paraId="0846852C"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Importados</w:t>
            </w:r>
          </w:p>
        </w:tc>
        <w:tc>
          <w:tcPr>
            <w:tcW w:w="1420" w:type="dxa"/>
            <w:tcBorders>
              <w:top w:val="nil"/>
              <w:left w:val="nil"/>
              <w:bottom w:val="nil"/>
              <w:right w:val="single" w:sz="4" w:space="0" w:color="auto"/>
            </w:tcBorders>
            <w:shd w:val="clear" w:color="000000" w:fill="FFFFFF"/>
            <w:noWrap/>
            <w:vAlign w:val="bottom"/>
            <w:hideMark/>
          </w:tcPr>
          <w:p w14:paraId="146FA5FB" w14:textId="77777777" w:rsidR="00A95DF9" w:rsidRPr="008C04DF" w:rsidRDefault="00A95DF9" w:rsidP="00984A1C">
            <w:pPr>
              <w:keepNext/>
              <w:keepLines/>
              <w:spacing w:after="0" w:line="240" w:lineRule="auto"/>
              <w:jc w:val="right"/>
              <w:rPr>
                <w:color w:val="000000"/>
                <w:sz w:val="20"/>
                <w:szCs w:val="20"/>
                <w:lang w:eastAsia="es-AR"/>
              </w:rPr>
            </w:pPr>
            <w:r w:rsidRPr="008C04DF">
              <w:rPr>
                <w:color w:val="000000"/>
                <w:sz w:val="20"/>
                <w:szCs w:val="20"/>
                <w:lang w:eastAsia="es-AR"/>
              </w:rPr>
              <w:t>91.692</w:t>
            </w:r>
          </w:p>
        </w:tc>
        <w:tc>
          <w:tcPr>
            <w:tcW w:w="1480" w:type="dxa"/>
            <w:tcBorders>
              <w:top w:val="nil"/>
              <w:left w:val="nil"/>
              <w:bottom w:val="nil"/>
              <w:right w:val="single" w:sz="4" w:space="0" w:color="auto"/>
            </w:tcBorders>
            <w:shd w:val="clear" w:color="000000" w:fill="FFFFFF"/>
            <w:noWrap/>
            <w:vAlign w:val="bottom"/>
            <w:hideMark/>
          </w:tcPr>
          <w:p w14:paraId="1A3F3C1E" w14:textId="77777777" w:rsidR="00A95DF9" w:rsidRPr="008C04DF" w:rsidRDefault="00A95DF9" w:rsidP="00984A1C">
            <w:pPr>
              <w:keepNext/>
              <w:keepLines/>
              <w:spacing w:after="0" w:line="240" w:lineRule="auto"/>
              <w:jc w:val="right"/>
              <w:rPr>
                <w:color w:val="000000"/>
                <w:sz w:val="20"/>
                <w:szCs w:val="20"/>
                <w:lang w:eastAsia="es-AR"/>
              </w:rPr>
            </w:pPr>
            <w:r w:rsidRPr="008C04DF">
              <w:rPr>
                <w:color w:val="000000"/>
                <w:sz w:val="20"/>
                <w:szCs w:val="20"/>
                <w:lang w:eastAsia="es-AR"/>
              </w:rPr>
              <w:t>30.362</w:t>
            </w:r>
          </w:p>
        </w:tc>
      </w:tr>
      <w:tr w:rsidR="00A95DF9" w:rsidRPr="008C04DF" w14:paraId="56273652" w14:textId="77777777" w:rsidTr="0087147E">
        <w:trPr>
          <w:trHeight w:val="285"/>
        </w:trPr>
        <w:tc>
          <w:tcPr>
            <w:tcW w:w="1063" w:type="dxa"/>
            <w:tcBorders>
              <w:top w:val="nil"/>
              <w:left w:val="single" w:sz="4" w:space="0" w:color="auto"/>
              <w:bottom w:val="nil"/>
              <w:right w:val="nil"/>
            </w:tcBorders>
            <w:shd w:val="clear" w:color="000000" w:fill="FFFFFF"/>
            <w:noWrap/>
            <w:vAlign w:val="bottom"/>
            <w:hideMark/>
          </w:tcPr>
          <w:p w14:paraId="0EB543A9"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780" w:type="dxa"/>
            <w:tcBorders>
              <w:top w:val="nil"/>
              <w:left w:val="nil"/>
              <w:bottom w:val="nil"/>
              <w:right w:val="single" w:sz="4" w:space="0" w:color="auto"/>
            </w:tcBorders>
            <w:shd w:val="clear" w:color="000000" w:fill="FFFFFF"/>
            <w:noWrap/>
            <w:vAlign w:val="bottom"/>
            <w:hideMark/>
          </w:tcPr>
          <w:p w14:paraId="5AF15CE5"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420" w:type="dxa"/>
            <w:tcBorders>
              <w:top w:val="nil"/>
              <w:left w:val="nil"/>
              <w:bottom w:val="nil"/>
              <w:right w:val="single" w:sz="4" w:space="0" w:color="auto"/>
            </w:tcBorders>
            <w:shd w:val="clear" w:color="000000" w:fill="FFFFFF"/>
            <w:noWrap/>
            <w:vAlign w:val="bottom"/>
            <w:hideMark/>
          </w:tcPr>
          <w:p w14:paraId="7885A75D"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480" w:type="dxa"/>
            <w:tcBorders>
              <w:top w:val="nil"/>
              <w:left w:val="nil"/>
              <w:bottom w:val="nil"/>
              <w:right w:val="single" w:sz="4" w:space="0" w:color="auto"/>
            </w:tcBorders>
            <w:shd w:val="clear" w:color="000000" w:fill="FFFFFF"/>
            <w:noWrap/>
            <w:vAlign w:val="bottom"/>
            <w:hideMark/>
          </w:tcPr>
          <w:p w14:paraId="3A728363"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r>
      <w:tr w:rsidR="00A95DF9" w:rsidRPr="008C04DF" w14:paraId="2DDA4A4D" w14:textId="77777777" w:rsidTr="0087147E">
        <w:trPr>
          <w:trHeight w:val="285"/>
        </w:trPr>
        <w:tc>
          <w:tcPr>
            <w:tcW w:w="1063" w:type="dxa"/>
            <w:tcBorders>
              <w:top w:val="single" w:sz="4" w:space="0" w:color="auto"/>
              <w:left w:val="single" w:sz="4" w:space="0" w:color="auto"/>
              <w:bottom w:val="single" w:sz="4" w:space="0" w:color="auto"/>
              <w:right w:val="nil"/>
            </w:tcBorders>
            <w:shd w:val="clear" w:color="000000" w:fill="FFFFFF"/>
            <w:noWrap/>
            <w:vAlign w:val="bottom"/>
            <w:hideMark/>
          </w:tcPr>
          <w:p w14:paraId="395BBAF6"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Equipos</w:t>
            </w:r>
          </w:p>
        </w:tc>
        <w:tc>
          <w:tcPr>
            <w:tcW w:w="1780" w:type="dxa"/>
            <w:tcBorders>
              <w:top w:val="single" w:sz="4" w:space="0" w:color="auto"/>
              <w:left w:val="nil"/>
              <w:bottom w:val="single" w:sz="4" w:space="0" w:color="auto"/>
              <w:right w:val="single" w:sz="4" w:space="0" w:color="auto"/>
            </w:tcBorders>
            <w:shd w:val="clear" w:color="000000" w:fill="FFFFFF"/>
            <w:noWrap/>
            <w:vAlign w:val="bottom"/>
            <w:hideMark/>
          </w:tcPr>
          <w:p w14:paraId="0F203AAC"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420" w:type="dxa"/>
            <w:tcBorders>
              <w:top w:val="single" w:sz="4" w:space="0" w:color="auto"/>
              <w:left w:val="nil"/>
              <w:bottom w:val="single" w:sz="4" w:space="0" w:color="auto"/>
              <w:right w:val="single" w:sz="4" w:space="0" w:color="auto"/>
            </w:tcBorders>
            <w:shd w:val="clear" w:color="000000" w:fill="FFFFFF"/>
            <w:noWrap/>
            <w:vAlign w:val="bottom"/>
            <w:hideMark/>
          </w:tcPr>
          <w:p w14:paraId="6277A103" w14:textId="77777777" w:rsidR="00A95DF9" w:rsidRPr="008C04DF" w:rsidRDefault="00A95DF9" w:rsidP="00984A1C">
            <w:pPr>
              <w:keepNext/>
              <w:keepLines/>
              <w:spacing w:after="0" w:line="240" w:lineRule="auto"/>
              <w:jc w:val="right"/>
              <w:rPr>
                <w:color w:val="000000"/>
                <w:sz w:val="20"/>
                <w:szCs w:val="20"/>
                <w:lang w:eastAsia="es-AR"/>
              </w:rPr>
            </w:pPr>
            <w:r w:rsidRPr="008C04DF">
              <w:rPr>
                <w:color w:val="000000"/>
                <w:sz w:val="20"/>
                <w:szCs w:val="20"/>
                <w:lang w:eastAsia="es-AR"/>
              </w:rPr>
              <w:t>3.180</w:t>
            </w:r>
          </w:p>
        </w:tc>
        <w:tc>
          <w:tcPr>
            <w:tcW w:w="1480" w:type="dxa"/>
            <w:tcBorders>
              <w:top w:val="single" w:sz="4" w:space="0" w:color="auto"/>
              <w:left w:val="nil"/>
              <w:bottom w:val="single" w:sz="4" w:space="0" w:color="auto"/>
              <w:right w:val="single" w:sz="4" w:space="0" w:color="auto"/>
            </w:tcBorders>
            <w:shd w:val="clear" w:color="000000" w:fill="FFFFFF"/>
            <w:noWrap/>
            <w:vAlign w:val="bottom"/>
            <w:hideMark/>
          </w:tcPr>
          <w:p w14:paraId="2268E9B3" w14:textId="77777777" w:rsidR="00A95DF9" w:rsidRPr="008C04DF" w:rsidRDefault="00A95DF9" w:rsidP="00984A1C">
            <w:pPr>
              <w:keepNext/>
              <w:keepLines/>
              <w:spacing w:after="0" w:line="240" w:lineRule="auto"/>
              <w:jc w:val="right"/>
              <w:rPr>
                <w:color w:val="000000"/>
                <w:sz w:val="20"/>
                <w:szCs w:val="20"/>
                <w:lang w:eastAsia="es-AR"/>
              </w:rPr>
            </w:pPr>
            <w:r w:rsidRPr="008C04DF">
              <w:rPr>
                <w:color w:val="000000"/>
                <w:sz w:val="20"/>
                <w:szCs w:val="20"/>
                <w:lang w:eastAsia="es-AR"/>
              </w:rPr>
              <w:t>76.346</w:t>
            </w:r>
          </w:p>
        </w:tc>
      </w:tr>
      <w:tr w:rsidR="00A95DF9" w:rsidRPr="008C04DF" w14:paraId="172741DA" w14:textId="77777777" w:rsidTr="0087147E">
        <w:trPr>
          <w:trHeight w:val="285"/>
        </w:trPr>
        <w:tc>
          <w:tcPr>
            <w:tcW w:w="1063" w:type="dxa"/>
            <w:tcBorders>
              <w:top w:val="nil"/>
              <w:left w:val="single" w:sz="4" w:space="0" w:color="auto"/>
              <w:bottom w:val="nil"/>
              <w:right w:val="nil"/>
            </w:tcBorders>
            <w:shd w:val="clear" w:color="000000" w:fill="FFFFFF"/>
            <w:noWrap/>
            <w:vAlign w:val="bottom"/>
            <w:hideMark/>
          </w:tcPr>
          <w:p w14:paraId="2A613062"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780" w:type="dxa"/>
            <w:tcBorders>
              <w:top w:val="nil"/>
              <w:left w:val="nil"/>
              <w:bottom w:val="nil"/>
              <w:right w:val="single" w:sz="4" w:space="0" w:color="auto"/>
            </w:tcBorders>
            <w:shd w:val="clear" w:color="000000" w:fill="FFFFFF"/>
            <w:noWrap/>
            <w:vAlign w:val="bottom"/>
            <w:hideMark/>
          </w:tcPr>
          <w:p w14:paraId="6D89F338"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420" w:type="dxa"/>
            <w:tcBorders>
              <w:top w:val="nil"/>
              <w:left w:val="nil"/>
              <w:bottom w:val="nil"/>
              <w:right w:val="single" w:sz="4" w:space="0" w:color="auto"/>
            </w:tcBorders>
            <w:shd w:val="clear" w:color="000000" w:fill="FFFFFF"/>
            <w:noWrap/>
            <w:vAlign w:val="bottom"/>
            <w:hideMark/>
          </w:tcPr>
          <w:p w14:paraId="6044A074"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480" w:type="dxa"/>
            <w:tcBorders>
              <w:top w:val="nil"/>
              <w:left w:val="nil"/>
              <w:bottom w:val="nil"/>
              <w:right w:val="single" w:sz="4" w:space="0" w:color="auto"/>
            </w:tcBorders>
            <w:shd w:val="clear" w:color="000000" w:fill="FFFFFF"/>
            <w:noWrap/>
            <w:vAlign w:val="bottom"/>
            <w:hideMark/>
          </w:tcPr>
          <w:p w14:paraId="43CC7EBF"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r>
      <w:tr w:rsidR="00A95DF9" w:rsidRPr="008C04DF" w14:paraId="2E0CB4F7" w14:textId="77777777" w:rsidTr="0087147E">
        <w:trPr>
          <w:trHeight w:val="285"/>
        </w:trPr>
        <w:tc>
          <w:tcPr>
            <w:tcW w:w="2843" w:type="dxa"/>
            <w:gridSpan w:val="2"/>
            <w:tcBorders>
              <w:top w:val="single" w:sz="4" w:space="0" w:color="auto"/>
              <w:left w:val="single" w:sz="4" w:space="0" w:color="auto"/>
              <w:bottom w:val="single" w:sz="4" w:space="0" w:color="auto"/>
              <w:right w:val="single" w:sz="4" w:space="0" w:color="000000"/>
            </w:tcBorders>
            <w:shd w:val="clear" w:color="000000" w:fill="FFFFFF"/>
            <w:noWrap/>
            <w:vAlign w:val="bottom"/>
            <w:hideMark/>
          </w:tcPr>
          <w:p w14:paraId="58160137"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Combustible y energía</w:t>
            </w:r>
          </w:p>
        </w:tc>
        <w:tc>
          <w:tcPr>
            <w:tcW w:w="1420" w:type="dxa"/>
            <w:tcBorders>
              <w:top w:val="single" w:sz="4" w:space="0" w:color="auto"/>
              <w:left w:val="nil"/>
              <w:bottom w:val="single" w:sz="4" w:space="0" w:color="auto"/>
              <w:right w:val="single" w:sz="4" w:space="0" w:color="auto"/>
            </w:tcBorders>
            <w:shd w:val="clear" w:color="000000" w:fill="FFFFFF"/>
            <w:noWrap/>
            <w:vAlign w:val="bottom"/>
            <w:hideMark/>
          </w:tcPr>
          <w:p w14:paraId="5F397D96" w14:textId="77777777" w:rsidR="00A95DF9" w:rsidRPr="008C04DF" w:rsidRDefault="00A95DF9" w:rsidP="00984A1C">
            <w:pPr>
              <w:keepNext/>
              <w:keepLines/>
              <w:spacing w:after="0" w:line="240" w:lineRule="auto"/>
              <w:jc w:val="right"/>
              <w:rPr>
                <w:color w:val="000000"/>
                <w:sz w:val="20"/>
                <w:szCs w:val="20"/>
                <w:lang w:eastAsia="es-AR"/>
              </w:rPr>
            </w:pPr>
            <w:r w:rsidRPr="008C04DF">
              <w:rPr>
                <w:color w:val="000000"/>
                <w:sz w:val="20"/>
                <w:szCs w:val="20"/>
                <w:lang w:eastAsia="es-AR"/>
              </w:rPr>
              <w:t>0</w:t>
            </w:r>
          </w:p>
        </w:tc>
        <w:tc>
          <w:tcPr>
            <w:tcW w:w="1480" w:type="dxa"/>
            <w:tcBorders>
              <w:top w:val="single" w:sz="4" w:space="0" w:color="auto"/>
              <w:left w:val="nil"/>
              <w:bottom w:val="single" w:sz="4" w:space="0" w:color="auto"/>
              <w:right w:val="single" w:sz="4" w:space="0" w:color="auto"/>
            </w:tcBorders>
            <w:shd w:val="clear" w:color="000000" w:fill="FFFFFF"/>
            <w:noWrap/>
            <w:vAlign w:val="bottom"/>
            <w:hideMark/>
          </w:tcPr>
          <w:p w14:paraId="3B93BED5" w14:textId="77777777" w:rsidR="00A95DF9" w:rsidRPr="008C04DF" w:rsidRDefault="00A95DF9" w:rsidP="00984A1C">
            <w:pPr>
              <w:keepNext/>
              <w:keepLines/>
              <w:spacing w:after="0" w:line="240" w:lineRule="auto"/>
              <w:jc w:val="right"/>
              <w:rPr>
                <w:color w:val="000000"/>
                <w:sz w:val="20"/>
                <w:szCs w:val="20"/>
                <w:lang w:eastAsia="es-AR"/>
              </w:rPr>
            </w:pPr>
            <w:r w:rsidRPr="008C04DF">
              <w:rPr>
                <w:color w:val="000000"/>
                <w:sz w:val="20"/>
                <w:szCs w:val="20"/>
                <w:lang w:eastAsia="es-AR"/>
              </w:rPr>
              <w:t>29.364</w:t>
            </w:r>
          </w:p>
        </w:tc>
      </w:tr>
      <w:tr w:rsidR="00A95DF9" w:rsidRPr="008C04DF" w14:paraId="3DDD98A3" w14:textId="77777777" w:rsidTr="0087147E">
        <w:trPr>
          <w:trHeight w:val="285"/>
        </w:trPr>
        <w:tc>
          <w:tcPr>
            <w:tcW w:w="1063" w:type="dxa"/>
            <w:tcBorders>
              <w:top w:val="nil"/>
              <w:left w:val="single" w:sz="4" w:space="0" w:color="auto"/>
              <w:bottom w:val="nil"/>
              <w:right w:val="nil"/>
            </w:tcBorders>
            <w:shd w:val="clear" w:color="000000" w:fill="FFFFFF"/>
            <w:noWrap/>
            <w:vAlign w:val="bottom"/>
            <w:hideMark/>
          </w:tcPr>
          <w:p w14:paraId="38873B6D"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780" w:type="dxa"/>
            <w:tcBorders>
              <w:top w:val="nil"/>
              <w:left w:val="nil"/>
              <w:bottom w:val="nil"/>
              <w:right w:val="single" w:sz="4" w:space="0" w:color="auto"/>
            </w:tcBorders>
            <w:shd w:val="clear" w:color="000000" w:fill="FFFFFF"/>
            <w:noWrap/>
            <w:vAlign w:val="bottom"/>
            <w:hideMark/>
          </w:tcPr>
          <w:p w14:paraId="36FF9A51"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420" w:type="dxa"/>
            <w:tcBorders>
              <w:top w:val="nil"/>
              <w:left w:val="nil"/>
              <w:bottom w:val="nil"/>
              <w:right w:val="single" w:sz="4" w:space="0" w:color="auto"/>
            </w:tcBorders>
            <w:shd w:val="clear" w:color="000000" w:fill="FFFFFF"/>
            <w:noWrap/>
            <w:vAlign w:val="bottom"/>
            <w:hideMark/>
          </w:tcPr>
          <w:p w14:paraId="06CFE77A"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480" w:type="dxa"/>
            <w:tcBorders>
              <w:top w:val="nil"/>
              <w:left w:val="nil"/>
              <w:bottom w:val="nil"/>
              <w:right w:val="single" w:sz="4" w:space="0" w:color="auto"/>
            </w:tcBorders>
            <w:shd w:val="clear" w:color="000000" w:fill="FFFFFF"/>
            <w:noWrap/>
            <w:vAlign w:val="bottom"/>
            <w:hideMark/>
          </w:tcPr>
          <w:p w14:paraId="70EFE2D2"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r>
      <w:tr w:rsidR="00A95DF9" w:rsidRPr="008C04DF" w14:paraId="2217615A" w14:textId="77777777" w:rsidTr="0087147E">
        <w:trPr>
          <w:trHeight w:val="285"/>
        </w:trPr>
        <w:tc>
          <w:tcPr>
            <w:tcW w:w="1063" w:type="dxa"/>
            <w:tcBorders>
              <w:top w:val="single" w:sz="4" w:space="0" w:color="auto"/>
              <w:left w:val="single" w:sz="4" w:space="0" w:color="auto"/>
              <w:bottom w:val="single" w:sz="4" w:space="0" w:color="auto"/>
              <w:right w:val="nil"/>
            </w:tcBorders>
            <w:shd w:val="clear" w:color="000000" w:fill="FFFFFF"/>
            <w:noWrap/>
            <w:vAlign w:val="bottom"/>
            <w:hideMark/>
          </w:tcPr>
          <w:p w14:paraId="793572EA"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Beneficios</w:t>
            </w:r>
          </w:p>
        </w:tc>
        <w:tc>
          <w:tcPr>
            <w:tcW w:w="1780" w:type="dxa"/>
            <w:tcBorders>
              <w:top w:val="single" w:sz="4" w:space="0" w:color="auto"/>
              <w:left w:val="nil"/>
              <w:bottom w:val="single" w:sz="4" w:space="0" w:color="auto"/>
              <w:right w:val="single" w:sz="4" w:space="0" w:color="auto"/>
            </w:tcBorders>
            <w:shd w:val="clear" w:color="000000" w:fill="FFFFFF"/>
            <w:noWrap/>
            <w:vAlign w:val="bottom"/>
            <w:hideMark/>
          </w:tcPr>
          <w:p w14:paraId="128662B6"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420" w:type="dxa"/>
            <w:tcBorders>
              <w:top w:val="single" w:sz="4" w:space="0" w:color="auto"/>
              <w:left w:val="nil"/>
              <w:bottom w:val="single" w:sz="4" w:space="0" w:color="auto"/>
              <w:right w:val="single" w:sz="4" w:space="0" w:color="auto"/>
            </w:tcBorders>
            <w:shd w:val="clear" w:color="000000" w:fill="FFFFFF"/>
            <w:noWrap/>
            <w:vAlign w:val="bottom"/>
            <w:hideMark/>
          </w:tcPr>
          <w:p w14:paraId="4885A294" w14:textId="77777777" w:rsidR="00A95DF9" w:rsidRPr="008C04DF" w:rsidRDefault="00A95DF9" w:rsidP="00984A1C">
            <w:pPr>
              <w:keepNext/>
              <w:keepLines/>
              <w:spacing w:after="0" w:line="240" w:lineRule="auto"/>
              <w:jc w:val="right"/>
              <w:rPr>
                <w:color w:val="000000"/>
                <w:sz w:val="20"/>
                <w:szCs w:val="20"/>
                <w:lang w:eastAsia="es-AR"/>
              </w:rPr>
            </w:pPr>
            <w:r w:rsidRPr="008C04DF">
              <w:rPr>
                <w:color w:val="000000"/>
                <w:sz w:val="20"/>
                <w:szCs w:val="20"/>
                <w:lang w:eastAsia="es-AR"/>
              </w:rPr>
              <w:t>11.969</w:t>
            </w:r>
          </w:p>
        </w:tc>
        <w:tc>
          <w:tcPr>
            <w:tcW w:w="1480" w:type="dxa"/>
            <w:tcBorders>
              <w:top w:val="single" w:sz="4" w:space="0" w:color="auto"/>
              <w:left w:val="nil"/>
              <w:bottom w:val="single" w:sz="4" w:space="0" w:color="auto"/>
              <w:right w:val="single" w:sz="4" w:space="0" w:color="auto"/>
            </w:tcBorders>
            <w:shd w:val="clear" w:color="000000" w:fill="FFFFFF"/>
            <w:noWrap/>
            <w:vAlign w:val="bottom"/>
            <w:hideMark/>
          </w:tcPr>
          <w:p w14:paraId="49BAE606" w14:textId="77777777" w:rsidR="00A95DF9" w:rsidRPr="008C04DF" w:rsidRDefault="00A95DF9" w:rsidP="00984A1C">
            <w:pPr>
              <w:keepNext/>
              <w:keepLines/>
              <w:spacing w:after="0" w:line="240" w:lineRule="auto"/>
              <w:jc w:val="right"/>
              <w:rPr>
                <w:color w:val="000000"/>
                <w:sz w:val="20"/>
                <w:szCs w:val="20"/>
                <w:lang w:eastAsia="es-AR"/>
              </w:rPr>
            </w:pPr>
            <w:r w:rsidRPr="008C04DF">
              <w:rPr>
                <w:color w:val="000000"/>
                <w:sz w:val="20"/>
                <w:szCs w:val="20"/>
                <w:lang w:eastAsia="es-AR"/>
              </w:rPr>
              <w:t>44.203</w:t>
            </w:r>
          </w:p>
        </w:tc>
      </w:tr>
      <w:tr w:rsidR="00A95DF9" w:rsidRPr="008C04DF" w14:paraId="3BF6B363" w14:textId="77777777" w:rsidTr="0087147E">
        <w:trPr>
          <w:trHeight w:val="285"/>
        </w:trPr>
        <w:tc>
          <w:tcPr>
            <w:tcW w:w="1063" w:type="dxa"/>
            <w:tcBorders>
              <w:top w:val="nil"/>
              <w:left w:val="single" w:sz="4" w:space="0" w:color="auto"/>
              <w:bottom w:val="nil"/>
              <w:right w:val="nil"/>
            </w:tcBorders>
            <w:shd w:val="clear" w:color="000000" w:fill="FFFFFF"/>
            <w:noWrap/>
            <w:vAlign w:val="bottom"/>
            <w:hideMark/>
          </w:tcPr>
          <w:p w14:paraId="75FE861F"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780" w:type="dxa"/>
            <w:tcBorders>
              <w:top w:val="nil"/>
              <w:left w:val="nil"/>
              <w:bottom w:val="nil"/>
              <w:right w:val="single" w:sz="4" w:space="0" w:color="auto"/>
            </w:tcBorders>
            <w:shd w:val="clear" w:color="000000" w:fill="FFFFFF"/>
            <w:noWrap/>
            <w:vAlign w:val="bottom"/>
            <w:hideMark/>
          </w:tcPr>
          <w:p w14:paraId="406C3797"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420" w:type="dxa"/>
            <w:tcBorders>
              <w:top w:val="nil"/>
              <w:left w:val="nil"/>
              <w:bottom w:val="nil"/>
              <w:right w:val="single" w:sz="4" w:space="0" w:color="auto"/>
            </w:tcBorders>
            <w:shd w:val="clear" w:color="000000" w:fill="FFFFFF"/>
            <w:noWrap/>
            <w:vAlign w:val="bottom"/>
            <w:hideMark/>
          </w:tcPr>
          <w:p w14:paraId="129D7E17"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480" w:type="dxa"/>
            <w:tcBorders>
              <w:top w:val="nil"/>
              <w:left w:val="nil"/>
              <w:bottom w:val="nil"/>
              <w:right w:val="single" w:sz="4" w:space="0" w:color="auto"/>
            </w:tcBorders>
            <w:shd w:val="clear" w:color="000000" w:fill="FFFFFF"/>
            <w:noWrap/>
            <w:vAlign w:val="bottom"/>
            <w:hideMark/>
          </w:tcPr>
          <w:p w14:paraId="3EFAF0DA"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r>
      <w:tr w:rsidR="00A95DF9" w:rsidRPr="008C04DF" w14:paraId="2D7AE2B2" w14:textId="77777777" w:rsidTr="0087147E">
        <w:trPr>
          <w:trHeight w:val="285"/>
        </w:trPr>
        <w:tc>
          <w:tcPr>
            <w:tcW w:w="1063" w:type="dxa"/>
            <w:tcBorders>
              <w:top w:val="single" w:sz="4" w:space="0" w:color="auto"/>
              <w:left w:val="single" w:sz="4" w:space="0" w:color="auto"/>
              <w:bottom w:val="single" w:sz="4" w:space="0" w:color="auto"/>
              <w:right w:val="nil"/>
            </w:tcBorders>
            <w:shd w:val="clear" w:color="000000" w:fill="FFFFFF"/>
            <w:noWrap/>
            <w:vAlign w:val="bottom"/>
            <w:hideMark/>
          </w:tcPr>
          <w:p w14:paraId="024CAECA" w14:textId="77777777" w:rsidR="00A95DF9" w:rsidRPr="008C04DF" w:rsidRDefault="00A95DF9" w:rsidP="00984A1C">
            <w:pPr>
              <w:keepNext/>
              <w:keepLines/>
              <w:spacing w:after="0" w:line="240" w:lineRule="auto"/>
              <w:jc w:val="left"/>
              <w:rPr>
                <w:b/>
                <w:bCs/>
                <w:color w:val="000000"/>
                <w:sz w:val="20"/>
                <w:szCs w:val="20"/>
                <w:lang w:eastAsia="es-AR"/>
              </w:rPr>
            </w:pPr>
            <w:r w:rsidRPr="008C04DF">
              <w:rPr>
                <w:b/>
                <w:bCs/>
                <w:color w:val="000000"/>
                <w:sz w:val="20"/>
                <w:szCs w:val="20"/>
                <w:lang w:eastAsia="es-AR"/>
              </w:rPr>
              <w:t>Subtotal</w:t>
            </w:r>
          </w:p>
        </w:tc>
        <w:tc>
          <w:tcPr>
            <w:tcW w:w="1780" w:type="dxa"/>
            <w:tcBorders>
              <w:top w:val="single" w:sz="4" w:space="0" w:color="auto"/>
              <w:left w:val="nil"/>
              <w:bottom w:val="single" w:sz="4" w:space="0" w:color="auto"/>
              <w:right w:val="single" w:sz="4" w:space="0" w:color="auto"/>
            </w:tcBorders>
            <w:shd w:val="clear" w:color="000000" w:fill="FFFFFF"/>
            <w:noWrap/>
            <w:vAlign w:val="bottom"/>
            <w:hideMark/>
          </w:tcPr>
          <w:p w14:paraId="52DA3C58" w14:textId="77777777" w:rsidR="00A95DF9" w:rsidRPr="008C04DF" w:rsidRDefault="00A95DF9" w:rsidP="00984A1C">
            <w:pPr>
              <w:keepNext/>
              <w:keepLines/>
              <w:spacing w:after="0" w:line="240" w:lineRule="auto"/>
              <w:jc w:val="left"/>
              <w:rPr>
                <w:b/>
                <w:bCs/>
                <w:color w:val="000000"/>
                <w:sz w:val="20"/>
                <w:szCs w:val="20"/>
                <w:lang w:eastAsia="es-AR"/>
              </w:rPr>
            </w:pPr>
            <w:r w:rsidRPr="008C04DF">
              <w:rPr>
                <w:b/>
                <w:bCs/>
                <w:color w:val="000000"/>
                <w:sz w:val="20"/>
                <w:szCs w:val="20"/>
                <w:lang w:eastAsia="es-AR"/>
              </w:rPr>
              <w:t> </w:t>
            </w:r>
          </w:p>
        </w:tc>
        <w:tc>
          <w:tcPr>
            <w:tcW w:w="1420" w:type="dxa"/>
            <w:tcBorders>
              <w:top w:val="single" w:sz="4" w:space="0" w:color="auto"/>
              <w:left w:val="nil"/>
              <w:bottom w:val="single" w:sz="4" w:space="0" w:color="auto"/>
              <w:right w:val="single" w:sz="4" w:space="0" w:color="auto"/>
            </w:tcBorders>
            <w:shd w:val="clear" w:color="000000" w:fill="FFFFFF"/>
            <w:noWrap/>
            <w:vAlign w:val="bottom"/>
            <w:hideMark/>
          </w:tcPr>
          <w:p w14:paraId="1949E852" w14:textId="77777777" w:rsidR="00A95DF9" w:rsidRPr="008C04DF" w:rsidRDefault="00A95DF9" w:rsidP="00984A1C">
            <w:pPr>
              <w:keepNext/>
              <w:keepLines/>
              <w:spacing w:after="0" w:line="240" w:lineRule="auto"/>
              <w:jc w:val="right"/>
              <w:rPr>
                <w:color w:val="000000"/>
                <w:sz w:val="20"/>
                <w:szCs w:val="20"/>
                <w:lang w:eastAsia="es-AR"/>
              </w:rPr>
            </w:pPr>
            <w:r w:rsidRPr="008C04DF">
              <w:rPr>
                <w:color w:val="000000"/>
                <w:sz w:val="20"/>
                <w:szCs w:val="20"/>
                <w:lang w:eastAsia="es-AR"/>
              </w:rPr>
              <w:t>170.992</w:t>
            </w:r>
          </w:p>
        </w:tc>
        <w:tc>
          <w:tcPr>
            <w:tcW w:w="1480" w:type="dxa"/>
            <w:tcBorders>
              <w:top w:val="single" w:sz="4" w:space="0" w:color="auto"/>
              <w:left w:val="nil"/>
              <w:bottom w:val="single" w:sz="4" w:space="0" w:color="auto"/>
              <w:right w:val="single" w:sz="4" w:space="0" w:color="auto"/>
            </w:tcBorders>
            <w:shd w:val="clear" w:color="000000" w:fill="FFFFFF"/>
            <w:noWrap/>
            <w:vAlign w:val="bottom"/>
            <w:hideMark/>
          </w:tcPr>
          <w:p w14:paraId="43624EEE" w14:textId="77777777" w:rsidR="00A95DF9" w:rsidRPr="008C04DF" w:rsidRDefault="00A95DF9" w:rsidP="00984A1C">
            <w:pPr>
              <w:keepNext/>
              <w:keepLines/>
              <w:spacing w:after="0" w:line="240" w:lineRule="auto"/>
              <w:jc w:val="right"/>
              <w:rPr>
                <w:color w:val="000000"/>
                <w:sz w:val="20"/>
                <w:szCs w:val="20"/>
                <w:lang w:eastAsia="es-AR"/>
              </w:rPr>
            </w:pPr>
            <w:r w:rsidRPr="008C04DF">
              <w:rPr>
                <w:color w:val="000000"/>
                <w:sz w:val="20"/>
                <w:szCs w:val="20"/>
                <w:lang w:eastAsia="es-AR"/>
              </w:rPr>
              <w:t>631.477</w:t>
            </w:r>
          </w:p>
        </w:tc>
      </w:tr>
      <w:tr w:rsidR="00A95DF9" w:rsidRPr="008C04DF" w14:paraId="4A7BDFD0" w14:textId="77777777" w:rsidTr="0087147E">
        <w:trPr>
          <w:trHeight w:val="285"/>
        </w:trPr>
        <w:tc>
          <w:tcPr>
            <w:tcW w:w="1063" w:type="dxa"/>
            <w:tcBorders>
              <w:top w:val="nil"/>
              <w:left w:val="single" w:sz="4" w:space="0" w:color="auto"/>
              <w:bottom w:val="nil"/>
              <w:right w:val="nil"/>
            </w:tcBorders>
            <w:shd w:val="clear" w:color="000000" w:fill="FFFFFF"/>
            <w:noWrap/>
            <w:vAlign w:val="bottom"/>
            <w:hideMark/>
          </w:tcPr>
          <w:p w14:paraId="5E577F29"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780" w:type="dxa"/>
            <w:tcBorders>
              <w:top w:val="nil"/>
              <w:left w:val="nil"/>
              <w:bottom w:val="nil"/>
              <w:right w:val="single" w:sz="4" w:space="0" w:color="auto"/>
            </w:tcBorders>
            <w:shd w:val="clear" w:color="000000" w:fill="FFFFFF"/>
            <w:noWrap/>
            <w:vAlign w:val="bottom"/>
            <w:hideMark/>
          </w:tcPr>
          <w:p w14:paraId="5DB62015"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420" w:type="dxa"/>
            <w:tcBorders>
              <w:top w:val="nil"/>
              <w:left w:val="nil"/>
              <w:bottom w:val="nil"/>
              <w:right w:val="single" w:sz="4" w:space="0" w:color="auto"/>
            </w:tcBorders>
            <w:shd w:val="clear" w:color="000000" w:fill="FFFFFF"/>
            <w:noWrap/>
            <w:vAlign w:val="bottom"/>
            <w:hideMark/>
          </w:tcPr>
          <w:p w14:paraId="2EF9BDD1"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c>
          <w:tcPr>
            <w:tcW w:w="1480" w:type="dxa"/>
            <w:tcBorders>
              <w:top w:val="nil"/>
              <w:left w:val="nil"/>
              <w:bottom w:val="nil"/>
              <w:right w:val="single" w:sz="4" w:space="0" w:color="auto"/>
            </w:tcBorders>
            <w:shd w:val="clear" w:color="000000" w:fill="FFFFFF"/>
            <w:noWrap/>
            <w:vAlign w:val="bottom"/>
            <w:hideMark/>
          </w:tcPr>
          <w:p w14:paraId="3DF3BBE4"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 </w:t>
            </w:r>
          </w:p>
        </w:tc>
      </w:tr>
      <w:tr w:rsidR="00A95DF9" w:rsidRPr="008C04DF" w14:paraId="44F11985" w14:textId="77777777" w:rsidTr="0087147E">
        <w:trPr>
          <w:trHeight w:val="285"/>
        </w:trPr>
        <w:tc>
          <w:tcPr>
            <w:tcW w:w="2843" w:type="dxa"/>
            <w:gridSpan w:val="2"/>
            <w:tcBorders>
              <w:top w:val="single" w:sz="4" w:space="0" w:color="auto"/>
              <w:left w:val="single" w:sz="4" w:space="0" w:color="auto"/>
              <w:bottom w:val="single" w:sz="4" w:space="0" w:color="auto"/>
              <w:right w:val="single" w:sz="4" w:space="0" w:color="000000"/>
            </w:tcBorders>
            <w:shd w:val="clear" w:color="000000" w:fill="FFFFFF"/>
            <w:noWrap/>
            <w:vAlign w:val="bottom"/>
            <w:hideMark/>
          </w:tcPr>
          <w:p w14:paraId="0D45FB11" w14:textId="77777777" w:rsidR="00A95DF9" w:rsidRPr="008C04DF" w:rsidRDefault="00A95DF9" w:rsidP="00984A1C">
            <w:pPr>
              <w:keepNext/>
              <w:keepLines/>
              <w:spacing w:after="0" w:line="240" w:lineRule="auto"/>
              <w:jc w:val="left"/>
              <w:rPr>
                <w:color w:val="000000"/>
                <w:sz w:val="20"/>
                <w:szCs w:val="20"/>
                <w:lang w:eastAsia="es-AR"/>
              </w:rPr>
            </w:pPr>
            <w:r w:rsidRPr="008C04DF">
              <w:rPr>
                <w:color w:val="000000"/>
                <w:sz w:val="20"/>
                <w:szCs w:val="20"/>
                <w:lang w:eastAsia="es-AR"/>
              </w:rPr>
              <w:t>Otros costos *</w:t>
            </w:r>
          </w:p>
        </w:tc>
        <w:tc>
          <w:tcPr>
            <w:tcW w:w="1420" w:type="dxa"/>
            <w:tcBorders>
              <w:top w:val="single" w:sz="4" w:space="0" w:color="auto"/>
              <w:left w:val="nil"/>
              <w:bottom w:val="single" w:sz="4" w:space="0" w:color="auto"/>
              <w:right w:val="single" w:sz="4" w:space="0" w:color="auto"/>
            </w:tcBorders>
            <w:shd w:val="clear" w:color="000000" w:fill="FFFFFF"/>
            <w:noWrap/>
            <w:vAlign w:val="bottom"/>
            <w:hideMark/>
          </w:tcPr>
          <w:p w14:paraId="50BD801C" w14:textId="77777777" w:rsidR="00A95DF9" w:rsidRPr="008C04DF" w:rsidRDefault="00A95DF9" w:rsidP="00984A1C">
            <w:pPr>
              <w:keepNext/>
              <w:keepLines/>
              <w:spacing w:after="0" w:line="240" w:lineRule="auto"/>
              <w:jc w:val="right"/>
              <w:rPr>
                <w:color w:val="000000"/>
                <w:sz w:val="20"/>
                <w:szCs w:val="20"/>
                <w:lang w:eastAsia="es-AR"/>
              </w:rPr>
            </w:pPr>
            <w:r w:rsidRPr="008C04DF">
              <w:rPr>
                <w:color w:val="000000"/>
                <w:sz w:val="20"/>
                <w:szCs w:val="20"/>
                <w:lang w:eastAsia="es-AR"/>
              </w:rPr>
              <w:t>88.916</w:t>
            </w:r>
          </w:p>
        </w:tc>
        <w:tc>
          <w:tcPr>
            <w:tcW w:w="1480" w:type="dxa"/>
            <w:tcBorders>
              <w:top w:val="single" w:sz="4" w:space="0" w:color="auto"/>
              <w:left w:val="nil"/>
              <w:bottom w:val="single" w:sz="4" w:space="0" w:color="auto"/>
              <w:right w:val="single" w:sz="4" w:space="0" w:color="auto"/>
            </w:tcBorders>
            <w:shd w:val="clear" w:color="000000" w:fill="FFFFFF"/>
            <w:noWrap/>
            <w:vAlign w:val="bottom"/>
            <w:hideMark/>
          </w:tcPr>
          <w:p w14:paraId="10E89036" w14:textId="77777777" w:rsidR="00A95DF9" w:rsidRPr="008C04DF" w:rsidRDefault="00A95DF9" w:rsidP="00984A1C">
            <w:pPr>
              <w:keepNext/>
              <w:keepLines/>
              <w:spacing w:after="0" w:line="240" w:lineRule="auto"/>
              <w:jc w:val="right"/>
              <w:rPr>
                <w:color w:val="000000"/>
                <w:sz w:val="20"/>
                <w:szCs w:val="20"/>
                <w:lang w:eastAsia="es-AR"/>
              </w:rPr>
            </w:pPr>
            <w:r w:rsidRPr="008C04DF">
              <w:rPr>
                <w:color w:val="000000"/>
                <w:sz w:val="20"/>
                <w:szCs w:val="20"/>
                <w:lang w:eastAsia="es-AR"/>
              </w:rPr>
              <w:t>328.368</w:t>
            </w:r>
          </w:p>
        </w:tc>
      </w:tr>
      <w:tr w:rsidR="00A95DF9" w:rsidRPr="008C04DF" w14:paraId="52642D30" w14:textId="77777777" w:rsidTr="0087147E">
        <w:trPr>
          <w:trHeight w:val="285"/>
        </w:trPr>
        <w:tc>
          <w:tcPr>
            <w:tcW w:w="1063" w:type="dxa"/>
            <w:tcBorders>
              <w:top w:val="nil"/>
              <w:left w:val="single" w:sz="4" w:space="0" w:color="auto"/>
              <w:bottom w:val="nil"/>
              <w:right w:val="nil"/>
            </w:tcBorders>
            <w:shd w:val="clear" w:color="000000" w:fill="FFFFFF"/>
            <w:noWrap/>
            <w:vAlign w:val="bottom"/>
            <w:hideMark/>
          </w:tcPr>
          <w:p w14:paraId="706CDC1B" w14:textId="77777777" w:rsidR="00A95DF9" w:rsidRPr="008C04DF" w:rsidRDefault="00A95DF9" w:rsidP="00984A1C">
            <w:pPr>
              <w:keepNext/>
              <w:keepLines/>
              <w:spacing w:after="0" w:line="240" w:lineRule="auto"/>
              <w:jc w:val="left"/>
              <w:rPr>
                <w:color w:val="000000"/>
                <w:lang w:eastAsia="es-AR"/>
              </w:rPr>
            </w:pPr>
            <w:r w:rsidRPr="008C04DF">
              <w:rPr>
                <w:color w:val="000000"/>
                <w:lang w:eastAsia="es-AR"/>
              </w:rPr>
              <w:t> </w:t>
            </w:r>
          </w:p>
        </w:tc>
        <w:tc>
          <w:tcPr>
            <w:tcW w:w="1780" w:type="dxa"/>
            <w:tcBorders>
              <w:top w:val="nil"/>
              <w:left w:val="nil"/>
              <w:bottom w:val="nil"/>
              <w:right w:val="nil"/>
            </w:tcBorders>
            <w:shd w:val="clear" w:color="000000" w:fill="FFFFFF"/>
            <w:noWrap/>
            <w:vAlign w:val="bottom"/>
            <w:hideMark/>
          </w:tcPr>
          <w:p w14:paraId="1B44DB04" w14:textId="77777777" w:rsidR="00A95DF9" w:rsidRPr="008C04DF" w:rsidRDefault="00A95DF9" w:rsidP="00984A1C">
            <w:pPr>
              <w:keepNext/>
              <w:keepLines/>
              <w:spacing w:after="0" w:line="240" w:lineRule="auto"/>
              <w:jc w:val="left"/>
              <w:rPr>
                <w:color w:val="000000"/>
                <w:lang w:eastAsia="es-AR"/>
              </w:rPr>
            </w:pPr>
            <w:r w:rsidRPr="008C04DF">
              <w:rPr>
                <w:color w:val="000000"/>
                <w:lang w:eastAsia="es-AR"/>
              </w:rPr>
              <w:t> </w:t>
            </w:r>
          </w:p>
        </w:tc>
        <w:tc>
          <w:tcPr>
            <w:tcW w:w="1420" w:type="dxa"/>
            <w:tcBorders>
              <w:top w:val="nil"/>
              <w:left w:val="single" w:sz="4" w:space="0" w:color="auto"/>
              <w:bottom w:val="nil"/>
              <w:right w:val="single" w:sz="4" w:space="0" w:color="auto"/>
            </w:tcBorders>
            <w:shd w:val="clear" w:color="000000" w:fill="FFFFFF"/>
            <w:noWrap/>
            <w:vAlign w:val="bottom"/>
            <w:hideMark/>
          </w:tcPr>
          <w:p w14:paraId="3B92EED0" w14:textId="77777777" w:rsidR="00A95DF9" w:rsidRPr="008C04DF" w:rsidRDefault="00A95DF9" w:rsidP="00984A1C">
            <w:pPr>
              <w:keepNext/>
              <w:keepLines/>
              <w:spacing w:after="0" w:line="240" w:lineRule="auto"/>
              <w:jc w:val="left"/>
              <w:rPr>
                <w:color w:val="000000"/>
                <w:lang w:eastAsia="es-AR"/>
              </w:rPr>
            </w:pPr>
            <w:r w:rsidRPr="008C04DF">
              <w:rPr>
                <w:color w:val="000000"/>
                <w:lang w:eastAsia="es-AR"/>
              </w:rPr>
              <w:t> </w:t>
            </w:r>
          </w:p>
        </w:tc>
        <w:tc>
          <w:tcPr>
            <w:tcW w:w="1480" w:type="dxa"/>
            <w:tcBorders>
              <w:top w:val="nil"/>
              <w:left w:val="nil"/>
              <w:bottom w:val="nil"/>
              <w:right w:val="single" w:sz="4" w:space="0" w:color="auto"/>
            </w:tcBorders>
            <w:shd w:val="clear" w:color="000000" w:fill="FFFFFF"/>
            <w:noWrap/>
            <w:vAlign w:val="bottom"/>
            <w:hideMark/>
          </w:tcPr>
          <w:p w14:paraId="0EE06A8C" w14:textId="77777777" w:rsidR="00A95DF9" w:rsidRPr="008C04DF" w:rsidRDefault="00A95DF9" w:rsidP="00984A1C">
            <w:pPr>
              <w:keepNext/>
              <w:keepLines/>
              <w:spacing w:after="0" w:line="240" w:lineRule="auto"/>
              <w:jc w:val="left"/>
              <w:rPr>
                <w:color w:val="000000"/>
                <w:lang w:eastAsia="es-AR"/>
              </w:rPr>
            </w:pPr>
            <w:r w:rsidRPr="008C04DF">
              <w:rPr>
                <w:color w:val="000000"/>
                <w:lang w:eastAsia="es-AR"/>
              </w:rPr>
              <w:t> </w:t>
            </w:r>
          </w:p>
        </w:tc>
      </w:tr>
      <w:tr w:rsidR="00A95DF9" w:rsidRPr="008C04DF" w14:paraId="62EF0969" w14:textId="77777777" w:rsidTr="0087147E">
        <w:trPr>
          <w:trHeight w:val="465"/>
        </w:trPr>
        <w:tc>
          <w:tcPr>
            <w:tcW w:w="2843" w:type="dxa"/>
            <w:gridSpan w:val="2"/>
            <w:tcBorders>
              <w:top w:val="single" w:sz="4" w:space="0" w:color="auto"/>
              <w:left w:val="single" w:sz="4" w:space="0" w:color="auto"/>
              <w:bottom w:val="single" w:sz="4" w:space="0" w:color="auto"/>
              <w:right w:val="nil"/>
            </w:tcBorders>
            <w:shd w:val="clear" w:color="000000" w:fill="FFFFFF"/>
            <w:noWrap/>
            <w:vAlign w:val="bottom"/>
            <w:hideMark/>
          </w:tcPr>
          <w:p w14:paraId="68266A58" w14:textId="77777777" w:rsidR="00A95DF9" w:rsidRPr="008C04DF" w:rsidRDefault="00A95DF9" w:rsidP="00984A1C">
            <w:pPr>
              <w:keepNext/>
              <w:keepLines/>
              <w:spacing w:after="0" w:line="240" w:lineRule="auto"/>
              <w:jc w:val="left"/>
              <w:rPr>
                <w:b/>
                <w:bCs/>
                <w:color w:val="000000"/>
                <w:lang w:eastAsia="es-AR"/>
              </w:rPr>
            </w:pPr>
            <w:r w:rsidRPr="008C04DF">
              <w:rPr>
                <w:b/>
                <w:bCs/>
                <w:color w:val="000000"/>
                <w:lang w:eastAsia="es-AR"/>
              </w:rPr>
              <w:t xml:space="preserve">Total costos cotizado </w:t>
            </w:r>
          </w:p>
        </w:tc>
        <w:tc>
          <w:tcPr>
            <w:tcW w:w="14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4CA9EFE" w14:textId="77777777" w:rsidR="00A95DF9" w:rsidRPr="008C04DF" w:rsidRDefault="00A95DF9" w:rsidP="00984A1C">
            <w:pPr>
              <w:keepNext/>
              <w:keepLines/>
              <w:spacing w:after="0" w:line="240" w:lineRule="auto"/>
              <w:jc w:val="right"/>
              <w:rPr>
                <w:b/>
                <w:bCs/>
                <w:color w:val="000000"/>
                <w:lang w:eastAsia="es-AR"/>
              </w:rPr>
            </w:pPr>
            <w:r w:rsidRPr="008C04DF">
              <w:rPr>
                <w:b/>
                <w:bCs/>
                <w:color w:val="000000"/>
                <w:lang w:eastAsia="es-AR"/>
              </w:rPr>
              <w:t>259.908</w:t>
            </w:r>
          </w:p>
        </w:tc>
        <w:tc>
          <w:tcPr>
            <w:tcW w:w="1480" w:type="dxa"/>
            <w:tcBorders>
              <w:top w:val="single" w:sz="4" w:space="0" w:color="auto"/>
              <w:left w:val="nil"/>
              <w:bottom w:val="single" w:sz="4" w:space="0" w:color="auto"/>
              <w:right w:val="single" w:sz="4" w:space="0" w:color="auto"/>
            </w:tcBorders>
            <w:shd w:val="clear" w:color="000000" w:fill="FFFFFF"/>
            <w:noWrap/>
            <w:vAlign w:val="bottom"/>
            <w:hideMark/>
          </w:tcPr>
          <w:p w14:paraId="0C4234C4" w14:textId="77777777" w:rsidR="00A95DF9" w:rsidRPr="008C04DF" w:rsidRDefault="00A95DF9" w:rsidP="00984A1C">
            <w:pPr>
              <w:keepNext/>
              <w:keepLines/>
              <w:spacing w:after="0" w:line="240" w:lineRule="auto"/>
              <w:jc w:val="right"/>
              <w:rPr>
                <w:b/>
                <w:bCs/>
                <w:color w:val="000000"/>
                <w:lang w:eastAsia="es-AR"/>
              </w:rPr>
            </w:pPr>
            <w:r w:rsidRPr="008C04DF">
              <w:rPr>
                <w:b/>
                <w:bCs/>
                <w:color w:val="000000"/>
                <w:lang w:eastAsia="es-AR"/>
              </w:rPr>
              <w:t>959.845</w:t>
            </w:r>
          </w:p>
        </w:tc>
      </w:tr>
    </w:tbl>
    <w:p w14:paraId="0748E28E" w14:textId="77777777" w:rsidR="00A95DF9" w:rsidRPr="007965F7" w:rsidRDefault="00A95DF9" w:rsidP="00984A1C">
      <w:pPr>
        <w:keepNext/>
        <w:keepLines/>
        <w:spacing w:after="0" w:line="240" w:lineRule="auto"/>
        <w:rPr>
          <w:rFonts w:ascii="Arial" w:hAnsi="Arial" w:cs="Arial"/>
          <w:sz w:val="16"/>
          <w:szCs w:val="16"/>
        </w:rPr>
      </w:pPr>
      <w:r w:rsidRPr="007965F7">
        <w:rPr>
          <w:rFonts w:ascii="Arial" w:hAnsi="Arial" w:cs="Arial"/>
          <w:sz w:val="16"/>
          <w:szCs w:val="16"/>
        </w:rPr>
        <w:t>(*) Incluye gastos indirectos, gastos generales, costos financieros, etc</w:t>
      </w:r>
    </w:p>
    <w:p w14:paraId="5832810B" w14:textId="77777777" w:rsidR="00984A1C" w:rsidRDefault="00984A1C" w:rsidP="00B3473B">
      <w:pPr>
        <w:spacing w:after="100" w:afterAutospacing="1" w:line="240" w:lineRule="auto"/>
        <w:rPr>
          <w:rFonts w:ascii="Arial" w:hAnsi="Arial" w:cs="Arial"/>
        </w:rPr>
      </w:pPr>
    </w:p>
    <w:p w14:paraId="12281A29" w14:textId="03A47BEA" w:rsidR="00A95DF9" w:rsidRPr="007965F7" w:rsidRDefault="00A95DF9" w:rsidP="00B3473B">
      <w:pPr>
        <w:spacing w:after="100" w:afterAutospacing="1" w:line="240" w:lineRule="auto"/>
        <w:rPr>
          <w:rFonts w:ascii="Arial" w:hAnsi="Arial" w:cs="Arial"/>
        </w:rPr>
      </w:pPr>
      <w:r w:rsidRPr="007965F7">
        <w:rPr>
          <w:rFonts w:ascii="Arial" w:hAnsi="Arial" w:cs="Arial"/>
        </w:rPr>
        <w:t>Puede mencionarse que para obtener el total cotizado de la Alternativa 2 se restaron los montos de inversión destinados a la obra de la estación de bombeo, puesto que ese rubro no se incluyó en la evaluación económica del mínimo costo</w:t>
      </w:r>
      <w:r w:rsidRPr="007965F7">
        <w:rPr>
          <w:rStyle w:val="FootnoteReference"/>
          <w:rFonts w:ascii="Arial" w:hAnsi="Arial" w:cs="Arial"/>
        </w:rPr>
        <w:footnoteReference w:id="28"/>
      </w:r>
      <w:r w:rsidRPr="007965F7">
        <w:rPr>
          <w:rFonts w:ascii="Arial" w:hAnsi="Arial" w:cs="Arial"/>
        </w:rPr>
        <w:t xml:space="preserve">, pero el monto total presupuestado para el tratamiento secundario lo tenía incorporado. </w:t>
      </w:r>
    </w:p>
    <w:p w14:paraId="27804FB1" w14:textId="6D02155F" w:rsidR="00A95DF9" w:rsidRPr="007965F7" w:rsidRDefault="00A95DF9" w:rsidP="00B3473B">
      <w:pPr>
        <w:spacing w:after="100" w:afterAutospacing="1" w:line="240" w:lineRule="auto"/>
        <w:rPr>
          <w:rFonts w:ascii="Arial" w:hAnsi="Arial" w:cs="Arial"/>
        </w:rPr>
      </w:pPr>
      <w:r w:rsidRPr="007965F7">
        <w:rPr>
          <w:rFonts w:ascii="Arial" w:hAnsi="Arial" w:cs="Arial"/>
        </w:rPr>
        <w:t>La cifra de inversión presupuestada para la Alternativa 2 fue de 16.500 millones de pesos, lo cual a un cambio de 16,1 pesos por dólar, se ubica en 1024 millones de dólares. Descontado las obras para la estación de bombeo por 65,2 millones de dólares</w:t>
      </w:r>
      <w:r w:rsidRPr="007965F7">
        <w:rPr>
          <w:rStyle w:val="FootnoteReference"/>
          <w:rFonts w:ascii="Arial" w:hAnsi="Arial" w:cs="Arial"/>
        </w:rPr>
        <w:footnoteReference w:id="29"/>
      </w:r>
      <w:r w:rsidRPr="007965F7">
        <w:rPr>
          <w:rFonts w:ascii="Arial" w:hAnsi="Arial" w:cs="Arial"/>
        </w:rPr>
        <w:t xml:space="preserve">, se alcanza el total cotizado para la opción de tratamiento secundario de 959 millones de dólares. En el </w:t>
      </w:r>
      <w:r w:rsidRPr="0059118E">
        <w:rPr>
          <w:rFonts w:ascii="Arial" w:hAnsi="Arial" w:cs="Arial"/>
        </w:rPr>
        <w:t xml:space="preserve">Anexo </w:t>
      </w:r>
      <w:r w:rsidR="00B3473B" w:rsidRPr="0059118E">
        <w:rPr>
          <w:rFonts w:ascii="Arial" w:hAnsi="Arial" w:cs="Arial"/>
        </w:rPr>
        <w:t>6</w:t>
      </w:r>
      <w:r w:rsidRPr="0059118E">
        <w:rPr>
          <w:rFonts w:ascii="Arial" w:hAnsi="Arial" w:cs="Arial"/>
        </w:rPr>
        <w:t xml:space="preserve"> se</w:t>
      </w:r>
      <w:r w:rsidRPr="007965F7">
        <w:rPr>
          <w:rFonts w:ascii="Arial" w:hAnsi="Arial" w:cs="Arial"/>
        </w:rPr>
        <w:t xml:space="preserve"> presenta un detalle con los costos de inversión cotizados.</w:t>
      </w:r>
    </w:p>
    <w:p w14:paraId="007E0701" w14:textId="77777777" w:rsidR="00A95DF9" w:rsidRPr="007965F7" w:rsidRDefault="00A95DF9" w:rsidP="00B3473B">
      <w:pPr>
        <w:spacing w:after="100" w:afterAutospacing="1" w:line="240" w:lineRule="auto"/>
        <w:rPr>
          <w:rFonts w:ascii="Arial" w:hAnsi="Arial" w:cs="Arial"/>
        </w:rPr>
      </w:pPr>
      <w:r w:rsidRPr="007965F7">
        <w:rPr>
          <w:rFonts w:ascii="Arial" w:hAnsi="Arial" w:cs="Arial"/>
        </w:rPr>
        <w:t xml:space="preserve">Continuando con el análisis, dado el carácter socioeconómico de la presente evaluación, los costos presentados deben corregirse utilizando las razones de precios de cuenta. </w:t>
      </w:r>
    </w:p>
    <w:p w14:paraId="7DDF72B3" w14:textId="1D390D85" w:rsidR="00A95DF9" w:rsidRPr="007965F7" w:rsidRDefault="00A95DF9" w:rsidP="00B3473B">
      <w:pPr>
        <w:spacing w:after="100" w:afterAutospacing="1" w:line="240" w:lineRule="auto"/>
        <w:rPr>
          <w:rFonts w:ascii="Arial" w:hAnsi="Arial" w:cs="Arial"/>
        </w:rPr>
      </w:pPr>
      <w:r w:rsidRPr="007965F7">
        <w:rPr>
          <w:rFonts w:ascii="Arial" w:hAnsi="Arial" w:cs="Arial"/>
        </w:rPr>
        <w:t xml:space="preserve">El detalle de los coeficientes empleados para obtener esta transformación a precios de cuenta puede revisarse en </w:t>
      </w:r>
      <w:r w:rsidRPr="008B3220">
        <w:rPr>
          <w:rFonts w:ascii="Arial" w:hAnsi="Arial" w:cs="Arial"/>
        </w:rPr>
        <w:t xml:space="preserve">el Anexo </w:t>
      </w:r>
      <w:r w:rsidR="00307E24" w:rsidRPr="008B3220">
        <w:rPr>
          <w:rFonts w:ascii="Arial" w:hAnsi="Arial" w:cs="Arial"/>
        </w:rPr>
        <w:t>2</w:t>
      </w:r>
      <w:r w:rsidRPr="008B3220">
        <w:rPr>
          <w:rFonts w:ascii="Arial" w:hAnsi="Arial" w:cs="Arial"/>
        </w:rPr>
        <w:t>.</w:t>
      </w:r>
    </w:p>
    <w:p w14:paraId="004025DB" w14:textId="77777777" w:rsidR="00A95DF9" w:rsidRPr="00B3473B" w:rsidRDefault="00A95DF9" w:rsidP="00B3473B">
      <w:pPr>
        <w:spacing w:after="100" w:afterAutospacing="1" w:line="240" w:lineRule="auto"/>
        <w:rPr>
          <w:rFonts w:ascii="Arial" w:hAnsi="Arial" w:cs="Arial"/>
        </w:rPr>
      </w:pPr>
      <w:r w:rsidRPr="00B3473B">
        <w:rPr>
          <w:rFonts w:ascii="Arial" w:hAnsi="Arial" w:cs="Arial"/>
        </w:rPr>
        <w:t xml:space="preserve">Los costos de inversión con valores transformados a precios de cuenta se muestran en el cuadro que se muestra a continuación: </w:t>
      </w:r>
    </w:p>
    <w:p w14:paraId="37F90612" w14:textId="16A58D79" w:rsidR="00A95DF9" w:rsidRDefault="00984A1C" w:rsidP="0087147E">
      <w:pPr>
        <w:spacing w:before="240" w:line="360" w:lineRule="auto"/>
        <w:rPr>
          <w:b/>
        </w:rPr>
      </w:pPr>
      <w:r>
        <w:rPr>
          <w:b/>
        </w:rPr>
        <w:t>Cuadro IV-</w:t>
      </w:r>
      <w:r w:rsidR="00A95DF9">
        <w:rPr>
          <w:b/>
        </w:rPr>
        <w:t xml:space="preserve">2. </w:t>
      </w:r>
      <w:r w:rsidR="00A95DF9" w:rsidRPr="009C787B">
        <w:rPr>
          <w:b/>
        </w:rPr>
        <w:t>Inversión a Precios de Cuenta</w:t>
      </w:r>
      <w:r w:rsidR="00A95DF9">
        <w:rPr>
          <w:b/>
        </w:rPr>
        <w:t xml:space="preserve">, </w:t>
      </w:r>
      <w:r w:rsidR="00A95DF9" w:rsidRPr="009C787B">
        <w:rPr>
          <w:b/>
        </w:rPr>
        <w:t>en miles de dólares</w:t>
      </w:r>
    </w:p>
    <w:p w14:paraId="676AAD44" w14:textId="77777777" w:rsidR="00A95DF9" w:rsidRPr="009C787B" w:rsidRDefault="00A95DF9" w:rsidP="0087147E">
      <w:pPr>
        <w:spacing w:before="240" w:line="360" w:lineRule="auto"/>
      </w:pPr>
      <w:r w:rsidRPr="00D56697">
        <w:rPr>
          <w:noProof/>
          <w:lang w:eastAsia="es-AR"/>
        </w:rPr>
        <w:drawing>
          <wp:inline distT="0" distB="0" distL="0" distR="0" wp14:anchorId="2D323503" wp14:editId="7A287606">
            <wp:extent cx="4508500" cy="3168375"/>
            <wp:effectExtent l="0" t="0" r="6350" b="0"/>
            <wp:docPr id="13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519171" cy="3175874"/>
                    </a:xfrm>
                    <a:prstGeom prst="rect">
                      <a:avLst/>
                    </a:prstGeom>
                    <a:noFill/>
                    <a:ln>
                      <a:noFill/>
                    </a:ln>
                  </pic:spPr>
                </pic:pic>
              </a:graphicData>
            </a:graphic>
          </wp:inline>
        </w:drawing>
      </w:r>
    </w:p>
    <w:p w14:paraId="0285F1EF" w14:textId="77777777" w:rsidR="00A95DF9" w:rsidRPr="00984A1C" w:rsidRDefault="00A95DF9" w:rsidP="00984A1C">
      <w:pPr>
        <w:spacing w:after="100" w:afterAutospacing="1" w:line="240" w:lineRule="auto"/>
        <w:rPr>
          <w:rFonts w:ascii="Arial" w:hAnsi="Arial" w:cs="Arial"/>
        </w:rPr>
      </w:pPr>
      <w:r w:rsidRPr="00984A1C">
        <w:rPr>
          <w:rFonts w:ascii="Arial" w:hAnsi="Arial" w:cs="Arial"/>
        </w:rPr>
        <w:t>En los cuadros que siguen, se presenta un resumen de la comparación de los costos de inversión para las distintas alternativas medidas tanto a precios de mercado como a precios de cuenta.</w:t>
      </w:r>
    </w:p>
    <w:p w14:paraId="679F0456" w14:textId="3DFAD405" w:rsidR="00A95DF9" w:rsidRPr="009C787B" w:rsidRDefault="00984A1C" w:rsidP="00984A1C">
      <w:pPr>
        <w:keepNext/>
        <w:keepLines/>
        <w:spacing w:after="0" w:line="240" w:lineRule="auto"/>
      </w:pPr>
      <w:r>
        <w:rPr>
          <w:b/>
        </w:rPr>
        <w:t>Cuadro IV-</w:t>
      </w:r>
      <w:r w:rsidR="00A95DF9">
        <w:rPr>
          <w:b/>
        </w:rPr>
        <w:t xml:space="preserve">3. </w:t>
      </w:r>
      <w:r w:rsidR="00A95DF9" w:rsidRPr="009C787B">
        <w:rPr>
          <w:b/>
        </w:rPr>
        <w:t>Síntesis comparativa de costos de inversión a precios de mercado,</w:t>
      </w:r>
      <w:r w:rsidR="00A95DF9" w:rsidRPr="009C787B">
        <w:rPr>
          <w:b/>
        </w:rPr>
        <w:br/>
        <w:t>en miles de dólares</w:t>
      </w:r>
    </w:p>
    <w:tbl>
      <w:tblPr>
        <w:tblW w:w="6780" w:type="dxa"/>
        <w:tblInd w:w="55" w:type="dxa"/>
        <w:tblCellMar>
          <w:left w:w="70" w:type="dxa"/>
          <w:right w:w="70" w:type="dxa"/>
        </w:tblCellMar>
        <w:tblLook w:val="04A0" w:firstRow="1" w:lastRow="0" w:firstColumn="1" w:lastColumn="0" w:noHBand="0" w:noVBand="1"/>
      </w:tblPr>
      <w:tblGrid>
        <w:gridCol w:w="980"/>
        <w:gridCol w:w="1780"/>
        <w:gridCol w:w="1420"/>
        <w:gridCol w:w="1480"/>
        <w:gridCol w:w="1120"/>
      </w:tblGrid>
      <w:tr w:rsidR="00A95DF9" w:rsidRPr="00072627" w14:paraId="2747B454" w14:textId="77777777" w:rsidTr="0087147E">
        <w:trPr>
          <w:trHeight w:val="285"/>
        </w:trPr>
        <w:tc>
          <w:tcPr>
            <w:tcW w:w="980" w:type="dxa"/>
            <w:tcBorders>
              <w:top w:val="nil"/>
              <w:left w:val="nil"/>
              <w:bottom w:val="nil"/>
              <w:right w:val="nil"/>
            </w:tcBorders>
            <w:shd w:val="clear" w:color="000000" w:fill="FFFFFF"/>
            <w:noWrap/>
            <w:vAlign w:val="bottom"/>
            <w:hideMark/>
          </w:tcPr>
          <w:p w14:paraId="5A763F05" w14:textId="77777777" w:rsidR="00A95DF9" w:rsidRPr="00072627" w:rsidRDefault="00A95DF9" w:rsidP="00984A1C">
            <w:pPr>
              <w:keepNext/>
              <w:keepLines/>
              <w:spacing w:after="0" w:line="240" w:lineRule="auto"/>
              <w:jc w:val="left"/>
              <w:rPr>
                <w:color w:val="000000"/>
                <w:sz w:val="20"/>
                <w:szCs w:val="20"/>
                <w:lang w:eastAsia="es-AR"/>
              </w:rPr>
            </w:pPr>
            <w:r w:rsidRPr="00072627">
              <w:rPr>
                <w:color w:val="000000"/>
                <w:sz w:val="20"/>
                <w:szCs w:val="20"/>
                <w:lang w:eastAsia="es-AR"/>
              </w:rPr>
              <w:t> </w:t>
            </w:r>
          </w:p>
        </w:tc>
        <w:tc>
          <w:tcPr>
            <w:tcW w:w="1780" w:type="dxa"/>
            <w:tcBorders>
              <w:top w:val="nil"/>
              <w:left w:val="nil"/>
              <w:bottom w:val="nil"/>
              <w:right w:val="nil"/>
            </w:tcBorders>
            <w:shd w:val="clear" w:color="000000" w:fill="FFFFFF"/>
            <w:noWrap/>
            <w:vAlign w:val="bottom"/>
            <w:hideMark/>
          </w:tcPr>
          <w:p w14:paraId="055C8341" w14:textId="77777777" w:rsidR="00A95DF9" w:rsidRPr="00072627" w:rsidRDefault="00A95DF9" w:rsidP="00984A1C">
            <w:pPr>
              <w:keepNext/>
              <w:keepLines/>
              <w:spacing w:after="0" w:line="240" w:lineRule="auto"/>
              <w:jc w:val="left"/>
              <w:rPr>
                <w:color w:val="000000"/>
                <w:sz w:val="20"/>
                <w:szCs w:val="20"/>
                <w:lang w:eastAsia="es-AR"/>
              </w:rPr>
            </w:pPr>
            <w:r w:rsidRPr="00072627">
              <w:rPr>
                <w:color w:val="000000"/>
                <w:sz w:val="20"/>
                <w:szCs w:val="20"/>
                <w:lang w:eastAsia="es-AR"/>
              </w:rPr>
              <w:t> </w:t>
            </w:r>
          </w:p>
        </w:tc>
        <w:tc>
          <w:tcPr>
            <w:tcW w:w="14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923FF52" w14:textId="77777777" w:rsidR="00A95DF9" w:rsidRPr="00072627" w:rsidRDefault="00A95DF9" w:rsidP="00984A1C">
            <w:pPr>
              <w:keepNext/>
              <w:keepLines/>
              <w:spacing w:after="0" w:line="240" w:lineRule="auto"/>
              <w:jc w:val="center"/>
              <w:rPr>
                <w:color w:val="000000"/>
                <w:sz w:val="20"/>
                <w:szCs w:val="20"/>
                <w:lang w:eastAsia="es-AR"/>
              </w:rPr>
            </w:pPr>
            <w:r w:rsidRPr="00072627">
              <w:rPr>
                <w:color w:val="000000"/>
                <w:sz w:val="20"/>
                <w:szCs w:val="20"/>
                <w:lang w:eastAsia="es-AR"/>
              </w:rPr>
              <w:t>Alternativa 1</w:t>
            </w:r>
          </w:p>
        </w:tc>
        <w:tc>
          <w:tcPr>
            <w:tcW w:w="1480" w:type="dxa"/>
            <w:tcBorders>
              <w:top w:val="single" w:sz="4" w:space="0" w:color="auto"/>
              <w:left w:val="nil"/>
              <w:bottom w:val="single" w:sz="4" w:space="0" w:color="auto"/>
              <w:right w:val="single" w:sz="4" w:space="0" w:color="auto"/>
            </w:tcBorders>
            <w:shd w:val="clear" w:color="000000" w:fill="FFFFFF"/>
            <w:vAlign w:val="center"/>
            <w:hideMark/>
          </w:tcPr>
          <w:p w14:paraId="0506DB2A" w14:textId="77777777" w:rsidR="00A95DF9" w:rsidRPr="00072627" w:rsidRDefault="00A95DF9" w:rsidP="00984A1C">
            <w:pPr>
              <w:keepNext/>
              <w:keepLines/>
              <w:spacing w:after="0" w:line="240" w:lineRule="auto"/>
              <w:jc w:val="center"/>
              <w:rPr>
                <w:color w:val="000000"/>
                <w:sz w:val="20"/>
                <w:szCs w:val="20"/>
                <w:lang w:eastAsia="es-AR"/>
              </w:rPr>
            </w:pPr>
            <w:r w:rsidRPr="00072627">
              <w:rPr>
                <w:color w:val="000000"/>
                <w:sz w:val="20"/>
                <w:szCs w:val="20"/>
                <w:lang w:eastAsia="es-AR"/>
              </w:rPr>
              <w:t>Alternativa 2</w:t>
            </w:r>
          </w:p>
        </w:tc>
        <w:tc>
          <w:tcPr>
            <w:tcW w:w="1120"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73127CB9" w14:textId="77777777" w:rsidR="00A95DF9" w:rsidRPr="00072627" w:rsidRDefault="00A95DF9" w:rsidP="00984A1C">
            <w:pPr>
              <w:keepNext/>
              <w:keepLines/>
              <w:spacing w:after="0" w:line="240" w:lineRule="auto"/>
              <w:jc w:val="center"/>
              <w:rPr>
                <w:color w:val="000000"/>
                <w:sz w:val="20"/>
                <w:szCs w:val="20"/>
                <w:lang w:eastAsia="es-AR"/>
              </w:rPr>
            </w:pPr>
            <w:r w:rsidRPr="00072627">
              <w:rPr>
                <w:color w:val="000000"/>
                <w:sz w:val="20"/>
                <w:szCs w:val="20"/>
                <w:lang w:eastAsia="es-AR"/>
              </w:rPr>
              <w:t>Diferencia                 A1 - A2</w:t>
            </w:r>
          </w:p>
        </w:tc>
      </w:tr>
      <w:tr w:rsidR="00A95DF9" w:rsidRPr="00072627" w14:paraId="37B2BF31" w14:textId="77777777" w:rsidTr="0087147E">
        <w:trPr>
          <w:trHeight w:val="660"/>
        </w:trPr>
        <w:tc>
          <w:tcPr>
            <w:tcW w:w="980" w:type="dxa"/>
            <w:tcBorders>
              <w:top w:val="nil"/>
              <w:left w:val="nil"/>
              <w:bottom w:val="nil"/>
              <w:right w:val="nil"/>
            </w:tcBorders>
            <w:shd w:val="clear" w:color="000000" w:fill="FFFFFF"/>
            <w:noWrap/>
            <w:vAlign w:val="bottom"/>
            <w:hideMark/>
          </w:tcPr>
          <w:p w14:paraId="04DDBC62" w14:textId="77777777" w:rsidR="00A95DF9" w:rsidRPr="00072627" w:rsidRDefault="00A95DF9" w:rsidP="00984A1C">
            <w:pPr>
              <w:keepNext/>
              <w:keepLines/>
              <w:spacing w:after="0" w:line="240" w:lineRule="auto"/>
              <w:jc w:val="left"/>
              <w:rPr>
                <w:color w:val="000000"/>
                <w:sz w:val="20"/>
                <w:szCs w:val="20"/>
                <w:lang w:eastAsia="es-AR"/>
              </w:rPr>
            </w:pPr>
            <w:r w:rsidRPr="00072627">
              <w:rPr>
                <w:color w:val="000000"/>
                <w:sz w:val="20"/>
                <w:szCs w:val="20"/>
                <w:lang w:eastAsia="es-AR"/>
              </w:rPr>
              <w:t> </w:t>
            </w:r>
          </w:p>
        </w:tc>
        <w:tc>
          <w:tcPr>
            <w:tcW w:w="1780" w:type="dxa"/>
            <w:tcBorders>
              <w:top w:val="nil"/>
              <w:left w:val="nil"/>
              <w:bottom w:val="nil"/>
              <w:right w:val="nil"/>
            </w:tcBorders>
            <w:shd w:val="clear" w:color="000000" w:fill="FFFFFF"/>
            <w:noWrap/>
            <w:vAlign w:val="bottom"/>
            <w:hideMark/>
          </w:tcPr>
          <w:p w14:paraId="4990A21D" w14:textId="77777777" w:rsidR="00A95DF9" w:rsidRPr="00072627" w:rsidRDefault="00A95DF9" w:rsidP="00984A1C">
            <w:pPr>
              <w:keepNext/>
              <w:keepLines/>
              <w:spacing w:after="0" w:line="240" w:lineRule="auto"/>
              <w:jc w:val="left"/>
              <w:rPr>
                <w:color w:val="000000"/>
                <w:sz w:val="20"/>
                <w:szCs w:val="20"/>
                <w:lang w:eastAsia="es-AR"/>
              </w:rPr>
            </w:pPr>
            <w:r w:rsidRPr="00072627">
              <w:rPr>
                <w:color w:val="000000"/>
                <w:sz w:val="20"/>
                <w:szCs w:val="20"/>
                <w:lang w:eastAsia="es-AR"/>
              </w:rPr>
              <w:t> </w:t>
            </w:r>
          </w:p>
        </w:tc>
        <w:tc>
          <w:tcPr>
            <w:tcW w:w="1420" w:type="dxa"/>
            <w:tcBorders>
              <w:top w:val="nil"/>
              <w:left w:val="single" w:sz="4" w:space="0" w:color="auto"/>
              <w:bottom w:val="single" w:sz="4" w:space="0" w:color="auto"/>
              <w:right w:val="single" w:sz="4" w:space="0" w:color="auto"/>
            </w:tcBorders>
            <w:shd w:val="clear" w:color="000000" w:fill="FFFFFF"/>
            <w:vAlign w:val="center"/>
            <w:hideMark/>
          </w:tcPr>
          <w:p w14:paraId="4CA81A4F" w14:textId="77777777" w:rsidR="00A95DF9" w:rsidRPr="00072627" w:rsidRDefault="00A95DF9" w:rsidP="00984A1C">
            <w:pPr>
              <w:keepNext/>
              <w:keepLines/>
              <w:spacing w:after="0" w:line="240" w:lineRule="auto"/>
              <w:jc w:val="center"/>
              <w:rPr>
                <w:color w:val="000000"/>
                <w:sz w:val="20"/>
                <w:szCs w:val="20"/>
                <w:lang w:eastAsia="es-AR"/>
              </w:rPr>
            </w:pPr>
            <w:r w:rsidRPr="00072627">
              <w:rPr>
                <w:color w:val="000000"/>
                <w:sz w:val="20"/>
                <w:szCs w:val="20"/>
                <w:lang w:eastAsia="es-AR"/>
              </w:rPr>
              <w:t>Nuevo Emisario</w:t>
            </w:r>
          </w:p>
        </w:tc>
        <w:tc>
          <w:tcPr>
            <w:tcW w:w="1480" w:type="dxa"/>
            <w:tcBorders>
              <w:top w:val="nil"/>
              <w:left w:val="nil"/>
              <w:bottom w:val="single" w:sz="4" w:space="0" w:color="auto"/>
              <w:right w:val="single" w:sz="4" w:space="0" w:color="auto"/>
            </w:tcBorders>
            <w:shd w:val="clear" w:color="000000" w:fill="FFFFFF"/>
            <w:vAlign w:val="center"/>
            <w:hideMark/>
          </w:tcPr>
          <w:p w14:paraId="6806387D" w14:textId="77777777" w:rsidR="00A95DF9" w:rsidRPr="00072627" w:rsidRDefault="00A95DF9" w:rsidP="00984A1C">
            <w:pPr>
              <w:keepNext/>
              <w:keepLines/>
              <w:spacing w:after="0" w:line="240" w:lineRule="auto"/>
              <w:jc w:val="center"/>
              <w:rPr>
                <w:color w:val="000000"/>
                <w:sz w:val="20"/>
                <w:szCs w:val="20"/>
                <w:lang w:eastAsia="es-AR"/>
              </w:rPr>
            </w:pPr>
            <w:r w:rsidRPr="00072627">
              <w:rPr>
                <w:color w:val="000000"/>
                <w:sz w:val="20"/>
                <w:szCs w:val="20"/>
                <w:lang w:eastAsia="es-AR"/>
              </w:rPr>
              <w:t>Tratamiento Secundario</w:t>
            </w:r>
          </w:p>
        </w:tc>
        <w:tc>
          <w:tcPr>
            <w:tcW w:w="1120" w:type="dxa"/>
            <w:vMerge/>
            <w:tcBorders>
              <w:top w:val="single" w:sz="4" w:space="0" w:color="auto"/>
              <w:left w:val="single" w:sz="4" w:space="0" w:color="auto"/>
              <w:bottom w:val="single" w:sz="4" w:space="0" w:color="000000"/>
              <w:right w:val="single" w:sz="4" w:space="0" w:color="auto"/>
            </w:tcBorders>
            <w:vAlign w:val="center"/>
            <w:hideMark/>
          </w:tcPr>
          <w:p w14:paraId="51B213E9" w14:textId="77777777" w:rsidR="00A95DF9" w:rsidRPr="00072627" w:rsidRDefault="00A95DF9" w:rsidP="00984A1C">
            <w:pPr>
              <w:keepNext/>
              <w:keepLines/>
              <w:spacing w:after="0" w:line="240" w:lineRule="auto"/>
              <w:jc w:val="left"/>
              <w:rPr>
                <w:color w:val="000000"/>
                <w:sz w:val="20"/>
                <w:szCs w:val="20"/>
                <w:lang w:eastAsia="es-AR"/>
              </w:rPr>
            </w:pPr>
          </w:p>
        </w:tc>
      </w:tr>
      <w:tr w:rsidR="00A95DF9" w:rsidRPr="00072627" w14:paraId="2157EFFB" w14:textId="77777777" w:rsidTr="0087147E">
        <w:trPr>
          <w:trHeight w:val="285"/>
        </w:trPr>
        <w:tc>
          <w:tcPr>
            <w:tcW w:w="980" w:type="dxa"/>
            <w:tcBorders>
              <w:top w:val="nil"/>
              <w:left w:val="nil"/>
              <w:bottom w:val="nil"/>
              <w:right w:val="nil"/>
            </w:tcBorders>
            <w:shd w:val="clear" w:color="000000" w:fill="FFFFFF"/>
            <w:noWrap/>
            <w:vAlign w:val="bottom"/>
            <w:hideMark/>
          </w:tcPr>
          <w:p w14:paraId="5F5D83B4" w14:textId="77777777" w:rsidR="00A95DF9" w:rsidRPr="00072627" w:rsidRDefault="00A95DF9" w:rsidP="00984A1C">
            <w:pPr>
              <w:keepNext/>
              <w:keepLines/>
              <w:spacing w:after="0" w:line="240" w:lineRule="auto"/>
              <w:jc w:val="left"/>
              <w:rPr>
                <w:color w:val="000000"/>
                <w:sz w:val="20"/>
                <w:szCs w:val="20"/>
                <w:lang w:eastAsia="es-AR"/>
              </w:rPr>
            </w:pPr>
            <w:r w:rsidRPr="00072627">
              <w:rPr>
                <w:color w:val="000000"/>
                <w:sz w:val="20"/>
                <w:szCs w:val="20"/>
                <w:lang w:eastAsia="es-AR"/>
              </w:rPr>
              <w:t> </w:t>
            </w:r>
          </w:p>
        </w:tc>
        <w:tc>
          <w:tcPr>
            <w:tcW w:w="1780" w:type="dxa"/>
            <w:tcBorders>
              <w:top w:val="nil"/>
              <w:left w:val="nil"/>
              <w:bottom w:val="nil"/>
              <w:right w:val="nil"/>
            </w:tcBorders>
            <w:shd w:val="clear" w:color="000000" w:fill="FFFFFF"/>
            <w:noWrap/>
            <w:vAlign w:val="bottom"/>
            <w:hideMark/>
          </w:tcPr>
          <w:p w14:paraId="2192867B" w14:textId="77777777" w:rsidR="00A95DF9" w:rsidRPr="00072627" w:rsidRDefault="00A95DF9" w:rsidP="00984A1C">
            <w:pPr>
              <w:keepNext/>
              <w:keepLines/>
              <w:spacing w:after="0" w:line="240" w:lineRule="auto"/>
              <w:jc w:val="left"/>
              <w:rPr>
                <w:color w:val="000000"/>
                <w:sz w:val="20"/>
                <w:szCs w:val="20"/>
                <w:lang w:eastAsia="es-AR"/>
              </w:rPr>
            </w:pPr>
            <w:r w:rsidRPr="00072627">
              <w:rPr>
                <w:color w:val="000000"/>
                <w:sz w:val="20"/>
                <w:szCs w:val="20"/>
                <w:lang w:eastAsia="es-AR"/>
              </w:rPr>
              <w:t> </w:t>
            </w:r>
          </w:p>
        </w:tc>
        <w:tc>
          <w:tcPr>
            <w:tcW w:w="1420" w:type="dxa"/>
            <w:tcBorders>
              <w:top w:val="nil"/>
              <w:left w:val="nil"/>
              <w:bottom w:val="nil"/>
              <w:right w:val="nil"/>
            </w:tcBorders>
            <w:shd w:val="clear" w:color="000000" w:fill="FFFFFF"/>
            <w:noWrap/>
            <w:vAlign w:val="bottom"/>
            <w:hideMark/>
          </w:tcPr>
          <w:p w14:paraId="0D3DDA5A" w14:textId="77777777" w:rsidR="00A95DF9" w:rsidRPr="00072627" w:rsidRDefault="00A95DF9" w:rsidP="00984A1C">
            <w:pPr>
              <w:keepNext/>
              <w:keepLines/>
              <w:spacing w:after="0" w:line="240" w:lineRule="auto"/>
              <w:jc w:val="left"/>
              <w:rPr>
                <w:color w:val="000000"/>
                <w:sz w:val="20"/>
                <w:szCs w:val="20"/>
                <w:lang w:eastAsia="es-AR"/>
              </w:rPr>
            </w:pPr>
            <w:r w:rsidRPr="00072627">
              <w:rPr>
                <w:color w:val="000000"/>
                <w:sz w:val="20"/>
                <w:szCs w:val="20"/>
                <w:lang w:eastAsia="es-AR"/>
              </w:rPr>
              <w:t> </w:t>
            </w:r>
          </w:p>
        </w:tc>
        <w:tc>
          <w:tcPr>
            <w:tcW w:w="1480" w:type="dxa"/>
            <w:tcBorders>
              <w:top w:val="nil"/>
              <w:left w:val="nil"/>
              <w:bottom w:val="nil"/>
              <w:right w:val="nil"/>
            </w:tcBorders>
            <w:shd w:val="clear" w:color="000000" w:fill="FFFFFF"/>
            <w:noWrap/>
            <w:vAlign w:val="bottom"/>
            <w:hideMark/>
          </w:tcPr>
          <w:p w14:paraId="18EE74FB" w14:textId="77777777" w:rsidR="00A95DF9" w:rsidRPr="00072627" w:rsidRDefault="00A95DF9" w:rsidP="00984A1C">
            <w:pPr>
              <w:keepNext/>
              <w:keepLines/>
              <w:spacing w:after="0" w:line="240" w:lineRule="auto"/>
              <w:jc w:val="left"/>
              <w:rPr>
                <w:color w:val="000000"/>
                <w:sz w:val="20"/>
                <w:szCs w:val="20"/>
                <w:lang w:eastAsia="es-AR"/>
              </w:rPr>
            </w:pPr>
            <w:r w:rsidRPr="00072627">
              <w:rPr>
                <w:color w:val="000000"/>
                <w:sz w:val="20"/>
                <w:szCs w:val="20"/>
                <w:lang w:eastAsia="es-AR"/>
              </w:rPr>
              <w:t> </w:t>
            </w:r>
          </w:p>
        </w:tc>
        <w:tc>
          <w:tcPr>
            <w:tcW w:w="1120" w:type="dxa"/>
            <w:tcBorders>
              <w:top w:val="nil"/>
              <w:left w:val="nil"/>
              <w:bottom w:val="nil"/>
              <w:right w:val="nil"/>
            </w:tcBorders>
            <w:shd w:val="clear" w:color="000000" w:fill="FFFFFF"/>
            <w:noWrap/>
            <w:vAlign w:val="bottom"/>
            <w:hideMark/>
          </w:tcPr>
          <w:p w14:paraId="0F0A8333" w14:textId="77777777" w:rsidR="00A95DF9" w:rsidRPr="00072627" w:rsidRDefault="00A95DF9" w:rsidP="00984A1C">
            <w:pPr>
              <w:keepNext/>
              <w:keepLines/>
              <w:spacing w:after="0" w:line="240" w:lineRule="auto"/>
              <w:jc w:val="left"/>
              <w:rPr>
                <w:color w:val="000000"/>
                <w:sz w:val="20"/>
                <w:szCs w:val="20"/>
                <w:lang w:eastAsia="es-AR"/>
              </w:rPr>
            </w:pPr>
            <w:r w:rsidRPr="00072627">
              <w:rPr>
                <w:color w:val="000000"/>
                <w:sz w:val="20"/>
                <w:szCs w:val="20"/>
                <w:lang w:eastAsia="es-AR"/>
              </w:rPr>
              <w:t> </w:t>
            </w:r>
          </w:p>
        </w:tc>
      </w:tr>
      <w:tr w:rsidR="00A95DF9" w:rsidRPr="00072627" w14:paraId="30285AB7" w14:textId="77777777" w:rsidTr="0087147E">
        <w:trPr>
          <w:trHeight w:val="465"/>
        </w:trPr>
        <w:tc>
          <w:tcPr>
            <w:tcW w:w="2760" w:type="dxa"/>
            <w:gridSpan w:val="2"/>
            <w:tcBorders>
              <w:top w:val="single" w:sz="4" w:space="0" w:color="auto"/>
              <w:left w:val="single" w:sz="4" w:space="0" w:color="auto"/>
              <w:bottom w:val="single" w:sz="4" w:space="0" w:color="auto"/>
              <w:right w:val="nil"/>
            </w:tcBorders>
            <w:shd w:val="clear" w:color="000000" w:fill="FFFFFF"/>
            <w:noWrap/>
            <w:vAlign w:val="bottom"/>
            <w:hideMark/>
          </w:tcPr>
          <w:p w14:paraId="459E295B" w14:textId="77777777" w:rsidR="00A95DF9" w:rsidRPr="00072627" w:rsidRDefault="00A95DF9" w:rsidP="00984A1C">
            <w:pPr>
              <w:keepNext/>
              <w:keepLines/>
              <w:spacing w:after="0" w:line="240" w:lineRule="auto"/>
              <w:jc w:val="left"/>
              <w:rPr>
                <w:b/>
                <w:bCs/>
                <w:color w:val="000000"/>
                <w:lang w:eastAsia="es-AR"/>
              </w:rPr>
            </w:pPr>
            <w:r w:rsidRPr="00072627">
              <w:rPr>
                <w:b/>
                <w:bCs/>
                <w:color w:val="000000"/>
                <w:lang w:eastAsia="es-AR"/>
              </w:rPr>
              <w:t xml:space="preserve">Total costos cotizado </w:t>
            </w:r>
          </w:p>
        </w:tc>
        <w:tc>
          <w:tcPr>
            <w:tcW w:w="14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FA5523C" w14:textId="77777777" w:rsidR="00A95DF9" w:rsidRPr="00072627" w:rsidRDefault="00A95DF9" w:rsidP="00984A1C">
            <w:pPr>
              <w:keepNext/>
              <w:keepLines/>
              <w:spacing w:after="0" w:line="240" w:lineRule="auto"/>
              <w:jc w:val="right"/>
              <w:rPr>
                <w:b/>
                <w:bCs/>
                <w:color w:val="000000"/>
                <w:lang w:eastAsia="es-AR"/>
              </w:rPr>
            </w:pPr>
            <w:r w:rsidRPr="00072627">
              <w:rPr>
                <w:b/>
                <w:bCs/>
                <w:color w:val="000000"/>
                <w:lang w:eastAsia="es-AR"/>
              </w:rPr>
              <w:t>259.908</w:t>
            </w:r>
          </w:p>
        </w:tc>
        <w:tc>
          <w:tcPr>
            <w:tcW w:w="1480" w:type="dxa"/>
            <w:tcBorders>
              <w:top w:val="single" w:sz="4" w:space="0" w:color="auto"/>
              <w:left w:val="nil"/>
              <w:bottom w:val="single" w:sz="4" w:space="0" w:color="auto"/>
              <w:right w:val="single" w:sz="4" w:space="0" w:color="auto"/>
            </w:tcBorders>
            <w:shd w:val="clear" w:color="000000" w:fill="FFFFFF"/>
            <w:noWrap/>
            <w:vAlign w:val="bottom"/>
            <w:hideMark/>
          </w:tcPr>
          <w:p w14:paraId="6450C141" w14:textId="77777777" w:rsidR="00A95DF9" w:rsidRPr="00072627" w:rsidRDefault="00A95DF9" w:rsidP="00984A1C">
            <w:pPr>
              <w:keepNext/>
              <w:keepLines/>
              <w:spacing w:after="0" w:line="240" w:lineRule="auto"/>
              <w:jc w:val="right"/>
              <w:rPr>
                <w:b/>
                <w:bCs/>
                <w:color w:val="000000"/>
                <w:lang w:eastAsia="es-AR"/>
              </w:rPr>
            </w:pPr>
            <w:r w:rsidRPr="00072627">
              <w:rPr>
                <w:b/>
                <w:bCs/>
                <w:color w:val="000000"/>
                <w:lang w:eastAsia="es-AR"/>
              </w:rPr>
              <w:t>959.845</w:t>
            </w:r>
          </w:p>
        </w:tc>
        <w:tc>
          <w:tcPr>
            <w:tcW w:w="1120" w:type="dxa"/>
            <w:tcBorders>
              <w:top w:val="single" w:sz="4" w:space="0" w:color="auto"/>
              <w:left w:val="nil"/>
              <w:bottom w:val="single" w:sz="4" w:space="0" w:color="auto"/>
              <w:right w:val="single" w:sz="4" w:space="0" w:color="auto"/>
            </w:tcBorders>
            <w:shd w:val="clear" w:color="000000" w:fill="FFFFFF"/>
            <w:noWrap/>
            <w:vAlign w:val="bottom"/>
            <w:hideMark/>
          </w:tcPr>
          <w:p w14:paraId="0912C551" w14:textId="77777777" w:rsidR="00A95DF9" w:rsidRPr="00072627" w:rsidRDefault="00A95DF9" w:rsidP="00984A1C">
            <w:pPr>
              <w:keepNext/>
              <w:keepLines/>
              <w:spacing w:after="0" w:line="240" w:lineRule="auto"/>
              <w:jc w:val="right"/>
              <w:rPr>
                <w:b/>
                <w:bCs/>
                <w:color w:val="000000"/>
                <w:sz w:val="20"/>
                <w:szCs w:val="20"/>
                <w:lang w:eastAsia="es-AR"/>
              </w:rPr>
            </w:pPr>
            <w:r w:rsidRPr="00072627">
              <w:rPr>
                <w:b/>
                <w:bCs/>
                <w:color w:val="000000"/>
                <w:sz w:val="20"/>
                <w:szCs w:val="20"/>
                <w:lang w:eastAsia="es-AR"/>
              </w:rPr>
              <w:t>-699.937</w:t>
            </w:r>
          </w:p>
        </w:tc>
      </w:tr>
    </w:tbl>
    <w:p w14:paraId="172CF15B" w14:textId="77777777" w:rsidR="00A95DF9" w:rsidRDefault="00A95DF9" w:rsidP="00984A1C">
      <w:pPr>
        <w:keepNext/>
        <w:keepLines/>
        <w:spacing w:after="0" w:line="240" w:lineRule="auto"/>
        <w:rPr>
          <w:b/>
        </w:rPr>
      </w:pPr>
    </w:p>
    <w:p w14:paraId="52594143" w14:textId="77777777" w:rsidR="00984A1C" w:rsidRDefault="00984A1C" w:rsidP="00984A1C">
      <w:pPr>
        <w:keepNext/>
        <w:keepLines/>
        <w:spacing w:after="0" w:line="240" w:lineRule="auto"/>
        <w:rPr>
          <w:b/>
        </w:rPr>
      </w:pPr>
    </w:p>
    <w:p w14:paraId="55221678" w14:textId="77777777" w:rsidR="00984A1C" w:rsidRDefault="00984A1C" w:rsidP="00984A1C">
      <w:pPr>
        <w:keepNext/>
        <w:keepLines/>
        <w:spacing w:after="0" w:line="240" w:lineRule="auto"/>
        <w:rPr>
          <w:b/>
        </w:rPr>
      </w:pPr>
    </w:p>
    <w:p w14:paraId="1651E072" w14:textId="77777777" w:rsidR="00984A1C" w:rsidRDefault="00984A1C" w:rsidP="00984A1C">
      <w:pPr>
        <w:spacing w:after="0" w:line="240" w:lineRule="auto"/>
        <w:rPr>
          <w:b/>
        </w:rPr>
      </w:pPr>
    </w:p>
    <w:p w14:paraId="6D5BC2B9" w14:textId="77777777" w:rsidR="00984A1C" w:rsidRDefault="00984A1C" w:rsidP="00984A1C">
      <w:pPr>
        <w:spacing w:after="0" w:line="240" w:lineRule="auto"/>
        <w:rPr>
          <w:b/>
        </w:rPr>
      </w:pPr>
    </w:p>
    <w:p w14:paraId="0264CF40" w14:textId="274CBE5D" w:rsidR="00984A1C" w:rsidRDefault="00984A1C" w:rsidP="00984A1C">
      <w:pPr>
        <w:spacing w:after="0" w:line="240" w:lineRule="auto"/>
        <w:rPr>
          <w:b/>
        </w:rPr>
      </w:pPr>
    </w:p>
    <w:p w14:paraId="462FB94C" w14:textId="77777777" w:rsidR="00984A1C" w:rsidRDefault="00984A1C" w:rsidP="00984A1C">
      <w:pPr>
        <w:spacing w:after="0" w:line="240" w:lineRule="auto"/>
        <w:rPr>
          <w:b/>
        </w:rPr>
      </w:pPr>
    </w:p>
    <w:p w14:paraId="6BE33D89" w14:textId="77777777" w:rsidR="00984A1C" w:rsidRDefault="00984A1C" w:rsidP="00984A1C">
      <w:pPr>
        <w:spacing w:after="0" w:line="240" w:lineRule="auto"/>
        <w:rPr>
          <w:b/>
        </w:rPr>
      </w:pPr>
    </w:p>
    <w:p w14:paraId="20E87F81" w14:textId="77777777" w:rsidR="00984A1C" w:rsidRDefault="00984A1C" w:rsidP="00984A1C">
      <w:pPr>
        <w:spacing w:after="0" w:line="240" w:lineRule="auto"/>
        <w:rPr>
          <w:b/>
        </w:rPr>
      </w:pPr>
    </w:p>
    <w:p w14:paraId="3233DF7D" w14:textId="337DC2C1" w:rsidR="00A95DF9" w:rsidRPr="009C787B" w:rsidRDefault="00984A1C" w:rsidP="00984A1C">
      <w:pPr>
        <w:spacing w:after="0" w:line="240" w:lineRule="auto"/>
        <w:rPr>
          <w:b/>
        </w:rPr>
      </w:pPr>
      <w:r>
        <w:rPr>
          <w:b/>
        </w:rPr>
        <w:t>Cuadro IV-</w:t>
      </w:r>
      <w:r w:rsidR="00A95DF9">
        <w:rPr>
          <w:b/>
        </w:rPr>
        <w:t xml:space="preserve">4. </w:t>
      </w:r>
      <w:r w:rsidR="00A95DF9" w:rsidRPr="009C787B">
        <w:rPr>
          <w:b/>
        </w:rPr>
        <w:t>Síntesis comparativa de costos de inversión a precios de cuenta,</w:t>
      </w:r>
      <w:r w:rsidR="00A95DF9" w:rsidRPr="009C787B">
        <w:rPr>
          <w:b/>
        </w:rPr>
        <w:br/>
        <w:t>en miles de dólares</w:t>
      </w:r>
    </w:p>
    <w:p w14:paraId="0B11976E" w14:textId="77777777" w:rsidR="00A95DF9" w:rsidRPr="009C787B" w:rsidRDefault="00A95DF9" w:rsidP="00984A1C">
      <w:pPr>
        <w:spacing w:after="0" w:line="240" w:lineRule="auto"/>
      </w:pPr>
      <w:r w:rsidRPr="00D56697">
        <w:rPr>
          <w:noProof/>
          <w:lang w:eastAsia="es-AR"/>
        </w:rPr>
        <w:drawing>
          <wp:inline distT="0" distB="0" distL="0" distR="0" wp14:anchorId="7D44BE62" wp14:editId="5148BFB2">
            <wp:extent cx="4714875" cy="942975"/>
            <wp:effectExtent l="0" t="0" r="9525" b="9525"/>
            <wp:docPr id="13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714875" cy="942975"/>
                    </a:xfrm>
                    <a:prstGeom prst="rect">
                      <a:avLst/>
                    </a:prstGeom>
                    <a:noFill/>
                    <a:ln>
                      <a:noFill/>
                    </a:ln>
                  </pic:spPr>
                </pic:pic>
              </a:graphicData>
            </a:graphic>
          </wp:inline>
        </w:drawing>
      </w:r>
    </w:p>
    <w:p w14:paraId="3925A584" w14:textId="77777777" w:rsidR="00984A1C" w:rsidRDefault="00984A1C" w:rsidP="00984A1C">
      <w:pPr>
        <w:spacing w:after="100" w:afterAutospacing="1" w:line="240" w:lineRule="auto"/>
        <w:rPr>
          <w:rFonts w:ascii="Arial" w:hAnsi="Arial" w:cs="Arial"/>
        </w:rPr>
      </w:pPr>
    </w:p>
    <w:p w14:paraId="3CEB0258" w14:textId="161EDD8A" w:rsidR="00A95DF9" w:rsidRPr="00984A1C" w:rsidRDefault="00A95DF9" w:rsidP="00984A1C">
      <w:pPr>
        <w:spacing w:after="100" w:afterAutospacing="1" w:line="240" w:lineRule="auto"/>
        <w:rPr>
          <w:rFonts w:ascii="Arial" w:hAnsi="Arial" w:cs="Arial"/>
        </w:rPr>
      </w:pPr>
      <w:r w:rsidRPr="00984A1C">
        <w:rPr>
          <w:rFonts w:ascii="Arial" w:hAnsi="Arial" w:cs="Arial"/>
        </w:rPr>
        <w:t>Según se aprecia, en términos de costos de inversión, la Alternativa 1 (construcción del Nuevo Emisario) registra menos de la mitad de los costos en relación con la otra opción.</w:t>
      </w:r>
    </w:p>
    <w:p w14:paraId="1EC5CA54" w14:textId="77777777" w:rsidR="00A95DF9" w:rsidRPr="00984A1C" w:rsidRDefault="00A95DF9" w:rsidP="00984A1C">
      <w:pPr>
        <w:spacing w:after="100" w:afterAutospacing="1" w:line="240" w:lineRule="auto"/>
        <w:rPr>
          <w:rFonts w:ascii="Arial" w:hAnsi="Arial" w:cs="Arial"/>
        </w:rPr>
      </w:pPr>
      <w:r w:rsidRPr="00984A1C">
        <w:rPr>
          <w:rFonts w:ascii="Arial" w:hAnsi="Arial" w:cs="Arial"/>
        </w:rPr>
        <w:t>La diferencia relativa que existe entre los montos computados para la inversión de la Alternativa 1 (vinculada a un sistema de dilución) respecto de los montos de la Alternativa 2 (asociada con una técnica de tratamiento secundario) son consistentes con los estudios internacionales. Este punto se desarrollará en detalle en las conclusiones de este apartado.</w:t>
      </w:r>
    </w:p>
    <w:p w14:paraId="24EFC29F" w14:textId="77777777" w:rsidR="00A95DF9" w:rsidRPr="00984A1C" w:rsidRDefault="00A95DF9" w:rsidP="0087147E">
      <w:pPr>
        <w:spacing w:before="240" w:line="360" w:lineRule="auto"/>
        <w:rPr>
          <w:rFonts w:ascii="Arial" w:hAnsi="Arial" w:cs="Arial"/>
        </w:rPr>
      </w:pPr>
    </w:p>
    <w:p w14:paraId="1D0A19E4" w14:textId="69F64757" w:rsidR="00A95DF9" w:rsidRPr="009C787B" w:rsidRDefault="00A95DF9" w:rsidP="002B0107">
      <w:pPr>
        <w:pStyle w:val="Heading2"/>
        <w:numPr>
          <w:ilvl w:val="0"/>
          <w:numId w:val="100"/>
        </w:numPr>
      </w:pPr>
      <w:bookmarkStart w:id="344" w:name="_Toc476322044"/>
      <w:bookmarkStart w:id="345" w:name="_Toc483227449"/>
      <w:bookmarkStart w:id="346" w:name="_Toc485200208"/>
      <w:r w:rsidRPr="009C787B">
        <w:t>Costos de administración y operación de las alternativas</w:t>
      </w:r>
      <w:bookmarkEnd w:id="344"/>
      <w:bookmarkEnd w:id="345"/>
      <w:bookmarkEnd w:id="346"/>
    </w:p>
    <w:p w14:paraId="27900849" w14:textId="77777777" w:rsidR="00A95DF9" w:rsidRPr="00984A1C" w:rsidRDefault="00A95DF9" w:rsidP="00984A1C">
      <w:pPr>
        <w:spacing w:after="100" w:afterAutospacing="1" w:line="240" w:lineRule="auto"/>
        <w:rPr>
          <w:rFonts w:ascii="Arial" w:hAnsi="Arial" w:cs="Arial"/>
        </w:rPr>
      </w:pPr>
      <w:r w:rsidRPr="00984A1C">
        <w:rPr>
          <w:rFonts w:ascii="Arial" w:hAnsi="Arial" w:cs="Arial"/>
        </w:rPr>
        <w:t>Los costos de administración, operación y mantenimiento de las dos alternativas que se tienen en cuenta para realizar la evaluación económica de mínimo costo se describen a continuación.</w:t>
      </w:r>
    </w:p>
    <w:p w14:paraId="56B0FC80" w14:textId="199974ED" w:rsidR="00A95DF9" w:rsidRPr="00984A1C" w:rsidRDefault="00A95DF9" w:rsidP="00984A1C">
      <w:pPr>
        <w:spacing w:after="100" w:afterAutospacing="1" w:line="240" w:lineRule="auto"/>
        <w:rPr>
          <w:rFonts w:ascii="Arial" w:hAnsi="Arial" w:cs="Arial"/>
        </w:rPr>
      </w:pPr>
      <w:r w:rsidRPr="00984A1C">
        <w:rPr>
          <w:rFonts w:ascii="Arial" w:hAnsi="Arial" w:cs="Arial"/>
        </w:rPr>
        <w:t xml:space="preserve">En el caso de la Alternativa 1, se trabajará con la hipótesis que los costos operativos y de mantenimiento equivalen por año a un 0,5 por ciento de los montos requeridos de inversión para el Nuevo Emisario. Esto implica que se debería desembolsar, a precios de cuenta, unos 701 mil dólares año para cubrir los costos de operación y mantenimiento.  </w:t>
      </w:r>
    </w:p>
    <w:p w14:paraId="5ED3A4E6" w14:textId="77777777" w:rsidR="00A95DF9" w:rsidRPr="00984A1C" w:rsidRDefault="00A95DF9" w:rsidP="00984A1C">
      <w:pPr>
        <w:spacing w:after="100" w:afterAutospacing="1" w:line="240" w:lineRule="auto"/>
        <w:rPr>
          <w:rFonts w:ascii="Arial" w:hAnsi="Arial" w:cs="Arial"/>
        </w:rPr>
      </w:pPr>
      <w:r w:rsidRPr="00984A1C">
        <w:rPr>
          <w:rFonts w:ascii="Arial" w:hAnsi="Arial" w:cs="Arial"/>
        </w:rPr>
        <w:t>Para el caso de la Alternativa 2 se contemplaron los costos operativos y de mantenimiento que se presentan a continuación:</w:t>
      </w:r>
    </w:p>
    <w:p w14:paraId="7869E2B1" w14:textId="6A11C607" w:rsidR="00A95DF9" w:rsidRDefault="00CF201A" w:rsidP="00984A1C">
      <w:pPr>
        <w:keepNext/>
        <w:keepLines/>
        <w:spacing w:after="0" w:line="240" w:lineRule="auto"/>
        <w:rPr>
          <w:b/>
        </w:rPr>
      </w:pPr>
      <w:r>
        <w:rPr>
          <w:b/>
        </w:rPr>
        <w:t>Cuadro IV-</w:t>
      </w:r>
      <w:r w:rsidR="00A95DF9" w:rsidRPr="00D56697">
        <w:rPr>
          <w:b/>
        </w:rPr>
        <w:t>5. Costos operativos y de mantenimiento de la Alternativa 2, a precios de mercado, en miles de dólares</w:t>
      </w:r>
    </w:p>
    <w:p w14:paraId="112AAA06" w14:textId="77777777" w:rsidR="00A95DF9" w:rsidRDefault="00A95DF9" w:rsidP="00984A1C">
      <w:pPr>
        <w:keepNext/>
        <w:keepLines/>
        <w:spacing w:after="0" w:line="240" w:lineRule="auto"/>
      </w:pPr>
      <w:r w:rsidRPr="00D56697">
        <w:rPr>
          <w:noProof/>
          <w:lang w:eastAsia="es-AR"/>
        </w:rPr>
        <w:drawing>
          <wp:inline distT="0" distB="0" distL="0" distR="0" wp14:anchorId="6EEEE082" wp14:editId="307DFC53">
            <wp:extent cx="3368040" cy="2408191"/>
            <wp:effectExtent l="0" t="0" r="3810" b="0"/>
            <wp:docPr id="13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377872" cy="2415221"/>
                    </a:xfrm>
                    <a:prstGeom prst="rect">
                      <a:avLst/>
                    </a:prstGeom>
                    <a:noFill/>
                    <a:ln>
                      <a:noFill/>
                    </a:ln>
                  </pic:spPr>
                </pic:pic>
              </a:graphicData>
            </a:graphic>
          </wp:inline>
        </w:drawing>
      </w:r>
    </w:p>
    <w:p w14:paraId="61E471F3" w14:textId="77777777" w:rsidR="00984A1C" w:rsidRPr="000778F5" w:rsidRDefault="00984A1C" w:rsidP="0087147E">
      <w:pPr>
        <w:spacing w:before="240" w:line="360" w:lineRule="auto"/>
        <w:rPr>
          <w:rFonts w:ascii="Arial" w:hAnsi="Arial" w:cs="Arial"/>
        </w:rPr>
      </w:pPr>
    </w:p>
    <w:p w14:paraId="2CC95643" w14:textId="2281A004" w:rsidR="00A95DF9" w:rsidRPr="000778F5" w:rsidRDefault="00A95DF9" w:rsidP="000778F5">
      <w:pPr>
        <w:spacing w:after="100" w:afterAutospacing="1" w:line="240" w:lineRule="auto"/>
        <w:rPr>
          <w:rFonts w:ascii="Arial" w:hAnsi="Arial" w:cs="Arial"/>
        </w:rPr>
      </w:pPr>
      <w:r w:rsidRPr="000778F5">
        <w:rPr>
          <w:rFonts w:ascii="Arial" w:hAnsi="Arial" w:cs="Arial"/>
        </w:rPr>
        <w:t>En el cuadro que sigue, en tanto, se resume los costos operativos y de mantenimiento de la Alternativa 2 con el traslado a precios de cuenta.</w:t>
      </w:r>
    </w:p>
    <w:p w14:paraId="22FEFB20" w14:textId="77777777" w:rsidR="000778F5" w:rsidRDefault="000778F5" w:rsidP="0087147E">
      <w:pPr>
        <w:spacing w:before="240" w:line="360" w:lineRule="auto"/>
        <w:rPr>
          <w:b/>
        </w:rPr>
      </w:pPr>
    </w:p>
    <w:p w14:paraId="06677089" w14:textId="5F71FDDA" w:rsidR="00A95DF9" w:rsidRDefault="00CF201A" w:rsidP="000778F5">
      <w:pPr>
        <w:keepNext/>
        <w:keepLines/>
        <w:spacing w:after="0" w:line="240" w:lineRule="auto"/>
        <w:rPr>
          <w:b/>
        </w:rPr>
      </w:pPr>
      <w:r>
        <w:rPr>
          <w:b/>
        </w:rPr>
        <w:t>Cuadro IV-</w:t>
      </w:r>
      <w:r w:rsidR="00A95DF9">
        <w:rPr>
          <w:b/>
        </w:rPr>
        <w:t>6</w:t>
      </w:r>
      <w:r w:rsidR="00A95DF9" w:rsidRPr="00D56697">
        <w:rPr>
          <w:b/>
        </w:rPr>
        <w:t>. Costos operativos y de mantenimiento de la Alternativa 2, a precios de mercado, en miles de dólares</w:t>
      </w:r>
    </w:p>
    <w:p w14:paraId="4954E7B9" w14:textId="77777777" w:rsidR="00A95DF9" w:rsidRDefault="00A95DF9" w:rsidP="000778F5">
      <w:pPr>
        <w:keepNext/>
        <w:keepLines/>
        <w:spacing w:after="0" w:line="240" w:lineRule="auto"/>
      </w:pPr>
      <w:r w:rsidRPr="007A0A4E">
        <w:rPr>
          <w:noProof/>
          <w:lang w:eastAsia="es-AR"/>
        </w:rPr>
        <w:drawing>
          <wp:inline distT="0" distB="0" distL="0" distR="0" wp14:anchorId="5D0B7D6E" wp14:editId="1CD7BA88">
            <wp:extent cx="4476750" cy="2676525"/>
            <wp:effectExtent l="0" t="0" r="0" b="9525"/>
            <wp:docPr id="13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476750" cy="2676525"/>
                    </a:xfrm>
                    <a:prstGeom prst="rect">
                      <a:avLst/>
                    </a:prstGeom>
                    <a:noFill/>
                    <a:ln>
                      <a:noFill/>
                    </a:ln>
                  </pic:spPr>
                </pic:pic>
              </a:graphicData>
            </a:graphic>
          </wp:inline>
        </w:drawing>
      </w:r>
    </w:p>
    <w:p w14:paraId="75F66EED" w14:textId="77777777" w:rsidR="000778F5" w:rsidRDefault="000778F5" w:rsidP="000778F5">
      <w:pPr>
        <w:spacing w:after="100" w:afterAutospacing="1" w:line="240" w:lineRule="auto"/>
        <w:rPr>
          <w:rFonts w:ascii="Arial" w:hAnsi="Arial" w:cs="Arial"/>
        </w:rPr>
      </w:pPr>
    </w:p>
    <w:p w14:paraId="594A87A3" w14:textId="75D48B71" w:rsidR="00A95DF9" w:rsidRDefault="00A95DF9" w:rsidP="000778F5">
      <w:pPr>
        <w:spacing w:after="100" w:afterAutospacing="1" w:line="240" w:lineRule="auto"/>
      </w:pPr>
      <w:r w:rsidRPr="000778F5">
        <w:rPr>
          <w:rFonts w:ascii="Arial" w:hAnsi="Arial" w:cs="Arial"/>
        </w:rPr>
        <w:t>La opción de tratamiento secundario tiene costos de operación por 22 millones de dólares al año medidos a precios de cuenta, de los cuales una parte importantes se explican por el gasto en el rubro de energía</w:t>
      </w:r>
      <w:r>
        <w:t xml:space="preserve">. </w:t>
      </w:r>
    </w:p>
    <w:p w14:paraId="1B42537B" w14:textId="7A7385BB" w:rsidR="00A95DF9" w:rsidRPr="00CF201A" w:rsidRDefault="00A95DF9" w:rsidP="00CF201A">
      <w:pPr>
        <w:spacing w:after="100" w:afterAutospacing="1" w:line="240" w:lineRule="auto"/>
        <w:rPr>
          <w:rFonts w:ascii="Arial" w:hAnsi="Arial" w:cs="Arial"/>
        </w:rPr>
      </w:pPr>
      <w:r w:rsidRPr="00CF201A">
        <w:rPr>
          <w:rFonts w:ascii="Arial" w:hAnsi="Arial" w:cs="Arial"/>
        </w:rPr>
        <w:t xml:space="preserve">En el </w:t>
      </w:r>
      <w:r w:rsidRPr="008B3220">
        <w:rPr>
          <w:rFonts w:ascii="Arial" w:hAnsi="Arial" w:cs="Arial"/>
        </w:rPr>
        <w:t xml:space="preserve">Anexo </w:t>
      </w:r>
      <w:r w:rsidR="00307E24" w:rsidRPr="008B3220">
        <w:rPr>
          <w:rFonts w:ascii="Arial" w:hAnsi="Arial" w:cs="Arial"/>
        </w:rPr>
        <w:t>8</w:t>
      </w:r>
      <w:r w:rsidRPr="008B3220">
        <w:rPr>
          <w:rFonts w:ascii="Arial" w:hAnsi="Arial" w:cs="Arial"/>
        </w:rPr>
        <w:t xml:space="preserve"> de este</w:t>
      </w:r>
      <w:r w:rsidRPr="00CF201A">
        <w:rPr>
          <w:rFonts w:ascii="Arial" w:hAnsi="Arial" w:cs="Arial"/>
        </w:rPr>
        <w:t xml:space="preserve"> documento se da un detalle de cómo se obtuvieron los costos operativos para la alternativa de Tratamiento Secundario. </w:t>
      </w:r>
    </w:p>
    <w:p w14:paraId="5A89524D" w14:textId="2241B840" w:rsidR="00A95DF9" w:rsidRPr="009C787B" w:rsidRDefault="00A95DF9" w:rsidP="002B0107">
      <w:pPr>
        <w:pStyle w:val="Heading2"/>
        <w:numPr>
          <w:ilvl w:val="0"/>
          <w:numId w:val="100"/>
        </w:numPr>
      </w:pPr>
      <w:bookmarkStart w:id="347" w:name="_Toc476322045"/>
      <w:bookmarkStart w:id="348" w:name="_Toc483227450"/>
      <w:bookmarkStart w:id="349" w:name="_Toc485200209"/>
      <w:r w:rsidRPr="009C787B">
        <w:t>Análisis económico de las alternativas</w:t>
      </w:r>
      <w:bookmarkEnd w:id="347"/>
      <w:bookmarkEnd w:id="348"/>
      <w:bookmarkEnd w:id="349"/>
    </w:p>
    <w:p w14:paraId="61272BC9" w14:textId="77777777" w:rsidR="00A95DF9" w:rsidRPr="00CF201A" w:rsidRDefault="00A95DF9" w:rsidP="00CF201A">
      <w:pPr>
        <w:spacing w:after="100" w:afterAutospacing="1" w:line="240" w:lineRule="auto"/>
        <w:rPr>
          <w:rFonts w:ascii="Arial" w:hAnsi="Arial" w:cs="Arial"/>
        </w:rPr>
      </w:pPr>
      <w:r w:rsidRPr="00CF201A">
        <w:rPr>
          <w:rFonts w:ascii="Arial" w:hAnsi="Arial" w:cs="Arial"/>
        </w:rPr>
        <w:t>Con los costos de inversión, se construyó el flujo de fondos de las alternativas, en el cual se consideró el plan de obras proyectado para cada una de las opciones.</w:t>
      </w:r>
    </w:p>
    <w:p w14:paraId="36C7B9BA" w14:textId="77777777" w:rsidR="00A95DF9" w:rsidRPr="00CF201A" w:rsidRDefault="00A95DF9" w:rsidP="00CF201A">
      <w:pPr>
        <w:spacing w:after="100" w:afterAutospacing="1" w:line="240" w:lineRule="auto"/>
        <w:rPr>
          <w:rFonts w:ascii="Arial" w:hAnsi="Arial" w:cs="Arial"/>
        </w:rPr>
      </w:pPr>
      <w:r w:rsidRPr="00CF201A">
        <w:rPr>
          <w:rFonts w:ascii="Arial" w:hAnsi="Arial" w:cs="Arial"/>
        </w:rPr>
        <w:t xml:space="preserve">Debe tenerse en cuenta que para la Alternativa 1 los montos totales de inversión se desembolsan en un 35 por ciento en el primer período, en un 25 por ciento en el segundo, en un 20 en el tercero y en un 20 en el cuarto. </w:t>
      </w:r>
    </w:p>
    <w:p w14:paraId="272CEA24" w14:textId="77777777" w:rsidR="00A95DF9" w:rsidRPr="00CF201A" w:rsidRDefault="00A95DF9" w:rsidP="00CF201A">
      <w:pPr>
        <w:spacing w:after="100" w:afterAutospacing="1" w:line="240" w:lineRule="auto"/>
        <w:rPr>
          <w:rFonts w:ascii="Arial" w:hAnsi="Arial" w:cs="Arial"/>
        </w:rPr>
      </w:pPr>
      <w:r w:rsidRPr="00CF201A">
        <w:rPr>
          <w:rFonts w:ascii="Arial" w:hAnsi="Arial" w:cs="Arial"/>
        </w:rPr>
        <w:t xml:space="preserve">Para la Alternativa 2, mientras tanto, en el período uno no se contempla desembolsos, al tiempo que en el segundo período se contempla ejecutar el 25 por ciento, en el tercer período el 35 por ciento y en cuarto período el 40 por ciento restante. </w:t>
      </w:r>
    </w:p>
    <w:p w14:paraId="011F2B31" w14:textId="77777777" w:rsidR="00A95DF9" w:rsidRPr="00CF201A" w:rsidRDefault="00A95DF9" w:rsidP="00CF201A">
      <w:pPr>
        <w:spacing w:after="100" w:afterAutospacing="1" w:line="240" w:lineRule="auto"/>
        <w:rPr>
          <w:rFonts w:ascii="Arial" w:hAnsi="Arial" w:cs="Arial"/>
        </w:rPr>
      </w:pPr>
      <w:r w:rsidRPr="00CF201A">
        <w:rPr>
          <w:rFonts w:ascii="Arial" w:hAnsi="Arial" w:cs="Arial"/>
        </w:rPr>
        <w:t>El cuadro que sigue presenta el cronograma de los costos de inversión junto con los gastos operativos, considerados a precios de cuenta.</w:t>
      </w:r>
    </w:p>
    <w:p w14:paraId="23C8AE8D" w14:textId="2F18C370" w:rsidR="00A95DF9" w:rsidRPr="009C787B" w:rsidRDefault="00CF201A" w:rsidP="0087147E">
      <w:pPr>
        <w:spacing w:before="240" w:line="360" w:lineRule="auto"/>
      </w:pPr>
      <w:r>
        <w:rPr>
          <w:b/>
        </w:rPr>
        <w:t>Cuadro IV-</w:t>
      </w:r>
      <w:r w:rsidR="00A95DF9">
        <w:rPr>
          <w:b/>
        </w:rPr>
        <w:t xml:space="preserve">7. </w:t>
      </w:r>
      <w:r w:rsidR="00A95DF9" w:rsidRPr="009C787B">
        <w:rPr>
          <w:b/>
        </w:rPr>
        <w:t>Flujo de fondos de las Alternativas a precios de cuenta,</w:t>
      </w:r>
      <w:r w:rsidR="00A95DF9">
        <w:rPr>
          <w:b/>
        </w:rPr>
        <w:t xml:space="preserve"> </w:t>
      </w:r>
      <w:r w:rsidR="00A95DF9" w:rsidRPr="009C787B">
        <w:rPr>
          <w:b/>
        </w:rPr>
        <w:t>en miles de dólares</w:t>
      </w:r>
      <w:r w:rsidR="00A95DF9" w:rsidRPr="000A5A68">
        <w:rPr>
          <w:noProof/>
          <w:lang w:eastAsia="es-AR"/>
        </w:rPr>
        <w:drawing>
          <wp:inline distT="0" distB="0" distL="0" distR="0" wp14:anchorId="1B1BB785" wp14:editId="115C2111">
            <wp:extent cx="5400675" cy="4086225"/>
            <wp:effectExtent l="0" t="0" r="9525" b="9525"/>
            <wp:docPr id="13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400675" cy="4086225"/>
                    </a:xfrm>
                    <a:prstGeom prst="rect">
                      <a:avLst/>
                    </a:prstGeom>
                    <a:noFill/>
                    <a:ln>
                      <a:noFill/>
                    </a:ln>
                  </pic:spPr>
                </pic:pic>
              </a:graphicData>
            </a:graphic>
          </wp:inline>
        </w:drawing>
      </w:r>
    </w:p>
    <w:p w14:paraId="64DD1018" w14:textId="77777777" w:rsidR="00A95DF9" w:rsidRPr="00CF201A" w:rsidRDefault="00A95DF9" w:rsidP="00CF201A">
      <w:pPr>
        <w:spacing w:after="100" w:afterAutospacing="1" w:line="240" w:lineRule="auto"/>
        <w:rPr>
          <w:rFonts w:ascii="Arial" w:hAnsi="Arial" w:cs="Arial"/>
          <w:b/>
        </w:rPr>
      </w:pPr>
      <w:r w:rsidRPr="00CF201A">
        <w:rPr>
          <w:rFonts w:ascii="Arial" w:hAnsi="Arial" w:cs="Arial"/>
        </w:rPr>
        <w:t>Este flujo de fondos permite obtener el valor actual de los costos de inversión descontados a la tasa social definida para el proyecto de 12% y comparar entre las alternativas.</w:t>
      </w:r>
    </w:p>
    <w:p w14:paraId="0FBF48E4" w14:textId="00054573" w:rsidR="00A95DF9" w:rsidRDefault="00A95DF9" w:rsidP="00CF201A">
      <w:pPr>
        <w:spacing w:after="100" w:afterAutospacing="1" w:line="240" w:lineRule="auto"/>
        <w:rPr>
          <w:rFonts w:ascii="Arial" w:hAnsi="Arial" w:cs="Arial"/>
        </w:rPr>
      </w:pPr>
      <w:r w:rsidRPr="00CF201A">
        <w:rPr>
          <w:rFonts w:ascii="Arial" w:hAnsi="Arial" w:cs="Arial"/>
        </w:rPr>
        <w:t>Es necesario aclarar que se consideró que tanto el Nuevo Emisario como la obra para el Tratamiento Secundario tendrán una duración de 40 años, mientras que el período analizado para la evaluación económica de mínimo costo comprende 20 años, por lo cual se descontó en el flujo de fondos el valor residual de la inversión para ambas alternativas en el año 20 del proyecto.</w:t>
      </w:r>
    </w:p>
    <w:p w14:paraId="4110E5FA" w14:textId="5F215333" w:rsidR="00A95DF9" w:rsidRPr="009C787B" w:rsidRDefault="002B0107" w:rsidP="002B0107">
      <w:pPr>
        <w:pStyle w:val="Heading2"/>
        <w:numPr>
          <w:ilvl w:val="1"/>
          <w:numId w:val="100"/>
        </w:numPr>
      </w:pPr>
      <w:bookmarkStart w:id="350" w:name="_Toc476322046"/>
      <w:bookmarkStart w:id="351" w:name="_Toc483227451"/>
      <w:bookmarkStart w:id="352" w:name="_Toc485200210"/>
      <w:r>
        <w:t>Resultados del Análisis Costo Efectividad</w:t>
      </w:r>
      <w:bookmarkEnd w:id="350"/>
      <w:bookmarkEnd w:id="351"/>
      <w:bookmarkEnd w:id="352"/>
    </w:p>
    <w:p w14:paraId="40538495" w14:textId="77777777" w:rsidR="00A95DF9" w:rsidRPr="00CF201A" w:rsidRDefault="00A95DF9" w:rsidP="00CF201A">
      <w:pPr>
        <w:spacing w:after="100" w:afterAutospacing="1" w:line="240" w:lineRule="auto"/>
        <w:rPr>
          <w:rFonts w:ascii="Arial" w:hAnsi="Arial" w:cs="Arial"/>
        </w:rPr>
      </w:pPr>
      <w:r w:rsidRPr="00CF201A">
        <w:rPr>
          <w:rFonts w:ascii="Arial" w:hAnsi="Arial" w:cs="Arial"/>
        </w:rPr>
        <w:t>El análisis desarrollado permite obtener los siguientes indicadores económicos para la evaluación de las alternativas consideradas a precios de cuenta:</w:t>
      </w:r>
    </w:p>
    <w:p w14:paraId="5F121D05" w14:textId="561C03F7" w:rsidR="00A95DF9" w:rsidRPr="009C787B" w:rsidRDefault="00CF201A" w:rsidP="0087147E">
      <w:pPr>
        <w:spacing w:before="240" w:line="360" w:lineRule="auto"/>
        <w:rPr>
          <w:b/>
        </w:rPr>
      </w:pPr>
      <w:r>
        <w:rPr>
          <w:b/>
        </w:rPr>
        <w:t>Cuadro IV-</w:t>
      </w:r>
      <w:r w:rsidR="00A95DF9">
        <w:rPr>
          <w:b/>
        </w:rPr>
        <w:t xml:space="preserve">8. </w:t>
      </w:r>
      <w:r w:rsidR="00A95DF9" w:rsidRPr="009C787B">
        <w:rPr>
          <w:b/>
        </w:rPr>
        <w:t>Resultados económicos de evaluación de las alternativas,</w:t>
      </w:r>
      <w:r w:rsidR="00A95DF9">
        <w:rPr>
          <w:b/>
        </w:rPr>
        <w:t xml:space="preserve"> </w:t>
      </w:r>
      <w:r w:rsidR="00A95DF9" w:rsidRPr="009C787B">
        <w:rPr>
          <w:b/>
        </w:rPr>
        <w:t>en miles de dólares</w:t>
      </w:r>
    </w:p>
    <w:p w14:paraId="54F0414D" w14:textId="6853D71E" w:rsidR="00A95DF9" w:rsidRPr="009C787B" w:rsidRDefault="003E065D" w:rsidP="0087147E">
      <w:pPr>
        <w:spacing w:before="240" w:line="360" w:lineRule="auto"/>
        <w:jc w:val="left"/>
        <w:rPr>
          <w:b/>
        </w:rPr>
      </w:pPr>
      <w:r>
        <w:rPr>
          <w:b/>
          <w:noProof/>
        </w:rPr>
        <w:drawing>
          <wp:inline distT="0" distB="0" distL="0" distR="0" wp14:anchorId="29C2F82E" wp14:editId="03BD7018">
            <wp:extent cx="2566670" cy="1487805"/>
            <wp:effectExtent l="0" t="0" r="508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566670" cy="1487805"/>
                    </a:xfrm>
                    <a:prstGeom prst="rect">
                      <a:avLst/>
                    </a:prstGeom>
                    <a:noFill/>
                  </pic:spPr>
                </pic:pic>
              </a:graphicData>
            </a:graphic>
          </wp:inline>
        </w:drawing>
      </w:r>
    </w:p>
    <w:p w14:paraId="200603D0" w14:textId="642A0392" w:rsidR="00A95DF9" w:rsidRDefault="00A95DF9" w:rsidP="00CF201A">
      <w:pPr>
        <w:spacing w:after="100" w:afterAutospacing="1" w:line="240" w:lineRule="auto"/>
        <w:rPr>
          <w:rFonts w:ascii="Arial" w:hAnsi="Arial" w:cs="Arial"/>
        </w:rPr>
      </w:pPr>
      <w:r w:rsidRPr="00CF201A">
        <w:rPr>
          <w:rFonts w:ascii="Arial" w:hAnsi="Arial" w:cs="Arial"/>
        </w:rPr>
        <w:t>Los resultados obtenidos permiten afirmar que la alternativa 1, es decir la construcción de un nuevo emisario, presenta el mínimo costo económico en el marco del presente proyecto, existiendo una diferencia a valor presente del 286,8% respecto de su alternativa más próxima (mé</w:t>
      </w:r>
      <w:r w:rsidR="00355D73">
        <w:rPr>
          <w:rFonts w:ascii="Arial" w:hAnsi="Arial" w:cs="Arial"/>
        </w:rPr>
        <w:t>todo de Tratamiento Secundario.</w:t>
      </w:r>
    </w:p>
    <w:p w14:paraId="6F94A708" w14:textId="1E71BD58" w:rsidR="002B0107" w:rsidRPr="00CF201A" w:rsidRDefault="002B0107" w:rsidP="00CF201A">
      <w:pPr>
        <w:spacing w:after="100" w:afterAutospacing="1" w:line="240" w:lineRule="auto"/>
        <w:rPr>
          <w:rFonts w:ascii="Arial" w:hAnsi="Arial" w:cs="Arial"/>
        </w:rPr>
      </w:pPr>
      <w:r>
        <w:rPr>
          <w:rFonts w:ascii="Arial" w:hAnsi="Arial" w:cs="Arial"/>
        </w:rPr>
        <w:t>Con respecto al costo incremental de largo plazo (CMI) por m</w:t>
      </w:r>
      <w:r w:rsidRPr="002B0107">
        <w:rPr>
          <w:rFonts w:ascii="Arial" w:hAnsi="Arial" w:cs="Arial"/>
          <w:vertAlign w:val="superscript"/>
        </w:rPr>
        <w:t>3</w:t>
      </w:r>
      <w:r>
        <w:rPr>
          <w:rFonts w:ascii="Arial" w:hAnsi="Arial" w:cs="Arial"/>
        </w:rPr>
        <w:t xml:space="preserve"> tratado, la alternativa de tratamiento por dilución) es la más costo efectiva (para un volumen de agua residuales tratadas de 1.</w:t>
      </w:r>
      <w:r w:rsidRPr="002B0107">
        <w:rPr>
          <w:rFonts w:ascii="Arial" w:hAnsi="Arial" w:cs="Arial"/>
        </w:rPr>
        <w:t>056</w:t>
      </w:r>
      <w:r>
        <w:rPr>
          <w:rFonts w:ascii="Arial" w:hAnsi="Arial" w:cs="Arial"/>
        </w:rPr>
        <w:t>.</w:t>
      </w:r>
      <w:r w:rsidRPr="002B0107">
        <w:rPr>
          <w:rFonts w:ascii="Arial" w:hAnsi="Arial" w:cs="Arial"/>
        </w:rPr>
        <w:t>456</w:t>
      </w:r>
      <w:r>
        <w:rPr>
          <w:rFonts w:ascii="Arial" w:hAnsi="Arial" w:cs="Arial"/>
        </w:rPr>
        <w:t>.000 m</w:t>
      </w:r>
      <w:r w:rsidRPr="002B0107">
        <w:rPr>
          <w:rFonts w:ascii="Arial" w:hAnsi="Arial" w:cs="Arial"/>
          <w:vertAlign w:val="superscript"/>
        </w:rPr>
        <w:t>3</w:t>
      </w:r>
      <w:r>
        <w:rPr>
          <w:rFonts w:ascii="Arial" w:hAnsi="Arial" w:cs="Arial"/>
        </w:rPr>
        <w:t>/año) y una diferencia en CMI de largo plazo del 357,14% respecto al método de Tratamiento Secundario</w:t>
      </w:r>
    </w:p>
    <w:p w14:paraId="21CCF810" w14:textId="77777777" w:rsidR="00A95DF9" w:rsidRPr="00CF201A" w:rsidRDefault="00A95DF9" w:rsidP="00CF201A">
      <w:pPr>
        <w:spacing w:after="100" w:afterAutospacing="1" w:line="240" w:lineRule="auto"/>
        <w:rPr>
          <w:rFonts w:ascii="Arial" w:hAnsi="Arial" w:cs="Arial"/>
        </w:rPr>
      </w:pPr>
      <w:r w:rsidRPr="00CF201A">
        <w:rPr>
          <w:rFonts w:ascii="Arial" w:hAnsi="Arial" w:cs="Arial"/>
        </w:rPr>
        <w:t>Cuando se revisa la diferencia entre los costos de inversión a precios de mercado para cada una de las alternativas, se obtienen los siguientes valores:</w:t>
      </w:r>
    </w:p>
    <w:p w14:paraId="4F554BD0" w14:textId="2821E469" w:rsidR="00A95DF9" w:rsidRPr="009C787B" w:rsidRDefault="00A95DF9" w:rsidP="0087147E">
      <w:pPr>
        <w:spacing w:before="240" w:line="360" w:lineRule="auto"/>
        <w:rPr>
          <w:b/>
        </w:rPr>
      </w:pPr>
      <w:r>
        <w:rPr>
          <w:b/>
        </w:rPr>
        <w:t xml:space="preserve">Cuadro </w:t>
      </w:r>
      <w:r w:rsidR="00CF201A">
        <w:rPr>
          <w:b/>
        </w:rPr>
        <w:t>IV-</w:t>
      </w:r>
      <w:r>
        <w:rPr>
          <w:b/>
        </w:rPr>
        <w:t xml:space="preserve">9. </w:t>
      </w:r>
      <w:r w:rsidRPr="009C787B">
        <w:rPr>
          <w:b/>
        </w:rPr>
        <w:t>Diferencia relativa de costos a precios de mercado,</w:t>
      </w:r>
      <w:r>
        <w:rPr>
          <w:b/>
        </w:rPr>
        <w:t xml:space="preserve"> </w:t>
      </w:r>
      <w:r w:rsidRPr="009C787B">
        <w:rPr>
          <w:b/>
        </w:rPr>
        <w:t>en miles de dólares</w:t>
      </w:r>
    </w:p>
    <w:p w14:paraId="164A47C7" w14:textId="77777777" w:rsidR="00A95DF9" w:rsidRPr="009C787B" w:rsidRDefault="00A95DF9" w:rsidP="0087147E">
      <w:pPr>
        <w:spacing w:before="240" w:line="360" w:lineRule="auto"/>
        <w:jc w:val="left"/>
      </w:pPr>
      <w:r w:rsidRPr="00821F6C">
        <w:rPr>
          <w:noProof/>
          <w:lang w:eastAsia="es-AR"/>
        </w:rPr>
        <w:drawing>
          <wp:inline distT="0" distB="0" distL="0" distR="0" wp14:anchorId="1EC73F20" wp14:editId="5CCD7189">
            <wp:extent cx="4095750" cy="876300"/>
            <wp:effectExtent l="0" t="0" r="0" b="0"/>
            <wp:docPr id="14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095750" cy="876300"/>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2595"/>
        <w:gridCol w:w="1260"/>
        <w:gridCol w:w="1260"/>
        <w:gridCol w:w="1350"/>
      </w:tblGrid>
      <w:tr w:rsidR="00E23E5D" w:rsidRPr="00E23E5D" w14:paraId="5A059CF9" w14:textId="76D331AF" w:rsidTr="00E23E5D">
        <w:tc>
          <w:tcPr>
            <w:tcW w:w="2595" w:type="dxa"/>
            <w:tcBorders>
              <w:top w:val="single" w:sz="12" w:space="0" w:color="auto"/>
              <w:left w:val="single" w:sz="12" w:space="0" w:color="auto"/>
              <w:bottom w:val="single" w:sz="12" w:space="0" w:color="auto"/>
              <w:right w:val="single" w:sz="12" w:space="0" w:color="auto"/>
            </w:tcBorders>
          </w:tcPr>
          <w:p w14:paraId="033A8D25" w14:textId="77777777" w:rsidR="00E23E5D" w:rsidRPr="00E23E5D" w:rsidRDefault="00E23E5D" w:rsidP="00F979BE">
            <w:pPr>
              <w:spacing w:after="100" w:afterAutospacing="1"/>
              <w:rPr>
                <w:rFonts w:cs="Arial"/>
              </w:rPr>
            </w:pPr>
            <w:r w:rsidRPr="00E23E5D">
              <w:rPr>
                <w:rFonts w:cs="Arial"/>
              </w:rPr>
              <w:t>CMI (US$/m</w:t>
            </w:r>
            <w:r w:rsidRPr="00E23E5D">
              <w:rPr>
                <w:rFonts w:cs="Arial"/>
                <w:vertAlign w:val="superscript"/>
              </w:rPr>
              <w:t>3</w:t>
            </w:r>
            <w:r w:rsidRPr="00E23E5D">
              <w:rPr>
                <w:rFonts w:cs="Arial"/>
              </w:rPr>
              <w:t>)</w:t>
            </w:r>
          </w:p>
        </w:tc>
        <w:tc>
          <w:tcPr>
            <w:tcW w:w="1260" w:type="dxa"/>
            <w:tcBorders>
              <w:top w:val="single" w:sz="12" w:space="0" w:color="auto"/>
              <w:left w:val="single" w:sz="12" w:space="0" w:color="auto"/>
              <w:bottom w:val="single" w:sz="12" w:space="0" w:color="auto"/>
              <w:right w:val="single" w:sz="12" w:space="0" w:color="auto"/>
            </w:tcBorders>
          </w:tcPr>
          <w:p w14:paraId="7845827B" w14:textId="5FB7DA6E" w:rsidR="00E23E5D" w:rsidRPr="00E23E5D" w:rsidRDefault="00E23E5D" w:rsidP="00F979BE">
            <w:pPr>
              <w:spacing w:after="100" w:afterAutospacing="1"/>
              <w:jc w:val="right"/>
              <w:rPr>
                <w:rFonts w:cs="Arial"/>
              </w:rPr>
            </w:pPr>
            <w:r w:rsidRPr="00E23E5D">
              <w:rPr>
                <w:rFonts w:cs="Arial"/>
              </w:rPr>
              <w:t>$0,0</w:t>
            </w:r>
            <w:r w:rsidR="003E065D">
              <w:rPr>
                <w:rFonts w:cs="Arial"/>
              </w:rPr>
              <w:t>22</w:t>
            </w:r>
          </w:p>
        </w:tc>
        <w:tc>
          <w:tcPr>
            <w:tcW w:w="1260" w:type="dxa"/>
            <w:tcBorders>
              <w:top w:val="single" w:sz="12" w:space="0" w:color="auto"/>
              <w:left w:val="single" w:sz="12" w:space="0" w:color="auto"/>
              <w:bottom w:val="single" w:sz="12" w:space="0" w:color="auto"/>
              <w:right w:val="single" w:sz="12" w:space="0" w:color="auto"/>
            </w:tcBorders>
          </w:tcPr>
          <w:p w14:paraId="1DAB91D0" w14:textId="49D83C98" w:rsidR="00E23E5D" w:rsidRPr="00E23E5D" w:rsidRDefault="00E23E5D" w:rsidP="00F979BE">
            <w:pPr>
              <w:spacing w:after="100" w:afterAutospacing="1"/>
              <w:jc w:val="right"/>
              <w:rPr>
                <w:rFonts w:cs="Arial"/>
              </w:rPr>
            </w:pPr>
            <w:r w:rsidRPr="00E23E5D">
              <w:rPr>
                <w:rFonts w:cs="Arial"/>
              </w:rPr>
              <w:t>$0,0</w:t>
            </w:r>
            <w:r w:rsidR="003E065D">
              <w:rPr>
                <w:rFonts w:cs="Arial"/>
              </w:rPr>
              <w:t>87</w:t>
            </w:r>
          </w:p>
        </w:tc>
        <w:tc>
          <w:tcPr>
            <w:tcW w:w="1350" w:type="dxa"/>
            <w:tcBorders>
              <w:top w:val="single" w:sz="12" w:space="0" w:color="auto"/>
              <w:left w:val="single" w:sz="12" w:space="0" w:color="auto"/>
              <w:bottom w:val="single" w:sz="12" w:space="0" w:color="auto"/>
              <w:right w:val="single" w:sz="12" w:space="0" w:color="auto"/>
            </w:tcBorders>
          </w:tcPr>
          <w:p w14:paraId="1F2605A8" w14:textId="1F1ADF56" w:rsidR="00E23E5D" w:rsidRPr="00E23E5D" w:rsidRDefault="003E065D" w:rsidP="00F979BE">
            <w:pPr>
              <w:spacing w:after="100" w:afterAutospacing="1"/>
              <w:jc w:val="right"/>
              <w:rPr>
                <w:rFonts w:cs="Arial"/>
              </w:rPr>
            </w:pPr>
            <w:r>
              <w:rPr>
                <w:rFonts w:cs="Arial"/>
              </w:rPr>
              <w:t>4,0</w:t>
            </w:r>
          </w:p>
        </w:tc>
      </w:tr>
    </w:tbl>
    <w:p w14:paraId="524F8D0E" w14:textId="77777777" w:rsidR="00E23E5D" w:rsidRDefault="00E23E5D" w:rsidP="00CF201A">
      <w:pPr>
        <w:spacing w:after="100" w:afterAutospacing="1" w:line="240" w:lineRule="auto"/>
        <w:rPr>
          <w:rFonts w:ascii="Arial" w:hAnsi="Arial" w:cs="Arial"/>
        </w:rPr>
      </w:pPr>
    </w:p>
    <w:p w14:paraId="3AB04F45" w14:textId="34F26669" w:rsidR="00A95DF9" w:rsidRPr="00CF201A" w:rsidRDefault="00A95DF9" w:rsidP="00CF201A">
      <w:pPr>
        <w:spacing w:after="100" w:afterAutospacing="1" w:line="240" w:lineRule="auto"/>
        <w:rPr>
          <w:rFonts w:ascii="Arial" w:hAnsi="Arial" w:cs="Arial"/>
        </w:rPr>
      </w:pPr>
      <w:r w:rsidRPr="00CF201A">
        <w:rPr>
          <w:rFonts w:ascii="Arial" w:hAnsi="Arial" w:cs="Arial"/>
        </w:rPr>
        <w:t>La Alternativa 1 requiere desembolsos de 259 millones de dólares, mientras que la Alternativa 2 contempla inversiones por 959 millones, una cifra que supera en algo más de 3 veces a los montos requeridos para la Alternativa 1.</w:t>
      </w:r>
    </w:p>
    <w:p w14:paraId="18DDE9D4" w14:textId="207CA027" w:rsidR="00A95DF9" w:rsidRPr="009C787B" w:rsidRDefault="00A95DF9" w:rsidP="002B0107">
      <w:pPr>
        <w:pStyle w:val="Heading2"/>
        <w:numPr>
          <w:ilvl w:val="1"/>
          <w:numId w:val="100"/>
        </w:numPr>
      </w:pPr>
      <w:bookmarkStart w:id="353" w:name="_Toc483227452"/>
      <w:bookmarkStart w:id="354" w:name="_Toc485200211"/>
      <w:r w:rsidRPr="009C787B">
        <w:t>La experiencia internacional</w:t>
      </w:r>
      <w:bookmarkEnd w:id="353"/>
      <w:bookmarkEnd w:id="354"/>
    </w:p>
    <w:p w14:paraId="146022BD" w14:textId="77777777" w:rsidR="00A95DF9" w:rsidRPr="00CF201A" w:rsidRDefault="00A95DF9" w:rsidP="00A656DA">
      <w:pPr>
        <w:spacing w:after="100" w:afterAutospacing="1" w:line="240" w:lineRule="auto"/>
        <w:rPr>
          <w:rFonts w:ascii="Arial" w:hAnsi="Arial" w:cs="Arial"/>
        </w:rPr>
      </w:pPr>
      <w:r w:rsidRPr="00CF201A">
        <w:rPr>
          <w:rFonts w:ascii="Arial" w:hAnsi="Arial" w:cs="Arial"/>
        </w:rPr>
        <w:t xml:space="preserve">Estas diferencias entre los montos de inversión requeridos para una alternativa vinculada con la construcción de un nuevo emisario (para completar el sistema de tratamiento por dilución) en relación con la de una alternativa asociada con el tratamiento secundario es consistente con los casos de estudio a nivel internacional. </w:t>
      </w:r>
    </w:p>
    <w:p w14:paraId="47217364" w14:textId="77777777" w:rsidR="00A95DF9" w:rsidRPr="00CF201A" w:rsidRDefault="00A95DF9" w:rsidP="00A656DA">
      <w:pPr>
        <w:spacing w:after="100" w:afterAutospacing="1" w:line="240" w:lineRule="auto"/>
        <w:rPr>
          <w:rFonts w:ascii="Arial" w:hAnsi="Arial" w:cs="Arial"/>
        </w:rPr>
      </w:pPr>
      <w:r w:rsidRPr="00CF201A">
        <w:rPr>
          <w:rFonts w:ascii="Arial" w:hAnsi="Arial" w:cs="Arial"/>
        </w:rPr>
        <w:t>El Centro Panamericano de Ingeniería Sanitaria y Ciencias del Ambiente (Cepis), la Organización Mundial de la Salud (OMS) y el Centro de Investigación de Monitoreo y Evaluación King´s College London de la Universidad de Londres realizaron un documento a cargo del investigador Russell G. Ludwig en el cual se analizan los emisarios a partir de su ubicación y diseño</w:t>
      </w:r>
      <w:r w:rsidRPr="00CF201A">
        <w:rPr>
          <w:rStyle w:val="FootnoteReference"/>
          <w:rFonts w:ascii="Arial" w:hAnsi="Arial" w:cs="Arial"/>
        </w:rPr>
        <w:footnoteReference w:id="30"/>
      </w:r>
      <w:r w:rsidRPr="00CF201A">
        <w:rPr>
          <w:rFonts w:ascii="Arial" w:hAnsi="Arial" w:cs="Arial"/>
        </w:rPr>
        <w:t>.</w:t>
      </w:r>
    </w:p>
    <w:p w14:paraId="70D02D41" w14:textId="55581851" w:rsidR="00A95DF9" w:rsidRPr="00CF201A" w:rsidRDefault="00A95DF9" w:rsidP="00A656DA">
      <w:pPr>
        <w:spacing w:after="100" w:afterAutospacing="1" w:line="240" w:lineRule="auto"/>
        <w:rPr>
          <w:rFonts w:ascii="Arial" w:hAnsi="Arial" w:cs="Arial"/>
        </w:rPr>
      </w:pPr>
      <w:r w:rsidRPr="00CF201A">
        <w:rPr>
          <w:rFonts w:ascii="Arial" w:hAnsi="Arial" w:cs="Arial"/>
        </w:rPr>
        <w:t>El informe revisa los desembolsos necesarios para la puesta en marcha de un proyecto de tratamiento secundario seguido de un emisario relativamente corto para descargar el efluente más allá de la zona de recreación y de un proyecto de tratamiento primario o preliminar utilizando un emisario de mayor longitud. En la tabla 3 de la página 36 de</w:t>
      </w:r>
      <w:r w:rsidR="00A656DA">
        <w:rPr>
          <w:rFonts w:ascii="Arial" w:hAnsi="Arial" w:cs="Arial"/>
        </w:rPr>
        <w:t xml:space="preserve"> ese</w:t>
      </w:r>
      <w:r w:rsidRPr="00CF201A">
        <w:rPr>
          <w:rFonts w:ascii="Arial" w:hAnsi="Arial" w:cs="Arial"/>
        </w:rPr>
        <w:t xml:space="preserve"> documento se precisa en detalle la diferencia de costos para los distintos sistemas de disposición. </w:t>
      </w:r>
    </w:p>
    <w:p w14:paraId="7D64F864" w14:textId="77777777" w:rsidR="00A95DF9" w:rsidRPr="00CF201A" w:rsidRDefault="00A95DF9" w:rsidP="00A656DA">
      <w:pPr>
        <w:spacing w:after="100" w:afterAutospacing="1" w:line="240" w:lineRule="auto"/>
        <w:rPr>
          <w:rFonts w:ascii="Arial" w:hAnsi="Arial" w:cs="Arial"/>
        </w:rPr>
      </w:pPr>
      <w:r w:rsidRPr="00CF201A">
        <w:rPr>
          <w:rFonts w:ascii="Arial" w:hAnsi="Arial" w:cs="Arial"/>
        </w:rPr>
        <w:t>El resultado es que el sistema de tratamiento secundario requiere cerca de 3 veces más inversiones que la alternativa preliminar con la construcción de un nuevo emisario largo.</w:t>
      </w:r>
    </w:p>
    <w:p w14:paraId="259A162E" w14:textId="77777777" w:rsidR="00A95DF9" w:rsidRPr="00CF201A" w:rsidRDefault="00A95DF9" w:rsidP="00A656DA">
      <w:pPr>
        <w:spacing w:after="100" w:afterAutospacing="1" w:line="240" w:lineRule="auto"/>
        <w:rPr>
          <w:rFonts w:ascii="Arial" w:hAnsi="Arial" w:cs="Arial"/>
        </w:rPr>
      </w:pPr>
      <w:r w:rsidRPr="00CF201A">
        <w:rPr>
          <w:rFonts w:ascii="Arial" w:hAnsi="Arial" w:cs="Arial"/>
        </w:rPr>
        <w:t>Las diferencias relativas entre ambas opciones están en línea con las diferencias registradas para las alternativas del proyecto de Berazategui y evaluadas en este documento.</w:t>
      </w:r>
    </w:p>
    <w:p w14:paraId="2351B44F" w14:textId="77777777" w:rsidR="00A95DF9" w:rsidRPr="00CF201A" w:rsidRDefault="00A95DF9" w:rsidP="00A656DA">
      <w:pPr>
        <w:spacing w:after="100" w:afterAutospacing="1" w:line="240" w:lineRule="auto"/>
        <w:rPr>
          <w:rFonts w:ascii="Arial" w:hAnsi="Arial" w:cs="Arial"/>
        </w:rPr>
      </w:pPr>
      <w:r w:rsidRPr="00CF201A">
        <w:rPr>
          <w:rFonts w:ascii="Arial" w:hAnsi="Arial" w:cs="Arial"/>
        </w:rPr>
        <w:t xml:space="preserve">El estudio concluye que la descarga de efluentes de aguas residuales por medio de emisarios y sistemas de difusores representa una alternativa viable para los muchos centros poblados del mundo que están ubicados en las áreas costeras, particularmente en los países en desarrollo en los que los recursos financieros son limitados. </w:t>
      </w:r>
    </w:p>
    <w:p w14:paraId="107F0D20" w14:textId="77777777" w:rsidR="00A95DF9" w:rsidRPr="00CF201A" w:rsidRDefault="00A95DF9" w:rsidP="00A656DA">
      <w:pPr>
        <w:spacing w:after="100" w:afterAutospacing="1" w:line="240" w:lineRule="auto"/>
        <w:rPr>
          <w:rFonts w:ascii="Arial" w:hAnsi="Arial" w:cs="Arial"/>
        </w:rPr>
      </w:pPr>
      <w:r w:rsidRPr="00CF201A">
        <w:rPr>
          <w:rFonts w:ascii="Arial" w:hAnsi="Arial" w:cs="Arial"/>
        </w:rPr>
        <w:t>Menciona además que estos sistemas, una vez diseñados, construidos y operados, pueden aprovechar al máximo la capacidad innata de asimilación del ambiente, que funciona como una planta de tratamiento y disposición y, cuando están planificados apropiadamente no producirán ningún impacto indeseable.</w:t>
      </w:r>
    </w:p>
    <w:p w14:paraId="7527309B" w14:textId="45BAE067" w:rsidR="00A95DF9" w:rsidRPr="009C787B" w:rsidRDefault="00A95DF9" w:rsidP="002B0107">
      <w:pPr>
        <w:pStyle w:val="Heading2"/>
        <w:numPr>
          <w:ilvl w:val="1"/>
          <w:numId w:val="100"/>
        </w:numPr>
      </w:pPr>
      <w:bookmarkStart w:id="355" w:name="_Toc483227453"/>
      <w:bookmarkStart w:id="356" w:name="_Toc485200212"/>
      <w:r w:rsidRPr="009C787B">
        <w:t>Rangos de costo para el emisario</w:t>
      </w:r>
      <w:bookmarkEnd w:id="355"/>
      <w:bookmarkEnd w:id="356"/>
    </w:p>
    <w:p w14:paraId="7B809C0C" w14:textId="77777777" w:rsidR="00A95DF9" w:rsidRPr="00CF201A" w:rsidRDefault="00A95DF9" w:rsidP="00A656DA">
      <w:pPr>
        <w:spacing w:after="100" w:afterAutospacing="1" w:line="240" w:lineRule="auto"/>
        <w:rPr>
          <w:rFonts w:ascii="Arial" w:hAnsi="Arial" w:cs="Arial"/>
        </w:rPr>
      </w:pPr>
      <w:r w:rsidRPr="00CF201A">
        <w:rPr>
          <w:rFonts w:ascii="Arial" w:hAnsi="Arial" w:cs="Arial"/>
        </w:rPr>
        <w:t>El estudio de Wallis (1979)</w:t>
      </w:r>
      <w:r w:rsidRPr="00CF201A">
        <w:rPr>
          <w:rStyle w:val="FootnoteReference"/>
          <w:rFonts w:ascii="Arial" w:hAnsi="Arial" w:cs="Arial"/>
        </w:rPr>
        <w:footnoteReference w:id="31"/>
      </w:r>
      <w:r w:rsidRPr="00CF201A">
        <w:rPr>
          <w:rFonts w:ascii="Arial" w:hAnsi="Arial" w:cs="Arial"/>
        </w:rPr>
        <w:t xml:space="preserve"> permite precisar que la construcción de un metro de emisario requería en las condiciones más ventajosas (condiciones económicas) unos 12.500 dólares al final de la década del setenta. </w:t>
      </w:r>
    </w:p>
    <w:p w14:paraId="0FEF6E60" w14:textId="77777777" w:rsidR="00A95DF9" w:rsidRPr="00CF201A" w:rsidRDefault="00A95DF9" w:rsidP="00A656DA">
      <w:pPr>
        <w:spacing w:after="100" w:afterAutospacing="1" w:line="240" w:lineRule="auto"/>
        <w:rPr>
          <w:rFonts w:ascii="Arial" w:hAnsi="Arial" w:cs="Arial"/>
        </w:rPr>
      </w:pPr>
      <w:r w:rsidRPr="00CF201A">
        <w:rPr>
          <w:rFonts w:ascii="Arial" w:hAnsi="Arial" w:cs="Arial"/>
        </w:rPr>
        <w:t>Los datos empleados en ese trabajo se basaron en las publicaciones de la Engineering News-Record (ENR), revista semanal de Estados Unidos que provee información, análisis y datos de la construcción a nivel global.</w:t>
      </w:r>
    </w:p>
    <w:p w14:paraId="6F6A0FA5" w14:textId="6A6C7EE1" w:rsidR="00A95DF9" w:rsidRPr="00CF201A" w:rsidRDefault="00A95DF9" w:rsidP="00A656DA">
      <w:pPr>
        <w:keepNext/>
        <w:keepLines/>
        <w:spacing w:before="240" w:after="0" w:line="240" w:lineRule="auto"/>
        <w:rPr>
          <w:rFonts w:ascii="Arial" w:hAnsi="Arial" w:cs="Arial"/>
          <w:b/>
        </w:rPr>
      </w:pPr>
      <w:r w:rsidRPr="00CF201A">
        <w:rPr>
          <w:rFonts w:ascii="Arial" w:hAnsi="Arial" w:cs="Arial"/>
          <w:b/>
        </w:rPr>
        <w:t xml:space="preserve">Figura </w:t>
      </w:r>
      <w:r w:rsidR="00A656DA">
        <w:rPr>
          <w:rFonts w:ascii="Arial" w:hAnsi="Arial" w:cs="Arial"/>
          <w:b/>
        </w:rPr>
        <w:t>IV-</w:t>
      </w:r>
      <w:r w:rsidRPr="00CF201A">
        <w:rPr>
          <w:rFonts w:ascii="Arial" w:hAnsi="Arial" w:cs="Arial"/>
          <w:b/>
        </w:rPr>
        <w:t>1: Datos del estudio original de Wallis (1979)</w:t>
      </w:r>
    </w:p>
    <w:p w14:paraId="52E724AD" w14:textId="77777777" w:rsidR="00A95DF9" w:rsidRPr="00CF201A" w:rsidRDefault="00A95DF9" w:rsidP="00A656DA">
      <w:pPr>
        <w:keepNext/>
        <w:keepLines/>
        <w:spacing w:before="240" w:after="0" w:line="240" w:lineRule="auto"/>
        <w:rPr>
          <w:rFonts w:ascii="Arial" w:hAnsi="Arial" w:cs="Arial"/>
        </w:rPr>
      </w:pPr>
      <w:r w:rsidRPr="00CF201A">
        <w:rPr>
          <w:rFonts w:ascii="Arial" w:hAnsi="Arial" w:cs="Arial"/>
          <w:noProof/>
          <w:lang w:eastAsia="es-AR"/>
        </w:rPr>
        <w:drawing>
          <wp:inline distT="0" distB="0" distL="0" distR="0" wp14:anchorId="5089767A" wp14:editId="4492FAC4">
            <wp:extent cx="3957769" cy="4159250"/>
            <wp:effectExtent l="0" t="0" r="5080" b="0"/>
            <wp:docPr id="1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5">
                      <a:extLst>
                        <a:ext uri="{28A0092B-C50C-407E-A947-70E740481C1C}">
                          <a14:useLocalDpi xmlns:a14="http://schemas.microsoft.com/office/drawing/2010/main" val="0"/>
                        </a:ext>
                      </a:extLst>
                    </a:blip>
                    <a:srcRect l="3763" t="2454" r="5273" b="1965"/>
                    <a:stretch>
                      <a:fillRect/>
                    </a:stretch>
                  </pic:blipFill>
                  <pic:spPr bwMode="auto">
                    <a:xfrm>
                      <a:off x="0" y="0"/>
                      <a:ext cx="3980610" cy="4183253"/>
                    </a:xfrm>
                    <a:prstGeom prst="rect">
                      <a:avLst/>
                    </a:prstGeom>
                    <a:noFill/>
                    <a:ln>
                      <a:noFill/>
                    </a:ln>
                  </pic:spPr>
                </pic:pic>
              </a:graphicData>
            </a:graphic>
          </wp:inline>
        </w:drawing>
      </w:r>
    </w:p>
    <w:p w14:paraId="035043DD" w14:textId="77777777" w:rsidR="00A656DA" w:rsidRDefault="00A656DA" w:rsidP="00A656DA">
      <w:pPr>
        <w:spacing w:after="100" w:afterAutospacing="1" w:line="240" w:lineRule="auto"/>
        <w:rPr>
          <w:rFonts w:ascii="Arial" w:hAnsi="Arial" w:cs="Arial"/>
        </w:rPr>
      </w:pPr>
    </w:p>
    <w:p w14:paraId="0876E4E1" w14:textId="604CF498" w:rsidR="00A95DF9" w:rsidRPr="00CF201A" w:rsidRDefault="00A95DF9" w:rsidP="00A656DA">
      <w:pPr>
        <w:spacing w:after="100" w:afterAutospacing="1" w:line="240" w:lineRule="auto"/>
        <w:rPr>
          <w:rFonts w:ascii="Arial" w:hAnsi="Arial" w:cs="Arial"/>
        </w:rPr>
      </w:pPr>
      <w:r w:rsidRPr="00CF201A">
        <w:rPr>
          <w:rFonts w:ascii="Arial" w:hAnsi="Arial" w:cs="Arial"/>
        </w:rPr>
        <w:t xml:space="preserve">Es posible precisar que, según los datos del U.S. Bureau of Labor Statistics, un dólar de 1980 equivale a 3,1 dólares de hoy en términos de capacidad de compra. </w:t>
      </w:r>
    </w:p>
    <w:p w14:paraId="54375205" w14:textId="77777777" w:rsidR="00A95DF9" w:rsidRPr="00CF201A" w:rsidRDefault="00A95DF9" w:rsidP="00A656DA">
      <w:pPr>
        <w:spacing w:after="100" w:afterAutospacing="1" w:line="240" w:lineRule="auto"/>
        <w:rPr>
          <w:rFonts w:ascii="Arial" w:hAnsi="Arial" w:cs="Arial"/>
        </w:rPr>
      </w:pPr>
      <w:r w:rsidRPr="00CF201A">
        <w:rPr>
          <w:rFonts w:ascii="Arial" w:hAnsi="Arial" w:cs="Arial"/>
        </w:rPr>
        <w:t xml:space="preserve">Esto implica que actualizando por la inflación de Estados Unidos se obtiene que la construcción de un metro de emisario requiere unos </w:t>
      </w:r>
      <w:r w:rsidRPr="00A656DA">
        <w:rPr>
          <w:rFonts w:ascii="Arial" w:hAnsi="Arial" w:cs="Arial"/>
          <w:b/>
        </w:rPr>
        <w:t>37.000 dólares</w:t>
      </w:r>
      <w:r w:rsidRPr="00CF201A">
        <w:rPr>
          <w:rFonts w:ascii="Arial" w:hAnsi="Arial" w:cs="Arial"/>
        </w:rPr>
        <w:t xml:space="preserve"> en la actualidad (recordando que requería 12.500 dólares a finales de los setenta).</w:t>
      </w:r>
    </w:p>
    <w:p w14:paraId="69527230" w14:textId="77777777" w:rsidR="00A95DF9" w:rsidRPr="00CF201A" w:rsidRDefault="00A95DF9" w:rsidP="00A656DA">
      <w:pPr>
        <w:spacing w:after="100" w:afterAutospacing="1" w:line="240" w:lineRule="auto"/>
        <w:rPr>
          <w:rFonts w:ascii="Arial" w:hAnsi="Arial" w:cs="Arial"/>
        </w:rPr>
      </w:pPr>
      <w:r w:rsidRPr="00CF201A">
        <w:rPr>
          <w:rFonts w:ascii="Arial" w:hAnsi="Arial" w:cs="Arial"/>
        </w:rPr>
        <w:t xml:space="preserve">Los costos de inversión de la Alternativa 1 (Nuevo Emisario) ascienden a 259.908 millones de dólares a precios de mercado. Tomando en cuenta que se pretenden construir 7,5 kilómetros de emisario, el costo por metro cuadrado es de </w:t>
      </w:r>
      <w:r w:rsidRPr="00A656DA">
        <w:rPr>
          <w:rFonts w:ascii="Arial" w:hAnsi="Arial" w:cs="Arial"/>
          <w:b/>
        </w:rPr>
        <w:t>34.654</w:t>
      </w:r>
      <w:r w:rsidRPr="00CF201A">
        <w:rPr>
          <w:rFonts w:ascii="Arial" w:hAnsi="Arial" w:cs="Arial"/>
        </w:rPr>
        <w:t xml:space="preserve"> dólares. </w:t>
      </w:r>
    </w:p>
    <w:p w14:paraId="1AF39C9E" w14:textId="77777777" w:rsidR="00A95DF9" w:rsidRPr="00CF201A" w:rsidRDefault="00A95DF9" w:rsidP="00A656DA">
      <w:pPr>
        <w:spacing w:after="100" w:afterAutospacing="1" w:line="240" w:lineRule="auto"/>
        <w:rPr>
          <w:rFonts w:ascii="Arial" w:hAnsi="Arial" w:cs="Arial"/>
        </w:rPr>
      </w:pPr>
      <w:r w:rsidRPr="00CF201A">
        <w:rPr>
          <w:rFonts w:ascii="Arial" w:hAnsi="Arial" w:cs="Arial"/>
        </w:rPr>
        <w:t>Se trata de una cifra que se ubica por debajo de los 37.000 mil dólares calculados en los estudios de caso vinculados con el trabajo de Wallis(1979) para la construcción de emisarios en las mejores condiciones posibles, es decir con el menor costo posible por no registrarse dificultades con el terreno y otros elementos vinculados a la obra. Para las condiciones normales y caras de construcción, la cifra de costo por metro cuadrado supera los 50.000 dólares, monto muy por encima de los 34.654 dólares requeridos para el proyecto de Berazategui.</w:t>
      </w:r>
    </w:p>
    <w:p w14:paraId="0ECC1292" w14:textId="77777777" w:rsidR="00A95DF9" w:rsidRPr="00CF201A" w:rsidRDefault="00A95DF9" w:rsidP="00A656DA">
      <w:pPr>
        <w:spacing w:after="100" w:afterAutospacing="1" w:line="240" w:lineRule="auto"/>
        <w:rPr>
          <w:rFonts w:ascii="Arial" w:hAnsi="Arial" w:cs="Arial"/>
        </w:rPr>
      </w:pPr>
      <w:r w:rsidRPr="00CF201A">
        <w:rPr>
          <w:rFonts w:ascii="Arial" w:hAnsi="Arial" w:cs="Arial"/>
        </w:rPr>
        <w:t>Es posible mencionar que los datos del Engineering News-Record (ENR), que fueron trabajados en Wallis (1979) y citados por el Centro Panamericano de Ingeniería Sanitaria y Ciencias del Ambiente, fueron empleados para estudiar la situación de grandes ciudades costeras de América latina y el Caribe.</w:t>
      </w:r>
    </w:p>
    <w:p w14:paraId="45F13538" w14:textId="77777777" w:rsidR="00A95DF9" w:rsidRPr="00CF201A" w:rsidRDefault="00A95DF9" w:rsidP="00A656DA">
      <w:pPr>
        <w:spacing w:after="100" w:afterAutospacing="1" w:line="240" w:lineRule="auto"/>
        <w:rPr>
          <w:rFonts w:ascii="Arial" w:hAnsi="Arial" w:cs="Arial"/>
        </w:rPr>
      </w:pPr>
      <w:r w:rsidRPr="00CF201A">
        <w:rPr>
          <w:rFonts w:ascii="Arial" w:hAnsi="Arial" w:cs="Arial"/>
        </w:rPr>
        <w:t xml:space="preserve">En el documento </w:t>
      </w:r>
      <w:r w:rsidRPr="00CF201A">
        <w:rPr>
          <w:rFonts w:ascii="Arial" w:hAnsi="Arial" w:cs="Arial"/>
          <w:i/>
        </w:rPr>
        <w:t xml:space="preserve">Emisarios alternativa viable para la disposición de aguas negras de ciudades costeras en América latina y el Caribe </w:t>
      </w:r>
      <w:r w:rsidRPr="00CF201A">
        <w:rPr>
          <w:rFonts w:ascii="Arial" w:hAnsi="Arial" w:cs="Arial"/>
        </w:rPr>
        <w:t xml:space="preserve">del Cepis se demuestra que para las aguas urbanas típicas resulta favorable la alternativa de emisarios largos con sólo tratamiento primario convencional en contraste con la de tratamiento secundario convencional, debido a las diferencias en los costos de construcción, mantenimiento y operación. </w:t>
      </w:r>
    </w:p>
    <w:p w14:paraId="51937870" w14:textId="77777777" w:rsidR="00A95DF9" w:rsidRPr="00CF201A" w:rsidRDefault="00A95DF9" w:rsidP="00A656DA">
      <w:pPr>
        <w:spacing w:after="100" w:afterAutospacing="1" w:line="240" w:lineRule="auto"/>
        <w:rPr>
          <w:rFonts w:ascii="Arial" w:hAnsi="Arial" w:cs="Arial"/>
        </w:rPr>
      </w:pPr>
      <w:r w:rsidRPr="00CF201A">
        <w:rPr>
          <w:rFonts w:ascii="Arial" w:hAnsi="Arial" w:cs="Arial"/>
        </w:rPr>
        <w:t xml:space="preserve">El informe se basa en que los emisarios largos apropiadamente diseñados que descargan en aguas de profundidades, casi siempre cumplen con estándares tanto de coliformes totales como fecales para playas de recreo. </w:t>
      </w:r>
    </w:p>
    <w:p w14:paraId="33E6A426" w14:textId="77777777" w:rsidR="002B0107" w:rsidRPr="00F979BE" w:rsidRDefault="002B0107" w:rsidP="002B0107">
      <w:pPr>
        <w:pStyle w:val="Heading2"/>
        <w:numPr>
          <w:ilvl w:val="0"/>
          <w:numId w:val="100"/>
        </w:numPr>
        <w:rPr>
          <w:lang w:eastAsia="es-ES"/>
        </w:rPr>
      </w:pPr>
      <w:bookmarkStart w:id="357" w:name="_Toc485200213"/>
      <w:r w:rsidRPr="00F979BE">
        <w:rPr>
          <w:lang w:eastAsia="es-ES"/>
        </w:rPr>
        <w:t>Análisis de Sensibilidad.</w:t>
      </w:r>
      <w:bookmarkEnd w:id="357"/>
    </w:p>
    <w:p w14:paraId="32340472" w14:textId="77777777" w:rsidR="002B0107" w:rsidRPr="00F979BE" w:rsidRDefault="002B0107" w:rsidP="002B0107">
      <w:pPr>
        <w:spacing w:after="100" w:afterAutospacing="1" w:line="240" w:lineRule="auto"/>
        <w:rPr>
          <w:rFonts w:ascii="Arial" w:eastAsia="Times New Roman" w:hAnsi="Arial" w:cs="Arial"/>
          <w:lang w:eastAsia="es-ES"/>
        </w:rPr>
      </w:pPr>
      <w:r w:rsidRPr="00F979BE">
        <w:rPr>
          <w:rFonts w:ascii="Arial" w:eastAsia="Times New Roman" w:hAnsi="Arial" w:cs="Arial"/>
          <w:lang w:eastAsia="es-ES"/>
        </w:rPr>
        <w:t>A continuación, se realiza un análisis de sensibilidad con el objeto de conocer el impacto de distintos supuestos sobre el VAC a fin de verificar la robustez de las diferencias de costo estimadas entre las alternativas.</w:t>
      </w:r>
    </w:p>
    <w:p w14:paraId="109B5D90" w14:textId="77777777" w:rsidR="002B0107" w:rsidRPr="00F979BE" w:rsidRDefault="002B0107" w:rsidP="002B0107">
      <w:pPr>
        <w:spacing w:after="100" w:afterAutospacing="1" w:line="240" w:lineRule="auto"/>
        <w:rPr>
          <w:rFonts w:ascii="Arial" w:eastAsia="Times New Roman" w:hAnsi="Arial" w:cs="Arial"/>
          <w:lang w:eastAsia="es-ES"/>
        </w:rPr>
      </w:pPr>
      <w:r w:rsidRPr="00F979BE">
        <w:rPr>
          <w:rFonts w:ascii="Arial" w:eastAsia="Times New Roman" w:hAnsi="Arial" w:cs="Arial"/>
          <w:lang w:eastAsia="es-ES"/>
        </w:rPr>
        <w:t>A tal efecto se plantean las siguientes variaciones a aplicar sobre el proyecto en carácter de análisis paramétrico:</w:t>
      </w:r>
    </w:p>
    <w:p w14:paraId="3361101D" w14:textId="77777777" w:rsidR="002B0107" w:rsidRPr="00F979BE" w:rsidRDefault="002B0107" w:rsidP="002B0107">
      <w:pPr>
        <w:spacing w:before="120" w:after="60" w:line="276" w:lineRule="auto"/>
        <w:rPr>
          <w:rFonts w:ascii="Arial" w:eastAsia="Times New Roman" w:hAnsi="Arial" w:cs="Arial"/>
          <w:lang w:eastAsia="es-ES"/>
        </w:rPr>
      </w:pPr>
      <w:r w:rsidRPr="00F979BE">
        <w:rPr>
          <w:rFonts w:ascii="Arial" w:eastAsia="Times New Roman" w:hAnsi="Arial" w:cs="Arial"/>
          <w:lang w:eastAsia="es-ES"/>
        </w:rPr>
        <w:t>•</w:t>
      </w:r>
      <w:r w:rsidRPr="00F979BE">
        <w:rPr>
          <w:rFonts w:ascii="Arial" w:eastAsia="Times New Roman" w:hAnsi="Arial" w:cs="Arial"/>
          <w:lang w:eastAsia="es-ES"/>
        </w:rPr>
        <w:tab/>
        <w:t>Variación en los costos de inversión.</w:t>
      </w:r>
    </w:p>
    <w:p w14:paraId="2DB40838" w14:textId="77777777" w:rsidR="002B0107" w:rsidRPr="00F979BE" w:rsidRDefault="002B0107" w:rsidP="002B0107">
      <w:pPr>
        <w:spacing w:before="120" w:after="60" w:line="276" w:lineRule="auto"/>
        <w:rPr>
          <w:rFonts w:ascii="Arial" w:eastAsia="Times New Roman" w:hAnsi="Arial" w:cs="Arial"/>
          <w:lang w:eastAsia="es-ES"/>
        </w:rPr>
      </w:pPr>
      <w:r w:rsidRPr="00F979BE">
        <w:rPr>
          <w:rFonts w:ascii="Arial" w:eastAsia="Times New Roman" w:hAnsi="Arial" w:cs="Arial"/>
          <w:lang w:eastAsia="es-ES"/>
        </w:rPr>
        <w:t>•</w:t>
      </w:r>
      <w:r w:rsidRPr="00F979BE">
        <w:rPr>
          <w:rFonts w:ascii="Arial" w:eastAsia="Times New Roman" w:hAnsi="Arial" w:cs="Arial"/>
          <w:lang w:eastAsia="es-ES"/>
        </w:rPr>
        <w:tab/>
        <w:t>Variación en los costos de operación.</w:t>
      </w:r>
    </w:p>
    <w:p w14:paraId="6EAC2475" w14:textId="77777777" w:rsidR="002B0107" w:rsidRPr="00F979BE" w:rsidRDefault="002B0107" w:rsidP="002B0107">
      <w:pPr>
        <w:spacing w:before="120" w:after="60" w:line="276" w:lineRule="auto"/>
        <w:rPr>
          <w:rFonts w:ascii="Arial" w:eastAsia="Times New Roman" w:hAnsi="Arial" w:cs="Arial"/>
          <w:lang w:eastAsia="es-ES"/>
        </w:rPr>
      </w:pPr>
      <w:r w:rsidRPr="00F979BE">
        <w:rPr>
          <w:rFonts w:ascii="Arial" w:eastAsia="Times New Roman" w:hAnsi="Arial" w:cs="Arial"/>
          <w:lang w:eastAsia="es-ES"/>
        </w:rPr>
        <w:t>•</w:t>
      </w:r>
      <w:r w:rsidRPr="00F979BE">
        <w:rPr>
          <w:rFonts w:ascii="Arial" w:eastAsia="Times New Roman" w:hAnsi="Arial" w:cs="Arial"/>
          <w:lang w:eastAsia="es-ES"/>
        </w:rPr>
        <w:tab/>
        <w:t>Variación en los costos de energía eléctrica.</w:t>
      </w:r>
    </w:p>
    <w:p w14:paraId="5CFF8DB8" w14:textId="77777777" w:rsidR="002B0107" w:rsidRPr="00F979BE" w:rsidRDefault="002B0107" w:rsidP="002B0107">
      <w:pPr>
        <w:spacing w:before="120" w:after="60" w:line="276" w:lineRule="auto"/>
        <w:rPr>
          <w:rFonts w:ascii="Arial" w:eastAsia="Times New Roman" w:hAnsi="Arial" w:cs="Arial"/>
          <w:lang w:eastAsia="es-ES"/>
        </w:rPr>
      </w:pPr>
      <w:r w:rsidRPr="00F979BE">
        <w:rPr>
          <w:rFonts w:ascii="Arial" w:eastAsia="Times New Roman" w:hAnsi="Arial" w:cs="Arial"/>
          <w:lang w:eastAsia="es-ES"/>
        </w:rPr>
        <w:t>•</w:t>
      </w:r>
      <w:r w:rsidRPr="00F979BE">
        <w:rPr>
          <w:rFonts w:ascii="Arial" w:eastAsia="Times New Roman" w:hAnsi="Arial" w:cs="Arial"/>
          <w:lang w:eastAsia="es-ES"/>
        </w:rPr>
        <w:tab/>
        <w:t>Sensibilidad del VAC ante distintas tasas de descuento.</w:t>
      </w:r>
    </w:p>
    <w:p w14:paraId="52ECB75D" w14:textId="77777777" w:rsidR="002B0107" w:rsidRDefault="002B0107" w:rsidP="002B0107">
      <w:pPr>
        <w:spacing w:after="100" w:afterAutospacing="1" w:line="240" w:lineRule="auto"/>
        <w:rPr>
          <w:rFonts w:ascii="Arial" w:eastAsia="Times New Roman" w:hAnsi="Arial" w:cs="Arial"/>
          <w:lang w:eastAsia="es-ES"/>
        </w:rPr>
      </w:pPr>
      <w:r w:rsidRPr="00F979BE">
        <w:rPr>
          <w:rFonts w:ascii="Arial" w:eastAsia="Times New Roman" w:hAnsi="Arial" w:cs="Arial"/>
          <w:lang w:eastAsia="es-ES"/>
        </w:rPr>
        <w:t>Por otro lado, se realiza también un análisis de riesgo mediante el cual se introducen variaciones simultáneas y aleatorias sobre una serie de variables clave.</w:t>
      </w:r>
    </w:p>
    <w:p w14:paraId="5E435DB9" w14:textId="77777777" w:rsidR="002B0107" w:rsidRPr="00F979BE" w:rsidRDefault="002B0107" w:rsidP="002B0107">
      <w:pPr>
        <w:pStyle w:val="Heading2"/>
        <w:numPr>
          <w:ilvl w:val="1"/>
          <w:numId w:val="110"/>
        </w:numPr>
        <w:rPr>
          <w:lang w:eastAsia="es-ES"/>
        </w:rPr>
      </w:pPr>
      <w:bookmarkStart w:id="358" w:name="_Toc485137846"/>
      <w:bookmarkStart w:id="359" w:name="_Toc485200214"/>
      <w:r w:rsidRPr="00F979BE">
        <w:rPr>
          <w:lang w:eastAsia="es-ES"/>
        </w:rPr>
        <w:t>Análisis de sensibilidad paramétrico</w:t>
      </w:r>
      <w:bookmarkEnd w:id="358"/>
      <w:bookmarkEnd w:id="359"/>
    </w:p>
    <w:p w14:paraId="596F7479" w14:textId="77777777" w:rsidR="002B0107" w:rsidRPr="00F979BE" w:rsidRDefault="002B0107" w:rsidP="002B0107">
      <w:pPr>
        <w:spacing w:after="100" w:afterAutospacing="1" w:line="240" w:lineRule="auto"/>
        <w:rPr>
          <w:rFonts w:ascii="Arial" w:eastAsia="Times New Roman" w:hAnsi="Arial" w:cs="Arial"/>
          <w:lang w:eastAsia="es-ES"/>
        </w:rPr>
      </w:pPr>
      <w:r w:rsidRPr="00F979BE">
        <w:rPr>
          <w:rFonts w:ascii="Arial" w:eastAsia="Times New Roman" w:hAnsi="Arial" w:cs="Arial"/>
          <w:lang w:eastAsia="es-ES"/>
        </w:rPr>
        <w:t>A fin de comprobar la robustez del análisis de costo realizado se aplicó un vector de sensibilidad con variaciones desde -28% a +28% sobre los componentes inversiones, Costos de operación y mantenimiento y costo de la energía eléctrica.</w:t>
      </w:r>
    </w:p>
    <w:p w14:paraId="23D41FDF" w14:textId="77777777" w:rsidR="002B0107" w:rsidRPr="00F979BE" w:rsidRDefault="002B0107" w:rsidP="002B0107">
      <w:pPr>
        <w:spacing w:after="100" w:afterAutospacing="1" w:line="240" w:lineRule="auto"/>
        <w:rPr>
          <w:rFonts w:ascii="Arial" w:eastAsia="Times New Roman" w:hAnsi="Arial" w:cs="Arial"/>
          <w:lang w:eastAsia="es-ES"/>
        </w:rPr>
      </w:pPr>
      <w:r w:rsidRPr="00F979BE">
        <w:rPr>
          <w:rFonts w:ascii="Arial" w:eastAsia="Times New Roman" w:hAnsi="Arial" w:cs="Arial"/>
          <w:lang w:eastAsia="es-ES"/>
        </w:rPr>
        <w:t xml:space="preserve">El resultado de tal análisis se resume en las siguientes </w:t>
      </w:r>
      <w:r>
        <w:rPr>
          <w:rFonts w:ascii="Arial" w:eastAsia="Times New Roman" w:hAnsi="Arial" w:cs="Arial"/>
          <w:lang w:eastAsia="es-ES"/>
        </w:rPr>
        <w:t>Figuras</w:t>
      </w:r>
      <w:r w:rsidRPr="00F979BE">
        <w:rPr>
          <w:rFonts w:ascii="Arial" w:eastAsia="Times New Roman" w:hAnsi="Arial" w:cs="Arial"/>
          <w:lang w:eastAsia="es-ES"/>
        </w:rPr>
        <w:t>.</w:t>
      </w:r>
    </w:p>
    <w:p w14:paraId="1BD786A8" w14:textId="1D5A76A6" w:rsidR="002B0107" w:rsidRPr="00F979BE" w:rsidRDefault="002B0107" w:rsidP="002B0107">
      <w:pPr>
        <w:spacing w:before="240" w:after="60" w:line="360" w:lineRule="auto"/>
        <w:rPr>
          <w:rFonts w:ascii="Arial" w:eastAsia="Times New Roman" w:hAnsi="Arial" w:cs="Arial"/>
          <w:lang w:eastAsia="es-ES"/>
        </w:rPr>
      </w:pPr>
      <w:r>
        <w:rPr>
          <w:rFonts w:ascii="Arial" w:eastAsia="Times New Roman" w:hAnsi="Arial" w:cs="Arial"/>
          <w:b/>
          <w:sz w:val="20"/>
          <w:szCs w:val="20"/>
          <w:lang w:eastAsia="es-ES"/>
        </w:rPr>
        <w:t>Figura IV-2</w:t>
      </w:r>
      <w:r w:rsidRPr="003E065D">
        <w:rPr>
          <w:rFonts w:ascii="Arial" w:eastAsia="Times New Roman" w:hAnsi="Arial" w:cs="Arial"/>
          <w:b/>
          <w:sz w:val="20"/>
          <w:szCs w:val="20"/>
          <w:lang w:eastAsia="es-ES"/>
        </w:rPr>
        <w:t>. VAC ante variaciones en los costos de inversión. Valores en miles de USD</w:t>
      </w:r>
      <w:r w:rsidRPr="00F979BE">
        <w:rPr>
          <w:rFonts w:ascii="Arial" w:eastAsia="Times New Roman" w:hAnsi="Arial" w:cs="Arial"/>
          <w:b/>
          <w:lang w:eastAsia="es-ES"/>
        </w:rPr>
        <w:t>.</w:t>
      </w:r>
      <w:r w:rsidRPr="00F979BE">
        <w:rPr>
          <w:rFonts w:ascii="Arial" w:eastAsia="Times New Roman" w:hAnsi="Arial" w:cs="Arial"/>
          <w:noProof/>
          <w:lang w:eastAsia="es-AR"/>
        </w:rPr>
        <w:drawing>
          <wp:inline distT="0" distB="0" distL="0" distR="0" wp14:anchorId="25B58BA4" wp14:editId="40BAEC0B">
            <wp:extent cx="5215465" cy="2671638"/>
            <wp:effectExtent l="0" t="0" r="4445" b="0"/>
            <wp:docPr id="305"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237969" cy="2683166"/>
                    </a:xfrm>
                    <a:prstGeom prst="rect">
                      <a:avLst/>
                    </a:prstGeom>
                    <a:noFill/>
                    <a:ln>
                      <a:noFill/>
                    </a:ln>
                  </pic:spPr>
                </pic:pic>
              </a:graphicData>
            </a:graphic>
          </wp:inline>
        </w:drawing>
      </w:r>
    </w:p>
    <w:p w14:paraId="365589F0" w14:textId="77777777" w:rsidR="002B0107" w:rsidRPr="00F979BE" w:rsidRDefault="002B0107" w:rsidP="002B0107">
      <w:pPr>
        <w:spacing w:before="240" w:after="60" w:line="360" w:lineRule="auto"/>
        <w:rPr>
          <w:rFonts w:ascii="Arial" w:eastAsia="Times New Roman" w:hAnsi="Arial" w:cs="Arial"/>
          <w:lang w:eastAsia="es-ES"/>
        </w:rPr>
      </w:pPr>
    </w:p>
    <w:p w14:paraId="0A998ACA" w14:textId="6D7B1889" w:rsidR="002B0107" w:rsidRPr="00F979BE" w:rsidRDefault="002B0107" w:rsidP="002B0107">
      <w:pPr>
        <w:spacing w:after="0" w:line="240" w:lineRule="auto"/>
        <w:rPr>
          <w:rFonts w:ascii="Arial" w:eastAsia="Times New Roman" w:hAnsi="Arial" w:cs="Arial"/>
          <w:b/>
          <w:lang w:eastAsia="es-ES"/>
        </w:rPr>
      </w:pPr>
      <w:r>
        <w:rPr>
          <w:rFonts w:ascii="Arial" w:eastAsia="Times New Roman" w:hAnsi="Arial" w:cs="Arial"/>
          <w:b/>
          <w:sz w:val="20"/>
          <w:szCs w:val="20"/>
          <w:lang w:eastAsia="es-ES"/>
        </w:rPr>
        <w:t>Figura</w:t>
      </w:r>
      <w:r w:rsidRPr="002B0107">
        <w:rPr>
          <w:rFonts w:ascii="Arial" w:eastAsia="Times New Roman" w:hAnsi="Arial" w:cs="Arial"/>
          <w:b/>
          <w:sz w:val="20"/>
          <w:szCs w:val="20"/>
          <w:lang w:eastAsia="es-ES"/>
        </w:rPr>
        <w:t xml:space="preserve"> IV</w:t>
      </w:r>
      <w:r>
        <w:rPr>
          <w:rFonts w:ascii="Arial" w:eastAsia="Times New Roman" w:hAnsi="Arial" w:cs="Arial"/>
          <w:b/>
          <w:sz w:val="20"/>
          <w:szCs w:val="20"/>
          <w:lang w:eastAsia="es-ES"/>
        </w:rPr>
        <w:t>-3</w:t>
      </w:r>
      <w:r w:rsidRPr="002B0107">
        <w:rPr>
          <w:rFonts w:ascii="Arial" w:eastAsia="Times New Roman" w:hAnsi="Arial" w:cs="Arial"/>
          <w:b/>
          <w:sz w:val="20"/>
          <w:szCs w:val="20"/>
          <w:lang w:eastAsia="es-ES"/>
        </w:rPr>
        <w:t>. VAC ante variaciones en los costos de operación y mantenimiento. Valores en miles de USD</w:t>
      </w:r>
      <w:r w:rsidRPr="00F979BE">
        <w:rPr>
          <w:rFonts w:ascii="Arial" w:eastAsia="Times New Roman" w:hAnsi="Arial" w:cs="Arial"/>
          <w:b/>
          <w:lang w:eastAsia="es-ES"/>
        </w:rPr>
        <w:t>.</w:t>
      </w:r>
    </w:p>
    <w:p w14:paraId="3F6E2F9D" w14:textId="77777777" w:rsidR="002B0107" w:rsidRPr="00F979BE" w:rsidRDefault="002B0107" w:rsidP="002B0107">
      <w:pPr>
        <w:spacing w:before="240" w:after="60" w:line="360" w:lineRule="auto"/>
        <w:rPr>
          <w:rFonts w:ascii="Arial" w:eastAsia="Times New Roman" w:hAnsi="Arial" w:cs="Arial"/>
          <w:b/>
          <w:lang w:eastAsia="es-ES"/>
        </w:rPr>
      </w:pPr>
      <w:r w:rsidRPr="00F979BE">
        <w:rPr>
          <w:rFonts w:ascii="Arial" w:eastAsia="Times New Roman" w:hAnsi="Arial" w:cs="Arial"/>
          <w:noProof/>
          <w:lang w:eastAsia="es-AR"/>
        </w:rPr>
        <w:drawing>
          <wp:inline distT="0" distB="0" distL="0" distR="0" wp14:anchorId="5DFE3730" wp14:editId="7C981A6E">
            <wp:extent cx="5400040" cy="3211900"/>
            <wp:effectExtent l="0" t="0" r="0" b="7620"/>
            <wp:docPr id="306"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400040" cy="3211900"/>
                    </a:xfrm>
                    <a:prstGeom prst="rect">
                      <a:avLst/>
                    </a:prstGeom>
                    <a:noFill/>
                    <a:ln>
                      <a:noFill/>
                    </a:ln>
                  </pic:spPr>
                </pic:pic>
              </a:graphicData>
            </a:graphic>
          </wp:inline>
        </w:drawing>
      </w:r>
    </w:p>
    <w:p w14:paraId="012577C6" w14:textId="323DFFD5" w:rsidR="002B0107" w:rsidRPr="002B0107" w:rsidRDefault="002B0107" w:rsidP="002B0107">
      <w:pPr>
        <w:keepNext/>
        <w:keepLines/>
        <w:spacing w:after="0" w:line="240" w:lineRule="auto"/>
        <w:rPr>
          <w:rFonts w:ascii="Arial" w:eastAsia="Times New Roman" w:hAnsi="Arial" w:cs="Arial"/>
          <w:b/>
          <w:sz w:val="20"/>
          <w:szCs w:val="20"/>
          <w:lang w:eastAsia="es-ES"/>
        </w:rPr>
      </w:pPr>
      <w:r w:rsidRPr="002B0107">
        <w:rPr>
          <w:rFonts w:ascii="Arial" w:eastAsia="Times New Roman" w:hAnsi="Arial" w:cs="Arial"/>
          <w:b/>
          <w:sz w:val="20"/>
          <w:szCs w:val="20"/>
          <w:lang w:eastAsia="es-ES"/>
        </w:rPr>
        <w:t>Figura IV-</w:t>
      </w:r>
      <w:r>
        <w:rPr>
          <w:rFonts w:ascii="Arial" w:eastAsia="Times New Roman" w:hAnsi="Arial" w:cs="Arial"/>
          <w:b/>
          <w:sz w:val="20"/>
          <w:szCs w:val="20"/>
          <w:lang w:eastAsia="es-ES"/>
        </w:rPr>
        <w:t>4</w:t>
      </w:r>
      <w:r w:rsidRPr="002B0107">
        <w:rPr>
          <w:rFonts w:ascii="Arial" w:eastAsia="Times New Roman" w:hAnsi="Arial" w:cs="Arial"/>
          <w:b/>
          <w:sz w:val="20"/>
          <w:szCs w:val="20"/>
          <w:lang w:eastAsia="es-ES"/>
        </w:rPr>
        <w:t>. VAC ante variaciones en los costos de energía eléctrica. Valores en miles de USD.</w:t>
      </w:r>
    </w:p>
    <w:p w14:paraId="1570A353" w14:textId="77777777" w:rsidR="002B0107" w:rsidRPr="00F979BE" w:rsidRDefault="002B0107" w:rsidP="002B0107">
      <w:pPr>
        <w:keepNext/>
        <w:keepLines/>
        <w:spacing w:before="240" w:after="60" w:line="360" w:lineRule="auto"/>
        <w:rPr>
          <w:rFonts w:ascii="Arial" w:eastAsia="Times New Roman" w:hAnsi="Arial" w:cs="Arial"/>
          <w:b/>
          <w:lang w:eastAsia="es-ES"/>
        </w:rPr>
      </w:pPr>
      <w:r w:rsidRPr="00F979BE">
        <w:rPr>
          <w:rFonts w:ascii="Arial" w:eastAsia="Times New Roman" w:hAnsi="Arial" w:cs="Arial"/>
          <w:noProof/>
          <w:lang w:eastAsia="es-AR"/>
        </w:rPr>
        <w:drawing>
          <wp:inline distT="0" distB="0" distL="0" distR="0" wp14:anchorId="723AE0AC" wp14:editId="57CA2A48">
            <wp:extent cx="5400040" cy="3211900"/>
            <wp:effectExtent l="0" t="0" r="0" b="7620"/>
            <wp:docPr id="307"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400040" cy="3211900"/>
                    </a:xfrm>
                    <a:prstGeom prst="rect">
                      <a:avLst/>
                    </a:prstGeom>
                    <a:noFill/>
                    <a:ln>
                      <a:noFill/>
                    </a:ln>
                  </pic:spPr>
                </pic:pic>
              </a:graphicData>
            </a:graphic>
          </wp:inline>
        </w:drawing>
      </w:r>
    </w:p>
    <w:p w14:paraId="1D366A11" w14:textId="77777777" w:rsidR="002B0107" w:rsidRPr="00F979BE" w:rsidRDefault="002B0107" w:rsidP="002B0107">
      <w:pPr>
        <w:spacing w:before="240" w:after="60" w:line="360" w:lineRule="auto"/>
        <w:rPr>
          <w:rFonts w:ascii="Arial" w:eastAsia="Times New Roman" w:hAnsi="Arial" w:cs="Arial"/>
          <w:b/>
          <w:lang w:eastAsia="es-ES"/>
        </w:rPr>
      </w:pPr>
    </w:p>
    <w:p w14:paraId="4B8FD505" w14:textId="77777777" w:rsidR="002B0107" w:rsidRPr="00F979BE" w:rsidRDefault="002B0107" w:rsidP="002B0107">
      <w:pPr>
        <w:spacing w:after="100" w:afterAutospacing="1" w:line="240" w:lineRule="auto"/>
        <w:rPr>
          <w:rFonts w:ascii="Arial" w:eastAsia="Times New Roman" w:hAnsi="Arial" w:cs="Arial"/>
          <w:lang w:eastAsia="es-ES"/>
        </w:rPr>
      </w:pPr>
      <w:r w:rsidRPr="00F979BE">
        <w:rPr>
          <w:rFonts w:ascii="Arial" w:eastAsia="Times New Roman" w:hAnsi="Arial" w:cs="Arial"/>
          <w:lang w:eastAsia="es-ES"/>
        </w:rPr>
        <w:t>Adicionalmente se presenta a continuación el análisis de cambio en los respectivos valores actuales de los costos ante variaciones en la tasa social de descuento.</w:t>
      </w:r>
    </w:p>
    <w:p w14:paraId="67EC03E8" w14:textId="2A195AE7" w:rsidR="002B0107" w:rsidRPr="002B0107" w:rsidRDefault="002B0107" w:rsidP="002B0107">
      <w:pPr>
        <w:keepNext/>
        <w:keepLines/>
        <w:spacing w:before="120" w:after="0" w:line="360" w:lineRule="auto"/>
        <w:rPr>
          <w:rFonts w:ascii="Arial" w:eastAsia="Times New Roman" w:hAnsi="Arial" w:cs="Arial"/>
          <w:b/>
          <w:sz w:val="20"/>
          <w:szCs w:val="20"/>
          <w:lang w:eastAsia="es-ES"/>
        </w:rPr>
      </w:pPr>
      <w:r>
        <w:rPr>
          <w:rFonts w:ascii="Arial" w:eastAsia="Times New Roman" w:hAnsi="Arial" w:cs="Arial"/>
          <w:b/>
          <w:sz w:val="20"/>
          <w:szCs w:val="20"/>
          <w:lang w:eastAsia="es-ES"/>
        </w:rPr>
        <w:t>Figura</w:t>
      </w:r>
      <w:r w:rsidRPr="002B0107">
        <w:rPr>
          <w:rFonts w:ascii="Arial" w:eastAsia="Times New Roman" w:hAnsi="Arial" w:cs="Arial"/>
          <w:b/>
          <w:sz w:val="20"/>
          <w:szCs w:val="20"/>
          <w:lang w:eastAsia="es-ES"/>
        </w:rPr>
        <w:t xml:space="preserve"> IV</w:t>
      </w:r>
      <w:r>
        <w:rPr>
          <w:rFonts w:ascii="Arial" w:eastAsia="Times New Roman" w:hAnsi="Arial" w:cs="Arial"/>
          <w:b/>
          <w:sz w:val="20"/>
          <w:szCs w:val="20"/>
          <w:lang w:eastAsia="es-ES"/>
        </w:rPr>
        <w:t>-5</w:t>
      </w:r>
      <w:r w:rsidRPr="002B0107">
        <w:rPr>
          <w:rFonts w:ascii="Arial" w:eastAsia="Times New Roman" w:hAnsi="Arial" w:cs="Arial"/>
          <w:b/>
          <w:sz w:val="20"/>
          <w:szCs w:val="20"/>
          <w:lang w:eastAsia="es-ES"/>
        </w:rPr>
        <w:t>. VAC ante variaciones en la tasa de descuento. Valores en miles de USD.</w:t>
      </w:r>
    </w:p>
    <w:p w14:paraId="645ED0C4" w14:textId="77777777" w:rsidR="002B0107" w:rsidRDefault="002B0107" w:rsidP="002B0107">
      <w:pPr>
        <w:keepNext/>
        <w:keepLines/>
        <w:spacing w:before="120" w:after="0" w:line="360" w:lineRule="auto"/>
        <w:rPr>
          <w:rFonts w:ascii="Arial" w:eastAsia="Times New Roman" w:hAnsi="Arial" w:cs="Arial"/>
          <w:lang w:eastAsia="es-ES"/>
        </w:rPr>
      </w:pPr>
      <w:r w:rsidRPr="00F979BE">
        <w:rPr>
          <w:rFonts w:ascii="Arial" w:eastAsia="Times New Roman" w:hAnsi="Arial" w:cs="Arial"/>
          <w:noProof/>
          <w:lang w:eastAsia="es-AR"/>
        </w:rPr>
        <w:drawing>
          <wp:inline distT="0" distB="0" distL="0" distR="0" wp14:anchorId="01C4F97B" wp14:editId="7CA397AE">
            <wp:extent cx="5400040" cy="3441667"/>
            <wp:effectExtent l="0" t="0" r="0" b="6985"/>
            <wp:docPr id="308"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400040" cy="3441667"/>
                    </a:xfrm>
                    <a:prstGeom prst="rect">
                      <a:avLst/>
                    </a:prstGeom>
                    <a:noFill/>
                    <a:ln>
                      <a:noFill/>
                    </a:ln>
                  </pic:spPr>
                </pic:pic>
              </a:graphicData>
            </a:graphic>
          </wp:inline>
        </w:drawing>
      </w:r>
    </w:p>
    <w:p w14:paraId="247BE837" w14:textId="77777777" w:rsidR="002B0107" w:rsidRPr="00F979BE" w:rsidRDefault="002B0107" w:rsidP="002B0107">
      <w:pPr>
        <w:pStyle w:val="Heading2"/>
        <w:numPr>
          <w:ilvl w:val="1"/>
          <w:numId w:val="110"/>
        </w:numPr>
      </w:pPr>
      <w:bookmarkStart w:id="360" w:name="_Toc485200215"/>
      <w:r w:rsidRPr="00F979BE">
        <w:t>Igualación de los resultados de las alternativas.</w:t>
      </w:r>
      <w:bookmarkEnd w:id="360"/>
    </w:p>
    <w:p w14:paraId="408846DE" w14:textId="77777777" w:rsidR="002B0107" w:rsidRPr="00F979BE" w:rsidRDefault="002B0107" w:rsidP="002B0107">
      <w:pPr>
        <w:spacing w:line="240" w:lineRule="auto"/>
        <w:rPr>
          <w:rFonts w:ascii="Arial" w:hAnsi="Arial" w:cs="Arial"/>
        </w:rPr>
      </w:pPr>
      <w:r w:rsidRPr="00F979BE">
        <w:rPr>
          <w:rFonts w:ascii="Arial" w:hAnsi="Arial" w:cs="Arial"/>
        </w:rPr>
        <w:t>A fin de verificar la robustez de los resultados frente a variaciones unilaterales de los costos se simularon incrementos (decrementos) en los costos de inversión y de operación y mantenimiento tales que igualen el valor actual de costos de ambas alternativas.</w:t>
      </w:r>
    </w:p>
    <w:p w14:paraId="47139807" w14:textId="77777777" w:rsidR="002B0107" w:rsidRPr="00F979BE" w:rsidRDefault="002B0107" w:rsidP="002B0107">
      <w:pPr>
        <w:spacing w:line="240" w:lineRule="auto"/>
        <w:rPr>
          <w:rFonts w:ascii="Arial" w:hAnsi="Arial" w:cs="Arial"/>
        </w:rPr>
      </w:pPr>
      <w:r w:rsidRPr="00F979BE">
        <w:rPr>
          <w:rFonts w:ascii="Arial" w:hAnsi="Arial" w:cs="Arial"/>
        </w:rPr>
        <w:t xml:space="preserve">De este análisis se pudo observar que los costos de inversión de la alternativa </w:t>
      </w:r>
      <w:r>
        <w:rPr>
          <w:rFonts w:ascii="Arial" w:hAnsi="Arial" w:cs="Arial"/>
        </w:rPr>
        <w:t>de tratamiento por dilución</w:t>
      </w:r>
      <w:r w:rsidRPr="00F979BE">
        <w:rPr>
          <w:rFonts w:ascii="Arial" w:hAnsi="Arial" w:cs="Arial"/>
        </w:rPr>
        <w:t xml:space="preserve"> deberían aumentar </w:t>
      </w:r>
      <w:r>
        <w:rPr>
          <w:rFonts w:ascii="Arial" w:hAnsi="Arial" w:cs="Arial"/>
        </w:rPr>
        <w:t>286,5%</w:t>
      </w:r>
      <w:r w:rsidRPr="00F979BE">
        <w:rPr>
          <w:rFonts w:ascii="Arial" w:hAnsi="Arial" w:cs="Arial"/>
        </w:rPr>
        <w:t xml:space="preserve">% para igualar las alternativas o por el contrario, los costos de la alternativa </w:t>
      </w:r>
      <w:r>
        <w:rPr>
          <w:rFonts w:ascii="Arial" w:hAnsi="Arial" w:cs="Arial"/>
        </w:rPr>
        <w:t>de tratamiento secundario</w:t>
      </w:r>
      <w:r w:rsidRPr="00F979BE">
        <w:rPr>
          <w:rFonts w:ascii="Arial" w:hAnsi="Arial" w:cs="Arial"/>
        </w:rPr>
        <w:t xml:space="preserve"> deberían descender un </w:t>
      </w:r>
      <w:r>
        <w:rPr>
          <w:rFonts w:ascii="Arial" w:hAnsi="Arial" w:cs="Arial"/>
        </w:rPr>
        <w:t>289,1%</w:t>
      </w:r>
      <w:r w:rsidRPr="00F979BE">
        <w:rPr>
          <w:rFonts w:ascii="Arial" w:hAnsi="Arial" w:cs="Arial"/>
        </w:rPr>
        <w:t xml:space="preserve">% para obtener el mismo resultado. </w:t>
      </w:r>
    </w:p>
    <w:p w14:paraId="55BC152A" w14:textId="77777777" w:rsidR="002B0107" w:rsidRPr="00F979BE" w:rsidRDefault="002B0107" w:rsidP="002B0107">
      <w:pPr>
        <w:spacing w:line="240" w:lineRule="auto"/>
        <w:rPr>
          <w:rFonts w:ascii="Arial" w:eastAsia="Times New Roman" w:hAnsi="Arial" w:cs="Arial"/>
          <w:lang w:eastAsia="es-ES"/>
        </w:rPr>
      </w:pPr>
      <w:r w:rsidRPr="00F979BE">
        <w:rPr>
          <w:rFonts w:ascii="Arial" w:hAnsi="Arial" w:cs="Arial"/>
        </w:rPr>
        <w:t xml:space="preserve">Respecto a los costos de operación y mantenimiento se pudo observar que los mismos deberían disminuir en un </w:t>
      </w:r>
      <w:r>
        <w:rPr>
          <w:rFonts w:ascii="Arial" w:hAnsi="Arial" w:cs="Arial"/>
        </w:rPr>
        <w:t>2654,8%</w:t>
      </w:r>
      <w:r w:rsidRPr="00F979BE">
        <w:rPr>
          <w:rFonts w:ascii="Arial" w:hAnsi="Arial" w:cs="Arial"/>
        </w:rPr>
        <w:t xml:space="preserve">% en el caso de la alternativa </w:t>
      </w:r>
      <w:r>
        <w:rPr>
          <w:rFonts w:ascii="Arial" w:hAnsi="Arial" w:cs="Arial"/>
        </w:rPr>
        <w:t>de tratamiento secundario</w:t>
      </w:r>
      <w:r w:rsidRPr="00F979BE">
        <w:rPr>
          <w:rFonts w:ascii="Arial" w:hAnsi="Arial" w:cs="Arial"/>
        </w:rPr>
        <w:t xml:space="preserve"> para alcanzar los resultados de la alternativa </w:t>
      </w:r>
      <w:r>
        <w:rPr>
          <w:rFonts w:ascii="Arial" w:hAnsi="Arial" w:cs="Arial"/>
        </w:rPr>
        <w:t xml:space="preserve">tratamiento por dilución </w:t>
      </w:r>
      <w:r w:rsidRPr="00F979BE">
        <w:rPr>
          <w:rFonts w:ascii="Arial" w:hAnsi="Arial" w:cs="Arial"/>
        </w:rPr>
        <w:t xml:space="preserve">o elevarse en un </w:t>
      </w:r>
      <w:r>
        <w:rPr>
          <w:rFonts w:ascii="Arial" w:hAnsi="Arial" w:cs="Arial"/>
        </w:rPr>
        <w:t xml:space="preserve">3.766% </w:t>
      </w:r>
      <w:r w:rsidRPr="00F979BE">
        <w:rPr>
          <w:rFonts w:ascii="Arial" w:hAnsi="Arial" w:cs="Arial"/>
        </w:rPr>
        <w:t>en el caso contrario</w:t>
      </w:r>
    </w:p>
    <w:p w14:paraId="2B84D72F" w14:textId="77777777" w:rsidR="002B0107" w:rsidRPr="00F979BE" w:rsidRDefault="002B0107" w:rsidP="002B0107">
      <w:pPr>
        <w:pStyle w:val="Heading2"/>
        <w:numPr>
          <w:ilvl w:val="0"/>
          <w:numId w:val="110"/>
        </w:numPr>
        <w:rPr>
          <w:lang w:eastAsia="es-ES"/>
        </w:rPr>
      </w:pPr>
      <w:bookmarkStart w:id="361" w:name="_Toc485137847"/>
      <w:bookmarkStart w:id="362" w:name="_Toc485200216"/>
      <w:r w:rsidRPr="00F979BE">
        <w:rPr>
          <w:lang w:eastAsia="es-ES"/>
        </w:rPr>
        <w:t>Análisis de riesgo</w:t>
      </w:r>
      <w:bookmarkEnd w:id="361"/>
      <w:bookmarkEnd w:id="362"/>
    </w:p>
    <w:p w14:paraId="223FE145" w14:textId="77777777" w:rsidR="002B0107" w:rsidRPr="00F979BE" w:rsidRDefault="002B0107" w:rsidP="002B0107">
      <w:pPr>
        <w:spacing w:line="240" w:lineRule="auto"/>
        <w:rPr>
          <w:rFonts w:ascii="Arial" w:eastAsia="Times New Roman" w:hAnsi="Arial" w:cs="Arial"/>
          <w:lang w:eastAsia="es-ES"/>
        </w:rPr>
      </w:pPr>
      <w:r w:rsidRPr="00F979BE">
        <w:rPr>
          <w:rFonts w:ascii="Arial" w:eastAsia="Times New Roman" w:hAnsi="Arial" w:cs="Arial"/>
          <w:lang w:eastAsia="es-ES"/>
        </w:rPr>
        <w:t>A fin de realizar el análisis de riesgo correspondiente al proyecto se aplicó el método Montecarlo consistente en generar un muestreo aleatorio para vectores probabilísticos que afectan a las principales variables del proyecto.</w:t>
      </w:r>
    </w:p>
    <w:p w14:paraId="07B1DA94" w14:textId="77777777" w:rsidR="002B0107" w:rsidRPr="00F979BE" w:rsidRDefault="002B0107" w:rsidP="002B0107">
      <w:pPr>
        <w:spacing w:line="240" w:lineRule="auto"/>
        <w:rPr>
          <w:rFonts w:ascii="Arial" w:eastAsia="Times New Roman" w:hAnsi="Arial" w:cs="Arial"/>
          <w:lang w:eastAsia="es-ES"/>
        </w:rPr>
      </w:pPr>
      <w:r w:rsidRPr="00F979BE">
        <w:rPr>
          <w:rFonts w:ascii="Arial" w:eastAsia="Times New Roman" w:hAnsi="Arial" w:cs="Arial"/>
          <w:lang w:eastAsia="es-ES"/>
        </w:rPr>
        <w:t>El análisis involucró 5.000 simulaciones derivadas de la aplicación aleatoria de las siguientes características para cada componente del proyecto.</w:t>
      </w:r>
    </w:p>
    <w:p w14:paraId="4D1B1052" w14:textId="4F66539F" w:rsidR="002B0107" w:rsidRPr="002B0107" w:rsidRDefault="002B0107" w:rsidP="002B0107">
      <w:pPr>
        <w:keepNext/>
        <w:keepLines/>
        <w:spacing w:after="0" w:line="240" w:lineRule="auto"/>
        <w:rPr>
          <w:rFonts w:ascii="Arial" w:eastAsia="Times New Roman" w:hAnsi="Arial" w:cs="Arial"/>
          <w:sz w:val="20"/>
          <w:szCs w:val="20"/>
          <w:lang w:eastAsia="es-ES"/>
        </w:rPr>
      </w:pPr>
      <w:r w:rsidRPr="002B0107">
        <w:rPr>
          <w:rFonts w:ascii="Arial" w:eastAsia="Times New Roman" w:hAnsi="Arial" w:cs="Arial"/>
          <w:b/>
          <w:sz w:val="20"/>
          <w:szCs w:val="20"/>
          <w:lang w:eastAsia="es-ES"/>
        </w:rPr>
        <w:t>Figura IV-</w:t>
      </w:r>
      <w:r>
        <w:rPr>
          <w:rFonts w:ascii="Arial" w:eastAsia="Times New Roman" w:hAnsi="Arial" w:cs="Arial"/>
          <w:b/>
          <w:sz w:val="20"/>
          <w:szCs w:val="20"/>
          <w:lang w:eastAsia="es-ES"/>
        </w:rPr>
        <w:t>6</w:t>
      </w:r>
      <w:r w:rsidRPr="002B0107">
        <w:rPr>
          <w:rFonts w:ascii="Arial" w:eastAsia="Times New Roman" w:hAnsi="Arial" w:cs="Arial"/>
          <w:b/>
          <w:sz w:val="20"/>
          <w:szCs w:val="20"/>
          <w:lang w:eastAsia="es-ES"/>
        </w:rPr>
        <w:t>. Variaciones introducidas en la simulación.</w:t>
      </w:r>
    </w:p>
    <w:p w14:paraId="224DE83E" w14:textId="77777777" w:rsidR="002B0107" w:rsidRPr="00F979BE" w:rsidRDefault="002B0107" w:rsidP="002B0107">
      <w:pPr>
        <w:spacing w:before="240" w:after="60" w:line="360" w:lineRule="auto"/>
        <w:rPr>
          <w:rFonts w:ascii="Arial" w:eastAsia="Times New Roman" w:hAnsi="Arial" w:cs="Arial"/>
          <w:lang w:eastAsia="es-ES"/>
        </w:rPr>
      </w:pPr>
      <w:r w:rsidRPr="00F979BE">
        <w:rPr>
          <w:rFonts w:ascii="Arial" w:eastAsia="Times New Roman" w:hAnsi="Arial" w:cs="Arial"/>
          <w:noProof/>
          <w:lang w:eastAsia="es-AR"/>
        </w:rPr>
        <w:drawing>
          <wp:inline distT="0" distB="0" distL="0" distR="0" wp14:anchorId="2AFEF0AA" wp14:editId="11637D4E">
            <wp:extent cx="5400040" cy="1025120"/>
            <wp:effectExtent l="0" t="0" r="0" b="3810"/>
            <wp:docPr id="309"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00040" cy="1025120"/>
                    </a:xfrm>
                    <a:prstGeom prst="rect">
                      <a:avLst/>
                    </a:prstGeom>
                    <a:noFill/>
                    <a:ln>
                      <a:noFill/>
                    </a:ln>
                  </pic:spPr>
                </pic:pic>
              </a:graphicData>
            </a:graphic>
          </wp:inline>
        </w:drawing>
      </w:r>
    </w:p>
    <w:p w14:paraId="1E68C3C9" w14:textId="77777777" w:rsidR="002B0107" w:rsidRDefault="002B0107" w:rsidP="002B0107">
      <w:pPr>
        <w:spacing w:line="240" w:lineRule="auto"/>
        <w:rPr>
          <w:rFonts w:ascii="Arial" w:eastAsia="Times New Roman" w:hAnsi="Arial" w:cs="Arial"/>
          <w:lang w:eastAsia="es-ES"/>
        </w:rPr>
      </w:pPr>
    </w:p>
    <w:p w14:paraId="21D34CD2" w14:textId="19EC6BE2" w:rsidR="002B0107" w:rsidRPr="00F979BE" w:rsidRDefault="002B0107" w:rsidP="002B0107">
      <w:pPr>
        <w:spacing w:line="240" w:lineRule="auto"/>
        <w:rPr>
          <w:rFonts w:ascii="Arial" w:eastAsia="Times New Roman" w:hAnsi="Arial" w:cs="Arial"/>
          <w:lang w:eastAsia="es-ES"/>
        </w:rPr>
      </w:pPr>
      <w:r w:rsidRPr="00F979BE">
        <w:rPr>
          <w:rFonts w:ascii="Arial" w:eastAsia="Times New Roman" w:hAnsi="Arial" w:cs="Arial"/>
          <w:lang w:eastAsia="es-ES"/>
        </w:rPr>
        <w:t>El resultado obtenido se presenta en l</w:t>
      </w:r>
      <w:r>
        <w:rPr>
          <w:rFonts w:ascii="Arial" w:eastAsia="Times New Roman" w:hAnsi="Arial" w:cs="Arial"/>
          <w:lang w:eastAsia="es-ES"/>
        </w:rPr>
        <w:t>a</w:t>
      </w:r>
      <w:r w:rsidRPr="00F979BE">
        <w:rPr>
          <w:rFonts w:ascii="Arial" w:eastAsia="Times New Roman" w:hAnsi="Arial" w:cs="Arial"/>
          <w:lang w:eastAsia="es-ES"/>
        </w:rPr>
        <w:t xml:space="preserve"> siguiente </w:t>
      </w:r>
      <w:r>
        <w:rPr>
          <w:rFonts w:ascii="Arial" w:eastAsia="Times New Roman" w:hAnsi="Arial" w:cs="Arial"/>
          <w:lang w:eastAsia="es-ES"/>
        </w:rPr>
        <w:t>figura</w:t>
      </w:r>
      <w:r w:rsidRPr="00F979BE">
        <w:rPr>
          <w:rFonts w:ascii="Arial" w:eastAsia="Times New Roman" w:hAnsi="Arial" w:cs="Arial"/>
          <w:lang w:eastAsia="es-ES"/>
        </w:rPr>
        <w:t>.</w:t>
      </w:r>
    </w:p>
    <w:p w14:paraId="36D831B2" w14:textId="77777777" w:rsidR="002B0107" w:rsidRDefault="002B0107" w:rsidP="002B0107">
      <w:pPr>
        <w:spacing w:after="0" w:line="240" w:lineRule="auto"/>
        <w:rPr>
          <w:rFonts w:ascii="Arial" w:eastAsia="Times New Roman" w:hAnsi="Arial" w:cs="Arial"/>
          <w:b/>
          <w:sz w:val="20"/>
          <w:szCs w:val="20"/>
          <w:lang w:eastAsia="es-ES"/>
        </w:rPr>
      </w:pPr>
    </w:p>
    <w:p w14:paraId="4236D3E7" w14:textId="6F4CB8A8" w:rsidR="002B0107" w:rsidRPr="002B0107" w:rsidRDefault="002B0107" w:rsidP="002B0107">
      <w:pPr>
        <w:spacing w:after="0" w:line="240" w:lineRule="auto"/>
        <w:rPr>
          <w:rFonts w:ascii="Arial" w:eastAsia="Times New Roman" w:hAnsi="Arial" w:cs="Arial"/>
          <w:b/>
          <w:sz w:val="20"/>
          <w:szCs w:val="20"/>
          <w:lang w:eastAsia="es-ES"/>
        </w:rPr>
      </w:pPr>
      <w:r w:rsidRPr="002B0107">
        <w:rPr>
          <w:rFonts w:ascii="Arial" w:eastAsia="Times New Roman" w:hAnsi="Arial" w:cs="Arial"/>
          <w:b/>
          <w:sz w:val="20"/>
          <w:szCs w:val="20"/>
          <w:lang w:eastAsia="es-ES"/>
        </w:rPr>
        <w:t>Figura IV-</w:t>
      </w:r>
      <w:r>
        <w:rPr>
          <w:rFonts w:ascii="Arial" w:eastAsia="Times New Roman" w:hAnsi="Arial" w:cs="Arial"/>
          <w:b/>
          <w:sz w:val="20"/>
          <w:szCs w:val="20"/>
          <w:lang w:eastAsia="es-ES"/>
        </w:rPr>
        <w:t>7</w:t>
      </w:r>
      <w:r w:rsidRPr="002B0107">
        <w:rPr>
          <w:rFonts w:ascii="Arial" w:eastAsia="Times New Roman" w:hAnsi="Arial" w:cs="Arial"/>
          <w:b/>
          <w:sz w:val="20"/>
          <w:szCs w:val="20"/>
          <w:lang w:eastAsia="es-ES"/>
        </w:rPr>
        <w:t>. VAC de ambas alternativas en simulación de riesgo. Valores en miles de USD.</w:t>
      </w:r>
    </w:p>
    <w:p w14:paraId="4C6C26EC" w14:textId="77777777" w:rsidR="002B0107" w:rsidRPr="00F979BE" w:rsidRDefault="002B0107" w:rsidP="002B0107">
      <w:pPr>
        <w:spacing w:after="0" w:line="240" w:lineRule="auto"/>
        <w:rPr>
          <w:rFonts w:ascii="Arial" w:eastAsia="Times New Roman" w:hAnsi="Arial" w:cs="Arial"/>
          <w:lang w:eastAsia="es-ES"/>
        </w:rPr>
      </w:pPr>
      <w:r w:rsidRPr="00F979BE">
        <w:rPr>
          <w:rFonts w:ascii="Arial" w:eastAsia="Times New Roman" w:hAnsi="Arial" w:cs="Arial"/>
          <w:noProof/>
          <w:lang w:eastAsia="es-AR"/>
        </w:rPr>
        <w:drawing>
          <wp:inline distT="0" distB="0" distL="0" distR="0" wp14:anchorId="30CAE11E" wp14:editId="722B162F">
            <wp:extent cx="5400040" cy="3285400"/>
            <wp:effectExtent l="19050" t="19050" r="10160" b="10795"/>
            <wp:docPr id="310"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400040" cy="3285400"/>
                    </a:xfrm>
                    <a:prstGeom prst="rect">
                      <a:avLst/>
                    </a:prstGeom>
                    <a:noFill/>
                    <a:ln>
                      <a:solidFill>
                        <a:sysClr val="windowText" lastClr="000000"/>
                      </a:solidFill>
                    </a:ln>
                  </pic:spPr>
                </pic:pic>
              </a:graphicData>
            </a:graphic>
          </wp:inline>
        </w:drawing>
      </w:r>
    </w:p>
    <w:p w14:paraId="6C1E1C0D" w14:textId="77777777" w:rsidR="002B0107" w:rsidRPr="003E065D" w:rsidRDefault="002B0107" w:rsidP="002B0107">
      <w:pPr>
        <w:spacing w:line="240" w:lineRule="auto"/>
        <w:rPr>
          <w:rFonts w:ascii="Arial" w:hAnsi="Arial" w:cs="Arial"/>
          <w:b/>
        </w:rPr>
      </w:pPr>
      <w:r w:rsidRPr="003E065D">
        <w:rPr>
          <w:rFonts w:ascii="Arial" w:hAnsi="Arial" w:cs="Arial"/>
          <w:b/>
        </w:rPr>
        <w:t xml:space="preserve">Según se aprecia, las distribuciones de valores actuales de costos se mantienen diferencias de entre </w:t>
      </w:r>
      <w:r>
        <w:rPr>
          <w:rFonts w:ascii="Arial" w:hAnsi="Arial" w:cs="Arial"/>
          <w:b/>
        </w:rPr>
        <w:t>331,5</w:t>
      </w:r>
      <w:r w:rsidRPr="003E065D">
        <w:rPr>
          <w:rFonts w:ascii="Arial" w:hAnsi="Arial" w:cs="Arial"/>
          <w:b/>
        </w:rPr>
        <w:t xml:space="preserve"> millones de dólares y </w:t>
      </w:r>
      <w:r>
        <w:rPr>
          <w:rFonts w:ascii="Arial" w:hAnsi="Arial" w:cs="Arial"/>
          <w:b/>
        </w:rPr>
        <w:t>154,6</w:t>
      </w:r>
      <w:r w:rsidRPr="003E065D">
        <w:rPr>
          <w:rFonts w:ascii="Arial" w:hAnsi="Arial" w:cs="Arial"/>
          <w:b/>
        </w:rPr>
        <w:t xml:space="preserve"> millones de dólares a precios de cuenta ante la variación conjunta y aleatoria de las variables consideradas, lo que indica la alternativa </w:t>
      </w:r>
      <w:r>
        <w:rPr>
          <w:rFonts w:ascii="Arial" w:hAnsi="Arial" w:cs="Arial"/>
          <w:b/>
        </w:rPr>
        <w:t>de tratamiento por dilución</w:t>
      </w:r>
      <w:r w:rsidRPr="003E065D">
        <w:rPr>
          <w:rFonts w:ascii="Arial" w:hAnsi="Arial" w:cs="Arial"/>
          <w:b/>
        </w:rPr>
        <w:t xml:space="preserve"> se mantiene consistentemente como la de Mínimo Costo. </w:t>
      </w:r>
    </w:p>
    <w:p w14:paraId="5A270346" w14:textId="77777777" w:rsidR="002B0107" w:rsidRDefault="002B0107" w:rsidP="002B0107">
      <w:pPr>
        <w:spacing w:before="240" w:after="60" w:line="360" w:lineRule="auto"/>
        <w:rPr>
          <w:rFonts w:ascii="Arial" w:eastAsia="Times New Roman" w:hAnsi="Arial" w:cs="Arial"/>
          <w:lang w:eastAsia="es-ES"/>
        </w:rPr>
      </w:pPr>
    </w:p>
    <w:p w14:paraId="21804B63" w14:textId="77777777" w:rsidR="00A95DF9" w:rsidRPr="009C787B" w:rsidRDefault="00A95DF9" w:rsidP="0087147E">
      <w:pPr>
        <w:spacing w:before="240" w:line="360" w:lineRule="auto"/>
      </w:pPr>
    </w:p>
    <w:p w14:paraId="51D8E19E" w14:textId="77777777" w:rsidR="00A95DF9" w:rsidRDefault="00A95DF9" w:rsidP="0087147E">
      <w:pPr>
        <w:spacing w:line="360" w:lineRule="auto"/>
      </w:pPr>
    </w:p>
    <w:p w14:paraId="08543D46" w14:textId="77777777" w:rsidR="00A95DF9" w:rsidRPr="00853255" w:rsidRDefault="00A95DF9" w:rsidP="0087147E">
      <w:pPr>
        <w:spacing w:line="360" w:lineRule="auto"/>
        <w:sectPr w:rsidR="00A95DF9" w:rsidRPr="00853255" w:rsidSect="0087147E">
          <w:headerReference w:type="even" r:id="rId162"/>
          <w:headerReference w:type="default" r:id="rId163"/>
          <w:footerReference w:type="even" r:id="rId164"/>
          <w:footerReference w:type="default" r:id="rId165"/>
          <w:headerReference w:type="first" r:id="rId166"/>
          <w:footerReference w:type="first" r:id="rId167"/>
          <w:pgSz w:w="11907" w:h="16839" w:code="9"/>
          <w:pgMar w:top="1985" w:right="1701" w:bottom="1276" w:left="1701" w:header="709" w:footer="264" w:gutter="0"/>
          <w:cols w:space="708"/>
          <w:docGrid w:linePitch="360"/>
        </w:sectPr>
      </w:pPr>
    </w:p>
    <w:p w14:paraId="5CE623C2" w14:textId="77777777" w:rsidR="00A759D5" w:rsidRDefault="00A759D5" w:rsidP="00F5783E">
      <w:pPr>
        <w:pStyle w:val="Heading1"/>
      </w:pPr>
      <w:bookmarkStart w:id="363" w:name="_Toc485200217"/>
      <w:r w:rsidRPr="0005555A">
        <w:t xml:space="preserve">Anexo </w:t>
      </w:r>
      <w:r>
        <w:t>1</w:t>
      </w:r>
      <w:r w:rsidRPr="0005555A">
        <w:t>: Metodología de análisis socioeconómico.</w:t>
      </w:r>
      <w:bookmarkEnd w:id="363"/>
    </w:p>
    <w:p w14:paraId="03F6ADBC" w14:textId="77777777" w:rsidR="00A759D5" w:rsidRDefault="00A759D5" w:rsidP="00A759D5"/>
    <w:p w14:paraId="2973BA1F" w14:textId="77777777" w:rsidR="00A759D5" w:rsidRDefault="00A759D5" w:rsidP="00C4100D">
      <w:pPr>
        <w:pStyle w:val="Heading1"/>
        <w:numPr>
          <w:ilvl w:val="0"/>
          <w:numId w:val="14"/>
        </w:numPr>
      </w:pPr>
      <w:bookmarkStart w:id="364" w:name="_Toc204009924"/>
      <w:bookmarkStart w:id="365" w:name="_Toc204097220"/>
      <w:bookmarkStart w:id="366" w:name="_Toc204144272"/>
      <w:bookmarkStart w:id="367" w:name="_Toc204269164"/>
      <w:bookmarkStart w:id="368" w:name="_Toc204652617"/>
      <w:bookmarkStart w:id="369" w:name="_Toc205030411"/>
      <w:bookmarkStart w:id="370" w:name="_Toc205044570"/>
      <w:bookmarkStart w:id="371" w:name="_Toc205117514"/>
      <w:bookmarkStart w:id="372" w:name="_Toc300831355"/>
      <w:bookmarkStart w:id="373" w:name="_Toc450320434"/>
      <w:bookmarkStart w:id="374" w:name="_Toc479892513"/>
      <w:bookmarkStart w:id="375" w:name="_Toc480206489"/>
      <w:bookmarkStart w:id="376" w:name="_Toc484985151"/>
      <w:bookmarkStart w:id="377" w:name="_Toc485027036"/>
      <w:bookmarkStart w:id="378" w:name="_Toc485200218"/>
      <w:r>
        <w:t>Introducción</w:t>
      </w:r>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p>
    <w:p w14:paraId="57B81346" w14:textId="77777777" w:rsidR="00A759D5" w:rsidRDefault="00A759D5" w:rsidP="00A759D5">
      <w:r>
        <w:t>El análisis socioeconómico de una población determinada es una tarea compleja y requiere adoptar una serie de definiciones de orden metodológico a efectos de obtener resultados útiles, reproducibles y comparables.</w:t>
      </w:r>
    </w:p>
    <w:p w14:paraId="4BC8405E" w14:textId="77777777" w:rsidR="00A759D5" w:rsidRPr="00A16AE9" w:rsidRDefault="00A759D5" w:rsidP="00A759D5">
      <w:r w:rsidRPr="00A16AE9">
        <w:t>En el marco de este trabajo se privilegia la utilización del hogar como unidad de observación para los fenó</w:t>
      </w:r>
      <w:r>
        <w:t>menos de naturaleza socioeconómica</w:t>
      </w:r>
      <w:r w:rsidRPr="00A16AE9">
        <w:t xml:space="preserve"> por considerarlo el ámbito natural de decisión e implementación de las estrategias familiares de vida principalmente en lo relativo a la reproducción biológica, distribución de tareas, y otros aspectos de sus condiciones materiales y no materiales de existencia. En el caso de los indicadores directos las observaciones se realizan en general para el hogar con asiento en una vivienda. Para el caso de los indicadores indirectos, basados en ingresos corrientes, si bien la unidad de observación es el hogar, los ingresos a evaluar serán los correspondientes al ingreso por adulto equivalente del hogar, entendiendo que ésta es la mejor aproximació</w:t>
      </w:r>
      <w:r>
        <w:t>n al bienestar del mismo</w:t>
      </w:r>
      <w:r w:rsidRPr="00A16AE9">
        <w:t>.</w:t>
      </w:r>
    </w:p>
    <w:p w14:paraId="5C5A2B1E" w14:textId="77777777" w:rsidR="00A759D5" w:rsidRDefault="00A759D5" w:rsidP="00A759D5">
      <w:r>
        <w:t>En el presente anexo metodológico se describen los indicadores utilizados para el análisis socioeconómico de las poblaciones beneficiarias del proyecto. Con este objetivo se detallan a continuación los indicadores seleccionados para el análisis.</w:t>
      </w:r>
    </w:p>
    <w:p w14:paraId="0A34F6FE" w14:textId="77777777" w:rsidR="00A759D5" w:rsidRDefault="00A759D5" w:rsidP="00A759D5"/>
    <w:p w14:paraId="2CF420A0" w14:textId="77777777" w:rsidR="00A759D5" w:rsidRPr="00C90419" w:rsidRDefault="00A759D5" w:rsidP="00C4100D">
      <w:pPr>
        <w:pStyle w:val="Heading1"/>
        <w:numPr>
          <w:ilvl w:val="0"/>
          <w:numId w:val="13"/>
        </w:numPr>
      </w:pPr>
      <w:bookmarkStart w:id="379" w:name="_Toc204009925"/>
      <w:bookmarkStart w:id="380" w:name="_Toc204097221"/>
      <w:bookmarkStart w:id="381" w:name="_Toc204144273"/>
      <w:bookmarkStart w:id="382" w:name="_Toc204269165"/>
      <w:bookmarkStart w:id="383" w:name="_Toc204652618"/>
      <w:bookmarkStart w:id="384" w:name="_Toc205030412"/>
      <w:bookmarkStart w:id="385" w:name="_Toc205044571"/>
      <w:bookmarkStart w:id="386" w:name="_Toc205117515"/>
      <w:bookmarkStart w:id="387" w:name="_Toc300831356"/>
      <w:bookmarkStart w:id="388" w:name="_Toc450205732"/>
      <w:bookmarkStart w:id="389" w:name="_Toc450320435"/>
      <w:bookmarkStart w:id="390" w:name="_Toc479892514"/>
      <w:bookmarkStart w:id="391" w:name="_Toc480206490"/>
      <w:bookmarkStart w:id="392" w:name="_Toc484985152"/>
      <w:bookmarkStart w:id="393" w:name="_Toc485027037"/>
      <w:bookmarkStart w:id="394" w:name="_Toc485200219"/>
      <w:r w:rsidRPr="00C90419">
        <w:t>Estratificación socioeconómica – Datos censales.</w:t>
      </w:r>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p>
    <w:p w14:paraId="2C94765D" w14:textId="77777777" w:rsidR="00A759D5" w:rsidRPr="005F1544" w:rsidRDefault="00A759D5" w:rsidP="00A759D5">
      <w:r>
        <w:t>La información censal no provee datos del ingreso de los hogares, sin embargo a partir del relevamiento de otras variables es posible inferir las condiciones de vida y otros aspectos de carácter económico social. A tal efecto se recurre al cálculo y utilización del “Índice de Privación Material de los Hogares” (IPMH) y en particular de su componente “Capacidad Económica” (CAPECO).</w:t>
      </w:r>
    </w:p>
    <w:p w14:paraId="568D9843" w14:textId="77777777" w:rsidR="00A759D5" w:rsidRPr="00397E13" w:rsidRDefault="00A759D5" w:rsidP="00A759D5">
      <w:r>
        <w:t>El IPMH</w:t>
      </w:r>
      <w:r w:rsidRPr="00397E13">
        <w:t xml:space="preserve"> ha sido formulado en el ámbito de la investigación de nuevas metodologías para el estudio de la pobreza con datos censales desarrollada por el INDEC a partir del Censo 2001 como una alternativa de mayor poder descriptivo a la metodología de NBI.</w:t>
      </w:r>
    </w:p>
    <w:p w14:paraId="11173150" w14:textId="77777777" w:rsidR="00A759D5" w:rsidRPr="00397E13" w:rsidRDefault="00A759D5" w:rsidP="00A759D5">
      <w:r w:rsidRPr="00397E13">
        <w:t xml:space="preserve">Para la construcción del IPMH se utilizan dos indicadores complejos, uno enfocado en el patrimonio del hogar (stock de riqueza) y otro enfocado en los recursos corrientes (flujo de ingresos). Para aproximarse al patrimonio de los hogares, se elabora un indicador de las condiciones habitacionales del hogar (CONDHAB) dado que la vivienda es un bien cuyo disfrute depende usualmente de la acumulación exitosa y sostenida, permitiendo inferir su situación patrimonial. Este primer indicador se elabora a partir de las características de los materiales constructivos (pisos, techos y cielorraso) y de la infraestructura sanitaria que posee la vivienda (inodoro con descarga de agua). Se consideran hogares con privación patrimonial a aquellos que habiten en viviendas que: tengan piso de tierra o techos de material de desecho o de chapa de metal/fibrocemento sin cielorraso o no dispongan de inodoro con descarga de agua. </w:t>
      </w:r>
    </w:p>
    <w:p w14:paraId="41CB7DEA" w14:textId="77777777" w:rsidR="00A759D5" w:rsidRPr="00397E13" w:rsidRDefault="00A759D5" w:rsidP="00A759D5">
      <w:r w:rsidRPr="00397E13">
        <w:t xml:space="preserve">La segunda dimensión (recursos corrientes del hogar), se capta a través de un indicador de la capacidad económica del hogar (CAPECO), concebido como una aproximación a la insuficiencia de ingresos. </w:t>
      </w:r>
    </w:p>
    <w:p w14:paraId="36AA4829" w14:textId="77777777" w:rsidR="00A759D5" w:rsidRPr="00397E13" w:rsidRDefault="00A759D5" w:rsidP="00A759D5">
      <w:r w:rsidRPr="00397E13">
        <w:t>CAPECO se construye a partir de la relación entre la cantidad de años de educación formal aprobados de los perceptores de ingresos y la cantidad total de miembros en el hogar; el indicador expresa la inversa de una tasa de dependencia ponderada por los años de escolaridad que tienen los integrantes que están ocupados o que perciben una pensión o jubilación. Su formulación se expresa de la siguiente manera:</w:t>
      </w:r>
    </w:p>
    <w:p w14:paraId="3D9F11AE" w14:textId="77777777" w:rsidR="00A759D5" w:rsidRPr="00397E13" w:rsidRDefault="00A759D5" w:rsidP="00A759D5">
      <w:r w:rsidRPr="00397E13">
        <w:t xml:space="preserve"> </w:t>
      </w:r>
      <w:r>
        <w:rPr>
          <w:position w:val="-60"/>
        </w:rPr>
        <w:object w:dxaOrig="2780" w:dyaOrig="1320" w14:anchorId="63F92895">
          <v:shape id="_x0000_i1030" type="#_x0000_t75" style="width:138.6pt;height:66pt" o:ole="">
            <v:imagedata r:id="rId168" o:title=""/>
          </v:shape>
          <o:OLEObject Type="Embed" ProgID="Equation.3" ShapeID="_x0000_i1030" DrawAspect="Content" ObjectID="_1560797565" r:id="rId169"/>
        </w:object>
      </w:r>
    </w:p>
    <w:p w14:paraId="1A761050" w14:textId="77777777" w:rsidR="00A759D5" w:rsidRPr="00397E13" w:rsidRDefault="00A759D5" w:rsidP="00A759D5">
      <w:r>
        <w:t>Dó</w:t>
      </w:r>
      <w:r w:rsidRPr="00397E13">
        <w:t>nde:</w:t>
      </w:r>
    </w:p>
    <w:p w14:paraId="3E5C8735" w14:textId="77777777" w:rsidR="00A759D5" w:rsidRDefault="00A759D5" w:rsidP="00A759D5">
      <w:pPr>
        <w:ind w:left="708"/>
        <w:rPr>
          <w:rFonts w:ascii="MS Gothic" w:eastAsia="MS Gothic" w:hAnsi="MS Gothic" w:cs="MS Gothic"/>
        </w:rPr>
      </w:pPr>
      <w:r w:rsidRPr="00397E13">
        <w:rPr>
          <w:rFonts w:cs="Arial"/>
        </w:rPr>
        <w:t>CP: Condición de perceptor (Ver tabla en apéndice metodológico)</w:t>
      </w:r>
    </w:p>
    <w:p w14:paraId="7EBBD44B" w14:textId="77777777" w:rsidR="00A759D5" w:rsidRPr="00397E13" w:rsidRDefault="00A759D5" w:rsidP="00A759D5">
      <w:pPr>
        <w:ind w:left="708"/>
        <w:rPr>
          <w:rFonts w:ascii="MS Gothic" w:eastAsia="MS Gothic" w:hAnsi="MS Gothic" w:cs="MS Gothic"/>
        </w:rPr>
      </w:pPr>
      <w:r w:rsidRPr="00397E13">
        <w:rPr>
          <w:rFonts w:cs="Arial"/>
        </w:rPr>
        <w:t>VAE: Valor de los años de escolaridad aprobados en el sistema de enseñanza formal.</w:t>
      </w:r>
    </w:p>
    <w:p w14:paraId="06CC2B80" w14:textId="77777777" w:rsidR="00A759D5" w:rsidRPr="00397E13" w:rsidRDefault="00A759D5" w:rsidP="00A759D5">
      <w:pPr>
        <w:ind w:left="708"/>
      </w:pPr>
      <w:r w:rsidRPr="00397E13">
        <w:rPr>
          <w:rFonts w:cs="Arial"/>
        </w:rPr>
        <w:t>Aeq: Valor en unidades de adulto equ</w:t>
      </w:r>
      <w:r w:rsidRPr="00397E13">
        <w:t>ivalente de cada integrante del hogar.</w:t>
      </w:r>
    </w:p>
    <w:p w14:paraId="61AD707D" w14:textId="77777777" w:rsidR="00A759D5" w:rsidRPr="00397E13" w:rsidRDefault="00A759D5" w:rsidP="00A759D5">
      <w:pPr>
        <w:ind w:left="708"/>
        <w:rPr>
          <w:rFonts w:ascii="MS Gothic" w:eastAsia="MS Gothic" w:hAnsi="MS Gothic" w:cs="MS Gothic"/>
        </w:rPr>
      </w:pPr>
      <w:r w:rsidRPr="00397E13">
        <w:rPr>
          <w:rFonts w:cs="Arial"/>
        </w:rPr>
        <w:t xml:space="preserve">n: Número de miembros del hogar </w:t>
      </w:r>
    </w:p>
    <w:p w14:paraId="55C164F1" w14:textId="77777777" w:rsidR="00A759D5" w:rsidRPr="00397E13" w:rsidRDefault="00A759D5" w:rsidP="00A759D5">
      <w:r w:rsidRPr="00397E13">
        <w:t>Como resultado se obtiene un indicador numérico continuo que varía entre cero (cuando no hay ningún perceptor de ingresos en el hogar o los perceptores no tienen educación formal) y un valor máximo que depende de la extensión del sistema de educación formal vigente.</w:t>
      </w:r>
    </w:p>
    <w:p w14:paraId="774A6337" w14:textId="77777777" w:rsidR="00A759D5" w:rsidRDefault="00A759D5" w:rsidP="00A759D5">
      <w:r w:rsidRPr="00397E13">
        <w:t>El fundamento conceptual que sostiene la validez de este indicador reside en dos aspectos: por una parte la estrecha relación que guarda la educación con los ingresos de las personas y por otra parte el supuesto de que la combinación de altas tasas de dependencia con bajos niveles de educación en el hogar, resultan en insuficiencia de ingresos para atender las</w:t>
      </w:r>
      <w:r>
        <w:t xml:space="preserve"> necesidades de sus integrantes</w:t>
      </w:r>
      <w:r w:rsidRPr="00397E13">
        <w:t>.</w:t>
      </w:r>
    </w:p>
    <w:p w14:paraId="7BCD23DF" w14:textId="77777777" w:rsidR="00A759D5" w:rsidRPr="00E16BF8" w:rsidRDefault="00A759D5" w:rsidP="00A759D5">
      <w:r w:rsidRPr="00E16BF8">
        <w:t>La combinación de estas dos dimensiones (situación patrimonial y capacidad económica) define cuatro grupos de hogares: aquellos que no tienen ningún tipo de privación y tres grupos diferenciados según el tipo de privación que presentan: sólo de recursos corrientes, sólo patrimonial y convergente. En el siguiente esquema se grafican las dos dimensiones consideradas en la construcción del IPMH.</w:t>
      </w:r>
    </w:p>
    <w:p w14:paraId="07E61BA0" w14:textId="77777777" w:rsidR="00A759D5" w:rsidRDefault="00A759D5" w:rsidP="00A759D5">
      <w:pPr>
        <w:pStyle w:val="CuadrosyTablas"/>
      </w:pPr>
    </w:p>
    <w:p w14:paraId="00F04503" w14:textId="77777777" w:rsidR="00A759D5" w:rsidRDefault="00A759D5" w:rsidP="00A759D5">
      <w:pPr>
        <w:pStyle w:val="Caption"/>
      </w:pPr>
      <w:r>
        <w:t xml:space="preserve">Ilustración </w:t>
      </w:r>
      <w:r w:rsidR="005C1A74">
        <w:fldChar w:fldCharType="begin"/>
      </w:r>
      <w:r w:rsidR="005C1A74">
        <w:instrText xml:space="preserve"> SEQ Ilustración \* ARABIC </w:instrText>
      </w:r>
      <w:r w:rsidR="005C1A74">
        <w:fldChar w:fldCharType="separate"/>
      </w:r>
      <w:r>
        <w:rPr>
          <w:noProof/>
        </w:rPr>
        <w:t>15</w:t>
      </w:r>
      <w:r w:rsidR="005C1A74">
        <w:rPr>
          <w:noProof/>
        </w:rPr>
        <w:fldChar w:fldCharType="end"/>
      </w:r>
      <w:r>
        <w:t xml:space="preserve">: </w:t>
      </w:r>
      <w:r w:rsidRPr="00FB620C">
        <w:t>Construcción del IPMH</w:t>
      </w:r>
    </w:p>
    <w:p w14:paraId="1C9423B6" w14:textId="77777777" w:rsidR="00A759D5" w:rsidRPr="00E16BF8" w:rsidRDefault="00A759D5" w:rsidP="00A759D5">
      <w:pPr>
        <w:pStyle w:val="CuadrosyTablas"/>
      </w:pPr>
      <w:r>
        <w:rPr>
          <w:noProof/>
          <w:lang w:eastAsia="es-AR"/>
        </w:rPr>
        <w:drawing>
          <wp:inline distT="0" distB="0" distL="0" distR="0" wp14:anchorId="36C62DE3" wp14:editId="6BDB25C5">
            <wp:extent cx="2679700" cy="2345690"/>
            <wp:effectExtent l="0" t="0" r="635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679700" cy="2345690"/>
                    </a:xfrm>
                    <a:prstGeom prst="rect">
                      <a:avLst/>
                    </a:prstGeom>
                    <a:noFill/>
                    <a:ln>
                      <a:noFill/>
                    </a:ln>
                  </pic:spPr>
                </pic:pic>
              </a:graphicData>
            </a:graphic>
          </wp:inline>
        </w:drawing>
      </w:r>
    </w:p>
    <w:p w14:paraId="7A2AC99E" w14:textId="77777777" w:rsidR="00A759D5" w:rsidRDefault="00A759D5" w:rsidP="00A759D5"/>
    <w:p w14:paraId="5685A932" w14:textId="77777777" w:rsidR="00A759D5" w:rsidRPr="00E16BF8" w:rsidRDefault="00A759D5" w:rsidP="00A759D5">
      <w:r w:rsidRPr="00E16BF8">
        <w:t>Para dar cuenta de la imagen global de la pobreza, la metodología proporciona tres medidas. Con ellas se describe cuántos son los hogares con privación, cómo son y cuán grave es la situación que presentan.</w:t>
      </w:r>
    </w:p>
    <w:p w14:paraId="60B8CFE2" w14:textId="77777777" w:rsidR="00A759D5" w:rsidRPr="00E16BF8" w:rsidRDefault="00A759D5" w:rsidP="00A759D5">
      <w:r w:rsidRPr="00E16BF8">
        <w:t>La incidencia (I) responde la pregunta sobre magnitud del fenómeno. Se define como la suma de los hogares con algún tipo de privación, sea sólo de recursos corrientes (PR), sólo patrimonial (PP) o convergente (PC) sobre el total de hogares (N).</w:t>
      </w:r>
    </w:p>
    <w:p w14:paraId="2D0C0072" w14:textId="77777777" w:rsidR="00A759D5" w:rsidRPr="00E16BF8" w:rsidRDefault="00A759D5" w:rsidP="00A759D5">
      <w:r w:rsidRPr="00E16BF8">
        <w:t xml:space="preserve"> </w:t>
      </w:r>
      <w:r>
        <w:rPr>
          <w:position w:val="-24"/>
        </w:rPr>
        <w:object w:dxaOrig="2420" w:dyaOrig="620" w14:anchorId="6896BDC2">
          <v:shape id="_x0000_i1031" type="#_x0000_t75" style="width:120.6pt;height:31.2pt" o:ole="">
            <v:imagedata r:id="rId171" o:title=""/>
          </v:shape>
          <o:OLEObject Type="Embed" ProgID="Equation.3" ShapeID="_x0000_i1031" DrawAspect="Content" ObjectID="_1560797566" r:id="rId172"/>
        </w:object>
      </w:r>
    </w:p>
    <w:p w14:paraId="4079EC1B" w14:textId="77777777" w:rsidR="00A759D5" w:rsidRPr="00E16BF8" w:rsidRDefault="00A759D5" w:rsidP="00A759D5">
      <w:r w:rsidRPr="00E16BF8">
        <w:t>La medida que refiere a la intensidad (INT), da cuenta del peso relativo de los hogares con privación convergente sobre el total de hogares con privación expresando cuán grave es la pobreza.</w:t>
      </w:r>
    </w:p>
    <w:p w14:paraId="2063A7B8" w14:textId="77777777" w:rsidR="00A759D5" w:rsidRPr="00E16BF8" w:rsidRDefault="00A759D5" w:rsidP="00A759D5">
      <w:r w:rsidRPr="00E16BF8">
        <w:t xml:space="preserve"> </w:t>
      </w:r>
      <w:r>
        <w:rPr>
          <w:position w:val="-24"/>
        </w:rPr>
        <w:object w:dxaOrig="2700" w:dyaOrig="620" w14:anchorId="79FAAF50">
          <v:shape id="_x0000_i1032" type="#_x0000_t75" style="width:135pt;height:31.2pt" o:ole="">
            <v:imagedata r:id="rId173" o:title=""/>
          </v:shape>
          <o:OLEObject Type="Embed" ProgID="Equation.3" ShapeID="_x0000_i1032" DrawAspect="Content" ObjectID="_1560797567" r:id="rId174"/>
        </w:object>
      </w:r>
    </w:p>
    <w:p w14:paraId="2A260481" w14:textId="77777777" w:rsidR="00A759D5" w:rsidRPr="00E16BF8" w:rsidRDefault="00A759D5" w:rsidP="00A759D5">
      <w:r w:rsidRPr="00E16BF8">
        <w:t>La medida de composición que refleja el tipo de privación que predomina en un área determinada es la razón de privación de recursos corrientes (RPRC), indicando cuántos hogares con privación de recursos corrientes hay por cada cien hogares con privación patrimonial. Si esta medida se aproxima a 100, la composición de la pobreza es totalmente heterogénea (hay 100 hogares con privación de un tipo, por cada 100 con privación del otro). En cambio, cuando se presentan valores inferiores a 100 predomina la privación patrimonial y con superiores la de recursos corrientes.</w:t>
      </w:r>
    </w:p>
    <w:p w14:paraId="0F87875B" w14:textId="77777777" w:rsidR="00A759D5" w:rsidRDefault="00A759D5" w:rsidP="00A759D5">
      <w:pPr>
        <w:pBdr>
          <w:bottom w:val="dotted" w:sz="24" w:space="1" w:color="auto"/>
        </w:pBdr>
      </w:pPr>
      <w:r>
        <w:rPr>
          <w:position w:val="-24"/>
        </w:rPr>
        <w:object w:dxaOrig="2380" w:dyaOrig="620" w14:anchorId="21248939">
          <v:shape id="_x0000_i1033" type="#_x0000_t75" style="width:119.4pt;height:31.2pt" o:ole="">
            <v:imagedata r:id="rId175" o:title=""/>
          </v:shape>
          <o:OLEObject Type="Embed" ProgID="Equation.3" ShapeID="_x0000_i1033" DrawAspect="Content" ObjectID="_1560797568" r:id="rId176"/>
        </w:object>
      </w:r>
    </w:p>
    <w:p w14:paraId="5D607444" w14:textId="77777777" w:rsidR="00A759D5" w:rsidRPr="00E16BF8" w:rsidRDefault="00A759D5" w:rsidP="00A759D5">
      <w:pPr>
        <w:pBdr>
          <w:bottom w:val="dotted" w:sz="24" w:space="1" w:color="auto"/>
        </w:pBdr>
      </w:pPr>
    </w:p>
    <w:p w14:paraId="5859361C" w14:textId="77777777" w:rsidR="00A759D5" w:rsidRDefault="00A759D5" w:rsidP="00A759D5"/>
    <w:p w14:paraId="717DAF1A" w14:textId="77777777" w:rsidR="00A759D5" w:rsidRDefault="00A759D5" w:rsidP="00A759D5">
      <w:r>
        <w:t xml:space="preserve">En el análisis desarrollado para la evaluación del proyecto se considerará el número de hogares en cada una de las situaciones definidas para el IPMH a nivel de radio censal. Adicionalmente se calcula el indicador CAPECO medio para el radio censal, clasificando con el valor obtenido a la totalidad de los hogares que habitan el área de análisis. A efectos que el mismo sirva de instrumento de estratificación social se han definido cinco rangos de valores para el indicador según el detalle de la </w:t>
      </w:r>
      <w:r>
        <w:fldChar w:fldCharType="begin"/>
      </w:r>
      <w:r>
        <w:instrText xml:space="preserve"> REF _Ref479881022 \h </w:instrText>
      </w:r>
      <w:r>
        <w:fldChar w:fldCharType="separate"/>
      </w:r>
      <w:r>
        <w:t xml:space="preserve">Tabla </w:t>
      </w:r>
      <w:r>
        <w:rPr>
          <w:noProof/>
        </w:rPr>
        <w:t>39</w:t>
      </w:r>
      <w:r>
        <w:fldChar w:fldCharType="end"/>
      </w:r>
      <w:r>
        <w:t>, en el que también se muestra el número total de hogares clasificados para el área metropolitana de Buenos Aires.</w:t>
      </w:r>
    </w:p>
    <w:p w14:paraId="7DB37DF7" w14:textId="77777777" w:rsidR="00A759D5" w:rsidRDefault="00A759D5" w:rsidP="00A759D5">
      <w:pPr>
        <w:pStyle w:val="Caption"/>
      </w:pPr>
      <w:bookmarkStart w:id="395" w:name="_Ref479881022"/>
      <w:r>
        <w:t xml:space="preserve">Tabla </w:t>
      </w:r>
      <w:r w:rsidR="005C1A74">
        <w:fldChar w:fldCharType="begin"/>
      </w:r>
      <w:r w:rsidR="005C1A74">
        <w:instrText xml:space="preserve"> SEQ Tabla \* ARABIC </w:instrText>
      </w:r>
      <w:r w:rsidR="005C1A74">
        <w:fldChar w:fldCharType="separate"/>
      </w:r>
      <w:r>
        <w:rPr>
          <w:noProof/>
        </w:rPr>
        <w:t>39</w:t>
      </w:r>
      <w:r w:rsidR="005C1A74">
        <w:rPr>
          <w:noProof/>
        </w:rPr>
        <w:fldChar w:fldCharType="end"/>
      </w:r>
      <w:bookmarkEnd w:id="395"/>
      <w:r>
        <w:t xml:space="preserve">: </w:t>
      </w:r>
      <w:r w:rsidRPr="00FD3A3B">
        <w:t>Estratificación índice CAPECO por radio censal.</w:t>
      </w:r>
    </w:p>
    <w:p w14:paraId="69F460F1" w14:textId="77777777" w:rsidR="00A759D5" w:rsidRDefault="00A759D5" w:rsidP="00A759D5">
      <w:pPr>
        <w:pStyle w:val="CuadrosyTablas"/>
      </w:pPr>
      <w:r w:rsidRPr="00563620">
        <w:rPr>
          <w:noProof/>
          <w:lang w:eastAsia="es-AR"/>
        </w:rPr>
        <w:drawing>
          <wp:inline distT="0" distB="0" distL="0" distR="0" wp14:anchorId="5144DB45" wp14:editId="599CC4B3">
            <wp:extent cx="4612005" cy="1534795"/>
            <wp:effectExtent l="0" t="0" r="0" b="825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612005" cy="1534795"/>
                    </a:xfrm>
                    <a:prstGeom prst="rect">
                      <a:avLst/>
                    </a:prstGeom>
                    <a:noFill/>
                    <a:ln>
                      <a:noFill/>
                    </a:ln>
                  </pic:spPr>
                </pic:pic>
              </a:graphicData>
            </a:graphic>
          </wp:inline>
        </w:drawing>
      </w:r>
    </w:p>
    <w:p w14:paraId="5F37F343" w14:textId="77777777" w:rsidR="00A759D5" w:rsidRDefault="00A759D5" w:rsidP="00A759D5"/>
    <w:p w14:paraId="007C38E5" w14:textId="77777777" w:rsidR="00A759D5" w:rsidRPr="00C90419" w:rsidRDefault="00A759D5" w:rsidP="00C4100D">
      <w:pPr>
        <w:pStyle w:val="Heading1"/>
        <w:numPr>
          <w:ilvl w:val="0"/>
          <w:numId w:val="13"/>
        </w:numPr>
      </w:pPr>
      <w:bookmarkStart w:id="396" w:name="_Toc204009926"/>
      <w:bookmarkStart w:id="397" w:name="_Toc204097222"/>
      <w:bookmarkStart w:id="398" w:name="_Toc204144274"/>
      <w:bookmarkStart w:id="399" w:name="_Toc204269166"/>
      <w:bookmarkStart w:id="400" w:name="_Toc204652619"/>
      <w:bookmarkStart w:id="401" w:name="_Toc205030413"/>
      <w:bookmarkStart w:id="402" w:name="_Toc205044572"/>
      <w:bookmarkStart w:id="403" w:name="_Toc205117516"/>
      <w:bookmarkStart w:id="404" w:name="_Toc300831357"/>
      <w:bookmarkStart w:id="405" w:name="_Toc450205733"/>
      <w:bookmarkStart w:id="406" w:name="_Toc450320436"/>
      <w:bookmarkStart w:id="407" w:name="_Toc479892515"/>
      <w:bookmarkStart w:id="408" w:name="_Toc480206491"/>
      <w:bookmarkStart w:id="409" w:name="_Toc484985153"/>
      <w:bookmarkStart w:id="410" w:name="_Toc485027038"/>
      <w:bookmarkStart w:id="411" w:name="_Toc485200220"/>
      <w:r w:rsidRPr="00C90419">
        <w:t>Caracterización social – Datos Censales.</w:t>
      </w:r>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p>
    <w:p w14:paraId="389F5DB8" w14:textId="77777777" w:rsidR="00A759D5" w:rsidRDefault="00A759D5" w:rsidP="00A759D5">
      <w:r>
        <w:t>A partir de los datos censales agregados por radio se calculan los siguientes indicadores:</w:t>
      </w:r>
    </w:p>
    <w:p w14:paraId="54DB1BFC" w14:textId="77777777" w:rsidR="00A759D5" w:rsidRDefault="00A759D5" w:rsidP="00A759D5">
      <w:r w:rsidRPr="009A2298">
        <w:rPr>
          <w:b/>
          <w:bCs/>
        </w:rPr>
        <w:t>Hogares según grado de hacinamiento:</w:t>
      </w:r>
      <w:r>
        <w:t xml:space="preserve"> Se presenta el recuento de hogares según niveles de hacinamiento para las siguientes cantidades de personas por cuarto:</w:t>
      </w:r>
    </w:p>
    <w:p w14:paraId="74CD6411" w14:textId="77777777" w:rsidR="00A759D5" w:rsidRPr="009A2298" w:rsidRDefault="00A759D5" w:rsidP="00A759D5">
      <w:pPr>
        <w:ind w:left="708"/>
      </w:pPr>
      <w:r>
        <w:t>H</w:t>
      </w:r>
      <w:r w:rsidRPr="009A2298">
        <w:t>asta   0.50  personas por cuarto</w:t>
      </w:r>
    </w:p>
    <w:p w14:paraId="0684D1FF" w14:textId="77777777" w:rsidR="00A759D5" w:rsidRPr="009A2298" w:rsidRDefault="00A759D5" w:rsidP="00A759D5">
      <w:pPr>
        <w:ind w:left="708"/>
      </w:pPr>
      <w:r w:rsidRPr="009A2298">
        <w:t>0.51  -  0.99  personas por cuarto</w:t>
      </w:r>
    </w:p>
    <w:p w14:paraId="3078D3D1" w14:textId="77777777" w:rsidR="00A759D5" w:rsidRPr="009A2298" w:rsidRDefault="00A759D5" w:rsidP="00A759D5">
      <w:pPr>
        <w:ind w:left="708"/>
      </w:pPr>
      <w:r w:rsidRPr="009A2298">
        <w:t>1.00  -  1.49  personas por cuarto</w:t>
      </w:r>
    </w:p>
    <w:p w14:paraId="2662CAE6" w14:textId="77777777" w:rsidR="00A759D5" w:rsidRPr="009A2298" w:rsidRDefault="00A759D5" w:rsidP="00A759D5">
      <w:pPr>
        <w:ind w:left="708"/>
      </w:pPr>
      <w:r w:rsidRPr="009A2298">
        <w:t>1.50  -  1.99  personas por cuarto</w:t>
      </w:r>
    </w:p>
    <w:p w14:paraId="370EA874" w14:textId="77777777" w:rsidR="00A759D5" w:rsidRPr="009A2298" w:rsidRDefault="00A759D5" w:rsidP="00A759D5">
      <w:pPr>
        <w:ind w:left="708"/>
      </w:pPr>
      <w:r w:rsidRPr="009A2298">
        <w:t>2.00 -2.99 personas por cuarto</w:t>
      </w:r>
    </w:p>
    <w:p w14:paraId="48614E3F" w14:textId="77777777" w:rsidR="00A759D5" w:rsidRPr="009A2298" w:rsidRDefault="00A759D5" w:rsidP="00A759D5">
      <w:pPr>
        <w:ind w:left="708"/>
      </w:pPr>
      <w:r w:rsidRPr="009A2298">
        <w:t>3 personas por cuarto</w:t>
      </w:r>
    </w:p>
    <w:p w14:paraId="58039423" w14:textId="77777777" w:rsidR="00A759D5" w:rsidRPr="009A2298" w:rsidRDefault="00A759D5" w:rsidP="00A759D5">
      <w:pPr>
        <w:ind w:left="708"/>
      </w:pPr>
      <w:r w:rsidRPr="009A2298">
        <w:t>3 personas por cuarto</w:t>
      </w:r>
    </w:p>
    <w:p w14:paraId="1C56E6F9" w14:textId="77777777" w:rsidR="00A759D5" w:rsidRDefault="00A759D5" w:rsidP="00A759D5"/>
    <w:p w14:paraId="4CE79348" w14:textId="77777777" w:rsidR="00A759D5" w:rsidRDefault="00A759D5" w:rsidP="00A759D5">
      <w:r w:rsidRPr="009F5304">
        <w:rPr>
          <w:b/>
          <w:bCs/>
        </w:rPr>
        <w:t>Miembros del hogar:</w:t>
      </w:r>
      <w:r>
        <w:t xml:space="preserve"> Tamaño medio de los hogares del radio censal.</w:t>
      </w:r>
    </w:p>
    <w:p w14:paraId="6B0A0D2A" w14:textId="77777777" w:rsidR="00A759D5" w:rsidRDefault="00A759D5" w:rsidP="00A759D5">
      <w:r w:rsidRPr="009F5304">
        <w:rPr>
          <w:b/>
          <w:bCs/>
        </w:rPr>
        <w:t xml:space="preserve">Proporción de menores de hasta 10 años: </w:t>
      </w:r>
      <w:r>
        <w:t>Proporción de menores de 0 a 10 años de edad calculada como la razón entre la suma de menores en el radio censal y el total de habitantes del radio censal.</w:t>
      </w:r>
    </w:p>
    <w:p w14:paraId="7BA8068E" w14:textId="77777777" w:rsidR="00A759D5" w:rsidRDefault="00A759D5" w:rsidP="00A759D5">
      <w:r w:rsidRPr="009F5304">
        <w:rPr>
          <w:b/>
          <w:bCs/>
        </w:rPr>
        <w:t>Nivel de instrucción del jefe de hogar por radio censal:</w:t>
      </w:r>
      <w:r>
        <w:t xml:space="preserve"> Proporción de Jefes en cada uno de los siguientes niveles educativos:</w:t>
      </w:r>
    </w:p>
    <w:p w14:paraId="781070FD" w14:textId="77777777" w:rsidR="00A759D5" w:rsidRPr="009F5304" w:rsidRDefault="00A759D5" w:rsidP="00A759D5">
      <w:pPr>
        <w:ind w:left="708"/>
      </w:pPr>
      <w:r w:rsidRPr="009F5304">
        <w:t>Sin Instrucción</w:t>
      </w:r>
    </w:p>
    <w:p w14:paraId="29CBA068" w14:textId="77777777" w:rsidR="00A759D5" w:rsidRPr="009F5304" w:rsidRDefault="00A759D5" w:rsidP="00A759D5">
      <w:pPr>
        <w:ind w:left="708"/>
      </w:pPr>
      <w:r w:rsidRPr="009F5304">
        <w:t>Primaria Incompleta</w:t>
      </w:r>
    </w:p>
    <w:p w14:paraId="03D5916C" w14:textId="77777777" w:rsidR="00A759D5" w:rsidRPr="009F5304" w:rsidRDefault="00A759D5" w:rsidP="00A759D5">
      <w:pPr>
        <w:ind w:left="708"/>
      </w:pPr>
      <w:r w:rsidRPr="009F5304">
        <w:t>Primaria completa</w:t>
      </w:r>
    </w:p>
    <w:p w14:paraId="33389555" w14:textId="77777777" w:rsidR="00A759D5" w:rsidRPr="009F5304" w:rsidRDefault="00A759D5" w:rsidP="00A759D5">
      <w:pPr>
        <w:ind w:left="708"/>
      </w:pPr>
      <w:r w:rsidRPr="009F5304">
        <w:t>Secundaria Incompleta</w:t>
      </w:r>
    </w:p>
    <w:p w14:paraId="1CC5A118" w14:textId="77777777" w:rsidR="00A759D5" w:rsidRPr="009F5304" w:rsidRDefault="00A759D5" w:rsidP="00A759D5">
      <w:pPr>
        <w:ind w:left="708"/>
      </w:pPr>
      <w:r w:rsidRPr="009F5304">
        <w:t>Secundaria Completa</w:t>
      </w:r>
    </w:p>
    <w:p w14:paraId="64C1C692" w14:textId="77777777" w:rsidR="00A759D5" w:rsidRPr="009F5304" w:rsidRDefault="00A759D5" w:rsidP="00A759D5">
      <w:pPr>
        <w:ind w:left="708"/>
      </w:pPr>
      <w:r w:rsidRPr="009F5304">
        <w:t>Terciario Incompleto</w:t>
      </w:r>
    </w:p>
    <w:p w14:paraId="78EBB95C" w14:textId="77777777" w:rsidR="00A759D5" w:rsidRPr="009F5304" w:rsidRDefault="00A759D5" w:rsidP="00A759D5">
      <w:pPr>
        <w:ind w:left="708"/>
      </w:pPr>
      <w:r w:rsidRPr="009F5304">
        <w:t>Terciario Completo</w:t>
      </w:r>
    </w:p>
    <w:p w14:paraId="0632F4F6" w14:textId="77777777" w:rsidR="00A759D5" w:rsidRPr="009F5304" w:rsidRDefault="00A759D5" w:rsidP="00A759D5">
      <w:pPr>
        <w:ind w:left="708"/>
      </w:pPr>
      <w:r w:rsidRPr="009F5304">
        <w:t>Universitario Incompleto</w:t>
      </w:r>
    </w:p>
    <w:p w14:paraId="6BEC42A1" w14:textId="77777777" w:rsidR="00A759D5" w:rsidRPr="009F5304" w:rsidRDefault="00A759D5" w:rsidP="00A759D5">
      <w:pPr>
        <w:ind w:left="708"/>
      </w:pPr>
      <w:r>
        <w:t>U</w:t>
      </w:r>
      <w:r w:rsidRPr="009F5304">
        <w:t>niversitario Completo</w:t>
      </w:r>
    </w:p>
    <w:p w14:paraId="61C4FC58" w14:textId="77777777" w:rsidR="00A759D5" w:rsidRPr="00C90419" w:rsidRDefault="00A759D5" w:rsidP="00C4100D">
      <w:pPr>
        <w:pStyle w:val="Heading1"/>
        <w:numPr>
          <w:ilvl w:val="0"/>
          <w:numId w:val="13"/>
        </w:numPr>
      </w:pPr>
      <w:bookmarkStart w:id="412" w:name="_Toc204009927"/>
      <w:bookmarkStart w:id="413" w:name="_Toc204097223"/>
      <w:bookmarkStart w:id="414" w:name="_Toc204144275"/>
      <w:bookmarkStart w:id="415" w:name="_Toc204269167"/>
      <w:bookmarkStart w:id="416" w:name="_Toc204652620"/>
      <w:bookmarkStart w:id="417" w:name="_Toc205030414"/>
      <w:bookmarkStart w:id="418" w:name="_Toc205044573"/>
      <w:bookmarkStart w:id="419" w:name="_Toc205117517"/>
      <w:bookmarkStart w:id="420" w:name="_Toc300831358"/>
      <w:bookmarkStart w:id="421" w:name="_Toc450205734"/>
      <w:bookmarkStart w:id="422" w:name="_Toc450320437"/>
      <w:bookmarkStart w:id="423" w:name="_Toc479892516"/>
      <w:bookmarkStart w:id="424" w:name="_Toc480206492"/>
      <w:bookmarkStart w:id="425" w:name="_Toc484985154"/>
      <w:bookmarkStart w:id="426" w:name="_Toc485027039"/>
      <w:bookmarkStart w:id="427" w:name="_Toc485200221"/>
      <w:r w:rsidRPr="00C90419">
        <w:t>Servicios de infraestructura</w:t>
      </w:r>
      <w:bookmarkEnd w:id="412"/>
      <w:bookmarkEnd w:id="413"/>
      <w:r w:rsidRPr="00C90419">
        <w:t xml:space="preserve"> – Datos Censales.</w:t>
      </w:r>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p>
    <w:p w14:paraId="5D119E7F" w14:textId="77777777" w:rsidR="00A759D5" w:rsidRDefault="00A759D5" w:rsidP="00A759D5">
      <w:r>
        <w:t>Los datos censales utilizados en la presente evaluación permiten caracterizar detalladamente la situación de los hogares frente a los siguientes servicios:</w:t>
      </w:r>
    </w:p>
    <w:p w14:paraId="07FA68DF" w14:textId="77777777" w:rsidR="00A759D5" w:rsidRDefault="00A759D5" w:rsidP="00C4100D">
      <w:pPr>
        <w:pStyle w:val="Header"/>
        <w:numPr>
          <w:ilvl w:val="0"/>
          <w:numId w:val="11"/>
        </w:numPr>
        <w:tabs>
          <w:tab w:val="clear" w:pos="4419"/>
          <w:tab w:val="clear" w:pos="8838"/>
          <w:tab w:val="center" w:pos="4252"/>
          <w:tab w:val="right" w:pos="8504"/>
        </w:tabs>
        <w:spacing w:before="100" w:beforeAutospacing="1" w:after="100" w:afterAutospacing="1" w:line="360" w:lineRule="auto"/>
      </w:pPr>
      <w:r>
        <w:t>Gas Natural suministrado por red.</w:t>
      </w:r>
    </w:p>
    <w:p w14:paraId="2C95FAB8" w14:textId="77777777" w:rsidR="00A759D5" w:rsidRDefault="00A759D5" w:rsidP="00C4100D">
      <w:pPr>
        <w:pStyle w:val="Header"/>
        <w:numPr>
          <w:ilvl w:val="0"/>
          <w:numId w:val="11"/>
        </w:numPr>
        <w:tabs>
          <w:tab w:val="clear" w:pos="4419"/>
          <w:tab w:val="clear" w:pos="8838"/>
          <w:tab w:val="center" w:pos="4252"/>
          <w:tab w:val="right" w:pos="8504"/>
        </w:tabs>
        <w:spacing w:before="100" w:beforeAutospacing="1" w:after="100" w:afterAutospacing="1" w:line="360" w:lineRule="auto"/>
      </w:pPr>
      <w:r>
        <w:t>Agua potable suministrada por red.</w:t>
      </w:r>
    </w:p>
    <w:p w14:paraId="10C0382B" w14:textId="77777777" w:rsidR="00A759D5" w:rsidRDefault="00A759D5" w:rsidP="00C4100D">
      <w:pPr>
        <w:pStyle w:val="Header"/>
        <w:numPr>
          <w:ilvl w:val="0"/>
          <w:numId w:val="11"/>
        </w:numPr>
        <w:tabs>
          <w:tab w:val="clear" w:pos="4419"/>
          <w:tab w:val="clear" w:pos="8838"/>
          <w:tab w:val="center" w:pos="4252"/>
          <w:tab w:val="right" w:pos="8504"/>
        </w:tabs>
        <w:spacing w:before="100" w:beforeAutospacing="1" w:after="100" w:afterAutospacing="1" w:line="360" w:lineRule="auto"/>
      </w:pPr>
      <w:r>
        <w:t>Desagües cloacales suministrados por red.</w:t>
      </w:r>
    </w:p>
    <w:p w14:paraId="39377C80" w14:textId="77777777" w:rsidR="00A759D5" w:rsidRPr="002D0202" w:rsidRDefault="00A759D5" w:rsidP="00C4100D">
      <w:pPr>
        <w:pStyle w:val="Header"/>
        <w:numPr>
          <w:ilvl w:val="0"/>
          <w:numId w:val="11"/>
        </w:numPr>
        <w:tabs>
          <w:tab w:val="clear" w:pos="4419"/>
          <w:tab w:val="clear" w:pos="8838"/>
          <w:tab w:val="center" w:pos="4252"/>
          <w:tab w:val="right" w:pos="8504"/>
        </w:tabs>
        <w:spacing w:before="100" w:beforeAutospacing="1" w:after="100" w:afterAutospacing="1" w:line="360" w:lineRule="auto"/>
      </w:pPr>
      <w:r>
        <w:t>Telefonía fija.</w:t>
      </w:r>
    </w:p>
    <w:p w14:paraId="20AFFACA" w14:textId="77777777" w:rsidR="00A759D5" w:rsidRDefault="00A759D5" w:rsidP="00A759D5">
      <w:r>
        <w:t>Esta caracterización se realiza considerando la cantidad de hogares que reciben tales servicios así como los métodos mediante los cuales son suplidos los mismos en caso de no serles suministrados mediante los sistemas de red.</w:t>
      </w:r>
    </w:p>
    <w:p w14:paraId="1A34EB61" w14:textId="77777777" w:rsidR="00A759D5" w:rsidRPr="00C90419" w:rsidRDefault="00A759D5" w:rsidP="00C4100D">
      <w:pPr>
        <w:pStyle w:val="Heading1"/>
        <w:numPr>
          <w:ilvl w:val="0"/>
          <w:numId w:val="13"/>
        </w:numPr>
      </w:pPr>
      <w:bookmarkStart w:id="428" w:name="_Toc204009928"/>
      <w:bookmarkStart w:id="429" w:name="_Toc204097224"/>
      <w:bookmarkStart w:id="430" w:name="_Toc204144276"/>
      <w:bookmarkStart w:id="431" w:name="_Toc204269168"/>
      <w:bookmarkStart w:id="432" w:name="_Toc204652621"/>
      <w:bookmarkStart w:id="433" w:name="_Toc205030415"/>
      <w:bookmarkStart w:id="434" w:name="_Toc205044574"/>
      <w:bookmarkStart w:id="435" w:name="_Toc205117518"/>
      <w:bookmarkStart w:id="436" w:name="_Toc300831359"/>
      <w:bookmarkStart w:id="437" w:name="_Toc450205735"/>
      <w:bookmarkStart w:id="438" w:name="_Toc450320438"/>
      <w:bookmarkStart w:id="439" w:name="_Toc479892517"/>
      <w:bookmarkStart w:id="440" w:name="_Toc480206493"/>
      <w:bookmarkStart w:id="441" w:name="_Toc484985155"/>
      <w:bookmarkStart w:id="442" w:name="_Toc485027040"/>
      <w:bookmarkStart w:id="443" w:name="_Toc485200222"/>
      <w:r w:rsidRPr="00C90419">
        <w:t>Determinación del nivel de ingresos – Datos EPH / Censo.</w:t>
      </w:r>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p>
    <w:p w14:paraId="7B36B377" w14:textId="77777777" w:rsidR="00A759D5" w:rsidRDefault="00A759D5" w:rsidP="00A759D5">
      <w:r>
        <w:t xml:space="preserve">A fin de incorporar información sobre el nivel de ingresos aproximado para los hogares beneficiarios del proyecto se estableció la relación entre el valor obtenido por CAPECO y el ingreso familiar por adulto equivalente (IFAE) presentada en la </w:t>
      </w:r>
      <w:r>
        <w:fldChar w:fldCharType="begin"/>
      </w:r>
      <w:r>
        <w:instrText xml:space="preserve"> REF _Ref479891963 \h </w:instrText>
      </w:r>
      <w:r>
        <w:fldChar w:fldCharType="separate"/>
      </w:r>
      <w:r>
        <w:t xml:space="preserve">Tabla </w:t>
      </w:r>
      <w:r>
        <w:rPr>
          <w:noProof/>
        </w:rPr>
        <w:t>40</w:t>
      </w:r>
      <w:r>
        <w:t>: Media de Ingreso Total Familiar y CAPECO – EPH 3er Trimestre 2010 GBA.</w:t>
      </w:r>
      <w:r>
        <w:fldChar w:fldCharType="end"/>
      </w:r>
      <w:r>
        <w:t>.</w:t>
      </w:r>
    </w:p>
    <w:p w14:paraId="7C8FC427" w14:textId="77777777" w:rsidR="00A759D5" w:rsidRDefault="00A759D5" w:rsidP="00A759D5"/>
    <w:p w14:paraId="326509F9" w14:textId="77777777" w:rsidR="00A759D5" w:rsidRDefault="00A759D5" w:rsidP="00A759D5"/>
    <w:p w14:paraId="693C6E65" w14:textId="77777777" w:rsidR="00A759D5" w:rsidRDefault="00A759D5" w:rsidP="00A759D5"/>
    <w:p w14:paraId="4E6409D5" w14:textId="77777777" w:rsidR="00A759D5" w:rsidRDefault="00A759D5" w:rsidP="00A759D5"/>
    <w:p w14:paraId="6EDA14DB" w14:textId="77777777" w:rsidR="00A759D5" w:rsidRDefault="00A759D5" w:rsidP="00A759D5">
      <w:pPr>
        <w:pStyle w:val="Caption"/>
      </w:pPr>
      <w:bookmarkStart w:id="444" w:name="_Ref479891963"/>
      <w:r>
        <w:t xml:space="preserve">Tabla </w:t>
      </w:r>
      <w:r w:rsidR="005C1A74">
        <w:fldChar w:fldCharType="begin"/>
      </w:r>
      <w:r w:rsidR="005C1A74">
        <w:instrText xml:space="preserve"> SEQ Tabla \* ARABIC </w:instrText>
      </w:r>
      <w:r w:rsidR="005C1A74">
        <w:fldChar w:fldCharType="separate"/>
      </w:r>
      <w:r>
        <w:rPr>
          <w:noProof/>
        </w:rPr>
        <w:t>40</w:t>
      </w:r>
      <w:r w:rsidR="005C1A74">
        <w:rPr>
          <w:noProof/>
        </w:rPr>
        <w:fldChar w:fldCharType="end"/>
      </w:r>
      <w:r>
        <w:t>: Media de Ingreso Total Familiar y CAPECO – EPH 3er Trimestre 2010 GBA.</w:t>
      </w:r>
      <w:bookmarkEnd w:id="444"/>
    </w:p>
    <w:p w14:paraId="3F5F05A7" w14:textId="77777777" w:rsidR="00A759D5" w:rsidRDefault="00A759D5" w:rsidP="00A759D5">
      <w:pPr>
        <w:pStyle w:val="CuadrosyTablas"/>
      </w:pPr>
      <w:r w:rsidRPr="006A5BAC">
        <w:rPr>
          <w:noProof/>
          <w:lang w:eastAsia="es-AR"/>
        </w:rPr>
        <w:drawing>
          <wp:inline distT="0" distB="0" distL="0" distR="0" wp14:anchorId="6E32F0AC" wp14:editId="3347FB09">
            <wp:extent cx="3896360" cy="2711450"/>
            <wp:effectExtent l="0" t="0" r="889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96360" cy="2711450"/>
                    </a:xfrm>
                    <a:prstGeom prst="rect">
                      <a:avLst/>
                    </a:prstGeom>
                    <a:noFill/>
                    <a:ln>
                      <a:noFill/>
                    </a:ln>
                  </pic:spPr>
                </pic:pic>
              </a:graphicData>
            </a:graphic>
          </wp:inline>
        </w:drawing>
      </w:r>
    </w:p>
    <w:p w14:paraId="3B68A751" w14:textId="77777777" w:rsidR="00A759D5" w:rsidRPr="00D44BD1" w:rsidRDefault="00A759D5" w:rsidP="00A759D5">
      <w:pPr>
        <w:pStyle w:val="CuadrosyTablas"/>
        <w:rPr>
          <w:b w:val="0"/>
          <w:bCs/>
          <w:sz w:val="18"/>
          <w:szCs w:val="18"/>
        </w:rPr>
      </w:pPr>
      <w:r w:rsidRPr="00D44BD1">
        <w:rPr>
          <w:b w:val="0"/>
          <w:bCs/>
          <w:sz w:val="18"/>
          <w:szCs w:val="18"/>
        </w:rPr>
        <w:t>Fuente: Elabor</w:t>
      </w:r>
      <w:r>
        <w:rPr>
          <w:b w:val="0"/>
          <w:bCs/>
          <w:sz w:val="18"/>
          <w:szCs w:val="18"/>
        </w:rPr>
        <w:t>ación propia sobre BUA EPH 3</w:t>
      </w:r>
      <w:r w:rsidRPr="00D44BD1">
        <w:rPr>
          <w:b w:val="0"/>
          <w:bCs/>
          <w:sz w:val="18"/>
          <w:szCs w:val="18"/>
        </w:rPr>
        <w:t xml:space="preserve">º </w:t>
      </w:r>
      <w:r>
        <w:rPr>
          <w:b w:val="0"/>
          <w:bCs/>
          <w:sz w:val="18"/>
          <w:szCs w:val="18"/>
        </w:rPr>
        <w:t>Trim.</w:t>
      </w:r>
      <w:r w:rsidRPr="00D44BD1">
        <w:rPr>
          <w:b w:val="0"/>
          <w:bCs/>
          <w:sz w:val="18"/>
          <w:szCs w:val="18"/>
        </w:rPr>
        <w:t xml:space="preserve"> 20</w:t>
      </w:r>
      <w:r>
        <w:rPr>
          <w:b w:val="0"/>
          <w:bCs/>
          <w:sz w:val="18"/>
          <w:szCs w:val="18"/>
        </w:rPr>
        <w:t>10</w:t>
      </w:r>
    </w:p>
    <w:p w14:paraId="38E7AB7D" w14:textId="77777777" w:rsidR="00A759D5" w:rsidRDefault="00A759D5" w:rsidP="00A759D5">
      <w:pPr>
        <w:jc w:val="left"/>
      </w:pPr>
    </w:p>
    <w:p w14:paraId="2AAAA4D1" w14:textId="77777777" w:rsidR="00A759D5" w:rsidRPr="00C90419" w:rsidRDefault="00A759D5" w:rsidP="00C4100D">
      <w:pPr>
        <w:pStyle w:val="Heading1"/>
        <w:numPr>
          <w:ilvl w:val="0"/>
          <w:numId w:val="13"/>
        </w:numPr>
      </w:pPr>
      <w:bookmarkStart w:id="445" w:name="_Toc204144277"/>
      <w:bookmarkStart w:id="446" w:name="_Toc204269169"/>
      <w:bookmarkStart w:id="447" w:name="_Toc204652622"/>
      <w:bookmarkStart w:id="448" w:name="_Toc205030416"/>
      <w:bookmarkStart w:id="449" w:name="_Toc205044575"/>
      <w:bookmarkStart w:id="450" w:name="_Toc205117519"/>
      <w:bookmarkStart w:id="451" w:name="_Toc300831360"/>
      <w:bookmarkStart w:id="452" w:name="_Toc450205736"/>
      <w:bookmarkStart w:id="453" w:name="_Toc450320439"/>
      <w:bookmarkStart w:id="454" w:name="_Toc479892518"/>
      <w:bookmarkStart w:id="455" w:name="_Toc480206494"/>
      <w:bookmarkStart w:id="456" w:name="_Toc484985156"/>
      <w:bookmarkStart w:id="457" w:name="_Toc485027041"/>
      <w:bookmarkStart w:id="458" w:name="_Toc485200223"/>
      <w:r w:rsidRPr="00C90419">
        <w:t>Indicadores de desigualdad y pobreza – Datos EPH.</w:t>
      </w:r>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p>
    <w:p w14:paraId="6F81A78F" w14:textId="77777777" w:rsidR="00A759D5" w:rsidRDefault="00A759D5" w:rsidP="00A759D5">
      <w:r>
        <w:t>A fin de contextualizar el análisis socioeconómico se calculan en la presente evaluación los indicadores usuales de desigualdad, pobreza e indigencia para el período 2010 – 2015 sobre los microdatos de la Encuesta Permanente de Hogares correspondiente al segundo trimestre de cada año.</w:t>
      </w:r>
    </w:p>
    <w:p w14:paraId="5C061DA5" w14:textId="77777777" w:rsidR="00A759D5" w:rsidRDefault="00A759D5" w:rsidP="00A759D5">
      <w:r>
        <w:t>Estos indicadores, considerados indirectos por tener base en el nivel de ingresos del hogar, se calcularon a partir de la determinación del Ingreso Familiar por Adulto Equivalente (IFAE). A tal efecto se computó el número de adultos equivalentes según las tablas del INDEC en función de la edad y sexo de los miembros del hogar, sumándose los coeficientes obtenidos para cada hogar. El IFAE se calculó como el cociente entre el Ingreso Total Familiar y la sumatoria de adultos equivalentes del hogar. El valor obtenido (IFAE), según consigna la literatura especializada en economía de la distribución, presenta un grado de precisión mucho mayor a efectos de la medición de la desigualdad y la pobreza que el tradicional Ingreso per Cápita Familiar debido a que considera las diferencias en las constituciones familiares observadas en los distintos estratos económicos.</w:t>
      </w:r>
    </w:p>
    <w:p w14:paraId="71AC3727" w14:textId="77777777" w:rsidR="00A759D5" w:rsidRDefault="00A759D5" w:rsidP="00A759D5">
      <w:r>
        <w:t>Los indicadores calculados fueron los siguientes:</w:t>
      </w:r>
    </w:p>
    <w:p w14:paraId="76CCC8CD" w14:textId="77777777" w:rsidR="00A759D5" w:rsidRPr="00571451" w:rsidRDefault="00A759D5" w:rsidP="00C4100D">
      <w:pPr>
        <w:pStyle w:val="ListParagraph"/>
        <w:keepNext/>
        <w:numPr>
          <w:ilvl w:val="0"/>
          <w:numId w:val="12"/>
        </w:numPr>
        <w:spacing w:before="240" w:after="120" w:line="240" w:lineRule="auto"/>
        <w:contextualSpacing w:val="0"/>
        <w:outlineLvl w:val="1"/>
        <w:rPr>
          <w:rFonts w:ascii="Calibri" w:eastAsiaTheme="majorEastAsia" w:hAnsi="Calibri" w:cstheme="majorBidi"/>
          <w:b/>
          <w:vanish/>
          <w:sz w:val="28"/>
          <w:szCs w:val="26"/>
        </w:rPr>
      </w:pPr>
      <w:bookmarkStart w:id="459" w:name="_Toc479881486"/>
      <w:bookmarkStart w:id="460" w:name="_Toc479891341"/>
      <w:bookmarkStart w:id="461" w:name="_Toc479892076"/>
      <w:bookmarkStart w:id="462" w:name="_Toc479892149"/>
      <w:bookmarkStart w:id="463" w:name="_Toc479892223"/>
      <w:bookmarkStart w:id="464" w:name="_Toc479892297"/>
      <w:bookmarkStart w:id="465" w:name="_Toc479892371"/>
      <w:bookmarkStart w:id="466" w:name="_Toc479892445"/>
      <w:bookmarkStart w:id="467" w:name="_Toc479892519"/>
      <w:bookmarkStart w:id="468" w:name="_Toc480205023"/>
      <w:bookmarkStart w:id="469" w:name="_Toc480206495"/>
      <w:bookmarkStart w:id="470" w:name="_Toc484985157"/>
      <w:bookmarkStart w:id="471" w:name="_Toc485027042"/>
      <w:bookmarkStart w:id="472" w:name="_Toc485200224"/>
      <w:bookmarkStart w:id="473" w:name="_Toc204144278"/>
      <w:bookmarkStart w:id="474" w:name="_Toc204269170"/>
      <w:bookmarkStart w:id="475" w:name="_Toc204652623"/>
      <w:bookmarkStart w:id="476" w:name="_Toc205030417"/>
      <w:bookmarkStart w:id="477" w:name="_Toc205044576"/>
      <w:bookmarkStart w:id="478" w:name="_Toc205117520"/>
      <w:bookmarkStart w:id="479" w:name="_Toc300831361"/>
      <w:bookmarkStart w:id="480" w:name="_Toc450205737"/>
      <w:bookmarkStart w:id="481" w:name="_Toc450320440"/>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p>
    <w:p w14:paraId="29406792" w14:textId="77777777" w:rsidR="00A759D5" w:rsidRPr="00C90419" w:rsidRDefault="00A759D5" w:rsidP="002B0107">
      <w:pPr>
        <w:pStyle w:val="Heading2"/>
        <w:numPr>
          <w:ilvl w:val="1"/>
          <w:numId w:val="13"/>
        </w:numPr>
      </w:pPr>
      <w:bookmarkStart w:id="482" w:name="_Toc479892520"/>
      <w:bookmarkStart w:id="483" w:name="_Toc480206496"/>
      <w:bookmarkStart w:id="484" w:name="_Toc484985158"/>
      <w:bookmarkStart w:id="485" w:name="_Toc485027043"/>
      <w:bookmarkStart w:id="486" w:name="_Toc485200225"/>
      <w:r w:rsidRPr="00C90419">
        <w:t>Coeficiente de Gini.</w:t>
      </w:r>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p>
    <w:p w14:paraId="26D212B3" w14:textId="77777777" w:rsidR="00A759D5" w:rsidRPr="003106E8" w:rsidRDefault="00A759D5" w:rsidP="00A759D5">
      <w:r>
        <w:t xml:space="preserve">El coeficiente de Gini es un </w:t>
      </w:r>
      <w:r w:rsidRPr="003106E8">
        <w:t>í</w:t>
      </w:r>
      <w:r>
        <w:t>ndice desarrollado</w:t>
      </w:r>
      <w:r w:rsidRPr="003106E8">
        <w:t xml:space="preserve"> a partir de la llamada “Curva de Lorenz para la distribución del ingreso”</w:t>
      </w:r>
      <w:r>
        <w:t xml:space="preserve">. </w:t>
      </w:r>
      <w:r w:rsidRPr="003106E8">
        <w:t xml:space="preserve">La curva de Lorenz, L(p), es una función de estadísticos de orden (quintiles, deciles, percentiles, etc.) y muestra el porcentaje acumulado de ingreso correspondiente al percentil p de la distribución del ingreso per capita en relación al porcentaje acumulado de población. Una representación gráfica, para distribuciones continuas, de la curva de Lorenz se muestra en </w:t>
      </w:r>
      <w:r>
        <w:t xml:space="preserve">la </w:t>
      </w:r>
      <w:r>
        <w:fldChar w:fldCharType="begin"/>
      </w:r>
      <w:r>
        <w:instrText xml:space="preserve"> REF _Ref479891872 \h </w:instrText>
      </w:r>
      <w:r>
        <w:fldChar w:fldCharType="separate"/>
      </w:r>
      <w:r>
        <w:t xml:space="preserve">Ilustración </w:t>
      </w:r>
      <w:r>
        <w:rPr>
          <w:noProof/>
        </w:rPr>
        <w:t>16</w:t>
      </w:r>
      <w:r>
        <w:fldChar w:fldCharType="end"/>
      </w:r>
      <w:r w:rsidRPr="003106E8">
        <w:t>. Por construcción la curva de Lorenz no estará por encima de la recta de 45 grados, si coincide con ésta ello implica completa igualdad, y cuanto más lejos esté de dicha recta mayor será el grado de desigualdad observado en la distribución del ingreso.</w:t>
      </w:r>
    </w:p>
    <w:p w14:paraId="64241B84" w14:textId="77777777" w:rsidR="00A759D5" w:rsidRDefault="00A759D5" w:rsidP="00A759D5">
      <w:pPr>
        <w:pStyle w:val="CuadrosyTablas"/>
      </w:pPr>
    </w:p>
    <w:p w14:paraId="58408386" w14:textId="77777777" w:rsidR="00A759D5" w:rsidRDefault="00A759D5" w:rsidP="00A759D5">
      <w:pPr>
        <w:pStyle w:val="Caption"/>
      </w:pPr>
      <w:bookmarkStart w:id="487" w:name="_Ref479891872"/>
      <w:r>
        <w:t xml:space="preserve">Ilustración </w:t>
      </w:r>
      <w:r w:rsidR="005C1A74">
        <w:fldChar w:fldCharType="begin"/>
      </w:r>
      <w:r w:rsidR="005C1A74">
        <w:instrText xml:space="preserve"> SEQ Ilustración \* ARABIC </w:instrText>
      </w:r>
      <w:r w:rsidR="005C1A74">
        <w:fldChar w:fldCharType="separate"/>
      </w:r>
      <w:r>
        <w:rPr>
          <w:noProof/>
        </w:rPr>
        <w:t>16</w:t>
      </w:r>
      <w:r w:rsidR="005C1A74">
        <w:rPr>
          <w:noProof/>
        </w:rPr>
        <w:fldChar w:fldCharType="end"/>
      </w:r>
      <w:bookmarkEnd w:id="487"/>
      <w:r>
        <w:t>: Curva de Lorenz - ITF AMBA.</w:t>
      </w:r>
    </w:p>
    <w:p w14:paraId="3E028D16" w14:textId="77777777" w:rsidR="00A759D5" w:rsidRDefault="00A759D5" w:rsidP="00A759D5">
      <w:pPr>
        <w:pStyle w:val="CuadrosyTablas"/>
      </w:pPr>
      <w:r w:rsidRPr="003106E8">
        <w:rPr>
          <w:noProof/>
          <w:lang w:eastAsia="es-AR"/>
        </w:rPr>
        <w:drawing>
          <wp:inline distT="0" distB="0" distL="0" distR="0" wp14:anchorId="6B76482E" wp14:editId="33BC0A97">
            <wp:extent cx="3761105" cy="313309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761105" cy="3133090"/>
                    </a:xfrm>
                    <a:prstGeom prst="rect">
                      <a:avLst/>
                    </a:prstGeom>
                    <a:noFill/>
                    <a:ln>
                      <a:noFill/>
                    </a:ln>
                  </pic:spPr>
                </pic:pic>
              </a:graphicData>
            </a:graphic>
          </wp:inline>
        </w:drawing>
      </w:r>
    </w:p>
    <w:p w14:paraId="02EB63EE" w14:textId="77777777" w:rsidR="00A759D5" w:rsidRPr="003106E8" w:rsidRDefault="00A759D5" w:rsidP="00A759D5">
      <w:r w:rsidRPr="003106E8">
        <w:t>La mayor parte de los índices de desigualdad intentan resumir la información gráfica suministrada por la curva de Lorenz en una medida cuantitativa que muestre la divergencia entre dicha curva y la situación de igualdad perfecta. La más popular de estas medidas es el índice de Gini, “G”. Desde el punto de vista geométrico el índice de Gini se define como el cociente del área entre la curva de Lorenz y la línea de igualdad perfecta dividida por el área del triángulo OAB, que es igual a ½; por tanto G es equivalente a dos veces el área comprendida entre la curva de Lorenz y la línea de igualdad perfecta; en consecuencia el índice de Gini varía, para distribuciones continuas, entre 0, igualdad perfecta, y 1, máxima desigualdad, y será mayor cuanto más se aleje la curva de Lorenz de la línea de igualdad perfecta. Alternativamente, y también desde un punto de vista geométrico, se puede definir el índice de Gini como 1 menos dos veces el área bajo la curva de Lorenz.</w:t>
      </w:r>
    </w:p>
    <w:p w14:paraId="1B655A42" w14:textId="77777777" w:rsidR="00A759D5" w:rsidRPr="003106E8" w:rsidRDefault="00A759D5" w:rsidP="00A759D5">
      <w:r>
        <w:t>E</w:t>
      </w:r>
      <w:r w:rsidRPr="003106E8">
        <w:t>n la práctica la fórmula usual para calcular el coeficiente de Gini (G) es la siguiente:</w:t>
      </w:r>
    </w:p>
    <w:p w14:paraId="1A4463AF" w14:textId="77777777" w:rsidR="00A759D5" w:rsidRDefault="00A759D5" w:rsidP="00A759D5">
      <w:r>
        <w:rPr>
          <w:position w:val="-30"/>
        </w:rPr>
        <w:object w:dxaOrig="3519" w:dyaOrig="700" w14:anchorId="11B11E9C">
          <v:shape id="_x0000_i1034" type="#_x0000_t75" style="width:176.4pt;height:35.4pt" o:ole="">
            <v:imagedata r:id="rId180" o:title=""/>
          </v:shape>
          <o:OLEObject Type="Embed" ProgID="Equation.3" ShapeID="_x0000_i1034" DrawAspect="Content" ObjectID="_1560797569" r:id="rId181"/>
        </w:object>
      </w:r>
    </w:p>
    <w:p w14:paraId="4CB0E28D" w14:textId="77777777" w:rsidR="00A759D5" w:rsidRDefault="00A759D5" w:rsidP="00A759D5">
      <w:r w:rsidRPr="003106E8">
        <w:t xml:space="preserve">Donde i indexa a las personas o grupos de personas, N es el número de personas o estratos de ingreso, </w:t>
      </w:r>
      <w:r w:rsidRPr="003106E8">
        <w:rPr>
          <w:rFonts w:ascii="Symbol" w:hAnsi="Symbol" w:cs="Arial"/>
          <w:sz w:val="24"/>
        </w:rPr>
        <w:t></w:t>
      </w:r>
      <w:r w:rsidRPr="003106E8">
        <w:rPr>
          <w:rFonts w:ascii="Symbol" w:hAnsi="Symbol" w:cs="Arial"/>
          <w:sz w:val="24"/>
        </w:rPr>
        <w:t></w:t>
      </w:r>
      <w:r w:rsidRPr="003106E8">
        <w:t>indica el ingreso medio e Yi el ingreso de la persona o estrato i. Para los cálculos en deciles N=10 e i=1 para el decil más pobre.</w:t>
      </w:r>
    </w:p>
    <w:p w14:paraId="38F01AFB" w14:textId="77777777" w:rsidR="00A759D5" w:rsidRPr="00FB6E95" w:rsidRDefault="00A759D5" w:rsidP="002B0107">
      <w:pPr>
        <w:pStyle w:val="Heading2"/>
        <w:numPr>
          <w:ilvl w:val="1"/>
          <w:numId w:val="13"/>
        </w:numPr>
      </w:pPr>
      <w:bookmarkStart w:id="488" w:name="_Toc204144279"/>
      <w:bookmarkStart w:id="489" w:name="_Toc204269171"/>
      <w:bookmarkStart w:id="490" w:name="_Toc204652624"/>
      <w:bookmarkStart w:id="491" w:name="_Toc205030418"/>
      <w:bookmarkStart w:id="492" w:name="_Toc205044577"/>
      <w:bookmarkStart w:id="493" w:name="_Toc205117521"/>
      <w:bookmarkStart w:id="494" w:name="_Toc300831362"/>
      <w:bookmarkStart w:id="495" w:name="_Toc450205738"/>
      <w:bookmarkStart w:id="496" w:name="_Toc450320441"/>
      <w:bookmarkStart w:id="497" w:name="_Toc479892521"/>
      <w:bookmarkStart w:id="498" w:name="_Toc480206497"/>
      <w:bookmarkStart w:id="499" w:name="_Toc484985159"/>
      <w:bookmarkStart w:id="500" w:name="_Toc485027044"/>
      <w:bookmarkStart w:id="501" w:name="_Toc485200226"/>
      <w:r w:rsidRPr="00FB6E95">
        <w:t>Medición de la pobreza.</w:t>
      </w:r>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p>
    <w:p w14:paraId="6E47EE44" w14:textId="77777777" w:rsidR="00A759D5" w:rsidRDefault="00A759D5" w:rsidP="00A759D5">
      <w:r>
        <w:t>A efectos de mostrar la evolución histórica de la pobreza en el contexto del proyecto, se recurre al cálculo de los indicadores usuales indirectos para los años 2002 – 2010.</w:t>
      </w:r>
    </w:p>
    <w:p w14:paraId="588C93CC" w14:textId="77777777" w:rsidR="00A759D5" w:rsidRDefault="00A759D5" w:rsidP="00A759D5">
      <w:r w:rsidRPr="0003673D">
        <w:t xml:space="preserve">Los métodos indirectos de identificación y medición de la pobreza parten generalmente de la definición de “líneas de pobreza” y “líneas de indigencia” que reflejan niveles mínimos de ingreso corriente. Una vez fijados estos parámetros normativos se compara el ingreso de los hogares o las personas con los mismos a fin de identificar el hogar como pobre o no pobre. Esta identificación primaria solo permite obtener un recuento de hogares pobres por lo que resulta necesario complementarla con índices que permitan medir la </w:t>
      </w:r>
      <w:r w:rsidRPr="0003673D">
        <w:rPr>
          <w:i/>
          <w:iCs/>
        </w:rPr>
        <w:t>profundidad</w:t>
      </w:r>
      <w:r w:rsidRPr="0003673D">
        <w:t xml:space="preserve"> y la </w:t>
      </w:r>
      <w:r w:rsidRPr="0003673D">
        <w:rPr>
          <w:i/>
          <w:iCs/>
        </w:rPr>
        <w:t>severidad</w:t>
      </w:r>
      <w:r w:rsidRPr="0003673D">
        <w:t xml:space="preserve"> de la pobreza.</w:t>
      </w:r>
    </w:p>
    <w:p w14:paraId="240EE4EF" w14:textId="77777777" w:rsidR="00A759D5" w:rsidRDefault="00A759D5" w:rsidP="00A759D5">
      <w:r>
        <w:t>Para el cálculo de tales indicadores se recurre a la expresión generalizada de los índices de Foster, Greer y Thorbecke (FGT), según la siguiente fórmula:</w:t>
      </w:r>
    </w:p>
    <w:p w14:paraId="6A7166E9" w14:textId="77777777" w:rsidR="00A759D5" w:rsidRDefault="00A759D5" w:rsidP="00A759D5">
      <w:r>
        <w:rPr>
          <w:position w:val="-28"/>
        </w:rPr>
        <w:object w:dxaOrig="2520" w:dyaOrig="740" w14:anchorId="52F00469">
          <v:shape id="_x0000_i1035" type="#_x0000_t75" style="width:153pt;height:45.6pt" o:ole="">
            <v:imagedata r:id="rId182" o:title=""/>
          </v:shape>
          <o:OLEObject Type="Embed" ProgID="Equation.3" ShapeID="_x0000_i1035" DrawAspect="Content" ObjectID="_1560797570" r:id="rId183"/>
        </w:object>
      </w:r>
    </w:p>
    <w:p w14:paraId="1B85DA6E" w14:textId="77777777" w:rsidR="00A759D5" w:rsidRDefault="00A759D5" w:rsidP="00A759D5">
      <w:r>
        <w:t>Dónde:</w:t>
      </w:r>
    </w:p>
    <w:p w14:paraId="79196302" w14:textId="77777777" w:rsidR="00A759D5" w:rsidRPr="0003673D" w:rsidRDefault="00A759D5" w:rsidP="00A759D5">
      <w:pPr>
        <w:ind w:left="708"/>
      </w:pPr>
      <w:r w:rsidRPr="0003673D">
        <w:t>z: valor de la línea de pobreza o indigencia según el caso.</w:t>
      </w:r>
    </w:p>
    <w:p w14:paraId="5DF834A4" w14:textId="77777777" w:rsidR="00A759D5" w:rsidRPr="0003673D" w:rsidRDefault="00A759D5" w:rsidP="00A759D5">
      <w:pPr>
        <w:ind w:left="708"/>
      </w:pPr>
      <w:r w:rsidRPr="0003673D">
        <w:t>q: número de individuos (hogares) por debajo de la línea de pobreza o indigencia.</w:t>
      </w:r>
    </w:p>
    <w:p w14:paraId="16086D98" w14:textId="77777777" w:rsidR="00A759D5" w:rsidRPr="0003673D" w:rsidRDefault="00A759D5" w:rsidP="00A759D5">
      <w:pPr>
        <w:ind w:left="708"/>
        <w:rPr>
          <w:rFonts w:ascii="MS Gothic" w:eastAsia="MS Gothic" w:hAnsi="MS Gothic"/>
        </w:rPr>
      </w:pPr>
      <w:r w:rsidRPr="0003673D">
        <w:t>n: población (hogares) total.</w:t>
      </w:r>
    </w:p>
    <w:p w14:paraId="5C6116EA" w14:textId="77777777" w:rsidR="00A759D5" w:rsidRPr="0003673D" w:rsidRDefault="00A759D5" w:rsidP="00A759D5">
      <w:pPr>
        <w:ind w:left="708"/>
      </w:pPr>
      <w:r w:rsidRPr="0003673D">
        <w:t>yi: ingreso del hogar i.</w:t>
      </w:r>
      <w:r>
        <w:t xml:space="preserve"> </w:t>
      </w:r>
    </w:p>
    <w:p w14:paraId="13B8FFC7" w14:textId="77777777" w:rsidR="00A759D5" w:rsidRPr="0003673D" w:rsidRDefault="00A759D5" w:rsidP="00A759D5">
      <w:r w:rsidRPr="0003673D">
        <w:rPr>
          <w:rFonts w:ascii="Symbol" w:hAnsi="Symbol" w:cs="Arial"/>
          <w:sz w:val="24"/>
        </w:rPr>
        <w:t></w:t>
      </w:r>
      <w:r w:rsidRPr="0003673D">
        <w:rPr>
          <w:rFonts w:cs="Arial"/>
        </w:rPr>
        <w:t xml:space="preserve"> </w:t>
      </w:r>
      <w:r w:rsidRPr="0003673D">
        <w:t xml:space="preserve">es un parámetro no negativo de aversión a la desigualdad y muestra la importancia que se le asigna a los más pobres en comparación con los que están más cerca de la línea de pobreza. Cuando </w:t>
      </w:r>
      <w:r w:rsidRPr="0003673D">
        <w:rPr>
          <w:rFonts w:ascii="Symbol" w:hAnsi="Symbol" w:cs="Arial"/>
          <w:sz w:val="24"/>
        </w:rPr>
        <w:t></w:t>
      </w:r>
      <w:r w:rsidRPr="0003673D">
        <w:rPr>
          <w:rFonts w:cs="Arial"/>
        </w:rPr>
        <w:t xml:space="preserve"> </w:t>
      </w:r>
      <w:r w:rsidRPr="0003673D">
        <w:t xml:space="preserve">= 0, esta medida es igual al índice de recuento; cuando </w:t>
      </w:r>
      <w:r w:rsidRPr="0003673D">
        <w:rPr>
          <w:rFonts w:ascii="Symbol" w:hAnsi="Symbol" w:cs="Arial"/>
        </w:rPr>
        <w:t></w:t>
      </w:r>
      <w:r w:rsidRPr="0003673D">
        <w:rPr>
          <w:rFonts w:cs="Arial"/>
        </w:rPr>
        <w:t xml:space="preserve"> </w:t>
      </w:r>
      <w:r w:rsidRPr="0003673D">
        <w:t xml:space="preserve">= 1 se obtiene la brecha de pobreza. El valor de </w:t>
      </w:r>
      <w:r w:rsidRPr="003320FC">
        <w:rPr>
          <w:rFonts w:ascii="Symbol" w:hAnsi="Symbol" w:cs="Arial"/>
          <w:sz w:val="24"/>
        </w:rPr>
        <w:t></w:t>
      </w:r>
      <w:r w:rsidRPr="0003673D">
        <w:rPr>
          <w:rFonts w:cs="Arial"/>
        </w:rPr>
        <w:t xml:space="preserve"> </w:t>
      </w:r>
      <w:r w:rsidRPr="0003673D">
        <w:t>más utilizado para el cálculo del índice FGT es 2. FGT</w:t>
      </w:r>
      <w:r>
        <w:t xml:space="preserve"> </w:t>
      </w:r>
      <w:r w:rsidRPr="0003673D">
        <w:t>(2) es considerado por la literatura como una importante medida de la “severidad” de la pobreza.</w:t>
      </w:r>
    </w:p>
    <w:p w14:paraId="3B3936EE" w14:textId="77777777" w:rsidR="00A759D5" w:rsidRDefault="00A759D5" w:rsidP="00A759D5"/>
    <w:p w14:paraId="1CFD26CC" w14:textId="77777777" w:rsidR="00A759D5" w:rsidRPr="00C67705" w:rsidRDefault="00A759D5" w:rsidP="00A759D5"/>
    <w:p w14:paraId="7D90BD91" w14:textId="7118CFCA" w:rsidR="00F967E4" w:rsidRDefault="00F967E4" w:rsidP="00C67705">
      <w:pPr>
        <w:sectPr w:rsidR="00F967E4" w:rsidSect="00E53BCF">
          <w:footerReference w:type="default" r:id="rId184"/>
          <w:pgSz w:w="11907" w:h="16839" w:code="9"/>
          <w:pgMar w:top="1985" w:right="1701" w:bottom="1276" w:left="1701" w:header="709" w:footer="264" w:gutter="0"/>
          <w:cols w:space="708"/>
          <w:titlePg/>
          <w:docGrid w:linePitch="360"/>
        </w:sectPr>
      </w:pPr>
    </w:p>
    <w:p w14:paraId="43D7F359" w14:textId="36BD305F" w:rsidR="00E72BB7" w:rsidRDefault="00E72BB7" w:rsidP="00F5783E">
      <w:pPr>
        <w:pStyle w:val="Heading1"/>
      </w:pPr>
      <w:bookmarkStart w:id="502" w:name="_Toc485200227"/>
      <w:r>
        <w:t xml:space="preserve">Anexo </w:t>
      </w:r>
      <w:r w:rsidR="00750EBA">
        <w:t>2</w:t>
      </w:r>
      <w:r>
        <w:t>: Determinación de Razones de Precio de Cuenta.</w:t>
      </w:r>
      <w:bookmarkEnd w:id="502"/>
    </w:p>
    <w:p w14:paraId="4E9F6437" w14:textId="20B4D81F" w:rsidR="00E72BB7" w:rsidRDefault="00E72BB7" w:rsidP="00F5783E">
      <w:pPr>
        <w:pStyle w:val="Heading1"/>
      </w:pPr>
      <w:bookmarkStart w:id="503" w:name="_Toc479789976"/>
      <w:bookmarkStart w:id="504" w:name="_Toc479892500"/>
      <w:bookmarkStart w:id="505" w:name="_Toc480206448"/>
      <w:bookmarkStart w:id="506" w:name="_Toc484985161"/>
      <w:bookmarkStart w:id="507" w:name="_Toc485027046"/>
      <w:bookmarkStart w:id="508" w:name="_Toc485200228"/>
      <w:r>
        <w:t>Ajuste a precios de cuenta.</w:t>
      </w:r>
      <w:bookmarkEnd w:id="503"/>
      <w:bookmarkEnd w:id="504"/>
      <w:bookmarkEnd w:id="505"/>
      <w:bookmarkEnd w:id="506"/>
      <w:bookmarkEnd w:id="507"/>
      <w:bookmarkEnd w:id="508"/>
    </w:p>
    <w:p w14:paraId="53D46560" w14:textId="77777777" w:rsidR="00E72BB7" w:rsidRDefault="00E72BB7" w:rsidP="00E72BB7">
      <w:r>
        <w:t>El precio de mercado suele no reflejar el costo de oportunidad (caso de los factores de producción) o el costo marginal de equilibrio (caso de los bienes y servicios) de tales recursos. Es por ello que se debe recurrir a la elaboración de coeficientes que permitan ajustar estos precios a los correspondientes con sus costos de oportunidad y costos marginales de equilibrio respectivamente (precios de cuenta de eficiencia).</w:t>
      </w:r>
    </w:p>
    <w:p w14:paraId="1641F416" w14:textId="77777777" w:rsidR="00E72BB7" w:rsidRDefault="00E72BB7" w:rsidP="00E72BB7">
      <w:r>
        <w:t>Este ejercicio es necesario ya que, en caso de no realizarse existiendo distorsiones en los precios de mercado, la valoración del proyecto distorsionaría la contribución del mismo al bienestar social.</w:t>
      </w:r>
    </w:p>
    <w:p w14:paraId="7B3DAC28" w14:textId="77777777" w:rsidR="00E72BB7" w:rsidRDefault="00E72BB7" w:rsidP="00E72BB7">
      <w:r>
        <w:t>La diferencia entre los precios de mercado y los de cuenta se debe a la existencia de una serie de distorsiones:</w:t>
      </w:r>
    </w:p>
    <w:p w14:paraId="08027544" w14:textId="23A10D44" w:rsidR="00E72BB7" w:rsidRDefault="00E72BB7" w:rsidP="00C4100D">
      <w:pPr>
        <w:pStyle w:val="ListParagraph"/>
        <w:numPr>
          <w:ilvl w:val="0"/>
          <w:numId w:val="6"/>
        </w:numPr>
      </w:pPr>
      <w:r>
        <w:t xml:space="preserve">La primera de ellas es producto de desequilibrios en el mercado de bienes y servicios ocasionados por la existencia de distintas formas de competencia imperfecta e intervención pública. Para este trabajo los precios de mercado (netos de impuestos) son corregidos en su componente más distorsionada (mano de obra) afectando la parte correspondiente por la razón de cuenta de precios de eficiencia de la mano de obra. </w:t>
      </w:r>
    </w:p>
    <w:p w14:paraId="6159798F" w14:textId="7486AE1C" w:rsidR="00E72BB7" w:rsidRDefault="00E72BB7" w:rsidP="00C4100D">
      <w:pPr>
        <w:pStyle w:val="ListParagraph"/>
        <w:numPr>
          <w:ilvl w:val="0"/>
          <w:numId w:val="6"/>
        </w:numPr>
      </w:pPr>
      <w:r>
        <w:t>En segundo lugar es posible identificar desequilibrios en el mercado de divisas, lo que afecta los precios de los bienes importados y comerciados. Estos desequilibrios se deben a que muchas veces la intervención pública sobre el tipo de cambio hace que este no refleje adecuadamente la verdadera escasez de las divisas. En el caso del proyecto en cuestión no se realizan correcciones en el tipo de cambio por ser evaluado en moneda nacional y no provocar alteraciones significativas en el mercado cambiario.</w:t>
      </w:r>
    </w:p>
    <w:p w14:paraId="40994435" w14:textId="6DD26227" w:rsidR="00E72BB7" w:rsidRDefault="00E72BB7" w:rsidP="00C4100D">
      <w:pPr>
        <w:pStyle w:val="ListParagraph"/>
        <w:numPr>
          <w:ilvl w:val="0"/>
          <w:numId w:val="6"/>
        </w:numPr>
      </w:pPr>
      <w:r>
        <w:t xml:space="preserve">En tercer lugar, otra fuente de distorsiones proviene del hecho que la tasa de interés no recoge el costo de oportunidad del capital ni la preferencia social en el tiempo. En este caso, la misma se encuentra definida exógenamente por el Banco Interamericano de Desarrollo, debiendo utilizarse una tasa de descuento del 12% anual. </w:t>
      </w:r>
    </w:p>
    <w:p w14:paraId="52DA7640" w14:textId="3B0C6748" w:rsidR="00E72BB7" w:rsidRDefault="00E72BB7" w:rsidP="00C4100D">
      <w:pPr>
        <w:pStyle w:val="ListParagraph"/>
        <w:numPr>
          <w:ilvl w:val="0"/>
          <w:numId w:val="6"/>
        </w:numPr>
      </w:pPr>
      <w:r>
        <w:t xml:space="preserve">Finalmente, el último caso a considerar es el de desequilibrios en el mercado del factor de producción mano de obra. Este tema adquiere especial importancia en contextos de alto desempleo y/o precariedad laboral como es el caso en el que se desenvuelve el proyecto; en esta situación es posible suponer que el valor de la mano de obra no calificada tiene un costo de oportunidad muy bajo. En el caso de la mano de obra calificada, si bien existe el desempleo en la realidad, la literatura recomienda suponer la posibilidad de emigración, por lo que su tratamiento es más acotado. </w:t>
      </w:r>
    </w:p>
    <w:p w14:paraId="21F75CA7" w14:textId="77777777" w:rsidR="00E72BB7" w:rsidRDefault="00E72BB7" w:rsidP="00E72BB7">
      <w:r>
        <w:t>En términos formales y de manera genérica, la Razón de Precio de Cuenta puede definirse según la siguiente expresión:</w:t>
      </w:r>
    </w:p>
    <w:p w14:paraId="03577F25" w14:textId="77777777" w:rsidR="00E72BB7" w:rsidRPr="00E72BB7" w:rsidRDefault="00E72BB7" w:rsidP="00E72BB7">
      <w:pPr>
        <w:jc w:val="center"/>
        <w:rPr>
          <w:b/>
        </w:rPr>
      </w:pPr>
      <w:r w:rsidRPr="00E72BB7">
        <w:rPr>
          <w:b/>
        </w:rPr>
        <w:t>RPCX = CEX / PMX = (PMX - DMX) / PMX</w:t>
      </w:r>
    </w:p>
    <w:p w14:paraId="4EB573C0" w14:textId="77777777" w:rsidR="00E72BB7" w:rsidRDefault="00E72BB7" w:rsidP="00E72BB7">
      <w:r>
        <w:t>Dónde:</w:t>
      </w:r>
    </w:p>
    <w:p w14:paraId="22266744" w14:textId="77777777" w:rsidR="00E72BB7" w:rsidRDefault="00E72BB7" w:rsidP="00C4100D">
      <w:pPr>
        <w:pStyle w:val="ListParagraph"/>
        <w:numPr>
          <w:ilvl w:val="0"/>
          <w:numId w:val="7"/>
        </w:numPr>
      </w:pPr>
      <w:r>
        <w:t>RPCX</w:t>
      </w:r>
      <w:r>
        <w:tab/>
        <w:t>Razón Precio Cuenta del bien x</w:t>
      </w:r>
    </w:p>
    <w:p w14:paraId="36545F5D" w14:textId="77777777" w:rsidR="00E72BB7" w:rsidRDefault="00E72BB7" w:rsidP="00C4100D">
      <w:pPr>
        <w:pStyle w:val="ListParagraph"/>
        <w:numPr>
          <w:ilvl w:val="0"/>
          <w:numId w:val="7"/>
        </w:numPr>
      </w:pPr>
      <w:r>
        <w:t>CEX</w:t>
      </w:r>
      <w:r>
        <w:tab/>
        <w:t>Costo Económico del bien x</w:t>
      </w:r>
    </w:p>
    <w:p w14:paraId="5DDB4D72" w14:textId="77777777" w:rsidR="00E72BB7" w:rsidRDefault="00E72BB7" w:rsidP="00C4100D">
      <w:pPr>
        <w:pStyle w:val="ListParagraph"/>
        <w:numPr>
          <w:ilvl w:val="0"/>
          <w:numId w:val="7"/>
        </w:numPr>
      </w:pPr>
      <w:r>
        <w:t>PMX</w:t>
      </w:r>
      <w:r>
        <w:tab/>
        <w:t>Precio de mercado del bien x</w:t>
      </w:r>
    </w:p>
    <w:p w14:paraId="41370660" w14:textId="77777777" w:rsidR="00E72BB7" w:rsidRDefault="00E72BB7" w:rsidP="00C4100D">
      <w:pPr>
        <w:pStyle w:val="ListParagraph"/>
        <w:numPr>
          <w:ilvl w:val="0"/>
          <w:numId w:val="7"/>
        </w:numPr>
      </w:pPr>
      <w:r>
        <w:t>DMX</w:t>
      </w:r>
      <w:r>
        <w:tab/>
        <w:t>Distorsiones que afectan al mercado del bien x</w:t>
      </w:r>
    </w:p>
    <w:p w14:paraId="76FC634B" w14:textId="77777777" w:rsidR="00E72BB7" w:rsidRDefault="00E72BB7" w:rsidP="00E72BB7">
      <w:r>
        <w:t>Es decir que las Razones Precio Cuenta (RPC) corresponden a la relación existente entre el costo económico de un bien y su precio de mercado y por tanto, los costos económicos del proyecto, pueden ser estimados como:</w:t>
      </w:r>
    </w:p>
    <w:p w14:paraId="4B7A2CF5" w14:textId="3F9BE22F" w:rsidR="00E72BB7" w:rsidRPr="00E72BB7" w:rsidRDefault="00E72BB7" w:rsidP="00E72BB7">
      <w:pPr>
        <w:jc w:val="center"/>
        <w:rPr>
          <w:b/>
        </w:rPr>
      </w:pPr>
      <w:r w:rsidRPr="00E72BB7">
        <w:rPr>
          <w:b/>
        </w:rPr>
        <w:t>CE = ∑ (CPMX * RPCX)</w:t>
      </w:r>
    </w:p>
    <w:p w14:paraId="26162089" w14:textId="23A2576F" w:rsidR="00F967E4" w:rsidRDefault="00E72BB7" w:rsidP="00E72BB7">
      <w:r>
        <w:t>Con el objetivo de obtener tales costos económicos del proyecto, se determinaron las razones de precio de cuenta (RPC) mediante la depuración, en los costos a precios de mercado, de los impuestos, transferencias y</w:t>
      </w:r>
      <w:r w:rsidR="00761A7A">
        <w:t xml:space="preserve"> </w:t>
      </w:r>
      <w:r>
        <w:t>subvenciones más importantes que puedan encontrarse en los mismos, considerándose que es posible lograr una sustancial aproximación de los costos a precios de eficiencia.</w:t>
      </w:r>
    </w:p>
    <w:p w14:paraId="4A599AD2" w14:textId="582E519C" w:rsidR="0007125E" w:rsidRDefault="0007125E" w:rsidP="00C4100D">
      <w:pPr>
        <w:pStyle w:val="Heading1"/>
        <w:numPr>
          <w:ilvl w:val="0"/>
          <w:numId w:val="15"/>
        </w:numPr>
      </w:pPr>
      <w:bookmarkStart w:id="509" w:name="_Toc479789977"/>
      <w:bookmarkStart w:id="510" w:name="_Toc479892501"/>
      <w:bookmarkStart w:id="511" w:name="_Toc480206449"/>
      <w:bookmarkStart w:id="512" w:name="_Toc484985162"/>
      <w:bookmarkStart w:id="513" w:name="_Toc485027047"/>
      <w:bookmarkStart w:id="514" w:name="_Toc485200229"/>
      <w:r>
        <w:t>RPC Mano de obra.</w:t>
      </w:r>
      <w:bookmarkEnd w:id="509"/>
      <w:bookmarkEnd w:id="510"/>
      <w:bookmarkEnd w:id="511"/>
      <w:bookmarkEnd w:id="512"/>
      <w:bookmarkEnd w:id="513"/>
      <w:bookmarkEnd w:id="514"/>
    </w:p>
    <w:p w14:paraId="6A953FB4" w14:textId="78EDDC6E" w:rsidR="0007125E" w:rsidRDefault="0007125E" w:rsidP="0007125E">
      <w:r>
        <w:t>La evaluación de los precios de cuenta de la mano de obra se realizó considerando la diferencia entre el costo de la mano de obra y el sueldo de bolsillo efectivo, tomando este último como una medida razonable de la disposición a recibir. Adicionalmente, y considerando que parte del empleo generado por el proyecto será cubierto por trabajadores actualmente desempleados se adicionó el efecto desempleo aplicando una tasa real del 5,9% para el caso de mano de obra no calificada. En el caso de la mano de obra calificada no se consideró el efecto del desempleo.</w:t>
      </w:r>
    </w:p>
    <w:p w14:paraId="7AB9DF49" w14:textId="77777777" w:rsidR="0007125E" w:rsidRDefault="0007125E" w:rsidP="0007125E">
      <w:r>
        <w:t>Para el cálculo de la RPC de la mano de obra no calificada, que en su totalidad se encuadra en el régimen de la construcción, se analizaron las componentes del costo por cada $ 100 de sueldo bruto. Para la mano de obra calificada solo se consideraron los costos emanados de la Ley de Contrato de Trabajo y la normativa de seguridad social.</w:t>
      </w:r>
    </w:p>
    <w:p w14:paraId="5A40F71F" w14:textId="47B8003C" w:rsidR="00E72BB7" w:rsidRDefault="0007125E" w:rsidP="0007125E">
      <w:r>
        <w:t>El gráfico siguiente representa los componentes de costo laboral determinados.</w:t>
      </w:r>
    </w:p>
    <w:p w14:paraId="00000613" w14:textId="0511B6DF" w:rsidR="0007125E" w:rsidRDefault="0007125E" w:rsidP="004F131E">
      <w:pPr>
        <w:pStyle w:val="Caption"/>
      </w:pPr>
      <w:r>
        <w:t xml:space="preserve">Ilustración </w:t>
      </w:r>
      <w:r w:rsidR="005C1A74">
        <w:fldChar w:fldCharType="begin"/>
      </w:r>
      <w:r w:rsidR="005C1A74">
        <w:instrText xml:space="preserve"> SEQ Ilustración \* ARABIC </w:instrText>
      </w:r>
      <w:r w:rsidR="005C1A74">
        <w:fldChar w:fldCharType="separate"/>
      </w:r>
      <w:r w:rsidR="009F66B5">
        <w:rPr>
          <w:noProof/>
        </w:rPr>
        <w:t>14</w:t>
      </w:r>
      <w:r w:rsidR="005C1A74">
        <w:rPr>
          <w:noProof/>
        </w:rPr>
        <w:fldChar w:fldCharType="end"/>
      </w:r>
      <w:r>
        <w:t xml:space="preserve">: </w:t>
      </w:r>
      <w:r w:rsidRPr="00447F99">
        <w:t>Componentes del salario mercado formal.</w:t>
      </w:r>
    </w:p>
    <w:p w14:paraId="03FDAC03" w14:textId="2782D41E" w:rsidR="0007125E" w:rsidRDefault="0007125E" w:rsidP="0007125E">
      <w:r w:rsidRPr="00742FA9">
        <w:rPr>
          <w:noProof/>
          <w:lang w:eastAsia="es-AR"/>
        </w:rPr>
        <w:drawing>
          <wp:inline distT="0" distB="0" distL="0" distR="0" wp14:anchorId="18B5BE56" wp14:editId="2C7BB409">
            <wp:extent cx="5136543" cy="262382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141534" cy="2626369"/>
                    </a:xfrm>
                    <a:prstGeom prst="rect">
                      <a:avLst/>
                    </a:prstGeom>
                    <a:noFill/>
                    <a:ln>
                      <a:noFill/>
                    </a:ln>
                  </pic:spPr>
                </pic:pic>
              </a:graphicData>
            </a:graphic>
          </wp:inline>
        </w:drawing>
      </w:r>
    </w:p>
    <w:p w14:paraId="13A14987" w14:textId="264FF788" w:rsidR="0007125E" w:rsidRDefault="001F39D7" w:rsidP="0007125E">
      <w:r w:rsidRPr="001F39D7">
        <w:t>El cuadro siguiente resume el análisis de RPC correspondiente a la mano de obra no calificada.</w:t>
      </w:r>
    </w:p>
    <w:p w14:paraId="4AFEE0CD" w14:textId="560960D9" w:rsidR="009D3BD7" w:rsidRDefault="009D3BD7" w:rsidP="004F131E">
      <w:pPr>
        <w:pStyle w:val="Caption"/>
      </w:pPr>
      <w:r>
        <w:t xml:space="preserve">Tabla </w:t>
      </w:r>
      <w:r w:rsidR="005C1A74">
        <w:fldChar w:fldCharType="begin"/>
      </w:r>
      <w:r w:rsidR="005C1A74">
        <w:instrText xml:space="preserve"> SEQ Tabla \* ARABIC </w:instrText>
      </w:r>
      <w:r w:rsidR="005C1A74">
        <w:fldChar w:fldCharType="separate"/>
      </w:r>
      <w:r w:rsidR="009F66B5">
        <w:rPr>
          <w:noProof/>
        </w:rPr>
        <w:t>33</w:t>
      </w:r>
      <w:r w:rsidR="005C1A74">
        <w:rPr>
          <w:noProof/>
        </w:rPr>
        <w:fldChar w:fldCharType="end"/>
      </w:r>
      <w:r>
        <w:t xml:space="preserve">: </w:t>
      </w:r>
      <w:r w:rsidRPr="00E12570">
        <w:t>Cálculo RPC Mano de Obra No Calificada.</w:t>
      </w:r>
    </w:p>
    <w:p w14:paraId="64D7D473" w14:textId="1A716847" w:rsidR="001F39D7" w:rsidRDefault="001F39D7" w:rsidP="0007125E">
      <w:r w:rsidRPr="00742FA9">
        <w:rPr>
          <w:noProof/>
          <w:lang w:eastAsia="es-AR"/>
        </w:rPr>
        <w:drawing>
          <wp:inline distT="0" distB="0" distL="0" distR="0" wp14:anchorId="23CB5287" wp14:editId="6D882146">
            <wp:extent cx="5343525" cy="3093085"/>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343525" cy="3093085"/>
                    </a:xfrm>
                    <a:prstGeom prst="rect">
                      <a:avLst/>
                    </a:prstGeom>
                    <a:noFill/>
                    <a:ln>
                      <a:noFill/>
                    </a:ln>
                  </pic:spPr>
                </pic:pic>
              </a:graphicData>
            </a:graphic>
          </wp:inline>
        </w:drawing>
      </w:r>
    </w:p>
    <w:p w14:paraId="4D1A82E1" w14:textId="77777777" w:rsidR="001F39D7" w:rsidRDefault="001F39D7" w:rsidP="001F39D7">
      <w:r>
        <w:t xml:space="preserve">De este análisis surge que de cada $ 145,5 que tiene de costo el empresario en concepto de mano de obra, sólo $ 79 corresponden al sueldo de bolsillo mientras que el resto ($ 66,5) son transferencias. De este modo, y tras considerar una tasa de desempleo real del 5,9%, la </w:t>
      </w:r>
      <w:r w:rsidRPr="001F39D7">
        <w:rPr>
          <w:b/>
        </w:rPr>
        <w:t>Razón Precio de Cuenta Mano de Obra No calificada es 0,51.</w:t>
      </w:r>
    </w:p>
    <w:p w14:paraId="2BAAC21A" w14:textId="0D1BDD1D" w:rsidR="001F39D7" w:rsidRDefault="001F39D7" w:rsidP="001F39D7">
      <w:r>
        <w:t>Análogamente, el siguiente cuadro reproduce el cálculo de la RPC para mano de obra calificada.</w:t>
      </w:r>
    </w:p>
    <w:p w14:paraId="4FFBC170" w14:textId="62491804" w:rsidR="009D3BD7" w:rsidRDefault="009D3BD7" w:rsidP="004F131E">
      <w:pPr>
        <w:pStyle w:val="Caption"/>
      </w:pPr>
      <w:r>
        <w:t xml:space="preserve">Tabla </w:t>
      </w:r>
      <w:r w:rsidR="005C1A74">
        <w:fldChar w:fldCharType="begin"/>
      </w:r>
      <w:r w:rsidR="005C1A74">
        <w:instrText xml:space="preserve"> SEQ Tabla \* ARABIC </w:instrText>
      </w:r>
      <w:r w:rsidR="005C1A74">
        <w:fldChar w:fldCharType="separate"/>
      </w:r>
      <w:r w:rsidR="009F66B5">
        <w:rPr>
          <w:noProof/>
        </w:rPr>
        <w:t>34</w:t>
      </w:r>
      <w:r w:rsidR="005C1A74">
        <w:rPr>
          <w:noProof/>
        </w:rPr>
        <w:fldChar w:fldCharType="end"/>
      </w:r>
      <w:r>
        <w:t xml:space="preserve">: </w:t>
      </w:r>
      <w:r w:rsidRPr="00A71434">
        <w:t>Cálculo RPC Mano de Obra Calificada.</w:t>
      </w:r>
    </w:p>
    <w:p w14:paraId="00FE602E" w14:textId="09CD1121" w:rsidR="001F39D7" w:rsidRDefault="001F39D7" w:rsidP="001F39D7">
      <w:r w:rsidRPr="00742FA9">
        <w:rPr>
          <w:noProof/>
          <w:lang w:eastAsia="es-AR"/>
        </w:rPr>
        <w:drawing>
          <wp:inline distT="0" distB="0" distL="0" distR="0" wp14:anchorId="25E3171D" wp14:editId="7BAF2937">
            <wp:extent cx="5343525" cy="2250440"/>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343525" cy="2250440"/>
                    </a:xfrm>
                    <a:prstGeom prst="rect">
                      <a:avLst/>
                    </a:prstGeom>
                    <a:noFill/>
                    <a:ln>
                      <a:noFill/>
                    </a:ln>
                  </pic:spPr>
                </pic:pic>
              </a:graphicData>
            </a:graphic>
          </wp:inline>
        </w:drawing>
      </w:r>
    </w:p>
    <w:p w14:paraId="67C11F02" w14:textId="77777777" w:rsidR="001F39D7" w:rsidRDefault="001F39D7" w:rsidP="001F39D7">
      <w:r>
        <w:t xml:space="preserve">El ejercicio es similar al realizado para la mano de obra no calificada. En este caso, y si considerar la existencia de desocupación, la </w:t>
      </w:r>
      <w:r w:rsidRPr="001F39D7">
        <w:rPr>
          <w:b/>
        </w:rPr>
        <w:t>Razón de Precios de Cuenta obtenida es de 0,61</w:t>
      </w:r>
      <w:r>
        <w:t>.</w:t>
      </w:r>
    </w:p>
    <w:p w14:paraId="26DE53EB" w14:textId="76CF74F4" w:rsidR="001F39D7" w:rsidRDefault="001F39D7" w:rsidP="001F39D7">
      <w:r>
        <w:t>Dado que las RPC de mano de obra calculadas no contienen ningún ajuste referido a otras rigideces y distorsiones del mercado laboral como, por ejemplo, el efecto de los costos de entrada y salida, las diferencias salariales entre mercado formal e informal o la imposibilidad de ajustar salarios a la baja en el corto plazo, la misma presenta de manera implícita un importante margen de seguridad.</w:t>
      </w:r>
    </w:p>
    <w:p w14:paraId="50521865" w14:textId="5518BDF0" w:rsidR="009D3BD7" w:rsidRDefault="009D3BD7" w:rsidP="00C4100D">
      <w:pPr>
        <w:pStyle w:val="Heading1"/>
        <w:numPr>
          <w:ilvl w:val="0"/>
          <w:numId w:val="15"/>
        </w:numPr>
      </w:pPr>
      <w:bookmarkStart w:id="515" w:name="_Toc479789978"/>
      <w:bookmarkStart w:id="516" w:name="_Toc479892502"/>
      <w:bookmarkStart w:id="517" w:name="_Toc480206450"/>
      <w:bookmarkStart w:id="518" w:name="_Toc484985163"/>
      <w:bookmarkStart w:id="519" w:name="_Toc485027048"/>
      <w:bookmarkStart w:id="520" w:name="_Toc485200230"/>
      <w:r>
        <w:t>RPC Materiales nacionales y equipos.</w:t>
      </w:r>
      <w:bookmarkEnd w:id="515"/>
      <w:bookmarkEnd w:id="516"/>
      <w:bookmarkEnd w:id="517"/>
      <w:bookmarkEnd w:id="518"/>
      <w:bookmarkEnd w:id="519"/>
      <w:bookmarkEnd w:id="520"/>
    </w:p>
    <w:p w14:paraId="787EAFF5" w14:textId="77777777" w:rsidR="009D3BD7" w:rsidRDefault="009D3BD7" w:rsidP="009D3BD7">
      <w:r>
        <w:t>El tratamiento de los insumos nacionales se realizó a partir del análisis de los componentes del valor de los mismos partiendo de la matriz insumo producto (MIP) elaborada por el INDEC en el año 1997 (última disponible).</w:t>
      </w:r>
    </w:p>
    <w:p w14:paraId="2F313EF8" w14:textId="77777777" w:rsidR="009D3BD7" w:rsidRDefault="009D3BD7" w:rsidP="009D3BD7">
      <w:r>
        <w:t>Para ello se tomó la composición de la industria manufacturera y se realizaron cuatro iteraciones a fin de determinar el componente mano de obra de los materiales, que es sobre el cual se aplica la corrección.</w:t>
      </w:r>
    </w:p>
    <w:p w14:paraId="0FC69DB2" w14:textId="6A562BAD" w:rsidR="001F39D7" w:rsidRDefault="003B705D" w:rsidP="009D3BD7">
      <w:r>
        <w:t>La tabla</w:t>
      </w:r>
      <w:r w:rsidR="009D3BD7">
        <w:t xml:space="preserve"> siguiente presenta los valores a precios básicos (miles de $) correspondientes a la MIP 1997 para la industria manufacturera.</w:t>
      </w:r>
    </w:p>
    <w:p w14:paraId="325915B5" w14:textId="3D4E64F4" w:rsidR="009D3BD7" w:rsidRDefault="009D3BD7" w:rsidP="004F131E">
      <w:pPr>
        <w:pStyle w:val="Caption"/>
      </w:pPr>
      <w:r>
        <w:t xml:space="preserve">Tabla </w:t>
      </w:r>
      <w:r w:rsidR="005C1A74">
        <w:fldChar w:fldCharType="begin"/>
      </w:r>
      <w:r w:rsidR="005C1A74">
        <w:instrText xml:space="preserve"> SEQ Tabla \* ARABIC </w:instrText>
      </w:r>
      <w:r w:rsidR="005C1A74">
        <w:fldChar w:fldCharType="separate"/>
      </w:r>
      <w:r w:rsidR="009F66B5">
        <w:rPr>
          <w:noProof/>
        </w:rPr>
        <w:t>35</w:t>
      </w:r>
      <w:r w:rsidR="005C1A74">
        <w:rPr>
          <w:noProof/>
        </w:rPr>
        <w:fldChar w:fldCharType="end"/>
      </w:r>
      <w:r>
        <w:t xml:space="preserve">: </w:t>
      </w:r>
      <w:r w:rsidRPr="006B28AE">
        <w:t>Análisis RPC materiales nacionales mediante MIP.</w:t>
      </w:r>
    </w:p>
    <w:p w14:paraId="769B55D1" w14:textId="044E8D35" w:rsidR="009D3BD7" w:rsidRDefault="009D3BD7" w:rsidP="009D3BD7">
      <w:r w:rsidRPr="00742FA9">
        <w:rPr>
          <w:noProof/>
          <w:lang w:eastAsia="es-AR"/>
        </w:rPr>
        <w:drawing>
          <wp:inline distT="0" distB="0" distL="0" distR="0" wp14:anchorId="3B256F3F" wp14:editId="043F1D2A">
            <wp:extent cx="5394960" cy="246888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394960" cy="2468880"/>
                    </a:xfrm>
                    <a:prstGeom prst="rect">
                      <a:avLst/>
                    </a:prstGeom>
                    <a:noFill/>
                    <a:ln>
                      <a:noFill/>
                    </a:ln>
                  </pic:spPr>
                </pic:pic>
              </a:graphicData>
            </a:graphic>
          </wp:inline>
        </w:drawing>
      </w:r>
    </w:p>
    <w:p w14:paraId="5E8EB6F2" w14:textId="77777777" w:rsidR="009D3BD7" w:rsidRDefault="009D3BD7" w:rsidP="009D3BD7">
      <w:r>
        <w:t xml:space="preserve">Del análisis anterior, tras evaluar la razón entre VBP a precios básicos y VBP corregidos a precios de cuenta surge que la </w:t>
      </w:r>
      <w:r w:rsidRPr="009D3BD7">
        <w:rPr>
          <w:b/>
        </w:rPr>
        <w:t>RPC para materiales y equipos nacionales es 0,848.</w:t>
      </w:r>
    </w:p>
    <w:p w14:paraId="2B6C64C5" w14:textId="1C75F6B3" w:rsidR="009D3BD7" w:rsidRDefault="009D3BD7" w:rsidP="00C4100D">
      <w:pPr>
        <w:pStyle w:val="Heading1"/>
        <w:numPr>
          <w:ilvl w:val="0"/>
          <w:numId w:val="15"/>
        </w:numPr>
      </w:pPr>
      <w:bookmarkStart w:id="521" w:name="_Toc479789979"/>
      <w:bookmarkStart w:id="522" w:name="_Toc479892503"/>
      <w:bookmarkStart w:id="523" w:name="_Toc480206451"/>
      <w:bookmarkStart w:id="524" w:name="_Toc484985164"/>
      <w:bookmarkStart w:id="525" w:name="_Toc485027049"/>
      <w:bookmarkStart w:id="526" w:name="_Toc485200231"/>
      <w:r>
        <w:t>RPC Materiales importados.</w:t>
      </w:r>
      <w:bookmarkEnd w:id="521"/>
      <w:bookmarkEnd w:id="522"/>
      <w:bookmarkEnd w:id="523"/>
      <w:bookmarkEnd w:id="524"/>
      <w:bookmarkEnd w:id="525"/>
      <w:bookmarkEnd w:id="526"/>
    </w:p>
    <w:p w14:paraId="786299A1" w14:textId="63246B35" w:rsidR="009D3BD7" w:rsidRDefault="009D3BD7" w:rsidP="009D3BD7">
      <w:r>
        <w:t xml:space="preserve">A fin de determinar la razón de precios de cuenta de los materiales importados, como primer paso se calculó el arancel medio aplicado a las importaciones de los capítulos relevantes para los proyectos de inversión evaluados, luego se analizó la presencia de otros costos e impuestos asociados a la nacionalización y finalmente se realizó un costeo detallado de importaciones a precios de mercado y a precios de cuenta según el detalle de la </w:t>
      </w:r>
      <w:r>
        <w:fldChar w:fldCharType="begin"/>
      </w:r>
      <w:r>
        <w:instrText xml:space="preserve"> REF _Ref479673473 \h </w:instrText>
      </w:r>
      <w:r>
        <w:fldChar w:fldCharType="separate"/>
      </w:r>
      <w:r w:rsidR="009F66B5">
        <w:t xml:space="preserve">Tabla </w:t>
      </w:r>
      <w:r w:rsidR="009F66B5">
        <w:rPr>
          <w:noProof/>
        </w:rPr>
        <w:t>37</w:t>
      </w:r>
      <w:r>
        <w:fldChar w:fldCharType="end"/>
      </w:r>
      <w:r>
        <w:t>.</w:t>
      </w:r>
    </w:p>
    <w:p w14:paraId="79AC9AF0" w14:textId="76716742" w:rsidR="009D3BD7" w:rsidRDefault="009D3BD7" w:rsidP="009D3BD7">
      <w:r>
        <w:t>Para la determinación del arancel medio de importación se consideró el promedio de los derechos ad valorem</w:t>
      </w:r>
      <w:r>
        <w:rPr>
          <w:rStyle w:val="FootnoteReference"/>
        </w:rPr>
        <w:footnoteReference w:id="32"/>
      </w:r>
      <w:r>
        <w:t xml:space="preserve"> informados en la base de aranceles de la Organización Mundial del Comercio (OMC) para la República Argentina y para los capítulos del NMF relacionados con los proyectos analizados según el siguiente detalle:</w:t>
      </w:r>
    </w:p>
    <w:p w14:paraId="4BB8ADAB" w14:textId="60632CE6" w:rsidR="009D3BD7" w:rsidRDefault="009D3BD7" w:rsidP="004F131E">
      <w:pPr>
        <w:pStyle w:val="Caption"/>
      </w:pPr>
      <w:r>
        <w:t xml:space="preserve">Tabla </w:t>
      </w:r>
      <w:r w:rsidR="005C1A74">
        <w:fldChar w:fldCharType="begin"/>
      </w:r>
      <w:r w:rsidR="005C1A74">
        <w:instrText xml:space="preserve"> SEQ Tabla \* ARABIC </w:instrText>
      </w:r>
      <w:r w:rsidR="005C1A74">
        <w:fldChar w:fldCharType="separate"/>
      </w:r>
      <w:r w:rsidR="009F66B5">
        <w:rPr>
          <w:noProof/>
        </w:rPr>
        <w:t>36</w:t>
      </w:r>
      <w:r w:rsidR="005C1A74">
        <w:rPr>
          <w:noProof/>
        </w:rPr>
        <w:fldChar w:fldCharType="end"/>
      </w:r>
      <w:r>
        <w:t xml:space="preserve">: </w:t>
      </w:r>
      <w:r w:rsidRPr="00AF5665">
        <w:t>Derechos de importación promedio – Capítulos seleccionados.</w:t>
      </w:r>
    </w:p>
    <w:p w14:paraId="29CD8637" w14:textId="107EFD77" w:rsidR="009D3BD7" w:rsidRDefault="009D3BD7" w:rsidP="009D3BD7">
      <w:r w:rsidRPr="00742FA9">
        <w:rPr>
          <w:noProof/>
          <w:lang w:eastAsia="es-AR"/>
        </w:rPr>
        <w:drawing>
          <wp:inline distT="0" distB="0" distL="0" distR="0" wp14:anchorId="4CA2C79E" wp14:editId="69A5962C">
            <wp:extent cx="4572000" cy="2894330"/>
            <wp:effectExtent l="0" t="0" r="0"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572000" cy="2894330"/>
                    </a:xfrm>
                    <a:prstGeom prst="rect">
                      <a:avLst/>
                    </a:prstGeom>
                    <a:noFill/>
                    <a:ln>
                      <a:noFill/>
                    </a:ln>
                  </pic:spPr>
                </pic:pic>
              </a:graphicData>
            </a:graphic>
          </wp:inline>
        </w:drawing>
      </w:r>
    </w:p>
    <w:p w14:paraId="42E782ED" w14:textId="1D223415" w:rsidR="009D3BD7" w:rsidRDefault="009D3BD7" w:rsidP="009D3BD7">
      <w:r>
        <w:t xml:space="preserve">El arancel medio determinado se incluyó en el costeo de nacionalización de importaciones según el detalle de la </w:t>
      </w:r>
      <w:r>
        <w:fldChar w:fldCharType="begin"/>
      </w:r>
      <w:r>
        <w:instrText xml:space="preserve"> REF _Ref479673473 \h </w:instrText>
      </w:r>
      <w:r>
        <w:fldChar w:fldCharType="separate"/>
      </w:r>
      <w:r w:rsidR="009F66B5">
        <w:t xml:space="preserve">Tabla </w:t>
      </w:r>
      <w:r w:rsidR="009F66B5">
        <w:rPr>
          <w:noProof/>
        </w:rPr>
        <w:t>37</w:t>
      </w:r>
      <w:r>
        <w:fldChar w:fldCharType="end"/>
      </w:r>
      <w:r>
        <w:t xml:space="preserve"> en el que se analizó el caso de un bien compuesto cuyo valor FOB fuese de 100 unidades monetarias. Se aclara que si bien la nacionalización de importaciones exige adelantar el Impuesto al Valor Agregado el mismo puede considerarse como crédito fiscal, por lo que no se incluye su cómputo.</w:t>
      </w:r>
    </w:p>
    <w:p w14:paraId="2B70AD49" w14:textId="0E3DCEFA" w:rsidR="009D3BD7" w:rsidRDefault="009D3BD7" w:rsidP="004F131E">
      <w:pPr>
        <w:pStyle w:val="Caption"/>
      </w:pPr>
      <w:bookmarkStart w:id="527" w:name="_Ref479673473"/>
      <w:r>
        <w:t xml:space="preserve">Tabla </w:t>
      </w:r>
      <w:r w:rsidR="005C1A74">
        <w:fldChar w:fldCharType="begin"/>
      </w:r>
      <w:r w:rsidR="005C1A74">
        <w:instrText xml:space="preserve"> SEQ Tabla \* ARABIC </w:instrText>
      </w:r>
      <w:r w:rsidR="005C1A74">
        <w:fldChar w:fldCharType="separate"/>
      </w:r>
      <w:r w:rsidR="009F66B5">
        <w:rPr>
          <w:noProof/>
        </w:rPr>
        <w:t>37</w:t>
      </w:r>
      <w:r w:rsidR="005C1A74">
        <w:rPr>
          <w:noProof/>
        </w:rPr>
        <w:fldChar w:fldCharType="end"/>
      </w:r>
      <w:bookmarkEnd w:id="527"/>
      <w:r>
        <w:t xml:space="preserve">: </w:t>
      </w:r>
      <w:r w:rsidRPr="00452E34">
        <w:t>Costeo de importación – Determinación de la RPC.</w:t>
      </w:r>
    </w:p>
    <w:p w14:paraId="52B96FDD" w14:textId="613F4C7F" w:rsidR="009D3BD7" w:rsidRDefault="009D3BD7" w:rsidP="009D3BD7">
      <w:r>
        <w:rPr>
          <w:noProof/>
          <w:lang w:eastAsia="es-AR"/>
        </w:rPr>
        <w:drawing>
          <wp:inline distT="0" distB="0" distL="0" distR="0" wp14:anchorId="77E14D30" wp14:editId="098C2A4C">
            <wp:extent cx="5380990" cy="3256915"/>
            <wp:effectExtent l="0" t="0" r="0" b="6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380990" cy="3256915"/>
                    </a:xfrm>
                    <a:prstGeom prst="rect">
                      <a:avLst/>
                    </a:prstGeom>
                    <a:noFill/>
                  </pic:spPr>
                </pic:pic>
              </a:graphicData>
            </a:graphic>
          </wp:inline>
        </w:drawing>
      </w:r>
    </w:p>
    <w:p w14:paraId="1A0435FE" w14:textId="0F101A29" w:rsidR="009D3BD7" w:rsidRDefault="00955001" w:rsidP="009D3BD7">
      <w:pPr>
        <w:rPr>
          <w:b/>
        </w:rPr>
      </w:pPr>
      <w:r w:rsidRPr="00955001">
        <w:t xml:space="preserve">Del análisis desarrollado surge que la </w:t>
      </w:r>
      <w:r w:rsidRPr="00955001">
        <w:rPr>
          <w:b/>
        </w:rPr>
        <w:t>RPC aplicable a los costos de materiales importados es de 0,844.</w:t>
      </w:r>
    </w:p>
    <w:p w14:paraId="2778F3FC" w14:textId="282FD995" w:rsidR="00955001" w:rsidRDefault="00955001" w:rsidP="00C4100D">
      <w:pPr>
        <w:pStyle w:val="Heading1"/>
        <w:numPr>
          <w:ilvl w:val="0"/>
          <w:numId w:val="15"/>
        </w:numPr>
      </w:pPr>
      <w:bookmarkStart w:id="528" w:name="_Toc479789980"/>
      <w:bookmarkStart w:id="529" w:name="_Toc479892504"/>
      <w:bookmarkStart w:id="530" w:name="_Toc480206452"/>
      <w:bookmarkStart w:id="531" w:name="_Toc484985165"/>
      <w:bookmarkStart w:id="532" w:name="_Toc485027050"/>
      <w:bookmarkStart w:id="533" w:name="_Toc485200232"/>
      <w:r>
        <w:t>RPC Energía eléctrica y combustibles.</w:t>
      </w:r>
      <w:bookmarkEnd w:id="528"/>
      <w:bookmarkEnd w:id="529"/>
      <w:bookmarkEnd w:id="530"/>
      <w:bookmarkEnd w:id="531"/>
      <w:bookmarkEnd w:id="532"/>
      <w:bookmarkEnd w:id="533"/>
    </w:p>
    <w:p w14:paraId="6634E535" w14:textId="77777777" w:rsidR="00955001" w:rsidRDefault="00955001" w:rsidP="00955001">
      <w:r>
        <w:t>Dada la situación de la matriz energética argentina y la presencia de impuestos y subsidios considerables y de diversa índole sobre los precios de la energía y los combustibles, para este trabajo no se considerarán precios de cuenta, adoptándose por ende una RPC de 1.</w:t>
      </w:r>
    </w:p>
    <w:p w14:paraId="33DC8267" w14:textId="4EBAF8A1" w:rsidR="00955001" w:rsidRDefault="00955001" w:rsidP="00C4100D">
      <w:pPr>
        <w:pStyle w:val="Heading1"/>
        <w:numPr>
          <w:ilvl w:val="0"/>
          <w:numId w:val="15"/>
        </w:numPr>
      </w:pPr>
      <w:bookmarkStart w:id="534" w:name="_Toc479789981"/>
      <w:bookmarkStart w:id="535" w:name="_Toc479892505"/>
      <w:bookmarkStart w:id="536" w:name="_Toc480206453"/>
      <w:bookmarkStart w:id="537" w:name="_Toc484985166"/>
      <w:bookmarkStart w:id="538" w:name="_Toc485027051"/>
      <w:bookmarkStart w:id="539" w:name="_Toc485200233"/>
      <w:r>
        <w:t>Síntesis de las RPC aplicables al proyecto de inversión.</w:t>
      </w:r>
      <w:bookmarkEnd w:id="534"/>
      <w:bookmarkEnd w:id="535"/>
      <w:bookmarkEnd w:id="536"/>
      <w:bookmarkEnd w:id="537"/>
      <w:bookmarkEnd w:id="538"/>
      <w:bookmarkEnd w:id="539"/>
    </w:p>
    <w:p w14:paraId="77C850D0" w14:textId="2D824A1E" w:rsidR="00955001" w:rsidRDefault="00955001" w:rsidP="00955001">
      <w:r>
        <w:t>El cuadro siguiente sintetiza los resultados obtenidos de las razones de precio de cuenta a aplicar sobre los costos a precios de mercado sin IVA del proyecto a efectos de transformarlos en precios de cuenta o eficiencia.</w:t>
      </w:r>
    </w:p>
    <w:p w14:paraId="77E11B41" w14:textId="44FFB01C" w:rsidR="00955001" w:rsidRDefault="00955001" w:rsidP="004F131E">
      <w:pPr>
        <w:pStyle w:val="Caption"/>
      </w:pPr>
      <w:r>
        <w:t xml:space="preserve">Tabla </w:t>
      </w:r>
      <w:r w:rsidR="005C1A74">
        <w:fldChar w:fldCharType="begin"/>
      </w:r>
      <w:r w:rsidR="005C1A74">
        <w:instrText xml:space="preserve"> SEQ Tabla \* ARABIC </w:instrText>
      </w:r>
      <w:r w:rsidR="005C1A74">
        <w:fldChar w:fldCharType="separate"/>
      </w:r>
      <w:r w:rsidR="009F66B5">
        <w:rPr>
          <w:noProof/>
        </w:rPr>
        <w:t>38</w:t>
      </w:r>
      <w:r w:rsidR="005C1A74">
        <w:rPr>
          <w:noProof/>
        </w:rPr>
        <w:fldChar w:fldCharType="end"/>
      </w:r>
      <w:r>
        <w:t xml:space="preserve">: </w:t>
      </w:r>
      <w:r w:rsidRPr="00867B20">
        <w:t>Síntesis de RPC a aplicar.</w:t>
      </w:r>
    </w:p>
    <w:p w14:paraId="7A622D66" w14:textId="3D2870C2" w:rsidR="00955001" w:rsidRDefault="00955001" w:rsidP="00955001">
      <w:r w:rsidRPr="00742FA9">
        <w:rPr>
          <w:noProof/>
          <w:lang w:eastAsia="es-AR"/>
        </w:rPr>
        <w:drawing>
          <wp:inline distT="0" distB="0" distL="0" distR="0" wp14:anchorId="60DD5C8D" wp14:editId="27347BF8">
            <wp:extent cx="3267710" cy="2019935"/>
            <wp:effectExtent l="0" t="0" r="889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267710" cy="2019935"/>
                    </a:xfrm>
                    <a:prstGeom prst="rect">
                      <a:avLst/>
                    </a:prstGeom>
                    <a:noFill/>
                    <a:ln>
                      <a:noFill/>
                    </a:ln>
                  </pic:spPr>
                </pic:pic>
              </a:graphicData>
            </a:graphic>
          </wp:inline>
        </w:drawing>
      </w:r>
    </w:p>
    <w:p w14:paraId="2013FD24" w14:textId="77777777" w:rsidR="00955001" w:rsidRDefault="00955001" w:rsidP="00955001"/>
    <w:p w14:paraId="5236A65A" w14:textId="77777777" w:rsidR="00432895" w:rsidRDefault="00432895" w:rsidP="00955001">
      <w:pPr>
        <w:sectPr w:rsidR="00432895" w:rsidSect="002217F1">
          <w:footerReference w:type="default" r:id="rId192"/>
          <w:headerReference w:type="first" r:id="rId193"/>
          <w:footerReference w:type="first" r:id="rId194"/>
          <w:pgSz w:w="11907" w:h="16839" w:code="9"/>
          <w:pgMar w:top="1985" w:right="1701" w:bottom="1276" w:left="1701" w:header="709" w:footer="264" w:gutter="0"/>
          <w:cols w:space="708"/>
          <w:docGrid w:linePitch="360"/>
        </w:sectPr>
      </w:pPr>
    </w:p>
    <w:p w14:paraId="7CDB0EEE" w14:textId="7B0A38EC" w:rsidR="00955001" w:rsidRDefault="00955001" w:rsidP="008124FC"/>
    <w:p w14:paraId="5B539EAA" w14:textId="4E583DDB" w:rsidR="002C117E" w:rsidRDefault="002C117E" w:rsidP="00F5783E">
      <w:pPr>
        <w:pStyle w:val="Heading1"/>
      </w:pPr>
      <w:bookmarkStart w:id="540" w:name="_Toc452045603"/>
      <w:bookmarkStart w:id="541" w:name="_Toc485200234"/>
      <w:r>
        <w:t xml:space="preserve">Anexo </w:t>
      </w:r>
      <w:r w:rsidR="00747FE9">
        <w:t>3</w:t>
      </w:r>
      <w:r>
        <w:t>: Análisis de elasticidad</w:t>
      </w:r>
      <w:r>
        <w:rPr>
          <w:rStyle w:val="FootnoteReference"/>
        </w:rPr>
        <w:footnoteReference w:id="33"/>
      </w:r>
      <w:r>
        <w:t>.</w:t>
      </w:r>
      <w:bookmarkEnd w:id="540"/>
      <w:bookmarkEnd w:id="541"/>
    </w:p>
    <w:p w14:paraId="31FAD1E0" w14:textId="77777777" w:rsidR="002C117E" w:rsidRDefault="002C117E" w:rsidP="002C117E"/>
    <w:p w14:paraId="7E524A59" w14:textId="77777777" w:rsidR="002C117E" w:rsidRDefault="002C117E" w:rsidP="00C4100D">
      <w:pPr>
        <w:pStyle w:val="Heading1"/>
        <w:numPr>
          <w:ilvl w:val="0"/>
          <w:numId w:val="73"/>
        </w:numPr>
      </w:pPr>
      <w:bookmarkStart w:id="542" w:name="_Toc203490918"/>
      <w:bookmarkStart w:id="543" w:name="_Toc203725942"/>
      <w:bookmarkStart w:id="544" w:name="_Toc203911292"/>
      <w:bookmarkStart w:id="545" w:name="_Toc204009888"/>
      <w:bookmarkStart w:id="546" w:name="_Toc204097184"/>
      <w:bookmarkStart w:id="547" w:name="_Toc204144236"/>
      <w:bookmarkStart w:id="548" w:name="_Toc204269128"/>
      <w:bookmarkStart w:id="549" w:name="_Toc204652581"/>
      <w:bookmarkStart w:id="550" w:name="_Toc205030377"/>
      <w:bookmarkStart w:id="551" w:name="_Toc205044536"/>
      <w:bookmarkStart w:id="552" w:name="_Toc205117480"/>
      <w:bookmarkStart w:id="553" w:name="_Toc452041668"/>
      <w:bookmarkStart w:id="554" w:name="_Toc452045604"/>
      <w:bookmarkStart w:id="555" w:name="_Toc480206455"/>
      <w:bookmarkStart w:id="556" w:name="_Toc484985168"/>
      <w:bookmarkStart w:id="557" w:name="_Toc485027053"/>
      <w:bookmarkStart w:id="558" w:name="_Toc485200235"/>
      <w:r>
        <w:t>Introducción.</w:t>
      </w:r>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p>
    <w:p w14:paraId="35FB3F94" w14:textId="77777777" w:rsidR="002C117E" w:rsidRDefault="002C117E" w:rsidP="002C117E">
      <w:r>
        <w:t>El objetivo del análisis de elasticidad precio es determinar cuáles son las variaciones en el consumo que pueden esperarse ante variaciones en el precio, tomando como base el comportamiento que ante cambios en el precio ha tenido el consumo en el pasado.</w:t>
      </w:r>
    </w:p>
    <w:p w14:paraId="02C2E55D" w14:textId="77777777" w:rsidR="002C117E" w:rsidRDefault="002C117E" w:rsidP="002C117E">
      <w:r>
        <w:t>Pero el nivel de consumo, ni las variaciones que el mismo haya presentado en el pasado puede atribuirse exclusivamente a las variaciones que se hayan dado en el precio. Se debe reconocer que existen otras variables que afectan el nivel de consumo y sus cambios. Como consecuencia, para inferir el efecto de los cambios en el precio sobre los niveles de consumo se debe realizar un análisis de regresión multivariado, donde la variable dependiente es el consumo y las variables independientes son el conjunto de todas aquellas de las que se tenga información y se considere pueden influir en el nivel de consumo, entre las cuales debe estar incluido el precio.</w:t>
      </w:r>
    </w:p>
    <w:p w14:paraId="09E5D709" w14:textId="77777777" w:rsidR="002C117E" w:rsidRDefault="002C117E" w:rsidP="002C117E">
      <w:r>
        <w:t>Como resultado del análisis multivariado no se tendrá solamente la elasticidad del consumo al precio sino que también se tendrá la elasticidad del consumo a cada uno de las otras variables que se incluyan en el análisis, permitiendo evaluar la capacidad de políticas alternativas o complementarias al cambio de precios, como medio para administrar adecuadamente la demanda de agua.</w:t>
      </w:r>
    </w:p>
    <w:p w14:paraId="51773B3A" w14:textId="77777777" w:rsidR="002C117E" w:rsidRDefault="002C117E" w:rsidP="002C117E">
      <w:r>
        <w:t>Dado que el análisis busca determinar la reacción del consumo a las variaciones en precios, y como los usuarios no medidos no tienen ningún incentivo a cambiar su nivel de consumo ante cambios en el valor de su factura, para el análisis de elasticidad precio a realizar, se trabajó exclusivamente con los usuarios medidos.</w:t>
      </w:r>
    </w:p>
    <w:p w14:paraId="6628116D" w14:textId="77777777" w:rsidR="002C117E" w:rsidRDefault="002C117E" w:rsidP="002C117E">
      <w:r>
        <w:t xml:space="preserve">En este anexo se presenta la síntesis de los fundamentos básicos utilizados para medir la elasticidad y los resultados encontrados. </w:t>
      </w:r>
    </w:p>
    <w:p w14:paraId="2A316CB3" w14:textId="77777777" w:rsidR="002C117E" w:rsidRDefault="002C117E" w:rsidP="002C117E"/>
    <w:p w14:paraId="4523CA4C" w14:textId="77777777" w:rsidR="002C117E" w:rsidRDefault="002C117E" w:rsidP="00C4100D">
      <w:pPr>
        <w:pStyle w:val="Heading1"/>
        <w:numPr>
          <w:ilvl w:val="0"/>
          <w:numId w:val="25"/>
        </w:numPr>
      </w:pPr>
      <w:bookmarkStart w:id="559" w:name="_Toc203490919"/>
      <w:bookmarkStart w:id="560" w:name="_Toc203725943"/>
      <w:bookmarkStart w:id="561" w:name="_Toc203911293"/>
      <w:bookmarkStart w:id="562" w:name="_Toc204009889"/>
      <w:bookmarkStart w:id="563" w:name="_Toc204097185"/>
      <w:bookmarkStart w:id="564" w:name="_Toc204144237"/>
      <w:bookmarkStart w:id="565" w:name="_Toc204269129"/>
      <w:bookmarkStart w:id="566" w:name="_Toc204652582"/>
      <w:bookmarkStart w:id="567" w:name="_Toc205030378"/>
      <w:bookmarkStart w:id="568" w:name="_Toc205044537"/>
      <w:bookmarkStart w:id="569" w:name="_Toc205117481"/>
      <w:bookmarkStart w:id="570" w:name="_Toc452041669"/>
      <w:bookmarkStart w:id="571" w:name="_Toc452045605"/>
      <w:bookmarkStart w:id="572" w:name="_Toc480206456"/>
      <w:bookmarkStart w:id="573" w:name="_Toc484985169"/>
      <w:bookmarkStart w:id="574" w:name="_Toc485027054"/>
      <w:bookmarkStart w:id="575" w:name="_Toc485200236"/>
      <w:r>
        <w:t>Categorías de análisis.</w:t>
      </w:r>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p>
    <w:p w14:paraId="09149317" w14:textId="77777777" w:rsidR="002C117E" w:rsidRDefault="002C117E" w:rsidP="002C117E">
      <w:r>
        <w:t>Para iniciar el análisis del comportamiento del consumo de los usuarios del servicio se debe partir de una clasificación básica según el destino de la unidad, es decir, si esta es un lugar de residencia familiar (unidad residencial) o si es un lugar de otro tipo de actividad como comercial, industrial o institucional. Esta clasificación inicial obedece al hecho que los determinantes de la demanda (consumo) de agua entre esos grupos (y posiblemente su reacción a los cambios en el precio) son claramente diferentes.</w:t>
      </w:r>
    </w:p>
    <w:p w14:paraId="755B85C9" w14:textId="77777777" w:rsidR="002C117E" w:rsidRDefault="002C117E" w:rsidP="002C117E">
      <w:r>
        <w:t>Así, mientras variables tales como el número de miembros del hogar o el tamaño de la vivienda, pueden tener influencia significativa sobre el nivel de consumo de agua de una familia, ellas no tienen importancia alguna al intentar explicar el nivel de consumo de un comercio o una industria.</w:t>
      </w:r>
    </w:p>
    <w:p w14:paraId="53286535" w14:textId="77777777" w:rsidR="002C117E" w:rsidRDefault="002C117E" w:rsidP="002C117E">
      <w:r>
        <w:t>Igualmente, mientras que el nivel de actividad económica del país -medida por medio de la evolución del PBI- puede tener marcadas influencia en el nivel de uso de agua por parte de las industrias y los comercios que utilizan el agua como insumo importante dentro de su actividad económica, su efecto será indirecto y menos significativo sobre los hogares y sobre el resto de la industria, el comercio o el sector institucional.</w:t>
      </w:r>
    </w:p>
    <w:p w14:paraId="4FBF7F64" w14:textId="77777777" w:rsidR="002C117E" w:rsidRDefault="002C117E" w:rsidP="002C117E">
      <w:r>
        <w:t>Así, el efecto de la evolución del PBI sobre el consumo de agua de los hogares será derivado del efecto que dicha evolución puede tener sobre el nivel de ingreso de las familias, mientras que el efecto sobre las otras actividades económicas será consecuencia directa de la forma como se afecte el nivel de empleo.</w:t>
      </w:r>
    </w:p>
    <w:p w14:paraId="0086F0B4" w14:textId="77777777" w:rsidR="002C117E" w:rsidRDefault="002C117E" w:rsidP="002C117E">
      <w:r>
        <w:t>Pero además de las diferencias entre estos dos grandes grupos (usuarios residenciales y usuarios no residenciales), existe la necesidad de tener en cuenta que, por efecto de los códigos de construcción pasado y vigentes (que no han establecido nunca como requisito a la planificación la colocación de medidores de agua a cada una de las unidades), las propiedades horizontales actualmente medidas solo tienen uno o varios medidores generales, a la entrada del edificio, el cual registra el consumo conjunto de toda la propiedad, sin que exista información alguna del consumo realizado por cada una de las unidades que lo conforman.</w:t>
      </w:r>
    </w:p>
    <w:p w14:paraId="53CCE6E8" w14:textId="77777777" w:rsidR="002C117E" w:rsidRDefault="002C117E" w:rsidP="002C117E">
      <w:r>
        <w:t>Por lo anterior, en el caso de los usuarios residenciales de la categoría uno, la unidad de observación será directamente el consumo registrado por el medidor de la vivienda, pero en el caso de los usuarios residenciales de la categoría dos, al no existir medición por cada unidad individual, la unidad real o primaria de observación será el consumo registrado en el medidor del consorcio, pero el análisis de elasticidad se realizará tomando como variable independiente el consumo medio asignado a cada unidad que conforma el consorcio, que será igual al consumo total del edificio dividido por el total de unidades que lo conforman.</w:t>
      </w:r>
    </w:p>
    <w:p w14:paraId="76C330FD" w14:textId="77777777" w:rsidR="002C117E" w:rsidRDefault="002C117E" w:rsidP="002C117E">
      <w:r>
        <w:t xml:space="preserve"> Igualmente, y por las mismas razones, para el caso de los usuarios no residenciales de la categoría uno, la unidad de observación será el consumo del local o establecimiento, mientras que para los de categoría dos será el consorcio.</w:t>
      </w:r>
    </w:p>
    <w:p w14:paraId="393B55FE" w14:textId="77777777" w:rsidR="002C117E" w:rsidRDefault="002C117E" w:rsidP="002C117E">
      <w:r>
        <w:t>Dada las características de la presente evaluación económica, en esta oportunidad solo se considerará la estimación de elasticidad para usuarios residenciales tipo 1.</w:t>
      </w:r>
    </w:p>
    <w:p w14:paraId="345EC352" w14:textId="77777777" w:rsidR="002C117E" w:rsidRDefault="002C117E" w:rsidP="002C117E"/>
    <w:p w14:paraId="3277F6A8" w14:textId="77777777" w:rsidR="002C117E" w:rsidRDefault="002C117E" w:rsidP="00C4100D">
      <w:pPr>
        <w:pStyle w:val="Heading1"/>
        <w:numPr>
          <w:ilvl w:val="0"/>
          <w:numId w:val="25"/>
        </w:numPr>
      </w:pPr>
      <w:bookmarkStart w:id="576" w:name="_Toc203490920"/>
      <w:bookmarkStart w:id="577" w:name="_Toc203725944"/>
      <w:bookmarkStart w:id="578" w:name="_Toc203911294"/>
      <w:bookmarkStart w:id="579" w:name="_Toc204009890"/>
      <w:bookmarkStart w:id="580" w:name="_Toc204097186"/>
      <w:bookmarkStart w:id="581" w:name="_Toc204144238"/>
      <w:bookmarkStart w:id="582" w:name="_Toc204269130"/>
      <w:bookmarkStart w:id="583" w:name="_Toc204652583"/>
      <w:bookmarkStart w:id="584" w:name="_Toc205030379"/>
      <w:bookmarkStart w:id="585" w:name="_Toc205044538"/>
      <w:bookmarkStart w:id="586" w:name="_Toc205117482"/>
      <w:bookmarkStart w:id="587" w:name="_Toc452041670"/>
      <w:bookmarkStart w:id="588" w:name="_Toc452045606"/>
      <w:bookmarkStart w:id="589" w:name="_Toc480206457"/>
      <w:bookmarkStart w:id="590" w:name="_Toc484985170"/>
      <w:bookmarkStart w:id="591" w:name="_Toc485027055"/>
      <w:bookmarkStart w:id="592" w:name="_Toc485200237"/>
      <w:r>
        <w:t>Determinantes del consumo de agua.</w:t>
      </w:r>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p>
    <w:p w14:paraId="3F3E6B04" w14:textId="6FF24696" w:rsidR="002C117E" w:rsidRDefault="002C117E" w:rsidP="002B0107">
      <w:pPr>
        <w:pStyle w:val="Heading2"/>
        <w:numPr>
          <w:ilvl w:val="1"/>
          <w:numId w:val="25"/>
        </w:numPr>
      </w:pPr>
      <w:bookmarkStart w:id="593" w:name="_Toc203490921"/>
      <w:bookmarkStart w:id="594" w:name="_Toc203725945"/>
      <w:bookmarkStart w:id="595" w:name="_Toc203911295"/>
      <w:bookmarkStart w:id="596" w:name="_Toc204009891"/>
      <w:bookmarkStart w:id="597" w:name="_Toc204097187"/>
      <w:bookmarkStart w:id="598" w:name="_Toc204144239"/>
      <w:bookmarkStart w:id="599" w:name="_Toc204269131"/>
      <w:bookmarkStart w:id="600" w:name="_Toc204652584"/>
      <w:bookmarkStart w:id="601" w:name="_Toc205030380"/>
      <w:bookmarkStart w:id="602" w:name="_Toc205044539"/>
      <w:bookmarkStart w:id="603" w:name="_Toc205117483"/>
      <w:bookmarkStart w:id="604" w:name="_Toc452041671"/>
      <w:bookmarkStart w:id="605" w:name="_Toc452045607"/>
      <w:bookmarkStart w:id="606" w:name="_Toc480206458"/>
      <w:bookmarkStart w:id="607" w:name="_Toc484985171"/>
      <w:bookmarkStart w:id="608" w:name="_Toc485027056"/>
      <w:bookmarkStart w:id="609" w:name="_Toc485200238"/>
      <w:r>
        <w:t>Enfoque tradicional.</w:t>
      </w:r>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p>
    <w:p w14:paraId="589C4614" w14:textId="77777777" w:rsidR="002C117E" w:rsidRDefault="002C117E" w:rsidP="002C117E">
      <w:r>
        <w:t>Mediante el enfoque tradicional o de ingeniería, la estimación de la necesidad del servicio de agua (y el de cloaca, como un servicio derivado) era realizada exclusivamente sobre la base de proyecciones demográficas de la población determinada, observando además los aspectos climáticos y estacionales. El consumo futuro se estimaba sobre dicha proyección considerando un consumo diario per cápita, mientras que las necesidades de capacidad de producción se calculaban añadiendo a ese consumo el factor de demanda pico diario y estacional.</w:t>
      </w:r>
    </w:p>
    <w:p w14:paraId="7E394DFF" w14:textId="77777777" w:rsidR="002C117E" w:rsidRDefault="002C117E" w:rsidP="002C117E">
      <w:r>
        <w:t xml:space="preserve">Dicho procedimiento de proyección de la demanda futura del servicio con base en los requerimientos de una población determinada se le denominaba proceso de requerimientos, el cual no consideraba los aspectos económicos vinculados a la función de demanda del servicio. En otras palabras, la demanda futura se calculaba considerando únicamente aspectos demográficos sin considerar cual seria la respuesta futura de los usuarios ante la introducción de señales económicas. </w:t>
      </w:r>
    </w:p>
    <w:p w14:paraId="77721C94" w14:textId="77777777" w:rsidR="002C117E" w:rsidRDefault="002C117E" w:rsidP="002C117E"/>
    <w:p w14:paraId="6FBF5E29" w14:textId="77777777" w:rsidR="002C117E" w:rsidRDefault="002C117E" w:rsidP="002B0107">
      <w:pPr>
        <w:pStyle w:val="Heading2"/>
        <w:numPr>
          <w:ilvl w:val="1"/>
          <w:numId w:val="25"/>
        </w:numPr>
      </w:pPr>
      <w:bookmarkStart w:id="610" w:name="_Toc203490922"/>
      <w:bookmarkStart w:id="611" w:name="_Toc203725946"/>
      <w:bookmarkStart w:id="612" w:name="_Toc203911296"/>
      <w:bookmarkStart w:id="613" w:name="_Toc204009892"/>
      <w:bookmarkStart w:id="614" w:name="_Toc204097188"/>
      <w:bookmarkStart w:id="615" w:name="_Toc204144240"/>
      <w:bookmarkStart w:id="616" w:name="_Toc204269132"/>
      <w:bookmarkStart w:id="617" w:name="_Toc204652585"/>
      <w:bookmarkStart w:id="618" w:name="_Toc205030381"/>
      <w:bookmarkStart w:id="619" w:name="_Toc205044540"/>
      <w:bookmarkStart w:id="620" w:name="_Toc205117484"/>
      <w:bookmarkStart w:id="621" w:name="_Toc452041672"/>
      <w:bookmarkStart w:id="622" w:name="_Toc452045608"/>
      <w:bookmarkStart w:id="623" w:name="_Toc480206459"/>
      <w:bookmarkStart w:id="624" w:name="_Toc484985172"/>
      <w:bookmarkStart w:id="625" w:name="_Toc485027057"/>
      <w:bookmarkStart w:id="626" w:name="_Toc485200239"/>
      <w:r>
        <w:t>Enfoque económico</w:t>
      </w:r>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p>
    <w:p w14:paraId="1B8C499A" w14:textId="77777777" w:rsidR="002C117E" w:rsidRDefault="002C117E" w:rsidP="002C117E">
      <w:r>
        <w:t>Paulatinamente se fueron reconociendo e incorporando conceptos económicos para determinar la demanda del servicio de agua, considerando principalmente los efectos que pueden tener los cambios en el precio o en los ingresos. Este enfoque, promovido fundamentalmente por la Banca Multilateral tomando como base los resultados obtenidos en otros servicios públicos con políticas tarifarias más modernas (como el caso de la energía), enfatizó la importancia de introducir un esquema tarifario basado en la regla "precios iguales a los costos marginales" como medio de alcanzar una operación eficiente.</w:t>
      </w:r>
    </w:p>
    <w:p w14:paraId="6FF0526A" w14:textId="785BF007" w:rsidR="002C117E" w:rsidRDefault="002C117E" w:rsidP="002C117E">
      <w:r>
        <w:t>De esta forma se trató de analizar la respuesta de los consumidores frente a cambios marginales en los valores de venta del agua y/o cloaca (elasticidades).</w:t>
      </w:r>
    </w:p>
    <w:p w14:paraId="7196928F" w14:textId="77777777" w:rsidR="002C117E" w:rsidRDefault="002C117E" w:rsidP="002C117E">
      <w:r>
        <w:t>Diferentes autores han reconocido la importancia de las variables económicas en la determinación de la demanda de agua.</w:t>
      </w:r>
    </w:p>
    <w:p w14:paraId="38816113" w14:textId="77777777" w:rsidR="002C117E" w:rsidRDefault="002C117E" w:rsidP="002C117E">
      <w:r>
        <w:t>Cabe destacar que en el establecimiento de la forma funcional de la demanda del servicio de aguas y cloacas no se incorpora el precio de bienes sustitutos, como se haría en la función de demanda de cualquier otro bien de la economía. Este proceder se justifica en considerar que no existen bienes que puedan considerarse sustitutos reales del agua. Es decir, la no substituibilidad del servicio de agua y cloaca hace que su demanda no se vea influida directamente por la variación en los precios de los restantes bienes de la economía, lo que implícitamente significa que la variación de los precios de los otros bienes será asumida por el consumidor sin ajustar el nivel de consumo de agua.</w:t>
      </w:r>
    </w:p>
    <w:p w14:paraId="5675E9BF" w14:textId="77777777" w:rsidR="002C117E" w:rsidRDefault="002C117E" w:rsidP="002C117E"/>
    <w:p w14:paraId="0495280C" w14:textId="77777777" w:rsidR="002C117E" w:rsidRDefault="002C117E" w:rsidP="002B0107">
      <w:pPr>
        <w:pStyle w:val="Heading2"/>
        <w:numPr>
          <w:ilvl w:val="1"/>
          <w:numId w:val="25"/>
        </w:numPr>
      </w:pPr>
      <w:bookmarkStart w:id="627" w:name="_Toc203490923"/>
      <w:bookmarkStart w:id="628" w:name="_Toc203725947"/>
      <w:bookmarkStart w:id="629" w:name="_Toc203911297"/>
      <w:bookmarkStart w:id="630" w:name="_Toc204009893"/>
      <w:bookmarkStart w:id="631" w:name="_Toc204097189"/>
      <w:bookmarkStart w:id="632" w:name="_Toc204144241"/>
      <w:bookmarkStart w:id="633" w:name="_Toc204269133"/>
      <w:bookmarkStart w:id="634" w:name="_Toc204652586"/>
      <w:bookmarkStart w:id="635" w:name="_Toc205030382"/>
      <w:bookmarkStart w:id="636" w:name="_Toc205044541"/>
      <w:bookmarkStart w:id="637" w:name="_Toc205117485"/>
      <w:bookmarkStart w:id="638" w:name="_Toc452041673"/>
      <w:bookmarkStart w:id="639" w:name="_Toc452045609"/>
      <w:bookmarkStart w:id="640" w:name="_Toc480206460"/>
      <w:bookmarkStart w:id="641" w:name="_Toc484985173"/>
      <w:bookmarkStart w:id="642" w:name="_Toc485027058"/>
      <w:bookmarkStart w:id="643" w:name="_Toc485200240"/>
      <w:r>
        <w:t>Enfoque alternativo.</w:t>
      </w:r>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p>
    <w:p w14:paraId="692DF7CC" w14:textId="77777777" w:rsidR="002C117E" w:rsidRDefault="002C117E" w:rsidP="002C117E">
      <w:r>
        <w:t>Dadas las características especiales del servicio de agua y la limitada capacidad de las variables demográficas y económicas para administrar adecuadamente la demanda de agua, diversos estudios introdujeron otras variables fundamentales tales como diferencias culturales, sociales, etc. Así, apartándose del enfoque económico, algunos autores han atacado la utilización de políticas de demanda basada en precios bajo el entendimiento que la utilización de un sistema de precios como mecanismo asignativo se encuentra limitado por el hecho de que el agua es usualmente visto como una necesidad básica, incluso un derecho, y no como un bien económico.</w:t>
      </w:r>
    </w:p>
    <w:p w14:paraId="23884A18" w14:textId="77777777" w:rsidR="002C117E" w:rsidRDefault="002C117E" w:rsidP="002B0107">
      <w:pPr>
        <w:pStyle w:val="Heading2"/>
        <w:numPr>
          <w:ilvl w:val="1"/>
          <w:numId w:val="25"/>
        </w:numPr>
      </w:pPr>
      <w:bookmarkStart w:id="644" w:name="_Toc203490924"/>
      <w:bookmarkStart w:id="645" w:name="_Toc203725948"/>
      <w:bookmarkStart w:id="646" w:name="_Toc203911298"/>
      <w:bookmarkStart w:id="647" w:name="_Toc204009894"/>
      <w:bookmarkStart w:id="648" w:name="_Toc204097190"/>
      <w:bookmarkStart w:id="649" w:name="_Toc204144242"/>
      <w:bookmarkStart w:id="650" w:name="_Toc204269134"/>
      <w:bookmarkStart w:id="651" w:name="_Toc204652587"/>
      <w:bookmarkStart w:id="652" w:name="_Toc205030383"/>
      <w:bookmarkStart w:id="653" w:name="_Toc205044542"/>
      <w:bookmarkStart w:id="654" w:name="_Toc205117486"/>
      <w:bookmarkStart w:id="655" w:name="_Toc452041674"/>
      <w:bookmarkStart w:id="656" w:name="_Toc452045610"/>
      <w:bookmarkStart w:id="657" w:name="_Toc480206461"/>
      <w:bookmarkStart w:id="658" w:name="_Toc484985174"/>
      <w:bookmarkStart w:id="659" w:name="_Toc485027059"/>
      <w:bookmarkStart w:id="660" w:name="_Toc485200241"/>
      <w:r>
        <w:t>Enfoque para este trabajo.</w:t>
      </w:r>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p>
    <w:p w14:paraId="3E8F2D4C" w14:textId="77777777" w:rsidR="002C117E" w:rsidRDefault="002C117E" w:rsidP="002C117E">
      <w:r>
        <w:t>Actualmente, se tiene una visión más amplia sobre los determinantes de la demanda del servicio, incluyendo las variables tradicionales como población y estaciones del año, las económicas como precio e ingreso (o proxies de las mismas) y más novedosas como culturales y educativas. Así, por ejemplo, en trabajos recientes, aparecen con igual nivel de importancia en la determinación de la demanda del agua las variables demográficas y físicas tradicionales como la temperatura y el régimen de lluvias, las variables económicas como el ingreso y precio y las nuevas variables culturales, como campañas educativas, publicitarias y las amenazas de racionamiento del servicio.</w:t>
      </w:r>
    </w:p>
    <w:p w14:paraId="15C98764" w14:textId="77777777" w:rsidR="002C117E" w:rsidRDefault="002C117E" w:rsidP="002C117E">
      <w:r>
        <w:t>Tomando todos estos antecedentes, se puede decir que el consumo de agua por parte de una unidad receptora del servicio, y las variaciones que el mismo puede tener en el tiempo, está determinado por un conjunto de parámetros internos (propios) a la vivienda y sus habitantes, y otros externos (que no dependen) de la unidad.</w:t>
      </w:r>
    </w:p>
    <w:p w14:paraId="6F5BC571" w14:textId="77777777" w:rsidR="002C117E" w:rsidRDefault="002C117E" w:rsidP="002C117E">
      <w:r>
        <w:t>Entre los parámetros internos, es decir aquellos propios de cada unidad y que por tanto solo afectan a la unidad en particular, están los siguientes:</w:t>
      </w:r>
    </w:p>
    <w:p w14:paraId="2EB27025" w14:textId="77777777" w:rsidR="002C117E" w:rsidRDefault="002C117E" w:rsidP="00C4100D">
      <w:pPr>
        <w:numPr>
          <w:ilvl w:val="0"/>
          <w:numId w:val="26"/>
        </w:numPr>
        <w:spacing w:before="120" w:after="120" w:line="360" w:lineRule="auto"/>
      </w:pPr>
      <w:r>
        <w:t>Las costumbres y necesidades de aseo y uso del agua de sus habitantes.</w:t>
      </w:r>
    </w:p>
    <w:p w14:paraId="0E850B18" w14:textId="77777777" w:rsidR="002C117E" w:rsidRDefault="002C117E" w:rsidP="00C4100D">
      <w:pPr>
        <w:numPr>
          <w:ilvl w:val="0"/>
          <w:numId w:val="26"/>
        </w:numPr>
        <w:spacing w:before="120" w:after="120" w:line="360" w:lineRule="auto"/>
      </w:pPr>
      <w:r>
        <w:t>El número de habitantes de la unidad.</w:t>
      </w:r>
    </w:p>
    <w:p w14:paraId="21074E6B" w14:textId="77777777" w:rsidR="002C117E" w:rsidRDefault="002C117E" w:rsidP="00C4100D">
      <w:pPr>
        <w:numPr>
          <w:ilvl w:val="0"/>
          <w:numId w:val="26"/>
        </w:numPr>
        <w:spacing w:before="120" w:after="120" w:line="360" w:lineRule="auto"/>
      </w:pPr>
      <w:r>
        <w:t>El ingreso de la familia que habita la unidad.</w:t>
      </w:r>
    </w:p>
    <w:p w14:paraId="30582947" w14:textId="77777777" w:rsidR="002C117E" w:rsidRDefault="002C117E" w:rsidP="00C4100D">
      <w:pPr>
        <w:numPr>
          <w:ilvl w:val="0"/>
          <w:numId w:val="26"/>
        </w:numPr>
        <w:spacing w:before="120" w:after="120" w:line="360" w:lineRule="auto"/>
      </w:pPr>
      <w:r>
        <w:t>El tipo de unidad (casa o departamento).</w:t>
      </w:r>
    </w:p>
    <w:p w14:paraId="41344A6E" w14:textId="77777777" w:rsidR="002C117E" w:rsidRDefault="002C117E" w:rsidP="00C4100D">
      <w:pPr>
        <w:numPr>
          <w:ilvl w:val="0"/>
          <w:numId w:val="26"/>
        </w:numPr>
        <w:spacing w:before="120" w:after="120" w:line="360" w:lineRule="auto"/>
      </w:pPr>
      <w:r>
        <w:t>El tamaño de la unidad.</w:t>
      </w:r>
    </w:p>
    <w:p w14:paraId="0E183C4D" w14:textId="77777777" w:rsidR="002C117E" w:rsidRDefault="002C117E" w:rsidP="002C117E">
      <w:r>
        <w:t>Entre los parámetros externos, es decir aquellos que afectan a todas las unidades por igual (aunque la reacción de cada unidad a ellos puede variar), los que se consideran más relevantes en determinar el nivel de consumo, son:</w:t>
      </w:r>
    </w:p>
    <w:p w14:paraId="52CDFD62" w14:textId="77777777" w:rsidR="002C117E" w:rsidRDefault="002C117E" w:rsidP="00C4100D">
      <w:pPr>
        <w:numPr>
          <w:ilvl w:val="0"/>
          <w:numId w:val="27"/>
        </w:numPr>
        <w:spacing w:before="120" w:after="120" w:line="360" w:lineRule="auto"/>
      </w:pPr>
      <w:r>
        <w:t>El precio que la familia debe pagar por el agua que usa.</w:t>
      </w:r>
    </w:p>
    <w:p w14:paraId="437E8745" w14:textId="77777777" w:rsidR="002C117E" w:rsidRDefault="002C117E" w:rsidP="00C4100D">
      <w:pPr>
        <w:numPr>
          <w:ilvl w:val="0"/>
          <w:numId w:val="27"/>
        </w:numPr>
        <w:spacing w:before="120" w:after="120" w:line="360" w:lineRule="auto"/>
      </w:pPr>
      <w:r>
        <w:t>La estación (o la temperatura) del año en que se realiza el consumo.</w:t>
      </w:r>
    </w:p>
    <w:p w14:paraId="681846C5" w14:textId="77777777" w:rsidR="002C117E" w:rsidRDefault="002C117E" w:rsidP="00C4100D">
      <w:pPr>
        <w:numPr>
          <w:ilvl w:val="0"/>
          <w:numId w:val="27"/>
        </w:numPr>
        <w:spacing w:before="120" w:after="120" w:line="360" w:lineRule="auto"/>
      </w:pPr>
      <w:r>
        <w:t>La cantidad de agua que la unidad puede utilizar sin preocuparse de su efecto sobre el nivel de gasto, es decir el consumo o base libre.</w:t>
      </w:r>
    </w:p>
    <w:p w14:paraId="065FD234" w14:textId="77777777" w:rsidR="002C117E" w:rsidRDefault="002C117E" w:rsidP="00C4100D">
      <w:pPr>
        <w:numPr>
          <w:ilvl w:val="0"/>
          <w:numId w:val="27"/>
        </w:numPr>
        <w:spacing w:before="120" w:after="120" w:line="360" w:lineRule="auto"/>
      </w:pPr>
      <w:r>
        <w:t>El régimen de lluvias.</w:t>
      </w:r>
    </w:p>
    <w:p w14:paraId="250FD82E" w14:textId="77777777" w:rsidR="002C117E" w:rsidRDefault="002C117E" w:rsidP="002C117E">
      <w:r>
        <w:t xml:space="preserve"> </w:t>
      </w:r>
    </w:p>
    <w:p w14:paraId="6BE51488" w14:textId="77777777" w:rsidR="002C117E" w:rsidRDefault="002C117E" w:rsidP="002C117E">
      <w:r>
        <w:t>El estado físico de la red de distribución tiene un componente propio de la vivienda, es decir que depende de decisiones de sus habitantes, y un componente externo. El primero está representado por las fugas percibidas que la familia decide no enfrentar y el segundo por aquellas que la familia no logra percibir pero que, de la observación directa y simple de los datos, aparece como un consumo de la familia.</w:t>
      </w:r>
    </w:p>
    <w:p w14:paraId="4E518B9C" w14:textId="77777777" w:rsidR="002C117E" w:rsidRDefault="002C117E" w:rsidP="002C117E">
      <w:r>
        <w:t>Todos estos parámetros, tanto internos como externos, en forma conjunta determinan el nivel de consumo de cada unidad, sin que se pueda arbitrariamente atribuir el establecimiento o fijación del nivel de consumo registrado a uno solo de ellos.</w:t>
      </w:r>
    </w:p>
    <w:p w14:paraId="2965B039" w14:textId="77777777" w:rsidR="002C117E" w:rsidRDefault="002C117E" w:rsidP="002C117E">
      <w:r>
        <w:t>Por lo anterior, a pesar que el trabajo econométrico a realizar tenga como único objetivo establecer cuál es el efecto del precio sobre el consumo, se deben medir los efectos que tienen el conjunto de variables de forma tal que no se le atribuya (o deje de atribuir) al precio, una capacidad de modificación del consumo que no le corresponda.</w:t>
      </w:r>
    </w:p>
    <w:p w14:paraId="3D26384C" w14:textId="77777777" w:rsidR="002C117E" w:rsidRDefault="002C117E" w:rsidP="002C117E"/>
    <w:p w14:paraId="7E4AA149" w14:textId="77777777" w:rsidR="002C117E" w:rsidRDefault="002C117E" w:rsidP="002B0107">
      <w:pPr>
        <w:pStyle w:val="Heading2"/>
        <w:numPr>
          <w:ilvl w:val="1"/>
          <w:numId w:val="25"/>
        </w:numPr>
      </w:pPr>
      <w:bookmarkStart w:id="661" w:name="_Toc203490925"/>
      <w:bookmarkStart w:id="662" w:name="_Toc203725949"/>
      <w:bookmarkStart w:id="663" w:name="_Toc203911299"/>
      <w:bookmarkStart w:id="664" w:name="_Toc204009895"/>
      <w:bookmarkStart w:id="665" w:name="_Toc204097191"/>
      <w:bookmarkStart w:id="666" w:name="_Toc204144243"/>
      <w:bookmarkStart w:id="667" w:name="_Toc204269135"/>
      <w:bookmarkStart w:id="668" w:name="_Toc204652588"/>
      <w:bookmarkStart w:id="669" w:name="_Toc205030384"/>
      <w:bookmarkStart w:id="670" w:name="_Toc205044543"/>
      <w:bookmarkStart w:id="671" w:name="_Toc205117487"/>
      <w:bookmarkStart w:id="672" w:name="_Toc452041675"/>
      <w:bookmarkStart w:id="673" w:name="_Toc452045611"/>
      <w:bookmarkStart w:id="674" w:name="_Toc480206462"/>
      <w:bookmarkStart w:id="675" w:name="_Toc484985175"/>
      <w:bookmarkStart w:id="676" w:name="_Toc485027060"/>
      <w:bookmarkStart w:id="677" w:name="_Toc485200242"/>
      <w:r>
        <w:t>Análisis de los determinantes del consumo Residencial.</w:t>
      </w:r>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p>
    <w:p w14:paraId="101A5A05" w14:textId="77777777" w:rsidR="002C117E" w:rsidRDefault="002C117E" w:rsidP="002C117E">
      <w:r>
        <w:t>A continuación se describe la interpretación de la elasticidad de las variables que el estudio busca estimar.</w:t>
      </w:r>
    </w:p>
    <w:p w14:paraId="5DFC25E4" w14:textId="77777777" w:rsidR="002C117E" w:rsidRDefault="002C117E" w:rsidP="00C4100D">
      <w:pPr>
        <w:pStyle w:val="Heading3"/>
        <w:numPr>
          <w:ilvl w:val="2"/>
          <w:numId w:val="25"/>
        </w:numPr>
      </w:pPr>
      <w:bookmarkStart w:id="678" w:name="_Toc203490926"/>
      <w:bookmarkStart w:id="679" w:name="_Toc203725950"/>
      <w:bookmarkStart w:id="680" w:name="_Toc203911300"/>
      <w:bookmarkStart w:id="681" w:name="_Toc204009896"/>
      <w:bookmarkStart w:id="682" w:name="_Toc204097192"/>
      <w:bookmarkStart w:id="683" w:name="_Toc204144244"/>
      <w:bookmarkStart w:id="684" w:name="_Toc204269136"/>
      <w:bookmarkStart w:id="685" w:name="_Toc204652589"/>
      <w:bookmarkStart w:id="686" w:name="_Toc205030385"/>
      <w:bookmarkStart w:id="687" w:name="_Toc205044544"/>
      <w:bookmarkStart w:id="688" w:name="_Toc205117488"/>
      <w:bookmarkStart w:id="689" w:name="_Toc452041676"/>
      <w:bookmarkStart w:id="690" w:name="_Toc452045612"/>
      <w:bookmarkStart w:id="691" w:name="_Toc480206463"/>
      <w:bookmarkStart w:id="692" w:name="_Toc484985176"/>
      <w:bookmarkStart w:id="693" w:name="_Toc485027061"/>
      <w:bookmarkStart w:id="694" w:name="_Toc485200243"/>
      <w:r>
        <w:t>Precio</w:t>
      </w:r>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p>
    <w:p w14:paraId="2D467EE3" w14:textId="77777777" w:rsidR="002C117E" w:rsidRDefault="002C117E" w:rsidP="002C117E">
      <w:r>
        <w:t>Esta es la variable independiente básica de del análisis a realizar ya que se quiere determinar el efecto que sus variaciones causan sobre el consumo.</w:t>
      </w:r>
    </w:p>
    <w:p w14:paraId="047E82E4" w14:textId="77777777" w:rsidR="002C117E" w:rsidRDefault="002C117E" w:rsidP="002C117E">
      <w:r>
        <w:t>Se entiende como precio el cambio en el valor total de la factura que se presenta cuando el consumo aumenta en un metro cúbico. Por lo tanto, para los fines del análisis de elasticidad precio, se considera que no existe precio tanto cuando el usuario es facturado por el sistema no medido, como cuando el usuario medido presenta un consumo por debajo del consumo libre.</w:t>
      </w:r>
    </w:p>
    <w:p w14:paraId="04700FB1" w14:textId="77777777" w:rsidR="002C117E" w:rsidRDefault="002C117E" w:rsidP="002C117E">
      <w:r>
        <w:t>Como punto de partida se tiene que el efecto de los cambios con el precio sobre el volumen de consumo depende tanto de la magnitud del cambio en el precio como del volumen de consumo previo, según la expresión (matemática) de la elasticidad:</w:t>
      </w:r>
    </w:p>
    <w:p w14:paraId="5A16A8E1" w14:textId="77777777" w:rsidR="002C117E" w:rsidRDefault="002C117E" w:rsidP="002C117E">
      <w:pPr>
        <w:ind w:left="708"/>
      </w:pPr>
      <w:r w:rsidRPr="00A107D8">
        <w:rPr>
          <w:position w:val="-28"/>
        </w:rPr>
        <w:object w:dxaOrig="1280" w:dyaOrig="660" w14:anchorId="43C9F394">
          <v:shape id="_x0000_i1037" type="#_x0000_t75" style="width:81pt;height:43.2pt" o:ole="">
            <v:imagedata r:id="rId195" o:title=""/>
          </v:shape>
          <o:OLEObject Type="Embed" ProgID="Equation.3" ShapeID="_x0000_i1037" DrawAspect="Content" ObjectID="_1560797571" r:id="rId196"/>
        </w:object>
      </w:r>
    </w:p>
    <w:p w14:paraId="3259A6B1" w14:textId="77777777" w:rsidR="002C117E" w:rsidRDefault="002C117E" w:rsidP="002C117E">
      <w:r>
        <w:t xml:space="preserve"> Dónde:</w:t>
      </w:r>
    </w:p>
    <w:p w14:paraId="345C9DCE" w14:textId="77777777" w:rsidR="002C117E" w:rsidRDefault="002C117E" w:rsidP="00C4100D">
      <w:pPr>
        <w:numPr>
          <w:ilvl w:val="0"/>
          <w:numId w:val="28"/>
        </w:numPr>
        <w:spacing w:after="0" w:line="360" w:lineRule="auto"/>
        <w:ind w:left="714" w:hanging="357"/>
      </w:pPr>
      <w:r>
        <w:rPr>
          <w:rFonts w:ascii="Symbol" w:hAnsi="Symbol"/>
          <w:sz w:val="32"/>
        </w:rPr>
        <w:t></w:t>
      </w:r>
      <w:r>
        <w:rPr>
          <w:vertAlign w:val="subscript"/>
        </w:rPr>
        <w:t>p</w:t>
      </w:r>
      <w:r>
        <w:t>: Elasticidad precio</w:t>
      </w:r>
    </w:p>
    <w:p w14:paraId="601EC8F1" w14:textId="77777777" w:rsidR="002C117E" w:rsidRDefault="002C117E" w:rsidP="00C4100D">
      <w:pPr>
        <w:numPr>
          <w:ilvl w:val="0"/>
          <w:numId w:val="28"/>
        </w:numPr>
        <w:spacing w:after="0" w:line="360" w:lineRule="auto"/>
        <w:ind w:left="714" w:hanging="357"/>
      </w:pPr>
      <w:r>
        <w:rPr>
          <w:rFonts w:ascii="Symbol" w:hAnsi="Symbol"/>
          <w:sz w:val="28"/>
        </w:rPr>
        <w:t></w:t>
      </w:r>
      <w:r>
        <w:t>Q: Incremento en el consumo de agua</w:t>
      </w:r>
    </w:p>
    <w:p w14:paraId="180FAEFA" w14:textId="77777777" w:rsidR="002C117E" w:rsidRDefault="002C117E" w:rsidP="00C4100D">
      <w:pPr>
        <w:pStyle w:val="Header"/>
        <w:numPr>
          <w:ilvl w:val="0"/>
          <w:numId w:val="28"/>
        </w:numPr>
        <w:tabs>
          <w:tab w:val="clear" w:pos="4419"/>
          <w:tab w:val="clear" w:pos="8838"/>
        </w:tabs>
        <w:spacing w:line="360" w:lineRule="auto"/>
        <w:ind w:left="714" w:hanging="357"/>
      </w:pPr>
      <w:r>
        <w:t>Q: Consumo de agua previo al cambio de precio</w:t>
      </w:r>
    </w:p>
    <w:p w14:paraId="2CB8761A" w14:textId="77777777" w:rsidR="002C117E" w:rsidRDefault="002C117E" w:rsidP="00C4100D">
      <w:pPr>
        <w:pStyle w:val="Header"/>
        <w:numPr>
          <w:ilvl w:val="0"/>
          <w:numId w:val="28"/>
        </w:numPr>
        <w:tabs>
          <w:tab w:val="clear" w:pos="4419"/>
          <w:tab w:val="clear" w:pos="8838"/>
        </w:tabs>
        <w:spacing w:line="360" w:lineRule="auto"/>
        <w:ind w:left="714" w:hanging="357"/>
      </w:pPr>
      <w:r>
        <w:rPr>
          <w:rFonts w:ascii="Symbol" w:hAnsi="Symbol"/>
          <w:sz w:val="28"/>
        </w:rPr>
        <w:t></w:t>
      </w:r>
      <w:r>
        <w:t>p: Incremento en el precio del agua</w:t>
      </w:r>
    </w:p>
    <w:p w14:paraId="3B978FA6" w14:textId="77777777" w:rsidR="002C117E" w:rsidRDefault="002C117E" w:rsidP="00C4100D">
      <w:pPr>
        <w:numPr>
          <w:ilvl w:val="0"/>
          <w:numId w:val="28"/>
        </w:numPr>
        <w:spacing w:after="0" w:line="360" w:lineRule="auto"/>
        <w:ind w:left="714" w:hanging="357"/>
      </w:pPr>
      <w:r>
        <w:t>p: Precio de agua antes del incremento</w:t>
      </w:r>
    </w:p>
    <w:p w14:paraId="406EA2BB" w14:textId="77777777" w:rsidR="002C117E" w:rsidRDefault="002C117E" w:rsidP="002C117E"/>
    <w:p w14:paraId="6F65A816" w14:textId="77777777" w:rsidR="002C117E" w:rsidRDefault="002C117E" w:rsidP="002C117E">
      <w:r>
        <w:t>Es decir, la elasticidad precio mide el cambio porcentual en la cantidad consumida, ante un cambio porcentual en el precio.</w:t>
      </w:r>
    </w:p>
    <w:p w14:paraId="29EE5120" w14:textId="77777777" w:rsidR="002C117E" w:rsidRDefault="002C117E" w:rsidP="002C117E"/>
    <w:p w14:paraId="36AAF94A" w14:textId="77777777" w:rsidR="002C117E" w:rsidRDefault="002C117E" w:rsidP="00C4100D">
      <w:pPr>
        <w:pStyle w:val="Heading3"/>
        <w:numPr>
          <w:ilvl w:val="2"/>
          <w:numId w:val="25"/>
        </w:numPr>
      </w:pPr>
      <w:bookmarkStart w:id="695" w:name="_Toc203490927"/>
      <w:bookmarkStart w:id="696" w:name="_Toc203725951"/>
      <w:bookmarkStart w:id="697" w:name="_Toc203911301"/>
      <w:bookmarkStart w:id="698" w:name="_Toc204009897"/>
      <w:bookmarkStart w:id="699" w:name="_Toc204097193"/>
      <w:bookmarkStart w:id="700" w:name="_Toc204144245"/>
      <w:bookmarkStart w:id="701" w:name="_Toc204269137"/>
      <w:bookmarkStart w:id="702" w:name="_Toc204652590"/>
      <w:bookmarkStart w:id="703" w:name="_Toc205030386"/>
      <w:bookmarkStart w:id="704" w:name="_Toc205044545"/>
      <w:bookmarkStart w:id="705" w:name="_Toc205117489"/>
      <w:bookmarkStart w:id="706" w:name="_Toc452041677"/>
      <w:bookmarkStart w:id="707" w:name="_Toc452045613"/>
      <w:bookmarkStart w:id="708" w:name="_Toc480206464"/>
      <w:bookmarkStart w:id="709" w:name="_Toc484985177"/>
      <w:bookmarkStart w:id="710" w:name="_Toc485027062"/>
      <w:bookmarkStart w:id="711" w:name="_Toc485200244"/>
      <w:r>
        <w:t>Base libre.</w:t>
      </w:r>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p>
    <w:p w14:paraId="582A5C5B" w14:textId="77777777" w:rsidR="002C117E" w:rsidRDefault="002C117E" w:rsidP="002C117E">
      <w:r>
        <w:t>La base libre es, económicamente hablando, un consumo cuyo precio marginal es igual a cero. Esto es, una vez que el individuo está conectado al servicio y tiene la obligación de pagar el cargo fijo, automáticamente tiene derecho a consumir entre un metro de agua y el volumen total determinado como "consumo libre", sin pagar un solo peso por cada unidad que consuma y solo comenzará a enfrentar un precio a partir del momento que supere ese nivel.</w:t>
      </w:r>
    </w:p>
    <w:p w14:paraId="6C25EC0B" w14:textId="77777777" w:rsidR="002C117E" w:rsidRDefault="002C117E" w:rsidP="002C117E">
      <w:r>
        <w:t>A diferencia de un cargo fijo sin derecho a consumo, la existencia de la base libre puede tener una gran influencia en la determinación del nivel de consumo del usuario y su reacción ante cambios en el precio. Así, en la medida que el nivel de consumo necesario o habitual del usuario se encuentre por debajo de la base libre, esto es, que ninguna parte de su consumo enfrenta precio, el usuario no tendrá ninguna influencia por las variaciones del precio unitario ($/m3) que se establezcan, pero podrá ser doblemente afectado por las variaciones que se determinen a la base libre.</w:t>
      </w:r>
    </w:p>
    <w:p w14:paraId="05DD4BCC" w14:textId="77777777" w:rsidR="002C117E" w:rsidRDefault="002C117E" w:rsidP="002C117E">
      <w:r>
        <w:t>Así, a pesar de ser un usuario medido, mientras su nivel de consumo permanezca por debajo de la base libre, los cambios en el precio unitario que se establezcan para el consumo superior al libre no podrán alterar su comportamiento frente al consumo de agua. Sin embargo una reducción de la base libre, que lleve a que alguna parte de su consumo enfrente un precio llevará a una reducción en el mismo, por el incremento en la factura, más una reducción en su consumo por el efecto precio que ahora enfrenta el usuario. En este sentido se puede afirmar que la curva de demanda existe solo a partir de la cantidad definida como base libre. La reducción de la misma implicará un desplazamiento de tal curva de demanda.</w:t>
      </w:r>
    </w:p>
    <w:p w14:paraId="58F5A09B" w14:textId="77777777" w:rsidR="002C117E" w:rsidRDefault="002C117E" w:rsidP="00C4100D">
      <w:pPr>
        <w:pStyle w:val="Heading1"/>
        <w:numPr>
          <w:ilvl w:val="0"/>
          <w:numId w:val="25"/>
        </w:numPr>
      </w:pPr>
      <w:bookmarkStart w:id="712" w:name="_Toc203490928"/>
      <w:bookmarkStart w:id="713" w:name="_Toc203725952"/>
      <w:bookmarkStart w:id="714" w:name="_Toc203911302"/>
      <w:bookmarkStart w:id="715" w:name="_Toc204009898"/>
      <w:bookmarkStart w:id="716" w:name="_Toc204097194"/>
      <w:bookmarkStart w:id="717" w:name="_Toc204144246"/>
      <w:bookmarkStart w:id="718" w:name="_Toc204269138"/>
      <w:bookmarkStart w:id="719" w:name="_Toc204652591"/>
      <w:bookmarkStart w:id="720" w:name="_Toc205030387"/>
      <w:bookmarkStart w:id="721" w:name="_Toc205044546"/>
      <w:bookmarkStart w:id="722" w:name="_Toc205117490"/>
      <w:bookmarkStart w:id="723" w:name="_Toc452041678"/>
      <w:bookmarkStart w:id="724" w:name="_Toc452045614"/>
      <w:bookmarkStart w:id="725" w:name="_Toc480206465"/>
      <w:bookmarkStart w:id="726" w:name="_Toc484985178"/>
      <w:bookmarkStart w:id="727" w:name="_Toc485027063"/>
      <w:bookmarkStart w:id="728" w:name="_Toc485200245"/>
      <w:r>
        <w:t>Fundamentos económicos.</w:t>
      </w:r>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p>
    <w:p w14:paraId="621F51F8" w14:textId="4A2EDD5E" w:rsidR="002C117E" w:rsidRDefault="002C117E" w:rsidP="002B0107">
      <w:pPr>
        <w:pStyle w:val="Heading2"/>
        <w:numPr>
          <w:ilvl w:val="1"/>
          <w:numId w:val="25"/>
        </w:numPr>
      </w:pPr>
      <w:bookmarkStart w:id="729" w:name="_Toc203490929"/>
      <w:bookmarkStart w:id="730" w:name="_Toc203725953"/>
      <w:bookmarkStart w:id="731" w:name="_Toc203911303"/>
      <w:bookmarkStart w:id="732" w:name="_Toc204009899"/>
      <w:bookmarkStart w:id="733" w:name="_Toc204097195"/>
      <w:bookmarkStart w:id="734" w:name="_Toc204144247"/>
      <w:bookmarkStart w:id="735" w:name="_Toc204269139"/>
      <w:bookmarkStart w:id="736" w:name="_Toc204652592"/>
      <w:bookmarkStart w:id="737" w:name="_Toc205030388"/>
      <w:bookmarkStart w:id="738" w:name="_Toc205044547"/>
      <w:bookmarkStart w:id="739" w:name="_Toc205117491"/>
      <w:bookmarkStart w:id="740" w:name="_Toc452041679"/>
      <w:bookmarkStart w:id="741" w:name="_Toc452045615"/>
      <w:bookmarkStart w:id="742" w:name="_Toc480206466"/>
      <w:bookmarkStart w:id="743" w:name="_Toc484985179"/>
      <w:bookmarkStart w:id="744" w:name="_Toc485027064"/>
      <w:bookmarkStart w:id="745" w:name="_Toc485200246"/>
      <w:r>
        <w:t>Reacción del consumo de agua ante el cambio en el precio.</w:t>
      </w:r>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p>
    <w:p w14:paraId="66987401" w14:textId="77777777" w:rsidR="002C117E" w:rsidRDefault="002C117E" w:rsidP="002C117E">
      <w:r>
        <w:t>Aunque de manera claramente diferencial según el nivel de ingreso, todos los usuarios enfrentan una restricción presupuestaria con la cual deben tomar sus decisiones de consumo.</w:t>
      </w:r>
    </w:p>
    <w:p w14:paraId="01A72D33" w14:textId="77777777" w:rsidR="002C117E" w:rsidRDefault="002C117E" w:rsidP="002C117E">
      <w:r>
        <w:t>En la medida que un bien cualquiera, dentro del conjunto de bienes que conforma la canasta de consumo del individuo (o la familia) cambia de precio, dada dicha restricción presupuestaria, se puede esperar que tome la decisión que mayor beneficio le reporte, entre las siguientes:</w:t>
      </w:r>
    </w:p>
    <w:p w14:paraId="057DA10C" w14:textId="77777777" w:rsidR="002C117E" w:rsidRDefault="002C117E" w:rsidP="00C4100D">
      <w:pPr>
        <w:numPr>
          <w:ilvl w:val="0"/>
          <w:numId w:val="29"/>
        </w:numPr>
        <w:spacing w:before="120" w:after="120" w:line="360" w:lineRule="auto"/>
      </w:pPr>
      <w:r>
        <w:t>Reducir la compra del bien cuyo precio aumentó hasta cumplir con su restricción presupuestaria.</w:t>
      </w:r>
    </w:p>
    <w:p w14:paraId="3F980095" w14:textId="77777777" w:rsidR="002C117E" w:rsidRDefault="002C117E" w:rsidP="00C4100D">
      <w:pPr>
        <w:numPr>
          <w:ilvl w:val="0"/>
          <w:numId w:val="29"/>
        </w:numPr>
        <w:spacing w:before="120" w:after="120" w:line="360" w:lineRule="auto"/>
      </w:pPr>
      <w:r>
        <w:t>Reducir la compra de uno o varios de los otros bienes hasta cumplir su restricción presupuestaria.</w:t>
      </w:r>
    </w:p>
    <w:p w14:paraId="455B3472" w14:textId="77777777" w:rsidR="002C117E" w:rsidRDefault="002C117E" w:rsidP="00C4100D">
      <w:pPr>
        <w:numPr>
          <w:ilvl w:val="0"/>
          <w:numId w:val="29"/>
        </w:numPr>
        <w:spacing w:before="120" w:after="120" w:line="360" w:lineRule="auto"/>
      </w:pPr>
      <w:r>
        <w:t>Realizar una reducción combinada del bien que aumentó de precio y de los otros bienes cuyo precio no aumentó hasta cumplir su restricción presupuestaria.</w:t>
      </w:r>
    </w:p>
    <w:p w14:paraId="56F7CB9C" w14:textId="77777777" w:rsidR="002C117E" w:rsidRDefault="002C117E" w:rsidP="002C117E">
      <w:r>
        <w:t>Dada la característica del bien "agua", esto es, ser de primera necesidad y con pocos sustitutos en sus diferentes usos, no es de esperar que la reacción de los usuarios residenciales a su precio sea muy importante. Esto significa que ante un aumento en el precio los usuarios reducirán principalmente el consumo de los otros bienes de su canasta y solo un poco el consumo de agua, manteniéndose dentro de su curva de restricción presupuestaria. Lo anterior significa que un incremento del precio del agua llevará al individuo a desplazarse de su nivel de consumo A hacia un nivel de consumo entre B y C, en su nueva curva de restricción presupuestaria.</w:t>
      </w:r>
    </w:p>
    <w:p w14:paraId="5333FDFF" w14:textId="77777777" w:rsidR="002C117E" w:rsidRDefault="002C117E" w:rsidP="002C117E">
      <w:pPr>
        <w:pStyle w:val="CuadrosyTablas"/>
      </w:pPr>
      <w:r>
        <w:t>Grafico A2.1: Efecto de un aumento del precio del agua.</w:t>
      </w:r>
    </w:p>
    <w:p w14:paraId="0CA4059E" w14:textId="77777777" w:rsidR="002C117E" w:rsidRDefault="002C117E" w:rsidP="002C117E">
      <w:pPr>
        <w:pStyle w:val="CuadrosyTablas"/>
      </w:pPr>
      <w:r>
        <w:rPr>
          <w:noProof/>
          <w:lang w:eastAsia="es-AR"/>
        </w:rPr>
        <w:drawing>
          <wp:inline distT="0" distB="0" distL="0" distR="0" wp14:anchorId="633EC98D" wp14:editId="7AC70228">
            <wp:extent cx="5377815" cy="2715895"/>
            <wp:effectExtent l="0" t="0" r="0" b="825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377815" cy="2715895"/>
                    </a:xfrm>
                    <a:prstGeom prst="rect">
                      <a:avLst/>
                    </a:prstGeom>
                    <a:noFill/>
                    <a:ln>
                      <a:noFill/>
                    </a:ln>
                  </pic:spPr>
                </pic:pic>
              </a:graphicData>
            </a:graphic>
          </wp:inline>
        </w:drawing>
      </w:r>
    </w:p>
    <w:p w14:paraId="0B78486E" w14:textId="77777777" w:rsidR="002C117E" w:rsidRDefault="002C117E" w:rsidP="002C117E">
      <w:r>
        <w:t xml:space="preserve"> </w:t>
      </w:r>
    </w:p>
    <w:p w14:paraId="207F691F" w14:textId="77777777" w:rsidR="002C117E" w:rsidRDefault="002C117E" w:rsidP="002C117E">
      <w:r>
        <w:t>El nivel de reacción depende en forma importante del nivel de consumo previo del usuario. Así, si el usuario tiene un consumo excesivo (por encima del mínimo requerido) antes del incremento de precio (por ejemplo, regar sus jardines con manguera) es posible que se vea más inducido a reducir el consumo de agua que el de los otros bienes. Puesto que es más probable que los consumos en exceso se presenten en las viviendas que en los departamentos, es de esperar que la reducción del consumo ante cambios en el precio, sea mayor en las primeras que en los segundos.</w:t>
      </w:r>
    </w:p>
    <w:p w14:paraId="52F096D6" w14:textId="77777777" w:rsidR="002C117E" w:rsidRDefault="002C117E" w:rsidP="002C117E">
      <w:r>
        <w:t>El nivel de reacción también depende de la proporción que representa el ahorro en la restricción presupuestaria del individuo. Es de esperar que las familias de altos ingresos, que utilizan una parte mayor de su ingreso para ahorros, tenderán a reducir menos el consumo ante aumentos del precio que las familias pobres. En este caso las familias más pobres poseen menos margen para dejar de comprar el bien "ahorro" que no existe o tiene una muy baja participación en la canasta de bienes de las mismas.</w:t>
      </w:r>
    </w:p>
    <w:p w14:paraId="72D78201" w14:textId="77777777" w:rsidR="002C117E" w:rsidRDefault="002C117E" w:rsidP="002B0107">
      <w:pPr>
        <w:pStyle w:val="Heading2"/>
        <w:numPr>
          <w:ilvl w:val="1"/>
          <w:numId w:val="25"/>
        </w:numPr>
      </w:pPr>
      <w:bookmarkStart w:id="746" w:name="_Toc203490930"/>
      <w:bookmarkStart w:id="747" w:name="_Toc203725954"/>
      <w:bookmarkStart w:id="748" w:name="_Toc203911304"/>
      <w:bookmarkStart w:id="749" w:name="_Toc204009900"/>
      <w:bookmarkStart w:id="750" w:name="_Toc204097196"/>
      <w:bookmarkStart w:id="751" w:name="_Toc204144248"/>
      <w:bookmarkStart w:id="752" w:name="_Toc204269140"/>
      <w:bookmarkStart w:id="753" w:name="_Toc204652593"/>
      <w:bookmarkStart w:id="754" w:name="_Toc205030389"/>
      <w:bookmarkStart w:id="755" w:name="_Toc205044548"/>
      <w:bookmarkStart w:id="756" w:name="_Toc205117492"/>
      <w:bookmarkStart w:id="757" w:name="_Toc452041680"/>
      <w:bookmarkStart w:id="758" w:name="_Toc452045616"/>
      <w:bookmarkStart w:id="759" w:name="_Toc480206467"/>
      <w:bookmarkStart w:id="760" w:name="_Toc484985180"/>
      <w:bookmarkStart w:id="761" w:name="_Toc485027065"/>
      <w:bookmarkStart w:id="762" w:name="_Toc485200247"/>
      <w:r>
        <w:t>Reacción del consumo de agua ante cambios en el ingreso.</w:t>
      </w:r>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p>
    <w:p w14:paraId="50A360A4" w14:textId="77777777" w:rsidR="002C117E" w:rsidRDefault="002C117E" w:rsidP="002C117E">
      <w:r>
        <w:t xml:space="preserve"> Un cambio en el ingreso de la familia significa un desplazamiento de la curva que representa su restricción presupuestal, lo cual le permitirá adquirir más de algunos de los bienes que conforman su canasta si el ingreso aumenta, y viceversa.</w:t>
      </w:r>
    </w:p>
    <w:p w14:paraId="26BF4C38" w14:textId="77777777" w:rsidR="002C117E" w:rsidRDefault="002C117E" w:rsidP="002C117E">
      <w:r>
        <w:t>El agua es reconocida como un bien de demanda normal con respecto al ingreso, es decir que los incrementos en ingreso llevarán a incrementos en el consumo de agua, pero estos serán de menor proporción al incremento del ingreso.</w:t>
      </w:r>
    </w:p>
    <w:p w14:paraId="13DBD59D" w14:textId="77777777" w:rsidR="002C117E" w:rsidRDefault="002C117E" w:rsidP="002C117E">
      <w:r>
        <w:t>A partir de un nivel básico de consumo, esto es el necesario para el aseo personal y la preparación de los alimentos, la demanda de agua es una demanda complementaria del consumo de otros bienes, tales como una vivienda más amplia, con área verde, con piscina, un hidromasaje, un lavaplatos o un lavarropa. Esto significa que a medida que el ingreso se incrementa es normal que el consumo aumente por efecto del incremento del consumo de esos otros bienes.</w:t>
      </w:r>
    </w:p>
    <w:p w14:paraId="739EB6A2" w14:textId="77777777" w:rsidR="002C117E" w:rsidRDefault="002C117E" w:rsidP="002C117E">
      <w:r>
        <w:t>Como se puede ver en el Gráfico A2.2, a medida que nos desplazamos hacia el nivel de consumo mínimo, menor es el margen del consumidor para la reducción de su consumo ante aumentos en el precio.</w:t>
      </w:r>
    </w:p>
    <w:p w14:paraId="2AD15373" w14:textId="77777777" w:rsidR="002C117E" w:rsidRDefault="002C117E" w:rsidP="002C117E">
      <w:pPr>
        <w:pStyle w:val="CuadrosyTablas"/>
      </w:pPr>
      <w:r>
        <w:t>Gráfico A2.2: Efecto de un aumento de los ingresos.</w:t>
      </w:r>
    </w:p>
    <w:p w14:paraId="3B7B1A26" w14:textId="77777777" w:rsidR="002C117E" w:rsidRDefault="002C117E" w:rsidP="002C117E">
      <w:pPr>
        <w:pStyle w:val="CuadrosyTablas"/>
      </w:pPr>
      <w:r>
        <w:rPr>
          <w:noProof/>
          <w:lang w:eastAsia="es-AR"/>
        </w:rPr>
        <w:drawing>
          <wp:inline distT="0" distB="0" distL="0" distR="0" wp14:anchorId="3FAAB3DD" wp14:editId="12C2FE87">
            <wp:extent cx="5377815" cy="2715895"/>
            <wp:effectExtent l="0" t="0" r="0" b="8255"/>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377815" cy="2715895"/>
                    </a:xfrm>
                    <a:prstGeom prst="rect">
                      <a:avLst/>
                    </a:prstGeom>
                    <a:noFill/>
                    <a:ln>
                      <a:noFill/>
                    </a:ln>
                  </pic:spPr>
                </pic:pic>
              </a:graphicData>
            </a:graphic>
          </wp:inline>
        </w:drawing>
      </w:r>
    </w:p>
    <w:p w14:paraId="7CA7068F" w14:textId="77777777" w:rsidR="002C117E" w:rsidRDefault="002C117E" w:rsidP="002C117E"/>
    <w:p w14:paraId="2EB3853A" w14:textId="77777777" w:rsidR="002C117E" w:rsidRDefault="002C117E" w:rsidP="002C117E">
      <w:r>
        <w:t>Siguiendo el gráfico, es de esperar, que el aumento del ingreso lleve al individuo a desplazarse del punto de consumo A hacia un nuevo punto de consumo situado entre B y C, sobre su nueva curva de restricción presupuestaria, pero más cerca de C que de B (un incremento mayor de su consumo de otros bienes que del consumo de agua).</w:t>
      </w:r>
    </w:p>
    <w:p w14:paraId="380ABD7D" w14:textId="77777777" w:rsidR="002C117E" w:rsidRDefault="002C117E" w:rsidP="002C117E">
      <w:r>
        <w:t>Pero el nivel de consumo de un individuo no se incrementa con un incremento puntual de su ingreso transitorio: en general el individuo no se pasa a vivir a una vivienda más grande o se compra un hidromasaje por el incremento en el ingreso que obtenga en un solo mes o año. Por lo tanto, es de esperar que los diferenciales de ingreso entre individuos expliquen en alguna medida los diferenciales de consumo entre ellos, pero más por efecto riqueza y las consecuentes demandas complementarias, que por el efecto ingreso propiamente dicho. Esto significa que si tomamos el comportamiento de un solo individuo en el tiempo será menos pronunciada la reacción de su consumo a cambios en el ingreso que la obtenida al comparar los consumos de individuos de diferente nivel de ingreso.</w:t>
      </w:r>
    </w:p>
    <w:p w14:paraId="0F143FD3" w14:textId="77777777" w:rsidR="002C117E" w:rsidRDefault="002C117E" w:rsidP="002C117E">
      <w:r>
        <w:t>Es de esperar que la relación entre el consumo y cada una de las variables que miden indirectamente el ingreso, esto es, calidad de la unidad, área de la unidad, zona en que se encuentra la unidad, e ingreso asignado a la unidad, tenga exactamente el mismo sentido.</w:t>
      </w:r>
    </w:p>
    <w:p w14:paraId="5C355CD4" w14:textId="77777777" w:rsidR="002C117E" w:rsidRDefault="002C117E" w:rsidP="002B0107">
      <w:pPr>
        <w:pStyle w:val="Heading2"/>
        <w:numPr>
          <w:ilvl w:val="1"/>
          <w:numId w:val="25"/>
        </w:numPr>
      </w:pPr>
      <w:bookmarkStart w:id="763" w:name="_Toc203490931"/>
      <w:bookmarkStart w:id="764" w:name="_Toc203725955"/>
      <w:bookmarkStart w:id="765" w:name="_Toc203911305"/>
      <w:bookmarkStart w:id="766" w:name="_Toc204009901"/>
      <w:bookmarkStart w:id="767" w:name="_Toc204097197"/>
      <w:bookmarkStart w:id="768" w:name="_Toc204144249"/>
      <w:bookmarkStart w:id="769" w:name="_Toc204269141"/>
      <w:bookmarkStart w:id="770" w:name="_Toc204652594"/>
      <w:bookmarkStart w:id="771" w:name="_Toc205030390"/>
      <w:bookmarkStart w:id="772" w:name="_Toc205044549"/>
      <w:bookmarkStart w:id="773" w:name="_Toc205117493"/>
      <w:bookmarkStart w:id="774" w:name="_Toc452041681"/>
      <w:bookmarkStart w:id="775" w:name="_Toc452045617"/>
      <w:bookmarkStart w:id="776" w:name="_Toc480206468"/>
      <w:bookmarkStart w:id="777" w:name="_Toc484985181"/>
      <w:bookmarkStart w:id="778" w:name="_Toc485027066"/>
      <w:bookmarkStart w:id="779" w:name="_Toc485200248"/>
      <w:r>
        <w:t>Reacción del consumo ante un cambio en la base libre.</w:t>
      </w:r>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p>
    <w:p w14:paraId="0637071D" w14:textId="77777777" w:rsidR="002C117E" w:rsidRDefault="002C117E" w:rsidP="002C117E">
      <w:r>
        <w:t>En términos de la restricción presupuestaria, la existencia de un cargo fijo, acompañado de un consumo libre implica que el usuario por solo participar en el mercado tiene un pago que realizar, un pago que reduce su capacidad de compra de todos los otros bienes pero que le entrega en forma automática el derecho a consumir agua hasta el nivel del consumo libre, sin realizar ningún pago adicional por ello.</w:t>
      </w:r>
    </w:p>
    <w:p w14:paraId="08188BB3" w14:textId="77777777" w:rsidR="002C117E" w:rsidRDefault="002C117E" w:rsidP="002C117E">
      <w:r>
        <w:t>La existencia en la estructura tarifaria de un cargo fijo, con base libre significa que la curva que representa la restricción presupuestaria (en el plano que presenta el consumo de agua frente al consumo de los otros bienes) deja de ser continua.</w:t>
      </w:r>
    </w:p>
    <w:p w14:paraId="30B4134B" w14:textId="77777777" w:rsidR="002C117E" w:rsidRDefault="002C117E" w:rsidP="002C117E">
      <w:pPr>
        <w:pStyle w:val="CuadrosyTablas"/>
      </w:pPr>
      <w:r>
        <w:t>Gráfico A2.3: Efecto de la Base de Consumo Libre.</w:t>
      </w:r>
    </w:p>
    <w:p w14:paraId="0754DFBE" w14:textId="77777777" w:rsidR="002C117E" w:rsidRDefault="002C117E" w:rsidP="002C117E">
      <w:pPr>
        <w:pStyle w:val="CuadrosyTablas"/>
      </w:pPr>
      <w:r>
        <w:rPr>
          <w:noProof/>
          <w:lang w:eastAsia="es-AR"/>
        </w:rPr>
        <w:drawing>
          <wp:inline distT="0" distB="0" distL="0" distR="0" wp14:anchorId="5DAB4154" wp14:editId="0DF62DE0">
            <wp:extent cx="5377815" cy="2715895"/>
            <wp:effectExtent l="0" t="0" r="0" b="825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377815" cy="2715895"/>
                    </a:xfrm>
                    <a:prstGeom prst="rect">
                      <a:avLst/>
                    </a:prstGeom>
                    <a:noFill/>
                    <a:ln>
                      <a:noFill/>
                    </a:ln>
                  </pic:spPr>
                </pic:pic>
              </a:graphicData>
            </a:graphic>
          </wp:inline>
        </w:drawing>
      </w:r>
    </w:p>
    <w:p w14:paraId="5E18380A" w14:textId="77777777" w:rsidR="002C117E" w:rsidRDefault="002C117E" w:rsidP="002C117E">
      <w:r>
        <w:t>Para aquellos usuarios cuyo consumo se encuentre aún por debajo del nuevo valor de la base libre no existirá efecto alguno, si bien su curva de presupuesto se ha efectivamente desplazado.</w:t>
      </w:r>
    </w:p>
    <w:p w14:paraId="622AC46D" w14:textId="77777777" w:rsidR="002C117E" w:rsidRDefault="002C117E" w:rsidP="002C117E">
      <w:r>
        <w:t>En aquellos casos que el usuario tenía un consumo por encima de la base libre previa, la reducción de la base tiene el mismo efecto de cualquier aumento de precios, debiendo el usuario ajustar el consumo de agua y/o de sus otros bienes, para situarse en la nueva curva de restricción presupuestaria.</w:t>
      </w:r>
    </w:p>
    <w:p w14:paraId="1DBE7FE9" w14:textId="77777777" w:rsidR="002C117E" w:rsidRDefault="002C117E" w:rsidP="002C117E">
      <w:r>
        <w:t>Sin embargo, por efecto del cambio de la base libre, un usuario que estaba consumiendo por debajo de la base libre puede pasar a enfrentar un precio. En este caso, el usuario se deberá desplazar hacia la nueva curva de restricción presupuestaria, ajustando su consumo de agua y posiblemente el de otros bienes.</w:t>
      </w:r>
    </w:p>
    <w:p w14:paraId="303DE038" w14:textId="77777777" w:rsidR="002C117E" w:rsidRDefault="002C117E" w:rsidP="002C117E"/>
    <w:p w14:paraId="50CF7E43" w14:textId="77777777" w:rsidR="002C117E" w:rsidRDefault="002C117E" w:rsidP="00C4100D">
      <w:pPr>
        <w:pStyle w:val="Heading1"/>
        <w:numPr>
          <w:ilvl w:val="0"/>
          <w:numId w:val="25"/>
        </w:numPr>
      </w:pPr>
      <w:bookmarkStart w:id="780" w:name="_Toc203490932"/>
      <w:bookmarkStart w:id="781" w:name="_Toc203725956"/>
      <w:bookmarkStart w:id="782" w:name="_Toc203911306"/>
      <w:bookmarkStart w:id="783" w:name="_Toc204009902"/>
      <w:bookmarkStart w:id="784" w:name="_Toc204097198"/>
      <w:bookmarkStart w:id="785" w:name="_Toc204144250"/>
      <w:bookmarkStart w:id="786" w:name="_Toc204269142"/>
      <w:bookmarkStart w:id="787" w:name="_Toc204652595"/>
      <w:bookmarkStart w:id="788" w:name="_Toc205030391"/>
      <w:bookmarkStart w:id="789" w:name="_Toc205044550"/>
      <w:bookmarkStart w:id="790" w:name="_Toc205117494"/>
      <w:bookmarkStart w:id="791" w:name="_Toc452041682"/>
      <w:bookmarkStart w:id="792" w:name="_Toc452045618"/>
      <w:bookmarkStart w:id="793" w:name="_Toc480206469"/>
      <w:bookmarkStart w:id="794" w:name="_Toc484985182"/>
      <w:bookmarkStart w:id="795" w:name="_Toc485027067"/>
      <w:bookmarkStart w:id="796" w:name="_Toc485200249"/>
      <w:r>
        <w:t>Conformación de la base de datos.</w:t>
      </w:r>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p>
    <w:p w14:paraId="432BB9D7" w14:textId="77777777" w:rsidR="002C117E" w:rsidRDefault="002C117E" w:rsidP="002C117E">
      <w:r>
        <w:t>Para la conformación de la base de datos es necesario identificar la unidad de observación, es decir, el individuo cuyo comportamiento se observará e igualmente los parámetros o características a observar de ese individuo, que serán incluidas en la base de datos para realizar los análisis estadísticos y econométricos.</w:t>
      </w:r>
    </w:p>
    <w:p w14:paraId="7F853D5A" w14:textId="77777777" w:rsidR="002C117E" w:rsidRDefault="002C117E" w:rsidP="002C117E">
      <w:r>
        <w:t>Definidos estos aspectos, se realizó el trabajo de recuperación de información histórica sobre los consumos y variables características de los usuarios medidos. Con la información histórica, la información actual en las bases de medición y facturación y la información externa requerida, se conformaron las bases para el análisis.</w:t>
      </w:r>
    </w:p>
    <w:p w14:paraId="358F9424" w14:textId="77777777" w:rsidR="002C117E" w:rsidRDefault="002C117E" w:rsidP="002C117E">
      <w:r>
        <w:t>Dado que en el régimen tarifario de la Concesión todos los usuarios residenciales enfrentan el mismo precio marginal, en este caso no es posible realizar un análisis de corte transversal, ya que tendríamos diferentes niveles de consumo con un solo precio, y llegaríamos a la conclusión de que el precio no afecta el nivel de consumo.</w:t>
      </w:r>
    </w:p>
    <w:p w14:paraId="6032F906" w14:textId="77777777" w:rsidR="002C117E" w:rsidRDefault="002C117E" w:rsidP="002C117E">
      <w:r>
        <w:t>De otro lado, en el marco temporal de este análisis sólo se han efectuado dos aumentos de precios: el primero en abril de 1994 del 13.5% (y aplicado a partir de junio) y el segundo del 5.3%, aplicado en dos etapas (1.6% y 3.6%) durante 1998. Para considerar estos períodos de cambio, fue necesario obtener información de todas las variables establecidas como relevantes y que se cambian con el tiempo, desde el segundo bimestre de 1994.</w:t>
      </w:r>
    </w:p>
    <w:p w14:paraId="1E88541E" w14:textId="77777777" w:rsidR="002C117E" w:rsidRDefault="002C117E" w:rsidP="002B0107">
      <w:pPr>
        <w:pStyle w:val="Heading2"/>
        <w:numPr>
          <w:ilvl w:val="1"/>
          <w:numId w:val="25"/>
        </w:numPr>
      </w:pPr>
      <w:bookmarkStart w:id="797" w:name="_Toc203490933"/>
      <w:bookmarkStart w:id="798" w:name="_Toc203725957"/>
      <w:bookmarkStart w:id="799" w:name="_Toc203911307"/>
      <w:bookmarkStart w:id="800" w:name="_Toc204009903"/>
      <w:bookmarkStart w:id="801" w:name="_Toc204097199"/>
      <w:bookmarkStart w:id="802" w:name="_Toc204144251"/>
      <w:bookmarkStart w:id="803" w:name="_Toc204269143"/>
      <w:bookmarkStart w:id="804" w:name="_Toc204652596"/>
      <w:bookmarkStart w:id="805" w:name="_Toc205030392"/>
      <w:bookmarkStart w:id="806" w:name="_Toc205044551"/>
      <w:bookmarkStart w:id="807" w:name="_Toc205117495"/>
      <w:bookmarkStart w:id="808" w:name="_Toc452041683"/>
      <w:bookmarkStart w:id="809" w:name="_Toc452045619"/>
      <w:bookmarkStart w:id="810" w:name="_Toc480206470"/>
      <w:bookmarkStart w:id="811" w:name="_Toc484985183"/>
      <w:bookmarkStart w:id="812" w:name="_Toc485027068"/>
      <w:bookmarkStart w:id="813" w:name="_Toc485200250"/>
      <w:r>
        <w:t>Definición de la unidad de observación.</w:t>
      </w:r>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p>
    <w:p w14:paraId="6F0FBCD1" w14:textId="77777777" w:rsidR="002C117E" w:rsidRDefault="002C117E" w:rsidP="002C117E">
      <w:r>
        <w:t>De acuerdo con lo establecido en las categorías de análisis, en el caso de los usuarios residenciales de la categoría uno, la unidad de observación (de la variable dependiente) será directamente el consumo registrado por el medidor de la vivienda. (Solo se estimará la elasticidad de los usuarios residenciales en viviendas).</w:t>
      </w:r>
    </w:p>
    <w:p w14:paraId="49CB876D" w14:textId="77777777" w:rsidR="002C117E" w:rsidRDefault="002C117E" w:rsidP="002B0107">
      <w:pPr>
        <w:pStyle w:val="Heading2"/>
        <w:numPr>
          <w:ilvl w:val="1"/>
          <w:numId w:val="25"/>
        </w:numPr>
      </w:pPr>
      <w:bookmarkStart w:id="814" w:name="_Toc203490934"/>
      <w:bookmarkStart w:id="815" w:name="_Toc203725958"/>
      <w:bookmarkStart w:id="816" w:name="_Toc203911308"/>
      <w:bookmarkStart w:id="817" w:name="_Toc204009904"/>
      <w:bookmarkStart w:id="818" w:name="_Toc204097200"/>
      <w:bookmarkStart w:id="819" w:name="_Toc204144252"/>
      <w:bookmarkStart w:id="820" w:name="_Toc204269144"/>
      <w:bookmarkStart w:id="821" w:name="_Toc204652597"/>
      <w:bookmarkStart w:id="822" w:name="_Toc205030393"/>
      <w:bookmarkStart w:id="823" w:name="_Toc205044552"/>
      <w:bookmarkStart w:id="824" w:name="_Toc205117496"/>
      <w:bookmarkStart w:id="825" w:name="_Toc452041684"/>
      <w:bookmarkStart w:id="826" w:name="_Toc452045620"/>
      <w:bookmarkStart w:id="827" w:name="_Toc480206471"/>
      <w:bookmarkStart w:id="828" w:name="_Toc484985184"/>
      <w:bookmarkStart w:id="829" w:name="_Toc485027069"/>
      <w:bookmarkStart w:id="830" w:name="_Toc485200251"/>
      <w:r>
        <w:t>Definición de los datos a incluir en las bases de datos.</w:t>
      </w:r>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p>
    <w:p w14:paraId="201730D9" w14:textId="77777777" w:rsidR="002C117E" w:rsidRDefault="002C117E" w:rsidP="002C117E">
      <w:r>
        <w:t>Para poder conformar la base con la cual se habrán de realizar los ejercicios econométricos de cálculo de elasticidad, es necesario definir las variables que serán utilizadas en el análisis, en representación de los parámetros antes listados.</w:t>
      </w:r>
    </w:p>
    <w:p w14:paraId="34B9BCEA" w14:textId="77777777" w:rsidR="002C117E" w:rsidRDefault="002C117E" w:rsidP="002C117E">
      <w:r>
        <w:t>Es conveniente recordar, que el análisis de regresión se realiza mediante un proceso iterativo, definiendo una ecuación funcional básica, con cierto número de variables a partir de las cuales, por aproximaciones sucesivas, se busca la ecuación de mejor ajuste, es decir la o las variables que mejor explican los cambios en la variable dependiente. Esto implica utilizar la mayor cantidad de información disponible inicialmente e ir descartando toda aquella que resulte posteriormente irrelevante (no sirva para explicar el fenómeno en estudio), superflua (tenga poco poder de explicación del fenómeno) o redundante (explique lo que otra u otras variables consideradas pueden explicar).</w:t>
      </w:r>
    </w:p>
    <w:p w14:paraId="54912CCE" w14:textId="77777777" w:rsidR="002C117E" w:rsidRDefault="002C117E" w:rsidP="002C117E">
      <w:r>
        <w:t>La recolección y procesamiento de información tiene costo, por lo tanto es conveniente establecer un conjunto básico de variables lo suficientemente amplio que logre explicar el fenómeno bajo análisis (en este caso el consumo de agua), pero también lo suficientemente reducido para que su recolección y procesamiento se pueda realizar dentro del tiempo (y presupuesto) establecido para el ejercicio.</w:t>
      </w:r>
    </w:p>
    <w:p w14:paraId="6070C5D5" w14:textId="77777777" w:rsidR="002C117E" w:rsidRDefault="002C117E" w:rsidP="002C117E">
      <w:r>
        <w:t>A continuación se exponen las variables utilizadas para medir los parámetros que determinan en consumo de agua. Como se verá, algunos de ellos definen en si mismos la variable pero otros pueden tener o necesitar más de una variable que sirva para medirlos.</w:t>
      </w:r>
    </w:p>
    <w:p w14:paraId="616264E7" w14:textId="77777777" w:rsidR="002C117E" w:rsidRDefault="002C117E" w:rsidP="00C4100D">
      <w:pPr>
        <w:pStyle w:val="Heading3"/>
        <w:numPr>
          <w:ilvl w:val="2"/>
          <w:numId w:val="25"/>
        </w:numPr>
      </w:pPr>
      <w:bookmarkStart w:id="831" w:name="_Toc203490935"/>
      <w:bookmarkStart w:id="832" w:name="_Toc203725959"/>
      <w:bookmarkStart w:id="833" w:name="_Toc203911309"/>
      <w:bookmarkStart w:id="834" w:name="_Toc204009905"/>
      <w:bookmarkStart w:id="835" w:name="_Toc204097201"/>
      <w:bookmarkStart w:id="836" w:name="_Toc204144253"/>
      <w:bookmarkStart w:id="837" w:name="_Toc204269145"/>
      <w:bookmarkStart w:id="838" w:name="_Toc204652598"/>
      <w:bookmarkStart w:id="839" w:name="_Toc205030394"/>
      <w:bookmarkStart w:id="840" w:name="_Toc205044553"/>
      <w:bookmarkStart w:id="841" w:name="_Toc205117497"/>
      <w:bookmarkStart w:id="842" w:name="_Toc452041685"/>
      <w:bookmarkStart w:id="843" w:name="_Toc452045621"/>
      <w:bookmarkStart w:id="844" w:name="_Toc480206472"/>
      <w:bookmarkStart w:id="845" w:name="_Toc484985185"/>
      <w:bookmarkStart w:id="846" w:name="_Toc485027070"/>
      <w:bookmarkStart w:id="847" w:name="_Toc485200252"/>
      <w:r>
        <w:t>Consumo.</w:t>
      </w:r>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p>
    <w:p w14:paraId="16C5DAAC" w14:textId="77777777" w:rsidR="002C117E" w:rsidRDefault="002C117E" w:rsidP="002C117E">
      <w:r>
        <w:t>El consumo es la variable básica a registrar por cada unidad de observación, entendiendo como tal la diferencia entre los valores registrados en el medidor de la unidad entre dos períodos de lectura, normalizado a 61 días, es decir:</w:t>
      </w:r>
    </w:p>
    <w:p w14:paraId="3F62A96A" w14:textId="77777777" w:rsidR="002C117E" w:rsidRDefault="002C117E" w:rsidP="002C117E">
      <w:pPr>
        <w:ind w:left="708"/>
      </w:pPr>
      <w:r>
        <w:cr/>
      </w:r>
      <w:r w:rsidRPr="00A107D8">
        <w:rPr>
          <w:position w:val="-24"/>
        </w:rPr>
        <w:object w:dxaOrig="3480" w:dyaOrig="620" w14:anchorId="3592417E">
          <v:shape id="_x0000_i1038" type="#_x0000_t75" style="width:199.2pt;height:35.4pt" o:ole="">
            <v:imagedata r:id="rId200" o:title=""/>
          </v:shape>
          <o:OLEObject Type="Embed" ProgID="Equation.3" ShapeID="_x0000_i1038" DrawAspect="Content" ObjectID="_1560797572" r:id="rId201"/>
        </w:object>
      </w:r>
    </w:p>
    <w:p w14:paraId="470A1270" w14:textId="77777777" w:rsidR="002C117E" w:rsidRDefault="002C117E" w:rsidP="002C117E">
      <w:r>
        <w:t>En el caso de unidades con más de una conexión medida se entenderá como consumo la sumatoria de todos los medidores. Si una unidad posee más de una conexión y al menos una de ellas no es medida, la unidad es tratada como no medida y por tanto la información de la unidad no será utilizada para el análisis de elasticidad.</w:t>
      </w:r>
    </w:p>
    <w:p w14:paraId="68721EBD" w14:textId="77777777" w:rsidR="002C117E" w:rsidRDefault="002C117E" w:rsidP="00C4100D">
      <w:pPr>
        <w:pStyle w:val="Heading3"/>
        <w:numPr>
          <w:ilvl w:val="2"/>
          <w:numId w:val="25"/>
        </w:numPr>
      </w:pPr>
      <w:bookmarkStart w:id="848" w:name="_Toc203490936"/>
      <w:bookmarkStart w:id="849" w:name="_Toc203725960"/>
      <w:bookmarkStart w:id="850" w:name="_Toc203911310"/>
      <w:bookmarkStart w:id="851" w:name="_Toc204009906"/>
      <w:bookmarkStart w:id="852" w:name="_Toc204097202"/>
      <w:bookmarkStart w:id="853" w:name="_Toc204144254"/>
      <w:bookmarkStart w:id="854" w:name="_Toc204269146"/>
      <w:bookmarkStart w:id="855" w:name="_Toc204652599"/>
      <w:bookmarkStart w:id="856" w:name="_Toc205030395"/>
      <w:bookmarkStart w:id="857" w:name="_Toc205044554"/>
      <w:bookmarkStart w:id="858" w:name="_Toc205117498"/>
      <w:bookmarkStart w:id="859" w:name="_Toc452041686"/>
      <w:bookmarkStart w:id="860" w:name="_Toc452045622"/>
      <w:bookmarkStart w:id="861" w:name="_Toc480206473"/>
      <w:bookmarkStart w:id="862" w:name="_Toc484985186"/>
      <w:bookmarkStart w:id="863" w:name="_Toc485027071"/>
      <w:bookmarkStart w:id="864" w:name="_Toc485200253"/>
      <w:r>
        <w:t>Precio.</w:t>
      </w:r>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p>
    <w:p w14:paraId="7D122082" w14:textId="6A01F6BD" w:rsidR="002C117E" w:rsidRDefault="002C117E" w:rsidP="002C117E">
      <w:r>
        <w:t>Una primer</w:t>
      </w:r>
      <w:r w:rsidR="002C4A1B">
        <w:t>a</w:t>
      </w:r>
      <w:r>
        <w:t xml:space="preserve"> controversia en el estudio de la demanda del servicio se genera en la elección de la variable precio -variable explicativa- o cual es el valor que debe ser utilizado: Precios Medios o Precios Marginales.</w:t>
      </w:r>
    </w:p>
    <w:p w14:paraId="3B7611FD" w14:textId="77777777" w:rsidR="002C117E" w:rsidRDefault="002C117E" w:rsidP="002C117E">
      <w:r>
        <w:t>Dicha controversia es planteada por Griffin et al. (1981) al sostener que la elección de precios medios conlleva a estimar la forma de la oferta -dado que refleja la estructura tarifaria de la firma- y no de la demanda. Dichos autores plantean que la utilización de precios promedios conlleva problemas de estimación dado que la misma prevé que el precio es alto en ciudades con bajo consumo mientras que lo contrario sucede en ciudades con niveles de consumo alto. El problema es que la relación inversa entre precio y cantidad encontrada por Foster, H. et. al. (1979), se explicaría por la utilización de tarifas en partes (block tariff) que realizan las firmas y no a partir del efecto marginal que los precios pudieran tener sobre el consumo de los usuarios.</w:t>
      </w:r>
    </w:p>
    <w:p w14:paraId="3B9CED01" w14:textId="77777777" w:rsidR="002C117E" w:rsidRDefault="002C117E" w:rsidP="002C117E">
      <w:r>
        <w:t>Respecto a qué tipo de precios deben ser utilizados en el cálculo de la elasticidad precio, las conclusiones de la literatura no son categóricas. En Howe, C et.al (1987) se planteó la necesidad de utilizar precios marginales, dado que dicho concepto es el relevante para la decisión de consumo del agente. Sin embargo, dicho concepto no es conclusivo una vez que el consumidor se enfrenta a tarifas no-lineales. Supongamos, siguiendo a Howe, C. (1981) que dos consumidores, enfrentan dos tipos de estructuras diferentes (uno creciente mientras otro enfrenta una estructura constante), por lo que sus ingresos residuales van a diferir. En la medida que dicho diferencial sea suficientemente grande, ambos exhibirán una función de demanda diferente. Dicha observación también fue hecha por Taylor, D. (1975) al analizar la demanda de electricidad, donde analiza la complejidad que conlleva la introducción de una tarifa no-lineal para el análisis convencional de la demanda y la elasticidad.</w:t>
      </w:r>
    </w:p>
    <w:p w14:paraId="0E3D0DE4" w14:textId="77777777" w:rsidR="002C117E" w:rsidRDefault="002C117E" w:rsidP="002C117E">
      <w:r>
        <w:t>Por otra parte, la validez de la utilización de precios marginales va a depender del tipo de tarifa no-lineal que enfrente el consumidor. Así, algunos autores sostienen que la utilización de dicho precio es oportuna cuando el consumidor enfrenta una estructura tarifaria en partes creciente, aunque en caso de enfrentar una estructura decreciente la alternativa seria igualar a precios promedio. En otro se concluye que ante la presencia de tarifas no lineales, los consumidores responden más ante cambios en precios promedios que ante precios marginales.</w:t>
      </w:r>
    </w:p>
    <w:p w14:paraId="574AA517" w14:textId="186B3B4D" w:rsidR="002C117E" w:rsidRDefault="002C4A1B" w:rsidP="002C117E">
      <w:r>
        <w:t>Respecto a cuá</w:t>
      </w:r>
      <w:r w:rsidR="002C117E">
        <w:t>l sería el precio a incluir como variable explicativa en la función de demanda, Taylor (19</w:t>
      </w:r>
      <w:r>
        <w:t>75) plantea que lo correcto serí</w:t>
      </w:r>
      <w:r w:rsidR="002C117E">
        <w:t>a incluir ambos precios (marginal y promedio). La solución propuesta por Nordin (1976) es la inclusión de una variable representando la diferencia entre lo que actualmente paga el consumidor respecto a lo que este debería pagar en caso que la tarifa sea evaluada en términos de precios marginales. La misma variable es considerada como valedera por Billings y Agthe (1980), en la medida que el equilibrio del consumidor se mantenga dentro del mismo segmento marginal de su restricción presupuestaria.</w:t>
      </w:r>
    </w:p>
    <w:p w14:paraId="65AC4536" w14:textId="77777777" w:rsidR="002C117E" w:rsidRDefault="002C117E" w:rsidP="002C117E">
      <w:r>
        <w:t>Dado que en el trabajo a realizar, la elasticidad es la principal variable a estimar, el precio a incluir en la base de datos, es el valor por metro cúbico que el usuario debió pagar por el consumo por encima de la base libre, incluido el impuesto al valor agregado (IVA), lo que en la práctica corresponde al precio marginal del metro cúbico.</w:t>
      </w:r>
    </w:p>
    <w:p w14:paraId="1CE80B00" w14:textId="77777777" w:rsidR="002C117E" w:rsidRDefault="002C117E" w:rsidP="002C117E">
      <w:r>
        <w:t>Los cambios que por norma regulatoria o impositiva ha tenido el precio, así como los cambios que ha tenido la base libre, para el período evaluado (mayo de 1993 hasta diciembre de 2000) se presentan en el Cuadro A2.1.</w:t>
      </w:r>
    </w:p>
    <w:p w14:paraId="0CFAC570" w14:textId="77777777" w:rsidR="002C117E" w:rsidRDefault="002C117E" w:rsidP="002C117E">
      <w:r>
        <w:t>El precio (o tarifa) asignado en la base al consumo de cada usuario puede diferir durante un corto período del precio establecido en las normas regulatorias, por cuanto el valor con el que efectivamente se factura en las semanas posteriores a un incremento del precio regulado, es igual al promedio ponderado de los dos precios (antes y después del incremento), según el número de días en que cada uno se debió aplicar. Igualmente, el incremento en el IVA fue asumido durante un lapso de tiempo directamente por la empresa.</w:t>
      </w:r>
    </w:p>
    <w:p w14:paraId="0B750347" w14:textId="77777777" w:rsidR="002C117E" w:rsidRDefault="002C117E" w:rsidP="002C117E">
      <w:r>
        <w:t>Por ejemplo, si el usuario tiene un consumo registrado de 200 m</w:t>
      </w:r>
      <w:r>
        <w:rPr>
          <w:vertAlign w:val="superscript"/>
        </w:rPr>
        <w:t>3</w:t>
      </w:r>
      <w:r>
        <w:t xml:space="preserve"> en un bimestre pero los primeros 24 días del bimestre estuvo vigente el precio P1 y después, esto es para los 37 restantes días del bimestre estuvo vigente el precio P2, el consumo, por encima del consumo libre (CL) de ese usuario se facturará en ese bimestre así:</w:t>
      </w:r>
    </w:p>
    <w:p w14:paraId="230B6701" w14:textId="77777777" w:rsidR="002C117E" w:rsidRDefault="002C117E" w:rsidP="002C117E">
      <w:r>
        <w:t xml:space="preserve"> </w:t>
      </w:r>
    </w:p>
    <w:p w14:paraId="077B4B49" w14:textId="77777777" w:rsidR="002C117E" w:rsidRDefault="002C117E" w:rsidP="002C117E">
      <w:pPr>
        <w:ind w:left="708"/>
      </w:pPr>
      <w:r>
        <w:t>Factura del exceso = (200 - CL)*P1 * (24/61) + (200-CL)*P2 * (37/61)</w:t>
      </w:r>
    </w:p>
    <w:p w14:paraId="2003F2A8" w14:textId="77777777" w:rsidR="002C117E" w:rsidRDefault="002C117E" w:rsidP="002C117E">
      <w:r>
        <w:t xml:space="preserve"> </w:t>
      </w:r>
    </w:p>
    <w:p w14:paraId="5280E747" w14:textId="77777777" w:rsidR="002C117E" w:rsidRDefault="002C117E" w:rsidP="002C117E">
      <w:r>
        <w:t>Es decir que durante ese período el precio (promedio ponderado) vigente fue:</w:t>
      </w:r>
    </w:p>
    <w:p w14:paraId="36357D3D" w14:textId="77777777" w:rsidR="002C117E" w:rsidRDefault="002C117E" w:rsidP="002C117E"/>
    <w:p w14:paraId="3D125CF6" w14:textId="77777777" w:rsidR="002C117E" w:rsidRDefault="002C117E" w:rsidP="002C117E">
      <w:pPr>
        <w:ind w:left="708"/>
      </w:pPr>
      <w:r>
        <w:t>Pp= P1 * (24/61) + P2 * (37/61)</w:t>
      </w:r>
    </w:p>
    <w:p w14:paraId="04850E01" w14:textId="77777777" w:rsidR="002C117E" w:rsidRDefault="002C117E" w:rsidP="002C117E">
      <w:r>
        <w:t xml:space="preserve"> </w:t>
      </w:r>
    </w:p>
    <w:p w14:paraId="7F76FE85" w14:textId="77777777" w:rsidR="002C117E" w:rsidRDefault="002C117E" w:rsidP="002C117E">
      <w:r>
        <w:t>Dado que no se busca tener coeficientes temporales ni aislar los efectos temporales, una vez realizado el análisis del comportamiento del consumo en el tiempo, para la realización de las corridas econométricas, se excluirán todas las observaciones con consumo por debajo del consumo libre, así como todos los consumos por debajo de cero.</w:t>
      </w:r>
    </w:p>
    <w:p w14:paraId="130F436F" w14:textId="77777777" w:rsidR="002C117E" w:rsidRDefault="002C117E" w:rsidP="002C117E">
      <w:pPr>
        <w:pStyle w:val="CuadrosyTablas"/>
      </w:pPr>
      <w:r>
        <w:t>Cuadro A2.1: Cambios tarifarios incluidos en el análisis.</w:t>
      </w:r>
    </w:p>
    <w:p w14:paraId="4B9AAA67" w14:textId="77777777" w:rsidR="002C117E" w:rsidRDefault="002C117E" w:rsidP="002C117E">
      <w:pPr>
        <w:pStyle w:val="CuadrosyTablas"/>
      </w:pPr>
      <w:r>
        <w:rPr>
          <w:noProof/>
          <w:lang w:eastAsia="es-AR"/>
        </w:rPr>
        <w:drawing>
          <wp:inline distT="0" distB="0" distL="0" distR="0" wp14:anchorId="384AB59B" wp14:editId="2525BCDF">
            <wp:extent cx="5377815" cy="2543810"/>
            <wp:effectExtent l="0" t="0" r="0" b="889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377815" cy="2543810"/>
                    </a:xfrm>
                    <a:prstGeom prst="rect">
                      <a:avLst/>
                    </a:prstGeom>
                    <a:noFill/>
                    <a:ln>
                      <a:noFill/>
                    </a:ln>
                  </pic:spPr>
                </pic:pic>
              </a:graphicData>
            </a:graphic>
          </wp:inline>
        </w:drawing>
      </w:r>
    </w:p>
    <w:p w14:paraId="07880A49" w14:textId="77777777" w:rsidR="002C117E" w:rsidRDefault="002C117E" w:rsidP="002C117E"/>
    <w:p w14:paraId="08FF5655" w14:textId="77777777" w:rsidR="002C117E" w:rsidRDefault="002C117E" w:rsidP="00C4100D">
      <w:pPr>
        <w:pStyle w:val="Heading3"/>
        <w:numPr>
          <w:ilvl w:val="2"/>
          <w:numId w:val="25"/>
        </w:numPr>
      </w:pPr>
      <w:bookmarkStart w:id="865" w:name="_Toc203490937"/>
      <w:bookmarkStart w:id="866" w:name="_Toc203725961"/>
      <w:bookmarkStart w:id="867" w:name="_Toc203911311"/>
      <w:bookmarkStart w:id="868" w:name="_Toc204009907"/>
      <w:bookmarkStart w:id="869" w:name="_Toc204097203"/>
      <w:bookmarkStart w:id="870" w:name="_Toc204144255"/>
      <w:bookmarkStart w:id="871" w:name="_Toc204269147"/>
      <w:bookmarkStart w:id="872" w:name="_Toc204652600"/>
      <w:bookmarkStart w:id="873" w:name="_Toc205030396"/>
      <w:bookmarkStart w:id="874" w:name="_Toc205044555"/>
      <w:bookmarkStart w:id="875" w:name="_Toc205117499"/>
      <w:bookmarkStart w:id="876" w:name="_Toc452041687"/>
      <w:bookmarkStart w:id="877" w:name="_Toc452045623"/>
      <w:bookmarkStart w:id="878" w:name="_Toc480206474"/>
      <w:bookmarkStart w:id="879" w:name="_Toc484985187"/>
      <w:bookmarkStart w:id="880" w:name="_Toc485027072"/>
      <w:bookmarkStart w:id="881" w:name="_Toc485200254"/>
      <w:r>
        <w:t>Ingreso.</w:t>
      </w:r>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p>
    <w:p w14:paraId="469FBD1E" w14:textId="77777777" w:rsidR="002C117E" w:rsidRDefault="002C117E" w:rsidP="002C117E">
      <w:r>
        <w:t>En el ejercicio a realizar en este estudio, al igual que en todos aquellos ejercicios que deben utilizar el ingreso individual o familiar como un dato de trabajo, se enfrenta con el problema tradicional de tener una o un conjunto de variables que permitan medir adecuadamente el ingreso del usuario.</w:t>
      </w:r>
    </w:p>
    <w:p w14:paraId="7926F140" w14:textId="77777777" w:rsidR="002C117E" w:rsidRDefault="002C117E" w:rsidP="002C117E">
      <w:r>
        <w:t>A pesar de que no se posee una variable que mida en forma directa el ingreso de cada unidad, el régimen tarifario tiene al menos dos parámetros que son variables proxy del ingreso, como son el coeficiente zonal y la calidad de la vivienda, que forma parte del parámetro E.</w:t>
      </w:r>
    </w:p>
    <w:p w14:paraId="66021DC8" w14:textId="77777777" w:rsidR="002C117E" w:rsidRDefault="002C117E" w:rsidP="002C117E">
      <w:r>
        <w:t>En la base se posee tanto la información del parámetro E, como de sus dos componentes, esto es, año de construcción (o reparación mayor) de la vivienda y calidad constructiva de la vivienda.</w:t>
      </w:r>
    </w:p>
    <w:p w14:paraId="7A3D7378" w14:textId="77777777" w:rsidR="002C117E" w:rsidRDefault="002C117E" w:rsidP="002C117E">
      <w:r>
        <w:t>Se considera, como hipótesis, que como proxy del ingreso (o riqueza) de la familia que habita la unidad se debe utilizar solo el indicador de calidad de la vivienda (y no el parámetro E en su conjunto), por cuanto casas muy antiguas y bien conservadas suelen ser más costosas que casas más nuevas, en igualdad de condiciones de ubicación.</w:t>
      </w:r>
    </w:p>
    <w:p w14:paraId="2283BF6D" w14:textId="77777777" w:rsidR="002C117E" w:rsidRDefault="002C117E" w:rsidP="002C117E">
      <w:r>
        <w:t>El trabajo realizado de búsqueda de información disponible fuera de la empresa permite concluir que no existen fuentes alternas de información que lleven registros periódicos de ingresos (o gastos) de las familias o las viviendas en la ciudad, con el detalle necesario para alimentar la base de datos.</w:t>
      </w:r>
    </w:p>
    <w:p w14:paraId="335383C0" w14:textId="77777777" w:rsidR="002C117E" w:rsidRDefault="002C117E" w:rsidP="002C117E">
      <w:r>
        <w:t>Sin embargo, se encontró que en la base de datos comerciales cada unidad tiene asignado un valor numérico en el campo "Índice de Estratificación Socioeconómica (lES)", el cual es un parámetro de clasificación de los radios censales de Capital Federal y Gran Buenos Aires por pobreza relativa.</w:t>
      </w:r>
    </w:p>
    <w:p w14:paraId="25F23DB6" w14:textId="77777777" w:rsidR="002C117E" w:rsidRDefault="002C117E" w:rsidP="002C117E">
      <w:r>
        <w:t>El lES es producto de un trabajo adelantado por IEDAL en 1997 que asigna puntaje a cada radio censal a partir de las siguientes variables (tomadas del Censo de Población y Vivienda de 1991):</w:t>
      </w:r>
    </w:p>
    <w:p w14:paraId="5936243D" w14:textId="77777777" w:rsidR="002C117E" w:rsidRDefault="002C117E" w:rsidP="00C4100D">
      <w:pPr>
        <w:numPr>
          <w:ilvl w:val="0"/>
          <w:numId w:val="30"/>
        </w:numPr>
        <w:spacing w:before="120" w:after="120" w:line="360" w:lineRule="auto"/>
      </w:pPr>
      <w:r>
        <w:t>% Jefes de hogar con nivel de instrucción bajo (sin asistencia escolar o primaria incompleta).</w:t>
      </w:r>
    </w:p>
    <w:p w14:paraId="0D19300D" w14:textId="77777777" w:rsidR="002C117E" w:rsidRDefault="002C117E" w:rsidP="00C4100D">
      <w:pPr>
        <w:numPr>
          <w:ilvl w:val="0"/>
          <w:numId w:val="30"/>
        </w:numPr>
        <w:spacing w:before="120" w:after="120" w:line="360" w:lineRule="auto"/>
      </w:pPr>
      <w:r>
        <w:t xml:space="preserve">% de Viviendas deficientes </w:t>
      </w:r>
    </w:p>
    <w:p w14:paraId="1A5507D1" w14:textId="77777777" w:rsidR="002C117E" w:rsidRDefault="002C117E" w:rsidP="00C4100D">
      <w:pPr>
        <w:numPr>
          <w:ilvl w:val="0"/>
          <w:numId w:val="30"/>
        </w:numPr>
        <w:spacing w:before="120" w:after="120" w:line="360" w:lineRule="auto"/>
      </w:pPr>
      <w:r>
        <w:t>% de niños de 0 a 14 años.</w:t>
      </w:r>
    </w:p>
    <w:p w14:paraId="4B198D08" w14:textId="77777777" w:rsidR="002C117E" w:rsidRDefault="002C117E" w:rsidP="002C117E">
      <w:r>
        <w:t>La presencia de estas condiciones suma puntos al lES, por lo que el lES = 0 es la condición socio-económica más alta. Los valores de lES van de 0 a 0,84 (con alrededor de 80 valores) en Capital Federal y de 0 a 0,92 en Provincia (con alrededor de 90 valores).</w:t>
      </w:r>
    </w:p>
    <w:p w14:paraId="2E4436E9" w14:textId="77777777" w:rsidR="002C117E" w:rsidRDefault="002C117E" w:rsidP="002C117E">
      <w:r>
        <w:t>Si bien el lES no es una variable que refleja directamente el nivel de ingresos, resulta la mejor aproximación disponible de clasificación socio-económica con que se cuenta.</w:t>
      </w:r>
    </w:p>
    <w:p w14:paraId="09FB5BAB" w14:textId="77777777" w:rsidR="002C117E" w:rsidRDefault="002C117E" w:rsidP="002C117E">
      <w:r>
        <w:t>De la exploración documental realizada, se encontró que solo el INDEC, por medio de la encuesta de hogares, recolecta información sobre ingresos y gastos a un nivel y cubrimiento, que si bien no permite su utilización directa en el trabajo, puede ser utilizable, relacionándola con el parámetro lES.</w:t>
      </w:r>
    </w:p>
    <w:p w14:paraId="0AF86C7E" w14:textId="77777777" w:rsidR="002C117E" w:rsidRDefault="002C117E" w:rsidP="002C117E">
      <w:r>
        <w:t xml:space="preserve">Así, en un primer paso, se utilizó la variable lES (incluida en la base original) para clasificar a los individuos en estratos sociales. Luego, para convertir la variable lES, de carácter cualitativo (ya que el número del lES en sí mismo no es una variable cuantitativa), a una variable de tipo cuantitativo, se decidió relacionarla directamente con el ingreso medio por decil proveniente de la Encuesta Permanente de Hogares del INDEC. El ejercicio se realizó dividiendo todos los valores del lES en 10 rangos. </w:t>
      </w:r>
    </w:p>
    <w:p w14:paraId="7766C82E" w14:textId="77777777" w:rsidR="002C117E" w:rsidRDefault="002C117E" w:rsidP="002C117E">
      <w:r>
        <w:t>Sin embargo, no debe dejar de notarse que mientras que los consumos están asignados por unidad, el lES está asignado por radio censal, que es un indicador de la localización geográfica equivalente a alrededor de 200 personas. Esto puede ser una importante limitación al considerar un ingreso más alto o más bajo del que realmente le pertenece a un usuario.</w:t>
      </w:r>
    </w:p>
    <w:p w14:paraId="3D1A8592" w14:textId="77777777" w:rsidR="002C117E" w:rsidRDefault="002C117E" w:rsidP="00C4100D">
      <w:pPr>
        <w:pStyle w:val="Heading3"/>
        <w:numPr>
          <w:ilvl w:val="2"/>
          <w:numId w:val="25"/>
        </w:numPr>
      </w:pPr>
      <w:bookmarkStart w:id="882" w:name="_Toc203490938"/>
      <w:bookmarkStart w:id="883" w:name="_Toc203725962"/>
      <w:bookmarkStart w:id="884" w:name="_Toc203911312"/>
      <w:bookmarkStart w:id="885" w:name="_Toc204009908"/>
      <w:bookmarkStart w:id="886" w:name="_Toc204097204"/>
      <w:bookmarkStart w:id="887" w:name="_Toc204144256"/>
      <w:bookmarkStart w:id="888" w:name="_Toc204269148"/>
      <w:bookmarkStart w:id="889" w:name="_Toc204652601"/>
      <w:bookmarkStart w:id="890" w:name="_Toc205030397"/>
      <w:bookmarkStart w:id="891" w:name="_Toc205044556"/>
      <w:bookmarkStart w:id="892" w:name="_Toc205117500"/>
      <w:bookmarkStart w:id="893" w:name="_Toc452041688"/>
      <w:bookmarkStart w:id="894" w:name="_Toc452045624"/>
      <w:bookmarkStart w:id="895" w:name="_Toc480206475"/>
      <w:bookmarkStart w:id="896" w:name="_Toc484985188"/>
      <w:bookmarkStart w:id="897" w:name="_Toc485027073"/>
      <w:bookmarkStart w:id="898" w:name="_Toc485200255"/>
      <w:r>
        <w:t>Numero miembros hogar.</w:t>
      </w:r>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p>
    <w:p w14:paraId="3D830B6E" w14:textId="77777777" w:rsidR="002C117E" w:rsidRDefault="002C117E" w:rsidP="002C117E">
      <w:r>
        <w:t>En la base de datos de la concesionaria no existe información directa sobre el número de habitantes de cada unidad o el número de miembros del hogar que habita la unidad. Sin embargo, existe información proveniente del "Censo de Población y Vivienda" de 1991 sobre la población total del radio censal en la cual se encuentra localizada la vivienda.</w:t>
      </w:r>
    </w:p>
    <w:p w14:paraId="675A492F" w14:textId="77777777" w:rsidR="002C117E" w:rsidRDefault="002C117E" w:rsidP="002C117E">
      <w:r>
        <w:t>Así, como una variable proxy del número de habitantes del hogar, se ha asignado a cada unidad la población promedio por unidad del radio censal en que ella se encuentra localizada. Si bien esta variable por sí sola puede afectar la capacidad del modelo, al asignar a dos unidades, por el solo hecho de estar en el mismo radio censal, el mismo número de habitantes, su combinación en la ecuación, con el área de la vivienda, mejora la capacidad de explicación general del modelo.</w:t>
      </w:r>
    </w:p>
    <w:p w14:paraId="0DB68232" w14:textId="77777777" w:rsidR="002C117E" w:rsidRDefault="002C117E" w:rsidP="002C117E"/>
    <w:p w14:paraId="2DAD5DC8" w14:textId="77777777" w:rsidR="002C117E" w:rsidRDefault="002C117E" w:rsidP="00C4100D">
      <w:pPr>
        <w:pStyle w:val="Heading3"/>
        <w:numPr>
          <w:ilvl w:val="2"/>
          <w:numId w:val="25"/>
        </w:numPr>
      </w:pPr>
      <w:bookmarkStart w:id="899" w:name="_Toc203490939"/>
      <w:bookmarkStart w:id="900" w:name="_Toc203725963"/>
      <w:bookmarkStart w:id="901" w:name="_Toc203911313"/>
      <w:bookmarkStart w:id="902" w:name="_Toc204009909"/>
      <w:bookmarkStart w:id="903" w:name="_Toc204097205"/>
      <w:bookmarkStart w:id="904" w:name="_Toc204144257"/>
      <w:bookmarkStart w:id="905" w:name="_Toc204269149"/>
      <w:bookmarkStart w:id="906" w:name="_Toc204652602"/>
      <w:bookmarkStart w:id="907" w:name="_Toc205030398"/>
      <w:bookmarkStart w:id="908" w:name="_Toc205044557"/>
      <w:bookmarkStart w:id="909" w:name="_Toc205117501"/>
      <w:bookmarkStart w:id="910" w:name="_Toc452041689"/>
      <w:bookmarkStart w:id="911" w:name="_Toc452045625"/>
      <w:bookmarkStart w:id="912" w:name="_Toc480206476"/>
      <w:bookmarkStart w:id="913" w:name="_Toc484985189"/>
      <w:bookmarkStart w:id="914" w:name="_Toc485027074"/>
      <w:bookmarkStart w:id="915" w:name="_Toc485200256"/>
      <w:r>
        <w:t>Temperatura y nivel de precipitaciones.</w:t>
      </w:r>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p>
    <w:p w14:paraId="6EF37C2C" w14:textId="77777777" w:rsidR="002C117E" w:rsidRDefault="002C117E" w:rsidP="002C117E">
      <w:r>
        <w:t>Los datos de temperatura y precipitación se obtuvieron del Servicio Meteorológico Nacional a nivel diario, para el período de 7 años sobre los cuales se tiene registros de consumo (1993-2000).</w:t>
      </w:r>
    </w:p>
    <w:p w14:paraId="0DEF9EDF" w14:textId="77777777" w:rsidR="002C117E" w:rsidRDefault="002C117E" w:rsidP="002C117E">
      <w:r>
        <w:t>Luego estos datos se asignaron teniendo en cuenta el rezago existente entre la lectura del periodo consumido y la fecha de entrega de la factura (entre la fecha de medición y la fecha en la que el cliente recibe la factura transcurren alrededor de 35 días, por lo que se asignó temperatura con ese criterio). Es decir, a cada usuario se le asignó la temperatura promedio de los días correspondientes a su consumo, así como la cantidad de días durante el periodo en el que se registraron precipitaciones.</w:t>
      </w:r>
    </w:p>
    <w:p w14:paraId="0D7C8854" w14:textId="77777777" w:rsidR="002C117E" w:rsidRDefault="002C117E" w:rsidP="002C117E">
      <w:r>
        <w:t>Como resultado de este trabajo quedo conformada la base de datos para el análisis de regresión de la categoría de usuarios residenciales.</w:t>
      </w:r>
    </w:p>
    <w:p w14:paraId="7D86B223" w14:textId="77777777" w:rsidR="002C117E" w:rsidRDefault="002C117E" w:rsidP="002C117E"/>
    <w:p w14:paraId="336CEEB0" w14:textId="77777777" w:rsidR="002C117E" w:rsidRDefault="002C117E" w:rsidP="00C4100D">
      <w:pPr>
        <w:pStyle w:val="Heading1"/>
        <w:numPr>
          <w:ilvl w:val="0"/>
          <w:numId w:val="25"/>
        </w:numPr>
      </w:pPr>
      <w:bookmarkStart w:id="916" w:name="_Toc203490940"/>
      <w:bookmarkStart w:id="917" w:name="_Toc203725964"/>
      <w:bookmarkStart w:id="918" w:name="_Toc203911314"/>
      <w:bookmarkStart w:id="919" w:name="_Toc204009910"/>
      <w:bookmarkStart w:id="920" w:name="_Toc204097206"/>
      <w:bookmarkStart w:id="921" w:name="_Toc204144258"/>
      <w:bookmarkStart w:id="922" w:name="_Toc204269150"/>
      <w:bookmarkStart w:id="923" w:name="_Toc204652603"/>
      <w:bookmarkStart w:id="924" w:name="_Toc205030399"/>
      <w:bookmarkStart w:id="925" w:name="_Toc205044558"/>
      <w:bookmarkStart w:id="926" w:name="_Toc205117502"/>
      <w:bookmarkStart w:id="927" w:name="_Toc452041690"/>
      <w:bookmarkStart w:id="928" w:name="_Toc452045626"/>
      <w:bookmarkStart w:id="929" w:name="_Toc480206477"/>
      <w:bookmarkStart w:id="930" w:name="_Toc484985190"/>
      <w:bookmarkStart w:id="931" w:name="_Toc485027075"/>
      <w:bookmarkStart w:id="932" w:name="_Toc485200257"/>
      <w:r>
        <w:t>Fundamentos econométricos.</w:t>
      </w:r>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p>
    <w:p w14:paraId="750DA715" w14:textId="13A58F7A" w:rsidR="002C117E" w:rsidRDefault="002C117E" w:rsidP="002B0107">
      <w:pPr>
        <w:pStyle w:val="Heading2"/>
        <w:numPr>
          <w:ilvl w:val="1"/>
          <w:numId w:val="25"/>
        </w:numPr>
      </w:pPr>
      <w:bookmarkStart w:id="933" w:name="_Toc203490941"/>
      <w:bookmarkStart w:id="934" w:name="_Toc203725965"/>
      <w:bookmarkStart w:id="935" w:name="_Toc203911315"/>
      <w:bookmarkStart w:id="936" w:name="_Toc204009911"/>
      <w:bookmarkStart w:id="937" w:name="_Toc204097207"/>
      <w:bookmarkStart w:id="938" w:name="_Toc204144259"/>
      <w:bookmarkStart w:id="939" w:name="_Toc204269151"/>
      <w:bookmarkStart w:id="940" w:name="_Toc204652604"/>
      <w:bookmarkStart w:id="941" w:name="_Toc205030400"/>
      <w:bookmarkStart w:id="942" w:name="_Toc205044559"/>
      <w:bookmarkStart w:id="943" w:name="_Toc205117503"/>
      <w:bookmarkStart w:id="944" w:name="_Toc452041691"/>
      <w:bookmarkStart w:id="945" w:name="_Toc452045627"/>
      <w:bookmarkStart w:id="946" w:name="_Toc480206478"/>
      <w:bookmarkStart w:id="947" w:name="_Toc484985191"/>
      <w:bookmarkStart w:id="948" w:name="_Toc485027076"/>
      <w:bookmarkStart w:id="949" w:name="_Toc485200258"/>
      <w:r>
        <w:t>Formulación del modelo.</w:t>
      </w:r>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p>
    <w:p w14:paraId="27CFC5F8" w14:textId="77777777" w:rsidR="002C117E" w:rsidRDefault="002C117E" w:rsidP="002C117E">
      <w:r>
        <w:t>Formular el modelo econométrico significa establecer la forma funcional como se relacionarán las variables a utilizar en la ecuación de regresión. La especificación del modelo a su vez determina el tipo de regresión (lineal o no lineal) que se puede realizar.</w:t>
      </w:r>
    </w:p>
    <w:p w14:paraId="68EA7FF3" w14:textId="77777777" w:rsidR="002C117E" w:rsidRDefault="002C117E" w:rsidP="002C117E">
      <w:r>
        <w:t>Si, como en este caso, se utilizara un análisis de regresión lineal, el cual, como su nombre lo dice, sirve para estimar relaciones lineales entre parámetros, en principio se debe especificar una relación lineal entre las variables.</w:t>
      </w:r>
    </w:p>
    <w:p w14:paraId="073B8AB6" w14:textId="77777777" w:rsidR="002C117E" w:rsidRDefault="002C117E" w:rsidP="002C117E">
      <w:r>
        <w:t>Sin embargo, si en la formulación del modelo se llega a la conclusión que la relación entre las variables no es lineal, aún se puede seguir utilizando un modelo de regresión lineal, siempre y cuando la ecuación que se establezca pueda ser linealizada utilizando alguna técnica de transformación.</w:t>
      </w:r>
    </w:p>
    <w:p w14:paraId="12451E25" w14:textId="77777777" w:rsidR="002C117E" w:rsidRDefault="002C117E" w:rsidP="002C117E">
      <w:r>
        <w:t>A priori se puede afirmar que la relación simple entre consumo (demanda) y precio de agua, en el plano cartesiano precio-cantidad se puede representar con una línea curva que muestra una reducción del consumo a medida que el precio aumenta, con una reducción menos que proporcional al aumento del precio, indicando una elasticidad precio del consumo de agua menor a la unidad.</w:t>
      </w:r>
      <w:r>
        <w:tab/>
        <w:t>.</w:t>
      </w:r>
    </w:p>
    <w:p w14:paraId="00A2237F" w14:textId="77777777" w:rsidR="002C117E" w:rsidRDefault="002C117E" w:rsidP="002C117E">
      <w:r>
        <w:t>Sin embargo, la reducción del consumo ante cambios en el precio no es constante a lo largo de toda la curva. Existe algún nivel de consumo básico o de subsistencia, a partir del cual los aumentos en el precio tienen que ser completamente absorbidos por el consumidor reduciendo la compra de otros bienes de su canasta, sin poder reducir el consumo de agua.</w:t>
      </w:r>
    </w:p>
    <w:p w14:paraId="67387F80" w14:textId="77777777" w:rsidR="002C117E" w:rsidRDefault="002C117E" w:rsidP="002C117E">
      <w:r>
        <w:t>En el otro sentido, es decir, cuando los precios se reducen, la curva debe mostrar que, después de cierto punto, cualquier caída adicional del precio no llevará a ningún aumento del consumo de agua.</w:t>
      </w:r>
    </w:p>
    <w:p w14:paraId="7D802C76" w14:textId="77777777" w:rsidR="002C117E" w:rsidRDefault="002C117E" w:rsidP="002C117E">
      <w:r>
        <w:t>Lo anterior significa que en la medida que el nivel de consumo de agua de un usuario esté más cerca de su nivel de subsistencia, la elasticidad será menor, significando que le es más difícil al usuario reducir su consumo ante aumentos en precios, que cuando tiene un nivel de consumo excesivo o suntuario.</w:t>
      </w:r>
    </w:p>
    <w:p w14:paraId="3936A3CD" w14:textId="77777777" w:rsidR="002C117E" w:rsidRDefault="002C117E" w:rsidP="002C117E">
      <w:r>
        <w:t>Sin embargo, internacionalmente se reconoce que la medición de la elasticidad de demanda se realiza para un rango de consumo dado, pudiéndose suponer que para ese rango se tiene una elasticidad constante. Es decir que, cuando no se analiza una de demanda que recoja puntos extremos de la curva, utilizar funciones de elasticidad constante, puede ser una adecuada aproximación conceptual al ejercicio, siendo esta la práctica académica internacional.</w:t>
      </w:r>
    </w:p>
    <w:p w14:paraId="0036CFE9" w14:textId="77777777" w:rsidR="002C117E" w:rsidRDefault="002C117E" w:rsidP="002C117E">
      <w:r>
        <w:t>Una curva de demanda de elasticidad constante, puede ser adecuadamente representada por una función del tipo:</w:t>
      </w:r>
    </w:p>
    <w:p w14:paraId="51D2C85A" w14:textId="77777777" w:rsidR="002C117E" w:rsidRDefault="002C117E" w:rsidP="002C117E"/>
    <w:p w14:paraId="1E5D1312" w14:textId="77777777" w:rsidR="002C117E" w:rsidRDefault="002C117E" w:rsidP="002C117E">
      <w:pPr>
        <w:ind w:left="708"/>
      </w:pPr>
      <w:r w:rsidRPr="00A107D8">
        <w:rPr>
          <w:position w:val="-6"/>
        </w:rPr>
        <w:object w:dxaOrig="1219" w:dyaOrig="320" w14:anchorId="46E7589D">
          <v:shape id="_x0000_i1039" type="#_x0000_t75" style="width:81pt;height:21pt" o:ole="">
            <v:imagedata r:id="rId203" o:title=""/>
          </v:shape>
          <o:OLEObject Type="Embed" ProgID="Equation.3" ShapeID="_x0000_i1039" DrawAspect="Content" ObjectID="_1560797573" r:id="rId204"/>
        </w:object>
      </w:r>
    </w:p>
    <w:p w14:paraId="73B14A64" w14:textId="77777777" w:rsidR="002C117E" w:rsidRDefault="002C117E" w:rsidP="002C117E">
      <w:r>
        <w:t xml:space="preserve">Que corresponde a una función tipo Cobb Douglas, donde K representa el consumo autónomo o mínimo, es decir aquel que no se ve afectado por el precio (dentro del rango de consumo en análisis); P el precio y </w:t>
      </w:r>
      <w:r>
        <w:rPr>
          <w:rFonts w:ascii="Symbol" w:hAnsi="Symbol"/>
          <w:sz w:val="28"/>
        </w:rPr>
        <w:t></w:t>
      </w:r>
      <w:r>
        <w:t>1, el coeficiente que mide el cambio en el consumo ante un cambio en el precio, más precisamente la elasticidad precio del consumo, como se puede ver fácilmente al linealizar y realizar la derivación de la función:</w:t>
      </w:r>
    </w:p>
    <w:p w14:paraId="737FC8A6" w14:textId="77777777" w:rsidR="002C117E" w:rsidRDefault="002C117E" w:rsidP="002C117E">
      <w:pPr>
        <w:ind w:left="708"/>
      </w:pPr>
      <w:r w:rsidRPr="00A107D8">
        <w:rPr>
          <w:position w:val="-12"/>
        </w:rPr>
        <w:object w:dxaOrig="3100" w:dyaOrig="360" w14:anchorId="343F50B5">
          <v:shape id="_x0000_i1040" type="#_x0000_t75" style="width:198.6pt;height:22.8pt" o:ole="">
            <v:imagedata r:id="rId205" o:title=""/>
          </v:shape>
          <o:OLEObject Type="Embed" ProgID="Equation.3" ShapeID="_x0000_i1040" DrawAspect="Content" ObjectID="_1560797574" r:id="rId206"/>
        </w:object>
      </w:r>
    </w:p>
    <w:p w14:paraId="08417EEB" w14:textId="77777777" w:rsidR="002C117E" w:rsidRDefault="002C117E" w:rsidP="002C117E">
      <w:r>
        <w:t xml:space="preserve">Al derivar esta función y despejar, se encuentra que </w:t>
      </w:r>
      <w:r>
        <w:rPr>
          <w:rFonts w:ascii="Symbol" w:hAnsi="Symbol"/>
          <w:sz w:val="28"/>
        </w:rPr>
        <w:t></w:t>
      </w:r>
      <w:r>
        <w:t xml:space="preserve">1 representa cual es el cambio proporcional que tendrá C ante un cambio del 1 % en P, es decir que </w:t>
      </w:r>
      <w:r>
        <w:rPr>
          <w:rFonts w:ascii="Symbol" w:hAnsi="Symbol"/>
          <w:sz w:val="28"/>
        </w:rPr>
        <w:t></w:t>
      </w:r>
      <w:r>
        <w:t>1 representa directamente la elasticidad precio del consumo.</w:t>
      </w:r>
    </w:p>
    <w:p w14:paraId="53AEC587" w14:textId="77777777" w:rsidR="002C117E" w:rsidRDefault="002C117E" w:rsidP="002C117E">
      <w:r>
        <w:t>Al igual que P, todas las otras variables relevantes en la determinación del consumo se incluyen en la función de demanda anotada, por lo que la nueva función se puede expresar como:</w:t>
      </w:r>
    </w:p>
    <w:p w14:paraId="72DCA2CF" w14:textId="77777777" w:rsidR="002C117E" w:rsidRDefault="002C117E" w:rsidP="002C117E">
      <w:pPr>
        <w:ind w:left="708"/>
      </w:pPr>
      <w:r w:rsidRPr="00A107D8">
        <w:rPr>
          <w:position w:val="-14"/>
        </w:rPr>
        <w:object w:dxaOrig="3400" w:dyaOrig="400" w14:anchorId="7C080924">
          <v:shape id="_x0000_i1041" type="#_x0000_t75" style="width:243pt;height:28.8pt" o:ole="">
            <v:imagedata r:id="rId207" o:title=""/>
          </v:shape>
          <o:OLEObject Type="Embed" ProgID="Equation.3" ShapeID="_x0000_i1041" DrawAspect="Content" ObjectID="_1560797575" r:id="rId208"/>
        </w:object>
      </w:r>
    </w:p>
    <w:p w14:paraId="155EC614" w14:textId="77777777" w:rsidR="002C117E" w:rsidRDefault="002C117E" w:rsidP="002C117E">
      <w:r>
        <w:t xml:space="preserve">Donde </w:t>
      </w:r>
      <w:r>
        <w:rPr>
          <w:rFonts w:ascii="Symbol" w:hAnsi="Symbol"/>
          <w:sz w:val="28"/>
        </w:rPr>
        <w:t></w:t>
      </w:r>
      <w:r>
        <w:rPr>
          <w:rFonts w:cs="Arial"/>
        </w:rPr>
        <w:t>i</w:t>
      </w:r>
      <w:r>
        <w:t xml:space="preserve"> representa las elasticidades parciales del consumo respecto a cada una de las variables independientes Xi que se incluyan en el modelo.</w:t>
      </w:r>
    </w:p>
    <w:p w14:paraId="6FE1AFE0" w14:textId="77777777" w:rsidR="002C117E" w:rsidRDefault="002C117E" w:rsidP="002C117E"/>
    <w:p w14:paraId="40251092" w14:textId="77777777" w:rsidR="002C117E" w:rsidRDefault="002C117E" w:rsidP="002B0107">
      <w:pPr>
        <w:pStyle w:val="Heading2"/>
        <w:numPr>
          <w:ilvl w:val="1"/>
          <w:numId w:val="25"/>
        </w:numPr>
      </w:pPr>
      <w:bookmarkStart w:id="950" w:name="_Toc203490942"/>
      <w:bookmarkStart w:id="951" w:name="_Toc203725966"/>
      <w:bookmarkStart w:id="952" w:name="_Toc203911316"/>
      <w:bookmarkStart w:id="953" w:name="_Toc204009912"/>
      <w:bookmarkStart w:id="954" w:name="_Toc204097208"/>
      <w:bookmarkStart w:id="955" w:name="_Toc204144260"/>
      <w:bookmarkStart w:id="956" w:name="_Toc204269152"/>
      <w:bookmarkStart w:id="957" w:name="_Toc204652605"/>
      <w:bookmarkStart w:id="958" w:name="_Toc205030401"/>
      <w:bookmarkStart w:id="959" w:name="_Toc205044560"/>
      <w:bookmarkStart w:id="960" w:name="_Toc205117504"/>
      <w:bookmarkStart w:id="961" w:name="_Toc452041692"/>
      <w:bookmarkStart w:id="962" w:name="_Toc452045628"/>
      <w:bookmarkStart w:id="963" w:name="_Toc480206479"/>
      <w:bookmarkStart w:id="964" w:name="_Toc484985192"/>
      <w:bookmarkStart w:id="965" w:name="_Toc485027077"/>
      <w:bookmarkStart w:id="966" w:name="_Toc485200259"/>
      <w:r>
        <w:t>Aproximación al mejor modelo.</w:t>
      </w:r>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p>
    <w:p w14:paraId="68F995F7" w14:textId="77777777" w:rsidR="002C117E" w:rsidRDefault="002C117E" w:rsidP="002C117E">
      <w:r>
        <w:t>El análisis econométrico o más precisamente las corridas de verificación del modelo y cálculo de los resultados es básicamente un ejercicio de exploración en el cual se busca que las variables independientes seleccionadas sean capaces en su conjunto de explicar los valores cambiantes que vaya tomando la variable dependiente y que, adicionalmente, cada una de las variables independientes, en forma individual, tenga importancia (significancia estadística) en esa explicación.</w:t>
      </w:r>
    </w:p>
    <w:p w14:paraId="49FB1845" w14:textId="77777777" w:rsidR="002C117E" w:rsidRDefault="002C117E" w:rsidP="002C117E">
      <w:r>
        <w:t>Dado un conjunto total de variables que desde el punto de vista conceptual se ha considerado relevante para adelantar el análisis, el trabajo exploratorio puede ser realizado mediante la aproximación "de lo general a lo particular" o la aproximación "paso a paso".</w:t>
      </w:r>
    </w:p>
    <w:p w14:paraId="40DEEC5A" w14:textId="77777777" w:rsidR="002C117E" w:rsidRDefault="002C117E" w:rsidP="002C117E">
      <w:r>
        <w:t>En el primer caso, como punto de partida se realiza una regresión donde se incluyen todas las variables independientes y según los valores que tomen los estadísticos de la regresión y de cada una de las variables en particular, se van eliminando, para las regresiones posteriores, aquellas variables con menor capacidad de explicación y menor significancia individual.</w:t>
      </w:r>
    </w:p>
    <w:p w14:paraId="431E1801" w14:textId="77777777" w:rsidR="002C117E" w:rsidRDefault="002C117E" w:rsidP="002C117E">
      <w:r>
        <w:t>Este proceso se realiza en forma reiterada hasta llegar a aquel modelo que con el menor número de variables tenga la mayor capacidad de explicar el comportamiento de la variable independiente, en el cual cada una de las variables independientes tenga relevancia estadística y que no se presenten problemas estadísticos (de multicolinealidad o heterocedasticidad) entre las variables.</w:t>
      </w:r>
    </w:p>
    <w:p w14:paraId="748BB9FF" w14:textId="77777777" w:rsidR="002C117E" w:rsidRDefault="002C117E" w:rsidP="002C117E">
      <w:r>
        <w:t>En el caso de la aproximación "paso a paso", la regresión de partida es aquella que contiene solo las variables que se consideran fundamentales o básicas en explicar el comportamiento de la variable independiente, y las regresiones posteriores se van agregando las otras variables, analizando su contribución al modelo y dejando o sacando las variables previamente incluidas, hasta llegar (al igual que con el procedimiento anterior) al modelo que con el menor número de variables tenga la mayor capacidad de explicar el comportamiento de la variable independiente.</w:t>
      </w:r>
    </w:p>
    <w:p w14:paraId="2F6B7176" w14:textId="77777777" w:rsidR="002C117E" w:rsidRDefault="002C117E" w:rsidP="002C117E">
      <w:r>
        <w:t>Ambas aproximaciones son válidas y, según el paquete estadístico utilizado, pueden ser realizados en forma automática (es decir que el programa excluye o incluye por sí sólo las variables) o manual. Es de anotar los procedimientos automáticos no son muy recomendados por cuanto ellos pueden excluir por razones estadísticas variables conceptualmente relevantes y terminar arrojando un modelo con gran poder explicativo pero sin los suficientes fundamentos conceptuales.</w:t>
      </w:r>
    </w:p>
    <w:p w14:paraId="47EC7F3A" w14:textId="4318B822" w:rsidR="002C117E" w:rsidRDefault="002C117E" w:rsidP="002C117E">
      <w:r>
        <w:t>Dado el gran número de variables independientes, en el ejercicio aquí realizado se ha utilizado la aproximación "paso a paso" en forma manual, es decir, partiendo de una ecuación básica, decidiendo por conocimient</w:t>
      </w:r>
      <w:r w:rsidR="002C4A1B">
        <w:t>o de la materia, cuáles y en qué</w:t>
      </w:r>
      <w:r>
        <w:t xml:space="preserve"> momento del análisis incluir las otras variables disponibles.</w:t>
      </w:r>
    </w:p>
    <w:p w14:paraId="56D9B939" w14:textId="77777777" w:rsidR="002C117E" w:rsidRDefault="002C117E" w:rsidP="002C117E"/>
    <w:p w14:paraId="79A3A1C9" w14:textId="77777777" w:rsidR="002C117E" w:rsidRDefault="002C117E" w:rsidP="00C4100D">
      <w:pPr>
        <w:pStyle w:val="Heading1"/>
        <w:numPr>
          <w:ilvl w:val="0"/>
          <w:numId w:val="25"/>
        </w:numPr>
      </w:pPr>
      <w:bookmarkStart w:id="967" w:name="_Toc203490943"/>
      <w:bookmarkStart w:id="968" w:name="_Toc203725967"/>
      <w:bookmarkStart w:id="969" w:name="_Toc203911317"/>
      <w:bookmarkStart w:id="970" w:name="_Toc204009913"/>
      <w:bookmarkStart w:id="971" w:name="_Toc204097209"/>
      <w:bookmarkStart w:id="972" w:name="_Toc204144261"/>
      <w:bookmarkStart w:id="973" w:name="_Toc204269153"/>
      <w:bookmarkStart w:id="974" w:name="_Toc204652606"/>
      <w:bookmarkStart w:id="975" w:name="_Toc205030402"/>
      <w:bookmarkStart w:id="976" w:name="_Toc205044561"/>
      <w:bookmarkStart w:id="977" w:name="_Toc205117505"/>
      <w:bookmarkStart w:id="978" w:name="_Toc452041693"/>
      <w:bookmarkStart w:id="979" w:name="_Toc452045629"/>
      <w:bookmarkStart w:id="980" w:name="_Toc480206480"/>
      <w:bookmarkStart w:id="981" w:name="_Toc484985193"/>
      <w:bookmarkStart w:id="982" w:name="_Toc485027078"/>
      <w:bookmarkStart w:id="983" w:name="_Toc485200260"/>
      <w:r>
        <w:t>Resultados para usuarios residenciales.</w:t>
      </w:r>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p>
    <w:p w14:paraId="1582934F" w14:textId="77777777" w:rsidR="002C117E" w:rsidRDefault="002C117E" w:rsidP="002C117E">
      <w:r>
        <w:t>La base de datos como fue inicialmente conformada, teniendo en cuenta sólo los valores de consumo diferentes de cero y descontando los periodos en que un usuario aún no había sido medido, (representados como valores perdidos en la base original) contaba con 6.347.451 registros.</w:t>
      </w:r>
    </w:p>
    <w:p w14:paraId="4D59F7C5" w14:textId="77777777" w:rsidR="002C117E" w:rsidRDefault="002C117E" w:rsidP="002C117E"/>
    <w:p w14:paraId="0F8311A4" w14:textId="77777777" w:rsidR="002C117E" w:rsidRDefault="002C117E" w:rsidP="002B0107">
      <w:pPr>
        <w:pStyle w:val="Heading2"/>
        <w:numPr>
          <w:ilvl w:val="1"/>
          <w:numId w:val="25"/>
        </w:numPr>
      </w:pPr>
      <w:bookmarkStart w:id="984" w:name="_Toc203490944"/>
      <w:bookmarkStart w:id="985" w:name="_Toc203725968"/>
      <w:bookmarkStart w:id="986" w:name="_Toc203911318"/>
      <w:bookmarkStart w:id="987" w:name="_Toc204009914"/>
      <w:bookmarkStart w:id="988" w:name="_Toc204097210"/>
      <w:bookmarkStart w:id="989" w:name="_Toc204144262"/>
      <w:bookmarkStart w:id="990" w:name="_Toc204269154"/>
      <w:bookmarkStart w:id="991" w:name="_Toc204652607"/>
      <w:bookmarkStart w:id="992" w:name="_Toc205030403"/>
      <w:bookmarkStart w:id="993" w:name="_Toc205044562"/>
      <w:bookmarkStart w:id="994" w:name="_Toc205117506"/>
      <w:bookmarkStart w:id="995" w:name="_Toc452041694"/>
      <w:bookmarkStart w:id="996" w:name="_Toc452045630"/>
      <w:bookmarkStart w:id="997" w:name="_Toc480206481"/>
      <w:bookmarkStart w:id="998" w:name="_Toc484985194"/>
      <w:bookmarkStart w:id="999" w:name="_Toc485027079"/>
      <w:bookmarkStart w:id="1000" w:name="_Toc485200261"/>
      <w:r>
        <w:t>Variables estudiadas.</w:t>
      </w:r>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p>
    <w:p w14:paraId="32488896" w14:textId="77777777" w:rsidR="002C117E" w:rsidRDefault="002C117E" w:rsidP="002C117E">
      <w:r>
        <w:t>La variable dependiente, o variable a explicar en las regresiones es el consumo bimestral de una unidad analizado frente a un grupo de variables independientes, las cuales se dividen en continuas y categóricas según se resume a continuación:</w:t>
      </w:r>
    </w:p>
    <w:p w14:paraId="23ACAB53" w14:textId="77777777" w:rsidR="002C117E" w:rsidRDefault="002C117E" w:rsidP="002C117E">
      <w:r>
        <w:rPr>
          <w:noProof/>
          <w:lang w:eastAsia="es-AR"/>
        </w:rPr>
        <w:drawing>
          <wp:inline distT="0" distB="0" distL="0" distR="0" wp14:anchorId="33CB8E61" wp14:editId="2321F123">
            <wp:extent cx="5377815" cy="1819910"/>
            <wp:effectExtent l="0" t="0" r="0" b="889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377815" cy="1819910"/>
                    </a:xfrm>
                    <a:prstGeom prst="rect">
                      <a:avLst/>
                    </a:prstGeom>
                    <a:noFill/>
                    <a:ln>
                      <a:noFill/>
                    </a:ln>
                  </pic:spPr>
                </pic:pic>
              </a:graphicData>
            </a:graphic>
          </wp:inline>
        </w:drawing>
      </w:r>
    </w:p>
    <w:p w14:paraId="323557E9" w14:textId="77777777" w:rsidR="002C117E" w:rsidRDefault="002C117E" w:rsidP="002C117E">
      <w:r>
        <w:t>Las variables categóricas se agrupan en rangos y se incluyen en el análisis a través de variables "dummy", es decir, variables binarias que toman el valor de 1 si la observación presenta el atributo que se esté estudiando y 0 de lo contrario.</w:t>
      </w:r>
    </w:p>
    <w:p w14:paraId="4513333B" w14:textId="77777777" w:rsidR="002C117E" w:rsidRDefault="002C117E" w:rsidP="002B0107">
      <w:pPr>
        <w:pStyle w:val="Heading2"/>
        <w:numPr>
          <w:ilvl w:val="1"/>
          <w:numId w:val="25"/>
        </w:numPr>
      </w:pPr>
      <w:bookmarkStart w:id="1001" w:name="_Toc203490945"/>
      <w:bookmarkStart w:id="1002" w:name="_Toc203725969"/>
      <w:bookmarkStart w:id="1003" w:name="_Toc203911319"/>
      <w:bookmarkStart w:id="1004" w:name="_Toc204009915"/>
      <w:bookmarkStart w:id="1005" w:name="_Toc204097211"/>
      <w:bookmarkStart w:id="1006" w:name="_Toc204144263"/>
      <w:bookmarkStart w:id="1007" w:name="_Toc204269155"/>
      <w:bookmarkStart w:id="1008" w:name="_Toc204652608"/>
      <w:bookmarkStart w:id="1009" w:name="_Toc205030404"/>
      <w:bookmarkStart w:id="1010" w:name="_Toc205044563"/>
      <w:bookmarkStart w:id="1011" w:name="_Toc205117507"/>
      <w:bookmarkStart w:id="1012" w:name="_Toc452041695"/>
      <w:bookmarkStart w:id="1013" w:name="_Toc452045631"/>
      <w:bookmarkStart w:id="1014" w:name="_Toc480206482"/>
      <w:bookmarkStart w:id="1015" w:name="_Toc484985195"/>
      <w:bookmarkStart w:id="1016" w:name="_Toc485027080"/>
      <w:bookmarkStart w:id="1017" w:name="_Toc485200262"/>
      <w:r>
        <w:t>Depuración de la base.</w:t>
      </w:r>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p>
    <w:p w14:paraId="0CA14A55" w14:textId="77777777" w:rsidR="002C117E" w:rsidRDefault="002C117E" w:rsidP="002C117E">
      <w:r>
        <w:t>Las corridas iniciales de exploración mostraron una alta varianza del modelo (error típico de estimación), explicado en gran parte por la existencia de valores extremos de las variables de consumo y superficie tanto cubierta como de terreno. Dado que este amplio rango de los datos invalidaría el cálculo de elasticidad, se procedió a eliminar esos valores extremos.</w:t>
      </w:r>
    </w:p>
    <w:p w14:paraId="22AD67F0" w14:textId="77777777" w:rsidR="002C117E" w:rsidRDefault="002C117E" w:rsidP="002C117E">
      <w:r>
        <w:t>Así, con base en las estadísticas descriptivas del total de usuarios medidos, se seleccionaron los valores extremos para las variables de superficie como los percentiles de 0,5 y 99,5 equivalentes a 42 y 770 m2 para las superficies cubiertas y 58 y 1,128 m2 para la superficie del terreno.</w:t>
      </w:r>
    </w:p>
    <w:p w14:paraId="7179197B" w14:textId="77777777" w:rsidR="002C117E" w:rsidRDefault="002C117E" w:rsidP="002C117E">
      <w:r>
        <w:t>Para definir los límites de los valores de consumo, considerando que se cuenta con datos para 42 bimestres, se determinó para cada período el límite superior de 95% correspondiente a la media más dos desviaciones estándar y finalmente se promediaron estos límites para todos los bimestres, con base en lo cual se eliminaron las observaciones con valores superiores a 394 m3.</w:t>
      </w:r>
    </w:p>
    <w:p w14:paraId="4DD385D5" w14:textId="77777777" w:rsidR="002C117E" w:rsidRDefault="002C117E" w:rsidP="002C117E">
      <w:r>
        <w:t>Finalmente, se eliminaron las observaciones de usuarios clasificados como grandes clientes por considerarlos casos atípicos dentro de la muestra, y también las observaciones de consumo de algunas unidades antes de empezar a ser facturados como usuarios marcados.</w:t>
      </w:r>
    </w:p>
    <w:p w14:paraId="46C229D9" w14:textId="77777777" w:rsidR="002C117E" w:rsidRDefault="002C117E" w:rsidP="002C117E">
      <w:r>
        <w:t>Considerando la eliminación de estos valores atípicos, el error típico de la estimación de las regresiones se redujo de manera importante. Una vez realizada esta depuración, el total de observaciones en la base fue de 4.097.580.</w:t>
      </w:r>
    </w:p>
    <w:p w14:paraId="3677B632" w14:textId="77777777" w:rsidR="002C117E" w:rsidRDefault="002C117E" w:rsidP="002B0107">
      <w:pPr>
        <w:pStyle w:val="Heading2"/>
        <w:numPr>
          <w:ilvl w:val="1"/>
          <w:numId w:val="25"/>
        </w:numPr>
      </w:pPr>
      <w:bookmarkStart w:id="1018" w:name="_Toc203490946"/>
      <w:bookmarkStart w:id="1019" w:name="_Toc203725970"/>
      <w:bookmarkStart w:id="1020" w:name="_Toc203911320"/>
      <w:bookmarkStart w:id="1021" w:name="_Toc204009916"/>
      <w:bookmarkStart w:id="1022" w:name="_Toc204097212"/>
      <w:bookmarkStart w:id="1023" w:name="_Toc204144264"/>
      <w:bookmarkStart w:id="1024" w:name="_Toc204269156"/>
      <w:bookmarkStart w:id="1025" w:name="_Toc204652609"/>
      <w:bookmarkStart w:id="1026" w:name="_Toc205030405"/>
      <w:bookmarkStart w:id="1027" w:name="_Toc205044564"/>
      <w:bookmarkStart w:id="1028" w:name="_Toc205117508"/>
      <w:bookmarkStart w:id="1029" w:name="_Toc452041696"/>
      <w:bookmarkStart w:id="1030" w:name="_Toc452045632"/>
      <w:bookmarkStart w:id="1031" w:name="_Toc480206483"/>
      <w:bookmarkStart w:id="1032" w:name="_Toc484985196"/>
      <w:bookmarkStart w:id="1033" w:name="_Toc485027081"/>
      <w:bookmarkStart w:id="1034" w:name="_Toc485200263"/>
      <w:r>
        <w:t>Regresiones Básicas.</w:t>
      </w:r>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p>
    <w:p w14:paraId="29957FD2" w14:textId="77777777" w:rsidR="002C117E" w:rsidRDefault="002C117E" w:rsidP="002C117E">
      <w:r>
        <w:t>Inicialmente, se exploró la relación de las variables continuas conforme a lo establecido en la teoría, con lo cual se obtuvo un valor de elasticidad precio medio para todo el conjunto analizado. Posteriormente se trabajó con variables dummy de pertenencia a las diversas categorías del segundo grupo de variables buscando identificar diferencias en la reacción al precio y a la base libre.</w:t>
      </w:r>
    </w:p>
    <w:p w14:paraId="67556517" w14:textId="77777777" w:rsidR="002C117E" w:rsidRDefault="002C117E" w:rsidP="00C4100D">
      <w:pPr>
        <w:pStyle w:val="Heading3"/>
        <w:numPr>
          <w:ilvl w:val="2"/>
          <w:numId w:val="25"/>
        </w:numPr>
      </w:pPr>
      <w:bookmarkStart w:id="1035" w:name="_Toc203490947"/>
      <w:bookmarkStart w:id="1036" w:name="_Toc203725971"/>
      <w:bookmarkStart w:id="1037" w:name="_Toc203911321"/>
      <w:bookmarkStart w:id="1038" w:name="_Toc204009917"/>
      <w:bookmarkStart w:id="1039" w:name="_Toc204097213"/>
      <w:bookmarkStart w:id="1040" w:name="_Toc204144265"/>
      <w:bookmarkStart w:id="1041" w:name="_Toc204269157"/>
      <w:bookmarkStart w:id="1042" w:name="_Toc204652610"/>
      <w:bookmarkStart w:id="1043" w:name="_Toc205030406"/>
      <w:bookmarkStart w:id="1044" w:name="_Toc205044565"/>
      <w:bookmarkStart w:id="1045" w:name="_Toc205117509"/>
      <w:bookmarkStart w:id="1046" w:name="_Toc452041697"/>
      <w:bookmarkStart w:id="1047" w:name="_Toc452045633"/>
      <w:bookmarkStart w:id="1048" w:name="_Toc480206484"/>
      <w:bookmarkStart w:id="1049" w:name="_Toc484985197"/>
      <w:bookmarkStart w:id="1050" w:name="_Toc485027082"/>
      <w:bookmarkStart w:id="1051" w:name="_Toc485200264"/>
      <w:r>
        <w:t>Selección de consumos superiores a la base libre.</w:t>
      </w:r>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p>
    <w:p w14:paraId="52142056" w14:textId="265CCE9D" w:rsidR="002C117E" w:rsidRDefault="002C117E" w:rsidP="002C117E">
      <w:r>
        <w:t>Dada la existencia de la base libre para los usuarios residenciales, es necesario tener en cuenta que el consumo que no supera este nivel no enfrenta un precio, por lo cual estas observaciones no se deben considerar para analizar la elasticidad al precio. De manera similar, los usuarios que pueden enfrentar el efecto de la disminución en la base libre son aquellos para los que el consumo supera la base libre o estuvieron debajo de la base inicial pero arriba de la base actual; pues quienes no superan un consumo bimestral de 30 m3, probablemente porque sus necesidades no lo ameritan, no se han visto enfrentados a ninguno de los cambios que han ocurrido con las dos variables de estudio.</w:t>
      </w:r>
    </w:p>
    <w:p w14:paraId="69295C2E" w14:textId="77777777" w:rsidR="002C117E" w:rsidRDefault="002C117E" w:rsidP="002C117E">
      <w:r>
        <w:t>Por lo anterior, inicialmente se realizaron regresiones buscando explicar el consumo superior a la base libre, analizando sólo aquellos casos con valores superiores a ésta. Al final se presenta una regresión general que analiza el comportamiento de todos los consumos.</w:t>
      </w:r>
    </w:p>
    <w:p w14:paraId="72C241DA" w14:textId="77777777" w:rsidR="002C117E" w:rsidRDefault="002C117E" w:rsidP="002C117E">
      <w:r>
        <w:t>Se eligió como base para el análisis por grupos la regresión que contempla la totalidad de variables continuas analizadas, pues ésta presenta un mejor valor del estadístico F (más alto) que permite rechazar la hipótesis nula que los coeficientes son 0 con un nivel de confianza del 99%, lo que indica que el modelo en su conjunto es útil para explicar la variable dependiente. Igualmente, todas las variables individualmente son estadísticamente significativas y los coeficientes encontrados tienen el signo esperado.</w:t>
      </w:r>
    </w:p>
    <w:p w14:paraId="21652CAD" w14:textId="77777777" w:rsidR="002C117E" w:rsidRDefault="002C117E" w:rsidP="002C117E">
      <w:r>
        <w:t>Aunque la sensibilidad a la variable ingreso es pequeña, incluir la variable permite aislar su efecto para disminuir la influencia sobre los errores. El R cuadrado obtenido es de 0,124.</w:t>
      </w:r>
    </w:p>
    <w:p w14:paraId="416FB2A7" w14:textId="77777777" w:rsidR="002C117E" w:rsidRDefault="002C117E" w:rsidP="002C117E">
      <w:r>
        <w:t>Basado es esta ecuación se puede observar que la elasticidad precio de los usuarios que superan la base libre es del 13,5%, es decir que por un incremento de precio del 10% el consumo se disminuiría en 1,35%.</w:t>
      </w:r>
    </w:p>
    <w:p w14:paraId="75258748" w14:textId="77777777" w:rsidR="002C117E" w:rsidRDefault="002C117E" w:rsidP="00C4100D">
      <w:pPr>
        <w:pStyle w:val="Heading3"/>
        <w:numPr>
          <w:ilvl w:val="2"/>
          <w:numId w:val="25"/>
        </w:numPr>
      </w:pPr>
      <w:bookmarkStart w:id="1052" w:name="_Toc203490948"/>
      <w:bookmarkStart w:id="1053" w:name="_Toc203725972"/>
      <w:bookmarkStart w:id="1054" w:name="_Toc203911322"/>
      <w:bookmarkStart w:id="1055" w:name="_Toc204009918"/>
      <w:bookmarkStart w:id="1056" w:name="_Toc204097214"/>
      <w:bookmarkStart w:id="1057" w:name="_Toc204144266"/>
      <w:bookmarkStart w:id="1058" w:name="_Toc204269158"/>
      <w:bookmarkStart w:id="1059" w:name="_Toc204652611"/>
      <w:bookmarkStart w:id="1060" w:name="_Toc205030407"/>
      <w:bookmarkStart w:id="1061" w:name="_Toc205044566"/>
      <w:bookmarkStart w:id="1062" w:name="_Toc205117510"/>
      <w:bookmarkStart w:id="1063" w:name="_Toc452041698"/>
      <w:bookmarkStart w:id="1064" w:name="_Toc452045634"/>
      <w:bookmarkStart w:id="1065" w:name="_Toc480206485"/>
      <w:bookmarkStart w:id="1066" w:name="_Toc484985198"/>
      <w:bookmarkStart w:id="1067" w:name="_Toc485027083"/>
      <w:bookmarkStart w:id="1068" w:name="_Toc485200265"/>
      <w:r>
        <w:t>Determinación del rezago en el precio</w:t>
      </w:r>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p>
    <w:p w14:paraId="3BC3D476" w14:textId="77777777" w:rsidR="002C117E" w:rsidRDefault="002C117E" w:rsidP="002C117E">
      <w:r>
        <w:t>A pesar que los resultados preliminares en relación con el precio son bastante razonables en términos de lo esperado, considerando la forma de cobro del servicio y la experiencia en otros casos, se debe reconocer que la reacción en el consumo no se presenta de manera inmediata al cambio de precio, puesto que el cliente conoce dicho cambio con algún período de atraso. Por esta razón es más indicado relacionar el consumo de un período con el precio de períodos anteriores (rezago).</w:t>
      </w:r>
    </w:p>
    <w:p w14:paraId="62BA7DB8" w14:textId="77777777" w:rsidR="002C117E" w:rsidRDefault="002C117E" w:rsidP="002C117E">
      <w:r>
        <w:t>El proceso de lectura se realiza cuando el usuario lleva alrededor de 61 días de consumo y la empresa se demora en promedio 57 días en la emisión y entrega de la factura, por lo que cuando el usuario recibe la información, por ende habrá pasado por lo menos un bimestre adicional de consumo.</w:t>
      </w:r>
    </w:p>
    <w:p w14:paraId="2775E74B" w14:textId="77777777" w:rsidR="002C117E" w:rsidRDefault="002C117E" w:rsidP="002C117E">
      <w:r>
        <w:t>Para identificar la reacción del consumo a los precios con el efecto de rezago, se realizaron diferentes corridas con las mismas variables explicativas pero modificando la variable de precio. Para confirmar cuál es el dato de mayor relación, se probó con rezagos de uno a seis períodos. Los resultados obtenidos varían relativamente poco, el mayor valor del estadístico F corresponde al precio rezagado 3 períodos (F = 58.845,6). Por esta razón, se eligió el rezago de tres períodos.</w:t>
      </w:r>
    </w:p>
    <w:p w14:paraId="7136EDDA" w14:textId="77777777" w:rsidR="002C117E" w:rsidRDefault="002C117E" w:rsidP="00C4100D">
      <w:pPr>
        <w:pStyle w:val="Heading3"/>
        <w:numPr>
          <w:ilvl w:val="2"/>
          <w:numId w:val="25"/>
        </w:numPr>
      </w:pPr>
      <w:bookmarkStart w:id="1069" w:name="_Toc203490949"/>
      <w:bookmarkStart w:id="1070" w:name="_Toc203725973"/>
      <w:bookmarkStart w:id="1071" w:name="_Toc203911323"/>
      <w:bookmarkStart w:id="1072" w:name="_Toc204009919"/>
      <w:bookmarkStart w:id="1073" w:name="_Toc204097215"/>
      <w:bookmarkStart w:id="1074" w:name="_Toc204144267"/>
      <w:bookmarkStart w:id="1075" w:name="_Toc204269159"/>
      <w:bookmarkStart w:id="1076" w:name="_Toc204652612"/>
      <w:bookmarkStart w:id="1077" w:name="_Toc205030408"/>
      <w:bookmarkStart w:id="1078" w:name="_Toc205044567"/>
      <w:bookmarkStart w:id="1079" w:name="_Toc205117511"/>
      <w:bookmarkStart w:id="1080" w:name="_Toc452041699"/>
      <w:bookmarkStart w:id="1081" w:name="_Toc452045635"/>
      <w:bookmarkStart w:id="1082" w:name="_Toc480206486"/>
      <w:bookmarkStart w:id="1083" w:name="_Toc484985199"/>
      <w:bookmarkStart w:id="1084" w:name="_Toc485027084"/>
      <w:bookmarkStart w:id="1085" w:name="_Toc485200266"/>
      <w:r>
        <w:t>Análisis de todos los consumos de la base.</w:t>
      </w:r>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p>
    <w:p w14:paraId="634FBA95" w14:textId="77777777" w:rsidR="002C117E" w:rsidRDefault="002C117E" w:rsidP="002C117E">
      <w:r>
        <w:t>Se planteó una ecuación que considere la base libre y el precio únicamente para los usuarios con consumos superiores a la base libre y las demás variables para todos los usuarios, con el propósito de capturar los efectos que puede aportar el análisis de todos los datos en las demás variables explicativas, ya que cuando se analiza exclusivamente a quienes consumen sobre la base libre se pierde una porción significativa de los datos (cerca del 25%).</w:t>
      </w:r>
    </w:p>
    <w:p w14:paraId="04B5BFAC" w14:textId="77777777" w:rsidR="002C117E" w:rsidRDefault="002C117E" w:rsidP="002C117E">
      <w:r>
        <w:t xml:space="preserve">El procedimiento consistió en definir una variable dummy que se denominó superior, con el valor de cero para los casos con consumo menor a la base libre vigente cuando se realizó el consumo e igual a uno en caso contrario. Adicionalmente, esta variable se multiplicó por el logaritmo del precio y la base libre generando las variables sup_p3 y sup_bI. </w:t>
      </w:r>
    </w:p>
    <w:p w14:paraId="4B86DF48" w14:textId="77777777" w:rsidR="002C117E" w:rsidRDefault="002C117E" w:rsidP="002C117E">
      <w:r>
        <w:t>A partir de esta propuesta, el R2 se elevó significativamente frente a los resultados anteriores, alcanzando un valor de 0,598, la variable densidad cobró importancia en la explicación con una elasticidad de 0,13, posiblemente debido a que los datos incluidos aportaron la variabilidad necesaria en esta variable.</w:t>
      </w:r>
    </w:p>
    <w:p w14:paraId="1030B708" w14:textId="77777777" w:rsidR="002C117E" w:rsidRDefault="002C117E" w:rsidP="002C117E">
      <w:r>
        <w:t>Las magnitudes y signos de las demás variables se mantuvieron en relación con los obtenidos en las regresiones iniciales y corresponden a los valores esperados, salvo la variable ingreso que arrojó signo contrario.</w:t>
      </w:r>
    </w:p>
    <w:p w14:paraId="396F72B1" w14:textId="77777777" w:rsidR="002C117E" w:rsidRDefault="002C117E" w:rsidP="002B0107">
      <w:pPr>
        <w:pStyle w:val="Heading2"/>
        <w:numPr>
          <w:ilvl w:val="1"/>
          <w:numId w:val="25"/>
        </w:numPr>
      </w:pPr>
      <w:bookmarkStart w:id="1086" w:name="_Toc203490950"/>
      <w:bookmarkStart w:id="1087" w:name="_Toc203725974"/>
      <w:bookmarkStart w:id="1088" w:name="_Toc203911324"/>
      <w:bookmarkStart w:id="1089" w:name="_Toc204009920"/>
      <w:bookmarkStart w:id="1090" w:name="_Toc204097216"/>
      <w:bookmarkStart w:id="1091" w:name="_Toc204144268"/>
      <w:bookmarkStart w:id="1092" w:name="_Toc204269160"/>
      <w:bookmarkStart w:id="1093" w:name="_Toc204652613"/>
      <w:bookmarkStart w:id="1094" w:name="_Toc205030409"/>
      <w:bookmarkStart w:id="1095" w:name="_Toc205044568"/>
      <w:bookmarkStart w:id="1096" w:name="_Toc205117512"/>
      <w:bookmarkStart w:id="1097" w:name="_Toc452041700"/>
      <w:bookmarkStart w:id="1098" w:name="_Toc452045636"/>
      <w:bookmarkStart w:id="1099" w:name="_Toc480206487"/>
      <w:bookmarkStart w:id="1100" w:name="_Toc484985200"/>
      <w:bookmarkStart w:id="1101" w:name="_Toc485027085"/>
      <w:bookmarkStart w:id="1102" w:name="_Toc485200267"/>
      <w:r>
        <w:t>Análisis econométrico y ecuaciones obtenidas.</w:t>
      </w:r>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p>
    <w:p w14:paraId="038FC1FA" w14:textId="77777777" w:rsidR="002C117E" w:rsidRDefault="002C117E" w:rsidP="002C117E">
      <w:r>
        <w:t>Considerando que de entre los ensayos realizados los mejores resultados fueron los obtenidos bajo los supuestos del punto 7.3.3 del presente anexo, se detallan a continuación las salidas del análisis econométrico y las ecuaciones determinadas.</w:t>
      </w:r>
    </w:p>
    <w:p w14:paraId="3D1146D9" w14:textId="77777777" w:rsidR="002C117E" w:rsidRDefault="002C117E" w:rsidP="002C117E">
      <w:r>
        <w:t xml:space="preserve">Tal como se mencionó, el modelo general obtuvo un R cuadrado ajustado de 0,598 con un valor F de 739.846,7. Salvo el coeficiente de la variable ingreso (cuyo nivel de significancia fue de 0,175), el resto de los </w:t>
      </w:r>
      <w:r>
        <w:rPr>
          <w:rFonts w:ascii="Symbol" w:hAnsi="Symbol"/>
        </w:rPr>
        <w:t></w:t>
      </w:r>
      <w:r>
        <w:t>s obtenidos resultaron altamente significativos y con los signos esperados. En el caso de la variable Ingreso, la misma presentó una elevada correlación con la variable Densidad, por lo que a efectos de evitar problemas de colinealidad se decidió eliminarla de la estimación final.</w:t>
      </w:r>
    </w:p>
    <w:p w14:paraId="64703DBD" w14:textId="77777777" w:rsidR="002C117E" w:rsidRDefault="002C117E" w:rsidP="002C117E">
      <w:pPr>
        <w:pStyle w:val="CuadrosyTablas"/>
      </w:pPr>
      <w:r>
        <w:t>Cuadro A2.2: Resultado econométrico.</w:t>
      </w:r>
    </w:p>
    <w:p w14:paraId="40FD6D1A" w14:textId="77777777" w:rsidR="002C117E" w:rsidRDefault="002C117E" w:rsidP="002C117E">
      <w:pPr>
        <w:pStyle w:val="CuadrosyTablas"/>
      </w:pPr>
      <w:r>
        <w:rPr>
          <w:noProof/>
          <w:lang w:eastAsia="es-AR"/>
        </w:rPr>
        <w:drawing>
          <wp:inline distT="0" distB="0" distL="0" distR="0" wp14:anchorId="682C93A5" wp14:editId="1129092B">
            <wp:extent cx="4119245" cy="2281555"/>
            <wp:effectExtent l="0" t="0" r="0" b="4445"/>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119245" cy="2281555"/>
                    </a:xfrm>
                    <a:prstGeom prst="rect">
                      <a:avLst/>
                    </a:prstGeom>
                    <a:noFill/>
                    <a:ln>
                      <a:noFill/>
                    </a:ln>
                  </pic:spPr>
                </pic:pic>
              </a:graphicData>
            </a:graphic>
          </wp:inline>
        </w:drawing>
      </w:r>
    </w:p>
    <w:p w14:paraId="554F586F" w14:textId="77777777" w:rsidR="002C117E" w:rsidRDefault="002C117E" w:rsidP="002C117E"/>
    <w:p w14:paraId="600079EE" w14:textId="77777777" w:rsidR="002C117E" w:rsidRDefault="002C117E" w:rsidP="002C117E">
      <w:pPr>
        <w:pStyle w:val="CuadrosyTablas"/>
      </w:pPr>
      <w:r>
        <w:t>Cuadro A2.3: Análisis de varianza del modelo.</w:t>
      </w:r>
    </w:p>
    <w:p w14:paraId="0D5296FA" w14:textId="77777777" w:rsidR="002C117E" w:rsidRDefault="002C117E" w:rsidP="002C117E">
      <w:pPr>
        <w:pStyle w:val="CuadrosyTablas"/>
      </w:pPr>
      <w:r>
        <w:rPr>
          <w:noProof/>
          <w:lang w:eastAsia="es-AR"/>
        </w:rPr>
        <w:drawing>
          <wp:inline distT="0" distB="0" distL="0" distR="0" wp14:anchorId="6E51837F" wp14:editId="482E86EA">
            <wp:extent cx="4925060" cy="1322070"/>
            <wp:effectExtent l="0" t="0" r="889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925060" cy="1322070"/>
                    </a:xfrm>
                    <a:prstGeom prst="rect">
                      <a:avLst/>
                    </a:prstGeom>
                    <a:noFill/>
                    <a:ln>
                      <a:noFill/>
                    </a:ln>
                  </pic:spPr>
                </pic:pic>
              </a:graphicData>
            </a:graphic>
          </wp:inline>
        </w:drawing>
      </w:r>
    </w:p>
    <w:p w14:paraId="34769D6F" w14:textId="77777777" w:rsidR="002C117E" w:rsidRDefault="002C117E" w:rsidP="002C117E"/>
    <w:p w14:paraId="45827009" w14:textId="77777777" w:rsidR="002C117E" w:rsidRDefault="002C117E" w:rsidP="002C117E">
      <w:r>
        <w:t>La ecuación resultante queda expresada de la siguiente manera:</w:t>
      </w:r>
    </w:p>
    <w:p w14:paraId="3810D266" w14:textId="77777777" w:rsidR="002C117E" w:rsidRDefault="002C117E" w:rsidP="002C117E">
      <w:r>
        <w:t>Q = e</w:t>
      </w:r>
      <w:r>
        <w:rPr>
          <w:vertAlign w:val="superscript"/>
        </w:rPr>
        <w:t>(1.194+(-0.671*Dsup))</w:t>
      </w:r>
      <w:r>
        <w:t xml:space="preserve"> x Ll</w:t>
      </w:r>
      <w:r>
        <w:rPr>
          <w:vertAlign w:val="superscript"/>
        </w:rPr>
        <w:t>-0.016</w:t>
      </w:r>
      <w:r>
        <w:t xml:space="preserve"> x Ingreso</w:t>
      </w:r>
      <w:r>
        <w:rPr>
          <w:vertAlign w:val="superscript"/>
        </w:rPr>
        <w:t>-0.001</w:t>
      </w:r>
      <w:r>
        <w:t xml:space="preserve"> x Temp</w:t>
      </w:r>
      <w:r>
        <w:rPr>
          <w:vertAlign w:val="superscript"/>
        </w:rPr>
        <w:t xml:space="preserve">0.116 </w:t>
      </w:r>
      <w:r>
        <w:t>x Densidad</w:t>
      </w:r>
      <w:r>
        <w:rPr>
          <w:vertAlign w:val="superscript"/>
        </w:rPr>
        <w:t>0.130</w:t>
      </w:r>
      <w:r>
        <w:t xml:space="preserve"> X SC</w:t>
      </w:r>
      <w:r>
        <w:rPr>
          <w:vertAlign w:val="superscript"/>
        </w:rPr>
        <w:t>0.263</w:t>
      </w:r>
      <w:r>
        <w:t xml:space="preserve"> x BL</w:t>
      </w:r>
      <w:r>
        <w:rPr>
          <w:vertAlign w:val="superscript"/>
        </w:rPr>
        <w:t>(0.537*Dsup)</w:t>
      </w:r>
      <w:r>
        <w:t xml:space="preserve"> x Precio</w:t>
      </w:r>
      <w:r>
        <w:rPr>
          <w:vertAlign w:val="superscript"/>
        </w:rPr>
        <w:t>(-0.190*Dsup)</w:t>
      </w:r>
    </w:p>
    <w:p w14:paraId="786477AE" w14:textId="77777777" w:rsidR="002C117E" w:rsidRDefault="002C117E" w:rsidP="002C117E">
      <w:r>
        <w:t>Dónde:</w:t>
      </w:r>
    </w:p>
    <w:p w14:paraId="41504C3E" w14:textId="77777777" w:rsidR="002C117E" w:rsidRDefault="002C117E" w:rsidP="00C4100D">
      <w:pPr>
        <w:numPr>
          <w:ilvl w:val="0"/>
          <w:numId w:val="31"/>
        </w:numPr>
        <w:spacing w:before="120" w:after="120" w:line="360" w:lineRule="auto"/>
      </w:pPr>
      <w:r>
        <w:t>LI = días de lluvia</w:t>
      </w:r>
    </w:p>
    <w:p w14:paraId="4089AE15" w14:textId="77777777" w:rsidR="002C117E" w:rsidRDefault="002C117E" w:rsidP="00C4100D">
      <w:pPr>
        <w:numPr>
          <w:ilvl w:val="0"/>
          <w:numId w:val="31"/>
        </w:numPr>
        <w:spacing w:before="120" w:after="120" w:line="360" w:lineRule="auto"/>
      </w:pPr>
      <w:r>
        <w:t>Ingreso = nivel de ingreso familiar</w:t>
      </w:r>
    </w:p>
    <w:p w14:paraId="7CE82102" w14:textId="77777777" w:rsidR="002C117E" w:rsidRDefault="002C117E" w:rsidP="00C4100D">
      <w:pPr>
        <w:numPr>
          <w:ilvl w:val="0"/>
          <w:numId w:val="31"/>
        </w:numPr>
        <w:spacing w:before="120" w:after="120" w:line="360" w:lineRule="auto"/>
      </w:pPr>
      <w:r>
        <w:t xml:space="preserve">T = temperatura media del período </w:t>
      </w:r>
    </w:p>
    <w:p w14:paraId="70475192" w14:textId="77777777" w:rsidR="002C117E" w:rsidRDefault="002C117E" w:rsidP="00C4100D">
      <w:pPr>
        <w:numPr>
          <w:ilvl w:val="0"/>
          <w:numId w:val="31"/>
        </w:numPr>
        <w:spacing w:before="120" w:after="120" w:line="360" w:lineRule="auto"/>
      </w:pPr>
      <w:r>
        <w:t>D = habitantes por vivienda</w:t>
      </w:r>
    </w:p>
    <w:p w14:paraId="7B113403" w14:textId="77777777" w:rsidR="002C117E" w:rsidRDefault="002C117E" w:rsidP="00C4100D">
      <w:pPr>
        <w:numPr>
          <w:ilvl w:val="0"/>
          <w:numId w:val="31"/>
        </w:numPr>
        <w:spacing w:before="120" w:after="120" w:line="360" w:lineRule="auto"/>
      </w:pPr>
      <w:r>
        <w:t>SC = superficie cubierta</w:t>
      </w:r>
    </w:p>
    <w:p w14:paraId="5E055F88" w14:textId="77777777" w:rsidR="002C117E" w:rsidRDefault="002C117E" w:rsidP="00C4100D">
      <w:pPr>
        <w:numPr>
          <w:ilvl w:val="0"/>
          <w:numId w:val="31"/>
        </w:numPr>
        <w:spacing w:before="120" w:after="120" w:line="360" w:lineRule="auto"/>
      </w:pPr>
      <w:r>
        <w:t>BL = base de consumo libre</w:t>
      </w:r>
    </w:p>
    <w:p w14:paraId="0F2EDBC5" w14:textId="77777777" w:rsidR="002C117E" w:rsidRDefault="002C117E" w:rsidP="00C4100D">
      <w:pPr>
        <w:numPr>
          <w:ilvl w:val="0"/>
          <w:numId w:val="31"/>
        </w:numPr>
        <w:spacing w:before="120" w:after="120" w:line="360" w:lineRule="auto"/>
      </w:pPr>
      <w:r>
        <w:t>P _3 = precio rezagado 3 períodos</w:t>
      </w:r>
    </w:p>
    <w:p w14:paraId="13B1D59B" w14:textId="77777777" w:rsidR="002C117E" w:rsidRDefault="002C117E" w:rsidP="00C4100D">
      <w:pPr>
        <w:numPr>
          <w:ilvl w:val="0"/>
          <w:numId w:val="31"/>
        </w:numPr>
        <w:spacing w:before="120" w:after="120" w:line="360" w:lineRule="auto"/>
      </w:pPr>
      <w:r>
        <w:t>Dsup = dummy superior a base libre</w:t>
      </w:r>
    </w:p>
    <w:p w14:paraId="285C6843" w14:textId="77777777" w:rsidR="002C117E" w:rsidRDefault="002C117E" w:rsidP="002C117E">
      <w:r>
        <w:t xml:space="preserve">Cuando la variable “superior” (Dsup) toma valor de 1, se evalúa la ecuación para los consumos mayores a la base libre, pasando a considerarse la influencia del precio y la misma en la ecuación de demanda; caso contrario, no existe influencia del precio ni de la base libre. </w:t>
      </w:r>
    </w:p>
    <w:p w14:paraId="7C189AB8" w14:textId="77777777" w:rsidR="002C117E" w:rsidRDefault="002C117E" w:rsidP="002C117E">
      <w:r>
        <w:t>Separadas para cada grupo (consumo superior e inferior a la base libre) se obtienen las siguientes ecuaciones generales:</w:t>
      </w:r>
    </w:p>
    <w:p w14:paraId="56F47084" w14:textId="77777777" w:rsidR="002C117E" w:rsidRDefault="002C117E" w:rsidP="002C117E"/>
    <w:p w14:paraId="7A8D528A" w14:textId="77777777" w:rsidR="002C117E" w:rsidRPr="00525EF1" w:rsidRDefault="002C117E" w:rsidP="002C117E">
      <w:pPr>
        <w:rPr>
          <w:lang w:val="fr-FR"/>
        </w:rPr>
      </w:pPr>
      <w:r w:rsidRPr="00525EF1">
        <w:rPr>
          <w:lang w:val="fr-FR"/>
        </w:rPr>
        <w:t>Q = 1,687 x Ll</w:t>
      </w:r>
      <w:r w:rsidRPr="00525EF1">
        <w:rPr>
          <w:vertAlign w:val="superscript"/>
          <w:lang w:val="fr-FR"/>
        </w:rPr>
        <w:t>-0,016</w:t>
      </w:r>
      <w:r w:rsidRPr="00525EF1">
        <w:rPr>
          <w:lang w:val="fr-FR"/>
        </w:rPr>
        <w:t xml:space="preserve"> * T</w:t>
      </w:r>
      <w:r w:rsidRPr="00525EF1">
        <w:rPr>
          <w:vertAlign w:val="superscript"/>
          <w:lang w:val="fr-FR"/>
        </w:rPr>
        <w:t xml:space="preserve">0,116 </w:t>
      </w:r>
      <w:r w:rsidRPr="00525EF1">
        <w:rPr>
          <w:lang w:val="fr-FR"/>
        </w:rPr>
        <w:t>x D</w:t>
      </w:r>
      <w:r w:rsidRPr="00525EF1">
        <w:rPr>
          <w:vertAlign w:val="superscript"/>
          <w:lang w:val="fr-FR"/>
        </w:rPr>
        <w:t xml:space="preserve">0,130 </w:t>
      </w:r>
      <w:r w:rsidRPr="00525EF1">
        <w:rPr>
          <w:lang w:val="fr-FR"/>
        </w:rPr>
        <w:t>x SC</w:t>
      </w:r>
      <w:r w:rsidRPr="00525EF1">
        <w:rPr>
          <w:vertAlign w:val="superscript"/>
          <w:lang w:val="fr-FR"/>
        </w:rPr>
        <w:t>0,263</w:t>
      </w:r>
      <w:r w:rsidRPr="00525EF1">
        <w:rPr>
          <w:lang w:val="fr-FR"/>
        </w:rPr>
        <w:t xml:space="preserve"> x BL</w:t>
      </w:r>
      <w:r w:rsidRPr="00525EF1">
        <w:rPr>
          <w:vertAlign w:val="superscript"/>
          <w:lang w:val="fr-FR"/>
        </w:rPr>
        <w:t>0,537</w:t>
      </w:r>
      <w:r w:rsidRPr="00525EF1">
        <w:rPr>
          <w:lang w:val="fr-FR"/>
        </w:rPr>
        <w:t xml:space="preserve"> x P_3</w:t>
      </w:r>
      <w:r w:rsidRPr="00525EF1">
        <w:rPr>
          <w:vertAlign w:val="superscript"/>
          <w:lang w:val="fr-FR"/>
        </w:rPr>
        <w:t>-0,190</w:t>
      </w:r>
      <w:r w:rsidRPr="00525EF1">
        <w:rPr>
          <w:lang w:val="fr-FR"/>
        </w:rPr>
        <w:tab/>
        <w:t>Para Q&gt;BL</w:t>
      </w:r>
    </w:p>
    <w:p w14:paraId="1AA46921" w14:textId="77777777" w:rsidR="002C117E" w:rsidRPr="00525EF1" w:rsidRDefault="002C117E" w:rsidP="002C117E">
      <w:pPr>
        <w:rPr>
          <w:lang w:val="fr-FR"/>
        </w:rPr>
      </w:pPr>
      <w:r w:rsidRPr="00525EF1">
        <w:rPr>
          <w:lang w:val="fr-FR"/>
        </w:rPr>
        <w:t>Q = 3,300 x Ll</w:t>
      </w:r>
      <w:r w:rsidRPr="00525EF1">
        <w:rPr>
          <w:vertAlign w:val="superscript"/>
          <w:lang w:val="fr-FR"/>
        </w:rPr>
        <w:t>-0,016</w:t>
      </w:r>
      <w:r w:rsidRPr="00525EF1">
        <w:rPr>
          <w:lang w:val="fr-FR"/>
        </w:rPr>
        <w:t xml:space="preserve"> * T</w:t>
      </w:r>
      <w:r w:rsidRPr="00525EF1">
        <w:rPr>
          <w:vertAlign w:val="superscript"/>
          <w:lang w:val="fr-FR"/>
        </w:rPr>
        <w:t xml:space="preserve">0,116 </w:t>
      </w:r>
      <w:r w:rsidRPr="00525EF1">
        <w:rPr>
          <w:lang w:val="fr-FR"/>
        </w:rPr>
        <w:t>x D</w:t>
      </w:r>
      <w:r w:rsidRPr="00525EF1">
        <w:rPr>
          <w:vertAlign w:val="superscript"/>
          <w:lang w:val="fr-FR"/>
        </w:rPr>
        <w:t xml:space="preserve">0,130 </w:t>
      </w:r>
      <w:r w:rsidRPr="00525EF1">
        <w:rPr>
          <w:lang w:val="fr-FR"/>
        </w:rPr>
        <w:t>x SC</w:t>
      </w:r>
      <w:r w:rsidRPr="00525EF1">
        <w:rPr>
          <w:vertAlign w:val="superscript"/>
          <w:lang w:val="fr-FR"/>
        </w:rPr>
        <w:t>0,263</w:t>
      </w:r>
      <w:r w:rsidRPr="00525EF1">
        <w:rPr>
          <w:lang w:val="fr-FR"/>
        </w:rPr>
        <w:tab/>
      </w:r>
      <w:r w:rsidRPr="00525EF1">
        <w:rPr>
          <w:lang w:val="fr-FR"/>
        </w:rPr>
        <w:tab/>
      </w:r>
      <w:r w:rsidRPr="00525EF1">
        <w:rPr>
          <w:lang w:val="fr-FR"/>
        </w:rPr>
        <w:tab/>
      </w:r>
      <w:r w:rsidRPr="00525EF1">
        <w:rPr>
          <w:lang w:val="fr-FR"/>
        </w:rPr>
        <w:tab/>
        <w:t>Para Q&lt;=BL</w:t>
      </w:r>
    </w:p>
    <w:p w14:paraId="3061C72B" w14:textId="77777777" w:rsidR="002C117E" w:rsidRPr="00525EF1" w:rsidRDefault="002C117E" w:rsidP="002C117E">
      <w:pPr>
        <w:rPr>
          <w:lang w:val="fr-FR"/>
        </w:rPr>
      </w:pPr>
    </w:p>
    <w:p w14:paraId="32228E98" w14:textId="77777777" w:rsidR="002C117E" w:rsidRDefault="002C117E" w:rsidP="002C117E">
      <w:r>
        <w:t>Del análisis desarrollado se concluye que la elasticidad precio de la demanda de agua para usuarios residenciales es –0,19 (19%), lo que implica que un aumento en el precio del 10% implica una disminución del consumo de un usuario residencial del 2%.</w:t>
      </w:r>
    </w:p>
    <w:p w14:paraId="72C52C1E" w14:textId="77777777" w:rsidR="002C117E" w:rsidRDefault="002C117E" w:rsidP="002C117E"/>
    <w:p w14:paraId="113A5F01" w14:textId="77777777" w:rsidR="002C117E" w:rsidRDefault="002C117E" w:rsidP="002C117E">
      <w:pPr>
        <w:pStyle w:val="CuadrosyTablas"/>
      </w:pPr>
    </w:p>
    <w:p w14:paraId="075B769E" w14:textId="77777777" w:rsidR="002C117E" w:rsidRDefault="002C117E" w:rsidP="002C117E">
      <w:pPr>
        <w:pStyle w:val="CuadrosyTablas"/>
      </w:pPr>
      <w:r>
        <w:t>Referencias bibliográficas.</w:t>
      </w:r>
    </w:p>
    <w:p w14:paraId="5AE2494A" w14:textId="77777777" w:rsidR="002C117E" w:rsidRDefault="002C117E" w:rsidP="002C117E">
      <w:r>
        <w:rPr>
          <w:noProof/>
          <w:lang w:eastAsia="es-AR"/>
        </w:rPr>
        <w:drawing>
          <wp:inline distT="0" distB="0" distL="0" distR="0" wp14:anchorId="3BFA8883" wp14:editId="1553EAB3">
            <wp:extent cx="5377815" cy="2779395"/>
            <wp:effectExtent l="0" t="0" r="0" b="190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377815" cy="2779395"/>
                    </a:xfrm>
                    <a:prstGeom prst="rect">
                      <a:avLst/>
                    </a:prstGeom>
                    <a:noFill/>
                    <a:ln>
                      <a:noFill/>
                    </a:ln>
                  </pic:spPr>
                </pic:pic>
              </a:graphicData>
            </a:graphic>
          </wp:inline>
        </w:drawing>
      </w:r>
    </w:p>
    <w:p w14:paraId="7C55FFDC" w14:textId="77777777" w:rsidR="008124FC" w:rsidRDefault="008124FC" w:rsidP="008124FC">
      <w:pPr>
        <w:rPr>
          <w:lang w:val="es-MX"/>
        </w:rPr>
      </w:pPr>
    </w:p>
    <w:p w14:paraId="0A459DAD" w14:textId="77777777" w:rsidR="008124FC" w:rsidRPr="00C67705" w:rsidRDefault="008124FC" w:rsidP="008124FC"/>
    <w:p w14:paraId="76346E1A" w14:textId="77777777" w:rsidR="006E3740" w:rsidRDefault="006E3740" w:rsidP="00955001">
      <w:pPr>
        <w:sectPr w:rsidR="006E3740" w:rsidSect="002217F1">
          <w:footerReference w:type="default" r:id="rId213"/>
          <w:pgSz w:w="11907" w:h="16839" w:code="9"/>
          <w:pgMar w:top="1985" w:right="1701" w:bottom="1276" w:left="1701" w:header="709" w:footer="264" w:gutter="0"/>
          <w:cols w:space="708"/>
          <w:docGrid w:linePitch="360"/>
        </w:sectPr>
      </w:pPr>
    </w:p>
    <w:p w14:paraId="587546E1" w14:textId="77777777" w:rsidR="008D5523" w:rsidRDefault="008D5523" w:rsidP="008D5523"/>
    <w:p w14:paraId="262D0C51" w14:textId="77777777" w:rsidR="008D5523" w:rsidRDefault="008D5523" w:rsidP="008D5523">
      <w:pPr>
        <w:pStyle w:val="Heading1"/>
      </w:pPr>
      <w:bookmarkStart w:id="1103" w:name="_Toc479892506"/>
      <w:bookmarkStart w:id="1104" w:name="_Toc485200268"/>
      <w:r w:rsidRPr="008124FC">
        <w:t xml:space="preserve">Anexo </w:t>
      </w:r>
      <w:r>
        <w:t>4</w:t>
      </w:r>
      <w:r w:rsidRPr="008124FC">
        <w:t>: Informe transferencia de beneficios de Disposición a Pagar por el servicio de desagüe cloacal.</w:t>
      </w:r>
      <w:bookmarkEnd w:id="1103"/>
      <w:bookmarkEnd w:id="1104"/>
    </w:p>
    <w:p w14:paraId="293E4C74" w14:textId="77777777" w:rsidR="008D5523" w:rsidRDefault="008D5523" w:rsidP="008D5523">
      <w:pPr>
        <w:spacing w:after="0" w:line="240" w:lineRule="auto"/>
        <w:rPr>
          <w:rFonts w:cs="Arial"/>
          <w:lang w:val="es-MX"/>
        </w:rPr>
      </w:pPr>
    </w:p>
    <w:p w14:paraId="5607CD7D" w14:textId="77777777" w:rsidR="008D5523" w:rsidRDefault="008D5523" w:rsidP="00C4100D">
      <w:pPr>
        <w:pStyle w:val="Heading1"/>
        <w:numPr>
          <w:ilvl w:val="0"/>
          <w:numId w:val="72"/>
        </w:numPr>
      </w:pPr>
      <w:bookmarkStart w:id="1105" w:name="_Toc450205725"/>
      <w:bookmarkStart w:id="1106" w:name="_Toc450320428"/>
      <w:bookmarkStart w:id="1107" w:name="_Toc479892507"/>
      <w:bookmarkStart w:id="1108" w:name="_Toc484985202"/>
      <w:bookmarkStart w:id="1109" w:name="_Toc485027087"/>
      <w:bookmarkStart w:id="1110" w:name="_Toc485200269"/>
      <w:r>
        <w:t>Transferencia de beneficios</w:t>
      </w:r>
      <w:bookmarkEnd w:id="1105"/>
      <w:bookmarkEnd w:id="1106"/>
      <w:bookmarkEnd w:id="1107"/>
      <w:bookmarkEnd w:id="1108"/>
      <w:bookmarkEnd w:id="1109"/>
      <w:bookmarkEnd w:id="1110"/>
    </w:p>
    <w:p w14:paraId="04631BF7" w14:textId="77777777" w:rsidR="008D5523" w:rsidRDefault="008D5523" w:rsidP="008D5523">
      <w:r>
        <w:t>En los últimos años se han desarrollado gran cantidad de estudios que buscan valorar mediante métodos directos (costos evitados o valoración contingente) e indirectos (precios hedónicos) los beneficios sociales derivados de la construcción de sistemas de desagües cloacales, plantas depuradoras y/o mejoras del servicio.</w:t>
      </w:r>
    </w:p>
    <w:p w14:paraId="69348741" w14:textId="77777777" w:rsidR="008D5523" w:rsidRDefault="008D5523" w:rsidP="008D5523">
      <w:r>
        <w:t>La realización de tales estudios demanda importantes cantidades de recursos (tiempo, capital humano, mano de obra, etc.), por lo que, tomando en cuenta la disponibilidad de los mismos para áreas, situaciones y proyectos de similares características, es una práctica en crecimiento desarrollar lo que en la bibliografía sobre la materia se conoce como “Transferencia de beneficios”.</w:t>
      </w:r>
    </w:p>
    <w:p w14:paraId="1F35AF1E" w14:textId="77777777" w:rsidR="008D5523" w:rsidRDefault="008D5523" w:rsidP="008D5523">
      <w:r>
        <w:t>Una correcta transferencia de beneficios debe realizarse atendiendo cinco fases:</w:t>
      </w:r>
    </w:p>
    <w:p w14:paraId="698BD7F4" w14:textId="77777777" w:rsidR="008D5523" w:rsidRDefault="008D5523" w:rsidP="00C4100D">
      <w:pPr>
        <w:numPr>
          <w:ilvl w:val="1"/>
          <w:numId w:val="58"/>
        </w:numPr>
        <w:spacing w:before="120" w:after="120" w:line="360" w:lineRule="auto"/>
      </w:pPr>
      <w:r>
        <w:t>Análisis del cambio que se va a valorar económicamente: consiste en establecer claramente cuál es el objeto de valoración económica y las características de la población beneficiaria a fin de poder identificar estudios que hayan tratado el tema sobre poblaciones similares.</w:t>
      </w:r>
    </w:p>
    <w:p w14:paraId="34E8A57A" w14:textId="77777777" w:rsidR="008D5523" w:rsidRDefault="008D5523" w:rsidP="00C4100D">
      <w:pPr>
        <w:numPr>
          <w:ilvl w:val="1"/>
          <w:numId w:val="58"/>
        </w:numPr>
        <w:spacing w:before="120" w:after="120" w:line="360" w:lineRule="auto"/>
      </w:pPr>
      <w:r>
        <w:t>Identificación de los posibles estudios – fuente a utilizar.</w:t>
      </w:r>
    </w:p>
    <w:p w14:paraId="5C20FA22" w14:textId="77777777" w:rsidR="008D5523" w:rsidRDefault="008D5523" w:rsidP="00C4100D">
      <w:pPr>
        <w:numPr>
          <w:ilvl w:val="1"/>
          <w:numId w:val="58"/>
        </w:numPr>
        <w:spacing w:before="120" w:after="120" w:line="360" w:lineRule="auto"/>
      </w:pPr>
      <w:r>
        <w:t>Análisis de adecuación de los estudios – fuente: consiste en evaluar si las características de los estudios – fuente se adecuan al proyecto bajo análisis en los términos de lo definido en el punto a).</w:t>
      </w:r>
    </w:p>
    <w:p w14:paraId="7828C8C2" w14:textId="77777777" w:rsidR="008D5523" w:rsidRDefault="008D5523" w:rsidP="00C4100D">
      <w:pPr>
        <w:numPr>
          <w:ilvl w:val="1"/>
          <w:numId w:val="58"/>
        </w:numPr>
        <w:spacing w:before="120" w:after="120" w:line="360" w:lineRule="auto"/>
      </w:pPr>
      <w:r>
        <w:t>Comprobación de la calidad de las estimaciones de los estudios – fuente y selección del que se va a utilizar. En esta fase se evalúan las funciones obtenidas, la variabilidad de las mismas frente a las características del proyecto y de la población beneficiaria.</w:t>
      </w:r>
    </w:p>
    <w:p w14:paraId="4FAAB595" w14:textId="77777777" w:rsidR="008D5523" w:rsidRDefault="008D5523" w:rsidP="00C4100D">
      <w:pPr>
        <w:numPr>
          <w:ilvl w:val="1"/>
          <w:numId w:val="58"/>
        </w:numPr>
        <w:spacing w:before="120" w:after="120" w:line="360" w:lineRule="auto"/>
      </w:pPr>
      <w:r>
        <w:t>Transferencia de valor: Esta es la fase final del proceso de transferencia y consiste en determinar el valor de los beneficios a transferir. En este caso puede optarse por la transferencia de un valor unitario medio, la transferencia de un valor medio ajustado o bien la transferencia de la función de valor al nuevo proyecto.</w:t>
      </w:r>
    </w:p>
    <w:p w14:paraId="6304FFC0" w14:textId="77777777" w:rsidR="008D5523" w:rsidRDefault="008D5523" w:rsidP="008D5523">
      <w:r>
        <w:t>En el caso de la fase a), el proyecto bajo análisis implica incorporar poblaciones de nivel socioeconómico medio / medio bajo del noroeste del conurbano bonaerense al servicio de desagües cloacales, no existiendo otras particularidades especiales a contemplar para la selección de estudios – fuente.</w:t>
      </w:r>
    </w:p>
    <w:p w14:paraId="51D454CC" w14:textId="77777777" w:rsidR="008D5523" w:rsidRDefault="008D5523" w:rsidP="008D5523">
      <w:r>
        <w:t>En lo que respecta a la fase b), los estudios fuente identificados fueron los siguientes:</w:t>
      </w:r>
    </w:p>
    <w:p w14:paraId="59C5ED1A" w14:textId="77777777" w:rsidR="008D5523" w:rsidRDefault="008D5523" w:rsidP="00C4100D">
      <w:pPr>
        <w:numPr>
          <w:ilvl w:val="0"/>
          <w:numId w:val="59"/>
        </w:numPr>
        <w:spacing w:before="120" w:after="120" w:line="360" w:lineRule="auto"/>
      </w:pPr>
      <w:r>
        <w:t>Estudio 1:</w:t>
      </w:r>
      <w:r w:rsidRPr="00B74B9E">
        <w:t xml:space="preserve"> evaluación de un proyecto de ampliación de la red de desagüe cloacal en el territorio comprendido entre el Camino de Buen Ayre, la Avenida Panamericana y las rutas 4 y 8, perteneciente a los partidos de San Martín, San Isidro y Tres de Febrero, en el Gran Buenos Aires.</w:t>
      </w:r>
    </w:p>
    <w:p w14:paraId="1925D3DE" w14:textId="77777777" w:rsidR="008D5523" w:rsidRPr="00A74978" w:rsidRDefault="008D5523" w:rsidP="00C4100D">
      <w:pPr>
        <w:numPr>
          <w:ilvl w:val="0"/>
          <w:numId w:val="59"/>
        </w:numPr>
        <w:spacing w:before="120" w:after="120" w:line="360" w:lineRule="auto"/>
      </w:pPr>
      <w:r>
        <w:t xml:space="preserve">Estudio 2: evaluación del </w:t>
      </w:r>
      <w:r w:rsidRPr="00B74B9E">
        <w:t>proyecto de inversión “Desagües Cloacales del Noroeste de la Provincia de Buenos Aires – de las Localidades de Malvinas Argentinas, José C. Paz, Cuartel V Moreno y Pilar”</w:t>
      </w:r>
    </w:p>
    <w:p w14:paraId="5B3DA1D2" w14:textId="77777777" w:rsidR="008D5523" w:rsidRPr="00042D49" w:rsidRDefault="008D5523" w:rsidP="008D5523">
      <w:r w:rsidRPr="00042D49">
        <w:t>Del análisis de adecuación de los estudios – fuente (fase c) se concluyó que desde el punto de vista de las poblaciones beneficiarias y de las condiciones ambientales en las que se desarrolla el proyecto existe una mayor correspondencia con el proyecto en evaluación para el estudio 1, ya que el mismo es realizado sobre partidos del primer y segundo cordón del conurbano, mientras que el estudio 2 se realizó en partidos del tercer cordón del conurbano, dónde la densidad es menor, las condiciones socioeconómicas tienen un componente de pobreza estructural mayor y las carencias de infraestructura son más severas.</w:t>
      </w:r>
    </w:p>
    <w:p w14:paraId="6675DBA4" w14:textId="77777777" w:rsidR="008D5523" w:rsidRPr="00042D49" w:rsidRDefault="008D5523" w:rsidP="008D5523">
      <w:r w:rsidRPr="00042D49">
        <w:t>Del análisis de la calidad de las estimaciones de DAP obtenidas (fase d), se determinó que ambos estudios son similares, no existiendo evidencia significativa a favor de uno u otro.</w:t>
      </w:r>
    </w:p>
    <w:p w14:paraId="52780110" w14:textId="77777777" w:rsidR="008D5523" w:rsidRDefault="008D5523" w:rsidP="008D5523">
      <w:r w:rsidRPr="00042D49">
        <w:t>Finalmente, siguiendo las recomendaciones de la bibliografía, se ha procedido a realizar la transferencia de valor (fase d) utilizando para ello la función de Disposición a Pagar obtenida en el estudio 1 por ser este el que mejor se ajusta a las características del proyecto en evaluación</w:t>
      </w:r>
      <w:r>
        <w:t>.</w:t>
      </w:r>
    </w:p>
    <w:p w14:paraId="60CD9E86" w14:textId="77777777" w:rsidR="008D5523" w:rsidRPr="00042D49" w:rsidRDefault="008D5523" w:rsidP="008D5523">
      <w:r>
        <w:t>En los puntos siguientes (2 a 4) se transcribe el análisis econométrico del estudio – fuente seleccionado y en el punto 5 se realiza la adecuación del mismo a fin de obtener su actualización a valores de abril 2016.</w:t>
      </w:r>
    </w:p>
    <w:p w14:paraId="4B47611B" w14:textId="77777777" w:rsidR="008D5523" w:rsidRPr="003E37AB" w:rsidRDefault="008D5523" w:rsidP="00C4100D">
      <w:pPr>
        <w:pStyle w:val="Heading1"/>
        <w:numPr>
          <w:ilvl w:val="0"/>
          <w:numId w:val="72"/>
        </w:numPr>
      </w:pPr>
      <w:bookmarkStart w:id="1111" w:name="_Toc450205726"/>
      <w:bookmarkStart w:id="1112" w:name="_Toc450320429"/>
      <w:bookmarkStart w:id="1113" w:name="_Toc479892508"/>
      <w:bookmarkStart w:id="1114" w:name="_Toc484985203"/>
      <w:bookmarkStart w:id="1115" w:name="_Toc485027088"/>
      <w:bookmarkStart w:id="1116" w:name="_Toc485200270"/>
      <w:r>
        <w:t xml:space="preserve">Análisis de febrero 2012 - </w:t>
      </w:r>
      <w:r w:rsidRPr="003E37AB">
        <w:t>Consideraciones generales</w:t>
      </w:r>
      <w:bookmarkEnd w:id="1111"/>
      <w:bookmarkEnd w:id="1112"/>
      <w:bookmarkEnd w:id="1113"/>
      <w:bookmarkEnd w:id="1114"/>
      <w:bookmarkEnd w:id="1115"/>
      <w:bookmarkEnd w:id="1116"/>
    </w:p>
    <w:p w14:paraId="0C652E44" w14:textId="77777777" w:rsidR="008D5523" w:rsidRPr="002D7ADA" w:rsidRDefault="008D5523" w:rsidP="008D5523">
      <w:pPr>
        <w:rPr>
          <w:lang w:val="es-MX"/>
        </w:rPr>
      </w:pPr>
      <w:r w:rsidRPr="002D7ADA">
        <w:rPr>
          <w:lang w:val="es-MX"/>
        </w:rPr>
        <w:t xml:space="preserve">Para determinar la disposición a pagar </w:t>
      </w:r>
      <w:r>
        <w:rPr>
          <w:lang w:val="es-MX"/>
        </w:rPr>
        <w:t xml:space="preserve">de las familias como medida de </w:t>
      </w:r>
      <w:r w:rsidRPr="002D7ADA">
        <w:rPr>
          <w:lang w:val="es-MX"/>
        </w:rPr>
        <w:t xml:space="preserve">los beneficios sociales </w:t>
      </w:r>
      <w:r>
        <w:rPr>
          <w:lang w:val="es-MX"/>
        </w:rPr>
        <w:t>producidos por los</w:t>
      </w:r>
      <w:r w:rsidRPr="002D7ADA">
        <w:rPr>
          <w:lang w:val="es-MX"/>
        </w:rPr>
        <w:t xml:space="preserve"> proyecto</w:t>
      </w:r>
      <w:r>
        <w:rPr>
          <w:lang w:val="es-MX"/>
        </w:rPr>
        <w:t>s de extensión del servicio público de desagüe cloacal</w:t>
      </w:r>
      <w:r w:rsidRPr="002D7ADA">
        <w:rPr>
          <w:lang w:val="es-MX"/>
        </w:rPr>
        <w:t xml:space="preserve"> en la Cuenca</w:t>
      </w:r>
      <w:r>
        <w:rPr>
          <w:lang w:val="es-MX"/>
        </w:rPr>
        <w:t>,</w:t>
      </w:r>
      <w:r w:rsidRPr="002D7ADA">
        <w:rPr>
          <w:lang w:val="es-MX"/>
        </w:rPr>
        <w:t xml:space="preserve"> se emplearon los datos de la encuesta socioeconómica realizada en los partidos de Moreno, Ituzaing</w:t>
      </w:r>
      <w:r>
        <w:rPr>
          <w:lang w:val="es-MX"/>
        </w:rPr>
        <w:t>ó y San Isidro - San Fernando.</w:t>
      </w:r>
    </w:p>
    <w:p w14:paraId="20AC97EF" w14:textId="77777777" w:rsidR="008D5523" w:rsidRDefault="008D5523" w:rsidP="008D5523">
      <w:pPr>
        <w:rPr>
          <w:lang w:val="es-MX"/>
        </w:rPr>
      </w:pPr>
      <w:r>
        <w:rPr>
          <w:lang w:val="es-MX"/>
        </w:rPr>
        <w:t>La encuesta relevó la</w:t>
      </w:r>
      <w:r w:rsidRPr="002D7ADA">
        <w:rPr>
          <w:lang w:val="es-MX"/>
        </w:rPr>
        <w:t xml:space="preserve"> disposición a pagar un cierto importe mensual</w:t>
      </w:r>
      <w:r>
        <w:rPr>
          <w:lang w:val="es-MX"/>
        </w:rPr>
        <w:t>,</w:t>
      </w:r>
      <w:r w:rsidRPr="002D7ADA">
        <w:rPr>
          <w:lang w:val="es-MX"/>
        </w:rPr>
        <w:t xml:space="preserve"> a cambio de </w:t>
      </w:r>
      <w:r>
        <w:rPr>
          <w:lang w:val="es-MX"/>
        </w:rPr>
        <w:t>disponer de</w:t>
      </w:r>
      <w:r w:rsidRPr="002D7ADA">
        <w:rPr>
          <w:lang w:val="es-MX"/>
        </w:rPr>
        <w:t>l servicio</w:t>
      </w:r>
      <w:r>
        <w:rPr>
          <w:lang w:val="es-MX"/>
        </w:rPr>
        <w:t xml:space="preserve"> de cloaca</w:t>
      </w:r>
      <w:r w:rsidRPr="002D7ADA">
        <w:rPr>
          <w:lang w:val="es-MX"/>
        </w:rPr>
        <w:t xml:space="preserve"> por red</w:t>
      </w:r>
      <w:r>
        <w:rPr>
          <w:lang w:val="es-MX"/>
        </w:rPr>
        <w:t>, de los hogares de la zona y otros datos referidos a su situación socioeconómica</w:t>
      </w:r>
      <w:r w:rsidRPr="002D7ADA">
        <w:rPr>
          <w:lang w:val="es-MX"/>
        </w:rPr>
        <w:t xml:space="preserve">. A partir de </w:t>
      </w:r>
      <w:r>
        <w:rPr>
          <w:lang w:val="es-MX"/>
        </w:rPr>
        <w:t xml:space="preserve">estos últimos </w:t>
      </w:r>
      <w:r w:rsidRPr="002D7ADA">
        <w:rPr>
          <w:lang w:val="es-MX"/>
        </w:rPr>
        <w:t xml:space="preserve">se trató de detectar cuáles </w:t>
      </w:r>
      <w:r>
        <w:rPr>
          <w:lang w:val="es-MX"/>
        </w:rPr>
        <w:t>era</w:t>
      </w:r>
      <w:r w:rsidRPr="002D7ADA">
        <w:rPr>
          <w:lang w:val="es-MX"/>
        </w:rPr>
        <w:t>n los principales determinantes de la disposición a pagar dicho importe</w:t>
      </w:r>
      <w:r>
        <w:rPr>
          <w:lang w:val="es-MX"/>
        </w:rPr>
        <w:t>.</w:t>
      </w:r>
    </w:p>
    <w:p w14:paraId="184D6C44" w14:textId="77777777" w:rsidR="008D5523" w:rsidRDefault="008D5523" w:rsidP="008D5523">
      <w:pPr>
        <w:rPr>
          <w:lang w:val="es-MX"/>
        </w:rPr>
      </w:pPr>
      <w:r w:rsidRPr="002D7ADA">
        <w:rPr>
          <w:lang w:val="es-MX"/>
        </w:rPr>
        <w:t xml:space="preserve">A priori </w:t>
      </w:r>
      <w:r>
        <w:rPr>
          <w:lang w:val="es-MX"/>
        </w:rPr>
        <w:t>se</w:t>
      </w:r>
      <w:r w:rsidRPr="002D7ADA">
        <w:rPr>
          <w:lang w:val="es-MX"/>
        </w:rPr>
        <w:t xml:space="preserve"> </w:t>
      </w:r>
      <w:r>
        <w:rPr>
          <w:lang w:val="es-MX"/>
        </w:rPr>
        <w:t>supu</w:t>
      </w:r>
      <w:r w:rsidRPr="002D7ADA">
        <w:rPr>
          <w:lang w:val="es-MX"/>
        </w:rPr>
        <w:t>s</w:t>
      </w:r>
      <w:r>
        <w:rPr>
          <w:lang w:val="es-MX"/>
        </w:rPr>
        <w:t>o</w:t>
      </w:r>
      <w:r w:rsidRPr="002D7ADA">
        <w:rPr>
          <w:lang w:val="es-MX"/>
        </w:rPr>
        <w:t xml:space="preserve"> que</w:t>
      </w:r>
      <w:r>
        <w:rPr>
          <w:lang w:val="es-MX"/>
        </w:rPr>
        <w:t>,</w:t>
      </w:r>
      <w:r w:rsidRPr="002D7ADA">
        <w:rPr>
          <w:lang w:val="es-MX"/>
        </w:rPr>
        <w:t xml:space="preserve"> en promedio</w:t>
      </w:r>
      <w:r>
        <w:rPr>
          <w:lang w:val="es-MX"/>
        </w:rPr>
        <w:t>,</w:t>
      </w:r>
      <w:r w:rsidRPr="002D7ADA">
        <w:rPr>
          <w:lang w:val="es-MX"/>
        </w:rPr>
        <w:t xml:space="preserve"> resulta</w:t>
      </w:r>
      <w:r>
        <w:rPr>
          <w:lang w:val="es-MX"/>
        </w:rPr>
        <w:t>ría</w:t>
      </w:r>
      <w:r w:rsidRPr="002D7ADA">
        <w:rPr>
          <w:lang w:val="es-MX"/>
        </w:rPr>
        <w:t>n relevantes los siguientes indicadores:</w:t>
      </w:r>
    </w:p>
    <w:p w14:paraId="6D3F2845" w14:textId="77777777" w:rsidR="008D5523" w:rsidRDefault="008D5523" w:rsidP="00C4100D">
      <w:pPr>
        <w:numPr>
          <w:ilvl w:val="0"/>
          <w:numId w:val="60"/>
        </w:numPr>
        <w:spacing w:before="120" w:after="120" w:line="360" w:lineRule="auto"/>
        <w:rPr>
          <w:lang w:val="es-MX"/>
        </w:rPr>
      </w:pPr>
      <w:r w:rsidRPr="005B0488">
        <w:rPr>
          <w:lang w:val="es-MX"/>
        </w:rPr>
        <w:t>número de servicios (a mayor número de servicios, además de los de agua potable por red y electricidad, mayor disposición a pagar para disponer del servicio de cloacas por red);</w:t>
      </w:r>
    </w:p>
    <w:p w14:paraId="2AF8C86B" w14:textId="77777777" w:rsidR="008D5523" w:rsidRDefault="008D5523" w:rsidP="00C4100D">
      <w:pPr>
        <w:numPr>
          <w:ilvl w:val="0"/>
          <w:numId w:val="60"/>
        </w:numPr>
        <w:spacing w:before="120" w:after="120" w:line="360" w:lineRule="auto"/>
        <w:rPr>
          <w:lang w:val="es-MX"/>
        </w:rPr>
      </w:pPr>
      <w:r w:rsidRPr="005B0488">
        <w:rPr>
          <w:lang w:val="es-MX"/>
        </w:rPr>
        <w:t>ingreso mensual familiar (a mayor ingreso, mayor disposición a pagar);</w:t>
      </w:r>
    </w:p>
    <w:p w14:paraId="252D7356" w14:textId="77777777" w:rsidR="008D5523" w:rsidRDefault="008D5523" w:rsidP="00C4100D">
      <w:pPr>
        <w:numPr>
          <w:ilvl w:val="0"/>
          <w:numId w:val="60"/>
        </w:numPr>
        <w:spacing w:before="120" w:after="120" w:line="360" w:lineRule="auto"/>
        <w:rPr>
          <w:lang w:val="es-MX"/>
        </w:rPr>
      </w:pPr>
      <w:r w:rsidRPr="005B0488">
        <w:rPr>
          <w:lang w:val="es-MX"/>
        </w:rPr>
        <w:t>importe propuesto (a mayor importe, menor disposición a pagar);</w:t>
      </w:r>
    </w:p>
    <w:p w14:paraId="5BAE6223" w14:textId="77777777" w:rsidR="008D5523" w:rsidRDefault="008D5523" w:rsidP="00C4100D">
      <w:pPr>
        <w:numPr>
          <w:ilvl w:val="0"/>
          <w:numId w:val="60"/>
        </w:numPr>
        <w:spacing w:before="120" w:after="120" w:line="360" w:lineRule="auto"/>
        <w:rPr>
          <w:lang w:val="es-MX"/>
        </w:rPr>
      </w:pPr>
      <w:r w:rsidRPr="005B0488">
        <w:rPr>
          <w:lang w:val="es-MX"/>
        </w:rPr>
        <w:t>costo del servicio alternativo (instalación del pozo o cámara séptica y pozo, a mayor costo, mayor disposición a pagar);</w:t>
      </w:r>
    </w:p>
    <w:p w14:paraId="4BF7C5E3" w14:textId="77777777" w:rsidR="008D5523" w:rsidRDefault="008D5523" w:rsidP="00C4100D">
      <w:pPr>
        <w:numPr>
          <w:ilvl w:val="0"/>
          <w:numId w:val="60"/>
        </w:numPr>
        <w:spacing w:before="120" w:after="120" w:line="360" w:lineRule="auto"/>
        <w:rPr>
          <w:lang w:val="es-MX"/>
        </w:rPr>
      </w:pPr>
      <w:r w:rsidRPr="005B0488">
        <w:rPr>
          <w:lang w:val="es-MX"/>
        </w:rPr>
        <w:t>cos</w:t>
      </w:r>
      <w:r>
        <w:rPr>
          <w:lang w:val="es-MX"/>
        </w:rPr>
        <w:t>to de limpieza del pozo ciego (</w:t>
      </w:r>
      <w:r w:rsidRPr="005B0488">
        <w:rPr>
          <w:lang w:val="es-MX"/>
        </w:rPr>
        <w:t>a mayor costo, mayor disposición a pagar);</w:t>
      </w:r>
    </w:p>
    <w:p w14:paraId="7B6F61E3" w14:textId="77777777" w:rsidR="008D5523" w:rsidRDefault="008D5523" w:rsidP="00C4100D">
      <w:pPr>
        <w:numPr>
          <w:ilvl w:val="0"/>
          <w:numId w:val="60"/>
        </w:numPr>
        <w:spacing w:before="120" w:after="120" w:line="360" w:lineRule="auto"/>
        <w:rPr>
          <w:lang w:val="es-MX"/>
        </w:rPr>
      </w:pPr>
      <w:r w:rsidRPr="005B0488">
        <w:rPr>
          <w:lang w:val="es-MX"/>
        </w:rPr>
        <w:t>problemas con dicho servicio alternativo (mal olor, insectos, roedores, disminución del consumo de agua en el hogar; a mayor número y/o percepción de gravedad de dichos problemas, mayor disposición a pagar);</w:t>
      </w:r>
    </w:p>
    <w:p w14:paraId="7B0B4C27" w14:textId="77777777" w:rsidR="008D5523" w:rsidRDefault="008D5523" w:rsidP="00C4100D">
      <w:pPr>
        <w:numPr>
          <w:ilvl w:val="0"/>
          <w:numId w:val="60"/>
        </w:numPr>
        <w:spacing w:before="120" w:after="120" w:line="360" w:lineRule="auto"/>
        <w:rPr>
          <w:lang w:val="es-MX"/>
        </w:rPr>
      </w:pPr>
      <w:r w:rsidRPr="005B0488">
        <w:rPr>
          <w:lang w:val="es-MX"/>
        </w:rPr>
        <w:t>nivel educacional del principal sostén de la familia (a mayor nivel, mayor disposición a pagar); y</w:t>
      </w:r>
    </w:p>
    <w:p w14:paraId="7B757CC2" w14:textId="77777777" w:rsidR="008D5523" w:rsidRPr="005B0488" w:rsidRDefault="008D5523" w:rsidP="00C4100D">
      <w:pPr>
        <w:numPr>
          <w:ilvl w:val="0"/>
          <w:numId w:val="60"/>
        </w:numPr>
        <w:spacing w:before="120" w:after="120" w:line="360" w:lineRule="auto"/>
        <w:rPr>
          <w:lang w:val="es-MX"/>
        </w:rPr>
      </w:pPr>
      <w:r w:rsidRPr="005B0488">
        <w:rPr>
          <w:lang w:val="es-MX"/>
        </w:rPr>
        <w:t>actividad del principal sostén de la familia (a actividades mejor remuneradas, mayor disposición a pagar).</w:t>
      </w:r>
    </w:p>
    <w:p w14:paraId="654023C6" w14:textId="77777777" w:rsidR="008D5523" w:rsidRPr="002D7ADA" w:rsidRDefault="008D5523" w:rsidP="008D5523">
      <w:pPr>
        <w:rPr>
          <w:lang w:val="es-MX"/>
        </w:rPr>
      </w:pPr>
      <w:r w:rsidRPr="002D7ADA">
        <w:rPr>
          <w:lang w:val="es-MX"/>
        </w:rPr>
        <w:t>El cálculo de la disposición a pagar se encaró desde el enfoque paramétrico</w:t>
      </w:r>
      <w:r>
        <w:rPr>
          <w:lang w:val="es-MX"/>
        </w:rPr>
        <w:t>,</w:t>
      </w:r>
      <w:r w:rsidRPr="002D7ADA">
        <w:rPr>
          <w:lang w:val="es-MX"/>
        </w:rPr>
        <w:t xml:space="preserve"> lo que permite detectar cuáles de las variables citadas son efectivamente significativas.</w:t>
      </w:r>
    </w:p>
    <w:p w14:paraId="68A94229" w14:textId="77777777" w:rsidR="008D5523" w:rsidRPr="002D7ADA" w:rsidRDefault="008D5523" w:rsidP="008D5523">
      <w:pPr>
        <w:rPr>
          <w:lang w:val="es-MX"/>
        </w:rPr>
      </w:pPr>
      <w:r w:rsidRPr="002D7ADA">
        <w:rPr>
          <w:lang w:val="es-MX"/>
        </w:rPr>
        <w:t>Para que el número de respuestas categóricas por importe resultara similar, con datos válidos para todas las variables explicativas consideradas, se homogeneizó el número de casos en los estratos a un promedio de 25, con rango entre 23 y 27. La eliminación de casos de los estratos sobre-representados se efectuó aleatoriamente y el número de casos total quedó establecido en 307. Como es sabido, las alternativas a este procedimiento son:</w:t>
      </w:r>
    </w:p>
    <w:p w14:paraId="405C19ED" w14:textId="77777777" w:rsidR="008D5523" w:rsidRPr="00550684" w:rsidRDefault="008D5523" w:rsidP="00C4100D">
      <w:pPr>
        <w:numPr>
          <w:ilvl w:val="0"/>
          <w:numId w:val="61"/>
        </w:numPr>
        <w:spacing w:before="120" w:after="120" w:line="360" w:lineRule="auto"/>
        <w:rPr>
          <w:lang w:val="es-MX"/>
        </w:rPr>
      </w:pPr>
      <w:r w:rsidRPr="00550684">
        <w:rPr>
          <w:lang w:val="es-MX"/>
        </w:rPr>
        <w:t>no desechar los casos con información incompleta remplazando los valores faltantes con el promedio de los observados</w:t>
      </w:r>
      <w:r>
        <w:rPr>
          <w:lang w:val="es-MX"/>
        </w:rPr>
        <w:t>;</w:t>
      </w:r>
    </w:p>
    <w:p w14:paraId="285B7CAE" w14:textId="77777777" w:rsidR="008D5523" w:rsidRPr="001F46BF" w:rsidRDefault="008D5523" w:rsidP="00C4100D">
      <w:pPr>
        <w:numPr>
          <w:ilvl w:val="0"/>
          <w:numId w:val="61"/>
        </w:numPr>
        <w:spacing w:before="120" w:after="120" w:line="360" w:lineRule="auto"/>
        <w:rPr>
          <w:lang w:val="es-MX"/>
        </w:rPr>
      </w:pPr>
      <w:r w:rsidRPr="001F46BF">
        <w:rPr>
          <w:lang w:val="es-MX"/>
        </w:rPr>
        <w:t>trabajar con regresión ponderada reteniendo todos los casos con datos válidos aunque los clusters de precios difieran significativamente en tamaño.</w:t>
      </w:r>
    </w:p>
    <w:p w14:paraId="58CAE20C" w14:textId="77777777" w:rsidR="008D5523" w:rsidRDefault="008D5523" w:rsidP="008D5523">
      <w:pPr>
        <w:rPr>
          <w:lang w:val="es-MX"/>
        </w:rPr>
      </w:pPr>
      <w:r>
        <w:rPr>
          <w:lang w:val="es-MX"/>
        </w:rPr>
        <w:t>Se recurre a esta</w:t>
      </w:r>
      <w:r w:rsidRPr="00550684">
        <w:rPr>
          <w:lang w:val="es-MX"/>
        </w:rPr>
        <w:t xml:space="preserve">s </w:t>
      </w:r>
      <w:r>
        <w:rPr>
          <w:lang w:val="es-MX"/>
        </w:rPr>
        <w:t xml:space="preserve">opciones </w:t>
      </w:r>
      <w:r w:rsidRPr="00550684">
        <w:rPr>
          <w:lang w:val="es-MX"/>
        </w:rPr>
        <w:t xml:space="preserve">cuando el número de casos completos de entrada es reducido, lo que no sucede en esta </w:t>
      </w:r>
      <w:r>
        <w:rPr>
          <w:lang w:val="es-MX"/>
        </w:rPr>
        <w:t>oportunidad</w:t>
      </w:r>
      <w:r w:rsidRPr="00550684">
        <w:rPr>
          <w:lang w:val="es-MX"/>
        </w:rPr>
        <w:t>.</w:t>
      </w:r>
      <w:r>
        <w:rPr>
          <w:lang w:val="es-MX"/>
        </w:rPr>
        <w:t xml:space="preserve"> Por la tanto la muestra fue aleatoriamente reducida, quedando conformada de la siguiente manera:</w:t>
      </w:r>
    </w:p>
    <w:p w14:paraId="7A4EC118" w14:textId="77777777" w:rsidR="008D5523" w:rsidRPr="00181C08" w:rsidRDefault="008D5523" w:rsidP="008D5523">
      <w:pPr>
        <w:jc w:val="center"/>
        <w:rPr>
          <w:b/>
          <w:lang w:val="es-MX"/>
        </w:rPr>
      </w:pPr>
      <w:r w:rsidRPr="00181C08">
        <w:rPr>
          <w:b/>
          <w:lang w:val="es-MX"/>
        </w:rPr>
        <w:t>Distribución de los casos según la variable Precio o Importe Propuesto</w:t>
      </w:r>
    </w:p>
    <w:tbl>
      <w:tblPr>
        <w:tblW w:w="49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173"/>
        <w:gridCol w:w="1173"/>
        <w:gridCol w:w="1173"/>
        <w:gridCol w:w="1384"/>
      </w:tblGrid>
      <w:tr w:rsidR="008D5523" w:rsidRPr="00E86EF9" w14:paraId="6E771B80" w14:textId="77777777" w:rsidTr="00C0403B">
        <w:trPr>
          <w:cantSplit/>
          <w:trHeight w:val="298"/>
          <w:tblHeader/>
          <w:jc w:val="center"/>
        </w:trPr>
        <w:tc>
          <w:tcPr>
            <w:tcW w:w="1173" w:type="dxa"/>
            <w:tcBorders>
              <w:bottom w:val="single" w:sz="4" w:space="0" w:color="auto"/>
            </w:tcBorders>
            <w:shd w:val="clear" w:color="auto" w:fill="FFFFFF"/>
            <w:tcMar>
              <w:top w:w="30" w:type="dxa"/>
              <w:left w:w="30" w:type="dxa"/>
              <w:bottom w:w="30" w:type="dxa"/>
              <w:right w:w="30" w:type="dxa"/>
            </w:tcMar>
            <w:vAlign w:val="center"/>
          </w:tcPr>
          <w:p w14:paraId="3A52B4A6" w14:textId="77777777" w:rsidR="008D5523" w:rsidRPr="00E86EF9" w:rsidRDefault="008D5523" w:rsidP="00C0403B">
            <w:pPr>
              <w:spacing w:after="100" w:afterAutospacing="1" w:line="240" w:lineRule="auto"/>
              <w:jc w:val="center"/>
              <w:rPr>
                <w:rFonts w:cs="Arial"/>
                <w:b/>
                <w:sz w:val="18"/>
                <w:szCs w:val="18"/>
                <w:lang w:val="es-MX"/>
              </w:rPr>
            </w:pPr>
            <w:r w:rsidRPr="00E86EF9">
              <w:rPr>
                <w:rFonts w:cs="Arial"/>
                <w:b/>
                <w:sz w:val="18"/>
                <w:szCs w:val="18"/>
                <w:lang w:val="es-MX"/>
              </w:rPr>
              <w:t>Precio</w:t>
            </w:r>
          </w:p>
        </w:tc>
        <w:tc>
          <w:tcPr>
            <w:tcW w:w="1173" w:type="dxa"/>
            <w:tcBorders>
              <w:bottom w:val="single" w:sz="4" w:space="0" w:color="auto"/>
            </w:tcBorders>
            <w:shd w:val="clear" w:color="auto" w:fill="FFFFFF"/>
            <w:tcMar>
              <w:top w:w="30" w:type="dxa"/>
              <w:left w:w="30" w:type="dxa"/>
              <w:bottom w:w="30" w:type="dxa"/>
              <w:right w:w="30" w:type="dxa"/>
            </w:tcMar>
            <w:vAlign w:val="center"/>
          </w:tcPr>
          <w:p w14:paraId="11E912C2" w14:textId="77777777" w:rsidR="008D5523" w:rsidRPr="00E86EF9" w:rsidRDefault="008D5523" w:rsidP="00C0403B">
            <w:pPr>
              <w:spacing w:after="100" w:afterAutospacing="1" w:line="240" w:lineRule="auto"/>
              <w:jc w:val="center"/>
              <w:rPr>
                <w:rFonts w:cs="Arial"/>
                <w:b/>
                <w:sz w:val="18"/>
                <w:szCs w:val="18"/>
                <w:lang w:val="es-MX"/>
              </w:rPr>
            </w:pPr>
            <w:r w:rsidRPr="00E86EF9">
              <w:rPr>
                <w:rFonts w:cs="Arial"/>
                <w:b/>
                <w:sz w:val="18"/>
                <w:szCs w:val="18"/>
                <w:lang w:val="es-MX"/>
              </w:rPr>
              <w:t>Frecuencia</w:t>
            </w:r>
          </w:p>
        </w:tc>
        <w:tc>
          <w:tcPr>
            <w:tcW w:w="1173" w:type="dxa"/>
            <w:tcBorders>
              <w:bottom w:val="single" w:sz="4" w:space="0" w:color="auto"/>
            </w:tcBorders>
            <w:shd w:val="clear" w:color="auto" w:fill="FFFFFF"/>
            <w:tcMar>
              <w:top w:w="30" w:type="dxa"/>
              <w:left w:w="30" w:type="dxa"/>
              <w:bottom w:w="30" w:type="dxa"/>
              <w:right w:w="30" w:type="dxa"/>
            </w:tcMar>
            <w:vAlign w:val="center"/>
          </w:tcPr>
          <w:p w14:paraId="358156C6" w14:textId="77777777" w:rsidR="008D5523" w:rsidRPr="00E86EF9" w:rsidRDefault="008D5523" w:rsidP="00C0403B">
            <w:pPr>
              <w:spacing w:after="100" w:afterAutospacing="1" w:line="240" w:lineRule="auto"/>
              <w:jc w:val="center"/>
              <w:rPr>
                <w:rFonts w:cs="Arial"/>
                <w:b/>
                <w:sz w:val="18"/>
                <w:szCs w:val="18"/>
                <w:lang w:val="es-MX"/>
              </w:rPr>
            </w:pPr>
            <w:r w:rsidRPr="00E86EF9">
              <w:rPr>
                <w:rFonts w:cs="Arial"/>
                <w:b/>
                <w:sz w:val="18"/>
                <w:szCs w:val="18"/>
                <w:lang w:val="es-MX"/>
              </w:rPr>
              <w:t>%</w:t>
            </w:r>
          </w:p>
        </w:tc>
        <w:tc>
          <w:tcPr>
            <w:tcW w:w="1384" w:type="dxa"/>
            <w:tcBorders>
              <w:bottom w:val="single" w:sz="4" w:space="0" w:color="auto"/>
            </w:tcBorders>
            <w:shd w:val="clear" w:color="auto" w:fill="FFFFFF"/>
            <w:tcMar>
              <w:top w:w="30" w:type="dxa"/>
              <w:left w:w="30" w:type="dxa"/>
              <w:bottom w:w="30" w:type="dxa"/>
              <w:right w:w="30" w:type="dxa"/>
            </w:tcMar>
            <w:vAlign w:val="center"/>
          </w:tcPr>
          <w:p w14:paraId="3DEAA98B" w14:textId="77777777" w:rsidR="008D5523" w:rsidRPr="00E86EF9" w:rsidRDefault="008D5523" w:rsidP="00C0403B">
            <w:pPr>
              <w:spacing w:after="100" w:afterAutospacing="1" w:line="240" w:lineRule="auto"/>
              <w:jc w:val="center"/>
              <w:rPr>
                <w:rFonts w:cs="Arial"/>
                <w:b/>
                <w:sz w:val="18"/>
                <w:szCs w:val="18"/>
                <w:lang w:val="es-MX"/>
              </w:rPr>
            </w:pPr>
            <w:r w:rsidRPr="00E86EF9">
              <w:rPr>
                <w:rFonts w:cs="Arial"/>
                <w:b/>
                <w:sz w:val="18"/>
                <w:szCs w:val="18"/>
                <w:lang w:val="es-MX"/>
              </w:rPr>
              <w:t>% acumulado</w:t>
            </w:r>
          </w:p>
        </w:tc>
      </w:tr>
      <w:tr w:rsidR="008D5523" w:rsidRPr="00E86EF9" w14:paraId="6516D0A0" w14:textId="77777777" w:rsidTr="00C0403B">
        <w:trPr>
          <w:cantSplit/>
          <w:tblHeader/>
          <w:jc w:val="center"/>
        </w:trPr>
        <w:tc>
          <w:tcPr>
            <w:tcW w:w="1173" w:type="dxa"/>
            <w:tcBorders>
              <w:top w:val="single" w:sz="4" w:space="0" w:color="auto"/>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6A66EDD1"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45</w:t>
            </w:r>
          </w:p>
        </w:tc>
        <w:tc>
          <w:tcPr>
            <w:tcW w:w="1173" w:type="dxa"/>
            <w:tcBorders>
              <w:top w:val="single" w:sz="4" w:space="0" w:color="auto"/>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09BE4F8F"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23</w:t>
            </w:r>
          </w:p>
        </w:tc>
        <w:tc>
          <w:tcPr>
            <w:tcW w:w="1173" w:type="dxa"/>
            <w:tcBorders>
              <w:top w:val="single" w:sz="4" w:space="0" w:color="auto"/>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64FED240"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7,5</w:t>
            </w:r>
          </w:p>
        </w:tc>
        <w:tc>
          <w:tcPr>
            <w:tcW w:w="1384" w:type="dxa"/>
            <w:tcBorders>
              <w:top w:val="single" w:sz="4" w:space="0" w:color="auto"/>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1ED4CF06"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7,5</w:t>
            </w:r>
          </w:p>
        </w:tc>
      </w:tr>
      <w:tr w:rsidR="008D5523" w:rsidRPr="00E86EF9" w14:paraId="711EA693" w14:textId="77777777" w:rsidTr="00C0403B">
        <w:trPr>
          <w:cantSplit/>
          <w:tblHeader/>
          <w:jc w:val="center"/>
        </w:trPr>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374E73DA"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50</w:t>
            </w:r>
          </w:p>
        </w:tc>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57BF30FC"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27</w:t>
            </w:r>
          </w:p>
        </w:tc>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5CC715A0"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8,8</w:t>
            </w:r>
          </w:p>
        </w:tc>
        <w:tc>
          <w:tcPr>
            <w:tcW w:w="1384"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5C959269"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16,3</w:t>
            </w:r>
          </w:p>
        </w:tc>
      </w:tr>
      <w:tr w:rsidR="008D5523" w:rsidRPr="00E86EF9" w14:paraId="37408137" w14:textId="77777777" w:rsidTr="00C0403B">
        <w:trPr>
          <w:cantSplit/>
          <w:tblHeader/>
          <w:jc w:val="center"/>
        </w:trPr>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3FE94CD7"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70</w:t>
            </w:r>
          </w:p>
        </w:tc>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74359C42"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25</w:t>
            </w:r>
          </w:p>
        </w:tc>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47B88D1B"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8,1</w:t>
            </w:r>
          </w:p>
        </w:tc>
        <w:tc>
          <w:tcPr>
            <w:tcW w:w="1384"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0E0A2BD7"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24,4</w:t>
            </w:r>
          </w:p>
        </w:tc>
      </w:tr>
      <w:tr w:rsidR="008D5523" w:rsidRPr="00E86EF9" w14:paraId="163901CB" w14:textId="77777777" w:rsidTr="00C0403B">
        <w:trPr>
          <w:cantSplit/>
          <w:tblHeader/>
          <w:jc w:val="center"/>
        </w:trPr>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40A9F7F7"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90</w:t>
            </w:r>
          </w:p>
        </w:tc>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539AA887"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27</w:t>
            </w:r>
          </w:p>
        </w:tc>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6F402F29"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8,8</w:t>
            </w:r>
          </w:p>
        </w:tc>
        <w:tc>
          <w:tcPr>
            <w:tcW w:w="1384"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0C5E3C39"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33,2</w:t>
            </w:r>
          </w:p>
        </w:tc>
      </w:tr>
      <w:tr w:rsidR="008D5523" w:rsidRPr="00E86EF9" w14:paraId="01D9A113" w14:textId="77777777" w:rsidTr="00C0403B">
        <w:trPr>
          <w:cantSplit/>
          <w:tblHeader/>
          <w:jc w:val="center"/>
        </w:trPr>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24068D3C"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110</w:t>
            </w:r>
          </w:p>
        </w:tc>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2A64EB06"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26</w:t>
            </w:r>
          </w:p>
        </w:tc>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7C990FCE"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8,5</w:t>
            </w:r>
          </w:p>
        </w:tc>
        <w:tc>
          <w:tcPr>
            <w:tcW w:w="1384"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17004EBF"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41,7</w:t>
            </w:r>
          </w:p>
        </w:tc>
      </w:tr>
      <w:tr w:rsidR="008D5523" w:rsidRPr="00E86EF9" w14:paraId="23FE43A4" w14:textId="77777777" w:rsidTr="00C0403B">
        <w:trPr>
          <w:cantSplit/>
          <w:tblHeader/>
          <w:jc w:val="center"/>
        </w:trPr>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15050569"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130</w:t>
            </w:r>
          </w:p>
        </w:tc>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7CAD46C3"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27</w:t>
            </w:r>
          </w:p>
        </w:tc>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1E80B1D6"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8,8</w:t>
            </w:r>
          </w:p>
        </w:tc>
        <w:tc>
          <w:tcPr>
            <w:tcW w:w="1384"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4A33101F"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50,5</w:t>
            </w:r>
          </w:p>
        </w:tc>
      </w:tr>
      <w:tr w:rsidR="008D5523" w:rsidRPr="00E86EF9" w14:paraId="0A732B44" w14:textId="77777777" w:rsidTr="00C0403B">
        <w:trPr>
          <w:cantSplit/>
          <w:tblHeader/>
          <w:jc w:val="center"/>
        </w:trPr>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6C759DE7"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150</w:t>
            </w:r>
          </w:p>
        </w:tc>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77379103"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27</w:t>
            </w:r>
          </w:p>
        </w:tc>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29C32816"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8,8</w:t>
            </w:r>
          </w:p>
        </w:tc>
        <w:tc>
          <w:tcPr>
            <w:tcW w:w="1384"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3EE5A18B"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59,3</w:t>
            </w:r>
          </w:p>
        </w:tc>
      </w:tr>
      <w:tr w:rsidR="008D5523" w:rsidRPr="00E86EF9" w14:paraId="1FDBF8B8" w14:textId="77777777" w:rsidTr="00C0403B">
        <w:trPr>
          <w:cantSplit/>
          <w:tblHeader/>
          <w:jc w:val="center"/>
        </w:trPr>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7F4F740A"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170</w:t>
            </w:r>
          </w:p>
        </w:tc>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2623A782"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27</w:t>
            </w:r>
          </w:p>
        </w:tc>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40DDF414"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8,8</w:t>
            </w:r>
          </w:p>
        </w:tc>
        <w:tc>
          <w:tcPr>
            <w:tcW w:w="1384"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1DE9728B"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68,1</w:t>
            </w:r>
          </w:p>
        </w:tc>
      </w:tr>
      <w:tr w:rsidR="008D5523" w:rsidRPr="00E86EF9" w14:paraId="05DF5A1C" w14:textId="77777777" w:rsidTr="00C0403B">
        <w:trPr>
          <w:cantSplit/>
          <w:tblHeader/>
          <w:jc w:val="center"/>
        </w:trPr>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54E1637D"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175</w:t>
            </w:r>
          </w:p>
        </w:tc>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65B29889"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23</w:t>
            </w:r>
          </w:p>
        </w:tc>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0F92AFB7"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7,5</w:t>
            </w:r>
          </w:p>
        </w:tc>
        <w:tc>
          <w:tcPr>
            <w:tcW w:w="1384"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096BC132"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75,6</w:t>
            </w:r>
          </w:p>
        </w:tc>
      </w:tr>
      <w:tr w:rsidR="008D5523" w:rsidRPr="00E86EF9" w14:paraId="276E2F85" w14:textId="77777777" w:rsidTr="00C0403B">
        <w:trPr>
          <w:cantSplit/>
          <w:tblHeader/>
          <w:jc w:val="center"/>
        </w:trPr>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64908776"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190</w:t>
            </w:r>
          </w:p>
        </w:tc>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17A9A8EA"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25</w:t>
            </w:r>
          </w:p>
        </w:tc>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62C1D3D3"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8,1</w:t>
            </w:r>
          </w:p>
        </w:tc>
        <w:tc>
          <w:tcPr>
            <w:tcW w:w="1384"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40E8360C"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83,7</w:t>
            </w:r>
          </w:p>
        </w:tc>
      </w:tr>
      <w:tr w:rsidR="008D5523" w:rsidRPr="00E86EF9" w14:paraId="17F06A0B" w14:textId="77777777" w:rsidTr="00C0403B">
        <w:trPr>
          <w:cantSplit/>
          <w:tblHeader/>
          <w:jc w:val="center"/>
        </w:trPr>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4921CDE5"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210</w:t>
            </w:r>
          </w:p>
        </w:tc>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30E49618"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25</w:t>
            </w:r>
          </w:p>
        </w:tc>
        <w:tc>
          <w:tcPr>
            <w:tcW w:w="1173"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4C5EF0A2"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8,1</w:t>
            </w:r>
          </w:p>
        </w:tc>
        <w:tc>
          <w:tcPr>
            <w:tcW w:w="1384" w:type="dxa"/>
            <w:tcBorders>
              <w:top w:val="nil"/>
              <w:left w:val="single" w:sz="4" w:space="0" w:color="auto"/>
              <w:bottom w:val="nil"/>
              <w:right w:val="single" w:sz="4" w:space="0" w:color="auto"/>
            </w:tcBorders>
            <w:shd w:val="clear" w:color="auto" w:fill="FFFFFF"/>
            <w:tcMar>
              <w:top w:w="30" w:type="dxa"/>
              <w:left w:w="30" w:type="dxa"/>
              <w:bottom w:w="30" w:type="dxa"/>
              <w:right w:w="30" w:type="dxa"/>
            </w:tcMar>
            <w:vAlign w:val="center"/>
          </w:tcPr>
          <w:p w14:paraId="71424F7D"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91,9</w:t>
            </w:r>
          </w:p>
        </w:tc>
      </w:tr>
      <w:tr w:rsidR="008D5523" w:rsidRPr="00E86EF9" w14:paraId="4D571973" w14:textId="77777777" w:rsidTr="00C0403B">
        <w:trPr>
          <w:cantSplit/>
          <w:tblHeader/>
          <w:jc w:val="center"/>
        </w:trPr>
        <w:tc>
          <w:tcPr>
            <w:tcW w:w="1173" w:type="dxa"/>
            <w:tcBorders>
              <w:top w:val="nil"/>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14:paraId="7D20F6BE"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230</w:t>
            </w:r>
          </w:p>
        </w:tc>
        <w:tc>
          <w:tcPr>
            <w:tcW w:w="1173" w:type="dxa"/>
            <w:tcBorders>
              <w:top w:val="nil"/>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14:paraId="74A6D38D"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25</w:t>
            </w:r>
          </w:p>
        </w:tc>
        <w:tc>
          <w:tcPr>
            <w:tcW w:w="1173" w:type="dxa"/>
            <w:tcBorders>
              <w:top w:val="nil"/>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14:paraId="3F0EC43B"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8,1</w:t>
            </w:r>
          </w:p>
        </w:tc>
        <w:tc>
          <w:tcPr>
            <w:tcW w:w="1384" w:type="dxa"/>
            <w:tcBorders>
              <w:top w:val="nil"/>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14:paraId="348AD696"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100,0</w:t>
            </w:r>
          </w:p>
        </w:tc>
      </w:tr>
      <w:tr w:rsidR="008D5523" w:rsidRPr="00E86EF9" w14:paraId="51272DCF" w14:textId="77777777" w:rsidTr="00C0403B">
        <w:trPr>
          <w:cantSplit/>
          <w:jc w:val="center"/>
        </w:trPr>
        <w:tc>
          <w:tcPr>
            <w:tcW w:w="1173" w:type="dxa"/>
            <w:tcBorders>
              <w:top w:val="single" w:sz="4" w:space="0" w:color="auto"/>
            </w:tcBorders>
            <w:shd w:val="clear" w:color="auto" w:fill="FFFFFF"/>
            <w:tcMar>
              <w:top w:w="30" w:type="dxa"/>
              <w:left w:w="30" w:type="dxa"/>
              <w:bottom w:w="30" w:type="dxa"/>
              <w:right w:w="30" w:type="dxa"/>
            </w:tcMar>
            <w:vAlign w:val="center"/>
          </w:tcPr>
          <w:p w14:paraId="21782C44"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Total</w:t>
            </w:r>
          </w:p>
        </w:tc>
        <w:tc>
          <w:tcPr>
            <w:tcW w:w="1173" w:type="dxa"/>
            <w:tcBorders>
              <w:top w:val="single" w:sz="4" w:space="0" w:color="auto"/>
            </w:tcBorders>
            <w:shd w:val="clear" w:color="auto" w:fill="FFFFFF"/>
            <w:tcMar>
              <w:top w:w="30" w:type="dxa"/>
              <w:left w:w="30" w:type="dxa"/>
              <w:bottom w:w="30" w:type="dxa"/>
              <w:right w:w="30" w:type="dxa"/>
            </w:tcMar>
            <w:vAlign w:val="center"/>
          </w:tcPr>
          <w:p w14:paraId="1A46FE3A"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307</w:t>
            </w:r>
          </w:p>
        </w:tc>
        <w:tc>
          <w:tcPr>
            <w:tcW w:w="1173" w:type="dxa"/>
            <w:tcBorders>
              <w:top w:val="single" w:sz="4" w:space="0" w:color="auto"/>
            </w:tcBorders>
            <w:shd w:val="clear" w:color="auto" w:fill="FFFFFF"/>
            <w:tcMar>
              <w:top w:w="30" w:type="dxa"/>
              <w:left w:w="30" w:type="dxa"/>
              <w:bottom w:w="30" w:type="dxa"/>
              <w:right w:w="30" w:type="dxa"/>
            </w:tcMar>
            <w:vAlign w:val="center"/>
          </w:tcPr>
          <w:p w14:paraId="3093C286" w14:textId="77777777" w:rsidR="008D5523" w:rsidRPr="00E86EF9" w:rsidRDefault="008D5523" w:rsidP="00C0403B">
            <w:pPr>
              <w:spacing w:after="100" w:afterAutospacing="1" w:line="240" w:lineRule="auto"/>
              <w:jc w:val="center"/>
              <w:rPr>
                <w:rFonts w:cs="Arial"/>
                <w:sz w:val="18"/>
                <w:szCs w:val="18"/>
                <w:lang w:val="es-MX"/>
              </w:rPr>
            </w:pPr>
            <w:r w:rsidRPr="00E86EF9">
              <w:rPr>
                <w:rFonts w:cs="Arial"/>
                <w:sz w:val="18"/>
                <w:szCs w:val="18"/>
                <w:lang w:val="es-MX"/>
              </w:rPr>
              <w:t>100,0</w:t>
            </w:r>
          </w:p>
        </w:tc>
        <w:tc>
          <w:tcPr>
            <w:tcW w:w="1384" w:type="dxa"/>
            <w:tcBorders>
              <w:top w:val="single" w:sz="4" w:space="0" w:color="auto"/>
            </w:tcBorders>
            <w:shd w:val="clear" w:color="auto" w:fill="FFFFFF"/>
            <w:tcMar>
              <w:top w:w="30" w:type="dxa"/>
              <w:left w:w="30" w:type="dxa"/>
              <w:bottom w:w="30" w:type="dxa"/>
              <w:right w:w="30" w:type="dxa"/>
            </w:tcMar>
            <w:vAlign w:val="center"/>
          </w:tcPr>
          <w:p w14:paraId="2F9A6526" w14:textId="77777777" w:rsidR="008D5523" w:rsidRPr="00E86EF9" w:rsidRDefault="008D5523" w:rsidP="00C0403B">
            <w:pPr>
              <w:spacing w:after="100" w:afterAutospacing="1" w:line="240" w:lineRule="auto"/>
              <w:jc w:val="center"/>
              <w:rPr>
                <w:rFonts w:cs="Arial"/>
                <w:sz w:val="18"/>
                <w:szCs w:val="18"/>
                <w:lang w:val="es-MX"/>
              </w:rPr>
            </w:pPr>
          </w:p>
        </w:tc>
      </w:tr>
    </w:tbl>
    <w:p w14:paraId="67153138" w14:textId="77777777" w:rsidR="008D5523" w:rsidRPr="00C92D1F" w:rsidRDefault="008D5523" w:rsidP="008D5523">
      <w:pPr>
        <w:spacing w:after="0" w:line="240" w:lineRule="auto"/>
        <w:ind w:left="567"/>
        <w:rPr>
          <w:rFonts w:cs="Arial"/>
          <w:sz w:val="16"/>
          <w:szCs w:val="16"/>
          <w:lang w:val="es-MX"/>
        </w:rPr>
      </w:pPr>
      <w:r w:rsidRPr="00C92D1F">
        <w:rPr>
          <w:rFonts w:cs="Arial"/>
          <w:sz w:val="16"/>
          <w:szCs w:val="16"/>
          <w:lang w:val="es-MX"/>
        </w:rPr>
        <w:t xml:space="preserve">FUENTE: </w:t>
      </w:r>
      <w:r w:rsidRPr="00FA7931">
        <w:rPr>
          <w:rFonts w:cs="Arial"/>
          <w:sz w:val="16"/>
          <w:szCs w:val="16"/>
          <w:lang w:val="es-MX"/>
        </w:rPr>
        <w:t>INFORME: EVALUACIÓN SOCIOECONÓMICA DE UN PROYECTO DE AMPLIACIÓN DE LA RED DE DESAGÜE CLOACAL</w:t>
      </w:r>
      <w:r>
        <w:rPr>
          <w:rFonts w:cs="Arial"/>
          <w:sz w:val="16"/>
          <w:szCs w:val="16"/>
          <w:lang w:val="es-MX"/>
        </w:rPr>
        <w:t xml:space="preserve"> – ANEXO 3</w:t>
      </w:r>
    </w:p>
    <w:p w14:paraId="330E1513" w14:textId="77777777" w:rsidR="008D5523" w:rsidRDefault="008D5523" w:rsidP="008D5523">
      <w:pPr>
        <w:spacing w:after="0" w:line="240" w:lineRule="auto"/>
        <w:rPr>
          <w:rFonts w:cs="Arial"/>
          <w:lang w:val="es-MX"/>
        </w:rPr>
      </w:pPr>
    </w:p>
    <w:p w14:paraId="3E4B4AAD" w14:textId="77777777" w:rsidR="008D5523" w:rsidRPr="003E37AB" w:rsidRDefault="008D5523" w:rsidP="00C4100D">
      <w:pPr>
        <w:pStyle w:val="Heading1"/>
        <w:numPr>
          <w:ilvl w:val="0"/>
          <w:numId w:val="72"/>
        </w:numPr>
      </w:pPr>
      <w:bookmarkStart w:id="1117" w:name="_Toc450205727"/>
      <w:bookmarkStart w:id="1118" w:name="_Toc450320430"/>
      <w:bookmarkStart w:id="1119" w:name="_Toc479892509"/>
      <w:bookmarkStart w:id="1120" w:name="_Toc484985204"/>
      <w:bookmarkStart w:id="1121" w:name="_Toc485027089"/>
      <w:bookmarkStart w:id="1122" w:name="_Toc485200271"/>
      <w:r>
        <w:t xml:space="preserve">Análisis </w:t>
      </w:r>
      <w:r w:rsidRPr="008124FC">
        <w:t>de</w:t>
      </w:r>
      <w:r>
        <w:t xml:space="preserve"> febrero 2012 - </w:t>
      </w:r>
      <w:r w:rsidRPr="003E37AB">
        <w:t>Resultados arrojados por el análisis econométrico</w:t>
      </w:r>
      <w:bookmarkEnd w:id="1117"/>
      <w:bookmarkEnd w:id="1118"/>
      <w:bookmarkEnd w:id="1119"/>
      <w:bookmarkEnd w:id="1120"/>
      <w:bookmarkEnd w:id="1121"/>
      <w:bookmarkEnd w:id="1122"/>
    </w:p>
    <w:p w14:paraId="697CA157" w14:textId="77777777" w:rsidR="008D5523" w:rsidRDefault="008D5523" w:rsidP="008D5523">
      <w:pPr>
        <w:rPr>
          <w:lang w:val="es-MX"/>
        </w:rPr>
      </w:pPr>
      <w:r w:rsidRPr="002D7ADA">
        <w:rPr>
          <w:lang w:val="es-MX"/>
        </w:rPr>
        <w:t>La ecuación seleccionada para reflejar la</w:t>
      </w:r>
      <w:r>
        <w:rPr>
          <w:lang w:val="es-MX"/>
        </w:rPr>
        <w:t>s</w:t>
      </w:r>
      <w:r w:rsidRPr="002D7ADA">
        <w:rPr>
          <w:lang w:val="es-MX"/>
        </w:rPr>
        <w:t xml:space="preserve"> respuesta</w:t>
      </w:r>
      <w:r>
        <w:rPr>
          <w:lang w:val="es-MX"/>
        </w:rPr>
        <w:t>s</w:t>
      </w:r>
      <w:r w:rsidRPr="002D7ADA">
        <w:rPr>
          <w:lang w:val="es-MX"/>
        </w:rPr>
        <w:t xml:space="preserve"> por la afirmativa o la negativa a pagar cierto importe mensual por el servicio de cloaca por red (metodología de valuación contingente) fue estimada por el método de máxima verosimilitud, </w:t>
      </w:r>
      <w:r>
        <w:rPr>
          <w:lang w:val="es-MX"/>
        </w:rPr>
        <w:t xml:space="preserve">que </w:t>
      </w:r>
      <w:r w:rsidRPr="002D7ADA">
        <w:rPr>
          <w:lang w:val="es-MX"/>
        </w:rPr>
        <w:t>demostró predicción correcta global del 90,5% de los casos y retuvo las siguientes variables explicativas:</w:t>
      </w:r>
    </w:p>
    <w:p w14:paraId="6D468648" w14:textId="77777777" w:rsidR="008D5523" w:rsidRDefault="008D5523" w:rsidP="00C4100D">
      <w:pPr>
        <w:numPr>
          <w:ilvl w:val="0"/>
          <w:numId w:val="62"/>
        </w:numPr>
        <w:spacing w:before="120" w:after="120" w:line="360" w:lineRule="auto"/>
        <w:rPr>
          <w:lang w:val="es-MX"/>
        </w:rPr>
      </w:pPr>
      <w:r>
        <w:rPr>
          <w:lang w:val="es-MX"/>
        </w:rPr>
        <w:t>p</w:t>
      </w:r>
      <w:r w:rsidRPr="00410595">
        <w:rPr>
          <w:lang w:val="es-MX"/>
        </w:rPr>
        <w:t>recio (importe mensual)</w:t>
      </w:r>
      <w:r>
        <w:rPr>
          <w:lang w:val="es-MX"/>
        </w:rPr>
        <w:t>;</w:t>
      </w:r>
    </w:p>
    <w:p w14:paraId="459A65C7" w14:textId="77777777" w:rsidR="008D5523" w:rsidRDefault="008D5523" w:rsidP="00C4100D">
      <w:pPr>
        <w:numPr>
          <w:ilvl w:val="0"/>
          <w:numId w:val="62"/>
        </w:numPr>
        <w:spacing w:before="120" w:after="120" w:line="360" w:lineRule="auto"/>
        <w:rPr>
          <w:lang w:val="es-MX"/>
        </w:rPr>
      </w:pPr>
      <w:r>
        <w:rPr>
          <w:lang w:val="es-MX"/>
        </w:rPr>
        <w:t>i</w:t>
      </w:r>
      <w:r w:rsidRPr="00410595">
        <w:rPr>
          <w:lang w:val="es-MX"/>
        </w:rPr>
        <w:t>ngresos (ingreso familiar mensual);</w:t>
      </w:r>
    </w:p>
    <w:p w14:paraId="4F3F533E" w14:textId="77777777" w:rsidR="008D5523" w:rsidRDefault="008D5523" w:rsidP="00C4100D">
      <w:pPr>
        <w:numPr>
          <w:ilvl w:val="0"/>
          <w:numId w:val="62"/>
        </w:numPr>
        <w:spacing w:before="120" w:after="120" w:line="360" w:lineRule="auto"/>
        <w:rPr>
          <w:lang w:val="es-MX"/>
        </w:rPr>
      </w:pPr>
      <w:r>
        <w:rPr>
          <w:lang w:val="es-MX"/>
        </w:rPr>
        <w:t>p</w:t>
      </w:r>
      <w:r w:rsidRPr="00410595">
        <w:rPr>
          <w:lang w:val="es-MX"/>
        </w:rPr>
        <w:t>roblemasX3, resultado de la multiplicación de las variables "problemas graves producidos por la contaminación por excrementos", "molestias o problemas a consecuencia del pozo ciego o cámara séptica" y "situaciones de la vida diaria condicionadas por la falta de acceso a la red de desagües cloacales";</w:t>
      </w:r>
    </w:p>
    <w:p w14:paraId="4B694418" w14:textId="77777777" w:rsidR="008D5523" w:rsidRDefault="008D5523" w:rsidP="00C4100D">
      <w:pPr>
        <w:numPr>
          <w:ilvl w:val="0"/>
          <w:numId w:val="62"/>
        </w:numPr>
        <w:spacing w:before="120" w:after="120" w:line="360" w:lineRule="auto"/>
        <w:rPr>
          <w:lang w:val="es-MX"/>
        </w:rPr>
      </w:pPr>
      <w:r>
        <w:rPr>
          <w:lang w:val="es-MX"/>
        </w:rPr>
        <w:t>e</w:t>
      </w:r>
      <w:r w:rsidRPr="00410595">
        <w:rPr>
          <w:lang w:val="es-MX"/>
        </w:rPr>
        <w:t>duc</w:t>
      </w:r>
      <w:r>
        <w:rPr>
          <w:lang w:val="es-MX"/>
        </w:rPr>
        <w:t>ación</w:t>
      </w:r>
      <w:r w:rsidRPr="00410595">
        <w:rPr>
          <w:lang w:val="es-MX"/>
        </w:rPr>
        <w:t>, variable binaria con valor 0 para los casos en los cuales el máximo nivel de educación alcanzado por el encuestado es a lo sumo secundario completo, 1 de otro modo;</w:t>
      </w:r>
    </w:p>
    <w:p w14:paraId="20662D01" w14:textId="77777777" w:rsidR="008D5523" w:rsidRDefault="008D5523" w:rsidP="00C4100D">
      <w:pPr>
        <w:numPr>
          <w:ilvl w:val="0"/>
          <w:numId w:val="62"/>
        </w:numPr>
        <w:spacing w:before="120" w:after="120" w:line="360" w:lineRule="auto"/>
        <w:rPr>
          <w:lang w:val="es-MX"/>
        </w:rPr>
      </w:pPr>
      <w:r w:rsidRPr="00410595">
        <w:rPr>
          <w:lang w:val="es-MX"/>
        </w:rPr>
        <w:t>S</w:t>
      </w:r>
      <w:r>
        <w:rPr>
          <w:lang w:val="es-MX"/>
        </w:rPr>
        <w:t xml:space="preserve">an </w:t>
      </w:r>
      <w:r w:rsidRPr="00410595">
        <w:rPr>
          <w:lang w:val="es-MX"/>
        </w:rPr>
        <w:t>Isidro, variable binaria con valor 1 para las encuestas realizadas en est</w:t>
      </w:r>
      <w:r>
        <w:rPr>
          <w:lang w:val="es-MX"/>
        </w:rPr>
        <w:t>e</w:t>
      </w:r>
      <w:r w:rsidRPr="00410595">
        <w:rPr>
          <w:lang w:val="es-MX"/>
        </w:rPr>
        <w:t xml:space="preserve"> </w:t>
      </w:r>
      <w:r>
        <w:rPr>
          <w:lang w:val="es-MX"/>
        </w:rPr>
        <w:t>partido</w:t>
      </w:r>
      <w:r w:rsidRPr="00410595">
        <w:rPr>
          <w:lang w:val="es-MX"/>
        </w:rPr>
        <w:t>, 0 para el resto;</w:t>
      </w:r>
    </w:p>
    <w:p w14:paraId="0AD94281" w14:textId="77777777" w:rsidR="008D5523" w:rsidRDefault="008D5523" w:rsidP="00C4100D">
      <w:pPr>
        <w:numPr>
          <w:ilvl w:val="0"/>
          <w:numId w:val="62"/>
        </w:numPr>
        <w:spacing w:before="120" w:after="120" w:line="360" w:lineRule="auto"/>
        <w:rPr>
          <w:lang w:val="es-MX"/>
        </w:rPr>
      </w:pPr>
      <w:r>
        <w:rPr>
          <w:lang w:val="es-MX"/>
        </w:rPr>
        <w:t>c</w:t>
      </w:r>
      <w:r w:rsidRPr="00366D67">
        <w:rPr>
          <w:lang w:val="es-MX"/>
        </w:rPr>
        <w:t>onfort se refiere a los servicios adicionales e incluye recolección de basura, gas natural por red, televisión por cable y teléfono fijo.</w:t>
      </w:r>
    </w:p>
    <w:p w14:paraId="4BD8F8BF" w14:textId="77777777" w:rsidR="008D5523" w:rsidRPr="00366D67" w:rsidRDefault="008D5523" w:rsidP="008D5523">
      <w:pPr>
        <w:rPr>
          <w:lang w:val="es-MX"/>
        </w:rPr>
      </w:pPr>
      <w:r w:rsidRPr="00366D67">
        <w:rPr>
          <w:lang w:val="es-MX"/>
        </w:rPr>
        <w:t xml:space="preserve">La variable problemas graves producidos por la contaminación por excrementos fue construida a partir de las respuestas a la pregunta </w:t>
      </w:r>
      <w:r>
        <w:rPr>
          <w:lang w:val="es-MX"/>
        </w:rPr>
        <w:t xml:space="preserve">de opciones múltiples “¿Los siguientes problemas producidos por la contaminación de excrementos son graves?” La variable es calculada como la sumatoria de problemas graves seleccionados por el encuestado y adopta valores de 0 a 11 con un valor medio de 6,96. </w:t>
      </w:r>
    </w:p>
    <w:p w14:paraId="5DCBA5D4" w14:textId="77777777" w:rsidR="008D5523" w:rsidRPr="002D7ADA" w:rsidRDefault="008D5523" w:rsidP="008D5523">
      <w:pPr>
        <w:rPr>
          <w:lang w:val="es-MX"/>
        </w:rPr>
      </w:pPr>
      <w:r w:rsidRPr="002D7ADA">
        <w:rPr>
          <w:lang w:val="es-MX"/>
        </w:rPr>
        <w:t>La variable molestias o problemas a consecuencia del pozo ciego o cámara séptica refleja el número de respuestas a la pregunta</w:t>
      </w:r>
      <w:r>
        <w:rPr>
          <w:lang w:val="es-MX"/>
        </w:rPr>
        <w:t xml:space="preserve"> “¿Cuáles de las siguientes molestias o problemas se le han presentado a consecuencia de su pozo ciego o cámara séptica en los últimos doce meses?”. Toma valores de 0 a 7 y posee un valor medio de 1,89.</w:t>
      </w:r>
    </w:p>
    <w:p w14:paraId="68A5AC2D" w14:textId="77777777" w:rsidR="008D5523" w:rsidRDefault="008D5523" w:rsidP="008D5523">
      <w:pPr>
        <w:rPr>
          <w:lang w:val="es-MX"/>
        </w:rPr>
      </w:pPr>
      <w:r w:rsidRPr="002D7ADA">
        <w:rPr>
          <w:lang w:val="es-MX"/>
        </w:rPr>
        <w:t xml:space="preserve">La variable situaciones de la vida diaria condicionadas por la falta de acceso a la red de desagües cloacales </w:t>
      </w:r>
      <w:r>
        <w:rPr>
          <w:lang w:val="es-MX"/>
        </w:rPr>
        <w:t xml:space="preserve">(en el consumo de agua potable, en el enjuague de ropa, en el lavado de pisos o en el número de descargas del baño) toma valores de 1 a 4 y su media es cercana a 3. </w:t>
      </w:r>
    </w:p>
    <w:p w14:paraId="36CB2559" w14:textId="77777777" w:rsidR="008D5523" w:rsidRDefault="008D5523" w:rsidP="008D5523">
      <w:pPr>
        <w:rPr>
          <w:lang w:val="es-MX"/>
        </w:rPr>
      </w:pPr>
      <w:r w:rsidRPr="002D7ADA">
        <w:rPr>
          <w:lang w:val="es-MX"/>
        </w:rPr>
        <w:t xml:space="preserve">En base a las mismas, </w:t>
      </w:r>
      <w:r>
        <w:rPr>
          <w:lang w:val="es-MX"/>
        </w:rPr>
        <w:t xml:space="preserve">se estimó </w:t>
      </w:r>
      <w:r w:rsidRPr="002D7ADA">
        <w:rPr>
          <w:lang w:val="es-MX"/>
        </w:rPr>
        <w:t>la variable problemasX3</w:t>
      </w:r>
      <w:r>
        <w:rPr>
          <w:lang w:val="es-MX"/>
        </w:rPr>
        <w:t xml:space="preserve"> con valores que oscilan entre 0 y 308 y un valor medio de 44,3.</w:t>
      </w:r>
    </w:p>
    <w:p w14:paraId="2A64897F" w14:textId="77777777" w:rsidR="008D5523" w:rsidRPr="002D7ADA" w:rsidRDefault="008D5523" w:rsidP="008D5523">
      <w:pPr>
        <w:rPr>
          <w:lang w:val="es-MX"/>
        </w:rPr>
      </w:pPr>
      <w:r w:rsidRPr="002D7ADA">
        <w:rPr>
          <w:lang w:val="es-MX"/>
        </w:rPr>
        <w:t>La ecuación seleccionada es la siguiente:</w:t>
      </w:r>
    </w:p>
    <w:p w14:paraId="6DFB8F85" w14:textId="77777777" w:rsidR="008D5523" w:rsidRDefault="008D5523" w:rsidP="008D5523">
      <w:pPr>
        <w:spacing w:after="0" w:line="240" w:lineRule="auto"/>
        <w:rPr>
          <w:rFonts w:cs="Arial"/>
          <w:lang w:val="es-MX"/>
        </w:rPr>
      </w:pPr>
    </w:p>
    <w:p w14:paraId="66BDDEF8" w14:textId="77777777" w:rsidR="008D5523" w:rsidRDefault="008D5523" w:rsidP="008D5523">
      <w:pPr>
        <w:spacing w:after="0" w:line="240" w:lineRule="auto"/>
        <w:rPr>
          <w:rFonts w:cs="Arial"/>
          <w:lang w:val="es-MX"/>
        </w:rPr>
      </w:pPr>
      <w:r w:rsidRPr="002D7ADA">
        <w:rPr>
          <w:rFonts w:cs="Arial"/>
          <w:lang w:val="es-MX"/>
        </w:rPr>
        <w:t>Prob01 = 3,068 – 0,036 x Precio + 0,001 x Ingresos + 0,01 x ProblemasX3 -2,434 x S</w:t>
      </w:r>
      <w:r>
        <w:rPr>
          <w:rFonts w:cs="Arial"/>
          <w:lang w:val="es-MX"/>
        </w:rPr>
        <w:t xml:space="preserve">an </w:t>
      </w:r>
      <w:r w:rsidRPr="002D7ADA">
        <w:rPr>
          <w:rFonts w:cs="Arial"/>
          <w:lang w:val="es-MX"/>
        </w:rPr>
        <w:t>Isidro + 2,130 x Educ</w:t>
      </w:r>
      <w:r>
        <w:rPr>
          <w:rFonts w:cs="Arial"/>
          <w:lang w:val="es-MX"/>
        </w:rPr>
        <w:t>ación</w:t>
      </w:r>
      <w:r w:rsidRPr="002D7ADA">
        <w:rPr>
          <w:rFonts w:cs="Arial"/>
          <w:lang w:val="es-MX"/>
        </w:rPr>
        <w:t xml:space="preserve"> + 0,99 x Confort</w:t>
      </w:r>
    </w:p>
    <w:p w14:paraId="1D1FC176" w14:textId="77777777" w:rsidR="008D5523" w:rsidRDefault="008D5523" w:rsidP="008D5523">
      <w:pPr>
        <w:rPr>
          <w:lang w:val="es-MX"/>
        </w:rPr>
      </w:pPr>
    </w:p>
    <w:p w14:paraId="664D9EE3" w14:textId="77777777" w:rsidR="008D5523" w:rsidRDefault="008D5523" w:rsidP="008D5523">
      <w:pPr>
        <w:rPr>
          <w:rFonts w:cs="Arial"/>
          <w:lang w:val="es-MX"/>
        </w:rPr>
      </w:pPr>
      <w:r w:rsidRPr="002D7ADA">
        <w:rPr>
          <w:rFonts w:cs="Arial"/>
          <w:lang w:val="es-MX"/>
        </w:rPr>
        <w:t>El test global Chi-square alcanza un valor para el estadístico que refleja la significatividad del modelo como un todo para explicar la disposición a pagar, con las 6 variables explicativas reseñadas.</w:t>
      </w:r>
    </w:p>
    <w:p w14:paraId="4AD54E32" w14:textId="77777777" w:rsidR="008D5523" w:rsidRPr="001E761E" w:rsidRDefault="008D5523" w:rsidP="008D5523">
      <w:pPr>
        <w:jc w:val="center"/>
        <w:rPr>
          <w:b/>
          <w:lang w:val="es-MX"/>
        </w:rPr>
      </w:pPr>
      <w:r w:rsidRPr="001E761E">
        <w:rPr>
          <w:b/>
          <w:lang w:val="es-MX"/>
        </w:rPr>
        <w:t>PRUEBA OMNIBUS DEL MODELO DE LOS COEFICIENTES</w:t>
      </w:r>
    </w:p>
    <w:tbl>
      <w:tblPr>
        <w:tblW w:w="3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348"/>
        <w:gridCol w:w="1105"/>
        <w:gridCol w:w="1107"/>
      </w:tblGrid>
      <w:tr w:rsidR="008D5523" w:rsidRPr="00410595" w14:paraId="729E60F4" w14:textId="77777777" w:rsidTr="00C0403B">
        <w:trPr>
          <w:cantSplit/>
          <w:tblHeader/>
          <w:jc w:val="center"/>
        </w:trPr>
        <w:tc>
          <w:tcPr>
            <w:tcW w:w="1348" w:type="dxa"/>
            <w:shd w:val="clear" w:color="auto" w:fill="FFFFFF"/>
            <w:tcMar>
              <w:top w:w="30" w:type="dxa"/>
              <w:left w:w="30" w:type="dxa"/>
              <w:bottom w:w="30" w:type="dxa"/>
              <w:right w:w="30" w:type="dxa"/>
            </w:tcMar>
            <w:vAlign w:val="center"/>
          </w:tcPr>
          <w:p w14:paraId="7425A4EF" w14:textId="77777777" w:rsidR="008D5523" w:rsidRPr="00410595" w:rsidRDefault="008D5523" w:rsidP="00C0403B">
            <w:pPr>
              <w:spacing w:after="100" w:afterAutospacing="1" w:line="240" w:lineRule="auto"/>
              <w:jc w:val="center"/>
              <w:rPr>
                <w:rFonts w:cs="Arial"/>
                <w:sz w:val="20"/>
                <w:szCs w:val="20"/>
                <w:lang w:val="es-MX"/>
              </w:rPr>
            </w:pPr>
            <w:r w:rsidRPr="00410595">
              <w:rPr>
                <w:rFonts w:cs="Arial"/>
                <w:sz w:val="20"/>
                <w:szCs w:val="20"/>
                <w:lang w:val="es-MX"/>
              </w:rPr>
              <w:t>Chi-square</w:t>
            </w:r>
          </w:p>
        </w:tc>
        <w:tc>
          <w:tcPr>
            <w:tcW w:w="1105" w:type="dxa"/>
            <w:shd w:val="clear" w:color="auto" w:fill="FFFFFF"/>
            <w:tcMar>
              <w:top w:w="30" w:type="dxa"/>
              <w:left w:w="30" w:type="dxa"/>
              <w:bottom w:w="30" w:type="dxa"/>
              <w:right w:w="30" w:type="dxa"/>
            </w:tcMar>
            <w:vAlign w:val="center"/>
          </w:tcPr>
          <w:p w14:paraId="63355DAF" w14:textId="77777777" w:rsidR="008D5523" w:rsidRPr="00410595" w:rsidRDefault="008D5523" w:rsidP="00C0403B">
            <w:pPr>
              <w:spacing w:after="100" w:afterAutospacing="1" w:line="240" w:lineRule="auto"/>
              <w:jc w:val="center"/>
              <w:rPr>
                <w:rFonts w:cs="Arial"/>
                <w:sz w:val="20"/>
                <w:szCs w:val="20"/>
                <w:lang w:val="es-MX"/>
              </w:rPr>
            </w:pPr>
            <w:r w:rsidRPr="00410595">
              <w:rPr>
                <w:rFonts w:cs="Arial"/>
                <w:sz w:val="20"/>
                <w:szCs w:val="20"/>
                <w:lang w:val="es-MX"/>
              </w:rPr>
              <w:t>df</w:t>
            </w:r>
          </w:p>
        </w:tc>
        <w:tc>
          <w:tcPr>
            <w:tcW w:w="1107" w:type="dxa"/>
            <w:shd w:val="clear" w:color="auto" w:fill="FFFFFF"/>
            <w:tcMar>
              <w:top w:w="30" w:type="dxa"/>
              <w:left w:w="30" w:type="dxa"/>
              <w:bottom w:w="30" w:type="dxa"/>
              <w:right w:w="30" w:type="dxa"/>
            </w:tcMar>
            <w:vAlign w:val="center"/>
          </w:tcPr>
          <w:p w14:paraId="1157DBF8" w14:textId="77777777" w:rsidR="008D5523" w:rsidRPr="00410595" w:rsidRDefault="008D5523" w:rsidP="00C0403B">
            <w:pPr>
              <w:spacing w:after="100" w:afterAutospacing="1" w:line="240" w:lineRule="auto"/>
              <w:jc w:val="center"/>
              <w:rPr>
                <w:rFonts w:cs="Arial"/>
                <w:sz w:val="20"/>
                <w:szCs w:val="20"/>
                <w:lang w:val="es-MX"/>
              </w:rPr>
            </w:pPr>
            <w:r w:rsidRPr="00410595">
              <w:rPr>
                <w:rFonts w:cs="Arial"/>
                <w:sz w:val="20"/>
                <w:szCs w:val="20"/>
                <w:lang w:val="es-MX"/>
              </w:rPr>
              <w:t>Sig.</w:t>
            </w:r>
          </w:p>
        </w:tc>
      </w:tr>
      <w:tr w:rsidR="008D5523" w:rsidRPr="00410595" w14:paraId="677DB396" w14:textId="77777777" w:rsidTr="00C0403B">
        <w:trPr>
          <w:cantSplit/>
          <w:tblHeader/>
          <w:jc w:val="center"/>
        </w:trPr>
        <w:tc>
          <w:tcPr>
            <w:tcW w:w="1348" w:type="dxa"/>
            <w:shd w:val="clear" w:color="auto" w:fill="FFFFFF"/>
            <w:tcMar>
              <w:top w:w="30" w:type="dxa"/>
              <w:left w:w="30" w:type="dxa"/>
              <w:bottom w:w="30" w:type="dxa"/>
              <w:right w:w="30" w:type="dxa"/>
            </w:tcMar>
            <w:vAlign w:val="center"/>
          </w:tcPr>
          <w:p w14:paraId="40FA62C2" w14:textId="77777777" w:rsidR="008D5523" w:rsidRPr="00410595" w:rsidRDefault="008D5523" w:rsidP="00C0403B">
            <w:pPr>
              <w:spacing w:after="100" w:afterAutospacing="1" w:line="240" w:lineRule="auto"/>
              <w:jc w:val="center"/>
              <w:rPr>
                <w:rFonts w:cs="Arial"/>
                <w:sz w:val="20"/>
                <w:szCs w:val="20"/>
                <w:lang w:val="es-MX"/>
              </w:rPr>
            </w:pPr>
            <w:r w:rsidRPr="00410595">
              <w:rPr>
                <w:rFonts w:cs="Arial"/>
                <w:sz w:val="20"/>
                <w:szCs w:val="20"/>
                <w:lang w:val="es-MX"/>
              </w:rPr>
              <w:t>156,154</w:t>
            </w:r>
          </w:p>
        </w:tc>
        <w:tc>
          <w:tcPr>
            <w:tcW w:w="1105" w:type="dxa"/>
            <w:shd w:val="clear" w:color="auto" w:fill="FFFFFF"/>
            <w:tcMar>
              <w:top w:w="30" w:type="dxa"/>
              <w:left w:w="30" w:type="dxa"/>
              <w:bottom w:w="30" w:type="dxa"/>
              <w:right w:w="30" w:type="dxa"/>
            </w:tcMar>
            <w:vAlign w:val="center"/>
          </w:tcPr>
          <w:p w14:paraId="60AB7887" w14:textId="77777777" w:rsidR="008D5523" w:rsidRPr="00410595" w:rsidRDefault="008D5523" w:rsidP="00C0403B">
            <w:pPr>
              <w:spacing w:after="100" w:afterAutospacing="1" w:line="240" w:lineRule="auto"/>
              <w:jc w:val="center"/>
              <w:rPr>
                <w:rFonts w:cs="Arial"/>
                <w:sz w:val="20"/>
                <w:szCs w:val="20"/>
                <w:lang w:val="es-MX"/>
              </w:rPr>
            </w:pPr>
            <w:r w:rsidRPr="00410595">
              <w:rPr>
                <w:rFonts w:cs="Arial"/>
                <w:sz w:val="20"/>
                <w:szCs w:val="20"/>
                <w:lang w:val="es-MX"/>
              </w:rPr>
              <w:t>6</w:t>
            </w:r>
          </w:p>
        </w:tc>
        <w:tc>
          <w:tcPr>
            <w:tcW w:w="1107" w:type="dxa"/>
            <w:shd w:val="clear" w:color="auto" w:fill="FFFFFF"/>
            <w:tcMar>
              <w:top w:w="30" w:type="dxa"/>
              <w:left w:w="30" w:type="dxa"/>
              <w:bottom w:w="30" w:type="dxa"/>
              <w:right w:w="30" w:type="dxa"/>
            </w:tcMar>
            <w:vAlign w:val="center"/>
          </w:tcPr>
          <w:p w14:paraId="2D3BBAE5" w14:textId="77777777" w:rsidR="008D5523" w:rsidRPr="00410595" w:rsidRDefault="008D5523" w:rsidP="00C0403B">
            <w:pPr>
              <w:spacing w:after="100" w:afterAutospacing="1" w:line="240" w:lineRule="auto"/>
              <w:jc w:val="center"/>
              <w:rPr>
                <w:rFonts w:cs="Arial"/>
                <w:sz w:val="20"/>
                <w:szCs w:val="20"/>
                <w:lang w:val="es-MX"/>
              </w:rPr>
            </w:pPr>
            <w:r>
              <w:rPr>
                <w:rFonts w:cs="Arial"/>
                <w:sz w:val="20"/>
                <w:szCs w:val="20"/>
                <w:lang w:val="es-MX"/>
              </w:rPr>
              <w:t>0</w:t>
            </w:r>
            <w:r w:rsidRPr="00410595">
              <w:rPr>
                <w:rFonts w:cs="Arial"/>
                <w:sz w:val="20"/>
                <w:szCs w:val="20"/>
                <w:lang w:val="es-MX"/>
              </w:rPr>
              <w:t>,000</w:t>
            </w:r>
          </w:p>
        </w:tc>
      </w:tr>
    </w:tbl>
    <w:p w14:paraId="5C5F7DDF" w14:textId="77777777" w:rsidR="008D5523" w:rsidRDefault="008D5523" w:rsidP="008D5523">
      <w:pPr>
        <w:spacing w:after="0" w:line="240" w:lineRule="auto"/>
        <w:rPr>
          <w:rFonts w:cs="Arial"/>
          <w:lang w:val="es-MX"/>
        </w:rPr>
      </w:pPr>
    </w:p>
    <w:p w14:paraId="566CC1EE" w14:textId="77777777" w:rsidR="008D5523" w:rsidRDefault="008D5523" w:rsidP="008D5523">
      <w:pPr>
        <w:rPr>
          <w:lang w:val="es-MX"/>
        </w:rPr>
      </w:pPr>
      <w:r w:rsidRPr="002D7ADA">
        <w:rPr>
          <w:lang w:val="es-MX"/>
        </w:rPr>
        <w:t>El coeficiente R2 (Nagelkerke) alcanza el 69%, valor apropiado en este tipo de estimaciones.</w:t>
      </w:r>
    </w:p>
    <w:p w14:paraId="2558B336" w14:textId="77777777" w:rsidR="008D5523" w:rsidRPr="001E761E" w:rsidRDefault="008D5523" w:rsidP="008D5523">
      <w:pPr>
        <w:jc w:val="center"/>
        <w:rPr>
          <w:b/>
          <w:lang w:val="es-MX"/>
        </w:rPr>
      </w:pPr>
      <w:r w:rsidRPr="001E761E">
        <w:rPr>
          <w:b/>
          <w:lang w:val="es-MX"/>
        </w:rPr>
        <w:t>RESUMEN DEL MODELO</w:t>
      </w:r>
    </w:p>
    <w:tbl>
      <w:tblPr>
        <w:tblW w:w="4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594"/>
        <w:gridCol w:w="1592"/>
        <w:gridCol w:w="1594"/>
      </w:tblGrid>
      <w:tr w:rsidR="008D5523" w:rsidRPr="00410595" w14:paraId="7EDF0ABF" w14:textId="77777777" w:rsidTr="00C0403B">
        <w:trPr>
          <w:cantSplit/>
          <w:tblHeader/>
          <w:jc w:val="center"/>
        </w:trPr>
        <w:tc>
          <w:tcPr>
            <w:tcW w:w="1594" w:type="dxa"/>
            <w:shd w:val="clear" w:color="auto" w:fill="FFFFFF"/>
            <w:tcMar>
              <w:top w:w="30" w:type="dxa"/>
              <w:left w:w="30" w:type="dxa"/>
              <w:bottom w:w="30" w:type="dxa"/>
              <w:right w:w="30" w:type="dxa"/>
            </w:tcMar>
            <w:vAlign w:val="center"/>
          </w:tcPr>
          <w:p w14:paraId="56DFD9BC" w14:textId="77777777" w:rsidR="008D5523" w:rsidRPr="00410595" w:rsidRDefault="008D5523" w:rsidP="00C0403B">
            <w:pPr>
              <w:spacing w:after="100" w:afterAutospacing="1" w:line="240" w:lineRule="auto"/>
              <w:jc w:val="center"/>
              <w:rPr>
                <w:rFonts w:cs="Arial"/>
                <w:sz w:val="20"/>
                <w:szCs w:val="20"/>
                <w:lang w:val="es-MX"/>
              </w:rPr>
            </w:pPr>
            <w:r w:rsidRPr="00410595">
              <w:rPr>
                <w:rFonts w:cs="Arial"/>
                <w:sz w:val="20"/>
                <w:szCs w:val="20"/>
                <w:lang w:val="es-MX"/>
              </w:rPr>
              <w:t>-2 Log likelihood</w:t>
            </w:r>
          </w:p>
        </w:tc>
        <w:tc>
          <w:tcPr>
            <w:tcW w:w="1592" w:type="dxa"/>
            <w:shd w:val="clear" w:color="auto" w:fill="FFFFFF"/>
            <w:tcMar>
              <w:top w:w="30" w:type="dxa"/>
              <w:left w:w="30" w:type="dxa"/>
              <w:bottom w:w="30" w:type="dxa"/>
              <w:right w:w="30" w:type="dxa"/>
            </w:tcMar>
            <w:vAlign w:val="center"/>
          </w:tcPr>
          <w:p w14:paraId="64B0E733" w14:textId="77777777" w:rsidR="008D5523" w:rsidRPr="00410595" w:rsidRDefault="008D5523" w:rsidP="00C0403B">
            <w:pPr>
              <w:spacing w:after="100" w:afterAutospacing="1" w:line="240" w:lineRule="auto"/>
              <w:jc w:val="center"/>
              <w:rPr>
                <w:rFonts w:cs="Arial"/>
                <w:sz w:val="20"/>
                <w:szCs w:val="20"/>
                <w:lang w:val="es-MX"/>
              </w:rPr>
            </w:pPr>
            <w:r w:rsidRPr="00410595">
              <w:rPr>
                <w:rFonts w:cs="Arial"/>
                <w:sz w:val="20"/>
                <w:szCs w:val="20"/>
                <w:lang w:val="es-MX"/>
              </w:rPr>
              <w:t>Cox &amp; Snell R Square</w:t>
            </w:r>
          </w:p>
        </w:tc>
        <w:tc>
          <w:tcPr>
            <w:tcW w:w="1594" w:type="dxa"/>
            <w:shd w:val="clear" w:color="auto" w:fill="FFFFFF"/>
            <w:tcMar>
              <w:top w:w="30" w:type="dxa"/>
              <w:left w:w="30" w:type="dxa"/>
              <w:bottom w:w="30" w:type="dxa"/>
              <w:right w:w="30" w:type="dxa"/>
            </w:tcMar>
            <w:vAlign w:val="center"/>
          </w:tcPr>
          <w:p w14:paraId="71A26A90" w14:textId="77777777" w:rsidR="008D5523" w:rsidRPr="00410595" w:rsidRDefault="008D5523" w:rsidP="00C0403B">
            <w:pPr>
              <w:spacing w:after="100" w:afterAutospacing="1" w:line="240" w:lineRule="auto"/>
              <w:jc w:val="center"/>
              <w:rPr>
                <w:rFonts w:cs="Arial"/>
                <w:sz w:val="20"/>
                <w:szCs w:val="20"/>
                <w:lang w:val="es-MX"/>
              </w:rPr>
            </w:pPr>
            <w:r w:rsidRPr="00410595">
              <w:rPr>
                <w:rFonts w:cs="Arial"/>
                <w:sz w:val="20"/>
                <w:szCs w:val="20"/>
                <w:lang w:val="es-MX"/>
              </w:rPr>
              <w:t>Nagelkerke R Square</w:t>
            </w:r>
          </w:p>
        </w:tc>
      </w:tr>
      <w:tr w:rsidR="008D5523" w:rsidRPr="00410595" w14:paraId="4D3FC1D4" w14:textId="77777777" w:rsidTr="00C0403B">
        <w:trPr>
          <w:cantSplit/>
          <w:tblHeader/>
          <w:jc w:val="center"/>
        </w:trPr>
        <w:tc>
          <w:tcPr>
            <w:tcW w:w="1594" w:type="dxa"/>
            <w:shd w:val="clear" w:color="auto" w:fill="FFFFFF"/>
            <w:tcMar>
              <w:top w:w="30" w:type="dxa"/>
              <w:left w:w="30" w:type="dxa"/>
              <w:bottom w:w="30" w:type="dxa"/>
              <w:right w:w="30" w:type="dxa"/>
            </w:tcMar>
            <w:vAlign w:val="center"/>
          </w:tcPr>
          <w:p w14:paraId="4DAC4C14" w14:textId="77777777" w:rsidR="008D5523" w:rsidRPr="00410595" w:rsidRDefault="008D5523" w:rsidP="00C0403B">
            <w:pPr>
              <w:spacing w:after="100" w:afterAutospacing="1" w:line="240" w:lineRule="auto"/>
              <w:jc w:val="center"/>
              <w:rPr>
                <w:rFonts w:cs="Arial"/>
                <w:sz w:val="20"/>
                <w:szCs w:val="20"/>
                <w:lang w:val="es-MX"/>
              </w:rPr>
            </w:pPr>
            <w:r w:rsidRPr="00410595">
              <w:rPr>
                <w:rFonts w:cs="Arial"/>
                <w:sz w:val="20"/>
                <w:szCs w:val="20"/>
                <w:lang w:val="es-MX"/>
              </w:rPr>
              <w:t>136,384a</w:t>
            </w:r>
          </w:p>
        </w:tc>
        <w:tc>
          <w:tcPr>
            <w:tcW w:w="1592" w:type="dxa"/>
            <w:shd w:val="clear" w:color="auto" w:fill="FFFFFF"/>
            <w:tcMar>
              <w:top w:w="30" w:type="dxa"/>
              <w:left w:w="30" w:type="dxa"/>
              <w:bottom w:w="30" w:type="dxa"/>
              <w:right w:w="30" w:type="dxa"/>
            </w:tcMar>
            <w:vAlign w:val="center"/>
          </w:tcPr>
          <w:p w14:paraId="65EF7D7F" w14:textId="77777777" w:rsidR="008D5523" w:rsidRPr="00410595" w:rsidRDefault="008D5523" w:rsidP="00C0403B">
            <w:pPr>
              <w:spacing w:after="100" w:afterAutospacing="1" w:line="240" w:lineRule="auto"/>
              <w:jc w:val="center"/>
              <w:rPr>
                <w:rFonts w:cs="Arial"/>
                <w:sz w:val="20"/>
                <w:szCs w:val="20"/>
                <w:lang w:val="es-MX"/>
              </w:rPr>
            </w:pPr>
            <w:r>
              <w:rPr>
                <w:rFonts w:cs="Arial"/>
                <w:sz w:val="20"/>
                <w:szCs w:val="20"/>
                <w:lang w:val="es-MX"/>
              </w:rPr>
              <w:t>0</w:t>
            </w:r>
            <w:r w:rsidRPr="00410595">
              <w:rPr>
                <w:rFonts w:cs="Arial"/>
                <w:sz w:val="20"/>
                <w:szCs w:val="20"/>
                <w:lang w:val="es-MX"/>
              </w:rPr>
              <w:t>,507</w:t>
            </w:r>
          </w:p>
        </w:tc>
        <w:tc>
          <w:tcPr>
            <w:tcW w:w="1594" w:type="dxa"/>
            <w:shd w:val="clear" w:color="auto" w:fill="FFFFFF"/>
            <w:tcMar>
              <w:top w:w="30" w:type="dxa"/>
              <w:left w:w="30" w:type="dxa"/>
              <w:bottom w:w="30" w:type="dxa"/>
              <w:right w:w="30" w:type="dxa"/>
            </w:tcMar>
            <w:vAlign w:val="center"/>
          </w:tcPr>
          <w:p w14:paraId="2FAE4FFF" w14:textId="77777777" w:rsidR="008D5523" w:rsidRPr="00410595" w:rsidRDefault="008D5523" w:rsidP="00C0403B">
            <w:pPr>
              <w:spacing w:after="100" w:afterAutospacing="1" w:line="240" w:lineRule="auto"/>
              <w:jc w:val="center"/>
              <w:rPr>
                <w:rFonts w:cs="Arial"/>
                <w:sz w:val="20"/>
                <w:szCs w:val="20"/>
                <w:lang w:val="es-MX"/>
              </w:rPr>
            </w:pPr>
            <w:r>
              <w:rPr>
                <w:rFonts w:cs="Arial"/>
                <w:sz w:val="20"/>
                <w:szCs w:val="20"/>
                <w:lang w:val="es-MX"/>
              </w:rPr>
              <w:t>0</w:t>
            </w:r>
            <w:r w:rsidRPr="00410595">
              <w:rPr>
                <w:rFonts w:cs="Arial"/>
                <w:sz w:val="20"/>
                <w:szCs w:val="20"/>
                <w:lang w:val="es-MX"/>
              </w:rPr>
              <w:t>,690</w:t>
            </w:r>
          </w:p>
        </w:tc>
      </w:tr>
    </w:tbl>
    <w:p w14:paraId="21FBB3D7" w14:textId="77777777" w:rsidR="008D5523" w:rsidRDefault="008D5523" w:rsidP="008D5523">
      <w:pPr>
        <w:spacing w:after="0" w:line="240" w:lineRule="auto"/>
        <w:rPr>
          <w:rFonts w:cs="Arial"/>
          <w:lang w:val="es-MX"/>
        </w:rPr>
      </w:pPr>
    </w:p>
    <w:p w14:paraId="502F0011" w14:textId="77777777" w:rsidR="008D5523" w:rsidRDefault="008D5523" w:rsidP="008D5523">
      <w:pPr>
        <w:rPr>
          <w:lang w:val="es-MX"/>
        </w:rPr>
      </w:pPr>
      <w:r w:rsidRPr="002D7ADA">
        <w:rPr>
          <w:lang w:val="es-MX"/>
        </w:rPr>
        <w:t>La tasa de aciertos global en las predicciones es del 90,5%, ligeramente superior para las respuestas afirmativas.</w:t>
      </w:r>
    </w:p>
    <w:p w14:paraId="36227886" w14:textId="77777777" w:rsidR="008D5523" w:rsidRDefault="008D5523" w:rsidP="008D5523">
      <w:pPr>
        <w:rPr>
          <w:lang w:val="es-MX"/>
        </w:rPr>
      </w:pPr>
    </w:p>
    <w:p w14:paraId="6376792E" w14:textId="77777777" w:rsidR="008D5523" w:rsidRDefault="008D5523" w:rsidP="008D5523">
      <w:pPr>
        <w:rPr>
          <w:lang w:val="es-MX"/>
        </w:rPr>
      </w:pPr>
    </w:p>
    <w:p w14:paraId="5313C502" w14:textId="77777777" w:rsidR="008D5523" w:rsidRPr="001E761E" w:rsidRDefault="008D5523" w:rsidP="008D5523">
      <w:pPr>
        <w:jc w:val="center"/>
        <w:rPr>
          <w:b/>
          <w:lang w:val="es-MX"/>
        </w:rPr>
      </w:pPr>
      <w:r w:rsidRPr="001E761E">
        <w:rPr>
          <w:b/>
          <w:lang w:val="es-MX"/>
        </w:rPr>
        <w:t>TABLA DE CLASIFICACIÓN</w:t>
      </w:r>
    </w:p>
    <w:tbl>
      <w:tblPr>
        <w:tblW w:w="48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235"/>
        <w:gridCol w:w="941"/>
        <w:gridCol w:w="806"/>
        <w:gridCol w:w="709"/>
        <w:gridCol w:w="1139"/>
      </w:tblGrid>
      <w:tr w:rsidR="008D5523" w:rsidRPr="007A7B00" w14:paraId="7381E499" w14:textId="77777777" w:rsidTr="00C0403B">
        <w:trPr>
          <w:cantSplit/>
          <w:tblHeader/>
          <w:jc w:val="center"/>
        </w:trPr>
        <w:tc>
          <w:tcPr>
            <w:tcW w:w="2176" w:type="dxa"/>
            <w:gridSpan w:val="2"/>
            <w:vMerge w:val="restart"/>
            <w:shd w:val="clear" w:color="auto" w:fill="FFFFFF"/>
            <w:tcMar>
              <w:top w:w="30" w:type="dxa"/>
              <w:left w:w="30" w:type="dxa"/>
              <w:bottom w:w="30" w:type="dxa"/>
              <w:right w:w="30" w:type="dxa"/>
            </w:tcMar>
            <w:vAlign w:val="center"/>
          </w:tcPr>
          <w:p w14:paraId="3879BBC3" w14:textId="77777777" w:rsidR="008D5523" w:rsidRPr="007A7B00" w:rsidRDefault="008D5523" w:rsidP="00C0403B">
            <w:pPr>
              <w:spacing w:after="100" w:afterAutospacing="1" w:line="240" w:lineRule="auto"/>
              <w:jc w:val="center"/>
              <w:rPr>
                <w:rFonts w:cs="Arial"/>
                <w:sz w:val="20"/>
                <w:szCs w:val="20"/>
                <w:lang w:val="es-MX"/>
              </w:rPr>
            </w:pPr>
            <w:r w:rsidRPr="007A7B00">
              <w:rPr>
                <w:rFonts w:cs="Arial"/>
                <w:sz w:val="20"/>
                <w:szCs w:val="20"/>
                <w:lang w:val="es-MX"/>
              </w:rPr>
              <w:t>Valores observados</w:t>
            </w:r>
          </w:p>
        </w:tc>
        <w:tc>
          <w:tcPr>
            <w:tcW w:w="2654" w:type="dxa"/>
            <w:gridSpan w:val="3"/>
            <w:shd w:val="clear" w:color="auto" w:fill="FFFFFF"/>
            <w:tcMar>
              <w:top w:w="30" w:type="dxa"/>
              <w:left w:w="30" w:type="dxa"/>
              <w:bottom w:w="30" w:type="dxa"/>
              <w:right w:w="30" w:type="dxa"/>
            </w:tcMar>
            <w:vAlign w:val="center"/>
          </w:tcPr>
          <w:p w14:paraId="3125001B" w14:textId="77777777" w:rsidR="008D5523" w:rsidRPr="007A7B00" w:rsidRDefault="008D5523" w:rsidP="00C0403B">
            <w:pPr>
              <w:spacing w:after="100" w:afterAutospacing="1" w:line="240" w:lineRule="auto"/>
              <w:jc w:val="center"/>
              <w:rPr>
                <w:rFonts w:cs="Arial"/>
                <w:sz w:val="20"/>
                <w:szCs w:val="20"/>
                <w:lang w:val="es-MX"/>
              </w:rPr>
            </w:pPr>
            <w:r w:rsidRPr="007A7B00">
              <w:rPr>
                <w:rFonts w:cs="Arial"/>
                <w:sz w:val="20"/>
                <w:szCs w:val="20"/>
                <w:lang w:val="es-MX"/>
              </w:rPr>
              <w:t>Estimado</w:t>
            </w:r>
          </w:p>
        </w:tc>
      </w:tr>
      <w:tr w:rsidR="008D5523" w:rsidRPr="007A7B00" w14:paraId="6BBACE34" w14:textId="77777777" w:rsidTr="00C0403B">
        <w:trPr>
          <w:cantSplit/>
          <w:tblHeader/>
          <w:jc w:val="center"/>
        </w:trPr>
        <w:tc>
          <w:tcPr>
            <w:tcW w:w="2176" w:type="dxa"/>
            <w:gridSpan w:val="2"/>
            <w:vMerge/>
            <w:shd w:val="clear" w:color="auto" w:fill="FFFFFF"/>
            <w:tcMar>
              <w:top w:w="30" w:type="dxa"/>
              <w:left w:w="30" w:type="dxa"/>
              <w:bottom w:w="30" w:type="dxa"/>
              <w:right w:w="30" w:type="dxa"/>
            </w:tcMar>
            <w:vAlign w:val="center"/>
          </w:tcPr>
          <w:p w14:paraId="592BA4C9" w14:textId="77777777" w:rsidR="008D5523" w:rsidRPr="007A7B00" w:rsidRDefault="008D5523" w:rsidP="00C0403B">
            <w:pPr>
              <w:spacing w:after="100" w:afterAutospacing="1" w:line="240" w:lineRule="auto"/>
              <w:jc w:val="center"/>
              <w:rPr>
                <w:rFonts w:cs="Arial"/>
                <w:sz w:val="20"/>
                <w:szCs w:val="20"/>
                <w:lang w:val="es-MX"/>
              </w:rPr>
            </w:pPr>
          </w:p>
        </w:tc>
        <w:tc>
          <w:tcPr>
            <w:tcW w:w="1515" w:type="dxa"/>
            <w:gridSpan w:val="2"/>
            <w:shd w:val="clear" w:color="auto" w:fill="FFFFFF"/>
            <w:tcMar>
              <w:top w:w="30" w:type="dxa"/>
              <w:left w:w="30" w:type="dxa"/>
              <w:bottom w:w="30" w:type="dxa"/>
              <w:right w:w="30" w:type="dxa"/>
            </w:tcMar>
            <w:vAlign w:val="center"/>
          </w:tcPr>
          <w:p w14:paraId="7A5D9FBD" w14:textId="77777777" w:rsidR="008D5523" w:rsidRPr="007A7B00" w:rsidRDefault="008D5523" w:rsidP="00C0403B">
            <w:pPr>
              <w:spacing w:after="100" w:afterAutospacing="1" w:line="240" w:lineRule="auto"/>
              <w:jc w:val="center"/>
              <w:rPr>
                <w:rFonts w:cs="Arial"/>
                <w:sz w:val="20"/>
                <w:szCs w:val="20"/>
                <w:lang w:val="es-MX"/>
              </w:rPr>
            </w:pPr>
            <w:r w:rsidRPr="007A7B00">
              <w:rPr>
                <w:rFonts w:cs="Arial"/>
                <w:sz w:val="20"/>
                <w:szCs w:val="20"/>
                <w:lang w:val="es-MX"/>
              </w:rPr>
              <w:t>Respuesta</w:t>
            </w:r>
            <w:r w:rsidRPr="007A7B00">
              <w:rPr>
                <w:rFonts w:cs="Arial"/>
                <w:sz w:val="20"/>
                <w:szCs w:val="20"/>
                <w:lang w:val="en-US"/>
              </w:rPr>
              <w:t xml:space="preserve"> </w:t>
            </w:r>
            <w:r w:rsidRPr="007A7B00">
              <w:rPr>
                <w:rFonts w:cs="Arial"/>
                <w:sz w:val="20"/>
                <w:szCs w:val="20"/>
                <w:vertAlign w:val="superscript"/>
                <w:lang w:val="en-US"/>
              </w:rPr>
              <w:t>1</w:t>
            </w:r>
          </w:p>
        </w:tc>
        <w:tc>
          <w:tcPr>
            <w:tcW w:w="1139" w:type="dxa"/>
            <w:vMerge w:val="restart"/>
            <w:shd w:val="clear" w:color="auto" w:fill="FFFFFF"/>
            <w:tcMar>
              <w:top w:w="30" w:type="dxa"/>
              <w:left w:w="30" w:type="dxa"/>
              <w:bottom w:w="30" w:type="dxa"/>
              <w:right w:w="30" w:type="dxa"/>
            </w:tcMar>
            <w:vAlign w:val="center"/>
          </w:tcPr>
          <w:p w14:paraId="74C60500" w14:textId="77777777" w:rsidR="008D5523" w:rsidRPr="007A7B00" w:rsidRDefault="008D5523" w:rsidP="00C0403B">
            <w:pPr>
              <w:spacing w:after="100" w:afterAutospacing="1" w:line="240" w:lineRule="auto"/>
              <w:jc w:val="center"/>
              <w:rPr>
                <w:rFonts w:cs="Arial"/>
                <w:sz w:val="20"/>
                <w:szCs w:val="20"/>
                <w:lang w:val="es-MX"/>
              </w:rPr>
            </w:pPr>
            <w:r w:rsidRPr="007A7B00">
              <w:rPr>
                <w:rFonts w:cs="Arial"/>
                <w:sz w:val="20"/>
                <w:szCs w:val="20"/>
                <w:lang w:val="es-MX"/>
              </w:rPr>
              <w:t>Porcentaje Correcto</w:t>
            </w:r>
          </w:p>
        </w:tc>
      </w:tr>
      <w:tr w:rsidR="008D5523" w:rsidRPr="007A7B00" w14:paraId="5882EF59" w14:textId="77777777" w:rsidTr="00C0403B">
        <w:trPr>
          <w:cantSplit/>
          <w:tblHeader/>
          <w:jc w:val="center"/>
        </w:trPr>
        <w:tc>
          <w:tcPr>
            <w:tcW w:w="2176" w:type="dxa"/>
            <w:gridSpan w:val="2"/>
            <w:vMerge/>
            <w:shd w:val="clear" w:color="auto" w:fill="FFFFFF"/>
            <w:tcMar>
              <w:top w:w="30" w:type="dxa"/>
              <w:left w:w="30" w:type="dxa"/>
              <w:bottom w:w="30" w:type="dxa"/>
              <w:right w:w="30" w:type="dxa"/>
            </w:tcMar>
            <w:vAlign w:val="center"/>
          </w:tcPr>
          <w:p w14:paraId="78858ECF" w14:textId="77777777" w:rsidR="008D5523" w:rsidRPr="007A7B00" w:rsidRDefault="008D5523" w:rsidP="00C0403B">
            <w:pPr>
              <w:spacing w:after="100" w:afterAutospacing="1" w:line="240" w:lineRule="auto"/>
              <w:jc w:val="center"/>
              <w:rPr>
                <w:rFonts w:cs="Arial"/>
                <w:sz w:val="20"/>
                <w:szCs w:val="20"/>
                <w:lang w:val="es-MX"/>
              </w:rPr>
            </w:pPr>
          </w:p>
        </w:tc>
        <w:tc>
          <w:tcPr>
            <w:tcW w:w="806" w:type="dxa"/>
            <w:shd w:val="clear" w:color="auto" w:fill="FFFFFF"/>
            <w:tcMar>
              <w:top w:w="30" w:type="dxa"/>
              <w:left w:w="30" w:type="dxa"/>
              <w:bottom w:w="30" w:type="dxa"/>
              <w:right w:w="30" w:type="dxa"/>
            </w:tcMar>
            <w:vAlign w:val="center"/>
          </w:tcPr>
          <w:p w14:paraId="36C48706" w14:textId="77777777" w:rsidR="008D5523" w:rsidRPr="007A7B00" w:rsidRDefault="008D5523" w:rsidP="00C0403B">
            <w:pPr>
              <w:spacing w:after="100" w:afterAutospacing="1" w:line="240" w:lineRule="auto"/>
              <w:jc w:val="center"/>
              <w:rPr>
                <w:rFonts w:cs="Arial"/>
                <w:sz w:val="20"/>
                <w:szCs w:val="20"/>
                <w:lang w:val="es-MX"/>
              </w:rPr>
            </w:pPr>
            <w:r w:rsidRPr="007A7B00">
              <w:rPr>
                <w:rFonts w:cs="Arial"/>
                <w:sz w:val="20"/>
                <w:szCs w:val="20"/>
                <w:lang w:val="es-MX"/>
              </w:rPr>
              <w:t>No (0)</w:t>
            </w:r>
          </w:p>
        </w:tc>
        <w:tc>
          <w:tcPr>
            <w:tcW w:w="709" w:type="dxa"/>
            <w:shd w:val="clear" w:color="auto" w:fill="FFFFFF"/>
            <w:tcMar>
              <w:top w:w="30" w:type="dxa"/>
              <w:left w:w="30" w:type="dxa"/>
              <w:bottom w:w="30" w:type="dxa"/>
              <w:right w:w="30" w:type="dxa"/>
            </w:tcMar>
            <w:vAlign w:val="center"/>
          </w:tcPr>
          <w:p w14:paraId="2C7CB358" w14:textId="77777777" w:rsidR="008D5523" w:rsidRPr="007A7B00" w:rsidRDefault="008D5523" w:rsidP="00C0403B">
            <w:pPr>
              <w:spacing w:after="100" w:afterAutospacing="1" w:line="240" w:lineRule="auto"/>
              <w:jc w:val="center"/>
              <w:rPr>
                <w:rFonts w:cs="Arial"/>
                <w:sz w:val="20"/>
                <w:szCs w:val="20"/>
                <w:lang w:val="es-MX"/>
              </w:rPr>
            </w:pPr>
            <w:r w:rsidRPr="007A7B00">
              <w:rPr>
                <w:rFonts w:cs="Arial"/>
                <w:sz w:val="20"/>
                <w:szCs w:val="20"/>
                <w:lang w:val="es-MX"/>
              </w:rPr>
              <w:t>Si (1)</w:t>
            </w:r>
          </w:p>
        </w:tc>
        <w:tc>
          <w:tcPr>
            <w:tcW w:w="1139" w:type="dxa"/>
            <w:vMerge/>
            <w:shd w:val="clear" w:color="auto" w:fill="FFFFFF"/>
            <w:tcMar>
              <w:top w:w="30" w:type="dxa"/>
              <w:left w:w="30" w:type="dxa"/>
              <w:bottom w:w="30" w:type="dxa"/>
              <w:right w:w="30" w:type="dxa"/>
            </w:tcMar>
            <w:vAlign w:val="center"/>
          </w:tcPr>
          <w:p w14:paraId="46F8F95B" w14:textId="77777777" w:rsidR="008D5523" w:rsidRPr="007A7B00" w:rsidRDefault="008D5523" w:rsidP="00C0403B">
            <w:pPr>
              <w:spacing w:after="100" w:afterAutospacing="1" w:line="240" w:lineRule="auto"/>
              <w:jc w:val="center"/>
              <w:rPr>
                <w:rFonts w:cs="Arial"/>
                <w:sz w:val="20"/>
                <w:szCs w:val="20"/>
                <w:lang w:val="es-MX"/>
              </w:rPr>
            </w:pPr>
          </w:p>
        </w:tc>
      </w:tr>
      <w:tr w:rsidR="008D5523" w:rsidRPr="007A7B00" w14:paraId="50E40274" w14:textId="77777777" w:rsidTr="00C0403B">
        <w:trPr>
          <w:cantSplit/>
          <w:tblHeader/>
          <w:jc w:val="center"/>
        </w:trPr>
        <w:tc>
          <w:tcPr>
            <w:tcW w:w="1235" w:type="dxa"/>
            <w:vMerge w:val="restart"/>
            <w:shd w:val="clear" w:color="auto" w:fill="FFFFFF"/>
            <w:tcMar>
              <w:top w:w="30" w:type="dxa"/>
              <w:left w:w="30" w:type="dxa"/>
              <w:bottom w:w="30" w:type="dxa"/>
              <w:right w:w="30" w:type="dxa"/>
            </w:tcMar>
            <w:vAlign w:val="center"/>
          </w:tcPr>
          <w:p w14:paraId="32251AA0" w14:textId="77777777" w:rsidR="008D5523" w:rsidRPr="007A7B00" w:rsidRDefault="008D5523" w:rsidP="00C0403B">
            <w:pPr>
              <w:spacing w:after="100" w:afterAutospacing="1" w:line="240" w:lineRule="auto"/>
              <w:jc w:val="center"/>
              <w:rPr>
                <w:rFonts w:cs="Arial"/>
                <w:sz w:val="20"/>
                <w:szCs w:val="20"/>
                <w:lang w:val="es-MX"/>
              </w:rPr>
            </w:pPr>
            <w:r w:rsidRPr="007A7B00">
              <w:rPr>
                <w:rFonts w:cs="Arial"/>
                <w:sz w:val="20"/>
                <w:szCs w:val="20"/>
                <w:lang w:val="es-MX"/>
              </w:rPr>
              <w:t>Respuesta</w:t>
            </w:r>
          </w:p>
        </w:tc>
        <w:tc>
          <w:tcPr>
            <w:tcW w:w="941" w:type="dxa"/>
            <w:shd w:val="clear" w:color="auto" w:fill="FFFFFF"/>
            <w:tcMar>
              <w:top w:w="30" w:type="dxa"/>
              <w:left w:w="30" w:type="dxa"/>
              <w:bottom w:w="30" w:type="dxa"/>
              <w:right w:w="30" w:type="dxa"/>
            </w:tcMar>
            <w:vAlign w:val="center"/>
          </w:tcPr>
          <w:p w14:paraId="547B382D" w14:textId="77777777" w:rsidR="008D5523" w:rsidRPr="007A7B00" w:rsidRDefault="008D5523" w:rsidP="00C0403B">
            <w:pPr>
              <w:spacing w:after="100" w:afterAutospacing="1" w:line="240" w:lineRule="auto"/>
              <w:jc w:val="center"/>
              <w:rPr>
                <w:rFonts w:cs="Arial"/>
                <w:sz w:val="20"/>
                <w:szCs w:val="20"/>
                <w:lang w:val="es-MX"/>
              </w:rPr>
            </w:pPr>
            <w:r w:rsidRPr="007A7B00">
              <w:rPr>
                <w:rFonts w:cs="Arial"/>
                <w:sz w:val="20"/>
                <w:szCs w:val="20"/>
                <w:lang w:val="es-MX"/>
              </w:rPr>
              <w:t>No (0)</w:t>
            </w:r>
          </w:p>
        </w:tc>
        <w:tc>
          <w:tcPr>
            <w:tcW w:w="806" w:type="dxa"/>
            <w:shd w:val="clear" w:color="auto" w:fill="FFFFFF"/>
            <w:tcMar>
              <w:top w:w="30" w:type="dxa"/>
              <w:left w:w="30" w:type="dxa"/>
              <w:bottom w:w="30" w:type="dxa"/>
              <w:right w:w="30" w:type="dxa"/>
            </w:tcMar>
            <w:vAlign w:val="center"/>
          </w:tcPr>
          <w:p w14:paraId="1626FE33" w14:textId="77777777" w:rsidR="008D5523" w:rsidRPr="007A7B00" w:rsidRDefault="008D5523" w:rsidP="00C0403B">
            <w:pPr>
              <w:spacing w:after="100" w:afterAutospacing="1" w:line="240" w:lineRule="auto"/>
              <w:jc w:val="center"/>
              <w:rPr>
                <w:rFonts w:cs="Arial"/>
                <w:sz w:val="20"/>
                <w:szCs w:val="20"/>
                <w:lang w:val="es-MX"/>
              </w:rPr>
            </w:pPr>
            <w:r w:rsidRPr="007A7B00">
              <w:rPr>
                <w:rFonts w:cs="Arial"/>
                <w:sz w:val="20"/>
                <w:szCs w:val="20"/>
                <w:lang w:val="es-MX"/>
              </w:rPr>
              <w:t>72</w:t>
            </w:r>
          </w:p>
        </w:tc>
        <w:tc>
          <w:tcPr>
            <w:tcW w:w="709" w:type="dxa"/>
            <w:shd w:val="clear" w:color="auto" w:fill="FFFFFF"/>
            <w:tcMar>
              <w:top w:w="30" w:type="dxa"/>
              <w:left w:w="30" w:type="dxa"/>
              <w:bottom w:w="30" w:type="dxa"/>
              <w:right w:w="30" w:type="dxa"/>
            </w:tcMar>
            <w:vAlign w:val="center"/>
          </w:tcPr>
          <w:p w14:paraId="70F2BAEC" w14:textId="77777777" w:rsidR="008D5523" w:rsidRPr="007A7B00" w:rsidRDefault="008D5523" w:rsidP="00C0403B">
            <w:pPr>
              <w:spacing w:after="100" w:afterAutospacing="1" w:line="240" w:lineRule="auto"/>
              <w:jc w:val="center"/>
              <w:rPr>
                <w:rFonts w:cs="Arial"/>
                <w:sz w:val="20"/>
                <w:szCs w:val="20"/>
                <w:lang w:val="es-MX"/>
              </w:rPr>
            </w:pPr>
            <w:r w:rsidRPr="007A7B00">
              <w:rPr>
                <w:rFonts w:cs="Arial"/>
                <w:sz w:val="20"/>
                <w:szCs w:val="20"/>
                <w:lang w:val="es-MX"/>
              </w:rPr>
              <w:t>11</w:t>
            </w:r>
          </w:p>
        </w:tc>
        <w:tc>
          <w:tcPr>
            <w:tcW w:w="1139" w:type="dxa"/>
            <w:shd w:val="clear" w:color="auto" w:fill="FFFFFF"/>
            <w:tcMar>
              <w:top w:w="30" w:type="dxa"/>
              <w:left w:w="30" w:type="dxa"/>
              <w:bottom w:w="30" w:type="dxa"/>
              <w:right w:w="30" w:type="dxa"/>
            </w:tcMar>
            <w:vAlign w:val="center"/>
          </w:tcPr>
          <w:p w14:paraId="2AF9EC1E" w14:textId="77777777" w:rsidR="008D5523" w:rsidRPr="007A7B00" w:rsidRDefault="008D5523" w:rsidP="00C0403B">
            <w:pPr>
              <w:spacing w:after="100" w:afterAutospacing="1" w:line="240" w:lineRule="auto"/>
              <w:jc w:val="center"/>
              <w:rPr>
                <w:rFonts w:cs="Arial"/>
                <w:sz w:val="20"/>
                <w:szCs w:val="20"/>
                <w:lang w:val="es-MX"/>
              </w:rPr>
            </w:pPr>
            <w:r w:rsidRPr="007A7B00">
              <w:rPr>
                <w:rFonts w:cs="Arial"/>
                <w:sz w:val="20"/>
                <w:szCs w:val="20"/>
                <w:lang w:val="es-MX"/>
              </w:rPr>
              <w:t>86,7</w:t>
            </w:r>
          </w:p>
        </w:tc>
      </w:tr>
      <w:tr w:rsidR="008D5523" w:rsidRPr="007A7B00" w14:paraId="755C7903" w14:textId="77777777" w:rsidTr="00C0403B">
        <w:trPr>
          <w:cantSplit/>
          <w:tblHeader/>
          <w:jc w:val="center"/>
        </w:trPr>
        <w:tc>
          <w:tcPr>
            <w:tcW w:w="1235" w:type="dxa"/>
            <w:vMerge/>
            <w:shd w:val="clear" w:color="auto" w:fill="FFFFFF"/>
            <w:tcMar>
              <w:top w:w="30" w:type="dxa"/>
              <w:left w:w="30" w:type="dxa"/>
              <w:bottom w:w="30" w:type="dxa"/>
              <w:right w:w="30" w:type="dxa"/>
            </w:tcMar>
            <w:vAlign w:val="center"/>
          </w:tcPr>
          <w:p w14:paraId="563F07E3" w14:textId="77777777" w:rsidR="008D5523" w:rsidRPr="007A7B00" w:rsidRDefault="008D5523" w:rsidP="00C0403B">
            <w:pPr>
              <w:spacing w:after="100" w:afterAutospacing="1" w:line="240" w:lineRule="auto"/>
              <w:jc w:val="center"/>
              <w:rPr>
                <w:rFonts w:cs="Arial"/>
                <w:sz w:val="20"/>
                <w:szCs w:val="20"/>
                <w:lang w:val="es-MX"/>
              </w:rPr>
            </w:pPr>
          </w:p>
        </w:tc>
        <w:tc>
          <w:tcPr>
            <w:tcW w:w="941" w:type="dxa"/>
            <w:shd w:val="clear" w:color="auto" w:fill="FFFFFF"/>
            <w:tcMar>
              <w:top w:w="30" w:type="dxa"/>
              <w:left w:w="30" w:type="dxa"/>
              <w:bottom w:w="30" w:type="dxa"/>
              <w:right w:w="30" w:type="dxa"/>
            </w:tcMar>
            <w:vAlign w:val="center"/>
          </w:tcPr>
          <w:p w14:paraId="4B1E70F2" w14:textId="77777777" w:rsidR="008D5523" w:rsidRPr="007A7B00" w:rsidRDefault="008D5523" w:rsidP="00C0403B">
            <w:pPr>
              <w:spacing w:after="100" w:afterAutospacing="1" w:line="240" w:lineRule="auto"/>
              <w:jc w:val="center"/>
              <w:rPr>
                <w:rFonts w:cs="Arial"/>
                <w:sz w:val="20"/>
                <w:szCs w:val="20"/>
                <w:lang w:val="es-MX"/>
              </w:rPr>
            </w:pPr>
            <w:r w:rsidRPr="007A7B00">
              <w:rPr>
                <w:rFonts w:cs="Arial"/>
                <w:sz w:val="20"/>
                <w:szCs w:val="20"/>
                <w:lang w:val="es-MX"/>
              </w:rPr>
              <w:t>Si (1)</w:t>
            </w:r>
          </w:p>
        </w:tc>
        <w:tc>
          <w:tcPr>
            <w:tcW w:w="806" w:type="dxa"/>
            <w:shd w:val="clear" w:color="auto" w:fill="FFFFFF"/>
            <w:tcMar>
              <w:top w:w="30" w:type="dxa"/>
              <w:left w:w="30" w:type="dxa"/>
              <w:bottom w:w="30" w:type="dxa"/>
              <w:right w:w="30" w:type="dxa"/>
            </w:tcMar>
            <w:vAlign w:val="center"/>
          </w:tcPr>
          <w:p w14:paraId="69DFD9D0" w14:textId="77777777" w:rsidR="008D5523" w:rsidRPr="007A7B00" w:rsidRDefault="008D5523" w:rsidP="00C0403B">
            <w:pPr>
              <w:spacing w:after="100" w:afterAutospacing="1" w:line="240" w:lineRule="auto"/>
              <w:jc w:val="center"/>
              <w:rPr>
                <w:rFonts w:cs="Arial"/>
                <w:sz w:val="20"/>
                <w:szCs w:val="20"/>
                <w:lang w:val="es-MX"/>
              </w:rPr>
            </w:pPr>
            <w:r w:rsidRPr="007A7B00">
              <w:rPr>
                <w:rFonts w:cs="Arial"/>
                <w:sz w:val="20"/>
                <w:szCs w:val="20"/>
                <w:lang w:val="es-MX"/>
              </w:rPr>
              <w:t>10</w:t>
            </w:r>
          </w:p>
        </w:tc>
        <w:tc>
          <w:tcPr>
            <w:tcW w:w="709" w:type="dxa"/>
            <w:shd w:val="clear" w:color="auto" w:fill="FFFFFF"/>
            <w:tcMar>
              <w:top w:w="30" w:type="dxa"/>
              <w:left w:w="30" w:type="dxa"/>
              <w:bottom w:w="30" w:type="dxa"/>
              <w:right w:w="30" w:type="dxa"/>
            </w:tcMar>
            <w:vAlign w:val="center"/>
          </w:tcPr>
          <w:p w14:paraId="4BB401F7" w14:textId="77777777" w:rsidR="008D5523" w:rsidRPr="007A7B00" w:rsidRDefault="008D5523" w:rsidP="00C0403B">
            <w:pPr>
              <w:spacing w:after="100" w:afterAutospacing="1" w:line="240" w:lineRule="auto"/>
              <w:jc w:val="center"/>
              <w:rPr>
                <w:rFonts w:cs="Arial"/>
                <w:sz w:val="20"/>
                <w:szCs w:val="20"/>
                <w:lang w:val="es-MX"/>
              </w:rPr>
            </w:pPr>
            <w:r w:rsidRPr="007A7B00">
              <w:rPr>
                <w:rFonts w:cs="Arial"/>
                <w:sz w:val="20"/>
                <w:szCs w:val="20"/>
                <w:lang w:val="es-MX"/>
              </w:rPr>
              <w:t>128</w:t>
            </w:r>
          </w:p>
        </w:tc>
        <w:tc>
          <w:tcPr>
            <w:tcW w:w="1139" w:type="dxa"/>
            <w:shd w:val="clear" w:color="auto" w:fill="FFFFFF"/>
            <w:tcMar>
              <w:top w:w="30" w:type="dxa"/>
              <w:left w:w="30" w:type="dxa"/>
              <w:bottom w:w="30" w:type="dxa"/>
              <w:right w:w="30" w:type="dxa"/>
            </w:tcMar>
            <w:vAlign w:val="center"/>
          </w:tcPr>
          <w:p w14:paraId="53BC2ECE" w14:textId="77777777" w:rsidR="008D5523" w:rsidRPr="007A7B00" w:rsidRDefault="008D5523" w:rsidP="00C0403B">
            <w:pPr>
              <w:spacing w:after="100" w:afterAutospacing="1" w:line="240" w:lineRule="auto"/>
              <w:jc w:val="center"/>
              <w:rPr>
                <w:rFonts w:cs="Arial"/>
                <w:sz w:val="20"/>
                <w:szCs w:val="20"/>
                <w:lang w:val="es-MX"/>
              </w:rPr>
            </w:pPr>
            <w:r w:rsidRPr="007A7B00">
              <w:rPr>
                <w:rFonts w:cs="Arial"/>
                <w:sz w:val="20"/>
                <w:szCs w:val="20"/>
                <w:lang w:val="es-MX"/>
              </w:rPr>
              <w:t>92,8</w:t>
            </w:r>
          </w:p>
        </w:tc>
      </w:tr>
      <w:tr w:rsidR="008D5523" w:rsidRPr="007A7B00" w14:paraId="0131F24C" w14:textId="77777777" w:rsidTr="00C0403B">
        <w:trPr>
          <w:cantSplit/>
          <w:tblHeader/>
          <w:jc w:val="center"/>
        </w:trPr>
        <w:tc>
          <w:tcPr>
            <w:tcW w:w="2176" w:type="dxa"/>
            <w:gridSpan w:val="2"/>
            <w:shd w:val="clear" w:color="auto" w:fill="FFFFFF"/>
            <w:tcMar>
              <w:top w:w="30" w:type="dxa"/>
              <w:left w:w="30" w:type="dxa"/>
              <w:bottom w:w="30" w:type="dxa"/>
              <w:right w:w="30" w:type="dxa"/>
            </w:tcMar>
            <w:vAlign w:val="center"/>
          </w:tcPr>
          <w:p w14:paraId="779B62AB" w14:textId="77777777" w:rsidR="008D5523" w:rsidRPr="007A7B00" w:rsidRDefault="008D5523" w:rsidP="00C0403B">
            <w:pPr>
              <w:spacing w:after="100" w:afterAutospacing="1" w:line="240" w:lineRule="auto"/>
              <w:jc w:val="center"/>
              <w:rPr>
                <w:rFonts w:cs="Arial"/>
                <w:sz w:val="20"/>
                <w:szCs w:val="20"/>
                <w:lang w:val="es-MX"/>
              </w:rPr>
            </w:pPr>
            <w:r w:rsidRPr="007A7B00">
              <w:rPr>
                <w:rFonts w:cs="Arial"/>
                <w:sz w:val="20"/>
                <w:szCs w:val="20"/>
                <w:lang w:val="es-MX"/>
              </w:rPr>
              <w:t>Porcentaje total</w:t>
            </w:r>
          </w:p>
        </w:tc>
        <w:tc>
          <w:tcPr>
            <w:tcW w:w="806" w:type="dxa"/>
            <w:shd w:val="clear" w:color="auto" w:fill="FFFFFF"/>
            <w:tcMar>
              <w:top w:w="30" w:type="dxa"/>
              <w:left w:w="30" w:type="dxa"/>
              <w:bottom w:w="30" w:type="dxa"/>
              <w:right w:w="30" w:type="dxa"/>
            </w:tcMar>
            <w:vAlign w:val="center"/>
          </w:tcPr>
          <w:p w14:paraId="1F25409F" w14:textId="77777777" w:rsidR="008D5523" w:rsidRPr="007A7B00" w:rsidRDefault="008D5523" w:rsidP="00C0403B">
            <w:pPr>
              <w:spacing w:after="100" w:afterAutospacing="1" w:line="240" w:lineRule="auto"/>
              <w:jc w:val="center"/>
              <w:rPr>
                <w:rFonts w:cs="Arial"/>
                <w:sz w:val="20"/>
                <w:szCs w:val="20"/>
                <w:lang w:val="es-MX"/>
              </w:rPr>
            </w:pPr>
          </w:p>
        </w:tc>
        <w:tc>
          <w:tcPr>
            <w:tcW w:w="709" w:type="dxa"/>
            <w:shd w:val="clear" w:color="auto" w:fill="FFFFFF"/>
            <w:tcMar>
              <w:top w:w="30" w:type="dxa"/>
              <w:left w:w="30" w:type="dxa"/>
              <w:bottom w:w="30" w:type="dxa"/>
              <w:right w:w="30" w:type="dxa"/>
            </w:tcMar>
            <w:vAlign w:val="center"/>
          </w:tcPr>
          <w:p w14:paraId="732CC908" w14:textId="77777777" w:rsidR="008D5523" w:rsidRPr="007A7B00" w:rsidRDefault="008D5523" w:rsidP="00C0403B">
            <w:pPr>
              <w:spacing w:after="100" w:afterAutospacing="1" w:line="240" w:lineRule="auto"/>
              <w:jc w:val="center"/>
              <w:rPr>
                <w:rFonts w:cs="Arial"/>
                <w:sz w:val="20"/>
                <w:szCs w:val="20"/>
                <w:lang w:val="es-MX"/>
              </w:rPr>
            </w:pPr>
          </w:p>
        </w:tc>
        <w:tc>
          <w:tcPr>
            <w:tcW w:w="1139" w:type="dxa"/>
            <w:shd w:val="clear" w:color="auto" w:fill="FFFFFF"/>
            <w:tcMar>
              <w:top w:w="30" w:type="dxa"/>
              <w:left w:w="30" w:type="dxa"/>
              <w:bottom w:w="30" w:type="dxa"/>
              <w:right w:w="30" w:type="dxa"/>
            </w:tcMar>
            <w:vAlign w:val="center"/>
          </w:tcPr>
          <w:p w14:paraId="18293DBB" w14:textId="77777777" w:rsidR="008D5523" w:rsidRPr="007A7B00" w:rsidRDefault="008D5523" w:rsidP="00C0403B">
            <w:pPr>
              <w:spacing w:after="100" w:afterAutospacing="1" w:line="240" w:lineRule="auto"/>
              <w:jc w:val="center"/>
              <w:rPr>
                <w:rFonts w:cs="Arial"/>
                <w:sz w:val="20"/>
                <w:szCs w:val="20"/>
                <w:lang w:val="es-MX"/>
              </w:rPr>
            </w:pPr>
            <w:r w:rsidRPr="007A7B00">
              <w:rPr>
                <w:rFonts w:cs="Arial"/>
                <w:sz w:val="20"/>
                <w:szCs w:val="20"/>
                <w:lang w:val="es-MX"/>
              </w:rPr>
              <w:t>90,5</w:t>
            </w:r>
          </w:p>
        </w:tc>
      </w:tr>
    </w:tbl>
    <w:p w14:paraId="74290C65" w14:textId="77777777" w:rsidR="008D5523" w:rsidRPr="008D479C" w:rsidRDefault="008D5523" w:rsidP="008D5523">
      <w:pPr>
        <w:spacing w:after="0" w:line="240" w:lineRule="auto"/>
        <w:ind w:firstLine="2268"/>
        <w:rPr>
          <w:rFonts w:cs="Arial"/>
          <w:sz w:val="20"/>
          <w:szCs w:val="20"/>
        </w:rPr>
      </w:pPr>
      <w:r w:rsidRPr="008D479C">
        <w:rPr>
          <w:rFonts w:cs="Arial"/>
          <w:sz w:val="20"/>
          <w:szCs w:val="20"/>
          <w:vertAlign w:val="superscript"/>
        </w:rPr>
        <w:t xml:space="preserve">1 </w:t>
      </w:r>
      <w:r w:rsidRPr="008D479C">
        <w:rPr>
          <w:rFonts w:cs="Arial"/>
          <w:sz w:val="20"/>
          <w:szCs w:val="20"/>
        </w:rPr>
        <w:t>El valor de corte es 0,5</w:t>
      </w:r>
    </w:p>
    <w:p w14:paraId="65CD8723" w14:textId="77777777" w:rsidR="008D5523" w:rsidRDefault="008D5523" w:rsidP="008D5523">
      <w:pPr>
        <w:spacing w:after="0" w:line="240" w:lineRule="auto"/>
        <w:rPr>
          <w:rFonts w:cs="Arial"/>
          <w:lang w:val="es-MX"/>
        </w:rPr>
      </w:pPr>
    </w:p>
    <w:p w14:paraId="18C62641" w14:textId="77777777" w:rsidR="008D5523" w:rsidRDefault="008D5523" w:rsidP="008D5523">
      <w:pPr>
        <w:spacing w:after="0" w:line="240" w:lineRule="auto"/>
        <w:rPr>
          <w:rFonts w:cs="Arial"/>
          <w:lang w:val="es-MX"/>
        </w:rPr>
      </w:pPr>
    </w:p>
    <w:p w14:paraId="04B64B9B" w14:textId="77777777" w:rsidR="008D5523" w:rsidRDefault="008D5523" w:rsidP="008D5523">
      <w:pPr>
        <w:spacing w:after="0" w:line="240" w:lineRule="auto"/>
        <w:rPr>
          <w:rFonts w:cs="Arial"/>
          <w:lang w:val="es-MX"/>
        </w:rPr>
      </w:pPr>
      <w:r>
        <w:rPr>
          <w:rFonts w:cs="Arial"/>
          <w:lang w:val="es-MX"/>
        </w:rPr>
        <w:t>Los estadísticos de las variables son los siguientes:</w:t>
      </w:r>
    </w:p>
    <w:p w14:paraId="607F316E" w14:textId="77777777" w:rsidR="008D5523" w:rsidRDefault="008D5523" w:rsidP="008D5523">
      <w:pPr>
        <w:spacing w:after="0" w:line="240" w:lineRule="auto"/>
        <w:rPr>
          <w:rFonts w:cs="Arial"/>
          <w:lang w:val="es-MX"/>
        </w:rPr>
      </w:pPr>
    </w:p>
    <w:p w14:paraId="0A9824AD" w14:textId="77777777" w:rsidR="008D5523" w:rsidRPr="001E761E" w:rsidRDefault="008D5523" w:rsidP="008D5523">
      <w:pPr>
        <w:jc w:val="center"/>
        <w:rPr>
          <w:b/>
          <w:lang w:val="es-MX"/>
        </w:rPr>
      </w:pPr>
      <w:r w:rsidRPr="001E761E">
        <w:rPr>
          <w:b/>
          <w:lang w:val="es-MX"/>
        </w:rPr>
        <w:t>VARIABLES EN LA ECUACIÓN</w:t>
      </w:r>
    </w:p>
    <w:tbl>
      <w:tblPr>
        <w:tblW w:w="76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372"/>
        <w:gridCol w:w="820"/>
        <w:gridCol w:w="821"/>
        <w:gridCol w:w="821"/>
        <w:gridCol w:w="820"/>
        <w:gridCol w:w="821"/>
        <w:gridCol w:w="821"/>
        <w:gridCol w:w="1383"/>
      </w:tblGrid>
      <w:tr w:rsidR="008D5523" w:rsidRPr="008D479C" w14:paraId="6D1702A8" w14:textId="77777777" w:rsidTr="00C0403B">
        <w:trPr>
          <w:cantSplit/>
          <w:tblHeader/>
          <w:jc w:val="center"/>
        </w:trPr>
        <w:tc>
          <w:tcPr>
            <w:tcW w:w="1372" w:type="dxa"/>
            <w:shd w:val="clear" w:color="auto" w:fill="FFFFFF"/>
            <w:tcMar>
              <w:top w:w="30" w:type="dxa"/>
              <w:left w:w="30" w:type="dxa"/>
              <w:bottom w:w="30" w:type="dxa"/>
              <w:right w:w="30" w:type="dxa"/>
            </w:tcMar>
            <w:vAlign w:val="center"/>
          </w:tcPr>
          <w:p w14:paraId="09C3C0EA" w14:textId="77777777" w:rsidR="008D5523" w:rsidRPr="008D479C" w:rsidRDefault="008D5523" w:rsidP="00C0403B">
            <w:pPr>
              <w:spacing w:after="100" w:afterAutospacing="1" w:line="240" w:lineRule="auto"/>
              <w:jc w:val="center"/>
              <w:rPr>
                <w:rFonts w:cs="Arial"/>
                <w:sz w:val="20"/>
                <w:szCs w:val="20"/>
                <w:lang w:val="es-MX"/>
              </w:rPr>
            </w:pPr>
            <w:r>
              <w:rPr>
                <w:rFonts w:cs="Arial"/>
                <w:sz w:val="20"/>
                <w:szCs w:val="20"/>
                <w:lang w:val="es-MX"/>
              </w:rPr>
              <w:t>Variables</w:t>
            </w:r>
          </w:p>
        </w:tc>
        <w:tc>
          <w:tcPr>
            <w:tcW w:w="820" w:type="dxa"/>
            <w:shd w:val="clear" w:color="auto" w:fill="FFFFFF"/>
            <w:tcMar>
              <w:top w:w="30" w:type="dxa"/>
              <w:left w:w="30" w:type="dxa"/>
              <w:bottom w:w="30" w:type="dxa"/>
              <w:right w:w="30" w:type="dxa"/>
            </w:tcMar>
            <w:vAlign w:val="center"/>
          </w:tcPr>
          <w:p w14:paraId="35CC9019"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B</w:t>
            </w:r>
          </w:p>
        </w:tc>
        <w:tc>
          <w:tcPr>
            <w:tcW w:w="821" w:type="dxa"/>
            <w:shd w:val="clear" w:color="auto" w:fill="FFFFFF"/>
            <w:tcMar>
              <w:top w:w="30" w:type="dxa"/>
              <w:left w:w="30" w:type="dxa"/>
              <w:bottom w:w="30" w:type="dxa"/>
              <w:right w:w="30" w:type="dxa"/>
            </w:tcMar>
            <w:vAlign w:val="center"/>
          </w:tcPr>
          <w:p w14:paraId="03C0E6AD"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S.E.</w:t>
            </w:r>
          </w:p>
        </w:tc>
        <w:tc>
          <w:tcPr>
            <w:tcW w:w="821" w:type="dxa"/>
            <w:shd w:val="clear" w:color="auto" w:fill="FFFFFF"/>
            <w:tcMar>
              <w:top w:w="30" w:type="dxa"/>
              <w:left w:w="30" w:type="dxa"/>
              <w:bottom w:w="30" w:type="dxa"/>
              <w:right w:w="30" w:type="dxa"/>
            </w:tcMar>
            <w:vAlign w:val="center"/>
          </w:tcPr>
          <w:p w14:paraId="1A5E3B4A"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Wald</w:t>
            </w:r>
          </w:p>
        </w:tc>
        <w:tc>
          <w:tcPr>
            <w:tcW w:w="820" w:type="dxa"/>
            <w:shd w:val="clear" w:color="auto" w:fill="FFFFFF"/>
            <w:tcMar>
              <w:top w:w="30" w:type="dxa"/>
              <w:left w:w="30" w:type="dxa"/>
              <w:bottom w:w="30" w:type="dxa"/>
              <w:right w:w="30" w:type="dxa"/>
            </w:tcMar>
            <w:vAlign w:val="center"/>
          </w:tcPr>
          <w:p w14:paraId="2C154174"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df</w:t>
            </w:r>
          </w:p>
        </w:tc>
        <w:tc>
          <w:tcPr>
            <w:tcW w:w="821" w:type="dxa"/>
            <w:shd w:val="clear" w:color="auto" w:fill="FFFFFF"/>
            <w:tcMar>
              <w:top w:w="30" w:type="dxa"/>
              <w:left w:w="30" w:type="dxa"/>
              <w:bottom w:w="30" w:type="dxa"/>
              <w:right w:w="30" w:type="dxa"/>
            </w:tcMar>
            <w:vAlign w:val="center"/>
          </w:tcPr>
          <w:p w14:paraId="467CC220"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Sig.</w:t>
            </w:r>
          </w:p>
        </w:tc>
        <w:tc>
          <w:tcPr>
            <w:tcW w:w="821" w:type="dxa"/>
            <w:shd w:val="clear" w:color="auto" w:fill="FFFFFF"/>
            <w:tcMar>
              <w:top w:w="30" w:type="dxa"/>
              <w:left w:w="30" w:type="dxa"/>
              <w:bottom w:w="30" w:type="dxa"/>
              <w:right w:w="30" w:type="dxa"/>
            </w:tcMar>
            <w:vAlign w:val="center"/>
          </w:tcPr>
          <w:p w14:paraId="3B302E4D"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Exp(B)</w:t>
            </w:r>
          </w:p>
        </w:tc>
        <w:tc>
          <w:tcPr>
            <w:tcW w:w="1383" w:type="dxa"/>
            <w:shd w:val="clear" w:color="auto" w:fill="FFFFFF"/>
            <w:vAlign w:val="center"/>
          </w:tcPr>
          <w:p w14:paraId="426D104C"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Coeficientes t</w:t>
            </w:r>
          </w:p>
        </w:tc>
      </w:tr>
      <w:tr w:rsidR="008D5523" w:rsidRPr="008D479C" w14:paraId="404FFB7E" w14:textId="77777777" w:rsidTr="00C0403B">
        <w:trPr>
          <w:cantSplit/>
          <w:tblHeader/>
          <w:jc w:val="center"/>
        </w:trPr>
        <w:tc>
          <w:tcPr>
            <w:tcW w:w="1372" w:type="dxa"/>
            <w:shd w:val="clear" w:color="auto" w:fill="FFFFFF"/>
            <w:tcMar>
              <w:top w:w="30" w:type="dxa"/>
              <w:left w:w="30" w:type="dxa"/>
              <w:bottom w:w="30" w:type="dxa"/>
              <w:right w:w="30" w:type="dxa"/>
            </w:tcMar>
            <w:vAlign w:val="center"/>
          </w:tcPr>
          <w:p w14:paraId="26CDD913" w14:textId="77777777" w:rsidR="008D5523" w:rsidRPr="008D479C" w:rsidRDefault="008D5523" w:rsidP="00C0403B">
            <w:pPr>
              <w:spacing w:after="100" w:afterAutospacing="1" w:line="240" w:lineRule="auto"/>
              <w:rPr>
                <w:rFonts w:cs="Arial"/>
                <w:sz w:val="20"/>
                <w:szCs w:val="20"/>
                <w:lang w:val="es-MX"/>
              </w:rPr>
            </w:pPr>
            <w:r w:rsidRPr="008D479C">
              <w:rPr>
                <w:rFonts w:cs="Arial"/>
                <w:sz w:val="20"/>
                <w:szCs w:val="20"/>
                <w:lang w:val="es-MX"/>
              </w:rPr>
              <w:t>Ingresos</w:t>
            </w:r>
          </w:p>
        </w:tc>
        <w:tc>
          <w:tcPr>
            <w:tcW w:w="820" w:type="dxa"/>
            <w:shd w:val="clear" w:color="auto" w:fill="FFFFFF"/>
            <w:tcMar>
              <w:top w:w="30" w:type="dxa"/>
              <w:left w:w="30" w:type="dxa"/>
              <w:bottom w:w="30" w:type="dxa"/>
              <w:right w:w="30" w:type="dxa"/>
            </w:tcMar>
            <w:vAlign w:val="center"/>
          </w:tcPr>
          <w:p w14:paraId="420D7310" w14:textId="77777777" w:rsidR="008D5523" w:rsidRPr="008D479C" w:rsidRDefault="008D5523" w:rsidP="00C0403B">
            <w:pPr>
              <w:spacing w:after="100" w:afterAutospacing="1" w:line="240" w:lineRule="auto"/>
              <w:jc w:val="center"/>
              <w:rPr>
                <w:rFonts w:cs="Arial"/>
                <w:sz w:val="20"/>
                <w:szCs w:val="20"/>
                <w:lang w:val="es-MX"/>
              </w:rPr>
            </w:pPr>
            <w:r>
              <w:rPr>
                <w:rFonts w:cs="Arial"/>
                <w:sz w:val="20"/>
                <w:szCs w:val="20"/>
                <w:lang w:val="es-MX"/>
              </w:rPr>
              <w:t>0</w:t>
            </w:r>
            <w:r w:rsidRPr="008D479C">
              <w:rPr>
                <w:rFonts w:cs="Arial"/>
                <w:sz w:val="20"/>
                <w:szCs w:val="20"/>
                <w:lang w:val="es-MX"/>
              </w:rPr>
              <w:t>,001</w:t>
            </w:r>
          </w:p>
        </w:tc>
        <w:tc>
          <w:tcPr>
            <w:tcW w:w="821" w:type="dxa"/>
            <w:shd w:val="clear" w:color="auto" w:fill="FFFFFF"/>
            <w:tcMar>
              <w:top w:w="30" w:type="dxa"/>
              <w:left w:w="30" w:type="dxa"/>
              <w:bottom w:w="30" w:type="dxa"/>
              <w:right w:w="30" w:type="dxa"/>
            </w:tcMar>
            <w:vAlign w:val="center"/>
          </w:tcPr>
          <w:p w14:paraId="1903F964" w14:textId="77777777" w:rsidR="008D5523" w:rsidRPr="008D479C" w:rsidRDefault="008D5523" w:rsidP="00C0403B">
            <w:pPr>
              <w:spacing w:after="100" w:afterAutospacing="1" w:line="240" w:lineRule="auto"/>
              <w:jc w:val="center"/>
              <w:rPr>
                <w:rFonts w:cs="Arial"/>
                <w:sz w:val="20"/>
                <w:szCs w:val="20"/>
                <w:lang w:val="es-MX"/>
              </w:rPr>
            </w:pPr>
            <w:r>
              <w:rPr>
                <w:rFonts w:cs="Arial"/>
                <w:sz w:val="20"/>
                <w:szCs w:val="20"/>
                <w:lang w:val="es-MX"/>
              </w:rPr>
              <w:t>0</w:t>
            </w:r>
            <w:r w:rsidRPr="008D479C">
              <w:rPr>
                <w:rFonts w:cs="Arial"/>
                <w:sz w:val="20"/>
                <w:szCs w:val="20"/>
                <w:lang w:val="es-MX"/>
              </w:rPr>
              <w:t>,000</w:t>
            </w:r>
          </w:p>
        </w:tc>
        <w:tc>
          <w:tcPr>
            <w:tcW w:w="821" w:type="dxa"/>
            <w:shd w:val="clear" w:color="auto" w:fill="FFFFFF"/>
            <w:tcMar>
              <w:top w:w="30" w:type="dxa"/>
              <w:left w:w="30" w:type="dxa"/>
              <w:bottom w:w="30" w:type="dxa"/>
              <w:right w:w="30" w:type="dxa"/>
            </w:tcMar>
            <w:vAlign w:val="center"/>
          </w:tcPr>
          <w:p w14:paraId="48833D3B"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14,130</w:t>
            </w:r>
          </w:p>
        </w:tc>
        <w:tc>
          <w:tcPr>
            <w:tcW w:w="820" w:type="dxa"/>
            <w:shd w:val="clear" w:color="auto" w:fill="FFFFFF"/>
            <w:tcMar>
              <w:top w:w="30" w:type="dxa"/>
              <w:left w:w="30" w:type="dxa"/>
              <w:bottom w:w="30" w:type="dxa"/>
              <w:right w:w="30" w:type="dxa"/>
            </w:tcMar>
            <w:vAlign w:val="center"/>
          </w:tcPr>
          <w:p w14:paraId="6DD0DA58"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1</w:t>
            </w:r>
          </w:p>
        </w:tc>
        <w:tc>
          <w:tcPr>
            <w:tcW w:w="821" w:type="dxa"/>
            <w:shd w:val="clear" w:color="auto" w:fill="FFFFFF"/>
            <w:tcMar>
              <w:top w:w="30" w:type="dxa"/>
              <w:left w:w="30" w:type="dxa"/>
              <w:bottom w:w="30" w:type="dxa"/>
              <w:right w:w="30" w:type="dxa"/>
            </w:tcMar>
            <w:vAlign w:val="center"/>
          </w:tcPr>
          <w:p w14:paraId="005560FA" w14:textId="77777777" w:rsidR="008D5523" w:rsidRPr="008D479C" w:rsidRDefault="008D5523" w:rsidP="00C0403B">
            <w:pPr>
              <w:spacing w:after="100" w:afterAutospacing="1" w:line="240" w:lineRule="auto"/>
              <w:jc w:val="center"/>
              <w:rPr>
                <w:rFonts w:cs="Arial"/>
                <w:sz w:val="20"/>
                <w:szCs w:val="20"/>
                <w:lang w:val="es-MX"/>
              </w:rPr>
            </w:pPr>
            <w:r>
              <w:rPr>
                <w:rFonts w:cs="Arial"/>
                <w:sz w:val="20"/>
                <w:szCs w:val="20"/>
                <w:lang w:val="es-MX"/>
              </w:rPr>
              <w:t>0</w:t>
            </w:r>
            <w:r w:rsidRPr="008D479C">
              <w:rPr>
                <w:rFonts w:cs="Arial"/>
                <w:sz w:val="20"/>
                <w:szCs w:val="20"/>
                <w:lang w:val="es-MX"/>
              </w:rPr>
              <w:t>,000</w:t>
            </w:r>
          </w:p>
        </w:tc>
        <w:tc>
          <w:tcPr>
            <w:tcW w:w="821" w:type="dxa"/>
            <w:shd w:val="clear" w:color="auto" w:fill="FFFFFF"/>
            <w:tcMar>
              <w:top w:w="30" w:type="dxa"/>
              <w:left w:w="30" w:type="dxa"/>
              <w:bottom w:w="30" w:type="dxa"/>
              <w:right w:w="30" w:type="dxa"/>
            </w:tcMar>
            <w:vAlign w:val="center"/>
          </w:tcPr>
          <w:p w14:paraId="667605CC"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1,001</w:t>
            </w:r>
          </w:p>
        </w:tc>
        <w:tc>
          <w:tcPr>
            <w:tcW w:w="1383" w:type="dxa"/>
            <w:shd w:val="clear" w:color="auto" w:fill="FFFFFF"/>
            <w:vAlign w:val="center"/>
          </w:tcPr>
          <w:p w14:paraId="58C95F0B"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3,758</w:t>
            </w:r>
          </w:p>
        </w:tc>
      </w:tr>
      <w:tr w:rsidR="008D5523" w:rsidRPr="008D479C" w14:paraId="53390664" w14:textId="77777777" w:rsidTr="00C0403B">
        <w:trPr>
          <w:cantSplit/>
          <w:tblHeader/>
          <w:jc w:val="center"/>
        </w:trPr>
        <w:tc>
          <w:tcPr>
            <w:tcW w:w="1372" w:type="dxa"/>
            <w:shd w:val="clear" w:color="auto" w:fill="FFFFFF"/>
            <w:tcMar>
              <w:top w:w="30" w:type="dxa"/>
              <w:left w:w="30" w:type="dxa"/>
              <w:bottom w:w="30" w:type="dxa"/>
              <w:right w:w="30" w:type="dxa"/>
            </w:tcMar>
            <w:vAlign w:val="center"/>
          </w:tcPr>
          <w:p w14:paraId="576FEA16" w14:textId="77777777" w:rsidR="008D5523" w:rsidRPr="008D479C" w:rsidRDefault="008D5523" w:rsidP="00C0403B">
            <w:pPr>
              <w:spacing w:after="100" w:afterAutospacing="1" w:line="240" w:lineRule="auto"/>
              <w:rPr>
                <w:rFonts w:cs="Arial"/>
                <w:sz w:val="20"/>
                <w:szCs w:val="20"/>
                <w:lang w:val="es-MX"/>
              </w:rPr>
            </w:pPr>
            <w:r w:rsidRPr="008D479C">
              <w:rPr>
                <w:rFonts w:cs="Arial"/>
                <w:sz w:val="20"/>
                <w:szCs w:val="20"/>
                <w:lang w:val="es-MX"/>
              </w:rPr>
              <w:t>S</w:t>
            </w:r>
            <w:r>
              <w:rPr>
                <w:rFonts w:cs="Arial"/>
                <w:sz w:val="20"/>
                <w:szCs w:val="20"/>
                <w:lang w:val="es-MX"/>
              </w:rPr>
              <w:t xml:space="preserve">an </w:t>
            </w:r>
            <w:r w:rsidRPr="008D479C">
              <w:rPr>
                <w:rFonts w:cs="Arial"/>
                <w:sz w:val="20"/>
                <w:szCs w:val="20"/>
                <w:lang w:val="es-MX"/>
              </w:rPr>
              <w:t>Isidro</w:t>
            </w:r>
          </w:p>
        </w:tc>
        <w:tc>
          <w:tcPr>
            <w:tcW w:w="820" w:type="dxa"/>
            <w:shd w:val="clear" w:color="auto" w:fill="FFFFFF"/>
            <w:tcMar>
              <w:top w:w="30" w:type="dxa"/>
              <w:left w:w="30" w:type="dxa"/>
              <w:bottom w:w="30" w:type="dxa"/>
              <w:right w:w="30" w:type="dxa"/>
            </w:tcMar>
            <w:vAlign w:val="center"/>
          </w:tcPr>
          <w:p w14:paraId="7B743B9C"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-2,434</w:t>
            </w:r>
          </w:p>
        </w:tc>
        <w:tc>
          <w:tcPr>
            <w:tcW w:w="821" w:type="dxa"/>
            <w:shd w:val="clear" w:color="auto" w:fill="FFFFFF"/>
            <w:tcMar>
              <w:top w:w="30" w:type="dxa"/>
              <w:left w:w="30" w:type="dxa"/>
              <w:bottom w:w="30" w:type="dxa"/>
              <w:right w:w="30" w:type="dxa"/>
            </w:tcMar>
            <w:vAlign w:val="center"/>
          </w:tcPr>
          <w:p w14:paraId="351FC5E9" w14:textId="77777777" w:rsidR="008D5523" w:rsidRPr="008D479C" w:rsidRDefault="008D5523" w:rsidP="00C0403B">
            <w:pPr>
              <w:spacing w:after="100" w:afterAutospacing="1" w:line="240" w:lineRule="auto"/>
              <w:jc w:val="center"/>
              <w:rPr>
                <w:rFonts w:cs="Arial"/>
                <w:sz w:val="20"/>
                <w:szCs w:val="20"/>
                <w:lang w:val="es-MX"/>
              </w:rPr>
            </w:pPr>
            <w:r>
              <w:rPr>
                <w:rFonts w:cs="Arial"/>
                <w:sz w:val="20"/>
                <w:szCs w:val="20"/>
                <w:lang w:val="es-MX"/>
              </w:rPr>
              <w:t>0</w:t>
            </w:r>
            <w:r w:rsidRPr="008D479C">
              <w:rPr>
                <w:rFonts w:cs="Arial"/>
                <w:sz w:val="20"/>
                <w:szCs w:val="20"/>
                <w:lang w:val="es-MX"/>
              </w:rPr>
              <w:t>,621</w:t>
            </w:r>
          </w:p>
        </w:tc>
        <w:tc>
          <w:tcPr>
            <w:tcW w:w="821" w:type="dxa"/>
            <w:shd w:val="clear" w:color="auto" w:fill="FFFFFF"/>
            <w:tcMar>
              <w:top w:w="30" w:type="dxa"/>
              <w:left w:w="30" w:type="dxa"/>
              <w:bottom w:w="30" w:type="dxa"/>
              <w:right w:w="30" w:type="dxa"/>
            </w:tcMar>
            <w:vAlign w:val="center"/>
          </w:tcPr>
          <w:p w14:paraId="1EF84766"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15,354</w:t>
            </w:r>
          </w:p>
        </w:tc>
        <w:tc>
          <w:tcPr>
            <w:tcW w:w="820" w:type="dxa"/>
            <w:shd w:val="clear" w:color="auto" w:fill="FFFFFF"/>
            <w:tcMar>
              <w:top w:w="30" w:type="dxa"/>
              <w:left w:w="30" w:type="dxa"/>
              <w:bottom w:w="30" w:type="dxa"/>
              <w:right w:w="30" w:type="dxa"/>
            </w:tcMar>
            <w:vAlign w:val="center"/>
          </w:tcPr>
          <w:p w14:paraId="35D7E008"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1</w:t>
            </w:r>
          </w:p>
        </w:tc>
        <w:tc>
          <w:tcPr>
            <w:tcW w:w="821" w:type="dxa"/>
            <w:shd w:val="clear" w:color="auto" w:fill="FFFFFF"/>
            <w:tcMar>
              <w:top w:w="30" w:type="dxa"/>
              <w:left w:w="30" w:type="dxa"/>
              <w:bottom w:w="30" w:type="dxa"/>
              <w:right w:w="30" w:type="dxa"/>
            </w:tcMar>
            <w:vAlign w:val="center"/>
          </w:tcPr>
          <w:p w14:paraId="35BA73CA" w14:textId="77777777" w:rsidR="008D5523" w:rsidRPr="008D479C" w:rsidRDefault="008D5523" w:rsidP="00C0403B">
            <w:pPr>
              <w:spacing w:after="100" w:afterAutospacing="1" w:line="240" w:lineRule="auto"/>
              <w:jc w:val="center"/>
              <w:rPr>
                <w:rFonts w:cs="Arial"/>
                <w:sz w:val="20"/>
                <w:szCs w:val="20"/>
                <w:lang w:val="es-MX"/>
              </w:rPr>
            </w:pPr>
            <w:r>
              <w:rPr>
                <w:rFonts w:cs="Arial"/>
                <w:sz w:val="20"/>
                <w:szCs w:val="20"/>
                <w:lang w:val="es-MX"/>
              </w:rPr>
              <w:t>0</w:t>
            </w:r>
            <w:r w:rsidRPr="008D479C">
              <w:rPr>
                <w:rFonts w:cs="Arial"/>
                <w:sz w:val="20"/>
                <w:szCs w:val="20"/>
                <w:lang w:val="es-MX"/>
              </w:rPr>
              <w:t>,000</w:t>
            </w:r>
          </w:p>
        </w:tc>
        <w:tc>
          <w:tcPr>
            <w:tcW w:w="821" w:type="dxa"/>
            <w:shd w:val="clear" w:color="auto" w:fill="FFFFFF"/>
            <w:tcMar>
              <w:top w:w="30" w:type="dxa"/>
              <w:left w:w="30" w:type="dxa"/>
              <w:bottom w:w="30" w:type="dxa"/>
              <w:right w:w="30" w:type="dxa"/>
            </w:tcMar>
            <w:vAlign w:val="center"/>
          </w:tcPr>
          <w:p w14:paraId="4CF8E0E7" w14:textId="77777777" w:rsidR="008D5523" w:rsidRPr="008D479C" w:rsidRDefault="008D5523" w:rsidP="00C0403B">
            <w:pPr>
              <w:spacing w:after="100" w:afterAutospacing="1" w:line="240" w:lineRule="auto"/>
              <w:jc w:val="center"/>
              <w:rPr>
                <w:rFonts w:cs="Arial"/>
                <w:sz w:val="20"/>
                <w:szCs w:val="20"/>
                <w:lang w:val="es-MX"/>
              </w:rPr>
            </w:pPr>
            <w:r>
              <w:rPr>
                <w:rFonts w:cs="Arial"/>
                <w:sz w:val="20"/>
                <w:szCs w:val="20"/>
                <w:lang w:val="es-MX"/>
              </w:rPr>
              <w:t>0</w:t>
            </w:r>
            <w:r w:rsidRPr="008D479C">
              <w:rPr>
                <w:rFonts w:cs="Arial"/>
                <w:sz w:val="20"/>
                <w:szCs w:val="20"/>
                <w:lang w:val="es-MX"/>
              </w:rPr>
              <w:t>,088</w:t>
            </w:r>
          </w:p>
        </w:tc>
        <w:tc>
          <w:tcPr>
            <w:tcW w:w="1383" w:type="dxa"/>
            <w:shd w:val="clear" w:color="auto" w:fill="FFFFFF"/>
            <w:vAlign w:val="center"/>
          </w:tcPr>
          <w:p w14:paraId="02D8D391"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-3,918</w:t>
            </w:r>
          </w:p>
        </w:tc>
      </w:tr>
      <w:tr w:rsidR="008D5523" w:rsidRPr="008D479C" w14:paraId="0C456DC9" w14:textId="77777777" w:rsidTr="00C0403B">
        <w:trPr>
          <w:cantSplit/>
          <w:tblHeader/>
          <w:jc w:val="center"/>
        </w:trPr>
        <w:tc>
          <w:tcPr>
            <w:tcW w:w="1372" w:type="dxa"/>
            <w:shd w:val="clear" w:color="auto" w:fill="FFFFFF"/>
            <w:tcMar>
              <w:top w:w="30" w:type="dxa"/>
              <w:left w:w="30" w:type="dxa"/>
              <w:bottom w:w="30" w:type="dxa"/>
              <w:right w:w="30" w:type="dxa"/>
            </w:tcMar>
            <w:vAlign w:val="center"/>
          </w:tcPr>
          <w:p w14:paraId="4DB70452" w14:textId="77777777" w:rsidR="008D5523" w:rsidRPr="008D479C" w:rsidRDefault="008D5523" w:rsidP="00C0403B">
            <w:pPr>
              <w:spacing w:after="100" w:afterAutospacing="1" w:line="240" w:lineRule="auto"/>
              <w:rPr>
                <w:rFonts w:cs="Arial"/>
                <w:sz w:val="20"/>
                <w:szCs w:val="20"/>
                <w:lang w:val="es-MX"/>
              </w:rPr>
            </w:pPr>
            <w:r w:rsidRPr="008D479C">
              <w:rPr>
                <w:rFonts w:cs="Arial"/>
                <w:sz w:val="20"/>
                <w:szCs w:val="20"/>
                <w:lang w:val="es-MX"/>
              </w:rPr>
              <w:t>ProblemasX3</w:t>
            </w:r>
          </w:p>
        </w:tc>
        <w:tc>
          <w:tcPr>
            <w:tcW w:w="820" w:type="dxa"/>
            <w:shd w:val="clear" w:color="auto" w:fill="FFFFFF"/>
            <w:tcMar>
              <w:top w:w="30" w:type="dxa"/>
              <w:left w:w="30" w:type="dxa"/>
              <w:bottom w:w="30" w:type="dxa"/>
              <w:right w:w="30" w:type="dxa"/>
            </w:tcMar>
            <w:vAlign w:val="center"/>
          </w:tcPr>
          <w:p w14:paraId="012D8E0B" w14:textId="77777777" w:rsidR="008D5523" w:rsidRPr="008D479C" w:rsidRDefault="008D5523" w:rsidP="00C0403B">
            <w:pPr>
              <w:spacing w:after="100" w:afterAutospacing="1" w:line="240" w:lineRule="auto"/>
              <w:jc w:val="center"/>
              <w:rPr>
                <w:rFonts w:cs="Arial"/>
                <w:sz w:val="20"/>
                <w:szCs w:val="20"/>
                <w:lang w:val="es-MX"/>
              </w:rPr>
            </w:pPr>
            <w:r>
              <w:rPr>
                <w:rFonts w:cs="Arial"/>
                <w:sz w:val="20"/>
                <w:szCs w:val="20"/>
                <w:lang w:val="es-MX"/>
              </w:rPr>
              <w:t>0</w:t>
            </w:r>
            <w:r w:rsidRPr="008D479C">
              <w:rPr>
                <w:rFonts w:cs="Arial"/>
                <w:sz w:val="20"/>
                <w:szCs w:val="20"/>
                <w:lang w:val="es-MX"/>
              </w:rPr>
              <w:t>,010</w:t>
            </w:r>
          </w:p>
        </w:tc>
        <w:tc>
          <w:tcPr>
            <w:tcW w:w="821" w:type="dxa"/>
            <w:shd w:val="clear" w:color="auto" w:fill="FFFFFF"/>
            <w:tcMar>
              <w:top w:w="30" w:type="dxa"/>
              <w:left w:w="30" w:type="dxa"/>
              <w:bottom w:w="30" w:type="dxa"/>
              <w:right w:w="30" w:type="dxa"/>
            </w:tcMar>
            <w:vAlign w:val="center"/>
          </w:tcPr>
          <w:p w14:paraId="4BAEDDB7" w14:textId="77777777" w:rsidR="008D5523" w:rsidRPr="008D479C" w:rsidRDefault="008D5523" w:rsidP="00C0403B">
            <w:pPr>
              <w:spacing w:after="100" w:afterAutospacing="1" w:line="240" w:lineRule="auto"/>
              <w:jc w:val="center"/>
              <w:rPr>
                <w:rFonts w:cs="Arial"/>
                <w:sz w:val="20"/>
                <w:szCs w:val="20"/>
                <w:lang w:val="es-MX"/>
              </w:rPr>
            </w:pPr>
            <w:r>
              <w:rPr>
                <w:rFonts w:cs="Arial"/>
                <w:sz w:val="20"/>
                <w:szCs w:val="20"/>
                <w:lang w:val="es-MX"/>
              </w:rPr>
              <w:t>0</w:t>
            </w:r>
            <w:r w:rsidRPr="008D479C">
              <w:rPr>
                <w:rFonts w:cs="Arial"/>
                <w:sz w:val="20"/>
                <w:szCs w:val="20"/>
                <w:lang w:val="es-MX"/>
              </w:rPr>
              <w:t>,004</w:t>
            </w:r>
          </w:p>
        </w:tc>
        <w:tc>
          <w:tcPr>
            <w:tcW w:w="821" w:type="dxa"/>
            <w:shd w:val="clear" w:color="auto" w:fill="FFFFFF"/>
            <w:tcMar>
              <w:top w:w="30" w:type="dxa"/>
              <w:left w:w="30" w:type="dxa"/>
              <w:bottom w:w="30" w:type="dxa"/>
              <w:right w:w="30" w:type="dxa"/>
            </w:tcMar>
            <w:vAlign w:val="center"/>
          </w:tcPr>
          <w:p w14:paraId="0E7C8549"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7,051</w:t>
            </w:r>
          </w:p>
        </w:tc>
        <w:tc>
          <w:tcPr>
            <w:tcW w:w="820" w:type="dxa"/>
            <w:shd w:val="clear" w:color="auto" w:fill="FFFFFF"/>
            <w:tcMar>
              <w:top w:w="30" w:type="dxa"/>
              <w:left w:w="30" w:type="dxa"/>
              <w:bottom w:w="30" w:type="dxa"/>
              <w:right w:w="30" w:type="dxa"/>
            </w:tcMar>
            <w:vAlign w:val="center"/>
          </w:tcPr>
          <w:p w14:paraId="5A11EB41"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1</w:t>
            </w:r>
          </w:p>
        </w:tc>
        <w:tc>
          <w:tcPr>
            <w:tcW w:w="821" w:type="dxa"/>
            <w:shd w:val="clear" w:color="auto" w:fill="FFFFFF"/>
            <w:tcMar>
              <w:top w:w="30" w:type="dxa"/>
              <w:left w:w="30" w:type="dxa"/>
              <w:bottom w:w="30" w:type="dxa"/>
              <w:right w:w="30" w:type="dxa"/>
            </w:tcMar>
            <w:vAlign w:val="center"/>
          </w:tcPr>
          <w:p w14:paraId="7C7AFD1E" w14:textId="77777777" w:rsidR="008D5523" w:rsidRPr="008D479C" w:rsidRDefault="008D5523" w:rsidP="00C0403B">
            <w:pPr>
              <w:spacing w:after="100" w:afterAutospacing="1" w:line="240" w:lineRule="auto"/>
              <w:jc w:val="center"/>
              <w:rPr>
                <w:rFonts w:cs="Arial"/>
                <w:sz w:val="20"/>
                <w:szCs w:val="20"/>
                <w:lang w:val="es-MX"/>
              </w:rPr>
            </w:pPr>
            <w:r>
              <w:rPr>
                <w:rFonts w:cs="Arial"/>
                <w:sz w:val="20"/>
                <w:szCs w:val="20"/>
                <w:lang w:val="es-MX"/>
              </w:rPr>
              <w:t>0</w:t>
            </w:r>
            <w:r w:rsidRPr="008D479C">
              <w:rPr>
                <w:rFonts w:cs="Arial"/>
                <w:sz w:val="20"/>
                <w:szCs w:val="20"/>
                <w:lang w:val="es-MX"/>
              </w:rPr>
              <w:t>,008</w:t>
            </w:r>
          </w:p>
        </w:tc>
        <w:tc>
          <w:tcPr>
            <w:tcW w:w="821" w:type="dxa"/>
            <w:shd w:val="clear" w:color="auto" w:fill="FFFFFF"/>
            <w:tcMar>
              <w:top w:w="30" w:type="dxa"/>
              <w:left w:w="30" w:type="dxa"/>
              <w:bottom w:w="30" w:type="dxa"/>
              <w:right w:w="30" w:type="dxa"/>
            </w:tcMar>
            <w:vAlign w:val="center"/>
          </w:tcPr>
          <w:p w14:paraId="154D664E"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1,011</w:t>
            </w:r>
          </w:p>
        </w:tc>
        <w:tc>
          <w:tcPr>
            <w:tcW w:w="1383" w:type="dxa"/>
            <w:shd w:val="clear" w:color="auto" w:fill="FFFFFF"/>
            <w:vAlign w:val="center"/>
          </w:tcPr>
          <w:p w14:paraId="555A824C"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2,655</w:t>
            </w:r>
          </w:p>
        </w:tc>
      </w:tr>
      <w:tr w:rsidR="008D5523" w:rsidRPr="008D479C" w14:paraId="2C67C65F" w14:textId="77777777" w:rsidTr="00C0403B">
        <w:trPr>
          <w:cantSplit/>
          <w:tblHeader/>
          <w:jc w:val="center"/>
        </w:trPr>
        <w:tc>
          <w:tcPr>
            <w:tcW w:w="1372" w:type="dxa"/>
            <w:shd w:val="clear" w:color="auto" w:fill="FFFFFF"/>
            <w:tcMar>
              <w:top w:w="30" w:type="dxa"/>
              <w:left w:w="30" w:type="dxa"/>
              <w:bottom w:w="30" w:type="dxa"/>
              <w:right w:w="30" w:type="dxa"/>
            </w:tcMar>
            <w:vAlign w:val="center"/>
          </w:tcPr>
          <w:p w14:paraId="5E917921" w14:textId="77777777" w:rsidR="008D5523" w:rsidRPr="008D479C" w:rsidRDefault="008D5523" w:rsidP="00C0403B">
            <w:pPr>
              <w:spacing w:after="100" w:afterAutospacing="1" w:line="240" w:lineRule="auto"/>
              <w:rPr>
                <w:rFonts w:cs="Arial"/>
                <w:sz w:val="20"/>
                <w:szCs w:val="20"/>
                <w:lang w:val="es-MX"/>
              </w:rPr>
            </w:pPr>
            <w:r w:rsidRPr="008D479C">
              <w:rPr>
                <w:rFonts w:cs="Arial"/>
                <w:sz w:val="20"/>
                <w:szCs w:val="20"/>
                <w:lang w:val="es-MX"/>
              </w:rPr>
              <w:t>Confort</w:t>
            </w:r>
          </w:p>
        </w:tc>
        <w:tc>
          <w:tcPr>
            <w:tcW w:w="820" w:type="dxa"/>
            <w:shd w:val="clear" w:color="auto" w:fill="FFFFFF"/>
            <w:tcMar>
              <w:top w:w="30" w:type="dxa"/>
              <w:left w:w="30" w:type="dxa"/>
              <w:bottom w:w="30" w:type="dxa"/>
              <w:right w:w="30" w:type="dxa"/>
            </w:tcMar>
            <w:vAlign w:val="center"/>
          </w:tcPr>
          <w:p w14:paraId="0DE0E146" w14:textId="77777777" w:rsidR="008D5523" w:rsidRPr="008D479C" w:rsidRDefault="008D5523" w:rsidP="00C0403B">
            <w:pPr>
              <w:spacing w:after="100" w:afterAutospacing="1" w:line="240" w:lineRule="auto"/>
              <w:jc w:val="center"/>
              <w:rPr>
                <w:rFonts w:cs="Arial"/>
                <w:sz w:val="20"/>
                <w:szCs w:val="20"/>
                <w:lang w:val="es-MX"/>
              </w:rPr>
            </w:pPr>
            <w:r>
              <w:rPr>
                <w:rFonts w:cs="Arial"/>
                <w:sz w:val="20"/>
                <w:szCs w:val="20"/>
                <w:lang w:val="es-MX"/>
              </w:rPr>
              <w:t>0</w:t>
            </w:r>
            <w:r w:rsidRPr="008D479C">
              <w:rPr>
                <w:rFonts w:cs="Arial"/>
                <w:sz w:val="20"/>
                <w:szCs w:val="20"/>
                <w:lang w:val="es-MX"/>
              </w:rPr>
              <w:t>,992</w:t>
            </w:r>
          </w:p>
        </w:tc>
        <w:tc>
          <w:tcPr>
            <w:tcW w:w="821" w:type="dxa"/>
            <w:shd w:val="clear" w:color="auto" w:fill="FFFFFF"/>
            <w:tcMar>
              <w:top w:w="30" w:type="dxa"/>
              <w:left w:w="30" w:type="dxa"/>
              <w:bottom w:w="30" w:type="dxa"/>
              <w:right w:w="30" w:type="dxa"/>
            </w:tcMar>
            <w:vAlign w:val="center"/>
          </w:tcPr>
          <w:p w14:paraId="072EFEB1" w14:textId="77777777" w:rsidR="008D5523" w:rsidRPr="008D479C" w:rsidRDefault="008D5523" w:rsidP="00C0403B">
            <w:pPr>
              <w:spacing w:after="100" w:afterAutospacing="1" w:line="240" w:lineRule="auto"/>
              <w:jc w:val="center"/>
              <w:rPr>
                <w:rFonts w:cs="Arial"/>
                <w:sz w:val="20"/>
                <w:szCs w:val="20"/>
                <w:lang w:val="es-MX"/>
              </w:rPr>
            </w:pPr>
            <w:r>
              <w:rPr>
                <w:rFonts w:cs="Arial"/>
                <w:sz w:val="20"/>
                <w:szCs w:val="20"/>
                <w:lang w:val="es-MX"/>
              </w:rPr>
              <w:t>0</w:t>
            </w:r>
            <w:r w:rsidRPr="008D479C">
              <w:rPr>
                <w:rFonts w:cs="Arial"/>
                <w:sz w:val="20"/>
                <w:szCs w:val="20"/>
                <w:lang w:val="es-MX"/>
              </w:rPr>
              <w:t>,450</w:t>
            </w:r>
          </w:p>
        </w:tc>
        <w:tc>
          <w:tcPr>
            <w:tcW w:w="821" w:type="dxa"/>
            <w:shd w:val="clear" w:color="auto" w:fill="FFFFFF"/>
            <w:tcMar>
              <w:top w:w="30" w:type="dxa"/>
              <w:left w:w="30" w:type="dxa"/>
              <w:bottom w:w="30" w:type="dxa"/>
              <w:right w:w="30" w:type="dxa"/>
            </w:tcMar>
            <w:vAlign w:val="center"/>
          </w:tcPr>
          <w:p w14:paraId="30ED91FC"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4,865</w:t>
            </w:r>
          </w:p>
        </w:tc>
        <w:tc>
          <w:tcPr>
            <w:tcW w:w="820" w:type="dxa"/>
            <w:shd w:val="clear" w:color="auto" w:fill="FFFFFF"/>
            <w:tcMar>
              <w:top w:w="30" w:type="dxa"/>
              <w:left w:w="30" w:type="dxa"/>
              <w:bottom w:w="30" w:type="dxa"/>
              <w:right w:w="30" w:type="dxa"/>
            </w:tcMar>
            <w:vAlign w:val="center"/>
          </w:tcPr>
          <w:p w14:paraId="2506478A"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1</w:t>
            </w:r>
          </w:p>
        </w:tc>
        <w:tc>
          <w:tcPr>
            <w:tcW w:w="821" w:type="dxa"/>
            <w:shd w:val="clear" w:color="auto" w:fill="FFFFFF"/>
            <w:tcMar>
              <w:top w:w="30" w:type="dxa"/>
              <w:left w:w="30" w:type="dxa"/>
              <w:bottom w:w="30" w:type="dxa"/>
              <w:right w:w="30" w:type="dxa"/>
            </w:tcMar>
            <w:vAlign w:val="center"/>
          </w:tcPr>
          <w:p w14:paraId="7CF34E8C" w14:textId="77777777" w:rsidR="008D5523" w:rsidRPr="008D479C" w:rsidRDefault="008D5523" w:rsidP="00C0403B">
            <w:pPr>
              <w:spacing w:after="100" w:afterAutospacing="1" w:line="240" w:lineRule="auto"/>
              <w:jc w:val="center"/>
              <w:rPr>
                <w:rFonts w:cs="Arial"/>
                <w:sz w:val="20"/>
                <w:szCs w:val="20"/>
                <w:lang w:val="es-MX"/>
              </w:rPr>
            </w:pPr>
            <w:r>
              <w:rPr>
                <w:rFonts w:cs="Arial"/>
                <w:sz w:val="20"/>
                <w:szCs w:val="20"/>
                <w:lang w:val="es-MX"/>
              </w:rPr>
              <w:t>0</w:t>
            </w:r>
            <w:r w:rsidRPr="008D479C">
              <w:rPr>
                <w:rFonts w:cs="Arial"/>
                <w:sz w:val="20"/>
                <w:szCs w:val="20"/>
                <w:lang w:val="es-MX"/>
              </w:rPr>
              <w:t>,027</w:t>
            </w:r>
          </w:p>
        </w:tc>
        <w:tc>
          <w:tcPr>
            <w:tcW w:w="821" w:type="dxa"/>
            <w:shd w:val="clear" w:color="auto" w:fill="FFFFFF"/>
            <w:tcMar>
              <w:top w:w="30" w:type="dxa"/>
              <w:left w:w="30" w:type="dxa"/>
              <w:bottom w:w="30" w:type="dxa"/>
              <w:right w:w="30" w:type="dxa"/>
            </w:tcMar>
            <w:vAlign w:val="center"/>
          </w:tcPr>
          <w:p w14:paraId="1D1953C3"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2,696</w:t>
            </w:r>
          </w:p>
        </w:tc>
        <w:tc>
          <w:tcPr>
            <w:tcW w:w="1383" w:type="dxa"/>
            <w:shd w:val="clear" w:color="auto" w:fill="FFFFFF"/>
            <w:vAlign w:val="center"/>
          </w:tcPr>
          <w:p w14:paraId="6FAF1FE7"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2,205</w:t>
            </w:r>
          </w:p>
        </w:tc>
      </w:tr>
      <w:tr w:rsidR="008D5523" w:rsidRPr="008D479C" w14:paraId="244F2E8F" w14:textId="77777777" w:rsidTr="00C0403B">
        <w:trPr>
          <w:cantSplit/>
          <w:tblHeader/>
          <w:jc w:val="center"/>
        </w:trPr>
        <w:tc>
          <w:tcPr>
            <w:tcW w:w="1372" w:type="dxa"/>
            <w:shd w:val="clear" w:color="auto" w:fill="FFFFFF"/>
            <w:tcMar>
              <w:top w:w="30" w:type="dxa"/>
              <w:left w:w="30" w:type="dxa"/>
              <w:bottom w:w="30" w:type="dxa"/>
              <w:right w:w="30" w:type="dxa"/>
            </w:tcMar>
            <w:vAlign w:val="center"/>
          </w:tcPr>
          <w:p w14:paraId="24320241" w14:textId="77777777" w:rsidR="008D5523" w:rsidRPr="008D479C" w:rsidRDefault="008D5523" w:rsidP="00C0403B">
            <w:pPr>
              <w:spacing w:after="100" w:afterAutospacing="1" w:line="240" w:lineRule="auto"/>
              <w:rPr>
                <w:rFonts w:cs="Arial"/>
                <w:sz w:val="20"/>
                <w:szCs w:val="20"/>
                <w:lang w:val="es-MX"/>
              </w:rPr>
            </w:pPr>
            <w:r w:rsidRPr="008D479C">
              <w:rPr>
                <w:rFonts w:cs="Arial"/>
                <w:sz w:val="20"/>
                <w:szCs w:val="20"/>
                <w:lang w:val="es-MX"/>
              </w:rPr>
              <w:t>Educ</w:t>
            </w:r>
            <w:r>
              <w:rPr>
                <w:rFonts w:cs="Arial"/>
                <w:sz w:val="20"/>
                <w:szCs w:val="20"/>
                <w:lang w:val="es-MX"/>
              </w:rPr>
              <w:t>ación</w:t>
            </w:r>
            <w:r w:rsidRPr="008D479C">
              <w:rPr>
                <w:rFonts w:cs="Arial"/>
                <w:sz w:val="20"/>
                <w:szCs w:val="20"/>
                <w:lang w:val="es-MX"/>
              </w:rPr>
              <w:t>4</w:t>
            </w:r>
          </w:p>
        </w:tc>
        <w:tc>
          <w:tcPr>
            <w:tcW w:w="820" w:type="dxa"/>
            <w:shd w:val="clear" w:color="auto" w:fill="FFFFFF"/>
            <w:tcMar>
              <w:top w:w="30" w:type="dxa"/>
              <w:left w:w="30" w:type="dxa"/>
              <w:bottom w:w="30" w:type="dxa"/>
              <w:right w:w="30" w:type="dxa"/>
            </w:tcMar>
            <w:vAlign w:val="center"/>
          </w:tcPr>
          <w:p w14:paraId="2D8D45FD"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2,130</w:t>
            </w:r>
          </w:p>
        </w:tc>
        <w:tc>
          <w:tcPr>
            <w:tcW w:w="821" w:type="dxa"/>
            <w:shd w:val="clear" w:color="auto" w:fill="FFFFFF"/>
            <w:tcMar>
              <w:top w:w="30" w:type="dxa"/>
              <w:left w:w="30" w:type="dxa"/>
              <w:bottom w:w="30" w:type="dxa"/>
              <w:right w:w="30" w:type="dxa"/>
            </w:tcMar>
            <w:vAlign w:val="center"/>
          </w:tcPr>
          <w:p w14:paraId="1FC2D49A" w14:textId="77777777" w:rsidR="008D5523" w:rsidRPr="008D479C" w:rsidRDefault="008D5523" w:rsidP="00C0403B">
            <w:pPr>
              <w:spacing w:after="100" w:afterAutospacing="1" w:line="240" w:lineRule="auto"/>
              <w:jc w:val="center"/>
              <w:rPr>
                <w:rFonts w:cs="Arial"/>
                <w:sz w:val="20"/>
                <w:szCs w:val="20"/>
                <w:lang w:val="es-MX"/>
              </w:rPr>
            </w:pPr>
            <w:r>
              <w:rPr>
                <w:rFonts w:cs="Arial"/>
                <w:sz w:val="20"/>
                <w:szCs w:val="20"/>
                <w:lang w:val="es-MX"/>
              </w:rPr>
              <w:t>0</w:t>
            </w:r>
            <w:r w:rsidRPr="008D479C">
              <w:rPr>
                <w:rFonts w:cs="Arial"/>
                <w:sz w:val="20"/>
                <w:szCs w:val="20"/>
                <w:lang w:val="es-MX"/>
              </w:rPr>
              <w:t>,644</w:t>
            </w:r>
          </w:p>
        </w:tc>
        <w:tc>
          <w:tcPr>
            <w:tcW w:w="821" w:type="dxa"/>
            <w:shd w:val="clear" w:color="auto" w:fill="FFFFFF"/>
            <w:tcMar>
              <w:top w:w="30" w:type="dxa"/>
              <w:left w:w="30" w:type="dxa"/>
              <w:bottom w:w="30" w:type="dxa"/>
              <w:right w:w="30" w:type="dxa"/>
            </w:tcMar>
            <w:vAlign w:val="center"/>
          </w:tcPr>
          <w:p w14:paraId="1062DBAF"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10,956</w:t>
            </w:r>
          </w:p>
        </w:tc>
        <w:tc>
          <w:tcPr>
            <w:tcW w:w="820" w:type="dxa"/>
            <w:shd w:val="clear" w:color="auto" w:fill="FFFFFF"/>
            <w:tcMar>
              <w:top w:w="30" w:type="dxa"/>
              <w:left w:w="30" w:type="dxa"/>
              <w:bottom w:w="30" w:type="dxa"/>
              <w:right w:w="30" w:type="dxa"/>
            </w:tcMar>
            <w:vAlign w:val="center"/>
          </w:tcPr>
          <w:p w14:paraId="3B9283D8"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1</w:t>
            </w:r>
          </w:p>
        </w:tc>
        <w:tc>
          <w:tcPr>
            <w:tcW w:w="821" w:type="dxa"/>
            <w:shd w:val="clear" w:color="auto" w:fill="FFFFFF"/>
            <w:tcMar>
              <w:top w:w="30" w:type="dxa"/>
              <w:left w:w="30" w:type="dxa"/>
              <w:bottom w:w="30" w:type="dxa"/>
              <w:right w:w="30" w:type="dxa"/>
            </w:tcMar>
            <w:vAlign w:val="center"/>
          </w:tcPr>
          <w:p w14:paraId="7ED8C2F1" w14:textId="77777777" w:rsidR="008D5523" w:rsidRPr="008D479C" w:rsidRDefault="008D5523" w:rsidP="00C0403B">
            <w:pPr>
              <w:spacing w:after="100" w:afterAutospacing="1" w:line="240" w:lineRule="auto"/>
              <w:jc w:val="center"/>
              <w:rPr>
                <w:rFonts w:cs="Arial"/>
                <w:sz w:val="20"/>
                <w:szCs w:val="20"/>
                <w:lang w:val="es-MX"/>
              </w:rPr>
            </w:pPr>
            <w:r>
              <w:rPr>
                <w:rFonts w:cs="Arial"/>
                <w:sz w:val="20"/>
                <w:szCs w:val="20"/>
                <w:lang w:val="es-MX"/>
              </w:rPr>
              <w:t>0</w:t>
            </w:r>
            <w:r w:rsidRPr="008D479C">
              <w:rPr>
                <w:rFonts w:cs="Arial"/>
                <w:sz w:val="20"/>
                <w:szCs w:val="20"/>
                <w:lang w:val="es-MX"/>
              </w:rPr>
              <w:t>,001</w:t>
            </w:r>
          </w:p>
        </w:tc>
        <w:tc>
          <w:tcPr>
            <w:tcW w:w="821" w:type="dxa"/>
            <w:shd w:val="clear" w:color="auto" w:fill="FFFFFF"/>
            <w:tcMar>
              <w:top w:w="30" w:type="dxa"/>
              <w:left w:w="30" w:type="dxa"/>
              <w:bottom w:w="30" w:type="dxa"/>
              <w:right w:w="30" w:type="dxa"/>
            </w:tcMar>
            <w:vAlign w:val="center"/>
          </w:tcPr>
          <w:p w14:paraId="5CBB90B5"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8,419</w:t>
            </w:r>
          </w:p>
        </w:tc>
        <w:tc>
          <w:tcPr>
            <w:tcW w:w="1383" w:type="dxa"/>
            <w:shd w:val="clear" w:color="auto" w:fill="FFFFFF"/>
            <w:vAlign w:val="center"/>
          </w:tcPr>
          <w:p w14:paraId="22AB6505"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3,309</w:t>
            </w:r>
          </w:p>
        </w:tc>
      </w:tr>
      <w:tr w:rsidR="008D5523" w:rsidRPr="008D479C" w14:paraId="1169196F" w14:textId="77777777" w:rsidTr="00C0403B">
        <w:trPr>
          <w:cantSplit/>
          <w:tblHeader/>
          <w:jc w:val="center"/>
        </w:trPr>
        <w:tc>
          <w:tcPr>
            <w:tcW w:w="1372" w:type="dxa"/>
            <w:shd w:val="clear" w:color="auto" w:fill="FFFFFF"/>
            <w:tcMar>
              <w:top w:w="30" w:type="dxa"/>
              <w:left w:w="30" w:type="dxa"/>
              <w:bottom w:w="30" w:type="dxa"/>
              <w:right w:w="30" w:type="dxa"/>
            </w:tcMar>
            <w:vAlign w:val="center"/>
          </w:tcPr>
          <w:p w14:paraId="0CB9F134" w14:textId="77777777" w:rsidR="008D5523" w:rsidRPr="008D479C" w:rsidRDefault="008D5523" w:rsidP="00C0403B">
            <w:pPr>
              <w:spacing w:after="100" w:afterAutospacing="1" w:line="240" w:lineRule="auto"/>
              <w:rPr>
                <w:rFonts w:cs="Arial"/>
                <w:sz w:val="20"/>
                <w:szCs w:val="20"/>
                <w:lang w:val="es-MX"/>
              </w:rPr>
            </w:pPr>
            <w:r w:rsidRPr="008D479C">
              <w:rPr>
                <w:rFonts w:cs="Arial"/>
                <w:sz w:val="20"/>
                <w:szCs w:val="20"/>
                <w:lang w:val="es-MX"/>
              </w:rPr>
              <w:t>Precio</w:t>
            </w:r>
          </w:p>
        </w:tc>
        <w:tc>
          <w:tcPr>
            <w:tcW w:w="820" w:type="dxa"/>
            <w:shd w:val="clear" w:color="auto" w:fill="FFFFFF"/>
            <w:tcMar>
              <w:top w:w="30" w:type="dxa"/>
              <w:left w:w="30" w:type="dxa"/>
              <w:bottom w:w="30" w:type="dxa"/>
              <w:right w:w="30" w:type="dxa"/>
            </w:tcMar>
            <w:vAlign w:val="center"/>
          </w:tcPr>
          <w:p w14:paraId="546715C8"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w:t>
            </w:r>
            <w:r>
              <w:rPr>
                <w:rFonts w:cs="Arial"/>
                <w:sz w:val="20"/>
                <w:szCs w:val="20"/>
                <w:lang w:val="es-MX"/>
              </w:rPr>
              <w:t>0</w:t>
            </w:r>
            <w:r w:rsidRPr="008D479C">
              <w:rPr>
                <w:rFonts w:cs="Arial"/>
                <w:sz w:val="20"/>
                <w:szCs w:val="20"/>
                <w:lang w:val="es-MX"/>
              </w:rPr>
              <w:t>,036</w:t>
            </w:r>
          </w:p>
        </w:tc>
        <w:tc>
          <w:tcPr>
            <w:tcW w:w="821" w:type="dxa"/>
            <w:shd w:val="clear" w:color="auto" w:fill="FFFFFF"/>
            <w:tcMar>
              <w:top w:w="30" w:type="dxa"/>
              <w:left w:w="30" w:type="dxa"/>
              <w:bottom w:w="30" w:type="dxa"/>
              <w:right w:w="30" w:type="dxa"/>
            </w:tcMar>
            <w:vAlign w:val="center"/>
          </w:tcPr>
          <w:p w14:paraId="11BB74D9" w14:textId="77777777" w:rsidR="008D5523" w:rsidRPr="008D479C" w:rsidRDefault="008D5523" w:rsidP="00C0403B">
            <w:pPr>
              <w:spacing w:after="100" w:afterAutospacing="1" w:line="240" w:lineRule="auto"/>
              <w:jc w:val="center"/>
              <w:rPr>
                <w:rFonts w:cs="Arial"/>
                <w:sz w:val="20"/>
                <w:szCs w:val="20"/>
                <w:lang w:val="es-MX"/>
              </w:rPr>
            </w:pPr>
            <w:r>
              <w:rPr>
                <w:rFonts w:cs="Arial"/>
                <w:sz w:val="20"/>
                <w:szCs w:val="20"/>
                <w:lang w:val="es-MX"/>
              </w:rPr>
              <w:t>0</w:t>
            </w:r>
            <w:r w:rsidRPr="008D479C">
              <w:rPr>
                <w:rFonts w:cs="Arial"/>
                <w:sz w:val="20"/>
                <w:szCs w:val="20"/>
                <w:lang w:val="es-MX"/>
              </w:rPr>
              <w:t>,005</w:t>
            </w:r>
          </w:p>
        </w:tc>
        <w:tc>
          <w:tcPr>
            <w:tcW w:w="821" w:type="dxa"/>
            <w:shd w:val="clear" w:color="auto" w:fill="FFFFFF"/>
            <w:tcMar>
              <w:top w:w="30" w:type="dxa"/>
              <w:left w:w="30" w:type="dxa"/>
              <w:bottom w:w="30" w:type="dxa"/>
              <w:right w:w="30" w:type="dxa"/>
            </w:tcMar>
            <w:vAlign w:val="center"/>
          </w:tcPr>
          <w:p w14:paraId="5F7E5E7B"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48,174</w:t>
            </w:r>
          </w:p>
        </w:tc>
        <w:tc>
          <w:tcPr>
            <w:tcW w:w="820" w:type="dxa"/>
            <w:shd w:val="clear" w:color="auto" w:fill="FFFFFF"/>
            <w:tcMar>
              <w:top w:w="30" w:type="dxa"/>
              <w:left w:w="30" w:type="dxa"/>
              <w:bottom w:w="30" w:type="dxa"/>
              <w:right w:w="30" w:type="dxa"/>
            </w:tcMar>
            <w:vAlign w:val="center"/>
          </w:tcPr>
          <w:p w14:paraId="0DFB70A0"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1</w:t>
            </w:r>
          </w:p>
        </w:tc>
        <w:tc>
          <w:tcPr>
            <w:tcW w:w="821" w:type="dxa"/>
            <w:shd w:val="clear" w:color="auto" w:fill="FFFFFF"/>
            <w:tcMar>
              <w:top w:w="30" w:type="dxa"/>
              <w:left w:w="30" w:type="dxa"/>
              <w:bottom w:w="30" w:type="dxa"/>
              <w:right w:w="30" w:type="dxa"/>
            </w:tcMar>
            <w:vAlign w:val="center"/>
          </w:tcPr>
          <w:p w14:paraId="021C58BC" w14:textId="77777777" w:rsidR="008D5523" w:rsidRPr="008D479C" w:rsidRDefault="008D5523" w:rsidP="00C0403B">
            <w:pPr>
              <w:spacing w:after="100" w:afterAutospacing="1" w:line="240" w:lineRule="auto"/>
              <w:jc w:val="center"/>
              <w:rPr>
                <w:rFonts w:cs="Arial"/>
                <w:sz w:val="20"/>
                <w:szCs w:val="20"/>
                <w:lang w:val="es-MX"/>
              </w:rPr>
            </w:pPr>
            <w:r>
              <w:rPr>
                <w:rFonts w:cs="Arial"/>
                <w:sz w:val="20"/>
                <w:szCs w:val="20"/>
                <w:lang w:val="es-MX"/>
              </w:rPr>
              <w:t>0</w:t>
            </w:r>
            <w:r w:rsidRPr="008D479C">
              <w:rPr>
                <w:rFonts w:cs="Arial"/>
                <w:sz w:val="20"/>
                <w:szCs w:val="20"/>
                <w:lang w:val="es-MX"/>
              </w:rPr>
              <w:t>,000</w:t>
            </w:r>
          </w:p>
        </w:tc>
        <w:tc>
          <w:tcPr>
            <w:tcW w:w="821" w:type="dxa"/>
            <w:shd w:val="clear" w:color="auto" w:fill="FFFFFF"/>
            <w:tcMar>
              <w:top w:w="30" w:type="dxa"/>
              <w:left w:w="30" w:type="dxa"/>
              <w:bottom w:w="30" w:type="dxa"/>
              <w:right w:w="30" w:type="dxa"/>
            </w:tcMar>
            <w:vAlign w:val="center"/>
          </w:tcPr>
          <w:p w14:paraId="1484D707" w14:textId="77777777" w:rsidR="008D5523" w:rsidRPr="008D479C" w:rsidRDefault="008D5523" w:rsidP="00C0403B">
            <w:pPr>
              <w:spacing w:after="100" w:afterAutospacing="1" w:line="240" w:lineRule="auto"/>
              <w:jc w:val="center"/>
              <w:rPr>
                <w:rFonts w:cs="Arial"/>
                <w:sz w:val="20"/>
                <w:szCs w:val="20"/>
                <w:lang w:val="es-MX"/>
              </w:rPr>
            </w:pPr>
            <w:r>
              <w:rPr>
                <w:rFonts w:cs="Arial"/>
                <w:sz w:val="20"/>
                <w:szCs w:val="20"/>
                <w:lang w:val="es-MX"/>
              </w:rPr>
              <w:t>0</w:t>
            </w:r>
            <w:r w:rsidRPr="008D479C">
              <w:rPr>
                <w:rFonts w:cs="Arial"/>
                <w:sz w:val="20"/>
                <w:szCs w:val="20"/>
                <w:lang w:val="es-MX"/>
              </w:rPr>
              <w:t>,964</w:t>
            </w:r>
          </w:p>
        </w:tc>
        <w:tc>
          <w:tcPr>
            <w:tcW w:w="1383" w:type="dxa"/>
            <w:shd w:val="clear" w:color="auto" w:fill="FFFFFF"/>
            <w:vAlign w:val="center"/>
          </w:tcPr>
          <w:p w14:paraId="4739D9E6"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-6,940</w:t>
            </w:r>
          </w:p>
        </w:tc>
      </w:tr>
      <w:tr w:rsidR="008D5523" w:rsidRPr="008D479C" w14:paraId="5E118C7C" w14:textId="77777777" w:rsidTr="00C0403B">
        <w:trPr>
          <w:cantSplit/>
          <w:tblHeader/>
          <w:jc w:val="center"/>
        </w:trPr>
        <w:tc>
          <w:tcPr>
            <w:tcW w:w="1372" w:type="dxa"/>
            <w:shd w:val="clear" w:color="auto" w:fill="FFFFFF"/>
            <w:tcMar>
              <w:top w:w="30" w:type="dxa"/>
              <w:left w:w="30" w:type="dxa"/>
              <w:bottom w:w="30" w:type="dxa"/>
              <w:right w:w="30" w:type="dxa"/>
            </w:tcMar>
            <w:vAlign w:val="center"/>
          </w:tcPr>
          <w:p w14:paraId="080178BE" w14:textId="77777777" w:rsidR="008D5523" w:rsidRPr="008D479C" w:rsidRDefault="008D5523" w:rsidP="00C0403B">
            <w:pPr>
              <w:spacing w:after="100" w:afterAutospacing="1" w:line="240" w:lineRule="auto"/>
              <w:rPr>
                <w:rFonts w:cs="Arial"/>
                <w:sz w:val="20"/>
                <w:szCs w:val="20"/>
                <w:lang w:val="es-MX"/>
              </w:rPr>
            </w:pPr>
            <w:r w:rsidRPr="008D479C">
              <w:rPr>
                <w:rFonts w:cs="Arial"/>
                <w:sz w:val="20"/>
                <w:szCs w:val="20"/>
                <w:lang w:val="es-MX"/>
              </w:rPr>
              <w:t>Constant</w:t>
            </w:r>
            <w:r>
              <w:rPr>
                <w:rFonts w:cs="Arial"/>
                <w:sz w:val="20"/>
                <w:szCs w:val="20"/>
                <w:lang w:val="es-MX"/>
              </w:rPr>
              <w:t>e</w:t>
            </w:r>
          </w:p>
        </w:tc>
        <w:tc>
          <w:tcPr>
            <w:tcW w:w="820" w:type="dxa"/>
            <w:shd w:val="clear" w:color="auto" w:fill="FFFFFF"/>
            <w:tcMar>
              <w:top w:w="30" w:type="dxa"/>
              <w:left w:w="30" w:type="dxa"/>
              <w:bottom w:w="30" w:type="dxa"/>
              <w:right w:w="30" w:type="dxa"/>
            </w:tcMar>
            <w:vAlign w:val="center"/>
          </w:tcPr>
          <w:p w14:paraId="3B81B417"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3,068</w:t>
            </w:r>
          </w:p>
        </w:tc>
        <w:tc>
          <w:tcPr>
            <w:tcW w:w="821" w:type="dxa"/>
            <w:shd w:val="clear" w:color="auto" w:fill="FFFFFF"/>
            <w:tcMar>
              <w:top w:w="30" w:type="dxa"/>
              <w:left w:w="30" w:type="dxa"/>
              <w:bottom w:w="30" w:type="dxa"/>
              <w:right w:w="30" w:type="dxa"/>
            </w:tcMar>
            <w:vAlign w:val="center"/>
          </w:tcPr>
          <w:p w14:paraId="79E6B07E" w14:textId="77777777" w:rsidR="008D5523" w:rsidRPr="008D479C" w:rsidRDefault="008D5523" w:rsidP="00C0403B">
            <w:pPr>
              <w:spacing w:after="100" w:afterAutospacing="1" w:line="240" w:lineRule="auto"/>
              <w:jc w:val="center"/>
              <w:rPr>
                <w:rFonts w:cs="Arial"/>
                <w:sz w:val="20"/>
                <w:szCs w:val="20"/>
                <w:lang w:val="es-MX"/>
              </w:rPr>
            </w:pPr>
            <w:r>
              <w:rPr>
                <w:rFonts w:cs="Arial"/>
                <w:sz w:val="20"/>
                <w:szCs w:val="20"/>
                <w:lang w:val="es-MX"/>
              </w:rPr>
              <w:t>0</w:t>
            </w:r>
            <w:r w:rsidRPr="008D479C">
              <w:rPr>
                <w:rFonts w:cs="Arial"/>
                <w:sz w:val="20"/>
                <w:szCs w:val="20"/>
                <w:lang w:val="es-MX"/>
              </w:rPr>
              <w:t>,774</w:t>
            </w:r>
          </w:p>
        </w:tc>
        <w:tc>
          <w:tcPr>
            <w:tcW w:w="821" w:type="dxa"/>
            <w:shd w:val="clear" w:color="auto" w:fill="FFFFFF"/>
            <w:tcMar>
              <w:top w:w="30" w:type="dxa"/>
              <w:left w:w="30" w:type="dxa"/>
              <w:bottom w:w="30" w:type="dxa"/>
              <w:right w:w="30" w:type="dxa"/>
            </w:tcMar>
            <w:vAlign w:val="center"/>
          </w:tcPr>
          <w:p w14:paraId="220DBF52"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15,728</w:t>
            </w:r>
          </w:p>
        </w:tc>
        <w:tc>
          <w:tcPr>
            <w:tcW w:w="820" w:type="dxa"/>
            <w:shd w:val="clear" w:color="auto" w:fill="FFFFFF"/>
            <w:tcMar>
              <w:top w:w="30" w:type="dxa"/>
              <w:left w:w="30" w:type="dxa"/>
              <w:bottom w:w="30" w:type="dxa"/>
              <w:right w:w="30" w:type="dxa"/>
            </w:tcMar>
            <w:vAlign w:val="center"/>
          </w:tcPr>
          <w:p w14:paraId="047175D9"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1</w:t>
            </w:r>
          </w:p>
        </w:tc>
        <w:tc>
          <w:tcPr>
            <w:tcW w:w="821" w:type="dxa"/>
            <w:shd w:val="clear" w:color="auto" w:fill="FFFFFF"/>
            <w:tcMar>
              <w:top w:w="30" w:type="dxa"/>
              <w:left w:w="30" w:type="dxa"/>
              <w:bottom w:w="30" w:type="dxa"/>
              <w:right w:w="30" w:type="dxa"/>
            </w:tcMar>
            <w:vAlign w:val="center"/>
          </w:tcPr>
          <w:p w14:paraId="0FC2BD22" w14:textId="77777777" w:rsidR="008D5523" w:rsidRPr="008D479C" w:rsidRDefault="008D5523" w:rsidP="00C0403B">
            <w:pPr>
              <w:spacing w:after="100" w:afterAutospacing="1" w:line="240" w:lineRule="auto"/>
              <w:jc w:val="center"/>
              <w:rPr>
                <w:rFonts w:cs="Arial"/>
                <w:sz w:val="20"/>
                <w:szCs w:val="20"/>
                <w:lang w:val="es-MX"/>
              </w:rPr>
            </w:pPr>
            <w:r>
              <w:rPr>
                <w:rFonts w:cs="Arial"/>
                <w:sz w:val="20"/>
                <w:szCs w:val="20"/>
                <w:lang w:val="es-MX"/>
              </w:rPr>
              <w:t>0</w:t>
            </w:r>
            <w:r w:rsidRPr="008D479C">
              <w:rPr>
                <w:rFonts w:cs="Arial"/>
                <w:sz w:val="20"/>
                <w:szCs w:val="20"/>
                <w:lang w:val="es-MX"/>
              </w:rPr>
              <w:t>,000</w:t>
            </w:r>
          </w:p>
        </w:tc>
        <w:tc>
          <w:tcPr>
            <w:tcW w:w="821" w:type="dxa"/>
            <w:shd w:val="clear" w:color="auto" w:fill="FFFFFF"/>
            <w:tcMar>
              <w:top w:w="30" w:type="dxa"/>
              <w:left w:w="30" w:type="dxa"/>
              <w:bottom w:w="30" w:type="dxa"/>
              <w:right w:w="30" w:type="dxa"/>
            </w:tcMar>
            <w:vAlign w:val="center"/>
          </w:tcPr>
          <w:p w14:paraId="3CDE76C7"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21,497</w:t>
            </w:r>
          </w:p>
        </w:tc>
        <w:tc>
          <w:tcPr>
            <w:tcW w:w="1383" w:type="dxa"/>
            <w:shd w:val="clear" w:color="auto" w:fill="FFFFFF"/>
            <w:vAlign w:val="center"/>
          </w:tcPr>
          <w:p w14:paraId="3D7F7753" w14:textId="77777777" w:rsidR="008D5523" w:rsidRPr="008D479C" w:rsidRDefault="008D5523" w:rsidP="00C0403B">
            <w:pPr>
              <w:spacing w:after="100" w:afterAutospacing="1" w:line="240" w:lineRule="auto"/>
              <w:jc w:val="center"/>
              <w:rPr>
                <w:rFonts w:cs="Arial"/>
                <w:sz w:val="20"/>
                <w:szCs w:val="20"/>
                <w:lang w:val="es-MX"/>
              </w:rPr>
            </w:pPr>
            <w:r w:rsidRPr="008D479C">
              <w:rPr>
                <w:rFonts w:cs="Arial"/>
                <w:sz w:val="20"/>
                <w:szCs w:val="20"/>
                <w:lang w:val="es-MX"/>
              </w:rPr>
              <w:t>3,965</w:t>
            </w:r>
          </w:p>
        </w:tc>
      </w:tr>
    </w:tbl>
    <w:p w14:paraId="62474903" w14:textId="77777777" w:rsidR="008D5523" w:rsidRPr="00C92D1F" w:rsidRDefault="008D5523" w:rsidP="008D5523">
      <w:pPr>
        <w:spacing w:after="0" w:line="240" w:lineRule="auto"/>
        <w:ind w:left="567"/>
        <w:rPr>
          <w:rFonts w:cs="Arial"/>
          <w:sz w:val="16"/>
          <w:szCs w:val="16"/>
          <w:lang w:val="es-MX"/>
        </w:rPr>
      </w:pPr>
      <w:r w:rsidRPr="00C92D1F">
        <w:rPr>
          <w:rFonts w:cs="Arial"/>
          <w:sz w:val="16"/>
          <w:szCs w:val="16"/>
          <w:lang w:val="es-MX"/>
        </w:rPr>
        <w:t xml:space="preserve">FUENTE: </w:t>
      </w:r>
      <w:r w:rsidRPr="00FA7931">
        <w:rPr>
          <w:rFonts w:cs="Arial"/>
          <w:sz w:val="16"/>
          <w:szCs w:val="16"/>
          <w:lang w:val="es-MX"/>
        </w:rPr>
        <w:t>INFORME: EVALUACIÓN SOCIOECONÓMICA DE UN PROYECTO DE AMPLIACIÓN DE LA RED DE DESAGÜE CLOACAL</w:t>
      </w:r>
      <w:r>
        <w:rPr>
          <w:rFonts w:cs="Arial"/>
          <w:sz w:val="16"/>
          <w:szCs w:val="16"/>
          <w:lang w:val="es-MX"/>
        </w:rPr>
        <w:t xml:space="preserve"> – ANEXO 3</w:t>
      </w:r>
    </w:p>
    <w:p w14:paraId="63C8DB5E" w14:textId="77777777" w:rsidR="008D5523" w:rsidRDefault="008D5523" w:rsidP="008D5523">
      <w:pPr>
        <w:pStyle w:val="ListParagraph"/>
        <w:spacing w:after="0" w:line="240" w:lineRule="auto"/>
        <w:ind w:left="0"/>
        <w:rPr>
          <w:rFonts w:ascii="Arial" w:hAnsi="Arial" w:cs="Arial"/>
          <w:sz w:val="16"/>
          <w:szCs w:val="16"/>
          <w:lang w:val="es-MX"/>
        </w:rPr>
      </w:pPr>
    </w:p>
    <w:p w14:paraId="2B9498D7" w14:textId="77777777" w:rsidR="008D5523" w:rsidRPr="00C92D1F" w:rsidRDefault="008D5523" w:rsidP="008D5523">
      <w:pPr>
        <w:pStyle w:val="ListParagraph"/>
        <w:spacing w:after="0" w:line="240" w:lineRule="auto"/>
        <w:ind w:left="0"/>
        <w:rPr>
          <w:rFonts w:ascii="Arial" w:hAnsi="Arial" w:cs="Arial"/>
          <w:sz w:val="16"/>
          <w:szCs w:val="16"/>
          <w:lang w:val="es-MX"/>
        </w:rPr>
      </w:pPr>
    </w:p>
    <w:p w14:paraId="7EB834F6" w14:textId="77777777" w:rsidR="008D5523" w:rsidRPr="003E37AB" w:rsidRDefault="008D5523" w:rsidP="00C4100D">
      <w:pPr>
        <w:pStyle w:val="Heading1"/>
        <w:numPr>
          <w:ilvl w:val="0"/>
          <w:numId w:val="72"/>
        </w:numPr>
      </w:pPr>
      <w:bookmarkStart w:id="1123" w:name="_Toc450205728"/>
      <w:bookmarkStart w:id="1124" w:name="_Toc450320431"/>
      <w:bookmarkStart w:id="1125" w:name="_Toc479892510"/>
      <w:bookmarkStart w:id="1126" w:name="_Toc484985205"/>
      <w:bookmarkStart w:id="1127" w:name="_Toc485027090"/>
      <w:bookmarkStart w:id="1128" w:name="_Toc485200272"/>
      <w:r>
        <w:t xml:space="preserve">Análisis de febrero 2012 - </w:t>
      </w:r>
      <w:r w:rsidRPr="003E37AB">
        <w:t>Conclusiones</w:t>
      </w:r>
      <w:bookmarkEnd w:id="1123"/>
      <w:bookmarkEnd w:id="1124"/>
      <w:bookmarkEnd w:id="1125"/>
      <w:bookmarkEnd w:id="1126"/>
      <w:bookmarkEnd w:id="1127"/>
      <w:bookmarkEnd w:id="1128"/>
    </w:p>
    <w:p w14:paraId="7BD4BECB" w14:textId="77777777" w:rsidR="008D5523" w:rsidRPr="002D7ADA" w:rsidRDefault="008D5523" w:rsidP="008D5523">
      <w:pPr>
        <w:rPr>
          <w:lang w:val="es-MX"/>
        </w:rPr>
      </w:pPr>
      <w:r w:rsidRPr="002D7ADA">
        <w:rPr>
          <w:lang w:val="es-MX"/>
        </w:rPr>
        <w:t>Los signos de los coeficientes de las variables son los esperados</w:t>
      </w:r>
      <w:r>
        <w:rPr>
          <w:lang w:val="es-MX"/>
        </w:rPr>
        <w:t xml:space="preserve">. </w:t>
      </w:r>
      <w:r w:rsidRPr="008D479C">
        <w:rPr>
          <w:lang w:val="es-MX"/>
        </w:rPr>
        <w:t>Mayores ingresos familiares por mes, mayor número de problemas, disponer de mayor confort y tener un mayor nivel de educación influyen aumentando la probabilidad de respuestas afirmativas para la disposición a pagar.</w:t>
      </w:r>
      <w:r>
        <w:rPr>
          <w:lang w:val="es-MX"/>
        </w:rPr>
        <w:t xml:space="preserve"> </w:t>
      </w:r>
      <w:r w:rsidRPr="002D7ADA">
        <w:rPr>
          <w:lang w:val="es-MX"/>
        </w:rPr>
        <w:t>Cuanto mayor el importe de la factura mensual por el que se pregunta, menor la disposición a pagar</w:t>
      </w:r>
      <w:r>
        <w:rPr>
          <w:lang w:val="es-MX"/>
        </w:rPr>
        <w:t xml:space="preserve">. </w:t>
      </w:r>
      <w:r w:rsidRPr="002D7ADA">
        <w:rPr>
          <w:lang w:val="es-MX"/>
        </w:rPr>
        <w:t>Respecto a la ubicación en San Isidro, el hecho de reducir la probabilidad de respuesta afirmativa puede deberse a disponer de mejor nivel de servicio alternativo.</w:t>
      </w:r>
    </w:p>
    <w:p w14:paraId="2BA874A6" w14:textId="77777777" w:rsidR="008D5523" w:rsidRPr="002D7ADA" w:rsidRDefault="008D5523" w:rsidP="008D5523">
      <w:pPr>
        <w:rPr>
          <w:lang w:val="es-MX"/>
        </w:rPr>
      </w:pPr>
      <w:r w:rsidRPr="002D7ADA">
        <w:rPr>
          <w:lang w:val="es-MX"/>
        </w:rPr>
        <w:t>La significatividad de todas las variables explicativas empleadas resulta confirmada por los valores alcanzados por los coeficientes t.</w:t>
      </w:r>
    </w:p>
    <w:p w14:paraId="788FC45E" w14:textId="77777777" w:rsidR="008D5523" w:rsidRDefault="008D5523" w:rsidP="008D5523">
      <w:pPr>
        <w:rPr>
          <w:lang w:val="es-MX"/>
        </w:rPr>
      </w:pPr>
      <w:r w:rsidRPr="002D7ADA">
        <w:rPr>
          <w:lang w:val="es-MX"/>
        </w:rPr>
        <w:t>Los s</w:t>
      </w:r>
      <w:r>
        <w:rPr>
          <w:lang w:val="es-MX"/>
        </w:rPr>
        <w:t>i</w:t>
      </w:r>
      <w:r w:rsidRPr="002D7ADA">
        <w:rPr>
          <w:lang w:val="es-MX"/>
        </w:rPr>
        <w:t>gnificados de los coeficientes estimados son los siguientes:</w:t>
      </w:r>
    </w:p>
    <w:p w14:paraId="3E6D2F9A" w14:textId="77777777" w:rsidR="008D5523" w:rsidRDefault="008D5523" w:rsidP="00C4100D">
      <w:pPr>
        <w:numPr>
          <w:ilvl w:val="0"/>
          <w:numId w:val="63"/>
        </w:numPr>
        <w:spacing w:before="120" w:after="120" w:line="360" w:lineRule="auto"/>
        <w:rPr>
          <w:lang w:val="es-MX"/>
        </w:rPr>
      </w:pPr>
      <w:r>
        <w:rPr>
          <w:lang w:val="es-MX"/>
        </w:rPr>
        <w:t>u</w:t>
      </w:r>
      <w:r w:rsidRPr="008D479C">
        <w:rPr>
          <w:lang w:val="es-MX"/>
        </w:rPr>
        <w:t>n ingreso familiar mensual $100 mayor aumenta en un 10% la probabilidad de responder afirmativamente</w:t>
      </w:r>
      <w:r>
        <w:rPr>
          <w:lang w:val="es-MX"/>
        </w:rPr>
        <w:t>;</w:t>
      </w:r>
    </w:p>
    <w:p w14:paraId="7DC7FEAF" w14:textId="77777777" w:rsidR="008D5523" w:rsidRDefault="008D5523" w:rsidP="00C4100D">
      <w:pPr>
        <w:numPr>
          <w:ilvl w:val="0"/>
          <w:numId w:val="63"/>
        </w:numPr>
        <w:spacing w:before="120" w:after="120" w:line="360" w:lineRule="auto"/>
        <w:rPr>
          <w:lang w:val="es-MX"/>
        </w:rPr>
      </w:pPr>
      <w:r>
        <w:rPr>
          <w:lang w:val="es-MX"/>
        </w:rPr>
        <w:t>l</w:t>
      </w:r>
      <w:r w:rsidRPr="008D479C">
        <w:rPr>
          <w:lang w:val="es-MX"/>
        </w:rPr>
        <w:t>os encuestados de otras localizaciones respecto a San Isidro tienen el triple de probabilidad de responder afirmativamente a igualdad de otros factores</w:t>
      </w:r>
      <w:r>
        <w:rPr>
          <w:lang w:val="es-MX"/>
        </w:rPr>
        <w:t>;</w:t>
      </w:r>
    </w:p>
    <w:p w14:paraId="7C82744F" w14:textId="77777777" w:rsidR="008D5523" w:rsidRDefault="008D5523" w:rsidP="00C4100D">
      <w:pPr>
        <w:numPr>
          <w:ilvl w:val="0"/>
          <w:numId w:val="63"/>
        </w:numPr>
        <w:spacing w:before="120" w:after="120" w:line="360" w:lineRule="auto"/>
        <w:rPr>
          <w:lang w:val="es-MX"/>
        </w:rPr>
      </w:pPr>
      <w:r>
        <w:rPr>
          <w:lang w:val="es-MX"/>
        </w:rPr>
        <w:t>u</w:t>
      </w:r>
      <w:r w:rsidRPr="008D479C">
        <w:rPr>
          <w:lang w:val="es-MX"/>
        </w:rPr>
        <w:t>n problema adicional aumenta en un 1% la probabilidad de responder afirmativamente respecto a quien no lo tiene;</w:t>
      </w:r>
    </w:p>
    <w:p w14:paraId="33B4FAE7" w14:textId="77777777" w:rsidR="008D5523" w:rsidRDefault="008D5523" w:rsidP="00C4100D">
      <w:pPr>
        <w:numPr>
          <w:ilvl w:val="0"/>
          <w:numId w:val="63"/>
        </w:numPr>
        <w:spacing w:before="120" w:after="120" w:line="360" w:lineRule="auto"/>
        <w:rPr>
          <w:lang w:val="es-MX"/>
        </w:rPr>
      </w:pPr>
      <w:r>
        <w:rPr>
          <w:lang w:val="es-MX"/>
        </w:rPr>
        <w:t>t</w:t>
      </w:r>
      <w:r w:rsidRPr="008D479C">
        <w:rPr>
          <w:lang w:val="es-MX"/>
        </w:rPr>
        <w:t>ener un confort de nivel 1</w:t>
      </w:r>
      <w:r>
        <w:rPr>
          <w:lang w:val="es-MX"/>
        </w:rPr>
        <w:t xml:space="preserve"> </w:t>
      </w:r>
      <w:r w:rsidRPr="008D479C">
        <w:rPr>
          <w:lang w:val="es-MX"/>
        </w:rPr>
        <w:t xml:space="preserve">prácticamente duplica la probabilidad de responder afirmativamente respecto a quien no disfruta de ninguno de los servicios </w:t>
      </w:r>
      <w:r>
        <w:rPr>
          <w:lang w:val="es-MX"/>
        </w:rPr>
        <w:t>incluidos en la variable</w:t>
      </w:r>
      <w:r w:rsidRPr="008D479C">
        <w:rPr>
          <w:lang w:val="es-MX"/>
        </w:rPr>
        <w:t xml:space="preserve"> confort;</w:t>
      </w:r>
    </w:p>
    <w:p w14:paraId="410A41AA" w14:textId="77777777" w:rsidR="008D5523" w:rsidRDefault="008D5523" w:rsidP="00C4100D">
      <w:pPr>
        <w:numPr>
          <w:ilvl w:val="0"/>
          <w:numId w:val="63"/>
        </w:numPr>
        <w:spacing w:before="120" w:after="120" w:line="360" w:lineRule="auto"/>
        <w:rPr>
          <w:lang w:val="es-MX"/>
        </w:rPr>
      </w:pPr>
      <w:r>
        <w:rPr>
          <w:lang w:val="es-MX"/>
        </w:rPr>
        <w:t>t</w:t>
      </w:r>
      <w:r w:rsidRPr="008D479C">
        <w:rPr>
          <w:lang w:val="es-MX"/>
        </w:rPr>
        <w:t>ener un nivel de educación superior a secundario completo triplica la probabilidad de responder afirmativamente respecto a quien s</w:t>
      </w:r>
      <w:r>
        <w:rPr>
          <w:lang w:val="es-MX"/>
        </w:rPr>
        <w:t>ó</w:t>
      </w:r>
      <w:r w:rsidRPr="008D479C">
        <w:rPr>
          <w:lang w:val="es-MX"/>
        </w:rPr>
        <w:t>lo tiene nivel prim</w:t>
      </w:r>
      <w:r>
        <w:rPr>
          <w:lang w:val="es-MX"/>
        </w:rPr>
        <w:t>ario;</w:t>
      </w:r>
    </w:p>
    <w:p w14:paraId="4185F71E" w14:textId="77777777" w:rsidR="008D5523" w:rsidRDefault="008D5523" w:rsidP="00C4100D">
      <w:pPr>
        <w:numPr>
          <w:ilvl w:val="0"/>
          <w:numId w:val="63"/>
        </w:numPr>
        <w:spacing w:before="120" w:after="120" w:line="360" w:lineRule="auto"/>
        <w:rPr>
          <w:lang w:val="es-MX"/>
        </w:rPr>
      </w:pPr>
      <w:r>
        <w:rPr>
          <w:lang w:val="es-MX"/>
        </w:rPr>
        <w:t>p</w:t>
      </w:r>
      <w:r w:rsidRPr="008D479C">
        <w:rPr>
          <w:lang w:val="es-MX"/>
        </w:rPr>
        <w:t>reguntar por un precio mayor en $10</w:t>
      </w:r>
      <w:r>
        <w:rPr>
          <w:lang w:val="es-MX"/>
        </w:rPr>
        <w:t xml:space="preserve"> </w:t>
      </w:r>
      <w:r w:rsidRPr="008D479C">
        <w:rPr>
          <w:lang w:val="es-MX"/>
        </w:rPr>
        <w:t xml:space="preserve">reduce la probabilidad de respuesta afirmativa en </w:t>
      </w:r>
      <w:r>
        <w:rPr>
          <w:lang w:val="es-MX"/>
        </w:rPr>
        <w:t>un</w:t>
      </w:r>
      <w:r w:rsidRPr="008D479C">
        <w:rPr>
          <w:lang w:val="es-MX"/>
        </w:rPr>
        <w:t xml:space="preserve"> 36% promedio a igualdad de los otros factores</w:t>
      </w:r>
      <w:r>
        <w:rPr>
          <w:lang w:val="es-MX"/>
        </w:rPr>
        <w:t>.</w:t>
      </w:r>
    </w:p>
    <w:p w14:paraId="4B660401" w14:textId="77777777" w:rsidR="008D5523" w:rsidRDefault="008D5523" w:rsidP="008D5523">
      <w:pPr>
        <w:rPr>
          <w:lang w:val="es-MX"/>
        </w:rPr>
      </w:pPr>
    </w:p>
    <w:p w14:paraId="23B4667E" w14:textId="77777777" w:rsidR="008D5523" w:rsidRDefault="008D5523" w:rsidP="00C4100D">
      <w:pPr>
        <w:pStyle w:val="Heading1"/>
        <w:numPr>
          <w:ilvl w:val="0"/>
          <w:numId w:val="72"/>
        </w:numPr>
      </w:pPr>
      <w:bookmarkStart w:id="1129" w:name="_Toc450205729"/>
      <w:bookmarkStart w:id="1130" w:name="_Toc450320432"/>
      <w:bookmarkStart w:id="1131" w:name="_Toc479892511"/>
      <w:bookmarkStart w:id="1132" w:name="_Toc484985206"/>
      <w:bookmarkStart w:id="1133" w:name="_Toc485027091"/>
      <w:bookmarkStart w:id="1134" w:name="_Toc485200273"/>
      <w:r>
        <w:t>Actualización de resultados a febrero de 2017.</w:t>
      </w:r>
      <w:bookmarkEnd w:id="1129"/>
      <w:bookmarkEnd w:id="1130"/>
      <w:bookmarkEnd w:id="1131"/>
      <w:bookmarkEnd w:id="1132"/>
      <w:bookmarkEnd w:id="1133"/>
      <w:bookmarkEnd w:id="1134"/>
    </w:p>
    <w:p w14:paraId="5ACCB83A" w14:textId="77777777" w:rsidR="008D5523" w:rsidRDefault="008D5523" w:rsidP="008D5523">
      <w:pPr>
        <w:rPr>
          <w:lang w:val="es-MX"/>
        </w:rPr>
      </w:pPr>
      <w:r>
        <w:rPr>
          <w:lang w:val="es-MX"/>
        </w:rPr>
        <w:t>La Argentina ha venido sufriendo en los años que van desde 2012 (fecha de elaboración del estudio fuente) hasta la actualidad un régimen de inflación moderado a alto de manera continua con picos anualizados del orden del 40% - 35% y valles del orden del 20% - 25%.</w:t>
      </w:r>
    </w:p>
    <w:p w14:paraId="7AC47BB5" w14:textId="77777777" w:rsidR="008D5523" w:rsidRDefault="008D5523" w:rsidP="008D5523">
      <w:pPr>
        <w:rPr>
          <w:lang w:val="es-MX"/>
        </w:rPr>
      </w:pPr>
      <w:r>
        <w:rPr>
          <w:lang w:val="es-MX"/>
        </w:rPr>
        <w:t>Esta situación obliga a realizar un ajuste sobre el modelo estimado en 2012 que considere al menos el cambio nominal producto de la modificación de precios e ingresos.</w:t>
      </w:r>
    </w:p>
    <w:p w14:paraId="5ECACB82" w14:textId="77777777" w:rsidR="008D5523" w:rsidRDefault="008D5523" w:rsidP="008D5523">
      <w:pPr>
        <w:rPr>
          <w:lang w:val="es-MX"/>
        </w:rPr>
      </w:pPr>
      <w:r>
        <w:rPr>
          <w:lang w:val="es-MX"/>
        </w:rPr>
        <w:t>Se debe destacar que el proceso inflacionario sufrido no ha implicado en estos años una alteración significativa de los ingresos reales, ya que el nivel de actividad de la economía no ha estado especialmente afectado y los ingresos de los hogares han podido ajustarse de manera consistente con el nivel de inflación.</w:t>
      </w:r>
    </w:p>
    <w:p w14:paraId="24EE24B4" w14:textId="77777777" w:rsidR="008D5523" w:rsidRDefault="008D5523" w:rsidP="008D5523">
      <w:pPr>
        <w:rPr>
          <w:lang w:val="es-MX"/>
        </w:rPr>
      </w:pPr>
      <w:r>
        <w:rPr>
          <w:lang w:val="es-MX"/>
        </w:rPr>
        <w:t>Dado que en el modelo econométrico las variables monetarias son los ingresos del hogar y el precio consultado, la actualización debería operar sobre las mismas. Si se contase con la base de datos original es posible suponer la misma estructura de respuestas para valores de precio consultado e ingresos y así reestimar el modelo, sin embargo esta opción no es posible.</w:t>
      </w:r>
    </w:p>
    <w:p w14:paraId="5F02C523" w14:textId="77777777" w:rsidR="008D5523" w:rsidRDefault="008D5523" w:rsidP="008D5523">
      <w:pPr>
        <w:rPr>
          <w:lang w:val="es-MX"/>
        </w:rPr>
      </w:pPr>
      <w:r>
        <w:rPr>
          <w:lang w:val="es-MX"/>
        </w:rPr>
        <w:t>Una segunda opción implica utilizar el modelo estimado modificando únicamente los valores de la variable ingreso, sin embargo esto no recogería la totalidad de los efectos ya que se estaría utilizando una función de respuesta a precios “viejos” con ingresos “nuevos”.</w:t>
      </w:r>
    </w:p>
    <w:p w14:paraId="0851AEF4" w14:textId="77777777" w:rsidR="008D5523" w:rsidRDefault="008D5523" w:rsidP="008D5523">
      <w:pPr>
        <w:rPr>
          <w:lang w:val="es-MX"/>
        </w:rPr>
      </w:pPr>
      <w:r>
        <w:rPr>
          <w:lang w:val="es-MX"/>
        </w:rPr>
        <w:t>La tercera opción es actuar directamente sobre los coeficientes del modelo estimado aplicando un cambio de escala a los coeficientes de precio e ingreso. Cabe recordar que las propiedades estadísticas y econométricas de un modelo son invariantes ante cambios de escala, por lo que este procedimiento resulta adecuado, tanto desde el punto de vista teórico como econométrico.</w:t>
      </w:r>
    </w:p>
    <w:p w14:paraId="40B174F2" w14:textId="77777777" w:rsidR="008D5523" w:rsidRDefault="008D5523" w:rsidP="008D5523">
      <w:pPr>
        <w:rPr>
          <w:lang w:val="es-MX"/>
        </w:rPr>
      </w:pPr>
      <w:r>
        <w:rPr>
          <w:lang w:val="es-MX"/>
        </w:rPr>
        <w:t>De este modo, la corrección por cambio de escala en el modelo econométrico consiste en aplicar un factor que recoja el cambio en los precios y los ingresos sobre los coeficientes correspondientes a precio consultado e ingresos. Este factor debe ser único, ya que si se consideran factores diferentes para los dos coeficientes no se estaría respetando el supuesto de cambio de escala.</w:t>
      </w:r>
    </w:p>
    <w:p w14:paraId="72E04B7E" w14:textId="77777777" w:rsidR="008D5523" w:rsidRDefault="008D5523" w:rsidP="008D5523">
      <w:pPr>
        <w:rPr>
          <w:lang w:val="es-MX"/>
        </w:rPr>
      </w:pPr>
      <w:r>
        <w:rPr>
          <w:lang w:val="es-MX"/>
        </w:rPr>
        <w:t>Si se considera que desde la fecha de realización de las encuestas es posible observar una variación de ingresos del 353,6% (calculado según datos de ingreso familiar EPH 3er trimestre 2016 – EPH 2do trimestre 2012 + 10,2% de variación del coeficiente de variación salarial INDEC estimado desde septiembre 2016 a febrero 2017) y que por otro lado se observa, de acuerdo al índice de precios al consumidor de la ciudad de Buenos Aires (única serie disponible para la región), una variación de precios del 258% es razonable considerar una variación promedio de ingresos – precios del 305,4%.</w:t>
      </w:r>
    </w:p>
    <w:p w14:paraId="21BD09FA" w14:textId="77777777" w:rsidR="008D5523" w:rsidRDefault="008D5523" w:rsidP="008D5523">
      <w:pPr>
        <w:rPr>
          <w:lang w:val="es-MX"/>
        </w:rPr>
      </w:pPr>
      <w:r>
        <w:rPr>
          <w:lang w:val="es-MX"/>
        </w:rPr>
        <w:t>Considerando la variación media de precios e ingresos del 305,4%, la misma equivale a un factor de escala de 4,05. Matemáticamente la modificación de los coeficientes de la función de disposición a pagar estimada debe realizarse dividiendo los mismos por tal factor, manteniéndose de este modo todas las características de la función original.</w:t>
      </w:r>
    </w:p>
    <w:p w14:paraId="6C347031" w14:textId="77777777" w:rsidR="008D5523" w:rsidRDefault="008D5523" w:rsidP="008D5523">
      <w:pPr>
        <w:rPr>
          <w:lang w:val="es-MX"/>
        </w:rPr>
      </w:pPr>
      <w:r>
        <w:rPr>
          <w:lang w:val="es-MX"/>
        </w:rPr>
        <w:t>Finalmente, el modelo de DAP actualizado presenta los siguientes coeficientes:</w:t>
      </w:r>
    </w:p>
    <w:p w14:paraId="32C106BB" w14:textId="77777777" w:rsidR="008D5523" w:rsidRPr="00ED38B0" w:rsidRDefault="008D5523" w:rsidP="008D5523">
      <w:pPr>
        <w:jc w:val="center"/>
        <w:rPr>
          <w:b/>
          <w:lang w:val="es-MX"/>
        </w:rPr>
      </w:pPr>
      <w:r w:rsidRPr="00ED38B0">
        <w:rPr>
          <w:b/>
          <w:lang w:val="es-MX"/>
        </w:rPr>
        <w:t>MODELO ACTUALIZADO 2016</w:t>
      </w:r>
    </w:p>
    <w:p w14:paraId="322C0262" w14:textId="77777777" w:rsidR="008D5523" w:rsidRDefault="008D5523" w:rsidP="008D5523">
      <w:r w:rsidRPr="009271EC">
        <w:rPr>
          <w:noProof/>
          <w:lang w:eastAsia="es-AR"/>
        </w:rPr>
        <w:drawing>
          <wp:inline distT="0" distB="0" distL="0" distR="0" wp14:anchorId="68AE91A5" wp14:editId="0C165743">
            <wp:extent cx="5400675" cy="1246898"/>
            <wp:effectExtent l="0" t="0" r="0" b="0"/>
            <wp:docPr id="31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00675" cy="1246898"/>
                    </a:xfrm>
                    <a:prstGeom prst="rect">
                      <a:avLst/>
                    </a:prstGeom>
                    <a:noFill/>
                    <a:ln>
                      <a:noFill/>
                    </a:ln>
                  </pic:spPr>
                </pic:pic>
              </a:graphicData>
            </a:graphic>
          </wp:inline>
        </w:drawing>
      </w:r>
    </w:p>
    <w:p w14:paraId="5D644A42" w14:textId="77777777" w:rsidR="008D5523" w:rsidRDefault="008D5523" w:rsidP="008D5523">
      <w:pPr>
        <w:rPr>
          <w:lang w:val="es-MX"/>
        </w:rPr>
      </w:pPr>
    </w:p>
    <w:p w14:paraId="6B81ABF4" w14:textId="77777777" w:rsidR="008D5523" w:rsidRPr="00C67705" w:rsidRDefault="008D5523" w:rsidP="008D5523"/>
    <w:p w14:paraId="6345EF7D" w14:textId="77777777" w:rsidR="00BA05F3" w:rsidRDefault="00BA05F3" w:rsidP="008D5523">
      <w:pPr>
        <w:sectPr w:rsidR="00BA05F3" w:rsidSect="00D3445E">
          <w:footerReference w:type="default" r:id="rId215"/>
          <w:pgSz w:w="11906" w:h="16838" w:code="9"/>
          <w:pgMar w:top="1928" w:right="1701" w:bottom="1418" w:left="1701" w:header="709" w:footer="794" w:gutter="0"/>
          <w:cols w:space="708"/>
          <w:docGrid w:linePitch="360"/>
        </w:sectPr>
      </w:pPr>
    </w:p>
    <w:p w14:paraId="7CC39811" w14:textId="77777777" w:rsidR="00BA05F3" w:rsidRPr="00BA05F3" w:rsidRDefault="00BA05F3" w:rsidP="00BA05F3">
      <w:pPr>
        <w:pStyle w:val="Ttulo1"/>
        <w:spacing w:line="360" w:lineRule="auto"/>
        <w:rPr>
          <w:rFonts w:cs="Arial"/>
          <w:sz w:val="28"/>
          <w:szCs w:val="28"/>
        </w:rPr>
      </w:pPr>
      <w:bookmarkStart w:id="1135" w:name="_Toc483227454"/>
      <w:bookmarkStart w:id="1136" w:name="_Toc485200274"/>
      <w:r w:rsidRPr="00BA05F3">
        <w:rPr>
          <w:rFonts w:cs="Arial"/>
          <w:sz w:val="28"/>
          <w:szCs w:val="28"/>
        </w:rPr>
        <w:t xml:space="preserve">Anexo </w:t>
      </w:r>
      <w:r w:rsidRPr="00BA05F3">
        <w:rPr>
          <w:rFonts w:cs="Arial"/>
          <w:sz w:val="28"/>
          <w:szCs w:val="28"/>
          <w:lang w:val="es-ES_tradnl"/>
        </w:rPr>
        <w:t>5</w:t>
      </w:r>
      <w:r w:rsidRPr="00BA05F3">
        <w:rPr>
          <w:rFonts w:cs="Arial"/>
          <w:sz w:val="28"/>
          <w:szCs w:val="28"/>
        </w:rPr>
        <w:t>: Detalle de obras Tratamiento por Dilución</w:t>
      </w:r>
      <w:bookmarkEnd w:id="1135"/>
      <w:bookmarkEnd w:id="1136"/>
    </w:p>
    <w:p w14:paraId="76ADC3B3" w14:textId="77777777" w:rsidR="00BA05F3" w:rsidRPr="00BA05F3" w:rsidRDefault="00BA05F3" w:rsidP="00BA05F3">
      <w:pPr>
        <w:spacing w:before="240" w:line="360" w:lineRule="auto"/>
        <w:rPr>
          <w:rFonts w:ascii="Arial" w:hAnsi="Arial" w:cs="Arial"/>
        </w:rPr>
      </w:pPr>
      <w:r w:rsidRPr="00BA05F3">
        <w:rPr>
          <w:rFonts w:ascii="Arial" w:hAnsi="Arial" w:cs="Arial"/>
        </w:rPr>
        <w:t>La obra de descarga incluye:</w:t>
      </w:r>
    </w:p>
    <w:p w14:paraId="0339B03A" w14:textId="77777777" w:rsidR="00BA05F3" w:rsidRPr="00BA05F3" w:rsidRDefault="00BA05F3" w:rsidP="00C4100D">
      <w:pPr>
        <w:pStyle w:val="ListParagraph"/>
        <w:numPr>
          <w:ilvl w:val="0"/>
          <w:numId w:val="86"/>
        </w:numPr>
        <w:spacing w:before="240" w:after="60" w:line="360" w:lineRule="auto"/>
        <w:rPr>
          <w:rFonts w:ascii="Arial" w:hAnsi="Arial" w:cs="Arial"/>
        </w:rPr>
      </w:pPr>
      <w:r w:rsidRPr="00BA05F3">
        <w:rPr>
          <w:rFonts w:ascii="Arial" w:hAnsi="Arial" w:cs="Arial"/>
        </w:rPr>
        <w:t>la construcción de la estación de bombeo de salida.</w:t>
      </w:r>
    </w:p>
    <w:p w14:paraId="572A60D5" w14:textId="77777777" w:rsidR="00BA05F3" w:rsidRPr="00BA05F3" w:rsidRDefault="00BA05F3" w:rsidP="00C4100D">
      <w:pPr>
        <w:pStyle w:val="ListParagraph"/>
        <w:numPr>
          <w:ilvl w:val="0"/>
          <w:numId w:val="86"/>
        </w:numPr>
        <w:spacing w:before="240" w:after="60" w:line="360" w:lineRule="auto"/>
        <w:rPr>
          <w:rFonts w:ascii="Arial" w:hAnsi="Arial" w:cs="Arial"/>
        </w:rPr>
      </w:pPr>
      <w:r w:rsidRPr="00BA05F3">
        <w:rPr>
          <w:rFonts w:ascii="Arial" w:hAnsi="Arial" w:cs="Arial"/>
        </w:rPr>
        <w:t>la construcción del emisario y difusores</w:t>
      </w:r>
    </w:p>
    <w:p w14:paraId="0FD1BB54" w14:textId="77777777" w:rsidR="00BA05F3" w:rsidRPr="00BA05F3" w:rsidRDefault="00BA05F3" w:rsidP="00C4100D">
      <w:pPr>
        <w:pStyle w:val="ListParagraph"/>
        <w:numPr>
          <w:ilvl w:val="0"/>
          <w:numId w:val="86"/>
        </w:numPr>
        <w:spacing w:before="240" w:after="60" w:line="360" w:lineRule="auto"/>
        <w:rPr>
          <w:rFonts w:ascii="Arial" w:hAnsi="Arial" w:cs="Arial"/>
        </w:rPr>
      </w:pPr>
      <w:r w:rsidRPr="00BA05F3">
        <w:rPr>
          <w:rFonts w:ascii="Arial" w:hAnsi="Arial" w:cs="Arial"/>
        </w:rPr>
        <w:t>la construcción de una cámara de carga/ chimenea de equilibrio</w:t>
      </w:r>
    </w:p>
    <w:p w14:paraId="7C0C37DD" w14:textId="77777777" w:rsidR="00BA05F3" w:rsidRPr="00BA05F3" w:rsidRDefault="00BA05F3" w:rsidP="00BA05F3">
      <w:pPr>
        <w:pStyle w:val="ListParagraph"/>
        <w:spacing w:before="240" w:after="60" w:line="360" w:lineRule="auto"/>
        <w:ind w:left="0"/>
        <w:rPr>
          <w:rFonts w:ascii="Arial" w:hAnsi="Arial" w:cs="Arial"/>
        </w:rPr>
      </w:pPr>
    </w:p>
    <w:p w14:paraId="7BC81BE2" w14:textId="77777777" w:rsidR="00BA05F3" w:rsidRPr="00BA05F3" w:rsidRDefault="00BA05F3" w:rsidP="00BA05F3">
      <w:pPr>
        <w:pStyle w:val="Heading1"/>
        <w:spacing w:line="360" w:lineRule="auto"/>
        <w:ind w:hanging="432"/>
      </w:pPr>
      <w:bookmarkStart w:id="1137" w:name="_Toc483227455"/>
      <w:bookmarkStart w:id="1138" w:name="_Toc484985208"/>
      <w:bookmarkStart w:id="1139" w:name="_Toc485027093"/>
      <w:bookmarkStart w:id="1140" w:name="_Toc485200275"/>
      <w:r w:rsidRPr="00BA05F3">
        <w:t>1 Descripción del Emisario y Difusores</w:t>
      </w:r>
      <w:bookmarkEnd w:id="1137"/>
      <w:bookmarkEnd w:id="1138"/>
      <w:bookmarkEnd w:id="1139"/>
      <w:bookmarkEnd w:id="1140"/>
    </w:p>
    <w:p w14:paraId="46E29E05" w14:textId="77777777" w:rsidR="00BA05F3" w:rsidRPr="00BA05F3" w:rsidRDefault="00BA05F3" w:rsidP="00BA05F3">
      <w:pPr>
        <w:spacing w:before="240" w:line="360" w:lineRule="auto"/>
        <w:rPr>
          <w:rFonts w:ascii="Arial" w:hAnsi="Arial" w:cs="Arial"/>
        </w:rPr>
      </w:pPr>
      <w:r w:rsidRPr="00BA05F3">
        <w:rPr>
          <w:rFonts w:ascii="Arial" w:hAnsi="Arial" w:cs="Arial"/>
        </w:rPr>
        <w:t>El Emisario de efluentes de la Planta Berazategui se inicia en el predio de la misma, internándose en el Río de la Plata con una dirección general Sudoeste-Noreste con una longitud aproximada total de 7500 metros.</w:t>
      </w:r>
    </w:p>
    <w:p w14:paraId="7ED4F576" w14:textId="77777777" w:rsidR="00BA05F3" w:rsidRPr="00BA05F3" w:rsidRDefault="00BA05F3" w:rsidP="00BA05F3">
      <w:pPr>
        <w:spacing w:before="240" w:line="360" w:lineRule="auto"/>
        <w:rPr>
          <w:rFonts w:ascii="Arial" w:hAnsi="Arial" w:cs="Arial"/>
        </w:rPr>
      </w:pPr>
      <w:r w:rsidRPr="00BA05F3">
        <w:rPr>
          <w:rFonts w:ascii="Arial" w:hAnsi="Arial" w:cs="Arial"/>
        </w:rPr>
        <w:t>La construcción del emisario se ha previsto en tres tramos:</w:t>
      </w:r>
    </w:p>
    <w:p w14:paraId="4AD9B34B" w14:textId="77777777" w:rsidR="00BA05F3" w:rsidRPr="00BA05F3" w:rsidRDefault="00BA05F3" w:rsidP="00BA05F3">
      <w:pPr>
        <w:spacing w:before="240" w:line="360" w:lineRule="auto"/>
        <w:ind w:firstLine="708"/>
        <w:rPr>
          <w:rFonts w:ascii="Arial" w:hAnsi="Arial" w:cs="Arial"/>
        </w:rPr>
      </w:pPr>
      <w:r w:rsidRPr="00BA05F3">
        <w:rPr>
          <w:rFonts w:ascii="Arial" w:hAnsi="Arial" w:cs="Arial"/>
        </w:rPr>
        <w:t xml:space="preserve">a) Tramo de transporte: un conducto de aproximadamente </w:t>
      </w:r>
      <w:smartTag w:uri="urn:schemas-microsoft-com:office:smarttags" w:element="metricconverter">
        <w:smartTagPr>
          <w:attr w:name="ProductID" w:val="3970 metros"/>
        </w:smartTagPr>
        <w:r w:rsidRPr="00BA05F3">
          <w:rPr>
            <w:rFonts w:ascii="Arial" w:hAnsi="Arial" w:cs="Arial"/>
          </w:rPr>
          <w:t>3970 metros</w:t>
        </w:r>
      </w:smartTag>
      <w:r w:rsidRPr="00BA05F3">
        <w:rPr>
          <w:rFonts w:ascii="Arial" w:hAnsi="Arial" w:cs="Arial"/>
        </w:rPr>
        <w:t xml:space="preserve"> de longitud y se extenderá desde la salida de la estación de bombeo de la Planta Berazategui.</w:t>
      </w:r>
    </w:p>
    <w:p w14:paraId="1CC00ECD" w14:textId="77777777" w:rsidR="00BA05F3" w:rsidRPr="00BA05F3" w:rsidRDefault="00BA05F3" w:rsidP="00BA05F3">
      <w:pPr>
        <w:spacing w:before="240" w:line="360" w:lineRule="auto"/>
        <w:ind w:firstLine="708"/>
        <w:rPr>
          <w:rFonts w:ascii="Arial" w:hAnsi="Arial" w:cs="Arial"/>
        </w:rPr>
      </w:pPr>
      <w:r w:rsidRPr="00BA05F3">
        <w:rPr>
          <w:rFonts w:ascii="Arial" w:hAnsi="Arial" w:cs="Arial"/>
        </w:rPr>
        <w:t xml:space="preserve">b) Tramo de transporte aguas debajo de la cámara de transición de 4,40m de diámetro interno construido en zanja y fundado sobre pilotes. </w:t>
      </w:r>
    </w:p>
    <w:p w14:paraId="0F049E0D" w14:textId="77777777" w:rsidR="00BA05F3" w:rsidRPr="00BA05F3" w:rsidRDefault="00BA05F3" w:rsidP="00BA05F3">
      <w:pPr>
        <w:spacing w:before="240" w:line="360" w:lineRule="auto"/>
        <w:ind w:firstLine="708"/>
        <w:rPr>
          <w:rFonts w:ascii="Arial" w:hAnsi="Arial" w:cs="Arial"/>
        </w:rPr>
      </w:pPr>
      <w:r w:rsidRPr="00BA05F3">
        <w:rPr>
          <w:rFonts w:ascii="Arial" w:hAnsi="Arial" w:cs="Arial"/>
        </w:rPr>
        <w:t>c) Tramo de difusión: un conducto construido en zanja y fundado sobre pilotes de sección variable por tramos</w:t>
      </w:r>
    </w:p>
    <w:p w14:paraId="3F300874" w14:textId="77777777" w:rsidR="00BA05F3" w:rsidRPr="00BA05F3" w:rsidRDefault="00BA05F3" w:rsidP="00BA05F3">
      <w:pPr>
        <w:spacing w:before="240" w:line="360" w:lineRule="auto"/>
        <w:rPr>
          <w:rFonts w:ascii="Arial" w:hAnsi="Arial" w:cs="Arial"/>
        </w:rPr>
      </w:pPr>
      <w:r w:rsidRPr="00BA05F3">
        <w:rPr>
          <w:rFonts w:ascii="Arial" w:hAnsi="Arial" w:cs="Arial"/>
        </w:rPr>
        <w:t>Las dimensiones del conducto proyectado para el presente contrato se presentan en el Cuadro 1.</w:t>
      </w:r>
    </w:p>
    <w:p w14:paraId="30C118AB" w14:textId="77777777" w:rsidR="00BA05F3" w:rsidRPr="00BA05F3" w:rsidRDefault="00BA05F3" w:rsidP="00BA05F3">
      <w:pPr>
        <w:spacing w:before="240" w:line="360" w:lineRule="auto"/>
        <w:rPr>
          <w:rFonts w:ascii="Arial" w:hAnsi="Arial" w:cs="Arial"/>
        </w:rPr>
      </w:pPr>
    </w:p>
    <w:p w14:paraId="7ADC1961" w14:textId="77777777" w:rsidR="00BA05F3" w:rsidRPr="00BA05F3" w:rsidRDefault="00BA05F3" w:rsidP="00BA05F3">
      <w:pPr>
        <w:spacing w:before="240" w:line="360" w:lineRule="auto"/>
        <w:rPr>
          <w:rFonts w:ascii="Arial" w:hAnsi="Arial" w:cs="Arial"/>
        </w:rPr>
      </w:pPr>
    </w:p>
    <w:p w14:paraId="68C6A675" w14:textId="77777777" w:rsidR="00BA05F3" w:rsidRPr="00BA05F3" w:rsidRDefault="00BA05F3" w:rsidP="00BA05F3">
      <w:pPr>
        <w:spacing w:before="240" w:line="360" w:lineRule="auto"/>
        <w:rPr>
          <w:rFonts w:ascii="Arial" w:hAnsi="Arial" w:cs="Arial"/>
        </w:rPr>
      </w:pPr>
    </w:p>
    <w:p w14:paraId="27ECB909" w14:textId="77777777" w:rsidR="00BA05F3" w:rsidRPr="00BA05F3" w:rsidRDefault="00BA05F3" w:rsidP="00BA05F3">
      <w:pPr>
        <w:spacing w:before="240" w:line="360" w:lineRule="auto"/>
        <w:rPr>
          <w:rFonts w:ascii="Arial" w:hAnsi="Arial" w:cs="Arial"/>
        </w:rPr>
      </w:pPr>
    </w:p>
    <w:p w14:paraId="3F8362A4" w14:textId="77777777" w:rsidR="00BA05F3" w:rsidRPr="00BA05F3" w:rsidRDefault="00BA05F3" w:rsidP="00BA05F3">
      <w:pPr>
        <w:spacing w:before="240" w:line="360" w:lineRule="auto"/>
        <w:jc w:val="center"/>
        <w:rPr>
          <w:rFonts w:ascii="Arial" w:hAnsi="Arial" w:cs="Arial"/>
          <w:b/>
        </w:rPr>
      </w:pPr>
    </w:p>
    <w:p w14:paraId="2E6BF549" w14:textId="77777777" w:rsidR="00BA05F3" w:rsidRPr="00BA05F3" w:rsidRDefault="00BA05F3" w:rsidP="00BA05F3">
      <w:pPr>
        <w:spacing w:before="240" w:line="360" w:lineRule="auto"/>
        <w:rPr>
          <w:rFonts w:ascii="Arial" w:hAnsi="Arial" w:cs="Arial"/>
          <w:b/>
        </w:rPr>
      </w:pPr>
      <w:r w:rsidRPr="00BA05F3">
        <w:rPr>
          <w:rFonts w:ascii="Arial" w:hAnsi="Arial" w:cs="Arial"/>
          <w:b/>
        </w:rPr>
        <w:t>Cuadro AI.1: Dimensiones del nuevo emisario.</w:t>
      </w:r>
    </w:p>
    <w:tbl>
      <w:tblPr>
        <w:tblW w:w="8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030"/>
        <w:gridCol w:w="2160"/>
        <w:gridCol w:w="1980"/>
      </w:tblGrid>
      <w:tr w:rsidR="00BA05F3" w:rsidRPr="00BA05F3" w14:paraId="6459B2B3" w14:textId="77777777" w:rsidTr="007965F7">
        <w:trPr>
          <w:jc w:val="center"/>
        </w:trPr>
        <w:tc>
          <w:tcPr>
            <w:tcW w:w="4030" w:type="dxa"/>
            <w:shd w:val="clear" w:color="auto" w:fill="EEECE1"/>
            <w:vAlign w:val="center"/>
          </w:tcPr>
          <w:p w14:paraId="7EADC4D6" w14:textId="77777777" w:rsidR="00BA05F3" w:rsidRPr="00BA05F3" w:rsidRDefault="00BA05F3" w:rsidP="007965F7">
            <w:pPr>
              <w:spacing w:line="240" w:lineRule="auto"/>
              <w:jc w:val="center"/>
              <w:rPr>
                <w:rFonts w:ascii="Arial" w:hAnsi="Arial" w:cs="Arial"/>
                <w:b/>
              </w:rPr>
            </w:pPr>
            <w:r w:rsidRPr="00BA05F3">
              <w:rPr>
                <w:rFonts w:ascii="Arial" w:hAnsi="Arial" w:cs="Arial"/>
                <w:b/>
              </w:rPr>
              <w:t>Tramo</w:t>
            </w:r>
          </w:p>
        </w:tc>
        <w:tc>
          <w:tcPr>
            <w:tcW w:w="2160" w:type="dxa"/>
            <w:shd w:val="clear" w:color="auto" w:fill="EEECE1"/>
            <w:vAlign w:val="center"/>
          </w:tcPr>
          <w:p w14:paraId="6B654558" w14:textId="77777777" w:rsidR="00BA05F3" w:rsidRPr="00BA05F3" w:rsidRDefault="00BA05F3" w:rsidP="007965F7">
            <w:pPr>
              <w:spacing w:line="240" w:lineRule="auto"/>
              <w:jc w:val="center"/>
              <w:rPr>
                <w:rFonts w:ascii="Arial" w:hAnsi="Arial" w:cs="Arial"/>
                <w:b/>
              </w:rPr>
            </w:pPr>
            <w:r w:rsidRPr="00BA05F3">
              <w:rPr>
                <w:rFonts w:ascii="Arial" w:hAnsi="Arial" w:cs="Arial"/>
                <w:b/>
              </w:rPr>
              <w:t>Diámetro[mm]</w:t>
            </w:r>
          </w:p>
        </w:tc>
        <w:tc>
          <w:tcPr>
            <w:tcW w:w="1980" w:type="dxa"/>
            <w:shd w:val="clear" w:color="auto" w:fill="EEECE1"/>
            <w:vAlign w:val="center"/>
          </w:tcPr>
          <w:p w14:paraId="272227B3" w14:textId="77777777" w:rsidR="00BA05F3" w:rsidRPr="00BA05F3" w:rsidRDefault="00BA05F3" w:rsidP="007965F7">
            <w:pPr>
              <w:spacing w:line="240" w:lineRule="auto"/>
              <w:jc w:val="center"/>
              <w:rPr>
                <w:rFonts w:ascii="Arial" w:hAnsi="Arial" w:cs="Arial"/>
                <w:b/>
              </w:rPr>
            </w:pPr>
            <w:r w:rsidRPr="00BA05F3">
              <w:rPr>
                <w:rFonts w:ascii="Arial" w:hAnsi="Arial" w:cs="Arial"/>
                <w:b/>
              </w:rPr>
              <w:t>Longitud[m]</w:t>
            </w:r>
          </w:p>
        </w:tc>
      </w:tr>
      <w:tr w:rsidR="00BA05F3" w:rsidRPr="00BA05F3" w14:paraId="16A695EC" w14:textId="77777777" w:rsidTr="007965F7">
        <w:trPr>
          <w:jc w:val="center"/>
        </w:trPr>
        <w:tc>
          <w:tcPr>
            <w:tcW w:w="4030" w:type="dxa"/>
            <w:tcBorders>
              <w:bottom w:val="single" w:sz="4" w:space="0" w:color="auto"/>
            </w:tcBorders>
            <w:vAlign w:val="center"/>
          </w:tcPr>
          <w:p w14:paraId="60297177" w14:textId="77777777" w:rsidR="00BA05F3" w:rsidRPr="00BA05F3" w:rsidRDefault="00BA05F3" w:rsidP="007965F7">
            <w:pPr>
              <w:spacing w:line="240" w:lineRule="auto"/>
              <w:jc w:val="center"/>
              <w:rPr>
                <w:rFonts w:ascii="Arial" w:hAnsi="Arial" w:cs="Arial"/>
              </w:rPr>
            </w:pPr>
            <w:r w:rsidRPr="00BA05F3">
              <w:rPr>
                <w:rFonts w:ascii="Arial" w:hAnsi="Arial" w:cs="Arial"/>
              </w:rPr>
              <w:t>Emisario – Tramo de Transporte en túnel</w:t>
            </w:r>
          </w:p>
        </w:tc>
        <w:tc>
          <w:tcPr>
            <w:tcW w:w="2160" w:type="dxa"/>
            <w:vAlign w:val="center"/>
          </w:tcPr>
          <w:p w14:paraId="30F2C669" w14:textId="2EA188C8" w:rsidR="00BA05F3" w:rsidRPr="00BA05F3" w:rsidRDefault="00BA05F3" w:rsidP="007965F7">
            <w:pPr>
              <w:spacing w:line="240" w:lineRule="auto"/>
              <w:jc w:val="center"/>
              <w:rPr>
                <w:rFonts w:ascii="Arial" w:hAnsi="Arial" w:cs="Arial"/>
              </w:rPr>
            </w:pPr>
            <w:r w:rsidRPr="00BA05F3">
              <w:rPr>
                <w:rFonts w:ascii="Arial" w:hAnsi="Arial" w:cs="Arial"/>
              </w:rPr>
              <w:t>4400</w:t>
            </w:r>
          </w:p>
        </w:tc>
        <w:tc>
          <w:tcPr>
            <w:tcW w:w="1980" w:type="dxa"/>
            <w:vAlign w:val="center"/>
          </w:tcPr>
          <w:p w14:paraId="6CB27E5D" w14:textId="77777777" w:rsidR="00BA05F3" w:rsidRPr="00BA05F3" w:rsidRDefault="00BA05F3" w:rsidP="007965F7">
            <w:pPr>
              <w:spacing w:line="240" w:lineRule="auto"/>
              <w:jc w:val="center"/>
              <w:rPr>
                <w:rFonts w:ascii="Arial" w:hAnsi="Arial" w:cs="Arial"/>
              </w:rPr>
            </w:pPr>
            <w:r w:rsidRPr="00BA05F3">
              <w:rPr>
                <w:rFonts w:ascii="Arial" w:hAnsi="Arial" w:cs="Arial"/>
              </w:rPr>
              <w:t>3970</w:t>
            </w:r>
          </w:p>
        </w:tc>
      </w:tr>
      <w:tr w:rsidR="00BA05F3" w:rsidRPr="00BA05F3" w14:paraId="162BEB86" w14:textId="77777777" w:rsidTr="007965F7">
        <w:trPr>
          <w:jc w:val="center"/>
        </w:trPr>
        <w:tc>
          <w:tcPr>
            <w:tcW w:w="4030" w:type="dxa"/>
            <w:tcBorders>
              <w:bottom w:val="nil"/>
            </w:tcBorders>
            <w:vAlign w:val="center"/>
          </w:tcPr>
          <w:p w14:paraId="0FD23403" w14:textId="77777777" w:rsidR="00BA05F3" w:rsidRPr="00BA05F3" w:rsidRDefault="00BA05F3" w:rsidP="007965F7">
            <w:pPr>
              <w:spacing w:line="240" w:lineRule="auto"/>
              <w:jc w:val="center"/>
              <w:rPr>
                <w:rFonts w:ascii="Arial" w:hAnsi="Arial" w:cs="Arial"/>
              </w:rPr>
            </w:pPr>
            <w:r w:rsidRPr="00BA05F3">
              <w:rPr>
                <w:rFonts w:ascii="Arial" w:hAnsi="Arial" w:cs="Arial"/>
              </w:rPr>
              <w:t>Emisario – Tramo de Transporte en zanja</w:t>
            </w:r>
          </w:p>
        </w:tc>
        <w:tc>
          <w:tcPr>
            <w:tcW w:w="2160" w:type="dxa"/>
            <w:vAlign w:val="center"/>
          </w:tcPr>
          <w:p w14:paraId="0E221030" w14:textId="77777777" w:rsidR="00BA05F3" w:rsidRPr="00BA05F3" w:rsidRDefault="00BA05F3" w:rsidP="007965F7">
            <w:pPr>
              <w:spacing w:line="240" w:lineRule="auto"/>
              <w:jc w:val="center"/>
              <w:rPr>
                <w:rFonts w:ascii="Arial" w:hAnsi="Arial" w:cs="Arial"/>
              </w:rPr>
            </w:pPr>
            <w:r w:rsidRPr="00BA05F3">
              <w:rPr>
                <w:rFonts w:ascii="Arial" w:hAnsi="Arial" w:cs="Arial"/>
              </w:rPr>
              <w:t>4.400</w:t>
            </w:r>
          </w:p>
        </w:tc>
        <w:tc>
          <w:tcPr>
            <w:tcW w:w="1980" w:type="dxa"/>
            <w:vAlign w:val="center"/>
          </w:tcPr>
          <w:p w14:paraId="4BD3C4A6" w14:textId="77777777" w:rsidR="00BA05F3" w:rsidRPr="00BA05F3" w:rsidRDefault="00BA05F3" w:rsidP="007965F7">
            <w:pPr>
              <w:spacing w:line="240" w:lineRule="auto"/>
              <w:jc w:val="center"/>
              <w:rPr>
                <w:rFonts w:ascii="Arial" w:hAnsi="Arial" w:cs="Arial"/>
              </w:rPr>
            </w:pPr>
            <w:r w:rsidRPr="00BA05F3">
              <w:rPr>
                <w:rFonts w:ascii="Arial" w:hAnsi="Arial" w:cs="Arial"/>
              </w:rPr>
              <w:t>1230</w:t>
            </w:r>
          </w:p>
        </w:tc>
      </w:tr>
      <w:tr w:rsidR="00BA05F3" w:rsidRPr="00BA05F3" w14:paraId="4E252BFE" w14:textId="77777777" w:rsidTr="007965F7">
        <w:trPr>
          <w:jc w:val="center"/>
        </w:trPr>
        <w:tc>
          <w:tcPr>
            <w:tcW w:w="4030" w:type="dxa"/>
            <w:tcBorders>
              <w:bottom w:val="nil"/>
            </w:tcBorders>
            <w:vAlign w:val="center"/>
          </w:tcPr>
          <w:p w14:paraId="2DF737A4" w14:textId="77777777" w:rsidR="00BA05F3" w:rsidRPr="00BA05F3" w:rsidRDefault="00BA05F3" w:rsidP="007965F7">
            <w:pPr>
              <w:spacing w:line="240" w:lineRule="auto"/>
              <w:jc w:val="center"/>
              <w:rPr>
                <w:rFonts w:ascii="Arial" w:hAnsi="Arial" w:cs="Arial"/>
              </w:rPr>
            </w:pPr>
          </w:p>
        </w:tc>
        <w:tc>
          <w:tcPr>
            <w:tcW w:w="2160" w:type="dxa"/>
            <w:vAlign w:val="center"/>
          </w:tcPr>
          <w:p w14:paraId="001E5EC1" w14:textId="77777777" w:rsidR="00BA05F3" w:rsidRPr="00BA05F3" w:rsidRDefault="00BA05F3" w:rsidP="007965F7">
            <w:pPr>
              <w:spacing w:line="240" w:lineRule="auto"/>
              <w:jc w:val="center"/>
              <w:rPr>
                <w:rFonts w:ascii="Arial" w:hAnsi="Arial" w:cs="Arial"/>
              </w:rPr>
            </w:pPr>
            <w:r w:rsidRPr="00BA05F3">
              <w:rPr>
                <w:rFonts w:ascii="Arial" w:hAnsi="Arial" w:cs="Arial"/>
              </w:rPr>
              <w:t>4.400</w:t>
            </w:r>
          </w:p>
        </w:tc>
        <w:tc>
          <w:tcPr>
            <w:tcW w:w="1980" w:type="dxa"/>
            <w:vAlign w:val="center"/>
          </w:tcPr>
          <w:p w14:paraId="2825D33A" w14:textId="77777777" w:rsidR="00BA05F3" w:rsidRPr="00BA05F3" w:rsidRDefault="00BA05F3" w:rsidP="007965F7">
            <w:pPr>
              <w:spacing w:line="240" w:lineRule="auto"/>
              <w:jc w:val="center"/>
              <w:rPr>
                <w:rFonts w:ascii="Arial" w:hAnsi="Arial" w:cs="Arial"/>
              </w:rPr>
            </w:pPr>
            <w:r w:rsidRPr="00BA05F3">
              <w:rPr>
                <w:rFonts w:ascii="Arial" w:hAnsi="Arial" w:cs="Arial"/>
              </w:rPr>
              <w:t>800</w:t>
            </w:r>
          </w:p>
        </w:tc>
      </w:tr>
      <w:tr w:rsidR="00BA05F3" w:rsidRPr="00BA05F3" w14:paraId="5B0094B4" w14:textId="77777777" w:rsidTr="007965F7">
        <w:trPr>
          <w:jc w:val="center"/>
        </w:trPr>
        <w:tc>
          <w:tcPr>
            <w:tcW w:w="4030" w:type="dxa"/>
            <w:tcBorders>
              <w:top w:val="nil"/>
              <w:bottom w:val="nil"/>
            </w:tcBorders>
            <w:vAlign w:val="center"/>
          </w:tcPr>
          <w:p w14:paraId="031581EC" w14:textId="77777777" w:rsidR="00BA05F3" w:rsidRPr="00BA05F3" w:rsidRDefault="00BA05F3" w:rsidP="007965F7">
            <w:pPr>
              <w:spacing w:line="240" w:lineRule="auto"/>
              <w:jc w:val="center"/>
              <w:rPr>
                <w:rFonts w:ascii="Arial" w:hAnsi="Arial" w:cs="Arial"/>
              </w:rPr>
            </w:pPr>
            <w:r w:rsidRPr="00BA05F3">
              <w:rPr>
                <w:rFonts w:ascii="Arial" w:hAnsi="Arial" w:cs="Arial"/>
              </w:rPr>
              <w:t>Emisario – Tramo de Difusión</w:t>
            </w:r>
          </w:p>
        </w:tc>
        <w:tc>
          <w:tcPr>
            <w:tcW w:w="2160" w:type="dxa"/>
            <w:vAlign w:val="center"/>
          </w:tcPr>
          <w:p w14:paraId="6B25FB9F" w14:textId="77777777" w:rsidR="00BA05F3" w:rsidRPr="00BA05F3" w:rsidRDefault="00BA05F3" w:rsidP="007965F7">
            <w:pPr>
              <w:spacing w:line="240" w:lineRule="auto"/>
              <w:jc w:val="center"/>
              <w:rPr>
                <w:rFonts w:ascii="Arial" w:hAnsi="Arial" w:cs="Arial"/>
              </w:rPr>
            </w:pPr>
            <w:r w:rsidRPr="00BA05F3">
              <w:rPr>
                <w:rFonts w:ascii="Arial" w:hAnsi="Arial" w:cs="Arial"/>
              </w:rPr>
              <w:t>2800</w:t>
            </w:r>
          </w:p>
        </w:tc>
        <w:tc>
          <w:tcPr>
            <w:tcW w:w="1980" w:type="dxa"/>
            <w:vAlign w:val="center"/>
          </w:tcPr>
          <w:p w14:paraId="2B32E825" w14:textId="77777777" w:rsidR="00BA05F3" w:rsidRPr="00BA05F3" w:rsidRDefault="00BA05F3" w:rsidP="007965F7">
            <w:pPr>
              <w:spacing w:line="240" w:lineRule="auto"/>
              <w:jc w:val="center"/>
              <w:rPr>
                <w:rFonts w:ascii="Arial" w:hAnsi="Arial" w:cs="Arial"/>
              </w:rPr>
            </w:pPr>
            <w:r w:rsidRPr="00BA05F3">
              <w:rPr>
                <w:rFonts w:ascii="Arial" w:hAnsi="Arial" w:cs="Arial"/>
              </w:rPr>
              <w:t>1000</w:t>
            </w:r>
          </w:p>
        </w:tc>
      </w:tr>
      <w:tr w:rsidR="00BA05F3" w:rsidRPr="00BA05F3" w14:paraId="4085CD73" w14:textId="77777777" w:rsidTr="007965F7">
        <w:trPr>
          <w:jc w:val="center"/>
        </w:trPr>
        <w:tc>
          <w:tcPr>
            <w:tcW w:w="4030" w:type="dxa"/>
            <w:tcBorders>
              <w:top w:val="nil"/>
            </w:tcBorders>
            <w:vAlign w:val="center"/>
          </w:tcPr>
          <w:p w14:paraId="40559F3F" w14:textId="77777777" w:rsidR="00BA05F3" w:rsidRPr="00BA05F3" w:rsidRDefault="00BA05F3" w:rsidP="007965F7">
            <w:pPr>
              <w:spacing w:line="240" w:lineRule="auto"/>
              <w:jc w:val="center"/>
              <w:rPr>
                <w:rFonts w:ascii="Arial" w:hAnsi="Arial" w:cs="Arial"/>
              </w:rPr>
            </w:pPr>
          </w:p>
        </w:tc>
        <w:tc>
          <w:tcPr>
            <w:tcW w:w="2160" w:type="dxa"/>
            <w:vAlign w:val="center"/>
          </w:tcPr>
          <w:p w14:paraId="2FCB1645" w14:textId="77777777" w:rsidR="00BA05F3" w:rsidRPr="00BA05F3" w:rsidRDefault="00BA05F3" w:rsidP="007965F7">
            <w:pPr>
              <w:spacing w:line="240" w:lineRule="auto"/>
              <w:jc w:val="center"/>
              <w:rPr>
                <w:rFonts w:ascii="Arial" w:hAnsi="Arial" w:cs="Arial"/>
              </w:rPr>
            </w:pPr>
            <w:r w:rsidRPr="00BA05F3">
              <w:rPr>
                <w:rFonts w:ascii="Arial" w:hAnsi="Arial" w:cs="Arial"/>
              </w:rPr>
              <w:t>1.700</w:t>
            </w:r>
          </w:p>
        </w:tc>
        <w:tc>
          <w:tcPr>
            <w:tcW w:w="1980" w:type="dxa"/>
            <w:vAlign w:val="center"/>
          </w:tcPr>
          <w:p w14:paraId="1D221B80" w14:textId="77777777" w:rsidR="00BA05F3" w:rsidRPr="00BA05F3" w:rsidRDefault="00BA05F3" w:rsidP="007965F7">
            <w:pPr>
              <w:spacing w:line="240" w:lineRule="auto"/>
              <w:jc w:val="center"/>
              <w:rPr>
                <w:rFonts w:ascii="Arial" w:hAnsi="Arial" w:cs="Arial"/>
              </w:rPr>
            </w:pPr>
            <w:r w:rsidRPr="00BA05F3">
              <w:rPr>
                <w:rFonts w:ascii="Arial" w:hAnsi="Arial" w:cs="Arial"/>
              </w:rPr>
              <w:t>500</w:t>
            </w:r>
          </w:p>
        </w:tc>
      </w:tr>
    </w:tbl>
    <w:p w14:paraId="68278759" w14:textId="77777777" w:rsidR="00BA05F3" w:rsidRPr="00BA05F3" w:rsidRDefault="00BA05F3" w:rsidP="00BA05F3">
      <w:pPr>
        <w:pStyle w:val="BodyText"/>
        <w:spacing w:before="120" w:after="60" w:line="360" w:lineRule="auto"/>
        <w:jc w:val="both"/>
        <w:rPr>
          <w:rFonts w:cs="Arial"/>
          <w:sz w:val="22"/>
          <w:szCs w:val="22"/>
          <w:lang w:val="es-AR"/>
        </w:rPr>
      </w:pPr>
    </w:p>
    <w:p w14:paraId="4F80419D" w14:textId="77777777" w:rsidR="00BA05F3" w:rsidRPr="00BA05F3" w:rsidRDefault="00BA05F3" w:rsidP="00BA05F3">
      <w:pPr>
        <w:pStyle w:val="BodyText"/>
        <w:spacing w:line="360" w:lineRule="auto"/>
        <w:jc w:val="both"/>
        <w:rPr>
          <w:rFonts w:cs="Arial"/>
          <w:sz w:val="22"/>
          <w:szCs w:val="22"/>
          <w:lang w:val="es-AR"/>
        </w:rPr>
      </w:pPr>
      <w:r w:rsidRPr="00BA05F3">
        <w:rPr>
          <w:rFonts w:cs="Arial"/>
          <w:sz w:val="22"/>
          <w:szCs w:val="22"/>
          <w:lang w:val="es-AR"/>
        </w:rPr>
        <w:t xml:space="preserve">El conducto difusor tendrá 47  “raisers” tipo roseta con un diámetro interno de </w:t>
      </w:r>
      <w:smartTag w:uri="urn:schemas-microsoft-com:office:smarttags" w:element="metricconverter">
        <w:smartTagPr>
          <w:attr w:name="ProductID" w:val="52 cent￭metros"/>
        </w:smartTagPr>
        <w:r w:rsidRPr="00BA05F3">
          <w:rPr>
            <w:rFonts w:cs="Arial"/>
            <w:sz w:val="22"/>
            <w:szCs w:val="22"/>
            <w:lang w:val="es-AR"/>
          </w:rPr>
          <w:t>52 centímetros</w:t>
        </w:r>
      </w:smartTag>
      <w:r w:rsidRPr="00BA05F3">
        <w:rPr>
          <w:rFonts w:cs="Arial"/>
          <w:sz w:val="22"/>
          <w:szCs w:val="22"/>
          <w:lang w:val="es-AR"/>
        </w:rPr>
        <w:t xml:space="preserve">, con 6 puertos con un diámetro de salida de </w:t>
      </w:r>
      <w:smartTag w:uri="urn:schemas-microsoft-com:office:smarttags" w:element="metricconverter">
        <w:smartTagPr>
          <w:attr w:name="ProductID" w:val="18 cent￭metros"/>
        </w:smartTagPr>
        <w:r w:rsidRPr="00BA05F3">
          <w:rPr>
            <w:rFonts w:cs="Arial"/>
            <w:sz w:val="22"/>
            <w:szCs w:val="22"/>
            <w:lang w:val="es-AR"/>
          </w:rPr>
          <w:t>18 centímetros</w:t>
        </w:r>
      </w:smartTag>
      <w:r w:rsidRPr="00BA05F3">
        <w:rPr>
          <w:rFonts w:cs="Arial"/>
          <w:sz w:val="22"/>
          <w:szCs w:val="22"/>
          <w:lang w:val="es-AR"/>
        </w:rPr>
        <w:t>.</w:t>
      </w:r>
    </w:p>
    <w:p w14:paraId="06620D8A" w14:textId="77777777" w:rsidR="00BA05F3" w:rsidRPr="00BA05F3" w:rsidRDefault="00BA05F3" w:rsidP="00BA05F3">
      <w:pPr>
        <w:pStyle w:val="BodyText"/>
        <w:spacing w:before="240" w:after="60" w:line="360" w:lineRule="auto"/>
        <w:jc w:val="both"/>
        <w:rPr>
          <w:rFonts w:cs="Arial"/>
          <w:sz w:val="22"/>
          <w:szCs w:val="22"/>
          <w:lang w:val="es-AR"/>
        </w:rPr>
      </w:pPr>
      <w:r w:rsidRPr="00BA05F3">
        <w:rPr>
          <w:rFonts w:cs="Arial"/>
          <w:sz w:val="22"/>
          <w:szCs w:val="22"/>
          <w:lang w:val="es-AR"/>
        </w:rPr>
        <w:t>La obra incluirá el suministro de materiales y equipos para la construcción y la provisión y montaje del tramo y zanja  los difusores.</w:t>
      </w:r>
    </w:p>
    <w:p w14:paraId="7AAE1104" w14:textId="77777777" w:rsidR="00BA05F3" w:rsidRPr="00BA05F3" w:rsidRDefault="00BA05F3" w:rsidP="00BA05F3">
      <w:pPr>
        <w:pStyle w:val="BodyText"/>
        <w:spacing w:before="240" w:after="60" w:line="360" w:lineRule="auto"/>
        <w:jc w:val="both"/>
        <w:rPr>
          <w:rFonts w:cs="Arial"/>
          <w:color w:val="FF0000"/>
          <w:sz w:val="22"/>
          <w:szCs w:val="22"/>
          <w:lang w:val="es-AR"/>
        </w:rPr>
      </w:pPr>
    </w:p>
    <w:p w14:paraId="02CFB4E7" w14:textId="77777777" w:rsidR="00BA05F3" w:rsidRPr="00BA05F3" w:rsidRDefault="00BA05F3" w:rsidP="002B0107">
      <w:pPr>
        <w:pStyle w:val="Heading2"/>
        <w:numPr>
          <w:ilvl w:val="0"/>
          <w:numId w:val="0"/>
        </w:numPr>
        <w:ind w:left="576"/>
      </w:pPr>
      <w:bookmarkStart w:id="1141" w:name="_Toc483227456"/>
      <w:bookmarkStart w:id="1142" w:name="_Toc484985209"/>
      <w:bookmarkStart w:id="1143" w:name="_Toc485027094"/>
      <w:bookmarkStart w:id="1144" w:name="_Toc485200276"/>
      <w:r w:rsidRPr="00BA05F3">
        <w:t>1.1 Traza</w:t>
      </w:r>
      <w:bookmarkEnd w:id="1141"/>
      <w:bookmarkEnd w:id="1142"/>
      <w:bookmarkEnd w:id="1143"/>
      <w:bookmarkEnd w:id="1144"/>
      <w:r w:rsidRPr="00BA05F3">
        <w:t xml:space="preserve"> </w:t>
      </w:r>
    </w:p>
    <w:p w14:paraId="755BAB80" w14:textId="77777777" w:rsidR="00BA05F3" w:rsidRPr="00BA05F3" w:rsidRDefault="00BA05F3" w:rsidP="00BA05F3">
      <w:pPr>
        <w:spacing w:before="240" w:line="360" w:lineRule="auto"/>
        <w:rPr>
          <w:rFonts w:ascii="Arial" w:hAnsi="Arial" w:cs="Arial"/>
        </w:rPr>
      </w:pPr>
      <w:r w:rsidRPr="00BA05F3">
        <w:rPr>
          <w:rFonts w:ascii="Arial" w:hAnsi="Arial" w:cs="Arial"/>
        </w:rPr>
        <w:t>El túnel se inicia en el predio de la planta de tratamiento y está conformado esencialmente por los siguientes tramos:</w:t>
      </w:r>
    </w:p>
    <w:p w14:paraId="58CF466F" w14:textId="77777777" w:rsidR="00BA05F3" w:rsidRPr="00BA05F3" w:rsidRDefault="00BA05F3" w:rsidP="00C4100D">
      <w:pPr>
        <w:pStyle w:val="ListParagraph"/>
        <w:numPr>
          <w:ilvl w:val="0"/>
          <w:numId w:val="86"/>
        </w:numPr>
        <w:spacing w:before="240" w:after="60" w:line="360" w:lineRule="auto"/>
        <w:rPr>
          <w:rFonts w:ascii="Arial" w:hAnsi="Arial" w:cs="Arial"/>
        </w:rPr>
      </w:pPr>
      <w:r w:rsidRPr="00BA05F3">
        <w:rPr>
          <w:rFonts w:ascii="Arial" w:hAnsi="Arial" w:cs="Arial"/>
        </w:rPr>
        <w:t xml:space="preserve">Tramos de Transporte: incluye los  5200m iniciales en forma recta. </w:t>
      </w:r>
    </w:p>
    <w:p w14:paraId="22CE07B0" w14:textId="77777777" w:rsidR="00BA05F3" w:rsidRPr="00BA05F3" w:rsidRDefault="00BA05F3" w:rsidP="00C4100D">
      <w:pPr>
        <w:pStyle w:val="Header"/>
        <w:numPr>
          <w:ilvl w:val="0"/>
          <w:numId w:val="86"/>
        </w:numPr>
        <w:tabs>
          <w:tab w:val="clear" w:pos="4419"/>
          <w:tab w:val="clear" w:pos="8838"/>
        </w:tabs>
        <w:spacing w:before="240" w:after="60" w:line="360" w:lineRule="auto"/>
        <w:rPr>
          <w:rFonts w:ascii="Arial" w:hAnsi="Arial" w:cs="Arial"/>
        </w:rPr>
      </w:pPr>
      <w:r w:rsidRPr="00BA05F3">
        <w:rPr>
          <w:rFonts w:ascii="Arial" w:hAnsi="Arial" w:cs="Arial"/>
        </w:rPr>
        <w:t>Tramo de difusión: incluye un tramo de 2300m donde se instalarán los “raisers”.  Las coordenadas geográficas de este tramo se encuentra en el Cuadro AI.2.</w:t>
      </w:r>
    </w:p>
    <w:p w14:paraId="5509ABF9" w14:textId="77777777" w:rsidR="00BA05F3" w:rsidRPr="00BA05F3" w:rsidRDefault="00BA05F3" w:rsidP="00BA05F3">
      <w:pPr>
        <w:pStyle w:val="Header"/>
        <w:spacing w:before="240" w:line="360" w:lineRule="auto"/>
        <w:rPr>
          <w:rFonts w:ascii="Arial" w:hAnsi="Arial" w:cs="Arial"/>
          <w:b/>
        </w:rPr>
      </w:pPr>
      <w:r w:rsidRPr="00BA05F3">
        <w:rPr>
          <w:rFonts w:ascii="Arial" w:hAnsi="Arial" w:cs="Arial"/>
          <w:b/>
        </w:rPr>
        <w:t>Cuadro AI.2. Ubicación geográfica de sección de inicio y fin del tramo de difusión del nuevo emisario de Berazategui.</w:t>
      </w:r>
    </w:p>
    <w:tbl>
      <w:tblPr>
        <w:tblW w:w="7360" w:type="dxa"/>
        <w:jc w:val="center"/>
        <w:tblCellMar>
          <w:left w:w="0" w:type="dxa"/>
          <w:right w:w="0" w:type="dxa"/>
        </w:tblCellMar>
        <w:tblLook w:val="0000" w:firstRow="0" w:lastRow="0" w:firstColumn="0" w:lastColumn="0" w:noHBand="0" w:noVBand="0"/>
      </w:tblPr>
      <w:tblGrid>
        <w:gridCol w:w="639"/>
        <w:gridCol w:w="1734"/>
        <w:gridCol w:w="1734"/>
        <w:gridCol w:w="1729"/>
        <w:gridCol w:w="1524"/>
      </w:tblGrid>
      <w:tr w:rsidR="00BA05F3" w:rsidRPr="00BA05F3" w14:paraId="0DE94ED8" w14:textId="77777777" w:rsidTr="007965F7">
        <w:trPr>
          <w:trHeight w:val="270"/>
          <w:jc w:val="center"/>
        </w:trPr>
        <w:tc>
          <w:tcPr>
            <w:tcW w:w="0" w:type="auto"/>
            <w:tcBorders>
              <w:top w:val="nil"/>
              <w:left w:val="nil"/>
              <w:bottom w:val="nil"/>
              <w:right w:val="nil"/>
            </w:tcBorders>
            <w:noWrap/>
            <w:tcMar>
              <w:top w:w="15" w:type="dxa"/>
              <w:left w:w="15" w:type="dxa"/>
              <w:bottom w:w="0" w:type="dxa"/>
              <w:right w:w="15" w:type="dxa"/>
            </w:tcMar>
            <w:vAlign w:val="center"/>
          </w:tcPr>
          <w:p w14:paraId="6F1762C5" w14:textId="77777777" w:rsidR="00BA05F3" w:rsidRPr="00BA05F3" w:rsidRDefault="00BA05F3" w:rsidP="007965F7">
            <w:pPr>
              <w:spacing w:before="240" w:line="360" w:lineRule="auto"/>
              <w:jc w:val="center"/>
              <w:rPr>
                <w:rFonts w:ascii="Arial" w:eastAsia="Arial Unicode MS" w:hAnsi="Arial" w:cs="Arial"/>
              </w:rPr>
            </w:pPr>
          </w:p>
        </w:tc>
        <w:tc>
          <w:tcPr>
            <w:tcW w:w="0" w:type="auto"/>
            <w:gridSpan w:val="2"/>
            <w:tcBorders>
              <w:top w:val="single" w:sz="8" w:space="0" w:color="auto"/>
              <w:left w:val="single" w:sz="8" w:space="0" w:color="auto"/>
              <w:bottom w:val="single" w:sz="8" w:space="0" w:color="auto"/>
              <w:right w:val="single" w:sz="4" w:space="0" w:color="auto"/>
            </w:tcBorders>
            <w:noWrap/>
            <w:tcMar>
              <w:top w:w="15" w:type="dxa"/>
              <w:left w:w="15" w:type="dxa"/>
              <w:bottom w:w="0" w:type="dxa"/>
              <w:right w:w="15" w:type="dxa"/>
            </w:tcMar>
            <w:vAlign w:val="center"/>
          </w:tcPr>
          <w:p w14:paraId="6F350E4F" w14:textId="77777777" w:rsidR="00BA05F3" w:rsidRPr="00BA05F3" w:rsidRDefault="00BA05F3" w:rsidP="007965F7">
            <w:pPr>
              <w:spacing w:before="240" w:line="360" w:lineRule="auto"/>
              <w:jc w:val="center"/>
              <w:rPr>
                <w:rFonts w:ascii="Arial" w:eastAsia="Arial Unicode MS" w:hAnsi="Arial" w:cs="Arial"/>
                <w:b/>
                <w:bCs/>
              </w:rPr>
            </w:pPr>
            <w:r w:rsidRPr="00BA05F3">
              <w:rPr>
                <w:rFonts w:ascii="Arial" w:hAnsi="Arial" w:cs="Arial"/>
                <w:b/>
                <w:bCs/>
              </w:rPr>
              <w:t>Coordenadas Gauss Kruger</w:t>
            </w:r>
          </w:p>
        </w:tc>
        <w:tc>
          <w:tcPr>
            <w:tcW w:w="0" w:type="auto"/>
            <w:gridSpan w:val="2"/>
            <w:tcBorders>
              <w:top w:val="single" w:sz="8" w:space="0" w:color="auto"/>
              <w:left w:val="nil"/>
              <w:bottom w:val="single" w:sz="8" w:space="0" w:color="auto"/>
              <w:right w:val="single" w:sz="8" w:space="0" w:color="000000"/>
            </w:tcBorders>
            <w:noWrap/>
            <w:tcMar>
              <w:top w:w="15" w:type="dxa"/>
              <w:left w:w="15" w:type="dxa"/>
              <w:bottom w:w="0" w:type="dxa"/>
              <w:right w:w="15" w:type="dxa"/>
            </w:tcMar>
            <w:vAlign w:val="center"/>
          </w:tcPr>
          <w:p w14:paraId="6172D885" w14:textId="77777777" w:rsidR="00BA05F3" w:rsidRPr="00BA05F3" w:rsidRDefault="00BA05F3" w:rsidP="007965F7">
            <w:pPr>
              <w:spacing w:before="240" w:line="360" w:lineRule="auto"/>
              <w:jc w:val="center"/>
              <w:rPr>
                <w:rFonts w:ascii="Arial" w:eastAsia="Arial Unicode MS" w:hAnsi="Arial" w:cs="Arial"/>
                <w:b/>
                <w:bCs/>
              </w:rPr>
            </w:pPr>
            <w:r w:rsidRPr="00BA05F3">
              <w:rPr>
                <w:rFonts w:ascii="Arial" w:hAnsi="Arial" w:cs="Arial"/>
                <w:b/>
                <w:bCs/>
              </w:rPr>
              <w:t>Coordenadas Geográficas</w:t>
            </w:r>
          </w:p>
        </w:tc>
      </w:tr>
      <w:tr w:rsidR="00BA05F3" w:rsidRPr="00BA05F3" w14:paraId="7C65EA6C" w14:textId="77777777" w:rsidTr="007965F7">
        <w:trPr>
          <w:trHeight w:val="255"/>
          <w:jc w:val="center"/>
        </w:trPr>
        <w:tc>
          <w:tcPr>
            <w:tcW w:w="0" w:type="auto"/>
            <w:tcBorders>
              <w:top w:val="nil"/>
              <w:left w:val="nil"/>
              <w:bottom w:val="nil"/>
              <w:right w:val="nil"/>
            </w:tcBorders>
            <w:noWrap/>
            <w:tcMar>
              <w:top w:w="15" w:type="dxa"/>
              <w:left w:w="15" w:type="dxa"/>
              <w:bottom w:w="0" w:type="dxa"/>
              <w:right w:w="15" w:type="dxa"/>
            </w:tcMar>
            <w:vAlign w:val="center"/>
          </w:tcPr>
          <w:p w14:paraId="4A8276DB" w14:textId="77777777" w:rsidR="00BA05F3" w:rsidRPr="00BA05F3" w:rsidRDefault="00BA05F3" w:rsidP="007965F7">
            <w:pPr>
              <w:spacing w:before="240" w:line="360" w:lineRule="auto"/>
              <w:jc w:val="center"/>
              <w:rPr>
                <w:rFonts w:ascii="Arial" w:eastAsia="Arial Unicode MS" w:hAnsi="Arial" w:cs="Arial"/>
              </w:rPr>
            </w:pPr>
          </w:p>
        </w:tc>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0A1686DB" w14:textId="77777777" w:rsidR="00BA05F3" w:rsidRPr="00BA05F3" w:rsidRDefault="00BA05F3" w:rsidP="007965F7">
            <w:pPr>
              <w:spacing w:before="240" w:line="360" w:lineRule="auto"/>
              <w:jc w:val="center"/>
              <w:rPr>
                <w:rFonts w:ascii="Arial" w:eastAsia="Arial Unicode MS" w:hAnsi="Arial" w:cs="Arial"/>
              </w:rPr>
            </w:pPr>
            <w:r w:rsidRPr="00BA05F3">
              <w:rPr>
                <w:rFonts w:ascii="Arial" w:hAnsi="Arial" w:cs="Arial"/>
              </w:rPr>
              <w:t>X</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D402420" w14:textId="77777777" w:rsidR="00BA05F3" w:rsidRPr="00BA05F3" w:rsidRDefault="00BA05F3" w:rsidP="007965F7">
            <w:pPr>
              <w:spacing w:before="240" w:line="360" w:lineRule="auto"/>
              <w:jc w:val="center"/>
              <w:rPr>
                <w:rFonts w:ascii="Arial" w:eastAsia="Arial Unicode MS" w:hAnsi="Arial" w:cs="Arial"/>
              </w:rPr>
            </w:pPr>
            <w:r w:rsidRPr="00BA05F3">
              <w:rPr>
                <w:rFonts w:ascii="Arial" w:hAnsi="Arial" w:cs="Arial"/>
              </w:rPr>
              <w:t>Y</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0B6ABAD" w14:textId="77777777" w:rsidR="00BA05F3" w:rsidRPr="00BA05F3" w:rsidRDefault="00BA05F3" w:rsidP="007965F7">
            <w:pPr>
              <w:spacing w:before="240" w:line="360" w:lineRule="auto"/>
              <w:jc w:val="center"/>
              <w:rPr>
                <w:rFonts w:ascii="Arial" w:eastAsia="Arial Unicode MS" w:hAnsi="Arial" w:cs="Arial"/>
              </w:rPr>
            </w:pPr>
            <w:r w:rsidRPr="00BA05F3">
              <w:rPr>
                <w:rFonts w:ascii="Arial" w:hAnsi="Arial" w:cs="Arial"/>
              </w:rPr>
              <w:t>Latitud</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3AE4F3B3" w14:textId="77777777" w:rsidR="00BA05F3" w:rsidRPr="00BA05F3" w:rsidRDefault="00BA05F3" w:rsidP="007965F7">
            <w:pPr>
              <w:spacing w:before="240" w:line="360" w:lineRule="auto"/>
              <w:jc w:val="center"/>
              <w:rPr>
                <w:rFonts w:ascii="Arial" w:eastAsia="Arial Unicode MS" w:hAnsi="Arial" w:cs="Arial"/>
              </w:rPr>
            </w:pPr>
            <w:r w:rsidRPr="00BA05F3">
              <w:rPr>
                <w:rFonts w:ascii="Arial" w:hAnsi="Arial" w:cs="Arial"/>
              </w:rPr>
              <w:t>Longitud</w:t>
            </w:r>
          </w:p>
        </w:tc>
      </w:tr>
      <w:tr w:rsidR="00BA05F3" w:rsidRPr="00BA05F3" w14:paraId="3157F5AB" w14:textId="77777777" w:rsidTr="007965F7">
        <w:trPr>
          <w:trHeight w:val="255"/>
          <w:jc w:val="center"/>
        </w:trPr>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6CDF2D9D" w14:textId="77777777" w:rsidR="00BA05F3" w:rsidRPr="00BA05F3" w:rsidRDefault="00BA05F3" w:rsidP="007965F7">
            <w:pPr>
              <w:spacing w:before="240" w:line="360" w:lineRule="auto"/>
              <w:jc w:val="center"/>
              <w:rPr>
                <w:rFonts w:ascii="Arial" w:eastAsia="Arial Unicode MS" w:hAnsi="Arial" w:cs="Arial"/>
              </w:rPr>
            </w:pPr>
            <w:r w:rsidRPr="00BA05F3">
              <w:rPr>
                <w:rFonts w:ascii="Arial" w:hAnsi="Arial" w:cs="Arial"/>
              </w:rPr>
              <w:t>Inicio</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8E5CDF4" w14:textId="77777777" w:rsidR="00BA05F3" w:rsidRPr="00BA05F3" w:rsidRDefault="00BA05F3" w:rsidP="007965F7">
            <w:pPr>
              <w:spacing w:before="240" w:line="360" w:lineRule="auto"/>
              <w:jc w:val="center"/>
              <w:rPr>
                <w:rFonts w:ascii="Arial" w:eastAsia="Arial Unicode MS" w:hAnsi="Arial" w:cs="Arial"/>
              </w:rPr>
            </w:pPr>
            <w:r w:rsidRPr="00BA05F3">
              <w:rPr>
                <w:rFonts w:ascii="Arial" w:hAnsi="Arial" w:cs="Arial"/>
              </w:rPr>
              <w:t>5668927.7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331AF577" w14:textId="77777777" w:rsidR="00BA05F3" w:rsidRPr="00BA05F3" w:rsidRDefault="00BA05F3" w:rsidP="007965F7">
            <w:pPr>
              <w:spacing w:before="240" w:line="360" w:lineRule="auto"/>
              <w:jc w:val="center"/>
              <w:rPr>
                <w:rFonts w:ascii="Arial" w:eastAsia="Arial Unicode MS" w:hAnsi="Arial" w:cs="Arial"/>
              </w:rPr>
            </w:pPr>
            <w:r w:rsidRPr="00BA05F3">
              <w:rPr>
                <w:rFonts w:ascii="Arial" w:hAnsi="Arial" w:cs="Arial"/>
              </w:rPr>
              <w:t>6159271.9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C479852" w14:textId="77777777" w:rsidR="00BA05F3" w:rsidRPr="00BA05F3" w:rsidRDefault="00BA05F3" w:rsidP="007965F7">
            <w:pPr>
              <w:spacing w:before="240" w:line="360" w:lineRule="auto"/>
              <w:jc w:val="center"/>
              <w:rPr>
                <w:rFonts w:ascii="Arial" w:eastAsia="Arial Unicode MS" w:hAnsi="Arial" w:cs="Arial"/>
              </w:rPr>
            </w:pPr>
            <w:r w:rsidRPr="00BA05F3">
              <w:rPr>
                <w:rFonts w:ascii="Arial" w:hAnsi="Arial" w:cs="Arial"/>
              </w:rPr>
              <w:t>-34.70096</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1AB3D35" w14:textId="77777777" w:rsidR="00BA05F3" w:rsidRPr="00BA05F3" w:rsidRDefault="00BA05F3" w:rsidP="007965F7">
            <w:pPr>
              <w:spacing w:before="240" w:line="360" w:lineRule="auto"/>
              <w:jc w:val="center"/>
              <w:rPr>
                <w:rFonts w:ascii="Arial" w:eastAsia="Arial Unicode MS" w:hAnsi="Arial" w:cs="Arial"/>
              </w:rPr>
            </w:pPr>
            <w:r w:rsidRPr="00BA05F3">
              <w:rPr>
                <w:rFonts w:ascii="Arial" w:hAnsi="Arial" w:cs="Arial"/>
              </w:rPr>
              <w:t>-58.1548</w:t>
            </w:r>
          </w:p>
        </w:tc>
      </w:tr>
      <w:tr w:rsidR="00BA05F3" w:rsidRPr="00BA05F3" w14:paraId="7CE921D4" w14:textId="77777777" w:rsidTr="007965F7">
        <w:trPr>
          <w:trHeight w:val="255"/>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16786BAD" w14:textId="77777777" w:rsidR="00BA05F3" w:rsidRPr="00BA05F3" w:rsidRDefault="00BA05F3" w:rsidP="007965F7">
            <w:pPr>
              <w:spacing w:before="240" w:line="360" w:lineRule="auto"/>
              <w:jc w:val="center"/>
              <w:rPr>
                <w:rFonts w:ascii="Arial" w:eastAsia="Arial Unicode MS" w:hAnsi="Arial" w:cs="Arial"/>
              </w:rPr>
            </w:pPr>
            <w:r w:rsidRPr="00BA05F3">
              <w:rPr>
                <w:rFonts w:ascii="Arial" w:hAnsi="Arial" w:cs="Arial"/>
              </w:rPr>
              <w:t>Fin</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4C79B6C" w14:textId="77777777" w:rsidR="00BA05F3" w:rsidRPr="00BA05F3" w:rsidRDefault="00BA05F3" w:rsidP="007965F7">
            <w:pPr>
              <w:spacing w:before="240" w:line="360" w:lineRule="auto"/>
              <w:jc w:val="center"/>
              <w:rPr>
                <w:rFonts w:ascii="Arial" w:eastAsia="Arial Unicode MS" w:hAnsi="Arial" w:cs="Arial"/>
              </w:rPr>
            </w:pPr>
            <w:r w:rsidRPr="00BA05F3">
              <w:rPr>
                <w:rFonts w:ascii="Arial" w:hAnsi="Arial" w:cs="Arial"/>
              </w:rPr>
              <w:t>5670062.7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8A25454" w14:textId="77777777" w:rsidR="00BA05F3" w:rsidRPr="00BA05F3" w:rsidRDefault="00BA05F3" w:rsidP="007965F7">
            <w:pPr>
              <w:spacing w:before="240" w:line="360" w:lineRule="auto"/>
              <w:jc w:val="center"/>
              <w:rPr>
                <w:rFonts w:ascii="Arial" w:eastAsia="Arial Unicode MS" w:hAnsi="Arial" w:cs="Arial"/>
              </w:rPr>
            </w:pPr>
            <w:r w:rsidRPr="00BA05F3">
              <w:rPr>
                <w:rFonts w:ascii="Arial" w:hAnsi="Arial" w:cs="Arial"/>
              </w:rPr>
              <w:t>6161272.3</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689E90B" w14:textId="77777777" w:rsidR="00BA05F3" w:rsidRPr="00BA05F3" w:rsidRDefault="00BA05F3" w:rsidP="007965F7">
            <w:pPr>
              <w:spacing w:before="240" w:line="360" w:lineRule="auto"/>
              <w:jc w:val="center"/>
              <w:rPr>
                <w:rFonts w:ascii="Arial" w:eastAsia="Arial Unicode MS" w:hAnsi="Arial" w:cs="Arial"/>
              </w:rPr>
            </w:pPr>
            <w:r w:rsidRPr="00BA05F3">
              <w:rPr>
                <w:rFonts w:ascii="Arial" w:hAnsi="Arial" w:cs="Arial"/>
              </w:rPr>
              <w:t>-34.68222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3BE0C43" w14:textId="77777777" w:rsidR="00BA05F3" w:rsidRPr="00BA05F3" w:rsidRDefault="00BA05F3" w:rsidP="007965F7">
            <w:pPr>
              <w:spacing w:before="240" w:line="360" w:lineRule="auto"/>
              <w:jc w:val="center"/>
              <w:rPr>
                <w:rFonts w:ascii="Arial" w:eastAsia="Arial Unicode MS" w:hAnsi="Arial" w:cs="Arial"/>
              </w:rPr>
            </w:pPr>
            <w:r w:rsidRPr="00BA05F3">
              <w:rPr>
                <w:rFonts w:ascii="Arial" w:hAnsi="Arial" w:cs="Arial"/>
              </w:rPr>
              <w:t>-58.1450</w:t>
            </w:r>
          </w:p>
        </w:tc>
      </w:tr>
    </w:tbl>
    <w:p w14:paraId="16C3CAC3" w14:textId="77777777" w:rsidR="00BA05F3" w:rsidRPr="00BA05F3" w:rsidRDefault="00BA05F3" w:rsidP="00BA05F3">
      <w:pPr>
        <w:spacing w:before="240" w:line="360" w:lineRule="auto"/>
        <w:rPr>
          <w:rFonts w:ascii="Arial" w:hAnsi="Arial" w:cs="Arial"/>
          <w:b/>
          <w:bCs/>
        </w:rPr>
      </w:pPr>
    </w:p>
    <w:p w14:paraId="70466158" w14:textId="77777777" w:rsidR="00BA05F3" w:rsidRPr="00BA05F3" w:rsidRDefault="00BA05F3" w:rsidP="002B0107">
      <w:pPr>
        <w:pStyle w:val="Heading2"/>
        <w:numPr>
          <w:ilvl w:val="0"/>
          <w:numId w:val="0"/>
        </w:numPr>
        <w:ind w:left="576"/>
      </w:pPr>
      <w:bookmarkStart w:id="1145" w:name="_Toc483227457"/>
      <w:bookmarkStart w:id="1146" w:name="_Toc484985210"/>
      <w:bookmarkStart w:id="1147" w:name="_Toc485027095"/>
      <w:bookmarkStart w:id="1148" w:name="_Toc485200277"/>
      <w:r w:rsidRPr="00BA05F3">
        <w:t>1.2 Perfil del tramo de transporte ejecutado en túnel</w:t>
      </w:r>
      <w:bookmarkEnd w:id="1145"/>
      <w:bookmarkEnd w:id="1146"/>
      <w:bookmarkEnd w:id="1147"/>
      <w:bookmarkEnd w:id="1148"/>
    </w:p>
    <w:p w14:paraId="57116A3F" w14:textId="77777777" w:rsidR="00BA05F3" w:rsidRPr="00BA05F3" w:rsidRDefault="00BA05F3" w:rsidP="00BA05F3">
      <w:pPr>
        <w:spacing w:before="240" w:line="360" w:lineRule="auto"/>
        <w:rPr>
          <w:rFonts w:ascii="Arial" w:hAnsi="Arial" w:cs="Arial"/>
        </w:rPr>
      </w:pPr>
      <w:r w:rsidRPr="00BA05F3">
        <w:rPr>
          <w:rFonts w:ascii="Arial" w:hAnsi="Arial" w:cs="Arial"/>
        </w:rPr>
        <w:t xml:space="preserve">En el diseño básico previsto, el conducto se inicia a cota –9,78 m OSN de invertido y en función de las características geotécnicas se ha previsto una pendiente positiva del 0,05 % hasta el final del túnel llegando con una cota de invertido –7,79de OSN en la progresiva </w:t>
      </w:r>
      <w:smartTag w:uri="urn:schemas-microsoft-com:office:smarttags" w:element="metricconverter">
        <w:smartTagPr>
          <w:attr w:name="ProductID" w:val="3970 m"/>
        </w:smartTagPr>
        <w:r w:rsidRPr="00BA05F3">
          <w:rPr>
            <w:rFonts w:ascii="Arial" w:hAnsi="Arial" w:cs="Arial"/>
          </w:rPr>
          <w:t>3970 m</w:t>
        </w:r>
      </w:smartTag>
      <w:r w:rsidRPr="00BA05F3">
        <w:rPr>
          <w:rFonts w:ascii="Arial" w:hAnsi="Arial" w:cs="Arial"/>
        </w:rPr>
        <w:t>.</w:t>
      </w:r>
    </w:p>
    <w:p w14:paraId="5225E7B3" w14:textId="77777777" w:rsidR="00BA05F3" w:rsidRPr="00BA05F3" w:rsidRDefault="00BA05F3" w:rsidP="00BA05F3">
      <w:pPr>
        <w:spacing w:before="240" w:line="360" w:lineRule="auto"/>
        <w:rPr>
          <w:rFonts w:ascii="Arial" w:hAnsi="Arial" w:cs="Arial"/>
        </w:rPr>
      </w:pPr>
    </w:p>
    <w:p w14:paraId="13369EB0" w14:textId="77777777" w:rsidR="00BA05F3" w:rsidRPr="00BA05F3" w:rsidRDefault="00BA05F3" w:rsidP="002B0107">
      <w:pPr>
        <w:pStyle w:val="Heading2"/>
        <w:numPr>
          <w:ilvl w:val="0"/>
          <w:numId w:val="0"/>
        </w:numPr>
        <w:ind w:left="576"/>
      </w:pPr>
      <w:bookmarkStart w:id="1149" w:name="_Toc483227458"/>
      <w:bookmarkStart w:id="1150" w:name="_Toc484985211"/>
      <w:bookmarkStart w:id="1151" w:name="_Toc485027096"/>
      <w:bookmarkStart w:id="1152" w:name="_Toc485200278"/>
      <w:r w:rsidRPr="00BA05F3">
        <w:t>1.3 Perfil del tramo de transporte en zanja y de difusión</w:t>
      </w:r>
      <w:bookmarkEnd w:id="1149"/>
      <w:bookmarkEnd w:id="1150"/>
      <w:bookmarkEnd w:id="1151"/>
      <w:bookmarkEnd w:id="1152"/>
    </w:p>
    <w:p w14:paraId="3172858E" w14:textId="77777777" w:rsidR="00BA05F3" w:rsidRPr="00BA05F3" w:rsidRDefault="00BA05F3" w:rsidP="00BA05F3">
      <w:pPr>
        <w:spacing w:before="240" w:line="360" w:lineRule="auto"/>
        <w:rPr>
          <w:rFonts w:ascii="Arial" w:hAnsi="Arial" w:cs="Arial"/>
        </w:rPr>
      </w:pPr>
      <w:r w:rsidRPr="00BA05F3">
        <w:rPr>
          <w:rFonts w:ascii="Arial" w:hAnsi="Arial" w:cs="Arial"/>
        </w:rPr>
        <w:t>En el diseño básico previsto presenta pendiente ascendente manteniendo en todos los casos una tapada mínima de dos metros.</w:t>
      </w:r>
    </w:p>
    <w:p w14:paraId="117A543B" w14:textId="77777777" w:rsidR="00BA05F3" w:rsidRPr="00BA05F3" w:rsidRDefault="00BA05F3" w:rsidP="00BA05F3">
      <w:pPr>
        <w:spacing w:before="240" w:line="360" w:lineRule="auto"/>
        <w:rPr>
          <w:rFonts w:ascii="Arial" w:hAnsi="Arial" w:cs="Arial"/>
        </w:rPr>
      </w:pPr>
    </w:p>
    <w:p w14:paraId="1CFE2564" w14:textId="77777777" w:rsidR="00BA05F3" w:rsidRPr="00BA05F3" w:rsidRDefault="00BA05F3" w:rsidP="002B0107">
      <w:pPr>
        <w:pStyle w:val="Heading2"/>
        <w:numPr>
          <w:ilvl w:val="0"/>
          <w:numId w:val="0"/>
        </w:numPr>
        <w:ind w:left="576"/>
      </w:pPr>
      <w:bookmarkStart w:id="1153" w:name="_Toc483227459"/>
      <w:bookmarkStart w:id="1154" w:name="_Toc484985212"/>
      <w:bookmarkStart w:id="1155" w:name="_Toc485027097"/>
      <w:bookmarkStart w:id="1156" w:name="_Toc485200279"/>
      <w:r w:rsidRPr="00BA05F3">
        <w:t>1.4 Metodología constructiva de tunel</w:t>
      </w:r>
      <w:bookmarkEnd w:id="1153"/>
      <w:bookmarkEnd w:id="1154"/>
      <w:bookmarkEnd w:id="1155"/>
      <w:bookmarkEnd w:id="1156"/>
    </w:p>
    <w:p w14:paraId="5CED2B84" w14:textId="77777777" w:rsidR="00BA05F3" w:rsidRPr="00BA05F3" w:rsidRDefault="00BA05F3" w:rsidP="00BA05F3">
      <w:pPr>
        <w:spacing w:before="240" w:line="360" w:lineRule="auto"/>
        <w:rPr>
          <w:rFonts w:ascii="Arial" w:hAnsi="Arial" w:cs="Arial"/>
        </w:rPr>
      </w:pPr>
      <w:r w:rsidRPr="00BA05F3">
        <w:rPr>
          <w:rFonts w:ascii="Arial" w:hAnsi="Arial" w:cs="Arial"/>
        </w:rPr>
        <w:t xml:space="preserve">El Proyecto realizado contempla para la construcción del túnel del Emisario la utilización de una máquina tunelera con escudo y colocación simultánea de dovelas prefabricadas de hormigón, a una profundidad (tapada) variable entre 12 y </w:t>
      </w:r>
      <w:smartTag w:uri="urn:schemas-microsoft-com:office:smarttags" w:element="metricconverter">
        <w:smartTagPr>
          <w:attr w:name="ProductID" w:val="16 m"/>
        </w:smartTagPr>
        <w:r w:rsidRPr="00BA05F3">
          <w:rPr>
            <w:rFonts w:ascii="Arial" w:hAnsi="Arial" w:cs="Arial"/>
          </w:rPr>
          <w:t>16 m</w:t>
        </w:r>
      </w:smartTag>
      <w:r w:rsidRPr="00BA05F3">
        <w:rPr>
          <w:rFonts w:ascii="Arial" w:hAnsi="Arial" w:cs="Arial"/>
        </w:rPr>
        <w:t xml:space="preserve">, y bajo una carga de agua interior variable entre 30 y 35 metros sobre el intradós de los conductos. </w:t>
      </w:r>
    </w:p>
    <w:p w14:paraId="11AB5E04" w14:textId="77777777" w:rsidR="00BA05F3" w:rsidRPr="00BA05F3" w:rsidRDefault="00BA05F3" w:rsidP="00BA05F3">
      <w:pPr>
        <w:spacing w:before="240" w:line="360" w:lineRule="auto"/>
        <w:rPr>
          <w:rFonts w:ascii="Arial" w:hAnsi="Arial" w:cs="Arial"/>
        </w:rPr>
      </w:pPr>
      <w:r w:rsidRPr="00BA05F3">
        <w:rPr>
          <w:rFonts w:ascii="Arial" w:hAnsi="Arial" w:cs="Arial"/>
        </w:rPr>
        <w:t>El Túnel a construirse deberá contar con un revestimiento interno que asegure su funcionamiento bajo la carga de presión de diseño.</w:t>
      </w:r>
    </w:p>
    <w:p w14:paraId="76428AFA" w14:textId="77777777" w:rsidR="00BA05F3" w:rsidRPr="00BA05F3" w:rsidRDefault="00BA05F3" w:rsidP="00BA05F3">
      <w:pPr>
        <w:spacing w:before="240" w:line="360" w:lineRule="auto"/>
        <w:rPr>
          <w:rFonts w:ascii="Arial" w:hAnsi="Arial" w:cs="Arial"/>
        </w:rPr>
      </w:pPr>
      <w:r w:rsidRPr="00BA05F3">
        <w:rPr>
          <w:rFonts w:ascii="Arial" w:hAnsi="Arial" w:cs="Arial"/>
        </w:rPr>
        <w:t>La construcción del Emisario ha sido proyectada para que el túnel se inicie en un pozo de ataque a ubicado en el predio de la planta de Pretratamiento Del Bicentenario, conformando la chimenea de equilibrio del sistema.</w:t>
      </w:r>
    </w:p>
    <w:p w14:paraId="71DA9C9E" w14:textId="77777777" w:rsidR="00BA05F3" w:rsidRPr="00BA05F3" w:rsidRDefault="00BA05F3" w:rsidP="00BA05F3">
      <w:pPr>
        <w:spacing w:before="240" w:line="360" w:lineRule="auto"/>
        <w:rPr>
          <w:rFonts w:ascii="Arial" w:hAnsi="Arial" w:cs="Arial"/>
        </w:rPr>
      </w:pPr>
      <w:r w:rsidRPr="00BA05F3">
        <w:rPr>
          <w:rFonts w:ascii="Arial" w:hAnsi="Arial" w:cs="Arial"/>
        </w:rPr>
        <w:t>Para el revestimiento interno secundario del túnel se ha previsto una protección constante de 0,15m de espesor mínimo en toda la longitud.</w:t>
      </w:r>
    </w:p>
    <w:p w14:paraId="6AB746B7" w14:textId="77777777" w:rsidR="00BA05F3" w:rsidRPr="00BA05F3" w:rsidRDefault="00BA05F3" w:rsidP="00BA05F3">
      <w:pPr>
        <w:spacing w:before="240" w:line="360" w:lineRule="auto"/>
        <w:rPr>
          <w:rFonts w:ascii="Arial" w:hAnsi="Arial" w:cs="Arial"/>
        </w:rPr>
      </w:pPr>
      <w:r w:rsidRPr="00BA05F3">
        <w:rPr>
          <w:rFonts w:ascii="Arial" w:hAnsi="Arial" w:cs="Arial"/>
        </w:rPr>
        <w:t>Para la construcción de conducto de 4700mm se ha previsto el siguiente equipo:</w:t>
      </w:r>
    </w:p>
    <w:p w14:paraId="1420DB49" w14:textId="77777777" w:rsidR="00BA05F3" w:rsidRPr="00BA05F3" w:rsidRDefault="00BA05F3" w:rsidP="00BA05F3">
      <w:pPr>
        <w:spacing w:before="240" w:line="360" w:lineRule="auto"/>
        <w:ind w:firstLine="708"/>
        <w:rPr>
          <w:rFonts w:ascii="Arial" w:hAnsi="Arial" w:cs="Arial"/>
        </w:rPr>
      </w:pPr>
      <w:r w:rsidRPr="00BA05F3">
        <w:rPr>
          <w:rFonts w:ascii="Arial" w:hAnsi="Arial" w:cs="Arial"/>
        </w:rPr>
        <w:t>a) la utilización de tunelera de escudo a presión de tierra con un empuje máximo de 20.000 kN y un par permanente de 2700kNm.</w:t>
      </w:r>
    </w:p>
    <w:p w14:paraId="4B893C36" w14:textId="77777777" w:rsidR="00BA05F3" w:rsidRPr="00BA05F3" w:rsidRDefault="00BA05F3" w:rsidP="00BA05F3">
      <w:pPr>
        <w:spacing w:before="240" w:line="360" w:lineRule="auto"/>
        <w:ind w:firstLine="708"/>
        <w:rPr>
          <w:rFonts w:ascii="Arial" w:hAnsi="Arial" w:cs="Arial"/>
        </w:rPr>
      </w:pPr>
      <w:r w:rsidRPr="00BA05F3">
        <w:rPr>
          <w:rFonts w:ascii="Arial" w:hAnsi="Arial" w:cs="Arial"/>
        </w:rPr>
        <w:t>b) Revestimiento de dovelas constituido por anillo de 6 dovelas de 22cm de espesor mínimo</w:t>
      </w:r>
    </w:p>
    <w:p w14:paraId="6AD7C266" w14:textId="77777777" w:rsidR="00BA05F3" w:rsidRPr="00BA05F3" w:rsidRDefault="00BA05F3" w:rsidP="00BA05F3">
      <w:pPr>
        <w:spacing w:before="240" w:line="360" w:lineRule="auto"/>
        <w:ind w:firstLine="708"/>
        <w:rPr>
          <w:rFonts w:ascii="Arial" w:hAnsi="Arial" w:cs="Arial"/>
        </w:rPr>
      </w:pPr>
    </w:p>
    <w:p w14:paraId="7249BAA3" w14:textId="77777777" w:rsidR="00BA05F3" w:rsidRPr="00BA05F3" w:rsidRDefault="00BA05F3" w:rsidP="002B0107">
      <w:pPr>
        <w:pStyle w:val="Heading2"/>
        <w:numPr>
          <w:ilvl w:val="0"/>
          <w:numId w:val="0"/>
        </w:numPr>
        <w:ind w:left="576"/>
      </w:pPr>
      <w:bookmarkStart w:id="1157" w:name="_Toc483227460"/>
      <w:bookmarkStart w:id="1158" w:name="_Toc484985213"/>
      <w:bookmarkStart w:id="1159" w:name="_Toc485027098"/>
      <w:bookmarkStart w:id="1160" w:name="_Toc485200280"/>
      <w:r w:rsidRPr="00BA05F3">
        <w:t>1.5 Metodología constructiva de tramos en zanja</w:t>
      </w:r>
      <w:bookmarkEnd w:id="1157"/>
      <w:bookmarkEnd w:id="1158"/>
      <w:bookmarkEnd w:id="1159"/>
      <w:bookmarkEnd w:id="1160"/>
    </w:p>
    <w:p w14:paraId="1189FB86" w14:textId="77777777" w:rsidR="00BA05F3" w:rsidRPr="00BA05F3" w:rsidRDefault="00BA05F3" w:rsidP="00BA05F3">
      <w:pPr>
        <w:spacing w:before="240" w:line="360" w:lineRule="auto"/>
        <w:rPr>
          <w:rFonts w:ascii="Arial" w:hAnsi="Arial" w:cs="Arial"/>
        </w:rPr>
      </w:pPr>
      <w:r w:rsidRPr="00BA05F3">
        <w:rPr>
          <w:rFonts w:ascii="Arial" w:hAnsi="Arial" w:cs="Arial"/>
        </w:rPr>
        <w:t>Se ha previsto este tramo con colocación de tubería de hormigón prefabricada montada sobre pilotes en zanja dragada.</w:t>
      </w:r>
    </w:p>
    <w:p w14:paraId="75830457" w14:textId="77777777" w:rsidR="00BA05F3" w:rsidRPr="00BA05F3" w:rsidRDefault="00BA05F3" w:rsidP="00BA05F3">
      <w:pPr>
        <w:spacing w:before="240" w:line="360" w:lineRule="auto"/>
        <w:rPr>
          <w:rFonts w:ascii="Arial" w:hAnsi="Arial" w:cs="Arial"/>
        </w:rPr>
      </w:pPr>
    </w:p>
    <w:p w14:paraId="3E4A7471" w14:textId="77777777" w:rsidR="00BA05F3" w:rsidRPr="00BA05F3" w:rsidRDefault="00BA05F3" w:rsidP="002B0107">
      <w:pPr>
        <w:pStyle w:val="Heading2"/>
        <w:numPr>
          <w:ilvl w:val="0"/>
          <w:numId w:val="0"/>
        </w:numPr>
        <w:ind w:left="576"/>
      </w:pPr>
      <w:bookmarkStart w:id="1161" w:name="_Toc483227461"/>
      <w:bookmarkStart w:id="1162" w:name="_Toc484985214"/>
      <w:bookmarkStart w:id="1163" w:name="_Toc485027099"/>
      <w:bookmarkStart w:id="1164" w:name="_Toc485200281"/>
      <w:r w:rsidRPr="00BA05F3">
        <w:t>1.6 Metodología constructiva de cámara de transición</w:t>
      </w:r>
      <w:bookmarkEnd w:id="1161"/>
      <w:bookmarkEnd w:id="1162"/>
      <w:bookmarkEnd w:id="1163"/>
      <w:bookmarkEnd w:id="1164"/>
    </w:p>
    <w:p w14:paraId="4961F030" w14:textId="77777777" w:rsidR="00BA05F3" w:rsidRPr="00BA05F3" w:rsidRDefault="00BA05F3" w:rsidP="00BA05F3">
      <w:pPr>
        <w:pStyle w:val="BodyText"/>
        <w:spacing w:before="240" w:after="60" w:line="360" w:lineRule="auto"/>
        <w:jc w:val="both"/>
        <w:rPr>
          <w:rFonts w:cs="Arial"/>
          <w:sz w:val="22"/>
          <w:szCs w:val="22"/>
          <w:lang w:val="es-AR"/>
        </w:rPr>
      </w:pPr>
      <w:r w:rsidRPr="00BA05F3">
        <w:rPr>
          <w:rFonts w:cs="Arial"/>
          <w:sz w:val="22"/>
          <w:szCs w:val="22"/>
          <w:lang w:val="es-AR"/>
        </w:rPr>
        <w:t xml:space="preserve">Se ha previsto la construcción de una cámara cilíndrica de 6m de diámetro interior. Estará conformada por un cilindro de acero exterior y revestida </w:t>
      </w:r>
      <w:r w:rsidRPr="00BA05F3">
        <w:rPr>
          <w:rFonts w:cs="Arial"/>
          <w:i/>
          <w:sz w:val="22"/>
          <w:szCs w:val="22"/>
          <w:lang w:val="es-AR"/>
        </w:rPr>
        <w:t>in situ</w:t>
      </w:r>
      <w:r w:rsidRPr="00BA05F3">
        <w:rPr>
          <w:rFonts w:cs="Arial"/>
          <w:sz w:val="22"/>
          <w:szCs w:val="22"/>
          <w:lang w:val="es-AR"/>
        </w:rPr>
        <w:t xml:space="preserve"> interiormente con hormigón. El prerevestimiento de acero se ha previsto hincado previo al paso de la tunelera.</w:t>
      </w:r>
    </w:p>
    <w:p w14:paraId="4D4832CF" w14:textId="77777777" w:rsidR="00BA05F3" w:rsidRPr="00BA05F3" w:rsidRDefault="00BA05F3" w:rsidP="00BA05F3">
      <w:pPr>
        <w:pStyle w:val="BodyText"/>
        <w:spacing w:before="240" w:after="60" w:line="360" w:lineRule="auto"/>
        <w:jc w:val="both"/>
        <w:rPr>
          <w:rFonts w:cs="Arial"/>
          <w:bCs/>
          <w:sz w:val="22"/>
          <w:szCs w:val="22"/>
          <w:u w:val="single"/>
          <w:lang w:val="es-AR"/>
        </w:rPr>
      </w:pPr>
    </w:p>
    <w:p w14:paraId="65D21314" w14:textId="77777777" w:rsidR="00BA05F3" w:rsidRPr="00BA05F3" w:rsidRDefault="00BA05F3" w:rsidP="002B0107">
      <w:pPr>
        <w:pStyle w:val="Heading2"/>
        <w:numPr>
          <w:ilvl w:val="0"/>
          <w:numId w:val="0"/>
        </w:numPr>
        <w:ind w:left="576"/>
      </w:pPr>
      <w:bookmarkStart w:id="1165" w:name="_Toc483227462"/>
      <w:bookmarkStart w:id="1166" w:name="_Toc484985215"/>
      <w:bookmarkStart w:id="1167" w:name="_Toc485027100"/>
      <w:bookmarkStart w:id="1168" w:name="_Toc485200282"/>
      <w:r w:rsidRPr="00BA05F3">
        <w:t>1.7 Sitio de Ejecución</w:t>
      </w:r>
      <w:bookmarkEnd w:id="1165"/>
      <w:bookmarkEnd w:id="1166"/>
      <w:bookmarkEnd w:id="1167"/>
      <w:bookmarkEnd w:id="1168"/>
    </w:p>
    <w:p w14:paraId="4732C4FA" w14:textId="77777777" w:rsidR="00BA05F3" w:rsidRPr="00BA05F3" w:rsidRDefault="00BA05F3" w:rsidP="00BA05F3">
      <w:pPr>
        <w:spacing w:before="240" w:line="360" w:lineRule="auto"/>
        <w:rPr>
          <w:rFonts w:ascii="Arial" w:hAnsi="Arial" w:cs="Arial"/>
        </w:rPr>
      </w:pPr>
      <w:r w:rsidRPr="00BA05F3">
        <w:rPr>
          <w:rFonts w:ascii="Arial" w:hAnsi="Arial" w:cs="Arial"/>
        </w:rPr>
        <w:t xml:space="preserve">El emisario se desarrolla bajo el lecho del Río de la Plata,  en un sector con profundidades naturales de entre  2,5 y </w:t>
      </w:r>
      <w:smartTag w:uri="urn:schemas-microsoft-com:office:smarttags" w:element="metricconverter">
        <w:smartTagPr>
          <w:attr w:name="ProductID" w:val="7 metros"/>
        </w:smartTagPr>
        <w:r w:rsidRPr="00BA05F3">
          <w:rPr>
            <w:rFonts w:ascii="Arial" w:hAnsi="Arial" w:cs="Arial"/>
          </w:rPr>
          <w:t>7 metros</w:t>
        </w:r>
      </w:smartTag>
      <w:r w:rsidRPr="00BA05F3">
        <w:rPr>
          <w:rFonts w:ascii="Arial" w:hAnsi="Arial" w:cs="Arial"/>
        </w:rPr>
        <w:t xml:space="preserve"> con respecto al nivel de aguas medias ordinarias (Cota OSN + 12,32m), con una orientación general SW-NE. </w:t>
      </w:r>
    </w:p>
    <w:p w14:paraId="01BB7514" w14:textId="77777777" w:rsidR="00BA05F3" w:rsidRPr="00BA05F3" w:rsidRDefault="00BA05F3" w:rsidP="00BA05F3">
      <w:pPr>
        <w:spacing w:before="240" w:line="360" w:lineRule="auto"/>
        <w:rPr>
          <w:rFonts w:ascii="Arial" w:hAnsi="Arial" w:cs="Arial"/>
        </w:rPr>
      </w:pPr>
    </w:p>
    <w:p w14:paraId="0F8733F8" w14:textId="77777777" w:rsidR="00BA05F3" w:rsidRPr="00BA05F3" w:rsidRDefault="00BA05F3" w:rsidP="002B0107">
      <w:pPr>
        <w:pStyle w:val="Heading2"/>
        <w:numPr>
          <w:ilvl w:val="0"/>
          <w:numId w:val="0"/>
        </w:numPr>
        <w:ind w:left="576"/>
      </w:pPr>
      <w:bookmarkStart w:id="1169" w:name="_Toc483227463"/>
      <w:bookmarkStart w:id="1170" w:name="_Toc484985216"/>
      <w:bookmarkStart w:id="1171" w:name="_Toc485027101"/>
      <w:bookmarkStart w:id="1172" w:name="_Toc485200283"/>
      <w:r w:rsidRPr="00BA05F3">
        <w:t>1.8 Descripción de la cámara de carga / chimenea de equilibrio</w:t>
      </w:r>
      <w:bookmarkEnd w:id="1169"/>
      <w:bookmarkEnd w:id="1170"/>
      <w:bookmarkEnd w:id="1171"/>
      <w:bookmarkEnd w:id="1172"/>
    </w:p>
    <w:p w14:paraId="50E1714F" w14:textId="77777777" w:rsidR="00BA05F3" w:rsidRPr="00BA05F3" w:rsidRDefault="00BA05F3" w:rsidP="00BA05F3">
      <w:pPr>
        <w:spacing w:before="240" w:line="360" w:lineRule="auto"/>
        <w:rPr>
          <w:rFonts w:ascii="Arial" w:hAnsi="Arial" w:cs="Arial"/>
        </w:rPr>
      </w:pPr>
      <w:r w:rsidRPr="00BA05F3">
        <w:rPr>
          <w:rFonts w:ascii="Arial" w:hAnsi="Arial" w:cs="Arial"/>
        </w:rPr>
        <w:t>La función de dicha cámara es dar carga hidráulica al líquido pretratado, enviado desde la estación elevadora de salida, para que pueda ser conducido por el conducto emisario y dispuesto en el Río de la Plata. Además funcionará amortiguando el efecto de oscilación de masa, por lo que la cámara tendrá una tapa en la parte superior, y una chimenea elevada hasta 28, 00 OSN</w:t>
      </w:r>
    </w:p>
    <w:p w14:paraId="73C4C7BA" w14:textId="77777777" w:rsidR="00BA05F3" w:rsidRPr="00BA05F3" w:rsidRDefault="00BA05F3" w:rsidP="00BA05F3">
      <w:pPr>
        <w:spacing w:before="240" w:line="360" w:lineRule="auto"/>
        <w:rPr>
          <w:rFonts w:ascii="Arial" w:hAnsi="Arial" w:cs="Arial"/>
        </w:rPr>
      </w:pPr>
      <w:r w:rsidRPr="00BA05F3">
        <w:rPr>
          <w:rFonts w:ascii="Arial" w:hAnsi="Arial" w:cs="Arial"/>
        </w:rPr>
        <w:t xml:space="preserve">La obra civil de la cámara de carga comprende las siguientes obras: </w:t>
      </w:r>
    </w:p>
    <w:p w14:paraId="5F2F1737" w14:textId="77777777" w:rsidR="00BA05F3" w:rsidRPr="00BA05F3" w:rsidRDefault="00BA05F3" w:rsidP="00BA05F3">
      <w:pPr>
        <w:spacing w:before="240" w:line="360" w:lineRule="auto"/>
        <w:ind w:firstLine="708"/>
        <w:rPr>
          <w:rFonts w:ascii="Arial" w:hAnsi="Arial" w:cs="Arial"/>
        </w:rPr>
      </w:pPr>
      <w:r w:rsidRPr="00BA05F3">
        <w:rPr>
          <w:rFonts w:ascii="Arial" w:hAnsi="Arial" w:cs="Arial"/>
        </w:rPr>
        <w:t>1) La construcción de la estructura de los muros perimetrales de la cámara de carga en base a la técnica de muros colados.</w:t>
      </w:r>
    </w:p>
    <w:p w14:paraId="2C9A8182" w14:textId="77777777" w:rsidR="00BA05F3" w:rsidRPr="00BA05F3" w:rsidRDefault="00BA05F3" w:rsidP="00BA05F3">
      <w:pPr>
        <w:spacing w:before="240" w:line="360" w:lineRule="auto"/>
        <w:ind w:firstLine="708"/>
        <w:rPr>
          <w:rFonts w:ascii="Arial" w:hAnsi="Arial" w:cs="Arial"/>
        </w:rPr>
      </w:pPr>
      <w:r w:rsidRPr="00BA05F3">
        <w:rPr>
          <w:rFonts w:ascii="Arial" w:hAnsi="Arial" w:cs="Arial"/>
        </w:rPr>
        <w:t xml:space="preserve">2) La construcción de un tapón de fondo para prevenir la acción de la subpresión y sifonaje durante la construcción de la losa de fondo. Para el presente proyecto se ha previsto que el tapón de fondo se ejecute por metodología jet grouting. </w:t>
      </w:r>
    </w:p>
    <w:p w14:paraId="3E671A9D" w14:textId="77777777" w:rsidR="00BA05F3" w:rsidRPr="00BA05F3" w:rsidRDefault="00BA05F3" w:rsidP="00BA05F3">
      <w:pPr>
        <w:spacing w:before="240" w:line="360" w:lineRule="auto"/>
        <w:ind w:firstLine="708"/>
        <w:rPr>
          <w:rFonts w:ascii="Arial" w:hAnsi="Arial" w:cs="Arial"/>
        </w:rPr>
      </w:pPr>
      <w:r w:rsidRPr="00BA05F3">
        <w:rPr>
          <w:rFonts w:ascii="Arial" w:hAnsi="Arial" w:cs="Arial"/>
        </w:rPr>
        <w:t>3) La terminación de la cámara de carga y la realización de la chimenea de equilibrio.</w:t>
      </w:r>
    </w:p>
    <w:p w14:paraId="1474D054" w14:textId="77777777" w:rsidR="00BA05F3" w:rsidRPr="00BA05F3" w:rsidRDefault="00BA05F3" w:rsidP="00BA05F3">
      <w:pPr>
        <w:spacing w:before="240" w:line="360" w:lineRule="auto"/>
        <w:ind w:firstLine="708"/>
        <w:rPr>
          <w:rFonts w:ascii="Arial" w:hAnsi="Arial" w:cs="Arial"/>
        </w:rPr>
      </w:pPr>
    </w:p>
    <w:p w14:paraId="6068F171" w14:textId="77777777" w:rsidR="00BA05F3" w:rsidRPr="00BA05F3" w:rsidRDefault="00BA05F3" w:rsidP="002B0107">
      <w:pPr>
        <w:pStyle w:val="Heading2"/>
        <w:numPr>
          <w:ilvl w:val="0"/>
          <w:numId w:val="0"/>
        </w:numPr>
        <w:ind w:left="576"/>
      </w:pPr>
      <w:bookmarkStart w:id="1173" w:name="_Toc483227464"/>
      <w:bookmarkStart w:id="1174" w:name="_Toc484985217"/>
      <w:bookmarkStart w:id="1175" w:name="_Toc485027102"/>
      <w:bookmarkStart w:id="1176" w:name="_Toc485200284"/>
      <w:r w:rsidRPr="00BA05F3">
        <w:t>1.9 Descripción de los criterios considerados para el diseño y dimensionamiento del Emisario</w:t>
      </w:r>
      <w:bookmarkEnd w:id="1173"/>
      <w:bookmarkEnd w:id="1174"/>
      <w:bookmarkEnd w:id="1175"/>
      <w:bookmarkEnd w:id="1176"/>
    </w:p>
    <w:p w14:paraId="35036E78" w14:textId="77777777" w:rsidR="00BA05F3" w:rsidRPr="00BA05F3" w:rsidRDefault="00BA05F3" w:rsidP="00BA05F3">
      <w:pPr>
        <w:spacing w:line="360" w:lineRule="auto"/>
        <w:rPr>
          <w:rFonts w:ascii="Arial" w:hAnsi="Arial" w:cs="Arial"/>
        </w:rPr>
      </w:pPr>
    </w:p>
    <w:p w14:paraId="5FB1B314" w14:textId="77777777" w:rsidR="00BA05F3" w:rsidRPr="00BA05F3" w:rsidRDefault="00BA05F3" w:rsidP="00BA05F3">
      <w:pPr>
        <w:pStyle w:val="Heading3"/>
        <w:numPr>
          <w:ilvl w:val="0"/>
          <w:numId w:val="0"/>
        </w:numPr>
        <w:spacing w:line="360" w:lineRule="auto"/>
        <w:ind w:left="720" w:hanging="720"/>
        <w:rPr>
          <w:rFonts w:ascii="Arial" w:hAnsi="Arial" w:cs="Arial"/>
        </w:rPr>
      </w:pPr>
      <w:bookmarkStart w:id="1177" w:name="_Toc483227465"/>
      <w:bookmarkStart w:id="1178" w:name="_Toc484985218"/>
      <w:bookmarkStart w:id="1179" w:name="_Toc485027103"/>
      <w:bookmarkStart w:id="1180" w:name="_Toc485200285"/>
      <w:r w:rsidRPr="00BA05F3">
        <w:rPr>
          <w:rFonts w:ascii="Arial" w:hAnsi="Arial" w:cs="Arial"/>
        </w:rPr>
        <w:t>1.9.1 Niveles de río  considerados en el diseño</w:t>
      </w:r>
      <w:bookmarkEnd w:id="1177"/>
      <w:bookmarkEnd w:id="1178"/>
      <w:bookmarkEnd w:id="1179"/>
      <w:bookmarkEnd w:id="1180"/>
    </w:p>
    <w:p w14:paraId="3F2FFD07" w14:textId="77777777" w:rsidR="00BA05F3" w:rsidRPr="00BA05F3" w:rsidRDefault="00BA05F3" w:rsidP="00BA05F3">
      <w:pPr>
        <w:spacing w:before="240" w:line="360" w:lineRule="auto"/>
        <w:rPr>
          <w:rFonts w:ascii="Arial" w:hAnsi="Arial" w:cs="Arial"/>
        </w:rPr>
      </w:pPr>
      <w:r w:rsidRPr="00BA05F3">
        <w:rPr>
          <w:rFonts w:ascii="Arial" w:hAnsi="Arial" w:cs="Arial"/>
        </w:rPr>
        <w:t>En términos de recurrencia de niveles máximos anuales, la ley de Gumbel establecida sobre la serie de alturas máximas anuales del período 1905 – 1994 llega a los resultados siguientes:</w:t>
      </w:r>
    </w:p>
    <w:p w14:paraId="2F0ACB90" w14:textId="77777777" w:rsidR="00BA05F3" w:rsidRPr="00BA05F3" w:rsidRDefault="00BA05F3" w:rsidP="00C4100D">
      <w:pPr>
        <w:pStyle w:val="ListParagraph"/>
        <w:widowControl w:val="0"/>
        <w:numPr>
          <w:ilvl w:val="0"/>
          <w:numId w:val="86"/>
        </w:numPr>
        <w:spacing w:after="0" w:line="360" w:lineRule="auto"/>
        <w:contextualSpacing w:val="0"/>
        <w:rPr>
          <w:rFonts w:ascii="Arial" w:hAnsi="Arial" w:cs="Arial"/>
        </w:rPr>
      </w:pPr>
      <w:r w:rsidRPr="00BA05F3">
        <w:rPr>
          <w:rFonts w:ascii="Arial" w:hAnsi="Arial" w:cs="Arial"/>
        </w:rPr>
        <w:t xml:space="preserve">Retorno de 50 años: </w:t>
      </w:r>
      <w:smartTag w:uri="urn:schemas-microsoft-com:office:smarttags" w:element="metricconverter">
        <w:smartTagPr>
          <w:attr w:name="ProductID" w:val="15,69 m"/>
        </w:smartTagPr>
        <w:r w:rsidRPr="00BA05F3">
          <w:rPr>
            <w:rFonts w:ascii="Arial" w:hAnsi="Arial" w:cs="Arial"/>
          </w:rPr>
          <w:t>15,69 m</w:t>
        </w:r>
      </w:smartTag>
    </w:p>
    <w:p w14:paraId="4C301ADE" w14:textId="77777777" w:rsidR="00BA05F3" w:rsidRPr="00BA05F3" w:rsidRDefault="00BA05F3" w:rsidP="00C4100D">
      <w:pPr>
        <w:pStyle w:val="ListParagraph"/>
        <w:widowControl w:val="0"/>
        <w:numPr>
          <w:ilvl w:val="0"/>
          <w:numId w:val="86"/>
        </w:numPr>
        <w:spacing w:after="0" w:line="360" w:lineRule="auto"/>
        <w:contextualSpacing w:val="0"/>
        <w:rPr>
          <w:rFonts w:ascii="Arial" w:hAnsi="Arial" w:cs="Arial"/>
        </w:rPr>
      </w:pPr>
      <w:r w:rsidRPr="00BA05F3">
        <w:rPr>
          <w:rFonts w:ascii="Arial" w:hAnsi="Arial" w:cs="Arial"/>
        </w:rPr>
        <w:t xml:space="preserve">Retorno de 30 años: </w:t>
      </w:r>
      <w:smartTag w:uri="urn:schemas-microsoft-com:office:smarttags" w:element="metricconverter">
        <w:smartTagPr>
          <w:attr w:name="ProductID" w:val="15,54 m"/>
        </w:smartTagPr>
        <w:r w:rsidRPr="00BA05F3">
          <w:rPr>
            <w:rFonts w:ascii="Arial" w:hAnsi="Arial" w:cs="Arial"/>
          </w:rPr>
          <w:t>15,54 m</w:t>
        </w:r>
      </w:smartTag>
    </w:p>
    <w:p w14:paraId="6C83A265" w14:textId="77777777" w:rsidR="00BA05F3" w:rsidRPr="00BA05F3" w:rsidRDefault="00BA05F3" w:rsidP="00C4100D">
      <w:pPr>
        <w:pStyle w:val="ListParagraph"/>
        <w:widowControl w:val="0"/>
        <w:numPr>
          <w:ilvl w:val="0"/>
          <w:numId w:val="86"/>
        </w:numPr>
        <w:spacing w:after="0" w:line="360" w:lineRule="auto"/>
        <w:contextualSpacing w:val="0"/>
        <w:rPr>
          <w:rFonts w:ascii="Arial" w:hAnsi="Arial" w:cs="Arial"/>
        </w:rPr>
      </w:pPr>
      <w:r w:rsidRPr="00BA05F3">
        <w:rPr>
          <w:rFonts w:ascii="Arial" w:hAnsi="Arial" w:cs="Arial"/>
        </w:rPr>
        <w:t xml:space="preserve">Retorno de 20 años: </w:t>
      </w:r>
      <w:smartTag w:uri="urn:schemas-microsoft-com:office:smarttags" w:element="metricconverter">
        <w:smartTagPr>
          <w:attr w:name="ProductID" w:val="15,42 m"/>
        </w:smartTagPr>
        <w:r w:rsidRPr="00BA05F3">
          <w:rPr>
            <w:rFonts w:ascii="Arial" w:hAnsi="Arial" w:cs="Arial"/>
          </w:rPr>
          <w:t>15,42 m</w:t>
        </w:r>
      </w:smartTag>
    </w:p>
    <w:p w14:paraId="10F9DE2D" w14:textId="77777777" w:rsidR="00BA05F3" w:rsidRPr="00BA05F3" w:rsidRDefault="00BA05F3" w:rsidP="00C4100D">
      <w:pPr>
        <w:pStyle w:val="ListParagraph"/>
        <w:widowControl w:val="0"/>
        <w:numPr>
          <w:ilvl w:val="0"/>
          <w:numId w:val="86"/>
        </w:numPr>
        <w:spacing w:after="0" w:line="360" w:lineRule="auto"/>
        <w:contextualSpacing w:val="0"/>
        <w:rPr>
          <w:rFonts w:ascii="Arial" w:hAnsi="Arial" w:cs="Arial"/>
        </w:rPr>
      </w:pPr>
      <w:r w:rsidRPr="00BA05F3">
        <w:rPr>
          <w:rFonts w:ascii="Arial" w:hAnsi="Arial" w:cs="Arial"/>
        </w:rPr>
        <w:t xml:space="preserve">Retorno de 15 años: </w:t>
      </w:r>
      <w:smartTag w:uri="urn:schemas-microsoft-com:office:smarttags" w:element="metricconverter">
        <w:smartTagPr>
          <w:attr w:name="ProductID" w:val="15,33 m"/>
        </w:smartTagPr>
        <w:r w:rsidRPr="00BA05F3">
          <w:rPr>
            <w:rFonts w:ascii="Arial" w:hAnsi="Arial" w:cs="Arial"/>
          </w:rPr>
          <w:t>15,33 m</w:t>
        </w:r>
      </w:smartTag>
    </w:p>
    <w:p w14:paraId="5CCD23F6" w14:textId="77777777" w:rsidR="00BA05F3" w:rsidRPr="00BA05F3" w:rsidRDefault="00BA05F3" w:rsidP="00C4100D">
      <w:pPr>
        <w:pStyle w:val="ListParagraph"/>
        <w:widowControl w:val="0"/>
        <w:numPr>
          <w:ilvl w:val="0"/>
          <w:numId w:val="86"/>
        </w:numPr>
        <w:spacing w:after="0" w:line="360" w:lineRule="auto"/>
        <w:contextualSpacing w:val="0"/>
        <w:rPr>
          <w:rFonts w:ascii="Arial" w:hAnsi="Arial" w:cs="Arial"/>
        </w:rPr>
      </w:pPr>
      <w:r w:rsidRPr="00BA05F3">
        <w:rPr>
          <w:rFonts w:ascii="Arial" w:hAnsi="Arial" w:cs="Arial"/>
        </w:rPr>
        <w:t xml:space="preserve">Retorno de 10 años: </w:t>
      </w:r>
      <w:smartTag w:uri="urn:schemas-microsoft-com:office:smarttags" w:element="metricconverter">
        <w:smartTagPr>
          <w:attr w:name="ProductID" w:val="15,21 m"/>
        </w:smartTagPr>
        <w:r w:rsidRPr="00BA05F3">
          <w:rPr>
            <w:rFonts w:ascii="Arial" w:hAnsi="Arial" w:cs="Arial"/>
          </w:rPr>
          <w:t>15,21 m</w:t>
        </w:r>
      </w:smartTag>
    </w:p>
    <w:p w14:paraId="44E97660" w14:textId="77777777" w:rsidR="00BA05F3" w:rsidRPr="00BA05F3" w:rsidRDefault="00BA05F3" w:rsidP="00C4100D">
      <w:pPr>
        <w:pStyle w:val="ListParagraph"/>
        <w:widowControl w:val="0"/>
        <w:numPr>
          <w:ilvl w:val="0"/>
          <w:numId w:val="86"/>
        </w:numPr>
        <w:spacing w:after="0" w:line="360" w:lineRule="auto"/>
        <w:contextualSpacing w:val="0"/>
        <w:rPr>
          <w:rFonts w:ascii="Arial" w:hAnsi="Arial" w:cs="Arial"/>
        </w:rPr>
      </w:pPr>
      <w:r w:rsidRPr="00BA05F3">
        <w:rPr>
          <w:rFonts w:ascii="Arial" w:hAnsi="Arial" w:cs="Arial"/>
        </w:rPr>
        <w:t xml:space="preserve">Retorno de 5 años: </w:t>
      </w:r>
      <w:smartTag w:uri="urn:schemas-microsoft-com:office:smarttags" w:element="metricconverter">
        <w:smartTagPr>
          <w:attr w:name="ProductID" w:val="14.99 m"/>
        </w:smartTagPr>
        <w:r w:rsidRPr="00BA05F3">
          <w:rPr>
            <w:rFonts w:ascii="Arial" w:hAnsi="Arial" w:cs="Arial"/>
          </w:rPr>
          <w:t>14.99 m</w:t>
        </w:r>
      </w:smartTag>
    </w:p>
    <w:p w14:paraId="4B6F0AD4" w14:textId="77777777" w:rsidR="00BA05F3" w:rsidRPr="00BA05F3" w:rsidRDefault="00BA05F3" w:rsidP="00C4100D">
      <w:pPr>
        <w:pStyle w:val="ListParagraph"/>
        <w:widowControl w:val="0"/>
        <w:numPr>
          <w:ilvl w:val="0"/>
          <w:numId w:val="86"/>
        </w:numPr>
        <w:spacing w:after="0" w:line="360" w:lineRule="auto"/>
        <w:contextualSpacing w:val="0"/>
        <w:rPr>
          <w:rFonts w:ascii="Arial" w:hAnsi="Arial" w:cs="Arial"/>
        </w:rPr>
      </w:pPr>
      <w:r w:rsidRPr="00BA05F3">
        <w:rPr>
          <w:rFonts w:ascii="Arial" w:hAnsi="Arial" w:cs="Arial"/>
        </w:rPr>
        <w:t xml:space="preserve">Retorno de 2 años: </w:t>
      </w:r>
      <w:smartTag w:uri="urn:schemas-microsoft-com:office:smarttags" w:element="metricconverter">
        <w:smartTagPr>
          <w:attr w:name="ProductID" w:val="14,66 m"/>
        </w:smartTagPr>
        <w:r w:rsidRPr="00BA05F3">
          <w:rPr>
            <w:rFonts w:ascii="Arial" w:hAnsi="Arial" w:cs="Arial"/>
          </w:rPr>
          <w:t>14,66 m</w:t>
        </w:r>
      </w:smartTag>
    </w:p>
    <w:p w14:paraId="7DFF4B91" w14:textId="77777777" w:rsidR="00BA05F3" w:rsidRPr="00BA05F3" w:rsidRDefault="00BA05F3" w:rsidP="00C4100D">
      <w:pPr>
        <w:pStyle w:val="ListParagraph"/>
        <w:widowControl w:val="0"/>
        <w:numPr>
          <w:ilvl w:val="0"/>
          <w:numId w:val="86"/>
        </w:numPr>
        <w:spacing w:after="0" w:line="360" w:lineRule="auto"/>
        <w:contextualSpacing w:val="0"/>
        <w:rPr>
          <w:rFonts w:ascii="Arial" w:hAnsi="Arial" w:cs="Arial"/>
        </w:rPr>
      </w:pPr>
      <w:r w:rsidRPr="00BA05F3">
        <w:rPr>
          <w:rFonts w:ascii="Arial" w:hAnsi="Arial" w:cs="Arial"/>
        </w:rPr>
        <w:t>Retorno de 1 año: 13,98 m</w:t>
      </w:r>
    </w:p>
    <w:p w14:paraId="4602F0BD" w14:textId="77777777" w:rsidR="00BA05F3" w:rsidRPr="00BA05F3" w:rsidRDefault="00BA05F3" w:rsidP="00BA05F3">
      <w:pPr>
        <w:spacing w:after="0" w:line="360" w:lineRule="auto"/>
        <w:rPr>
          <w:rFonts w:ascii="Arial" w:hAnsi="Arial" w:cs="Arial"/>
        </w:rPr>
      </w:pPr>
      <w:r w:rsidRPr="00BA05F3">
        <w:rPr>
          <w:rFonts w:ascii="Arial" w:hAnsi="Arial" w:cs="Arial"/>
        </w:rPr>
        <w:t>Todos los niveles se refieren al cero de OSN, que está a 12,02</w:t>
      </w:r>
      <w:bookmarkStart w:id="1181" w:name="_Toc293243821"/>
      <w:bookmarkStart w:id="1182" w:name="_Toc389067307"/>
      <w:r w:rsidRPr="00BA05F3">
        <w:rPr>
          <w:rFonts w:ascii="Arial" w:hAnsi="Arial" w:cs="Arial"/>
        </w:rPr>
        <w:t>7m por debajo del cero del IGM.</w:t>
      </w:r>
      <w:bookmarkEnd w:id="1181"/>
      <w:bookmarkEnd w:id="1182"/>
    </w:p>
    <w:p w14:paraId="79DA4E42" w14:textId="77777777" w:rsidR="00BA05F3" w:rsidRPr="00BA05F3" w:rsidRDefault="00BA05F3" w:rsidP="00BA05F3">
      <w:pPr>
        <w:spacing w:after="0" w:line="360" w:lineRule="auto"/>
        <w:rPr>
          <w:rFonts w:ascii="Arial" w:hAnsi="Arial" w:cs="Arial"/>
        </w:rPr>
      </w:pPr>
    </w:p>
    <w:p w14:paraId="46F944BE" w14:textId="77777777" w:rsidR="00BA05F3" w:rsidRPr="00BA05F3" w:rsidRDefault="00BA05F3" w:rsidP="00BA05F3">
      <w:pPr>
        <w:pStyle w:val="Heading3"/>
        <w:numPr>
          <w:ilvl w:val="0"/>
          <w:numId w:val="0"/>
        </w:numPr>
        <w:spacing w:line="360" w:lineRule="auto"/>
        <w:ind w:left="720" w:hanging="720"/>
        <w:rPr>
          <w:rFonts w:ascii="Arial" w:hAnsi="Arial" w:cs="Arial"/>
        </w:rPr>
      </w:pPr>
      <w:bookmarkStart w:id="1183" w:name="_Toc483227466"/>
      <w:bookmarkStart w:id="1184" w:name="_Toc484985219"/>
      <w:bookmarkStart w:id="1185" w:name="_Toc485027104"/>
      <w:bookmarkStart w:id="1186" w:name="_Toc485200286"/>
      <w:r w:rsidRPr="00BA05F3">
        <w:rPr>
          <w:rFonts w:ascii="Arial" w:hAnsi="Arial" w:cs="Arial"/>
        </w:rPr>
        <w:t>1.9.2 Características del efluente a transportar</w:t>
      </w:r>
      <w:bookmarkEnd w:id="1183"/>
      <w:bookmarkEnd w:id="1184"/>
      <w:bookmarkEnd w:id="1185"/>
      <w:bookmarkEnd w:id="1186"/>
    </w:p>
    <w:p w14:paraId="63CF1625" w14:textId="77777777" w:rsidR="00BA05F3" w:rsidRPr="00BA05F3" w:rsidRDefault="00BA05F3" w:rsidP="00BA05F3">
      <w:pPr>
        <w:spacing w:before="240" w:line="360" w:lineRule="auto"/>
        <w:rPr>
          <w:rFonts w:ascii="Arial" w:hAnsi="Arial" w:cs="Arial"/>
        </w:rPr>
      </w:pPr>
      <w:r w:rsidRPr="00BA05F3">
        <w:rPr>
          <w:rFonts w:ascii="Arial" w:hAnsi="Arial" w:cs="Arial"/>
        </w:rPr>
        <w:t>El efluente a transportar por el conducto tendrá las características que se indican en el Cuadro AI.3.</w:t>
      </w:r>
    </w:p>
    <w:p w14:paraId="1A918394" w14:textId="77777777" w:rsidR="00BA05F3" w:rsidRPr="00BA05F3" w:rsidRDefault="00BA05F3" w:rsidP="00BA05F3">
      <w:pPr>
        <w:spacing w:before="240" w:line="360" w:lineRule="auto"/>
        <w:rPr>
          <w:rFonts w:ascii="Arial" w:hAnsi="Arial" w:cs="Arial"/>
          <w:b/>
        </w:rPr>
      </w:pPr>
      <w:r w:rsidRPr="00BA05F3">
        <w:rPr>
          <w:rFonts w:ascii="Arial" w:hAnsi="Arial" w:cs="Arial"/>
          <w:b/>
        </w:rPr>
        <w:t>Cuadro AI.3: Parámetros físicos, químicos y biológicos del efluente.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2191"/>
        <w:gridCol w:w="1604"/>
        <w:gridCol w:w="3218"/>
      </w:tblGrid>
      <w:tr w:rsidR="00BA05F3" w:rsidRPr="00BA05F3" w14:paraId="2B8BEF48" w14:textId="77777777" w:rsidTr="007965F7">
        <w:trPr>
          <w:jc w:val="center"/>
        </w:trPr>
        <w:tc>
          <w:tcPr>
            <w:tcW w:w="7013" w:type="dxa"/>
            <w:gridSpan w:val="3"/>
            <w:vAlign w:val="center"/>
          </w:tcPr>
          <w:p w14:paraId="5B717B16" w14:textId="77777777" w:rsidR="00BA05F3" w:rsidRPr="00BA05F3" w:rsidRDefault="00BA05F3" w:rsidP="007965F7">
            <w:pPr>
              <w:spacing w:after="0" w:line="360" w:lineRule="auto"/>
              <w:jc w:val="center"/>
              <w:rPr>
                <w:rFonts w:ascii="Arial" w:hAnsi="Arial" w:cs="Arial"/>
                <w:b/>
              </w:rPr>
            </w:pPr>
            <w:r w:rsidRPr="00BA05F3">
              <w:rPr>
                <w:rFonts w:ascii="Arial" w:hAnsi="Arial" w:cs="Arial"/>
                <w:b/>
              </w:rPr>
              <w:t>CALIDAD EN DESCARGA CAPITAL</w:t>
            </w:r>
          </w:p>
        </w:tc>
      </w:tr>
      <w:tr w:rsidR="00BA05F3" w:rsidRPr="00BA05F3" w14:paraId="1107BCDA" w14:textId="77777777" w:rsidTr="007965F7">
        <w:trPr>
          <w:jc w:val="center"/>
        </w:trPr>
        <w:tc>
          <w:tcPr>
            <w:tcW w:w="2191" w:type="dxa"/>
            <w:vAlign w:val="center"/>
          </w:tcPr>
          <w:p w14:paraId="32677366" w14:textId="77777777" w:rsidR="00BA05F3" w:rsidRPr="00BA05F3" w:rsidRDefault="00BA05F3" w:rsidP="007965F7">
            <w:pPr>
              <w:spacing w:after="0" w:line="360" w:lineRule="auto"/>
              <w:jc w:val="center"/>
              <w:rPr>
                <w:rFonts w:ascii="Arial" w:hAnsi="Arial" w:cs="Arial"/>
                <w:b/>
              </w:rPr>
            </w:pPr>
            <w:r w:rsidRPr="00BA05F3">
              <w:rPr>
                <w:rFonts w:ascii="Arial" w:hAnsi="Arial" w:cs="Arial"/>
                <w:b/>
              </w:rPr>
              <w:t>Parámetros</w:t>
            </w:r>
          </w:p>
        </w:tc>
        <w:tc>
          <w:tcPr>
            <w:tcW w:w="1604" w:type="dxa"/>
            <w:vAlign w:val="center"/>
          </w:tcPr>
          <w:p w14:paraId="45C2EC84" w14:textId="77777777" w:rsidR="00BA05F3" w:rsidRPr="00BA05F3" w:rsidRDefault="00BA05F3" w:rsidP="007965F7">
            <w:pPr>
              <w:spacing w:after="0" w:line="360" w:lineRule="auto"/>
              <w:jc w:val="center"/>
              <w:rPr>
                <w:rFonts w:ascii="Arial" w:hAnsi="Arial" w:cs="Arial"/>
                <w:b/>
              </w:rPr>
            </w:pPr>
            <w:r w:rsidRPr="00BA05F3">
              <w:rPr>
                <w:rFonts w:ascii="Arial" w:hAnsi="Arial" w:cs="Arial"/>
                <w:b/>
              </w:rPr>
              <w:t>Unidad</w:t>
            </w:r>
          </w:p>
        </w:tc>
        <w:tc>
          <w:tcPr>
            <w:tcW w:w="3218" w:type="dxa"/>
            <w:vAlign w:val="center"/>
          </w:tcPr>
          <w:p w14:paraId="61F86356" w14:textId="77777777" w:rsidR="00BA05F3" w:rsidRPr="00BA05F3" w:rsidRDefault="00BA05F3" w:rsidP="007965F7">
            <w:pPr>
              <w:spacing w:after="0" w:line="360" w:lineRule="auto"/>
              <w:jc w:val="center"/>
              <w:rPr>
                <w:rFonts w:ascii="Arial" w:hAnsi="Arial" w:cs="Arial"/>
                <w:b/>
              </w:rPr>
            </w:pPr>
            <w:r w:rsidRPr="00BA05F3">
              <w:rPr>
                <w:rFonts w:ascii="Arial" w:hAnsi="Arial" w:cs="Arial"/>
                <w:b/>
              </w:rPr>
              <w:t>Efluente a la salida</w:t>
            </w:r>
          </w:p>
        </w:tc>
      </w:tr>
      <w:tr w:rsidR="00BA05F3" w:rsidRPr="00BA05F3" w14:paraId="2DBAF4C2" w14:textId="77777777" w:rsidTr="007965F7">
        <w:trPr>
          <w:jc w:val="center"/>
        </w:trPr>
        <w:tc>
          <w:tcPr>
            <w:tcW w:w="2191" w:type="dxa"/>
            <w:vAlign w:val="center"/>
          </w:tcPr>
          <w:p w14:paraId="70E4AC2B" w14:textId="77777777" w:rsidR="00BA05F3" w:rsidRPr="00BA05F3" w:rsidRDefault="00BA05F3" w:rsidP="007965F7">
            <w:pPr>
              <w:spacing w:after="0" w:line="360" w:lineRule="auto"/>
              <w:jc w:val="center"/>
              <w:rPr>
                <w:rFonts w:ascii="Arial" w:hAnsi="Arial" w:cs="Arial"/>
              </w:rPr>
            </w:pPr>
            <w:r w:rsidRPr="00BA05F3">
              <w:rPr>
                <w:rFonts w:ascii="Arial" w:hAnsi="Arial" w:cs="Arial"/>
              </w:rPr>
              <w:t>Colif. Totales</w:t>
            </w:r>
          </w:p>
        </w:tc>
        <w:tc>
          <w:tcPr>
            <w:tcW w:w="1604" w:type="dxa"/>
            <w:vAlign w:val="center"/>
          </w:tcPr>
          <w:p w14:paraId="0FADD793" w14:textId="77777777" w:rsidR="00BA05F3" w:rsidRPr="00BA05F3" w:rsidRDefault="00BA05F3" w:rsidP="007965F7">
            <w:pPr>
              <w:spacing w:after="0" w:line="360" w:lineRule="auto"/>
              <w:jc w:val="center"/>
              <w:rPr>
                <w:rFonts w:ascii="Arial" w:hAnsi="Arial" w:cs="Arial"/>
              </w:rPr>
            </w:pPr>
            <w:r w:rsidRPr="00BA05F3">
              <w:rPr>
                <w:rFonts w:ascii="Arial" w:hAnsi="Arial" w:cs="Arial"/>
              </w:rPr>
              <w:t>NMP/100ml</w:t>
            </w:r>
          </w:p>
        </w:tc>
        <w:tc>
          <w:tcPr>
            <w:tcW w:w="3218" w:type="dxa"/>
            <w:vAlign w:val="center"/>
          </w:tcPr>
          <w:p w14:paraId="1B33CFE3" w14:textId="77777777" w:rsidR="00BA05F3" w:rsidRPr="00BA05F3" w:rsidRDefault="00BA05F3" w:rsidP="007965F7">
            <w:pPr>
              <w:spacing w:after="0" w:line="360" w:lineRule="auto"/>
              <w:jc w:val="center"/>
              <w:rPr>
                <w:rFonts w:ascii="Arial" w:hAnsi="Arial" w:cs="Arial"/>
              </w:rPr>
            </w:pPr>
            <w:r w:rsidRPr="00BA05F3">
              <w:rPr>
                <w:rFonts w:ascii="Arial" w:hAnsi="Arial" w:cs="Arial"/>
              </w:rPr>
              <w:t>6,3E+07</w:t>
            </w:r>
          </w:p>
        </w:tc>
      </w:tr>
      <w:tr w:rsidR="00BA05F3" w:rsidRPr="00BA05F3" w14:paraId="7D6349C9" w14:textId="77777777" w:rsidTr="007965F7">
        <w:trPr>
          <w:jc w:val="center"/>
        </w:trPr>
        <w:tc>
          <w:tcPr>
            <w:tcW w:w="2191" w:type="dxa"/>
            <w:vAlign w:val="center"/>
          </w:tcPr>
          <w:p w14:paraId="784C8047" w14:textId="77777777" w:rsidR="00BA05F3" w:rsidRPr="00BA05F3" w:rsidRDefault="00BA05F3" w:rsidP="007965F7">
            <w:pPr>
              <w:spacing w:after="0" w:line="360" w:lineRule="auto"/>
              <w:jc w:val="center"/>
              <w:rPr>
                <w:rFonts w:ascii="Arial" w:hAnsi="Arial" w:cs="Arial"/>
              </w:rPr>
            </w:pPr>
            <w:r w:rsidRPr="00BA05F3">
              <w:rPr>
                <w:rFonts w:ascii="Arial" w:hAnsi="Arial" w:cs="Arial"/>
              </w:rPr>
              <w:t>Colif. Fecales</w:t>
            </w:r>
          </w:p>
        </w:tc>
        <w:tc>
          <w:tcPr>
            <w:tcW w:w="1604" w:type="dxa"/>
            <w:vAlign w:val="center"/>
          </w:tcPr>
          <w:p w14:paraId="29E220C6" w14:textId="77777777" w:rsidR="00BA05F3" w:rsidRPr="00BA05F3" w:rsidRDefault="00BA05F3" w:rsidP="007965F7">
            <w:pPr>
              <w:spacing w:after="0" w:line="360" w:lineRule="auto"/>
              <w:jc w:val="center"/>
              <w:rPr>
                <w:rFonts w:ascii="Arial" w:hAnsi="Arial" w:cs="Arial"/>
              </w:rPr>
            </w:pPr>
            <w:r w:rsidRPr="00BA05F3">
              <w:rPr>
                <w:rFonts w:ascii="Arial" w:hAnsi="Arial" w:cs="Arial"/>
              </w:rPr>
              <w:t>NMP/100ml</w:t>
            </w:r>
          </w:p>
        </w:tc>
        <w:tc>
          <w:tcPr>
            <w:tcW w:w="3218" w:type="dxa"/>
            <w:vAlign w:val="center"/>
          </w:tcPr>
          <w:p w14:paraId="631024DE" w14:textId="77777777" w:rsidR="00BA05F3" w:rsidRPr="00BA05F3" w:rsidRDefault="00BA05F3" w:rsidP="007965F7">
            <w:pPr>
              <w:spacing w:after="0" w:line="360" w:lineRule="auto"/>
              <w:jc w:val="center"/>
              <w:rPr>
                <w:rFonts w:ascii="Arial" w:hAnsi="Arial" w:cs="Arial"/>
              </w:rPr>
            </w:pPr>
            <w:r w:rsidRPr="00BA05F3">
              <w:rPr>
                <w:rFonts w:ascii="Arial" w:hAnsi="Arial" w:cs="Arial"/>
              </w:rPr>
              <w:t>1,6E+07</w:t>
            </w:r>
          </w:p>
        </w:tc>
      </w:tr>
      <w:tr w:rsidR="00BA05F3" w:rsidRPr="00BA05F3" w14:paraId="296CDF66" w14:textId="77777777" w:rsidTr="007965F7">
        <w:trPr>
          <w:jc w:val="center"/>
        </w:trPr>
        <w:tc>
          <w:tcPr>
            <w:tcW w:w="2191" w:type="dxa"/>
            <w:vAlign w:val="center"/>
          </w:tcPr>
          <w:p w14:paraId="6512AEDC" w14:textId="77777777" w:rsidR="00BA05F3" w:rsidRPr="00BA05F3" w:rsidRDefault="00BA05F3" w:rsidP="007965F7">
            <w:pPr>
              <w:spacing w:after="0" w:line="360" w:lineRule="auto"/>
              <w:jc w:val="center"/>
              <w:rPr>
                <w:rFonts w:ascii="Arial" w:hAnsi="Arial" w:cs="Arial"/>
              </w:rPr>
            </w:pPr>
            <w:r w:rsidRPr="00BA05F3">
              <w:rPr>
                <w:rFonts w:ascii="Arial" w:hAnsi="Arial" w:cs="Arial"/>
              </w:rPr>
              <w:t>Oxígeno dis.</w:t>
            </w:r>
          </w:p>
        </w:tc>
        <w:tc>
          <w:tcPr>
            <w:tcW w:w="1604" w:type="dxa"/>
            <w:vAlign w:val="center"/>
          </w:tcPr>
          <w:p w14:paraId="18CB1E18" w14:textId="77777777" w:rsidR="00BA05F3" w:rsidRPr="00BA05F3" w:rsidRDefault="00BA05F3" w:rsidP="007965F7">
            <w:pPr>
              <w:spacing w:after="0" w:line="360" w:lineRule="auto"/>
              <w:jc w:val="center"/>
              <w:rPr>
                <w:rFonts w:ascii="Arial" w:hAnsi="Arial" w:cs="Arial"/>
              </w:rPr>
            </w:pPr>
            <w:r w:rsidRPr="00BA05F3">
              <w:rPr>
                <w:rFonts w:ascii="Arial" w:hAnsi="Arial" w:cs="Arial"/>
              </w:rPr>
              <w:t>mg/l</w:t>
            </w:r>
          </w:p>
        </w:tc>
        <w:tc>
          <w:tcPr>
            <w:tcW w:w="3218" w:type="dxa"/>
            <w:vAlign w:val="center"/>
          </w:tcPr>
          <w:p w14:paraId="434E2EF9" w14:textId="77777777" w:rsidR="00BA05F3" w:rsidRPr="00BA05F3" w:rsidRDefault="00BA05F3" w:rsidP="007965F7">
            <w:pPr>
              <w:spacing w:after="0" w:line="360" w:lineRule="auto"/>
              <w:jc w:val="center"/>
              <w:rPr>
                <w:rFonts w:ascii="Arial" w:hAnsi="Arial" w:cs="Arial"/>
              </w:rPr>
            </w:pPr>
            <w:r w:rsidRPr="00BA05F3">
              <w:rPr>
                <w:rFonts w:ascii="Arial" w:hAnsi="Arial" w:cs="Arial"/>
              </w:rPr>
              <w:t>0,1</w:t>
            </w:r>
          </w:p>
        </w:tc>
      </w:tr>
      <w:tr w:rsidR="00BA05F3" w:rsidRPr="00BA05F3" w14:paraId="406BE851" w14:textId="77777777" w:rsidTr="007965F7">
        <w:trPr>
          <w:jc w:val="center"/>
        </w:trPr>
        <w:tc>
          <w:tcPr>
            <w:tcW w:w="2191" w:type="dxa"/>
            <w:vAlign w:val="center"/>
          </w:tcPr>
          <w:p w14:paraId="50C316D5" w14:textId="77777777" w:rsidR="00BA05F3" w:rsidRPr="00BA05F3" w:rsidRDefault="00BA05F3" w:rsidP="007965F7">
            <w:pPr>
              <w:tabs>
                <w:tab w:val="left" w:pos="459"/>
              </w:tabs>
              <w:spacing w:after="0" w:line="360" w:lineRule="auto"/>
              <w:jc w:val="center"/>
              <w:rPr>
                <w:rFonts w:ascii="Arial" w:hAnsi="Arial" w:cs="Arial"/>
              </w:rPr>
            </w:pPr>
            <w:r w:rsidRPr="00BA05F3">
              <w:rPr>
                <w:rFonts w:ascii="Arial" w:hAnsi="Arial" w:cs="Arial"/>
              </w:rPr>
              <w:t>Temperatura</w:t>
            </w:r>
          </w:p>
        </w:tc>
        <w:tc>
          <w:tcPr>
            <w:tcW w:w="1604" w:type="dxa"/>
            <w:vAlign w:val="center"/>
          </w:tcPr>
          <w:p w14:paraId="674FCDDB" w14:textId="77777777" w:rsidR="00BA05F3" w:rsidRPr="00BA05F3" w:rsidRDefault="00BA05F3" w:rsidP="007965F7">
            <w:pPr>
              <w:spacing w:after="0" w:line="360" w:lineRule="auto"/>
              <w:jc w:val="center"/>
              <w:rPr>
                <w:rFonts w:ascii="Arial" w:hAnsi="Arial" w:cs="Arial"/>
              </w:rPr>
            </w:pPr>
            <w:r w:rsidRPr="00BA05F3">
              <w:rPr>
                <w:rFonts w:ascii="Arial" w:hAnsi="Arial" w:cs="Arial"/>
              </w:rPr>
              <w:t>ºC</w:t>
            </w:r>
          </w:p>
        </w:tc>
        <w:tc>
          <w:tcPr>
            <w:tcW w:w="3218" w:type="dxa"/>
            <w:vAlign w:val="center"/>
          </w:tcPr>
          <w:p w14:paraId="7B993AA6" w14:textId="77777777" w:rsidR="00BA05F3" w:rsidRPr="00BA05F3" w:rsidRDefault="00BA05F3" w:rsidP="007965F7">
            <w:pPr>
              <w:spacing w:after="0" w:line="360" w:lineRule="auto"/>
              <w:jc w:val="center"/>
              <w:rPr>
                <w:rFonts w:ascii="Arial" w:hAnsi="Arial" w:cs="Arial"/>
              </w:rPr>
            </w:pPr>
            <w:r w:rsidRPr="00BA05F3">
              <w:rPr>
                <w:rFonts w:ascii="Arial" w:hAnsi="Arial" w:cs="Arial"/>
              </w:rPr>
              <w:t>21,5</w:t>
            </w:r>
          </w:p>
        </w:tc>
      </w:tr>
      <w:tr w:rsidR="00BA05F3" w:rsidRPr="00BA05F3" w14:paraId="66217ED9" w14:textId="77777777" w:rsidTr="007965F7">
        <w:trPr>
          <w:jc w:val="center"/>
        </w:trPr>
        <w:tc>
          <w:tcPr>
            <w:tcW w:w="2191" w:type="dxa"/>
            <w:vAlign w:val="center"/>
          </w:tcPr>
          <w:p w14:paraId="06BC4891" w14:textId="77777777" w:rsidR="00BA05F3" w:rsidRPr="00BA05F3" w:rsidRDefault="00BA05F3" w:rsidP="007965F7">
            <w:pPr>
              <w:spacing w:after="0" w:line="360" w:lineRule="auto"/>
              <w:jc w:val="center"/>
              <w:rPr>
                <w:rFonts w:ascii="Arial" w:hAnsi="Arial" w:cs="Arial"/>
              </w:rPr>
            </w:pPr>
            <w:r w:rsidRPr="00BA05F3">
              <w:rPr>
                <w:rFonts w:ascii="Arial" w:hAnsi="Arial" w:cs="Arial"/>
              </w:rPr>
              <w:t>pH (1)</w:t>
            </w:r>
          </w:p>
        </w:tc>
        <w:tc>
          <w:tcPr>
            <w:tcW w:w="1604" w:type="dxa"/>
            <w:vAlign w:val="center"/>
          </w:tcPr>
          <w:p w14:paraId="00388DB0" w14:textId="77777777" w:rsidR="00BA05F3" w:rsidRPr="00BA05F3" w:rsidRDefault="00BA05F3" w:rsidP="007965F7">
            <w:pPr>
              <w:spacing w:after="0" w:line="360" w:lineRule="auto"/>
              <w:jc w:val="center"/>
              <w:rPr>
                <w:rFonts w:ascii="Arial" w:hAnsi="Arial" w:cs="Arial"/>
              </w:rPr>
            </w:pPr>
          </w:p>
        </w:tc>
        <w:tc>
          <w:tcPr>
            <w:tcW w:w="3218" w:type="dxa"/>
            <w:vAlign w:val="center"/>
          </w:tcPr>
          <w:p w14:paraId="14A05675" w14:textId="77777777" w:rsidR="00BA05F3" w:rsidRPr="00BA05F3" w:rsidRDefault="00BA05F3" w:rsidP="007965F7">
            <w:pPr>
              <w:spacing w:after="0" w:line="360" w:lineRule="auto"/>
              <w:jc w:val="center"/>
              <w:rPr>
                <w:rFonts w:ascii="Arial" w:hAnsi="Arial" w:cs="Arial"/>
              </w:rPr>
            </w:pPr>
            <w:r w:rsidRPr="00BA05F3">
              <w:rPr>
                <w:rFonts w:ascii="Arial" w:hAnsi="Arial" w:cs="Arial"/>
              </w:rPr>
              <w:t>7,6</w:t>
            </w:r>
          </w:p>
        </w:tc>
      </w:tr>
      <w:tr w:rsidR="00BA05F3" w:rsidRPr="00BA05F3" w14:paraId="616E3DF4" w14:textId="77777777" w:rsidTr="007965F7">
        <w:trPr>
          <w:jc w:val="center"/>
        </w:trPr>
        <w:tc>
          <w:tcPr>
            <w:tcW w:w="2191" w:type="dxa"/>
            <w:vAlign w:val="center"/>
          </w:tcPr>
          <w:p w14:paraId="2E0C49D1" w14:textId="77777777" w:rsidR="00BA05F3" w:rsidRPr="00BA05F3" w:rsidRDefault="00BA05F3" w:rsidP="007965F7">
            <w:pPr>
              <w:spacing w:after="0" w:line="360" w:lineRule="auto"/>
              <w:jc w:val="center"/>
              <w:rPr>
                <w:rFonts w:ascii="Arial" w:hAnsi="Arial" w:cs="Arial"/>
              </w:rPr>
            </w:pPr>
            <w:r w:rsidRPr="00BA05F3">
              <w:rPr>
                <w:rFonts w:ascii="Arial" w:hAnsi="Arial" w:cs="Arial"/>
              </w:rPr>
              <w:t>SSEE (1) (2)</w:t>
            </w:r>
          </w:p>
        </w:tc>
        <w:tc>
          <w:tcPr>
            <w:tcW w:w="1604" w:type="dxa"/>
            <w:vAlign w:val="center"/>
          </w:tcPr>
          <w:p w14:paraId="2878B410" w14:textId="77777777" w:rsidR="00BA05F3" w:rsidRPr="00BA05F3" w:rsidRDefault="00BA05F3" w:rsidP="007965F7">
            <w:pPr>
              <w:spacing w:after="0" w:line="360" w:lineRule="auto"/>
              <w:jc w:val="center"/>
              <w:rPr>
                <w:rFonts w:ascii="Arial" w:hAnsi="Arial" w:cs="Arial"/>
              </w:rPr>
            </w:pPr>
            <w:r w:rsidRPr="00BA05F3">
              <w:rPr>
                <w:rFonts w:ascii="Arial" w:hAnsi="Arial" w:cs="Arial"/>
              </w:rPr>
              <w:t>mg/l</w:t>
            </w:r>
          </w:p>
        </w:tc>
        <w:tc>
          <w:tcPr>
            <w:tcW w:w="3218" w:type="dxa"/>
            <w:vAlign w:val="center"/>
          </w:tcPr>
          <w:p w14:paraId="39A09B2F" w14:textId="77777777" w:rsidR="00BA05F3" w:rsidRPr="00BA05F3" w:rsidRDefault="00BA05F3" w:rsidP="007965F7">
            <w:pPr>
              <w:spacing w:after="0" w:line="360" w:lineRule="auto"/>
              <w:jc w:val="center"/>
              <w:rPr>
                <w:rFonts w:ascii="Arial" w:hAnsi="Arial" w:cs="Arial"/>
              </w:rPr>
            </w:pPr>
            <w:r w:rsidRPr="00BA05F3">
              <w:rPr>
                <w:rFonts w:ascii="Arial" w:hAnsi="Arial" w:cs="Arial"/>
              </w:rPr>
              <w:t>29</w:t>
            </w:r>
          </w:p>
        </w:tc>
      </w:tr>
      <w:tr w:rsidR="00BA05F3" w:rsidRPr="00BA05F3" w14:paraId="5CA0922E" w14:textId="77777777" w:rsidTr="007965F7">
        <w:trPr>
          <w:jc w:val="center"/>
        </w:trPr>
        <w:tc>
          <w:tcPr>
            <w:tcW w:w="2191" w:type="dxa"/>
            <w:vAlign w:val="center"/>
          </w:tcPr>
          <w:p w14:paraId="5D4B9859" w14:textId="77777777" w:rsidR="00BA05F3" w:rsidRPr="00BA05F3" w:rsidRDefault="00BA05F3" w:rsidP="007965F7">
            <w:pPr>
              <w:spacing w:after="0" w:line="360" w:lineRule="auto"/>
              <w:jc w:val="center"/>
              <w:rPr>
                <w:rFonts w:ascii="Arial" w:hAnsi="Arial" w:cs="Arial"/>
              </w:rPr>
            </w:pPr>
            <w:r w:rsidRPr="00BA05F3">
              <w:rPr>
                <w:rFonts w:ascii="Arial" w:hAnsi="Arial" w:cs="Arial"/>
              </w:rPr>
              <w:t>MES (3)</w:t>
            </w:r>
          </w:p>
        </w:tc>
        <w:tc>
          <w:tcPr>
            <w:tcW w:w="1604" w:type="dxa"/>
            <w:vAlign w:val="center"/>
          </w:tcPr>
          <w:p w14:paraId="38207EF3" w14:textId="77777777" w:rsidR="00BA05F3" w:rsidRPr="00BA05F3" w:rsidRDefault="00BA05F3" w:rsidP="007965F7">
            <w:pPr>
              <w:spacing w:after="0" w:line="360" w:lineRule="auto"/>
              <w:jc w:val="center"/>
              <w:rPr>
                <w:rFonts w:ascii="Arial" w:hAnsi="Arial" w:cs="Arial"/>
              </w:rPr>
            </w:pPr>
            <w:r w:rsidRPr="00BA05F3">
              <w:rPr>
                <w:rFonts w:ascii="Arial" w:hAnsi="Arial" w:cs="Arial"/>
              </w:rPr>
              <w:t>mg/l</w:t>
            </w:r>
          </w:p>
        </w:tc>
        <w:tc>
          <w:tcPr>
            <w:tcW w:w="3218" w:type="dxa"/>
            <w:vAlign w:val="center"/>
          </w:tcPr>
          <w:p w14:paraId="51B30A57" w14:textId="77777777" w:rsidR="00BA05F3" w:rsidRPr="00BA05F3" w:rsidRDefault="00BA05F3" w:rsidP="007965F7">
            <w:pPr>
              <w:spacing w:after="0" w:line="360" w:lineRule="auto"/>
              <w:jc w:val="center"/>
              <w:rPr>
                <w:rFonts w:ascii="Arial" w:hAnsi="Arial" w:cs="Arial"/>
              </w:rPr>
            </w:pPr>
            <w:r w:rsidRPr="00BA05F3">
              <w:rPr>
                <w:rFonts w:ascii="Arial" w:hAnsi="Arial" w:cs="Arial"/>
              </w:rPr>
              <w:t>112</w:t>
            </w:r>
          </w:p>
        </w:tc>
      </w:tr>
      <w:tr w:rsidR="00BA05F3" w:rsidRPr="00BA05F3" w14:paraId="5321237F" w14:textId="77777777" w:rsidTr="007965F7">
        <w:trPr>
          <w:jc w:val="center"/>
        </w:trPr>
        <w:tc>
          <w:tcPr>
            <w:tcW w:w="2191" w:type="dxa"/>
            <w:vAlign w:val="center"/>
          </w:tcPr>
          <w:p w14:paraId="1714E21A" w14:textId="77777777" w:rsidR="00BA05F3" w:rsidRPr="00BA05F3" w:rsidRDefault="00BA05F3" w:rsidP="007965F7">
            <w:pPr>
              <w:spacing w:after="0" w:line="360" w:lineRule="auto"/>
              <w:jc w:val="center"/>
              <w:rPr>
                <w:rFonts w:ascii="Arial" w:hAnsi="Arial" w:cs="Arial"/>
              </w:rPr>
            </w:pPr>
            <w:r w:rsidRPr="00BA05F3">
              <w:rPr>
                <w:rFonts w:ascii="Arial" w:hAnsi="Arial" w:cs="Arial"/>
              </w:rPr>
              <w:t>DBO</w:t>
            </w:r>
          </w:p>
        </w:tc>
        <w:tc>
          <w:tcPr>
            <w:tcW w:w="1604" w:type="dxa"/>
            <w:vAlign w:val="center"/>
          </w:tcPr>
          <w:p w14:paraId="1732CECC" w14:textId="77777777" w:rsidR="00BA05F3" w:rsidRPr="00BA05F3" w:rsidRDefault="00BA05F3" w:rsidP="007965F7">
            <w:pPr>
              <w:spacing w:after="0" w:line="360" w:lineRule="auto"/>
              <w:jc w:val="center"/>
              <w:rPr>
                <w:rFonts w:ascii="Arial" w:hAnsi="Arial" w:cs="Arial"/>
              </w:rPr>
            </w:pPr>
            <w:r w:rsidRPr="00BA05F3">
              <w:rPr>
                <w:rFonts w:ascii="Arial" w:hAnsi="Arial" w:cs="Arial"/>
              </w:rPr>
              <w:t>mg/l</w:t>
            </w:r>
          </w:p>
        </w:tc>
        <w:tc>
          <w:tcPr>
            <w:tcW w:w="3218" w:type="dxa"/>
            <w:vAlign w:val="center"/>
          </w:tcPr>
          <w:p w14:paraId="1334294D" w14:textId="77777777" w:rsidR="00BA05F3" w:rsidRPr="00BA05F3" w:rsidRDefault="00BA05F3" w:rsidP="007965F7">
            <w:pPr>
              <w:spacing w:after="0" w:line="360" w:lineRule="auto"/>
              <w:jc w:val="center"/>
              <w:rPr>
                <w:rFonts w:ascii="Arial" w:hAnsi="Arial" w:cs="Arial"/>
              </w:rPr>
            </w:pPr>
            <w:r w:rsidRPr="00BA05F3">
              <w:rPr>
                <w:rFonts w:ascii="Arial" w:hAnsi="Arial" w:cs="Arial"/>
              </w:rPr>
              <w:t>119</w:t>
            </w:r>
          </w:p>
        </w:tc>
      </w:tr>
      <w:tr w:rsidR="00BA05F3" w:rsidRPr="00BA05F3" w14:paraId="7FE97ABF" w14:textId="77777777" w:rsidTr="007965F7">
        <w:trPr>
          <w:jc w:val="center"/>
        </w:trPr>
        <w:tc>
          <w:tcPr>
            <w:tcW w:w="2191" w:type="dxa"/>
            <w:vAlign w:val="center"/>
          </w:tcPr>
          <w:p w14:paraId="395BA5A4" w14:textId="77777777" w:rsidR="00BA05F3" w:rsidRPr="00BA05F3" w:rsidRDefault="00BA05F3" w:rsidP="007965F7">
            <w:pPr>
              <w:spacing w:after="0" w:line="360" w:lineRule="auto"/>
              <w:jc w:val="center"/>
              <w:rPr>
                <w:rFonts w:ascii="Arial" w:hAnsi="Arial" w:cs="Arial"/>
              </w:rPr>
            </w:pPr>
            <w:r w:rsidRPr="00BA05F3">
              <w:rPr>
                <w:rFonts w:ascii="Arial" w:hAnsi="Arial" w:cs="Arial"/>
              </w:rPr>
              <w:t>N-NH4+</w:t>
            </w:r>
          </w:p>
        </w:tc>
        <w:tc>
          <w:tcPr>
            <w:tcW w:w="1604" w:type="dxa"/>
            <w:vAlign w:val="center"/>
          </w:tcPr>
          <w:p w14:paraId="0BEE4AA4" w14:textId="77777777" w:rsidR="00BA05F3" w:rsidRPr="00BA05F3" w:rsidRDefault="00BA05F3" w:rsidP="007965F7">
            <w:pPr>
              <w:spacing w:after="0" w:line="360" w:lineRule="auto"/>
              <w:jc w:val="center"/>
              <w:rPr>
                <w:rFonts w:ascii="Arial" w:hAnsi="Arial" w:cs="Arial"/>
              </w:rPr>
            </w:pPr>
            <w:r w:rsidRPr="00BA05F3">
              <w:rPr>
                <w:rFonts w:ascii="Arial" w:hAnsi="Arial" w:cs="Arial"/>
              </w:rPr>
              <w:t>mg/l</w:t>
            </w:r>
          </w:p>
        </w:tc>
        <w:tc>
          <w:tcPr>
            <w:tcW w:w="3218" w:type="dxa"/>
            <w:vAlign w:val="center"/>
          </w:tcPr>
          <w:p w14:paraId="4FB222AF" w14:textId="77777777" w:rsidR="00BA05F3" w:rsidRPr="00BA05F3" w:rsidRDefault="00BA05F3" w:rsidP="007965F7">
            <w:pPr>
              <w:spacing w:after="0" w:line="360" w:lineRule="auto"/>
              <w:jc w:val="center"/>
              <w:rPr>
                <w:rFonts w:ascii="Arial" w:hAnsi="Arial" w:cs="Arial"/>
              </w:rPr>
            </w:pPr>
            <w:r w:rsidRPr="00BA05F3">
              <w:rPr>
                <w:rFonts w:ascii="Arial" w:hAnsi="Arial" w:cs="Arial"/>
              </w:rPr>
              <w:t>16</w:t>
            </w:r>
          </w:p>
        </w:tc>
      </w:tr>
      <w:tr w:rsidR="00BA05F3" w:rsidRPr="00BA05F3" w14:paraId="67020811" w14:textId="77777777" w:rsidTr="007965F7">
        <w:trPr>
          <w:jc w:val="center"/>
        </w:trPr>
        <w:tc>
          <w:tcPr>
            <w:tcW w:w="2191" w:type="dxa"/>
            <w:vAlign w:val="center"/>
          </w:tcPr>
          <w:p w14:paraId="3B16F629" w14:textId="77777777" w:rsidR="00BA05F3" w:rsidRPr="00BA05F3" w:rsidRDefault="00BA05F3" w:rsidP="007965F7">
            <w:pPr>
              <w:spacing w:after="0" w:line="360" w:lineRule="auto"/>
              <w:jc w:val="center"/>
              <w:rPr>
                <w:rFonts w:ascii="Arial" w:hAnsi="Arial" w:cs="Arial"/>
              </w:rPr>
            </w:pPr>
            <w:r w:rsidRPr="00BA05F3">
              <w:rPr>
                <w:rFonts w:ascii="Arial" w:hAnsi="Arial" w:cs="Arial"/>
              </w:rPr>
              <w:t>N-NO3</w:t>
            </w:r>
          </w:p>
        </w:tc>
        <w:tc>
          <w:tcPr>
            <w:tcW w:w="1604" w:type="dxa"/>
            <w:vAlign w:val="center"/>
          </w:tcPr>
          <w:p w14:paraId="7AEE57A3" w14:textId="77777777" w:rsidR="00BA05F3" w:rsidRPr="00BA05F3" w:rsidRDefault="00BA05F3" w:rsidP="007965F7">
            <w:pPr>
              <w:spacing w:after="0" w:line="360" w:lineRule="auto"/>
              <w:jc w:val="center"/>
              <w:rPr>
                <w:rFonts w:ascii="Arial" w:hAnsi="Arial" w:cs="Arial"/>
              </w:rPr>
            </w:pPr>
            <w:r w:rsidRPr="00BA05F3">
              <w:rPr>
                <w:rFonts w:ascii="Arial" w:hAnsi="Arial" w:cs="Arial"/>
              </w:rPr>
              <w:t>mg/l</w:t>
            </w:r>
          </w:p>
        </w:tc>
        <w:tc>
          <w:tcPr>
            <w:tcW w:w="3218" w:type="dxa"/>
            <w:vAlign w:val="center"/>
          </w:tcPr>
          <w:p w14:paraId="24A4F2C4" w14:textId="77777777" w:rsidR="00BA05F3" w:rsidRPr="00BA05F3" w:rsidRDefault="00BA05F3" w:rsidP="007965F7">
            <w:pPr>
              <w:spacing w:after="0" w:line="360" w:lineRule="auto"/>
              <w:jc w:val="center"/>
              <w:rPr>
                <w:rFonts w:ascii="Arial" w:hAnsi="Arial" w:cs="Arial"/>
              </w:rPr>
            </w:pPr>
            <w:r w:rsidRPr="00BA05F3">
              <w:rPr>
                <w:rFonts w:ascii="Arial" w:hAnsi="Arial" w:cs="Arial"/>
              </w:rPr>
              <w:t>&lt;0,5</w:t>
            </w:r>
          </w:p>
        </w:tc>
      </w:tr>
      <w:tr w:rsidR="00BA05F3" w:rsidRPr="00BA05F3" w14:paraId="31DD7AD7" w14:textId="77777777" w:rsidTr="007965F7">
        <w:trPr>
          <w:jc w:val="center"/>
        </w:trPr>
        <w:tc>
          <w:tcPr>
            <w:tcW w:w="2191" w:type="dxa"/>
            <w:vAlign w:val="center"/>
          </w:tcPr>
          <w:p w14:paraId="53FC5D39" w14:textId="77777777" w:rsidR="00BA05F3" w:rsidRPr="00BA05F3" w:rsidRDefault="00BA05F3" w:rsidP="007965F7">
            <w:pPr>
              <w:spacing w:after="0" w:line="360" w:lineRule="auto"/>
              <w:jc w:val="center"/>
              <w:rPr>
                <w:rFonts w:ascii="Arial" w:hAnsi="Arial" w:cs="Arial"/>
              </w:rPr>
            </w:pPr>
            <w:r w:rsidRPr="00BA05F3">
              <w:rPr>
                <w:rFonts w:ascii="Arial" w:hAnsi="Arial" w:cs="Arial"/>
              </w:rPr>
              <w:t>N-NO2</w:t>
            </w:r>
          </w:p>
        </w:tc>
        <w:tc>
          <w:tcPr>
            <w:tcW w:w="1604" w:type="dxa"/>
            <w:vAlign w:val="center"/>
          </w:tcPr>
          <w:p w14:paraId="139146E0" w14:textId="77777777" w:rsidR="00BA05F3" w:rsidRPr="00BA05F3" w:rsidRDefault="00BA05F3" w:rsidP="007965F7">
            <w:pPr>
              <w:spacing w:after="0" w:line="360" w:lineRule="auto"/>
              <w:jc w:val="center"/>
              <w:rPr>
                <w:rFonts w:ascii="Arial" w:hAnsi="Arial" w:cs="Arial"/>
              </w:rPr>
            </w:pPr>
            <w:r w:rsidRPr="00BA05F3">
              <w:rPr>
                <w:rFonts w:ascii="Arial" w:hAnsi="Arial" w:cs="Arial"/>
              </w:rPr>
              <w:t>mg/l</w:t>
            </w:r>
          </w:p>
        </w:tc>
        <w:tc>
          <w:tcPr>
            <w:tcW w:w="3218" w:type="dxa"/>
            <w:vAlign w:val="center"/>
          </w:tcPr>
          <w:p w14:paraId="4758B9D2" w14:textId="77777777" w:rsidR="00BA05F3" w:rsidRPr="00BA05F3" w:rsidRDefault="00BA05F3" w:rsidP="007965F7">
            <w:pPr>
              <w:spacing w:after="0" w:line="360" w:lineRule="auto"/>
              <w:jc w:val="center"/>
              <w:rPr>
                <w:rFonts w:ascii="Arial" w:hAnsi="Arial" w:cs="Arial"/>
              </w:rPr>
            </w:pPr>
            <w:r w:rsidRPr="00BA05F3">
              <w:rPr>
                <w:rFonts w:ascii="Arial" w:hAnsi="Arial" w:cs="Arial"/>
              </w:rPr>
              <w:t>0,007</w:t>
            </w:r>
          </w:p>
        </w:tc>
      </w:tr>
      <w:tr w:rsidR="00BA05F3" w:rsidRPr="00BA05F3" w14:paraId="4523EF20" w14:textId="77777777" w:rsidTr="007965F7">
        <w:trPr>
          <w:jc w:val="center"/>
        </w:trPr>
        <w:tc>
          <w:tcPr>
            <w:tcW w:w="2191" w:type="dxa"/>
            <w:vAlign w:val="center"/>
          </w:tcPr>
          <w:p w14:paraId="18BE63DF" w14:textId="77777777" w:rsidR="00BA05F3" w:rsidRPr="00BA05F3" w:rsidRDefault="00BA05F3" w:rsidP="007965F7">
            <w:pPr>
              <w:spacing w:after="0" w:line="360" w:lineRule="auto"/>
              <w:jc w:val="center"/>
              <w:rPr>
                <w:rFonts w:ascii="Arial" w:hAnsi="Arial" w:cs="Arial"/>
              </w:rPr>
            </w:pPr>
            <w:r w:rsidRPr="00BA05F3">
              <w:rPr>
                <w:rFonts w:ascii="Arial" w:hAnsi="Arial" w:cs="Arial"/>
              </w:rPr>
              <w:t>Detergentes</w:t>
            </w:r>
          </w:p>
        </w:tc>
        <w:tc>
          <w:tcPr>
            <w:tcW w:w="1604" w:type="dxa"/>
            <w:vAlign w:val="center"/>
          </w:tcPr>
          <w:p w14:paraId="5B0A2CB7" w14:textId="77777777" w:rsidR="00BA05F3" w:rsidRPr="00BA05F3" w:rsidRDefault="00BA05F3" w:rsidP="007965F7">
            <w:pPr>
              <w:spacing w:after="0" w:line="360" w:lineRule="auto"/>
              <w:jc w:val="center"/>
              <w:rPr>
                <w:rFonts w:ascii="Arial" w:hAnsi="Arial" w:cs="Arial"/>
              </w:rPr>
            </w:pPr>
            <w:r w:rsidRPr="00BA05F3">
              <w:rPr>
                <w:rFonts w:ascii="Arial" w:hAnsi="Arial" w:cs="Arial"/>
              </w:rPr>
              <w:t>mg/l</w:t>
            </w:r>
          </w:p>
        </w:tc>
        <w:tc>
          <w:tcPr>
            <w:tcW w:w="3218" w:type="dxa"/>
            <w:vAlign w:val="center"/>
          </w:tcPr>
          <w:p w14:paraId="306245FE" w14:textId="77777777" w:rsidR="00BA05F3" w:rsidRPr="00BA05F3" w:rsidRDefault="00BA05F3" w:rsidP="007965F7">
            <w:pPr>
              <w:spacing w:after="0" w:line="360" w:lineRule="auto"/>
              <w:jc w:val="center"/>
              <w:rPr>
                <w:rFonts w:ascii="Arial" w:hAnsi="Arial" w:cs="Arial"/>
              </w:rPr>
            </w:pPr>
            <w:r w:rsidRPr="00BA05F3">
              <w:rPr>
                <w:rFonts w:ascii="Arial" w:hAnsi="Arial" w:cs="Arial"/>
              </w:rPr>
              <w:t>1,95</w:t>
            </w:r>
          </w:p>
        </w:tc>
      </w:tr>
      <w:tr w:rsidR="00BA05F3" w:rsidRPr="00BA05F3" w14:paraId="12566156" w14:textId="77777777" w:rsidTr="007965F7">
        <w:trPr>
          <w:jc w:val="center"/>
        </w:trPr>
        <w:tc>
          <w:tcPr>
            <w:tcW w:w="2191" w:type="dxa"/>
            <w:vAlign w:val="center"/>
          </w:tcPr>
          <w:p w14:paraId="0E996DE7" w14:textId="77777777" w:rsidR="00BA05F3" w:rsidRPr="00BA05F3" w:rsidRDefault="00BA05F3" w:rsidP="007965F7">
            <w:pPr>
              <w:spacing w:after="0" w:line="360" w:lineRule="auto"/>
              <w:jc w:val="center"/>
              <w:rPr>
                <w:rFonts w:ascii="Arial" w:hAnsi="Arial" w:cs="Arial"/>
              </w:rPr>
            </w:pPr>
            <w:r w:rsidRPr="00BA05F3">
              <w:rPr>
                <w:rFonts w:ascii="Arial" w:hAnsi="Arial" w:cs="Arial"/>
              </w:rPr>
              <w:t>Fenoles</w:t>
            </w:r>
          </w:p>
        </w:tc>
        <w:tc>
          <w:tcPr>
            <w:tcW w:w="1604" w:type="dxa"/>
            <w:vAlign w:val="center"/>
          </w:tcPr>
          <w:p w14:paraId="2F19F123" w14:textId="77777777" w:rsidR="00BA05F3" w:rsidRPr="00BA05F3" w:rsidRDefault="00BA05F3" w:rsidP="007965F7">
            <w:pPr>
              <w:spacing w:after="0" w:line="360" w:lineRule="auto"/>
              <w:jc w:val="center"/>
              <w:rPr>
                <w:rFonts w:ascii="Arial" w:hAnsi="Arial" w:cs="Arial"/>
              </w:rPr>
            </w:pPr>
            <w:r w:rsidRPr="00BA05F3">
              <w:rPr>
                <w:rFonts w:ascii="Arial" w:hAnsi="Arial" w:cs="Arial"/>
              </w:rPr>
              <w:t>mg/l</w:t>
            </w:r>
          </w:p>
        </w:tc>
        <w:tc>
          <w:tcPr>
            <w:tcW w:w="3218" w:type="dxa"/>
            <w:vAlign w:val="center"/>
          </w:tcPr>
          <w:p w14:paraId="1144AABA" w14:textId="77777777" w:rsidR="00BA05F3" w:rsidRPr="00BA05F3" w:rsidRDefault="00BA05F3" w:rsidP="007965F7">
            <w:pPr>
              <w:spacing w:after="0" w:line="360" w:lineRule="auto"/>
              <w:jc w:val="center"/>
              <w:rPr>
                <w:rFonts w:ascii="Arial" w:hAnsi="Arial" w:cs="Arial"/>
              </w:rPr>
            </w:pPr>
            <w:r w:rsidRPr="00BA05F3">
              <w:rPr>
                <w:rFonts w:ascii="Arial" w:hAnsi="Arial" w:cs="Arial"/>
              </w:rPr>
              <w:t>0,02</w:t>
            </w:r>
          </w:p>
        </w:tc>
      </w:tr>
      <w:tr w:rsidR="00BA05F3" w:rsidRPr="00BA05F3" w14:paraId="5B918A02" w14:textId="77777777" w:rsidTr="007965F7">
        <w:trPr>
          <w:jc w:val="center"/>
        </w:trPr>
        <w:tc>
          <w:tcPr>
            <w:tcW w:w="2191" w:type="dxa"/>
            <w:vAlign w:val="center"/>
          </w:tcPr>
          <w:p w14:paraId="16E0E9D3" w14:textId="77777777" w:rsidR="00BA05F3" w:rsidRPr="00BA05F3" w:rsidRDefault="00BA05F3" w:rsidP="007965F7">
            <w:pPr>
              <w:spacing w:after="0" w:line="360" w:lineRule="auto"/>
              <w:jc w:val="center"/>
              <w:rPr>
                <w:rFonts w:ascii="Arial" w:hAnsi="Arial" w:cs="Arial"/>
              </w:rPr>
            </w:pPr>
            <w:r w:rsidRPr="00BA05F3">
              <w:rPr>
                <w:rFonts w:ascii="Arial" w:hAnsi="Arial" w:cs="Arial"/>
              </w:rPr>
              <w:t>Cianuros</w:t>
            </w:r>
          </w:p>
        </w:tc>
        <w:tc>
          <w:tcPr>
            <w:tcW w:w="1604" w:type="dxa"/>
            <w:vAlign w:val="center"/>
          </w:tcPr>
          <w:p w14:paraId="4D77055D" w14:textId="77777777" w:rsidR="00BA05F3" w:rsidRPr="00BA05F3" w:rsidRDefault="00BA05F3" w:rsidP="007965F7">
            <w:pPr>
              <w:spacing w:after="0" w:line="360" w:lineRule="auto"/>
              <w:jc w:val="center"/>
              <w:rPr>
                <w:rFonts w:ascii="Arial" w:hAnsi="Arial" w:cs="Arial"/>
              </w:rPr>
            </w:pPr>
            <w:r w:rsidRPr="00BA05F3">
              <w:rPr>
                <w:rFonts w:ascii="Arial" w:hAnsi="Arial" w:cs="Arial"/>
              </w:rPr>
              <w:t>mg/l</w:t>
            </w:r>
          </w:p>
        </w:tc>
        <w:tc>
          <w:tcPr>
            <w:tcW w:w="3218" w:type="dxa"/>
            <w:vAlign w:val="center"/>
          </w:tcPr>
          <w:p w14:paraId="6A15A616" w14:textId="77777777" w:rsidR="00BA05F3" w:rsidRPr="00BA05F3" w:rsidRDefault="00BA05F3" w:rsidP="007965F7">
            <w:pPr>
              <w:spacing w:after="0" w:line="360" w:lineRule="auto"/>
              <w:jc w:val="center"/>
              <w:rPr>
                <w:rFonts w:ascii="Arial" w:hAnsi="Arial" w:cs="Arial"/>
              </w:rPr>
            </w:pPr>
            <w:r w:rsidRPr="00BA05F3">
              <w:rPr>
                <w:rFonts w:ascii="Arial" w:hAnsi="Arial" w:cs="Arial"/>
              </w:rPr>
              <w:t>&lt;0,05</w:t>
            </w:r>
          </w:p>
        </w:tc>
      </w:tr>
      <w:tr w:rsidR="00BA05F3" w:rsidRPr="00BA05F3" w14:paraId="6ECA77AF" w14:textId="77777777" w:rsidTr="007965F7">
        <w:trPr>
          <w:jc w:val="center"/>
        </w:trPr>
        <w:tc>
          <w:tcPr>
            <w:tcW w:w="2191" w:type="dxa"/>
            <w:vAlign w:val="center"/>
          </w:tcPr>
          <w:p w14:paraId="79685DC4" w14:textId="77777777" w:rsidR="00BA05F3" w:rsidRPr="00BA05F3" w:rsidRDefault="00BA05F3" w:rsidP="007965F7">
            <w:pPr>
              <w:spacing w:after="0" w:line="360" w:lineRule="auto"/>
              <w:jc w:val="center"/>
              <w:rPr>
                <w:rFonts w:ascii="Arial" w:hAnsi="Arial" w:cs="Arial"/>
              </w:rPr>
            </w:pPr>
            <w:r w:rsidRPr="00BA05F3">
              <w:rPr>
                <w:rFonts w:ascii="Arial" w:hAnsi="Arial" w:cs="Arial"/>
              </w:rPr>
              <w:t>Arsénico</w:t>
            </w:r>
          </w:p>
        </w:tc>
        <w:tc>
          <w:tcPr>
            <w:tcW w:w="1604" w:type="dxa"/>
            <w:vAlign w:val="center"/>
          </w:tcPr>
          <w:p w14:paraId="33E22FC0" w14:textId="77777777" w:rsidR="00BA05F3" w:rsidRPr="00BA05F3" w:rsidRDefault="00BA05F3" w:rsidP="007965F7">
            <w:pPr>
              <w:spacing w:after="0" w:line="360" w:lineRule="auto"/>
              <w:jc w:val="center"/>
              <w:rPr>
                <w:rFonts w:ascii="Arial" w:hAnsi="Arial" w:cs="Arial"/>
              </w:rPr>
            </w:pPr>
            <w:r w:rsidRPr="00BA05F3">
              <w:rPr>
                <w:rFonts w:ascii="Arial" w:hAnsi="Arial" w:cs="Arial"/>
              </w:rPr>
              <w:t>mg/l</w:t>
            </w:r>
          </w:p>
        </w:tc>
        <w:tc>
          <w:tcPr>
            <w:tcW w:w="3218" w:type="dxa"/>
            <w:vAlign w:val="center"/>
          </w:tcPr>
          <w:p w14:paraId="074EA2DC" w14:textId="77777777" w:rsidR="00BA05F3" w:rsidRPr="00BA05F3" w:rsidRDefault="00BA05F3" w:rsidP="007965F7">
            <w:pPr>
              <w:spacing w:after="0" w:line="360" w:lineRule="auto"/>
              <w:jc w:val="center"/>
              <w:rPr>
                <w:rFonts w:ascii="Arial" w:hAnsi="Arial" w:cs="Arial"/>
              </w:rPr>
            </w:pPr>
            <w:r w:rsidRPr="00BA05F3">
              <w:rPr>
                <w:rFonts w:ascii="Arial" w:hAnsi="Arial" w:cs="Arial"/>
              </w:rPr>
              <w:t>0,011</w:t>
            </w:r>
          </w:p>
        </w:tc>
      </w:tr>
      <w:tr w:rsidR="00BA05F3" w:rsidRPr="00BA05F3" w14:paraId="3063B656" w14:textId="77777777" w:rsidTr="007965F7">
        <w:trPr>
          <w:jc w:val="center"/>
        </w:trPr>
        <w:tc>
          <w:tcPr>
            <w:tcW w:w="2191" w:type="dxa"/>
            <w:vAlign w:val="center"/>
          </w:tcPr>
          <w:p w14:paraId="685E6364" w14:textId="77777777" w:rsidR="00BA05F3" w:rsidRPr="00BA05F3" w:rsidRDefault="00BA05F3" w:rsidP="007965F7">
            <w:pPr>
              <w:spacing w:after="0" w:line="360" w:lineRule="auto"/>
              <w:jc w:val="center"/>
              <w:rPr>
                <w:rFonts w:ascii="Arial" w:hAnsi="Arial" w:cs="Arial"/>
              </w:rPr>
            </w:pPr>
            <w:r w:rsidRPr="00BA05F3">
              <w:rPr>
                <w:rFonts w:ascii="Arial" w:hAnsi="Arial" w:cs="Arial"/>
              </w:rPr>
              <w:t>Cadmio</w:t>
            </w:r>
          </w:p>
        </w:tc>
        <w:tc>
          <w:tcPr>
            <w:tcW w:w="1604" w:type="dxa"/>
            <w:vAlign w:val="center"/>
          </w:tcPr>
          <w:p w14:paraId="0817E60C" w14:textId="77777777" w:rsidR="00BA05F3" w:rsidRPr="00BA05F3" w:rsidRDefault="00BA05F3" w:rsidP="007965F7">
            <w:pPr>
              <w:spacing w:after="0" w:line="360" w:lineRule="auto"/>
              <w:jc w:val="center"/>
              <w:rPr>
                <w:rFonts w:ascii="Arial" w:hAnsi="Arial" w:cs="Arial"/>
              </w:rPr>
            </w:pPr>
            <w:r w:rsidRPr="00BA05F3">
              <w:rPr>
                <w:rFonts w:ascii="Arial" w:hAnsi="Arial" w:cs="Arial"/>
              </w:rPr>
              <w:t>mg/l</w:t>
            </w:r>
          </w:p>
        </w:tc>
        <w:tc>
          <w:tcPr>
            <w:tcW w:w="3218" w:type="dxa"/>
            <w:vAlign w:val="center"/>
          </w:tcPr>
          <w:p w14:paraId="17E1115C" w14:textId="77777777" w:rsidR="00BA05F3" w:rsidRPr="00BA05F3" w:rsidRDefault="00BA05F3" w:rsidP="007965F7">
            <w:pPr>
              <w:spacing w:after="0" w:line="360" w:lineRule="auto"/>
              <w:jc w:val="center"/>
              <w:rPr>
                <w:rFonts w:ascii="Arial" w:hAnsi="Arial" w:cs="Arial"/>
              </w:rPr>
            </w:pPr>
            <w:r w:rsidRPr="00BA05F3">
              <w:rPr>
                <w:rFonts w:ascii="Arial" w:hAnsi="Arial" w:cs="Arial"/>
              </w:rPr>
              <w:t>&lt;0,02</w:t>
            </w:r>
          </w:p>
        </w:tc>
      </w:tr>
      <w:tr w:rsidR="00BA05F3" w:rsidRPr="00BA05F3" w14:paraId="471C1498" w14:textId="77777777" w:rsidTr="007965F7">
        <w:trPr>
          <w:jc w:val="center"/>
        </w:trPr>
        <w:tc>
          <w:tcPr>
            <w:tcW w:w="2191" w:type="dxa"/>
            <w:vAlign w:val="center"/>
          </w:tcPr>
          <w:p w14:paraId="7C56D8C1" w14:textId="77777777" w:rsidR="00BA05F3" w:rsidRPr="00BA05F3" w:rsidRDefault="00BA05F3" w:rsidP="007965F7">
            <w:pPr>
              <w:spacing w:after="0" w:line="360" w:lineRule="auto"/>
              <w:jc w:val="center"/>
              <w:rPr>
                <w:rFonts w:ascii="Arial" w:hAnsi="Arial" w:cs="Arial"/>
              </w:rPr>
            </w:pPr>
            <w:r w:rsidRPr="00BA05F3">
              <w:rPr>
                <w:rFonts w:ascii="Arial" w:hAnsi="Arial" w:cs="Arial"/>
              </w:rPr>
              <w:t>Cobre</w:t>
            </w:r>
          </w:p>
        </w:tc>
        <w:tc>
          <w:tcPr>
            <w:tcW w:w="1604" w:type="dxa"/>
            <w:vAlign w:val="center"/>
          </w:tcPr>
          <w:p w14:paraId="2AC66A50" w14:textId="77777777" w:rsidR="00BA05F3" w:rsidRPr="00BA05F3" w:rsidRDefault="00BA05F3" w:rsidP="007965F7">
            <w:pPr>
              <w:spacing w:after="0" w:line="360" w:lineRule="auto"/>
              <w:jc w:val="center"/>
              <w:rPr>
                <w:rFonts w:ascii="Arial" w:hAnsi="Arial" w:cs="Arial"/>
              </w:rPr>
            </w:pPr>
            <w:r w:rsidRPr="00BA05F3">
              <w:rPr>
                <w:rFonts w:ascii="Arial" w:hAnsi="Arial" w:cs="Arial"/>
              </w:rPr>
              <w:t>mg/l</w:t>
            </w:r>
          </w:p>
        </w:tc>
        <w:tc>
          <w:tcPr>
            <w:tcW w:w="3218" w:type="dxa"/>
            <w:vAlign w:val="center"/>
          </w:tcPr>
          <w:p w14:paraId="18E93ED4" w14:textId="77777777" w:rsidR="00BA05F3" w:rsidRPr="00BA05F3" w:rsidRDefault="00BA05F3" w:rsidP="007965F7">
            <w:pPr>
              <w:spacing w:after="0" w:line="360" w:lineRule="auto"/>
              <w:jc w:val="center"/>
              <w:rPr>
                <w:rFonts w:ascii="Arial" w:hAnsi="Arial" w:cs="Arial"/>
              </w:rPr>
            </w:pPr>
            <w:r w:rsidRPr="00BA05F3">
              <w:rPr>
                <w:rFonts w:ascii="Arial" w:hAnsi="Arial" w:cs="Arial"/>
              </w:rPr>
              <w:t>0,06</w:t>
            </w:r>
          </w:p>
        </w:tc>
      </w:tr>
      <w:tr w:rsidR="00BA05F3" w:rsidRPr="00BA05F3" w14:paraId="73ABF36A" w14:textId="77777777" w:rsidTr="007965F7">
        <w:trPr>
          <w:jc w:val="center"/>
        </w:trPr>
        <w:tc>
          <w:tcPr>
            <w:tcW w:w="2191" w:type="dxa"/>
            <w:vAlign w:val="center"/>
          </w:tcPr>
          <w:p w14:paraId="1B4EF34C" w14:textId="77777777" w:rsidR="00BA05F3" w:rsidRPr="00BA05F3" w:rsidRDefault="00BA05F3" w:rsidP="007965F7">
            <w:pPr>
              <w:spacing w:after="0" w:line="360" w:lineRule="auto"/>
              <w:jc w:val="center"/>
              <w:rPr>
                <w:rFonts w:ascii="Arial" w:hAnsi="Arial" w:cs="Arial"/>
              </w:rPr>
            </w:pPr>
            <w:r w:rsidRPr="00BA05F3">
              <w:rPr>
                <w:rFonts w:ascii="Arial" w:hAnsi="Arial" w:cs="Arial"/>
              </w:rPr>
              <w:t>Plomo</w:t>
            </w:r>
          </w:p>
        </w:tc>
        <w:tc>
          <w:tcPr>
            <w:tcW w:w="1604" w:type="dxa"/>
            <w:vAlign w:val="center"/>
          </w:tcPr>
          <w:p w14:paraId="3ED8698D" w14:textId="77777777" w:rsidR="00BA05F3" w:rsidRPr="00BA05F3" w:rsidRDefault="00BA05F3" w:rsidP="007965F7">
            <w:pPr>
              <w:spacing w:after="0" w:line="360" w:lineRule="auto"/>
              <w:jc w:val="center"/>
              <w:rPr>
                <w:rFonts w:ascii="Arial" w:hAnsi="Arial" w:cs="Arial"/>
              </w:rPr>
            </w:pPr>
            <w:r w:rsidRPr="00BA05F3">
              <w:rPr>
                <w:rFonts w:ascii="Arial" w:hAnsi="Arial" w:cs="Arial"/>
              </w:rPr>
              <w:t>mg/l</w:t>
            </w:r>
          </w:p>
        </w:tc>
        <w:tc>
          <w:tcPr>
            <w:tcW w:w="3218" w:type="dxa"/>
            <w:vAlign w:val="center"/>
          </w:tcPr>
          <w:p w14:paraId="0F560FE1" w14:textId="77777777" w:rsidR="00BA05F3" w:rsidRPr="00BA05F3" w:rsidRDefault="00BA05F3" w:rsidP="007965F7">
            <w:pPr>
              <w:spacing w:after="0" w:line="360" w:lineRule="auto"/>
              <w:jc w:val="center"/>
              <w:rPr>
                <w:rFonts w:ascii="Arial" w:hAnsi="Arial" w:cs="Arial"/>
              </w:rPr>
            </w:pPr>
            <w:r w:rsidRPr="00BA05F3">
              <w:rPr>
                <w:rFonts w:ascii="Arial" w:hAnsi="Arial" w:cs="Arial"/>
              </w:rPr>
              <w:t>0,04</w:t>
            </w:r>
          </w:p>
        </w:tc>
      </w:tr>
      <w:tr w:rsidR="00BA05F3" w:rsidRPr="00BA05F3" w14:paraId="028159EC" w14:textId="77777777" w:rsidTr="007965F7">
        <w:trPr>
          <w:jc w:val="center"/>
        </w:trPr>
        <w:tc>
          <w:tcPr>
            <w:tcW w:w="2191" w:type="dxa"/>
            <w:vAlign w:val="center"/>
          </w:tcPr>
          <w:p w14:paraId="26A6310E" w14:textId="77777777" w:rsidR="00BA05F3" w:rsidRPr="00BA05F3" w:rsidRDefault="00BA05F3" w:rsidP="007965F7">
            <w:pPr>
              <w:spacing w:after="0" w:line="360" w:lineRule="auto"/>
              <w:jc w:val="center"/>
              <w:rPr>
                <w:rFonts w:ascii="Arial" w:hAnsi="Arial" w:cs="Arial"/>
              </w:rPr>
            </w:pPr>
            <w:r w:rsidRPr="00BA05F3">
              <w:rPr>
                <w:rFonts w:ascii="Arial" w:hAnsi="Arial" w:cs="Arial"/>
              </w:rPr>
              <w:t>Cromo</w:t>
            </w:r>
          </w:p>
        </w:tc>
        <w:tc>
          <w:tcPr>
            <w:tcW w:w="1604" w:type="dxa"/>
            <w:vAlign w:val="center"/>
          </w:tcPr>
          <w:p w14:paraId="50B4B030" w14:textId="77777777" w:rsidR="00BA05F3" w:rsidRPr="00BA05F3" w:rsidRDefault="00BA05F3" w:rsidP="007965F7">
            <w:pPr>
              <w:spacing w:after="0" w:line="360" w:lineRule="auto"/>
              <w:jc w:val="center"/>
              <w:rPr>
                <w:rFonts w:ascii="Arial" w:hAnsi="Arial" w:cs="Arial"/>
              </w:rPr>
            </w:pPr>
            <w:r w:rsidRPr="00BA05F3">
              <w:rPr>
                <w:rFonts w:ascii="Arial" w:hAnsi="Arial" w:cs="Arial"/>
              </w:rPr>
              <w:t>mg/l</w:t>
            </w:r>
          </w:p>
        </w:tc>
        <w:tc>
          <w:tcPr>
            <w:tcW w:w="3218" w:type="dxa"/>
            <w:vAlign w:val="center"/>
          </w:tcPr>
          <w:p w14:paraId="3ED813EE" w14:textId="77777777" w:rsidR="00BA05F3" w:rsidRPr="00BA05F3" w:rsidRDefault="00BA05F3" w:rsidP="007965F7">
            <w:pPr>
              <w:spacing w:after="0" w:line="360" w:lineRule="auto"/>
              <w:jc w:val="center"/>
              <w:rPr>
                <w:rFonts w:ascii="Arial" w:hAnsi="Arial" w:cs="Arial"/>
              </w:rPr>
            </w:pPr>
            <w:r w:rsidRPr="00BA05F3">
              <w:rPr>
                <w:rFonts w:ascii="Arial" w:hAnsi="Arial" w:cs="Arial"/>
              </w:rPr>
              <w:t>0,08</w:t>
            </w:r>
          </w:p>
        </w:tc>
      </w:tr>
      <w:tr w:rsidR="00BA05F3" w:rsidRPr="00BA05F3" w14:paraId="07F82E54" w14:textId="77777777" w:rsidTr="007965F7">
        <w:trPr>
          <w:jc w:val="center"/>
        </w:trPr>
        <w:tc>
          <w:tcPr>
            <w:tcW w:w="2191" w:type="dxa"/>
            <w:vAlign w:val="center"/>
          </w:tcPr>
          <w:p w14:paraId="376358A6" w14:textId="77777777" w:rsidR="00BA05F3" w:rsidRPr="00BA05F3" w:rsidRDefault="00BA05F3" w:rsidP="007965F7">
            <w:pPr>
              <w:spacing w:after="0" w:line="360" w:lineRule="auto"/>
              <w:jc w:val="center"/>
              <w:rPr>
                <w:rFonts w:ascii="Arial" w:hAnsi="Arial" w:cs="Arial"/>
              </w:rPr>
            </w:pPr>
            <w:r w:rsidRPr="00BA05F3">
              <w:rPr>
                <w:rFonts w:ascii="Arial" w:hAnsi="Arial" w:cs="Arial"/>
              </w:rPr>
              <w:t>Sulfatos</w:t>
            </w:r>
          </w:p>
        </w:tc>
        <w:tc>
          <w:tcPr>
            <w:tcW w:w="1604" w:type="dxa"/>
            <w:vAlign w:val="center"/>
          </w:tcPr>
          <w:p w14:paraId="794CAEB2" w14:textId="77777777" w:rsidR="00BA05F3" w:rsidRPr="00BA05F3" w:rsidRDefault="00BA05F3" w:rsidP="007965F7">
            <w:pPr>
              <w:spacing w:after="0" w:line="360" w:lineRule="auto"/>
              <w:jc w:val="center"/>
              <w:rPr>
                <w:rFonts w:ascii="Arial" w:hAnsi="Arial" w:cs="Arial"/>
              </w:rPr>
            </w:pPr>
            <w:r w:rsidRPr="00BA05F3">
              <w:rPr>
                <w:rFonts w:ascii="Arial" w:hAnsi="Arial" w:cs="Arial"/>
              </w:rPr>
              <w:t>mg/l</w:t>
            </w:r>
          </w:p>
        </w:tc>
        <w:tc>
          <w:tcPr>
            <w:tcW w:w="3218" w:type="dxa"/>
            <w:vAlign w:val="center"/>
          </w:tcPr>
          <w:p w14:paraId="0DD6E412" w14:textId="77777777" w:rsidR="00BA05F3" w:rsidRPr="00BA05F3" w:rsidRDefault="00BA05F3" w:rsidP="007965F7">
            <w:pPr>
              <w:spacing w:after="0" w:line="360" w:lineRule="auto"/>
              <w:jc w:val="center"/>
              <w:rPr>
                <w:rFonts w:ascii="Arial" w:hAnsi="Arial" w:cs="Arial"/>
              </w:rPr>
            </w:pPr>
            <w:r w:rsidRPr="00BA05F3">
              <w:rPr>
                <w:rFonts w:ascii="Arial" w:hAnsi="Arial" w:cs="Arial"/>
              </w:rPr>
              <w:t>67</w:t>
            </w:r>
          </w:p>
        </w:tc>
      </w:tr>
      <w:tr w:rsidR="00BA05F3" w:rsidRPr="00BA05F3" w14:paraId="19D00A67" w14:textId="77777777" w:rsidTr="007965F7">
        <w:trPr>
          <w:jc w:val="center"/>
        </w:trPr>
        <w:tc>
          <w:tcPr>
            <w:tcW w:w="2191" w:type="dxa"/>
            <w:vAlign w:val="center"/>
          </w:tcPr>
          <w:p w14:paraId="5716114C" w14:textId="77777777" w:rsidR="00BA05F3" w:rsidRPr="00BA05F3" w:rsidRDefault="00BA05F3" w:rsidP="007965F7">
            <w:pPr>
              <w:spacing w:after="0" w:line="360" w:lineRule="auto"/>
              <w:jc w:val="center"/>
              <w:rPr>
                <w:rFonts w:ascii="Arial" w:hAnsi="Arial" w:cs="Arial"/>
              </w:rPr>
            </w:pPr>
            <w:r w:rsidRPr="00BA05F3">
              <w:rPr>
                <w:rFonts w:ascii="Arial" w:hAnsi="Arial" w:cs="Arial"/>
              </w:rPr>
              <w:t>Cloruros</w:t>
            </w:r>
          </w:p>
        </w:tc>
        <w:tc>
          <w:tcPr>
            <w:tcW w:w="1604" w:type="dxa"/>
            <w:vAlign w:val="center"/>
          </w:tcPr>
          <w:p w14:paraId="04A28713" w14:textId="77777777" w:rsidR="00BA05F3" w:rsidRPr="00BA05F3" w:rsidRDefault="00BA05F3" w:rsidP="007965F7">
            <w:pPr>
              <w:spacing w:after="0" w:line="360" w:lineRule="auto"/>
              <w:jc w:val="center"/>
              <w:rPr>
                <w:rFonts w:ascii="Arial" w:hAnsi="Arial" w:cs="Arial"/>
              </w:rPr>
            </w:pPr>
            <w:r w:rsidRPr="00BA05F3">
              <w:rPr>
                <w:rFonts w:ascii="Arial" w:hAnsi="Arial" w:cs="Arial"/>
              </w:rPr>
              <w:t>mg/l</w:t>
            </w:r>
          </w:p>
        </w:tc>
        <w:tc>
          <w:tcPr>
            <w:tcW w:w="3218" w:type="dxa"/>
            <w:vAlign w:val="center"/>
          </w:tcPr>
          <w:p w14:paraId="6A249E0B" w14:textId="77777777" w:rsidR="00BA05F3" w:rsidRPr="00BA05F3" w:rsidRDefault="00BA05F3" w:rsidP="007965F7">
            <w:pPr>
              <w:spacing w:after="0" w:line="360" w:lineRule="auto"/>
              <w:jc w:val="center"/>
              <w:rPr>
                <w:rFonts w:ascii="Arial" w:hAnsi="Arial" w:cs="Arial"/>
              </w:rPr>
            </w:pPr>
            <w:r w:rsidRPr="00BA05F3">
              <w:rPr>
                <w:rFonts w:ascii="Arial" w:hAnsi="Arial" w:cs="Arial"/>
              </w:rPr>
              <w:t>46</w:t>
            </w:r>
          </w:p>
        </w:tc>
      </w:tr>
      <w:tr w:rsidR="00BA05F3" w:rsidRPr="00BA05F3" w14:paraId="30E2987B" w14:textId="77777777" w:rsidTr="007965F7">
        <w:trPr>
          <w:jc w:val="center"/>
        </w:trPr>
        <w:tc>
          <w:tcPr>
            <w:tcW w:w="2191" w:type="dxa"/>
            <w:vAlign w:val="center"/>
          </w:tcPr>
          <w:p w14:paraId="5D2BD54D" w14:textId="77777777" w:rsidR="00BA05F3" w:rsidRPr="00BA05F3" w:rsidRDefault="00BA05F3" w:rsidP="007965F7">
            <w:pPr>
              <w:spacing w:after="0" w:line="360" w:lineRule="auto"/>
              <w:jc w:val="center"/>
              <w:rPr>
                <w:rFonts w:ascii="Arial" w:hAnsi="Arial" w:cs="Arial"/>
              </w:rPr>
            </w:pPr>
            <w:r w:rsidRPr="00BA05F3">
              <w:rPr>
                <w:rFonts w:ascii="Arial" w:hAnsi="Arial" w:cs="Arial"/>
              </w:rPr>
              <w:t>Dureza total</w:t>
            </w:r>
          </w:p>
        </w:tc>
        <w:tc>
          <w:tcPr>
            <w:tcW w:w="1604" w:type="dxa"/>
            <w:vAlign w:val="center"/>
          </w:tcPr>
          <w:p w14:paraId="75A2DA8A" w14:textId="77777777" w:rsidR="00BA05F3" w:rsidRPr="00BA05F3" w:rsidRDefault="00BA05F3" w:rsidP="007965F7">
            <w:pPr>
              <w:spacing w:after="0" w:line="360" w:lineRule="auto"/>
              <w:jc w:val="center"/>
              <w:rPr>
                <w:rFonts w:ascii="Arial" w:hAnsi="Arial" w:cs="Arial"/>
              </w:rPr>
            </w:pPr>
            <w:r w:rsidRPr="00BA05F3">
              <w:rPr>
                <w:rFonts w:ascii="Arial" w:hAnsi="Arial" w:cs="Arial"/>
              </w:rPr>
              <w:t>mg/l</w:t>
            </w:r>
          </w:p>
        </w:tc>
        <w:tc>
          <w:tcPr>
            <w:tcW w:w="3218" w:type="dxa"/>
            <w:vAlign w:val="center"/>
          </w:tcPr>
          <w:p w14:paraId="03A6CBBC" w14:textId="77777777" w:rsidR="00BA05F3" w:rsidRPr="00BA05F3" w:rsidRDefault="00BA05F3" w:rsidP="007965F7">
            <w:pPr>
              <w:spacing w:after="0" w:line="360" w:lineRule="auto"/>
              <w:jc w:val="center"/>
              <w:rPr>
                <w:rFonts w:ascii="Arial" w:hAnsi="Arial" w:cs="Arial"/>
              </w:rPr>
            </w:pPr>
            <w:r w:rsidRPr="00BA05F3">
              <w:rPr>
                <w:rFonts w:ascii="Arial" w:hAnsi="Arial" w:cs="Arial"/>
              </w:rPr>
              <w:t>56</w:t>
            </w:r>
          </w:p>
        </w:tc>
      </w:tr>
      <w:tr w:rsidR="00BA05F3" w:rsidRPr="00BA05F3" w14:paraId="5632FB23" w14:textId="77777777" w:rsidTr="007965F7">
        <w:trPr>
          <w:jc w:val="center"/>
        </w:trPr>
        <w:tc>
          <w:tcPr>
            <w:tcW w:w="2191" w:type="dxa"/>
            <w:vAlign w:val="center"/>
          </w:tcPr>
          <w:p w14:paraId="00006E78" w14:textId="77777777" w:rsidR="00BA05F3" w:rsidRPr="00BA05F3" w:rsidRDefault="00BA05F3" w:rsidP="007965F7">
            <w:pPr>
              <w:spacing w:after="0" w:line="360" w:lineRule="auto"/>
              <w:jc w:val="center"/>
              <w:rPr>
                <w:rFonts w:ascii="Arial" w:hAnsi="Arial" w:cs="Arial"/>
              </w:rPr>
            </w:pPr>
            <w:r w:rsidRPr="00BA05F3">
              <w:rPr>
                <w:rFonts w:ascii="Arial" w:hAnsi="Arial" w:cs="Arial"/>
              </w:rPr>
              <w:t>Fluoruros</w:t>
            </w:r>
          </w:p>
        </w:tc>
        <w:tc>
          <w:tcPr>
            <w:tcW w:w="1604" w:type="dxa"/>
            <w:vAlign w:val="center"/>
          </w:tcPr>
          <w:p w14:paraId="2B9AA585" w14:textId="77777777" w:rsidR="00BA05F3" w:rsidRPr="00BA05F3" w:rsidRDefault="00BA05F3" w:rsidP="007965F7">
            <w:pPr>
              <w:spacing w:after="0" w:line="360" w:lineRule="auto"/>
              <w:jc w:val="center"/>
              <w:rPr>
                <w:rFonts w:ascii="Arial" w:hAnsi="Arial" w:cs="Arial"/>
              </w:rPr>
            </w:pPr>
            <w:r w:rsidRPr="00BA05F3">
              <w:rPr>
                <w:rFonts w:ascii="Arial" w:hAnsi="Arial" w:cs="Arial"/>
              </w:rPr>
              <w:t>mg/l</w:t>
            </w:r>
          </w:p>
        </w:tc>
        <w:tc>
          <w:tcPr>
            <w:tcW w:w="3218" w:type="dxa"/>
            <w:vAlign w:val="center"/>
          </w:tcPr>
          <w:p w14:paraId="66CCB46F" w14:textId="77777777" w:rsidR="00BA05F3" w:rsidRPr="00BA05F3" w:rsidRDefault="00BA05F3" w:rsidP="007965F7">
            <w:pPr>
              <w:spacing w:after="0" w:line="360" w:lineRule="auto"/>
              <w:jc w:val="center"/>
              <w:rPr>
                <w:rFonts w:ascii="Arial" w:hAnsi="Arial" w:cs="Arial"/>
              </w:rPr>
            </w:pPr>
            <w:r w:rsidRPr="00BA05F3">
              <w:rPr>
                <w:rFonts w:ascii="Arial" w:hAnsi="Arial" w:cs="Arial"/>
              </w:rPr>
              <w:t>&lt;0,5</w:t>
            </w:r>
          </w:p>
        </w:tc>
      </w:tr>
      <w:tr w:rsidR="00BA05F3" w:rsidRPr="00BA05F3" w14:paraId="37A0787D" w14:textId="77777777" w:rsidTr="007965F7">
        <w:trPr>
          <w:jc w:val="center"/>
        </w:trPr>
        <w:tc>
          <w:tcPr>
            <w:tcW w:w="7013" w:type="dxa"/>
            <w:gridSpan w:val="3"/>
            <w:vAlign w:val="center"/>
          </w:tcPr>
          <w:p w14:paraId="7CD94E5E" w14:textId="77777777" w:rsidR="00BA05F3" w:rsidRPr="00BA05F3" w:rsidRDefault="00BA05F3" w:rsidP="007965F7">
            <w:pPr>
              <w:spacing w:after="0" w:line="360" w:lineRule="auto"/>
              <w:jc w:val="left"/>
              <w:rPr>
                <w:rFonts w:ascii="Arial" w:hAnsi="Arial" w:cs="Arial"/>
              </w:rPr>
            </w:pPr>
            <w:r w:rsidRPr="00BA05F3">
              <w:rPr>
                <w:rFonts w:ascii="Arial" w:hAnsi="Arial" w:cs="Arial"/>
              </w:rPr>
              <w:t>Valores promedio año 2004</w:t>
            </w:r>
          </w:p>
        </w:tc>
      </w:tr>
      <w:tr w:rsidR="00BA05F3" w:rsidRPr="00BA05F3" w14:paraId="547FF3B2" w14:textId="77777777" w:rsidTr="007965F7">
        <w:trPr>
          <w:jc w:val="center"/>
        </w:trPr>
        <w:tc>
          <w:tcPr>
            <w:tcW w:w="7013" w:type="dxa"/>
            <w:gridSpan w:val="3"/>
            <w:vAlign w:val="center"/>
          </w:tcPr>
          <w:p w14:paraId="223B357E" w14:textId="77777777" w:rsidR="00BA05F3" w:rsidRPr="00BA05F3" w:rsidRDefault="00BA05F3" w:rsidP="007965F7">
            <w:pPr>
              <w:spacing w:after="0" w:line="360" w:lineRule="auto"/>
              <w:jc w:val="left"/>
              <w:rPr>
                <w:rFonts w:ascii="Arial" w:hAnsi="Arial" w:cs="Arial"/>
              </w:rPr>
            </w:pPr>
            <w:r w:rsidRPr="00BA05F3">
              <w:rPr>
                <w:rFonts w:ascii="Arial" w:hAnsi="Arial" w:cs="Arial"/>
              </w:rPr>
              <w:t>El valor promedio de SSEE en 2003 fue de 53 mg/l</w:t>
            </w:r>
          </w:p>
        </w:tc>
      </w:tr>
      <w:tr w:rsidR="00BA05F3" w:rsidRPr="00BA05F3" w14:paraId="73399427" w14:textId="77777777" w:rsidTr="007965F7">
        <w:trPr>
          <w:jc w:val="center"/>
        </w:trPr>
        <w:tc>
          <w:tcPr>
            <w:tcW w:w="7013" w:type="dxa"/>
            <w:gridSpan w:val="3"/>
            <w:vAlign w:val="center"/>
          </w:tcPr>
          <w:p w14:paraId="4BB4D419" w14:textId="77777777" w:rsidR="00BA05F3" w:rsidRPr="00BA05F3" w:rsidRDefault="00BA05F3" w:rsidP="007965F7">
            <w:pPr>
              <w:spacing w:after="0" w:line="360" w:lineRule="auto"/>
              <w:jc w:val="left"/>
              <w:rPr>
                <w:rFonts w:ascii="Arial" w:hAnsi="Arial" w:cs="Arial"/>
              </w:rPr>
            </w:pPr>
            <w:r w:rsidRPr="00BA05F3">
              <w:rPr>
                <w:rFonts w:ascii="Arial" w:hAnsi="Arial" w:cs="Arial"/>
              </w:rPr>
              <w:t>Valor promedio año 2003</w:t>
            </w:r>
          </w:p>
        </w:tc>
      </w:tr>
    </w:tbl>
    <w:p w14:paraId="02F58A8B" w14:textId="77777777" w:rsidR="00BA05F3" w:rsidRPr="00BA05F3" w:rsidRDefault="00BA05F3" w:rsidP="00BA05F3">
      <w:pPr>
        <w:spacing w:after="0" w:line="360" w:lineRule="auto"/>
        <w:rPr>
          <w:rFonts w:ascii="Arial" w:hAnsi="Arial" w:cs="Arial"/>
          <w:caps/>
        </w:rPr>
      </w:pPr>
      <w:bookmarkStart w:id="1187" w:name="_Toc293243822"/>
      <w:bookmarkStart w:id="1188" w:name="_Toc389067308"/>
    </w:p>
    <w:p w14:paraId="20D0990A" w14:textId="77777777" w:rsidR="00BA05F3" w:rsidRPr="00BA05F3" w:rsidRDefault="00BA05F3" w:rsidP="00BA05F3">
      <w:pPr>
        <w:pStyle w:val="Heading3"/>
        <w:numPr>
          <w:ilvl w:val="0"/>
          <w:numId w:val="0"/>
        </w:numPr>
        <w:spacing w:line="360" w:lineRule="auto"/>
        <w:ind w:left="720" w:hanging="720"/>
        <w:rPr>
          <w:rFonts w:ascii="Arial" w:hAnsi="Arial" w:cs="Arial"/>
        </w:rPr>
      </w:pPr>
      <w:bookmarkStart w:id="1189" w:name="_Toc483227467"/>
      <w:bookmarkStart w:id="1190" w:name="_Toc484985220"/>
      <w:bookmarkStart w:id="1191" w:name="_Toc485027105"/>
      <w:bookmarkStart w:id="1192" w:name="_Toc485200287"/>
      <w:r w:rsidRPr="00BA05F3">
        <w:rPr>
          <w:rFonts w:ascii="Arial" w:hAnsi="Arial" w:cs="Arial"/>
        </w:rPr>
        <w:t>1.9.3 Criterios de diseño</w:t>
      </w:r>
      <w:bookmarkEnd w:id="1187"/>
      <w:bookmarkEnd w:id="1188"/>
      <w:bookmarkEnd w:id="1189"/>
      <w:bookmarkEnd w:id="1190"/>
      <w:bookmarkEnd w:id="1191"/>
      <w:bookmarkEnd w:id="1192"/>
    </w:p>
    <w:p w14:paraId="7D8BE45B" w14:textId="77777777" w:rsidR="00BA05F3" w:rsidRPr="00BA05F3" w:rsidRDefault="00BA05F3" w:rsidP="00BA05F3">
      <w:pPr>
        <w:spacing w:line="360" w:lineRule="auto"/>
        <w:rPr>
          <w:rFonts w:ascii="Arial" w:hAnsi="Arial" w:cs="Arial"/>
        </w:rPr>
      </w:pPr>
    </w:p>
    <w:p w14:paraId="7AC47216" w14:textId="77777777" w:rsidR="00BA05F3" w:rsidRPr="00BA05F3" w:rsidRDefault="00BA05F3" w:rsidP="00BA05F3">
      <w:pPr>
        <w:pStyle w:val="Heading4"/>
        <w:numPr>
          <w:ilvl w:val="0"/>
          <w:numId w:val="0"/>
        </w:numPr>
        <w:spacing w:line="360" w:lineRule="auto"/>
        <w:ind w:left="864" w:hanging="864"/>
        <w:rPr>
          <w:rFonts w:ascii="Arial" w:hAnsi="Arial" w:cs="Arial"/>
        </w:rPr>
      </w:pPr>
      <w:r w:rsidRPr="00BA05F3">
        <w:rPr>
          <w:rFonts w:ascii="Arial" w:hAnsi="Arial" w:cs="Arial"/>
        </w:rPr>
        <w:t>1.9.3.1 Pautas del diseño funcional</w:t>
      </w:r>
    </w:p>
    <w:p w14:paraId="5D59C015" w14:textId="77777777" w:rsidR="00BA05F3" w:rsidRPr="00BA05F3" w:rsidRDefault="00BA05F3" w:rsidP="00BA05F3">
      <w:pPr>
        <w:spacing w:before="240" w:line="360" w:lineRule="auto"/>
        <w:rPr>
          <w:rFonts w:ascii="Arial" w:hAnsi="Arial" w:cs="Arial"/>
        </w:rPr>
      </w:pPr>
      <w:r w:rsidRPr="00BA05F3">
        <w:rPr>
          <w:rFonts w:ascii="Arial" w:hAnsi="Arial" w:cs="Arial"/>
        </w:rPr>
        <w:t>Las siguientes pautas y características definen el funcionamiento hidráulico y de dilución del emisario:</w:t>
      </w:r>
    </w:p>
    <w:p w14:paraId="572ADCD7" w14:textId="77777777" w:rsidR="00BA05F3" w:rsidRPr="00BA05F3" w:rsidRDefault="00BA05F3" w:rsidP="00C4100D">
      <w:pPr>
        <w:pStyle w:val="ListParagraph"/>
        <w:numPr>
          <w:ilvl w:val="0"/>
          <w:numId w:val="87"/>
        </w:numPr>
        <w:spacing w:before="240" w:after="60" w:line="360" w:lineRule="auto"/>
        <w:ind w:left="993"/>
        <w:rPr>
          <w:rFonts w:ascii="Arial" w:hAnsi="Arial" w:cs="Arial"/>
        </w:rPr>
      </w:pPr>
      <w:r w:rsidRPr="00BA05F3">
        <w:rPr>
          <w:rFonts w:ascii="Arial" w:hAnsi="Arial" w:cs="Arial"/>
        </w:rPr>
        <w:t xml:space="preserve">Longitud total de la zona de difusión del Emisario: 2300m </w:t>
      </w:r>
    </w:p>
    <w:p w14:paraId="2266FD92" w14:textId="77777777" w:rsidR="00BA05F3" w:rsidRPr="00BA05F3" w:rsidRDefault="00BA05F3" w:rsidP="00C4100D">
      <w:pPr>
        <w:pStyle w:val="ListParagraph"/>
        <w:numPr>
          <w:ilvl w:val="0"/>
          <w:numId w:val="87"/>
        </w:numPr>
        <w:spacing w:before="240" w:after="60" w:line="360" w:lineRule="auto"/>
        <w:ind w:left="993"/>
        <w:rPr>
          <w:rFonts w:ascii="Arial" w:hAnsi="Arial" w:cs="Arial"/>
        </w:rPr>
      </w:pPr>
      <w:r w:rsidRPr="00BA05F3">
        <w:rPr>
          <w:rFonts w:ascii="Arial" w:hAnsi="Arial" w:cs="Arial"/>
        </w:rPr>
        <w:t>Difusores: 47</w:t>
      </w:r>
    </w:p>
    <w:p w14:paraId="641A9F3B" w14:textId="77777777" w:rsidR="00BA05F3" w:rsidRPr="00BA05F3" w:rsidRDefault="00BA05F3" w:rsidP="00C4100D">
      <w:pPr>
        <w:pStyle w:val="ListParagraph"/>
        <w:numPr>
          <w:ilvl w:val="0"/>
          <w:numId w:val="87"/>
        </w:numPr>
        <w:spacing w:before="240" w:after="60" w:line="360" w:lineRule="auto"/>
        <w:ind w:left="993"/>
        <w:rPr>
          <w:rFonts w:ascii="Arial" w:hAnsi="Arial" w:cs="Arial"/>
        </w:rPr>
      </w:pPr>
      <w:r w:rsidRPr="00BA05F3">
        <w:rPr>
          <w:rFonts w:ascii="Arial" w:hAnsi="Arial" w:cs="Arial"/>
        </w:rPr>
        <w:t>Separación entre raiser 50 m</w:t>
      </w:r>
    </w:p>
    <w:p w14:paraId="6C5B886D" w14:textId="77777777" w:rsidR="00BA05F3" w:rsidRPr="00BA05F3" w:rsidRDefault="00BA05F3" w:rsidP="00C4100D">
      <w:pPr>
        <w:pStyle w:val="ListParagraph"/>
        <w:numPr>
          <w:ilvl w:val="0"/>
          <w:numId w:val="87"/>
        </w:numPr>
        <w:spacing w:before="240" w:after="60" w:line="360" w:lineRule="auto"/>
        <w:ind w:left="993"/>
        <w:rPr>
          <w:rFonts w:ascii="Arial" w:hAnsi="Arial" w:cs="Arial"/>
        </w:rPr>
      </w:pPr>
      <w:r w:rsidRPr="00BA05F3">
        <w:rPr>
          <w:rFonts w:ascii="Arial" w:hAnsi="Arial" w:cs="Arial"/>
        </w:rPr>
        <w:t>Raiser tipo roseta con 6 puertos</w:t>
      </w:r>
    </w:p>
    <w:p w14:paraId="0E8DB051" w14:textId="77777777" w:rsidR="00BA05F3" w:rsidRPr="00BA05F3" w:rsidRDefault="00BA05F3" w:rsidP="00C4100D">
      <w:pPr>
        <w:pStyle w:val="ListParagraph"/>
        <w:numPr>
          <w:ilvl w:val="0"/>
          <w:numId w:val="87"/>
        </w:numPr>
        <w:spacing w:before="240" w:after="60" w:line="360" w:lineRule="auto"/>
        <w:ind w:left="993"/>
        <w:rPr>
          <w:rFonts w:ascii="Arial" w:hAnsi="Arial" w:cs="Arial"/>
        </w:rPr>
      </w:pPr>
      <w:r w:rsidRPr="00BA05F3">
        <w:rPr>
          <w:rFonts w:ascii="Arial" w:hAnsi="Arial" w:cs="Arial"/>
        </w:rPr>
        <w:t>No se permitirá el uso de válvulas tipo Duckbill o similar.</w:t>
      </w:r>
    </w:p>
    <w:p w14:paraId="6CB1CA7F" w14:textId="77777777" w:rsidR="00BA05F3" w:rsidRPr="00BA05F3" w:rsidRDefault="00BA05F3" w:rsidP="00BA05F3">
      <w:pPr>
        <w:pStyle w:val="ListParagraph"/>
        <w:spacing w:before="240" w:after="60" w:line="360" w:lineRule="auto"/>
        <w:ind w:left="0"/>
        <w:rPr>
          <w:rFonts w:ascii="Arial" w:hAnsi="Arial" w:cs="Arial"/>
        </w:rPr>
      </w:pPr>
      <w:r w:rsidRPr="00BA05F3">
        <w:rPr>
          <w:rFonts w:ascii="Arial" w:hAnsi="Arial" w:cs="Arial"/>
        </w:rPr>
        <w:t xml:space="preserve">Los puertos, su orientación y ubicación altimétrica, y la forma y dimensiones del raiser tipo roseta fueron realizadas por modelo de campo cercano. La dilución inducida por el chorro en el campo cercano se estimó a partir de ecuaciones analíticas para garantizar que los chorros alcanzaran una dilución de campo cercano de al menos 50:1. Esto determinó los diámetros de los puertos. Las diluciones de campo cercano fueron entonces simuladas con variaciones de flujo diarias asumiendo una dilución del chorro de campo cercano de 50:1. El efecto de las corrientes en los chorros fue modelado con el modelo de campo cercano Visjet para determinar el número de puertos por raiser y su separación. </w:t>
      </w:r>
    </w:p>
    <w:p w14:paraId="7BB25761" w14:textId="77777777" w:rsidR="00BA05F3" w:rsidRPr="00BA05F3" w:rsidRDefault="00BA05F3" w:rsidP="00BA05F3">
      <w:pPr>
        <w:spacing w:before="240" w:line="360" w:lineRule="auto"/>
        <w:rPr>
          <w:rFonts w:ascii="Arial" w:hAnsi="Arial" w:cs="Arial"/>
        </w:rPr>
      </w:pPr>
      <w:r w:rsidRPr="00BA05F3">
        <w:rPr>
          <w:rFonts w:ascii="Arial" w:hAnsi="Arial" w:cs="Arial"/>
        </w:rPr>
        <w:t>Los raiser y puertos se construirán en acero inoxidable, y llevarán las protecciones mecánicas correspondientes. Se incorporará una sección fusible ante eventuales acciones que produzcan la rotura del mismo. Todos los materiales utilizados deberán ser tales que las características del medio receptor y las propias del efluente no afecten el correcto funcionamiento de la obra.</w:t>
      </w:r>
    </w:p>
    <w:p w14:paraId="03CF1E27" w14:textId="77777777" w:rsidR="00BA05F3" w:rsidRPr="00BA05F3" w:rsidRDefault="00BA05F3" w:rsidP="00BA05F3">
      <w:pPr>
        <w:spacing w:before="240" w:line="360" w:lineRule="auto"/>
        <w:rPr>
          <w:rFonts w:ascii="Arial" w:hAnsi="Arial" w:cs="Arial"/>
        </w:rPr>
      </w:pPr>
      <w:r w:rsidRPr="00BA05F3">
        <w:rPr>
          <w:rFonts w:ascii="Arial" w:hAnsi="Arial" w:cs="Arial"/>
        </w:rPr>
        <w:t xml:space="preserve">Los raiser contarán con un sistema de protección, asegurando que los chorros eyectados por los puertos no interfieran con la protección propuesta y que la misma brinde un grado de seguridad adecuada. </w:t>
      </w:r>
    </w:p>
    <w:p w14:paraId="3BC45FA9" w14:textId="77777777" w:rsidR="00BA05F3" w:rsidRPr="00BA05F3" w:rsidRDefault="00BA05F3" w:rsidP="00BA05F3">
      <w:pPr>
        <w:spacing w:before="240" w:line="360" w:lineRule="auto"/>
        <w:rPr>
          <w:rFonts w:ascii="Arial" w:hAnsi="Arial" w:cs="Arial"/>
        </w:rPr>
      </w:pPr>
    </w:p>
    <w:p w14:paraId="7796B7A6" w14:textId="77777777" w:rsidR="00BA05F3" w:rsidRPr="00BA05F3" w:rsidRDefault="00BA05F3" w:rsidP="00BA05F3">
      <w:pPr>
        <w:pStyle w:val="Heading4"/>
        <w:numPr>
          <w:ilvl w:val="0"/>
          <w:numId w:val="0"/>
        </w:numPr>
        <w:spacing w:line="360" w:lineRule="auto"/>
        <w:rPr>
          <w:rFonts w:ascii="Arial" w:hAnsi="Arial" w:cs="Arial"/>
        </w:rPr>
      </w:pPr>
      <w:r w:rsidRPr="00BA05F3">
        <w:rPr>
          <w:rFonts w:ascii="Arial" w:hAnsi="Arial" w:cs="Arial"/>
        </w:rPr>
        <w:t>1.9.3.2 Diseño hidráulico</w:t>
      </w:r>
    </w:p>
    <w:p w14:paraId="6C1052AA" w14:textId="77777777" w:rsidR="00BA05F3" w:rsidRPr="00BA05F3" w:rsidRDefault="00BA05F3" w:rsidP="00BA05F3">
      <w:pPr>
        <w:spacing w:line="360" w:lineRule="auto"/>
        <w:rPr>
          <w:rFonts w:ascii="Arial" w:hAnsi="Arial" w:cs="Arial"/>
        </w:rPr>
      </w:pPr>
    </w:p>
    <w:p w14:paraId="49402B3C" w14:textId="77777777" w:rsidR="00BA05F3" w:rsidRPr="00BA05F3" w:rsidRDefault="00BA05F3" w:rsidP="00BA05F3">
      <w:pPr>
        <w:pStyle w:val="Heading5"/>
        <w:numPr>
          <w:ilvl w:val="0"/>
          <w:numId w:val="0"/>
        </w:numPr>
        <w:spacing w:line="360" w:lineRule="auto"/>
        <w:rPr>
          <w:rFonts w:ascii="Arial" w:hAnsi="Arial" w:cs="Arial"/>
          <w:i/>
        </w:rPr>
      </w:pPr>
      <w:r w:rsidRPr="00BA05F3">
        <w:rPr>
          <w:rFonts w:ascii="Arial" w:hAnsi="Arial" w:cs="Arial"/>
        </w:rPr>
        <w:t>1.9.3.2.1 Evaluación de las pérdidas de carga del Emisario</w:t>
      </w:r>
    </w:p>
    <w:p w14:paraId="3DC770CB" w14:textId="77777777" w:rsidR="00BA05F3" w:rsidRPr="00BA05F3" w:rsidRDefault="00BA05F3" w:rsidP="00BA05F3">
      <w:pPr>
        <w:spacing w:before="240" w:line="360" w:lineRule="auto"/>
        <w:rPr>
          <w:rFonts w:ascii="Arial" w:hAnsi="Arial" w:cs="Arial"/>
        </w:rPr>
      </w:pPr>
      <w:r w:rsidRPr="00BA05F3">
        <w:rPr>
          <w:rFonts w:ascii="Arial" w:hAnsi="Arial" w:cs="Arial"/>
        </w:rPr>
        <w:t>Para evaluación de la pérdida de carga en el emisario se consideraron las siguientes pérdidas:</w:t>
      </w:r>
    </w:p>
    <w:p w14:paraId="273EE6FA" w14:textId="77777777" w:rsidR="00BA05F3" w:rsidRPr="00BA05F3" w:rsidRDefault="00BA05F3" w:rsidP="00C4100D">
      <w:pPr>
        <w:pStyle w:val="ListParagraph"/>
        <w:widowControl w:val="0"/>
        <w:numPr>
          <w:ilvl w:val="0"/>
          <w:numId w:val="87"/>
        </w:numPr>
        <w:spacing w:before="240" w:after="60" w:line="360" w:lineRule="auto"/>
        <w:ind w:left="426"/>
        <w:rPr>
          <w:rFonts w:ascii="Arial" w:hAnsi="Arial" w:cs="Arial"/>
        </w:rPr>
      </w:pPr>
      <w:r w:rsidRPr="00BA05F3">
        <w:rPr>
          <w:rFonts w:ascii="Arial" w:hAnsi="Arial" w:cs="Arial"/>
        </w:rPr>
        <w:t>Conducción: pérdida por embocadura, pérdida friccional considerando las juntas, pérdida por cambio de dirección y pérdida en la cámara de transición.</w:t>
      </w:r>
    </w:p>
    <w:p w14:paraId="332FC662" w14:textId="77777777" w:rsidR="00BA05F3" w:rsidRPr="00BA05F3" w:rsidRDefault="00BA05F3" w:rsidP="00C4100D">
      <w:pPr>
        <w:pStyle w:val="ListParagraph"/>
        <w:widowControl w:val="0"/>
        <w:numPr>
          <w:ilvl w:val="0"/>
          <w:numId w:val="87"/>
        </w:numPr>
        <w:spacing w:before="240" w:after="60" w:line="360" w:lineRule="auto"/>
        <w:ind w:left="426"/>
        <w:rPr>
          <w:rFonts w:ascii="Arial" w:hAnsi="Arial" w:cs="Arial"/>
        </w:rPr>
      </w:pPr>
      <w:r w:rsidRPr="00BA05F3">
        <w:rPr>
          <w:rFonts w:ascii="Arial" w:hAnsi="Arial" w:cs="Arial"/>
        </w:rPr>
        <w:t>Difusor: pérdida por cambio de sección, pérdida friccional considerando las juntas, pérdida por bifurcación (en correspondencia con los raiser).</w:t>
      </w:r>
    </w:p>
    <w:p w14:paraId="4ADA74F8" w14:textId="77777777" w:rsidR="00BA05F3" w:rsidRPr="00BA05F3" w:rsidRDefault="00BA05F3" w:rsidP="00C4100D">
      <w:pPr>
        <w:pStyle w:val="ListParagraph"/>
        <w:widowControl w:val="0"/>
        <w:numPr>
          <w:ilvl w:val="0"/>
          <w:numId w:val="87"/>
        </w:numPr>
        <w:spacing w:before="240" w:after="60" w:line="360" w:lineRule="auto"/>
        <w:ind w:left="426"/>
        <w:rPr>
          <w:rFonts w:ascii="Arial" w:hAnsi="Arial" w:cs="Arial"/>
        </w:rPr>
      </w:pPr>
      <w:r w:rsidRPr="00BA05F3">
        <w:rPr>
          <w:rFonts w:ascii="Arial" w:hAnsi="Arial" w:cs="Arial"/>
        </w:rPr>
        <w:t>Raiser: pérdida por embocadura, pérdida friccional en el raiser y en el puerto, pérdida por bifurcación (Raiser-Puerto).</w:t>
      </w:r>
    </w:p>
    <w:p w14:paraId="39C61FFE" w14:textId="77777777" w:rsidR="00BA05F3" w:rsidRPr="00BA05F3" w:rsidRDefault="00BA05F3" w:rsidP="00BA05F3">
      <w:pPr>
        <w:pStyle w:val="ListParagraph"/>
        <w:spacing w:before="240" w:after="60" w:line="360" w:lineRule="auto"/>
        <w:ind w:left="426"/>
        <w:rPr>
          <w:rFonts w:ascii="Arial" w:hAnsi="Arial" w:cs="Arial"/>
        </w:rPr>
      </w:pPr>
    </w:p>
    <w:p w14:paraId="00C61B35" w14:textId="77777777" w:rsidR="00BA05F3" w:rsidRPr="00BA05F3" w:rsidRDefault="00BA05F3" w:rsidP="00BA05F3">
      <w:pPr>
        <w:pStyle w:val="Heading5"/>
        <w:numPr>
          <w:ilvl w:val="0"/>
          <w:numId w:val="0"/>
        </w:numPr>
        <w:spacing w:line="360" w:lineRule="auto"/>
        <w:ind w:left="1008" w:hanging="1008"/>
        <w:rPr>
          <w:rFonts w:ascii="Arial" w:hAnsi="Arial" w:cs="Arial"/>
          <w:i/>
        </w:rPr>
      </w:pPr>
      <w:r w:rsidRPr="00BA05F3">
        <w:rPr>
          <w:rFonts w:ascii="Arial" w:hAnsi="Arial" w:cs="Arial"/>
        </w:rPr>
        <w:t>1.9.3.2.2 Chimenea de Equilibrio – Cálculo del régimen impermanente (transitorio)</w:t>
      </w:r>
    </w:p>
    <w:p w14:paraId="4B0E821E" w14:textId="77777777" w:rsidR="00BA05F3" w:rsidRPr="00BA05F3" w:rsidRDefault="00BA05F3" w:rsidP="00BA05F3">
      <w:pPr>
        <w:tabs>
          <w:tab w:val="left" w:pos="1134"/>
        </w:tabs>
        <w:spacing w:before="240" w:line="360" w:lineRule="auto"/>
        <w:rPr>
          <w:rFonts w:ascii="Arial" w:hAnsi="Arial" w:cs="Arial"/>
        </w:rPr>
      </w:pPr>
      <w:r w:rsidRPr="00BA05F3">
        <w:rPr>
          <w:rFonts w:ascii="Arial" w:hAnsi="Arial" w:cs="Arial"/>
        </w:rPr>
        <w:t xml:space="preserve">Para las dimensiones de la cámara se verificó el régimen impermanente generado frente a eventos de arranque y detención brusca de la estación de bombeo. Para esto, se analizaron diferentes escenarios (Cuadro 4), considerando como parámetro de diseño de la chimenea de equilibrio un nivel líquido mínimo de oscilación de por lo menos </w:t>
      </w:r>
      <w:smartTag w:uri="urn:schemas-microsoft-com:office:smarttags" w:element="metricconverter">
        <w:smartTagPr>
          <w:attr w:name="ProductID" w:val="2,0 m"/>
        </w:smartTagPr>
        <w:r w:rsidRPr="00BA05F3">
          <w:rPr>
            <w:rFonts w:ascii="Arial" w:hAnsi="Arial" w:cs="Arial"/>
          </w:rPr>
          <w:t>2,0 m</w:t>
        </w:r>
      </w:smartTag>
      <w:r w:rsidRPr="00BA05F3">
        <w:rPr>
          <w:rFonts w:ascii="Arial" w:hAnsi="Arial" w:cs="Arial"/>
        </w:rPr>
        <w:t xml:space="preserve"> por sobre el intradós del conducto emisario (para evitar la incorporación de aire al mismo). Además, se consideró un tiempo de detención de las bombas de 10 segundos y una rugosidad de la cañería (k) de 0,1 mm (para cálculo transitorio). </w:t>
      </w:r>
    </w:p>
    <w:p w14:paraId="06A285C8" w14:textId="77777777" w:rsidR="00BA05F3" w:rsidRPr="00BA05F3" w:rsidRDefault="00BA05F3" w:rsidP="00BA05F3">
      <w:pPr>
        <w:tabs>
          <w:tab w:val="left" w:pos="1134"/>
        </w:tabs>
        <w:spacing w:before="240" w:line="360" w:lineRule="auto"/>
        <w:rPr>
          <w:rFonts w:ascii="Arial" w:hAnsi="Arial" w:cs="Arial"/>
          <w:b/>
        </w:rPr>
      </w:pPr>
      <w:r w:rsidRPr="00BA05F3">
        <w:rPr>
          <w:rFonts w:ascii="Arial" w:hAnsi="Arial" w:cs="Arial"/>
          <w:b/>
        </w:rPr>
        <w:t>Cuadro AI.4: Escenarios estudiados de régimen impermanente.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4678"/>
        <w:gridCol w:w="2954"/>
      </w:tblGrid>
      <w:tr w:rsidR="00BA05F3" w:rsidRPr="00BA05F3" w14:paraId="60228A2F" w14:textId="77777777" w:rsidTr="007965F7">
        <w:tc>
          <w:tcPr>
            <w:tcW w:w="1276" w:type="dxa"/>
            <w:vAlign w:val="center"/>
          </w:tcPr>
          <w:p w14:paraId="23F2F02C" w14:textId="77777777" w:rsidR="00BA05F3" w:rsidRPr="00BA05F3" w:rsidRDefault="00BA05F3" w:rsidP="007965F7">
            <w:pPr>
              <w:widowControl w:val="0"/>
              <w:tabs>
                <w:tab w:val="left" w:pos="1134"/>
              </w:tabs>
              <w:spacing w:after="0" w:line="240" w:lineRule="auto"/>
              <w:rPr>
                <w:rFonts w:ascii="Arial" w:hAnsi="Arial" w:cs="Arial"/>
                <w:b/>
              </w:rPr>
            </w:pPr>
            <w:r w:rsidRPr="00BA05F3">
              <w:rPr>
                <w:rFonts w:ascii="Arial" w:hAnsi="Arial" w:cs="Arial"/>
                <w:b/>
              </w:rPr>
              <w:t>Escenario</w:t>
            </w:r>
          </w:p>
        </w:tc>
        <w:tc>
          <w:tcPr>
            <w:tcW w:w="4678" w:type="dxa"/>
            <w:vAlign w:val="center"/>
          </w:tcPr>
          <w:p w14:paraId="39F48966" w14:textId="77777777" w:rsidR="00BA05F3" w:rsidRPr="00BA05F3" w:rsidRDefault="00BA05F3" w:rsidP="007965F7">
            <w:pPr>
              <w:widowControl w:val="0"/>
              <w:tabs>
                <w:tab w:val="left" w:pos="1134"/>
              </w:tabs>
              <w:spacing w:after="0" w:line="240" w:lineRule="auto"/>
              <w:rPr>
                <w:rFonts w:ascii="Arial" w:hAnsi="Arial" w:cs="Arial"/>
              </w:rPr>
            </w:pPr>
          </w:p>
        </w:tc>
        <w:tc>
          <w:tcPr>
            <w:tcW w:w="2954" w:type="dxa"/>
            <w:vAlign w:val="center"/>
          </w:tcPr>
          <w:p w14:paraId="7547D77B" w14:textId="77777777" w:rsidR="00BA05F3" w:rsidRPr="00BA05F3" w:rsidRDefault="00BA05F3" w:rsidP="007965F7">
            <w:pPr>
              <w:widowControl w:val="0"/>
              <w:tabs>
                <w:tab w:val="left" w:pos="1134"/>
              </w:tabs>
              <w:spacing w:after="0" w:line="240" w:lineRule="auto"/>
              <w:rPr>
                <w:rFonts w:ascii="Arial" w:hAnsi="Arial" w:cs="Arial"/>
              </w:rPr>
            </w:pPr>
          </w:p>
        </w:tc>
      </w:tr>
      <w:tr w:rsidR="00BA05F3" w:rsidRPr="00BA05F3" w14:paraId="3E1C3327" w14:textId="77777777" w:rsidTr="007965F7">
        <w:tc>
          <w:tcPr>
            <w:tcW w:w="1276" w:type="dxa"/>
            <w:vAlign w:val="center"/>
          </w:tcPr>
          <w:p w14:paraId="281C1AB2" w14:textId="77777777" w:rsidR="00BA05F3" w:rsidRPr="00BA05F3" w:rsidRDefault="00BA05F3" w:rsidP="007965F7">
            <w:pPr>
              <w:widowControl w:val="0"/>
              <w:tabs>
                <w:tab w:val="left" w:pos="1134"/>
              </w:tabs>
              <w:spacing w:after="0" w:line="240" w:lineRule="auto"/>
              <w:rPr>
                <w:rFonts w:ascii="Arial" w:hAnsi="Arial" w:cs="Arial"/>
                <w:b/>
              </w:rPr>
            </w:pPr>
            <w:r w:rsidRPr="00BA05F3">
              <w:rPr>
                <w:rFonts w:ascii="Arial" w:hAnsi="Arial" w:cs="Arial"/>
                <w:b/>
              </w:rPr>
              <w:t>1</w:t>
            </w:r>
          </w:p>
        </w:tc>
        <w:tc>
          <w:tcPr>
            <w:tcW w:w="4678" w:type="dxa"/>
            <w:vAlign w:val="center"/>
          </w:tcPr>
          <w:p w14:paraId="5938EE89" w14:textId="77777777" w:rsidR="00BA05F3" w:rsidRPr="00BA05F3" w:rsidRDefault="00BA05F3" w:rsidP="007965F7">
            <w:pPr>
              <w:widowControl w:val="0"/>
              <w:tabs>
                <w:tab w:val="left" w:pos="1134"/>
              </w:tabs>
              <w:spacing w:after="0" w:line="240" w:lineRule="auto"/>
              <w:rPr>
                <w:rFonts w:ascii="Arial" w:hAnsi="Arial" w:cs="Arial"/>
              </w:rPr>
            </w:pPr>
            <w:r w:rsidRPr="00BA05F3">
              <w:rPr>
                <w:rFonts w:ascii="Arial" w:hAnsi="Arial" w:cs="Arial"/>
              </w:rPr>
              <w:t>Detención brusca y simultánea de todos los equipos.</w:t>
            </w:r>
          </w:p>
        </w:tc>
        <w:tc>
          <w:tcPr>
            <w:tcW w:w="2954" w:type="dxa"/>
            <w:vAlign w:val="center"/>
          </w:tcPr>
          <w:p w14:paraId="7823EFBB" w14:textId="77777777" w:rsidR="00BA05F3" w:rsidRPr="00BA05F3" w:rsidRDefault="00BA05F3" w:rsidP="007965F7">
            <w:pPr>
              <w:widowControl w:val="0"/>
              <w:tabs>
                <w:tab w:val="left" w:pos="1134"/>
              </w:tabs>
              <w:spacing w:after="0" w:line="240" w:lineRule="auto"/>
              <w:rPr>
                <w:rFonts w:ascii="Arial" w:hAnsi="Arial" w:cs="Arial"/>
              </w:rPr>
            </w:pPr>
            <w:r w:rsidRPr="00BA05F3">
              <w:rPr>
                <w:rFonts w:ascii="Arial" w:hAnsi="Arial" w:cs="Arial"/>
              </w:rPr>
              <w:t xml:space="preserve">Q=33m3/s </w:t>
            </w:r>
          </w:p>
          <w:p w14:paraId="15B0E3B4" w14:textId="77777777" w:rsidR="00BA05F3" w:rsidRPr="00BA05F3" w:rsidRDefault="00BA05F3" w:rsidP="007965F7">
            <w:pPr>
              <w:widowControl w:val="0"/>
              <w:tabs>
                <w:tab w:val="left" w:pos="1134"/>
              </w:tabs>
              <w:spacing w:after="0" w:line="240" w:lineRule="auto"/>
              <w:rPr>
                <w:rFonts w:ascii="Arial" w:hAnsi="Arial" w:cs="Arial"/>
              </w:rPr>
            </w:pPr>
            <w:r w:rsidRPr="00BA05F3">
              <w:rPr>
                <w:rFonts w:ascii="Arial" w:hAnsi="Arial" w:cs="Arial"/>
              </w:rPr>
              <w:t xml:space="preserve">Nivel de río = </w:t>
            </w:r>
            <w:smartTag w:uri="urn:schemas-microsoft-com:office:smarttags" w:element="metricconverter">
              <w:smartTagPr>
                <w:attr w:name="ProductID" w:val="15,00 m"/>
              </w:smartTagPr>
              <w:r w:rsidRPr="00BA05F3">
                <w:rPr>
                  <w:rFonts w:ascii="Arial" w:hAnsi="Arial" w:cs="Arial"/>
                </w:rPr>
                <w:t>15,00 m</w:t>
              </w:r>
            </w:smartTag>
            <w:r w:rsidRPr="00BA05F3">
              <w:rPr>
                <w:rFonts w:ascii="Arial" w:hAnsi="Arial" w:cs="Arial"/>
              </w:rPr>
              <w:t xml:space="preserve"> OSN</w:t>
            </w:r>
          </w:p>
        </w:tc>
      </w:tr>
      <w:tr w:rsidR="00BA05F3" w:rsidRPr="00BA05F3" w14:paraId="78218270" w14:textId="77777777" w:rsidTr="007965F7">
        <w:tc>
          <w:tcPr>
            <w:tcW w:w="1276" w:type="dxa"/>
            <w:vAlign w:val="center"/>
          </w:tcPr>
          <w:p w14:paraId="5AE332F0" w14:textId="77777777" w:rsidR="00BA05F3" w:rsidRPr="00BA05F3" w:rsidRDefault="00BA05F3" w:rsidP="007965F7">
            <w:pPr>
              <w:widowControl w:val="0"/>
              <w:tabs>
                <w:tab w:val="left" w:pos="1134"/>
              </w:tabs>
              <w:spacing w:after="0" w:line="240" w:lineRule="auto"/>
              <w:rPr>
                <w:rFonts w:ascii="Arial" w:hAnsi="Arial" w:cs="Arial"/>
                <w:b/>
              </w:rPr>
            </w:pPr>
            <w:r w:rsidRPr="00BA05F3">
              <w:rPr>
                <w:rFonts w:ascii="Arial" w:hAnsi="Arial" w:cs="Arial"/>
                <w:b/>
              </w:rPr>
              <w:t>2</w:t>
            </w:r>
          </w:p>
        </w:tc>
        <w:tc>
          <w:tcPr>
            <w:tcW w:w="4678" w:type="dxa"/>
            <w:vAlign w:val="center"/>
          </w:tcPr>
          <w:p w14:paraId="5925FDDF" w14:textId="77777777" w:rsidR="00BA05F3" w:rsidRPr="00BA05F3" w:rsidRDefault="00BA05F3" w:rsidP="007965F7">
            <w:pPr>
              <w:widowControl w:val="0"/>
              <w:tabs>
                <w:tab w:val="left" w:pos="1134"/>
              </w:tabs>
              <w:spacing w:after="0" w:line="240" w:lineRule="auto"/>
              <w:rPr>
                <w:rFonts w:ascii="Arial" w:hAnsi="Arial" w:cs="Arial"/>
              </w:rPr>
            </w:pPr>
            <w:r w:rsidRPr="00BA05F3">
              <w:rPr>
                <w:rFonts w:ascii="Arial" w:hAnsi="Arial" w:cs="Arial"/>
              </w:rPr>
              <w:t>Detención brusca y simultánea de todos los equipos.</w:t>
            </w:r>
          </w:p>
        </w:tc>
        <w:tc>
          <w:tcPr>
            <w:tcW w:w="2954" w:type="dxa"/>
            <w:vAlign w:val="center"/>
          </w:tcPr>
          <w:p w14:paraId="2189484D" w14:textId="77777777" w:rsidR="00BA05F3" w:rsidRPr="00BA05F3" w:rsidRDefault="00BA05F3" w:rsidP="007965F7">
            <w:pPr>
              <w:widowControl w:val="0"/>
              <w:spacing w:after="0" w:line="240" w:lineRule="auto"/>
              <w:rPr>
                <w:rFonts w:ascii="Arial" w:hAnsi="Arial" w:cs="Arial"/>
              </w:rPr>
            </w:pPr>
            <w:r w:rsidRPr="00BA05F3">
              <w:rPr>
                <w:rFonts w:ascii="Arial" w:hAnsi="Arial" w:cs="Arial"/>
              </w:rPr>
              <w:t xml:space="preserve">Q= 33m3/s </w:t>
            </w:r>
          </w:p>
          <w:p w14:paraId="2AA78837" w14:textId="77777777" w:rsidR="00BA05F3" w:rsidRPr="00BA05F3" w:rsidRDefault="00BA05F3" w:rsidP="007965F7">
            <w:pPr>
              <w:widowControl w:val="0"/>
              <w:spacing w:after="0" w:line="240" w:lineRule="auto"/>
              <w:rPr>
                <w:rFonts w:ascii="Arial" w:hAnsi="Arial" w:cs="Arial"/>
              </w:rPr>
            </w:pPr>
            <w:r w:rsidRPr="00BA05F3">
              <w:rPr>
                <w:rFonts w:ascii="Arial" w:hAnsi="Arial" w:cs="Arial"/>
              </w:rPr>
              <w:t xml:space="preserve">Nivel de río = </w:t>
            </w:r>
            <w:smartTag w:uri="urn:schemas-microsoft-com:office:smarttags" w:element="metricconverter">
              <w:smartTagPr>
                <w:attr w:name="ProductID" w:val="8,80 m"/>
              </w:smartTagPr>
              <w:r w:rsidRPr="00BA05F3">
                <w:rPr>
                  <w:rFonts w:ascii="Arial" w:hAnsi="Arial" w:cs="Arial"/>
                </w:rPr>
                <w:t>8,80 m</w:t>
              </w:r>
            </w:smartTag>
            <w:r w:rsidRPr="00BA05F3">
              <w:rPr>
                <w:rFonts w:ascii="Arial" w:hAnsi="Arial" w:cs="Arial"/>
              </w:rPr>
              <w:t xml:space="preserve"> OSN</w:t>
            </w:r>
          </w:p>
        </w:tc>
      </w:tr>
      <w:tr w:rsidR="00BA05F3" w:rsidRPr="00BA05F3" w14:paraId="4A40F859" w14:textId="77777777" w:rsidTr="007965F7">
        <w:tc>
          <w:tcPr>
            <w:tcW w:w="1276" w:type="dxa"/>
            <w:vAlign w:val="center"/>
          </w:tcPr>
          <w:p w14:paraId="3896086F" w14:textId="77777777" w:rsidR="00BA05F3" w:rsidRPr="00BA05F3" w:rsidRDefault="00BA05F3" w:rsidP="007965F7">
            <w:pPr>
              <w:widowControl w:val="0"/>
              <w:tabs>
                <w:tab w:val="left" w:pos="1134"/>
              </w:tabs>
              <w:spacing w:after="0" w:line="240" w:lineRule="auto"/>
              <w:rPr>
                <w:rFonts w:ascii="Arial" w:hAnsi="Arial" w:cs="Arial"/>
                <w:b/>
              </w:rPr>
            </w:pPr>
            <w:r w:rsidRPr="00BA05F3">
              <w:rPr>
                <w:rFonts w:ascii="Arial" w:hAnsi="Arial" w:cs="Arial"/>
                <w:b/>
              </w:rPr>
              <w:t>3</w:t>
            </w:r>
          </w:p>
        </w:tc>
        <w:tc>
          <w:tcPr>
            <w:tcW w:w="4678" w:type="dxa"/>
            <w:vAlign w:val="center"/>
          </w:tcPr>
          <w:p w14:paraId="6ECE6D01" w14:textId="77777777" w:rsidR="00BA05F3" w:rsidRPr="00BA05F3" w:rsidRDefault="00BA05F3" w:rsidP="007965F7">
            <w:pPr>
              <w:widowControl w:val="0"/>
              <w:tabs>
                <w:tab w:val="left" w:pos="1134"/>
              </w:tabs>
              <w:spacing w:after="0" w:line="240" w:lineRule="auto"/>
              <w:rPr>
                <w:rFonts w:ascii="Arial" w:hAnsi="Arial" w:cs="Arial"/>
              </w:rPr>
            </w:pPr>
            <w:r w:rsidRPr="00BA05F3">
              <w:rPr>
                <w:rFonts w:ascii="Arial" w:hAnsi="Arial" w:cs="Arial"/>
              </w:rPr>
              <w:t>Detención brusca y simultánea de todos los equipos.</w:t>
            </w:r>
          </w:p>
        </w:tc>
        <w:tc>
          <w:tcPr>
            <w:tcW w:w="2954" w:type="dxa"/>
            <w:vAlign w:val="center"/>
          </w:tcPr>
          <w:p w14:paraId="0038A1AC" w14:textId="77777777" w:rsidR="00BA05F3" w:rsidRPr="00BA05F3" w:rsidRDefault="00BA05F3" w:rsidP="007965F7">
            <w:pPr>
              <w:widowControl w:val="0"/>
              <w:tabs>
                <w:tab w:val="left" w:pos="1134"/>
              </w:tabs>
              <w:spacing w:after="0" w:line="240" w:lineRule="auto"/>
              <w:rPr>
                <w:rFonts w:ascii="Arial" w:hAnsi="Arial" w:cs="Arial"/>
              </w:rPr>
            </w:pPr>
            <w:r w:rsidRPr="00BA05F3">
              <w:rPr>
                <w:rFonts w:ascii="Arial" w:hAnsi="Arial" w:cs="Arial"/>
              </w:rPr>
              <w:t>Q=33 m3/s</w:t>
            </w:r>
          </w:p>
          <w:p w14:paraId="179F02F4" w14:textId="77777777" w:rsidR="00BA05F3" w:rsidRPr="00BA05F3" w:rsidRDefault="00BA05F3" w:rsidP="007965F7">
            <w:pPr>
              <w:widowControl w:val="0"/>
              <w:tabs>
                <w:tab w:val="left" w:pos="1134"/>
              </w:tabs>
              <w:spacing w:after="0" w:line="240" w:lineRule="auto"/>
              <w:rPr>
                <w:rFonts w:ascii="Arial" w:hAnsi="Arial" w:cs="Arial"/>
              </w:rPr>
            </w:pPr>
            <w:r w:rsidRPr="00BA05F3">
              <w:rPr>
                <w:rFonts w:ascii="Arial" w:hAnsi="Arial" w:cs="Arial"/>
              </w:rPr>
              <w:t xml:space="preserve">Nivel de río = </w:t>
            </w:r>
            <w:smartTag w:uri="urn:schemas-microsoft-com:office:smarttags" w:element="metricconverter">
              <w:smartTagPr>
                <w:attr w:name="ProductID" w:val="13,70 m"/>
              </w:smartTagPr>
              <w:r w:rsidRPr="00BA05F3">
                <w:rPr>
                  <w:rFonts w:ascii="Arial" w:hAnsi="Arial" w:cs="Arial"/>
                </w:rPr>
                <w:t>13,70 m</w:t>
              </w:r>
            </w:smartTag>
            <w:r w:rsidRPr="00BA05F3">
              <w:rPr>
                <w:rFonts w:ascii="Arial" w:hAnsi="Arial" w:cs="Arial"/>
              </w:rPr>
              <w:t xml:space="preserve"> OSN</w:t>
            </w:r>
          </w:p>
        </w:tc>
      </w:tr>
      <w:tr w:rsidR="00BA05F3" w:rsidRPr="00BA05F3" w14:paraId="3D93840A" w14:textId="77777777" w:rsidTr="007965F7">
        <w:tc>
          <w:tcPr>
            <w:tcW w:w="1276" w:type="dxa"/>
            <w:vAlign w:val="center"/>
          </w:tcPr>
          <w:p w14:paraId="39844EE6" w14:textId="77777777" w:rsidR="00BA05F3" w:rsidRPr="00BA05F3" w:rsidRDefault="00BA05F3" w:rsidP="007965F7">
            <w:pPr>
              <w:widowControl w:val="0"/>
              <w:tabs>
                <w:tab w:val="left" w:pos="1134"/>
              </w:tabs>
              <w:spacing w:after="0" w:line="240" w:lineRule="auto"/>
              <w:rPr>
                <w:rFonts w:ascii="Arial" w:hAnsi="Arial" w:cs="Arial"/>
                <w:b/>
              </w:rPr>
            </w:pPr>
            <w:r w:rsidRPr="00BA05F3">
              <w:rPr>
                <w:rFonts w:ascii="Arial" w:hAnsi="Arial" w:cs="Arial"/>
                <w:b/>
              </w:rPr>
              <w:t>4</w:t>
            </w:r>
          </w:p>
        </w:tc>
        <w:tc>
          <w:tcPr>
            <w:tcW w:w="4678" w:type="dxa"/>
            <w:vAlign w:val="center"/>
          </w:tcPr>
          <w:p w14:paraId="23D38E12" w14:textId="77777777" w:rsidR="00BA05F3" w:rsidRPr="00BA05F3" w:rsidRDefault="00BA05F3" w:rsidP="007965F7">
            <w:pPr>
              <w:widowControl w:val="0"/>
              <w:tabs>
                <w:tab w:val="left" w:pos="1134"/>
              </w:tabs>
              <w:spacing w:after="0" w:line="240" w:lineRule="auto"/>
              <w:rPr>
                <w:rFonts w:ascii="Arial" w:hAnsi="Arial" w:cs="Arial"/>
              </w:rPr>
            </w:pPr>
            <w:r w:rsidRPr="00BA05F3">
              <w:rPr>
                <w:rFonts w:ascii="Arial" w:hAnsi="Arial" w:cs="Arial"/>
              </w:rPr>
              <w:t>Detención brusca y simultánea de todos los equipos.</w:t>
            </w:r>
          </w:p>
        </w:tc>
        <w:tc>
          <w:tcPr>
            <w:tcW w:w="2954" w:type="dxa"/>
            <w:vAlign w:val="center"/>
          </w:tcPr>
          <w:p w14:paraId="05FE0B14" w14:textId="77777777" w:rsidR="00BA05F3" w:rsidRPr="00BA05F3" w:rsidRDefault="00BA05F3" w:rsidP="007965F7">
            <w:pPr>
              <w:widowControl w:val="0"/>
              <w:spacing w:after="0" w:line="240" w:lineRule="auto"/>
              <w:rPr>
                <w:rFonts w:ascii="Arial" w:hAnsi="Arial" w:cs="Arial"/>
              </w:rPr>
            </w:pPr>
            <w:r w:rsidRPr="00BA05F3">
              <w:rPr>
                <w:rFonts w:ascii="Arial" w:hAnsi="Arial" w:cs="Arial"/>
              </w:rPr>
              <w:t>Q=33m3/s</w:t>
            </w:r>
          </w:p>
          <w:p w14:paraId="7DFBBD21" w14:textId="77777777" w:rsidR="00BA05F3" w:rsidRPr="00BA05F3" w:rsidRDefault="00BA05F3" w:rsidP="007965F7">
            <w:pPr>
              <w:widowControl w:val="0"/>
              <w:spacing w:after="0" w:line="240" w:lineRule="auto"/>
              <w:rPr>
                <w:rFonts w:ascii="Arial" w:hAnsi="Arial" w:cs="Arial"/>
              </w:rPr>
            </w:pPr>
            <w:r w:rsidRPr="00BA05F3">
              <w:rPr>
                <w:rFonts w:ascii="Arial" w:hAnsi="Arial" w:cs="Arial"/>
              </w:rPr>
              <w:t xml:space="preserve">Nivel de río = </w:t>
            </w:r>
            <w:smartTag w:uri="urn:schemas-microsoft-com:office:smarttags" w:element="metricconverter">
              <w:smartTagPr>
                <w:attr w:name="ProductID" w:val="12,30 m"/>
              </w:smartTagPr>
              <w:r w:rsidRPr="00BA05F3">
                <w:rPr>
                  <w:rFonts w:ascii="Arial" w:hAnsi="Arial" w:cs="Arial"/>
                </w:rPr>
                <w:t>12,30 m</w:t>
              </w:r>
            </w:smartTag>
            <w:r w:rsidRPr="00BA05F3">
              <w:rPr>
                <w:rFonts w:ascii="Arial" w:hAnsi="Arial" w:cs="Arial"/>
              </w:rPr>
              <w:t xml:space="preserve"> OSN</w:t>
            </w:r>
          </w:p>
        </w:tc>
      </w:tr>
      <w:tr w:rsidR="00BA05F3" w:rsidRPr="00BA05F3" w14:paraId="5B1B8A04" w14:textId="77777777" w:rsidTr="007965F7">
        <w:tc>
          <w:tcPr>
            <w:tcW w:w="1276" w:type="dxa"/>
            <w:vAlign w:val="center"/>
          </w:tcPr>
          <w:p w14:paraId="5F3D4095" w14:textId="77777777" w:rsidR="00BA05F3" w:rsidRPr="00BA05F3" w:rsidRDefault="00BA05F3" w:rsidP="007965F7">
            <w:pPr>
              <w:widowControl w:val="0"/>
              <w:tabs>
                <w:tab w:val="left" w:pos="1134"/>
              </w:tabs>
              <w:spacing w:after="0" w:line="240" w:lineRule="auto"/>
              <w:rPr>
                <w:rFonts w:ascii="Arial" w:hAnsi="Arial" w:cs="Arial"/>
                <w:b/>
              </w:rPr>
            </w:pPr>
            <w:r w:rsidRPr="00BA05F3">
              <w:rPr>
                <w:rFonts w:ascii="Arial" w:hAnsi="Arial" w:cs="Arial"/>
                <w:b/>
              </w:rPr>
              <w:t>5</w:t>
            </w:r>
          </w:p>
        </w:tc>
        <w:tc>
          <w:tcPr>
            <w:tcW w:w="4678" w:type="dxa"/>
            <w:vAlign w:val="center"/>
          </w:tcPr>
          <w:p w14:paraId="4BE382DF" w14:textId="77777777" w:rsidR="00BA05F3" w:rsidRPr="00BA05F3" w:rsidRDefault="00BA05F3" w:rsidP="007965F7">
            <w:pPr>
              <w:widowControl w:val="0"/>
              <w:tabs>
                <w:tab w:val="left" w:pos="1134"/>
              </w:tabs>
              <w:spacing w:after="0" w:line="240" w:lineRule="auto"/>
              <w:rPr>
                <w:rFonts w:ascii="Arial" w:hAnsi="Arial" w:cs="Arial"/>
              </w:rPr>
            </w:pPr>
            <w:r w:rsidRPr="00BA05F3">
              <w:rPr>
                <w:rFonts w:ascii="Arial" w:hAnsi="Arial" w:cs="Arial"/>
              </w:rPr>
              <w:t>Detención brusca y simultánea de todos los equipos.</w:t>
            </w:r>
          </w:p>
        </w:tc>
        <w:tc>
          <w:tcPr>
            <w:tcW w:w="2954" w:type="dxa"/>
            <w:vAlign w:val="center"/>
          </w:tcPr>
          <w:p w14:paraId="722090AE" w14:textId="77777777" w:rsidR="00BA05F3" w:rsidRPr="00BA05F3" w:rsidRDefault="00BA05F3" w:rsidP="007965F7">
            <w:pPr>
              <w:widowControl w:val="0"/>
              <w:spacing w:after="0" w:line="240" w:lineRule="auto"/>
              <w:rPr>
                <w:rFonts w:ascii="Arial" w:hAnsi="Arial" w:cs="Arial"/>
              </w:rPr>
            </w:pPr>
            <w:r w:rsidRPr="00BA05F3">
              <w:rPr>
                <w:rFonts w:ascii="Arial" w:hAnsi="Arial" w:cs="Arial"/>
              </w:rPr>
              <w:t>Q=33m3/s</w:t>
            </w:r>
          </w:p>
          <w:p w14:paraId="665B6416" w14:textId="77777777" w:rsidR="00BA05F3" w:rsidRPr="00BA05F3" w:rsidRDefault="00BA05F3" w:rsidP="007965F7">
            <w:pPr>
              <w:widowControl w:val="0"/>
              <w:spacing w:after="0" w:line="240" w:lineRule="auto"/>
              <w:rPr>
                <w:rFonts w:ascii="Arial" w:hAnsi="Arial" w:cs="Arial"/>
              </w:rPr>
            </w:pPr>
            <w:r w:rsidRPr="00BA05F3">
              <w:rPr>
                <w:rFonts w:ascii="Arial" w:hAnsi="Arial" w:cs="Arial"/>
              </w:rPr>
              <w:t xml:space="preserve">Nivel de río = </w:t>
            </w:r>
            <w:smartTag w:uri="urn:schemas-microsoft-com:office:smarttags" w:element="metricconverter">
              <w:smartTagPr>
                <w:attr w:name="ProductID" w:val="11,42 m"/>
              </w:smartTagPr>
              <w:r w:rsidRPr="00BA05F3">
                <w:rPr>
                  <w:rFonts w:ascii="Arial" w:hAnsi="Arial" w:cs="Arial"/>
                </w:rPr>
                <w:t>11,42 m</w:t>
              </w:r>
            </w:smartTag>
            <w:r w:rsidRPr="00BA05F3">
              <w:rPr>
                <w:rFonts w:ascii="Arial" w:hAnsi="Arial" w:cs="Arial"/>
              </w:rPr>
              <w:t xml:space="preserve"> OSN</w:t>
            </w:r>
          </w:p>
        </w:tc>
      </w:tr>
      <w:tr w:rsidR="00BA05F3" w:rsidRPr="00BA05F3" w14:paraId="5D529EFC" w14:textId="77777777" w:rsidTr="007965F7">
        <w:tc>
          <w:tcPr>
            <w:tcW w:w="1276" w:type="dxa"/>
            <w:vAlign w:val="center"/>
          </w:tcPr>
          <w:p w14:paraId="4A8A961E" w14:textId="77777777" w:rsidR="00BA05F3" w:rsidRPr="00BA05F3" w:rsidRDefault="00BA05F3" w:rsidP="007965F7">
            <w:pPr>
              <w:widowControl w:val="0"/>
              <w:tabs>
                <w:tab w:val="left" w:pos="1134"/>
              </w:tabs>
              <w:spacing w:after="0" w:line="240" w:lineRule="auto"/>
              <w:rPr>
                <w:rFonts w:ascii="Arial" w:hAnsi="Arial" w:cs="Arial"/>
                <w:b/>
              </w:rPr>
            </w:pPr>
            <w:r w:rsidRPr="00BA05F3">
              <w:rPr>
                <w:rFonts w:ascii="Arial" w:hAnsi="Arial" w:cs="Arial"/>
                <w:b/>
              </w:rPr>
              <w:t>6</w:t>
            </w:r>
          </w:p>
        </w:tc>
        <w:tc>
          <w:tcPr>
            <w:tcW w:w="4678" w:type="dxa"/>
            <w:vAlign w:val="center"/>
          </w:tcPr>
          <w:p w14:paraId="41ADCE7F" w14:textId="77777777" w:rsidR="00BA05F3" w:rsidRPr="00BA05F3" w:rsidRDefault="00BA05F3" w:rsidP="007965F7">
            <w:pPr>
              <w:widowControl w:val="0"/>
              <w:tabs>
                <w:tab w:val="left" w:pos="1134"/>
              </w:tabs>
              <w:spacing w:line="240" w:lineRule="auto"/>
              <w:rPr>
                <w:rFonts w:ascii="Arial" w:hAnsi="Arial" w:cs="Arial"/>
              </w:rPr>
            </w:pPr>
            <w:r w:rsidRPr="00BA05F3">
              <w:rPr>
                <w:rFonts w:ascii="Arial" w:hAnsi="Arial" w:cs="Arial"/>
              </w:rPr>
              <w:t>Arranque última bomba</w:t>
            </w:r>
          </w:p>
        </w:tc>
        <w:tc>
          <w:tcPr>
            <w:tcW w:w="2954" w:type="dxa"/>
            <w:vAlign w:val="center"/>
          </w:tcPr>
          <w:p w14:paraId="43D7B08F" w14:textId="77777777" w:rsidR="00BA05F3" w:rsidRPr="00BA05F3" w:rsidRDefault="00BA05F3" w:rsidP="007965F7">
            <w:pPr>
              <w:widowControl w:val="0"/>
              <w:spacing w:line="240" w:lineRule="auto"/>
              <w:rPr>
                <w:rFonts w:ascii="Arial" w:hAnsi="Arial" w:cs="Arial"/>
              </w:rPr>
            </w:pPr>
            <w:r w:rsidRPr="00BA05F3">
              <w:rPr>
                <w:rFonts w:ascii="Arial" w:hAnsi="Arial" w:cs="Arial"/>
              </w:rPr>
              <w:t>Q = 33 m3/s</w:t>
            </w:r>
          </w:p>
          <w:p w14:paraId="449D304C" w14:textId="77777777" w:rsidR="00BA05F3" w:rsidRPr="00BA05F3" w:rsidRDefault="00BA05F3" w:rsidP="007965F7">
            <w:pPr>
              <w:widowControl w:val="0"/>
              <w:spacing w:line="240" w:lineRule="auto"/>
              <w:rPr>
                <w:rFonts w:ascii="Arial" w:hAnsi="Arial" w:cs="Arial"/>
              </w:rPr>
            </w:pPr>
            <w:r w:rsidRPr="00BA05F3">
              <w:rPr>
                <w:rFonts w:ascii="Arial" w:hAnsi="Arial" w:cs="Arial"/>
              </w:rPr>
              <w:t xml:space="preserve">Nivel de río = </w:t>
            </w:r>
            <w:smartTag w:uri="urn:schemas-microsoft-com:office:smarttags" w:element="metricconverter">
              <w:smartTagPr>
                <w:attr w:name="ProductID" w:val="15 m"/>
              </w:smartTagPr>
              <w:r w:rsidRPr="00BA05F3">
                <w:rPr>
                  <w:rFonts w:ascii="Arial" w:hAnsi="Arial" w:cs="Arial"/>
                </w:rPr>
                <w:t>15 m</w:t>
              </w:r>
            </w:smartTag>
          </w:p>
        </w:tc>
      </w:tr>
    </w:tbl>
    <w:p w14:paraId="45AA1F69" w14:textId="77777777" w:rsidR="00BA05F3" w:rsidRPr="00BA05F3" w:rsidRDefault="00BA05F3" w:rsidP="00BA05F3">
      <w:pPr>
        <w:spacing w:after="0" w:line="360" w:lineRule="auto"/>
        <w:rPr>
          <w:rFonts w:ascii="Arial" w:hAnsi="Arial" w:cs="Arial"/>
          <w:b/>
          <w:caps/>
        </w:rPr>
      </w:pPr>
      <w:r w:rsidRPr="00BA05F3">
        <w:rPr>
          <w:rFonts w:ascii="Arial" w:hAnsi="Arial" w:cs="Arial"/>
        </w:rPr>
        <w:t>Tiempo de detención de las bombas = 10 segundos</w:t>
      </w:r>
    </w:p>
    <w:p w14:paraId="2A83CE45" w14:textId="77777777" w:rsidR="00BA05F3" w:rsidRPr="00BA05F3" w:rsidRDefault="00BA05F3" w:rsidP="00BA05F3">
      <w:pPr>
        <w:spacing w:after="0" w:line="360" w:lineRule="auto"/>
        <w:rPr>
          <w:rFonts w:ascii="Arial" w:hAnsi="Arial" w:cs="Arial"/>
        </w:rPr>
      </w:pPr>
      <w:r w:rsidRPr="00BA05F3">
        <w:rPr>
          <w:rFonts w:ascii="Arial" w:hAnsi="Arial" w:cs="Arial"/>
        </w:rPr>
        <w:t xml:space="preserve">Rugosidad de la cañería (k) = </w:t>
      </w:r>
      <w:smartTag w:uri="urn:schemas-microsoft-com:office:smarttags" w:element="metricconverter">
        <w:smartTagPr>
          <w:attr w:name="ProductID" w:val="0,1 mm"/>
        </w:smartTagPr>
        <w:r w:rsidRPr="00BA05F3">
          <w:rPr>
            <w:rFonts w:ascii="Arial" w:hAnsi="Arial" w:cs="Arial"/>
          </w:rPr>
          <w:t>0,1 mm</w:t>
        </w:r>
      </w:smartTag>
      <w:r w:rsidRPr="00BA05F3">
        <w:rPr>
          <w:rFonts w:ascii="Arial" w:hAnsi="Arial" w:cs="Arial"/>
        </w:rPr>
        <w:t xml:space="preserve"> (para cálculo transitorio)</w:t>
      </w:r>
    </w:p>
    <w:p w14:paraId="1D8CFFB7" w14:textId="77777777" w:rsidR="00BA05F3" w:rsidRPr="00BA05F3" w:rsidRDefault="00BA05F3" w:rsidP="00BA05F3">
      <w:pPr>
        <w:spacing w:after="0" w:line="360" w:lineRule="auto"/>
        <w:rPr>
          <w:rFonts w:ascii="Arial" w:hAnsi="Arial" w:cs="Arial"/>
        </w:rPr>
      </w:pPr>
    </w:p>
    <w:p w14:paraId="453AD05E" w14:textId="77777777" w:rsidR="00BA05F3" w:rsidRPr="00BA05F3" w:rsidRDefault="00BA05F3" w:rsidP="00BA05F3">
      <w:pPr>
        <w:pStyle w:val="Heading4"/>
        <w:numPr>
          <w:ilvl w:val="0"/>
          <w:numId w:val="0"/>
        </w:numPr>
        <w:spacing w:line="360" w:lineRule="auto"/>
        <w:rPr>
          <w:rFonts w:ascii="Arial" w:hAnsi="Arial" w:cs="Arial"/>
        </w:rPr>
      </w:pPr>
      <w:r w:rsidRPr="00BA05F3">
        <w:rPr>
          <w:rFonts w:ascii="Arial" w:hAnsi="Arial" w:cs="Arial"/>
        </w:rPr>
        <w:t>1.9.3.3 Diseño estructural</w:t>
      </w:r>
    </w:p>
    <w:p w14:paraId="7C588B86" w14:textId="77777777" w:rsidR="00BA05F3" w:rsidRPr="00BA05F3" w:rsidRDefault="00BA05F3" w:rsidP="00BA05F3">
      <w:pPr>
        <w:rPr>
          <w:rFonts w:ascii="Arial" w:hAnsi="Arial" w:cs="Arial"/>
        </w:rPr>
      </w:pPr>
    </w:p>
    <w:p w14:paraId="6BED8AAA" w14:textId="77777777" w:rsidR="00BA05F3" w:rsidRPr="00BA05F3" w:rsidRDefault="00BA05F3" w:rsidP="00BA05F3">
      <w:pPr>
        <w:pStyle w:val="Heading5"/>
        <w:numPr>
          <w:ilvl w:val="0"/>
          <w:numId w:val="0"/>
        </w:numPr>
        <w:spacing w:line="360" w:lineRule="auto"/>
        <w:ind w:left="1008" w:hanging="1008"/>
        <w:rPr>
          <w:rFonts w:ascii="Arial" w:hAnsi="Arial" w:cs="Arial"/>
          <w:i/>
        </w:rPr>
      </w:pPr>
      <w:r w:rsidRPr="00BA05F3">
        <w:rPr>
          <w:rFonts w:ascii="Arial" w:hAnsi="Arial" w:cs="Arial"/>
        </w:rPr>
        <w:t>1.9.3.3.1 Normas, reglamentos y recomendaciones de referencia</w:t>
      </w:r>
    </w:p>
    <w:p w14:paraId="12ED86AF" w14:textId="77777777" w:rsidR="00BA05F3" w:rsidRPr="00BA05F3" w:rsidRDefault="00BA05F3" w:rsidP="00BA05F3">
      <w:pPr>
        <w:spacing w:before="240" w:line="360" w:lineRule="auto"/>
        <w:rPr>
          <w:rFonts w:ascii="Arial" w:hAnsi="Arial" w:cs="Arial"/>
        </w:rPr>
      </w:pPr>
      <w:r w:rsidRPr="00BA05F3">
        <w:rPr>
          <w:rFonts w:ascii="Arial" w:hAnsi="Arial" w:cs="Arial"/>
        </w:rPr>
        <w:t>El diseño estructural y toda la documentación de ingeniería de detalle de las obras del conducto deberá realizarse de acuerdo a lo establecido en los Reglamentos CIRSOC e IMPRES – CIRSOC 2005, vigentes para la República Argentina al momento de la firma del Contrato:</w:t>
      </w:r>
    </w:p>
    <w:p w14:paraId="3D54A2D8" w14:textId="77777777" w:rsidR="00BA05F3" w:rsidRPr="00BA05F3" w:rsidRDefault="00BA05F3" w:rsidP="00C4100D">
      <w:pPr>
        <w:pStyle w:val="ListParagraph"/>
        <w:widowControl w:val="0"/>
        <w:numPr>
          <w:ilvl w:val="0"/>
          <w:numId w:val="88"/>
        </w:numPr>
        <w:tabs>
          <w:tab w:val="left" w:pos="0"/>
        </w:tabs>
        <w:spacing w:before="240" w:after="60" w:line="360" w:lineRule="auto"/>
        <w:rPr>
          <w:rFonts w:ascii="Arial" w:hAnsi="Arial" w:cs="Arial"/>
        </w:rPr>
      </w:pPr>
      <w:r w:rsidRPr="00BA05F3">
        <w:rPr>
          <w:rFonts w:ascii="Arial" w:hAnsi="Arial" w:cs="Arial"/>
        </w:rPr>
        <w:t>Reglamento CIRSOC Área 100 – “Acciones sobre las Estructuras”.</w:t>
      </w:r>
    </w:p>
    <w:p w14:paraId="72F805F1" w14:textId="77777777" w:rsidR="00BA05F3" w:rsidRPr="00BA05F3" w:rsidRDefault="00BA05F3" w:rsidP="00C4100D">
      <w:pPr>
        <w:pStyle w:val="ListParagraph"/>
        <w:widowControl w:val="0"/>
        <w:numPr>
          <w:ilvl w:val="0"/>
          <w:numId w:val="88"/>
        </w:numPr>
        <w:tabs>
          <w:tab w:val="left" w:pos="0"/>
        </w:tabs>
        <w:spacing w:before="240" w:after="60" w:line="360" w:lineRule="auto"/>
        <w:rPr>
          <w:rFonts w:ascii="Arial" w:hAnsi="Arial" w:cs="Arial"/>
        </w:rPr>
      </w:pPr>
      <w:r w:rsidRPr="00BA05F3">
        <w:rPr>
          <w:rFonts w:ascii="Arial" w:hAnsi="Arial" w:cs="Arial"/>
        </w:rPr>
        <w:t>Reglamento CIRSOC Área 200 – “Estructuras de Hormigón”.</w:t>
      </w:r>
    </w:p>
    <w:p w14:paraId="3008E7B6" w14:textId="77777777" w:rsidR="00BA05F3" w:rsidRPr="00BA05F3" w:rsidRDefault="00BA05F3" w:rsidP="00C4100D">
      <w:pPr>
        <w:pStyle w:val="ListParagraph"/>
        <w:widowControl w:val="0"/>
        <w:numPr>
          <w:ilvl w:val="0"/>
          <w:numId w:val="88"/>
        </w:numPr>
        <w:tabs>
          <w:tab w:val="left" w:pos="0"/>
        </w:tabs>
        <w:spacing w:before="240" w:after="60" w:line="360" w:lineRule="auto"/>
        <w:rPr>
          <w:rFonts w:ascii="Arial" w:hAnsi="Arial" w:cs="Arial"/>
        </w:rPr>
      </w:pPr>
      <w:r w:rsidRPr="00BA05F3">
        <w:rPr>
          <w:rFonts w:ascii="Arial" w:hAnsi="Arial" w:cs="Arial"/>
        </w:rPr>
        <w:t>Reglamento CIRSOC Área 300 – “Estructuras de Acero”.</w:t>
      </w:r>
    </w:p>
    <w:p w14:paraId="60AE0004" w14:textId="77777777" w:rsidR="00BA05F3" w:rsidRPr="00BA05F3" w:rsidRDefault="00BA05F3" w:rsidP="00C4100D">
      <w:pPr>
        <w:pStyle w:val="ListParagraph"/>
        <w:widowControl w:val="0"/>
        <w:numPr>
          <w:ilvl w:val="0"/>
          <w:numId w:val="88"/>
        </w:numPr>
        <w:tabs>
          <w:tab w:val="left" w:pos="0"/>
        </w:tabs>
        <w:spacing w:before="240" w:after="60" w:line="360" w:lineRule="auto"/>
        <w:rPr>
          <w:rFonts w:ascii="Arial" w:hAnsi="Arial" w:cs="Arial"/>
        </w:rPr>
      </w:pPr>
      <w:r w:rsidRPr="00BA05F3">
        <w:rPr>
          <w:rFonts w:ascii="Arial" w:hAnsi="Arial" w:cs="Arial"/>
        </w:rPr>
        <w:t>Reglamento CIRSOC Área 500 – “Mampostería”</w:t>
      </w:r>
    </w:p>
    <w:p w14:paraId="0E437D90" w14:textId="77777777" w:rsidR="00BA05F3" w:rsidRPr="00BA05F3" w:rsidRDefault="00BA05F3" w:rsidP="00BA05F3">
      <w:pPr>
        <w:pStyle w:val="Heading5"/>
        <w:numPr>
          <w:ilvl w:val="0"/>
          <w:numId w:val="0"/>
        </w:numPr>
        <w:spacing w:line="360" w:lineRule="auto"/>
        <w:ind w:left="1008" w:hanging="1008"/>
        <w:rPr>
          <w:rFonts w:ascii="Arial" w:hAnsi="Arial" w:cs="Arial"/>
          <w:i/>
        </w:rPr>
      </w:pPr>
    </w:p>
    <w:p w14:paraId="4E34A433" w14:textId="77777777" w:rsidR="00BA05F3" w:rsidRPr="00BA05F3" w:rsidRDefault="00BA05F3" w:rsidP="00BA05F3">
      <w:pPr>
        <w:pStyle w:val="Heading5"/>
        <w:numPr>
          <w:ilvl w:val="0"/>
          <w:numId w:val="0"/>
        </w:numPr>
        <w:spacing w:line="360" w:lineRule="auto"/>
        <w:ind w:left="1008" w:hanging="1008"/>
        <w:rPr>
          <w:rFonts w:ascii="Arial" w:hAnsi="Arial" w:cs="Arial"/>
          <w:i/>
        </w:rPr>
      </w:pPr>
      <w:r w:rsidRPr="00BA05F3">
        <w:rPr>
          <w:rFonts w:ascii="Arial" w:hAnsi="Arial" w:cs="Arial"/>
        </w:rPr>
        <w:t>1.9.3.3.2 Hipótesis de carga asumidas para diseño estructural del emisario</w:t>
      </w:r>
    </w:p>
    <w:p w14:paraId="548C1CC8" w14:textId="77777777" w:rsidR="00BA05F3" w:rsidRPr="00BA05F3" w:rsidRDefault="00BA05F3" w:rsidP="00BA05F3">
      <w:pPr>
        <w:spacing w:before="240" w:line="360" w:lineRule="auto"/>
        <w:rPr>
          <w:rFonts w:ascii="Arial" w:hAnsi="Arial" w:cs="Arial"/>
        </w:rPr>
      </w:pPr>
      <w:r w:rsidRPr="00BA05F3">
        <w:rPr>
          <w:rFonts w:ascii="Arial" w:hAnsi="Arial" w:cs="Arial"/>
        </w:rPr>
        <w:t>1. Cargas exteriores:</w:t>
      </w:r>
    </w:p>
    <w:p w14:paraId="1E38FFD9" w14:textId="77777777" w:rsidR="00BA05F3" w:rsidRPr="00BA05F3" w:rsidRDefault="00BA05F3" w:rsidP="00C4100D">
      <w:pPr>
        <w:pStyle w:val="ListParagraph"/>
        <w:widowControl w:val="0"/>
        <w:numPr>
          <w:ilvl w:val="0"/>
          <w:numId w:val="89"/>
        </w:numPr>
        <w:spacing w:after="0" w:line="360" w:lineRule="auto"/>
        <w:contextualSpacing w:val="0"/>
        <w:rPr>
          <w:rFonts w:ascii="Arial" w:hAnsi="Arial" w:cs="Arial"/>
        </w:rPr>
      </w:pPr>
      <w:r w:rsidRPr="00BA05F3">
        <w:rPr>
          <w:rFonts w:ascii="Arial" w:hAnsi="Arial" w:cs="Arial"/>
        </w:rPr>
        <w:t>Carga y empuje de los suelos.</w:t>
      </w:r>
    </w:p>
    <w:p w14:paraId="0BBBDD7C" w14:textId="77777777" w:rsidR="00BA05F3" w:rsidRPr="00BA05F3" w:rsidRDefault="00BA05F3" w:rsidP="00C4100D">
      <w:pPr>
        <w:pStyle w:val="ListParagraph"/>
        <w:widowControl w:val="0"/>
        <w:numPr>
          <w:ilvl w:val="0"/>
          <w:numId w:val="89"/>
        </w:numPr>
        <w:spacing w:after="0" w:line="360" w:lineRule="auto"/>
        <w:contextualSpacing w:val="0"/>
        <w:rPr>
          <w:rFonts w:ascii="Arial" w:hAnsi="Arial" w:cs="Arial"/>
        </w:rPr>
      </w:pPr>
      <w:r w:rsidRPr="00BA05F3">
        <w:rPr>
          <w:rFonts w:ascii="Arial" w:hAnsi="Arial" w:cs="Arial"/>
        </w:rPr>
        <w:t>Presión de la napa freática.</w:t>
      </w:r>
    </w:p>
    <w:p w14:paraId="412C939F" w14:textId="77777777" w:rsidR="00BA05F3" w:rsidRPr="00BA05F3" w:rsidRDefault="00BA05F3" w:rsidP="00C4100D">
      <w:pPr>
        <w:pStyle w:val="ListParagraph"/>
        <w:widowControl w:val="0"/>
        <w:numPr>
          <w:ilvl w:val="0"/>
          <w:numId w:val="89"/>
        </w:numPr>
        <w:spacing w:after="0" w:line="360" w:lineRule="auto"/>
        <w:contextualSpacing w:val="0"/>
        <w:rPr>
          <w:rFonts w:ascii="Arial" w:hAnsi="Arial" w:cs="Arial"/>
        </w:rPr>
      </w:pPr>
      <w:r w:rsidRPr="00BA05F3">
        <w:rPr>
          <w:rFonts w:ascii="Arial" w:hAnsi="Arial" w:cs="Arial"/>
        </w:rPr>
        <w:t>Carga permanente de la estructura (peso propio).</w:t>
      </w:r>
    </w:p>
    <w:p w14:paraId="66280FBA" w14:textId="77777777" w:rsidR="00BA05F3" w:rsidRPr="00BA05F3" w:rsidRDefault="00BA05F3" w:rsidP="00C4100D">
      <w:pPr>
        <w:pStyle w:val="ListParagraph"/>
        <w:widowControl w:val="0"/>
        <w:numPr>
          <w:ilvl w:val="0"/>
          <w:numId w:val="89"/>
        </w:numPr>
        <w:spacing w:after="0" w:line="360" w:lineRule="auto"/>
        <w:contextualSpacing w:val="0"/>
        <w:rPr>
          <w:rFonts w:ascii="Arial" w:hAnsi="Arial" w:cs="Arial"/>
        </w:rPr>
      </w:pPr>
      <w:r w:rsidRPr="00BA05F3">
        <w:rPr>
          <w:rFonts w:ascii="Arial" w:hAnsi="Arial" w:cs="Arial"/>
        </w:rPr>
        <w:t>Sobrecargas de superficie, para el tramo de conducto en la costa (sobrecargas de circulación con un valor mínimo de 10KN/m2 uniformemente distribuida).</w:t>
      </w:r>
    </w:p>
    <w:p w14:paraId="29F05206" w14:textId="77777777" w:rsidR="00BA05F3" w:rsidRPr="00BA05F3" w:rsidRDefault="00BA05F3" w:rsidP="00C4100D">
      <w:pPr>
        <w:pStyle w:val="ListParagraph"/>
        <w:widowControl w:val="0"/>
        <w:numPr>
          <w:ilvl w:val="0"/>
          <w:numId w:val="89"/>
        </w:numPr>
        <w:spacing w:after="0" w:line="360" w:lineRule="auto"/>
        <w:contextualSpacing w:val="0"/>
        <w:rPr>
          <w:rFonts w:ascii="Arial" w:hAnsi="Arial" w:cs="Arial"/>
        </w:rPr>
      </w:pPr>
      <w:r w:rsidRPr="00BA05F3">
        <w:rPr>
          <w:rFonts w:ascii="Arial" w:hAnsi="Arial" w:cs="Arial"/>
        </w:rPr>
        <w:t>Sobrecargas de obra dentro del emisario.</w:t>
      </w:r>
    </w:p>
    <w:p w14:paraId="038788E6" w14:textId="77777777" w:rsidR="00BA05F3" w:rsidRPr="00BA05F3" w:rsidRDefault="00BA05F3" w:rsidP="00C4100D">
      <w:pPr>
        <w:pStyle w:val="ListParagraph"/>
        <w:widowControl w:val="0"/>
        <w:numPr>
          <w:ilvl w:val="0"/>
          <w:numId w:val="89"/>
        </w:numPr>
        <w:spacing w:after="0" w:line="360" w:lineRule="auto"/>
        <w:contextualSpacing w:val="0"/>
        <w:rPr>
          <w:rFonts w:ascii="Arial" w:hAnsi="Arial" w:cs="Arial"/>
        </w:rPr>
      </w:pPr>
      <w:r w:rsidRPr="00BA05F3">
        <w:rPr>
          <w:rFonts w:ascii="Arial" w:hAnsi="Arial" w:cs="Arial"/>
        </w:rPr>
        <w:t>Agua en el emisario.</w:t>
      </w:r>
    </w:p>
    <w:p w14:paraId="019B956F" w14:textId="77777777" w:rsidR="00BA05F3" w:rsidRPr="00BA05F3" w:rsidRDefault="00BA05F3" w:rsidP="00BA05F3">
      <w:pPr>
        <w:pStyle w:val="ListParagraph"/>
        <w:spacing w:line="360" w:lineRule="auto"/>
        <w:ind w:left="360"/>
        <w:rPr>
          <w:rFonts w:ascii="Arial" w:hAnsi="Arial" w:cs="Arial"/>
        </w:rPr>
      </w:pPr>
    </w:p>
    <w:p w14:paraId="48C06771" w14:textId="77777777" w:rsidR="00BA05F3" w:rsidRPr="00BA05F3" w:rsidRDefault="00BA05F3" w:rsidP="00BA05F3">
      <w:pPr>
        <w:spacing w:after="0" w:line="360" w:lineRule="auto"/>
        <w:rPr>
          <w:rFonts w:ascii="Arial" w:hAnsi="Arial" w:cs="Arial"/>
        </w:rPr>
      </w:pPr>
      <w:r w:rsidRPr="00BA05F3">
        <w:rPr>
          <w:rFonts w:ascii="Arial" w:hAnsi="Arial" w:cs="Arial"/>
        </w:rPr>
        <w:t>2. Cargas debidas al proceso constructivo</w:t>
      </w:r>
    </w:p>
    <w:p w14:paraId="184D22A9" w14:textId="77777777" w:rsidR="00BA05F3" w:rsidRPr="00BA05F3" w:rsidRDefault="00BA05F3" w:rsidP="00BA05F3">
      <w:pPr>
        <w:spacing w:before="240" w:line="360" w:lineRule="auto"/>
        <w:rPr>
          <w:rFonts w:ascii="Arial" w:hAnsi="Arial" w:cs="Arial"/>
        </w:rPr>
      </w:pPr>
      <w:r w:rsidRPr="00BA05F3">
        <w:rPr>
          <w:rFonts w:ascii="Arial" w:hAnsi="Arial" w:cs="Arial"/>
        </w:rPr>
        <w:t>3. Sobrecarga por golpe de ariete</w:t>
      </w:r>
    </w:p>
    <w:p w14:paraId="62376CB5" w14:textId="77777777" w:rsidR="00BA05F3" w:rsidRPr="00BA05F3" w:rsidRDefault="00BA05F3" w:rsidP="00BA05F3">
      <w:pPr>
        <w:spacing w:before="240" w:line="360" w:lineRule="auto"/>
        <w:rPr>
          <w:rFonts w:ascii="Arial" w:hAnsi="Arial" w:cs="Arial"/>
        </w:rPr>
      </w:pPr>
      <w:r w:rsidRPr="00BA05F3">
        <w:rPr>
          <w:rFonts w:ascii="Arial" w:hAnsi="Arial" w:cs="Arial"/>
        </w:rPr>
        <w:t>4. Otras cargas:</w:t>
      </w:r>
    </w:p>
    <w:p w14:paraId="03524841" w14:textId="77777777" w:rsidR="00BA05F3" w:rsidRPr="00BA05F3" w:rsidRDefault="00BA05F3" w:rsidP="00C4100D">
      <w:pPr>
        <w:pStyle w:val="ListParagraph"/>
        <w:widowControl w:val="0"/>
        <w:numPr>
          <w:ilvl w:val="0"/>
          <w:numId w:val="90"/>
        </w:numPr>
        <w:spacing w:before="240" w:after="60" w:line="360" w:lineRule="auto"/>
        <w:contextualSpacing w:val="0"/>
        <w:rPr>
          <w:rFonts w:ascii="Arial" w:hAnsi="Arial" w:cs="Arial"/>
        </w:rPr>
      </w:pPr>
      <w:r w:rsidRPr="00BA05F3">
        <w:rPr>
          <w:rFonts w:ascii="Arial" w:hAnsi="Arial" w:cs="Arial"/>
        </w:rPr>
        <w:t xml:space="preserve">Cargas de Sismo: se considerarán acciones sísmicas horizontales, a combinar con los casos de cargas normales, las que se determinarán según el Reglamento CIRSOC 103. </w:t>
      </w:r>
    </w:p>
    <w:p w14:paraId="06AA99B1" w14:textId="77777777" w:rsidR="00BA05F3" w:rsidRPr="00BA05F3" w:rsidRDefault="00BA05F3" w:rsidP="00BA05F3">
      <w:pPr>
        <w:spacing w:before="240" w:line="360" w:lineRule="auto"/>
        <w:rPr>
          <w:rFonts w:ascii="Arial" w:hAnsi="Arial" w:cs="Arial"/>
          <w:u w:val="single"/>
        </w:rPr>
      </w:pPr>
      <w:r w:rsidRPr="00BA05F3">
        <w:rPr>
          <w:rFonts w:ascii="Arial" w:hAnsi="Arial" w:cs="Arial"/>
          <w:u w:val="single"/>
        </w:rPr>
        <w:t>Combinaciones de cargas:</w:t>
      </w:r>
      <w:r w:rsidRPr="00BA05F3">
        <w:rPr>
          <w:rFonts w:ascii="Arial" w:hAnsi="Arial" w:cs="Arial"/>
        </w:rPr>
        <w:t xml:space="preserve"> en todos los casos se superpusieron las acciones individuales para producir los estados más desfavorables (envolventes de solicitaciones) sobre la estructura.</w:t>
      </w:r>
    </w:p>
    <w:p w14:paraId="59D6D7FE" w14:textId="77777777" w:rsidR="00BA05F3" w:rsidRPr="00BA05F3" w:rsidRDefault="00BA05F3" w:rsidP="00BA05F3">
      <w:pPr>
        <w:spacing w:before="240" w:line="360" w:lineRule="auto"/>
        <w:rPr>
          <w:rFonts w:ascii="Arial" w:hAnsi="Arial" w:cs="Arial"/>
          <w:u w:val="single"/>
        </w:rPr>
      </w:pPr>
      <w:r w:rsidRPr="00BA05F3">
        <w:rPr>
          <w:rFonts w:ascii="Arial" w:hAnsi="Arial" w:cs="Arial"/>
          <w:u w:val="single"/>
        </w:rPr>
        <w:t>Dimensionamiento y control de la fisuración:</w:t>
      </w:r>
      <w:r w:rsidRPr="00BA05F3">
        <w:rPr>
          <w:rFonts w:ascii="Arial" w:hAnsi="Arial" w:cs="Arial"/>
        </w:rPr>
        <w:t xml:space="preserve"> en el dimensionamiento de las secciones de hormigón armado se ha teniendo en cuenta la verificación a fisuración, para la que se considerarán los siguientes requerimientos según la combinación de cargas de que se trate:</w:t>
      </w:r>
    </w:p>
    <w:p w14:paraId="2229210E" w14:textId="77777777" w:rsidR="00BA05F3" w:rsidRPr="00BA05F3" w:rsidRDefault="00BA05F3" w:rsidP="00C4100D">
      <w:pPr>
        <w:pStyle w:val="ListParagraph"/>
        <w:widowControl w:val="0"/>
        <w:numPr>
          <w:ilvl w:val="0"/>
          <w:numId w:val="90"/>
        </w:numPr>
        <w:spacing w:before="240" w:after="60" w:line="360" w:lineRule="auto"/>
        <w:contextualSpacing w:val="0"/>
        <w:rPr>
          <w:rFonts w:ascii="Arial" w:hAnsi="Arial" w:cs="Arial"/>
        </w:rPr>
      </w:pPr>
      <w:r w:rsidRPr="00BA05F3">
        <w:rPr>
          <w:rFonts w:ascii="Arial" w:hAnsi="Arial" w:cs="Arial"/>
        </w:rPr>
        <w:t>Cargas Normales: abertura de fisura muy pequeña (“fisuración muy perjudicial”).</w:t>
      </w:r>
    </w:p>
    <w:p w14:paraId="1EE5CEF5" w14:textId="77777777" w:rsidR="00BA05F3" w:rsidRPr="00BA05F3" w:rsidRDefault="00BA05F3" w:rsidP="00C4100D">
      <w:pPr>
        <w:pStyle w:val="ListParagraph"/>
        <w:widowControl w:val="0"/>
        <w:numPr>
          <w:ilvl w:val="0"/>
          <w:numId w:val="90"/>
        </w:numPr>
        <w:spacing w:before="240" w:after="60" w:line="360" w:lineRule="auto"/>
        <w:contextualSpacing w:val="0"/>
        <w:rPr>
          <w:rFonts w:ascii="Arial" w:hAnsi="Arial" w:cs="Arial"/>
        </w:rPr>
      </w:pPr>
      <w:r w:rsidRPr="00BA05F3">
        <w:rPr>
          <w:rFonts w:ascii="Arial" w:hAnsi="Arial" w:cs="Arial"/>
        </w:rPr>
        <w:t>Cargas Temporarias: abertura de fisura pequeña (“fisuración perjudicial”).</w:t>
      </w:r>
    </w:p>
    <w:p w14:paraId="714161AC" w14:textId="77777777" w:rsidR="00BA05F3" w:rsidRPr="00BA05F3" w:rsidRDefault="00BA05F3" w:rsidP="00C4100D">
      <w:pPr>
        <w:pStyle w:val="ListParagraph"/>
        <w:widowControl w:val="0"/>
        <w:numPr>
          <w:ilvl w:val="0"/>
          <w:numId w:val="90"/>
        </w:numPr>
        <w:spacing w:before="240" w:after="60" w:line="360" w:lineRule="auto"/>
        <w:contextualSpacing w:val="0"/>
        <w:rPr>
          <w:rFonts w:ascii="Arial" w:hAnsi="Arial" w:cs="Arial"/>
        </w:rPr>
      </w:pPr>
      <w:r w:rsidRPr="00BA05F3">
        <w:rPr>
          <w:rFonts w:ascii="Arial" w:hAnsi="Arial" w:cs="Arial"/>
        </w:rPr>
        <w:t>Cargas Excepcionales: abertura de fisura normal (“fisuración poco perjudicial”).</w:t>
      </w:r>
    </w:p>
    <w:p w14:paraId="744CE710" w14:textId="77777777" w:rsidR="00BA05F3" w:rsidRPr="00BA05F3" w:rsidRDefault="00BA05F3" w:rsidP="00BA05F3">
      <w:pPr>
        <w:spacing w:before="240" w:line="360" w:lineRule="auto"/>
        <w:rPr>
          <w:rFonts w:ascii="Arial" w:hAnsi="Arial" w:cs="Arial"/>
          <w:u w:val="single"/>
        </w:rPr>
      </w:pPr>
      <w:r w:rsidRPr="00BA05F3">
        <w:rPr>
          <w:rFonts w:ascii="Arial" w:hAnsi="Arial" w:cs="Arial"/>
          <w:u w:val="single"/>
        </w:rPr>
        <w:t>Armaduras mínimas y recubrimientos:</w:t>
      </w:r>
      <w:r w:rsidRPr="00BA05F3">
        <w:rPr>
          <w:rFonts w:ascii="Arial" w:hAnsi="Arial" w:cs="Arial"/>
        </w:rPr>
        <w:t xml:space="preserve"> para el revestimiento inicial de elementos premoldeados de hormigón armado el recubrimiento mínimo de las armaduras será de </w:t>
      </w:r>
      <w:smartTag w:uri="urn:schemas-microsoft-com:office:smarttags" w:element="metricconverter">
        <w:smartTagPr>
          <w:attr w:name="ProductID" w:val="3 cm"/>
        </w:smartTagPr>
        <w:r w:rsidRPr="00BA05F3">
          <w:rPr>
            <w:rFonts w:ascii="Arial" w:hAnsi="Arial" w:cs="Arial"/>
          </w:rPr>
          <w:t>3 cm</w:t>
        </w:r>
      </w:smartTag>
      <w:r w:rsidRPr="00BA05F3">
        <w:rPr>
          <w:rFonts w:ascii="Arial" w:hAnsi="Arial" w:cs="Arial"/>
        </w:rPr>
        <w:t xml:space="preserve"> en todas las caras.</w:t>
      </w:r>
      <w:r w:rsidRPr="00BA05F3">
        <w:rPr>
          <w:rFonts w:ascii="Arial" w:hAnsi="Arial" w:cs="Arial"/>
          <w:u w:val="single"/>
        </w:rPr>
        <w:t xml:space="preserve"> </w:t>
      </w:r>
      <w:r w:rsidRPr="00BA05F3">
        <w:rPr>
          <w:rFonts w:ascii="Arial" w:hAnsi="Arial" w:cs="Arial"/>
        </w:rPr>
        <w:t>Independientemente de los cálculos de diseño, las armaduras a colocar en los elementos premoldeados, fuera de las zonas de refuerzos localizados y anclajes, no podrán ser menores que las siguientes:</w:t>
      </w:r>
    </w:p>
    <w:p w14:paraId="45493A16" w14:textId="77777777" w:rsidR="00BA05F3" w:rsidRPr="00BA05F3" w:rsidRDefault="00BA05F3" w:rsidP="00C4100D">
      <w:pPr>
        <w:pStyle w:val="ListParagraph"/>
        <w:widowControl w:val="0"/>
        <w:numPr>
          <w:ilvl w:val="0"/>
          <w:numId w:val="90"/>
        </w:numPr>
        <w:spacing w:before="240" w:after="60" w:line="360" w:lineRule="auto"/>
        <w:contextualSpacing w:val="0"/>
        <w:rPr>
          <w:rFonts w:ascii="Arial" w:hAnsi="Arial" w:cs="Arial"/>
        </w:rPr>
      </w:pPr>
      <w:r w:rsidRPr="00BA05F3">
        <w:rPr>
          <w:rFonts w:ascii="Arial" w:hAnsi="Arial" w:cs="Arial"/>
        </w:rPr>
        <w:t>Cuatro (4) cm</w:t>
      </w:r>
      <w:r w:rsidRPr="00BA05F3">
        <w:rPr>
          <w:rFonts w:ascii="Arial" w:hAnsi="Arial" w:cs="Arial"/>
          <w:vertAlign w:val="superscript"/>
        </w:rPr>
        <w:t>2</w:t>
      </w:r>
      <w:r w:rsidRPr="00BA05F3">
        <w:rPr>
          <w:rFonts w:ascii="Arial" w:hAnsi="Arial" w:cs="Arial"/>
        </w:rPr>
        <w:t xml:space="preserve"> por metro lineal en cada cara en sentido paralelo al eje del emisario.</w:t>
      </w:r>
    </w:p>
    <w:p w14:paraId="25463FC7" w14:textId="77777777" w:rsidR="00BA05F3" w:rsidRPr="00BA05F3" w:rsidRDefault="00BA05F3" w:rsidP="00C4100D">
      <w:pPr>
        <w:pStyle w:val="ListParagraph"/>
        <w:widowControl w:val="0"/>
        <w:numPr>
          <w:ilvl w:val="0"/>
          <w:numId w:val="90"/>
        </w:numPr>
        <w:spacing w:before="240" w:after="60" w:line="360" w:lineRule="auto"/>
        <w:contextualSpacing w:val="0"/>
        <w:rPr>
          <w:rFonts w:ascii="Arial" w:hAnsi="Arial" w:cs="Arial"/>
        </w:rPr>
      </w:pPr>
      <w:r w:rsidRPr="00BA05F3">
        <w:rPr>
          <w:rFonts w:ascii="Arial" w:hAnsi="Arial" w:cs="Arial"/>
        </w:rPr>
        <w:t>Cinco (5) cm</w:t>
      </w:r>
      <w:r w:rsidRPr="00BA05F3">
        <w:rPr>
          <w:rFonts w:ascii="Arial" w:hAnsi="Arial" w:cs="Arial"/>
          <w:vertAlign w:val="superscript"/>
        </w:rPr>
        <w:t>2</w:t>
      </w:r>
      <w:r w:rsidRPr="00BA05F3">
        <w:rPr>
          <w:rFonts w:ascii="Arial" w:hAnsi="Arial" w:cs="Arial"/>
        </w:rPr>
        <w:t xml:space="preserve"> por metro lineal en cada cara en sentido transversal.</w:t>
      </w:r>
    </w:p>
    <w:p w14:paraId="13096A58" w14:textId="77777777" w:rsidR="00BA05F3" w:rsidRPr="00BA05F3" w:rsidRDefault="00BA05F3" w:rsidP="00BA05F3">
      <w:pPr>
        <w:spacing w:before="240" w:line="360" w:lineRule="auto"/>
        <w:rPr>
          <w:rFonts w:ascii="Arial" w:hAnsi="Arial" w:cs="Arial"/>
        </w:rPr>
      </w:pPr>
      <w:r w:rsidRPr="00BA05F3">
        <w:rPr>
          <w:rFonts w:ascii="Arial" w:hAnsi="Arial" w:cs="Arial"/>
        </w:rPr>
        <w:t xml:space="preserve">Para el revestimiento final el recubrimiento mínimo será de </w:t>
      </w:r>
      <w:smartTag w:uri="urn:schemas-microsoft-com:office:smarttags" w:element="metricconverter">
        <w:smartTagPr>
          <w:attr w:name="ProductID" w:val="3 cm"/>
        </w:smartTagPr>
        <w:r w:rsidRPr="00BA05F3">
          <w:rPr>
            <w:rFonts w:ascii="Arial" w:hAnsi="Arial" w:cs="Arial"/>
          </w:rPr>
          <w:t>3 cm</w:t>
        </w:r>
      </w:smartTag>
      <w:r w:rsidRPr="00BA05F3">
        <w:rPr>
          <w:rFonts w:ascii="Arial" w:hAnsi="Arial" w:cs="Arial"/>
        </w:rPr>
        <w:t xml:space="preserve"> del lado del revestimiento inicial y de </w:t>
      </w:r>
      <w:smartTag w:uri="urn:schemas-microsoft-com:office:smarttags" w:element="metricconverter">
        <w:smartTagPr>
          <w:attr w:name="ProductID" w:val="4,5 cm"/>
        </w:smartTagPr>
        <w:r w:rsidRPr="00BA05F3">
          <w:rPr>
            <w:rFonts w:ascii="Arial" w:hAnsi="Arial" w:cs="Arial"/>
          </w:rPr>
          <w:t>4,5 cm</w:t>
        </w:r>
      </w:smartTag>
      <w:r w:rsidRPr="00BA05F3">
        <w:rPr>
          <w:rFonts w:ascii="Arial" w:hAnsi="Arial" w:cs="Arial"/>
        </w:rPr>
        <w:t xml:space="preserve"> del lado interior del emisario. El revestimiento final deberá tener un mínimo de 3 cm</w:t>
      </w:r>
      <w:r w:rsidRPr="00BA05F3">
        <w:rPr>
          <w:rFonts w:ascii="Arial" w:hAnsi="Arial" w:cs="Arial"/>
          <w:vertAlign w:val="superscript"/>
        </w:rPr>
        <w:t>2</w:t>
      </w:r>
      <w:r w:rsidRPr="00BA05F3">
        <w:rPr>
          <w:rFonts w:ascii="Arial" w:hAnsi="Arial" w:cs="Arial"/>
        </w:rPr>
        <w:t xml:space="preserve"> de armaduras tipo adn – 420 por metro lineal en cada sentido.</w:t>
      </w:r>
    </w:p>
    <w:p w14:paraId="6B417C85" w14:textId="77777777" w:rsidR="00BA05F3" w:rsidRPr="00BA05F3" w:rsidRDefault="00BA05F3" w:rsidP="00BA05F3">
      <w:pPr>
        <w:rPr>
          <w:rFonts w:ascii="Arial" w:hAnsi="Arial" w:cs="Arial"/>
        </w:rPr>
      </w:pPr>
    </w:p>
    <w:p w14:paraId="4A52F041" w14:textId="77777777" w:rsidR="00BA05F3" w:rsidRPr="00BA05F3" w:rsidRDefault="00BA05F3" w:rsidP="00BA05F3">
      <w:pPr>
        <w:pStyle w:val="Heading1"/>
        <w:spacing w:line="360" w:lineRule="auto"/>
        <w:ind w:hanging="432"/>
      </w:pPr>
      <w:bookmarkStart w:id="1193" w:name="_Toc483227468"/>
      <w:bookmarkStart w:id="1194" w:name="_Toc484985221"/>
      <w:bookmarkStart w:id="1195" w:name="_Toc485027106"/>
      <w:bookmarkStart w:id="1196" w:name="_Toc485200288"/>
      <w:r w:rsidRPr="00BA05F3">
        <w:t>2 Estación de bombeo</w:t>
      </w:r>
      <w:bookmarkEnd w:id="1193"/>
      <w:bookmarkEnd w:id="1194"/>
      <w:bookmarkEnd w:id="1195"/>
      <w:bookmarkEnd w:id="1196"/>
    </w:p>
    <w:p w14:paraId="6AD7C3DA" w14:textId="77777777" w:rsidR="00BA05F3" w:rsidRPr="00BA05F3" w:rsidRDefault="00BA05F3" w:rsidP="002B0107">
      <w:pPr>
        <w:pStyle w:val="Heading2"/>
        <w:numPr>
          <w:ilvl w:val="0"/>
          <w:numId w:val="0"/>
        </w:numPr>
        <w:ind w:left="576"/>
      </w:pPr>
      <w:bookmarkStart w:id="1197" w:name="_Toc483227469"/>
      <w:bookmarkStart w:id="1198" w:name="_Toc484985222"/>
      <w:bookmarkStart w:id="1199" w:name="_Toc485027107"/>
      <w:bookmarkStart w:id="1200" w:name="_Toc485200289"/>
      <w:r w:rsidRPr="00BA05F3">
        <w:t>2.1 Descripción general del proyecto de la estación de bombeo de salida</w:t>
      </w:r>
      <w:bookmarkEnd w:id="1197"/>
      <w:bookmarkEnd w:id="1198"/>
      <w:bookmarkEnd w:id="1199"/>
      <w:bookmarkEnd w:id="1200"/>
    </w:p>
    <w:p w14:paraId="72818504" w14:textId="77777777" w:rsidR="00BA05F3" w:rsidRPr="00BA05F3" w:rsidRDefault="00BA05F3" w:rsidP="00BA05F3">
      <w:pPr>
        <w:spacing w:before="240" w:line="360" w:lineRule="auto"/>
        <w:rPr>
          <w:rFonts w:ascii="Arial" w:hAnsi="Arial" w:cs="Arial"/>
        </w:rPr>
      </w:pPr>
      <w:r w:rsidRPr="00BA05F3">
        <w:rPr>
          <w:rFonts w:ascii="Arial" w:hAnsi="Arial" w:cs="Arial"/>
        </w:rPr>
        <w:t>Las aguas servidas interceptadas a partir de las obras actuales de descarga serán tratadas en planta depuradora y posteriormente vertidas al Río de la Plata mediante el bombeo de la Estación de Bombeo de Salida hacia el nuevo emisario a construir de 4,40m de diámetro  y una longitud de 7500m.</w:t>
      </w:r>
    </w:p>
    <w:p w14:paraId="6DD8F059" w14:textId="77777777" w:rsidR="00BA05F3" w:rsidRPr="00BA05F3" w:rsidRDefault="00BA05F3" w:rsidP="00BA05F3">
      <w:pPr>
        <w:spacing w:before="240" w:line="360" w:lineRule="auto"/>
        <w:rPr>
          <w:rFonts w:ascii="Arial" w:hAnsi="Arial" w:cs="Arial"/>
        </w:rPr>
      </w:pPr>
      <w:r w:rsidRPr="00BA05F3">
        <w:rPr>
          <w:rFonts w:ascii="Arial" w:hAnsi="Arial" w:cs="Arial"/>
        </w:rPr>
        <w:t>Las instalaciones depuradoras se ubican en el sector noreste del terreno de la Planta Del Bicentenario. La Estación de Bombeo de Salida ocupará un extremo del predio de modo de dejar el mayor espacio posible disponible para futuras obras complementarias del tratamiento.</w:t>
      </w:r>
    </w:p>
    <w:p w14:paraId="368976F3" w14:textId="77777777" w:rsidR="00BA05F3" w:rsidRPr="00BA05F3" w:rsidRDefault="00BA05F3" w:rsidP="00BA05F3">
      <w:pPr>
        <w:spacing w:before="240" w:line="360" w:lineRule="auto"/>
        <w:rPr>
          <w:rFonts w:ascii="Arial" w:hAnsi="Arial" w:cs="Arial"/>
        </w:rPr>
      </w:pPr>
      <w:r w:rsidRPr="00BA05F3">
        <w:rPr>
          <w:rFonts w:ascii="Arial" w:hAnsi="Arial" w:cs="Arial"/>
        </w:rPr>
        <w:t>El diseño de la estación de bombeo contará con 10 (diez) bombas centrifugas para trabajar en cámara seca en posición vertical aptas para líquido cloacal. El régimen de funcionamiento máximo será de 8 (ocho) en servicio y 2 (dos) en reserva. En el sistema adoptado las bombas se instalan en línea y cada bomba es alimentada por orificios desde el canal de alimentación de agua tratada</w:t>
      </w:r>
    </w:p>
    <w:p w14:paraId="52A5226A" w14:textId="77777777" w:rsidR="00BA05F3" w:rsidRPr="00BA05F3" w:rsidRDefault="00BA05F3" w:rsidP="00BA05F3">
      <w:pPr>
        <w:spacing w:before="240" w:line="360" w:lineRule="auto"/>
        <w:rPr>
          <w:rFonts w:ascii="Arial" w:hAnsi="Arial" w:cs="Arial"/>
        </w:rPr>
      </w:pPr>
      <w:r w:rsidRPr="00BA05F3">
        <w:rPr>
          <w:rFonts w:ascii="Arial" w:hAnsi="Arial" w:cs="Arial"/>
        </w:rPr>
        <w:t>Las mencionadas bombas son accionadas por motores eléctricos de media tensión cada una con variadores de velocidad. La cota de fundación de motores estará a cota 17,40mOSN y la de bombas estará a cota 11,70mOSN, a tal efecto se proveerá e instalará un sistema de eje de transmisión mediante acoplamientos.</w:t>
      </w:r>
    </w:p>
    <w:p w14:paraId="24262A0E" w14:textId="77777777" w:rsidR="00BA05F3" w:rsidRPr="00BA05F3" w:rsidRDefault="00BA05F3" w:rsidP="00BA05F3">
      <w:pPr>
        <w:spacing w:before="240" w:line="360" w:lineRule="auto"/>
        <w:rPr>
          <w:rFonts w:ascii="Arial" w:hAnsi="Arial" w:cs="Arial"/>
        </w:rPr>
      </w:pPr>
    </w:p>
    <w:p w14:paraId="672823FD" w14:textId="77777777" w:rsidR="00BA05F3" w:rsidRPr="00BA05F3" w:rsidRDefault="00BA05F3" w:rsidP="002B0107">
      <w:pPr>
        <w:pStyle w:val="Heading2"/>
        <w:numPr>
          <w:ilvl w:val="0"/>
          <w:numId w:val="0"/>
        </w:numPr>
        <w:ind w:left="576"/>
      </w:pPr>
      <w:bookmarkStart w:id="1201" w:name="_Toc483227470"/>
      <w:bookmarkStart w:id="1202" w:name="_Toc484985223"/>
      <w:bookmarkStart w:id="1203" w:name="_Toc485027108"/>
      <w:bookmarkStart w:id="1204" w:name="_Toc485200290"/>
      <w:r w:rsidRPr="00BA05F3">
        <w:t>2.2  Lay-out de la estación de bombeo de salida</w:t>
      </w:r>
      <w:bookmarkEnd w:id="1201"/>
      <w:bookmarkEnd w:id="1202"/>
      <w:bookmarkEnd w:id="1203"/>
      <w:bookmarkEnd w:id="1204"/>
    </w:p>
    <w:p w14:paraId="09F99700" w14:textId="77777777" w:rsidR="00BA05F3" w:rsidRPr="00BA05F3" w:rsidRDefault="00BA05F3" w:rsidP="00BA05F3">
      <w:pPr>
        <w:spacing w:before="240" w:line="360" w:lineRule="auto"/>
        <w:rPr>
          <w:rFonts w:ascii="Arial" w:hAnsi="Arial" w:cs="Arial"/>
        </w:rPr>
      </w:pPr>
      <w:r w:rsidRPr="00BA05F3">
        <w:rPr>
          <w:rFonts w:ascii="Arial" w:hAnsi="Arial" w:cs="Arial"/>
        </w:rPr>
        <w:t>El Lay-out de la estación presenta un conducto de alimentación denominado conducto de llegada de líquido pretratado, de sección variable, con dimensiones máximas en el arranque de 6,00m de ancho por 4,15m de altura. De este conducto, donde el líquido se encuentra a presión, se abastece al canal de alimentación de las bombas mediante aberturas de forma rectangular. El canal de aspiración de las bombas estará divido en 10 compartimientos (uno por cada bomba) y cada uno de estos es alimentado desde el conducto de llegada mediante 2 orificios de 1m de altura x 2,35m de ancho. En cada compartimiento se construirá una pantalla de aquietamiento con cota superior 12,30m OSN y se instalarán ataguías en la aspiración de cada bomba para realizar mantenimiento a las mismas.</w:t>
      </w:r>
    </w:p>
    <w:p w14:paraId="472298AA" w14:textId="77777777" w:rsidR="00BA05F3" w:rsidRPr="00BA05F3" w:rsidRDefault="00BA05F3" w:rsidP="00BA05F3">
      <w:pPr>
        <w:spacing w:before="240" w:line="360" w:lineRule="auto"/>
        <w:rPr>
          <w:rFonts w:ascii="Arial" w:hAnsi="Arial" w:cs="Arial"/>
        </w:rPr>
      </w:pPr>
      <w:r w:rsidRPr="00BA05F3">
        <w:rPr>
          <w:rFonts w:ascii="Arial" w:hAnsi="Arial" w:cs="Arial"/>
        </w:rPr>
        <w:t>A la descarga de las bombas se instalará una válvula de retención con amortiguación para el cierre, caudalímetro y válvula esclusa extrachata  y cuya salida, se vinculará con el emisario a través de una Chimenea de Equilibrio, la cual forma parte del contrato del emisario.</w:t>
      </w:r>
    </w:p>
    <w:p w14:paraId="15479E68" w14:textId="77777777" w:rsidR="00BA05F3" w:rsidRPr="00BA05F3" w:rsidRDefault="00BA05F3" w:rsidP="00BA05F3">
      <w:pPr>
        <w:spacing w:before="240" w:line="360" w:lineRule="auto"/>
        <w:rPr>
          <w:rFonts w:ascii="Arial" w:hAnsi="Arial" w:cs="Arial"/>
        </w:rPr>
      </w:pPr>
    </w:p>
    <w:p w14:paraId="7794BDCA" w14:textId="77777777" w:rsidR="00BA05F3" w:rsidRPr="00BA05F3" w:rsidRDefault="00BA05F3" w:rsidP="002B0107">
      <w:pPr>
        <w:pStyle w:val="Heading2"/>
        <w:numPr>
          <w:ilvl w:val="0"/>
          <w:numId w:val="0"/>
        </w:numPr>
        <w:ind w:left="576"/>
      </w:pPr>
      <w:bookmarkStart w:id="1205" w:name="_Toc483227471"/>
      <w:bookmarkStart w:id="1206" w:name="_Toc484985224"/>
      <w:bookmarkStart w:id="1207" w:name="_Toc485027109"/>
      <w:bookmarkStart w:id="1208" w:name="_Toc485200291"/>
      <w:r w:rsidRPr="00BA05F3">
        <w:t>2.3 Edificio estación de bombeo de salida</w:t>
      </w:r>
      <w:bookmarkEnd w:id="1205"/>
      <w:bookmarkEnd w:id="1206"/>
      <w:bookmarkEnd w:id="1207"/>
      <w:bookmarkEnd w:id="1208"/>
    </w:p>
    <w:p w14:paraId="2041EF90" w14:textId="77777777" w:rsidR="00BA05F3" w:rsidRPr="00BA05F3" w:rsidRDefault="00BA05F3" w:rsidP="00BA05F3">
      <w:pPr>
        <w:spacing w:before="240" w:line="360" w:lineRule="auto"/>
        <w:rPr>
          <w:rFonts w:ascii="Arial" w:hAnsi="Arial" w:cs="Arial"/>
        </w:rPr>
      </w:pPr>
      <w:r w:rsidRPr="00BA05F3">
        <w:rPr>
          <w:rFonts w:ascii="Arial" w:hAnsi="Arial" w:cs="Arial"/>
        </w:rPr>
        <w:t>El edificio de la estación de bombeo se desarrolla en dos plantas, con un entrepiso técnico de pasaje de cables y la cámara de aspiración ubicada en forma parcial por debajo de las bombas.</w:t>
      </w:r>
    </w:p>
    <w:p w14:paraId="1C90207C" w14:textId="77777777" w:rsidR="00BA05F3" w:rsidRPr="00BA05F3" w:rsidRDefault="00BA05F3" w:rsidP="00BA05F3">
      <w:pPr>
        <w:spacing w:before="240" w:line="360" w:lineRule="auto"/>
        <w:rPr>
          <w:rFonts w:ascii="Arial" w:hAnsi="Arial" w:cs="Arial"/>
        </w:rPr>
      </w:pPr>
      <w:r w:rsidRPr="00BA05F3">
        <w:rPr>
          <w:rFonts w:ascii="Arial" w:hAnsi="Arial" w:cs="Arial"/>
        </w:rPr>
        <w:t>El edificio contiene por debajo del terreno natural a la sala de bombas y por sobre el mismo se ubica el local de motores, y los locales de equipos eléctricos (tableros, variadores y transformadores). Por debajo de estos locales corre un entrepiso técnico por donde se canalizan todo el cableado eléctrico y de instrumentación y contiene los equipos y cañerías de ventilación forzada.</w:t>
      </w:r>
    </w:p>
    <w:p w14:paraId="603AFF39" w14:textId="77777777" w:rsidR="00BA05F3" w:rsidRPr="00BA05F3" w:rsidRDefault="00BA05F3" w:rsidP="00BA05F3">
      <w:pPr>
        <w:spacing w:before="240" w:line="360" w:lineRule="auto"/>
        <w:rPr>
          <w:rFonts w:ascii="Arial" w:hAnsi="Arial" w:cs="Arial"/>
        </w:rPr>
      </w:pPr>
    </w:p>
    <w:p w14:paraId="525E272A" w14:textId="77777777" w:rsidR="00BA05F3" w:rsidRPr="00BA05F3" w:rsidRDefault="00BA05F3" w:rsidP="002B0107">
      <w:pPr>
        <w:pStyle w:val="Heading2"/>
        <w:numPr>
          <w:ilvl w:val="0"/>
          <w:numId w:val="0"/>
        </w:numPr>
        <w:ind w:left="576"/>
      </w:pPr>
      <w:bookmarkStart w:id="1209" w:name="_Toc483227472"/>
      <w:bookmarkStart w:id="1210" w:name="_Toc484985225"/>
      <w:bookmarkStart w:id="1211" w:name="_Toc485027110"/>
      <w:bookmarkStart w:id="1212" w:name="_Toc485200292"/>
      <w:r w:rsidRPr="00BA05F3">
        <w:t>2.4 Conducto de vinculación</w:t>
      </w:r>
      <w:bookmarkEnd w:id="1209"/>
      <w:bookmarkEnd w:id="1210"/>
      <w:bookmarkEnd w:id="1211"/>
      <w:bookmarkEnd w:id="1212"/>
    </w:p>
    <w:p w14:paraId="011160F6" w14:textId="77777777" w:rsidR="00BA05F3" w:rsidRPr="00BA05F3" w:rsidRDefault="00BA05F3" w:rsidP="00BA05F3">
      <w:pPr>
        <w:spacing w:before="240" w:line="360" w:lineRule="auto"/>
        <w:rPr>
          <w:rFonts w:ascii="Arial" w:hAnsi="Arial" w:cs="Arial"/>
        </w:rPr>
      </w:pPr>
      <w:r w:rsidRPr="00BA05F3">
        <w:rPr>
          <w:rFonts w:ascii="Arial" w:hAnsi="Arial" w:cs="Arial"/>
        </w:rPr>
        <w:t>La vinculación entre la Estación de Bombeo y el Emisario se produce a través del conducto de descarga de las bombas, chimenea de equilibrio y de las cámaras de carga.</w:t>
      </w:r>
    </w:p>
    <w:p w14:paraId="12C163A9" w14:textId="77777777" w:rsidR="00BA05F3" w:rsidRPr="00BA05F3" w:rsidRDefault="00BA05F3" w:rsidP="00BA05F3">
      <w:pPr>
        <w:spacing w:before="240" w:line="360" w:lineRule="auto"/>
        <w:rPr>
          <w:rFonts w:ascii="Arial" w:hAnsi="Arial" w:cs="Arial"/>
        </w:rPr>
      </w:pPr>
      <w:r w:rsidRPr="00BA05F3">
        <w:rPr>
          <w:rFonts w:ascii="Arial" w:hAnsi="Arial" w:cs="Arial"/>
        </w:rPr>
        <w:t>La impulsión de cada bomba descargará en el conducto de descarga al emisario que tiene dimensiones variable y tendrá como máximo 8m de ancho por 3,20m de altura. La vinculación entre este conducto y la chimenea de equilibrio se realiza mediante un  vertedero fijo con cota de umbral 15,00mOSN.</w:t>
      </w:r>
    </w:p>
    <w:p w14:paraId="2018F6E8" w14:textId="77777777" w:rsidR="00BA05F3" w:rsidRPr="00BA05F3" w:rsidRDefault="00BA05F3" w:rsidP="00BA05F3">
      <w:pPr>
        <w:spacing w:before="240" w:line="360" w:lineRule="auto"/>
        <w:rPr>
          <w:rFonts w:ascii="Arial" w:hAnsi="Arial" w:cs="Arial"/>
        </w:rPr>
      </w:pPr>
      <w:r w:rsidRPr="00BA05F3">
        <w:rPr>
          <w:rFonts w:ascii="Arial" w:hAnsi="Arial" w:cs="Arial"/>
        </w:rPr>
        <w:t>La ejecución de este conducto y vertedero fijo se ha previsto en hormigón armado.</w:t>
      </w:r>
    </w:p>
    <w:p w14:paraId="78C4DD36" w14:textId="77777777" w:rsidR="00BA05F3" w:rsidRPr="00BA05F3" w:rsidRDefault="00BA05F3" w:rsidP="00BA05F3">
      <w:pPr>
        <w:spacing w:before="240" w:line="360" w:lineRule="auto"/>
        <w:rPr>
          <w:rFonts w:ascii="Arial" w:hAnsi="Arial" w:cs="Arial"/>
          <w:b/>
        </w:rPr>
      </w:pPr>
    </w:p>
    <w:p w14:paraId="33674848" w14:textId="77777777" w:rsidR="00BA05F3" w:rsidRPr="00BA05F3" w:rsidRDefault="00BA05F3" w:rsidP="002B0107">
      <w:pPr>
        <w:pStyle w:val="Heading2"/>
        <w:numPr>
          <w:ilvl w:val="0"/>
          <w:numId w:val="0"/>
        </w:numPr>
        <w:ind w:left="576"/>
      </w:pPr>
      <w:bookmarkStart w:id="1213" w:name="_Toc483227473"/>
      <w:bookmarkStart w:id="1214" w:name="_Toc484985226"/>
      <w:bookmarkStart w:id="1215" w:name="_Toc485027111"/>
      <w:bookmarkStart w:id="1216" w:name="_Toc485200293"/>
      <w:r w:rsidRPr="00BA05F3">
        <w:t>2.5 Criterios de diseño de los equipos de bombeo</w:t>
      </w:r>
      <w:bookmarkEnd w:id="1213"/>
      <w:bookmarkEnd w:id="1214"/>
      <w:bookmarkEnd w:id="1215"/>
      <w:bookmarkEnd w:id="1216"/>
      <w:r w:rsidRPr="00BA05F3">
        <w:t xml:space="preserve"> </w:t>
      </w:r>
    </w:p>
    <w:p w14:paraId="1C4CC45B" w14:textId="77777777" w:rsidR="00BA05F3" w:rsidRPr="00BA05F3" w:rsidRDefault="00BA05F3" w:rsidP="00BA05F3">
      <w:pPr>
        <w:spacing w:before="240" w:line="360" w:lineRule="auto"/>
        <w:rPr>
          <w:rFonts w:ascii="Arial" w:hAnsi="Arial" w:cs="Arial"/>
        </w:rPr>
      </w:pPr>
      <w:r w:rsidRPr="00BA05F3">
        <w:rPr>
          <w:rFonts w:ascii="Arial" w:hAnsi="Arial" w:cs="Arial"/>
        </w:rPr>
        <w:t xml:space="preserve">Se instalarán diez electrobombas de tipo centrifugas semiaxial de flujo mixto vertical en la cámara seca, aptas para servicio pesado de líquido cloacal y capaces de manipular sólidos de hasta </w:t>
      </w:r>
      <w:smartTag w:uri="urn:schemas-microsoft-com:office:smarttags" w:element="metricconverter">
        <w:smartTagPr>
          <w:attr w:name="ProductID" w:val="250 mm"/>
        </w:smartTagPr>
        <w:r w:rsidRPr="00BA05F3">
          <w:rPr>
            <w:rFonts w:ascii="Arial" w:hAnsi="Arial" w:cs="Arial"/>
          </w:rPr>
          <w:t>250 mm</w:t>
        </w:r>
      </w:smartTag>
      <w:r w:rsidRPr="00BA05F3">
        <w:rPr>
          <w:rFonts w:ascii="Arial" w:hAnsi="Arial" w:cs="Arial"/>
        </w:rPr>
        <w:t xml:space="preserve">. Cada bomba tendrá una capacidad de 4,2 m3/seg, una altura manométrica total de </w:t>
      </w:r>
      <w:smartTag w:uri="urn:schemas-microsoft-com:office:smarttags" w:element="metricconverter">
        <w:smartTagPr>
          <w:attr w:name="ProductID" w:val="14,00 m"/>
        </w:smartTagPr>
        <w:r w:rsidRPr="00BA05F3">
          <w:rPr>
            <w:rFonts w:ascii="Arial" w:hAnsi="Arial" w:cs="Arial"/>
          </w:rPr>
          <w:t>14,00 m</w:t>
        </w:r>
      </w:smartTag>
      <w:r w:rsidRPr="00BA05F3">
        <w:rPr>
          <w:rFonts w:ascii="Arial" w:hAnsi="Arial" w:cs="Arial"/>
        </w:rPr>
        <w:t xml:space="preserve"> trabajando a su velocidad nominal o reducida a los efectos de obtener mayor rendimiento. El caudal pico se fija en 33,5 m3/seg y este punto de funcionamiento deberá ser cubierto con 8 bombas como máximo.  </w:t>
      </w:r>
    </w:p>
    <w:p w14:paraId="48159480" w14:textId="77777777" w:rsidR="00BA05F3" w:rsidRPr="00BA05F3" w:rsidRDefault="00BA05F3" w:rsidP="00BA05F3">
      <w:pPr>
        <w:spacing w:before="240" w:line="360" w:lineRule="auto"/>
        <w:rPr>
          <w:rFonts w:ascii="Arial" w:hAnsi="Arial" w:cs="Arial"/>
        </w:rPr>
      </w:pPr>
      <w:r w:rsidRPr="00BA05F3">
        <w:rPr>
          <w:rFonts w:ascii="Arial" w:hAnsi="Arial" w:cs="Arial"/>
        </w:rPr>
        <w:t xml:space="preserve">Condiciones de instalación: </w:t>
      </w:r>
    </w:p>
    <w:p w14:paraId="7EEECA3D" w14:textId="77777777" w:rsidR="00BA05F3" w:rsidRPr="00BA05F3" w:rsidRDefault="00BA05F3" w:rsidP="00C4100D">
      <w:pPr>
        <w:pStyle w:val="ListParagraph"/>
        <w:numPr>
          <w:ilvl w:val="0"/>
          <w:numId w:val="91"/>
        </w:numPr>
        <w:spacing w:before="240" w:after="60" w:line="360" w:lineRule="auto"/>
        <w:rPr>
          <w:rFonts w:ascii="Arial" w:hAnsi="Arial" w:cs="Arial"/>
        </w:rPr>
      </w:pPr>
      <w:r w:rsidRPr="00BA05F3">
        <w:rPr>
          <w:rFonts w:ascii="Arial" w:hAnsi="Arial" w:cs="Arial"/>
        </w:rPr>
        <w:t>Nivel mínimo cámara de aspiración: 13,50mOSN</w:t>
      </w:r>
    </w:p>
    <w:p w14:paraId="29D17AE6" w14:textId="77777777" w:rsidR="00BA05F3" w:rsidRPr="00BA05F3" w:rsidRDefault="00BA05F3" w:rsidP="00C4100D">
      <w:pPr>
        <w:pStyle w:val="ListParagraph"/>
        <w:numPr>
          <w:ilvl w:val="0"/>
          <w:numId w:val="91"/>
        </w:numPr>
        <w:spacing w:before="240" w:after="60" w:line="360" w:lineRule="auto"/>
        <w:rPr>
          <w:rFonts w:ascii="Arial" w:hAnsi="Arial" w:cs="Arial"/>
        </w:rPr>
      </w:pPr>
      <w:r w:rsidRPr="00BA05F3">
        <w:rPr>
          <w:rFonts w:ascii="Arial" w:hAnsi="Arial" w:cs="Arial"/>
        </w:rPr>
        <w:t>Nivel máximo cámara de aspiración: 16,50mOSN</w:t>
      </w:r>
    </w:p>
    <w:p w14:paraId="6464A364" w14:textId="77777777" w:rsidR="00BA05F3" w:rsidRPr="00BA05F3" w:rsidRDefault="00BA05F3" w:rsidP="00C4100D">
      <w:pPr>
        <w:pStyle w:val="ListParagraph"/>
        <w:numPr>
          <w:ilvl w:val="0"/>
          <w:numId w:val="91"/>
        </w:numPr>
        <w:spacing w:before="240" w:after="60" w:line="360" w:lineRule="auto"/>
        <w:rPr>
          <w:rFonts w:ascii="Arial" w:hAnsi="Arial" w:cs="Arial"/>
        </w:rPr>
      </w:pPr>
      <w:r w:rsidRPr="00BA05F3">
        <w:rPr>
          <w:rFonts w:ascii="Arial" w:hAnsi="Arial" w:cs="Arial"/>
        </w:rPr>
        <w:t>Nivel medio Cámara aspiración: 15,90mOSN</w:t>
      </w:r>
    </w:p>
    <w:p w14:paraId="03DD2B5E" w14:textId="77777777" w:rsidR="00BA05F3" w:rsidRPr="00BA05F3" w:rsidRDefault="00BA05F3" w:rsidP="00C4100D">
      <w:pPr>
        <w:pStyle w:val="ListParagraph"/>
        <w:numPr>
          <w:ilvl w:val="0"/>
          <w:numId w:val="91"/>
        </w:numPr>
        <w:spacing w:before="240" w:after="60" w:line="360" w:lineRule="auto"/>
        <w:rPr>
          <w:rFonts w:ascii="Arial" w:hAnsi="Arial" w:cs="Arial"/>
        </w:rPr>
      </w:pPr>
      <w:r w:rsidRPr="00BA05F3">
        <w:rPr>
          <w:rFonts w:ascii="Arial" w:hAnsi="Arial" w:cs="Arial"/>
        </w:rPr>
        <w:t>Cota placa base bomba: 12,00mOSN</w:t>
      </w:r>
    </w:p>
    <w:p w14:paraId="56D5682C" w14:textId="77777777" w:rsidR="00BA05F3" w:rsidRPr="00BA05F3" w:rsidRDefault="00BA05F3" w:rsidP="00C4100D">
      <w:pPr>
        <w:pStyle w:val="ListParagraph"/>
        <w:numPr>
          <w:ilvl w:val="0"/>
          <w:numId w:val="91"/>
        </w:numPr>
        <w:spacing w:before="240" w:after="60" w:line="360" w:lineRule="auto"/>
        <w:rPr>
          <w:rFonts w:ascii="Arial" w:hAnsi="Arial" w:cs="Arial"/>
        </w:rPr>
      </w:pPr>
      <w:r w:rsidRPr="00BA05F3">
        <w:rPr>
          <w:rFonts w:ascii="Arial" w:hAnsi="Arial" w:cs="Arial"/>
        </w:rPr>
        <w:t>Cota fundación del motor: 17,60mOSN</w:t>
      </w:r>
    </w:p>
    <w:p w14:paraId="540A5492" w14:textId="77777777" w:rsidR="00BA05F3" w:rsidRPr="00BA05F3" w:rsidRDefault="00BA05F3" w:rsidP="00BA05F3">
      <w:pPr>
        <w:spacing w:before="240" w:line="360" w:lineRule="auto"/>
        <w:rPr>
          <w:rFonts w:ascii="Arial" w:hAnsi="Arial" w:cs="Arial"/>
        </w:rPr>
      </w:pPr>
      <w:r w:rsidRPr="00BA05F3">
        <w:rPr>
          <w:rFonts w:ascii="Arial" w:hAnsi="Arial" w:cs="Arial"/>
        </w:rPr>
        <w:t>En funcionamiento normal, la estación de bombeo de salida bombeará un caudal igual al afluente proveniente de la descarga de la planta de pretratamiento, con lo cual el nivel en la cámara de aspiración se mantendrá sensiblemente constante.</w:t>
      </w:r>
    </w:p>
    <w:p w14:paraId="2B5B5728" w14:textId="77777777" w:rsidR="00BA05F3" w:rsidRPr="00BA05F3" w:rsidRDefault="00BA05F3" w:rsidP="00BA05F3">
      <w:pPr>
        <w:spacing w:before="240" w:line="360" w:lineRule="auto"/>
        <w:rPr>
          <w:rFonts w:ascii="Arial" w:hAnsi="Arial" w:cs="Arial"/>
        </w:rPr>
      </w:pPr>
      <w:r w:rsidRPr="00BA05F3">
        <w:rPr>
          <w:rFonts w:ascii="Arial" w:hAnsi="Arial" w:cs="Arial"/>
        </w:rPr>
        <w:t>Se estima que durante los transitorios hidráulicos provocados por arranque y parada de bombas, o en determinadas condiciones de operación, el nivel en la cámara de aspiración podrá variar dentro de los valores Mínimo +13,5 y Máximo +16,5m.</w:t>
      </w:r>
    </w:p>
    <w:p w14:paraId="6A2B6582" w14:textId="77777777" w:rsidR="00BA05F3" w:rsidRPr="00BA05F3" w:rsidRDefault="00BA05F3" w:rsidP="00BA05F3">
      <w:pPr>
        <w:spacing w:before="240" w:line="360" w:lineRule="auto"/>
        <w:rPr>
          <w:rFonts w:ascii="Arial" w:hAnsi="Arial" w:cs="Arial"/>
        </w:rPr>
      </w:pPr>
      <w:r w:rsidRPr="00BA05F3">
        <w:rPr>
          <w:rFonts w:ascii="Arial" w:hAnsi="Arial" w:cs="Arial"/>
        </w:rPr>
        <w:t>Ante un corte generalizado de energía y con altos niveles en el río, se estima que la cota de líquido en la cámara puede alcanzar el valor +</w:t>
      </w:r>
      <w:smartTag w:uri="urn:schemas-microsoft-com:office:smarttags" w:element="metricconverter">
        <w:smartTagPr>
          <w:attr w:name="ProductID" w:val="16,75 m"/>
        </w:smartTagPr>
        <w:r w:rsidRPr="00BA05F3">
          <w:rPr>
            <w:rFonts w:ascii="Arial" w:hAnsi="Arial" w:cs="Arial"/>
          </w:rPr>
          <w:t>16,75 m</w:t>
        </w:r>
      </w:smartTag>
      <w:r w:rsidRPr="00BA05F3">
        <w:rPr>
          <w:rFonts w:ascii="Arial" w:hAnsi="Arial" w:cs="Arial"/>
        </w:rPr>
        <w:t>, como nivel Máximo extraordinario durante el transitorio hidráulico que se produce.</w:t>
      </w:r>
    </w:p>
    <w:p w14:paraId="1DE20D1C" w14:textId="77777777" w:rsidR="00BA05F3" w:rsidRPr="00BA05F3" w:rsidRDefault="00BA05F3" w:rsidP="00BA05F3">
      <w:pPr>
        <w:spacing w:before="240" w:line="360" w:lineRule="auto"/>
        <w:rPr>
          <w:rFonts w:ascii="Arial" w:hAnsi="Arial" w:cs="Arial"/>
        </w:rPr>
      </w:pPr>
      <w:r w:rsidRPr="00BA05F3">
        <w:rPr>
          <w:rFonts w:ascii="Arial" w:hAnsi="Arial" w:cs="Arial"/>
        </w:rPr>
        <w:t>Las bombas son accionadas directamente por motores eléctricos del tipo horizontal para una tensión 6,6 Kv para 50 Hz y una potencia necesaria mínima de 900 Kw y una velocidad nominal máxima de 500 rpm. Los mismos tendrán variadores de velocidad y tendrán refrigeración con aire. Los motores y variadores deberán estar de acuerdo con las especificaciones de la obra eléctrica.</w:t>
      </w:r>
    </w:p>
    <w:p w14:paraId="041DBFB2" w14:textId="77777777" w:rsidR="00BA05F3" w:rsidRPr="00D62002" w:rsidRDefault="00BA05F3" w:rsidP="00BA05F3">
      <w:pPr>
        <w:spacing w:before="240" w:line="360" w:lineRule="auto"/>
        <w:rPr>
          <w:b/>
        </w:rPr>
      </w:pPr>
      <w:r w:rsidRPr="00BA05F3">
        <w:rPr>
          <w:rFonts w:ascii="Arial" w:hAnsi="Arial" w:cs="Arial"/>
        </w:rPr>
        <w:t>Para la transmisión se ha previsto un eje estriado telescópico con una unión cardánica con un doble juego de crucetas o uniones universales en cada extremo. Debido a la disposición vertical de los equipos y a las condiciones particulares extremas de funcionamiento, inclusive con muy bajas AMT, hasta valores casi nulos en forma prolongada, debe ser considerado para el diseño del equipamiento de bombeo, como parte integrante de un conjunto indivisible constituido la bomba-eje-acoplamiento-motor-variador de frecuencia</w:t>
      </w:r>
      <w:r w:rsidRPr="00D62002">
        <w:t>.</w:t>
      </w:r>
    </w:p>
    <w:p w14:paraId="044FBEF3" w14:textId="6A41D1D7" w:rsidR="00BA05F3" w:rsidRPr="00D62002" w:rsidRDefault="00BA05F3" w:rsidP="00BA05F3">
      <w:pPr>
        <w:spacing w:before="240" w:line="360" w:lineRule="auto"/>
        <w:rPr>
          <w:b/>
          <w:bCs/>
          <w:color w:val="FFC000"/>
          <w:kern w:val="28"/>
          <w:sz w:val="32"/>
          <w:szCs w:val="32"/>
        </w:rPr>
      </w:pPr>
    </w:p>
    <w:p w14:paraId="000F79B6" w14:textId="28E667B1" w:rsidR="003F3092" w:rsidRDefault="003F3092" w:rsidP="008D5523"/>
    <w:p w14:paraId="45C0F08B" w14:textId="77777777" w:rsidR="003F3092" w:rsidRPr="003F3092" w:rsidRDefault="003F3092" w:rsidP="003F3092"/>
    <w:p w14:paraId="3CF5CDFB" w14:textId="77777777" w:rsidR="003F3092" w:rsidRPr="003F3092" w:rsidRDefault="003F3092" w:rsidP="003F3092"/>
    <w:p w14:paraId="43CE178E" w14:textId="77777777" w:rsidR="003F3092" w:rsidRPr="003F3092" w:rsidRDefault="003F3092" w:rsidP="003F3092"/>
    <w:p w14:paraId="16CF1545" w14:textId="77777777" w:rsidR="003F3092" w:rsidRPr="003F3092" w:rsidRDefault="003F3092" w:rsidP="003F3092"/>
    <w:p w14:paraId="547680C5" w14:textId="77777777" w:rsidR="003F3092" w:rsidRPr="003F3092" w:rsidRDefault="003F3092" w:rsidP="003F3092"/>
    <w:p w14:paraId="1313D436" w14:textId="77777777" w:rsidR="003F3092" w:rsidRPr="003F3092" w:rsidRDefault="003F3092" w:rsidP="003F3092"/>
    <w:p w14:paraId="54C6BB82" w14:textId="77777777" w:rsidR="003F3092" w:rsidRPr="003F3092" w:rsidRDefault="003F3092" w:rsidP="003F3092"/>
    <w:p w14:paraId="6F00F216" w14:textId="77777777" w:rsidR="003F3092" w:rsidRPr="003F3092" w:rsidRDefault="003F3092" w:rsidP="003F3092">
      <w:pPr>
        <w:sectPr w:rsidR="003F3092" w:rsidRPr="003F3092" w:rsidSect="00D3445E">
          <w:footerReference w:type="default" r:id="rId216"/>
          <w:pgSz w:w="11906" w:h="16838" w:code="9"/>
          <w:pgMar w:top="1928" w:right="1701" w:bottom="1418" w:left="1701" w:header="709" w:footer="794" w:gutter="0"/>
          <w:cols w:space="708"/>
          <w:docGrid w:linePitch="360"/>
        </w:sectPr>
      </w:pPr>
    </w:p>
    <w:p w14:paraId="169C689A" w14:textId="77777777" w:rsidR="003F3092" w:rsidRDefault="003F3092" w:rsidP="003F3092">
      <w:pPr>
        <w:pStyle w:val="Heading1"/>
      </w:pPr>
      <w:bookmarkStart w:id="1217" w:name="_Toc199849170"/>
      <w:bookmarkStart w:id="1218" w:name="_Toc199855168"/>
      <w:bookmarkStart w:id="1219" w:name="_Toc483227475"/>
      <w:bookmarkStart w:id="1220" w:name="_Toc485200294"/>
      <w:r w:rsidRPr="00573E67">
        <w:t xml:space="preserve">Anexo </w:t>
      </w:r>
      <w:bookmarkEnd w:id="1217"/>
      <w:bookmarkEnd w:id="1218"/>
      <w:r>
        <w:t>6:</w:t>
      </w:r>
      <w:bookmarkStart w:id="1221" w:name="_Toc199849171"/>
      <w:bookmarkStart w:id="1222" w:name="_Toc199855169"/>
      <w:r>
        <w:t xml:space="preserve"> </w:t>
      </w:r>
      <w:r w:rsidRPr="00573E67">
        <w:t xml:space="preserve">Detalle </w:t>
      </w:r>
      <w:r>
        <w:t>de costos de inversión</w:t>
      </w:r>
      <w:bookmarkEnd w:id="1219"/>
      <w:bookmarkEnd w:id="1221"/>
      <w:bookmarkEnd w:id="1222"/>
      <w:bookmarkEnd w:id="1220"/>
    </w:p>
    <w:p w14:paraId="09658981" w14:textId="77777777" w:rsidR="003F3092" w:rsidRPr="009C787B" w:rsidRDefault="003F3092" w:rsidP="003F3092">
      <w:pPr>
        <w:spacing w:before="240" w:line="360" w:lineRule="auto"/>
      </w:pPr>
      <w:r w:rsidRPr="009C787B">
        <w:t>Para la Alternativa 1 (Nuevo Emisario) se tomaron los costos que se precisan en el cuadro</w:t>
      </w:r>
      <w:r>
        <w:t xml:space="preserve"> que se presenta a continuación:</w:t>
      </w:r>
      <w:r w:rsidRPr="009C787B">
        <w:t xml:space="preserve"> </w:t>
      </w:r>
    </w:p>
    <w:p w14:paraId="1758DE20" w14:textId="77777777" w:rsidR="003F3092" w:rsidRPr="009C787B" w:rsidRDefault="003F3092" w:rsidP="003F3092">
      <w:pPr>
        <w:spacing w:before="240" w:line="360" w:lineRule="auto"/>
        <w:rPr>
          <w:b/>
        </w:rPr>
      </w:pPr>
      <w:r>
        <w:rPr>
          <w:b/>
        </w:rPr>
        <w:t xml:space="preserve">Cuadro AIII. 1. </w:t>
      </w:r>
      <w:r w:rsidRPr="009C787B">
        <w:rPr>
          <w:b/>
        </w:rPr>
        <w:t>Costos Alternativa 1 a precios de mercado,</w:t>
      </w:r>
      <w:r>
        <w:rPr>
          <w:b/>
        </w:rPr>
        <w:t xml:space="preserve"> </w:t>
      </w:r>
      <w:r w:rsidRPr="009C787B">
        <w:rPr>
          <w:b/>
        </w:rPr>
        <w:t>en dólares</w:t>
      </w:r>
    </w:p>
    <w:p w14:paraId="474E374F" w14:textId="77777777" w:rsidR="003F3092" w:rsidRPr="009C787B" w:rsidRDefault="003F3092" w:rsidP="003F3092">
      <w:pPr>
        <w:spacing w:before="240" w:line="360" w:lineRule="auto"/>
        <w:rPr>
          <w:b/>
          <w:bCs/>
          <w:caps/>
          <w:kern w:val="32"/>
        </w:rPr>
      </w:pPr>
      <w:r>
        <w:rPr>
          <w:b/>
          <w:bCs/>
          <w:caps/>
          <w:noProof/>
          <w:kern w:val="32"/>
          <w:lang w:eastAsia="es-AR"/>
        </w:rPr>
        <w:drawing>
          <wp:inline distT="0" distB="0" distL="0" distR="0" wp14:anchorId="47AD62DA" wp14:editId="61B62AB9">
            <wp:extent cx="5314950" cy="6181725"/>
            <wp:effectExtent l="19050" t="19050" r="19050" b="28575"/>
            <wp:docPr id="14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7">
                      <a:extLst>
                        <a:ext uri="{28A0092B-C50C-407E-A947-70E740481C1C}">
                          <a14:useLocalDpi xmlns:a14="http://schemas.microsoft.com/office/drawing/2010/main" val="0"/>
                        </a:ext>
                      </a:extLst>
                    </a:blip>
                    <a:srcRect l="882" t="569" r="658" b="478"/>
                    <a:stretch>
                      <a:fillRect/>
                    </a:stretch>
                  </pic:blipFill>
                  <pic:spPr bwMode="auto">
                    <a:xfrm>
                      <a:off x="0" y="0"/>
                      <a:ext cx="5314950" cy="6181725"/>
                    </a:xfrm>
                    <a:prstGeom prst="rect">
                      <a:avLst/>
                    </a:prstGeom>
                    <a:noFill/>
                    <a:ln w="6350" cmpd="sng">
                      <a:solidFill>
                        <a:srgbClr val="000000"/>
                      </a:solidFill>
                      <a:miter lim="800000"/>
                      <a:headEnd/>
                      <a:tailEnd/>
                    </a:ln>
                    <a:effectLst/>
                  </pic:spPr>
                </pic:pic>
              </a:graphicData>
            </a:graphic>
          </wp:inline>
        </w:drawing>
      </w:r>
    </w:p>
    <w:p w14:paraId="1EACA8B1" w14:textId="77777777" w:rsidR="003F3092" w:rsidRDefault="003F3092" w:rsidP="003F3092">
      <w:pPr>
        <w:pStyle w:val="Cuadroseilustraciones"/>
        <w:spacing w:before="240" w:after="120" w:line="360" w:lineRule="auto"/>
        <w:rPr>
          <w:rFonts w:cs="Arial"/>
          <w:b w:val="0"/>
          <w:szCs w:val="22"/>
        </w:rPr>
      </w:pPr>
      <w:r w:rsidRPr="009C787B">
        <w:rPr>
          <w:rFonts w:cs="Arial"/>
          <w:b w:val="0"/>
          <w:szCs w:val="22"/>
        </w:rPr>
        <w:t>Debe mencionarse que los 259 millones de dólares son tomados a precios de Costo-</w:t>
      </w:r>
      <w:r>
        <w:rPr>
          <w:rFonts w:cs="Arial"/>
          <w:b w:val="0"/>
          <w:szCs w:val="22"/>
        </w:rPr>
        <w:t>Precio</w:t>
      </w:r>
      <w:r w:rsidRPr="009C787B">
        <w:rPr>
          <w:rFonts w:cs="Arial"/>
          <w:b w:val="0"/>
          <w:szCs w:val="22"/>
        </w:rPr>
        <w:t>.</w:t>
      </w:r>
      <w:r>
        <w:rPr>
          <w:rFonts w:cs="Arial"/>
          <w:b w:val="0"/>
          <w:szCs w:val="22"/>
        </w:rPr>
        <w:t xml:space="preserve"> Esto implica que tienen incorporados el factor k (coeficiente 1,52), con el cual se incluyen gastos indirectos, gastos generales, costos financieros, imprevistos. </w:t>
      </w:r>
    </w:p>
    <w:p w14:paraId="60D063B8" w14:textId="77777777" w:rsidR="003F3092" w:rsidRPr="009C787B" w:rsidRDefault="003F3092" w:rsidP="003F3092">
      <w:pPr>
        <w:pStyle w:val="Cuadroseilustraciones"/>
        <w:spacing w:before="240" w:after="120" w:line="360" w:lineRule="auto"/>
        <w:rPr>
          <w:rFonts w:cs="Arial"/>
          <w:b w:val="0"/>
          <w:szCs w:val="22"/>
        </w:rPr>
      </w:pPr>
      <w:r>
        <w:rPr>
          <w:rFonts w:cs="Arial"/>
          <w:b w:val="0"/>
          <w:szCs w:val="22"/>
        </w:rPr>
        <w:t>Se debe mencionar que para calcular los beneficios incorporados dentro de la categoría subtotal de costos, se consideró un margen del 7 por ciento</w:t>
      </w:r>
    </w:p>
    <w:p w14:paraId="358E6662" w14:textId="77777777" w:rsidR="003F3092" w:rsidRPr="009C787B" w:rsidRDefault="003F3092" w:rsidP="003F3092">
      <w:pPr>
        <w:pStyle w:val="Cuadroseilustraciones"/>
        <w:spacing w:before="240" w:after="120" w:line="360" w:lineRule="auto"/>
        <w:rPr>
          <w:rFonts w:cs="Arial"/>
          <w:b w:val="0"/>
          <w:szCs w:val="22"/>
        </w:rPr>
      </w:pPr>
      <w:r w:rsidRPr="009C787B">
        <w:rPr>
          <w:rFonts w:cs="Arial"/>
          <w:b w:val="0"/>
          <w:szCs w:val="22"/>
        </w:rPr>
        <w:t xml:space="preserve">Para la Alternativa 2 (Tratamiento Secundario) se tomaron los costos en pesos por 16.500 millones de pesos, los cuales pasados a dólares con un tipo de cambio de 16,1 pesos por dólar, arrojaron un monto de 1024 millones de dólares. </w:t>
      </w:r>
    </w:p>
    <w:p w14:paraId="32FA7D97" w14:textId="77777777" w:rsidR="003F3092" w:rsidRPr="009C787B" w:rsidRDefault="003F3092" w:rsidP="003F3092">
      <w:pPr>
        <w:pStyle w:val="Cuadroseilustraciones"/>
        <w:spacing w:before="240" w:after="120" w:line="360" w:lineRule="auto"/>
        <w:rPr>
          <w:rFonts w:cs="Arial"/>
          <w:b w:val="0"/>
          <w:szCs w:val="22"/>
        </w:rPr>
      </w:pPr>
      <w:r w:rsidRPr="009C787B">
        <w:rPr>
          <w:rFonts w:cs="Arial"/>
          <w:b w:val="0"/>
          <w:szCs w:val="22"/>
        </w:rPr>
        <w:t xml:space="preserve">Pero, debido a que no se tuvo en cuenta los costos de la estación de bombeo, se retiraron de este monto presupuestado. </w:t>
      </w:r>
    </w:p>
    <w:p w14:paraId="4EB0E857" w14:textId="77777777" w:rsidR="003F3092" w:rsidRPr="009C787B" w:rsidRDefault="003F3092" w:rsidP="003F3092">
      <w:pPr>
        <w:pStyle w:val="Cuadroseilustraciones"/>
        <w:spacing w:before="240" w:after="120" w:line="360" w:lineRule="auto"/>
        <w:rPr>
          <w:rFonts w:cs="Arial"/>
          <w:b w:val="0"/>
          <w:szCs w:val="22"/>
        </w:rPr>
      </w:pPr>
      <w:r w:rsidRPr="009C787B">
        <w:rPr>
          <w:rFonts w:cs="Arial"/>
          <w:b w:val="0"/>
          <w:szCs w:val="22"/>
        </w:rPr>
        <w:t xml:space="preserve">Tomando los costos de 554.267 millones de pesos presentados en octubre de 2014 para la construcción de la estación de bombeo, se los pasó a dólares con un tipo de cambio de 8,5 pesos por dólar, lo cual arrojó un costo de 65 millones de dólares. </w:t>
      </w:r>
    </w:p>
    <w:p w14:paraId="73CE2D51" w14:textId="1FBD6BAC" w:rsidR="003F3092" w:rsidRDefault="003F3092" w:rsidP="003F3092">
      <w:pPr>
        <w:pStyle w:val="Cuadroseilustraciones"/>
        <w:spacing w:before="240" w:after="120" w:line="360" w:lineRule="auto"/>
        <w:rPr>
          <w:rFonts w:cs="Arial"/>
          <w:b w:val="0"/>
          <w:szCs w:val="22"/>
        </w:rPr>
      </w:pPr>
      <w:r w:rsidRPr="009C787B">
        <w:rPr>
          <w:rFonts w:cs="Arial"/>
          <w:b w:val="0"/>
          <w:szCs w:val="22"/>
        </w:rPr>
        <w:t xml:space="preserve">Al restarse esos 65 millones de dólares de los 1024 millones presupuestados, se alcanza los 959 millones de dólares presentados como total cotizado para la Alternativa 2, mientras que dividiendo por el coeficiente K se alcanzaron los 623 millones presentados como costos </w:t>
      </w:r>
      <w:r>
        <w:rPr>
          <w:rFonts w:cs="Arial"/>
          <w:b w:val="0"/>
          <w:szCs w:val="22"/>
        </w:rPr>
        <w:t>subtotal de costos.</w:t>
      </w:r>
    </w:p>
    <w:p w14:paraId="3ECCA305" w14:textId="77777777" w:rsidR="00FA7442" w:rsidRDefault="00FA7442" w:rsidP="003F3092">
      <w:pPr>
        <w:pStyle w:val="Cuadroseilustraciones"/>
        <w:spacing w:before="240" w:after="120" w:line="360" w:lineRule="auto"/>
        <w:rPr>
          <w:rFonts w:cs="Arial"/>
          <w:b w:val="0"/>
          <w:szCs w:val="22"/>
        </w:rPr>
        <w:sectPr w:rsidR="00FA7442" w:rsidSect="00D3445E">
          <w:footerReference w:type="default" r:id="rId218"/>
          <w:pgSz w:w="11906" w:h="16838" w:code="9"/>
          <w:pgMar w:top="1928" w:right="1701" w:bottom="1418" w:left="1701" w:header="709" w:footer="794" w:gutter="0"/>
          <w:cols w:space="708"/>
          <w:docGrid w:linePitch="360"/>
        </w:sectPr>
      </w:pPr>
    </w:p>
    <w:p w14:paraId="3F21BFEE" w14:textId="77777777" w:rsidR="00FA7442" w:rsidRPr="00D62002" w:rsidRDefault="00FA7442" w:rsidP="00FA7442">
      <w:pPr>
        <w:pStyle w:val="Ttulo1"/>
        <w:spacing w:line="360" w:lineRule="auto"/>
      </w:pPr>
      <w:bookmarkStart w:id="1223" w:name="_Toc483227474"/>
      <w:bookmarkStart w:id="1224" w:name="_Toc485200295"/>
      <w:r w:rsidRPr="00D62002">
        <w:t xml:space="preserve">Anexo </w:t>
      </w:r>
      <w:r w:rsidRPr="00FA7442">
        <w:rPr>
          <w:lang w:val="es-ES_tradnl"/>
        </w:rPr>
        <w:t>7</w:t>
      </w:r>
      <w:r>
        <w:t xml:space="preserve">: </w:t>
      </w:r>
      <w:r w:rsidRPr="00D62002">
        <w:t>Detalle de obras planta de tratamiento en dos etapas</w:t>
      </w:r>
      <w:bookmarkEnd w:id="1223"/>
      <w:bookmarkEnd w:id="1224"/>
    </w:p>
    <w:p w14:paraId="0CCCEB80" w14:textId="77777777" w:rsidR="00FA7442" w:rsidRPr="00D62002" w:rsidRDefault="00FA7442" w:rsidP="00FA7442">
      <w:pPr>
        <w:pStyle w:val="Default"/>
        <w:spacing w:line="360" w:lineRule="auto"/>
        <w:jc w:val="both"/>
        <w:rPr>
          <w:rFonts w:ascii="Arial" w:hAnsi="Arial" w:cs="Arial"/>
          <w:sz w:val="22"/>
          <w:szCs w:val="22"/>
        </w:rPr>
      </w:pPr>
      <w:r w:rsidRPr="00D62002">
        <w:rPr>
          <w:rFonts w:ascii="Arial" w:hAnsi="Arial" w:cs="Arial"/>
          <w:sz w:val="22"/>
          <w:szCs w:val="22"/>
        </w:rPr>
        <w:t xml:space="preserve">El proceso elegido fue de lodos activados media carga, integrado por: </w:t>
      </w:r>
    </w:p>
    <w:p w14:paraId="2C733F67" w14:textId="77777777" w:rsidR="00FA7442" w:rsidRPr="00D62002" w:rsidRDefault="00FA7442" w:rsidP="00C4100D">
      <w:pPr>
        <w:pStyle w:val="Default"/>
        <w:numPr>
          <w:ilvl w:val="0"/>
          <w:numId w:val="85"/>
        </w:numPr>
        <w:spacing w:line="360" w:lineRule="auto"/>
        <w:jc w:val="both"/>
        <w:rPr>
          <w:rFonts w:ascii="Arial" w:hAnsi="Arial" w:cs="Arial"/>
          <w:color w:val="auto"/>
          <w:sz w:val="22"/>
          <w:szCs w:val="22"/>
        </w:rPr>
      </w:pPr>
      <w:r w:rsidRPr="00D62002">
        <w:rPr>
          <w:rFonts w:ascii="Arial" w:hAnsi="Arial" w:cs="Arial"/>
          <w:color w:val="auto"/>
          <w:sz w:val="22"/>
          <w:szCs w:val="22"/>
        </w:rPr>
        <w:t xml:space="preserve">Rejas Gruesas y Finas (ya incluidas en la Planta de Pretratamiento del Bicentenario), </w:t>
      </w:r>
    </w:p>
    <w:p w14:paraId="5C542B35" w14:textId="77777777" w:rsidR="00FA7442" w:rsidRPr="00D62002" w:rsidRDefault="00FA7442" w:rsidP="00C4100D">
      <w:pPr>
        <w:pStyle w:val="Default"/>
        <w:numPr>
          <w:ilvl w:val="0"/>
          <w:numId w:val="85"/>
        </w:numPr>
        <w:spacing w:line="360" w:lineRule="auto"/>
        <w:jc w:val="both"/>
        <w:rPr>
          <w:rFonts w:ascii="Arial" w:hAnsi="Arial" w:cs="Arial"/>
          <w:color w:val="auto"/>
          <w:sz w:val="22"/>
          <w:szCs w:val="22"/>
        </w:rPr>
      </w:pPr>
      <w:r w:rsidRPr="00D62002">
        <w:rPr>
          <w:rFonts w:ascii="Arial" w:hAnsi="Arial" w:cs="Arial"/>
          <w:color w:val="auto"/>
          <w:sz w:val="22"/>
          <w:szCs w:val="22"/>
        </w:rPr>
        <w:t>Desarenado</w:t>
      </w:r>
      <w:r>
        <w:rPr>
          <w:rFonts w:ascii="Arial" w:hAnsi="Arial" w:cs="Arial"/>
          <w:color w:val="auto"/>
          <w:sz w:val="22"/>
          <w:szCs w:val="22"/>
        </w:rPr>
        <w:t>res-Desengrasadores (ya incluido</w:t>
      </w:r>
      <w:r w:rsidRPr="00D62002">
        <w:rPr>
          <w:rFonts w:ascii="Arial" w:hAnsi="Arial" w:cs="Arial"/>
          <w:color w:val="auto"/>
          <w:sz w:val="22"/>
          <w:szCs w:val="22"/>
        </w:rPr>
        <w:t xml:space="preserve">s en la Planta de Pretratamiento del Bicentenario),  </w:t>
      </w:r>
    </w:p>
    <w:p w14:paraId="240A7376" w14:textId="77777777" w:rsidR="00FA7442" w:rsidRPr="00D62002" w:rsidRDefault="00FA7442" w:rsidP="00C4100D">
      <w:pPr>
        <w:pStyle w:val="Default"/>
        <w:numPr>
          <w:ilvl w:val="0"/>
          <w:numId w:val="85"/>
        </w:numPr>
        <w:spacing w:line="360" w:lineRule="auto"/>
        <w:jc w:val="both"/>
        <w:rPr>
          <w:rFonts w:ascii="Arial" w:hAnsi="Arial" w:cs="Arial"/>
          <w:sz w:val="22"/>
          <w:szCs w:val="22"/>
        </w:rPr>
      </w:pPr>
      <w:r w:rsidRPr="00D62002">
        <w:rPr>
          <w:rFonts w:ascii="Arial" w:hAnsi="Arial" w:cs="Arial"/>
          <w:sz w:val="22"/>
          <w:szCs w:val="22"/>
        </w:rPr>
        <w:t xml:space="preserve">Decantadores Primarios </w:t>
      </w:r>
    </w:p>
    <w:p w14:paraId="3FFC3C3A" w14:textId="77777777" w:rsidR="00FA7442" w:rsidRPr="00D62002" w:rsidRDefault="00FA7442" w:rsidP="00C4100D">
      <w:pPr>
        <w:pStyle w:val="Default"/>
        <w:numPr>
          <w:ilvl w:val="0"/>
          <w:numId w:val="85"/>
        </w:numPr>
        <w:spacing w:line="360" w:lineRule="auto"/>
        <w:jc w:val="both"/>
        <w:rPr>
          <w:rFonts w:ascii="Arial" w:hAnsi="Arial" w:cs="Arial"/>
          <w:sz w:val="22"/>
          <w:szCs w:val="22"/>
        </w:rPr>
      </w:pPr>
      <w:r w:rsidRPr="00D62002">
        <w:rPr>
          <w:rFonts w:ascii="Arial" w:hAnsi="Arial" w:cs="Arial"/>
          <w:sz w:val="22"/>
          <w:szCs w:val="22"/>
        </w:rPr>
        <w:t xml:space="preserve">Reactor biológico </w:t>
      </w:r>
    </w:p>
    <w:p w14:paraId="4A9F460D" w14:textId="77777777" w:rsidR="00FA7442" w:rsidRPr="00D62002" w:rsidRDefault="00FA7442" w:rsidP="00C4100D">
      <w:pPr>
        <w:pStyle w:val="Default"/>
        <w:numPr>
          <w:ilvl w:val="0"/>
          <w:numId w:val="85"/>
        </w:numPr>
        <w:spacing w:line="360" w:lineRule="auto"/>
        <w:jc w:val="both"/>
        <w:rPr>
          <w:rFonts w:ascii="Arial" w:hAnsi="Arial" w:cs="Arial"/>
          <w:sz w:val="22"/>
          <w:szCs w:val="22"/>
        </w:rPr>
      </w:pPr>
      <w:r w:rsidRPr="00D62002">
        <w:rPr>
          <w:rFonts w:ascii="Arial" w:hAnsi="Arial" w:cs="Arial"/>
          <w:sz w:val="22"/>
          <w:szCs w:val="22"/>
        </w:rPr>
        <w:t xml:space="preserve">Decantadores Secundarios </w:t>
      </w:r>
    </w:p>
    <w:p w14:paraId="5B4F376A" w14:textId="77777777" w:rsidR="00FA7442" w:rsidRPr="00D62002" w:rsidRDefault="00FA7442" w:rsidP="00C4100D">
      <w:pPr>
        <w:pStyle w:val="Default"/>
        <w:numPr>
          <w:ilvl w:val="0"/>
          <w:numId w:val="85"/>
        </w:numPr>
        <w:spacing w:line="360" w:lineRule="auto"/>
        <w:jc w:val="both"/>
        <w:rPr>
          <w:rFonts w:ascii="Arial" w:hAnsi="Arial" w:cs="Arial"/>
          <w:sz w:val="22"/>
          <w:szCs w:val="22"/>
        </w:rPr>
      </w:pPr>
      <w:r w:rsidRPr="00D62002">
        <w:rPr>
          <w:rFonts w:ascii="Arial" w:hAnsi="Arial" w:cs="Arial"/>
          <w:sz w:val="22"/>
          <w:szCs w:val="22"/>
        </w:rPr>
        <w:t xml:space="preserve">Tratamiento de lodos primarios y secundarios mediante digestor anaeróbico </w:t>
      </w:r>
    </w:p>
    <w:p w14:paraId="090DBD6B" w14:textId="77777777" w:rsidR="00FA7442" w:rsidRPr="00D62002" w:rsidRDefault="00FA7442" w:rsidP="00C4100D">
      <w:pPr>
        <w:pStyle w:val="Default"/>
        <w:numPr>
          <w:ilvl w:val="0"/>
          <w:numId w:val="85"/>
        </w:numPr>
        <w:spacing w:line="360" w:lineRule="auto"/>
        <w:jc w:val="both"/>
        <w:rPr>
          <w:rFonts w:ascii="Arial" w:hAnsi="Arial" w:cs="Arial"/>
          <w:sz w:val="22"/>
          <w:szCs w:val="22"/>
        </w:rPr>
      </w:pPr>
      <w:r w:rsidRPr="00D62002">
        <w:rPr>
          <w:rFonts w:ascii="Arial" w:hAnsi="Arial" w:cs="Arial"/>
          <w:sz w:val="22"/>
          <w:szCs w:val="22"/>
        </w:rPr>
        <w:t xml:space="preserve">Deshidratación de lodos estabilizados con equipo centrifugo </w:t>
      </w:r>
    </w:p>
    <w:p w14:paraId="6F287887" w14:textId="77777777" w:rsidR="00FA7442" w:rsidRPr="00D62002" w:rsidRDefault="00FA7442" w:rsidP="00FA7442">
      <w:pPr>
        <w:pStyle w:val="Default"/>
        <w:spacing w:before="240" w:after="60" w:line="360" w:lineRule="auto"/>
        <w:jc w:val="both"/>
        <w:rPr>
          <w:rFonts w:ascii="Arial" w:hAnsi="Arial" w:cs="Arial"/>
          <w:sz w:val="22"/>
          <w:szCs w:val="22"/>
        </w:rPr>
      </w:pPr>
      <w:r w:rsidRPr="00D62002">
        <w:rPr>
          <w:rFonts w:ascii="Arial" w:hAnsi="Arial" w:cs="Arial"/>
          <w:sz w:val="22"/>
          <w:szCs w:val="22"/>
        </w:rPr>
        <w:t>Se planificó la construcción de 28 módulos para un tratamiento de nivel</w:t>
      </w:r>
      <w:r>
        <w:rPr>
          <w:rFonts w:ascii="Arial" w:hAnsi="Arial" w:cs="Arial"/>
          <w:sz w:val="22"/>
          <w:szCs w:val="22"/>
        </w:rPr>
        <w:t xml:space="preserve"> secundario</w:t>
      </w:r>
      <w:r w:rsidRPr="00D62002">
        <w:rPr>
          <w:rFonts w:ascii="Arial" w:hAnsi="Arial" w:cs="Arial"/>
          <w:sz w:val="22"/>
          <w:szCs w:val="22"/>
        </w:rPr>
        <w:t xml:space="preserve">. Los módulos proyectados cuentas con las siguientes capacidades de tratamiento: </w:t>
      </w:r>
    </w:p>
    <w:p w14:paraId="7EA4B7E5" w14:textId="77777777" w:rsidR="00FA7442" w:rsidRPr="00D62002" w:rsidRDefault="00FA7442" w:rsidP="00C4100D">
      <w:pPr>
        <w:pStyle w:val="Default"/>
        <w:numPr>
          <w:ilvl w:val="0"/>
          <w:numId w:val="85"/>
        </w:numPr>
        <w:spacing w:line="360" w:lineRule="auto"/>
        <w:jc w:val="both"/>
        <w:rPr>
          <w:rFonts w:ascii="Arial" w:hAnsi="Arial" w:cs="Arial"/>
          <w:sz w:val="22"/>
          <w:szCs w:val="22"/>
        </w:rPr>
      </w:pPr>
      <w:r w:rsidRPr="00D62002">
        <w:rPr>
          <w:rFonts w:ascii="Arial" w:hAnsi="Arial" w:cs="Arial"/>
          <w:sz w:val="22"/>
          <w:szCs w:val="22"/>
        </w:rPr>
        <w:t xml:space="preserve">Caudal promedio diario: 0,9 m³/s </w:t>
      </w:r>
    </w:p>
    <w:p w14:paraId="102FB8EA" w14:textId="77777777" w:rsidR="00FA7442" w:rsidRPr="00D62002" w:rsidRDefault="00FA7442" w:rsidP="00C4100D">
      <w:pPr>
        <w:pStyle w:val="Default"/>
        <w:numPr>
          <w:ilvl w:val="0"/>
          <w:numId w:val="85"/>
        </w:numPr>
        <w:spacing w:line="360" w:lineRule="auto"/>
        <w:jc w:val="both"/>
        <w:rPr>
          <w:rFonts w:ascii="Arial" w:hAnsi="Arial" w:cs="Arial"/>
          <w:sz w:val="22"/>
          <w:szCs w:val="22"/>
        </w:rPr>
      </w:pPr>
      <w:r w:rsidRPr="00D62002">
        <w:rPr>
          <w:rFonts w:ascii="Arial" w:hAnsi="Arial" w:cs="Arial"/>
          <w:sz w:val="22"/>
          <w:szCs w:val="22"/>
        </w:rPr>
        <w:t xml:space="preserve">Caudal diario en horas pico: 1,35 m³/s </w:t>
      </w:r>
    </w:p>
    <w:p w14:paraId="11D5B211" w14:textId="77777777" w:rsidR="00FA7442" w:rsidRPr="00D62002" w:rsidRDefault="00FA7442" w:rsidP="00C4100D">
      <w:pPr>
        <w:pStyle w:val="Default"/>
        <w:numPr>
          <w:ilvl w:val="0"/>
          <w:numId w:val="85"/>
        </w:numPr>
        <w:spacing w:line="360" w:lineRule="auto"/>
        <w:jc w:val="both"/>
        <w:rPr>
          <w:rFonts w:ascii="Arial" w:hAnsi="Arial" w:cs="Arial"/>
          <w:sz w:val="22"/>
          <w:szCs w:val="22"/>
        </w:rPr>
      </w:pPr>
      <w:r w:rsidRPr="00D62002">
        <w:rPr>
          <w:rFonts w:ascii="Arial" w:hAnsi="Arial" w:cs="Arial"/>
          <w:sz w:val="22"/>
          <w:szCs w:val="22"/>
        </w:rPr>
        <w:t xml:space="preserve">Factor para caudal pico de proceso: 1,5 </w:t>
      </w:r>
    </w:p>
    <w:p w14:paraId="4E1CED79" w14:textId="77777777" w:rsidR="00FA7442" w:rsidRPr="00D62002" w:rsidRDefault="00FA7442" w:rsidP="00C4100D">
      <w:pPr>
        <w:pStyle w:val="Default"/>
        <w:numPr>
          <w:ilvl w:val="0"/>
          <w:numId w:val="85"/>
        </w:numPr>
        <w:spacing w:line="360" w:lineRule="auto"/>
        <w:jc w:val="both"/>
        <w:rPr>
          <w:rFonts w:ascii="Arial" w:hAnsi="Arial" w:cs="Arial"/>
          <w:sz w:val="22"/>
          <w:szCs w:val="22"/>
        </w:rPr>
      </w:pPr>
      <w:r w:rsidRPr="00D62002">
        <w:rPr>
          <w:rFonts w:ascii="Arial" w:hAnsi="Arial" w:cs="Arial"/>
          <w:sz w:val="22"/>
          <w:szCs w:val="22"/>
        </w:rPr>
        <w:t xml:space="preserve">Carga promedio: 60 g/hab/dia </w:t>
      </w:r>
    </w:p>
    <w:p w14:paraId="46CF16BE" w14:textId="77777777" w:rsidR="00FA7442" w:rsidRPr="00D62002" w:rsidRDefault="00FA7442" w:rsidP="00C4100D">
      <w:pPr>
        <w:pStyle w:val="Default"/>
        <w:numPr>
          <w:ilvl w:val="0"/>
          <w:numId w:val="85"/>
        </w:numPr>
        <w:spacing w:line="360" w:lineRule="auto"/>
        <w:jc w:val="both"/>
        <w:rPr>
          <w:rFonts w:ascii="Arial" w:hAnsi="Arial" w:cs="Arial"/>
          <w:sz w:val="22"/>
          <w:szCs w:val="22"/>
        </w:rPr>
      </w:pPr>
      <w:r w:rsidRPr="00D62002">
        <w:rPr>
          <w:rFonts w:ascii="Arial" w:hAnsi="Arial" w:cs="Arial"/>
          <w:sz w:val="22"/>
          <w:szCs w:val="22"/>
        </w:rPr>
        <w:t>Descarga inferior a 30 mg/l de DBO5</w:t>
      </w:r>
    </w:p>
    <w:p w14:paraId="11A8646C" w14:textId="77777777" w:rsidR="00FA7442" w:rsidRPr="00D62002" w:rsidRDefault="00FA7442" w:rsidP="00C4100D">
      <w:pPr>
        <w:pStyle w:val="Default"/>
        <w:numPr>
          <w:ilvl w:val="0"/>
          <w:numId w:val="85"/>
        </w:numPr>
        <w:spacing w:line="360" w:lineRule="auto"/>
        <w:jc w:val="both"/>
        <w:rPr>
          <w:rFonts w:ascii="Arial" w:hAnsi="Arial" w:cs="Arial"/>
          <w:sz w:val="22"/>
          <w:szCs w:val="22"/>
        </w:rPr>
      </w:pPr>
      <w:r w:rsidRPr="00D62002">
        <w:rPr>
          <w:rFonts w:ascii="Arial" w:hAnsi="Arial" w:cs="Arial"/>
          <w:sz w:val="22"/>
          <w:szCs w:val="22"/>
        </w:rPr>
        <w:t xml:space="preserve">Población equivalente aproximada de cada modulo: 300.000 habitantes </w:t>
      </w:r>
    </w:p>
    <w:p w14:paraId="04213E35" w14:textId="77777777" w:rsidR="00FA7442" w:rsidRPr="00D62002" w:rsidRDefault="00FA7442" w:rsidP="00FA7442">
      <w:pPr>
        <w:autoSpaceDE w:val="0"/>
        <w:autoSpaceDN w:val="0"/>
        <w:adjustRightInd w:val="0"/>
        <w:spacing w:before="240" w:line="360" w:lineRule="auto"/>
        <w:rPr>
          <w:color w:val="000000"/>
        </w:rPr>
      </w:pPr>
      <w:r w:rsidRPr="00D62002">
        <w:rPr>
          <w:color w:val="000000"/>
        </w:rPr>
        <w:t xml:space="preserve">Cada módulo está proyectado con una cámara de aireación, dividida en cuatro celdas, de 134.00 m³ de capacidad. Dicho tanque está conectado a tres sopladores de aire volumétricos (2+1). </w:t>
      </w:r>
    </w:p>
    <w:p w14:paraId="0A5C28DC" w14:textId="77777777" w:rsidR="00FA7442" w:rsidRPr="00D62002" w:rsidRDefault="00FA7442" w:rsidP="00FA7442">
      <w:pPr>
        <w:autoSpaceDE w:val="0"/>
        <w:autoSpaceDN w:val="0"/>
        <w:adjustRightInd w:val="0"/>
        <w:spacing w:before="240" w:line="360" w:lineRule="auto"/>
        <w:rPr>
          <w:color w:val="000000"/>
        </w:rPr>
      </w:pPr>
      <w:r w:rsidRPr="00D62002">
        <w:rPr>
          <w:color w:val="000000"/>
        </w:rPr>
        <w:t xml:space="preserve">El volumen global de aireación se define teniendo en cuenta las bases de dimensionamiento siguientes: </w:t>
      </w:r>
    </w:p>
    <w:p w14:paraId="0C983CD8" w14:textId="77777777" w:rsidR="00FA7442" w:rsidRPr="00D62002" w:rsidRDefault="00FA7442" w:rsidP="00C4100D">
      <w:pPr>
        <w:pStyle w:val="ListParagraph"/>
        <w:numPr>
          <w:ilvl w:val="0"/>
          <w:numId w:val="85"/>
        </w:numPr>
        <w:autoSpaceDE w:val="0"/>
        <w:autoSpaceDN w:val="0"/>
        <w:adjustRightInd w:val="0"/>
        <w:spacing w:after="0" w:line="360" w:lineRule="auto"/>
        <w:rPr>
          <w:color w:val="000000"/>
        </w:rPr>
      </w:pPr>
      <w:r w:rsidRPr="00D62002">
        <w:rPr>
          <w:color w:val="000000"/>
        </w:rPr>
        <w:t xml:space="preserve">Carga másica: 0,65 DBO5/kg MV/d </w:t>
      </w:r>
    </w:p>
    <w:p w14:paraId="4762D16E" w14:textId="77777777" w:rsidR="00FA7442" w:rsidRPr="00D62002" w:rsidRDefault="00FA7442" w:rsidP="00C4100D">
      <w:pPr>
        <w:pStyle w:val="ListParagraph"/>
        <w:numPr>
          <w:ilvl w:val="0"/>
          <w:numId w:val="85"/>
        </w:numPr>
        <w:autoSpaceDE w:val="0"/>
        <w:autoSpaceDN w:val="0"/>
        <w:adjustRightInd w:val="0"/>
        <w:spacing w:after="0" w:line="360" w:lineRule="auto"/>
        <w:rPr>
          <w:color w:val="000000"/>
        </w:rPr>
      </w:pPr>
      <w:r w:rsidRPr="00D62002">
        <w:rPr>
          <w:color w:val="000000"/>
        </w:rPr>
        <w:t xml:space="preserve">Concentración de materia seca: 2 g MS/l </w:t>
      </w:r>
    </w:p>
    <w:p w14:paraId="3509542F" w14:textId="77777777" w:rsidR="00FA7442" w:rsidRPr="00D62002" w:rsidRDefault="00FA7442" w:rsidP="00C4100D">
      <w:pPr>
        <w:pStyle w:val="ListParagraph"/>
        <w:numPr>
          <w:ilvl w:val="0"/>
          <w:numId w:val="85"/>
        </w:numPr>
        <w:autoSpaceDE w:val="0"/>
        <w:autoSpaceDN w:val="0"/>
        <w:adjustRightInd w:val="0"/>
        <w:spacing w:after="0" w:line="360" w:lineRule="auto"/>
        <w:rPr>
          <w:color w:val="000000"/>
        </w:rPr>
      </w:pPr>
      <w:r w:rsidRPr="00D62002">
        <w:rPr>
          <w:color w:val="000000"/>
        </w:rPr>
        <w:t xml:space="preserve">Temperatura del efluente: 15° C </w:t>
      </w:r>
    </w:p>
    <w:p w14:paraId="41EF6624" w14:textId="77777777" w:rsidR="00FA7442" w:rsidRPr="00D62002" w:rsidRDefault="00FA7442" w:rsidP="00FA7442">
      <w:pPr>
        <w:autoSpaceDE w:val="0"/>
        <w:autoSpaceDN w:val="0"/>
        <w:adjustRightInd w:val="0"/>
        <w:spacing w:after="0" w:line="360" w:lineRule="auto"/>
        <w:rPr>
          <w:color w:val="000000"/>
        </w:rPr>
      </w:pPr>
      <w:r w:rsidRPr="00D62002">
        <w:rPr>
          <w:color w:val="000000"/>
        </w:rPr>
        <w:t xml:space="preserve">La alimentación de cada celda de aireación se realiza por medio de una abertura. La distribución de los caudales es asegurada por el calado de los vertederos de salida de cada celda de aireación. Los mismos están construidos en acero inoxidable 304 L. </w:t>
      </w:r>
    </w:p>
    <w:p w14:paraId="182E4F78" w14:textId="77777777" w:rsidR="00FA7442" w:rsidRPr="00D62002" w:rsidRDefault="00FA7442" w:rsidP="00FA7442">
      <w:pPr>
        <w:pStyle w:val="Default"/>
        <w:spacing w:before="240" w:after="60" w:line="360" w:lineRule="auto"/>
        <w:jc w:val="both"/>
        <w:rPr>
          <w:rFonts w:ascii="Arial" w:hAnsi="Arial" w:cs="Arial"/>
          <w:sz w:val="22"/>
          <w:szCs w:val="22"/>
        </w:rPr>
      </w:pPr>
      <w:r w:rsidRPr="00D62002">
        <w:rPr>
          <w:rFonts w:ascii="Arial" w:hAnsi="Arial" w:cs="Arial"/>
          <w:sz w:val="22"/>
          <w:szCs w:val="22"/>
        </w:rPr>
        <w:t>Las celdas están concebidas de manera tal que puedan ser vaciadas de manera independiente y que el caudal que resulta de la parada de una línea, sea distribuido en las otras líneas de funcionamiento. Para realizar dicha operación, la obturación de la abertura de alimentación se hace con la ayuda de compuertas de aislación.</w:t>
      </w:r>
    </w:p>
    <w:p w14:paraId="43AB60A5" w14:textId="77777777" w:rsidR="00FA7442" w:rsidRPr="00D62002" w:rsidRDefault="00FA7442" w:rsidP="00FA7442">
      <w:pPr>
        <w:pStyle w:val="Default"/>
        <w:spacing w:before="240" w:after="60" w:line="360" w:lineRule="auto"/>
        <w:jc w:val="both"/>
        <w:rPr>
          <w:rFonts w:ascii="Arial" w:hAnsi="Arial" w:cs="Arial"/>
          <w:sz w:val="22"/>
          <w:szCs w:val="22"/>
        </w:rPr>
      </w:pPr>
      <w:r w:rsidRPr="00D62002">
        <w:rPr>
          <w:rFonts w:ascii="Arial" w:hAnsi="Arial" w:cs="Arial"/>
          <w:sz w:val="22"/>
          <w:szCs w:val="22"/>
        </w:rPr>
        <w:t xml:space="preserve">Cada soplador está equipado con un motor de doble velocidad de 400 V y 50 Hz. En funcionamiento a baja velocidad el soplador puede proporcionar 3000 Nm³/h de oxígeno; y en alta velocidad 6000 Nm³/h de oxígeno. </w:t>
      </w:r>
    </w:p>
    <w:p w14:paraId="20A780AC" w14:textId="77777777" w:rsidR="00FA7442" w:rsidRPr="00D62002" w:rsidRDefault="00FA7442" w:rsidP="00FA7442">
      <w:pPr>
        <w:pStyle w:val="Default"/>
        <w:spacing w:before="240" w:after="60" w:line="360" w:lineRule="auto"/>
        <w:jc w:val="both"/>
        <w:rPr>
          <w:rFonts w:ascii="Arial" w:hAnsi="Arial" w:cs="Arial"/>
          <w:sz w:val="22"/>
          <w:szCs w:val="22"/>
        </w:rPr>
      </w:pPr>
      <w:r w:rsidRPr="00D62002">
        <w:rPr>
          <w:rFonts w:ascii="Arial" w:hAnsi="Arial" w:cs="Arial"/>
          <w:sz w:val="22"/>
          <w:szCs w:val="22"/>
        </w:rPr>
        <w:t xml:space="preserve">La distribución de aire hacia los tanques de aireación, se hace por medio de dos cañerías de acero inoxidable 304 L. Cada una de ellas, está equipada por una medición y totalización de caudal de aire, y alimenta un tanque de aireación. Después, cada celda es alimentada por una cañería equipada con una medición de caudal. </w:t>
      </w:r>
    </w:p>
    <w:p w14:paraId="54FFFB15" w14:textId="77777777" w:rsidR="00FA7442" w:rsidRPr="00D62002" w:rsidRDefault="00FA7442" w:rsidP="00FA7442">
      <w:pPr>
        <w:pStyle w:val="Default"/>
        <w:spacing w:before="240" w:after="60" w:line="360" w:lineRule="auto"/>
        <w:jc w:val="both"/>
        <w:rPr>
          <w:rFonts w:ascii="Arial" w:hAnsi="Arial" w:cs="Arial"/>
          <w:sz w:val="22"/>
          <w:szCs w:val="22"/>
        </w:rPr>
      </w:pPr>
      <w:r w:rsidRPr="00D62002">
        <w:rPr>
          <w:rFonts w:ascii="Arial" w:hAnsi="Arial" w:cs="Arial"/>
          <w:sz w:val="22"/>
          <w:szCs w:val="22"/>
        </w:rPr>
        <w:t xml:space="preserve">Cada celda, cuenta con una red de distribución de aire, compuesta por difusores de aire de burbujas finas, compuesto por una membrana flexible. Esta red está formada por la interconexión de cañerías de PVC, fijadas al fondo del tanque por medio de soportes de acero inoxidable. Su alimentación, se realiza por medio de un alimentador equipado de una válvula de aislación que vincula la cañería general de alimentación y la caja de conexión a la red de fondo. </w:t>
      </w:r>
    </w:p>
    <w:p w14:paraId="7B504219" w14:textId="77777777" w:rsidR="00FA7442" w:rsidRPr="00D62002" w:rsidRDefault="00FA7442" w:rsidP="00FA7442">
      <w:pPr>
        <w:pStyle w:val="Default"/>
        <w:spacing w:before="240" w:after="60" w:line="360" w:lineRule="auto"/>
        <w:jc w:val="both"/>
        <w:rPr>
          <w:rFonts w:ascii="Arial" w:hAnsi="Arial" w:cs="Arial"/>
          <w:sz w:val="22"/>
          <w:szCs w:val="22"/>
        </w:rPr>
      </w:pPr>
      <w:r w:rsidRPr="00D62002">
        <w:rPr>
          <w:rFonts w:ascii="Arial" w:hAnsi="Arial" w:cs="Arial"/>
          <w:sz w:val="22"/>
          <w:szCs w:val="22"/>
        </w:rPr>
        <w:t xml:space="preserve">La cantidad y disposición de los difusores en la red, está estudiada de manera tal que cuando los sopladores funcionen a gran velocidad, la disipación de energía que resulta de la insuflación de aire permita asegurar la agitación de la biomasa contenida en el tanque de aireación, sin necesidad de empleo de otro tipo de sistema. </w:t>
      </w:r>
    </w:p>
    <w:p w14:paraId="5104A162" w14:textId="77777777" w:rsidR="00FA7442" w:rsidRPr="00D62002" w:rsidRDefault="00FA7442" w:rsidP="00FA7442">
      <w:pPr>
        <w:pStyle w:val="Default"/>
        <w:spacing w:before="240" w:after="60" w:line="360" w:lineRule="auto"/>
        <w:jc w:val="both"/>
        <w:rPr>
          <w:rFonts w:ascii="Arial" w:hAnsi="Arial" w:cs="Arial"/>
          <w:sz w:val="22"/>
          <w:szCs w:val="22"/>
        </w:rPr>
      </w:pPr>
      <w:r w:rsidRPr="00D62002">
        <w:rPr>
          <w:rFonts w:ascii="Arial" w:hAnsi="Arial" w:cs="Arial"/>
          <w:sz w:val="22"/>
          <w:szCs w:val="22"/>
        </w:rPr>
        <w:t xml:space="preserve">Respecto de la obra civil los edificios a construir son: </w:t>
      </w:r>
    </w:p>
    <w:p w14:paraId="39B00072" w14:textId="77777777" w:rsidR="00FA7442" w:rsidRPr="00D62002" w:rsidRDefault="00FA7442" w:rsidP="00C4100D">
      <w:pPr>
        <w:pStyle w:val="Default"/>
        <w:numPr>
          <w:ilvl w:val="0"/>
          <w:numId w:val="85"/>
        </w:numPr>
        <w:spacing w:line="360" w:lineRule="auto"/>
        <w:jc w:val="both"/>
        <w:rPr>
          <w:rFonts w:ascii="Arial" w:hAnsi="Arial" w:cs="Arial"/>
          <w:sz w:val="22"/>
          <w:szCs w:val="22"/>
        </w:rPr>
      </w:pPr>
      <w:r w:rsidRPr="00D62002">
        <w:rPr>
          <w:rFonts w:ascii="Arial" w:hAnsi="Arial" w:cs="Arial"/>
          <w:sz w:val="22"/>
          <w:szCs w:val="22"/>
        </w:rPr>
        <w:t xml:space="preserve">Tanques de Aireación: que incluye la Cámara de entrada, la Cámara de salida y la Cámara de recirculación de lodos </w:t>
      </w:r>
    </w:p>
    <w:p w14:paraId="300DF912" w14:textId="77777777" w:rsidR="00FA7442" w:rsidRPr="00D62002" w:rsidRDefault="00FA7442" w:rsidP="00C4100D">
      <w:pPr>
        <w:pStyle w:val="Default"/>
        <w:numPr>
          <w:ilvl w:val="0"/>
          <w:numId w:val="85"/>
        </w:numPr>
        <w:spacing w:line="360" w:lineRule="auto"/>
        <w:jc w:val="both"/>
        <w:rPr>
          <w:rFonts w:ascii="Arial" w:hAnsi="Arial" w:cs="Arial"/>
          <w:sz w:val="22"/>
          <w:szCs w:val="22"/>
        </w:rPr>
      </w:pPr>
      <w:r w:rsidRPr="00D62002">
        <w:rPr>
          <w:rFonts w:ascii="Arial" w:hAnsi="Arial" w:cs="Arial"/>
          <w:sz w:val="22"/>
          <w:szCs w:val="22"/>
        </w:rPr>
        <w:t xml:space="preserve">Cámara de medición de ingreso a aireación </w:t>
      </w:r>
    </w:p>
    <w:p w14:paraId="2318F158" w14:textId="77777777" w:rsidR="00FA7442" w:rsidRPr="00D62002" w:rsidRDefault="00FA7442" w:rsidP="00C4100D">
      <w:pPr>
        <w:pStyle w:val="Default"/>
        <w:numPr>
          <w:ilvl w:val="0"/>
          <w:numId w:val="85"/>
        </w:numPr>
        <w:spacing w:line="360" w:lineRule="auto"/>
        <w:jc w:val="both"/>
        <w:rPr>
          <w:rFonts w:ascii="Arial" w:hAnsi="Arial" w:cs="Arial"/>
          <w:sz w:val="22"/>
          <w:szCs w:val="22"/>
        </w:rPr>
      </w:pPr>
      <w:r w:rsidRPr="00D62002">
        <w:rPr>
          <w:rFonts w:ascii="Arial" w:hAnsi="Arial" w:cs="Arial"/>
          <w:sz w:val="22"/>
          <w:szCs w:val="22"/>
        </w:rPr>
        <w:t xml:space="preserve">Edificio de soplantes </w:t>
      </w:r>
    </w:p>
    <w:p w14:paraId="0EEF9397" w14:textId="77777777" w:rsidR="00FA7442" w:rsidRPr="00D62002" w:rsidRDefault="00FA7442" w:rsidP="00FA7442">
      <w:pPr>
        <w:pStyle w:val="Default"/>
        <w:spacing w:line="360" w:lineRule="auto"/>
        <w:jc w:val="both"/>
        <w:rPr>
          <w:rFonts w:ascii="Arial" w:hAnsi="Arial" w:cs="Arial"/>
          <w:sz w:val="22"/>
          <w:szCs w:val="22"/>
        </w:rPr>
      </w:pPr>
      <w:r w:rsidRPr="00D62002">
        <w:rPr>
          <w:rFonts w:ascii="Arial" w:hAnsi="Arial" w:cs="Arial"/>
          <w:sz w:val="22"/>
          <w:szCs w:val="22"/>
        </w:rPr>
        <w:t xml:space="preserve">Es necesario aclarar que el ítem “Edificio de soplantes” incluye la obra civil para la colocación de los equipos de aireación y de la parte eléctrica necesaria (transformadores y grupo electrógeno). </w:t>
      </w:r>
    </w:p>
    <w:p w14:paraId="17FDBA6F" w14:textId="77777777" w:rsidR="00FA7442" w:rsidRPr="00D62002" w:rsidRDefault="00FA7442" w:rsidP="00FA7442">
      <w:pPr>
        <w:pStyle w:val="Default"/>
        <w:spacing w:before="240" w:after="60" w:line="360" w:lineRule="auto"/>
        <w:jc w:val="both"/>
        <w:rPr>
          <w:rFonts w:ascii="Arial" w:hAnsi="Arial" w:cs="Arial"/>
          <w:sz w:val="22"/>
          <w:szCs w:val="22"/>
        </w:rPr>
      </w:pPr>
      <w:r w:rsidRPr="00D62002">
        <w:rPr>
          <w:rFonts w:ascii="Arial" w:hAnsi="Arial" w:cs="Arial"/>
          <w:sz w:val="22"/>
          <w:szCs w:val="22"/>
        </w:rPr>
        <w:t xml:space="preserve">Respecto de la obra electromecánica la provisión y el montaje incluyen: </w:t>
      </w:r>
    </w:p>
    <w:p w14:paraId="7BE5FF19" w14:textId="77777777" w:rsidR="00FA7442" w:rsidRPr="00D62002" w:rsidRDefault="00FA7442" w:rsidP="00C4100D">
      <w:pPr>
        <w:pStyle w:val="Default"/>
        <w:numPr>
          <w:ilvl w:val="0"/>
          <w:numId w:val="85"/>
        </w:numPr>
        <w:spacing w:line="360" w:lineRule="auto"/>
        <w:jc w:val="both"/>
        <w:rPr>
          <w:rFonts w:ascii="Arial" w:hAnsi="Arial" w:cs="Arial"/>
          <w:sz w:val="22"/>
          <w:szCs w:val="22"/>
        </w:rPr>
      </w:pPr>
      <w:r w:rsidRPr="00D62002">
        <w:rPr>
          <w:rFonts w:ascii="Arial" w:hAnsi="Arial" w:cs="Arial"/>
          <w:sz w:val="22"/>
          <w:szCs w:val="22"/>
        </w:rPr>
        <w:t xml:space="preserve">Soplantes de aire con cañerías de distribución a los tanques de aireación, </w:t>
      </w:r>
    </w:p>
    <w:p w14:paraId="41786CED" w14:textId="77777777" w:rsidR="00FA7442" w:rsidRPr="00D62002" w:rsidRDefault="00FA7442" w:rsidP="00C4100D">
      <w:pPr>
        <w:pStyle w:val="Default"/>
        <w:numPr>
          <w:ilvl w:val="0"/>
          <w:numId w:val="85"/>
        </w:numPr>
        <w:spacing w:line="360" w:lineRule="auto"/>
        <w:jc w:val="both"/>
        <w:rPr>
          <w:rFonts w:ascii="Arial" w:hAnsi="Arial" w:cs="Arial"/>
          <w:sz w:val="22"/>
          <w:szCs w:val="22"/>
        </w:rPr>
      </w:pPr>
      <w:r w:rsidRPr="00D62002">
        <w:rPr>
          <w:rFonts w:ascii="Arial" w:hAnsi="Arial" w:cs="Arial"/>
          <w:sz w:val="22"/>
          <w:szCs w:val="22"/>
        </w:rPr>
        <w:t xml:space="preserve">Parrillas de distribución y soportes </w:t>
      </w:r>
    </w:p>
    <w:p w14:paraId="43F789E7" w14:textId="77777777" w:rsidR="00FA7442" w:rsidRPr="00D62002" w:rsidRDefault="00FA7442" w:rsidP="00C4100D">
      <w:pPr>
        <w:pStyle w:val="Default"/>
        <w:numPr>
          <w:ilvl w:val="0"/>
          <w:numId w:val="85"/>
        </w:numPr>
        <w:spacing w:line="360" w:lineRule="auto"/>
        <w:jc w:val="both"/>
        <w:rPr>
          <w:rFonts w:ascii="Arial" w:hAnsi="Arial" w:cs="Arial"/>
          <w:sz w:val="22"/>
          <w:szCs w:val="22"/>
        </w:rPr>
      </w:pPr>
      <w:r w:rsidRPr="00D62002">
        <w:rPr>
          <w:rFonts w:ascii="Arial" w:hAnsi="Arial" w:cs="Arial"/>
          <w:sz w:val="22"/>
          <w:szCs w:val="22"/>
        </w:rPr>
        <w:t xml:space="preserve">Difusores de burbujas finas. </w:t>
      </w:r>
    </w:p>
    <w:p w14:paraId="0A72398A" w14:textId="77777777" w:rsidR="00FA7442" w:rsidRPr="00D62002" w:rsidRDefault="00FA7442" w:rsidP="00C4100D">
      <w:pPr>
        <w:pStyle w:val="Default"/>
        <w:numPr>
          <w:ilvl w:val="0"/>
          <w:numId w:val="85"/>
        </w:numPr>
        <w:spacing w:line="360" w:lineRule="auto"/>
        <w:jc w:val="both"/>
        <w:rPr>
          <w:rFonts w:ascii="Arial" w:hAnsi="Arial" w:cs="Arial"/>
          <w:sz w:val="22"/>
          <w:szCs w:val="22"/>
        </w:rPr>
      </w:pPr>
      <w:r w:rsidRPr="00D62002">
        <w:rPr>
          <w:rFonts w:ascii="Arial" w:hAnsi="Arial" w:cs="Arial"/>
          <w:sz w:val="22"/>
          <w:szCs w:val="22"/>
        </w:rPr>
        <w:t xml:space="preserve">Clarificadores de succión para una recirculación del 100% al 150% </w:t>
      </w:r>
    </w:p>
    <w:p w14:paraId="5B1615B5" w14:textId="77777777" w:rsidR="00FA7442" w:rsidRPr="00D002C7" w:rsidRDefault="00FA7442" w:rsidP="00C4100D">
      <w:pPr>
        <w:pStyle w:val="Default"/>
        <w:numPr>
          <w:ilvl w:val="0"/>
          <w:numId w:val="85"/>
        </w:numPr>
      </w:pPr>
      <w:r w:rsidRPr="00D62002">
        <w:rPr>
          <w:rFonts w:ascii="Arial" w:hAnsi="Arial" w:cs="Arial"/>
          <w:sz w:val="22"/>
          <w:szCs w:val="22"/>
        </w:rPr>
        <w:t xml:space="preserve">Conjunto de bombas de recirculación de lodos </w:t>
      </w:r>
    </w:p>
    <w:p w14:paraId="794BB1E4" w14:textId="77777777" w:rsidR="00FA7442" w:rsidRPr="00D002C7" w:rsidRDefault="00FA7442" w:rsidP="00FA7442">
      <w:pPr>
        <w:pStyle w:val="Default"/>
        <w:ind w:left="720"/>
      </w:pPr>
    </w:p>
    <w:p w14:paraId="7CDAD36E" w14:textId="77777777" w:rsidR="00FA7442" w:rsidRDefault="00FA7442" w:rsidP="003F3092">
      <w:pPr>
        <w:pStyle w:val="Cuadroseilustraciones"/>
        <w:spacing w:before="240" w:after="120" w:line="360" w:lineRule="auto"/>
        <w:rPr>
          <w:rFonts w:cs="Arial"/>
          <w:b w:val="0"/>
          <w:szCs w:val="22"/>
          <w:lang w:val="es-AR"/>
        </w:rPr>
        <w:sectPr w:rsidR="00FA7442" w:rsidSect="00D3445E">
          <w:footerReference w:type="default" r:id="rId219"/>
          <w:pgSz w:w="11906" w:h="16838" w:code="9"/>
          <w:pgMar w:top="1928" w:right="1701" w:bottom="1418" w:left="1701" w:header="709" w:footer="794" w:gutter="0"/>
          <w:cols w:space="708"/>
          <w:docGrid w:linePitch="360"/>
        </w:sectPr>
      </w:pPr>
    </w:p>
    <w:p w14:paraId="19F77EF6" w14:textId="77777777" w:rsidR="00307E24" w:rsidRPr="00573E67" w:rsidRDefault="00307E24" w:rsidP="00307E24"/>
    <w:p w14:paraId="46CE6E85" w14:textId="68DAA326" w:rsidR="00307E24" w:rsidRPr="00573E67" w:rsidRDefault="00307E24" w:rsidP="00307E24">
      <w:pPr>
        <w:pStyle w:val="Ttulo1"/>
        <w:spacing w:line="360" w:lineRule="auto"/>
      </w:pPr>
      <w:bookmarkStart w:id="1225" w:name="_Toc199849174"/>
      <w:bookmarkStart w:id="1226" w:name="_Toc199855172"/>
      <w:bookmarkStart w:id="1227" w:name="_Toc483227483"/>
      <w:bookmarkStart w:id="1228" w:name="_Toc485200296"/>
      <w:r w:rsidRPr="00573E67">
        <w:t xml:space="preserve">Anexo </w:t>
      </w:r>
      <w:bookmarkStart w:id="1229" w:name="_Toc199849175"/>
      <w:bookmarkStart w:id="1230" w:name="_Toc199855173"/>
      <w:bookmarkEnd w:id="1225"/>
      <w:bookmarkEnd w:id="1226"/>
      <w:r w:rsidRPr="00307E24">
        <w:rPr>
          <w:lang w:val="pt-BR"/>
        </w:rPr>
        <w:t>8</w:t>
      </w:r>
      <w:r>
        <w:t xml:space="preserve">: </w:t>
      </w:r>
      <w:r w:rsidRPr="00573E67">
        <w:t xml:space="preserve">Detalle de Cálculo Costos </w:t>
      </w:r>
      <w:bookmarkEnd w:id="1229"/>
      <w:bookmarkEnd w:id="1230"/>
      <w:r>
        <w:t>Operativos</w:t>
      </w:r>
      <w:bookmarkEnd w:id="1227"/>
      <w:bookmarkEnd w:id="1228"/>
    </w:p>
    <w:p w14:paraId="7872C545" w14:textId="77777777" w:rsidR="00307E24" w:rsidRPr="00A95DF9" w:rsidRDefault="00307E24" w:rsidP="00307E24">
      <w:pPr>
        <w:spacing w:before="240" w:line="360" w:lineRule="auto"/>
        <w:rPr>
          <w:lang w:val="pt-BR"/>
        </w:rPr>
      </w:pPr>
    </w:p>
    <w:p w14:paraId="6606E9EA" w14:textId="77777777" w:rsidR="00307E24" w:rsidRPr="009C787B" w:rsidRDefault="00307E24" w:rsidP="00307E24">
      <w:pPr>
        <w:spacing w:before="240" w:line="360" w:lineRule="auto"/>
      </w:pPr>
      <w:r w:rsidRPr="009C787B">
        <w:t xml:space="preserve">En primer lugar es posible mencionar que Berazategui tiene capacidad de tratamiento de 656 millones de m3 al año. </w:t>
      </w:r>
    </w:p>
    <w:p w14:paraId="3248ADF8" w14:textId="77777777" w:rsidR="00307E24" w:rsidRPr="009C787B" w:rsidRDefault="00307E24" w:rsidP="00307E24">
      <w:pPr>
        <w:spacing w:before="240" w:line="360" w:lineRule="auto"/>
      </w:pPr>
      <w:r w:rsidRPr="009C787B">
        <w:t>A su vez, la planta Wilde, que utiliza una tecnología similar a la propuesta en la Alternativa 1 (Nuevo Emisario) tiene capacidad de tratamiento de 674 millones de m3 al año y la Planta Norte, en donde se emplea una tecnología similar a la propuesta en la Alternativa 2 (Tratamiento Secundario)</w:t>
      </w:r>
      <w:r>
        <w:t>,</w:t>
      </w:r>
      <w:r w:rsidRPr="009C787B">
        <w:t xml:space="preserve"> trata 44 millones.</w:t>
      </w:r>
    </w:p>
    <w:p w14:paraId="2946D584" w14:textId="77777777" w:rsidR="00307E24" w:rsidRPr="009C787B" w:rsidRDefault="00307E24" w:rsidP="00307E24">
      <w:pPr>
        <w:spacing w:before="240" w:line="360" w:lineRule="auto"/>
        <w:rPr>
          <w:b/>
        </w:rPr>
      </w:pPr>
      <w:r>
        <w:rPr>
          <w:b/>
        </w:rPr>
        <w:t xml:space="preserve">Cuadro AV.1 </w:t>
      </w:r>
      <w:r w:rsidRPr="009C787B">
        <w:rPr>
          <w:b/>
        </w:rPr>
        <w:t>Capacidad de tratamiento Berazategui</w:t>
      </w:r>
    </w:p>
    <w:p w14:paraId="1D79FB4D" w14:textId="77777777" w:rsidR="00307E24" w:rsidRPr="009C787B" w:rsidRDefault="00307E24" w:rsidP="00307E24">
      <w:pPr>
        <w:spacing w:before="240" w:line="360" w:lineRule="auto"/>
        <w:rPr>
          <w:b/>
        </w:rPr>
      </w:pPr>
      <w:r w:rsidRPr="003B615C">
        <w:rPr>
          <w:noProof/>
          <w:lang w:eastAsia="es-AR"/>
        </w:rPr>
        <w:drawing>
          <wp:inline distT="0" distB="0" distL="0" distR="0" wp14:anchorId="08B9C018" wp14:editId="590AFDE2">
            <wp:extent cx="5400675" cy="3286125"/>
            <wp:effectExtent l="0" t="0" r="9525" b="9525"/>
            <wp:docPr id="151"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00675" cy="3286125"/>
                    </a:xfrm>
                    <a:prstGeom prst="rect">
                      <a:avLst/>
                    </a:prstGeom>
                    <a:noFill/>
                    <a:ln>
                      <a:noFill/>
                    </a:ln>
                  </pic:spPr>
                </pic:pic>
              </a:graphicData>
            </a:graphic>
          </wp:inline>
        </w:drawing>
      </w:r>
    </w:p>
    <w:p w14:paraId="6BAA8459" w14:textId="77777777" w:rsidR="00307E24" w:rsidRDefault="00307E24" w:rsidP="00307E24">
      <w:pPr>
        <w:spacing w:before="240" w:line="360" w:lineRule="auto"/>
      </w:pPr>
      <w:r w:rsidRPr="009C787B">
        <w:t>Por otro lado, puede observarse que los costos</w:t>
      </w:r>
      <w:r>
        <w:t xml:space="preserve"> operativos y de mantenimiento para estas plantas se desagregan de la manera que sigue:</w:t>
      </w:r>
    </w:p>
    <w:p w14:paraId="07A44033" w14:textId="77777777" w:rsidR="00307E24" w:rsidRDefault="00307E24" w:rsidP="00307E24">
      <w:pPr>
        <w:spacing w:before="240" w:line="360" w:lineRule="auto"/>
        <w:rPr>
          <w:b/>
        </w:rPr>
      </w:pPr>
    </w:p>
    <w:p w14:paraId="433F8D5D" w14:textId="77777777" w:rsidR="00307E24" w:rsidRDefault="00307E24" w:rsidP="00307E24">
      <w:pPr>
        <w:spacing w:before="240" w:line="360" w:lineRule="auto"/>
        <w:rPr>
          <w:b/>
        </w:rPr>
      </w:pPr>
    </w:p>
    <w:p w14:paraId="781F0265" w14:textId="77777777" w:rsidR="00307E24" w:rsidRPr="009C787B" w:rsidRDefault="00307E24" w:rsidP="00307E24">
      <w:pPr>
        <w:spacing w:before="240" w:line="360" w:lineRule="auto"/>
        <w:rPr>
          <w:b/>
        </w:rPr>
      </w:pPr>
      <w:r>
        <w:rPr>
          <w:b/>
        </w:rPr>
        <w:t xml:space="preserve">Cuadro AV.2. </w:t>
      </w:r>
      <w:r w:rsidRPr="009C787B">
        <w:rPr>
          <w:b/>
        </w:rPr>
        <w:t>Gastos Operativos para Planta de Wilde, Planta Norte y Planta Berazategui.</w:t>
      </w:r>
    </w:p>
    <w:p w14:paraId="58ABE62F" w14:textId="77777777" w:rsidR="00307E24" w:rsidRDefault="00307E24" w:rsidP="00307E24">
      <w:pPr>
        <w:spacing w:before="240" w:line="360" w:lineRule="auto"/>
        <w:rPr>
          <w:noProof/>
          <w:lang w:eastAsia="es-AR"/>
        </w:rPr>
      </w:pPr>
      <w:r w:rsidRPr="003B615C">
        <w:rPr>
          <w:noProof/>
          <w:lang w:eastAsia="es-AR"/>
        </w:rPr>
        <w:drawing>
          <wp:inline distT="0" distB="0" distL="0" distR="0" wp14:anchorId="15BAA48A" wp14:editId="34470904">
            <wp:extent cx="5400675" cy="3238500"/>
            <wp:effectExtent l="0" t="0" r="9525" b="0"/>
            <wp:docPr id="152"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00675" cy="3238500"/>
                    </a:xfrm>
                    <a:prstGeom prst="rect">
                      <a:avLst/>
                    </a:prstGeom>
                    <a:noFill/>
                    <a:ln>
                      <a:noFill/>
                    </a:ln>
                  </pic:spPr>
                </pic:pic>
              </a:graphicData>
            </a:graphic>
          </wp:inline>
        </w:drawing>
      </w:r>
    </w:p>
    <w:p w14:paraId="55AA7EE7" w14:textId="77777777" w:rsidR="00307E24" w:rsidRDefault="00307E24" w:rsidP="00307E24">
      <w:pPr>
        <w:spacing w:before="240" w:line="360" w:lineRule="auto"/>
        <w:rPr>
          <w:noProof/>
          <w:lang w:eastAsia="es-AR"/>
        </w:rPr>
      </w:pPr>
      <w:r>
        <w:rPr>
          <w:noProof/>
          <w:lang w:eastAsia="es-AR"/>
        </w:rPr>
        <w:t xml:space="preserve">La columna uno presenta los gastos de la Planta Wilde, la columna 2 incluye los de la Planta Norte y la columna 3 los de Berazategui. </w:t>
      </w:r>
    </w:p>
    <w:p w14:paraId="08D337FE" w14:textId="77777777" w:rsidR="00307E24" w:rsidRDefault="00307E24" w:rsidP="00307E24">
      <w:pPr>
        <w:spacing w:before="240" w:line="360" w:lineRule="auto"/>
        <w:rPr>
          <w:noProof/>
          <w:lang w:eastAsia="es-AR"/>
        </w:rPr>
      </w:pPr>
      <w:r>
        <w:rPr>
          <w:noProof/>
          <w:lang w:eastAsia="es-AR"/>
        </w:rPr>
        <w:t xml:space="preserve">Los gastos de la Planta Norte pueden llevarse a un costo por m3 al dividir, por ejemplo, los 12 millones de pesos desembolsados en energía por el volumen total de líquido tratado en la planta de 44 millones m3, lo que arroja un gasto en energía de 27 centavos por cada m3 tratado. </w:t>
      </w:r>
    </w:p>
    <w:p w14:paraId="2A17B71C" w14:textId="77777777" w:rsidR="00307E24" w:rsidRDefault="00307E24" w:rsidP="00307E24">
      <w:pPr>
        <w:spacing w:before="240" w:line="360" w:lineRule="auto"/>
        <w:rPr>
          <w:noProof/>
          <w:lang w:eastAsia="es-AR"/>
        </w:rPr>
      </w:pPr>
      <w:r>
        <w:rPr>
          <w:noProof/>
          <w:lang w:eastAsia="es-AR"/>
        </w:rPr>
        <w:t xml:space="preserve">Luego se puede ajustar la escala por el volumen tratado en la Planta Berazategui de 65 millones de m3, lo que implica que el gasto en energía sería de 181 millones de pesos por año, cuando se usa la tecnología de la Planta Norte para el volumen de tratamiento de Berazategui. </w:t>
      </w:r>
    </w:p>
    <w:p w14:paraId="6AD86A9C" w14:textId="77777777" w:rsidR="00307E24" w:rsidRDefault="00307E24" w:rsidP="00307E24">
      <w:pPr>
        <w:spacing w:before="240" w:line="360" w:lineRule="auto"/>
        <w:rPr>
          <w:noProof/>
          <w:lang w:eastAsia="es-AR"/>
        </w:rPr>
      </w:pPr>
      <w:r>
        <w:rPr>
          <w:noProof/>
          <w:lang w:eastAsia="es-AR"/>
        </w:rPr>
        <w:t xml:space="preserve">Una vez ajustada la escalada, puede mencionarse que en la Planta Norte se realiza pre tratamiento y Tratamiento Secundario, por lo que puede descontarse el gasto en energía de la Planta Berazategui (en donde se hace pre tratamiento), para tener una noción del costo energético puntualmente para el Tratamiento Secundario. La cifra es de 160 millones de pesos. </w:t>
      </w:r>
    </w:p>
    <w:p w14:paraId="0B7EE0C8" w14:textId="77777777" w:rsidR="00307E24" w:rsidRDefault="00307E24" w:rsidP="00307E24">
      <w:pPr>
        <w:spacing w:before="240" w:line="360" w:lineRule="auto"/>
        <w:rPr>
          <w:noProof/>
          <w:lang w:eastAsia="es-AR"/>
        </w:rPr>
      </w:pPr>
      <w:r>
        <w:rPr>
          <w:noProof/>
          <w:lang w:eastAsia="es-AR"/>
        </w:rPr>
        <w:t xml:space="preserve">A su vez, este monto se puede pasar a dólares, con un tipo de cambio de 16,1 pesos por dólar, con lo que se alcanza un costo de casi 10 millones de dólares al año en energía para la Alternativa 2. </w:t>
      </w:r>
    </w:p>
    <w:p w14:paraId="1D8200BF" w14:textId="77777777" w:rsidR="00307E24" w:rsidRDefault="00307E24" w:rsidP="00307E24">
      <w:pPr>
        <w:spacing w:before="240" w:line="360" w:lineRule="auto"/>
        <w:rPr>
          <w:noProof/>
          <w:lang w:eastAsia="es-AR"/>
        </w:rPr>
      </w:pPr>
      <w:r>
        <w:rPr>
          <w:noProof/>
          <w:lang w:eastAsia="es-AR"/>
        </w:rPr>
        <w:t>Este procedimiento puede replicarse para el resto de los rubros asociados con gastos de operación mantenimiento. De esta forma, se alcanzaron los costos operativos que se emplearon en la evaluación de mínimo costos para la Alternativa 2 y que se  presentan en el cuadro que sigue:</w:t>
      </w:r>
    </w:p>
    <w:p w14:paraId="1F6359AF" w14:textId="77777777" w:rsidR="00307E24" w:rsidRPr="00B36D3E" w:rsidRDefault="00307E24" w:rsidP="00307E24">
      <w:pPr>
        <w:spacing w:before="240" w:line="360" w:lineRule="auto"/>
        <w:rPr>
          <w:b/>
          <w:noProof/>
          <w:lang w:eastAsia="es-AR"/>
        </w:rPr>
      </w:pPr>
      <w:r w:rsidRPr="00B36D3E">
        <w:rPr>
          <w:b/>
          <w:noProof/>
          <w:lang w:eastAsia="es-AR"/>
        </w:rPr>
        <w:t xml:space="preserve">Cuadro AV.3. Gastos de operación y mantenimiento para la Alternativa 2, a precios de mercado, en miles de dólares. </w:t>
      </w:r>
    </w:p>
    <w:p w14:paraId="41744E30" w14:textId="77777777" w:rsidR="00307E24" w:rsidRDefault="00307E24" w:rsidP="00307E24">
      <w:pPr>
        <w:spacing w:before="240" w:line="360" w:lineRule="auto"/>
        <w:rPr>
          <w:noProof/>
          <w:lang w:eastAsia="es-AR"/>
        </w:rPr>
      </w:pPr>
      <w:r w:rsidRPr="00B36D3E">
        <w:rPr>
          <w:noProof/>
          <w:lang w:eastAsia="es-AR"/>
        </w:rPr>
        <w:drawing>
          <wp:inline distT="0" distB="0" distL="0" distR="0" wp14:anchorId="2431B1DA" wp14:editId="2180B20B">
            <wp:extent cx="3743325" cy="1676400"/>
            <wp:effectExtent l="0" t="0" r="9525" b="0"/>
            <wp:docPr id="15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743325" cy="1676400"/>
                    </a:xfrm>
                    <a:prstGeom prst="rect">
                      <a:avLst/>
                    </a:prstGeom>
                    <a:noFill/>
                    <a:ln>
                      <a:noFill/>
                    </a:ln>
                  </pic:spPr>
                </pic:pic>
              </a:graphicData>
            </a:graphic>
          </wp:inline>
        </w:drawing>
      </w:r>
    </w:p>
    <w:p w14:paraId="25E86972" w14:textId="77777777" w:rsidR="00307E24" w:rsidRDefault="00307E24" w:rsidP="00307E24">
      <w:pPr>
        <w:spacing w:before="240" w:line="360" w:lineRule="auto"/>
        <w:rPr>
          <w:noProof/>
          <w:lang w:eastAsia="es-AR"/>
        </w:rPr>
      </w:pPr>
    </w:p>
    <w:p w14:paraId="6022045E" w14:textId="77777777" w:rsidR="00307E24" w:rsidRDefault="00307E24" w:rsidP="00307E24">
      <w:pPr>
        <w:spacing w:before="240" w:line="360" w:lineRule="auto"/>
        <w:rPr>
          <w:noProof/>
          <w:lang w:eastAsia="es-AR"/>
        </w:rPr>
      </w:pPr>
      <w:r>
        <w:rPr>
          <w:noProof/>
          <w:lang w:eastAsia="es-AR"/>
        </w:rPr>
        <w:t xml:space="preserve">Debe aclarse que en el caso de gasto de personal se consideró que, a pesar del aumento de la escala, no hay un incremento de la plantilla de personal. Se conservó el mismo nivel de gasto en mano de obra que presentan la Planta Norte. </w:t>
      </w:r>
    </w:p>
    <w:p w14:paraId="140E6EB5" w14:textId="77777777" w:rsidR="00307E24" w:rsidRDefault="00307E24" w:rsidP="00307E24">
      <w:pPr>
        <w:spacing w:before="240" w:line="360" w:lineRule="auto"/>
        <w:rPr>
          <w:noProof/>
          <w:lang w:eastAsia="es-AR"/>
        </w:rPr>
      </w:pPr>
      <w:r>
        <w:rPr>
          <w:noProof/>
          <w:lang w:eastAsia="es-AR"/>
        </w:rPr>
        <w:t>En cuanto al rubro de evacuación de residuos de Tratamiento, los costos no se ajustaron en forma lineal a la escala de la Planta Berazategui, sino que se consideró un aumento del 20 por ciento respecto de los costos que presentan la Planta Norte.</w:t>
      </w:r>
    </w:p>
    <w:p w14:paraId="40D87343" w14:textId="6727CC70" w:rsidR="00FA7442" w:rsidRPr="00FA7442" w:rsidRDefault="00FA7442" w:rsidP="003F3092">
      <w:pPr>
        <w:pStyle w:val="Cuadroseilustraciones"/>
        <w:spacing w:before="240" w:after="120" w:line="360" w:lineRule="auto"/>
        <w:rPr>
          <w:rFonts w:cs="Arial"/>
          <w:b w:val="0"/>
          <w:szCs w:val="22"/>
          <w:lang w:val="es-AR"/>
        </w:rPr>
      </w:pPr>
    </w:p>
    <w:sectPr w:rsidR="00FA7442" w:rsidRPr="00FA7442" w:rsidSect="00D3445E">
      <w:footerReference w:type="default" r:id="rId223"/>
      <w:pgSz w:w="11906" w:h="16838" w:code="9"/>
      <w:pgMar w:top="1928" w:right="1701" w:bottom="1418" w:left="1701" w:header="709" w:footer="79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8ECE391" w14:textId="77777777" w:rsidR="000363D5" w:rsidRDefault="000363D5" w:rsidP="00014F54">
      <w:pPr>
        <w:spacing w:after="0" w:line="240" w:lineRule="auto"/>
      </w:pPr>
      <w:r>
        <w:separator/>
      </w:r>
    </w:p>
  </w:endnote>
  <w:endnote w:type="continuationSeparator" w:id="0">
    <w:p w14:paraId="539DD070" w14:textId="77777777" w:rsidR="000363D5" w:rsidRDefault="000363D5" w:rsidP="00014F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altName w:val="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43252914"/>
      <w:docPartObj>
        <w:docPartGallery w:val="Page Numbers (Bottom of Page)"/>
        <w:docPartUnique/>
      </w:docPartObj>
    </w:sdtPr>
    <w:sdtEndPr>
      <w:rPr>
        <w:rFonts w:ascii="Arial" w:hAnsi="Arial" w:cs="Arial"/>
        <w:sz w:val="18"/>
        <w:szCs w:val="18"/>
      </w:rPr>
    </w:sdtEndPr>
    <w:sdtContent>
      <w:sdt>
        <w:sdtPr>
          <w:rPr>
            <w:rFonts w:ascii="Arial" w:hAnsi="Arial" w:cs="Arial"/>
            <w:sz w:val="18"/>
            <w:szCs w:val="18"/>
          </w:rPr>
          <w:id w:val="-1769616900"/>
          <w:docPartObj>
            <w:docPartGallery w:val="Page Numbers (Top of Page)"/>
            <w:docPartUnique/>
          </w:docPartObj>
        </w:sdtPr>
        <w:sdtEndPr/>
        <w:sdtContent>
          <w:p w14:paraId="51813293" w14:textId="170E5B71" w:rsidR="000363D5" w:rsidRPr="006B21A6" w:rsidRDefault="000363D5">
            <w:pPr>
              <w:pStyle w:val="Footer"/>
              <w:jc w:val="right"/>
              <w:rPr>
                <w:rFonts w:ascii="Arial" w:hAnsi="Arial" w:cs="Arial"/>
                <w:sz w:val="18"/>
                <w:szCs w:val="18"/>
              </w:rPr>
            </w:pPr>
            <w:r w:rsidRPr="006B21A6">
              <w:rPr>
                <w:rFonts w:ascii="Arial" w:hAnsi="Arial" w:cs="Arial"/>
                <w:sz w:val="18"/>
                <w:szCs w:val="18"/>
              </w:rPr>
              <w:t xml:space="preserve">Página </w:t>
            </w:r>
            <w:r w:rsidRPr="006B21A6">
              <w:rPr>
                <w:rFonts w:ascii="Arial" w:hAnsi="Arial" w:cs="Arial"/>
                <w:b/>
                <w:bCs/>
                <w:sz w:val="18"/>
                <w:szCs w:val="18"/>
              </w:rPr>
              <w:fldChar w:fldCharType="begin"/>
            </w:r>
            <w:r w:rsidRPr="006B21A6">
              <w:rPr>
                <w:rFonts w:ascii="Arial" w:hAnsi="Arial" w:cs="Arial"/>
                <w:b/>
                <w:bCs/>
                <w:sz w:val="18"/>
                <w:szCs w:val="18"/>
              </w:rPr>
              <w:instrText xml:space="preserve"> PAGE </w:instrText>
            </w:r>
            <w:r w:rsidRPr="006B21A6">
              <w:rPr>
                <w:rFonts w:ascii="Arial" w:hAnsi="Arial" w:cs="Arial"/>
                <w:b/>
                <w:bCs/>
                <w:sz w:val="18"/>
                <w:szCs w:val="18"/>
              </w:rPr>
              <w:fldChar w:fldCharType="separate"/>
            </w:r>
            <w:r w:rsidR="005C1A74">
              <w:rPr>
                <w:rFonts w:ascii="Arial" w:hAnsi="Arial" w:cs="Arial"/>
                <w:b/>
                <w:bCs/>
                <w:noProof/>
                <w:sz w:val="18"/>
                <w:szCs w:val="18"/>
              </w:rPr>
              <w:t>23</w:t>
            </w:r>
            <w:r w:rsidRPr="006B21A6">
              <w:rPr>
                <w:rFonts w:ascii="Arial" w:hAnsi="Arial" w:cs="Arial"/>
                <w:b/>
                <w:bCs/>
                <w:sz w:val="18"/>
                <w:szCs w:val="18"/>
              </w:rPr>
              <w:fldChar w:fldCharType="end"/>
            </w:r>
            <w:r w:rsidRPr="006B21A6">
              <w:rPr>
                <w:rFonts w:ascii="Arial" w:hAnsi="Arial" w:cs="Arial"/>
                <w:sz w:val="18"/>
                <w:szCs w:val="18"/>
              </w:rPr>
              <w:t xml:space="preserve"> de </w:t>
            </w:r>
            <w:r w:rsidRPr="006B21A6">
              <w:rPr>
                <w:rFonts w:ascii="Arial" w:hAnsi="Arial" w:cs="Arial"/>
                <w:b/>
                <w:bCs/>
                <w:sz w:val="18"/>
                <w:szCs w:val="18"/>
              </w:rPr>
              <w:fldChar w:fldCharType="begin"/>
            </w:r>
            <w:r w:rsidRPr="006B21A6">
              <w:rPr>
                <w:rFonts w:ascii="Arial" w:hAnsi="Arial" w:cs="Arial"/>
                <w:b/>
                <w:bCs/>
                <w:sz w:val="18"/>
                <w:szCs w:val="18"/>
              </w:rPr>
              <w:instrText xml:space="preserve"> NUMPAGES  </w:instrText>
            </w:r>
            <w:r w:rsidRPr="006B21A6">
              <w:rPr>
                <w:rFonts w:ascii="Arial" w:hAnsi="Arial" w:cs="Arial"/>
                <w:b/>
                <w:bCs/>
                <w:sz w:val="18"/>
                <w:szCs w:val="18"/>
              </w:rPr>
              <w:fldChar w:fldCharType="separate"/>
            </w:r>
            <w:r w:rsidR="005C1A74">
              <w:rPr>
                <w:rFonts w:ascii="Arial" w:hAnsi="Arial" w:cs="Arial"/>
                <w:b/>
                <w:bCs/>
                <w:noProof/>
                <w:sz w:val="18"/>
                <w:szCs w:val="18"/>
              </w:rPr>
              <w:t>24</w:t>
            </w:r>
            <w:r w:rsidRPr="006B21A6">
              <w:rPr>
                <w:rFonts w:ascii="Arial" w:hAnsi="Arial" w:cs="Arial"/>
                <w:b/>
                <w:bCs/>
                <w:sz w:val="18"/>
                <w:szCs w:val="18"/>
              </w:rPr>
              <w:fldChar w:fldCharType="end"/>
            </w:r>
          </w:p>
        </w:sdtContent>
      </w:sdt>
    </w:sdtContent>
  </w:sdt>
  <w:p w14:paraId="6713D725" w14:textId="77777777" w:rsidR="000363D5" w:rsidRDefault="000363D5">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0363D5" w14:paraId="3D2EE5BE" w14:textId="77777777" w:rsidTr="00FF4E24">
      <w:tc>
        <w:tcPr>
          <w:tcW w:w="4247" w:type="dxa"/>
        </w:tcPr>
        <w:p w14:paraId="49C8929A" w14:textId="467B97F3" w:rsidR="000363D5" w:rsidRDefault="000363D5" w:rsidP="00432895">
          <w:pPr>
            <w:pStyle w:val="Footer"/>
          </w:pPr>
          <w:r>
            <w:t>EVALUACIÓN ECONÓMICA SOCIAL – ANEXO 1</w:t>
          </w:r>
        </w:p>
      </w:tc>
      <w:tc>
        <w:tcPr>
          <w:tcW w:w="4248" w:type="dxa"/>
        </w:tcPr>
        <w:p w14:paraId="2EACFB3B" w14:textId="77777777" w:rsidR="000363D5" w:rsidRDefault="000363D5">
          <w:pPr>
            <w:pStyle w:val="Footer"/>
          </w:pPr>
        </w:p>
      </w:tc>
    </w:tr>
    <w:tr w:rsidR="000363D5" w:rsidRPr="00703E20" w14:paraId="39C32BC5" w14:textId="77777777" w:rsidTr="00FF4E24">
      <w:tc>
        <w:tcPr>
          <w:tcW w:w="4247" w:type="dxa"/>
        </w:tcPr>
        <w:p w14:paraId="4B3085A9" w14:textId="26E6D2D1" w:rsidR="000363D5" w:rsidRDefault="000363D5">
          <w:pPr>
            <w:pStyle w:val="Footer"/>
          </w:pPr>
        </w:p>
      </w:tc>
      <w:tc>
        <w:tcPr>
          <w:tcW w:w="4248" w:type="dxa"/>
        </w:tcPr>
        <w:p w14:paraId="1F8483DB" w14:textId="225B04DD" w:rsidR="000363D5" w:rsidRPr="00703E20" w:rsidRDefault="000363D5" w:rsidP="002154D1">
          <w:pPr>
            <w:pStyle w:val="Footer"/>
            <w:jc w:val="right"/>
          </w:pPr>
          <w:r w:rsidRPr="00703E20">
            <w:rPr>
              <w:lang w:val="es-ES"/>
            </w:rPr>
            <w:t xml:space="preserve">Página </w:t>
          </w:r>
          <w:r w:rsidRPr="00703E20">
            <w:rPr>
              <w:bCs/>
            </w:rPr>
            <w:fldChar w:fldCharType="begin"/>
          </w:r>
          <w:r w:rsidRPr="00703E20">
            <w:rPr>
              <w:bCs/>
            </w:rPr>
            <w:instrText>PAGE  \* Arabic  \* MERGEFORMAT</w:instrText>
          </w:r>
          <w:r w:rsidRPr="00703E20">
            <w:rPr>
              <w:bCs/>
            </w:rPr>
            <w:fldChar w:fldCharType="separate"/>
          </w:r>
          <w:r w:rsidR="00AB5F94" w:rsidRPr="00AB5F94">
            <w:rPr>
              <w:bCs/>
              <w:noProof/>
              <w:lang w:val="es-ES"/>
            </w:rPr>
            <w:t>178</w:t>
          </w:r>
          <w:r w:rsidRPr="00703E20">
            <w:rPr>
              <w:bCs/>
            </w:rPr>
            <w:fldChar w:fldCharType="end"/>
          </w:r>
          <w:r w:rsidRPr="00703E20">
            <w:rPr>
              <w:lang w:val="es-ES"/>
            </w:rPr>
            <w:t xml:space="preserve"> de </w:t>
          </w:r>
          <w:r w:rsidRPr="00703E20">
            <w:rPr>
              <w:bCs/>
            </w:rPr>
            <w:fldChar w:fldCharType="begin"/>
          </w:r>
          <w:r w:rsidRPr="00703E20">
            <w:rPr>
              <w:bCs/>
            </w:rPr>
            <w:instrText>NUMPAGES  \* Arabic  \* MERGEFORMAT</w:instrText>
          </w:r>
          <w:r w:rsidRPr="00703E20">
            <w:rPr>
              <w:bCs/>
            </w:rPr>
            <w:fldChar w:fldCharType="separate"/>
          </w:r>
          <w:r w:rsidR="00AB5F94" w:rsidRPr="00AB5F94">
            <w:rPr>
              <w:bCs/>
              <w:noProof/>
              <w:lang w:val="es-ES"/>
            </w:rPr>
            <w:t>235</w:t>
          </w:r>
          <w:r w:rsidRPr="00703E20">
            <w:rPr>
              <w:bCs/>
            </w:rPr>
            <w:fldChar w:fldCharType="end"/>
          </w:r>
        </w:p>
      </w:tc>
    </w:tr>
  </w:tbl>
  <w:p w14:paraId="0F72FBC9" w14:textId="77777777" w:rsidR="000363D5" w:rsidRDefault="000363D5" w:rsidP="002154D1">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0363D5" w14:paraId="1973D823" w14:textId="77777777" w:rsidTr="00FF4E24">
      <w:tc>
        <w:tcPr>
          <w:tcW w:w="4247" w:type="dxa"/>
        </w:tcPr>
        <w:p w14:paraId="4C6C27AA" w14:textId="593CD059" w:rsidR="000363D5" w:rsidRDefault="000363D5">
          <w:pPr>
            <w:pStyle w:val="Footer"/>
          </w:pPr>
          <w:r>
            <w:t>EVALUACIÓN ECONÓMICA SOCIAL – ANEXO 2</w:t>
          </w:r>
        </w:p>
      </w:tc>
      <w:tc>
        <w:tcPr>
          <w:tcW w:w="4248" w:type="dxa"/>
        </w:tcPr>
        <w:p w14:paraId="6C3A73A8" w14:textId="77777777" w:rsidR="000363D5" w:rsidRDefault="000363D5">
          <w:pPr>
            <w:pStyle w:val="Footer"/>
          </w:pPr>
        </w:p>
      </w:tc>
    </w:tr>
    <w:tr w:rsidR="000363D5" w:rsidRPr="00703E20" w14:paraId="34EA64BC" w14:textId="77777777" w:rsidTr="00FF4E24">
      <w:tc>
        <w:tcPr>
          <w:tcW w:w="4247" w:type="dxa"/>
        </w:tcPr>
        <w:p w14:paraId="0C3783F8" w14:textId="38690AD0" w:rsidR="000363D5" w:rsidRDefault="000363D5">
          <w:pPr>
            <w:pStyle w:val="Footer"/>
          </w:pPr>
        </w:p>
      </w:tc>
      <w:tc>
        <w:tcPr>
          <w:tcW w:w="4248" w:type="dxa"/>
        </w:tcPr>
        <w:p w14:paraId="48CE7EFC" w14:textId="55AA36CA" w:rsidR="000363D5" w:rsidRPr="00703E20" w:rsidRDefault="000363D5" w:rsidP="002154D1">
          <w:pPr>
            <w:pStyle w:val="Footer"/>
            <w:jc w:val="right"/>
          </w:pPr>
          <w:r w:rsidRPr="00703E20">
            <w:rPr>
              <w:lang w:val="es-ES"/>
            </w:rPr>
            <w:t xml:space="preserve">Página </w:t>
          </w:r>
          <w:r w:rsidRPr="00703E20">
            <w:rPr>
              <w:bCs/>
            </w:rPr>
            <w:fldChar w:fldCharType="begin"/>
          </w:r>
          <w:r w:rsidRPr="00703E20">
            <w:rPr>
              <w:bCs/>
            </w:rPr>
            <w:instrText>PAGE  \* Arabic  \* MERGEFORMAT</w:instrText>
          </w:r>
          <w:r w:rsidRPr="00703E20">
            <w:rPr>
              <w:bCs/>
            </w:rPr>
            <w:fldChar w:fldCharType="separate"/>
          </w:r>
          <w:r w:rsidR="00AB5F94" w:rsidRPr="00AB5F94">
            <w:rPr>
              <w:bCs/>
              <w:noProof/>
              <w:lang w:val="es-ES"/>
            </w:rPr>
            <w:t>184</w:t>
          </w:r>
          <w:r w:rsidRPr="00703E20">
            <w:rPr>
              <w:bCs/>
            </w:rPr>
            <w:fldChar w:fldCharType="end"/>
          </w:r>
          <w:r w:rsidRPr="00703E20">
            <w:rPr>
              <w:lang w:val="es-ES"/>
            </w:rPr>
            <w:t xml:space="preserve"> de </w:t>
          </w:r>
          <w:r w:rsidRPr="00703E20">
            <w:rPr>
              <w:bCs/>
            </w:rPr>
            <w:fldChar w:fldCharType="begin"/>
          </w:r>
          <w:r w:rsidRPr="00703E20">
            <w:rPr>
              <w:bCs/>
            </w:rPr>
            <w:instrText>NUMPAGES  \* Arabic  \* MERGEFORMAT</w:instrText>
          </w:r>
          <w:r w:rsidRPr="00703E20">
            <w:rPr>
              <w:bCs/>
            </w:rPr>
            <w:fldChar w:fldCharType="separate"/>
          </w:r>
          <w:r w:rsidR="00AB5F94" w:rsidRPr="00AB5F94">
            <w:rPr>
              <w:bCs/>
              <w:noProof/>
              <w:lang w:val="es-ES"/>
            </w:rPr>
            <w:t>235</w:t>
          </w:r>
          <w:r w:rsidRPr="00703E20">
            <w:rPr>
              <w:bCs/>
            </w:rPr>
            <w:fldChar w:fldCharType="end"/>
          </w:r>
        </w:p>
      </w:tc>
    </w:tr>
  </w:tbl>
  <w:p w14:paraId="1F275C50" w14:textId="77777777" w:rsidR="000363D5" w:rsidRDefault="000363D5" w:rsidP="002154D1">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0363D5" w14:paraId="25E48C93" w14:textId="77777777" w:rsidTr="0007125E">
      <w:tc>
        <w:tcPr>
          <w:tcW w:w="4247" w:type="dxa"/>
        </w:tcPr>
        <w:p w14:paraId="1B13B1F3" w14:textId="234E67C8" w:rsidR="000363D5" w:rsidRDefault="000363D5" w:rsidP="00F967E4">
          <w:pPr>
            <w:pStyle w:val="Footer"/>
          </w:pPr>
          <w:r>
            <w:t>EVALUACIÓN ECONÓMICA SOCIAL – ANEXO 1</w:t>
          </w:r>
        </w:p>
      </w:tc>
      <w:tc>
        <w:tcPr>
          <w:tcW w:w="4248" w:type="dxa"/>
        </w:tcPr>
        <w:p w14:paraId="5D9E886C" w14:textId="77777777" w:rsidR="000363D5" w:rsidRDefault="000363D5" w:rsidP="00F967E4">
          <w:pPr>
            <w:pStyle w:val="Footer"/>
          </w:pPr>
        </w:p>
      </w:tc>
    </w:tr>
    <w:tr w:rsidR="000363D5" w:rsidRPr="00703E20" w14:paraId="5D0A4363" w14:textId="77777777" w:rsidTr="0007125E">
      <w:tc>
        <w:tcPr>
          <w:tcW w:w="4247" w:type="dxa"/>
        </w:tcPr>
        <w:p w14:paraId="4BF1A81C" w14:textId="77777777" w:rsidR="000363D5" w:rsidRDefault="005C1A74" w:rsidP="00F967E4">
          <w:pPr>
            <w:pStyle w:val="Footer"/>
          </w:pPr>
          <w:r>
            <w:fldChar w:fldCharType="begin"/>
          </w:r>
          <w:r>
            <w:instrText xml:space="preserve"> FILENAME  \* Caps  \* MERGEFORMAT </w:instrText>
          </w:r>
          <w:r>
            <w:fldChar w:fldCharType="separate"/>
          </w:r>
          <w:r w:rsidR="000363D5">
            <w:rPr>
              <w:noProof/>
            </w:rPr>
            <w:t>Ev Ec Efi Red Aguav2</w:t>
          </w:r>
          <w:r>
            <w:rPr>
              <w:noProof/>
            </w:rPr>
            <w:fldChar w:fldCharType="end"/>
          </w:r>
        </w:p>
      </w:tc>
      <w:tc>
        <w:tcPr>
          <w:tcW w:w="4248" w:type="dxa"/>
        </w:tcPr>
        <w:p w14:paraId="10CB29AB" w14:textId="77777777" w:rsidR="000363D5" w:rsidRPr="00703E20" w:rsidRDefault="000363D5" w:rsidP="00F967E4">
          <w:pPr>
            <w:pStyle w:val="Footer"/>
            <w:jc w:val="right"/>
          </w:pPr>
          <w:r w:rsidRPr="00703E20">
            <w:rPr>
              <w:lang w:val="es-ES"/>
            </w:rPr>
            <w:t xml:space="preserve">Página </w:t>
          </w:r>
          <w:r w:rsidRPr="00703E20">
            <w:rPr>
              <w:bCs/>
            </w:rPr>
            <w:fldChar w:fldCharType="begin"/>
          </w:r>
          <w:r w:rsidRPr="00703E20">
            <w:rPr>
              <w:bCs/>
            </w:rPr>
            <w:instrText>PAGE  \* Arabic  \* MERGEFORMAT</w:instrText>
          </w:r>
          <w:r w:rsidRPr="00703E20">
            <w:rPr>
              <w:bCs/>
            </w:rPr>
            <w:fldChar w:fldCharType="separate"/>
          </w:r>
          <w:r w:rsidRPr="009F66B5">
            <w:rPr>
              <w:bCs/>
              <w:noProof/>
              <w:lang w:val="es-ES"/>
            </w:rPr>
            <w:t>94</w:t>
          </w:r>
          <w:r w:rsidRPr="00703E20">
            <w:rPr>
              <w:bCs/>
            </w:rPr>
            <w:fldChar w:fldCharType="end"/>
          </w:r>
          <w:r w:rsidRPr="00703E20">
            <w:rPr>
              <w:lang w:val="es-ES"/>
            </w:rPr>
            <w:t xml:space="preserve"> de </w:t>
          </w:r>
          <w:r w:rsidRPr="00703E20">
            <w:rPr>
              <w:bCs/>
            </w:rPr>
            <w:fldChar w:fldCharType="begin"/>
          </w:r>
          <w:r w:rsidRPr="00703E20">
            <w:rPr>
              <w:bCs/>
            </w:rPr>
            <w:instrText>NUMPAGES  \* Arabic  \* MERGEFORMAT</w:instrText>
          </w:r>
          <w:r w:rsidRPr="00703E20">
            <w:rPr>
              <w:bCs/>
            </w:rPr>
            <w:fldChar w:fldCharType="separate"/>
          </w:r>
          <w:r w:rsidRPr="009F66B5">
            <w:rPr>
              <w:bCs/>
              <w:noProof/>
              <w:lang w:val="es-ES"/>
            </w:rPr>
            <w:t>94</w:t>
          </w:r>
          <w:r w:rsidRPr="00703E20">
            <w:rPr>
              <w:bCs/>
            </w:rPr>
            <w:fldChar w:fldCharType="end"/>
          </w:r>
        </w:p>
      </w:tc>
    </w:tr>
  </w:tbl>
  <w:p w14:paraId="6DC804A1" w14:textId="77777777" w:rsidR="000363D5" w:rsidRDefault="000363D5">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0363D5" w14:paraId="77C1B59F" w14:textId="77777777" w:rsidTr="00FF4E24">
      <w:tc>
        <w:tcPr>
          <w:tcW w:w="4247" w:type="dxa"/>
        </w:tcPr>
        <w:p w14:paraId="33FE1F30" w14:textId="2981F413" w:rsidR="000363D5" w:rsidRDefault="000363D5" w:rsidP="00432895">
          <w:pPr>
            <w:pStyle w:val="Footer"/>
          </w:pPr>
          <w:r>
            <w:t>EVALUACIÓN ECONÓMICA SOCIAL – ANEXO 3</w:t>
          </w:r>
        </w:p>
      </w:tc>
      <w:tc>
        <w:tcPr>
          <w:tcW w:w="4248" w:type="dxa"/>
        </w:tcPr>
        <w:p w14:paraId="36FF35DA" w14:textId="77777777" w:rsidR="000363D5" w:rsidRDefault="000363D5">
          <w:pPr>
            <w:pStyle w:val="Footer"/>
          </w:pPr>
        </w:p>
      </w:tc>
    </w:tr>
    <w:tr w:rsidR="000363D5" w:rsidRPr="00703E20" w14:paraId="62D2653D" w14:textId="77777777" w:rsidTr="00FF4E24">
      <w:tc>
        <w:tcPr>
          <w:tcW w:w="4247" w:type="dxa"/>
        </w:tcPr>
        <w:p w14:paraId="5D619543" w14:textId="4C81692E" w:rsidR="000363D5" w:rsidRDefault="000363D5">
          <w:pPr>
            <w:pStyle w:val="Footer"/>
          </w:pPr>
        </w:p>
      </w:tc>
      <w:tc>
        <w:tcPr>
          <w:tcW w:w="4248" w:type="dxa"/>
        </w:tcPr>
        <w:p w14:paraId="03A818F7" w14:textId="3274FF78" w:rsidR="000363D5" w:rsidRPr="00703E20" w:rsidRDefault="000363D5" w:rsidP="002154D1">
          <w:pPr>
            <w:pStyle w:val="Footer"/>
            <w:jc w:val="right"/>
          </w:pPr>
          <w:r w:rsidRPr="00703E20">
            <w:rPr>
              <w:lang w:val="es-ES"/>
            </w:rPr>
            <w:t xml:space="preserve">Página </w:t>
          </w:r>
          <w:r w:rsidRPr="00703E20">
            <w:rPr>
              <w:bCs/>
            </w:rPr>
            <w:fldChar w:fldCharType="begin"/>
          </w:r>
          <w:r w:rsidRPr="00703E20">
            <w:rPr>
              <w:bCs/>
            </w:rPr>
            <w:instrText>PAGE  \* Arabic  \* MERGEFORMAT</w:instrText>
          </w:r>
          <w:r w:rsidRPr="00703E20">
            <w:rPr>
              <w:bCs/>
            </w:rPr>
            <w:fldChar w:fldCharType="separate"/>
          </w:r>
          <w:r w:rsidR="00AB5F94" w:rsidRPr="00AB5F94">
            <w:rPr>
              <w:bCs/>
              <w:noProof/>
              <w:lang w:val="es-ES"/>
            </w:rPr>
            <w:t>205</w:t>
          </w:r>
          <w:r w:rsidRPr="00703E20">
            <w:rPr>
              <w:bCs/>
            </w:rPr>
            <w:fldChar w:fldCharType="end"/>
          </w:r>
          <w:r w:rsidRPr="00703E20">
            <w:rPr>
              <w:lang w:val="es-ES"/>
            </w:rPr>
            <w:t xml:space="preserve"> de </w:t>
          </w:r>
          <w:r w:rsidRPr="00703E20">
            <w:rPr>
              <w:bCs/>
            </w:rPr>
            <w:fldChar w:fldCharType="begin"/>
          </w:r>
          <w:r w:rsidRPr="00703E20">
            <w:rPr>
              <w:bCs/>
            </w:rPr>
            <w:instrText>NUMPAGES  \* Arabic  \* MERGEFORMAT</w:instrText>
          </w:r>
          <w:r w:rsidRPr="00703E20">
            <w:rPr>
              <w:bCs/>
            </w:rPr>
            <w:fldChar w:fldCharType="separate"/>
          </w:r>
          <w:r w:rsidR="00AB5F94" w:rsidRPr="00AB5F94">
            <w:rPr>
              <w:bCs/>
              <w:noProof/>
              <w:lang w:val="es-ES"/>
            </w:rPr>
            <w:t>235</w:t>
          </w:r>
          <w:r w:rsidRPr="00703E20">
            <w:rPr>
              <w:bCs/>
            </w:rPr>
            <w:fldChar w:fldCharType="end"/>
          </w:r>
        </w:p>
      </w:tc>
    </w:tr>
  </w:tbl>
  <w:p w14:paraId="3C82C720" w14:textId="77777777" w:rsidR="000363D5" w:rsidRDefault="000363D5" w:rsidP="002154D1">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0363D5" w14:paraId="49871B8B" w14:textId="77777777" w:rsidTr="00FF4E24">
      <w:tc>
        <w:tcPr>
          <w:tcW w:w="4247" w:type="dxa"/>
        </w:tcPr>
        <w:p w14:paraId="5F8220F5" w14:textId="59AE928C" w:rsidR="000363D5" w:rsidRDefault="000363D5" w:rsidP="00432895">
          <w:pPr>
            <w:pStyle w:val="Footer"/>
          </w:pPr>
          <w:r>
            <w:t>EVALUACIÓN ECONÓMICA SOCIAL – ANEXO 4</w:t>
          </w:r>
        </w:p>
      </w:tc>
      <w:tc>
        <w:tcPr>
          <w:tcW w:w="4248" w:type="dxa"/>
        </w:tcPr>
        <w:p w14:paraId="1E37460D" w14:textId="77777777" w:rsidR="000363D5" w:rsidRDefault="000363D5">
          <w:pPr>
            <w:pStyle w:val="Footer"/>
          </w:pPr>
        </w:p>
      </w:tc>
    </w:tr>
    <w:tr w:rsidR="000363D5" w:rsidRPr="00703E20" w14:paraId="1AD82C78" w14:textId="77777777" w:rsidTr="00FF4E24">
      <w:tc>
        <w:tcPr>
          <w:tcW w:w="4247" w:type="dxa"/>
        </w:tcPr>
        <w:p w14:paraId="5F386D86" w14:textId="56465F33" w:rsidR="000363D5" w:rsidRDefault="000363D5">
          <w:pPr>
            <w:pStyle w:val="Footer"/>
          </w:pPr>
        </w:p>
      </w:tc>
      <w:tc>
        <w:tcPr>
          <w:tcW w:w="4248" w:type="dxa"/>
        </w:tcPr>
        <w:p w14:paraId="12CE9934" w14:textId="52C01E61" w:rsidR="000363D5" w:rsidRPr="00703E20" w:rsidRDefault="000363D5" w:rsidP="002154D1">
          <w:pPr>
            <w:pStyle w:val="Footer"/>
            <w:jc w:val="right"/>
          </w:pPr>
          <w:r w:rsidRPr="00703E20">
            <w:rPr>
              <w:lang w:val="es-ES"/>
            </w:rPr>
            <w:t xml:space="preserve">Página </w:t>
          </w:r>
          <w:r w:rsidRPr="00703E20">
            <w:rPr>
              <w:bCs/>
            </w:rPr>
            <w:fldChar w:fldCharType="begin"/>
          </w:r>
          <w:r w:rsidRPr="00703E20">
            <w:rPr>
              <w:bCs/>
            </w:rPr>
            <w:instrText>PAGE  \* Arabic  \* MERGEFORMAT</w:instrText>
          </w:r>
          <w:r w:rsidRPr="00703E20">
            <w:rPr>
              <w:bCs/>
            </w:rPr>
            <w:fldChar w:fldCharType="separate"/>
          </w:r>
          <w:r w:rsidR="00AB5F94" w:rsidRPr="00AB5F94">
            <w:rPr>
              <w:bCs/>
              <w:noProof/>
              <w:lang w:val="es-ES"/>
            </w:rPr>
            <w:t>213</w:t>
          </w:r>
          <w:r w:rsidRPr="00703E20">
            <w:rPr>
              <w:bCs/>
            </w:rPr>
            <w:fldChar w:fldCharType="end"/>
          </w:r>
          <w:r w:rsidRPr="00703E20">
            <w:rPr>
              <w:lang w:val="es-ES"/>
            </w:rPr>
            <w:t xml:space="preserve"> de </w:t>
          </w:r>
          <w:r w:rsidRPr="00703E20">
            <w:rPr>
              <w:bCs/>
            </w:rPr>
            <w:fldChar w:fldCharType="begin"/>
          </w:r>
          <w:r w:rsidRPr="00703E20">
            <w:rPr>
              <w:bCs/>
            </w:rPr>
            <w:instrText>NUMPAGES  \* Arabic  \* MERGEFORMAT</w:instrText>
          </w:r>
          <w:r w:rsidRPr="00703E20">
            <w:rPr>
              <w:bCs/>
            </w:rPr>
            <w:fldChar w:fldCharType="separate"/>
          </w:r>
          <w:r w:rsidR="00AB5F94" w:rsidRPr="00AB5F94">
            <w:rPr>
              <w:bCs/>
              <w:noProof/>
              <w:lang w:val="es-ES"/>
            </w:rPr>
            <w:t>235</w:t>
          </w:r>
          <w:r w:rsidRPr="00703E20">
            <w:rPr>
              <w:bCs/>
            </w:rPr>
            <w:fldChar w:fldCharType="end"/>
          </w:r>
        </w:p>
      </w:tc>
    </w:tr>
  </w:tbl>
  <w:p w14:paraId="722EC37E" w14:textId="77777777" w:rsidR="000363D5" w:rsidRDefault="000363D5" w:rsidP="002154D1">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0363D5" w14:paraId="5E44BDEF" w14:textId="77777777" w:rsidTr="00FF4E24">
      <w:tc>
        <w:tcPr>
          <w:tcW w:w="4247" w:type="dxa"/>
        </w:tcPr>
        <w:p w14:paraId="16FF1BDF" w14:textId="13A465CA" w:rsidR="000363D5" w:rsidRDefault="000363D5" w:rsidP="00432895">
          <w:pPr>
            <w:pStyle w:val="Footer"/>
          </w:pPr>
          <w:r>
            <w:t>EVALUACIÓN ECONÓMICA SOCIAL – ANEXO 5</w:t>
          </w:r>
        </w:p>
      </w:tc>
      <w:tc>
        <w:tcPr>
          <w:tcW w:w="4248" w:type="dxa"/>
        </w:tcPr>
        <w:p w14:paraId="53DCF235" w14:textId="77777777" w:rsidR="000363D5" w:rsidRDefault="000363D5">
          <w:pPr>
            <w:pStyle w:val="Footer"/>
          </w:pPr>
        </w:p>
      </w:tc>
    </w:tr>
    <w:tr w:rsidR="000363D5" w:rsidRPr="00703E20" w14:paraId="42F47CFF" w14:textId="77777777" w:rsidTr="00FF4E24">
      <w:tc>
        <w:tcPr>
          <w:tcW w:w="4247" w:type="dxa"/>
        </w:tcPr>
        <w:p w14:paraId="0E375C22" w14:textId="77777777" w:rsidR="000363D5" w:rsidRDefault="000363D5">
          <w:pPr>
            <w:pStyle w:val="Footer"/>
          </w:pPr>
        </w:p>
      </w:tc>
      <w:tc>
        <w:tcPr>
          <w:tcW w:w="4248" w:type="dxa"/>
        </w:tcPr>
        <w:p w14:paraId="7CD643D0" w14:textId="2EAD7C61" w:rsidR="000363D5" w:rsidRPr="00703E20" w:rsidRDefault="000363D5" w:rsidP="002154D1">
          <w:pPr>
            <w:pStyle w:val="Footer"/>
            <w:jc w:val="right"/>
          </w:pPr>
          <w:r w:rsidRPr="00703E20">
            <w:rPr>
              <w:lang w:val="es-ES"/>
            </w:rPr>
            <w:t xml:space="preserve">Página </w:t>
          </w:r>
          <w:r w:rsidRPr="00703E20">
            <w:rPr>
              <w:bCs/>
            </w:rPr>
            <w:fldChar w:fldCharType="begin"/>
          </w:r>
          <w:r w:rsidRPr="00703E20">
            <w:rPr>
              <w:bCs/>
            </w:rPr>
            <w:instrText>PAGE  \* Arabic  \* MERGEFORMAT</w:instrText>
          </w:r>
          <w:r w:rsidRPr="00703E20">
            <w:rPr>
              <w:bCs/>
            </w:rPr>
            <w:fldChar w:fldCharType="separate"/>
          </w:r>
          <w:r w:rsidR="00AB5F94" w:rsidRPr="00AB5F94">
            <w:rPr>
              <w:bCs/>
              <w:noProof/>
              <w:lang w:val="es-ES"/>
            </w:rPr>
            <w:t>227</w:t>
          </w:r>
          <w:r w:rsidRPr="00703E20">
            <w:rPr>
              <w:bCs/>
            </w:rPr>
            <w:fldChar w:fldCharType="end"/>
          </w:r>
          <w:r w:rsidRPr="00703E20">
            <w:rPr>
              <w:lang w:val="es-ES"/>
            </w:rPr>
            <w:t xml:space="preserve"> de </w:t>
          </w:r>
          <w:r w:rsidRPr="00703E20">
            <w:rPr>
              <w:bCs/>
            </w:rPr>
            <w:fldChar w:fldCharType="begin"/>
          </w:r>
          <w:r w:rsidRPr="00703E20">
            <w:rPr>
              <w:bCs/>
            </w:rPr>
            <w:instrText>NUMPAGES  \* Arabic  \* MERGEFORMAT</w:instrText>
          </w:r>
          <w:r w:rsidRPr="00703E20">
            <w:rPr>
              <w:bCs/>
            </w:rPr>
            <w:fldChar w:fldCharType="separate"/>
          </w:r>
          <w:r w:rsidR="00AB5F94" w:rsidRPr="00AB5F94">
            <w:rPr>
              <w:bCs/>
              <w:noProof/>
              <w:lang w:val="es-ES"/>
            </w:rPr>
            <w:t>235</w:t>
          </w:r>
          <w:r w:rsidRPr="00703E20">
            <w:rPr>
              <w:bCs/>
            </w:rPr>
            <w:fldChar w:fldCharType="end"/>
          </w:r>
        </w:p>
      </w:tc>
    </w:tr>
  </w:tbl>
  <w:p w14:paraId="386C14FC" w14:textId="77777777" w:rsidR="000363D5" w:rsidRDefault="000363D5" w:rsidP="002154D1">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0363D5" w14:paraId="5414CC53" w14:textId="77777777" w:rsidTr="00FF4E24">
      <w:tc>
        <w:tcPr>
          <w:tcW w:w="4247" w:type="dxa"/>
        </w:tcPr>
        <w:p w14:paraId="03CFE856" w14:textId="77777777" w:rsidR="000363D5" w:rsidRDefault="000363D5" w:rsidP="00432895">
          <w:pPr>
            <w:pStyle w:val="Footer"/>
          </w:pPr>
          <w:r>
            <w:t>EVALUACIÓN ECONÓMICA SOCIAL – ANEXO 6</w:t>
          </w:r>
        </w:p>
      </w:tc>
      <w:tc>
        <w:tcPr>
          <w:tcW w:w="4248" w:type="dxa"/>
        </w:tcPr>
        <w:p w14:paraId="5A10DDAB" w14:textId="77777777" w:rsidR="000363D5" w:rsidRDefault="000363D5">
          <w:pPr>
            <w:pStyle w:val="Footer"/>
          </w:pPr>
        </w:p>
      </w:tc>
    </w:tr>
    <w:tr w:rsidR="000363D5" w:rsidRPr="00703E20" w14:paraId="07EA63C1" w14:textId="77777777" w:rsidTr="00FF4E24">
      <w:tc>
        <w:tcPr>
          <w:tcW w:w="4247" w:type="dxa"/>
        </w:tcPr>
        <w:p w14:paraId="3CEF78E0" w14:textId="77777777" w:rsidR="000363D5" w:rsidRDefault="000363D5">
          <w:pPr>
            <w:pStyle w:val="Footer"/>
          </w:pPr>
        </w:p>
      </w:tc>
      <w:tc>
        <w:tcPr>
          <w:tcW w:w="4248" w:type="dxa"/>
        </w:tcPr>
        <w:p w14:paraId="49FCF25B" w14:textId="58790489" w:rsidR="000363D5" w:rsidRPr="00703E20" w:rsidRDefault="000363D5" w:rsidP="002154D1">
          <w:pPr>
            <w:pStyle w:val="Footer"/>
            <w:jc w:val="right"/>
          </w:pPr>
          <w:r w:rsidRPr="00703E20">
            <w:rPr>
              <w:lang w:val="es-ES"/>
            </w:rPr>
            <w:t xml:space="preserve">Página </w:t>
          </w:r>
          <w:r w:rsidRPr="00703E20">
            <w:rPr>
              <w:bCs/>
            </w:rPr>
            <w:fldChar w:fldCharType="begin"/>
          </w:r>
          <w:r w:rsidRPr="00703E20">
            <w:rPr>
              <w:bCs/>
            </w:rPr>
            <w:instrText>PAGE  \* Arabic  \* MERGEFORMAT</w:instrText>
          </w:r>
          <w:r w:rsidRPr="00703E20">
            <w:rPr>
              <w:bCs/>
            </w:rPr>
            <w:fldChar w:fldCharType="separate"/>
          </w:r>
          <w:r w:rsidR="00AB5F94" w:rsidRPr="00AB5F94">
            <w:rPr>
              <w:bCs/>
              <w:noProof/>
              <w:lang w:val="es-ES"/>
            </w:rPr>
            <w:t>229</w:t>
          </w:r>
          <w:r w:rsidRPr="00703E20">
            <w:rPr>
              <w:bCs/>
            </w:rPr>
            <w:fldChar w:fldCharType="end"/>
          </w:r>
          <w:r w:rsidRPr="00703E20">
            <w:rPr>
              <w:lang w:val="es-ES"/>
            </w:rPr>
            <w:t xml:space="preserve"> de </w:t>
          </w:r>
          <w:r w:rsidRPr="00703E20">
            <w:rPr>
              <w:bCs/>
            </w:rPr>
            <w:fldChar w:fldCharType="begin"/>
          </w:r>
          <w:r w:rsidRPr="00703E20">
            <w:rPr>
              <w:bCs/>
            </w:rPr>
            <w:instrText>NUMPAGES  \* Arabic  \* MERGEFORMAT</w:instrText>
          </w:r>
          <w:r w:rsidRPr="00703E20">
            <w:rPr>
              <w:bCs/>
            </w:rPr>
            <w:fldChar w:fldCharType="separate"/>
          </w:r>
          <w:r w:rsidR="00AB5F94" w:rsidRPr="00AB5F94">
            <w:rPr>
              <w:bCs/>
              <w:noProof/>
              <w:lang w:val="es-ES"/>
            </w:rPr>
            <w:t>235</w:t>
          </w:r>
          <w:r w:rsidRPr="00703E20">
            <w:rPr>
              <w:bCs/>
            </w:rPr>
            <w:fldChar w:fldCharType="end"/>
          </w:r>
        </w:p>
      </w:tc>
    </w:tr>
  </w:tbl>
  <w:p w14:paraId="46019CA8" w14:textId="77777777" w:rsidR="000363D5" w:rsidRDefault="000363D5" w:rsidP="002154D1">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0363D5" w14:paraId="46D34DC6" w14:textId="77777777" w:rsidTr="00FF4E24">
      <w:tc>
        <w:tcPr>
          <w:tcW w:w="4247" w:type="dxa"/>
        </w:tcPr>
        <w:p w14:paraId="77D2BB64" w14:textId="7EB1C0DA" w:rsidR="000363D5" w:rsidRDefault="000363D5" w:rsidP="00432895">
          <w:pPr>
            <w:pStyle w:val="Footer"/>
          </w:pPr>
          <w:r>
            <w:t>EVALUACIÓN ECONÓMICA SOCIAL – ANEXO 7</w:t>
          </w:r>
        </w:p>
      </w:tc>
      <w:tc>
        <w:tcPr>
          <w:tcW w:w="4248" w:type="dxa"/>
        </w:tcPr>
        <w:p w14:paraId="6A6BDB92" w14:textId="77777777" w:rsidR="000363D5" w:rsidRDefault="000363D5">
          <w:pPr>
            <w:pStyle w:val="Footer"/>
          </w:pPr>
        </w:p>
      </w:tc>
    </w:tr>
    <w:tr w:rsidR="000363D5" w:rsidRPr="00703E20" w14:paraId="65F8BF89" w14:textId="77777777" w:rsidTr="00FF4E24">
      <w:tc>
        <w:tcPr>
          <w:tcW w:w="4247" w:type="dxa"/>
        </w:tcPr>
        <w:p w14:paraId="335B87B0" w14:textId="77777777" w:rsidR="000363D5" w:rsidRDefault="000363D5">
          <w:pPr>
            <w:pStyle w:val="Footer"/>
          </w:pPr>
        </w:p>
      </w:tc>
      <w:tc>
        <w:tcPr>
          <w:tcW w:w="4248" w:type="dxa"/>
        </w:tcPr>
        <w:p w14:paraId="59712DD9" w14:textId="17FA6F05" w:rsidR="000363D5" w:rsidRPr="00703E20" w:rsidRDefault="000363D5" w:rsidP="002154D1">
          <w:pPr>
            <w:pStyle w:val="Footer"/>
            <w:jc w:val="right"/>
          </w:pPr>
          <w:r w:rsidRPr="00703E20">
            <w:rPr>
              <w:lang w:val="es-ES"/>
            </w:rPr>
            <w:t xml:space="preserve">Página </w:t>
          </w:r>
          <w:r w:rsidRPr="00703E20">
            <w:rPr>
              <w:bCs/>
            </w:rPr>
            <w:fldChar w:fldCharType="begin"/>
          </w:r>
          <w:r w:rsidRPr="00703E20">
            <w:rPr>
              <w:bCs/>
            </w:rPr>
            <w:instrText>PAGE  \* Arabic  \* MERGEFORMAT</w:instrText>
          </w:r>
          <w:r w:rsidRPr="00703E20">
            <w:rPr>
              <w:bCs/>
            </w:rPr>
            <w:fldChar w:fldCharType="separate"/>
          </w:r>
          <w:r w:rsidR="00AB5F94" w:rsidRPr="00AB5F94">
            <w:rPr>
              <w:bCs/>
              <w:noProof/>
              <w:lang w:val="es-ES"/>
            </w:rPr>
            <w:t>232</w:t>
          </w:r>
          <w:r w:rsidRPr="00703E20">
            <w:rPr>
              <w:bCs/>
            </w:rPr>
            <w:fldChar w:fldCharType="end"/>
          </w:r>
          <w:r w:rsidRPr="00703E20">
            <w:rPr>
              <w:lang w:val="es-ES"/>
            </w:rPr>
            <w:t xml:space="preserve"> de </w:t>
          </w:r>
          <w:r w:rsidRPr="00703E20">
            <w:rPr>
              <w:bCs/>
            </w:rPr>
            <w:fldChar w:fldCharType="begin"/>
          </w:r>
          <w:r w:rsidRPr="00703E20">
            <w:rPr>
              <w:bCs/>
            </w:rPr>
            <w:instrText>NUMPAGES  \* Arabic  \* MERGEFORMAT</w:instrText>
          </w:r>
          <w:r w:rsidRPr="00703E20">
            <w:rPr>
              <w:bCs/>
            </w:rPr>
            <w:fldChar w:fldCharType="separate"/>
          </w:r>
          <w:r w:rsidR="00AB5F94" w:rsidRPr="00AB5F94">
            <w:rPr>
              <w:bCs/>
              <w:noProof/>
              <w:lang w:val="es-ES"/>
            </w:rPr>
            <w:t>235</w:t>
          </w:r>
          <w:r w:rsidRPr="00703E20">
            <w:rPr>
              <w:bCs/>
            </w:rPr>
            <w:fldChar w:fldCharType="end"/>
          </w:r>
        </w:p>
      </w:tc>
    </w:tr>
  </w:tbl>
  <w:p w14:paraId="12D8E595" w14:textId="77777777" w:rsidR="000363D5" w:rsidRDefault="000363D5" w:rsidP="002154D1">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0363D5" w14:paraId="56DC0623" w14:textId="77777777" w:rsidTr="00FF4E24">
      <w:tc>
        <w:tcPr>
          <w:tcW w:w="4247" w:type="dxa"/>
        </w:tcPr>
        <w:p w14:paraId="05AD5429" w14:textId="3C325307" w:rsidR="000363D5" w:rsidRDefault="000363D5" w:rsidP="00432895">
          <w:pPr>
            <w:pStyle w:val="Footer"/>
          </w:pPr>
          <w:r>
            <w:t>EVALUACIÓN ECONÓMICA SOCIAL – ANEXO 8</w:t>
          </w:r>
        </w:p>
      </w:tc>
      <w:tc>
        <w:tcPr>
          <w:tcW w:w="4248" w:type="dxa"/>
        </w:tcPr>
        <w:p w14:paraId="658267FB" w14:textId="77777777" w:rsidR="000363D5" w:rsidRDefault="000363D5">
          <w:pPr>
            <w:pStyle w:val="Footer"/>
          </w:pPr>
        </w:p>
      </w:tc>
    </w:tr>
    <w:tr w:rsidR="000363D5" w:rsidRPr="00703E20" w14:paraId="19AE5774" w14:textId="77777777" w:rsidTr="00FF4E24">
      <w:tc>
        <w:tcPr>
          <w:tcW w:w="4247" w:type="dxa"/>
        </w:tcPr>
        <w:p w14:paraId="51E45384" w14:textId="77777777" w:rsidR="000363D5" w:rsidRDefault="000363D5">
          <w:pPr>
            <w:pStyle w:val="Footer"/>
          </w:pPr>
        </w:p>
      </w:tc>
      <w:tc>
        <w:tcPr>
          <w:tcW w:w="4248" w:type="dxa"/>
        </w:tcPr>
        <w:p w14:paraId="3F64D0E2" w14:textId="1993F2D5" w:rsidR="000363D5" w:rsidRPr="00703E20" w:rsidRDefault="000363D5" w:rsidP="002154D1">
          <w:pPr>
            <w:pStyle w:val="Footer"/>
            <w:jc w:val="right"/>
          </w:pPr>
          <w:r w:rsidRPr="00703E20">
            <w:rPr>
              <w:lang w:val="es-ES"/>
            </w:rPr>
            <w:t xml:space="preserve">Página </w:t>
          </w:r>
          <w:r w:rsidRPr="00703E20">
            <w:rPr>
              <w:bCs/>
            </w:rPr>
            <w:fldChar w:fldCharType="begin"/>
          </w:r>
          <w:r w:rsidRPr="00703E20">
            <w:rPr>
              <w:bCs/>
            </w:rPr>
            <w:instrText>PAGE  \* Arabic  \* MERGEFORMAT</w:instrText>
          </w:r>
          <w:r w:rsidRPr="00703E20">
            <w:rPr>
              <w:bCs/>
            </w:rPr>
            <w:fldChar w:fldCharType="separate"/>
          </w:r>
          <w:r w:rsidR="00AB5F94" w:rsidRPr="00AB5F94">
            <w:rPr>
              <w:bCs/>
              <w:noProof/>
              <w:lang w:val="es-ES"/>
            </w:rPr>
            <w:t>235</w:t>
          </w:r>
          <w:r w:rsidRPr="00703E20">
            <w:rPr>
              <w:bCs/>
            </w:rPr>
            <w:fldChar w:fldCharType="end"/>
          </w:r>
          <w:r w:rsidRPr="00703E20">
            <w:rPr>
              <w:lang w:val="es-ES"/>
            </w:rPr>
            <w:t xml:space="preserve"> de </w:t>
          </w:r>
          <w:r w:rsidRPr="00703E20">
            <w:rPr>
              <w:bCs/>
            </w:rPr>
            <w:fldChar w:fldCharType="begin"/>
          </w:r>
          <w:r w:rsidRPr="00703E20">
            <w:rPr>
              <w:bCs/>
            </w:rPr>
            <w:instrText>NUMPAGES  \* Arabic  \* MERGEFORMAT</w:instrText>
          </w:r>
          <w:r w:rsidRPr="00703E20">
            <w:rPr>
              <w:bCs/>
            </w:rPr>
            <w:fldChar w:fldCharType="separate"/>
          </w:r>
          <w:r w:rsidR="00AB5F94" w:rsidRPr="00AB5F94">
            <w:rPr>
              <w:bCs/>
              <w:noProof/>
              <w:lang w:val="es-ES"/>
            </w:rPr>
            <w:t>235</w:t>
          </w:r>
          <w:r w:rsidRPr="00703E20">
            <w:rPr>
              <w:bCs/>
            </w:rPr>
            <w:fldChar w:fldCharType="end"/>
          </w:r>
        </w:p>
      </w:tc>
    </w:tr>
  </w:tbl>
  <w:p w14:paraId="505DBF74" w14:textId="77777777" w:rsidR="000363D5" w:rsidRDefault="000363D5" w:rsidP="002154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4967616"/>
      <w:docPartObj>
        <w:docPartGallery w:val="Page Numbers (Bottom of Page)"/>
        <w:docPartUnique/>
      </w:docPartObj>
    </w:sdtPr>
    <w:sdtEndPr>
      <w:rPr>
        <w:color w:val="FFFFFF" w:themeColor="background1"/>
      </w:rPr>
    </w:sdtEndPr>
    <w:sdtContent>
      <w:sdt>
        <w:sdtPr>
          <w:rPr>
            <w:color w:val="FFFFFF" w:themeColor="background1"/>
          </w:rPr>
          <w:id w:val="-453947633"/>
          <w:docPartObj>
            <w:docPartGallery w:val="Page Numbers (Top of Page)"/>
            <w:docPartUnique/>
          </w:docPartObj>
        </w:sdtPr>
        <w:sdtEndPr/>
        <w:sdtContent>
          <w:p w14:paraId="2C8A49DB" w14:textId="670F747D" w:rsidR="000363D5" w:rsidRPr="006F0E0C" w:rsidRDefault="000363D5" w:rsidP="007C065B">
            <w:pPr>
              <w:pStyle w:val="Footer"/>
              <w:jc w:val="right"/>
              <w:rPr>
                <w:color w:val="FFFFFF" w:themeColor="background1"/>
              </w:rPr>
            </w:pPr>
            <w:r w:rsidRPr="006F0E0C">
              <w:rPr>
                <w:color w:val="FFFFFF" w:themeColor="background1"/>
              </w:rPr>
              <w:t xml:space="preserve">Página </w:t>
            </w:r>
            <w:r w:rsidRPr="006F0E0C">
              <w:rPr>
                <w:b/>
                <w:bCs/>
                <w:color w:val="FFFFFF" w:themeColor="background1"/>
                <w:sz w:val="24"/>
                <w:szCs w:val="24"/>
              </w:rPr>
              <w:fldChar w:fldCharType="begin"/>
            </w:r>
            <w:r w:rsidRPr="006F0E0C">
              <w:rPr>
                <w:b/>
                <w:bCs/>
                <w:color w:val="FFFFFF" w:themeColor="background1"/>
              </w:rPr>
              <w:instrText xml:space="preserve"> PAGE </w:instrText>
            </w:r>
            <w:r w:rsidRPr="006F0E0C">
              <w:rPr>
                <w:b/>
                <w:bCs/>
                <w:color w:val="FFFFFF" w:themeColor="background1"/>
                <w:sz w:val="24"/>
                <w:szCs w:val="24"/>
              </w:rPr>
              <w:fldChar w:fldCharType="separate"/>
            </w:r>
            <w:r w:rsidR="005C1A74">
              <w:rPr>
                <w:b/>
                <w:bCs/>
                <w:noProof/>
                <w:color w:val="FFFFFF" w:themeColor="background1"/>
              </w:rPr>
              <w:t>1</w:t>
            </w:r>
            <w:r w:rsidRPr="006F0E0C">
              <w:rPr>
                <w:b/>
                <w:bCs/>
                <w:color w:val="FFFFFF" w:themeColor="background1"/>
                <w:sz w:val="24"/>
                <w:szCs w:val="24"/>
              </w:rPr>
              <w:fldChar w:fldCharType="end"/>
            </w:r>
            <w:r w:rsidRPr="006F0E0C">
              <w:rPr>
                <w:color w:val="FFFFFF" w:themeColor="background1"/>
              </w:rPr>
              <w:t xml:space="preserve"> de </w:t>
            </w:r>
            <w:r w:rsidRPr="006F0E0C">
              <w:rPr>
                <w:b/>
                <w:bCs/>
                <w:color w:val="FFFFFF" w:themeColor="background1"/>
                <w:sz w:val="24"/>
                <w:szCs w:val="24"/>
              </w:rPr>
              <w:fldChar w:fldCharType="begin"/>
            </w:r>
            <w:r w:rsidRPr="006F0E0C">
              <w:rPr>
                <w:b/>
                <w:bCs/>
                <w:color w:val="FFFFFF" w:themeColor="background1"/>
              </w:rPr>
              <w:instrText xml:space="preserve"> NUMPAGES  </w:instrText>
            </w:r>
            <w:r w:rsidRPr="006F0E0C">
              <w:rPr>
                <w:b/>
                <w:bCs/>
                <w:color w:val="FFFFFF" w:themeColor="background1"/>
                <w:sz w:val="24"/>
                <w:szCs w:val="24"/>
              </w:rPr>
              <w:fldChar w:fldCharType="separate"/>
            </w:r>
            <w:r w:rsidR="005C1A74">
              <w:rPr>
                <w:b/>
                <w:bCs/>
                <w:noProof/>
                <w:color w:val="FFFFFF" w:themeColor="background1"/>
              </w:rPr>
              <w:t>24</w:t>
            </w:r>
            <w:r w:rsidRPr="006F0E0C">
              <w:rPr>
                <w:b/>
                <w:bCs/>
                <w:color w:val="FFFFFF" w:themeColor="background1"/>
                <w:sz w:val="24"/>
                <w:szCs w:val="24"/>
              </w:rPr>
              <w:fldChar w:fldCharType="end"/>
            </w:r>
          </w:p>
        </w:sdtContent>
      </w:sdt>
    </w:sdtContent>
  </w:sdt>
  <w:p w14:paraId="69747F88" w14:textId="77777777" w:rsidR="000363D5" w:rsidRDefault="000363D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88415644"/>
      <w:docPartObj>
        <w:docPartGallery w:val="Page Numbers (Bottom of Page)"/>
        <w:docPartUnique/>
      </w:docPartObj>
    </w:sdtPr>
    <w:sdtEndPr/>
    <w:sdtContent>
      <w:sdt>
        <w:sdtPr>
          <w:id w:val="-1190143124"/>
          <w:docPartObj>
            <w:docPartGallery w:val="Page Numbers (Top of Page)"/>
            <w:docPartUnique/>
          </w:docPartObj>
        </w:sdtPr>
        <w:sdtEndPr/>
        <w:sdtContent>
          <w:p w14:paraId="1294AD06" w14:textId="4F781689" w:rsidR="000363D5" w:rsidRDefault="000363D5" w:rsidP="007C065B">
            <w:pPr>
              <w:pStyle w:val="Footer"/>
              <w:jc w:val="right"/>
            </w:pPr>
            <w:r>
              <w:t xml:space="preserve">Página </w:t>
            </w:r>
            <w:r>
              <w:rPr>
                <w:b/>
                <w:bCs/>
                <w:sz w:val="24"/>
                <w:szCs w:val="24"/>
              </w:rPr>
              <w:fldChar w:fldCharType="begin"/>
            </w:r>
            <w:r>
              <w:rPr>
                <w:b/>
                <w:bCs/>
              </w:rPr>
              <w:instrText xml:space="preserve"> PAGE </w:instrText>
            </w:r>
            <w:r>
              <w:rPr>
                <w:b/>
                <w:bCs/>
                <w:sz w:val="24"/>
                <w:szCs w:val="24"/>
              </w:rPr>
              <w:fldChar w:fldCharType="separate"/>
            </w:r>
            <w:r w:rsidR="005C1A74">
              <w:rPr>
                <w:b/>
                <w:bCs/>
                <w:noProof/>
              </w:rPr>
              <w:t>13</w:t>
            </w:r>
            <w:r>
              <w:rPr>
                <w:b/>
                <w:bCs/>
                <w:sz w:val="24"/>
                <w:szCs w:val="24"/>
              </w:rPr>
              <w:fldChar w:fldCharType="end"/>
            </w:r>
            <w:r>
              <w:t xml:space="preserve"> de </w:t>
            </w:r>
            <w:r>
              <w:rPr>
                <w:b/>
                <w:bCs/>
                <w:sz w:val="24"/>
                <w:szCs w:val="24"/>
              </w:rPr>
              <w:fldChar w:fldCharType="begin"/>
            </w:r>
            <w:r>
              <w:rPr>
                <w:b/>
                <w:bCs/>
              </w:rPr>
              <w:instrText xml:space="preserve"> NUMPAGES  </w:instrText>
            </w:r>
            <w:r>
              <w:rPr>
                <w:b/>
                <w:bCs/>
                <w:sz w:val="24"/>
                <w:szCs w:val="24"/>
              </w:rPr>
              <w:fldChar w:fldCharType="separate"/>
            </w:r>
            <w:r w:rsidR="005C1A74">
              <w:rPr>
                <w:b/>
                <w:bCs/>
                <w:noProof/>
              </w:rPr>
              <w:t>13</w:t>
            </w:r>
            <w:r>
              <w:rPr>
                <w:b/>
                <w:bCs/>
                <w:sz w:val="24"/>
                <w:szCs w:val="24"/>
              </w:rPr>
              <w:fldChar w:fldCharType="end"/>
            </w:r>
          </w:p>
        </w:sdtContent>
      </w:sdt>
    </w:sdtContent>
  </w:sdt>
  <w:p w14:paraId="6CBE73B4" w14:textId="77777777" w:rsidR="000363D5" w:rsidRDefault="000363D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6171688"/>
      <w:docPartObj>
        <w:docPartGallery w:val="Page Numbers (Bottom of Page)"/>
        <w:docPartUnique/>
      </w:docPartObj>
    </w:sdtPr>
    <w:sdtEndPr/>
    <w:sdtContent>
      <w:sdt>
        <w:sdtPr>
          <w:id w:val="-2084751725"/>
          <w:docPartObj>
            <w:docPartGallery w:val="Page Numbers (Top of Page)"/>
            <w:docPartUnique/>
          </w:docPartObj>
        </w:sdtPr>
        <w:sdtEndPr/>
        <w:sdtContent>
          <w:p w14:paraId="01B64EFF" w14:textId="3FC61E2B" w:rsidR="000363D5" w:rsidRDefault="000363D5">
            <w:pPr>
              <w:pStyle w:val="Footer"/>
              <w:jc w:val="right"/>
            </w:pPr>
            <w:r>
              <w:t xml:space="preserve">Página </w:t>
            </w:r>
            <w:r>
              <w:rPr>
                <w:b/>
                <w:bCs/>
                <w:sz w:val="24"/>
                <w:szCs w:val="24"/>
              </w:rPr>
              <w:fldChar w:fldCharType="begin"/>
            </w:r>
            <w:r>
              <w:rPr>
                <w:b/>
                <w:bCs/>
              </w:rPr>
              <w:instrText xml:space="preserve"> PAGE </w:instrText>
            </w:r>
            <w:r>
              <w:rPr>
                <w:b/>
                <w:bCs/>
                <w:sz w:val="24"/>
                <w:szCs w:val="24"/>
              </w:rPr>
              <w:fldChar w:fldCharType="separate"/>
            </w:r>
            <w:r w:rsidR="00AB5F94">
              <w:rPr>
                <w:b/>
                <w:bCs/>
                <w:noProof/>
              </w:rPr>
              <w:t>111</w:t>
            </w:r>
            <w:r>
              <w:rPr>
                <w:b/>
                <w:bCs/>
                <w:sz w:val="24"/>
                <w:szCs w:val="24"/>
              </w:rPr>
              <w:fldChar w:fldCharType="end"/>
            </w:r>
            <w:r>
              <w:t xml:space="preserve"> de </w:t>
            </w:r>
            <w:r>
              <w:rPr>
                <w:b/>
                <w:bCs/>
                <w:sz w:val="24"/>
                <w:szCs w:val="24"/>
              </w:rPr>
              <w:fldChar w:fldCharType="begin"/>
            </w:r>
            <w:r>
              <w:rPr>
                <w:b/>
                <w:bCs/>
              </w:rPr>
              <w:instrText xml:space="preserve"> NUMPAGES  </w:instrText>
            </w:r>
            <w:r>
              <w:rPr>
                <w:b/>
                <w:bCs/>
                <w:sz w:val="24"/>
                <w:szCs w:val="24"/>
              </w:rPr>
              <w:fldChar w:fldCharType="separate"/>
            </w:r>
            <w:r w:rsidR="00AB5F94">
              <w:rPr>
                <w:b/>
                <w:bCs/>
                <w:noProof/>
              </w:rPr>
              <w:t>235</w:t>
            </w:r>
            <w:r>
              <w:rPr>
                <w:b/>
                <w:bCs/>
                <w:sz w:val="24"/>
                <w:szCs w:val="24"/>
              </w:rPr>
              <w:fldChar w:fldCharType="end"/>
            </w:r>
          </w:p>
        </w:sdtContent>
      </w:sdt>
    </w:sdtContent>
  </w:sdt>
  <w:p w14:paraId="72C8F84B" w14:textId="77777777" w:rsidR="000363D5" w:rsidRDefault="000363D5" w:rsidP="002154D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14336"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67"/>
      <w:gridCol w:w="7169"/>
    </w:tblGrid>
    <w:tr w:rsidR="000363D5" w:rsidRPr="00703E20" w14:paraId="4732FF7D" w14:textId="77777777" w:rsidTr="00D946DA">
      <w:trPr>
        <w:trHeight w:val="272"/>
      </w:trPr>
      <w:tc>
        <w:tcPr>
          <w:tcW w:w="7167" w:type="dxa"/>
          <w:tcBorders>
            <w:top w:val="nil"/>
            <w:bottom w:val="nil"/>
          </w:tcBorders>
        </w:tcPr>
        <w:p w14:paraId="78DB0E26" w14:textId="4B8E98CB" w:rsidR="000363D5" w:rsidRDefault="000363D5">
          <w:pPr>
            <w:pStyle w:val="Footer"/>
          </w:pPr>
        </w:p>
      </w:tc>
      <w:tc>
        <w:tcPr>
          <w:tcW w:w="7169" w:type="dxa"/>
          <w:tcBorders>
            <w:top w:val="nil"/>
          </w:tcBorders>
        </w:tcPr>
        <w:p w14:paraId="06BACC0F" w14:textId="6F353FEF" w:rsidR="000363D5" w:rsidRPr="00703E20" w:rsidRDefault="000363D5" w:rsidP="002154D1">
          <w:pPr>
            <w:pStyle w:val="Footer"/>
            <w:jc w:val="right"/>
          </w:pPr>
          <w:r w:rsidRPr="00703E20">
            <w:rPr>
              <w:lang w:val="es-ES"/>
            </w:rPr>
            <w:t xml:space="preserve">Página </w:t>
          </w:r>
          <w:r w:rsidRPr="00703E20">
            <w:rPr>
              <w:bCs/>
            </w:rPr>
            <w:fldChar w:fldCharType="begin"/>
          </w:r>
          <w:r w:rsidRPr="00703E20">
            <w:rPr>
              <w:bCs/>
            </w:rPr>
            <w:instrText>PAGE  \* Arabic  \* MERGEFORMAT</w:instrText>
          </w:r>
          <w:r w:rsidRPr="00703E20">
            <w:rPr>
              <w:bCs/>
            </w:rPr>
            <w:fldChar w:fldCharType="separate"/>
          </w:r>
          <w:r w:rsidR="00AB5F94" w:rsidRPr="00AB5F94">
            <w:rPr>
              <w:bCs/>
              <w:noProof/>
              <w:lang w:val="es-ES"/>
            </w:rPr>
            <w:t>112</w:t>
          </w:r>
          <w:r w:rsidRPr="00703E20">
            <w:rPr>
              <w:bCs/>
            </w:rPr>
            <w:fldChar w:fldCharType="end"/>
          </w:r>
          <w:r w:rsidRPr="00703E20">
            <w:rPr>
              <w:lang w:val="es-ES"/>
            </w:rPr>
            <w:t xml:space="preserve"> de </w:t>
          </w:r>
          <w:r w:rsidRPr="00703E20">
            <w:rPr>
              <w:bCs/>
            </w:rPr>
            <w:fldChar w:fldCharType="begin"/>
          </w:r>
          <w:r w:rsidRPr="00703E20">
            <w:rPr>
              <w:bCs/>
            </w:rPr>
            <w:instrText>NUMPAGES  \* Arabic  \* MERGEFORMAT</w:instrText>
          </w:r>
          <w:r w:rsidRPr="00703E20">
            <w:rPr>
              <w:bCs/>
            </w:rPr>
            <w:fldChar w:fldCharType="separate"/>
          </w:r>
          <w:r w:rsidR="00AB5F94" w:rsidRPr="00AB5F94">
            <w:rPr>
              <w:bCs/>
              <w:noProof/>
              <w:lang w:val="es-ES"/>
            </w:rPr>
            <w:t>235</w:t>
          </w:r>
          <w:r w:rsidRPr="00703E20">
            <w:rPr>
              <w:bCs/>
            </w:rPr>
            <w:fldChar w:fldCharType="end"/>
          </w:r>
        </w:p>
      </w:tc>
    </w:tr>
  </w:tbl>
  <w:p w14:paraId="0A80466A" w14:textId="77777777" w:rsidR="000363D5" w:rsidRDefault="000363D5" w:rsidP="002154D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0363D5" w:rsidRPr="00703E20" w14:paraId="6BFCDDC0" w14:textId="77777777" w:rsidTr="006B21A6">
      <w:tc>
        <w:tcPr>
          <w:tcW w:w="4247" w:type="dxa"/>
        </w:tcPr>
        <w:p w14:paraId="7CB12FA8" w14:textId="7EA05879" w:rsidR="000363D5" w:rsidRDefault="000363D5">
          <w:pPr>
            <w:pStyle w:val="Footer"/>
          </w:pPr>
        </w:p>
      </w:tc>
      <w:tc>
        <w:tcPr>
          <w:tcW w:w="4248" w:type="dxa"/>
        </w:tcPr>
        <w:p w14:paraId="347E4A80" w14:textId="79EE97DA" w:rsidR="000363D5" w:rsidRPr="00703E20" w:rsidRDefault="000363D5" w:rsidP="002154D1">
          <w:pPr>
            <w:pStyle w:val="Footer"/>
            <w:jc w:val="right"/>
          </w:pPr>
          <w:r w:rsidRPr="00703E20">
            <w:rPr>
              <w:lang w:val="es-ES"/>
            </w:rPr>
            <w:t xml:space="preserve">Página </w:t>
          </w:r>
          <w:r w:rsidRPr="00703E20">
            <w:rPr>
              <w:bCs/>
            </w:rPr>
            <w:fldChar w:fldCharType="begin"/>
          </w:r>
          <w:r w:rsidRPr="00703E20">
            <w:rPr>
              <w:bCs/>
            </w:rPr>
            <w:instrText>PAGE  \* Arabic  \* MERGEFORMAT</w:instrText>
          </w:r>
          <w:r w:rsidRPr="00703E20">
            <w:rPr>
              <w:bCs/>
            </w:rPr>
            <w:fldChar w:fldCharType="separate"/>
          </w:r>
          <w:r w:rsidR="003F38C4" w:rsidRPr="003F38C4">
            <w:rPr>
              <w:bCs/>
              <w:noProof/>
              <w:lang w:val="es-ES"/>
            </w:rPr>
            <w:t>119</w:t>
          </w:r>
          <w:r w:rsidRPr="00703E20">
            <w:rPr>
              <w:bCs/>
            </w:rPr>
            <w:fldChar w:fldCharType="end"/>
          </w:r>
          <w:r w:rsidRPr="00703E20">
            <w:rPr>
              <w:lang w:val="es-ES"/>
            </w:rPr>
            <w:t xml:space="preserve"> de </w:t>
          </w:r>
          <w:r w:rsidRPr="00703E20">
            <w:rPr>
              <w:bCs/>
            </w:rPr>
            <w:fldChar w:fldCharType="begin"/>
          </w:r>
          <w:r w:rsidRPr="00703E20">
            <w:rPr>
              <w:bCs/>
            </w:rPr>
            <w:instrText>NUMPAGES  \* Arabic  \* MERGEFORMAT</w:instrText>
          </w:r>
          <w:r w:rsidRPr="00703E20">
            <w:rPr>
              <w:bCs/>
            </w:rPr>
            <w:fldChar w:fldCharType="separate"/>
          </w:r>
          <w:r w:rsidR="003F38C4" w:rsidRPr="003F38C4">
            <w:rPr>
              <w:bCs/>
              <w:noProof/>
              <w:lang w:val="es-ES"/>
            </w:rPr>
            <w:t>236</w:t>
          </w:r>
          <w:r w:rsidRPr="00703E20">
            <w:rPr>
              <w:bCs/>
            </w:rPr>
            <w:fldChar w:fldCharType="end"/>
          </w:r>
        </w:p>
      </w:tc>
    </w:tr>
  </w:tbl>
  <w:p w14:paraId="5ED3F301" w14:textId="77777777" w:rsidR="000363D5" w:rsidRDefault="000363D5" w:rsidP="002154D1">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CAD7E7" w14:textId="77777777" w:rsidR="000363D5" w:rsidRDefault="000363D5">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92534083"/>
      <w:docPartObj>
        <w:docPartGallery w:val="Page Numbers (Bottom of Page)"/>
        <w:docPartUnique/>
      </w:docPartObj>
    </w:sdtPr>
    <w:sdtEndPr/>
    <w:sdtContent>
      <w:sdt>
        <w:sdtPr>
          <w:id w:val="-1879777069"/>
          <w:docPartObj>
            <w:docPartGallery w:val="Page Numbers (Top of Page)"/>
            <w:docPartUnique/>
          </w:docPartObj>
        </w:sdtPr>
        <w:sdtEndPr/>
        <w:sdtContent>
          <w:p w14:paraId="3706884D" w14:textId="58BF7C09" w:rsidR="000363D5" w:rsidRDefault="000363D5">
            <w:pPr>
              <w:pStyle w:val="Footer"/>
              <w:jc w:val="right"/>
            </w:pPr>
            <w:r w:rsidRPr="006B21A6">
              <w:rPr>
                <w:rFonts w:ascii="Arial" w:hAnsi="Arial" w:cs="Arial"/>
                <w:sz w:val="18"/>
                <w:szCs w:val="18"/>
              </w:rPr>
              <w:t xml:space="preserve">Página </w:t>
            </w:r>
            <w:r w:rsidRPr="006B21A6">
              <w:rPr>
                <w:rFonts w:ascii="Arial" w:hAnsi="Arial" w:cs="Arial"/>
                <w:b/>
                <w:bCs/>
                <w:sz w:val="18"/>
                <w:szCs w:val="18"/>
              </w:rPr>
              <w:fldChar w:fldCharType="begin"/>
            </w:r>
            <w:r w:rsidRPr="006B21A6">
              <w:rPr>
                <w:rFonts w:ascii="Arial" w:hAnsi="Arial" w:cs="Arial"/>
                <w:b/>
                <w:bCs/>
                <w:sz w:val="18"/>
                <w:szCs w:val="18"/>
              </w:rPr>
              <w:instrText xml:space="preserve"> PAGE </w:instrText>
            </w:r>
            <w:r w:rsidRPr="006B21A6">
              <w:rPr>
                <w:rFonts w:ascii="Arial" w:hAnsi="Arial" w:cs="Arial"/>
                <w:b/>
                <w:bCs/>
                <w:sz w:val="18"/>
                <w:szCs w:val="18"/>
              </w:rPr>
              <w:fldChar w:fldCharType="separate"/>
            </w:r>
            <w:r w:rsidR="00AB5F94">
              <w:rPr>
                <w:rFonts w:ascii="Arial" w:hAnsi="Arial" w:cs="Arial"/>
                <w:b/>
                <w:bCs/>
                <w:noProof/>
                <w:sz w:val="18"/>
                <w:szCs w:val="18"/>
              </w:rPr>
              <w:t>163</w:t>
            </w:r>
            <w:r w:rsidRPr="006B21A6">
              <w:rPr>
                <w:rFonts w:ascii="Arial" w:hAnsi="Arial" w:cs="Arial"/>
                <w:b/>
                <w:bCs/>
                <w:sz w:val="18"/>
                <w:szCs w:val="18"/>
              </w:rPr>
              <w:fldChar w:fldCharType="end"/>
            </w:r>
            <w:r w:rsidRPr="006B21A6">
              <w:rPr>
                <w:rFonts w:ascii="Arial" w:hAnsi="Arial" w:cs="Arial"/>
                <w:sz w:val="18"/>
                <w:szCs w:val="18"/>
              </w:rPr>
              <w:t xml:space="preserve"> de </w:t>
            </w:r>
            <w:r w:rsidRPr="006B21A6">
              <w:rPr>
                <w:rFonts w:ascii="Arial" w:hAnsi="Arial" w:cs="Arial"/>
                <w:b/>
                <w:bCs/>
                <w:sz w:val="18"/>
                <w:szCs w:val="18"/>
              </w:rPr>
              <w:fldChar w:fldCharType="begin"/>
            </w:r>
            <w:r w:rsidRPr="006B21A6">
              <w:rPr>
                <w:rFonts w:ascii="Arial" w:hAnsi="Arial" w:cs="Arial"/>
                <w:b/>
                <w:bCs/>
                <w:sz w:val="18"/>
                <w:szCs w:val="18"/>
              </w:rPr>
              <w:instrText xml:space="preserve"> NUMPAGES  </w:instrText>
            </w:r>
            <w:r w:rsidRPr="006B21A6">
              <w:rPr>
                <w:rFonts w:ascii="Arial" w:hAnsi="Arial" w:cs="Arial"/>
                <w:b/>
                <w:bCs/>
                <w:sz w:val="18"/>
                <w:szCs w:val="18"/>
              </w:rPr>
              <w:fldChar w:fldCharType="separate"/>
            </w:r>
            <w:r w:rsidR="00AB5F94">
              <w:rPr>
                <w:rFonts w:ascii="Arial" w:hAnsi="Arial" w:cs="Arial"/>
                <w:b/>
                <w:bCs/>
                <w:noProof/>
                <w:sz w:val="18"/>
                <w:szCs w:val="18"/>
              </w:rPr>
              <w:t>235</w:t>
            </w:r>
            <w:r w:rsidRPr="006B21A6">
              <w:rPr>
                <w:rFonts w:ascii="Arial" w:hAnsi="Arial" w:cs="Arial"/>
                <w:b/>
                <w:bCs/>
                <w:sz w:val="18"/>
                <w:szCs w:val="18"/>
              </w:rPr>
              <w:fldChar w:fldCharType="end"/>
            </w:r>
          </w:p>
        </w:sdtContent>
      </w:sdt>
    </w:sdtContent>
  </w:sdt>
  <w:p w14:paraId="5DC58888" w14:textId="6C11FA72" w:rsidR="000363D5" w:rsidRPr="006B21A6" w:rsidRDefault="000363D5" w:rsidP="006B21A6">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1DF9B2" w14:textId="77777777" w:rsidR="000363D5" w:rsidRDefault="000363D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5D19A8" w14:textId="77777777" w:rsidR="000363D5" w:rsidRDefault="000363D5" w:rsidP="00014F54">
      <w:pPr>
        <w:spacing w:after="0" w:line="240" w:lineRule="auto"/>
      </w:pPr>
      <w:r>
        <w:separator/>
      </w:r>
    </w:p>
  </w:footnote>
  <w:footnote w:type="continuationSeparator" w:id="0">
    <w:p w14:paraId="6454A90E" w14:textId="77777777" w:rsidR="000363D5" w:rsidRDefault="000363D5" w:rsidP="00014F54">
      <w:pPr>
        <w:spacing w:after="0" w:line="240" w:lineRule="auto"/>
      </w:pPr>
      <w:r>
        <w:continuationSeparator/>
      </w:r>
    </w:p>
  </w:footnote>
  <w:footnote w:id="1">
    <w:p w14:paraId="3117F08A" w14:textId="77777777" w:rsidR="000363D5" w:rsidRPr="00A23390" w:rsidRDefault="000363D5" w:rsidP="00C7072D">
      <w:pPr>
        <w:pStyle w:val="FootnoteText"/>
        <w:rPr>
          <w:lang w:val="es-ES"/>
        </w:rPr>
      </w:pPr>
      <w:r>
        <w:rPr>
          <w:rStyle w:val="FootnoteReference"/>
        </w:rPr>
        <w:footnoteRef/>
      </w:r>
      <w:r>
        <w:t xml:space="preserve"> </w:t>
      </w:r>
      <w:r>
        <w:rPr>
          <w:lang w:val="es-ES"/>
        </w:rPr>
        <w:t>De los 240.000 habitantes a incorporar, 210.000 corresponden a la ampliación del EºDº y 30.000 a la capacidad existente en el mismo actualmente.</w:t>
      </w:r>
    </w:p>
  </w:footnote>
  <w:footnote w:id="2">
    <w:p w14:paraId="7DD5DFED" w14:textId="77777777" w:rsidR="000363D5" w:rsidRPr="006B21A6" w:rsidRDefault="000363D5" w:rsidP="009252F3">
      <w:pPr>
        <w:pStyle w:val="FootnoteText"/>
        <w:rPr>
          <w:rFonts w:ascii="Arial" w:hAnsi="Arial" w:cs="Arial"/>
          <w:sz w:val="18"/>
          <w:szCs w:val="18"/>
          <w:lang w:val="es-ES"/>
        </w:rPr>
      </w:pPr>
      <w:r w:rsidRPr="006B21A6">
        <w:rPr>
          <w:rStyle w:val="FootnoteReference"/>
          <w:rFonts w:ascii="Arial" w:hAnsi="Arial" w:cs="Arial"/>
          <w:sz w:val="18"/>
          <w:szCs w:val="18"/>
        </w:rPr>
        <w:footnoteRef/>
      </w:r>
      <w:r w:rsidRPr="006B21A6">
        <w:rPr>
          <w:rFonts w:ascii="Arial" w:hAnsi="Arial" w:cs="Arial"/>
          <w:sz w:val="18"/>
          <w:szCs w:val="18"/>
          <w:lang w:val="es-ES"/>
        </w:rPr>
        <w:t xml:space="preserve">  </w:t>
      </w:r>
      <w:hyperlink r:id="rId1" w:history="1">
        <w:r w:rsidRPr="006B21A6">
          <w:rPr>
            <w:rStyle w:val="Hyperlink"/>
            <w:rFonts w:ascii="Arial" w:hAnsi="Arial" w:cs="Arial"/>
            <w:sz w:val="18"/>
            <w:szCs w:val="18"/>
            <w:lang w:val="es-ES"/>
          </w:rPr>
          <w:t>http://www.indec.mecon.ar/bases-de-datos.asp</w:t>
        </w:r>
      </w:hyperlink>
      <w:r w:rsidRPr="006B21A6">
        <w:rPr>
          <w:rFonts w:ascii="Arial" w:hAnsi="Arial" w:cs="Arial"/>
          <w:sz w:val="18"/>
          <w:szCs w:val="18"/>
          <w:lang w:val="es-ES"/>
        </w:rPr>
        <w:t xml:space="preserve"> </w:t>
      </w:r>
    </w:p>
  </w:footnote>
  <w:footnote w:id="3">
    <w:p w14:paraId="10FC9098" w14:textId="77777777" w:rsidR="000363D5" w:rsidRPr="006B21A6" w:rsidRDefault="000363D5" w:rsidP="009252F3">
      <w:pPr>
        <w:pStyle w:val="FootnoteText"/>
        <w:rPr>
          <w:rFonts w:ascii="Arial" w:hAnsi="Arial" w:cs="Arial"/>
          <w:sz w:val="18"/>
          <w:szCs w:val="18"/>
        </w:rPr>
      </w:pPr>
      <w:r w:rsidRPr="006B21A6">
        <w:rPr>
          <w:rStyle w:val="FootnoteReference"/>
          <w:rFonts w:ascii="Arial" w:hAnsi="Arial" w:cs="Arial"/>
          <w:sz w:val="18"/>
          <w:szCs w:val="18"/>
        </w:rPr>
        <w:footnoteRef/>
      </w:r>
      <w:r w:rsidRPr="006B21A6">
        <w:rPr>
          <w:rFonts w:ascii="Arial" w:hAnsi="Arial" w:cs="Arial"/>
          <w:sz w:val="18"/>
          <w:szCs w:val="18"/>
        </w:rPr>
        <w:t xml:space="preserve">   </w:t>
      </w:r>
      <w:hyperlink r:id="rId2" w:history="1">
        <w:r w:rsidRPr="006B21A6">
          <w:rPr>
            <w:rStyle w:val="Hyperlink"/>
            <w:rFonts w:ascii="Arial" w:hAnsi="Arial" w:cs="Arial"/>
            <w:sz w:val="18"/>
            <w:szCs w:val="18"/>
          </w:rPr>
          <w:t>http://www.indec.mecon.ar/nivel4_default.asp?id_tema_1=3&amp;id_tema_2=38&amp;id_tema_3=111</w:t>
        </w:r>
      </w:hyperlink>
    </w:p>
  </w:footnote>
  <w:footnote w:id="4">
    <w:p w14:paraId="4443D6AF" w14:textId="77777777" w:rsidR="000363D5" w:rsidRPr="008B1BE1" w:rsidRDefault="000363D5" w:rsidP="009252F3">
      <w:pPr>
        <w:pStyle w:val="FootnoteText"/>
        <w:tabs>
          <w:tab w:val="left" w:pos="4050"/>
        </w:tabs>
        <w:ind w:left="180" w:hanging="180"/>
        <w:rPr>
          <w:rFonts w:ascii="Times New Roman" w:hAnsi="Times New Roman" w:cs="Times New Roman"/>
          <w:lang w:val="es-ES"/>
        </w:rPr>
      </w:pPr>
      <w:r w:rsidRPr="006B21A6">
        <w:rPr>
          <w:rStyle w:val="FootnoteReference"/>
          <w:rFonts w:ascii="Arial" w:hAnsi="Arial" w:cs="Arial"/>
          <w:sz w:val="18"/>
          <w:szCs w:val="18"/>
        </w:rPr>
        <w:footnoteRef/>
      </w:r>
      <w:r w:rsidRPr="006B21A6">
        <w:rPr>
          <w:rFonts w:ascii="Arial" w:hAnsi="Arial" w:cs="Arial"/>
          <w:sz w:val="18"/>
          <w:szCs w:val="18"/>
          <w:lang w:val="es-ES"/>
        </w:rPr>
        <w:t xml:space="preserve"> </w:t>
      </w:r>
      <w:r w:rsidRPr="006B21A6">
        <w:rPr>
          <w:rFonts w:ascii="Arial" w:hAnsi="Arial" w:cs="Arial"/>
          <w:sz w:val="18"/>
          <w:szCs w:val="18"/>
          <w:lang w:val="es-ES"/>
        </w:rPr>
        <w:tab/>
        <w:t>Base en parte de los resultados obtenidos en el estudio “Diseño de un régimen tarifario para la concesión de Agua Potable y Desagües Cloacales de la Ciudad de Buenos Aires”, desarrollado por la consultora Post Buckley de Argentina S.A. durante los años 2000 y 2001 en el marco de lo dispuesto por la Resolución 601/99 de la SRNyDS.</w:t>
      </w:r>
    </w:p>
  </w:footnote>
  <w:footnote w:id="5">
    <w:p w14:paraId="6FDCA05B" w14:textId="415631DF" w:rsidR="000363D5" w:rsidRDefault="000363D5">
      <w:pPr>
        <w:pStyle w:val="FootnoteText"/>
      </w:pPr>
      <w:r>
        <w:rPr>
          <w:rStyle w:val="FootnoteReference"/>
        </w:rPr>
        <w:footnoteRef/>
      </w:r>
      <w:r>
        <w:t xml:space="preserve"> District Metered Area</w:t>
      </w:r>
    </w:p>
  </w:footnote>
  <w:footnote w:id="6">
    <w:p w14:paraId="35DCE3AA" w14:textId="77777777" w:rsidR="000363D5" w:rsidRDefault="000363D5">
      <w:pPr>
        <w:pStyle w:val="FootnoteText"/>
      </w:pPr>
      <w:r>
        <w:rPr>
          <w:rStyle w:val="FootnoteReference"/>
        </w:rPr>
        <w:footnoteRef/>
      </w:r>
      <w:r>
        <w:t xml:space="preserve"> Desde el año 2016 se ha iniciado un proceso, aún no concluido, de ampliación del área de acción que implica la incorporación de 9 nuevos partidos (Escobar, Pilar, José C. Paz, Moreno, Merlo, Malvinas Argentinas, San Miguel, Presidente Perón y Florencio Varela).</w:t>
      </w:r>
    </w:p>
  </w:footnote>
  <w:footnote w:id="7">
    <w:p w14:paraId="2215D473" w14:textId="277B9E93" w:rsidR="000363D5" w:rsidRPr="00B037F3" w:rsidRDefault="000363D5">
      <w:pPr>
        <w:pStyle w:val="FootnoteText"/>
        <w:rPr>
          <w:rFonts w:ascii="Arial" w:hAnsi="Arial" w:cs="Arial"/>
          <w:sz w:val="18"/>
          <w:szCs w:val="18"/>
          <w:lang w:val="es-ES"/>
        </w:rPr>
      </w:pPr>
      <w:r w:rsidRPr="00B037F3">
        <w:rPr>
          <w:rStyle w:val="FootnoteReference"/>
          <w:rFonts w:ascii="Arial" w:hAnsi="Arial" w:cs="Arial"/>
          <w:sz w:val="18"/>
          <w:szCs w:val="18"/>
        </w:rPr>
        <w:footnoteRef/>
      </w:r>
      <w:r w:rsidRPr="00B037F3">
        <w:rPr>
          <w:rFonts w:ascii="Arial" w:hAnsi="Arial" w:cs="Arial"/>
          <w:sz w:val="18"/>
          <w:szCs w:val="18"/>
        </w:rPr>
        <w:t xml:space="preserve"> </w:t>
      </w:r>
      <w:r w:rsidRPr="00B037F3">
        <w:rPr>
          <w:rFonts w:ascii="Arial" w:hAnsi="Arial" w:cs="Arial"/>
          <w:sz w:val="18"/>
          <w:szCs w:val="18"/>
          <w:lang w:val="es-ES"/>
        </w:rPr>
        <w:t>El 60% restante se estima que no podrá ser efectivamente transportado a las áreas de demanda insatisfecha, transformándose en una reducción de la producción de agua.</w:t>
      </w:r>
    </w:p>
  </w:footnote>
  <w:footnote w:id="8">
    <w:p w14:paraId="42DE409A" w14:textId="77777777" w:rsidR="000363D5" w:rsidRPr="00CE2ED4" w:rsidRDefault="000363D5" w:rsidP="00453205">
      <w:pPr>
        <w:pStyle w:val="FootnoteText"/>
      </w:pPr>
      <w:r>
        <w:rPr>
          <w:rStyle w:val="FootnoteReference"/>
        </w:rPr>
        <w:footnoteRef/>
      </w:r>
      <w:r>
        <w:t xml:space="preserve"> </w:t>
      </w:r>
      <w:r w:rsidRPr="00CE2ED4">
        <w:t>Un radio censal es la unidad de diseño censal básica; una fracción censal resulta de la adición de radios completos, la suma de fracciones constituye un departamento, partido o distrito escolar (este último sólo para la C.A.B.A.); los segmentos censales son la unidad de diseño muestral y operativo, que por adición entera constituyen un radio censal (el segmento es el área de trabajo de cada censista).</w:t>
      </w:r>
    </w:p>
  </w:footnote>
  <w:footnote w:id="9">
    <w:p w14:paraId="1042A8E7" w14:textId="2D1A6B48" w:rsidR="000363D5" w:rsidRPr="00A759D5" w:rsidRDefault="000363D5">
      <w:pPr>
        <w:pStyle w:val="FootnoteText"/>
        <w:rPr>
          <w:rFonts w:ascii="Arial" w:hAnsi="Arial" w:cs="Arial"/>
          <w:sz w:val="18"/>
          <w:szCs w:val="18"/>
        </w:rPr>
      </w:pPr>
      <w:r w:rsidRPr="00A759D5">
        <w:rPr>
          <w:rStyle w:val="FootnoteReference"/>
          <w:rFonts w:ascii="Arial" w:hAnsi="Arial" w:cs="Arial"/>
          <w:sz w:val="18"/>
          <w:szCs w:val="18"/>
        </w:rPr>
        <w:footnoteRef/>
      </w:r>
      <w:r w:rsidRPr="00A759D5">
        <w:rPr>
          <w:rFonts w:ascii="Arial" w:hAnsi="Arial" w:cs="Arial"/>
          <w:sz w:val="18"/>
          <w:szCs w:val="18"/>
        </w:rPr>
        <w:t xml:space="preserve"> El cálculo de adultos equivalentes del hogar se realizó a partir del componente personas de la base usuaria considerando los coeficientes publicados por el INDEC. Estos valores se basan en las distintas necesidades calóricas de los individuos según sexo y edad y permiten evaluar de una manera más adecuada el ingreso de los hogares, ya que lo considera en términos de los miembros equivalentes que debe sostener.</w:t>
      </w:r>
    </w:p>
  </w:footnote>
  <w:footnote w:id="10">
    <w:p w14:paraId="225AAD66" w14:textId="77777777" w:rsidR="000363D5" w:rsidRPr="00E73679" w:rsidRDefault="000363D5" w:rsidP="00E57B2F">
      <w:pPr>
        <w:pStyle w:val="FootnoteText"/>
      </w:pPr>
      <w:r>
        <w:rPr>
          <w:rStyle w:val="FootnoteReference"/>
        </w:rPr>
        <w:footnoteRef/>
      </w:r>
      <w:r>
        <w:t xml:space="preserve"> Se aclara que la bibliografía relacionada con SIMOP sugiere la utilización de las tarifas reguladas vigentes como precio a enfrentar por los usuarios. De todas formas el carácter marginal del presente proyecto dentro del sistema operado por AySA prácticamente no alteraría los precios de equilibrio.</w:t>
      </w:r>
    </w:p>
  </w:footnote>
  <w:footnote w:id="11">
    <w:p w14:paraId="579D153F" w14:textId="77777777" w:rsidR="000363D5" w:rsidRPr="002824CE" w:rsidRDefault="000363D5" w:rsidP="009C74A6">
      <w:pPr>
        <w:pStyle w:val="FootnoteText"/>
        <w:rPr>
          <w:rFonts w:ascii="Arial" w:hAnsi="Arial" w:cs="Arial"/>
          <w:sz w:val="18"/>
          <w:szCs w:val="18"/>
        </w:rPr>
      </w:pPr>
      <w:r w:rsidRPr="002824CE">
        <w:rPr>
          <w:rFonts w:ascii="Arial" w:hAnsi="Arial" w:cs="Arial"/>
          <w:sz w:val="18"/>
          <w:szCs w:val="18"/>
        </w:rPr>
        <w:footnoteRef/>
      </w:r>
      <w:r w:rsidRPr="002824CE">
        <w:rPr>
          <w:rFonts w:ascii="Arial" w:hAnsi="Arial" w:cs="Arial"/>
          <w:sz w:val="18"/>
          <w:szCs w:val="18"/>
        </w:rPr>
        <w:t xml:space="preserve"> Desde el punto de vista microeconómico se trata de un beneficio marginal asociado a un cambio de oferta menor para usuarios que ya tienen el servicio.</w:t>
      </w:r>
    </w:p>
  </w:footnote>
  <w:footnote w:id="12">
    <w:p w14:paraId="554F3028" w14:textId="401D4FBD" w:rsidR="000363D5" w:rsidRPr="0002502E" w:rsidRDefault="000363D5" w:rsidP="00FB40BB">
      <w:pPr>
        <w:pStyle w:val="FootnoteText"/>
        <w:rPr>
          <w:rFonts w:ascii="Arial" w:hAnsi="Arial" w:cs="Arial"/>
          <w:sz w:val="18"/>
          <w:szCs w:val="18"/>
        </w:rPr>
      </w:pPr>
      <w:r w:rsidRPr="0002502E">
        <w:rPr>
          <w:rStyle w:val="FootnoteReference"/>
          <w:rFonts w:ascii="Arial" w:hAnsi="Arial" w:cs="Arial"/>
          <w:sz w:val="18"/>
          <w:szCs w:val="18"/>
        </w:rPr>
        <w:footnoteRef/>
      </w:r>
      <w:r w:rsidRPr="0002502E">
        <w:rPr>
          <w:rFonts w:ascii="Arial" w:hAnsi="Arial" w:cs="Arial"/>
          <w:sz w:val="18"/>
          <w:szCs w:val="18"/>
        </w:rPr>
        <w:t xml:space="preserve"> Se considera que solamente el 40% del agua ahorrada es transportable a la región sur del área concesionada. Esta proporción surge de lo observado en el análisis del balance de agua 2016.</w:t>
      </w:r>
    </w:p>
  </w:footnote>
  <w:footnote w:id="13">
    <w:p w14:paraId="6C7FC003" w14:textId="77777777" w:rsidR="000363D5" w:rsidRDefault="000363D5">
      <w:pPr>
        <w:pStyle w:val="FootnoteText"/>
      </w:pPr>
      <w:r>
        <w:rPr>
          <w:rStyle w:val="FootnoteReference"/>
        </w:rPr>
        <w:footnoteRef/>
      </w:r>
      <w:r>
        <w:t xml:space="preserve"> Desde el año 2016 se ha iniciado un proceso, aún no concluido, de ampliación del área de acción que implica la incorporación de 9 nuevos partidos (Escobar, Pilar, José C. Paz, Moreno, Merlo, Malvinas Argentinas, San Miguel, Presidente Perón y Florencio Varela).</w:t>
      </w:r>
    </w:p>
  </w:footnote>
  <w:footnote w:id="14">
    <w:p w14:paraId="7BF62B92" w14:textId="77777777" w:rsidR="000363D5" w:rsidRPr="00A23390" w:rsidRDefault="000363D5">
      <w:pPr>
        <w:pStyle w:val="FootnoteText"/>
        <w:rPr>
          <w:lang w:val="es-ES"/>
        </w:rPr>
      </w:pPr>
      <w:r>
        <w:rPr>
          <w:rStyle w:val="FootnoteReference"/>
        </w:rPr>
        <w:footnoteRef/>
      </w:r>
      <w:r>
        <w:t xml:space="preserve"> </w:t>
      </w:r>
      <w:r>
        <w:rPr>
          <w:lang w:val="es-ES"/>
        </w:rPr>
        <w:t>De los 240.000 habitantes a incorporar, 210.000 corresponden a la ampliación del EºDº y 30.000 a la capacidad existente en el mismo actualmente.</w:t>
      </w:r>
    </w:p>
  </w:footnote>
  <w:footnote w:id="15">
    <w:p w14:paraId="48456068" w14:textId="1C0E5BC7" w:rsidR="000363D5" w:rsidRPr="00D60095" w:rsidRDefault="000363D5" w:rsidP="00D60095">
      <w:pPr>
        <w:pStyle w:val="FootnoteText"/>
        <w:rPr>
          <w:rFonts w:ascii="Arial" w:hAnsi="Arial" w:cs="Arial"/>
          <w:sz w:val="18"/>
          <w:szCs w:val="18"/>
        </w:rPr>
      </w:pPr>
      <w:r w:rsidRPr="00D60095">
        <w:rPr>
          <w:rStyle w:val="FootnoteReference"/>
          <w:rFonts w:ascii="Arial" w:hAnsi="Arial" w:cs="Arial"/>
          <w:sz w:val="18"/>
          <w:szCs w:val="18"/>
        </w:rPr>
        <w:footnoteRef/>
      </w:r>
      <w:r w:rsidRPr="00D60095">
        <w:rPr>
          <w:rFonts w:ascii="Arial" w:hAnsi="Arial" w:cs="Arial"/>
          <w:sz w:val="18"/>
          <w:szCs w:val="18"/>
        </w:rPr>
        <w:t xml:space="preserve"> La Tabla II.3 representa a los habitantes a servir totales (financiados por el proyecto + complemento para dar integralidad a la evaluación) calculados al año 2018.</w:t>
      </w:r>
    </w:p>
    <w:p w14:paraId="289046A1" w14:textId="7103D0F9" w:rsidR="000363D5" w:rsidRPr="00D60095" w:rsidRDefault="000363D5" w:rsidP="00D60095">
      <w:pPr>
        <w:pStyle w:val="FootnoteText"/>
        <w:rPr>
          <w:rFonts w:ascii="Arial" w:hAnsi="Arial" w:cs="Arial"/>
          <w:sz w:val="18"/>
          <w:szCs w:val="18"/>
        </w:rPr>
      </w:pPr>
      <w:r w:rsidRPr="00D60095">
        <w:rPr>
          <w:rFonts w:ascii="Arial" w:hAnsi="Arial" w:cs="Arial"/>
          <w:sz w:val="18"/>
          <w:szCs w:val="18"/>
        </w:rPr>
        <w:t>La Tabla III-1 presenta las poblaciones de diseño de las obras básicas. En este sistema (cuenca la Catonas) el límite está dado por la Planta Depuradora, es decir que las obras básicas no se suman, siendo la capacidad total del sistema los 240.000 habitantes adicionales de la planta + la capacidad remanente de la misma a la fecha. La diferencia en la cantidad de hogares obedece a que en la evaluación económica se aplicaron los promedios efectivamente observados en el censo de hab/hogar, mientras que en los indicadores de la matriz se consideró un valor general de 3 hab/hogar.</w:t>
      </w:r>
    </w:p>
  </w:footnote>
  <w:footnote w:id="16">
    <w:p w14:paraId="2DF2833D" w14:textId="77777777" w:rsidR="000363D5" w:rsidRPr="00CE2ED4" w:rsidRDefault="000363D5" w:rsidP="00D60095">
      <w:pPr>
        <w:pStyle w:val="FootnoteText"/>
      </w:pPr>
      <w:r w:rsidRPr="00D60095">
        <w:rPr>
          <w:rStyle w:val="FootnoteReference"/>
          <w:rFonts w:ascii="Arial" w:hAnsi="Arial" w:cs="Arial"/>
          <w:sz w:val="18"/>
          <w:szCs w:val="18"/>
        </w:rPr>
        <w:footnoteRef/>
      </w:r>
      <w:r w:rsidRPr="00D60095">
        <w:rPr>
          <w:rFonts w:ascii="Arial" w:hAnsi="Arial" w:cs="Arial"/>
          <w:sz w:val="18"/>
          <w:szCs w:val="18"/>
        </w:rPr>
        <w:t xml:space="preserve"> Un radio censal es la unidad de diseño censal básica; una fracción censal resulta de la adición de radios completos, la suma de fracciones constituye un departamento, partido o distrito escolar (este último sólo para la C.A.B.A.); los segmentos censales son la unidad de diseño muestral y operativo, que por adición entera constituyen un radio censal (el segmento es el área de trabajo de cada censista).</w:t>
      </w:r>
    </w:p>
  </w:footnote>
  <w:footnote w:id="17">
    <w:p w14:paraId="4BA19719" w14:textId="77777777" w:rsidR="000363D5" w:rsidRPr="005C480F" w:rsidRDefault="000363D5">
      <w:pPr>
        <w:pStyle w:val="FootnoteText"/>
        <w:rPr>
          <w:rFonts w:ascii="Arial" w:hAnsi="Arial" w:cs="Arial"/>
          <w:sz w:val="18"/>
          <w:szCs w:val="18"/>
        </w:rPr>
      </w:pPr>
      <w:r w:rsidRPr="005C480F">
        <w:rPr>
          <w:rStyle w:val="FootnoteReference"/>
          <w:rFonts w:ascii="Arial" w:hAnsi="Arial" w:cs="Arial"/>
          <w:sz w:val="18"/>
          <w:szCs w:val="18"/>
        </w:rPr>
        <w:footnoteRef/>
      </w:r>
      <w:r w:rsidRPr="005C480F">
        <w:rPr>
          <w:rFonts w:ascii="Arial" w:hAnsi="Arial" w:cs="Arial"/>
          <w:sz w:val="18"/>
          <w:szCs w:val="18"/>
        </w:rPr>
        <w:t xml:space="preserve"> El cálculo de adultos equivalentes del hogar se realizó a partir del componente personas de la base usuaria considerando los coeficientes publicados por el INDEC. Estos valores se basan en las distintas necesidades calóricas de los individuos según sexo y edad y permiten evaluar de una manera más adecuada el ingreso de los hogares, ya que lo considera en términos de los miembros equivalentes que debe sostener.</w:t>
      </w:r>
    </w:p>
  </w:footnote>
  <w:footnote w:id="18">
    <w:p w14:paraId="112E6F0E" w14:textId="77777777" w:rsidR="000363D5" w:rsidRPr="00FC6DA8" w:rsidRDefault="000363D5">
      <w:pPr>
        <w:pStyle w:val="FootnoteText"/>
        <w:rPr>
          <w:rFonts w:ascii="Arial" w:hAnsi="Arial" w:cs="Arial"/>
          <w:sz w:val="18"/>
          <w:szCs w:val="18"/>
        </w:rPr>
      </w:pPr>
      <w:r>
        <w:rPr>
          <w:rStyle w:val="FootnoteReference"/>
        </w:rPr>
        <w:footnoteRef/>
      </w:r>
      <w:r>
        <w:t xml:space="preserve"> </w:t>
      </w:r>
      <w:r w:rsidRPr="00FC6DA8">
        <w:rPr>
          <w:rFonts w:ascii="Arial" w:hAnsi="Arial" w:cs="Arial"/>
          <w:sz w:val="18"/>
          <w:szCs w:val="18"/>
        </w:rPr>
        <w:t>Se destaca que la capacidad total de la Planta Las Catonas se alcanzaría al año 2028, por lo que las poblaciones beneficiarias se mantienen constantes a partir de tal año.</w:t>
      </w:r>
    </w:p>
  </w:footnote>
  <w:footnote w:id="19">
    <w:p w14:paraId="3D671ED0" w14:textId="77777777" w:rsidR="000363D5" w:rsidRPr="008C15B3" w:rsidRDefault="000363D5" w:rsidP="00BA784D">
      <w:pPr>
        <w:pStyle w:val="FootnoteText"/>
        <w:rPr>
          <w:rFonts w:ascii="Arial" w:hAnsi="Arial" w:cs="Arial"/>
          <w:sz w:val="18"/>
          <w:szCs w:val="18"/>
        </w:rPr>
      </w:pPr>
      <w:r>
        <w:rPr>
          <w:rStyle w:val="FootnoteReference"/>
        </w:rPr>
        <w:footnoteRef/>
      </w:r>
      <w:r>
        <w:t xml:space="preserve"> </w:t>
      </w:r>
      <w:r w:rsidRPr="008C15B3">
        <w:rPr>
          <w:rFonts w:ascii="Arial" w:hAnsi="Arial" w:cs="Arial"/>
          <w:sz w:val="18"/>
          <w:szCs w:val="18"/>
        </w:rPr>
        <w:t>El valor de LP establecido por el INDEC a febrero de 2017 fue de $13.673 por mes para un hogar tipo “2”.</w:t>
      </w:r>
    </w:p>
  </w:footnote>
  <w:footnote w:id="20">
    <w:p w14:paraId="3815EA47" w14:textId="77777777" w:rsidR="000363D5" w:rsidRPr="008C15B3" w:rsidRDefault="000363D5" w:rsidP="00BA784D">
      <w:pPr>
        <w:pStyle w:val="FootnoteText"/>
        <w:rPr>
          <w:rFonts w:ascii="Arial" w:hAnsi="Arial" w:cs="Arial"/>
          <w:sz w:val="18"/>
          <w:szCs w:val="18"/>
        </w:rPr>
      </w:pPr>
      <w:r w:rsidRPr="008C15B3">
        <w:rPr>
          <w:rStyle w:val="FootnoteReference"/>
          <w:rFonts w:ascii="Arial" w:hAnsi="Arial" w:cs="Arial"/>
          <w:sz w:val="18"/>
          <w:szCs w:val="18"/>
        </w:rPr>
        <w:footnoteRef/>
      </w:r>
      <w:r w:rsidRPr="008C15B3">
        <w:rPr>
          <w:rFonts w:ascii="Arial" w:hAnsi="Arial" w:cs="Arial"/>
          <w:sz w:val="18"/>
          <w:szCs w:val="18"/>
        </w:rPr>
        <w:t xml:space="preserve"> Promedio ponderado a partir de deciles de ingreso por hogar (42% primer decil + 42% segundo decil + 16% tercer decil).</w:t>
      </w:r>
    </w:p>
  </w:footnote>
  <w:footnote w:id="21">
    <w:p w14:paraId="3BC98208" w14:textId="77777777" w:rsidR="000363D5" w:rsidRPr="008C15B3" w:rsidRDefault="000363D5">
      <w:pPr>
        <w:pStyle w:val="FootnoteText"/>
        <w:rPr>
          <w:rFonts w:ascii="Arial" w:hAnsi="Arial" w:cs="Arial"/>
          <w:sz w:val="18"/>
          <w:szCs w:val="18"/>
          <w:lang w:val="es-ES"/>
        </w:rPr>
      </w:pPr>
      <w:r w:rsidRPr="008C15B3">
        <w:rPr>
          <w:rStyle w:val="FootnoteReference"/>
          <w:rFonts w:ascii="Arial" w:hAnsi="Arial" w:cs="Arial"/>
          <w:sz w:val="18"/>
          <w:szCs w:val="18"/>
        </w:rPr>
        <w:footnoteRef/>
      </w:r>
      <w:r w:rsidRPr="008C15B3">
        <w:rPr>
          <w:rFonts w:ascii="Arial" w:hAnsi="Arial" w:cs="Arial"/>
          <w:sz w:val="18"/>
          <w:szCs w:val="18"/>
        </w:rPr>
        <w:t xml:space="preserve"> </w:t>
      </w:r>
      <w:r w:rsidRPr="008C15B3">
        <w:rPr>
          <w:rFonts w:ascii="Arial" w:hAnsi="Arial" w:cs="Arial"/>
          <w:sz w:val="18"/>
          <w:szCs w:val="18"/>
          <w:lang w:val="es-ES"/>
        </w:rPr>
        <w:t>Este beneficio equivale a un 10% sobre la DAP aplicable determinada para el servicio cloacal.</w:t>
      </w:r>
    </w:p>
  </w:footnote>
  <w:footnote w:id="22">
    <w:p w14:paraId="77818D4A" w14:textId="77777777" w:rsidR="000363D5" w:rsidRPr="00477F31" w:rsidRDefault="000363D5" w:rsidP="0087147E">
      <w:pPr>
        <w:pStyle w:val="FootnoteText"/>
        <w:rPr>
          <w:rFonts w:ascii="Arial" w:hAnsi="Arial" w:cs="Arial"/>
          <w:color w:val="222222"/>
          <w:sz w:val="18"/>
          <w:szCs w:val="18"/>
          <w:shd w:val="clear" w:color="auto" w:fill="FFFFFF"/>
          <w:lang w:val="fr-FR"/>
        </w:rPr>
      </w:pPr>
      <w:r w:rsidRPr="00222B10">
        <w:rPr>
          <w:rStyle w:val="FootnoteReference"/>
          <w:rFonts w:ascii="Arial" w:hAnsi="Arial" w:cs="Arial"/>
          <w:sz w:val="18"/>
          <w:szCs w:val="18"/>
        </w:rPr>
        <w:footnoteRef/>
      </w:r>
      <w:r w:rsidRPr="00222B10">
        <w:rPr>
          <w:rFonts w:ascii="Arial" w:hAnsi="Arial" w:cs="Arial"/>
          <w:sz w:val="18"/>
          <w:szCs w:val="18"/>
        </w:rPr>
        <w:t xml:space="preserve"> </w:t>
      </w:r>
      <w:r w:rsidRPr="00222B10">
        <w:rPr>
          <w:rFonts w:ascii="Arial" w:hAnsi="Arial" w:cs="Arial"/>
          <w:color w:val="222222"/>
          <w:sz w:val="18"/>
          <w:szCs w:val="18"/>
          <w:shd w:val="clear" w:color="auto" w:fill="FFFFFF"/>
        </w:rPr>
        <w:t>SALAS, H. (2000).</w:t>
      </w:r>
      <w:r w:rsidRPr="00222B10">
        <w:rPr>
          <w:rStyle w:val="apple-converted-space"/>
          <w:rFonts w:ascii="Arial" w:hAnsi="Arial" w:cs="Arial"/>
          <w:color w:val="222222"/>
          <w:sz w:val="18"/>
          <w:szCs w:val="18"/>
          <w:shd w:val="clear" w:color="auto" w:fill="FFFFFF"/>
        </w:rPr>
        <w:t> </w:t>
      </w:r>
      <w:r w:rsidRPr="00222B10">
        <w:rPr>
          <w:rFonts w:ascii="Arial" w:hAnsi="Arial" w:cs="Arial"/>
          <w:iCs/>
          <w:color w:val="222222"/>
          <w:sz w:val="18"/>
          <w:szCs w:val="18"/>
          <w:shd w:val="clear" w:color="auto" w:fill="FFFFFF"/>
        </w:rPr>
        <w:t>Emisarios Submarinos alternativa viable para la disposición de aguas negras de Ciudades costeras en América Latina y el Caribe. Oficina regional de la Organización Mundial de la Salud. Centro Panamericano de Ingeniería Sanitaria y Ciencias del Ambiente, Organización Panamericana de la Salud, Oficina Sanitaria Panamericana</w:t>
      </w:r>
      <w:r w:rsidRPr="00222B10">
        <w:rPr>
          <w:rFonts w:ascii="Arial" w:hAnsi="Arial" w:cs="Arial"/>
          <w:color w:val="222222"/>
          <w:sz w:val="18"/>
          <w:szCs w:val="18"/>
          <w:shd w:val="clear" w:color="auto" w:fill="FFFFFF"/>
        </w:rPr>
        <w:t xml:space="preserve">. </w:t>
      </w:r>
      <w:r w:rsidRPr="00477F31">
        <w:rPr>
          <w:rFonts w:ascii="Arial" w:hAnsi="Arial" w:cs="Arial"/>
          <w:color w:val="222222"/>
          <w:sz w:val="18"/>
          <w:szCs w:val="18"/>
          <w:shd w:val="clear" w:color="auto" w:fill="FFFFFF"/>
          <w:lang w:val="fr-FR"/>
        </w:rPr>
        <w:t>OPS/CEPIS/PUB/00.51. 24p. Disponible en:</w:t>
      </w:r>
    </w:p>
    <w:p w14:paraId="4016552E" w14:textId="77777777" w:rsidR="000363D5" w:rsidRPr="00477F31" w:rsidRDefault="005C1A74" w:rsidP="0087147E">
      <w:pPr>
        <w:pStyle w:val="FootnoteText"/>
        <w:rPr>
          <w:lang w:val="fr-FR"/>
        </w:rPr>
      </w:pPr>
      <w:hyperlink r:id="rId3" w:history="1">
        <w:r w:rsidR="000363D5" w:rsidRPr="00477F31">
          <w:rPr>
            <w:rStyle w:val="Hyperlink"/>
            <w:rFonts w:ascii="Arial" w:hAnsi="Arial" w:cs="Arial"/>
            <w:sz w:val="18"/>
            <w:szCs w:val="18"/>
            <w:lang w:val="fr-FR"/>
          </w:rPr>
          <w:t>http://www.bvsde.paho.org/bvsaca/e/fulltext/alternat/alternat.pdf</w:t>
        </w:r>
      </w:hyperlink>
      <w:r w:rsidR="000363D5" w:rsidRPr="00477F31">
        <w:rPr>
          <w:lang w:val="fr-FR"/>
        </w:rPr>
        <w:t xml:space="preserve"> </w:t>
      </w:r>
    </w:p>
  </w:footnote>
  <w:footnote w:id="23">
    <w:p w14:paraId="33CEA4F2" w14:textId="77777777" w:rsidR="000363D5" w:rsidRPr="00CE2ED4" w:rsidRDefault="000363D5" w:rsidP="0087147E">
      <w:pPr>
        <w:pStyle w:val="FootnoteText"/>
      </w:pPr>
      <w:r>
        <w:rPr>
          <w:rStyle w:val="FootnoteReference"/>
        </w:rPr>
        <w:footnoteRef/>
      </w:r>
      <w:r>
        <w:t xml:space="preserve"> </w:t>
      </w:r>
      <w:r w:rsidRPr="00CE2ED4">
        <w:t>Un radio censal es la unidad de diseño censal básica; una fracción censal resulta de la adición de radios completos, la suma de fracciones constituye un departamento, partido o distrito escolar (este último sólo para la C.A.B.A.); los segmentos censales son la unidad de diseño muestral y operativo, que por adición entera constituyen un radio censal (el segmento es el área de trabajo de cada censista).</w:t>
      </w:r>
    </w:p>
  </w:footnote>
  <w:footnote w:id="24">
    <w:p w14:paraId="199AAC96" w14:textId="77777777" w:rsidR="000363D5" w:rsidRPr="004D0019" w:rsidRDefault="000363D5" w:rsidP="0087147E">
      <w:pPr>
        <w:pStyle w:val="FootnoteText"/>
      </w:pPr>
      <w:r>
        <w:rPr>
          <w:rStyle w:val="FootnoteReference"/>
        </w:rPr>
        <w:footnoteRef/>
      </w:r>
      <w:r>
        <w:t xml:space="preserve"> Heterogeneidades sociales en la Región Metropolitana de Buenos Aires: un sistema fragmentado que demanda planificación y coordinación de políticas metropolitanas / Lidia de la Torre (autora), Agustín Salvia (coordinador) / 1a ed. - Buenos Aires: Educa, 2013.</w:t>
      </w:r>
    </w:p>
  </w:footnote>
  <w:footnote w:id="25">
    <w:p w14:paraId="5DDBB3B5" w14:textId="77777777" w:rsidR="000363D5" w:rsidRPr="001C2E32" w:rsidRDefault="000363D5" w:rsidP="0087147E">
      <w:pPr>
        <w:pStyle w:val="FootnoteText"/>
        <w:rPr>
          <w:rFonts w:ascii="Arial" w:hAnsi="Arial" w:cs="Arial"/>
          <w:sz w:val="18"/>
          <w:szCs w:val="18"/>
        </w:rPr>
      </w:pPr>
      <w:r w:rsidRPr="001C2E32">
        <w:rPr>
          <w:rStyle w:val="FootnoteReference"/>
          <w:rFonts w:ascii="Arial" w:hAnsi="Arial" w:cs="Arial"/>
          <w:sz w:val="18"/>
          <w:szCs w:val="18"/>
        </w:rPr>
        <w:footnoteRef/>
      </w:r>
      <w:r w:rsidRPr="001C2E32">
        <w:rPr>
          <w:rFonts w:ascii="Arial" w:hAnsi="Arial" w:cs="Arial"/>
          <w:sz w:val="18"/>
          <w:szCs w:val="18"/>
        </w:rPr>
        <w:t xml:space="preserve"> El cálculo de adultos equivalentes del hogar se realizó a partir del componente personas de la base usuaria considerando los coeficientes publicados por el INDEC. Estos valores se basan en las distintas necesidades calóricas de los individuos según sexo y edad y permiten evaluar de una manera más adecuada el ingreso de los hogares, ya que lo considera en términos de los miembros equivalentes que debe sostener.</w:t>
      </w:r>
    </w:p>
  </w:footnote>
  <w:footnote w:id="26">
    <w:p w14:paraId="508A0FF4" w14:textId="77777777" w:rsidR="000363D5" w:rsidRPr="00191AC4" w:rsidRDefault="000363D5" w:rsidP="0087147E">
      <w:pPr>
        <w:pStyle w:val="FootnoteText"/>
        <w:rPr>
          <w:rFonts w:ascii="Arial" w:hAnsi="Arial" w:cs="Arial"/>
          <w:sz w:val="18"/>
          <w:szCs w:val="18"/>
        </w:rPr>
      </w:pPr>
      <w:r w:rsidRPr="00191AC4">
        <w:rPr>
          <w:rStyle w:val="FootnoteReference"/>
          <w:rFonts w:ascii="Arial" w:eastAsia="Calibri" w:hAnsi="Arial" w:cs="Arial"/>
          <w:sz w:val="18"/>
          <w:szCs w:val="18"/>
        </w:rPr>
        <w:footnoteRef/>
      </w:r>
      <w:r w:rsidRPr="00191AC4">
        <w:rPr>
          <w:rFonts w:ascii="Arial" w:hAnsi="Arial" w:cs="Arial"/>
          <w:sz w:val="18"/>
          <w:szCs w:val="18"/>
        </w:rPr>
        <w:t xml:space="preserve"> Desde el año 2016 se ha iniciado un proceso, aún no concluido, de ampliación del área de acción que implica la incorporación de 9 nuevos partidos (Escobar, Pilar, José C. Paz, Moreno, Merlo, Malvinas Argentinas, San Miguel, Presidente Perón y Florencio Varela).</w:t>
      </w:r>
    </w:p>
  </w:footnote>
  <w:footnote w:id="27">
    <w:p w14:paraId="5B92DE61" w14:textId="77777777" w:rsidR="000363D5" w:rsidRDefault="000363D5" w:rsidP="0087147E">
      <w:pPr>
        <w:pStyle w:val="FootnoteText"/>
        <w:keepNext/>
        <w:keepLines/>
        <w:pageBreakBefore/>
        <w:suppressLineNumbers/>
        <w:suppressAutoHyphens/>
      </w:pPr>
      <w:r>
        <w:rPr>
          <w:rStyle w:val="FootnoteReference"/>
        </w:rPr>
        <w:footnoteRef/>
      </w:r>
      <w:r>
        <w:t xml:space="preserve"> </w:t>
      </w:r>
      <w:r w:rsidRPr="002C78DA">
        <w:rPr>
          <w:rFonts w:cs="Times New Roman"/>
          <w:position w:val="-30"/>
          <w:lang w:val="x-none"/>
        </w:rPr>
        <w:object w:dxaOrig="1820" w:dyaOrig="720" w14:anchorId="5F8E773F">
          <v:shape id="_x0000_i1043" type="#_x0000_t75" style="width:93pt;height:36.6pt" o:ole="">
            <v:imagedata r:id="rId4" o:title=""/>
          </v:shape>
          <o:OLEObject Type="Embed" ProgID="Equation.3" ShapeID="_x0000_i1043" DrawAspect="Content" ObjectID="_1560797578" r:id="rId5"/>
        </w:object>
      </w:r>
    </w:p>
  </w:footnote>
  <w:footnote w:id="28">
    <w:p w14:paraId="2C6A07CE" w14:textId="77777777" w:rsidR="000363D5" w:rsidRPr="007965F7" w:rsidRDefault="000363D5" w:rsidP="0087147E">
      <w:pPr>
        <w:pStyle w:val="FootnoteText"/>
        <w:rPr>
          <w:rFonts w:ascii="Arial" w:hAnsi="Arial" w:cs="Arial"/>
          <w:sz w:val="18"/>
          <w:szCs w:val="18"/>
        </w:rPr>
      </w:pPr>
      <w:r w:rsidRPr="007965F7">
        <w:rPr>
          <w:rStyle w:val="FootnoteReference"/>
          <w:rFonts w:ascii="Arial" w:hAnsi="Arial" w:cs="Arial"/>
          <w:sz w:val="18"/>
          <w:szCs w:val="18"/>
        </w:rPr>
        <w:footnoteRef/>
      </w:r>
      <w:r w:rsidRPr="007965F7">
        <w:rPr>
          <w:rFonts w:ascii="Arial" w:hAnsi="Arial" w:cs="Arial"/>
          <w:sz w:val="18"/>
          <w:szCs w:val="18"/>
        </w:rPr>
        <w:t xml:space="preserve"> Los costos de la estación de bombeo no se incorporaron a la evaluación de mínimo costo debido a que en ambas Alternativas se encuentran presentes y, por tanto, no generan un diferencial para las cifras totales de inversión requeridas en cada una de las opciones. En la alternativa I se bombean los líquidos pretratados al emisario y en la alternativa II se bombean del pretratamiento al tratamiento secundario. </w:t>
      </w:r>
    </w:p>
  </w:footnote>
  <w:footnote w:id="29">
    <w:p w14:paraId="7ABA3822" w14:textId="77777777" w:rsidR="000363D5" w:rsidRDefault="000363D5" w:rsidP="0087147E">
      <w:pPr>
        <w:pStyle w:val="FootnoteText"/>
      </w:pPr>
      <w:r w:rsidRPr="007965F7">
        <w:rPr>
          <w:rStyle w:val="FootnoteReference"/>
          <w:rFonts w:ascii="Arial" w:hAnsi="Arial" w:cs="Arial"/>
          <w:sz w:val="18"/>
          <w:szCs w:val="18"/>
        </w:rPr>
        <w:footnoteRef/>
      </w:r>
      <w:r w:rsidRPr="007965F7">
        <w:rPr>
          <w:rFonts w:ascii="Arial" w:hAnsi="Arial" w:cs="Arial"/>
          <w:sz w:val="18"/>
          <w:szCs w:val="18"/>
        </w:rPr>
        <w:t xml:space="preserve"> Esta cifra surge de lo presupuestado en octubre de 2014 por 554 millones de pesos, lo cual a un cambio de 8,5 pesos por dólar, arroja el monto mencionado de 65,2 millones de dólares.</w:t>
      </w:r>
    </w:p>
  </w:footnote>
  <w:footnote w:id="30">
    <w:p w14:paraId="5508696F" w14:textId="77777777" w:rsidR="000363D5" w:rsidRPr="00CF201A" w:rsidRDefault="000363D5" w:rsidP="0087147E">
      <w:pPr>
        <w:pStyle w:val="FootnoteText"/>
        <w:rPr>
          <w:rFonts w:ascii="Arial" w:hAnsi="Arial" w:cs="Arial"/>
          <w:sz w:val="18"/>
          <w:szCs w:val="18"/>
        </w:rPr>
      </w:pPr>
      <w:r w:rsidRPr="00CF201A">
        <w:rPr>
          <w:rStyle w:val="FootnoteReference"/>
          <w:rFonts w:ascii="Arial" w:hAnsi="Arial" w:cs="Arial"/>
          <w:sz w:val="18"/>
          <w:szCs w:val="18"/>
        </w:rPr>
        <w:footnoteRef/>
      </w:r>
      <w:r w:rsidRPr="00CF201A">
        <w:rPr>
          <w:rFonts w:ascii="Arial" w:hAnsi="Arial" w:cs="Arial"/>
          <w:sz w:val="18"/>
          <w:szCs w:val="18"/>
        </w:rPr>
        <w:t xml:space="preserve"> </w:t>
      </w:r>
      <w:hyperlink r:id="rId6" w:history="1">
        <w:r w:rsidRPr="00CF201A">
          <w:rPr>
            <w:rStyle w:val="Hyperlink"/>
            <w:rFonts w:ascii="Arial" w:hAnsi="Arial" w:cs="Arial"/>
            <w:sz w:val="18"/>
            <w:szCs w:val="18"/>
          </w:rPr>
          <w:t>http://www.bvsde.paho.org/bvsaca/e/fulltext/marc43/marc43.pdf</w:t>
        </w:r>
      </w:hyperlink>
      <w:r w:rsidRPr="00CF201A">
        <w:rPr>
          <w:rFonts w:ascii="Arial" w:hAnsi="Arial" w:cs="Arial"/>
          <w:sz w:val="18"/>
          <w:szCs w:val="18"/>
        </w:rPr>
        <w:t xml:space="preserve"> </w:t>
      </w:r>
    </w:p>
  </w:footnote>
  <w:footnote w:id="31">
    <w:p w14:paraId="3EC1B58B" w14:textId="77777777" w:rsidR="000363D5" w:rsidRPr="00CF201A" w:rsidRDefault="000363D5" w:rsidP="0087147E">
      <w:pPr>
        <w:pStyle w:val="FootnoteText"/>
        <w:rPr>
          <w:rFonts w:ascii="Arial" w:hAnsi="Arial" w:cs="Arial"/>
          <w:sz w:val="18"/>
          <w:szCs w:val="18"/>
        </w:rPr>
      </w:pPr>
      <w:r w:rsidRPr="00CF201A">
        <w:rPr>
          <w:rStyle w:val="FootnoteReference"/>
          <w:rFonts w:ascii="Arial" w:hAnsi="Arial" w:cs="Arial"/>
          <w:sz w:val="18"/>
          <w:szCs w:val="18"/>
        </w:rPr>
        <w:footnoteRef/>
      </w:r>
      <w:r w:rsidRPr="00CF201A">
        <w:rPr>
          <w:rFonts w:ascii="Arial" w:hAnsi="Arial" w:cs="Arial"/>
          <w:sz w:val="18"/>
          <w:szCs w:val="18"/>
          <w:lang w:val="en-US"/>
        </w:rPr>
        <w:t xml:space="preserve"> Wallis, J.G. (1979). Ocean outfall construction cost. </w:t>
      </w:r>
      <w:r w:rsidRPr="00CF201A">
        <w:rPr>
          <w:rFonts w:ascii="Arial" w:hAnsi="Arial" w:cs="Arial"/>
          <w:sz w:val="18"/>
          <w:szCs w:val="18"/>
        </w:rPr>
        <w:t>Journal WPCF, 51:5:951-957. Mayo 1979, el cual es citado en un estudio vinculado a temas de saneamiento de la Organización Mundial de la Salud y puede descargarse de:</w:t>
      </w:r>
    </w:p>
    <w:p w14:paraId="285E76C1" w14:textId="77777777" w:rsidR="000363D5" w:rsidRDefault="005C1A74" w:rsidP="0087147E">
      <w:pPr>
        <w:pStyle w:val="FootnoteText"/>
      </w:pPr>
      <w:hyperlink r:id="rId7" w:history="1">
        <w:r w:rsidR="000363D5" w:rsidRPr="00CF201A">
          <w:rPr>
            <w:rStyle w:val="Hyperlink"/>
            <w:rFonts w:ascii="Arial" w:hAnsi="Arial" w:cs="Arial"/>
            <w:sz w:val="18"/>
            <w:szCs w:val="18"/>
          </w:rPr>
          <w:t>http://www.bvsde.paho.org/bvsaca/e/fulltext/alternat/alternat.pdf</w:t>
        </w:r>
      </w:hyperlink>
      <w:r w:rsidR="000363D5">
        <w:t xml:space="preserve"> </w:t>
      </w:r>
    </w:p>
  </w:footnote>
  <w:footnote w:id="32">
    <w:p w14:paraId="478DFCBE" w14:textId="2E5E65BA" w:rsidR="000363D5" w:rsidRDefault="000363D5">
      <w:pPr>
        <w:pStyle w:val="FootnoteText"/>
      </w:pPr>
      <w:r>
        <w:rPr>
          <w:rStyle w:val="FootnoteReference"/>
        </w:rPr>
        <w:footnoteRef/>
      </w:r>
      <w:r>
        <w:t xml:space="preserve"> Los derechos arancelarios considerados no incluyen otras tarifas no ad valorem que pueden estarse aplicando, por lo que poseen un margen de seguridad.</w:t>
      </w:r>
    </w:p>
  </w:footnote>
  <w:footnote w:id="33">
    <w:p w14:paraId="4F5F9816" w14:textId="77777777" w:rsidR="000363D5" w:rsidRDefault="000363D5" w:rsidP="002C117E">
      <w:pPr>
        <w:pStyle w:val="FootnoteText"/>
      </w:pPr>
      <w:r>
        <w:rPr>
          <w:rStyle w:val="FootnoteReference"/>
        </w:rPr>
        <w:footnoteRef/>
      </w:r>
      <w:r>
        <w:t xml:space="preserve"> El presente Anexo se basa en parte de los resultados obtenidos en el estudio “Diseño de un régimen tarifario para la concesión de Agua Potable y Desagües Cloacales de la Ciudad de Buenos Aires”, desarrollado por la consultora Post Buckley de Argentina S.A. durante los años 2000 y 2001 en el marco de lo dispuesto por la Resolución 601/99 de la SRNyDS.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85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3"/>
      <w:gridCol w:w="4553"/>
    </w:tblGrid>
    <w:tr w:rsidR="000363D5" w14:paraId="44321270" w14:textId="77777777" w:rsidTr="00525EF1">
      <w:trPr>
        <w:trHeight w:val="1062"/>
      </w:trPr>
      <w:tc>
        <w:tcPr>
          <w:tcW w:w="0" w:type="auto"/>
          <w:vAlign w:val="center"/>
        </w:tcPr>
        <w:p w14:paraId="0B23626B" w14:textId="34BD1540" w:rsidR="000363D5" w:rsidRDefault="000363D5" w:rsidP="00703E20">
          <w:pPr>
            <w:pStyle w:val="Header"/>
            <w:jc w:val="left"/>
          </w:pPr>
        </w:p>
      </w:tc>
      <w:tc>
        <w:tcPr>
          <w:tcW w:w="0" w:type="auto"/>
          <w:vAlign w:val="center"/>
        </w:tcPr>
        <w:p w14:paraId="67834DA7" w14:textId="426A0C58" w:rsidR="000363D5" w:rsidRDefault="000363D5" w:rsidP="00703E20">
          <w:pPr>
            <w:pStyle w:val="Header"/>
            <w:ind w:left="34"/>
            <w:jc w:val="right"/>
          </w:pPr>
        </w:p>
        <w:p w14:paraId="3346F502" w14:textId="77777777" w:rsidR="000363D5" w:rsidRPr="00703E20" w:rsidRDefault="000363D5" w:rsidP="00703E20">
          <w:pPr>
            <w:pStyle w:val="Header"/>
            <w:ind w:left="34"/>
            <w:jc w:val="right"/>
            <w:rPr>
              <w:b/>
              <w:caps/>
              <w:sz w:val="10"/>
            </w:rPr>
          </w:pPr>
        </w:p>
      </w:tc>
    </w:tr>
  </w:tbl>
  <w:p w14:paraId="4FFA1BD1" w14:textId="77777777" w:rsidR="000363D5" w:rsidRDefault="000363D5" w:rsidP="00071177">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3959"/>
    </w:tblGrid>
    <w:tr w:rsidR="000363D5" w14:paraId="376FBE77" w14:textId="77777777" w:rsidTr="0007125E">
      <w:tc>
        <w:tcPr>
          <w:tcW w:w="4536" w:type="dxa"/>
          <w:vAlign w:val="center"/>
        </w:tcPr>
        <w:p w14:paraId="3A488E91" w14:textId="77777777" w:rsidR="000363D5" w:rsidRDefault="000363D5" w:rsidP="00F967E4">
          <w:pPr>
            <w:pStyle w:val="Header"/>
            <w:jc w:val="left"/>
          </w:pPr>
          <w:r w:rsidRPr="003B1C14">
            <w:rPr>
              <w:b/>
              <w:caps/>
              <w:sz w:val="24"/>
            </w:rPr>
            <w:t>Sistema de saneamiento en los partidos de Moreno y San Miguel</w:t>
          </w:r>
        </w:p>
      </w:tc>
      <w:tc>
        <w:tcPr>
          <w:tcW w:w="3959" w:type="dxa"/>
          <w:vAlign w:val="center"/>
        </w:tcPr>
        <w:p w14:paraId="0C9223B3" w14:textId="77777777" w:rsidR="000363D5" w:rsidRDefault="000363D5" w:rsidP="00F967E4">
          <w:pPr>
            <w:pStyle w:val="Header"/>
            <w:ind w:left="34"/>
            <w:jc w:val="right"/>
          </w:pPr>
          <w:r>
            <w:object w:dxaOrig="2205" w:dyaOrig="2205" w14:anchorId="0D9578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54.6pt;height:51.6pt" o:ole="">
                <v:imagedata r:id="rId1" o:title=""/>
              </v:shape>
              <o:OLEObject Type="Embed" ProgID="MSPhotoEd.3" ShapeID="_x0000_i1036" DrawAspect="Content" ObjectID="_1560797577" r:id="rId2"/>
            </w:object>
          </w:r>
        </w:p>
        <w:p w14:paraId="5D704764" w14:textId="77777777" w:rsidR="000363D5" w:rsidRPr="00703E20" w:rsidRDefault="000363D5" w:rsidP="00F967E4">
          <w:pPr>
            <w:pStyle w:val="Header"/>
            <w:ind w:left="34"/>
            <w:jc w:val="right"/>
            <w:rPr>
              <w:b/>
              <w:caps/>
              <w:sz w:val="10"/>
            </w:rPr>
          </w:pPr>
        </w:p>
      </w:tc>
    </w:tr>
  </w:tbl>
  <w:p w14:paraId="54EAADBA" w14:textId="77777777" w:rsidR="000363D5" w:rsidRDefault="000363D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6F55EA" w14:textId="77777777" w:rsidR="000363D5" w:rsidRPr="00D946DA" w:rsidRDefault="000363D5" w:rsidP="00D946D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8EE9FC" w14:textId="77777777" w:rsidR="000363D5" w:rsidRDefault="000363D5" w:rsidP="000711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14303"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37"/>
      <w:gridCol w:w="6666"/>
    </w:tblGrid>
    <w:tr w:rsidR="000363D5" w14:paraId="0AEB415C" w14:textId="77777777" w:rsidTr="005E1D49">
      <w:trPr>
        <w:trHeight w:val="1121"/>
      </w:trPr>
      <w:tc>
        <w:tcPr>
          <w:tcW w:w="7637" w:type="dxa"/>
          <w:vAlign w:val="center"/>
        </w:tcPr>
        <w:p w14:paraId="5FC42475" w14:textId="77777777" w:rsidR="000363D5" w:rsidRDefault="000363D5" w:rsidP="005E1D49">
          <w:pPr>
            <w:pStyle w:val="Header"/>
            <w:jc w:val="left"/>
          </w:pPr>
          <w:r w:rsidRPr="003B1C14">
            <w:rPr>
              <w:b/>
              <w:caps/>
              <w:sz w:val="24"/>
            </w:rPr>
            <w:t>Sistema de saneamiento en los partidos de Moreno y San Miguel</w:t>
          </w:r>
        </w:p>
      </w:tc>
      <w:tc>
        <w:tcPr>
          <w:tcW w:w="6666" w:type="dxa"/>
          <w:vAlign w:val="center"/>
        </w:tcPr>
        <w:p w14:paraId="02B78B54" w14:textId="77777777" w:rsidR="000363D5" w:rsidRDefault="000363D5" w:rsidP="005E1D49">
          <w:pPr>
            <w:pStyle w:val="Header"/>
            <w:ind w:left="34"/>
            <w:jc w:val="right"/>
          </w:pPr>
          <w:r>
            <w:object w:dxaOrig="2205" w:dyaOrig="2205" w14:anchorId="4B8A9B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6pt;height:51.6pt" o:ole="">
                <v:imagedata r:id="rId1" o:title=""/>
              </v:shape>
              <o:OLEObject Type="Embed" ProgID="MSPhotoEd.3" ShapeID="_x0000_i1025" DrawAspect="Content" ObjectID="_1560797576" r:id="rId2"/>
            </w:object>
          </w:r>
        </w:p>
        <w:p w14:paraId="5668BB6E" w14:textId="77777777" w:rsidR="000363D5" w:rsidRPr="00703E20" w:rsidRDefault="000363D5" w:rsidP="005E1D49">
          <w:pPr>
            <w:pStyle w:val="Header"/>
            <w:ind w:left="34"/>
            <w:jc w:val="right"/>
            <w:rPr>
              <w:b/>
              <w:caps/>
              <w:sz w:val="10"/>
            </w:rPr>
          </w:pPr>
        </w:p>
      </w:tc>
    </w:tr>
  </w:tbl>
  <w:p w14:paraId="7E371B18" w14:textId="77777777" w:rsidR="000363D5" w:rsidRDefault="000363D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3A9BDB" w14:textId="77777777" w:rsidR="000363D5" w:rsidRDefault="000363D5" w:rsidP="0007117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7E4FB" w14:textId="77777777" w:rsidR="000363D5" w:rsidRDefault="000363D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659C5A" w14:textId="77777777" w:rsidR="000363D5" w:rsidRDefault="000363D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8C0F83" w14:textId="71D3559F" w:rsidR="000363D5" w:rsidRPr="006B21A6" w:rsidRDefault="000363D5" w:rsidP="006B21A6">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DAC006" w14:textId="77777777" w:rsidR="000363D5" w:rsidRDefault="000363D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02BFD"/>
    <w:multiLevelType w:val="hybridMultilevel"/>
    <w:tmpl w:val="AA4A79FC"/>
    <w:lvl w:ilvl="0" w:tplc="2C0A0017">
      <w:start w:val="1"/>
      <w:numFmt w:val="lowerLetter"/>
      <w:lvlText w:val="%1)"/>
      <w:lvlJc w:val="left"/>
      <w:pPr>
        <w:tabs>
          <w:tab w:val="num" w:pos="720"/>
        </w:tabs>
        <w:ind w:left="720" w:hanging="360"/>
      </w:pPr>
      <w:rPr>
        <w:rFonts w:hint="default"/>
      </w:rPr>
    </w:lvl>
    <w:lvl w:ilvl="1" w:tplc="2C0A0019" w:tentative="1">
      <w:start w:val="1"/>
      <w:numFmt w:val="lowerLetter"/>
      <w:lvlText w:val="%2."/>
      <w:lvlJc w:val="left"/>
      <w:pPr>
        <w:tabs>
          <w:tab w:val="num" w:pos="1440"/>
        </w:tabs>
        <w:ind w:left="1440" w:hanging="360"/>
      </w:pPr>
    </w:lvl>
    <w:lvl w:ilvl="2" w:tplc="2C0A001B" w:tentative="1">
      <w:start w:val="1"/>
      <w:numFmt w:val="lowerRoman"/>
      <w:lvlText w:val="%3."/>
      <w:lvlJc w:val="right"/>
      <w:pPr>
        <w:tabs>
          <w:tab w:val="num" w:pos="2160"/>
        </w:tabs>
        <w:ind w:left="2160" w:hanging="180"/>
      </w:pPr>
    </w:lvl>
    <w:lvl w:ilvl="3" w:tplc="2C0A000F" w:tentative="1">
      <w:start w:val="1"/>
      <w:numFmt w:val="decimal"/>
      <w:lvlText w:val="%4."/>
      <w:lvlJc w:val="left"/>
      <w:pPr>
        <w:tabs>
          <w:tab w:val="num" w:pos="2880"/>
        </w:tabs>
        <w:ind w:left="2880" w:hanging="360"/>
      </w:pPr>
    </w:lvl>
    <w:lvl w:ilvl="4" w:tplc="2C0A0019" w:tentative="1">
      <w:start w:val="1"/>
      <w:numFmt w:val="lowerLetter"/>
      <w:lvlText w:val="%5."/>
      <w:lvlJc w:val="left"/>
      <w:pPr>
        <w:tabs>
          <w:tab w:val="num" w:pos="3600"/>
        </w:tabs>
        <w:ind w:left="3600" w:hanging="360"/>
      </w:pPr>
    </w:lvl>
    <w:lvl w:ilvl="5" w:tplc="2C0A001B" w:tentative="1">
      <w:start w:val="1"/>
      <w:numFmt w:val="lowerRoman"/>
      <w:lvlText w:val="%6."/>
      <w:lvlJc w:val="right"/>
      <w:pPr>
        <w:tabs>
          <w:tab w:val="num" w:pos="4320"/>
        </w:tabs>
        <w:ind w:left="4320" w:hanging="180"/>
      </w:pPr>
    </w:lvl>
    <w:lvl w:ilvl="6" w:tplc="2C0A000F" w:tentative="1">
      <w:start w:val="1"/>
      <w:numFmt w:val="decimal"/>
      <w:lvlText w:val="%7."/>
      <w:lvlJc w:val="left"/>
      <w:pPr>
        <w:tabs>
          <w:tab w:val="num" w:pos="5040"/>
        </w:tabs>
        <w:ind w:left="5040" w:hanging="360"/>
      </w:pPr>
    </w:lvl>
    <w:lvl w:ilvl="7" w:tplc="2C0A0019" w:tentative="1">
      <w:start w:val="1"/>
      <w:numFmt w:val="lowerLetter"/>
      <w:lvlText w:val="%8."/>
      <w:lvlJc w:val="left"/>
      <w:pPr>
        <w:tabs>
          <w:tab w:val="num" w:pos="5760"/>
        </w:tabs>
        <w:ind w:left="5760" w:hanging="360"/>
      </w:pPr>
    </w:lvl>
    <w:lvl w:ilvl="8" w:tplc="2C0A001B" w:tentative="1">
      <w:start w:val="1"/>
      <w:numFmt w:val="lowerRoman"/>
      <w:lvlText w:val="%9."/>
      <w:lvlJc w:val="right"/>
      <w:pPr>
        <w:tabs>
          <w:tab w:val="num" w:pos="6480"/>
        </w:tabs>
        <w:ind w:left="6480" w:hanging="180"/>
      </w:pPr>
    </w:lvl>
  </w:abstractNum>
  <w:abstractNum w:abstractNumId="1" w15:restartNumberingAfterBreak="0">
    <w:nsid w:val="006B3575"/>
    <w:multiLevelType w:val="hybridMultilevel"/>
    <w:tmpl w:val="22A8EB92"/>
    <w:lvl w:ilvl="0" w:tplc="2C0A0017">
      <w:start w:val="1"/>
      <w:numFmt w:val="low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 w15:restartNumberingAfterBreak="0">
    <w:nsid w:val="03725FE4"/>
    <w:multiLevelType w:val="hybridMultilevel"/>
    <w:tmpl w:val="D3F2756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15:restartNumberingAfterBreak="0">
    <w:nsid w:val="05791A7A"/>
    <w:multiLevelType w:val="hybridMultilevel"/>
    <w:tmpl w:val="70A83A06"/>
    <w:lvl w:ilvl="0" w:tplc="D8F0070A">
      <w:start w:val="1"/>
      <w:numFmt w:val="bullet"/>
      <w:lvlText w:val=""/>
      <w:lvlJc w:val="left"/>
      <w:pPr>
        <w:tabs>
          <w:tab w:val="num" w:pos="1068"/>
        </w:tabs>
        <w:ind w:left="1068" w:hanging="360"/>
      </w:pPr>
      <w:rPr>
        <w:rFonts w:ascii="Symbol" w:eastAsia="Times New Roman" w:hAnsi="Symbol" w:cs="Times New Roman"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4" w15:restartNumberingAfterBreak="0">
    <w:nsid w:val="07033115"/>
    <w:multiLevelType w:val="hybridMultilevel"/>
    <w:tmpl w:val="29BEC530"/>
    <w:lvl w:ilvl="0" w:tplc="E982DAF2">
      <w:start w:val="1"/>
      <w:numFmt w:val="lowerLetter"/>
      <w:lvlText w:val="%1)"/>
      <w:lvlJc w:val="left"/>
      <w:pPr>
        <w:ind w:left="1080" w:hanging="360"/>
      </w:pPr>
      <w:rPr>
        <w:rFonts w:hint="default"/>
      </w:rPr>
    </w:lvl>
    <w:lvl w:ilvl="1" w:tplc="2C0A0019">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abstractNum w:abstractNumId="5" w15:restartNumberingAfterBreak="0">
    <w:nsid w:val="0A2F5D38"/>
    <w:multiLevelType w:val="hybridMultilevel"/>
    <w:tmpl w:val="FEBE7C80"/>
    <w:lvl w:ilvl="0" w:tplc="2C0A0017">
      <w:start w:val="1"/>
      <w:numFmt w:val="low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6" w15:restartNumberingAfterBreak="0">
    <w:nsid w:val="0C2468EF"/>
    <w:multiLevelType w:val="hybridMultilevel"/>
    <w:tmpl w:val="C36CC1A8"/>
    <w:lvl w:ilvl="0" w:tplc="88A46178">
      <w:start w:val="1"/>
      <w:numFmt w:val="lowerLetter"/>
      <w:lvlText w:val="%1)"/>
      <w:lvlJc w:val="left"/>
      <w:pPr>
        <w:ind w:left="3933" w:hanging="705"/>
      </w:pPr>
      <w:rPr>
        <w:rFonts w:hint="default"/>
      </w:rPr>
    </w:lvl>
    <w:lvl w:ilvl="1" w:tplc="04090019" w:tentative="1">
      <w:start w:val="1"/>
      <w:numFmt w:val="lowerLetter"/>
      <w:lvlText w:val="%2."/>
      <w:lvlJc w:val="left"/>
      <w:pPr>
        <w:ind w:left="4308" w:hanging="360"/>
      </w:pPr>
    </w:lvl>
    <w:lvl w:ilvl="2" w:tplc="0409001B" w:tentative="1">
      <w:start w:val="1"/>
      <w:numFmt w:val="lowerRoman"/>
      <w:lvlText w:val="%3."/>
      <w:lvlJc w:val="right"/>
      <w:pPr>
        <w:ind w:left="5028" w:hanging="180"/>
      </w:pPr>
    </w:lvl>
    <w:lvl w:ilvl="3" w:tplc="0409000F" w:tentative="1">
      <w:start w:val="1"/>
      <w:numFmt w:val="decimal"/>
      <w:lvlText w:val="%4."/>
      <w:lvlJc w:val="left"/>
      <w:pPr>
        <w:ind w:left="5748" w:hanging="360"/>
      </w:pPr>
    </w:lvl>
    <w:lvl w:ilvl="4" w:tplc="04090019" w:tentative="1">
      <w:start w:val="1"/>
      <w:numFmt w:val="lowerLetter"/>
      <w:lvlText w:val="%5."/>
      <w:lvlJc w:val="left"/>
      <w:pPr>
        <w:ind w:left="6468" w:hanging="360"/>
      </w:pPr>
    </w:lvl>
    <w:lvl w:ilvl="5" w:tplc="0409001B" w:tentative="1">
      <w:start w:val="1"/>
      <w:numFmt w:val="lowerRoman"/>
      <w:lvlText w:val="%6."/>
      <w:lvlJc w:val="right"/>
      <w:pPr>
        <w:ind w:left="7188" w:hanging="180"/>
      </w:pPr>
    </w:lvl>
    <w:lvl w:ilvl="6" w:tplc="0409000F" w:tentative="1">
      <w:start w:val="1"/>
      <w:numFmt w:val="decimal"/>
      <w:lvlText w:val="%7."/>
      <w:lvlJc w:val="left"/>
      <w:pPr>
        <w:ind w:left="7908" w:hanging="360"/>
      </w:pPr>
    </w:lvl>
    <w:lvl w:ilvl="7" w:tplc="04090019" w:tentative="1">
      <w:start w:val="1"/>
      <w:numFmt w:val="lowerLetter"/>
      <w:lvlText w:val="%8."/>
      <w:lvlJc w:val="left"/>
      <w:pPr>
        <w:ind w:left="8628" w:hanging="360"/>
      </w:pPr>
    </w:lvl>
    <w:lvl w:ilvl="8" w:tplc="0409001B" w:tentative="1">
      <w:start w:val="1"/>
      <w:numFmt w:val="lowerRoman"/>
      <w:lvlText w:val="%9."/>
      <w:lvlJc w:val="right"/>
      <w:pPr>
        <w:ind w:left="9348" w:hanging="180"/>
      </w:pPr>
    </w:lvl>
  </w:abstractNum>
  <w:abstractNum w:abstractNumId="7" w15:restartNumberingAfterBreak="0">
    <w:nsid w:val="0C5F463B"/>
    <w:multiLevelType w:val="hybridMultilevel"/>
    <w:tmpl w:val="57ACFD36"/>
    <w:lvl w:ilvl="0" w:tplc="6EAE6470">
      <w:start w:val="1"/>
      <w:numFmt w:val="decimal"/>
      <w:lvlText w:val="%1-"/>
      <w:lvlJc w:val="left"/>
      <w:pPr>
        <w:ind w:left="1065" w:hanging="705"/>
      </w:pPr>
      <w:rPr>
        <w:rFonts w:hint="default"/>
      </w:rPr>
    </w:lvl>
    <w:lvl w:ilvl="1" w:tplc="6128C258">
      <w:numFmt w:val="bullet"/>
      <w:lvlText w:val="-"/>
      <w:lvlJc w:val="left"/>
      <w:pPr>
        <w:ind w:left="1785" w:hanging="705"/>
      </w:pPr>
      <w:rPr>
        <w:rFonts w:ascii="Calibri" w:eastAsiaTheme="minorHAnsi" w:hAnsi="Calibri" w:cstheme="minorBidi" w:hint="default"/>
      </w:rPr>
    </w:lvl>
    <w:lvl w:ilvl="2" w:tplc="A4C6E904">
      <w:start w:val="3"/>
      <w:numFmt w:val="bullet"/>
      <w:lvlText w:val="•"/>
      <w:lvlJc w:val="left"/>
      <w:pPr>
        <w:ind w:left="2685" w:hanging="705"/>
      </w:pPr>
      <w:rPr>
        <w:rFonts w:ascii="Calibri" w:eastAsiaTheme="minorHAnsi" w:hAnsi="Calibri" w:cstheme="minorBidi" w:hint="default"/>
      </w:rPr>
    </w:lvl>
    <w:lvl w:ilvl="3" w:tplc="B90EFBC2">
      <w:start w:val="1"/>
      <w:numFmt w:val="lowerLetter"/>
      <w:lvlText w:val="%4)"/>
      <w:lvlJc w:val="left"/>
      <w:pPr>
        <w:ind w:left="2880" w:hanging="360"/>
      </w:pPr>
      <w:rPr>
        <w:rFonts w:hint="default"/>
      </w:r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8" w15:restartNumberingAfterBreak="0">
    <w:nsid w:val="0CF12063"/>
    <w:multiLevelType w:val="hybridMultilevel"/>
    <w:tmpl w:val="52FE3B3A"/>
    <w:lvl w:ilvl="0" w:tplc="2C0A0001">
      <w:start w:val="1"/>
      <w:numFmt w:val="bullet"/>
      <w:lvlText w:val=""/>
      <w:lvlJc w:val="left"/>
      <w:pPr>
        <w:ind w:left="1065" w:hanging="705"/>
      </w:pPr>
      <w:rPr>
        <w:rFonts w:ascii="Symbol" w:hAnsi="Symbol" w:hint="default"/>
      </w:rPr>
    </w:lvl>
    <w:lvl w:ilvl="1" w:tplc="6128C258">
      <w:numFmt w:val="bullet"/>
      <w:lvlText w:val="-"/>
      <w:lvlJc w:val="left"/>
      <w:pPr>
        <w:ind w:left="1785" w:hanging="705"/>
      </w:pPr>
      <w:rPr>
        <w:rFonts w:ascii="Calibri" w:eastAsiaTheme="minorHAnsi" w:hAnsi="Calibri" w:cstheme="minorBidi" w:hint="default"/>
      </w:r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9" w15:restartNumberingAfterBreak="0">
    <w:nsid w:val="0D326560"/>
    <w:multiLevelType w:val="hybridMultilevel"/>
    <w:tmpl w:val="D69EE5B4"/>
    <w:lvl w:ilvl="0" w:tplc="C0D42F8E">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D454847"/>
    <w:multiLevelType w:val="hybridMultilevel"/>
    <w:tmpl w:val="03005F0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1" w15:restartNumberingAfterBreak="0">
    <w:nsid w:val="0D716D2B"/>
    <w:multiLevelType w:val="hybridMultilevel"/>
    <w:tmpl w:val="9B8A9820"/>
    <w:lvl w:ilvl="0" w:tplc="491C463C">
      <w:numFmt w:val="bullet"/>
      <w:lvlText w:val="-"/>
      <w:lvlJc w:val="left"/>
      <w:pPr>
        <w:ind w:left="1428" w:hanging="360"/>
      </w:pPr>
      <w:rPr>
        <w:rFonts w:ascii="Calibri" w:eastAsiaTheme="minorHAnsi" w:hAnsi="Calibri" w:cstheme="minorBidi" w:hint="default"/>
      </w:rPr>
    </w:lvl>
    <w:lvl w:ilvl="1" w:tplc="2C0A0003" w:tentative="1">
      <w:start w:val="1"/>
      <w:numFmt w:val="bullet"/>
      <w:lvlText w:val="o"/>
      <w:lvlJc w:val="left"/>
      <w:pPr>
        <w:ind w:left="2148" w:hanging="360"/>
      </w:pPr>
      <w:rPr>
        <w:rFonts w:ascii="Courier New" w:hAnsi="Courier New" w:cs="Courier New" w:hint="default"/>
      </w:rPr>
    </w:lvl>
    <w:lvl w:ilvl="2" w:tplc="2C0A0005" w:tentative="1">
      <w:start w:val="1"/>
      <w:numFmt w:val="bullet"/>
      <w:lvlText w:val=""/>
      <w:lvlJc w:val="left"/>
      <w:pPr>
        <w:ind w:left="2868" w:hanging="360"/>
      </w:pPr>
      <w:rPr>
        <w:rFonts w:ascii="Wingdings" w:hAnsi="Wingdings" w:hint="default"/>
      </w:rPr>
    </w:lvl>
    <w:lvl w:ilvl="3" w:tplc="2C0A0001" w:tentative="1">
      <w:start w:val="1"/>
      <w:numFmt w:val="bullet"/>
      <w:lvlText w:val=""/>
      <w:lvlJc w:val="left"/>
      <w:pPr>
        <w:ind w:left="3588" w:hanging="360"/>
      </w:pPr>
      <w:rPr>
        <w:rFonts w:ascii="Symbol" w:hAnsi="Symbol" w:hint="default"/>
      </w:rPr>
    </w:lvl>
    <w:lvl w:ilvl="4" w:tplc="2C0A0003" w:tentative="1">
      <w:start w:val="1"/>
      <w:numFmt w:val="bullet"/>
      <w:lvlText w:val="o"/>
      <w:lvlJc w:val="left"/>
      <w:pPr>
        <w:ind w:left="4308" w:hanging="360"/>
      </w:pPr>
      <w:rPr>
        <w:rFonts w:ascii="Courier New" w:hAnsi="Courier New" w:cs="Courier New" w:hint="default"/>
      </w:rPr>
    </w:lvl>
    <w:lvl w:ilvl="5" w:tplc="2C0A0005" w:tentative="1">
      <w:start w:val="1"/>
      <w:numFmt w:val="bullet"/>
      <w:lvlText w:val=""/>
      <w:lvlJc w:val="left"/>
      <w:pPr>
        <w:ind w:left="5028" w:hanging="360"/>
      </w:pPr>
      <w:rPr>
        <w:rFonts w:ascii="Wingdings" w:hAnsi="Wingdings" w:hint="default"/>
      </w:rPr>
    </w:lvl>
    <w:lvl w:ilvl="6" w:tplc="2C0A0001" w:tentative="1">
      <w:start w:val="1"/>
      <w:numFmt w:val="bullet"/>
      <w:lvlText w:val=""/>
      <w:lvlJc w:val="left"/>
      <w:pPr>
        <w:ind w:left="5748" w:hanging="360"/>
      </w:pPr>
      <w:rPr>
        <w:rFonts w:ascii="Symbol" w:hAnsi="Symbol" w:hint="default"/>
      </w:rPr>
    </w:lvl>
    <w:lvl w:ilvl="7" w:tplc="2C0A0003" w:tentative="1">
      <w:start w:val="1"/>
      <w:numFmt w:val="bullet"/>
      <w:lvlText w:val="o"/>
      <w:lvlJc w:val="left"/>
      <w:pPr>
        <w:ind w:left="6468" w:hanging="360"/>
      </w:pPr>
      <w:rPr>
        <w:rFonts w:ascii="Courier New" w:hAnsi="Courier New" w:cs="Courier New" w:hint="default"/>
      </w:rPr>
    </w:lvl>
    <w:lvl w:ilvl="8" w:tplc="2C0A0005" w:tentative="1">
      <w:start w:val="1"/>
      <w:numFmt w:val="bullet"/>
      <w:lvlText w:val=""/>
      <w:lvlJc w:val="left"/>
      <w:pPr>
        <w:ind w:left="7188" w:hanging="360"/>
      </w:pPr>
      <w:rPr>
        <w:rFonts w:ascii="Wingdings" w:hAnsi="Wingdings" w:hint="default"/>
      </w:rPr>
    </w:lvl>
  </w:abstractNum>
  <w:abstractNum w:abstractNumId="12" w15:restartNumberingAfterBreak="0">
    <w:nsid w:val="0D8012C5"/>
    <w:multiLevelType w:val="hybridMultilevel"/>
    <w:tmpl w:val="4606BA5C"/>
    <w:lvl w:ilvl="0" w:tplc="2C0A0011">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3" w15:restartNumberingAfterBreak="0">
    <w:nsid w:val="13F97931"/>
    <w:multiLevelType w:val="hybridMultilevel"/>
    <w:tmpl w:val="2D94EA7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4" w15:restartNumberingAfterBreak="0">
    <w:nsid w:val="15800095"/>
    <w:multiLevelType w:val="hybridMultilevel"/>
    <w:tmpl w:val="F32227B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5" w15:restartNumberingAfterBreak="0">
    <w:nsid w:val="15F1667E"/>
    <w:multiLevelType w:val="hybridMultilevel"/>
    <w:tmpl w:val="865E23E0"/>
    <w:lvl w:ilvl="0" w:tplc="2C0A0017">
      <w:start w:val="1"/>
      <w:numFmt w:val="low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6" w15:restartNumberingAfterBreak="0">
    <w:nsid w:val="19517258"/>
    <w:multiLevelType w:val="hybridMultilevel"/>
    <w:tmpl w:val="B364917A"/>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AE503FB"/>
    <w:multiLevelType w:val="hybridMultilevel"/>
    <w:tmpl w:val="5268AEE2"/>
    <w:lvl w:ilvl="0" w:tplc="2C0A0017">
      <w:start w:val="1"/>
      <w:numFmt w:val="low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8" w15:restartNumberingAfterBreak="0">
    <w:nsid w:val="1E86243D"/>
    <w:multiLevelType w:val="hybridMultilevel"/>
    <w:tmpl w:val="F62A5034"/>
    <w:lvl w:ilvl="0" w:tplc="E5988200">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9" w15:restartNumberingAfterBreak="0">
    <w:nsid w:val="1F466B05"/>
    <w:multiLevelType w:val="hybridMultilevel"/>
    <w:tmpl w:val="D236FF84"/>
    <w:lvl w:ilvl="0" w:tplc="2C0A0017">
      <w:start w:val="1"/>
      <w:numFmt w:val="low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0" w15:restartNumberingAfterBreak="0">
    <w:nsid w:val="1FC75863"/>
    <w:multiLevelType w:val="hybridMultilevel"/>
    <w:tmpl w:val="43102DC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1" w15:restartNumberingAfterBreak="0">
    <w:nsid w:val="21DB752B"/>
    <w:multiLevelType w:val="hybridMultilevel"/>
    <w:tmpl w:val="80E2C7AC"/>
    <w:lvl w:ilvl="0" w:tplc="2C0A0017">
      <w:start w:val="1"/>
      <w:numFmt w:val="low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2" w15:restartNumberingAfterBreak="0">
    <w:nsid w:val="23390AC3"/>
    <w:multiLevelType w:val="hybridMultilevel"/>
    <w:tmpl w:val="3CB8CE1C"/>
    <w:lvl w:ilvl="0" w:tplc="2C0A0001">
      <w:start w:val="1"/>
      <w:numFmt w:val="bullet"/>
      <w:lvlText w:val=""/>
      <w:lvlJc w:val="left"/>
      <w:pPr>
        <w:ind w:left="1065" w:hanging="705"/>
      </w:pPr>
      <w:rPr>
        <w:rFonts w:ascii="Symbol" w:hAnsi="Symbol" w:hint="default"/>
      </w:rPr>
    </w:lvl>
    <w:lvl w:ilvl="1" w:tplc="6128C258">
      <w:numFmt w:val="bullet"/>
      <w:lvlText w:val="-"/>
      <w:lvlJc w:val="left"/>
      <w:pPr>
        <w:ind w:left="1785" w:hanging="705"/>
      </w:pPr>
      <w:rPr>
        <w:rFonts w:ascii="Calibri" w:eastAsiaTheme="minorHAnsi" w:hAnsi="Calibri" w:cstheme="minorBidi" w:hint="default"/>
      </w:r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3" w15:restartNumberingAfterBreak="0">
    <w:nsid w:val="23EF2F6F"/>
    <w:multiLevelType w:val="hybridMultilevel"/>
    <w:tmpl w:val="E356FCE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4" w15:restartNumberingAfterBreak="0">
    <w:nsid w:val="2BA1771F"/>
    <w:multiLevelType w:val="hybridMultilevel"/>
    <w:tmpl w:val="52F6117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5" w15:restartNumberingAfterBreak="0">
    <w:nsid w:val="2EE65BF5"/>
    <w:multiLevelType w:val="multilevel"/>
    <w:tmpl w:val="97680FB6"/>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6" w15:restartNumberingAfterBreak="0">
    <w:nsid w:val="2EF52FEE"/>
    <w:multiLevelType w:val="hybridMultilevel"/>
    <w:tmpl w:val="E136830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7" w15:restartNumberingAfterBreak="0">
    <w:nsid w:val="2F231F69"/>
    <w:multiLevelType w:val="multilevel"/>
    <w:tmpl w:val="742E7158"/>
    <w:lvl w:ilvl="0">
      <w:start w:val="1"/>
      <w:numFmt w:val="decimal"/>
      <w:lvlText w:val="%1"/>
      <w:lvlJc w:val="left"/>
      <w:pPr>
        <w:ind w:left="1140" w:hanging="432"/>
      </w:pPr>
      <w:rPr>
        <w:rFonts w:hint="default"/>
        <w:color w:val="FFFFFF" w:themeColor="background1"/>
      </w:rPr>
    </w:lvl>
    <w:lvl w:ilvl="1">
      <w:start w:val="1"/>
      <w:numFmt w:val="decimal"/>
      <w:lvlRestart w:val="0"/>
      <w:lvlText w:val="%1.%2"/>
      <w:lvlJc w:val="left"/>
      <w:pPr>
        <w:ind w:left="1284" w:hanging="576"/>
      </w:pPr>
      <w:rPr>
        <w:rFonts w:hint="default"/>
      </w:rPr>
    </w:lvl>
    <w:lvl w:ilvl="2">
      <w:start w:val="1"/>
      <w:numFmt w:val="decimal"/>
      <w:pStyle w:val="Heading3"/>
      <w:lvlText w:val="%1.%2.%3"/>
      <w:lvlJc w:val="left"/>
      <w:pPr>
        <w:ind w:left="1428" w:hanging="720"/>
      </w:pPr>
      <w:rPr>
        <w:rFonts w:hint="default"/>
      </w:rPr>
    </w:lvl>
    <w:lvl w:ilvl="3">
      <w:start w:val="1"/>
      <w:numFmt w:val="decimal"/>
      <w:lvlText w:val="%1.%2.%3.%4"/>
      <w:lvlJc w:val="left"/>
      <w:pPr>
        <w:ind w:left="1572" w:hanging="864"/>
      </w:pPr>
      <w:rPr>
        <w:rFonts w:hint="default"/>
      </w:rPr>
    </w:lvl>
    <w:lvl w:ilvl="4">
      <w:start w:val="1"/>
      <w:numFmt w:val="decimal"/>
      <w:lvlText w:val="%1.%2.%3.%4.%5"/>
      <w:lvlJc w:val="left"/>
      <w:pPr>
        <w:ind w:left="1716" w:hanging="1008"/>
      </w:pPr>
      <w:rPr>
        <w:rFonts w:hint="default"/>
      </w:rPr>
    </w:lvl>
    <w:lvl w:ilvl="5">
      <w:start w:val="1"/>
      <w:numFmt w:val="decimal"/>
      <w:lvlText w:val="%1.%2.%3.%4.%5.%6"/>
      <w:lvlJc w:val="left"/>
      <w:pPr>
        <w:ind w:left="1860" w:hanging="1152"/>
      </w:pPr>
      <w:rPr>
        <w:rFonts w:hint="default"/>
      </w:rPr>
    </w:lvl>
    <w:lvl w:ilvl="6">
      <w:start w:val="1"/>
      <w:numFmt w:val="decimal"/>
      <w:lvlText w:val="%1.%2.%3.%4.%5.%6.%7"/>
      <w:lvlJc w:val="left"/>
      <w:pPr>
        <w:ind w:left="2004" w:hanging="1296"/>
      </w:pPr>
      <w:rPr>
        <w:rFonts w:hint="default"/>
      </w:rPr>
    </w:lvl>
    <w:lvl w:ilvl="7">
      <w:start w:val="1"/>
      <w:numFmt w:val="decimal"/>
      <w:lvlText w:val="%1.%2.%3.%4.%5.%6.%7.%8"/>
      <w:lvlJc w:val="left"/>
      <w:pPr>
        <w:ind w:left="2148" w:hanging="1440"/>
      </w:pPr>
      <w:rPr>
        <w:rFonts w:hint="default"/>
      </w:rPr>
    </w:lvl>
    <w:lvl w:ilvl="8">
      <w:start w:val="1"/>
      <w:numFmt w:val="decimal"/>
      <w:lvlText w:val="%1.%2.%3.%4.%5.%6.%7.%8.%9"/>
      <w:lvlJc w:val="left"/>
      <w:pPr>
        <w:ind w:left="2292" w:hanging="1584"/>
      </w:pPr>
      <w:rPr>
        <w:rFonts w:hint="default"/>
      </w:rPr>
    </w:lvl>
  </w:abstractNum>
  <w:abstractNum w:abstractNumId="28" w15:restartNumberingAfterBreak="0">
    <w:nsid w:val="2FF45B71"/>
    <w:multiLevelType w:val="hybridMultilevel"/>
    <w:tmpl w:val="842AD0E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9" w15:restartNumberingAfterBreak="0">
    <w:nsid w:val="31832293"/>
    <w:multiLevelType w:val="multilevel"/>
    <w:tmpl w:val="97680FB6"/>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0" w15:restartNumberingAfterBreak="0">
    <w:nsid w:val="37C3666D"/>
    <w:multiLevelType w:val="hybridMultilevel"/>
    <w:tmpl w:val="57A6E7C2"/>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39180B16"/>
    <w:multiLevelType w:val="hybridMultilevel"/>
    <w:tmpl w:val="0778025C"/>
    <w:lvl w:ilvl="0" w:tplc="2C0A0001">
      <w:start w:val="1"/>
      <w:numFmt w:val="bullet"/>
      <w:lvlText w:val=""/>
      <w:lvlJc w:val="left"/>
      <w:pPr>
        <w:ind w:left="1410" w:hanging="705"/>
      </w:pPr>
      <w:rPr>
        <w:rFonts w:ascii="Symbol" w:hAnsi="Symbol" w:hint="default"/>
      </w:rPr>
    </w:lvl>
    <w:lvl w:ilvl="1" w:tplc="6128C258">
      <w:numFmt w:val="bullet"/>
      <w:lvlText w:val="-"/>
      <w:lvlJc w:val="left"/>
      <w:pPr>
        <w:ind w:left="2130" w:hanging="705"/>
      </w:pPr>
      <w:rPr>
        <w:rFonts w:ascii="Calibri" w:eastAsiaTheme="minorHAnsi" w:hAnsi="Calibri" w:cstheme="minorBidi" w:hint="default"/>
      </w:rPr>
    </w:lvl>
    <w:lvl w:ilvl="2" w:tplc="A4C6E904">
      <w:start w:val="3"/>
      <w:numFmt w:val="bullet"/>
      <w:lvlText w:val="•"/>
      <w:lvlJc w:val="left"/>
      <w:pPr>
        <w:ind w:left="3030" w:hanging="705"/>
      </w:pPr>
      <w:rPr>
        <w:rFonts w:ascii="Calibri" w:eastAsiaTheme="minorHAnsi" w:hAnsi="Calibri" w:cstheme="minorBidi" w:hint="default"/>
      </w:rPr>
    </w:lvl>
    <w:lvl w:ilvl="3" w:tplc="2C0A000F" w:tentative="1">
      <w:start w:val="1"/>
      <w:numFmt w:val="decimal"/>
      <w:lvlText w:val="%4."/>
      <w:lvlJc w:val="left"/>
      <w:pPr>
        <w:ind w:left="3225" w:hanging="360"/>
      </w:pPr>
    </w:lvl>
    <w:lvl w:ilvl="4" w:tplc="2C0A0019" w:tentative="1">
      <w:start w:val="1"/>
      <w:numFmt w:val="lowerLetter"/>
      <w:lvlText w:val="%5."/>
      <w:lvlJc w:val="left"/>
      <w:pPr>
        <w:ind w:left="3945" w:hanging="360"/>
      </w:pPr>
    </w:lvl>
    <w:lvl w:ilvl="5" w:tplc="2C0A001B" w:tentative="1">
      <w:start w:val="1"/>
      <w:numFmt w:val="lowerRoman"/>
      <w:lvlText w:val="%6."/>
      <w:lvlJc w:val="right"/>
      <w:pPr>
        <w:ind w:left="4665" w:hanging="180"/>
      </w:pPr>
    </w:lvl>
    <w:lvl w:ilvl="6" w:tplc="2C0A000F" w:tentative="1">
      <w:start w:val="1"/>
      <w:numFmt w:val="decimal"/>
      <w:lvlText w:val="%7."/>
      <w:lvlJc w:val="left"/>
      <w:pPr>
        <w:ind w:left="5385" w:hanging="360"/>
      </w:pPr>
    </w:lvl>
    <w:lvl w:ilvl="7" w:tplc="2C0A0019" w:tentative="1">
      <w:start w:val="1"/>
      <w:numFmt w:val="lowerLetter"/>
      <w:lvlText w:val="%8."/>
      <w:lvlJc w:val="left"/>
      <w:pPr>
        <w:ind w:left="6105" w:hanging="360"/>
      </w:pPr>
    </w:lvl>
    <w:lvl w:ilvl="8" w:tplc="2C0A001B" w:tentative="1">
      <w:start w:val="1"/>
      <w:numFmt w:val="lowerRoman"/>
      <w:lvlText w:val="%9."/>
      <w:lvlJc w:val="right"/>
      <w:pPr>
        <w:ind w:left="6825" w:hanging="180"/>
      </w:pPr>
    </w:lvl>
  </w:abstractNum>
  <w:abstractNum w:abstractNumId="32" w15:restartNumberingAfterBreak="0">
    <w:nsid w:val="395A5EE1"/>
    <w:multiLevelType w:val="hybridMultilevel"/>
    <w:tmpl w:val="3D7AC12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3" w15:restartNumberingAfterBreak="0">
    <w:nsid w:val="395F237D"/>
    <w:multiLevelType w:val="hybridMultilevel"/>
    <w:tmpl w:val="304884A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4" w15:restartNumberingAfterBreak="0">
    <w:nsid w:val="39C20CD8"/>
    <w:multiLevelType w:val="hybridMultilevel"/>
    <w:tmpl w:val="F83CD584"/>
    <w:lvl w:ilvl="0" w:tplc="2C0A0017">
      <w:start w:val="1"/>
      <w:numFmt w:val="low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5" w15:restartNumberingAfterBreak="0">
    <w:nsid w:val="40BA517A"/>
    <w:multiLevelType w:val="hybridMultilevel"/>
    <w:tmpl w:val="D9E2681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6" w15:restartNumberingAfterBreak="0">
    <w:nsid w:val="446934B0"/>
    <w:multiLevelType w:val="hybridMultilevel"/>
    <w:tmpl w:val="67D005D6"/>
    <w:lvl w:ilvl="0" w:tplc="2C0A0001">
      <w:start w:val="1"/>
      <w:numFmt w:val="bullet"/>
      <w:lvlText w:val=""/>
      <w:lvlJc w:val="left"/>
      <w:pPr>
        <w:ind w:left="720" w:hanging="360"/>
      </w:pPr>
      <w:rPr>
        <w:rFonts w:ascii="Symbol" w:hAnsi="Symbol" w:hint="default"/>
      </w:rPr>
    </w:lvl>
    <w:lvl w:ilvl="1" w:tplc="3FFC34C4">
      <w:numFmt w:val="bullet"/>
      <w:lvlText w:val="•"/>
      <w:lvlJc w:val="left"/>
      <w:pPr>
        <w:ind w:left="1785" w:hanging="705"/>
      </w:pPr>
      <w:rPr>
        <w:rFonts w:ascii="Calibri" w:eastAsiaTheme="minorHAnsi" w:hAnsi="Calibri" w:cstheme="minorBidi"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7" w15:restartNumberingAfterBreak="0">
    <w:nsid w:val="44D72C04"/>
    <w:multiLevelType w:val="hybridMultilevel"/>
    <w:tmpl w:val="1494BBBE"/>
    <w:lvl w:ilvl="0" w:tplc="2C0A0011">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8" w15:restartNumberingAfterBreak="0">
    <w:nsid w:val="44EF473B"/>
    <w:multiLevelType w:val="hybridMultilevel"/>
    <w:tmpl w:val="CBBEBC36"/>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9" w15:restartNumberingAfterBreak="0">
    <w:nsid w:val="451B5AF0"/>
    <w:multiLevelType w:val="hybridMultilevel"/>
    <w:tmpl w:val="DCB6F0C4"/>
    <w:lvl w:ilvl="0" w:tplc="C0D42F8E">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466C6710"/>
    <w:multiLevelType w:val="hybridMultilevel"/>
    <w:tmpl w:val="8FF41BA6"/>
    <w:lvl w:ilvl="0" w:tplc="2C0A0011">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1" w15:restartNumberingAfterBreak="0">
    <w:nsid w:val="46700C8E"/>
    <w:multiLevelType w:val="hybridMultilevel"/>
    <w:tmpl w:val="80D4E9D2"/>
    <w:lvl w:ilvl="0" w:tplc="82F67BBC">
      <w:start w:val="1"/>
      <w:numFmt w:val="bullet"/>
      <w:lvlText w:val=""/>
      <w:lvlJc w:val="left"/>
      <w:pPr>
        <w:ind w:left="720" w:hanging="360"/>
      </w:pPr>
      <w:rPr>
        <w:rFonts w:ascii="Symbol" w:eastAsia="Calibri" w:hAnsi="Symbol" w:cs="Aria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2" w15:restartNumberingAfterBreak="0">
    <w:nsid w:val="47EA262B"/>
    <w:multiLevelType w:val="hybridMultilevel"/>
    <w:tmpl w:val="E50A6FC6"/>
    <w:lvl w:ilvl="0" w:tplc="2C0A0017">
      <w:start w:val="1"/>
      <w:numFmt w:val="low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3" w15:restartNumberingAfterBreak="0">
    <w:nsid w:val="496F7359"/>
    <w:multiLevelType w:val="hybridMultilevel"/>
    <w:tmpl w:val="BB289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88A46178">
      <w:start w:val="1"/>
      <w:numFmt w:val="lowerLetter"/>
      <w:lvlText w:val="%4)"/>
      <w:lvlJc w:val="left"/>
      <w:pPr>
        <w:ind w:left="2880" w:hanging="360"/>
      </w:pPr>
      <w:rPr>
        <w:rFont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A3F29DC"/>
    <w:multiLevelType w:val="hybridMultilevel"/>
    <w:tmpl w:val="4CFCE27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5" w15:restartNumberingAfterBreak="0">
    <w:nsid w:val="4BBF3287"/>
    <w:multiLevelType w:val="hybridMultilevel"/>
    <w:tmpl w:val="5E3EF920"/>
    <w:lvl w:ilvl="0" w:tplc="2C0A0001">
      <w:start w:val="1"/>
      <w:numFmt w:val="bullet"/>
      <w:lvlText w:val=""/>
      <w:lvlJc w:val="left"/>
      <w:pPr>
        <w:tabs>
          <w:tab w:val="num" w:pos="720"/>
        </w:tabs>
        <w:ind w:left="720" w:hanging="360"/>
      </w:pPr>
      <w:rPr>
        <w:rFonts w:ascii="Symbol" w:hAnsi="Symbol" w:hint="default"/>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4D4B0D88"/>
    <w:multiLevelType w:val="multilevel"/>
    <w:tmpl w:val="3EF0D98E"/>
    <w:lvl w:ilvl="0">
      <w:start w:val="1"/>
      <w:numFmt w:val="decimal"/>
      <w:pStyle w:val="Grafico"/>
      <w:suff w:val="space"/>
      <w:lvlText w:val="Gráfico N° %1"/>
      <w:lvlJc w:val="left"/>
      <w:pPr>
        <w:ind w:left="0" w:firstLine="0"/>
      </w:pPr>
      <w:rPr>
        <w:rFonts w:ascii="Arial" w:hAnsi="Arial" w:hint="default"/>
        <w:sz w:val="16"/>
        <w:szCs w:val="16"/>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7" w15:restartNumberingAfterBreak="0">
    <w:nsid w:val="4D7D0CE8"/>
    <w:multiLevelType w:val="hybridMultilevel"/>
    <w:tmpl w:val="AD6EFC2C"/>
    <w:lvl w:ilvl="0" w:tplc="22EAC3D4">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8" w15:restartNumberingAfterBreak="0">
    <w:nsid w:val="4E833E75"/>
    <w:multiLevelType w:val="hybridMultilevel"/>
    <w:tmpl w:val="89701284"/>
    <w:lvl w:ilvl="0" w:tplc="C0D42F8E">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4F292337"/>
    <w:multiLevelType w:val="hybridMultilevel"/>
    <w:tmpl w:val="4C70C06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0" w15:restartNumberingAfterBreak="0">
    <w:nsid w:val="54226052"/>
    <w:multiLevelType w:val="multilevel"/>
    <w:tmpl w:val="0CAA57D4"/>
    <w:lvl w:ilvl="0">
      <w:start w:val="1"/>
      <w:numFmt w:val="decimal"/>
      <w:lvlText w:val="%1"/>
      <w:lvlJc w:val="left"/>
      <w:pPr>
        <w:ind w:left="480" w:hanging="480"/>
      </w:pPr>
      <w:rPr>
        <w:rFonts w:hint="default"/>
      </w:rPr>
    </w:lvl>
    <w:lvl w:ilvl="1">
      <w:start w:val="6"/>
      <w:numFmt w:val="decimal"/>
      <w:lvlText w:val="%1.%2"/>
      <w:lvlJc w:val="left"/>
      <w:pPr>
        <w:ind w:left="720" w:hanging="480"/>
      </w:pPr>
      <w:rPr>
        <w:rFonts w:hint="default"/>
      </w:rPr>
    </w:lvl>
    <w:lvl w:ilvl="2">
      <w:start w:val="1"/>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51" w15:restartNumberingAfterBreak="0">
    <w:nsid w:val="54FA345E"/>
    <w:multiLevelType w:val="hybridMultilevel"/>
    <w:tmpl w:val="50B24B7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2" w15:restartNumberingAfterBreak="0">
    <w:nsid w:val="57802142"/>
    <w:multiLevelType w:val="multilevel"/>
    <w:tmpl w:val="97680FB6"/>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3" w15:restartNumberingAfterBreak="0">
    <w:nsid w:val="57E958D0"/>
    <w:multiLevelType w:val="hybridMultilevel"/>
    <w:tmpl w:val="CE30C45E"/>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4" w15:restartNumberingAfterBreak="0">
    <w:nsid w:val="5A98365D"/>
    <w:multiLevelType w:val="hybridMultilevel"/>
    <w:tmpl w:val="914ED248"/>
    <w:lvl w:ilvl="0" w:tplc="2C0A0001">
      <w:start w:val="1"/>
      <w:numFmt w:val="bullet"/>
      <w:lvlText w:val=""/>
      <w:lvlJc w:val="left"/>
      <w:pPr>
        <w:ind w:left="6396" w:hanging="360"/>
      </w:pPr>
      <w:rPr>
        <w:rFonts w:ascii="Symbol" w:hAnsi="Symbol" w:hint="default"/>
      </w:rPr>
    </w:lvl>
    <w:lvl w:ilvl="1" w:tplc="2C0A0003">
      <w:start w:val="1"/>
      <w:numFmt w:val="bullet"/>
      <w:lvlText w:val="o"/>
      <w:lvlJc w:val="left"/>
      <w:pPr>
        <w:ind w:left="7116" w:hanging="360"/>
      </w:pPr>
      <w:rPr>
        <w:rFonts w:ascii="Courier New" w:hAnsi="Courier New" w:cs="Courier New" w:hint="default"/>
      </w:rPr>
    </w:lvl>
    <w:lvl w:ilvl="2" w:tplc="2C0A0005" w:tentative="1">
      <w:start w:val="1"/>
      <w:numFmt w:val="bullet"/>
      <w:lvlText w:val=""/>
      <w:lvlJc w:val="left"/>
      <w:pPr>
        <w:ind w:left="7836" w:hanging="360"/>
      </w:pPr>
      <w:rPr>
        <w:rFonts w:ascii="Wingdings" w:hAnsi="Wingdings" w:hint="default"/>
      </w:rPr>
    </w:lvl>
    <w:lvl w:ilvl="3" w:tplc="2C0A0001" w:tentative="1">
      <w:start w:val="1"/>
      <w:numFmt w:val="bullet"/>
      <w:lvlText w:val=""/>
      <w:lvlJc w:val="left"/>
      <w:pPr>
        <w:ind w:left="8556" w:hanging="360"/>
      </w:pPr>
      <w:rPr>
        <w:rFonts w:ascii="Symbol" w:hAnsi="Symbol" w:hint="default"/>
      </w:rPr>
    </w:lvl>
    <w:lvl w:ilvl="4" w:tplc="2C0A0003" w:tentative="1">
      <w:start w:val="1"/>
      <w:numFmt w:val="bullet"/>
      <w:lvlText w:val="o"/>
      <w:lvlJc w:val="left"/>
      <w:pPr>
        <w:ind w:left="9276" w:hanging="360"/>
      </w:pPr>
      <w:rPr>
        <w:rFonts w:ascii="Courier New" w:hAnsi="Courier New" w:cs="Courier New" w:hint="default"/>
      </w:rPr>
    </w:lvl>
    <w:lvl w:ilvl="5" w:tplc="2C0A0005" w:tentative="1">
      <w:start w:val="1"/>
      <w:numFmt w:val="bullet"/>
      <w:lvlText w:val=""/>
      <w:lvlJc w:val="left"/>
      <w:pPr>
        <w:ind w:left="9996" w:hanging="360"/>
      </w:pPr>
      <w:rPr>
        <w:rFonts w:ascii="Wingdings" w:hAnsi="Wingdings" w:hint="default"/>
      </w:rPr>
    </w:lvl>
    <w:lvl w:ilvl="6" w:tplc="2C0A0001" w:tentative="1">
      <w:start w:val="1"/>
      <w:numFmt w:val="bullet"/>
      <w:lvlText w:val=""/>
      <w:lvlJc w:val="left"/>
      <w:pPr>
        <w:ind w:left="10716" w:hanging="360"/>
      </w:pPr>
      <w:rPr>
        <w:rFonts w:ascii="Symbol" w:hAnsi="Symbol" w:hint="default"/>
      </w:rPr>
    </w:lvl>
    <w:lvl w:ilvl="7" w:tplc="2C0A0003" w:tentative="1">
      <w:start w:val="1"/>
      <w:numFmt w:val="bullet"/>
      <w:lvlText w:val="o"/>
      <w:lvlJc w:val="left"/>
      <w:pPr>
        <w:ind w:left="11436" w:hanging="360"/>
      </w:pPr>
      <w:rPr>
        <w:rFonts w:ascii="Courier New" w:hAnsi="Courier New" w:cs="Courier New" w:hint="default"/>
      </w:rPr>
    </w:lvl>
    <w:lvl w:ilvl="8" w:tplc="2C0A0005" w:tentative="1">
      <w:start w:val="1"/>
      <w:numFmt w:val="bullet"/>
      <w:lvlText w:val=""/>
      <w:lvlJc w:val="left"/>
      <w:pPr>
        <w:ind w:left="12156" w:hanging="360"/>
      </w:pPr>
      <w:rPr>
        <w:rFonts w:ascii="Wingdings" w:hAnsi="Wingdings" w:hint="default"/>
      </w:rPr>
    </w:lvl>
  </w:abstractNum>
  <w:abstractNum w:abstractNumId="55" w15:restartNumberingAfterBreak="0">
    <w:nsid w:val="5B46507C"/>
    <w:multiLevelType w:val="hybridMultilevel"/>
    <w:tmpl w:val="8BEC7818"/>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5CC374E7"/>
    <w:multiLevelType w:val="hybridMultilevel"/>
    <w:tmpl w:val="483A4CE4"/>
    <w:lvl w:ilvl="0" w:tplc="04090001">
      <w:start w:val="1"/>
      <w:numFmt w:val="bullet"/>
      <w:lvlText w:val=""/>
      <w:lvlJc w:val="left"/>
      <w:pPr>
        <w:ind w:left="720" w:hanging="360"/>
      </w:pPr>
      <w:rPr>
        <w:rFonts w:ascii="Symbol" w:hAnsi="Symbol"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57" w15:restartNumberingAfterBreak="0">
    <w:nsid w:val="5EA41597"/>
    <w:multiLevelType w:val="hybridMultilevel"/>
    <w:tmpl w:val="F2926D38"/>
    <w:lvl w:ilvl="0" w:tplc="0C0A0005">
      <w:start w:val="1"/>
      <w:numFmt w:val="bullet"/>
      <w:lvlText w:val=""/>
      <w:lvlJc w:val="left"/>
      <w:pPr>
        <w:tabs>
          <w:tab w:val="num" w:pos="720"/>
        </w:tabs>
        <w:ind w:left="720" w:hanging="360"/>
      </w:pPr>
      <w:rPr>
        <w:rFonts w:ascii="Wingdings" w:hAnsi="Wingdings" w:cs="Wingdings"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58" w15:restartNumberingAfterBreak="0">
    <w:nsid w:val="61EF5F1B"/>
    <w:multiLevelType w:val="hybridMultilevel"/>
    <w:tmpl w:val="BD8C55C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9" w15:restartNumberingAfterBreak="0">
    <w:nsid w:val="62325D03"/>
    <w:multiLevelType w:val="hybridMultilevel"/>
    <w:tmpl w:val="EE189D3A"/>
    <w:lvl w:ilvl="0" w:tplc="2C0A0017">
      <w:start w:val="1"/>
      <w:numFmt w:val="low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60" w15:restartNumberingAfterBreak="0">
    <w:nsid w:val="637C6764"/>
    <w:multiLevelType w:val="hybridMultilevel"/>
    <w:tmpl w:val="8FF41BA6"/>
    <w:lvl w:ilvl="0" w:tplc="2C0A0011">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61" w15:restartNumberingAfterBreak="0">
    <w:nsid w:val="63A0354A"/>
    <w:multiLevelType w:val="hybridMultilevel"/>
    <w:tmpl w:val="08561D1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2" w15:restartNumberingAfterBreak="0">
    <w:nsid w:val="673B7E12"/>
    <w:multiLevelType w:val="hybridMultilevel"/>
    <w:tmpl w:val="8C82F364"/>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3" w15:restartNumberingAfterBreak="0">
    <w:nsid w:val="67E753F0"/>
    <w:multiLevelType w:val="hybridMultilevel"/>
    <w:tmpl w:val="AF669056"/>
    <w:lvl w:ilvl="0" w:tplc="88A46178">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64" w15:restartNumberingAfterBreak="0">
    <w:nsid w:val="69647F30"/>
    <w:multiLevelType w:val="hybridMultilevel"/>
    <w:tmpl w:val="1CE6E708"/>
    <w:lvl w:ilvl="0" w:tplc="37F8AA94">
      <w:start w:val="1"/>
      <w:numFmt w:val="decimal"/>
      <w:lvlText w:val="%1-"/>
      <w:lvlJc w:val="left"/>
      <w:pPr>
        <w:tabs>
          <w:tab w:val="num" w:pos="720"/>
        </w:tabs>
        <w:ind w:left="720" w:hanging="360"/>
      </w:pPr>
      <w:rPr>
        <w:rFonts w:hint="default"/>
      </w:rPr>
    </w:lvl>
    <w:lvl w:ilvl="1" w:tplc="C3B8FBAE">
      <w:start w:val="1"/>
      <w:numFmt w:val="lowerLetter"/>
      <w:lvlText w:val="%2)"/>
      <w:lvlJc w:val="left"/>
      <w:pPr>
        <w:tabs>
          <w:tab w:val="num" w:pos="1440"/>
        </w:tabs>
        <w:ind w:left="1440" w:hanging="360"/>
      </w:pPr>
      <w:rPr>
        <w:rFonts w:hint="default"/>
      </w:rPr>
    </w:lvl>
    <w:lvl w:ilvl="2" w:tplc="2C0A001B" w:tentative="1">
      <w:start w:val="1"/>
      <w:numFmt w:val="lowerRoman"/>
      <w:lvlText w:val="%3."/>
      <w:lvlJc w:val="right"/>
      <w:pPr>
        <w:tabs>
          <w:tab w:val="num" w:pos="2160"/>
        </w:tabs>
        <w:ind w:left="2160" w:hanging="180"/>
      </w:pPr>
    </w:lvl>
    <w:lvl w:ilvl="3" w:tplc="2C0A000F" w:tentative="1">
      <w:start w:val="1"/>
      <w:numFmt w:val="decimal"/>
      <w:lvlText w:val="%4."/>
      <w:lvlJc w:val="left"/>
      <w:pPr>
        <w:tabs>
          <w:tab w:val="num" w:pos="2880"/>
        </w:tabs>
        <w:ind w:left="2880" w:hanging="360"/>
      </w:pPr>
    </w:lvl>
    <w:lvl w:ilvl="4" w:tplc="2C0A0019" w:tentative="1">
      <w:start w:val="1"/>
      <w:numFmt w:val="lowerLetter"/>
      <w:lvlText w:val="%5."/>
      <w:lvlJc w:val="left"/>
      <w:pPr>
        <w:tabs>
          <w:tab w:val="num" w:pos="3600"/>
        </w:tabs>
        <w:ind w:left="3600" w:hanging="360"/>
      </w:pPr>
    </w:lvl>
    <w:lvl w:ilvl="5" w:tplc="2C0A001B" w:tentative="1">
      <w:start w:val="1"/>
      <w:numFmt w:val="lowerRoman"/>
      <w:lvlText w:val="%6."/>
      <w:lvlJc w:val="right"/>
      <w:pPr>
        <w:tabs>
          <w:tab w:val="num" w:pos="4320"/>
        </w:tabs>
        <w:ind w:left="4320" w:hanging="180"/>
      </w:pPr>
    </w:lvl>
    <w:lvl w:ilvl="6" w:tplc="2C0A000F" w:tentative="1">
      <w:start w:val="1"/>
      <w:numFmt w:val="decimal"/>
      <w:lvlText w:val="%7."/>
      <w:lvlJc w:val="left"/>
      <w:pPr>
        <w:tabs>
          <w:tab w:val="num" w:pos="5040"/>
        </w:tabs>
        <w:ind w:left="5040" w:hanging="360"/>
      </w:pPr>
    </w:lvl>
    <w:lvl w:ilvl="7" w:tplc="2C0A0019" w:tentative="1">
      <w:start w:val="1"/>
      <w:numFmt w:val="lowerLetter"/>
      <w:lvlText w:val="%8."/>
      <w:lvlJc w:val="left"/>
      <w:pPr>
        <w:tabs>
          <w:tab w:val="num" w:pos="5760"/>
        </w:tabs>
        <w:ind w:left="5760" w:hanging="360"/>
      </w:pPr>
    </w:lvl>
    <w:lvl w:ilvl="8" w:tplc="2C0A001B" w:tentative="1">
      <w:start w:val="1"/>
      <w:numFmt w:val="lowerRoman"/>
      <w:lvlText w:val="%9."/>
      <w:lvlJc w:val="right"/>
      <w:pPr>
        <w:tabs>
          <w:tab w:val="num" w:pos="6480"/>
        </w:tabs>
        <w:ind w:left="6480" w:hanging="180"/>
      </w:pPr>
    </w:lvl>
  </w:abstractNum>
  <w:abstractNum w:abstractNumId="65" w15:restartNumberingAfterBreak="0">
    <w:nsid w:val="6EFF7E1A"/>
    <w:multiLevelType w:val="hybridMultilevel"/>
    <w:tmpl w:val="0A689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F640E8D"/>
    <w:multiLevelType w:val="hybridMultilevel"/>
    <w:tmpl w:val="F12CAB7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7" w15:restartNumberingAfterBreak="0">
    <w:nsid w:val="70B4787B"/>
    <w:multiLevelType w:val="multilevel"/>
    <w:tmpl w:val="7512C26C"/>
    <w:lvl w:ilvl="0">
      <w:start w:val="1"/>
      <w:numFmt w:val="decimal"/>
      <w:lvlText w:val="%1"/>
      <w:lvlJc w:val="left"/>
      <w:pPr>
        <w:ind w:left="431" w:hanging="431"/>
      </w:pPr>
      <w:rPr>
        <w:rFonts w:hint="default"/>
      </w:rPr>
    </w:lvl>
    <w:lvl w:ilvl="1">
      <w:start w:val="1"/>
      <w:numFmt w:val="decimal"/>
      <w:lvlRestart w:val="0"/>
      <w:pStyle w:val="Heading2"/>
      <w:lvlText w:val="%1.%2"/>
      <w:lvlJc w:val="left"/>
      <w:pPr>
        <w:ind w:left="431" w:hanging="431"/>
      </w:pPr>
      <w:rPr>
        <w:rFonts w:hint="default"/>
      </w:rPr>
    </w:lvl>
    <w:lvl w:ilvl="2">
      <w:start w:val="1"/>
      <w:numFmt w:val="decimal"/>
      <w:lvlText w:val="%1.%2.%3"/>
      <w:lvlJc w:val="left"/>
      <w:pPr>
        <w:ind w:left="431" w:hanging="431"/>
      </w:pPr>
      <w:rPr>
        <w:rFonts w:hint="default"/>
      </w:rPr>
    </w:lvl>
    <w:lvl w:ilvl="3">
      <w:start w:val="1"/>
      <w:numFmt w:val="decimal"/>
      <w:pStyle w:val="Heading4"/>
      <w:lvlText w:val="%1.%2.%3.%4"/>
      <w:lvlJc w:val="left"/>
      <w:pPr>
        <w:ind w:left="431" w:hanging="431"/>
      </w:pPr>
      <w:rPr>
        <w:rFonts w:hint="default"/>
      </w:rPr>
    </w:lvl>
    <w:lvl w:ilvl="4">
      <w:start w:val="1"/>
      <w:numFmt w:val="decimal"/>
      <w:pStyle w:val="Heading5"/>
      <w:lvlText w:val="%1.%2.%3.%4.%5"/>
      <w:lvlJc w:val="left"/>
      <w:pPr>
        <w:ind w:left="431" w:hanging="431"/>
      </w:pPr>
      <w:rPr>
        <w:rFonts w:hint="default"/>
      </w:rPr>
    </w:lvl>
    <w:lvl w:ilvl="5">
      <w:start w:val="1"/>
      <w:numFmt w:val="decimal"/>
      <w:pStyle w:val="Heading6"/>
      <w:lvlText w:val="%1.%2.%3.%4.%5.%6"/>
      <w:lvlJc w:val="left"/>
      <w:pPr>
        <w:ind w:left="431" w:hanging="431"/>
      </w:pPr>
      <w:rPr>
        <w:rFonts w:hint="default"/>
      </w:rPr>
    </w:lvl>
    <w:lvl w:ilvl="6">
      <w:start w:val="1"/>
      <w:numFmt w:val="decimal"/>
      <w:pStyle w:val="Heading7"/>
      <w:lvlText w:val="%1.%2.%3.%4.%5.%6.%7"/>
      <w:lvlJc w:val="left"/>
      <w:pPr>
        <w:ind w:left="431" w:hanging="431"/>
      </w:pPr>
      <w:rPr>
        <w:rFonts w:hint="default"/>
      </w:rPr>
    </w:lvl>
    <w:lvl w:ilvl="7">
      <w:start w:val="1"/>
      <w:numFmt w:val="decimal"/>
      <w:pStyle w:val="Heading8"/>
      <w:lvlText w:val="%1.%2.%3.%4.%5.%6.%7.%8"/>
      <w:lvlJc w:val="left"/>
      <w:pPr>
        <w:ind w:left="431" w:hanging="431"/>
      </w:pPr>
      <w:rPr>
        <w:rFonts w:hint="default"/>
      </w:rPr>
    </w:lvl>
    <w:lvl w:ilvl="8">
      <w:start w:val="1"/>
      <w:numFmt w:val="decimal"/>
      <w:pStyle w:val="Heading9"/>
      <w:lvlText w:val="%1.%2.%3.%4.%5.%6.%7.%8.%9"/>
      <w:lvlJc w:val="left"/>
      <w:pPr>
        <w:ind w:left="431" w:hanging="431"/>
      </w:pPr>
      <w:rPr>
        <w:rFonts w:hint="default"/>
      </w:rPr>
    </w:lvl>
  </w:abstractNum>
  <w:abstractNum w:abstractNumId="68" w15:restartNumberingAfterBreak="0">
    <w:nsid w:val="71F62FFC"/>
    <w:multiLevelType w:val="multilevel"/>
    <w:tmpl w:val="04D83FE6"/>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9" w15:restartNumberingAfterBreak="0">
    <w:nsid w:val="74E834FC"/>
    <w:multiLevelType w:val="hybridMultilevel"/>
    <w:tmpl w:val="57408CB4"/>
    <w:lvl w:ilvl="0" w:tplc="2C0A0017">
      <w:start w:val="1"/>
      <w:numFmt w:val="low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70" w15:restartNumberingAfterBreak="0">
    <w:nsid w:val="7B972E95"/>
    <w:multiLevelType w:val="hybridMultilevel"/>
    <w:tmpl w:val="E87C77C8"/>
    <w:lvl w:ilvl="0" w:tplc="2C0A0017">
      <w:start w:val="1"/>
      <w:numFmt w:val="low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num w:numId="1">
    <w:abstractNumId w:val="27"/>
  </w:num>
  <w:num w:numId="2">
    <w:abstractNumId w:val="44"/>
  </w:num>
  <w:num w:numId="3">
    <w:abstractNumId w:val="36"/>
  </w:num>
  <w:num w:numId="4">
    <w:abstractNumId w:val="20"/>
  </w:num>
  <w:num w:numId="5">
    <w:abstractNumId w:val="7"/>
  </w:num>
  <w:num w:numId="6">
    <w:abstractNumId w:val="49"/>
  </w:num>
  <w:num w:numId="7">
    <w:abstractNumId w:val="11"/>
  </w:num>
  <w:num w:numId="8">
    <w:abstractNumId w:val="59"/>
  </w:num>
  <w:num w:numId="9">
    <w:abstractNumId w:val="46"/>
  </w:num>
  <w:num w:numId="10">
    <w:abstractNumId w:val="45"/>
  </w:num>
  <w:num w:numId="11">
    <w:abstractNumId w:val="48"/>
  </w:num>
  <w:num w:numId="12">
    <w:abstractNumId w:val="68"/>
  </w:num>
  <w:num w:numId="13">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7"/>
    <w:lvlOverride w:ilvl="0">
      <w:startOverride w:val="2"/>
    </w:lvlOverride>
    <w:lvlOverride w:ilvl="1">
      <w:startOverride w:val="1"/>
    </w:lvlOverride>
  </w:num>
  <w:num w:numId="18">
    <w:abstractNumId w:val="67"/>
  </w:num>
  <w:num w:numId="19">
    <w:abstractNumId w:val="6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7"/>
    <w:lvlOverride w:ilvl="0">
      <w:startOverride w:val="2"/>
    </w:lvlOverride>
    <w:lvlOverride w:ilvl="1">
      <w:startOverride w:val="1"/>
    </w:lvlOverride>
  </w:num>
  <w:num w:numId="21">
    <w:abstractNumId w:val="60"/>
  </w:num>
  <w:num w:numId="22">
    <w:abstractNumId w:val="37"/>
  </w:num>
  <w:num w:numId="23">
    <w:abstractNumId w:val="61"/>
  </w:num>
  <w:num w:numId="24">
    <w:abstractNumId w:val="40"/>
  </w:num>
  <w:num w:numId="25">
    <w:abstractNumId w:val="52"/>
  </w:num>
  <w:num w:numId="26">
    <w:abstractNumId w:val="16"/>
  </w:num>
  <w:num w:numId="27">
    <w:abstractNumId w:val="30"/>
  </w:num>
  <w:num w:numId="28">
    <w:abstractNumId w:val="39"/>
  </w:num>
  <w:num w:numId="29">
    <w:abstractNumId w:val="18"/>
  </w:num>
  <w:num w:numId="30">
    <w:abstractNumId w:val="55"/>
  </w:num>
  <w:num w:numId="31">
    <w:abstractNumId w:val="9"/>
  </w:num>
  <w:num w:numId="32">
    <w:abstractNumId w:val="47"/>
  </w:num>
  <w:num w:numId="33">
    <w:abstractNumId w:val="1"/>
  </w:num>
  <w:num w:numId="34">
    <w:abstractNumId w:val="69"/>
  </w:num>
  <w:num w:numId="35">
    <w:abstractNumId w:val="19"/>
  </w:num>
  <w:num w:numId="36">
    <w:abstractNumId w:val="15"/>
  </w:num>
  <w:num w:numId="37">
    <w:abstractNumId w:val="5"/>
  </w:num>
  <w:num w:numId="38">
    <w:abstractNumId w:val="35"/>
  </w:num>
  <w:num w:numId="39">
    <w:abstractNumId w:val="70"/>
  </w:num>
  <w:num w:numId="40">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65"/>
  </w:num>
  <w:num w:numId="44">
    <w:abstractNumId w:val="4"/>
  </w:num>
  <w:num w:numId="45">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6"/>
  </w:num>
  <w:num w:numId="4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62"/>
  </w:num>
  <w:num w:numId="50">
    <w:abstractNumId w:val="38"/>
  </w:num>
  <w:num w:numId="51">
    <w:abstractNumId w:val="22"/>
  </w:num>
  <w:num w:numId="52">
    <w:abstractNumId w:val="8"/>
  </w:num>
  <w:num w:numId="53">
    <w:abstractNumId w:val="31"/>
  </w:num>
  <w:num w:numId="54">
    <w:abstractNumId w:val="34"/>
  </w:num>
  <w:num w:numId="55">
    <w:abstractNumId w:val="21"/>
  </w:num>
  <w:num w:numId="56">
    <w:abstractNumId w:val="0"/>
  </w:num>
  <w:num w:numId="57">
    <w:abstractNumId w:val="32"/>
  </w:num>
  <w:num w:numId="58">
    <w:abstractNumId w:val="64"/>
  </w:num>
  <w:num w:numId="59">
    <w:abstractNumId w:val="12"/>
  </w:num>
  <w:num w:numId="60">
    <w:abstractNumId w:val="58"/>
  </w:num>
  <w:num w:numId="61">
    <w:abstractNumId w:val="42"/>
  </w:num>
  <w:num w:numId="62">
    <w:abstractNumId w:val="23"/>
  </w:num>
  <w:num w:numId="63">
    <w:abstractNumId w:val="33"/>
  </w:num>
  <w:num w:numId="64">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9"/>
  </w:num>
  <w:num w:numId="73">
    <w:abstractNumId w:val="25"/>
  </w:num>
  <w:num w:numId="74">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7"/>
  </w:num>
  <w:num w:numId="79">
    <w:abstractNumId w:val="57"/>
  </w:num>
  <w:num w:numId="80">
    <w:abstractNumId w:val="2"/>
  </w:num>
  <w:num w:numId="81">
    <w:abstractNumId w:val="53"/>
  </w:num>
  <w:num w:numId="82">
    <w:abstractNumId w:val="28"/>
  </w:num>
  <w:num w:numId="83">
    <w:abstractNumId w:val="10"/>
  </w:num>
  <w:num w:numId="84">
    <w:abstractNumId w:val="26"/>
  </w:num>
  <w:num w:numId="85">
    <w:abstractNumId w:val="41"/>
  </w:num>
  <w:num w:numId="86">
    <w:abstractNumId w:val="3"/>
  </w:num>
  <w:num w:numId="87">
    <w:abstractNumId w:val="54"/>
  </w:num>
  <w:num w:numId="88">
    <w:abstractNumId w:val="24"/>
  </w:num>
  <w:num w:numId="89">
    <w:abstractNumId w:val="14"/>
  </w:num>
  <w:num w:numId="90">
    <w:abstractNumId w:val="66"/>
  </w:num>
  <w:num w:numId="91">
    <w:abstractNumId w:val="51"/>
  </w:num>
  <w:num w:numId="92">
    <w:abstractNumId w:val="13"/>
  </w:num>
  <w:num w:numId="93">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43"/>
  </w:num>
  <w:num w:numId="103">
    <w:abstractNumId w:val="6"/>
  </w:num>
  <w:num w:numId="104">
    <w:abstractNumId w:val="63"/>
  </w:num>
  <w:num w:numId="105">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50"/>
  </w:num>
  <w:num w:numId="107">
    <w:abstractNumId w:val="67"/>
  </w:num>
  <w:num w:numId="108">
    <w:abstractNumId w:val="67"/>
  </w:num>
  <w:num w:numId="109">
    <w:abstractNumId w:val="67"/>
  </w:num>
  <w:num w:numId="110">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67"/>
  </w:num>
  <w:num w:numId="112">
    <w:abstractNumId w:val="67"/>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08"/>
  <w:hyphenationZone w:val="425"/>
  <w:characterSpacingControl w:val="doNotCompress"/>
  <w:hdrShapeDefaults>
    <o:shapedefaults v:ext="edit" spidmax="1024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3BB4"/>
    <w:rsid w:val="00005999"/>
    <w:rsid w:val="00007384"/>
    <w:rsid w:val="00011E7C"/>
    <w:rsid w:val="00014F54"/>
    <w:rsid w:val="00016D84"/>
    <w:rsid w:val="00021460"/>
    <w:rsid w:val="000240BF"/>
    <w:rsid w:val="0002502E"/>
    <w:rsid w:val="0002556D"/>
    <w:rsid w:val="00025BDD"/>
    <w:rsid w:val="00026B78"/>
    <w:rsid w:val="000316AC"/>
    <w:rsid w:val="000319A8"/>
    <w:rsid w:val="00031EF1"/>
    <w:rsid w:val="00034C05"/>
    <w:rsid w:val="00035945"/>
    <w:rsid w:val="000363D5"/>
    <w:rsid w:val="00043281"/>
    <w:rsid w:val="00043749"/>
    <w:rsid w:val="0004375A"/>
    <w:rsid w:val="00047303"/>
    <w:rsid w:val="00051C52"/>
    <w:rsid w:val="00051EAF"/>
    <w:rsid w:val="00053BB4"/>
    <w:rsid w:val="0005555A"/>
    <w:rsid w:val="000625C3"/>
    <w:rsid w:val="0006528D"/>
    <w:rsid w:val="000663C3"/>
    <w:rsid w:val="00070BAD"/>
    <w:rsid w:val="00071095"/>
    <w:rsid w:val="00071177"/>
    <w:rsid w:val="0007125E"/>
    <w:rsid w:val="00074F10"/>
    <w:rsid w:val="000778F5"/>
    <w:rsid w:val="000809DF"/>
    <w:rsid w:val="000816A2"/>
    <w:rsid w:val="0008316B"/>
    <w:rsid w:val="00086DDC"/>
    <w:rsid w:val="000927B4"/>
    <w:rsid w:val="000A6ED1"/>
    <w:rsid w:val="000A7F56"/>
    <w:rsid w:val="000B2DBC"/>
    <w:rsid w:val="000B37B9"/>
    <w:rsid w:val="000B4894"/>
    <w:rsid w:val="000B62CD"/>
    <w:rsid w:val="000B6CCF"/>
    <w:rsid w:val="000B7B60"/>
    <w:rsid w:val="000B7CFC"/>
    <w:rsid w:val="000C162A"/>
    <w:rsid w:val="000C25D3"/>
    <w:rsid w:val="000C5697"/>
    <w:rsid w:val="000C7718"/>
    <w:rsid w:val="000D0C4A"/>
    <w:rsid w:val="000D2D50"/>
    <w:rsid w:val="000D46E6"/>
    <w:rsid w:val="000E09E7"/>
    <w:rsid w:val="000E3B09"/>
    <w:rsid w:val="000E5EA3"/>
    <w:rsid w:val="000F2C02"/>
    <w:rsid w:val="000F2F67"/>
    <w:rsid w:val="000F4CF0"/>
    <w:rsid w:val="000F6723"/>
    <w:rsid w:val="000F771A"/>
    <w:rsid w:val="000F7BCB"/>
    <w:rsid w:val="001023FE"/>
    <w:rsid w:val="00106832"/>
    <w:rsid w:val="001078B2"/>
    <w:rsid w:val="0011071C"/>
    <w:rsid w:val="00110E99"/>
    <w:rsid w:val="001111E4"/>
    <w:rsid w:val="00114246"/>
    <w:rsid w:val="001143CB"/>
    <w:rsid w:val="00114CAF"/>
    <w:rsid w:val="00114E60"/>
    <w:rsid w:val="001162ED"/>
    <w:rsid w:val="00121B23"/>
    <w:rsid w:val="00123275"/>
    <w:rsid w:val="00124491"/>
    <w:rsid w:val="00126143"/>
    <w:rsid w:val="00126CAB"/>
    <w:rsid w:val="001407F5"/>
    <w:rsid w:val="0014249C"/>
    <w:rsid w:val="00143856"/>
    <w:rsid w:val="0014387E"/>
    <w:rsid w:val="001467B8"/>
    <w:rsid w:val="00147595"/>
    <w:rsid w:val="00155C19"/>
    <w:rsid w:val="00160F2C"/>
    <w:rsid w:val="00161936"/>
    <w:rsid w:val="0017709A"/>
    <w:rsid w:val="001811D6"/>
    <w:rsid w:val="00184DAC"/>
    <w:rsid w:val="00191033"/>
    <w:rsid w:val="00191AC4"/>
    <w:rsid w:val="00195362"/>
    <w:rsid w:val="001A1EA5"/>
    <w:rsid w:val="001A48F5"/>
    <w:rsid w:val="001A4A78"/>
    <w:rsid w:val="001B02E1"/>
    <w:rsid w:val="001B0E71"/>
    <w:rsid w:val="001B39F7"/>
    <w:rsid w:val="001B58E3"/>
    <w:rsid w:val="001B740E"/>
    <w:rsid w:val="001C0003"/>
    <w:rsid w:val="001C2E32"/>
    <w:rsid w:val="001C45E7"/>
    <w:rsid w:val="001C4E24"/>
    <w:rsid w:val="001C5B22"/>
    <w:rsid w:val="001D113A"/>
    <w:rsid w:val="001D38C7"/>
    <w:rsid w:val="001D6E2F"/>
    <w:rsid w:val="001E1D39"/>
    <w:rsid w:val="001E4FA5"/>
    <w:rsid w:val="001E6A5B"/>
    <w:rsid w:val="001E7B8A"/>
    <w:rsid w:val="001F39D7"/>
    <w:rsid w:val="001F42B6"/>
    <w:rsid w:val="001F450F"/>
    <w:rsid w:val="001F6316"/>
    <w:rsid w:val="002000F7"/>
    <w:rsid w:val="002035B2"/>
    <w:rsid w:val="0020664D"/>
    <w:rsid w:val="00206FE5"/>
    <w:rsid w:val="00210809"/>
    <w:rsid w:val="002112C4"/>
    <w:rsid w:val="002119F1"/>
    <w:rsid w:val="0021399C"/>
    <w:rsid w:val="002154D1"/>
    <w:rsid w:val="00216CA6"/>
    <w:rsid w:val="00217D3B"/>
    <w:rsid w:val="002211DD"/>
    <w:rsid w:val="002217E4"/>
    <w:rsid w:val="002217F1"/>
    <w:rsid w:val="00222B10"/>
    <w:rsid w:val="00223BC1"/>
    <w:rsid w:val="00224482"/>
    <w:rsid w:val="00232CB6"/>
    <w:rsid w:val="0023796E"/>
    <w:rsid w:val="002432F0"/>
    <w:rsid w:val="00243727"/>
    <w:rsid w:val="002446E0"/>
    <w:rsid w:val="002455F7"/>
    <w:rsid w:val="002465B6"/>
    <w:rsid w:val="00246C89"/>
    <w:rsid w:val="00252D0B"/>
    <w:rsid w:val="00252DE3"/>
    <w:rsid w:val="0025371F"/>
    <w:rsid w:val="00254ABA"/>
    <w:rsid w:val="00255709"/>
    <w:rsid w:val="00257D32"/>
    <w:rsid w:val="00262123"/>
    <w:rsid w:val="00262864"/>
    <w:rsid w:val="002649C1"/>
    <w:rsid w:val="002656CF"/>
    <w:rsid w:val="00265BCF"/>
    <w:rsid w:val="00265D2A"/>
    <w:rsid w:val="00271E56"/>
    <w:rsid w:val="00274CE2"/>
    <w:rsid w:val="00281F77"/>
    <w:rsid w:val="002824CE"/>
    <w:rsid w:val="00283044"/>
    <w:rsid w:val="00283353"/>
    <w:rsid w:val="00284404"/>
    <w:rsid w:val="00285591"/>
    <w:rsid w:val="002916D7"/>
    <w:rsid w:val="00293543"/>
    <w:rsid w:val="00293A8B"/>
    <w:rsid w:val="002951D1"/>
    <w:rsid w:val="0029613D"/>
    <w:rsid w:val="002A1C2A"/>
    <w:rsid w:val="002A5CF6"/>
    <w:rsid w:val="002A6496"/>
    <w:rsid w:val="002A6C0E"/>
    <w:rsid w:val="002A764E"/>
    <w:rsid w:val="002A77A7"/>
    <w:rsid w:val="002B0107"/>
    <w:rsid w:val="002B1774"/>
    <w:rsid w:val="002B2A6C"/>
    <w:rsid w:val="002B6097"/>
    <w:rsid w:val="002B686D"/>
    <w:rsid w:val="002B7698"/>
    <w:rsid w:val="002B7EEA"/>
    <w:rsid w:val="002C012A"/>
    <w:rsid w:val="002C0248"/>
    <w:rsid w:val="002C117E"/>
    <w:rsid w:val="002C4A1B"/>
    <w:rsid w:val="002C5C38"/>
    <w:rsid w:val="002C7DE3"/>
    <w:rsid w:val="002D14DC"/>
    <w:rsid w:val="002D2A14"/>
    <w:rsid w:val="002D542B"/>
    <w:rsid w:val="002E11DC"/>
    <w:rsid w:val="002F104E"/>
    <w:rsid w:val="002F507C"/>
    <w:rsid w:val="00304932"/>
    <w:rsid w:val="00305B47"/>
    <w:rsid w:val="00306818"/>
    <w:rsid w:val="00307E24"/>
    <w:rsid w:val="0031197F"/>
    <w:rsid w:val="00314FD9"/>
    <w:rsid w:val="00315A8C"/>
    <w:rsid w:val="003171F6"/>
    <w:rsid w:val="00317A1C"/>
    <w:rsid w:val="0032245B"/>
    <w:rsid w:val="00324AC2"/>
    <w:rsid w:val="003275D3"/>
    <w:rsid w:val="00331236"/>
    <w:rsid w:val="00331529"/>
    <w:rsid w:val="00331B1A"/>
    <w:rsid w:val="00333783"/>
    <w:rsid w:val="00334A2F"/>
    <w:rsid w:val="00335610"/>
    <w:rsid w:val="00340F46"/>
    <w:rsid w:val="003413A8"/>
    <w:rsid w:val="00341C2F"/>
    <w:rsid w:val="0034628B"/>
    <w:rsid w:val="00346CE3"/>
    <w:rsid w:val="00350932"/>
    <w:rsid w:val="00352FA7"/>
    <w:rsid w:val="00353B91"/>
    <w:rsid w:val="00355D73"/>
    <w:rsid w:val="00363263"/>
    <w:rsid w:val="003638DB"/>
    <w:rsid w:val="00364E13"/>
    <w:rsid w:val="0036525A"/>
    <w:rsid w:val="00365A2F"/>
    <w:rsid w:val="00365ADC"/>
    <w:rsid w:val="00367960"/>
    <w:rsid w:val="0037186C"/>
    <w:rsid w:val="003723B8"/>
    <w:rsid w:val="003754A8"/>
    <w:rsid w:val="00382A9D"/>
    <w:rsid w:val="0038314F"/>
    <w:rsid w:val="0038315F"/>
    <w:rsid w:val="00383477"/>
    <w:rsid w:val="00383D55"/>
    <w:rsid w:val="00385532"/>
    <w:rsid w:val="00385B98"/>
    <w:rsid w:val="003908E6"/>
    <w:rsid w:val="00390C4D"/>
    <w:rsid w:val="00391CE4"/>
    <w:rsid w:val="003A03C4"/>
    <w:rsid w:val="003A0500"/>
    <w:rsid w:val="003A64D8"/>
    <w:rsid w:val="003A6CDE"/>
    <w:rsid w:val="003B0883"/>
    <w:rsid w:val="003B182E"/>
    <w:rsid w:val="003B1C14"/>
    <w:rsid w:val="003B2AE5"/>
    <w:rsid w:val="003B705D"/>
    <w:rsid w:val="003C1C2E"/>
    <w:rsid w:val="003C21D5"/>
    <w:rsid w:val="003C6070"/>
    <w:rsid w:val="003D273E"/>
    <w:rsid w:val="003D2948"/>
    <w:rsid w:val="003D3C49"/>
    <w:rsid w:val="003D5DF0"/>
    <w:rsid w:val="003D6E3C"/>
    <w:rsid w:val="003E065D"/>
    <w:rsid w:val="003E1FD2"/>
    <w:rsid w:val="003E2C81"/>
    <w:rsid w:val="003E45C8"/>
    <w:rsid w:val="003E62DD"/>
    <w:rsid w:val="003F1157"/>
    <w:rsid w:val="003F2895"/>
    <w:rsid w:val="003F2C26"/>
    <w:rsid w:val="003F3092"/>
    <w:rsid w:val="003F38C4"/>
    <w:rsid w:val="003F6B7D"/>
    <w:rsid w:val="003F6D10"/>
    <w:rsid w:val="004050A3"/>
    <w:rsid w:val="00407BEF"/>
    <w:rsid w:val="00407BF4"/>
    <w:rsid w:val="00407C16"/>
    <w:rsid w:val="00411D02"/>
    <w:rsid w:val="00412A9C"/>
    <w:rsid w:val="00414E48"/>
    <w:rsid w:val="00416701"/>
    <w:rsid w:val="00423AC5"/>
    <w:rsid w:val="004258E8"/>
    <w:rsid w:val="00426B3D"/>
    <w:rsid w:val="00427558"/>
    <w:rsid w:val="0043043F"/>
    <w:rsid w:val="00432895"/>
    <w:rsid w:val="00433630"/>
    <w:rsid w:val="004371DA"/>
    <w:rsid w:val="00445155"/>
    <w:rsid w:val="00447885"/>
    <w:rsid w:val="004506F6"/>
    <w:rsid w:val="00450E85"/>
    <w:rsid w:val="004515B5"/>
    <w:rsid w:val="00453205"/>
    <w:rsid w:val="004543A4"/>
    <w:rsid w:val="00455611"/>
    <w:rsid w:val="00455832"/>
    <w:rsid w:val="00457BB4"/>
    <w:rsid w:val="0046130B"/>
    <w:rsid w:val="00461601"/>
    <w:rsid w:val="0046388A"/>
    <w:rsid w:val="00467FD9"/>
    <w:rsid w:val="004734A8"/>
    <w:rsid w:val="00477F31"/>
    <w:rsid w:val="00482BE1"/>
    <w:rsid w:val="00485A51"/>
    <w:rsid w:val="0048606D"/>
    <w:rsid w:val="00486CEC"/>
    <w:rsid w:val="0048754D"/>
    <w:rsid w:val="00491619"/>
    <w:rsid w:val="004977DA"/>
    <w:rsid w:val="004A071C"/>
    <w:rsid w:val="004A07B8"/>
    <w:rsid w:val="004A0E84"/>
    <w:rsid w:val="004A2E48"/>
    <w:rsid w:val="004A3B34"/>
    <w:rsid w:val="004A3D76"/>
    <w:rsid w:val="004A7508"/>
    <w:rsid w:val="004C3B5F"/>
    <w:rsid w:val="004C5CE8"/>
    <w:rsid w:val="004D0A69"/>
    <w:rsid w:val="004D2D46"/>
    <w:rsid w:val="004D5D7A"/>
    <w:rsid w:val="004E5454"/>
    <w:rsid w:val="004F0B70"/>
    <w:rsid w:val="004F0CFC"/>
    <w:rsid w:val="004F131E"/>
    <w:rsid w:val="004F1D92"/>
    <w:rsid w:val="004F3AE9"/>
    <w:rsid w:val="004F52FE"/>
    <w:rsid w:val="004F7564"/>
    <w:rsid w:val="00501E04"/>
    <w:rsid w:val="0051308E"/>
    <w:rsid w:val="005213FA"/>
    <w:rsid w:val="00525EF1"/>
    <w:rsid w:val="00527409"/>
    <w:rsid w:val="0053119B"/>
    <w:rsid w:val="00532A2E"/>
    <w:rsid w:val="005340AB"/>
    <w:rsid w:val="00537B8A"/>
    <w:rsid w:val="00541925"/>
    <w:rsid w:val="005439E0"/>
    <w:rsid w:val="00544178"/>
    <w:rsid w:val="00545A5B"/>
    <w:rsid w:val="00550720"/>
    <w:rsid w:val="005541BA"/>
    <w:rsid w:val="00554AD9"/>
    <w:rsid w:val="005567DD"/>
    <w:rsid w:val="00557E6F"/>
    <w:rsid w:val="00564F28"/>
    <w:rsid w:val="00567681"/>
    <w:rsid w:val="00571451"/>
    <w:rsid w:val="00577592"/>
    <w:rsid w:val="00586822"/>
    <w:rsid w:val="0059118E"/>
    <w:rsid w:val="00593EED"/>
    <w:rsid w:val="005974EF"/>
    <w:rsid w:val="005A2C2A"/>
    <w:rsid w:val="005A5884"/>
    <w:rsid w:val="005A6D01"/>
    <w:rsid w:val="005A6D3A"/>
    <w:rsid w:val="005B436D"/>
    <w:rsid w:val="005B7923"/>
    <w:rsid w:val="005C09E2"/>
    <w:rsid w:val="005C0D4A"/>
    <w:rsid w:val="005C0E80"/>
    <w:rsid w:val="005C15C2"/>
    <w:rsid w:val="005C1A74"/>
    <w:rsid w:val="005C2A88"/>
    <w:rsid w:val="005C480F"/>
    <w:rsid w:val="005D1B26"/>
    <w:rsid w:val="005D5619"/>
    <w:rsid w:val="005E02A0"/>
    <w:rsid w:val="005E08AC"/>
    <w:rsid w:val="005E1D49"/>
    <w:rsid w:val="005E5793"/>
    <w:rsid w:val="005E73A8"/>
    <w:rsid w:val="005F275B"/>
    <w:rsid w:val="005F3141"/>
    <w:rsid w:val="005F382D"/>
    <w:rsid w:val="005F3A7F"/>
    <w:rsid w:val="005F4D0E"/>
    <w:rsid w:val="005F66AC"/>
    <w:rsid w:val="005F6866"/>
    <w:rsid w:val="0060550F"/>
    <w:rsid w:val="00606FBB"/>
    <w:rsid w:val="006126AB"/>
    <w:rsid w:val="00612C5D"/>
    <w:rsid w:val="006175E4"/>
    <w:rsid w:val="00617DD3"/>
    <w:rsid w:val="00621D4B"/>
    <w:rsid w:val="00623BBC"/>
    <w:rsid w:val="00624CE0"/>
    <w:rsid w:val="0062534E"/>
    <w:rsid w:val="0063037E"/>
    <w:rsid w:val="00632249"/>
    <w:rsid w:val="006376F0"/>
    <w:rsid w:val="00637CFF"/>
    <w:rsid w:val="00640241"/>
    <w:rsid w:val="00640AB0"/>
    <w:rsid w:val="00641AA0"/>
    <w:rsid w:val="00641D39"/>
    <w:rsid w:val="006455D9"/>
    <w:rsid w:val="006465D4"/>
    <w:rsid w:val="00647D6D"/>
    <w:rsid w:val="00652AD1"/>
    <w:rsid w:val="006570CE"/>
    <w:rsid w:val="00660F8F"/>
    <w:rsid w:val="00662888"/>
    <w:rsid w:val="006630E0"/>
    <w:rsid w:val="006632EC"/>
    <w:rsid w:val="00663ED7"/>
    <w:rsid w:val="00666976"/>
    <w:rsid w:val="0066698E"/>
    <w:rsid w:val="00671A63"/>
    <w:rsid w:val="00672072"/>
    <w:rsid w:val="00675094"/>
    <w:rsid w:val="00676777"/>
    <w:rsid w:val="00680DD0"/>
    <w:rsid w:val="00682064"/>
    <w:rsid w:val="00682141"/>
    <w:rsid w:val="00683F84"/>
    <w:rsid w:val="00684EE8"/>
    <w:rsid w:val="0068625E"/>
    <w:rsid w:val="00687687"/>
    <w:rsid w:val="00687C22"/>
    <w:rsid w:val="00687EA3"/>
    <w:rsid w:val="00690412"/>
    <w:rsid w:val="0069156B"/>
    <w:rsid w:val="00692AEA"/>
    <w:rsid w:val="006931E5"/>
    <w:rsid w:val="00696CED"/>
    <w:rsid w:val="006A0AEE"/>
    <w:rsid w:val="006A3DB1"/>
    <w:rsid w:val="006A4E35"/>
    <w:rsid w:val="006A6134"/>
    <w:rsid w:val="006B21A6"/>
    <w:rsid w:val="006B2299"/>
    <w:rsid w:val="006B43AC"/>
    <w:rsid w:val="006B5A24"/>
    <w:rsid w:val="006B6646"/>
    <w:rsid w:val="006C172A"/>
    <w:rsid w:val="006C23CA"/>
    <w:rsid w:val="006C4096"/>
    <w:rsid w:val="006C4252"/>
    <w:rsid w:val="006D102E"/>
    <w:rsid w:val="006D3FD6"/>
    <w:rsid w:val="006D5962"/>
    <w:rsid w:val="006E0B1C"/>
    <w:rsid w:val="006E24D6"/>
    <w:rsid w:val="006E3740"/>
    <w:rsid w:val="006E3F6F"/>
    <w:rsid w:val="006F0E0C"/>
    <w:rsid w:val="006F117F"/>
    <w:rsid w:val="006F3187"/>
    <w:rsid w:val="006F5B6A"/>
    <w:rsid w:val="006F76C6"/>
    <w:rsid w:val="0070226D"/>
    <w:rsid w:val="00703A8A"/>
    <w:rsid w:val="00703E20"/>
    <w:rsid w:val="007054FD"/>
    <w:rsid w:val="0070791F"/>
    <w:rsid w:val="00711823"/>
    <w:rsid w:val="00711DAA"/>
    <w:rsid w:val="007167EB"/>
    <w:rsid w:val="007175EB"/>
    <w:rsid w:val="00717613"/>
    <w:rsid w:val="00717F8E"/>
    <w:rsid w:val="00722276"/>
    <w:rsid w:val="00722CAC"/>
    <w:rsid w:val="00725E20"/>
    <w:rsid w:val="00730B4A"/>
    <w:rsid w:val="007412D0"/>
    <w:rsid w:val="00741873"/>
    <w:rsid w:val="00741EF7"/>
    <w:rsid w:val="00744BB1"/>
    <w:rsid w:val="00745E3B"/>
    <w:rsid w:val="0074626C"/>
    <w:rsid w:val="0074762D"/>
    <w:rsid w:val="00747FE9"/>
    <w:rsid w:val="00750EBA"/>
    <w:rsid w:val="00751D01"/>
    <w:rsid w:val="00752732"/>
    <w:rsid w:val="00753CAC"/>
    <w:rsid w:val="00757A01"/>
    <w:rsid w:val="00761A7A"/>
    <w:rsid w:val="00762452"/>
    <w:rsid w:val="00762CB6"/>
    <w:rsid w:val="00770677"/>
    <w:rsid w:val="00771E16"/>
    <w:rsid w:val="007721F4"/>
    <w:rsid w:val="00772A7F"/>
    <w:rsid w:val="00775304"/>
    <w:rsid w:val="00775EB2"/>
    <w:rsid w:val="007804E1"/>
    <w:rsid w:val="00784B62"/>
    <w:rsid w:val="007856F0"/>
    <w:rsid w:val="0078579E"/>
    <w:rsid w:val="00785BC8"/>
    <w:rsid w:val="007944BA"/>
    <w:rsid w:val="00794870"/>
    <w:rsid w:val="007965F7"/>
    <w:rsid w:val="007A1128"/>
    <w:rsid w:val="007A2B99"/>
    <w:rsid w:val="007A5196"/>
    <w:rsid w:val="007B2219"/>
    <w:rsid w:val="007B34FA"/>
    <w:rsid w:val="007C065B"/>
    <w:rsid w:val="007C45C2"/>
    <w:rsid w:val="007C5940"/>
    <w:rsid w:val="007C7343"/>
    <w:rsid w:val="007C74FB"/>
    <w:rsid w:val="007D1068"/>
    <w:rsid w:val="007D6DE4"/>
    <w:rsid w:val="007D7349"/>
    <w:rsid w:val="007E23BC"/>
    <w:rsid w:val="007E412D"/>
    <w:rsid w:val="007E4F43"/>
    <w:rsid w:val="007E50A9"/>
    <w:rsid w:val="007E62B2"/>
    <w:rsid w:val="007F17BF"/>
    <w:rsid w:val="007F2A8F"/>
    <w:rsid w:val="007F5FE6"/>
    <w:rsid w:val="007F5FF5"/>
    <w:rsid w:val="007F60AC"/>
    <w:rsid w:val="007F667B"/>
    <w:rsid w:val="00804CA0"/>
    <w:rsid w:val="008124FC"/>
    <w:rsid w:val="008128CF"/>
    <w:rsid w:val="00812BFF"/>
    <w:rsid w:val="0081765B"/>
    <w:rsid w:val="008177E2"/>
    <w:rsid w:val="008240C0"/>
    <w:rsid w:val="008251FD"/>
    <w:rsid w:val="008253E3"/>
    <w:rsid w:val="00825532"/>
    <w:rsid w:val="008255A7"/>
    <w:rsid w:val="00825842"/>
    <w:rsid w:val="00834BEF"/>
    <w:rsid w:val="00835BE0"/>
    <w:rsid w:val="008365C4"/>
    <w:rsid w:val="00837565"/>
    <w:rsid w:val="00845448"/>
    <w:rsid w:val="008459E4"/>
    <w:rsid w:val="00851539"/>
    <w:rsid w:val="00851AF2"/>
    <w:rsid w:val="00852DDE"/>
    <w:rsid w:val="00852E6F"/>
    <w:rsid w:val="008565A3"/>
    <w:rsid w:val="0085767D"/>
    <w:rsid w:val="00857DC3"/>
    <w:rsid w:val="00862C1A"/>
    <w:rsid w:val="00867FB7"/>
    <w:rsid w:val="0087147E"/>
    <w:rsid w:val="00875658"/>
    <w:rsid w:val="00875997"/>
    <w:rsid w:val="00880DBE"/>
    <w:rsid w:val="00883D90"/>
    <w:rsid w:val="0088541D"/>
    <w:rsid w:val="00895163"/>
    <w:rsid w:val="00895204"/>
    <w:rsid w:val="00895339"/>
    <w:rsid w:val="00896A44"/>
    <w:rsid w:val="00897CA0"/>
    <w:rsid w:val="008A4D09"/>
    <w:rsid w:val="008A6B66"/>
    <w:rsid w:val="008B1C44"/>
    <w:rsid w:val="008B3220"/>
    <w:rsid w:val="008C0E49"/>
    <w:rsid w:val="008C0F3D"/>
    <w:rsid w:val="008C15B3"/>
    <w:rsid w:val="008C248D"/>
    <w:rsid w:val="008C27B5"/>
    <w:rsid w:val="008D1949"/>
    <w:rsid w:val="008D24E7"/>
    <w:rsid w:val="008D4DE5"/>
    <w:rsid w:val="008D5523"/>
    <w:rsid w:val="008D7FDF"/>
    <w:rsid w:val="008E19A2"/>
    <w:rsid w:val="008E1BF5"/>
    <w:rsid w:val="008F3AEA"/>
    <w:rsid w:val="008F3CC0"/>
    <w:rsid w:val="008F716E"/>
    <w:rsid w:val="008F7D94"/>
    <w:rsid w:val="009022E3"/>
    <w:rsid w:val="0090525F"/>
    <w:rsid w:val="00905FC6"/>
    <w:rsid w:val="00907C53"/>
    <w:rsid w:val="00911361"/>
    <w:rsid w:val="009129A0"/>
    <w:rsid w:val="00917788"/>
    <w:rsid w:val="00921362"/>
    <w:rsid w:val="00922A30"/>
    <w:rsid w:val="009234CB"/>
    <w:rsid w:val="009252F3"/>
    <w:rsid w:val="009271EC"/>
    <w:rsid w:val="009304C1"/>
    <w:rsid w:val="0093202D"/>
    <w:rsid w:val="0093272D"/>
    <w:rsid w:val="0093297F"/>
    <w:rsid w:val="0093568D"/>
    <w:rsid w:val="00941BC9"/>
    <w:rsid w:val="00943AEA"/>
    <w:rsid w:val="00946060"/>
    <w:rsid w:val="00946DA6"/>
    <w:rsid w:val="00951D7C"/>
    <w:rsid w:val="00952AAA"/>
    <w:rsid w:val="00955001"/>
    <w:rsid w:val="00956020"/>
    <w:rsid w:val="00962734"/>
    <w:rsid w:val="00963BC8"/>
    <w:rsid w:val="00967E70"/>
    <w:rsid w:val="0097091B"/>
    <w:rsid w:val="009713E2"/>
    <w:rsid w:val="00974E17"/>
    <w:rsid w:val="009765EF"/>
    <w:rsid w:val="00982FCF"/>
    <w:rsid w:val="009839EB"/>
    <w:rsid w:val="00983D5C"/>
    <w:rsid w:val="00984A1C"/>
    <w:rsid w:val="00992249"/>
    <w:rsid w:val="009938EE"/>
    <w:rsid w:val="00993B6C"/>
    <w:rsid w:val="00994EF3"/>
    <w:rsid w:val="00997D46"/>
    <w:rsid w:val="009A5B8D"/>
    <w:rsid w:val="009A7F28"/>
    <w:rsid w:val="009B0810"/>
    <w:rsid w:val="009B4C0C"/>
    <w:rsid w:val="009B4D5F"/>
    <w:rsid w:val="009B5F4B"/>
    <w:rsid w:val="009B6EEA"/>
    <w:rsid w:val="009C74A6"/>
    <w:rsid w:val="009D3BD7"/>
    <w:rsid w:val="009D57B7"/>
    <w:rsid w:val="009D7CF8"/>
    <w:rsid w:val="009D7D60"/>
    <w:rsid w:val="009E5113"/>
    <w:rsid w:val="009F0F7F"/>
    <w:rsid w:val="009F3CAB"/>
    <w:rsid w:val="009F57B2"/>
    <w:rsid w:val="009F5C06"/>
    <w:rsid w:val="009F6353"/>
    <w:rsid w:val="009F66B5"/>
    <w:rsid w:val="009F6BF0"/>
    <w:rsid w:val="009F7440"/>
    <w:rsid w:val="009F7786"/>
    <w:rsid w:val="00A018EC"/>
    <w:rsid w:val="00A07E94"/>
    <w:rsid w:val="00A07F18"/>
    <w:rsid w:val="00A17E44"/>
    <w:rsid w:val="00A205B0"/>
    <w:rsid w:val="00A22479"/>
    <w:rsid w:val="00A2345E"/>
    <w:rsid w:val="00A24D9F"/>
    <w:rsid w:val="00A2654A"/>
    <w:rsid w:val="00A426AF"/>
    <w:rsid w:val="00A4338E"/>
    <w:rsid w:val="00A5042E"/>
    <w:rsid w:val="00A53061"/>
    <w:rsid w:val="00A560D6"/>
    <w:rsid w:val="00A56EE1"/>
    <w:rsid w:val="00A61B5D"/>
    <w:rsid w:val="00A656DA"/>
    <w:rsid w:val="00A67326"/>
    <w:rsid w:val="00A67E0C"/>
    <w:rsid w:val="00A7470A"/>
    <w:rsid w:val="00A757DC"/>
    <w:rsid w:val="00A759D5"/>
    <w:rsid w:val="00A821BD"/>
    <w:rsid w:val="00A84749"/>
    <w:rsid w:val="00A8599D"/>
    <w:rsid w:val="00A91C8E"/>
    <w:rsid w:val="00A93726"/>
    <w:rsid w:val="00A94080"/>
    <w:rsid w:val="00A955F3"/>
    <w:rsid w:val="00A95DF9"/>
    <w:rsid w:val="00A966F7"/>
    <w:rsid w:val="00AA172B"/>
    <w:rsid w:val="00AA361A"/>
    <w:rsid w:val="00AA3827"/>
    <w:rsid w:val="00AA4849"/>
    <w:rsid w:val="00AA5A26"/>
    <w:rsid w:val="00AB1E94"/>
    <w:rsid w:val="00AB1F47"/>
    <w:rsid w:val="00AB5D74"/>
    <w:rsid w:val="00AB5F94"/>
    <w:rsid w:val="00AC36D5"/>
    <w:rsid w:val="00AC3FB2"/>
    <w:rsid w:val="00AC47E1"/>
    <w:rsid w:val="00AC59F9"/>
    <w:rsid w:val="00AD095F"/>
    <w:rsid w:val="00AD0CBC"/>
    <w:rsid w:val="00AD22A8"/>
    <w:rsid w:val="00AD2DFD"/>
    <w:rsid w:val="00AD37B9"/>
    <w:rsid w:val="00AD3C1C"/>
    <w:rsid w:val="00AE23AE"/>
    <w:rsid w:val="00AE6CB3"/>
    <w:rsid w:val="00AF7EF7"/>
    <w:rsid w:val="00B01548"/>
    <w:rsid w:val="00B0184A"/>
    <w:rsid w:val="00B037F3"/>
    <w:rsid w:val="00B048A3"/>
    <w:rsid w:val="00B06177"/>
    <w:rsid w:val="00B13C7A"/>
    <w:rsid w:val="00B21C0F"/>
    <w:rsid w:val="00B23813"/>
    <w:rsid w:val="00B250DB"/>
    <w:rsid w:val="00B25356"/>
    <w:rsid w:val="00B264C2"/>
    <w:rsid w:val="00B27FAD"/>
    <w:rsid w:val="00B305FB"/>
    <w:rsid w:val="00B32B0A"/>
    <w:rsid w:val="00B3473B"/>
    <w:rsid w:val="00B371DE"/>
    <w:rsid w:val="00B3760C"/>
    <w:rsid w:val="00B427BE"/>
    <w:rsid w:val="00B446BC"/>
    <w:rsid w:val="00B4782F"/>
    <w:rsid w:val="00B5074F"/>
    <w:rsid w:val="00B51A24"/>
    <w:rsid w:val="00B51C5E"/>
    <w:rsid w:val="00B56323"/>
    <w:rsid w:val="00B6071D"/>
    <w:rsid w:val="00B608D2"/>
    <w:rsid w:val="00B61C33"/>
    <w:rsid w:val="00B623B4"/>
    <w:rsid w:val="00B62BC7"/>
    <w:rsid w:val="00B63497"/>
    <w:rsid w:val="00B63CDB"/>
    <w:rsid w:val="00B64BC6"/>
    <w:rsid w:val="00B67D80"/>
    <w:rsid w:val="00B7389A"/>
    <w:rsid w:val="00B8118F"/>
    <w:rsid w:val="00B868AD"/>
    <w:rsid w:val="00B95555"/>
    <w:rsid w:val="00B956E9"/>
    <w:rsid w:val="00B95FB6"/>
    <w:rsid w:val="00B97F06"/>
    <w:rsid w:val="00BA0115"/>
    <w:rsid w:val="00BA05F3"/>
    <w:rsid w:val="00BA3088"/>
    <w:rsid w:val="00BA45A8"/>
    <w:rsid w:val="00BA5173"/>
    <w:rsid w:val="00BA6841"/>
    <w:rsid w:val="00BA7660"/>
    <w:rsid w:val="00BA784D"/>
    <w:rsid w:val="00BB148D"/>
    <w:rsid w:val="00BB5B01"/>
    <w:rsid w:val="00BB733A"/>
    <w:rsid w:val="00BB7AD4"/>
    <w:rsid w:val="00BC2C54"/>
    <w:rsid w:val="00BC71BD"/>
    <w:rsid w:val="00BD1B4E"/>
    <w:rsid w:val="00BD2DB4"/>
    <w:rsid w:val="00BD3947"/>
    <w:rsid w:val="00BD41A0"/>
    <w:rsid w:val="00BD5B22"/>
    <w:rsid w:val="00BD7EB1"/>
    <w:rsid w:val="00BE05CE"/>
    <w:rsid w:val="00BE1DC6"/>
    <w:rsid w:val="00BE21FC"/>
    <w:rsid w:val="00BE33B1"/>
    <w:rsid w:val="00BE3E7B"/>
    <w:rsid w:val="00BE54B4"/>
    <w:rsid w:val="00BE71B8"/>
    <w:rsid w:val="00BE76DC"/>
    <w:rsid w:val="00BF1284"/>
    <w:rsid w:val="00BF17DF"/>
    <w:rsid w:val="00BF2B3F"/>
    <w:rsid w:val="00C01C12"/>
    <w:rsid w:val="00C01E7D"/>
    <w:rsid w:val="00C038DE"/>
    <w:rsid w:val="00C03A89"/>
    <w:rsid w:val="00C0403B"/>
    <w:rsid w:val="00C10582"/>
    <w:rsid w:val="00C109A8"/>
    <w:rsid w:val="00C1458E"/>
    <w:rsid w:val="00C16741"/>
    <w:rsid w:val="00C16CC1"/>
    <w:rsid w:val="00C17EEF"/>
    <w:rsid w:val="00C200BC"/>
    <w:rsid w:val="00C20BB2"/>
    <w:rsid w:val="00C219C5"/>
    <w:rsid w:val="00C30374"/>
    <w:rsid w:val="00C34187"/>
    <w:rsid w:val="00C34E47"/>
    <w:rsid w:val="00C40EA7"/>
    <w:rsid w:val="00C4100D"/>
    <w:rsid w:val="00C41FCC"/>
    <w:rsid w:val="00C42458"/>
    <w:rsid w:val="00C43559"/>
    <w:rsid w:val="00C460BD"/>
    <w:rsid w:val="00C468DC"/>
    <w:rsid w:val="00C616C6"/>
    <w:rsid w:val="00C633F3"/>
    <w:rsid w:val="00C642E7"/>
    <w:rsid w:val="00C67371"/>
    <w:rsid w:val="00C67705"/>
    <w:rsid w:val="00C7072D"/>
    <w:rsid w:val="00C734DD"/>
    <w:rsid w:val="00C8034D"/>
    <w:rsid w:val="00C811FD"/>
    <w:rsid w:val="00C82EC4"/>
    <w:rsid w:val="00C84310"/>
    <w:rsid w:val="00C84EB4"/>
    <w:rsid w:val="00C866A9"/>
    <w:rsid w:val="00C868C8"/>
    <w:rsid w:val="00C87126"/>
    <w:rsid w:val="00C9158C"/>
    <w:rsid w:val="00C93EF4"/>
    <w:rsid w:val="00CA0878"/>
    <w:rsid w:val="00CA25F1"/>
    <w:rsid w:val="00CA5DE6"/>
    <w:rsid w:val="00CB2B57"/>
    <w:rsid w:val="00CB5887"/>
    <w:rsid w:val="00CC7EED"/>
    <w:rsid w:val="00CD3643"/>
    <w:rsid w:val="00CD5AC9"/>
    <w:rsid w:val="00CE0460"/>
    <w:rsid w:val="00CE0726"/>
    <w:rsid w:val="00CE16A7"/>
    <w:rsid w:val="00CE1DDA"/>
    <w:rsid w:val="00CE4436"/>
    <w:rsid w:val="00CE6497"/>
    <w:rsid w:val="00CF1091"/>
    <w:rsid w:val="00CF201A"/>
    <w:rsid w:val="00CF52CA"/>
    <w:rsid w:val="00CF6342"/>
    <w:rsid w:val="00D06806"/>
    <w:rsid w:val="00D07625"/>
    <w:rsid w:val="00D10EBC"/>
    <w:rsid w:val="00D13970"/>
    <w:rsid w:val="00D17C91"/>
    <w:rsid w:val="00D21059"/>
    <w:rsid w:val="00D23A2A"/>
    <w:rsid w:val="00D260A0"/>
    <w:rsid w:val="00D304CF"/>
    <w:rsid w:val="00D33B43"/>
    <w:rsid w:val="00D33CFA"/>
    <w:rsid w:val="00D3445E"/>
    <w:rsid w:val="00D358E3"/>
    <w:rsid w:val="00D36969"/>
    <w:rsid w:val="00D43B55"/>
    <w:rsid w:val="00D44AD0"/>
    <w:rsid w:val="00D47F59"/>
    <w:rsid w:val="00D5032F"/>
    <w:rsid w:val="00D50E9F"/>
    <w:rsid w:val="00D5219D"/>
    <w:rsid w:val="00D557B2"/>
    <w:rsid w:val="00D60095"/>
    <w:rsid w:val="00D63AA7"/>
    <w:rsid w:val="00D64C3D"/>
    <w:rsid w:val="00D72E57"/>
    <w:rsid w:val="00D76DF7"/>
    <w:rsid w:val="00D77266"/>
    <w:rsid w:val="00D81B75"/>
    <w:rsid w:val="00D8340E"/>
    <w:rsid w:val="00D86A60"/>
    <w:rsid w:val="00D86B36"/>
    <w:rsid w:val="00D87862"/>
    <w:rsid w:val="00D92BAC"/>
    <w:rsid w:val="00D946DA"/>
    <w:rsid w:val="00DA256E"/>
    <w:rsid w:val="00DA6ED3"/>
    <w:rsid w:val="00DB1D6A"/>
    <w:rsid w:val="00DB3E57"/>
    <w:rsid w:val="00DB4401"/>
    <w:rsid w:val="00DB7DDC"/>
    <w:rsid w:val="00DC342E"/>
    <w:rsid w:val="00DC4D08"/>
    <w:rsid w:val="00DC4D1A"/>
    <w:rsid w:val="00DC6E12"/>
    <w:rsid w:val="00DC7972"/>
    <w:rsid w:val="00DD0DF8"/>
    <w:rsid w:val="00DE08A9"/>
    <w:rsid w:val="00DE13FC"/>
    <w:rsid w:val="00DE3D6E"/>
    <w:rsid w:val="00DE66D2"/>
    <w:rsid w:val="00DE67E2"/>
    <w:rsid w:val="00DE6F7F"/>
    <w:rsid w:val="00DF0C92"/>
    <w:rsid w:val="00DF4C2D"/>
    <w:rsid w:val="00DF691A"/>
    <w:rsid w:val="00E011E6"/>
    <w:rsid w:val="00E012E1"/>
    <w:rsid w:val="00E0484C"/>
    <w:rsid w:val="00E05016"/>
    <w:rsid w:val="00E0605B"/>
    <w:rsid w:val="00E10BBE"/>
    <w:rsid w:val="00E111AD"/>
    <w:rsid w:val="00E11E9C"/>
    <w:rsid w:val="00E12461"/>
    <w:rsid w:val="00E12591"/>
    <w:rsid w:val="00E12AB6"/>
    <w:rsid w:val="00E14160"/>
    <w:rsid w:val="00E1454B"/>
    <w:rsid w:val="00E14A0E"/>
    <w:rsid w:val="00E14ACA"/>
    <w:rsid w:val="00E15C8A"/>
    <w:rsid w:val="00E15EF6"/>
    <w:rsid w:val="00E20294"/>
    <w:rsid w:val="00E23E5D"/>
    <w:rsid w:val="00E30E10"/>
    <w:rsid w:val="00E31ACC"/>
    <w:rsid w:val="00E33B30"/>
    <w:rsid w:val="00E34849"/>
    <w:rsid w:val="00E36BB5"/>
    <w:rsid w:val="00E36C70"/>
    <w:rsid w:val="00E371A4"/>
    <w:rsid w:val="00E41E25"/>
    <w:rsid w:val="00E43B9D"/>
    <w:rsid w:val="00E51CA9"/>
    <w:rsid w:val="00E53375"/>
    <w:rsid w:val="00E538D3"/>
    <w:rsid w:val="00E53BCF"/>
    <w:rsid w:val="00E55542"/>
    <w:rsid w:val="00E56F95"/>
    <w:rsid w:val="00E57B2F"/>
    <w:rsid w:val="00E634C6"/>
    <w:rsid w:val="00E64BC6"/>
    <w:rsid w:val="00E70162"/>
    <w:rsid w:val="00E72BB7"/>
    <w:rsid w:val="00E73607"/>
    <w:rsid w:val="00E7510A"/>
    <w:rsid w:val="00E754F9"/>
    <w:rsid w:val="00E8022E"/>
    <w:rsid w:val="00E831A9"/>
    <w:rsid w:val="00E8445A"/>
    <w:rsid w:val="00E91729"/>
    <w:rsid w:val="00E921B4"/>
    <w:rsid w:val="00E921BA"/>
    <w:rsid w:val="00E95E40"/>
    <w:rsid w:val="00EA1133"/>
    <w:rsid w:val="00EB00D7"/>
    <w:rsid w:val="00EB162F"/>
    <w:rsid w:val="00EB255E"/>
    <w:rsid w:val="00EB3919"/>
    <w:rsid w:val="00EB5906"/>
    <w:rsid w:val="00EC15DE"/>
    <w:rsid w:val="00EC3FED"/>
    <w:rsid w:val="00EC4477"/>
    <w:rsid w:val="00EC7274"/>
    <w:rsid w:val="00ED1BF2"/>
    <w:rsid w:val="00ED1E8A"/>
    <w:rsid w:val="00ED2E86"/>
    <w:rsid w:val="00ED2F92"/>
    <w:rsid w:val="00EE1FDA"/>
    <w:rsid w:val="00EE2201"/>
    <w:rsid w:val="00EE3A72"/>
    <w:rsid w:val="00EE51D6"/>
    <w:rsid w:val="00EF15D5"/>
    <w:rsid w:val="00EF797C"/>
    <w:rsid w:val="00F0203E"/>
    <w:rsid w:val="00F05F1A"/>
    <w:rsid w:val="00F10693"/>
    <w:rsid w:val="00F141D6"/>
    <w:rsid w:val="00F15B18"/>
    <w:rsid w:val="00F169B4"/>
    <w:rsid w:val="00F16F40"/>
    <w:rsid w:val="00F17358"/>
    <w:rsid w:val="00F24DA4"/>
    <w:rsid w:val="00F259D3"/>
    <w:rsid w:val="00F27623"/>
    <w:rsid w:val="00F2786F"/>
    <w:rsid w:val="00F30C82"/>
    <w:rsid w:val="00F33708"/>
    <w:rsid w:val="00F407FB"/>
    <w:rsid w:val="00F40F50"/>
    <w:rsid w:val="00F41309"/>
    <w:rsid w:val="00F4561F"/>
    <w:rsid w:val="00F46B6E"/>
    <w:rsid w:val="00F5073D"/>
    <w:rsid w:val="00F5783E"/>
    <w:rsid w:val="00F61859"/>
    <w:rsid w:val="00F61FC7"/>
    <w:rsid w:val="00F66D78"/>
    <w:rsid w:val="00F6723B"/>
    <w:rsid w:val="00F674B9"/>
    <w:rsid w:val="00F7085F"/>
    <w:rsid w:val="00F70EFC"/>
    <w:rsid w:val="00F73A0E"/>
    <w:rsid w:val="00F75BC8"/>
    <w:rsid w:val="00F93839"/>
    <w:rsid w:val="00F941C9"/>
    <w:rsid w:val="00F94A36"/>
    <w:rsid w:val="00F958A6"/>
    <w:rsid w:val="00F967E4"/>
    <w:rsid w:val="00F979BE"/>
    <w:rsid w:val="00FA0AB5"/>
    <w:rsid w:val="00FA0F96"/>
    <w:rsid w:val="00FA1266"/>
    <w:rsid w:val="00FA1A46"/>
    <w:rsid w:val="00FA38ED"/>
    <w:rsid w:val="00FA439B"/>
    <w:rsid w:val="00FA5150"/>
    <w:rsid w:val="00FA6EE3"/>
    <w:rsid w:val="00FA7442"/>
    <w:rsid w:val="00FB40BB"/>
    <w:rsid w:val="00FC463B"/>
    <w:rsid w:val="00FC6DA8"/>
    <w:rsid w:val="00FD295F"/>
    <w:rsid w:val="00FD2E3A"/>
    <w:rsid w:val="00FD7357"/>
    <w:rsid w:val="00FE3029"/>
    <w:rsid w:val="00FF271C"/>
    <w:rsid w:val="00FF345B"/>
    <w:rsid w:val="00FF4E24"/>
    <w:rsid w:val="00FF54C2"/>
  </w:rsids>
  <m:mathPr>
    <m:mathFont m:val="Cambria Math"/>
    <m:brkBin m:val="before"/>
    <m:brkBinSub m:val="--"/>
    <m:smallFrac m:val="0"/>
    <m:dispDef/>
    <m:lMargin m:val="0"/>
    <m:rMargin m:val="0"/>
    <m:defJc m:val="centerGroup"/>
    <m:wrapIndent m:val="1440"/>
    <m:intLim m:val="subSup"/>
    <m:naryLim m:val="undOvr"/>
  </m:mathPr>
  <w:themeFontLang w:val="es-AR"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43"/>
    <o:shapelayout v:ext="edit">
      <o:idmap v:ext="edit" data="1"/>
    </o:shapelayout>
  </w:shapeDefaults>
  <w:decimalSymbol w:val="."/>
  <w:listSeparator w:val=","/>
  <w14:docId w14:val="3E8CE2A1"/>
  <w15:docId w15:val="{9AEB6108-E77D-4B8A-A373-27C174AE15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AR"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4D2D46"/>
    <w:pPr>
      <w:jc w:val="both"/>
    </w:pPr>
  </w:style>
  <w:style w:type="paragraph" w:styleId="Heading1">
    <w:name w:val="heading 1"/>
    <w:aliases w:val="Capítulos"/>
    <w:basedOn w:val="Normal"/>
    <w:next w:val="Normal"/>
    <w:link w:val="Heading1Char"/>
    <w:autoRedefine/>
    <w:qFormat/>
    <w:rsid w:val="00F5783E"/>
    <w:pPr>
      <w:keepNext/>
      <w:spacing w:after="60" w:line="240" w:lineRule="auto"/>
      <w:ind w:left="432"/>
      <w:jc w:val="center"/>
      <w:outlineLvl w:val="0"/>
    </w:pPr>
    <w:rPr>
      <w:rFonts w:ascii="Arial" w:eastAsiaTheme="majorEastAsia" w:hAnsi="Arial" w:cs="Arial"/>
      <w:b/>
      <w:smallCaps/>
      <w:sz w:val="28"/>
      <w:szCs w:val="28"/>
    </w:rPr>
  </w:style>
  <w:style w:type="paragraph" w:styleId="Heading2">
    <w:name w:val="heading 2"/>
    <w:aliases w:val="Sub-capítulos Car"/>
    <w:basedOn w:val="Normal"/>
    <w:next w:val="Normal"/>
    <w:link w:val="Heading2Char"/>
    <w:autoRedefine/>
    <w:unhideWhenUsed/>
    <w:qFormat/>
    <w:rsid w:val="002B0107"/>
    <w:pPr>
      <w:keepNext/>
      <w:numPr>
        <w:ilvl w:val="1"/>
        <w:numId w:val="18"/>
      </w:numPr>
      <w:spacing w:before="240" w:after="120" w:line="240" w:lineRule="auto"/>
      <w:outlineLvl w:val="1"/>
    </w:pPr>
    <w:rPr>
      <w:rFonts w:ascii="Arial" w:eastAsiaTheme="majorEastAsia" w:hAnsi="Arial" w:cs="Arial"/>
      <w:b/>
    </w:rPr>
  </w:style>
  <w:style w:type="paragraph" w:styleId="Heading3">
    <w:name w:val="heading 3"/>
    <w:aliases w:val="Seccion"/>
    <w:basedOn w:val="Normal"/>
    <w:next w:val="Normal"/>
    <w:link w:val="Heading3Char"/>
    <w:autoRedefine/>
    <w:unhideWhenUsed/>
    <w:qFormat/>
    <w:rsid w:val="00B25356"/>
    <w:pPr>
      <w:keepNext/>
      <w:keepLines/>
      <w:numPr>
        <w:ilvl w:val="2"/>
        <w:numId w:val="1"/>
      </w:numPr>
      <w:spacing w:before="40" w:after="40"/>
      <w:outlineLvl w:val="2"/>
    </w:pPr>
    <w:rPr>
      <w:rFonts w:eastAsiaTheme="majorEastAsia" w:cstheme="majorBidi"/>
      <w:b/>
      <w:sz w:val="24"/>
      <w:szCs w:val="24"/>
    </w:rPr>
  </w:style>
  <w:style w:type="paragraph" w:styleId="Heading4">
    <w:name w:val="heading 4"/>
    <w:aliases w:val="Sub-seccion"/>
    <w:basedOn w:val="Normal"/>
    <w:next w:val="Normal"/>
    <w:link w:val="Heading4Char"/>
    <w:unhideWhenUsed/>
    <w:qFormat/>
    <w:rsid w:val="000C25D3"/>
    <w:pPr>
      <w:keepNext/>
      <w:keepLines/>
      <w:numPr>
        <w:ilvl w:val="3"/>
        <w:numId w:val="18"/>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aliases w:val="No usar-tit5"/>
    <w:basedOn w:val="Normal"/>
    <w:next w:val="Normal"/>
    <w:link w:val="Heading5Char"/>
    <w:unhideWhenUsed/>
    <w:qFormat/>
    <w:rsid w:val="000C25D3"/>
    <w:pPr>
      <w:keepNext/>
      <w:keepLines/>
      <w:numPr>
        <w:ilvl w:val="4"/>
        <w:numId w:val="18"/>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aliases w:val="No usar-tit6"/>
    <w:basedOn w:val="Normal"/>
    <w:next w:val="Normal"/>
    <w:link w:val="Heading6Char"/>
    <w:unhideWhenUsed/>
    <w:qFormat/>
    <w:rsid w:val="000C25D3"/>
    <w:pPr>
      <w:keepNext/>
      <w:keepLines/>
      <w:numPr>
        <w:ilvl w:val="5"/>
        <w:numId w:val="18"/>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aliases w:val="No usar-tit7"/>
    <w:basedOn w:val="Normal"/>
    <w:next w:val="Normal"/>
    <w:link w:val="Heading7Char"/>
    <w:unhideWhenUsed/>
    <w:qFormat/>
    <w:rsid w:val="000C25D3"/>
    <w:pPr>
      <w:keepNext/>
      <w:keepLines/>
      <w:numPr>
        <w:ilvl w:val="6"/>
        <w:numId w:val="18"/>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aliases w:val="No usar-tit8"/>
    <w:basedOn w:val="Normal"/>
    <w:next w:val="Normal"/>
    <w:link w:val="Heading8Char"/>
    <w:unhideWhenUsed/>
    <w:qFormat/>
    <w:rsid w:val="000C25D3"/>
    <w:pPr>
      <w:keepNext/>
      <w:keepLines/>
      <w:numPr>
        <w:ilvl w:val="7"/>
        <w:numId w:val="18"/>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No usar-tit9"/>
    <w:basedOn w:val="Normal"/>
    <w:next w:val="Normal"/>
    <w:link w:val="Heading9Char"/>
    <w:unhideWhenUsed/>
    <w:qFormat/>
    <w:rsid w:val="000C25D3"/>
    <w:pPr>
      <w:keepNext/>
      <w:keepLines/>
      <w:numPr>
        <w:ilvl w:val="8"/>
        <w:numId w:val="1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apítulos Char"/>
    <w:basedOn w:val="DefaultParagraphFont"/>
    <w:link w:val="Heading1"/>
    <w:rsid w:val="00F5783E"/>
    <w:rPr>
      <w:rFonts w:ascii="Arial" w:eastAsiaTheme="majorEastAsia" w:hAnsi="Arial" w:cs="Arial"/>
      <w:b/>
      <w:smallCaps/>
      <w:sz w:val="28"/>
      <w:szCs w:val="28"/>
    </w:rPr>
  </w:style>
  <w:style w:type="character" w:customStyle="1" w:styleId="Heading2Char">
    <w:name w:val="Heading 2 Char"/>
    <w:aliases w:val="Sub-capítulos Car Char"/>
    <w:basedOn w:val="DefaultParagraphFont"/>
    <w:link w:val="Heading2"/>
    <w:rsid w:val="002B0107"/>
    <w:rPr>
      <w:rFonts w:ascii="Arial" w:eastAsiaTheme="majorEastAsia" w:hAnsi="Arial" w:cs="Arial"/>
      <w:b/>
    </w:rPr>
  </w:style>
  <w:style w:type="character" w:customStyle="1" w:styleId="Heading3Char">
    <w:name w:val="Heading 3 Char"/>
    <w:aliases w:val="Seccion Char"/>
    <w:basedOn w:val="DefaultParagraphFont"/>
    <w:link w:val="Heading3"/>
    <w:rsid w:val="00B25356"/>
    <w:rPr>
      <w:rFonts w:eastAsiaTheme="majorEastAsia" w:cstheme="majorBidi"/>
      <w:b/>
      <w:sz w:val="24"/>
      <w:szCs w:val="24"/>
    </w:rPr>
  </w:style>
  <w:style w:type="character" w:customStyle="1" w:styleId="Heading4Char">
    <w:name w:val="Heading 4 Char"/>
    <w:aliases w:val="Sub-seccion Char"/>
    <w:basedOn w:val="DefaultParagraphFont"/>
    <w:link w:val="Heading4"/>
    <w:rsid w:val="000C25D3"/>
    <w:rPr>
      <w:rFonts w:asciiTheme="majorHAnsi" w:eastAsiaTheme="majorEastAsia" w:hAnsiTheme="majorHAnsi" w:cstheme="majorBidi"/>
      <w:i/>
      <w:iCs/>
      <w:color w:val="2E74B5" w:themeColor="accent1" w:themeShade="BF"/>
    </w:rPr>
  </w:style>
  <w:style w:type="character" w:customStyle="1" w:styleId="Heading5Char">
    <w:name w:val="Heading 5 Char"/>
    <w:aliases w:val="No usar-tit5 Char"/>
    <w:basedOn w:val="DefaultParagraphFont"/>
    <w:link w:val="Heading5"/>
    <w:rsid w:val="000C25D3"/>
    <w:rPr>
      <w:rFonts w:asciiTheme="majorHAnsi" w:eastAsiaTheme="majorEastAsia" w:hAnsiTheme="majorHAnsi" w:cstheme="majorBidi"/>
      <w:color w:val="2E74B5" w:themeColor="accent1" w:themeShade="BF"/>
    </w:rPr>
  </w:style>
  <w:style w:type="character" w:customStyle="1" w:styleId="Heading6Char">
    <w:name w:val="Heading 6 Char"/>
    <w:aliases w:val="No usar-tit6 Char"/>
    <w:basedOn w:val="DefaultParagraphFont"/>
    <w:link w:val="Heading6"/>
    <w:rsid w:val="000C25D3"/>
    <w:rPr>
      <w:rFonts w:asciiTheme="majorHAnsi" w:eastAsiaTheme="majorEastAsia" w:hAnsiTheme="majorHAnsi" w:cstheme="majorBidi"/>
      <w:color w:val="1F4D78" w:themeColor="accent1" w:themeShade="7F"/>
    </w:rPr>
  </w:style>
  <w:style w:type="character" w:customStyle="1" w:styleId="Heading7Char">
    <w:name w:val="Heading 7 Char"/>
    <w:aliases w:val="No usar-tit7 Char"/>
    <w:basedOn w:val="DefaultParagraphFont"/>
    <w:link w:val="Heading7"/>
    <w:rsid w:val="000C25D3"/>
    <w:rPr>
      <w:rFonts w:asciiTheme="majorHAnsi" w:eastAsiaTheme="majorEastAsia" w:hAnsiTheme="majorHAnsi" w:cstheme="majorBidi"/>
      <w:i/>
      <w:iCs/>
      <w:color w:val="1F4D78" w:themeColor="accent1" w:themeShade="7F"/>
    </w:rPr>
  </w:style>
  <w:style w:type="character" w:customStyle="1" w:styleId="Heading8Char">
    <w:name w:val="Heading 8 Char"/>
    <w:aliases w:val="No usar-tit8 Char"/>
    <w:basedOn w:val="DefaultParagraphFont"/>
    <w:link w:val="Heading8"/>
    <w:rsid w:val="000C25D3"/>
    <w:rPr>
      <w:rFonts w:asciiTheme="majorHAnsi" w:eastAsiaTheme="majorEastAsia" w:hAnsiTheme="majorHAnsi" w:cstheme="majorBidi"/>
      <w:color w:val="272727" w:themeColor="text1" w:themeTint="D8"/>
      <w:sz w:val="21"/>
      <w:szCs w:val="21"/>
    </w:rPr>
  </w:style>
  <w:style w:type="character" w:customStyle="1" w:styleId="Heading9Char">
    <w:name w:val="Heading 9 Char"/>
    <w:aliases w:val="No usar-tit9 Char"/>
    <w:basedOn w:val="DefaultParagraphFont"/>
    <w:link w:val="Heading9"/>
    <w:rsid w:val="000C25D3"/>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527409"/>
    <w:pPr>
      <w:ind w:left="720"/>
      <w:contextualSpacing/>
    </w:pPr>
  </w:style>
  <w:style w:type="paragraph" w:styleId="FootnoteText">
    <w:name w:val="footnote text"/>
    <w:aliases w:val="fn,foottextfra,footnote,F,single space,footnote text,texto de nota al pie,Nota a pie/Bibliog,Texto de rodapé,nota_rodapé,nota de rodapé,Texto nota pie IIRSA,Texto nota pie Car Car,ft,FOOTNOTES, Car,Car,Texto nota piepddes Car Car,Footnote"/>
    <w:basedOn w:val="Normal"/>
    <w:link w:val="FootnoteTextChar"/>
    <w:unhideWhenUsed/>
    <w:qFormat/>
    <w:rsid w:val="00014F54"/>
    <w:pPr>
      <w:spacing w:after="0" w:line="240" w:lineRule="auto"/>
    </w:pPr>
    <w:rPr>
      <w:sz w:val="20"/>
      <w:szCs w:val="20"/>
    </w:rPr>
  </w:style>
  <w:style w:type="character" w:customStyle="1" w:styleId="FootnoteTextChar">
    <w:name w:val="Footnote Text Char"/>
    <w:aliases w:val="fn Char,foottextfra Char,footnote Char,F Char,single space Char,footnote text Char,texto de nota al pie Char,Nota a pie/Bibliog Char,Texto de rodapé Char,nota_rodapé Char,nota de rodapé Char,Texto nota pie IIRSA Char,ft Char, Car Char"/>
    <w:basedOn w:val="DefaultParagraphFont"/>
    <w:link w:val="FootnoteText"/>
    <w:rsid w:val="00014F54"/>
    <w:rPr>
      <w:sz w:val="20"/>
      <w:szCs w:val="20"/>
    </w:rPr>
  </w:style>
  <w:style w:type="character" w:styleId="FootnoteReference">
    <w:name w:val="footnote reference"/>
    <w:aliases w:val="pie pddes,FC,referencia nota al pie,Ref. de nota al pie.,Referência a notas de rodapé,16 Point,Superscript 6 Point,(Ref. de nota al pie)"/>
    <w:basedOn w:val="DefaultParagraphFont"/>
    <w:unhideWhenUsed/>
    <w:rsid w:val="00014F54"/>
    <w:rPr>
      <w:vertAlign w:val="superscript"/>
    </w:rPr>
  </w:style>
  <w:style w:type="paragraph" w:styleId="BalloonText">
    <w:name w:val="Balloon Text"/>
    <w:basedOn w:val="Normal"/>
    <w:link w:val="BalloonTextChar"/>
    <w:uiPriority w:val="99"/>
    <w:semiHidden/>
    <w:unhideWhenUsed/>
    <w:rsid w:val="00AC36D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36D5"/>
    <w:rPr>
      <w:rFonts w:ascii="Segoe UI" w:hAnsi="Segoe UI" w:cs="Segoe UI"/>
      <w:sz w:val="18"/>
      <w:szCs w:val="18"/>
    </w:rPr>
  </w:style>
  <w:style w:type="paragraph" w:styleId="Header">
    <w:name w:val="header"/>
    <w:basedOn w:val="Normal"/>
    <w:link w:val="HeaderChar"/>
    <w:unhideWhenUsed/>
    <w:rsid w:val="00BE1DC6"/>
    <w:pPr>
      <w:tabs>
        <w:tab w:val="center" w:pos="4419"/>
        <w:tab w:val="right" w:pos="8838"/>
      </w:tabs>
      <w:spacing w:after="0" w:line="240" w:lineRule="auto"/>
    </w:pPr>
  </w:style>
  <w:style w:type="character" w:customStyle="1" w:styleId="HeaderChar">
    <w:name w:val="Header Char"/>
    <w:basedOn w:val="DefaultParagraphFont"/>
    <w:link w:val="Header"/>
    <w:rsid w:val="00BE1DC6"/>
  </w:style>
  <w:style w:type="paragraph" w:styleId="Footer">
    <w:name w:val="footer"/>
    <w:basedOn w:val="Normal"/>
    <w:link w:val="FooterChar"/>
    <w:uiPriority w:val="99"/>
    <w:unhideWhenUsed/>
    <w:rsid w:val="00BE1DC6"/>
    <w:pPr>
      <w:tabs>
        <w:tab w:val="center" w:pos="4419"/>
        <w:tab w:val="right" w:pos="8838"/>
      </w:tabs>
      <w:spacing w:after="0" w:line="240" w:lineRule="auto"/>
    </w:pPr>
  </w:style>
  <w:style w:type="character" w:customStyle="1" w:styleId="FooterChar">
    <w:name w:val="Footer Char"/>
    <w:basedOn w:val="DefaultParagraphFont"/>
    <w:link w:val="Footer"/>
    <w:uiPriority w:val="99"/>
    <w:rsid w:val="00BE1DC6"/>
  </w:style>
  <w:style w:type="paragraph" w:styleId="Subtitle">
    <w:name w:val="Subtitle"/>
    <w:basedOn w:val="Normal"/>
    <w:next w:val="Normal"/>
    <w:link w:val="SubtitleChar"/>
    <w:uiPriority w:val="11"/>
    <w:qFormat/>
    <w:rsid w:val="00CC7EED"/>
    <w:pPr>
      <w:numPr>
        <w:ilvl w:val="1"/>
      </w:numPr>
      <w:spacing w:after="200" w:line="276" w:lineRule="auto"/>
    </w:pPr>
    <w:rPr>
      <w:rFonts w:asciiTheme="majorHAnsi" w:eastAsiaTheme="majorEastAsia" w:hAnsiTheme="majorHAnsi" w:cstheme="majorBidi"/>
      <w:i/>
      <w:iCs/>
      <w:color w:val="5B9BD5" w:themeColor="accent1"/>
      <w:spacing w:val="15"/>
      <w:sz w:val="24"/>
      <w:szCs w:val="24"/>
      <w:lang w:eastAsia="es-AR"/>
    </w:rPr>
  </w:style>
  <w:style w:type="character" w:customStyle="1" w:styleId="SubtitleChar">
    <w:name w:val="Subtitle Char"/>
    <w:basedOn w:val="DefaultParagraphFont"/>
    <w:link w:val="Subtitle"/>
    <w:uiPriority w:val="11"/>
    <w:rsid w:val="00CC7EED"/>
    <w:rPr>
      <w:rFonts w:asciiTheme="majorHAnsi" w:eastAsiaTheme="majorEastAsia" w:hAnsiTheme="majorHAnsi" w:cstheme="majorBidi"/>
      <w:i/>
      <w:iCs/>
      <w:color w:val="5B9BD5" w:themeColor="accent1"/>
      <w:spacing w:val="15"/>
      <w:sz w:val="24"/>
      <w:szCs w:val="24"/>
      <w:lang w:eastAsia="es-AR"/>
    </w:rPr>
  </w:style>
  <w:style w:type="paragraph" w:styleId="Title">
    <w:name w:val="Title"/>
    <w:basedOn w:val="Normal"/>
    <w:next w:val="Normal"/>
    <w:link w:val="TitleChar"/>
    <w:uiPriority w:val="10"/>
    <w:qFormat/>
    <w:rsid w:val="00CC7EED"/>
    <w:pPr>
      <w:spacing w:after="0" w:line="216" w:lineRule="auto"/>
      <w:contextualSpacing/>
    </w:pPr>
    <w:rPr>
      <w:rFonts w:asciiTheme="majorHAnsi" w:eastAsiaTheme="majorEastAsia" w:hAnsiTheme="majorHAnsi" w:cstheme="majorBidi"/>
      <w:color w:val="404040" w:themeColor="text1" w:themeTint="BF"/>
      <w:spacing w:val="-10"/>
      <w:kern w:val="28"/>
      <w:sz w:val="56"/>
      <w:szCs w:val="56"/>
      <w:lang w:eastAsia="es-AR"/>
    </w:rPr>
  </w:style>
  <w:style w:type="character" w:customStyle="1" w:styleId="TitleChar">
    <w:name w:val="Title Char"/>
    <w:basedOn w:val="DefaultParagraphFont"/>
    <w:link w:val="Title"/>
    <w:uiPriority w:val="10"/>
    <w:rsid w:val="00CC7EED"/>
    <w:rPr>
      <w:rFonts w:asciiTheme="majorHAnsi" w:eastAsiaTheme="majorEastAsia" w:hAnsiTheme="majorHAnsi" w:cstheme="majorBidi"/>
      <w:color w:val="404040" w:themeColor="text1" w:themeTint="BF"/>
      <w:spacing w:val="-10"/>
      <w:kern w:val="28"/>
      <w:sz w:val="56"/>
      <w:szCs w:val="56"/>
      <w:lang w:eastAsia="es-AR"/>
    </w:rPr>
  </w:style>
  <w:style w:type="paragraph" w:styleId="TOCHeading">
    <w:name w:val="TOC Heading"/>
    <w:basedOn w:val="Heading1"/>
    <w:next w:val="Normal"/>
    <w:uiPriority w:val="39"/>
    <w:unhideWhenUsed/>
    <w:qFormat/>
    <w:rsid w:val="00D86B36"/>
    <w:pPr>
      <w:ind w:left="0"/>
      <w:outlineLvl w:val="9"/>
    </w:pPr>
    <w:rPr>
      <w:rFonts w:asciiTheme="majorHAnsi" w:hAnsiTheme="majorHAnsi"/>
      <w:b w:val="0"/>
      <w:color w:val="2E74B5" w:themeColor="accent1" w:themeShade="BF"/>
      <w:lang w:eastAsia="es-AR"/>
    </w:rPr>
  </w:style>
  <w:style w:type="paragraph" w:styleId="TOC1">
    <w:name w:val="toc 1"/>
    <w:basedOn w:val="Normal"/>
    <w:next w:val="Normal"/>
    <w:autoRedefine/>
    <w:uiPriority w:val="39"/>
    <w:unhideWhenUsed/>
    <w:rsid w:val="0070791F"/>
    <w:pPr>
      <w:tabs>
        <w:tab w:val="right" w:leader="dot" w:pos="8495"/>
      </w:tabs>
      <w:spacing w:after="100"/>
    </w:pPr>
    <w:rPr>
      <w:rFonts w:ascii="Arial" w:hAnsi="Arial" w:cs="Arial"/>
      <w:smallCaps/>
      <w:noProof/>
    </w:rPr>
  </w:style>
  <w:style w:type="paragraph" w:styleId="TOC2">
    <w:name w:val="toc 2"/>
    <w:basedOn w:val="Normal"/>
    <w:next w:val="Normal"/>
    <w:autoRedefine/>
    <w:uiPriority w:val="39"/>
    <w:unhideWhenUsed/>
    <w:rsid w:val="00D86B36"/>
    <w:pPr>
      <w:spacing w:after="100"/>
      <w:ind w:left="220"/>
    </w:pPr>
  </w:style>
  <w:style w:type="character" w:styleId="Hyperlink">
    <w:name w:val="Hyperlink"/>
    <w:basedOn w:val="DefaultParagraphFont"/>
    <w:uiPriority w:val="99"/>
    <w:unhideWhenUsed/>
    <w:rsid w:val="00D86B36"/>
    <w:rPr>
      <w:color w:val="0563C1" w:themeColor="hyperlink"/>
      <w:u w:val="single"/>
    </w:rPr>
  </w:style>
  <w:style w:type="character" w:styleId="PlaceholderText">
    <w:name w:val="Placeholder Text"/>
    <w:basedOn w:val="DefaultParagraphFont"/>
    <w:uiPriority w:val="99"/>
    <w:semiHidden/>
    <w:rsid w:val="001E1D39"/>
    <w:rPr>
      <w:color w:val="808080"/>
    </w:rPr>
  </w:style>
  <w:style w:type="paragraph" w:styleId="Caption">
    <w:name w:val="caption"/>
    <w:basedOn w:val="Normal"/>
    <w:next w:val="Normal"/>
    <w:autoRedefine/>
    <w:uiPriority w:val="35"/>
    <w:unhideWhenUsed/>
    <w:qFormat/>
    <w:rsid w:val="004F131E"/>
    <w:pPr>
      <w:keepNext/>
      <w:spacing w:before="120" w:after="0" w:line="240" w:lineRule="auto"/>
    </w:pPr>
    <w:rPr>
      <w:b/>
      <w:iCs/>
      <w:szCs w:val="18"/>
    </w:rPr>
  </w:style>
  <w:style w:type="paragraph" w:styleId="TOC3">
    <w:name w:val="toc 3"/>
    <w:basedOn w:val="Normal"/>
    <w:next w:val="Normal"/>
    <w:autoRedefine/>
    <w:uiPriority w:val="39"/>
    <w:unhideWhenUsed/>
    <w:rsid w:val="00AD095F"/>
    <w:pPr>
      <w:spacing w:after="100"/>
      <w:ind w:left="440"/>
    </w:pPr>
  </w:style>
  <w:style w:type="paragraph" w:styleId="TableofFigures">
    <w:name w:val="table of figures"/>
    <w:basedOn w:val="Normal"/>
    <w:next w:val="Normal"/>
    <w:uiPriority w:val="99"/>
    <w:unhideWhenUsed/>
    <w:rsid w:val="00E10BBE"/>
    <w:pPr>
      <w:spacing w:after="0"/>
    </w:pPr>
  </w:style>
  <w:style w:type="paragraph" w:customStyle="1" w:styleId="Default">
    <w:name w:val="Default"/>
    <w:rsid w:val="00071177"/>
    <w:pPr>
      <w:autoSpaceDE w:val="0"/>
      <w:autoSpaceDN w:val="0"/>
      <w:adjustRightInd w:val="0"/>
      <w:spacing w:after="0" w:line="240" w:lineRule="auto"/>
    </w:pPr>
    <w:rPr>
      <w:rFonts w:ascii="Calibri" w:hAnsi="Calibri" w:cs="Calibri"/>
      <w:color w:val="000000"/>
      <w:sz w:val="24"/>
      <w:szCs w:val="24"/>
    </w:rPr>
  </w:style>
  <w:style w:type="table" w:styleId="TableGrid">
    <w:name w:val="Table Grid"/>
    <w:basedOn w:val="TableNormal"/>
    <w:uiPriority w:val="59"/>
    <w:rsid w:val="00FF4E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93272D"/>
    <w:rPr>
      <w:sz w:val="16"/>
      <w:szCs w:val="16"/>
    </w:rPr>
  </w:style>
  <w:style w:type="paragraph" w:styleId="CommentText">
    <w:name w:val="annotation text"/>
    <w:basedOn w:val="Normal"/>
    <w:link w:val="CommentTextChar"/>
    <w:uiPriority w:val="99"/>
    <w:semiHidden/>
    <w:unhideWhenUsed/>
    <w:rsid w:val="0093272D"/>
    <w:pPr>
      <w:spacing w:line="240" w:lineRule="auto"/>
    </w:pPr>
    <w:rPr>
      <w:sz w:val="20"/>
      <w:szCs w:val="20"/>
    </w:rPr>
  </w:style>
  <w:style w:type="character" w:customStyle="1" w:styleId="CommentTextChar">
    <w:name w:val="Comment Text Char"/>
    <w:basedOn w:val="DefaultParagraphFont"/>
    <w:link w:val="CommentText"/>
    <w:uiPriority w:val="99"/>
    <w:semiHidden/>
    <w:rsid w:val="0093272D"/>
    <w:rPr>
      <w:sz w:val="20"/>
      <w:szCs w:val="20"/>
    </w:rPr>
  </w:style>
  <w:style w:type="paragraph" w:styleId="CommentSubject">
    <w:name w:val="annotation subject"/>
    <w:basedOn w:val="CommentText"/>
    <w:next w:val="CommentText"/>
    <w:link w:val="CommentSubjectChar"/>
    <w:uiPriority w:val="99"/>
    <w:semiHidden/>
    <w:unhideWhenUsed/>
    <w:rsid w:val="0093272D"/>
    <w:rPr>
      <w:b/>
      <w:bCs/>
    </w:rPr>
  </w:style>
  <w:style w:type="character" w:customStyle="1" w:styleId="CommentSubjectChar">
    <w:name w:val="Comment Subject Char"/>
    <w:basedOn w:val="CommentTextChar"/>
    <w:link w:val="CommentSubject"/>
    <w:uiPriority w:val="99"/>
    <w:semiHidden/>
    <w:rsid w:val="0093272D"/>
    <w:rPr>
      <w:b/>
      <w:bCs/>
      <w:sz w:val="20"/>
      <w:szCs w:val="20"/>
    </w:rPr>
  </w:style>
  <w:style w:type="paragraph" w:styleId="NormalWeb">
    <w:name w:val="Normal (Web)"/>
    <w:basedOn w:val="Normal"/>
    <w:uiPriority w:val="99"/>
    <w:unhideWhenUsed/>
    <w:rsid w:val="006C172A"/>
    <w:pPr>
      <w:spacing w:before="100" w:beforeAutospacing="1" w:after="100" w:afterAutospacing="1" w:line="240" w:lineRule="auto"/>
      <w:jc w:val="left"/>
    </w:pPr>
    <w:rPr>
      <w:rFonts w:ascii="Times New Roman" w:eastAsia="Times New Roman" w:hAnsi="Times New Roman" w:cs="Times New Roman"/>
      <w:sz w:val="24"/>
      <w:szCs w:val="24"/>
      <w:lang w:val="es-ES" w:eastAsia="es-ES"/>
    </w:rPr>
  </w:style>
  <w:style w:type="paragraph" w:styleId="NoSpacing">
    <w:name w:val="No Spacing"/>
    <w:uiPriority w:val="1"/>
    <w:qFormat/>
    <w:rsid w:val="002000F7"/>
    <w:pPr>
      <w:spacing w:after="120" w:line="240" w:lineRule="auto"/>
      <w:jc w:val="both"/>
    </w:pPr>
    <w:rPr>
      <w:sz w:val="20"/>
    </w:rPr>
  </w:style>
  <w:style w:type="paragraph" w:customStyle="1" w:styleId="CuadrosyTablas">
    <w:name w:val="Cuadros y Tablas"/>
    <w:basedOn w:val="Normal"/>
    <w:rsid w:val="00B61C33"/>
    <w:pPr>
      <w:spacing w:after="0" w:line="240" w:lineRule="auto"/>
    </w:pPr>
    <w:rPr>
      <w:rFonts w:ascii="Arial" w:eastAsia="Times New Roman" w:hAnsi="Arial" w:cs="Times New Roman"/>
      <w:b/>
      <w:szCs w:val="24"/>
      <w:lang w:eastAsia="es-ES"/>
    </w:rPr>
  </w:style>
  <w:style w:type="paragraph" w:customStyle="1" w:styleId="Grafico">
    <w:name w:val="Grafico"/>
    <w:basedOn w:val="Normal"/>
    <w:uiPriority w:val="1"/>
    <w:rsid w:val="00D13970"/>
    <w:pPr>
      <w:numPr>
        <w:numId w:val="9"/>
      </w:numPr>
      <w:spacing w:after="120" w:line="240" w:lineRule="auto"/>
      <w:jc w:val="center"/>
    </w:pPr>
    <w:rPr>
      <w:rFonts w:ascii="Arial" w:eastAsia="Times New Roman" w:hAnsi="Arial" w:cs="Times New Roman"/>
      <w:b/>
      <w:sz w:val="16"/>
      <w:szCs w:val="24"/>
      <w:lang w:eastAsia="es-AR"/>
    </w:rPr>
  </w:style>
  <w:style w:type="paragraph" w:styleId="TOC4">
    <w:name w:val="toc 4"/>
    <w:basedOn w:val="Normal"/>
    <w:next w:val="Normal"/>
    <w:autoRedefine/>
    <w:uiPriority w:val="39"/>
    <w:unhideWhenUsed/>
    <w:rsid w:val="00E53BCF"/>
    <w:pPr>
      <w:spacing w:after="100"/>
      <w:ind w:left="660"/>
      <w:jc w:val="left"/>
    </w:pPr>
    <w:rPr>
      <w:rFonts w:eastAsiaTheme="minorEastAsia"/>
      <w:lang w:eastAsia="es-AR"/>
    </w:rPr>
  </w:style>
  <w:style w:type="paragraph" w:styleId="TOC5">
    <w:name w:val="toc 5"/>
    <w:basedOn w:val="Normal"/>
    <w:next w:val="Normal"/>
    <w:autoRedefine/>
    <w:uiPriority w:val="39"/>
    <w:unhideWhenUsed/>
    <w:rsid w:val="00E53BCF"/>
    <w:pPr>
      <w:spacing w:after="100"/>
      <w:ind w:left="880"/>
      <w:jc w:val="left"/>
    </w:pPr>
    <w:rPr>
      <w:rFonts w:eastAsiaTheme="minorEastAsia"/>
      <w:lang w:eastAsia="es-AR"/>
    </w:rPr>
  </w:style>
  <w:style w:type="paragraph" w:styleId="TOC6">
    <w:name w:val="toc 6"/>
    <w:basedOn w:val="Normal"/>
    <w:next w:val="Normal"/>
    <w:autoRedefine/>
    <w:uiPriority w:val="39"/>
    <w:unhideWhenUsed/>
    <w:rsid w:val="00E53BCF"/>
    <w:pPr>
      <w:spacing w:after="100"/>
      <w:ind w:left="1100"/>
      <w:jc w:val="left"/>
    </w:pPr>
    <w:rPr>
      <w:rFonts w:eastAsiaTheme="minorEastAsia"/>
      <w:lang w:eastAsia="es-AR"/>
    </w:rPr>
  </w:style>
  <w:style w:type="paragraph" w:styleId="TOC7">
    <w:name w:val="toc 7"/>
    <w:basedOn w:val="Normal"/>
    <w:next w:val="Normal"/>
    <w:autoRedefine/>
    <w:uiPriority w:val="39"/>
    <w:unhideWhenUsed/>
    <w:rsid w:val="00E53BCF"/>
    <w:pPr>
      <w:spacing w:after="100"/>
      <w:ind w:left="1320"/>
      <w:jc w:val="left"/>
    </w:pPr>
    <w:rPr>
      <w:rFonts w:eastAsiaTheme="minorEastAsia"/>
      <w:lang w:eastAsia="es-AR"/>
    </w:rPr>
  </w:style>
  <w:style w:type="paragraph" w:styleId="TOC8">
    <w:name w:val="toc 8"/>
    <w:basedOn w:val="Normal"/>
    <w:next w:val="Normal"/>
    <w:autoRedefine/>
    <w:uiPriority w:val="39"/>
    <w:unhideWhenUsed/>
    <w:rsid w:val="00E53BCF"/>
    <w:pPr>
      <w:spacing w:after="100"/>
      <w:ind w:left="1540"/>
      <w:jc w:val="left"/>
    </w:pPr>
    <w:rPr>
      <w:rFonts w:eastAsiaTheme="minorEastAsia"/>
      <w:lang w:eastAsia="es-AR"/>
    </w:rPr>
  </w:style>
  <w:style w:type="paragraph" w:styleId="TOC9">
    <w:name w:val="toc 9"/>
    <w:basedOn w:val="Normal"/>
    <w:next w:val="Normal"/>
    <w:autoRedefine/>
    <w:uiPriority w:val="39"/>
    <w:unhideWhenUsed/>
    <w:rsid w:val="00E53BCF"/>
    <w:pPr>
      <w:spacing w:after="100"/>
      <w:ind w:left="1760"/>
      <w:jc w:val="left"/>
    </w:pPr>
    <w:rPr>
      <w:rFonts w:eastAsiaTheme="minorEastAsia"/>
      <w:lang w:eastAsia="es-AR"/>
    </w:rPr>
  </w:style>
  <w:style w:type="paragraph" w:customStyle="1" w:styleId="Ttulo1">
    <w:name w:val="Título1"/>
    <w:basedOn w:val="Normal"/>
    <w:link w:val="TtuloCar"/>
    <w:qFormat/>
    <w:rsid w:val="00A95DF9"/>
    <w:pPr>
      <w:spacing w:before="240" w:after="60" w:line="276" w:lineRule="auto"/>
      <w:jc w:val="center"/>
      <w:outlineLvl w:val="0"/>
    </w:pPr>
    <w:rPr>
      <w:rFonts w:ascii="Arial" w:eastAsia="Times New Roman" w:hAnsi="Arial" w:cs="Times New Roman"/>
      <w:b/>
      <w:bCs/>
      <w:kern w:val="28"/>
      <w:sz w:val="32"/>
      <w:szCs w:val="32"/>
      <w:lang w:val="x-none" w:eastAsia="es-ES"/>
    </w:rPr>
  </w:style>
  <w:style w:type="character" w:customStyle="1" w:styleId="TtuloCar">
    <w:name w:val="Título Car"/>
    <w:link w:val="Ttulo1"/>
    <w:rsid w:val="00A95DF9"/>
    <w:rPr>
      <w:rFonts w:ascii="Arial" w:eastAsia="Times New Roman" w:hAnsi="Arial" w:cs="Times New Roman"/>
      <w:b/>
      <w:bCs/>
      <w:kern w:val="28"/>
      <w:sz w:val="32"/>
      <w:szCs w:val="32"/>
      <w:lang w:val="x-none" w:eastAsia="es-ES"/>
    </w:rPr>
  </w:style>
  <w:style w:type="paragraph" w:customStyle="1" w:styleId="Tablasycuadros">
    <w:name w:val="Tablas y cuadros"/>
    <w:basedOn w:val="Normal"/>
    <w:next w:val="Normal"/>
    <w:rsid w:val="00A95DF9"/>
    <w:pPr>
      <w:spacing w:before="120" w:after="60" w:line="276" w:lineRule="auto"/>
    </w:pPr>
    <w:rPr>
      <w:rFonts w:ascii="Arial" w:eastAsia="Times New Roman" w:hAnsi="Arial" w:cs="Arial"/>
      <w:b/>
      <w:bCs/>
      <w:lang w:eastAsia="es-ES"/>
    </w:rPr>
  </w:style>
  <w:style w:type="paragraph" w:customStyle="1" w:styleId="Epgrafe">
    <w:name w:val="Epígrafe"/>
    <w:basedOn w:val="Normal"/>
    <w:next w:val="Normal"/>
    <w:uiPriority w:val="35"/>
    <w:qFormat/>
    <w:rsid w:val="00A95DF9"/>
    <w:pPr>
      <w:pBdr>
        <w:top w:val="single" w:sz="12" w:space="1" w:color="auto"/>
        <w:left w:val="single" w:sz="12" w:space="1" w:color="auto"/>
        <w:bottom w:val="single" w:sz="12" w:space="1" w:color="auto"/>
        <w:right w:val="single" w:sz="12" w:space="1" w:color="auto"/>
      </w:pBdr>
      <w:spacing w:before="120" w:after="60" w:line="276" w:lineRule="auto"/>
    </w:pPr>
    <w:rPr>
      <w:rFonts w:ascii="Arial" w:eastAsia="Times New Roman" w:hAnsi="Arial" w:cs="Arial"/>
      <w:b/>
      <w:bCs/>
      <w:lang w:eastAsia="es-ES"/>
    </w:rPr>
  </w:style>
  <w:style w:type="paragraph" w:styleId="BodyText">
    <w:name w:val="Body Text"/>
    <w:basedOn w:val="Normal"/>
    <w:link w:val="BodyTextChar"/>
    <w:uiPriority w:val="1"/>
    <w:qFormat/>
    <w:rsid w:val="00A95DF9"/>
    <w:pPr>
      <w:widowControl w:val="0"/>
      <w:spacing w:after="0" w:line="240" w:lineRule="auto"/>
      <w:jc w:val="left"/>
    </w:pPr>
    <w:rPr>
      <w:rFonts w:ascii="Arial" w:eastAsia="Arial" w:hAnsi="Arial" w:cs="Times New Roman"/>
      <w:sz w:val="20"/>
      <w:szCs w:val="20"/>
      <w:lang w:val="en-US"/>
    </w:rPr>
  </w:style>
  <w:style w:type="character" w:customStyle="1" w:styleId="BodyTextChar">
    <w:name w:val="Body Text Char"/>
    <w:basedOn w:val="DefaultParagraphFont"/>
    <w:link w:val="BodyText"/>
    <w:uiPriority w:val="1"/>
    <w:rsid w:val="00A95DF9"/>
    <w:rPr>
      <w:rFonts w:ascii="Arial" w:eastAsia="Arial" w:hAnsi="Arial" w:cs="Times New Roman"/>
      <w:sz w:val="20"/>
      <w:szCs w:val="20"/>
      <w:lang w:val="en-US"/>
    </w:rPr>
  </w:style>
  <w:style w:type="character" w:customStyle="1" w:styleId="apple-converted-space">
    <w:name w:val="apple-converted-space"/>
    <w:basedOn w:val="DefaultParagraphFont"/>
    <w:rsid w:val="00A95DF9"/>
  </w:style>
  <w:style w:type="paragraph" w:customStyle="1" w:styleId="Cuadroseilustraciones">
    <w:name w:val="Cuadros e ilustraciones"/>
    <w:basedOn w:val="Normal"/>
    <w:link w:val="CuadroseilustracionesCar"/>
    <w:qFormat/>
    <w:rsid w:val="00A95DF9"/>
    <w:pPr>
      <w:keepNext/>
      <w:spacing w:after="0" w:line="240" w:lineRule="auto"/>
    </w:pPr>
    <w:rPr>
      <w:rFonts w:ascii="Arial" w:eastAsia="Times New Roman" w:hAnsi="Arial" w:cs="Times New Roman"/>
      <w:b/>
      <w:szCs w:val="24"/>
      <w:lang w:val="x-none" w:eastAsia="x-none"/>
    </w:rPr>
  </w:style>
  <w:style w:type="character" w:customStyle="1" w:styleId="CuadroseilustracionesCar">
    <w:name w:val="Cuadros e ilustraciones Car"/>
    <w:link w:val="Cuadroseilustraciones"/>
    <w:rsid w:val="00A95DF9"/>
    <w:rPr>
      <w:rFonts w:ascii="Arial" w:eastAsia="Times New Roman" w:hAnsi="Arial" w:cs="Times New Roman"/>
      <w:b/>
      <w:szCs w:val="24"/>
      <w:lang w:val="x-none" w:eastAsia="x-none"/>
    </w:rPr>
  </w:style>
  <w:style w:type="character" w:customStyle="1" w:styleId="EndnoteTextChar">
    <w:name w:val="Endnote Text Char"/>
    <w:basedOn w:val="DefaultParagraphFont"/>
    <w:link w:val="EndnoteText"/>
    <w:uiPriority w:val="99"/>
    <w:semiHidden/>
    <w:rsid w:val="00A95DF9"/>
    <w:rPr>
      <w:rFonts w:ascii="Arial" w:eastAsia="Times New Roman" w:hAnsi="Arial" w:cs="Times New Roman"/>
      <w:sz w:val="20"/>
      <w:szCs w:val="20"/>
      <w:lang w:val="x-none" w:eastAsia="es-ES"/>
    </w:rPr>
  </w:style>
  <w:style w:type="paragraph" w:styleId="EndnoteText">
    <w:name w:val="endnote text"/>
    <w:basedOn w:val="Normal"/>
    <w:link w:val="EndnoteTextChar"/>
    <w:uiPriority w:val="99"/>
    <w:semiHidden/>
    <w:unhideWhenUsed/>
    <w:rsid w:val="00A95DF9"/>
    <w:pPr>
      <w:spacing w:before="120" w:after="60" w:line="276" w:lineRule="auto"/>
    </w:pPr>
    <w:rPr>
      <w:rFonts w:ascii="Arial" w:eastAsia="Times New Roman" w:hAnsi="Arial" w:cs="Times New Roman"/>
      <w:sz w:val="20"/>
      <w:szCs w:val="20"/>
      <w:lang w:val="x-none" w:eastAsia="es-ES"/>
    </w:rPr>
  </w:style>
  <w:style w:type="character" w:styleId="Mention">
    <w:name w:val="Mention"/>
    <w:basedOn w:val="DefaultParagraphFont"/>
    <w:uiPriority w:val="99"/>
    <w:semiHidden/>
    <w:unhideWhenUsed/>
    <w:rsid w:val="009F6353"/>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520683">
      <w:bodyDiv w:val="1"/>
      <w:marLeft w:val="0"/>
      <w:marRight w:val="0"/>
      <w:marTop w:val="0"/>
      <w:marBottom w:val="0"/>
      <w:divBdr>
        <w:top w:val="none" w:sz="0" w:space="0" w:color="auto"/>
        <w:left w:val="none" w:sz="0" w:space="0" w:color="auto"/>
        <w:bottom w:val="none" w:sz="0" w:space="0" w:color="auto"/>
        <w:right w:val="none" w:sz="0" w:space="0" w:color="auto"/>
      </w:divBdr>
    </w:div>
    <w:div w:id="111675209">
      <w:bodyDiv w:val="1"/>
      <w:marLeft w:val="0"/>
      <w:marRight w:val="0"/>
      <w:marTop w:val="0"/>
      <w:marBottom w:val="0"/>
      <w:divBdr>
        <w:top w:val="none" w:sz="0" w:space="0" w:color="auto"/>
        <w:left w:val="none" w:sz="0" w:space="0" w:color="auto"/>
        <w:bottom w:val="none" w:sz="0" w:space="0" w:color="auto"/>
        <w:right w:val="none" w:sz="0" w:space="0" w:color="auto"/>
      </w:divBdr>
    </w:div>
    <w:div w:id="178666766">
      <w:bodyDiv w:val="1"/>
      <w:marLeft w:val="0"/>
      <w:marRight w:val="0"/>
      <w:marTop w:val="0"/>
      <w:marBottom w:val="0"/>
      <w:divBdr>
        <w:top w:val="none" w:sz="0" w:space="0" w:color="auto"/>
        <w:left w:val="none" w:sz="0" w:space="0" w:color="auto"/>
        <w:bottom w:val="none" w:sz="0" w:space="0" w:color="auto"/>
        <w:right w:val="none" w:sz="0" w:space="0" w:color="auto"/>
      </w:divBdr>
    </w:div>
    <w:div w:id="246116191">
      <w:bodyDiv w:val="1"/>
      <w:marLeft w:val="0"/>
      <w:marRight w:val="0"/>
      <w:marTop w:val="0"/>
      <w:marBottom w:val="0"/>
      <w:divBdr>
        <w:top w:val="none" w:sz="0" w:space="0" w:color="auto"/>
        <w:left w:val="none" w:sz="0" w:space="0" w:color="auto"/>
        <w:bottom w:val="none" w:sz="0" w:space="0" w:color="auto"/>
        <w:right w:val="none" w:sz="0" w:space="0" w:color="auto"/>
      </w:divBdr>
    </w:div>
    <w:div w:id="290137774">
      <w:bodyDiv w:val="1"/>
      <w:marLeft w:val="0"/>
      <w:marRight w:val="0"/>
      <w:marTop w:val="0"/>
      <w:marBottom w:val="0"/>
      <w:divBdr>
        <w:top w:val="none" w:sz="0" w:space="0" w:color="auto"/>
        <w:left w:val="none" w:sz="0" w:space="0" w:color="auto"/>
        <w:bottom w:val="none" w:sz="0" w:space="0" w:color="auto"/>
        <w:right w:val="none" w:sz="0" w:space="0" w:color="auto"/>
      </w:divBdr>
    </w:div>
    <w:div w:id="532618317">
      <w:bodyDiv w:val="1"/>
      <w:marLeft w:val="0"/>
      <w:marRight w:val="0"/>
      <w:marTop w:val="0"/>
      <w:marBottom w:val="0"/>
      <w:divBdr>
        <w:top w:val="none" w:sz="0" w:space="0" w:color="auto"/>
        <w:left w:val="none" w:sz="0" w:space="0" w:color="auto"/>
        <w:bottom w:val="none" w:sz="0" w:space="0" w:color="auto"/>
        <w:right w:val="none" w:sz="0" w:space="0" w:color="auto"/>
      </w:divBdr>
    </w:div>
    <w:div w:id="602691956">
      <w:bodyDiv w:val="1"/>
      <w:marLeft w:val="0"/>
      <w:marRight w:val="0"/>
      <w:marTop w:val="0"/>
      <w:marBottom w:val="0"/>
      <w:divBdr>
        <w:top w:val="none" w:sz="0" w:space="0" w:color="auto"/>
        <w:left w:val="none" w:sz="0" w:space="0" w:color="auto"/>
        <w:bottom w:val="none" w:sz="0" w:space="0" w:color="auto"/>
        <w:right w:val="none" w:sz="0" w:space="0" w:color="auto"/>
      </w:divBdr>
    </w:div>
    <w:div w:id="631012849">
      <w:bodyDiv w:val="1"/>
      <w:marLeft w:val="0"/>
      <w:marRight w:val="0"/>
      <w:marTop w:val="0"/>
      <w:marBottom w:val="0"/>
      <w:divBdr>
        <w:top w:val="none" w:sz="0" w:space="0" w:color="auto"/>
        <w:left w:val="none" w:sz="0" w:space="0" w:color="auto"/>
        <w:bottom w:val="none" w:sz="0" w:space="0" w:color="auto"/>
        <w:right w:val="none" w:sz="0" w:space="0" w:color="auto"/>
      </w:divBdr>
    </w:div>
    <w:div w:id="927537258">
      <w:bodyDiv w:val="1"/>
      <w:marLeft w:val="0"/>
      <w:marRight w:val="0"/>
      <w:marTop w:val="0"/>
      <w:marBottom w:val="0"/>
      <w:divBdr>
        <w:top w:val="none" w:sz="0" w:space="0" w:color="auto"/>
        <w:left w:val="none" w:sz="0" w:space="0" w:color="auto"/>
        <w:bottom w:val="none" w:sz="0" w:space="0" w:color="auto"/>
        <w:right w:val="none" w:sz="0" w:space="0" w:color="auto"/>
      </w:divBdr>
    </w:div>
    <w:div w:id="1002244979">
      <w:bodyDiv w:val="1"/>
      <w:marLeft w:val="0"/>
      <w:marRight w:val="0"/>
      <w:marTop w:val="0"/>
      <w:marBottom w:val="0"/>
      <w:divBdr>
        <w:top w:val="none" w:sz="0" w:space="0" w:color="auto"/>
        <w:left w:val="none" w:sz="0" w:space="0" w:color="auto"/>
        <w:bottom w:val="none" w:sz="0" w:space="0" w:color="auto"/>
        <w:right w:val="none" w:sz="0" w:space="0" w:color="auto"/>
      </w:divBdr>
    </w:div>
    <w:div w:id="1140460530">
      <w:bodyDiv w:val="1"/>
      <w:marLeft w:val="0"/>
      <w:marRight w:val="0"/>
      <w:marTop w:val="0"/>
      <w:marBottom w:val="0"/>
      <w:divBdr>
        <w:top w:val="none" w:sz="0" w:space="0" w:color="auto"/>
        <w:left w:val="none" w:sz="0" w:space="0" w:color="auto"/>
        <w:bottom w:val="none" w:sz="0" w:space="0" w:color="auto"/>
        <w:right w:val="none" w:sz="0" w:space="0" w:color="auto"/>
      </w:divBdr>
    </w:div>
    <w:div w:id="1264000304">
      <w:bodyDiv w:val="1"/>
      <w:marLeft w:val="0"/>
      <w:marRight w:val="0"/>
      <w:marTop w:val="0"/>
      <w:marBottom w:val="0"/>
      <w:divBdr>
        <w:top w:val="none" w:sz="0" w:space="0" w:color="auto"/>
        <w:left w:val="none" w:sz="0" w:space="0" w:color="auto"/>
        <w:bottom w:val="none" w:sz="0" w:space="0" w:color="auto"/>
        <w:right w:val="none" w:sz="0" w:space="0" w:color="auto"/>
      </w:divBdr>
    </w:div>
    <w:div w:id="1718121684">
      <w:bodyDiv w:val="1"/>
      <w:marLeft w:val="0"/>
      <w:marRight w:val="0"/>
      <w:marTop w:val="0"/>
      <w:marBottom w:val="0"/>
      <w:divBdr>
        <w:top w:val="none" w:sz="0" w:space="0" w:color="auto"/>
        <w:left w:val="none" w:sz="0" w:space="0" w:color="auto"/>
        <w:bottom w:val="none" w:sz="0" w:space="0" w:color="auto"/>
        <w:right w:val="none" w:sz="0" w:space="0" w:color="auto"/>
      </w:divBdr>
    </w:div>
    <w:div w:id="1937707863">
      <w:bodyDiv w:val="1"/>
      <w:marLeft w:val="0"/>
      <w:marRight w:val="0"/>
      <w:marTop w:val="0"/>
      <w:marBottom w:val="0"/>
      <w:divBdr>
        <w:top w:val="none" w:sz="0" w:space="0" w:color="auto"/>
        <w:left w:val="none" w:sz="0" w:space="0" w:color="auto"/>
        <w:bottom w:val="none" w:sz="0" w:space="0" w:color="auto"/>
        <w:right w:val="none" w:sz="0" w:space="0" w:color="auto"/>
      </w:divBdr>
    </w:div>
    <w:div w:id="1944143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6.xml"/><Relationship Id="rId21" Type="http://schemas.openxmlformats.org/officeDocument/2006/relationships/image" Target="media/image9.emf"/><Relationship Id="rId42" Type="http://schemas.openxmlformats.org/officeDocument/2006/relationships/image" Target="media/image30.png"/><Relationship Id="rId63" Type="http://schemas.openxmlformats.org/officeDocument/2006/relationships/image" Target="media/image51.emf"/><Relationship Id="rId84" Type="http://schemas.openxmlformats.org/officeDocument/2006/relationships/image" Target="media/image72.emf"/><Relationship Id="rId138" Type="http://schemas.openxmlformats.org/officeDocument/2006/relationships/image" Target="media/image118.png"/><Relationship Id="rId159" Type="http://schemas.openxmlformats.org/officeDocument/2006/relationships/image" Target="media/image137.emf"/><Relationship Id="rId170" Type="http://schemas.openxmlformats.org/officeDocument/2006/relationships/image" Target="media/image141.emf"/><Relationship Id="rId191" Type="http://schemas.openxmlformats.org/officeDocument/2006/relationships/image" Target="media/image156.emf"/><Relationship Id="rId205" Type="http://schemas.openxmlformats.org/officeDocument/2006/relationships/image" Target="media/image164.wmf"/><Relationship Id="rId107" Type="http://schemas.openxmlformats.org/officeDocument/2006/relationships/image" Target="media/image91.wmf"/><Relationship Id="rId11" Type="http://schemas.openxmlformats.org/officeDocument/2006/relationships/footer" Target="footer2.xml"/><Relationship Id="rId32" Type="http://schemas.openxmlformats.org/officeDocument/2006/relationships/image" Target="media/image20.emf"/><Relationship Id="rId53" Type="http://schemas.openxmlformats.org/officeDocument/2006/relationships/image" Target="media/image41.emf"/><Relationship Id="rId74" Type="http://schemas.openxmlformats.org/officeDocument/2006/relationships/image" Target="media/image62.emf"/><Relationship Id="rId128" Type="http://schemas.openxmlformats.org/officeDocument/2006/relationships/image" Target="media/image108.emf"/><Relationship Id="rId149" Type="http://schemas.openxmlformats.org/officeDocument/2006/relationships/image" Target="media/image127.emf"/><Relationship Id="rId5" Type="http://schemas.openxmlformats.org/officeDocument/2006/relationships/settings" Target="settings.xml"/><Relationship Id="rId95" Type="http://schemas.openxmlformats.org/officeDocument/2006/relationships/image" Target="media/image83.emf"/><Relationship Id="rId160" Type="http://schemas.openxmlformats.org/officeDocument/2006/relationships/image" Target="media/image138.emf"/><Relationship Id="rId181" Type="http://schemas.openxmlformats.org/officeDocument/2006/relationships/oleObject" Target="embeddings/oleObject11.bin"/><Relationship Id="rId216" Type="http://schemas.openxmlformats.org/officeDocument/2006/relationships/footer" Target="footer15.xml"/><Relationship Id="rId211" Type="http://schemas.openxmlformats.org/officeDocument/2006/relationships/image" Target="media/image168.emf"/><Relationship Id="rId22" Type="http://schemas.openxmlformats.org/officeDocument/2006/relationships/image" Target="media/image10.emf"/><Relationship Id="rId27" Type="http://schemas.openxmlformats.org/officeDocument/2006/relationships/image" Target="media/image15.emf"/><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emf"/><Relationship Id="rId69" Type="http://schemas.openxmlformats.org/officeDocument/2006/relationships/image" Target="media/image57.emf"/><Relationship Id="rId113" Type="http://schemas.openxmlformats.org/officeDocument/2006/relationships/image" Target="media/image96.emf"/><Relationship Id="rId118" Type="http://schemas.openxmlformats.org/officeDocument/2006/relationships/header" Target="header6.xml"/><Relationship Id="rId134" Type="http://schemas.openxmlformats.org/officeDocument/2006/relationships/image" Target="media/image114.emf"/><Relationship Id="rId139" Type="http://schemas.openxmlformats.org/officeDocument/2006/relationships/image" Target="media/image119.png"/><Relationship Id="rId80" Type="http://schemas.openxmlformats.org/officeDocument/2006/relationships/image" Target="media/image68.emf"/><Relationship Id="rId85" Type="http://schemas.openxmlformats.org/officeDocument/2006/relationships/image" Target="media/image73.emf"/><Relationship Id="rId150" Type="http://schemas.openxmlformats.org/officeDocument/2006/relationships/image" Target="media/image128.emf"/><Relationship Id="rId155" Type="http://schemas.openxmlformats.org/officeDocument/2006/relationships/image" Target="media/image133.png"/><Relationship Id="rId171" Type="http://schemas.openxmlformats.org/officeDocument/2006/relationships/image" Target="media/image142.wmf"/><Relationship Id="rId176" Type="http://schemas.openxmlformats.org/officeDocument/2006/relationships/oleObject" Target="embeddings/oleObject10.bin"/><Relationship Id="rId192" Type="http://schemas.openxmlformats.org/officeDocument/2006/relationships/footer" Target="footer11.xml"/><Relationship Id="rId197" Type="http://schemas.openxmlformats.org/officeDocument/2006/relationships/image" Target="media/image158.emf"/><Relationship Id="rId206" Type="http://schemas.openxmlformats.org/officeDocument/2006/relationships/oleObject" Target="embeddings/oleObject17.bin"/><Relationship Id="rId201" Type="http://schemas.openxmlformats.org/officeDocument/2006/relationships/oleObject" Target="embeddings/oleObject15.bin"/><Relationship Id="rId222" Type="http://schemas.openxmlformats.org/officeDocument/2006/relationships/image" Target="media/image174.emf"/><Relationship Id="rId12" Type="http://schemas.openxmlformats.org/officeDocument/2006/relationships/image" Target="media/image1.emf"/><Relationship Id="rId17" Type="http://schemas.openxmlformats.org/officeDocument/2006/relationships/image" Target="media/image5.emf"/><Relationship Id="rId33" Type="http://schemas.openxmlformats.org/officeDocument/2006/relationships/image" Target="media/image21.emf"/><Relationship Id="rId38" Type="http://schemas.openxmlformats.org/officeDocument/2006/relationships/image" Target="media/image26.emf"/><Relationship Id="rId59" Type="http://schemas.openxmlformats.org/officeDocument/2006/relationships/image" Target="media/image47.emf"/><Relationship Id="rId103" Type="http://schemas.openxmlformats.org/officeDocument/2006/relationships/header" Target="header3.xml"/><Relationship Id="rId108" Type="http://schemas.openxmlformats.org/officeDocument/2006/relationships/oleObject" Target="embeddings/oleObject2.bin"/><Relationship Id="rId124" Type="http://schemas.openxmlformats.org/officeDocument/2006/relationships/image" Target="media/image104.emf"/><Relationship Id="rId129" Type="http://schemas.openxmlformats.org/officeDocument/2006/relationships/image" Target="media/image109.emf"/><Relationship Id="rId54" Type="http://schemas.openxmlformats.org/officeDocument/2006/relationships/image" Target="media/image42.emf"/><Relationship Id="rId70" Type="http://schemas.openxmlformats.org/officeDocument/2006/relationships/image" Target="media/image58.emf"/><Relationship Id="rId75" Type="http://schemas.openxmlformats.org/officeDocument/2006/relationships/image" Target="media/image63.emf"/><Relationship Id="rId91" Type="http://schemas.openxmlformats.org/officeDocument/2006/relationships/image" Target="media/image79.emf"/><Relationship Id="rId96" Type="http://schemas.openxmlformats.org/officeDocument/2006/relationships/image" Target="media/image84.emf"/><Relationship Id="rId140" Type="http://schemas.openxmlformats.org/officeDocument/2006/relationships/image" Target="media/image120.png"/><Relationship Id="rId145" Type="http://schemas.openxmlformats.org/officeDocument/2006/relationships/oleObject" Target="embeddings/oleObject4.bin"/><Relationship Id="rId161" Type="http://schemas.openxmlformats.org/officeDocument/2006/relationships/image" Target="media/image139.emf"/><Relationship Id="rId166" Type="http://schemas.openxmlformats.org/officeDocument/2006/relationships/header" Target="header9.xml"/><Relationship Id="rId182" Type="http://schemas.openxmlformats.org/officeDocument/2006/relationships/image" Target="media/image149.wmf"/><Relationship Id="rId187" Type="http://schemas.openxmlformats.org/officeDocument/2006/relationships/image" Target="media/image152.emf"/><Relationship Id="rId217" Type="http://schemas.openxmlformats.org/officeDocument/2006/relationships/image" Target="media/image171.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69.emf"/><Relationship Id="rId23" Type="http://schemas.openxmlformats.org/officeDocument/2006/relationships/image" Target="media/image11.emf"/><Relationship Id="rId28" Type="http://schemas.openxmlformats.org/officeDocument/2006/relationships/image" Target="media/image16.emf"/><Relationship Id="rId49" Type="http://schemas.openxmlformats.org/officeDocument/2006/relationships/image" Target="media/image37.png"/><Relationship Id="rId114" Type="http://schemas.openxmlformats.org/officeDocument/2006/relationships/image" Target="media/image97.emf"/><Relationship Id="rId119" Type="http://schemas.openxmlformats.org/officeDocument/2006/relationships/image" Target="media/image99.emf"/><Relationship Id="rId44" Type="http://schemas.openxmlformats.org/officeDocument/2006/relationships/image" Target="media/image32.png"/><Relationship Id="rId60" Type="http://schemas.openxmlformats.org/officeDocument/2006/relationships/image" Target="media/image48.emf"/><Relationship Id="rId65" Type="http://schemas.openxmlformats.org/officeDocument/2006/relationships/image" Target="media/image53.emf"/><Relationship Id="rId81" Type="http://schemas.openxmlformats.org/officeDocument/2006/relationships/image" Target="media/image69.emf"/><Relationship Id="rId86" Type="http://schemas.openxmlformats.org/officeDocument/2006/relationships/image" Target="media/image74.png"/><Relationship Id="rId130" Type="http://schemas.openxmlformats.org/officeDocument/2006/relationships/image" Target="media/image110.emf"/><Relationship Id="rId135" Type="http://schemas.openxmlformats.org/officeDocument/2006/relationships/image" Target="media/image115.emf"/><Relationship Id="rId151" Type="http://schemas.openxmlformats.org/officeDocument/2006/relationships/image" Target="media/image129.emf"/><Relationship Id="rId156" Type="http://schemas.openxmlformats.org/officeDocument/2006/relationships/image" Target="media/image134.emf"/><Relationship Id="rId177" Type="http://schemas.openxmlformats.org/officeDocument/2006/relationships/image" Target="media/image145.emf"/><Relationship Id="rId198" Type="http://schemas.openxmlformats.org/officeDocument/2006/relationships/image" Target="media/image159.emf"/><Relationship Id="rId172" Type="http://schemas.openxmlformats.org/officeDocument/2006/relationships/oleObject" Target="embeddings/oleObject8.bin"/><Relationship Id="rId193" Type="http://schemas.openxmlformats.org/officeDocument/2006/relationships/header" Target="header10.xml"/><Relationship Id="rId202" Type="http://schemas.openxmlformats.org/officeDocument/2006/relationships/image" Target="media/image162.emf"/><Relationship Id="rId207" Type="http://schemas.openxmlformats.org/officeDocument/2006/relationships/image" Target="media/image165.wmf"/><Relationship Id="rId223" Type="http://schemas.openxmlformats.org/officeDocument/2006/relationships/footer" Target="footer18.xml"/><Relationship Id="rId13" Type="http://schemas.openxmlformats.org/officeDocument/2006/relationships/footer" Target="footer3.xml"/><Relationship Id="rId18" Type="http://schemas.openxmlformats.org/officeDocument/2006/relationships/image" Target="media/image6.emf"/><Relationship Id="rId39" Type="http://schemas.openxmlformats.org/officeDocument/2006/relationships/image" Target="media/image27.emf"/><Relationship Id="rId109" Type="http://schemas.openxmlformats.org/officeDocument/2006/relationships/image" Target="media/image92.emf"/><Relationship Id="rId34" Type="http://schemas.openxmlformats.org/officeDocument/2006/relationships/image" Target="media/image22.emf"/><Relationship Id="rId50" Type="http://schemas.openxmlformats.org/officeDocument/2006/relationships/image" Target="media/image38.emf"/><Relationship Id="rId55" Type="http://schemas.openxmlformats.org/officeDocument/2006/relationships/image" Target="media/image43.emf"/><Relationship Id="rId76" Type="http://schemas.openxmlformats.org/officeDocument/2006/relationships/image" Target="media/image64.emf"/><Relationship Id="rId97" Type="http://schemas.openxmlformats.org/officeDocument/2006/relationships/image" Target="media/image85.emf"/><Relationship Id="rId104" Type="http://schemas.openxmlformats.org/officeDocument/2006/relationships/footer" Target="footer5.xml"/><Relationship Id="rId120" Type="http://schemas.openxmlformats.org/officeDocument/2006/relationships/image" Target="media/image100.emf"/><Relationship Id="rId125" Type="http://schemas.openxmlformats.org/officeDocument/2006/relationships/image" Target="media/image105.emf"/><Relationship Id="rId141" Type="http://schemas.openxmlformats.org/officeDocument/2006/relationships/image" Target="media/image121.png"/><Relationship Id="rId146" Type="http://schemas.openxmlformats.org/officeDocument/2006/relationships/image" Target="media/image125.wmf"/><Relationship Id="rId167" Type="http://schemas.openxmlformats.org/officeDocument/2006/relationships/footer" Target="footer9.xml"/><Relationship Id="rId188" Type="http://schemas.openxmlformats.org/officeDocument/2006/relationships/image" Target="media/image153.emf"/><Relationship Id="rId7" Type="http://schemas.openxmlformats.org/officeDocument/2006/relationships/footnotes" Target="footnotes.xml"/><Relationship Id="rId71" Type="http://schemas.openxmlformats.org/officeDocument/2006/relationships/image" Target="media/image59.emf"/><Relationship Id="rId92" Type="http://schemas.openxmlformats.org/officeDocument/2006/relationships/image" Target="media/image80.emf"/><Relationship Id="rId162" Type="http://schemas.openxmlformats.org/officeDocument/2006/relationships/header" Target="header7.xml"/><Relationship Id="rId183" Type="http://schemas.openxmlformats.org/officeDocument/2006/relationships/oleObject" Target="embeddings/oleObject12.bin"/><Relationship Id="rId213" Type="http://schemas.openxmlformats.org/officeDocument/2006/relationships/footer" Target="footer13.xml"/><Relationship Id="rId218" Type="http://schemas.openxmlformats.org/officeDocument/2006/relationships/footer" Target="footer16.xml"/><Relationship Id="rId2" Type="http://schemas.openxmlformats.org/officeDocument/2006/relationships/customXml" Target="../customXml/item2.xml"/><Relationship Id="rId29" Type="http://schemas.openxmlformats.org/officeDocument/2006/relationships/image" Target="media/image17.emf"/><Relationship Id="rId24" Type="http://schemas.openxmlformats.org/officeDocument/2006/relationships/image" Target="media/image12.emf"/><Relationship Id="rId40" Type="http://schemas.openxmlformats.org/officeDocument/2006/relationships/image" Target="media/image28.emf"/><Relationship Id="rId45" Type="http://schemas.openxmlformats.org/officeDocument/2006/relationships/image" Target="media/image33.png"/><Relationship Id="rId66" Type="http://schemas.openxmlformats.org/officeDocument/2006/relationships/image" Target="media/image54.emf"/><Relationship Id="rId87" Type="http://schemas.openxmlformats.org/officeDocument/2006/relationships/image" Target="media/image75.emf"/><Relationship Id="rId110" Type="http://schemas.openxmlformats.org/officeDocument/2006/relationships/image" Target="media/image93.emf"/><Relationship Id="rId115" Type="http://schemas.openxmlformats.org/officeDocument/2006/relationships/image" Target="media/image98.emf"/><Relationship Id="rId131" Type="http://schemas.openxmlformats.org/officeDocument/2006/relationships/image" Target="media/image111.emf"/><Relationship Id="rId136" Type="http://schemas.openxmlformats.org/officeDocument/2006/relationships/image" Target="media/image116.emf"/><Relationship Id="rId157" Type="http://schemas.openxmlformats.org/officeDocument/2006/relationships/image" Target="media/image135.emf"/><Relationship Id="rId178" Type="http://schemas.openxmlformats.org/officeDocument/2006/relationships/image" Target="media/image146.emf"/><Relationship Id="rId61" Type="http://schemas.openxmlformats.org/officeDocument/2006/relationships/image" Target="media/image49.emf"/><Relationship Id="rId82" Type="http://schemas.openxmlformats.org/officeDocument/2006/relationships/image" Target="media/image70.emf"/><Relationship Id="rId152" Type="http://schemas.openxmlformats.org/officeDocument/2006/relationships/image" Target="media/image130.emf"/><Relationship Id="rId173" Type="http://schemas.openxmlformats.org/officeDocument/2006/relationships/image" Target="media/image143.wmf"/><Relationship Id="rId194" Type="http://schemas.openxmlformats.org/officeDocument/2006/relationships/footer" Target="footer12.xml"/><Relationship Id="rId199" Type="http://schemas.openxmlformats.org/officeDocument/2006/relationships/image" Target="media/image160.emf"/><Relationship Id="rId203" Type="http://schemas.openxmlformats.org/officeDocument/2006/relationships/image" Target="media/image163.wmf"/><Relationship Id="rId208" Type="http://schemas.openxmlformats.org/officeDocument/2006/relationships/oleObject" Target="embeddings/oleObject18.bin"/><Relationship Id="rId19" Type="http://schemas.openxmlformats.org/officeDocument/2006/relationships/image" Target="media/image7.emf"/><Relationship Id="rId224" Type="http://schemas.openxmlformats.org/officeDocument/2006/relationships/fontTable" Target="fontTable.xml"/><Relationship Id="rId14" Type="http://schemas.openxmlformats.org/officeDocument/2006/relationships/image" Target="media/image2.png"/><Relationship Id="rId30" Type="http://schemas.openxmlformats.org/officeDocument/2006/relationships/image" Target="media/image18.emf"/><Relationship Id="rId35" Type="http://schemas.openxmlformats.org/officeDocument/2006/relationships/image" Target="media/image23.emf"/><Relationship Id="rId56" Type="http://schemas.openxmlformats.org/officeDocument/2006/relationships/image" Target="media/image44.emf"/><Relationship Id="rId77" Type="http://schemas.openxmlformats.org/officeDocument/2006/relationships/image" Target="media/image65.emf"/><Relationship Id="rId100" Type="http://schemas.openxmlformats.org/officeDocument/2006/relationships/footer" Target="footer4.xml"/><Relationship Id="rId105" Type="http://schemas.openxmlformats.org/officeDocument/2006/relationships/header" Target="header4.xml"/><Relationship Id="rId126" Type="http://schemas.openxmlformats.org/officeDocument/2006/relationships/image" Target="media/image106.emf"/><Relationship Id="rId147" Type="http://schemas.openxmlformats.org/officeDocument/2006/relationships/oleObject" Target="embeddings/oleObject6.bin"/><Relationship Id="rId168" Type="http://schemas.openxmlformats.org/officeDocument/2006/relationships/image" Target="media/image140.wmf"/><Relationship Id="rId8" Type="http://schemas.openxmlformats.org/officeDocument/2006/relationships/endnotes" Target="endnotes.xml"/><Relationship Id="rId51" Type="http://schemas.openxmlformats.org/officeDocument/2006/relationships/image" Target="media/image39.emf"/><Relationship Id="rId72" Type="http://schemas.openxmlformats.org/officeDocument/2006/relationships/image" Target="media/image60.emf"/><Relationship Id="rId93" Type="http://schemas.openxmlformats.org/officeDocument/2006/relationships/image" Target="media/image81.jpeg"/><Relationship Id="rId98" Type="http://schemas.openxmlformats.org/officeDocument/2006/relationships/image" Target="media/image86.emf"/><Relationship Id="rId121" Type="http://schemas.openxmlformats.org/officeDocument/2006/relationships/image" Target="media/image101.emf"/><Relationship Id="rId142" Type="http://schemas.openxmlformats.org/officeDocument/2006/relationships/image" Target="media/image122.wmf"/><Relationship Id="rId163" Type="http://schemas.openxmlformats.org/officeDocument/2006/relationships/header" Target="header8.xml"/><Relationship Id="rId184" Type="http://schemas.openxmlformats.org/officeDocument/2006/relationships/footer" Target="footer10.xml"/><Relationship Id="rId189" Type="http://schemas.openxmlformats.org/officeDocument/2006/relationships/image" Target="media/image154.emf"/><Relationship Id="rId219" Type="http://schemas.openxmlformats.org/officeDocument/2006/relationships/footer" Target="footer17.xml"/><Relationship Id="rId3" Type="http://schemas.openxmlformats.org/officeDocument/2006/relationships/numbering" Target="numbering.xml"/><Relationship Id="rId214" Type="http://schemas.openxmlformats.org/officeDocument/2006/relationships/image" Target="media/image170.emf"/><Relationship Id="rId25" Type="http://schemas.openxmlformats.org/officeDocument/2006/relationships/image" Target="media/image13.emf"/><Relationship Id="rId46" Type="http://schemas.openxmlformats.org/officeDocument/2006/relationships/image" Target="media/image34.png"/><Relationship Id="rId67" Type="http://schemas.openxmlformats.org/officeDocument/2006/relationships/image" Target="media/image55.emf"/><Relationship Id="rId116" Type="http://schemas.openxmlformats.org/officeDocument/2006/relationships/header" Target="header5.xml"/><Relationship Id="rId137" Type="http://schemas.openxmlformats.org/officeDocument/2006/relationships/image" Target="media/image117.png"/><Relationship Id="rId158" Type="http://schemas.openxmlformats.org/officeDocument/2006/relationships/image" Target="media/image136.emf"/><Relationship Id="rId20" Type="http://schemas.openxmlformats.org/officeDocument/2006/relationships/image" Target="media/image8.emf"/><Relationship Id="rId41" Type="http://schemas.openxmlformats.org/officeDocument/2006/relationships/image" Target="media/image29.png"/><Relationship Id="rId62" Type="http://schemas.openxmlformats.org/officeDocument/2006/relationships/image" Target="media/image50.emf"/><Relationship Id="rId83" Type="http://schemas.openxmlformats.org/officeDocument/2006/relationships/image" Target="media/image71.emf"/><Relationship Id="rId88" Type="http://schemas.openxmlformats.org/officeDocument/2006/relationships/image" Target="media/image76.emf"/><Relationship Id="rId111" Type="http://schemas.openxmlformats.org/officeDocument/2006/relationships/image" Target="media/image94.emf"/><Relationship Id="rId132" Type="http://schemas.openxmlformats.org/officeDocument/2006/relationships/image" Target="media/image112.emf"/><Relationship Id="rId153" Type="http://schemas.openxmlformats.org/officeDocument/2006/relationships/image" Target="media/image131.png"/><Relationship Id="rId174" Type="http://schemas.openxmlformats.org/officeDocument/2006/relationships/oleObject" Target="embeddings/oleObject9.bin"/><Relationship Id="rId179" Type="http://schemas.openxmlformats.org/officeDocument/2006/relationships/image" Target="media/image147.emf"/><Relationship Id="rId195" Type="http://schemas.openxmlformats.org/officeDocument/2006/relationships/image" Target="media/image157.wmf"/><Relationship Id="rId209" Type="http://schemas.openxmlformats.org/officeDocument/2006/relationships/image" Target="media/image166.emf"/><Relationship Id="rId190" Type="http://schemas.openxmlformats.org/officeDocument/2006/relationships/image" Target="media/image155.png"/><Relationship Id="rId204" Type="http://schemas.openxmlformats.org/officeDocument/2006/relationships/oleObject" Target="embeddings/oleObject16.bin"/><Relationship Id="rId220" Type="http://schemas.openxmlformats.org/officeDocument/2006/relationships/image" Target="media/image172.emf"/><Relationship Id="rId225" Type="http://schemas.openxmlformats.org/officeDocument/2006/relationships/theme" Target="theme/theme1.xml"/><Relationship Id="rId15" Type="http://schemas.openxmlformats.org/officeDocument/2006/relationships/image" Target="media/image3.emf"/><Relationship Id="rId36" Type="http://schemas.openxmlformats.org/officeDocument/2006/relationships/image" Target="media/image24.emf"/><Relationship Id="rId57" Type="http://schemas.openxmlformats.org/officeDocument/2006/relationships/image" Target="media/image45.emf"/><Relationship Id="rId106" Type="http://schemas.openxmlformats.org/officeDocument/2006/relationships/image" Target="media/image90.emf"/><Relationship Id="rId127" Type="http://schemas.openxmlformats.org/officeDocument/2006/relationships/image" Target="media/image107.emf"/><Relationship Id="rId10" Type="http://schemas.openxmlformats.org/officeDocument/2006/relationships/footer" Target="footer1.xml"/><Relationship Id="rId31" Type="http://schemas.openxmlformats.org/officeDocument/2006/relationships/image" Target="media/image19.emf"/><Relationship Id="rId52" Type="http://schemas.openxmlformats.org/officeDocument/2006/relationships/image" Target="media/image40.emf"/><Relationship Id="rId73" Type="http://schemas.openxmlformats.org/officeDocument/2006/relationships/image" Target="media/image61.emf"/><Relationship Id="rId78" Type="http://schemas.openxmlformats.org/officeDocument/2006/relationships/image" Target="media/image66.emf"/><Relationship Id="rId94" Type="http://schemas.openxmlformats.org/officeDocument/2006/relationships/image" Target="media/image82.emf"/><Relationship Id="rId99" Type="http://schemas.openxmlformats.org/officeDocument/2006/relationships/header" Target="header2.xml"/><Relationship Id="rId101" Type="http://schemas.openxmlformats.org/officeDocument/2006/relationships/image" Target="media/image87.emf"/><Relationship Id="rId122" Type="http://schemas.openxmlformats.org/officeDocument/2006/relationships/image" Target="media/image102.emf"/><Relationship Id="rId143" Type="http://schemas.openxmlformats.org/officeDocument/2006/relationships/oleObject" Target="embeddings/oleObject3.bin"/><Relationship Id="rId148" Type="http://schemas.openxmlformats.org/officeDocument/2006/relationships/image" Target="media/image126.emf"/><Relationship Id="rId164" Type="http://schemas.openxmlformats.org/officeDocument/2006/relationships/footer" Target="footer7.xml"/><Relationship Id="rId169" Type="http://schemas.openxmlformats.org/officeDocument/2006/relationships/oleObject" Target="embeddings/oleObject7.bin"/><Relationship Id="rId185" Type="http://schemas.openxmlformats.org/officeDocument/2006/relationships/image" Target="media/image150.emf"/><Relationship Id="rId4" Type="http://schemas.openxmlformats.org/officeDocument/2006/relationships/styles" Target="styles.xml"/><Relationship Id="rId9" Type="http://schemas.openxmlformats.org/officeDocument/2006/relationships/header" Target="header1.xml"/><Relationship Id="rId180" Type="http://schemas.openxmlformats.org/officeDocument/2006/relationships/image" Target="media/image148.wmf"/><Relationship Id="rId210" Type="http://schemas.openxmlformats.org/officeDocument/2006/relationships/image" Target="media/image167.emf"/><Relationship Id="rId215" Type="http://schemas.openxmlformats.org/officeDocument/2006/relationships/footer" Target="footer14.xml"/><Relationship Id="rId26" Type="http://schemas.openxmlformats.org/officeDocument/2006/relationships/image" Target="media/image14.emf"/><Relationship Id="rId47" Type="http://schemas.openxmlformats.org/officeDocument/2006/relationships/image" Target="media/image35.png"/><Relationship Id="rId68" Type="http://schemas.openxmlformats.org/officeDocument/2006/relationships/image" Target="media/image56.jpeg"/><Relationship Id="rId89" Type="http://schemas.openxmlformats.org/officeDocument/2006/relationships/image" Target="media/image77.emf"/><Relationship Id="rId112" Type="http://schemas.openxmlformats.org/officeDocument/2006/relationships/image" Target="media/image95.emf"/><Relationship Id="rId133" Type="http://schemas.openxmlformats.org/officeDocument/2006/relationships/image" Target="media/image113.emf"/><Relationship Id="rId154" Type="http://schemas.openxmlformats.org/officeDocument/2006/relationships/image" Target="media/image132.emf"/><Relationship Id="rId175" Type="http://schemas.openxmlformats.org/officeDocument/2006/relationships/image" Target="media/image144.wmf"/><Relationship Id="rId196" Type="http://schemas.openxmlformats.org/officeDocument/2006/relationships/oleObject" Target="embeddings/oleObject14.bin"/><Relationship Id="rId200" Type="http://schemas.openxmlformats.org/officeDocument/2006/relationships/image" Target="media/image161.wmf"/><Relationship Id="rId16" Type="http://schemas.openxmlformats.org/officeDocument/2006/relationships/image" Target="media/image4.emf"/><Relationship Id="rId221" Type="http://schemas.openxmlformats.org/officeDocument/2006/relationships/image" Target="media/image173.emf"/><Relationship Id="rId37" Type="http://schemas.openxmlformats.org/officeDocument/2006/relationships/image" Target="media/image25.emf"/><Relationship Id="rId58" Type="http://schemas.openxmlformats.org/officeDocument/2006/relationships/image" Target="media/image46.emf"/><Relationship Id="rId79" Type="http://schemas.openxmlformats.org/officeDocument/2006/relationships/image" Target="media/image67.emf"/><Relationship Id="rId102" Type="http://schemas.openxmlformats.org/officeDocument/2006/relationships/image" Target="media/image88.emf"/><Relationship Id="rId123" Type="http://schemas.openxmlformats.org/officeDocument/2006/relationships/image" Target="media/image103.emf"/><Relationship Id="rId144" Type="http://schemas.openxmlformats.org/officeDocument/2006/relationships/image" Target="media/image123.wmf"/><Relationship Id="rId90" Type="http://schemas.openxmlformats.org/officeDocument/2006/relationships/image" Target="media/image78.emf"/><Relationship Id="rId165" Type="http://schemas.openxmlformats.org/officeDocument/2006/relationships/footer" Target="footer8.xml"/><Relationship Id="rId186" Type="http://schemas.openxmlformats.org/officeDocument/2006/relationships/image" Target="media/image151.emf"/></Relationships>
</file>

<file path=word/_rels/footnotes.xml.rels><?xml version="1.0" encoding="UTF-8" standalone="yes"?>
<Relationships xmlns="http://schemas.openxmlformats.org/package/2006/relationships"><Relationship Id="rId3" Type="http://schemas.openxmlformats.org/officeDocument/2006/relationships/hyperlink" Target="http://www.bvsde.paho.org/bvsaca/e/fulltext/alternat/alternat.pdf" TargetMode="External"/><Relationship Id="rId7" Type="http://schemas.openxmlformats.org/officeDocument/2006/relationships/hyperlink" Target="http://www.bvsde.paho.org/bvsaca/e/fulltext/alternat/alternat.pdf" TargetMode="External"/><Relationship Id="rId2" Type="http://schemas.openxmlformats.org/officeDocument/2006/relationships/hyperlink" Target="http://www.indec.mecon.ar/nivel4_default.asp?id_tema_1=3&amp;id_tema_2=38&amp;id_tema_3=111" TargetMode="External"/><Relationship Id="rId1" Type="http://schemas.openxmlformats.org/officeDocument/2006/relationships/hyperlink" Target="http://www.indec.mecon.ar/bases-de-datos.asp" TargetMode="External"/><Relationship Id="rId6" Type="http://schemas.openxmlformats.org/officeDocument/2006/relationships/hyperlink" Target="http://www.bvsde.paho.org/bvsaca/e/fulltext/marc43/marc43.pdf" TargetMode="External"/><Relationship Id="rId5" Type="http://schemas.openxmlformats.org/officeDocument/2006/relationships/oleObject" Target="embeddings/oleObject5.bin"/><Relationship Id="rId4" Type="http://schemas.openxmlformats.org/officeDocument/2006/relationships/image" Target="media/image124.wmf"/></Relationships>
</file>

<file path=word/_rels/header10.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image" Target="media/image89.png"/></Relationships>
</file>

<file path=word/_rels/header4.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8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0143009\Documents\Plantillas%20personalizadas%20de%20Office\Doc%20Base%20Ev%20Ec.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Informe de la evaluación económica del proyecto de desagües cloacales en las localidades de Beltrán, xxx e yyy</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5B53726-D7EC-4B61-BC4D-0C980DA140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Doc Base Ev Ec.dotx</Template>
  <TotalTime>256</TotalTime>
  <Pages>24</Pages>
  <Words>59064</Words>
  <Characters>336671</Characters>
  <Application>Microsoft Office Word</Application>
  <DocSecurity>0</DocSecurity>
  <Lines>2805</Lines>
  <Paragraphs>789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Sistema de desagües cloacales en Maipú - Mendoza</vt:lpstr>
      <vt:lpstr>Sistema de desagües cloacales en Maipú - Mendoza</vt:lpstr>
    </vt:vector>
  </TitlesOfParts>
  <Company>AySA S,A,</Company>
  <LinksUpToDate>false</LinksUpToDate>
  <CharactersWithSpaces>394946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Sistema de desagües cloacales en Maipú - Mendoza</dc:title>
  <dc:subject>Evaluación Económica</dc:subject>
  <dc:creator>DRL</dc:creator>
  <cp:keywords/>
  <dc:description/>
  <cp:lastModifiedBy>Machado, Kleber B.</cp:lastModifiedBy>
  <cp:revision>17</cp:revision>
  <cp:lastPrinted>2017-04-22T21:03:00Z</cp:lastPrinted>
  <dcterms:created xsi:type="dcterms:W3CDTF">2017-06-12T14:48:00Z</dcterms:created>
  <dcterms:modified xsi:type="dcterms:W3CDTF">2017-07-06T02:05:00Z</dcterms:modified>
</cp:coreProperties>
</file>