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8E" w:rsidRPr="00046570" w:rsidRDefault="00C2448E" w:rsidP="00C2448E">
      <w:pPr>
        <w:pStyle w:val="Title"/>
        <w:tabs>
          <w:tab w:val="clear" w:pos="1440"/>
          <w:tab w:val="clear" w:pos="3060"/>
        </w:tabs>
        <w:outlineLvl w:val="9"/>
        <w:rPr>
          <w:smallCaps/>
          <w:szCs w:val="24"/>
          <w:lang w:val="es-ES"/>
        </w:rPr>
      </w:pPr>
      <w:bookmarkStart w:id="0" w:name="_Toc329186121"/>
      <w:r w:rsidRPr="00046570">
        <w:rPr>
          <w:smallCaps/>
          <w:szCs w:val="24"/>
          <w:lang w:val="es-ES"/>
        </w:rPr>
        <w:t>Documento del Banco Interamericano de Desarrollo</w:t>
      </w:r>
      <w:bookmarkEnd w:id="0"/>
    </w:p>
    <w:p w:rsidR="00C2448E" w:rsidRPr="00046570" w:rsidRDefault="00C2448E" w:rsidP="00C2448E">
      <w:pPr>
        <w:pStyle w:val="ListParagraph"/>
        <w:spacing w:before="120"/>
        <w:ind w:left="0"/>
        <w:jc w:val="center"/>
        <w:rPr>
          <w:b/>
          <w:lang w:val="es-ES"/>
        </w:rPr>
      </w:pPr>
    </w:p>
    <w:p w:rsidR="00C2448E" w:rsidRPr="00046570" w:rsidRDefault="00C2448E" w:rsidP="00C2448E">
      <w:pPr>
        <w:tabs>
          <w:tab w:val="left" w:pos="1440"/>
          <w:tab w:val="left" w:pos="3060"/>
        </w:tabs>
        <w:jc w:val="center"/>
        <w:rPr>
          <w:b/>
          <w:smallCaps/>
          <w:lang w:val="es-ES"/>
        </w:rPr>
      </w:pPr>
    </w:p>
    <w:p w:rsidR="00C2448E" w:rsidRDefault="00C2448E" w:rsidP="00C2448E">
      <w:pPr>
        <w:tabs>
          <w:tab w:val="left" w:pos="1440"/>
          <w:tab w:val="left" w:pos="3060"/>
        </w:tabs>
        <w:jc w:val="center"/>
        <w:rPr>
          <w:b/>
          <w:smallCaps/>
          <w:lang w:val="es-ES"/>
        </w:rPr>
      </w:pPr>
    </w:p>
    <w:p w:rsidR="005C3466" w:rsidRDefault="005C3466" w:rsidP="00C2448E">
      <w:pPr>
        <w:tabs>
          <w:tab w:val="left" w:pos="1440"/>
          <w:tab w:val="left" w:pos="3060"/>
        </w:tabs>
        <w:jc w:val="center"/>
        <w:rPr>
          <w:b/>
          <w:smallCaps/>
          <w:lang w:val="es-ES"/>
        </w:rPr>
      </w:pPr>
    </w:p>
    <w:p w:rsidR="005C3466" w:rsidRDefault="005C3466" w:rsidP="00C2448E">
      <w:pPr>
        <w:tabs>
          <w:tab w:val="left" w:pos="1440"/>
          <w:tab w:val="left" w:pos="3060"/>
        </w:tabs>
        <w:jc w:val="center"/>
        <w:rPr>
          <w:b/>
          <w:smallCaps/>
          <w:lang w:val="es-ES"/>
        </w:rPr>
      </w:pPr>
    </w:p>
    <w:p w:rsidR="005C3466" w:rsidRDefault="005C3466" w:rsidP="00C2448E">
      <w:pPr>
        <w:tabs>
          <w:tab w:val="left" w:pos="1440"/>
          <w:tab w:val="left" w:pos="3060"/>
        </w:tabs>
        <w:jc w:val="center"/>
        <w:rPr>
          <w:b/>
          <w:smallCaps/>
          <w:lang w:val="es-ES"/>
        </w:rPr>
      </w:pPr>
    </w:p>
    <w:p w:rsidR="005C3466" w:rsidRDefault="005C3466" w:rsidP="00C2448E">
      <w:pPr>
        <w:tabs>
          <w:tab w:val="left" w:pos="1440"/>
          <w:tab w:val="left" w:pos="3060"/>
        </w:tabs>
        <w:jc w:val="center"/>
        <w:rPr>
          <w:b/>
          <w:smallCaps/>
          <w:lang w:val="es-ES"/>
        </w:rPr>
      </w:pPr>
    </w:p>
    <w:p w:rsidR="005C3466" w:rsidRPr="00046570" w:rsidRDefault="005C3466" w:rsidP="00C2448E">
      <w:pPr>
        <w:tabs>
          <w:tab w:val="left" w:pos="1440"/>
          <w:tab w:val="left" w:pos="3060"/>
        </w:tabs>
        <w:jc w:val="center"/>
        <w:rPr>
          <w:b/>
          <w:smallCaps/>
          <w:lang w:val="es-ES"/>
        </w:rPr>
      </w:pPr>
    </w:p>
    <w:p w:rsidR="00C2448E" w:rsidRPr="00862C11" w:rsidRDefault="001E0B14" w:rsidP="00C2448E">
      <w:pPr>
        <w:tabs>
          <w:tab w:val="left" w:pos="1440"/>
          <w:tab w:val="left" w:pos="3060"/>
        </w:tabs>
        <w:jc w:val="center"/>
        <w:rPr>
          <w:b/>
          <w:smallCaps/>
          <w:lang w:val="es-AR"/>
        </w:rPr>
      </w:pPr>
      <w:r>
        <w:rPr>
          <w:b/>
          <w:smallCaps/>
          <w:lang w:val="es-AR"/>
        </w:rPr>
        <w:t>Ecuador</w:t>
      </w:r>
    </w:p>
    <w:p w:rsidR="00C2448E" w:rsidRPr="00046570" w:rsidRDefault="00C2448E" w:rsidP="00C2448E">
      <w:pPr>
        <w:tabs>
          <w:tab w:val="left" w:pos="1440"/>
          <w:tab w:val="left" w:pos="3060"/>
        </w:tabs>
        <w:jc w:val="center"/>
        <w:rPr>
          <w:b/>
          <w:smallCaps/>
          <w:highlight w:val="lightGray"/>
          <w:lang w:val="es-ES"/>
        </w:rPr>
      </w:pPr>
    </w:p>
    <w:p w:rsidR="00C2448E" w:rsidRPr="00046570" w:rsidRDefault="00C2448E" w:rsidP="00C2448E">
      <w:pPr>
        <w:tabs>
          <w:tab w:val="left" w:pos="1440"/>
          <w:tab w:val="left" w:pos="3060"/>
        </w:tabs>
        <w:jc w:val="center"/>
        <w:rPr>
          <w:b/>
          <w:smallCaps/>
          <w:highlight w:val="lightGray"/>
          <w:lang w:val="es-ES"/>
        </w:rPr>
      </w:pPr>
    </w:p>
    <w:p w:rsidR="00C2448E" w:rsidRPr="008054B6" w:rsidRDefault="00C2448E" w:rsidP="00C2448E">
      <w:pPr>
        <w:jc w:val="center"/>
        <w:rPr>
          <w:b/>
          <w:smallCaps/>
          <w:lang w:val="es-AR"/>
        </w:rPr>
      </w:pPr>
      <w:r w:rsidRPr="00F26064">
        <w:rPr>
          <w:b/>
          <w:smallCaps/>
          <w:lang w:val="es-AR"/>
        </w:rPr>
        <w:t>Programa</w:t>
      </w:r>
      <w:r w:rsidR="005471EE" w:rsidRPr="005471EE">
        <w:rPr>
          <w:lang w:val="es-ES_tradnl"/>
        </w:rPr>
        <w:t xml:space="preserve"> </w:t>
      </w:r>
      <w:r w:rsidR="005471EE">
        <w:rPr>
          <w:b/>
          <w:smallCaps/>
          <w:lang w:val="es-AR"/>
        </w:rPr>
        <w:t xml:space="preserve">Nacional de Inversiones en Agua, Saneamiento y Residuos Sólidos </w:t>
      </w:r>
      <w:r w:rsidR="005471EE" w:rsidRPr="005471EE">
        <w:rPr>
          <w:b/>
          <w:smallCaps/>
          <w:lang w:val="es-AR"/>
        </w:rPr>
        <w:t>(PROSANEAMIENTO)</w:t>
      </w:r>
      <w:r w:rsidRPr="00F26064">
        <w:rPr>
          <w:b/>
          <w:smallCaps/>
          <w:lang w:val="es-AR"/>
        </w:rPr>
        <w:t xml:space="preserve"> </w:t>
      </w:r>
    </w:p>
    <w:p w:rsidR="00C2448E" w:rsidRPr="005471EE" w:rsidRDefault="00C2448E" w:rsidP="00C2448E">
      <w:pPr>
        <w:tabs>
          <w:tab w:val="left" w:pos="1440"/>
          <w:tab w:val="left" w:pos="3060"/>
        </w:tabs>
        <w:jc w:val="center"/>
        <w:rPr>
          <w:b/>
          <w:smallCaps/>
          <w:highlight w:val="lightGray"/>
          <w:lang w:val="es-AR"/>
        </w:rPr>
      </w:pPr>
    </w:p>
    <w:p w:rsidR="00C2448E" w:rsidRPr="00873322" w:rsidRDefault="00C2448E" w:rsidP="00C2448E">
      <w:pPr>
        <w:tabs>
          <w:tab w:val="left" w:pos="1440"/>
          <w:tab w:val="left" w:pos="3060"/>
        </w:tabs>
        <w:jc w:val="center"/>
        <w:rPr>
          <w:b/>
          <w:smallCaps/>
          <w:lang w:val="es-ES"/>
        </w:rPr>
      </w:pPr>
      <w:r w:rsidRPr="00862C11">
        <w:rPr>
          <w:b/>
          <w:smallCaps/>
          <w:lang w:val="es-AR"/>
        </w:rPr>
        <w:t>(</w:t>
      </w:r>
      <w:r w:rsidR="005471EE">
        <w:rPr>
          <w:b/>
          <w:smallCaps/>
          <w:lang w:val="es-AR"/>
        </w:rPr>
        <w:t>EC</w:t>
      </w:r>
      <w:r w:rsidRPr="00862C11">
        <w:rPr>
          <w:b/>
          <w:smallCaps/>
          <w:lang w:val="es-AR"/>
        </w:rPr>
        <w:t>-L11</w:t>
      </w:r>
      <w:r w:rsidR="005471EE">
        <w:rPr>
          <w:b/>
          <w:smallCaps/>
          <w:lang w:val="es-AR"/>
        </w:rPr>
        <w:t>2</w:t>
      </w:r>
      <w:r>
        <w:rPr>
          <w:b/>
          <w:smallCaps/>
          <w:lang w:val="es-AR"/>
        </w:rPr>
        <w:t>2</w:t>
      </w:r>
      <w:r w:rsidRPr="00862C11">
        <w:rPr>
          <w:b/>
          <w:smallCaps/>
          <w:lang w:val="es-AR"/>
        </w:rPr>
        <w:t>)</w:t>
      </w:r>
    </w:p>
    <w:p w:rsidR="00C2448E" w:rsidRPr="00873322" w:rsidRDefault="00C2448E" w:rsidP="00C2448E">
      <w:pPr>
        <w:pStyle w:val="Newpage"/>
        <w:rPr>
          <w:rFonts w:cs="Times New Roman"/>
          <w:b w:val="0"/>
          <w:caps/>
          <w:smallCaps w:val="0"/>
          <w:szCs w:val="24"/>
          <w:lang w:val="es-ES"/>
        </w:rPr>
      </w:pPr>
    </w:p>
    <w:p w:rsidR="00C2448E" w:rsidRPr="00873322" w:rsidRDefault="00C2448E" w:rsidP="00C2448E">
      <w:pPr>
        <w:tabs>
          <w:tab w:val="left" w:pos="1440"/>
          <w:tab w:val="left" w:pos="3060"/>
        </w:tabs>
        <w:jc w:val="center"/>
        <w:rPr>
          <w:smallCaps/>
          <w:lang w:val="es-ES"/>
        </w:rPr>
      </w:pPr>
    </w:p>
    <w:p w:rsidR="00C2448E" w:rsidRPr="00C2448E" w:rsidRDefault="00C2448E" w:rsidP="00C2448E">
      <w:pPr>
        <w:tabs>
          <w:tab w:val="left" w:pos="3060"/>
        </w:tabs>
        <w:jc w:val="center"/>
        <w:rPr>
          <w:rFonts w:ascii="Times New Roman Bold" w:hAnsi="Times New Roman Bold"/>
          <w:b/>
          <w:smallCaps/>
          <w:lang w:val="es-ES_tradnl"/>
        </w:rPr>
      </w:pPr>
      <w:r>
        <w:rPr>
          <w:rFonts w:ascii="Times New Roman Bold" w:hAnsi="Times New Roman Bold"/>
          <w:b/>
          <w:smallCaps/>
          <w:lang w:val="es-ES_tradnl"/>
        </w:rPr>
        <w:t xml:space="preserve">Análisis del Cumplimiento de la </w:t>
      </w:r>
      <w:r>
        <w:rPr>
          <w:rFonts w:ascii="Times New Roman Bold" w:hAnsi="Times New Roman Bold"/>
          <w:b/>
          <w:smallCaps/>
          <w:lang w:val="es-ES_tradnl"/>
        </w:rPr>
        <w:br/>
      </w:r>
      <w:r w:rsidRPr="00C2448E">
        <w:rPr>
          <w:rFonts w:ascii="Times New Roman Bold" w:hAnsi="Times New Roman Bold"/>
          <w:b/>
          <w:smallCaps/>
          <w:lang w:val="es-ES_tradnl"/>
        </w:rPr>
        <w:t>Política de Servicios Públicos Domiciliarios (</w:t>
      </w:r>
      <w:r w:rsidR="005471EE">
        <w:rPr>
          <w:rFonts w:ascii="Times New Roman Bold" w:hAnsi="Times New Roman Bold"/>
          <w:b/>
          <w:smallCaps/>
          <w:lang w:val="es-ES"/>
        </w:rPr>
        <w:t>GN-2716-6</w:t>
      </w:r>
      <w:r w:rsidRPr="00C2448E">
        <w:rPr>
          <w:rFonts w:ascii="Times New Roman Bold" w:hAnsi="Times New Roman Bold"/>
          <w:b/>
          <w:smallCaps/>
          <w:lang w:val="es-ES_tradnl"/>
        </w:rPr>
        <w:t xml:space="preserve">) </w:t>
      </w:r>
    </w:p>
    <w:p w:rsidR="00C2448E" w:rsidRPr="00C2448E" w:rsidRDefault="00C2448E" w:rsidP="00C2448E">
      <w:pPr>
        <w:jc w:val="center"/>
        <w:rPr>
          <w:b/>
          <w:smallCaps/>
          <w:lang w:val="es-ES_tradnl"/>
        </w:rPr>
      </w:pPr>
    </w:p>
    <w:p w:rsidR="00C2448E" w:rsidRPr="00862C11" w:rsidRDefault="00C2448E" w:rsidP="00C2448E">
      <w:pPr>
        <w:tabs>
          <w:tab w:val="left" w:pos="1440"/>
          <w:tab w:val="left" w:pos="3060"/>
        </w:tabs>
        <w:outlineLvl w:val="0"/>
        <w:rPr>
          <w:b/>
          <w:smallCaps/>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pStyle w:val="ListParagraph"/>
        <w:spacing w:before="120"/>
        <w:ind w:left="1080"/>
        <w:jc w:val="center"/>
        <w:rPr>
          <w:b/>
          <w:lang w:val="es-AR"/>
        </w:rPr>
      </w:pPr>
    </w:p>
    <w:p w:rsidR="00C2448E" w:rsidRPr="00862C11" w:rsidRDefault="00C2448E" w:rsidP="00C2448E">
      <w:pPr>
        <w:tabs>
          <w:tab w:val="left" w:pos="1440"/>
          <w:tab w:val="left" w:pos="3060"/>
        </w:tabs>
        <w:jc w:val="center"/>
        <w:rPr>
          <w:lang w:val="es-AR"/>
        </w:rPr>
      </w:pPr>
    </w:p>
    <w:p w:rsidR="00C2448E" w:rsidRDefault="00C2448E" w:rsidP="00C2448E">
      <w:pPr>
        <w:autoSpaceDE w:val="0"/>
        <w:autoSpaceDN w:val="0"/>
        <w:adjustRightInd w:val="0"/>
        <w:jc w:val="both"/>
        <w:rPr>
          <w:b/>
          <w:bCs/>
          <w:i/>
          <w:iCs/>
          <w:lang w:val="es-ES"/>
        </w:rPr>
        <w:sectPr w:rsidR="00C2448E" w:rsidSect="00862C11">
          <w:headerReference w:type="default" r:id="rId11"/>
          <w:footerReference w:type="default" r:id="rId12"/>
          <w:pgSz w:w="12240" w:h="15840" w:code="1"/>
          <w:pgMar w:top="1440" w:right="1800" w:bottom="1440" w:left="1800" w:header="720" w:footer="432" w:gutter="0"/>
          <w:cols w:space="720"/>
          <w:vAlign w:val="both"/>
          <w:titlePg/>
          <w:docGrid w:linePitch="360"/>
        </w:sectPr>
      </w:pPr>
    </w:p>
    <w:p w:rsidR="00C2448E" w:rsidRPr="001E0B14" w:rsidRDefault="005471EE" w:rsidP="00FA7A03">
      <w:pPr>
        <w:jc w:val="center"/>
        <w:rPr>
          <w:b/>
          <w:smallCaps/>
          <w:lang w:val="es-ES" w:eastAsia="pt-BR"/>
        </w:rPr>
      </w:pPr>
      <w:r w:rsidRPr="001E0B14">
        <w:rPr>
          <w:b/>
          <w:smallCaps/>
          <w:lang w:val="es-AR"/>
        </w:rPr>
        <w:lastRenderedPageBreak/>
        <w:t>Programa</w:t>
      </w:r>
      <w:r w:rsidRPr="001E0B14">
        <w:rPr>
          <w:lang w:val="es-ES_tradnl"/>
        </w:rPr>
        <w:t xml:space="preserve"> </w:t>
      </w:r>
      <w:r w:rsidRPr="001E0B14">
        <w:rPr>
          <w:b/>
          <w:smallCaps/>
          <w:lang w:val="es-AR"/>
        </w:rPr>
        <w:t>Nacional de Inversiones en Agua, Saneamiento y Residuos Sólidos PROSANEAMIENTO</w:t>
      </w:r>
      <w:r w:rsidR="00FA7A03">
        <w:rPr>
          <w:b/>
          <w:smallCaps/>
          <w:lang w:val="es-AR"/>
        </w:rPr>
        <w:t xml:space="preserve"> - </w:t>
      </w:r>
      <w:bookmarkStart w:id="1" w:name="_Toc329271481"/>
      <w:bookmarkStart w:id="2" w:name="_Toc329338481"/>
      <w:bookmarkStart w:id="3" w:name="_Toc366596096"/>
      <w:bookmarkStart w:id="4" w:name="_Toc366759151"/>
      <w:r w:rsidR="00C2448E" w:rsidRPr="001E0B14">
        <w:rPr>
          <w:b/>
          <w:smallCaps/>
          <w:lang w:val="es-ES" w:eastAsia="pt-BR"/>
        </w:rPr>
        <w:t>(</w:t>
      </w:r>
      <w:r w:rsidRPr="001E0B14">
        <w:rPr>
          <w:b/>
          <w:smallCaps/>
          <w:lang w:val="es-ES" w:eastAsia="pt-BR"/>
        </w:rPr>
        <w:t>EC-L112</w:t>
      </w:r>
      <w:r w:rsidR="00C2448E" w:rsidRPr="001E0B14">
        <w:rPr>
          <w:b/>
          <w:smallCaps/>
          <w:lang w:val="es-ES" w:eastAsia="pt-BR"/>
        </w:rPr>
        <w:t>2)</w:t>
      </w:r>
      <w:bookmarkEnd w:id="1"/>
      <w:bookmarkEnd w:id="2"/>
      <w:bookmarkEnd w:id="3"/>
      <w:bookmarkEnd w:id="4"/>
    </w:p>
    <w:p w:rsidR="000F1306" w:rsidRPr="001E0B14" w:rsidRDefault="000F1306" w:rsidP="00600AC8">
      <w:pPr>
        <w:tabs>
          <w:tab w:val="left" w:pos="3060"/>
        </w:tabs>
        <w:jc w:val="center"/>
        <w:rPr>
          <w:b/>
          <w:smallCaps/>
          <w:lang w:val="es-ES_tradnl"/>
        </w:rPr>
      </w:pPr>
      <w:r w:rsidRPr="001E0B14">
        <w:rPr>
          <w:b/>
          <w:smallCaps/>
          <w:lang w:val="es-ES_tradnl"/>
        </w:rPr>
        <w:t>Análisis del Cumplimiento del Programa de con la</w:t>
      </w:r>
      <w:r w:rsidR="00C2448E" w:rsidRPr="001E0B14">
        <w:rPr>
          <w:b/>
          <w:smallCaps/>
          <w:lang w:val="es-ES_tradnl"/>
        </w:rPr>
        <w:t xml:space="preserve"> Política de Servicios Públicos </w:t>
      </w:r>
      <w:r w:rsidRPr="001E0B14">
        <w:rPr>
          <w:b/>
          <w:smallCaps/>
          <w:lang w:val="es-ES_tradnl"/>
        </w:rPr>
        <w:t>Domiciliarios (</w:t>
      </w:r>
      <w:r w:rsidR="001E0B14" w:rsidRPr="001E0B14">
        <w:rPr>
          <w:b/>
          <w:smallCaps/>
          <w:lang w:val="es-ES"/>
        </w:rPr>
        <w:t>GN-2716-6</w:t>
      </w:r>
      <w:r w:rsidRPr="001E0B14">
        <w:rPr>
          <w:b/>
          <w:smallCaps/>
          <w:lang w:val="es-ES_tradnl"/>
        </w:rPr>
        <w:t xml:space="preserve">) del </w:t>
      </w:r>
      <w:r w:rsidR="005471EE" w:rsidRPr="001E0B14">
        <w:rPr>
          <w:b/>
          <w:smallCaps/>
          <w:lang w:val="es-ES_tradnl"/>
        </w:rPr>
        <w:t>11</w:t>
      </w:r>
      <w:r w:rsidRPr="001E0B14">
        <w:rPr>
          <w:b/>
          <w:smallCaps/>
          <w:lang w:val="es-ES_tradnl"/>
        </w:rPr>
        <w:t xml:space="preserve"> de Diciembre de 2013 </w:t>
      </w:r>
    </w:p>
    <w:p w:rsidR="000F1306" w:rsidRPr="000F1306" w:rsidRDefault="000F1306" w:rsidP="000F1306">
      <w:pPr>
        <w:rPr>
          <w:lang w:val="es-ES_tradnl"/>
        </w:rPr>
      </w:pP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960"/>
        <w:gridCol w:w="4307"/>
      </w:tblGrid>
      <w:tr w:rsidR="001B7D52" w:rsidRPr="00FA7A03" w:rsidTr="00FA7A03">
        <w:trPr>
          <w:jc w:val="center"/>
        </w:trPr>
        <w:tc>
          <w:tcPr>
            <w:tcW w:w="1968" w:type="dxa"/>
            <w:shd w:val="clear" w:color="auto" w:fill="C0C0C0"/>
          </w:tcPr>
          <w:p w:rsidR="001B7D52" w:rsidRPr="00FA7A03" w:rsidRDefault="001B7D52" w:rsidP="0014135C">
            <w:pPr>
              <w:rPr>
                <w:b/>
                <w:sz w:val="20"/>
                <w:szCs w:val="20"/>
                <w:lang w:val="es-ES_tradnl"/>
              </w:rPr>
            </w:pPr>
            <w:r w:rsidRPr="00FA7A03">
              <w:rPr>
                <w:b/>
                <w:sz w:val="20"/>
                <w:szCs w:val="20"/>
                <w:lang w:val="es-ES_tradnl"/>
              </w:rPr>
              <w:t>Condiciones de la Política</w:t>
            </w:r>
          </w:p>
          <w:p w:rsidR="001B7D52" w:rsidRPr="00FA7A03" w:rsidRDefault="001B7D52" w:rsidP="0014135C">
            <w:pPr>
              <w:rPr>
                <w:b/>
                <w:sz w:val="20"/>
                <w:szCs w:val="20"/>
                <w:lang w:val="es-ES_tradnl"/>
              </w:rPr>
            </w:pPr>
          </w:p>
        </w:tc>
        <w:tc>
          <w:tcPr>
            <w:tcW w:w="3960" w:type="dxa"/>
            <w:shd w:val="clear" w:color="auto" w:fill="C0C0C0"/>
          </w:tcPr>
          <w:p w:rsidR="001B7D52" w:rsidRPr="00FA7A03" w:rsidRDefault="001B7D52" w:rsidP="0014135C">
            <w:pPr>
              <w:rPr>
                <w:b/>
                <w:sz w:val="20"/>
                <w:szCs w:val="20"/>
                <w:lang w:val="es-ES_tradnl"/>
              </w:rPr>
            </w:pPr>
            <w:r w:rsidRPr="00FA7A03">
              <w:rPr>
                <w:b/>
                <w:sz w:val="20"/>
                <w:szCs w:val="20"/>
                <w:lang w:val="es-ES_tradnl"/>
              </w:rPr>
              <w:t xml:space="preserve">Descripción </w:t>
            </w:r>
          </w:p>
        </w:tc>
        <w:tc>
          <w:tcPr>
            <w:tcW w:w="4307" w:type="dxa"/>
            <w:shd w:val="clear" w:color="auto" w:fill="C0C0C0"/>
          </w:tcPr>
          <w:p w:rsidR="001B7D52" w:rsidRPr="00FA7A03" w:rsidRDefault="001B7D52" w:rsidP="00C96F6B">
            <w:pPr>
              <w:rPr>
                <w:b/>
                <w:sz w:val="20"/>
                <w:szCs w:val="20"/>
                <w:lang w:val="es-ES_tradnl"/>
              </w:rPr>
            </w:pPr>
            <w:r w:rsidRPr="00FA7A03">
              <w:rPr>
                <w:b/>
                <w:sz w:val="20"/>
                <w:szCs w:val="20"/>
                <w:lang w:val="es-ES_tradnl"/>
              </w:rPr>
              <w:t>Comentarios</w:t>
            </w:r>
          </w:p>
        </w:tc>
      </w:tr>
      <w:tr w:rsidR="001B7D52" w:rsidRPr="00C96F6B" w:rsidTr="00FA7A03">
        <w:trPr>
          <w:jc w:val="center"/>
        </w:trPr>
        <w:tc>
          <w:tcPr>
            <w:tcW w:w="1968" w:type="dxa"/>
            <w:shd w:val="clear" w:color="auto" w:fill="auto"/>
          </w:tcPr>
          <w:p w:rsidR="001B7D52" w:rsidRPr="00FA7A03" w:rsidRDefault="001B7D52" w:rsidP="001B7D52">
            <w:pPr>
              <w:rPr>
                <w:sz w:val="20"/>
                <w:szCs w:val="20"/>
                <w:lang w:val="es-ES_tradnl"/>
              </w:rPr>
            </w:pPr>
            <w:r w:rsidRPr="00FA7A03">
              <w:rPr>
                <w:b/>
                <w:bCs/>
                <w:sz w:val="20"/>
                <w:szCs w:val="20"/>
                <w:lang w:val="es-ES_tradnl"/>
              </w:rPr>
              <w:t>1. Sostenibilidad Financiera</w:t>
            </w:r>
          </w:p>
        </w:tc>
        <w:tc>
          <w:tcPr>
            <w:tcW w:w="3960" w:type="dxa"/>
            <w:shd w:val="clear" w:color="auto" w:fill="auto"/>
          </w:tcPr>
          <w:p w:rsidR="001B7D52" w:rsidRPr="00FA7A03" w:rsidRDefault="001B7D52" w:rsidP="001B7D52">
            <w:pPr>
              <w:autoSpaceDE w:val="0"/>
              <w:autoSpaceDN w:val="0"/>
              <w:adjustRightInd w:val="0"/>
              <w:rPr>
                <w:sz w:val="20"/>
                <w:szCs w:val="20"/>
                <w:lang w:val="es-ES_tradnl"/>
              </w:rPr>
            </w:pPr>
            <w:r w:rsidRPr="00FA7A03">
              <w:rPr>
                <w:rFonts w:eastAsiaTheme="minorHAnsi"/>
                <w:sz w:val="20"/>
                <w:szCs w:val="20"/>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4307" w:type="dxa"/>
            <w:shd w:val="clear" w:color="auto" w:fill="auto"/>
          </w:tcPr>
          <w:p w:rsidR="00870BB7" w:rsidRPr="00FA7A03" w:rsidRDefault="001B7D52" w:rsidP="00C96F6B">
            <w:pPr>
              <w:rPr>
                <w:sz w:val="20"/>
                <w:szCs w:val="20"/>
                <w:lang w:val="es-ES_tradnl"/>
              </w:rPr>
            </w:pPr>
            <w:r w:rsidRPr="00FA7A03">
              <w:rPr>
                <w:sz w:val="20"/>
                <w:szCs w:val="20"/>
                <w:lang w:val="es-ES"/>
              </w:rPr>
              <w:t xml:space="preserve">El análisis de viabilidad </w:t>
            </w:r>
            <w:r w:rsidR="00870BB7" w:rsidRPr="00FA7A03">
              <w:rPr>
                <w:sz w:val="20"/>
                <w:szCs w:val="20"/>
                <w:lang w:val="es-ES"/>
              </w:rPr>
              <w:t xml:space="preserve">determinó que </w:t>
            </w:r>
            <w:r w:rsidR="00870BB7" w:rsidRPr="00FA7A03">
              <w:rPr>
                <w:sz w:val="20"/>
                <w:szCs w:val="20"/>
                <w:lang w:val="es-ES_tradnl"/>
              </w:rPr>
              <w:t xml:space="preserve">en 6 casos analizados las tarifas aplicadas permiten cubrir los costos de operación y mantenimiento de los sistemas, y de esta manera asegurar su sostenibilidad financiera. En otros 5 proyectos el esquema tarifario permite cubrir una porción de los costos de operación y mantenimiento de los sistemas, y el resto debe ser aportado por el GAD mediante un esquema de transferencia de fondos. </w:t>
            </w:r>
          </w:p>
          <w:p w:rsidR="001B7D52" w:rsidRPr="00FA7A03" w:rsidRDefault="001B7D52" w:rsidP="00C96F6B">
            <w:pPr>
              <w:rPr>
                <w:sz w:val="20"/>
                <w:szCs w:val="20"/>
                <w:lang w:val="es-ES_tradnl"/>
              </w:rPr>
            </w:pPr>
          </w:p>
        </w:tc>
      </w:tr>
      <w:tr w:rsidR="001B7D52" w:rsidRPr="00C96F6B" w:rsidTr="00FA7A03">
        <w:trPr>
          <w:jc w:val="center"/>
        </w:trPr>
        <w:tc>
          <w:tcPr>
            <w:tcW w:w="1968" w:type="dxa"/>
            <w:shd w:val="clear" w:color="auto" w:fill="auto"/>
          </w:tcPr>
          <w:p w:rsidR="001B7D52" w:rsidRPr="00FA7A03" w:rsidRDefault="001B7D52" w:rsidP="001B7D52">
            <w:pPr>
              <w:rPr>
                <w:sz w:val="20"/>
                <w:szCs w:val="20"/>
                <w:lang w:val="es-ES_tradnl"/>
              </w:rPr>
            </w:pPr>
            <w:r w:rsidRPr="00FA7A03">
              <w:rPr>
                <w:b/>
                <w:bCs/>
                <w:sz w:val="20"/>
                <w:szCs w:val="20"/>
                <w:lang w:val="es-ES_tradnl"/>
              </w:rPr>
              <w:t>2. Evaluación Económica</w:t>
            </w:r>
          </w:p>
        </w:tc>
        <w:tc>
          <w:tcPr>
            <w:tcW w:w="3960" w:type="dxa"/>
            <w:shd w:val="clear" w:color="auto" w:fill="auto"/>
          </w:tcPr>
          <w:p w:rsidR="005F56F7" w:rsidRPr="00FA7A03" w:rsidRDefault="005F56F7" w:rsidP="005F56F7">
            <w:pPr>
              <w:autoSpaceDE w:val="0"/>
              <w:autoSpaceDN w:val="0"/>
              <w:adjustRightInd w:val="0"/>
              <w:rPr>
                <w:rFonts w:eastAsiaTheme="minorHAnsi"/>
                <w:sz w:val="20"/>
                <w:szCs w:val="20"/>
                <w:lang w:val="es-ES_tradnl"/>
              </w:rPr>
            </w:pPr>
            <w:r w:rsidRPr="00FA7A03">
              <w:rPr>
                <w:rFonts w:eastAsiaTheme="minorHAnsi"/>
                <w:sz w:val="20"/>
                <w:szCs w:val="20"/>
                <w:lang w:val="es-ES_tradnl"/>
              </w:rPr>
              <w:t>Los proyectos de servicios públicos domiciliarios deberán ser económicamente</w:t>
            </w:r>
          </w:p>
          <w:p w:rsidR="005F56F7" w:rsidRPr="00FA7A03" w:rsidRDefault="005F56F7" w:rsidP="005F56F7">
            <w:pPr>
              <w:autoSpaceDE w:val="0"/>
              <w:autoSpaceDN w:val="0"/>
              <w:adjustRightInd w:val="0"/>
              <w:rPr>
                <w:rFonts w:eastAsiaTheme="minorHAnsi"/>
                <w:sz w:val="20"/>
                <w:szCs w:val="20"/>
                <w:lang w:val="es-ES_tradnl"/>
              </w:rPr>
            </w:pPr>
            <w:r w:rsidRPr="00FA7A03">
              <w:rPr>
                <w:rFonts w:eastAsiaTheme="minorHAnsi"/>
                <w:sz w:val="20"/>
                <w:szCs w:val="20"/>
                <w:lang w:val="es-ES_tradnl"/>
              </w:rPr>
              <w:t>rentables, de acuerdo a las metodologías de evaluación costo-beneficio y</w:t>
            </w:r>
          </w:p>
          <w:p w:rsidR="001B7D52" w:rsidRPr="00FA7A03" w:rsidRDefault="005F56F7" w:rsidP="005F56F7">
            <w:pPr>
              <w:rPr>
                <w:sz w:val="20"/>
                <w:szCs w:val="20"/>
                <w:lang w:val="es-ES_tradnl"/>
              </w:rPr>
            </w:pPr>
            <w:r w:rsidRPr="00FA7A03">
              <w:rPr>
                <w:rFonts w:eastAsiaTheme="minorHAnsi"/>
                <w:sz w:val="20"/>
                <w:szCs w:val="20"/>
                <w:lang w:val="es-ES_tradnl"/>
              </w:rPr>
              <w:t>costo-efectividad utilizadas y aceptadas por el Banco.</w:t>
            </w:r>
          </w:p>
        </w:tc>
        <w:tc>
          <w:tcPr>
            <w:tcW w:w="4307" w:type="dxa"/>
            <w:shd w:val="clear" w:color="auto" w:fill="auto"/>
          </w:tcPr>
          <w:p w:rsidR="004D7490" w:rsidRPr="00FA7A03" w:rsidRDefault="004D7490" w:rsidP="00C96F6B">
            <w:pPr>
              <w:rPr>
                <w:sz w:val="20"/>
                <w:szCs w:val="20"/>
                <w:lang w:val="es-ES_tradnl"/>
              </w:rPr>
            </w:pPr>
            <w:r w:rsidRPr="00FA7A03">
              <w:rPr>
                <w:sz w:val="20"/>
                <w:szCs w:val="20"/>
                <w:lang w:val="es-ES_tradnl"/>
              </w:rPr>
              <w:t xml:space="preserve">Se elaboró un análisis beneficio costo de una muestra de 14 proyectos del programa que ya tienen financiamiento de otra entidad, 7 de agua potable por un valor de US$ 10 millones y 7 de saneamiento (alcantarillado, plantas de tratamiento de agua residual o ambos) por un valor de US$ 26,5 millones. Los detalles de la metodología y los resultados del análisis de la muestra se presentan en el enlace electrónico. Los proyectos financiados con los fondos del préstamo serán evaluados con las metodologías utilizadas en la muestra y deberán ser viables económicamente. </w:t>
            </w:r>
          </w:p>
          <w:p w:rsidR="004D7490" w:rsidRPr="00FA7A03" w:rsidRDefault="004D7490" w:rsidP="00C96F6B">
            <w:pPr>
              <w:rPr>
                <w:sz w:val="20"/>
                <w:szCs w:val="20"/>
                <w:lang w:val="es-ES_tradnl"/>
              </w:rPr>
            </w:pPr>
            <w:r w:rsidRPr="00FA7A03">
              <w:rPr>
                <w:sz w:val="20"/>
                <w:szCs w:val="20"/>
                <w:lang w:val="es-ES_tradnl"/>
              </w:rPr>
              <w:t>Los resultados muestran que la mayoría de los proyectos de agua potable son viables con tasas internas de retorno (TIR</w:t>
            </w:r>
            <w:r w:rsidR="00C96F6B">
              <w:rPr>
                <w:sz w:val="20"/>
                <w:szCs w:val="20"/>
                <w:lang w:val="es-ES_tradnl"/>
              </w:rPr>
              <w:t>E</w:t>
            </w:r>
            <w:r w:rsidRPr="00FA7A03">
              <w:rPr>
                <w:sz w:val="20"/>
                <w:szCs w:val="20"/>
                <w:lang w:val="es-ES_tradnl"/>
              </w:rPr>
              <w:t>) promedio de 18,3% que varían del 7% al 40%. Los proyectos de saneamiento tienen como TIR</w:t>
            </w:r>
            <w:r w:rsidR="00C96F6B">
              <w:rPr>
                <w:sz w:val="20"/>
                <w:szCs w:val="20"/>
                <w:lang w:val="es-ES_tradnl"/>
              </w:rPr>
              <w:t>E</w:t>
            </w:r>
            <w:r w:rsidRPr="00FA7A03">
              <w:rPr>
                <w:sz w:val="20"/>
                <w:szCs w:val="20"/>
                <w:lang w:val="es-ES_tradnl"/>
              </w:rPr>
              <w:t xml:space="preserve"> promedio el 10% variando entre el 1 y el 19%</w:t>
            </w:r>
            <w:r w:rsidR="00C96F6B">
              <w:rPr>
                <w:sz w:val="20"/>
                <w:szCs w:val="20"/>
                <w:lang w:val="es-ES_tradnl"/>
              </w:rPr>
              <w:t>,</w:t>
            </w:r>
            <w:r w:rsidRPr="00FA7A03">
              <w:rPr>
                <w:sz w:val="20"/>
                <w:szCs w:val="20"/>
                <w:lang w:val="es-ES_tradnl"/>
              </w:rPr>
              <w:t xml:space="preserve"> teniendo como beneficio referencial US$15 por mes y por familia. </w:t>
            </w:r>
          </w:p>
          <w:p w:rsidR="00C96F6B" w:rsidRDefault="00C96F6B" w:rsidP="00C96F6B">
            <w:pPr>
              <w:rPr>
                <w:sz w:val="20"/>
                <w:szCs w:val="20"/>
                <w:lang w:val="es-ES_tradnl"/>
              </w:rPr>
            </w:pPr>
          </w:p>
          <w:p w:rsidR="001B7D52" w:rsidRPr="00FA7A03" w:rsidRDefault="004D7490" w:rsidP="00C96F6B">
            <w:pPr>
              <w:rPr>
                <w:sz w:val="20"/>
                <w:szCs w:val="20"/>
                <w:highlight w:val="yellow"/>
                <w:lang w:val="es-ES_tradnl"/>
              </w:rPr>
            </w:pPr>
            <w:r w:rsidRPr="00FA7A03">
              <w:rPr>
                <w:sz w:val="20"/>
                <w:szCs w:val="20"/>
                <w:lang w:val="es-ES_tradnl"/>
              </w:rPr>
              <w:t>Se elaboró un análisis de sensibilidad al valor presente neto y a la TIRE de cada proyecto a las variables supuestos. Se encontró que los resultados de viabilidad económica de los proyectos de agua potable varían con respecto al costo alternativo del agua (el valor económico del agua sin proyecto). Los proyectos de saneamiento son muy sensibles a la DAP. Solo con aumentar a US$18 por mes por familia, la mayoría de proyectos sería viable. Para la ejecución del programa, cada proyecto tendrá una encuesta que permitirá determinar con precisión estas variables para así disminuir el riesgo de aprobar proyectos que no son viables o rechazar los que sí lo son.</w:t>
            </w:r>
          </w:p>
        </w:tc>
      </w:tr>
    </w:tbl>
    <w:p w:rsidR="004F5CD3" w:rsidRPr="00FA7A03" w:rsidRDefault="004F5CD3">
      <w:pPr>
        <w:rPr>
          <w:sz w:val="20"/>
          <w:szCs w:val="20"/>
          <w:lang w:val="es-ES_tradnl"/>
        </w:rPr>
      </w:pPr>
      <w:r w:rsidRPr="00FA7A03">
        <w:rPr>
          <w:sz w:val="20"/>
          <w:szCs w:val="20"/>
          <w:lang w:val="es-ES_tradnl"/>
        </w:rPr>
        <w:br w:type="page"/>
      </w: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960"/>
        <w:gridCol w:w="4307"/>
      </w:tblGrid>
      <w:tr w:rsidR="000F1306" w:rsidRPr="00FA7A03" w:rsidTr="00FA7A03">
        <w:trPr>
          <w:jc w:val="center"/>
        </w:trPr>
        <w:tc>
          <w:tcPr>
            <w:tcW w:w="1968" w:type="dxa"/>
            <w:shd w:val="clear" w:color="auto" w:fill="C0C0C0"/>
          </w:tcPr>
          <w:p w:rsidR="000F1306" w:rsidRPr="00FA7A03" w:rsidRDefault="000F1306" w:rsidP="000F1306">
            <w:pPr>
              <w:rPr>
                <w:b/>
                <w:sz w:val="20"/>
                <w:szCs w:val="20"/>
                <w:lang w:val="es-ES_tradnl"/>
              </w:rPr>
            </w:pPr>
            <w:r w:rsidRPr="00FA7A03">
              <w:rPr>
                <w:b/>
                <w:sz w:val="20"/>
                <w:szCs w:val="20"/>
                <w:lang w:val="es-ES_tradnl"/>
              </w:rPr>
              <w:lastRenderedPageBreak/>
              <w:t>Objetivos de la Política</w:t>
            </w:r>
          </w:p>
          <w:p w:rsidR="000F1306" w:rsidRPr="00FA7A03" w:rsidRDefault="000F1306" w:rsidP="000F1306">
            <w:pPr>
              <w:rPr>
                <w:b/>
                <w:sz w:val="20"/>
                <w:szCs w:val="20"/>
                <w:lang w:val="es-ES_tradnl"/>
              </w:rPr>
            </w:pPr>
          </w:p>
        </w:tc>
        <w:tc>
          <w:tcPr>
            <w:tcW w:w="3960" w:type="dxa"/>
            <w:shd w:val="clear" w:color="auto" w:fill="C0C0C0"/>
          </w:tcPr>
          <w:p w:rsidR="000F1306" w:rsidRPr="00FA7A03" w:rsidRDefault="000F1306" w:rsidP="000F1306">
            <w:pPr>
              <w:rPr>
                <w:b/>
                <w:sz w:val="20"/>
                <w:szCs w:val="20"/>
                <w:lang w:val="es-ES_tradnl"/>
              </w:rPr>
            </w:pPr>
            <w:r w:rsidRPr="00FA7A03">
              <w:rPr>
                <w:b/>
                <w:sz w:val="20"/>
                <w:szCs w:val="20"/>
                <w:lang w:val="es-ES_tradnl"/>
              </w:rPr>
              <w:t xml:space="preserve">Descripción </w:t>
            </w:r>
          </w:p>
        </w:tc>
        <w:tc>
          <w:tcPr>
            <w:tcW w:w="4307" w:type="dxa"/>
            <w:shd w:val="clear" w:color="auto" w:fill="C0C0C0"/>
          </w:tcPr>
          <w:p w:rsidR="000F1306" w:rsidRPr="00FA7A03" w:rsidRDefault="000F1306" w:rsidP="000F1306">
            <w:pPr>
              <w:rPr>
                <w:b/>
                <w:sz w:val="20"/>
                <w:szCs w:val="20"/>
                <w:lang w:val="es-ES_tradnl"/>
              </w:rPr>
            </w:pPr>
            <w:r w:rsidRPr="00FA7A03">
              <w:rPr>
                <w:b/>
                <w:sz w:val="20"/>
                <w:szCs w:val="20"/>
                <w:lang w:val="es-ES_tradnl"/>
              </w:rPr>
              <w:t>Comentarios</w:t>
            </w:r>
          </w:p>
        </w:tc>
      </w:tr>
      <w:tr w:rsidR="000F1306" w:rsidRPr="00C96F6B" w:rsidTr="00FA7A03">
        <w:trPr>
          <w:jc w:val="center"/>
        </w:trPr>
        <w:tc>
          <w:tcPr>
            <w:tcW w:w="1968" w:type="dxa"/>
            <w:shd w:val="clear" w:color="auto" w:fill="auto"/>
          </w:tcPr>
          <w:p w:rsidR="000F1306" w:rsidRPr="00FA7A03" w:rsidRDefault="000F1306" w:rsidP="000F1306">
            <w:pPr>
              <w:rPr>
                <w:sz w:val="20"/>
                <w:szCs w:val="20"/>
                <w:lang w:val="es-ES_tradnl"/>
              </w:rPr>
            </w:pPr>
            <w:r w:rsidRPr="00FA7A03">
              <w:rPr>
                <w:b/>
                <w:bCs/>
                <w:sz w:val="20"/>
                <w:szCs w:val="20"/>
                <w:lang w:val="es-ES_tradnl"/>
              </w:rPr>
              <w:t>1. Fomentar el Acceso</w:t>
            </w:r>
          </w:p>
        </w:tc>
        <w:tc>
          <w:tcPr>
            <w:tcW w:w="3960" w:type="dxa"/>
            <w:shd w:val="clear" w:color="auto" w:fill="auto"/>
          </w:tcPr>
          <w:p w:rsidR="000F1306" w:rsidRPr="00FA7A03" w:rsidRDefault="000F1306" w:rsidP="000F1306">
            <w:pPr>
              <w:rPr>
                <w:sz w:val="20"/>
                <w:szCs w:val="20"/>
                <w:lang w:val="es-ES_tradnl"/>
              </w:rPr>
            </w:pPr>
            <w:r w:rsidRPr="00FA7A03">
              <w:rPr>
                <w:sz w:val="20"/>
                <w:szCs w:val="20"/>
                <w:lang w:val="es-ES_tradnl"/>
              </w:rPr>
              <w:t xml:space="preserve">Las políticas deben promover el acceso a todos los usuarios, especialmente a las comunidades y grupos  más desfavorecidos. </w:t>
            </w:r>
          </w:p>
        </w:tc>
        <w:tc>
          <w:tcPr>
            <w:tcW w:w="4307" w:type="dxa"/>
            <w:shd w:val="clear" w:color="auto" w:fill="auto"/>
          </w:tcPr>
          <w:p w:rsidR="000F1306" w:rsidRPr="00FA7A03" w:rsidRDefault="001B7D52" w:rsidP="00C96F6B">
            <w:pPr>
              <w:rPr>
                <w:sz w:val="20"/>
                <w:szCs w:val="20"/>
                <w:highlight w:val="yellow"/>
                <w:lang w:val="es-ES_tradnl"/>
              </w:rPr>
            </w:pPr>
            <w:r w:rsidRPr="00FA7A03">
              <w:rPr>
                <w:sz w:val="20"/>
                <w:szCs w:val="20"/>
                <w:lang w:val="es-ES_tradnl"/>
              </w:rPr>
              <w:t xml:space="preserve">El objetivo del </w:t>
            </w:r>
            <w:r w:rsidR="00F13029" w:rsidRPr="00FA7A03">
              <w:rPr>
                <w:sz w:val="20"/>
                <w:szCs w:val="20"/>
                <w:lang w:val="es-ES_tradnl"/>
              </w:rPr>
              <w:t xml:space="preserve">Macro Programa de Saneamiento Nacional es </w:t>
            </w:r>
            <w:r w:rsidR="00870BB7" w:rsidRPr="00FA7A03">
              <w:rPr>
                <w:sz w:val="20"/>
                <w:szCs w:val="20"/>
                <w:lang w:val="es-ES_tradnl"/>
              </w:rPr>
              <w:t>canalizar inversiones de infraestructura en los sectores</w:t>
            </w:r>
            <w:r w:rsidR="00870BB7" w:rsidRPr="00FA7A03">
              <w:rPr>
                <w:rFonts w:eastAsiaTheme="minorHAnsi"/>
                <w:sz w:val="20"/>
                <w:szCs w:val="20"/>
                <w:lang w:val="es-ES_tradnl"/>
              </w:rPr>
              <w:t xml:space="preserve"> de </w:t>
            </w:r>
            <w:r w:rsidR="00870BB7" w:rsidRPr="00FA7A03">
              <w:rPr>
                <w:sz w:val="20"/>
                <w:szCs w:val="20"/>
                <w:lang w:val="es-CO"/>
              </w:rPr>
              <w:t>agua potable, alcantarillado sanitario, depuración de aguas residuales, drenaje pluvial y residuos sólidos</w:t>
            </w:r>
            <w:r w:rsidR="00870BB7" w:rsidRPr="00FA7A03">
              <w:rPr>
                <w:sz w:val="20"/>
                <w:szCs w:val="20"/>
                <w:lang w:val="es-ES_tradnl"/>
              </w:rPr>
              <w:t xml:space="preserve"> hasta alcanzar metas de cobertura del 95% para el año 2017</w:t>
            </w:r>
            <w:r w:rsidR="00F13029" w:rsidRPr="00FA7A03">
              <w:rPr>
                <w:sz w:val="20"/>
                <w:szCs w:val="20"/>
                <w:lang w:val="es-ES_tradnl"/>
              </w:rPr>
              <w:t>.</w:t>
            </w:r>
          </w:p>
        </w:tc>
      </w:tr>
      <w:tr w:rsidR="000F1306" w:rsidRPr="00C96F6B" w:rsidTr="00FA7A03">
        <w:trPr>
          <w:jc w:val="center"/>
        </w:trPr>
        <w:tc>
          <w:tcPr>
            <w:tcW w:w="1968" w:type="dxa"/>
            <w:shd w:val="clear" w:color="auto" w:fill="auto"/>
          </w:tcPr>
          <w:p w:rsidR="000F1306" w:rsidRPr="00FA7A03" w:rsidRDefault="000F1306" w:rsidP="000F1306">
            <w:pPr>
              <w:rPr>
                <w:sz w:val="20"/>
                <w:szCs w:val="20"/>
                <w:lang w:val="es-ES_tradnl"/>
              </w:rPr>
            </w:pPr>
            <w:r w:rsidRPr="00FA7A03">
              <w:rPr>
                <w:b/>
                <w:bCs/>
                <w:sz w:val="20"/>
                <w:szCs w:val="20"/>
                <w:lang w:val="es-ES_tradnl"/>
              </w:rPr>
              <w:t>2. Suministrar el acceso al servicio en condiciones de confiabilidad y calidad adecuadas</w:t>
            </w:r>
          </w:p>
        </w:tc>
        <w:tc>
          <w:tcPr>
            <w:tcW w:w="3960" w:type="dxa"/>
            <w:shd w:val="clear" w:color="auto" w:fill="auto"/>
          </w:tcPr>
          <w:p w:rsidR="000F1306" w:rsidRPr="00FA7A03" w:rsidRDefault="000F1306" w:rsidP="000F1306">
            <w:pPr>
              <w:rPr>
                <w:sz w:val="20"/>
                <w:szCs w:val="20"/>
                <w:lang w:val="es-ES_tradnl"/>
              </w:rPr>
            </w:pPr>
            <w:r w:rsidRPr="00FA7A03">
              <w:rPr>
                <w:sz w:val="20"/>
                <w:szCs w:val="20"/>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4307" w:type="dxa"/>
            <w:shd w:val="clear" w:color="auto" w:fill="auto"/>
          </w:tcPr>
          <w:p w:rsidR="00AF3A49" w:rsidRPr="00FA7A03" w:rsidRDefault="00AF3A49" w:rsidP="00C96F6B">
            <w:pPr>
              <w:rPr>
                <w:sz w:val="20"/>
                <w:szCs w:val="20"/>
                <w:highlight w:val="yellow"/>
                <w:lang w:val="es-ES_tradnl"/>
              </w:rPr>
            </w:pPr>
            <w:r w:rsidRPr="00FA7A03">
              <w:rPr>
                <w:sz w:val="20"/>
                <w:szCs w:val="20"/>
                <w:lang w:val="es-ES_tradnl"/>
              </w:rPr>
              <w:t>Dentro de las acciones de fortalecimiento institucional previstas por la SENAGUA, se encuentran las de apoyar el establecimiento de políticas y programas nacionales, definir normas técnicas y regulación.</w:t>
            </w:r>
          </w:p>
        </w:tc>
      </w:tr>
      <w:tr w:rsidR="000F1306" w:rsidRPr="00C96F6B" w:rsidTr="00FA7A03">
        <w:trPr>
          <w:jc w:val="center"/>
        </w:trPr>
        <w:tc>
          <w:tcPr>
            <w:tcW w:w="1968" w:type="dxa"/>
            <w:shd w:val="clear" w:color="auto" w:fill="auto"/>
          </w:tcPr>
          <w:p w:rsidR="000F1306" w:rsidRPr="00FA7A03" w:rsidRDefault="000F1306" w:rsidP="000F1306">
            <w:pPr>
              <w:rPr>
                <w:b/>
                <w:bCs/>
                <w:sz w:val="20"/>
                <w:szCs w:val="20"/>
                <w:lang w:val="es-ES_tradnl"/>
              </w:rPr>
            </w:pPr>
            <w:r w:rsidRPr="00FA7A03">
              <w:rPr>
                <w:b/>
                <w:bCs/>
                <w:sz w:val="20"/>
                <w:szCs w:val="20"/>
                <w:lang w:val="es-ES_tradnl"/>
              </w:rPr>
              <w:t>3. Suministrar un servicio en condiciones de eficiencia</w:t>
            </w:r>
          </w:p>
        </w:tc>
        <w:tc>
          <w:tcPr>
            <w:tcW w:w="3960" w:type="dxa"/>
            <w:shd w:val="clear" w:color="auto" w:fill="auto"/>
          </w:tcPr>
          <w:p w:rsidR="000F1306" w:rsidRPr="00FA7A03" w:rsidRDefault="000F1306" w:rsidP="000F1306">
            <w:pPr>
              <w:rPr>
                <w:sz w:val="20"/>
                <w:szCs w:val="20"/>
                <w:lang w:val="es-ES_tradnl"/>
              </w:rPr>
            </w:pPr>
            <w:r w:rsidRPr="00FA7A03">
              <w:rPr>
                <w:sz w:val="20"/>
                <w:szCs w:val="20"/>
                <w:lang w:val="es-ES_tradnl"/>
              </w:rPr>
              <w:t>Debe asegurarse que, desde el punto de vista de la oferta, los servicios se proveen con los menores costos posibles.</w:t>
            </w:r>
          </w:p>
        </w:tc>
        <w:tc>
          <w:tcPr>
            <w:tcW w:w="4307" w:type="dxa"/>
            <w:shd w:val="clear" w:color="auto" w:fill="auto"/>
          </w:tcPr>
          <w:p w:rsidR="00AF3A49" w:rsidRPr="00FA7A03" w:rsidRDefault="00AF3A49" w:rsidP="00C96F6B">
            <w:pPr>
              <w:rPr>
                <w:sz w:val="20"/>
                <w:szCs w:val="20"/>
                <w:lang w:val="es-ES_tradnl"/>
              </w:rPr>
            </w:pPr>
            <w:r w:rsidRPr="00FA7A03">
              <w:rPr>
                <w:sz w:val="20"/>
                <w:szCs w:val="20"/>
                <w:lang w:val="es-ES_tradnl"/>
              </w:rPr>
              <w:t>El programa contempla un componente para el desarrollo de estudios de preinversión y diseños cuyos TdR serán consensuados con el BID y otros financiadores, y en los cuales se incluyen las previsiones para que los mismos respondan eficientemente a soluciones de mínimo costo.</w:t>
            </w:r>
          </w:p>
        </w:tc>
      </w:tr>
      <w:tr w:rsidR="000F1306" w:rsidRPr="00C96F6B" w:rsidTr="00FA7A03">
        <w:trPr>
          <w:jc w:val="center"/>
        </w:trPr>
        <w:tc>
          <w:tcPr>
            <w:tcW w:w="1968" w:type="dxa"/>
            <w:tcBorders>
              <w:bottom w:val="single" w:sz="4" w:space="0" w:color="auto"/>
            </w:tcBorders>
            <w:shd w:val="clear" w:color="auto" w:fill="auto"/>
          </w:tcPr>
          <w:p w:rsidR="000F1306" w:rsidRPr="00FA7A03" w:rsidRDefault="000F1306" w:rsidP="000F1306">
            <w:pPr>
              <w:rPr>
                <w:b/>
                <w:bCs/>
                <w:sz w:val="20"/>
                <w:szCs w:val="20"/>
                <w:lang w:val="es-ES_tradnl"/>
              </w:rPr>
            </w:pPr>
            <w:r w:rsidRPr="00FA7A03">
              <w:rPr>
                <w:b/>
                <w:bCs/>
                <w:sz w:val="20"/>
                <w:szCs w:val="20"/>
                <w:lang w:val="es-ES_tradnl"/>
              </w:rPr>
              <w:t>4. Generar incentivos adecuados a la demanda de servicios.</w:t>
            </w:r>
          </w:p>
        </w:tc>
        <w:tc>
          <w:tcPr>
            <w:tcW w:w="3960" w:type="dxa"/>
            <w:tcBorders>
              <w:bottom w:val="single" w:sz="4" w:space="0" w:color="auto"/>
            </w:tcBorders>
            <w:shd w:val="clear" w:color="auto" w:fill="auto"/>
          </w:tcPr>
          <w:p w:rsidR="000F1306" w:rsidRPr="00FA7A03" w:rsidRDefault="000F1306" w:rsidP="000F1306">
            <w:pPr>
              <w:rPr>
                <w:sz w:val="20"/>
                <w:szCs w:val="20"/>
                <w:lang w:val="es-ES_tradnl"/>
              </w:rPr>
            </w:pPr>
            <w:r w:rsidRPr="00FA7A03">
              <w:rPr>
                <w:sz w:val="20"/>
                <w:szCs w:val="20"/>
                <w:lang w:val="es-ES_tradnl"/>
              </w:rPr>
              <w:t>Debe velarse porque existan los incentivos adecuados para que los usuarios hagan un uso de estos servicios compatible con su sostenibilidad económica, financiera y ambiental</w:t>
            </w:r>
          </w:p>
        </w:tc>
        <w:tc>
          <w:tcPr>
            <w:tcW w:w="4307" w:type="dxa"/>
            <w:tcBorders>
              <w:bottom w:val="single" w:sz="4" w:space="0" w:color="auto"/>
            </w:tcBorders>
            <w:shd w:val="clear" w:color="auto" w:fill="auto"/>
          </w:tcPr>
          <w:p w:rsidR="000F1306" w:rsidRPr="00FA7A03" w:rsidRDefault="000F7095" w:rsidP="00C96F6B">
            <w:pPr>
              <w:rPr>
                <w:sz w:val="20"/>
                <w:szCs w:val="20"/>
                <w:lang w:val="es-ES_tradnl"/>
              </w:rPr>
            </w:pPr>
            <w:r w:rsidRPr="00FA7A03">
              <w:rPr>
                <w:sz w:val="20"/>
                <w:szCs w:val="20"/>
                <w:lang w:val="es-ES_tradnl"/>
              </w:rPr>
              <w:t>El fortalecimiento</w:t>
            </w:r>
            <w:r w:rsidR="00893A4D" w:rsidRPr="00FA7A03">
              <w:rPr>
                <w:sz w:val="20"/>
                <w:szCs w:val="20"/>
                <w:lang w:val="es-ES_tradnl"/>
              </w:rPr>
              <w:t xml:space="preserve"> institucional del programa está</w:t>
            </w:r>
            <w:r w:rsidRPr="00FA7A03">
              <w:rPr>
                <w:sz w:val="20"/>
                <w:szCs w:val="20"/>
                <w:lang w:val="es-ES_tradnl"/>
              </w:rPr>
              <w:t xml:space="preserve"> orientado </w:t>
            </w:r>
            <w:r w:rsidR="004F5CD3" w:rsidRPr="00FA7A03">
              <w:rPr>
                <w:sz w:val="20"/>
                <w:szCs w:val="20"/>
                <w:lang w:val="es-ES_tradnl"/>
              </w:rPr>
              <w:t xml:space="preserve">a </w:t>
            </w:r>
            <w:r w:rsidR="00893A4D" w:rsidRPr="00FA7A03">
              <w:rPr>
                <w:sz w:val="20"/>
                <w:szCs w:val="20"/>
                <w:lang w:val="es-ES_tradnl"/>
              </w:rPr>
              <w:t xml:space="preserve">mejorar las capacidades de los GAD y EP en la gestión comercial y financiera, y a </w:t>
            </w:r>
            <w:r w:rsidR="004F5CD3" w:rsidRPr="00FA7A03">
              <w:rPr>
                <w:sz w:val="20"/>
                <w:szCs w:val="20"/>
                <w:lang w:val="es-ES_tradnl"/>
              </w:rPr>
              <w:t>financiar estudios tarifarios, que resultan compatibles con este principio.</w:t>
            </w:r>
            <w:r w:rsidRPr="00FA7A03">
              <w:rPr>
                <w:sz w:val="20"/>
                <w:szCs w:val="20"/>
                <w:lang w:val="es-ES_tradnl"/>
              </w:rPr>
              <w:t xml:space="preserve"> </w:t>
            </w:r>
          </w:p>
        </w:tc>
      </w:tr>
      <w:tr w:rsidR="000F1306" w:rsidRPr="00C96F6B" w:rsidTr="00FA7A03">
        <w:trPr>
          <w:jc w:val="center"/>
        </w:trPr>
        <w:tc>
          <w:tcPr>
            <w:tcW w:w="1968" w:type="dxa"/>
            <w:tcBorders>
              <w:bottom w:val="single" w:sz="4" w:space="0" w:color="auto"/>
            </w:tcBorders>
            <w:shd w:val="clear" w:color="auto" w:fill="auto"/>
          </w:tcPr>
          <w:p w:rsidR="000F1306" w:rsidRPr="00FA7A03" w:rsidRDefault="00B53A67" w:rsidP="000F1306">
            <w:pPr>
              <w:rPr>
                <w:b/>
                <w:bCs/>
                <w:sz w:val="20"/>
                <w:szCs w:val="20"/>
                <w:lang w:val="es-ES_tradnl"/>
              </w:rPr>
            </w:pPr>
            <w:r w:rsidRPr="00FA7A03">
              <w:rPr>
                <w:b/>
                <w:bCs/>
                <w:sz w:val="20"/>
                <w:szCs w:val="20"/>
                <w:lang w:val="es-ES_tradnl"/>
              </w:rPr>
              <w:t xml:space="preserve">5. Promover la </w:t>
            </w:r>
            <w:r w:rsidR="000F1306" w:rsidRPr="00FA7A03">
              <w:rPr>
                <w:b/>
                <w:bCs/>
                <w:sz w:val="20"/>
                <w:szCs w:val="20"/>
                <w:lang w:val="es-ES_tradnl"/>
              </w:rPr>
              <w:t>sostenibilidad de los servicios públicos domiciliarios</w:t>
            </w:r>
          </w:p>
        </w:tc>
        <w:tc>
          <w:tcPr>
            <w:tcW w:w="3960" w:type="dxa"/>
            <w:tcBorders>
              <w:bottom w:val="single" w:sz="4" w:space="0" w:color="auto"/>
            </w:tcBorders>
            <w:shd w:val="clear" w:color="auto" w:fill="auto"/>
          </w:tcPr>
          <w:p w:rsidR="000F1306" w:rsidRPr="00FA7A03" w:rsidRDefault="000F1306" w:rsidP="002C2128">
            <w:pPr>
              <w:spacing w:after="120"/>
              <w:rPr>
                <w:sz w:val="20"/>
                <w:szCs w:val="20"/>
                <w:lang w:val="es-ES_tradnl"/>
              </w:rPr>
            </w:pPr>
            <w:r w:rsidRPr="00FA7A03">
              <w:rPr>
                <w:sz w:val="20"/>
                <w:szCs w:val="20"/>
                <w:lang w:val="es-ES_tradnl"/>
              </w:rPr>
              <w:t>El alcance de la sostenibilidad de los servicios públicos domiciliarios se promoverá en función de tres pilares:</w:t>
            </w:r>
          </w:p>
          <w:p w:rsidR="000F1306" w:rsidRPr="00FA7A03" w:rsidRDefault="000F1306" w:rsidP="002C2128">
            <w:pPr>
              <w:spacing w:after="120"/>
              <w:rPr>
                <w:sz w:val="20"/>
                <w:szCs w:val="20"/>
                <w:lang w:val="es-ES_tradnl"/>
              </w:rPr>
            </w:pPr>
            <w:r w:rsidRPr="00FA7A03">
              <w:rPr>
                <w:sz w:val="20"/>
                <w:szCs w:val="20"/>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rsidR="000F1306" w:rsidRPr="00FA7A03" w:rsidRDefault="000F1306" w:rsidP="002C2128">
            <w:pPr>
              <w:spacing w:after="120"/>
              <w:rPr>
                <w:sz w:val="20"/>
                <w:szCs w:val="20"/>
                <w:lang w:val="es-ES_tradnl"/>
              </w:rPr>
            </w:pPr>
            <w:r w:rsidRPr="00FA7A03">
              <w:rPr>
                <w:sz w:val="20"/>
                <w:szCs w:val="20"/>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rsidR="000F1306" w:rsidRPr="00FA7A03" w:rsidRDefault="000F1306" w:rsidP="002C2128">
            <w:pPr>
              <w:spacing w:after="120"/>
              <w:rPr>
                <w:sz w:val="20"/>
                <w:szCs w:val="20"/>
                <w:lang w:val="es-ES_tradnl"/>
              </w:rPr>
            </w:pPr>
            <w:r w:rsidRPr="00FA7A03">
              <w:rPr>
                <w:sz w:val="20"/>
                <w:szCs w:val="20"/>
                <w:lang w:val="es-ES_tradnl"/>
              </w:rPr>
              <w:t>c. Sostenibilidad social: contribuyendo a incrementar el acceso al servicio y previendo mecanismos de consulta con la comunidad sobre los aspectos relevantes de la provisión del servicio.</w:t>
            </w:r>
          </w:p>
        </w:tc>
        <w:tc>
          <w:tcPr>
            <w:tcW w:w="4307" w:type="dxa"/>
            <w:tcBorders>
              <w:bottom w:val="single" w:sz="4" w:space="0" w:color="auto"/>
            </w:tcBorders>
            <w:shd w:val="clear" w:color="auto" w:fill="auto"/>
          </w:tcPr>
          <w:p w:rsidR="000F1306" w:rsidRPr="00FA7A03" w:rsidRDefault="000F1306" w:rsidP="00C96F6B">
            <w:pPr>
              <w:rPr>
                <w:sz w:val="20"/>
                <w:szCs w:val="20"/>
                <w:lang w:val="es-ES_tradnl"/>
              </w:rPr>
            </w:pPr>
            <w:r w:rsidRPr="00FA7A03">
              <w:rPr>
                <w:i/>
                <w:sz w:val="20"/>
                <w:szCs w:val="20"/>
                <w:lang w:val="es-ES_tradnl"/>
              </w:rPr>
              <w:t>Sostenibilidad Financiera:</w:t>
            </w:r>
            <w:r w:rsidRPr="00FA7A03">
              <w:rPr>
                <w:sz w:val="20"/>
                <w:szCs w:val="20"/>
                <w:lang w:val="es-ES_tradnl"/>
              </w:rPr>
              <w:t xml:space="preserve"> </w:t>
            </w:r>
          </w:p>
          <w:p w:rsidR="008248AB" w:rsidRPr="00FA7A03" w:rsidRDefault="004F5CD3" w:rsidP="002C2128">
            <w:pPr>
              <w:spacing w:after="120"/>
              <w:rPr>
                <w:sz w:val="20"/>
                <w:szCs w:val="20"/>
                <w:lang w:val="es-ES_tradnl"/>
              </w:rPr>
            </w:pPr>
            <w:r w:rsidRPr="00FA7A03">
              <w:rPr>
                <w:sz w:val="20"/>
                <w:szCs w:val="20"/>
                <w:lang w:val="es-ES_tradnl"/>
              </w:rPr>
              <w:t xml:space="preserve">Se establece como condición contractual especial de ejecución </w:t>
            </w:r>
            <w:r w:rsidR="00C97F0E" w:rsidRPr="00FA7A03">
              <w:rPr>
                <w:sz w:val="20"/>
                <w:szCs w:val="20"/>
                <w:lang w:val="es-ES_tradnl"/>
              </w:rPr>
              <w:t xml:space="preserve">que los proyectos </w:t>
            </w:r>
            <w:r w:rsidR="008248AB" w:rsidRPr="00FA7A03">
              <w:rPr>
                <w:sz w:val="20"/>
                <w:szCs w:val="20"/>
                <w:lang w:val="es-ES_tradnl"/>
              </w:rPr>
              <w:t>cuenten con los estudios de viabilidad financiera que demuestren que los mismos generarán o recibirán fondos suficientes para atender sus compromisos financieros y sufragar los costos de operación y mantenimiento de los sistemas relacionados con la operación. En caso de no ser así, porque las condiciones socioeconómicas de los habitantes de las comunidades no lo permiten, se deberá constatar el avance en el diseño e implementación de instrumentos de focalización de subsidios que prioricen a los grupos más vulnerables y de menores ingresos.</w:t>
            </w:r>
          </w:p>
          <w:p w:rsidR="00B53A67" w:rsidRPr="00FA7A03" w:rsidRDefault="00B53A67" w:rsidP="002C2128">
            <w:pPr>
              <w:spacing w:after="120"/>
              <w:rPr>
                <w:sz w:val="20"/>
                <w:szCs w:val="20"/>
                <w:lang w:val="es-ES_tradnl"/>
              </w:rPr>
            </w:pPr>
            <w:r w:rsidRPr="00FA7A03">
              <w:rPr>
                <w:i/>
                <w:sz w:val="20"/>
                <w:szCs w:val="20"/>
                <w:lang w:val="es-ES_tradnl"/>
              </w:rPr>
              <w:t>Sostenibilidad Ambiental:</w:t>
            </w:r>
            <w:r w:rsidRPr="00FA7A03">
              <w:rPr>
                <w:sz w:val="20"/>
                <w:szCs w:val="20"/>
                <w:lang w:val="es-ES_tradnl"/>
              </w:rPr>
              <w:t xml:space="preserve"> </w:t>
            </w:r>
          </w:p>
          <w:p w:rsidR="002C466D" w:rsidRPr="00FA7A03" w:rsidRDefault="002C466D" w:rsidP="002C2128">
            <w:pPr>
              <w:spacing w:after="120"/>
              <w:rPr>
                <w:sz w:val="20"/>
                <w:szCs w:val="20"/>
                <w:lang w:val="es-ES_tradnl"/>
              </w:rPr>
            </w:pPr>
            <w:r w:rsidRPr="00FA7A03">
              <w:rPr>
                <w:sz w:val="20"/>
                <w:szCs w:val="20"/>
                <w:lang w:val="es-ES_tradnl"/>
              </w:rPr>
              <w:t xml:space="preserve">Se establece como condición contractual que se cumplan los requisitos ambientales regidos por el MAE y asimismo que se haga cumplimiento del Reglamento Operativo (RO) y el Marco de Gestión Ambiental y Social (MGAS). Asimismo </w:t>
            </w:r>
            <w:r w:rsidRPr="00FA7A03">
              <w:rPr>
                <w:sz w:val="20"/>
                <w:szCs w:val="20"/>
                <w:lang w:val="es-ES"/>
              </w:rPr>
              <w:t xml:space="preserve">para las operaciones de desechos sólidos que se haga cumplimiento con el Marco de Gestión Ambiental y Social de desechos sólidos. </w:t>
            </w:r>
          </w:p>
          <w:p w:rsidR="000F1306" w:rsidRPr="00FA7A03" w:rsidRDefault="000F1306" w:rsidP="002C2128">
            <w:pPr>
              <w:spacing w:after="120"/>
              <w:rPr>
                <w:sz w:val="20"/>
                <w:szCs w:val="20"/>
                <w:lang w:val="es-ES_tradnl"/>
              </w:rPr>
            </w:pPr>
            <w:r w:rsidRPr="00FA7A03">
              <w:rPr>
                <w:i/>
                <w:sz w:val="20"/>
                <w:szCs w:val="20"/>
                <w:lang w:val="es-ES_tradnl"/>
              </w:rPr>
              <w:lastRenderedPageBreak/>
              <w:t>Sostenibilidad Social</w:t>
            </w:r>
            <w:r w:rsidRPr="00FA7A03">
              <w:rPr>
                <w:sz w:val="20"/>
                <w:szCs w:val="20"/>
                <w:lang w:val="es-ES_tradnl"/>
              </w:rPr>
              <w:t xml:space="preserve">: </w:t>
            </w:r>
          </w:p>
          <w:p w:rsidR="000F1306" w:rsidRPr="00FA7A03" w:rsidRDefault="002C466D" w:rsidP="002C2128">
            <w:pPr>
              <w:spacing w:after="120"/>
              <w:rPr>
                <w:sz w:val="20"/>
                <w:szCs w:val="20"/>
                <w:lang w:val="es-ES_tradnl"/>
              </w:rPr>
            </w:pPr>
            <w:r w:rsidRPr="00FA7A03">
              <w:rPr>
                <w:sz w:val="20"/>
                <w:szCs w:val="20"/>
                <w:lang w:val="es-ES_tradnl"/>
              </w:rPr>
              <w:t>Se establece como condición contractual que se cumplan los requisitos sociales regidos en  cumplimiento con el Reglamento Operativo (RO) y el Marco de Gestión Ambiental y Social (MGAS), y de ser necesario, cumplir con</w:t>
            </w:r>
            <w:r w:rsidRPr="00FA7A03">
              <w:rPr>
                <w:sz w:val="20"/>
                <w:szCs w:val="20"/>
                <w:lang w:val="es-EC"/>
              </w:rPr>
              <w:t xml:space="preserve"> un Marco de Reasentamiento Involuntario y/o de Pueblos Indígenas previamente acordado con el BID.</w:t>
            </w:r>
            <w:r w:rsidRPr="00FA7A03">
              <w:rPr>
                <w:sz w:val="20"/>
                <w:szCs w:val="20"/>
                <w:lang w:val="es-ES_tradnl"/>
              </w:rPr>
              <w:t xml:space="preserve"> Se establece aun la necesidad de una estrategia de comunicación a ser implantada por el ejecutor, la cual integre todas las fases del Programa y de los proyectos individuales.</w:t>
            </w:r>
            <w:bookmarkStart w:id="5" w:name="_GoBack"/>
            <w:bookmarkEnd w:id="5"/>
            <w:r w:rsidR="00600AC8" w:rsidRPr="00FA7A03">
              <w:rPr>
                <w:sz w:val="20"/>
                <w:szCs w:val="20"/>
                <w:lang w:val="es-ES_tradnl"/>
              </w:rPr>
              <w:t xml:space="preserve"> </w:t>
            </w:r>
          </w:p>
        </w:tc>
      </w:tr>
    </w:tbl>
    <w:p w:rsidR="0014726D" w:rsidRPr="00FA7A03" w:rsidRDefault="0014726D">
      <w:pPr>
        <w:rPr>
          <w:sz w:val="20"/>
          <w:szCs w:val="20"/>
          <w:lang w:val="es-ES_tradnl"/>
        </w:rPr>
      </w:pP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960"/>
        <w:gridCol w:w="4307"/>
      </w:tblGrid>
      <w:tr w:rsidR="000F1306" w:rsidRPr="00FA7A03" w:rsidTr="00743664">
        <w:trPr>
          <w:trHeight w:val="701"/>
          <w:jc w:val="center"/>
        </w:trPr>
        <w:tc>
          <w:tcPr>
            <w:tcW w:w="1968" w:type="dxa"/>
            <w:shd w:val="clear" w:color="auto" w:fill="C0C0C0"/>
          </w:tcPr>
          <w:p w:rsidR="000F1306" w:rsidRPr="00FA7A03" w:rsidRDefault="000F1306" w:rsidP="000F1306">
            <w:pPr>
              <w:rPr>
                <w:b/>
                <w:sz w:val="20"/>
                <w:szCs w:val="20"/>
                <w:lang w:val="es-ES_tradnl"/>
              </w:rPr>
            </w:pPr>
            <w:r w:rsidRPr="00FA7A03">
              <w:rPr>
                <w:b/>
                <w:sz w:val="20"/>
                <w:szCs w:val="20"/>
                <w:lang w:val="es-ES_tradnl"/>
              </w:rPr>
              <w:lastRenderedPageBreak/>
              <w:t>Principios de la Política que orientan el diseño de las operaciones del Banco</w:t>
            </w:r>
          </w:p>
        </w:tc>
        <w:tc>
          <w:tcPr>
            <w:tcW w:w="3960" w:type="dxa"/>
            <w:shd w:val="clear" w:color="auto" w:fill="C0C0C0"/>
            <w:vAlign w:val="center"/>
          </w:tcPr>
          <w:p w:rsidR="000F1306" w:rsidRPr="00FA7A03" w:rsidRDefault="000F1306" w:rsidP="000F1306">
            <w:pPr>
              <w:jc w:val="center"/>
              <w:rPr>
                <w:b/>
                <w:sz w:val="20"/>
                <w:szCs w:val="20"/>
                <w:lang w:val="es-ES_tradnl"/>
              </w:rPr>
            </w:pPr>
            <w:r w:rsidRPr="00FA7A03">
              <w:rPr>
                <w:b/>
                <w:sz w:val="20"/>
                <w:szCs w:val="20"/>
                <w:lang w:val="es-ES_tradnl"/>
              </w:rPr>
              <w:t>Descripción</w:t>
            </w:r>
          </w:p>
        </w:tc>
        <w:tc>
          <w:tcPr>
            <w:tcW w:w="4307" w:type="dxa"/>
            <w:shd w:val="clear" w:color="auto" w:fill="C0C0C0"/>
            <w:vAlign w:val="center"/>
          </w:tcPr>
          <w:p w:rsidR="000F1306" w:rsidRPr="00FA7A03" w:rsidRDefault="000F1306" w:rsidP="000F1306">
            <w:pPr>
              <w:jc w:val="center"/>
              <w:rPr>
                <w:b/>
                <w:sz w:val="20"/>
                <w:szCs w:val="20"/>
                <w:lang w:val="es-ES_tradnl"/>
              </w:rPr>
            </w:pPr>
            <w:r w:rsidRPr="00FA7A03">
              <w:rPr>
                <w:b/>
                <w:sz w:val="20"/>
                <w:szCs w:val="20"/>
                <w:lang w:val="es-ES_tradnl"/>
              </w:rPr>
              <w:t>Comentarios</w:t>
            </w:r>
          </w:p>
        </w:tc>
      </w:tr>
      <w:tr w:rsidR="000F1306" w:rsidRPr="00C96F6B" w:rsidTr="00743664">
        <w:trPr>
          <w:jc w:val="center"/>
        </w:trPr>
        <w:tc>
          <w:tcPr>
            <w:tcW w:w="1968" w:type="dxa"/>
            <w:shd w:val="clear" w:color="auto" w:fill="auto"/>
          </w:tcPr>
          <w:p w:rsidR="000F1306" w:rsidRPr="00FA7A03" w:rsidRDefault="000F1306" w:rsidP="000F1306">
            <w:pPr>
              <w:rPr>
                <w:b/>
                <w:bCs/>
                <w:sz w:val="20"/>
                <w:szCs w:val="20"/>
                <w:lang w:val="es-ES_tradnl"/>
              </w:rPr>
            </w:pPr>
            <w:r w:rsidRPr="00FA7A03">
              <w:rPr>
                <w:b/>
                <w:bCs/>
                <w:sz w:val="20"/>
                <w:szCs w:val="20"/>
                <w:lang w:val="es-ES_tradnl"/>
              </w:rPr>
              <w:t xml:space="preserve">1. Apoyar a los países para atender las necesidades básicas </w:t>
            </w:r>
          </w:p>
        </w:tc>
        <w:tc>
          <w:tcPr>
            <w:tcW w:w="3960" w:type="dxa"/>
            <w:shd w:val="clear" w:color="auto" w:fill="auto"/>
          </w:tcPr>
          <w:p w:rsidR="000F1306" w:rsidRPr="00FA7A03" w:rsidRDefault="000F1306" w:rsidP="000F1306">
            <w:pPr>
              <w:rPr>
                <w:sz w:val="20"/>
                <w:szCs w:val="20"/>
                <w:lang w:val="es-ES_tradnl"/>
              </w:rPr>
            </w:pPr>
            <w:r w:rsidRPr="00FA7A03">
              <w:rPr>
                <w:sz w:val="20"/>
                <w:szCs w:val="20"/>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4307" w:type="dxa"/>
            <w:shd w:val="clear" w:color="auto" w:fill="auto"/>
          </w:tcPr>
          <w:p w:rsidR="000F1306" w:rsidRPr="00FA7A03" w:rsidRDefault="000F1306" w:rsidP="00600AC8">
            <w:pPr>
              <w:jc w:val="both"/>
              <w:rPr>
                <w:sz w:val="20"/>
                <w:szCs w:val="20"/>
                <w:lang w:val="es-ES_tradnl"/>
              </w:rPr>
            </w:pPr>
            <w:r w:rsidRPr="00FA7A03">
              <w:rPr>
                <w:sz w:val="20"/>
                <w:szCs w:val="20"/>
                <w:lang w:val="es-ES_tradnl"/>
              </w:rPr>
              <w:t xml:space="preserve">El Programa propuesto </w:t>
            </w:r>
            <w:r w:rsidR="00890881" w:rsidRPr="00FA7A03">
              <w:rPr>
                <w:sz w:val="20"/>
                <w:szCs w:val="20"/>
                <w:lang w:val="es-ES_tradnl"/>
              </w:rPr>
              <w:t xml:space="preserve">tiene por objetivo incrementar la </w:t>
            </w:r>
            <w:r w:rsidRPr="00FA7A03">
              <w:rPr>
                <w:sz w:val="20"/>
                <w:szCs w:val="20"/>
                <w:lang w:val="es-ES_tradnl"/>
              </w:rPr>
              <w:t xml:space="preserve">expansión </w:t>
            </w:r>
            <w:r w:rsidR="00600AC8" w:rsidRPr="00FA7A03">
              <w:rPr>
                <w:sz w:val="20"/>
                <w:szCs w:val="20"/>
                <w:lang w:val="es-ES_tradnl"/>
              </w:rPr>
              <w:t>de los servicios de agua</w:t>
            </w:r>
            <w:r w:rsidR="00C52949" w:rsidRPr="00FA7A03">
              <w:rPr>
                <w:sz w:val="20"/>
                <w:szCs w:val="20"/>
                <w:lang w:val="es-ES_tradnl"/>
              </w:rPr>
              <w:t>,</w:t>
            </w:r>
            <w:r w:rsidR="00600AC8" w:rsidRPr="00FA7A03">
              <w:rPr>
                <w:sz w:val="20"/>
                <w:szCs w:val="20"/>
                <w:lang w:val="es-ES_tradnl"/>
              </w:rPr>
              <w:t xml:space="preserve"> alcantarillado sanitario</w:t>
            </w:r>
            <w:r w:rsidR="00C52949" w:rsidRPr="00FA7A03">
              <w:rPr>
                <w:sz w:val="20"/>
                <w:szCs w:val="20"/>
                <w:lang w:val="es-ES_tradnl"/>
              </w:rPr>
              <w:t>, saneamiento y residuos sólidos.</w:t>
            </w:r>
          </w:p>
          <w:p w:rsidR="009B26D0" w:rsidRPr="00FA7A03" w:rsidRDefault="00AF3A49" w:rsidP="00BE75D0">
            <w:pPr>
              <w:rPr>
                <w:sz w:val="20"/>
                <w:szCs w:val="20"/>
                <w:lang w:val="es-ES_tradnl"/>
              </w:rPr>
            </w:pPr>
            <w:r w:rsidRPr="00FA7A03">
              <w:rPr>
                <w:sz w:val="20"/>
                <w:szCs w:val="20"/>
                <w:lang w:val="es-ES_tradnl"/>
              </w:rPr>
              <w:t>El programa contempla un componente para el desarrollo de estudios de preinversión y diseños cuyos TdR serán consensuados con el BID y otros financiadores, y en los cuales se incluyen las previsiones para que los mismos respondan eficientemente a soluciones de mínimo costo.</w:t>
            </w:r>
          </w:p>
        </w:tc>
      </w:tr>
      <w:tr w:rsidR="000F1306" w:rsidRPr="00C96F6B" w:rsidTr="00743664">
        <w:trPr>
          <w:jc w:val="center"/>
        </w:trPr>
        <w:tc>
          <w:tcPr>
            <w:tcW w:w="1968" w:type="dxa"/>
            <w:shd w:val="clear" w:color="auto" w:fill="auto"/>
          </w:tcPr>
          <w:p w:rsidR="000F1306" w:rsidRPr="00FA7A03" w:rsidRDefault="000F1306" w:rsidP="000F1306">
            <w:pPr>
              <w:rPr>
                <w:b/>
                <w:bCs/>
                <w:sz w:val="20"/>
                <w:szCs w:val="20"/>
                <w:lang w:val="es-ES_tradnl"/>
              </w:rPr>
            </w:pPr>
            <w:r w:rsidRPr="00FA7A03">
              <w:rPr>
                <w:b/>
                <w:bCs/>
                <w:sz w:val="20"/>
                <w:szCs w:val="20"/>
                <w:lang w:val="es-ES_tradnl"/>
              </w:rPr>
              <w:t>2. Las mejoras continuas en la gobernanza de los servicios públicos domiciliarios serán clave para incrementar la eficiencia en su provisión y proteger satisfactoriamente los intereses de los usuarios</w:t>
            </w:r>
          </w:p>
        </w:tc>
        <w:tc>
          <w:tcPr>
            <w:tcW w:w="3960" w:type="dxa"/>
            <w:shd w:val="clear" w:color="auto" w:fill="auto"/>
          </w:tcPr>
          <w:p w:rsidR="000F1306" w:rsidRPr="00FA7A03" w:rsidRDefault="000F1306" w:rsidP="000F1306">
            <w:pPr>
              <w:rPr>
                <w:sz w:val="20"/>
                <w:szCs w:val="20"/>
                <w:lang w:val="es-ES_tradnl"/>
              </w:rPr>
            </w:pPr>
            <w:r w:rsidRPr="00FA7A03">
              <w:rPr>
                <w:sz w:val="20"/>
                <w:szCs w:val="20"/>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4307" w:type="dxa"/>
            <w:shd w:val="clear" w:color="auto" w:fill="auto"/>
          </w:tcPr>
          <w:p w:rsidR="000F1306" w:rsidRPr="00FA7A03" w:rsidRDefault="000F1306" w:rsidP="000F1306">
            <w:pPr>
              <w:jc w:val="both"/>
              <w:rPr>
                <w:sz w:val="20"/>
                <w:szCs w:val="20"/>
                <w:lang w:val="es-ES_tradnl"/>
              </w:rPr>
            </w:pPr>
            <w:r w:rsidRPr="00FA7A03">
              <w:rPr>
                <w:sz w:val="20"/>
                <w:szCs w:val="20"/>
                <w:lang w:val="es-ES_tradnl"/>
              </w:rPr>
              <w:t>Ver discusión puntos A a G a seguir</w:t>
            </w:r>
          </w:p>
        </w:tc>
      </w:tr>
      <w:tr w:rsidR="001A43F8" w:rsidRPr="00C96F6B" w:rsidTr="00743664">
        <w:trPr>
          <w:jc w:val="center"/>
        </w:trPr>
        <w:tc>
          <w:tcPr>
            <w:tcW w:w="1968" w:type="dxa"/>
            <w:shd w:val="clear" w:color="auto" w:fill="auto"/>
          </w:tcPr>
          <w:p w:rsidR="001A43F8" w:rsidRPr="00FA7A03" w:rsidRDefault="001A43F8" w:rsidP="00743664">
            <w:pPr>
              <w:ind w:left="240" w:hanging="240"/>
              <w:rPr>
                <w:b/>
                <w:bCs/>
                <w:i/>
                <w:sz w:val="20"/>
                <w:szCs w:val="20"/>
                <w:lang w:val="es-ES_tradnl"/>
              </w:rPr>
            </w:pPr>
            <w:r w:rsidRPr="00FA7A03">
              <w:rPr>
                <w:b/>
                <w:bCs/>
                <w:i/>
                <w:sz w:val="20"/>
                <w:szCs w:val="20"/>
                <w:lang w:val="es-ES_tradnl"/>
              </w:rPr>
              <w:t>A. Promover la integridad, la transparencia y la rendición de cuentas</w:t>
            </w:r>
          </w:p>
        </w:tc>
        <w:tc>
          <w:tcPr>
            <w:tcW w:w="3960" w:type="dxa"/>
            <w:shd w:val="clear" w:color="auto" w:fill="auto"/>
          </w:tcPr>
          <w:p w:rsidR="001A43F8" w:rsidRPr="00FA7A03" w:rsidRDefault="001A43F8" w:rsidP="000F1306">
            <w:pPr>
              <w:rPr>
                <w:sz w:val="20"/>
                <w:szCs w:val="20"/>
                <w:lang w:val="es-ES_tradnl"/>
              </w:rPr>
            </w:pPr>
            <w:r w:rsidRPr="00FA7A03">
              <w:rPr>
                <w:rFonts w:eastAsiaTheme="minorHAnsi"/>
                <w:sz w:val="20"/>
                <w:szCs w:val="20"/>
                <w:lang w:val="es-ES_tradnl"/>
              </w:rPr>
              <w:t>Se impulsarán los arreglos institucionales básicos para que los países de la región adopten medidas que promuevan la integridad y aumenten la transparencia en la provisión de servicios públicos domiciliarios, con el objetivo de mejorar la rendición de cuentas y fortalecer el cumplimiento de los derechos de los usuarios</w:t>
            </w:r>
            <w:r w:rsidRPr="00FA7A03">
              <w:rPr>
                <w:sz w:val="20"/>
                <w:szCs w:val="20"/>
                <w:lang w:val="es-ES_tradnl"/>
              </w:rPr>
              <w:t>.</w:t>
            </w:r>
          </w:p>
        </w:tc>
        <w:tc>
          <w:tcPr>
            <w:tcW w:w="4307" w:type="dxa"/>
            <w:shd w:val="clear" w:color="auto" w:fill="auto"/>
          </w:tcPr>
          <w:p w:rsidR="001A43F8" w:rsidRPr="00FA7A03" w:rsidRDefault="001A43F8" w:rsidP="00BE75D0">
            <w:pPr>
              <w:rPr>
                <w:sz w:val="20"/>
                <w:szCs w:val="20"/>
                <w:lang w:val="es-ES_tradnl"/>
              </w:rPr>
            </w:pPr>
            <w:r w:rsidRPr="00FA7A03">
              <w:rPr>
                <w:sz w:val="20"/>
                <w:szCs w:val="20"/>
                <w:lang w:val="es-ES_tradnl"/>
              </w:rPr>
              <w:t>La SENAGUA recibió del MIDUVI las responsabilidades de política del sector durante el año 2013, y también las de regulación y control, antes prestadas por los GAD, encontrándose en un proceso de organización y adaptación. Se promoverá que las nuevas normas regulatorias mejoren la transparencia y la rendición de cuentas.</w:t>
            </w:r>
          </w:p>
        </w:tc>
      </w:tr>
      <w:tr w:rsidR="001A43F8" w:rsidRPr="00C96F6B" w:rsidTr="00743664">
        <w:trPr>
          <w:jc w:val="center"/>
        </w:trPr>
        <w:tc>
          <w:tcPr>
            <w:tcW w:w="1968" w:type="dxa"/>
            <w:shd w:val="clear" w:color="auto" w:fill="auto"/>
          </w:tcPr>
          <w:p w:rsidR="001A43F8" w:rsidRPr="00FA7A03" w:rsidRDefault="001A43F8" w:rsidP="00743664">
            <w:pPr>
              <w:ind w:left="240" w:hanging="240"/>
              <w:rPr>
                <w:b/>
                <w:bCs/>
                <w:i/>
                <w:sz w:val="20"/>
                <w:szCs w:val="20"/>
                <w:lang w:val="es-ES_tradnl"/>
              </w:rPr>
            </w:pPr>
            <w:r w:rsidRPr="00FA7A03">
              <w:rPr>
                <w:b/>
                <w:bCs/>
                <w:i/>
                <w:sz w:val="20"/>
                <w:szCs w:val="20"/>
                <w:lang w:val="es-ES_tradnl"/>
              </w:rPr>
              <w:t>B. Analizar las características e impactos de los subsidios</w:t>
            </w:r>
          </w:p>
        </w:tc>
        <w:tc>
          <w:tcPr>
            <w:tcW w:w="3960" w:type="dxa"/>
            <w:shd w:val="clear" w:color="auto" w:fill="auto"/>
          </w:tcPr>
          <w:p w:rsidR="001A43F8" w:rsidRPr="00FA7A03" w:rsidRDefault="001A43F8" w:rsidP="000F1306">
            <w:pPr>
              <w:rPr>
                <w:sz w:val="20"/>
                <w:szCs w:val="20"/>
                <w:lang w:val="es-ES_tradnl"/>
              </w:rPr>
            </w:pPr>
            <w:r w:rsidRPr="00FA7A03">
              <w:rPr>
                <w:sz w:val="20"/>
                <w:szCs w:val="20"/>
                <w:lang w:val="es-ES_tradnl"/>
              </w:rPr>
              <w:t xml:space="preserve">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tarifas por la venta del servicio al usuario,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w:t>
            </w:r>
            <w:r w:rsidRPr="00FA7A03">
              <w:rPr>
                <w:sz w:val="20"/>
                <w:szCs w:val="20"/>
                <w:lang w:val="es-ES_tradnl"/>
              </w:rPr>
              <w:lastRenderedPageBreak/>
              <w:t>población con menores ingresos.</w:t>
            </w:r>
          </w:p>
        </w:tc>
        <w:tc>
          <w:tcPr>
            <w:tcW w:w="4307" w:type="dxa"/>
            <w:shd w:val="clear" w:color="auto" w:fill="auto"/>
          </w:tcPr>
          <w:p w:rsidR="001A43F8" w:rsidRPr="00FA7A03" w:rsidRDefault="001A43F8" w:rsidP="00BE75D0">
            <w:pPr>
              <w:rPr>
                <w:sz w:val="20"/>
                <w:szCs w:val="20"/>
                <w:lang w:val="es-ES_tradnl"/>
              </w:rPr>
            </w:pPr>
            <w:r w:rsidRPr="00FA7A03">
              <w:rPr>
                <w:sz w:val="20"/>
                <w:szCs w:val="20"/>
                <w:lang w:val="es-ES_tradnl"/>
              </w:rPr>
              <w:lastRenderedPageBreak/>
              <w:t xml:space="preserve">En los casos que no pueda verificarse la sostenibilidad financiera con ingresos tarifarios, debido a que las condiciones socioeconómicas de los habitantes de las comunidades no lo permiten, se constatará el avance en el diseño e implementación de instrumentos de focalización de subsidios que prioricen a los grupos más vulnerables y de menores ingresos. </w:t>
            </w:r>
          </w:p>
          <w:p w:rsidR="001A43F8" w:rsidRPr="00FA7A03" w:rsidRDefault="001A43F8" w:rsidP="00BE75D0">
            <w:pPr>
              <w:rPr>
                <w:sz w:val="20"/>
                <w:szCs w:val="20"/>
                <w:highlight w:val="yellow"/>
                <w:lang w:val="es-ES_tradnl"/>
              </w:rPr>
            </w:pPr>
          </w:p>
          <w:p w:rsidR="001A43F8" w:rsidRPr="00FA7A03" w:rsidRDefault="001A43F8" w:rsidP="00BE75D0">
            <w:pPr>
              <w:rPr>
                <w:sz w:val="20"/>
                <w:szCs w:val="20"/>
                <w:highlight w:val="yellow"/>
                <w:lang w:val="es-ES_tradnl"/>
              </w:rPr>
            </w:pPr>
          </w:p>
        </w:tc>
      </w:tr>
      <w:tr w:rsidR="001A43F8" w:rsidRPr="00C96F6B" w:rsidTr="00743664">
        <w:trPr>
          <w:jc w:val="center"/>
        </w:trPr>
        <w:tc>
          <w:tcPr>
            <w:tcW w:w="1968" w:type="dxa"/>
            <w:shd w:val="clear" w:color="auto" w:fill="auto"/>
          </w:tcPr>
          <w:p w:rsidR="001A43F8" w:rsidRPr="00FA7A03" w:rsidRDefault="001A43F8" w:rsidP="00743664">
            <w:pPr>
              <w:ind w:left="240" w:hanging="240"/>
              <w:rPr>
                <w:i/>
                <w:sz w:val="20"/>
                <w:szCs w:val="20"/>
                <w:lang w:val="es-ES_tradnl"/>
              </w:rPr>
            </w:pPr>
            <w:r w:rsidRPr="00FA7A03">
              <w:rPr>
                <w:b/>
                <w:bCs/>
                <w:i/>
                <w:sz w:val="20"/>
                <w:szCs w:val="20"/>
                <w:lang w:val="es-ES_tradnl"/>
              </w:rPr>
              <w:lastRenderedPageBreak/>
              <w:t>C. Separación de Funciones para mejorar la gobernanza sectorial</w:t>
            </w:r>
          </w:p>
        </w:tc>
        <w:tc>
          <w:tcPr>
            <w:tcW w:w="3960" w:type="dxa"/>
            <w:shd w:val="clear" w:color="auto" w:fill="auto"/>
          </w:tcPr>
          <w:p w:rsidR="001A43F8" w:rsidRPr="00FA7A03" w:rsidRDefault="001A43F8" w:rsidP="000F1306">
            <w:pPr>
              <w:rPr>
                <w:sz w:val="20"/>
                <w:szCs w:val="20"/>
                <w:lang w:val="es-ES_tradnl"/>
              </w:rPr>
            </w:pPr>
            <w:r w:rsidRPr="00FA7A03">
              <w:rPr>
                <w:sz w:val="20"/>
                <w:szCs w:val="20"/>
                <w:lang w:val="es-ES_tradnl"/>
              </w:rPr>
              <w:t xml:space="preserve">Deben separarse las funciones de </w:t>
            </w:r>
            <w:r w:rsidRPr="00FA7A03">
              <w:rPr>
                <w:b/>
                <w:bCs/>
                <w:sz w:val="20"/>
                <w:szCs w:val="20"/>
                <w:lang w:val="es-ES_tradnl"/>
              </w:rPr>
              <w:t>formulador de políticas, regulador</w:t>
            </w:r>
            <w:r w:rsidRPr="00FA7A03">
              <w:rPr>
                <w:sz w:val="20"/>
                <w:szCs w:val="20"/>
                <w:lang w:val="es-ES_tradnl"/>
              </w:rPr>
              <w:t xml:space="preserve"> y </w:t>
            </w:r>
            <w:r w:rsidRPr="00FA7A03">
              <w:rPr>
                <w:b/>
                <w:bCs/>
                <w:sz w:val="20"/>
                <w:szCs w:val="20"/>
                <w:lang w:val="es-ES_tradnl"/>
              </w:rPr>
              <w:t>empresario</w:t>
            </w:r>
            <w:r w:rsidRPr="00FA7A03">
              <w:rPr>
                <w:sz w:val="20"/>
                <w:szCs w:val="20"/>
                <w:lang w:val="es-ES_tradnl"/>
              </w:rPr>
              <w:t xml:space="preserve"> y asignarse a instituciones distintas y apropiadas. De esta manera, las autoridades conservarán la responsabilidad de </w:t>
            </w:r>
            <w:r w:rsidRPr="00FA7A03">
              <w:rPr>
                <w:b/>
                <w:bCs/>
                <w:sz w:val="20"/>
                <w:szCs w:val="20"/>
                <w:lang w:val="es-ES_tradnl"/>
              </w:rPr>
              <w:t>formular la política</w:t>
            </w:r>
            <w:r w:rsidRPr="00FA7A03">
              <w:rPr>
                <w:sz w:val="20"/>
                <w:szCs w:val="20"/>
                <w:lang w:val="es-ES_tradnl"/>
              </w:rPr>
              <w:t xml:space="preserve">, un ente público separado dictará el </w:t>
            </w:r>
            <w:r w:rsidRPr="00FA7A03">
              <w:rPr>
                <w:b/>
                <w:bCs/>
                <w:sz w:val="20"/>
                <w:szCs w:val="20"/>
                <w:lang w:val="es-ES_tradnl"/>
              </w:rPr>
              <w:t>régimen reglamentario</w:t>
            </w:r>
            <w:r w:rsidRPr="00FA7A03">
              <w:rPr>
                <w:sz w:val="20"/>
                <w:szCs w:val="20"/>
                <w:lang w:val="es-ES_tradnl"/>
              </w:rPr>
              <w:t xml:space="preserve"> y se asignará al proveedor del servicio una función exclusivamente </w:t>
            </w:r>
            <w:r w:rsidRPr="00FA7A03">
              <w:rPr>
                <w:b/>
                <w:bCs/>
                <w:sz w:val="20"/>
                <w:szCs w:val="20"/>
                <w:lang w:val="es-ES_tradnl"/>
              </w:rPr>
              <w:t>empresarial</w:t>
            </w:r>
            <w:r w:rsidRPr="00FA7A03">
              <w:rPr>
                <w:sz w:val="20"/>
                <w:szCs w:val="20"/>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FA7A03">
              <w:rPr>
                <w:sz w:val="20"/>
                <w:szCs w:val="20"/>
                <w:lang w:val="es-ES"/>
              </w:rPr>
              <w:t xml:space="preserve"> </w:t>
            </w:r>
            <w:r w:rsidRPr="00FA7A03">
              <w:rPr>
                <w:sz w:val="20"/>
                <w:szCs w:val="20"/>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4307" w:type="dxa"/>
            <w:shd w:val="clear" w:color="auto" w:fill="auto"/>
          </w:tcPr>
          <w:p w:rsidR="001A43F8" w:rsidRPr="00FA7A03" w:rsidRDefault="001A43F8" w:rsidP="00743664">
            <w:pPr>
              <w:rPr>
                <w:sz w:val="20"/>
                <w:szCs w:val="20"/>
                <w:lang w:val="es-ES_tradnl"/>
              </w:rPr>
            </w:pPr>
            <w:r w:rsidRPr="00FA7A03">
              <w:rPr>
                <w:sz w:val="20"/>
                <w:szCs w:val="20"/>
                <w:lang w:val="es-ES_tradnl"/>
              </w:rPr>
              <w:t>El programa prevé apoyar a los GAD y EP mediante el Programa de Asistencia Técnica para la Gestión de los Servicios (PATGES) orientado a la implantación de instrumentos y/o acciones que mejoren la gestión operativa, comercial y financiera.</w:t>
            </w:r>
          </w:p>
          <w:p w:rsidR="001A43F8" w:rsidRPr="00FA7A03" w:rsidRDefault="001A43F8" w:rsidP="00C51E2E">
            <w:pPr>
              <w:jc w:val="both"/>
              <w:rPr>
                <w:sz w:val="20"/>
                <w:szCs w:val="20"/>
                <w:lang w:val="es-ES_tradnl"/>
              </w:rPr>
            </w:pPr>
          </w:p>
          <w:p w:rsidR="001A43F8" w:rsidRPr="00FA7A03" w:rsidRDefault="001A43F8" w:rsidP="00743664">
            <w:pPr>
              <w:rPr>
                <w:sz w:val="20"/>
                <w:szCs w:val="20"/>
                <w:lang w:val="es-ES_tradnl"/>
              </w:rPr>
            </w:pPr>
            <w:r w:rsidRPr="00FA7A03">
              <w:rPr>
                <w:sz w:val="20"/>
                <w:szCs w:val="20"/>
                <w:lang w:val="es-ES_tradnl"/>
              </w:rPr>
              <w:t>El programa también apoyará el fortalecimiento institucional de la SENAGUA, que es el ente rector y responsable de establecer las políticas y programas nacionales, proveer asistencia técnica, definir las normas técnicas y de regulación, y hacer seguimiento y evaluar el desarrollo del sector.</w:t>
            </w:r>
          </w:p>
          <w:p w:rsidR="001A43F8" w:rsidRPr="00FA7A03" w:rsidRDefault="001A43F8" w:rsidP="000F1306">
            <w:pPr>
              <w:jc w:val="both"/>
              <w:rPr>
                <w:sz w:val="20"/>
                <w:szCs w:val="20"/>
                <w:highlight w:val="yellow"/>
                <w:lang w:val="es-ES_tradnl"/>
              </w:rPr>
            </w:pPr>
          </w:p>
        </w:tc>
      </w:tr>
      <w:tr w:rsidR="001A43F8" w:rsidRPr="00C96F6B" w:rsidTr="00743664">
        <w:trPr>
          <w:jc w:val="center"/>
        </w:trPr>
        <w:tc>
          <w:tcPr>
            <w:tcW w:w="1968" w:type="dxa"/>
            <w:shd w:val="clear" w:color="auto" w:fill="auto"/>
          </w:tcPr>
          <w:p w:rsidR="001A43F8" w:rsidRPr="00FA7A03" w:rsidRDefault="001A43F8" w:rsidP="00743664">
            <w:pPr>
              <w:ind w:left="240" w:hanging="240"/>
              <w:rPr>
                <w:i/>
                <w:sz w:val="20"/>
                <w:szCs w:val="20"/>
                <w:lang w:val="es-ES_tradnl"/>
              </w:rPr>
            </w:pPr>
            <w:r w:rsidRPr="00FA7A03">
              <w:rPr>
                <w:b/>
                <w:bCs/>
                <w:i/>
                <w:sz w:val="20"/>
                <w:szCs w:val="20"/>
                <w:lang w:val="es-ES_tradnl"/>
              </w:rPr>
              <w:t>D. Establecer la estructura sectorial más apropiada en el contexto de las características del servicio y los objetivos de la política</w:t>
            </w:r>
          </w:p>
        </w:tc>
        <w:tc>
          <w:tcPr>
            <w:tcW w:w="3960" w:type="dxa"/>
            <w:shd w:val="clear" w:color="auto" w:fill="auto"/>
          </w:tcPr>
          <w:p w:rsidR="001A43F8" w:rsidRPr="00FA7A03" w:rsidRDefault="001A43F8" w:rsidP="000F1306">
            <w:pPr>
              <w:rPr>
                <w:sz w:val="20"/>
                <w:szCs w:val="20"/>
                <w:lang w:val="es-ES_tradnl"/>
              </w:rPr>
            </w:pPr>
            <w:r w:rsidRPr="00FA7A03">
              <w:rPr>
                <w:sz w:val="20"/>
                <w:szCs w:val="20"/>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4307" w:type="dxa"/>
            <w:shd w:val="clear" w:color="auto" w:fill="auto"/>
          </w:tcPr>
          <w:p w:rsidR="001A43F8" w:rsidRPr="00FA7A03" w:rsidRDefault="001A43F8" w:rsidP="00743664">
            <w:pPr>
              <w:rPr>
                <w:sz w:val="20"/>
                <w:szCs w:val="20"/>
                <w:highlight w:val="yellow"/>
                <w:lang w:val="es-ES_tradnl"/>
              </w:rPr>
            </w:pPr>
            <w:r w:rsidRPr="00FA7A03">
              <w:rPr>
                <w:sz w:val="20"/>
                <w:szCs w:val="20"/>
                <w:lang w:val="es-ES_tradnl"/>
              </w:rPr>
              <w:t>Dentro de las acciones de fortalecimiento institucional previstas por la SENAGUA, se encuentra la establecer las políticas y programas nacionales, definir las normas técnicas y de regulación.</w:t>
            </w:r>
          </w:p>
        </w:tc>
      </w:tr>
      <w:tr w:rsidR="001A43F8" w:rsidRPr="00C96F6B" w:rsidTr="00743664">
        <w:trPr>
          <w:jc w:val="center"/>
        </w:trPr>
        <w:tc>
          <w:tcPr>
            <w:tcW w:w="1968" w:type="dxa"/>
            <w:shd w:val="clear" w:color="auto" w:fill="auto"/>
          </w:tcPr>
          <w:p w:rsidR="001A43F8" w:rsidRPr="00FA7A03" w:rsidRDefault="001A43F8" w:rsidP="00743664">
            <w:pPr>
              <w:ind w:left="240" w:hanging="240"/>
              <w:rPr>
                <w:i/>
                <w:sz w:val="20"/>
                <w:szCs w:val="20"/>
                <w:lang w:val="es-ES_tradnl"/>
              </w:rPr>
            </w:pPr>
            <w:r w:rsidRPr="00FA7A03">
              <w:rPr>
                <w:b/>
                <w:bCs/>
                <w:i/>
                <w:sz w:val="20"/>
                <w:szCs w:val="20"/>
                <w:lang w:val="es-ES_tradnl"/>
              </w:rPr>
              <w:t>E.</w:t>
            </w:r>
            <w:r w:rsidRPr="00FA7A03">
              <w:rPr>
                <w:i/>
                <w:sz w:val="20"/>
                <w:szCs w:val="20"/>
                <w:lang w:val="es-ES"/>
              </w:rPr>
              <w:t xml:space="preserve"> </w:t>
            </w:r>
            <w:r w:rsidRPr="00FA7A03">
              <w:rPr>
                <w:b/>
                <w:bCs/>
                <w:i/>
                <w:sz w:val="20"/>
                <w:szCs w:val="20"/>
                <w:lang w:val="es-ES_tradnl"/>
              </w:rPr>
              <w:t>El rol de la regulación económica para incentivar la eficiencia, la inversión y proteger los derechos de los usuarios</w:t>
            </w:r>
          </w:p>
        </w:tc>
        <w:tc>
          <w:tcPr>
            <w:tcW w:w="3960" w:type="dxa"/>
            <w:shd w:val="clear" w:color="auto" w:fill="auto"/>
          </w:tcPr>
          <w:p w:rsidR="001A43F8" w:rsidRPr="00FA7A03" w:rsidRDefault="001A43F8" w:rsidP="00A05E69">
            <w:pPr>
              <w:rPr>
                <w:sz w:val="20"/>
                <w:szCs w:val="20"/>
                <w:lang w:val="es-ES_tradnl"/>
              </w:rPr>
            </w:pPr>
            <w:r w:rsidRPr="00FA7A03">
              <w:rPr>
                <w:bCs/>
                <w:sz w:val="20"/>
                <w:szCs w:val="20"/>
                <w:lang w:val="es-ES_tradnl"/>
              </w:rPr>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w:t>
            </w:r>
            <w:r w:rsidRPr="00FA7A03">
              <w:rPr>
                <w:bCs/>
                <w:sz w:val="20"/>
                <w:szCs w:val="20"/>
                <w:lang w:val="es-ES_tradnl"/>
              </w:rPr>
              <w:lastRenderedPageBreak/>
              <w:t>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4307" w:type="dxa"/>
            <w:shd w:val="clear" w:color="auto" w:fill="auto"/>
          </w:tcPr>
          <w:p w:rsidR="001A43F8" w:rsidRPr="00FA7A03" w:rsidRDefault="00FA7A03" w:rsidP="00743664">
            <w:pPr>
              <w:rPr>
                <w:sz w:val="20"/>
                <w:szCs w:val="20"/>
                <w:lang w:val="es-ES_tradnl"/>
              </w:rPr>
            </w:pPr>
            <w:r w:rsidRPr="00FA7A03">
              <w:rPr>
                <w:sz w:val="20"/>
                <w:szCs w:val="20"/>
                <w:lang w:val="es-ES_tradnl"/>
              </w:rPr>
              <w:lastRenderedPageBreak/>
              <w:t>La SENAGUA recibió del MIDUVI las responsabilidades de política del sector durante el año 2013, y también las de regulación y control, antes prestadas por los GAD, encontrándose en un proceso de organización y adaptación. Se promoverá que las nuevas normas incorporen las mejores prácticas en regulación, incentivando la inversión, estableciendo estándares de calidad y mecanismos de revisión tarifaria eficaces y velando por los derechos de los usuarios .</w:t>
            </w:r>
          </w:p>
          <w:p w:rsidR="001A43F8" w:rsidRPr="00FA7A03" w:rsidRDefault="001A43F8" w:rsidP="00A05E69">
            <w:pPr>
              <w:jc w:val="both"/>
              <w:rPr>
                <w:sz w:val="20"/>
                <w:szCs w:val="20"/>
                <w:highlight w:val="yellow"/>
                <w:lang w:val="es-ES_tradnl"/>
              </w:rPr>
            </w:pPr>
          </w:p>
        </w:tc>
      </w:tr>
      <w:tr w:rsidR="001A43F8" w:rsidRPr="00FA7A03" w:rsidTr="00743664">
        <w:trPr>
          <w:jc w:val="center"/>
        </w:trPr>
        <w:tc>
          <w:tcPr>
            <w:tcW w:w="1968" w:type="dxa"/>
            <w:shd w:val="clear" w:color="auto" w:fill="auto"/>
          </w:tcPr>
          <w:p w:rsidR="001A43F8" w:rsidRPr="00FA7A03" w:rsidRDefault="001A43F8" w:rsidP="000F1306">
            <w:pPr>
              <w:ind w:left="330" w:hanging="150"/>
              <w:rPr>
                <w:b/>
                <w:i/>
                <w:sz w:val="20"/>
                <w:szCs w:val="20"/>
                <w:lang w:val="es-ES_tradnl"/>
              </w:rPr>
            </w:pPr>
            <w:r w:rsidRPr="00FA7A03">
              <w:rPr>
                <w:b/>
                <w:i/>
                <w:sz w:val="20"/>
                <w:szCs w:val="20"/>
                <w:lang w:val="es-ES_tradnl"/>
              </w:rPr>
              <w:lastRenderedPageBreak/>
              <w:t xml:space="preserve">F. Generar condiciones adecuadas para que la participación privada sea una opción viable para la provisión de servicios públicos </w:t>
            </w:r>
            <w:r w:rsidRPr="00FA7A03">
              <w:rPr>
                <w:b/>
                <w:bCs/>
                <w:i/>
                <w:sz w:val="20"/>
                <w:szCs w:val="20"/>
                <w:lang w:val="es-ES_tradnl"/>
              </w:rPr>
              <w:t>domiciliarios</w:t>
            </w:r>
          </w:p>
        </w:tc>
        <w:tc>
          <w:tcPr>
            <w:tcW w:w="3960" w:type="dxa"/>
            <w:shd w:val="clear" w:color="auto" w:fill="auto"/>
          </w:tcPr>
          <w:p w:rsidR="001A43F8" w:rsidRPr="00FA7A03" w:rsidRDefault="001A43F8" w:rsidP="000F1306">
            <w:pPr>
              <w:rPr>
                <w:sz w:val="20"/>
                <w:szCs w:val="20"/>
                <w:lang w:val="es-ES_tradnl"/>
              </w:rPr>
            </w:pPr>
            <w:r w:rsidRPr="00FA7A03">
              <w:rPr>
                <w:sz w:val="20"/>
                <w:szCs w:val="20"/>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4307" w:type="dxa"/>
            <w:shd w:val="clear" w:color="auto" w:fill="auto"/>
          </w:tcPr>
          <w:p w:rsidR="001A43F8" w:rsidRPr="00FA7A03" w:rsidRDefault="001A43F8" w:rsidP="000F1306">
            <w:pPr>
              <w:jc w:val="both"/>
              <w:rPr>
                <w:sz w:val="20"/>
                <w:szCs w:val="20"/>
                <w:highlight w:val="yellow"/>
                <w:lang w:val="es-ES_tradnl"/>
              </w:rPr>
            </w:pPr>
            <w:r w:rsidRPr="00FA7A03">
              <w:rPr>
                <w:sz w:val="20"/>
                <w:szCs w:val="20"/>
                <w:lang w:val="es-ES_tradnl"/>
              </w:rPr>
              <w:t>NO APLICA</w:t>
            </w:r>
          </w:p>
        </w:tc>
      </w:tr>
      <w:tr w:rsidR="001A43F8" w:rsidRPr="00C96F6B" w:rsidTr="00743664">
        <w:trPr>
          <w:jc w:val="center"/>
        </w:trPr>
        <w:tc>
          <w:tcPr>
            <w:tcW w:w="1968" w:type="dxa"/>
            <w:shd w:val="clear" w:color="auto" w:fill="auto"/>
          </w:tcPr>
          <w:p w:rsidR="001A43F8" w:rsidRPr="00FA7A03" w:rsidRDefault="001A43F8" w:rsidP="000F1306">
            <w:pPr>
              <w:ind w:left="330" w:hanging="150"/>
              <w:rPr>
                <w:b/>
                <w:i/>
                <w:sz w:val="20"/>
                <w:szCs w:val="20"/>
                <w:lang w:val="es-ES"/>
              </w:rPr>
            </w:pPr>
            <w:r w:rsidRPr="00FA7A03">
              <w:rPr>
                <w:b/>
                <w:i/>
                <w:sz w:val="20"/>
                <w:szCs w:val="20"/>
                <w:lang w:val="es-ES"/>
              </w:rPr>
              <w:t xml:space="preserve">G. </w:t>
            </w:r>
            <w:r w:rsidRPr="00FA7A03">
              <w:rPr>
                <w:b/>
                <w:bCs/>
                <w:i/>
                <w:sz w:val="20"/>
                <w:szCs w:val="20"/>
                <w:lang w:val="es-ES_tradnl"/>
              </w:rPr>
              <w:t>Fortalecer</w:t>
            </w:r>
            <w:r w:rsidRPr="00FA7A03">
              <w:rPr>
                <w:b/>
                <w:i/>
                <w:sz w:val="20"/>
                <w:szCs w:val="20"/>
                <w:lang w:val="es-ES"/>
              </w:rPr>
              <w:t xml:space="preserve"> la gestión de la infraestructura utilizada para la prestación de los servicios públicos domiciliarios.</w:t>
            </w:r>
          </w:p>
        </w:tc>
        <w:tc>
          <w:tcPr>
            <w:tcW w:w="3960" w:type="dxa"/>
            <w:shd w:val="clear" w:color="auto" w:fill="auto"/>
          </w:tcPr>
          <w:p w:rsidR="001A43F8" w:rsidRPr="00FA7A03" w:rsidRDefault="001A43F8" w:rsidP="000F1306">
            <w:pPr>
              <w:rPr>
                <w:sz w:val="20"/>
                <w:szCs w:val="20"/>
                <w:lang w:val="es-ES"/>
              </w:rPr>
            </w:pPr>
            <w:r w:rsidRPr="00FA7A03">
              <w:rPr>
                <w:sz w:val="20"/>
                <w:szCs w:val="20"/>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4307" w:type="dxa"/>
            <w:shd w:val="clear" w:color="auto" w:fill="auto"/>
          </w:tcPr>
          <w:p w:rsidR="001A43F8" w:rsidRPr="00FA7A03" w:rsidRDefault="001A43F8" w:rsidP="00743664">
            <w:pPr>
              <w:rPr>
                <w:sz w:val="20"/>
                <w:szCs w:val="20"/>
                <w:lang w:val="es-ES_tradnl"/>
              </w:rPr>
            </w:pPr>
            <w:r w:rsidRPr="00FA7A03">
              <w:rPr>
                <w:sz w:val="20"/>
                <w:szCs w:val="20"/>
                <w:lang w:val="es-ES_tradnl"/>
              </w:rPr>
              <w:t>El programa prevé apoyar a los GAD y EP mediante el Programa de Asistencia Técnica para la Gestión de los Servicios (PATGES) orientado a la implantación de instrumentos y/o acciones que mejoren la gestión operativa, comercial y financiera.</w:t>
            </w:r>
          </w:p>
          <w:p w:rsidR="001A43F8" w:rsidRPr="00FA7A03" w:rsidRDefault="001A43F8" w:rsidP="000F1306">
            <w:pPr>
              <w:jc w:val="both"/>
              <w:rPr>
                <w:sz w:val="20"/>
                <w:szCs w:val="20"/>
                <w:lang w:val="es-ES_tradnl"/>
              </w:rPr>
            </w:pPr>
          </w:p>
        </w:tc>
      </w:tr>
      <w:tr w:rsidR="001A43F8" w:rsidRPr="00C96F6B" w:rsidTr="00743664">
        <w:trPr>
          <w:jc w:val="center"/>
        </w:trPr>
        <w:tc>
          <w:tcPr>
            <w:tcW w:w="1968" w:type="dxa"/>
            <w:shd w:val="clear" w:color="auto" w:fill="auto"/>
          </w:tcPr>
          <w:p w:rsidR="001A43F8" w:rsidRPr="00FA7A03" w:rsidRDefault="001A43F8" w:rsidP="000F1306">
            <w:pPr>
              <w:rPr>
                <w:sz w:val="20"/>
                <w:szCs w:val="20"/>
                <w:lang w:val="es-ES"/>
              </w:rPr>
            </w:pPr>
            <w:r w:rsidRPr="00FA7A03">
              <w:rPr>
                <w:b/>
                <w:sz w:val="20"/>
                <w:szCs w:val="20"/>
                <w:lang w:val="es-ES"/>
              </w:rPr>
              <w:t>3. Promover la innovación para fomentar la eficiencia, el acceso y la sostenibilidad ambiental</w:t>
            </w:r>
          </w:p>
        </w:tc>
        <w:tc>
          <w:tcPr>
            <w:tcW w:w="3960" w:type="dxa"/>
            <w:shd w:val="clear" w:color="auto" w:fill="auto"/>
          </w:tcPr>
          <w:p w:rsidR="001A43F8" w:rsidRPr="00FA7A03" w:rsidRDefault="001A43F8" w:rsidP="000F1306">
            <w:pPr>
              <w:rPr>
                <w:sz w:val="20"/>
                <w:szCs w:val="20"/>
                <w:lang w:val="es-ES"/>
              </w:rPr>
            </w:pPr>
            <w:r w:rsidRPr="00FA7A03">
              <w:rPr>
                <w:sz w:val="20"/>
                <w:szCs w:val="20"/>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4307" w:type="dxa"/>
            <w:shd w:val="clear" w:color="auto" w:fill="auto"/>
          </w:tcPr>
          <w:p w:rsidR="001A43F8" w:rsidRPr="00FA7A03" w:rsidRDefault="001A43F8" w:rsidP="002C466D">
            <w:pPr>
              <w:jc w:val="both"/>
              <w:rPr>
                <w:sz w:val="20"/>
                <w:szCs w:val="20"/>
                <w:lang w:val="es-ES"/>
              </w:rPr>
            </w:pPr>
            <w:r w:rsidRPr="00FA7A03">
              <w:rPr>
                <w:sz w:val="20"/>
                <w:szCs w:val="20"/>
                <w:lang w:val="es-ES"/>
              </w:rPr>
              <w:t xml:space="preserve">El Componente I financiará estudios de pre-factibilidad y diseño preliminares de las obras. En esta fase, se deberá asegurar que entre los análisis de alternativas se incluyan alternativas novedosas, con soluciones sostenibles a lo largo plazo. </w:t>
            </w:r>
          </w:p>
          <w:p w:rsidR="001A43F8" w:rsidRPr="00FA7A03" w:rsidRDefault="001A43F8" w:rsidP="002C466D">
            <w:pPr>
              <w:jc w:val="both"/>
              <w:rPr>
                <w:sz w:val="20"/>
                <w:szCs w:val="20"/>
                <w:highlight w:val="yellow"/>
                <w:lang w:val="es-ES"/>
              </w:rPr>
            </w:pPr>
          </w:p>
        </w:tc>
      </w:tr>
    </w:tbl>
    <w:p w:rsidR="000F1306" w:rsidRPr="002C466D" w:rsidRDefault="000F1306" w:rsidP="000F1306">
      <w:pPr>
        <w:rPr>
          <w:lang w:val="es-ES_tradnl"/>
        </w:rPr>
      </w:pPr>
    </w:p>
    <w:p w:rsidR="003B02C4" w:rsidRPr="002C466D" w:rsidRDefault="003B02C4" w:rsidP="000F1306">
      <w:pPr>
        <w:rPr>
          <w:lang w:val="es-ES_tradnl"/>
        </w:rPr>
      </w:pPr>
    </w:p>
    <w:sectPr w:rsidR="003B02C4" w:rsidRPr="002C466D" w:rsidSect="00C2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84" w:rsidRDefault="00E75984">
      <w:r>
        <w:separator/>
      </w:r>
    </w:p>
  </w:endnote>
  <w:endnote w:type="continuationSeparator" w:id="0">
    <w:p w:rsidR="00E75984" w:rsidRDefault="00E75984">
      <w:r>
        <w:continuationSeparator/>
      </w:r>
    </w:p>
  </w:endnote>
  <w:endnote w:type="continuationNotice" w:id="1">
    <w:p w:rsidR="00E75984" w:rsidRDefault="00E7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9E" w:rsidRDefault="007F4C90">
    <w:pPr>
      <w:pStyle w:val="Footer"/>
      <w:jc w:val="right"/>
    </w:pPr>
    <w:r>
      <w:fldChar w:fldCharType="begin"/>
    </w:r>
    <w:r>
      <w:instrText xml:space="preserve"> PAGE   \* MERGEFORMAT </w:instrText>
    </w:r>
    <w:r>
      <w:fldChar w:fldCharType="separate"/>
    </w:r>
    <w:r w:rsidR="002C2128">
      <w:rPr>
        <w:noProof/>
      </w:rPr>
      <w:t>7</w:t>
    </w:r>
    <w:r>
      <w:rPr>
        <w:noProof/>
      </w:rPr>
      <w:fldChar w:fldCharType="end"/>
    </w:r>
  </w:p>
  <w:p w:rsidR="006D2A9E" w:rsidRPr="00862C11" w:rsidRDefault="002C2128" w:rsidP="0086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84" w:rsidRDefault="00E75984">
      <w:r>
        <w:separator/>
      </w:r>
    </w:p>
  </w:footnote>
  <w:footnote w:type="continuationSeparator" w:id="0">
    <w:p w:rsidR="00E75984" w:rsidRDefault="00E75984">
      <w:r>
        <w:continuationSeparator/>
      </w:r>
    </w:p>
  </w:footnote>
  <w:footnote w:type="continuationNotice" w:id="1">
    <w:p w:rsidR="00E75984" w:rsidRDefault="00E75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40" w:rsidRDefault="00AD1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30DCC"/>
    <w:rsid w:val="0008572D"/>
    <w:rsid w:val="000F1306"/>
    <w:rsid w:val="000F7095"/>
    <w:rsid w:val="001242AE"/>
    <w:rsid w:val="0014726D"/>
    <w:rsid w:val="001A43F8"/>
    <w:rsid w:val="001B7D52"/>
    <w:rsid w:val="001E0B14"/>
    <w:rsid w:val="002C2128"/>
    <w:rsid w:val="002C466D"/>
    <w:rsid w:val="002E53CF"/>
    <w:rsid w:val="003B02C4"/>
    <w:rsid w:val="003C227A"/>
    <w:rsid w:val="003E352D"/>
    <w:rsid w:val="004D7490"/>
    <w:rsid w:val="004F5CD3"/>
    <w:rsid w:val="00522166"/>
    <w:rsid w:val="005471EE"/>
    <w:rsid w:val="00553263"/>
    <w:rsid w:val="005C3466"/>
    <w:rsid w:val="005F56F7"/>
    <w:rsid w:val="00600AC8"/>
    <w:rsid w:val="00614E30"/>
    <w:rsid w:val="0064190C"/>
    <w:rsid w:val="006A29F6"/>
    <w:rsid w:val="006B46FE"/>
    <w:rsid w:val="00743664"/>
    <w:rsid w:val="007A2A90"/>
    <w:rsid w:val="007A35D5"/>
    <w:rsid w:val="007E3287"/>
    <w:rsid w:val="007F4C90"/>
    <w:rsid w:val="00803577"/>
    <w:rsid w:val="008248AB"/>
    <w:rsid w:val="00870BB7"/>
    <w:rsid w:val="00870DB0"/>
    <w:rsid w:val="00890881"/>
    <w:rsid w:val="00893A4D"/>
    <w:rsid w:val="008B6E1E"/>
    <w:rsid w:val="009B26D0"/>
    <w:rsid w:val="00A44FC9"/>
    <w:rsid w:val="00A67558"/>
    <w:rsid w:val="00A809DC"/>
    <w:rsid w:val="00AD1640"/>
    <w:rsid w:val="00AF3A49"/>
    <w:rsid w:val="00B53A67"/>
    <w:rsid w:val="00BE1B62"/>
    <w:rsid w:val="00BE75D0"/>
    <w:rsid w:val="00C2448E"/>
    <w:rsid w:val="00C51E2E"/>
    <w:rsid w:val="00C52949"/>
    <w:rsid w:val="00C65665"/>
    <w:rsid w:val="00C96F6B"/>
    <w:rsid w:val="00C97F0E"/>
    <w:rsid w:val="00CD2D1E"/>
    <w:rsid w:val="00D93F53"/>
    <w:rsid w:val="00E078BC"/>
    <w:rsid w:val="00E130F6"/>
    <w:rsid w:val="00E75984"/>
    <w:rsid w:val="00E96D89"/>
    <w:rsid w:val="00EB73C6"/>
    <w:rsid w:val="00ED0DF1"/>
    <w:rsid w:val="00F06490"/>
    <w:rsid w:val="00F13029"/>
    <w:rsid w:val="00F16E0D"/>
    <w:rsid w:val="00FA7A03"/>
    <w:rsid w:val="00FB116A"/>
    <w:rsid w:val="00FB7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5F56F7"/>
    <w:rPr>
      <w:rFonts w:ascii="Tahoma" w:hAnsi="Tahoma" w:cs="Tahoma"/>
      <w:sz w:val="16"/>
      <w:szCs w:val="16"/>
    </w:rPr>
  </w:style>
  <w:style w:type="character" w:customStyle="1" w:styleId="BalloonTextChar">
    <w:name w:val="Balloon Text Char"/>
    <w:basedOn w:val="DefaultParagraphFont"/>
    <w:link w:val="BalloonText"/>
    <w:uiPriority w:val="99"/>
    <w:semiHidden/>
    <w:rsid w:val="005F56F7"/>
    <w:rPr>
      <w:rFonts w:ascii="Tahoma" w:eastAsia="Times New Roman" w:hAnsi="Tahoma" w:cs="Tahoma"/>
      <w:sz w:val="16"/>
      <w:szCs w:val="16"/>
    </w:rPr>
  </w:style>
  <w:style w:type="paragraph" w:styleId="Header">
    <w:name w:val="header"/>
    <w:basedOn w:val="Normal"/>
    <w:link w:val="HeaderChar"/>
    <w:uiPriority w:val="99"/>
    <w:unhideWhenUsed/>
    <w:rsid w:val="00AD1640"/>
    <w:pPr>
      <w:tabs>
        <w:tab w:val="center" w:pos="4680"/>
        <w:tab w:val="right" w:pos="9360"/>
      </w:tabs>
    </w:pPr>
  </w:style>
  <w:style w:type="character" w:customStyle="1" w:styleId="HeaderChar">
    <w:name w:val="Header Char"/>
    <w:basedOn w:val="DefaultParagraphFont"/>
    <w:link w:val="Header"/>
    <w:uiPriority w:val="99"/>
    <w:rsid w:val="00AD1640"/>
    <w:rPr>
      <w:rFonts w:ascii="Times New Roman" w:eastAsia="Times New Roman" w:hAnsi="Times New Roman" w:cs="Times New Roman"/>
      <w:sz w:val="24"/>
      <w:szCs w:val="24"/>
    </w:rPr>
  </w:style>
  <w:style w:type="paragraph" w:styleId="Revision">
    <w:name w:val="Revision"/>
    <w:hidden/>
    <w:uiPriority w:val="99"/>
    <w:semiHidden/>
    <w:rsid w:val="00AD164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5F56F7"/>
    <w:rPr>
      <w:rFonts w:ascii="Tahoma" w:hAnsi="Tahoma" w:cs="Tahoma"/>
      <w:sz w:val="16"/>
      <w:szCs w:val="16"/>
    </w:rPr>
  </w:style>
  <w:style w:type="character" w:customStyle="1" w:styleId="BalloonTextChar">
    <w:name w:val="Balloon Text Char"/>
    <w:basedOn w:val="DefaultParagraphFont"/>
    <w:link w:val="BalloonText"/>
    <w:uiPriority w:val="99"/>
    <w:semiHidden/>
    <w:rsid w:val="005F56F7"/>
    <w:rPr>
      <w:rFonts w:ascii="Tahoma" w:eastAsia="Times New Roman" w:hAnsi="Tahoma" w:cs="Tahoma"/>
      <w:sz w:val="16"/>
      <w:szCs w:val="16"/>
    </w:rPr>
  </w:style>
  <w:style w:type="paragraph" w:styleId="Header">
    <w:name w:val="header"/>
    <w:basedOn w:val="Normal"/>
    <w:link w:val="HeaderChar"/>
    <w:uiPriority w:val="99"/>
    <w:unhideWhenUsed/>
    <w:rsid w:val="00AD1640"/>
    <w:pPr>
      <w:tabs>
        <w:tab w:val="center" w:pos="4680"/>
        <w:tab w:val="right" w:pos="9360"/>
      </w:tabs>
    </w:pPr>
  </w:style>
  <w:style w:type="character" w:customStyle="1" w:styleId="HeaderChar">
    <w:name w:val="Header Char"/>
    <w:basedOn w:val="DefaultParagraphFont"/>
    <w:link w:val="Header"/>
    <w:uiPriority w:val="99"/>
    <w:rsid w:val="00AD1640"/>
    <w:rPr>
      <w:rFonts w:ascii="Times New Roman" w:eastAsia="Times New Roman" w:hAnsi="Times New Roman" w:cs="Times New Roman"/>
      <w:sz w:val="24"/>
      <w:szCs w:val="24"/>
    </w:rPr>
  </w:style>
  <w:style w:type="paragraph" w:styleId="Revision">
    <w:name w:val="Revision"/>
    <w:hidden/>
    <w:uiPriority w:val="99"/>
    <w:semiHidden/>
    <w:rsid w:val="00AD16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customXml" Target="../customXml/item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A6AEC6EFE8F3A42927C72A79930C38C" ma:contentTypeVersion="0" ma:contentTypeDescription="A content type to manage public (operations) IDB documents" ma:contentTypeScope="" ma:versionID="0e227ca5ca457757372cd46fd01ed50d">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INE/WSA</Division_x0020_or_x0020_Unit>
    <Other_x0020_Author xmlns="9c571b2f-e523-4ab2-ba2e-09e151a03ef4" xsi:nil="true"/>
    <Region xmlns="9c571b2f-e523-4ab2-ba2e-09e151a03ef4" xsi:nil="true"/>
    <IDBDocs_x0020_Number xmlns="9c571b2f-e523-4ab2-ba2e-09e151a03ef4">38746951</IDBDocs_x0020_Number>
    <Document_x0020_Author xmlns="9c571b2f-e523-4ab2-ba2e-09e151a03ef4">javiergar</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EC-L1122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OS-ASA</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9C040B6-8783-41DE-B3B6-A6BA050A59E7}"/>
</file>

<file path=customXml/itemProps2.xml><?xml version="1.0" encoding="utf-8"?>
<ds:datastoreItem xmlns:ds="http://schemas.openxmlformats.org/officeDocument/2006/customXml" ds:itemID="{54EE820F-41A0-4EE8-BA36-E93AC2163BF5}"/>
</file>

<file path=customXml/itemProps3.xml><?xml version="1.0" encoding="utf-8"?>
<ds:datastoreItem xmlns:ds="http://schemas.openxmlformats.org/officeDocument/2006/customXml" ds:itemID="{C32F8AE2-4517-496E-9314-0005CD78111C}"/>
</file>

<file path=customXml/itemProps4.xml><?xml version="1.0" encoding="utf-8"?>
<ds:datastoreItem xmlns:ds="http://schemas.openxmlformats.org/officeDocument/2006/customXml" ds:itemID="{649588E2-0AA2-4B16-8F98-2C88B0A6C8DC}"/>
</file>

<file path=customXml/itemProps5.xml><?xml version="1.0" encoding="utf-8"?>
<ds:datastoreItem xmlns:ds="http://schemas.openxmlformats.org/officeDocument/2006/customXml" ds:itemID="{34729EC7-3CB2-4C97-993E-3282CD923685}"/>
</file>

<file path=customXml/itemProps6.xml><?xml version="1.0" encoding="utf-8"?>
<ds:datastoreItem xmlns:ds="http://schemas.openxmlformats.org/officeDocument/2006/customXml" ds:itemID="{51653B3B-F57B-4F03-887E-528B706CE0E6}"/>
</file>

<file path=customXml/itemProps7.xml><?xml version="1.0" encoding="utf-8"?>
<ds:datastoreItem xmlns:ds="http://schemas.openxmlformats.org/officeDocument/2006/customXml" ds:itemID="{C9BA7962-08B7-4E98-87A2-A8A0CD1BBE3D}"/>
</file>

<file path=customXml/itemProps8.xml><?xml version="1.0" encoding="utf-8"?>
<ds:datastoreItem xmlns:ds="http://schemas.openxmlformats.org/officeDocument/2006/customXml" ds:itemID="{74D77581-E70B-4E70-A511-36107291150A}"/>
</file>

<file path=docProps/app.xml><?xml version="1.0" encoding="utf-8"?>
<Properties xmlns="http://schemas.openxmlformats.org/officeDocument/2006/extended-properties" xmlns:vt="http://schemas.openxmlformats.org/officeDocument/2006/docPropsVTypes">
  <Template>Normal.dotm</Template>
  <TotalTime>6</TotalTime>
  <Pages>7</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6 - Análisis del Cumplimiento PUP</dc:title>
  <dc:creator>Inter-American Development Bank</dc:creator>
  <cp:lastModifiedBy>Inter-American Development Bank</cp:lastModifiedBy>
  <cp:revision>6</cp:revision>
  <cp:lastPrinted>2014-04-21T16:04:00Z</cp:lastPrinted>
  <dcterms:created xsi:type="dcterms:W3CDTF">2014-05-15T13:26:00Z</dcterms:created>
  <dcterms:modified xsi:type="dcterms:W3CDTF">2014-05-15T13:30:00Z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0x01010046CF21643EE8D14686A648AA6DAD089200FA6AEC6EFE8F3A42927C72A79930C38C</vt:lpwstr>
  </property>
  <property fmtid="{D5CDD505-2E9C-101B-9397-08002B2CF9AE}" pid="5" name="TaxKeywordTaxHTField">
    <vt:lpwstr/>
  </property>
  <property fmtid="{D5CDD505-2E9C-101B-9397-08002B2CF9AE}" pid="6" name="Series Operations IDB">
    <vt:lpwstr>6;#Unclassified|a6dff32e-d477-44cd-a56b-85efe9e0a56c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7;#IDBDocs|cca77002-e150-4b2d-ab1f-1d7a7cdcae16</vt:lpwstr>
  </property>
</Properties>
</file>