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charts/chart4.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944" w:rsidRPr="00B524B8" w:rsidRDefault="00F07135" w:rsidP="0030245C">
      <w:pPr>
        <w:jc w:val="center"/>
        <w:rPr>
          <w:rFonts w:ascii="Calibri" w:hAnsi="Calibri" w:cs="Calibri"/>
          <w:b/>
          <w:sz w:val="20"/>
          <w:szCs w:val="20"/>
          <w:lang w:val="es-ES_tradnl"/>
        </w:rPr>
      </w:pPr>
      <w:r>
        <w:rPr>
          <w:rFonts w:ascii="Calibri" w:hAnsi="Calibri" w:cs="Calibri"/>
          <w:noProof/>
          <w:lang w:val="es-ES_tradnl" w:eastAsia="es-ES_tradnl"/>
        </w:rPr>
        <mc:AlternateContent>
          <mc:Choice Requires="wps">
            <w:drawing>
              <wp:anchor distT="0" distB="0" distL="114300" distR="114300" simplePos="0" relativeHeight="251654144" behindDoc="0" locked="0" layoutInCell="1" allowOverlap="1" wp14:anchorId="0E641DD3" wp14:editId="31D8DE5A">
                <wp:simplePos x="0" y="0"/>
                <wp:positionH relativeFrom="column">
                  <wp:align>center</wp:align>
                </wp:positionH>
                <wp:positionV relativeFrom="paragraph">
                  <wp:posOffset>0</wp:posOffset>
                </wp:positionV>
                <wp:extent cx="6027420" cy="2783840"/>
                <wp:effectExtent l="0" t="0" r="0" b="0"/>
                <wp:wrapSquare wrapText="bothSides"/>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2783840"/>
                        </a:xfrm>
                        <a:prstGeom prst="rect">
                          <a:avLst/>
                        </a:prstGeom>
                        <a:solidFill>
                          <a:srgbClr val="FFFFFF"/>
                        </a:solidFill>
                        <a:ln w="9525">
                          <a:noFill/>
                          <a:miter lim="800000"/>
                          <a:headEnd/>
                          <a:tailEnd/>
                        </a:ln>
                      </wps:spPr>
                      <wps:txbx>
                        <w:txbxContent>
                          <w:p w:rsidR="007A62FA" w:rsidRPr="00B51012" w:rsidRDefault="007A62FA" w:rsidP="0030245C">
                            <w:pPr>
                              <w:jc w:val="center"/>
                              <w:rPr>
                                <w:rFonts w:ascii="Cambria" w:hAnsi="Cambria"/>
                                <w:b/>
                                <w:sz w:val="64"/>
                                <w:szCs w:val="64"/>
                              </w:rPr>
                            </w:pPr>
                            <w:r w:rsidRPr="00B51012">
                              <w:rPr>
                                <w:rFonts w:ascii="Cambria" w:hAnsi="Cambria"/>
                                <w:b/>
                                <w:sz w:val="56"/>
                                <w:szCs w:val="56"/>
                              </w:rPr>
                              <w:t>EVALUACIÓN FINAL DEL PROGRAMA DE APO</w:t>
                            </w:r>
                            <w:r>
                              <w:rPr>
                                <w:rFonts w:ascii="Cambria" w:hAnsi="Cambria"/>
                                <w:b/>
                                <w:sz w:val="56"/>
                                <w:szCs w:val="56"/>
                              </w:rPr>
                              <w:t>YO AL DESARROLLO DE LA CIENCIA,</w:t>
                            </w:r>
                            <w:r w:rsidRPr="00B51012">
                              <w:rPr>
                                <w:rFonts w:ascii="Cambria" w:hAnsi="Cambria"/>
                                <w:b/>
                                <w:sz w:val="56"/>
                                <w:szCs w:val="56"/>
                              </w:rPr>
                              <w:t xml:space="preserve"> TECNOLOGÍA E INNOVACIÓN</w:t>
                            </w:r>
                            <w:r w:rsidRPr="00B51012">
                              <w:rPr>
                                <w:rFonts w:ascii="Cambria" w:hAnsi="Cambria"/>
                                <w:b/>
                                <w:sz w:val="64"/>
                                <w:szCs w:val="64"/>
                              </w:rPr>
                              <w:t xml:space="preserve"> </w:t>
                            </w:r>
                          </w:p>
                          <w:p w:rsidR="007A62FA" w:rsidRPr="00B51012" w:rsidRDefault="007A62FA" w:rsidP="0030245C">
                            <w:pPr>
                              <w:jc w:val="center"/>
                              <w:rPr>
                                <w:rFonts w:ascii="Cambria" w:hAnsi="Cambria"/>
                                <w:b/>
                                <w:sz w:val="64"/>
                                <w:szCs w:val="64"/>
                              </w:rPr>
                            </w:pPr>
                          </w:p>
                          <w:p w:rsidR="007A62FA" w:rsidRPr="00AB2718" w:rsidRDefault="007A62FA" w:rsidP="0030245C">
                            <w:pPr>
                              <w:jc w:val="center"/>
                              <w:rPr>
                                <w:rFonts w:ascii="Cambria" w:hAnsi="Cambria"/>
                                <w:b/>
                                <w:sz w:val="52"/>
                                <w:szCs w:val="52"/>
                                <w:lang w:val="pt-BR"/>
                              </w:rPr>
                            </w:pPr>
                            <w:r w:rsidRPr="00227522">
                              <w:rPr>
                                <w:rFonts w:ascii="Cambria" w:hAnsi="Cambria"/>
                                <w:b/>
                                <w:sz w:val="52"/>
                                <w:szCs w:val="52"/>
                                <w:lang w:val="pt-BR"/>
                              </w:rPr>
                              <w:t>Contrato de Préstamo Nº 1698/OC-PR</w:t>
                            </w:r>
                          </w:p>
                          <w:p w:rsidR="007A62FA" w:rsidRPr="00AB2718" w:rsidRDefault="007A62FA" w:rsidP="0030245C">
                            <w:pPr>
                              <w:jc w:val="center"/>
                              <w:rPr>
                                <w:rFonts w:ascii="Cambria" w:hAnsi="Cambria"/>
                                <w:b/>
                                <w:sz w:val="64"/>
                                <w:szCs w:val="64"/>
                                <w:lang w:val="pt-BR"/>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07" o:spid="_x0000_s1026" type="#_x0000_t202" style="position:absolute;left:0;text-align:left;margin-left:0;margin-top:0;width:474.6pt;height:219.2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" stroked="f">
                <v:textbox>
                  <w:txbxContent>
                    <w:p w:rsidR="007A62FA" w:rsidRPr="00B51012" w:rsidRDefault="007A62FA" w:rsidP="0030245C">
                      <w:pPr>
                        <w:jc w:val="center"/>
                        <w:rPr>
                          <w:rFonts w:ascii="Cambria" w:hAnsi="Cambria"/>
                          <w:b/>
                          <w:sz w:val="64"/>
                          <w:szCs w:val="64"/>
                        </w:rPr>
                      </w:pPr>
                      <w:r w:rsidRPr="00B51012">
                        <w:rPr>
                          <w:rFonts w:ascii="Cambria" w:hAnsi="Cambria"/>
                          <w:b/>
                          <w:sz w:val="56"/>
                          <w:szCs w:val="56"/>
                        </w:rPr>
                        <w:t>EVALUACIÓN FINAL DEL PROGRAMA DE APO</w:t>
                      </w:r>
                      <w:r>
                        <w:rPr>
                          <w:rFonts w:ascii="Cambria" w:hAnsi="Cambria"/>
                          <w:b/>
                          <w:sz w:val="56"/>
                          <w:szCs w:val="56"/>
                        </w:rPr>
                        <w:t>YO AL DESARROLLO DE LA CIENCIA,</w:t>
                      </w:r>
                      <w:r w:rsidRPr="00B51012">
                        <w:rPr>
                          <w:rFonts w:ascii="Cambria" w:hAnsi="Cambria"/>
                          <w:b/>
                          <w:sz w:val="56"/>
                          <w:szCs w:val="56"/>
                        </w:rPr>
                        <w:t xml:space="preserve"> TECNOLOGÍA E INNOVACIÓN</w:t>
                      </w:r>
                      <w:r w:rsidRPr="00B51012">
                        <w:rPr>
                          <w:rFonts w:ascii="Cambria" w:hAnsi="Cambria"/>
                          <w:b/>
                          <w:sz w:val="64"/>
                          <w:szCs w:val="64"/>
                        </w:rPr>
                        <w:t xml:space="preserve"> </w:t>
                      </w:r>
                    </w:p>
                    <w:p w:rsidR="007A62FA" w:rsidRPr="00B51012" w:rsidRDefault="007A62FA" w:rsidP="0030245C">
                      <w:pPr>
                        <w:jc w:val="center"/>
                        <w:rPr>
                          <w:rFonts w:ascii="Cambria" w:hAnsi="Cambria"/>
                          <w:b/>
                          <w:sz w:val="64"/>
                          <w:szCs w:val="64"/>
                        </w:rPr>
                      </w:pPr>
                    </w:p>
                    <w:p w:rsidR="007A62FA" w:rsidRPr="00AB2718" w:rsidRDefault="007A62FA" w:rsidP="0030245C">
                      <w:pPr>
                        <w:jc w:val="center"/>
                        <w:rPr>
                          <w:rFonts w:ascii="Cambria" w:hAnsi="Cambria"/>
                          <w:b/>
                          <w:sz w:val="52"/>
                          <w:szCs w:val="52"/>
                          <w:lang w:val="pt-BR"/>
                        </w:rPr>
                      </w:pPr>
                      <w:r w:rsidRPr="00227522">
                        <w:rPr>
                          <w:rFonts w:ascii="Cambria" w:hAnsi="Cambria"/>
                          <w:b/>
                          <w:sz w:val="52"/>
                          <w:szCs w:val="52"/>
                          <w:lang w:val="pt-BR"/>
                        </w:rPr>
                        <w:t>Contrato de Préstamo Nº 1698/OC-PR</w:t>
                      </w:r>
                    </w:p>
                    <w:p w:rsidR="007A62FA" w:rsidRPr="00AB2718" w:rsidRDefault="007A62FA" w:rsidP="0030245C">
                      <w:pPr>
                        <w:jc w:val="center"/>
                        <w:rPr>
                          <w:rFonts w:ascii="Cambria" w:hAnsi="Cambria"/>
                          <w:b/>
                          <w:sz w:val="64"/>
                          <w:szCs w:val="64"/>
                          <w:lang w:val="pt-BR"/>
                        </w:rPr>
                      </w:pPr>
                    </w:p>
                  </w:txbxContent>
                </v:textbox>
                <w10:wrap type="square"/>
              </v:shape>
            </w:pict>
          </mc:Fallback>
        </mc:AlternateContent>
      </w:r>
    </w:p>
    <w:p w:rsidR="00E66944" w:rsidRPr="00B524B8" w:rsidRDefault="00E66944" w:rsidP="0030245C">
      <w:pPr>
        <w:jc w:val="center"/>
        <w:rPr>
          <w:rFonts w:ascii="Calibri" w:hAnsi="Calibri" w:cs="Calibri"/>
          <w:b/>
          <w:sz w:val="20"/>
          <w:szCs w:val="20"/>
          <w:lang w:val="es-ES_tradnl"/>
        </w:rPr>
      </w:pPr>
    </w:p>
    <w:p w:rsidR="00E66944" w:rsidRPr="00B524B8" w:rsidRDefault="00F07135" w:rsidP="0030245C">
      <w:pPr>
        <w:jc w:val="center"/>
        <w:rPr>
          <w:rFonts w:ascii="Calibri" w:hAnsi="Calibri" w:cs="Calibri"/>
          <w:b/>
          <w:sz w:val="20"/>
          <w:szCs w:val="20"/>
          <w:lang w:val="es-ES_tradnl"/>
        </w:rPr>
      </w:pPr>
      <w:r>
        <w:rPr>
          <w:rFonts w:ascii="Calibri" w:hAnsi="Calibri" w:cs="Calibri"/>
          <w:noProof/>
          <w:lang w:val="es-ES_tradnl" w:eastAsia="es-ES_tradnl"/>
        </w:rPr>
        <mc:AlternateContent>
          <mc:Choice Requires="wps">
            <w:drawing>
              <wp:anchor distT="0" distB="0" distL="114300" distR="114300" simplePos="0" relativeHeight="251655168" behindDoc="0" locked="0" layoutInCell="1" allowOverlap="1" wp14:anchorId="67D6ED19" wp14:editId="3B52C015">
                <wp:simplePos x="0" y="0"/>
                <wp:positionH relativeFrom="column">
                  <wp:posOffset>271780</wp:posOffset>
                </wp:positionH>
                <wp:positionV relativeFrom="paragraph">
                  <wp:posOffset>561975</wp:posOffset>
                </wp:positionV>
                <wp:extent cx="5053965" cy="1094740"/>
                <wp:effectExtent l="0" t="0" r="0" b="0"/>
                <wp:wrapSquare wrapText="bothSides"/>
                <wp:docPr id="5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1094740"/>
                        </a:xfrm>
                        <a:prstGeom prst="rect">
                          <a:avLst/>
                        </a:prstGeom>
                        <a:solidFill>
                          <a:srgbClr val="FFFFFF"/>
                        </a:solidFill>
                        <a:ln w="9525">
                          <a:noFill/>
                          <a:miter lim="800000"/>
                          <a:headEnd/>
                          <a:tailEnd/>
                        </a:ln>
                      </wps:spPr>
                      <wps:txbx>
                        <w:txbxContent>
                          <w:p w:rsidR="007A62FA" w:rsidRPr="00B51012" w:rsidRDefault="007A62FA" w:rsidP="0030245C">
                            <w:pPr>
                              <w:jc w:val="center"/>
                              <w:rPr>
                                <w:rFonts w:ascii="Cambria" w:hAnsi="Cambria"/>
                                <w:b/>
                                <w:sz w:val="52"/>
                                <w:szCs w:val="52"/>
                              </w:rPr>
                            </w:pPr>
                            <w:r>
                              <w:rPr>
                                <w:rFonts w:ascii="Cambria" w:hAnsi="Cambria"/>
                                <w:b/>
                                <w:sz w:val="52"/>
                                <w:szCs w:val="52"/>
                              </w:rPr>
                              <w:t>Tercer Informe de Avance</w:t>
                            </w:r>
                          </w:p>
                          <w:p w:rsidR="007A62FA" w:rsidRPr="00B51012" w:rsidRDefault="007A62FA" w:rsidP="0030245C">
                            <w:pPr>
                              <w:jc w:val="center"/>
                              <w:rPr>
                                <w:rFonts w:ascii="Cambria" w:hAnsi="Cambria"/>
                                <w:b/>
                                <w:sz w:val="52"/>
                                <w:szCs w:val="52"/>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7" o:spid="_x0000_s1027" type="#_x0000_t202" style="position:absolute;left:0;text-align:left;margin-left:21.4pt;margin-top:44.25pt;width:397.95pt;height:8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" stroked="f">
                <v:textbox>
                  <w:txbxContent>
                    <w:p w:rsidR="007A62FA" w:rsidRPr="00B51012" w:rsidRDefault="007A62FA" w:rsidP="0030245C">
                      <w:pPr>
                        <w:jc w:val="center"/>
                        <w:rPr>
                          <w:rFonts w:ascii="Cambria" w:hAnsi="Cambria"/>
                          <w:b/>
                          <w:sz w:val="52"/>
                          <w:szCs w:val="52"/>
                        </w:rPr>
                      </w:pPr>
                      <w:r>
                        <w:rPr>
                          <w:rFonts w:ascii="Cambria" w:hAnsi="Cambria"/>
                          <w:b/>
                          <w:sz w:val="52"/>
                          <w:szCs w:val="52"/>
                        </w:rPr>
                        <w:t>Tercer Informe de Avance</w:t>
                      </w:r>
                    </w:p>
                    <w:p w:rsidR="007A62FA" w:rsidRPr="00B51012" w:rsidRDefault="007A62FA" w:rsidP="0030245C">
                      <w:pPr>
                        <w:jc w:val="center"/>
                        <w:rPr>
                          <w:rFonts w:ascii="Cambria" w:hAnsi="Cambria"/>
                          <w:b/>
                          <w:sz w:val="52"/>
                          <w:szCs w:val="52"/>
                        </w:rPr>
                      </w:pPr>
                    </w:p>
                  </w:txbxContent>
                </v:textbox>
                <w10:wrap type="square"/>
              </v:shape>
            </w:pict>
          </mc:Fallback>
        </mc:AlternateContent>
      </w:r>
    </w:p>
    <w:p w:rsidR="00E66944" w:rsidRPr="00B524B8" w:rsidRDefault="00E66944" w:rsidP="0030245C">
      <w:pPr>
        <w:jc w:val="center"/>
        <w:rPr>
          <w:rFonts w:ascii="Calibri" w:hAnsi="Calibri" w:cs="Calibri"/>
          <w:b/>
          <w:sz w:val="20"/>
          <w:szCs w:val="20"/>
          <w:lang w:val="es-ES_tradnl"/>
        </w:rPr>
      </w:pPr>
    </w:p>
    <w:p w:rsidR="00E66944" w:rsidRPr="00B524B8" w:rsidRDefault="00E66944" w:rsidP="0030245C">
      <w:pPr>
        <w:rPr>
          <w:rFonts w:ascii="Calibri" w:hAnsi="Calibri" w:cs="Calibri"/>
          <w:b/>
          <w:sz w:val="20"/>
          <w:szCs w:val="20"/>
          <w:lang w:val="es-ES_tradnl"/>
        </w:rPr>
      </w:pPr>
    </w:p>
    <w:p w:rsidR="00E66944" w:rsidRPr="00B524B8" w:rsidRDefault="00E66944" w:rsidP="0030245C">
      <w:pPr>
        <w:jc w:val="center"/>
        <w:rPr>
          <w:rFonts w:ascii="Calibri" w:hAnsi="Calibri" w:cs="Calibri"/>
          <w:b/>
          <w:sz w:val="28"/>
          <w:szCs w:val="28"/>
          <w:lang w:val="es-ES_tradnl"/>
        </w:rPr>
      </w:pPr>
    </w:p>
    <w:p w:rsidR="00E66944" w:rsidRPr="00B524B8" w:rsidRDefault="00E66944" w:rsidP="0030245C">
      <w:pPr>
        <w:jc w:val="center"/>
        <w:rPr>
          <w:rFonts w:ascii="Calibri" w:hAnsi="Calibri" w:cs="Calibri"/>
          <w:b/>
          <w:sz w:val="28"/>
          <w:szCs w:val="28"/>
          <w:lang w:val="es-ES_tradnl"/>
        </w:rPr>
      </w:pPr>
    </w:p>
    <w:p w:rsidR="00E66944" w:rsidRPr="00B524B8" w:rsidRDefault="00E66944" w:rsidP="0030245C">
      <w:pPr>
        <w:jc w:val="center"/>
        <w:rPr>
          <w:rFonts w:ascii="Calibri" w:hAnsi="Calibri" w:cs="Calibri"/>
          <w:b/>
          <w:sz w:val="28"/>
          <w:szCs w:val="28"/>
          <w:lang w:val="es-ES_tradnl"/>
        </w:rPr>
      </w:pPr>
    </w:p>
    <w:p w:rsidR="00E66944" w:rsidRPr="00B524B8" w:rsidRDefault="00E66944" w:rsidP="0030245C">
      <w:pPr>
        <w:jc w:val="center"/>
        <w:rPr>
          <w:rFonts w:ascii="Calibri" w:hAnsi="Calibri" w:cs="Calibri"/>
          <w:b/>
          <w:sz w:val="28"/>
          <w:szCs w:val="28"/>
          <w:lang w:val="es-ES_tradnl"/>
        </w:rPr>
      </w:pPr>
      <w:r w:rsidRPr="00B524B8">
        <w:rPr>
          <w:rFonts w:ascii="Calibri" w:hAnsi="Calibri" w:cs="Calibri"/>
          <w:b/>
          <w:sz w:val="28"/>
          <w:szCs w:val="28"/>
          <w:lang w:val="es-ES_tradnl"/>
        </w:rPr>
        <w:t>Empresa Consultora</w:t>
      </w:r>
    </w:p>
    <w:p w:rsidR="00E66944" w:rsidRPr="00B524B8" w:rsidRDefault="00F07135" w:rsidP="0030245C">
      <w:pPr>
        <w:jc w:val="center"/>
        <w:rPr>
          <w:rFonts w:ascii="Calibri" w:hAnsi="Calibri" w:cs="Calibri"/>
          <w:b/>
          <w:sz w:val="32"/>
          <w:szCs w:val="32"/>
          <w:lang w:val="es-ES_tradnl"/>
        </w:rPr>
      </w:pPr>
      <w:r>
        <w:rPr>
          <w:rFonts w:ascii="Calibri" w:hAnsi="Calibri" w:cs="Calibri"/>
          <w:noProof/>
          <w:lang w:val="es-ES_tradnl" w:eastAsia="es-ES_tradnl"/>
        </w:rPr>
        <w:drawing>
          <wp:anchor distT="0" distB="0" distL="114300" distR="114300" simplePos="0" relativeHeight="251656192" behindDoc="0" locked="0" layoutInCell="1" allowOverlap="1" wp14:anchorId="709FC3F6" wp14:editId="3C2DA882">
            <wp:simplePos x="0" y="0"/>
            <wp:positionH relativeFrom="column">
              <wp:posOffset>601980</wp:posOffset>
            </wp:positionH>
            <wp:positionV relativeFrom="paragraph">
              <wp:posOffset>248920</wp:posOffset>
            </wp:positionV>
            <wp:extent cx="4258310" cy="824230"/>
            <wp:effectExtent l="0" t="0" r="8890" b="0"/>
            <wp:wrapSquare wrapText="bothSides"/>
            <wp:docPr id="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8310" cy="824230"/>
                    </a:xfrm>
                    <a:prstGeom prst="rect">
                      <a:avLst/>
                    </a:prstGeom>
                    <a:noFill/>
                  </pic:spPr>
                </pic:pic>
              </a:graphicData>
            </a:graphic>
            <wp14:sizeRelH relativeFrom="page">
              <wp14:pctWidth>0</wp14:pctWidth>
            </wp14:sizeRelH>
            <wp14:sizeRelV relativeFrom="page">
              <wp14:pctHeight>0</wp14:pctHeight>
            </wp14:sizeRelV>
          </wp:anchor>
        </w:drawing>
      </w:r>
    </w:p>
    <w:p w:rsidR="00E66944" w:rsidRPr="00B524B8" w:rsidRDefault="00E66944" w:rsidP="0030245C">
      <w:pPr>
        <w:rPr>
          <w:rFonts w:ascii="Calibri" w:hAnsi="Calibri" w:cs="Calibri"/>
          <w:b/>
          <w:sz w:val="20"/>
          <w:szCs w:val="20"/>
          <w:lang w:val="es-ES_tradnl"/>
        </w:rPr>
      </w:pPr>
    </w:p>
    <w:p w:rsidR="00E66944" w:rsidRPr="00B524B8" w:rsidRDefault="00E66944" w:rsidP="0030245C">
      <w:pPr>
        <w:jc w:val="center"/>
        <w:rPr>
          <w:rFonts w:ascii="Calibri" w:hAnsi="Calibri" w:cs="Calibri"/>
          <w:b/>
          <w:sz w:val="20"/>
          <w:szCs w:val="20"/>
          <w:lang w:val="es-ES_tradnl"/>
        </w:rPr>
      </w:pPr>
    </w:p>
    <w:p w:rsidR="00E66944" w:rsidRPr="00B524B8" w:rsidRDefault="00E66944" w:rsidP="0030245C">
      <w:pPr>
        <w:jc w:val="center"/>
        <w:rPr>
          <w:rFonts w:ascii="Calibri" w:hAnsi="Calibri" w:cs="Calibri"/>
          <w:b/>
          <w:sz w:val="20"/>
          <w:szCs w:val="20"/>
          <w:lang w:val="es-ES_tradnl"/>
        </w:rPr>
      </w:pPr>
    </w:p>
    <w:p w:rsidR="00E66944" w:rsidRPr="00B524B8" w:rsidRDefault="00E66944" w:rsidP="0030245C">
      <w:pPr>
        <w:jc w:val="center"/>
        <w:rPr>
          <w:rFonts w:ascii="Calibri" w:hAnsi="Calibri" w:cs="Calibri"/>
          <w:b/>
          <w:sz w:val="20"/>
          <w:szCs w:val="20"/>
          <w:lang w:val="es-ES_tradnl"/>
        </w:rPr>
      </w:pPr>
    </w:p>
    <w:p w:rsidR="00E66944" w:rsidRPr="00B524B8" w:rsidRDefault="00E66944" w:rsidP="0030245C">
      <w:pPr>
        <w:jc w:val="center"/>
        <w:rPr>
          <w:rFonts w:ascii="Calibri" w:hAnsi="Calibri" w:cs="Calibri"/>
          <w:b/>
          <w:sz w:val="20"/>
          <w:szCs w:val="20"/>
          <w:lang w:val="es-ES_tradnl"/>
        </w:rPr>
      </w:pPr>
    </w:p>
    <w:p w:rsidR="00E66944" w:rsidRPr="00B524B8" w:rsidRDefault="00E66944" w:rsidP="0030245C">
      <w:pPr>
        <w:jc w:val="center"/>
        <w:rPr>
          <w:rFonts w:ascii="Calibri" w:hAnsi="Calibri" w:cs="Calibri"/>
          <w:b/>
          <w:sz w:val="20"/>
          <w:szCs w:val="20"/>
          <w:lang w:val="es-ES_tradnl"/>
        </w:rPr>
      </w:pPr>
    </w:p>
    <w:p w:rsidR="00E66944" w:rsidRPr="00B524B8" w:rsidRDefault="00E66944" w:rsidP="0030245C">
      <w:pPr>
        <w:rPr>
          <w:rFonts w:ascii="Calibri" w:hAnsi="Calibri" w:cs="Calibri"/>
          <w:b/>
          <w:sz w:val="20"/>
          <w:szCs w:val="20"/>
          <w:lang w:val="es-ES_tradnl"/>
        </w:rPr>
      </w:pPr>
    </w:p>
    <w:p w:rsidR="00E66944" w:rsidRPr="00B524B8" w:rsidRDefault="00E66944" w:rsidP="0030245C">
      <w:pPr>
        <w:jc w:val="center"/>
        <w:rPr>
          <w:rFonts w:ascii="Calibri" w:hAnsi="Calibri" w:cs="Calibri"/>
          <w:b/>
          <w:sz w:val="20"/>
          <w:szCs w:val="20"/>
          <w:lang w:val="es-ES_tradnl"/>
        </w:rPr>
      </w:pPr>
    </w:p>
    <w:p w:rsidR="00E66944" w:rsidRPr="00B524B8" w:rsidRDefault="00E66944" w:rsidP="0030245C">
      <w:pPr>
        <w:jc w:val="center"/>
        <w:rPr>
          <w:rFonts w:ascii="Calibri" w:hAnsi="Calibri" w:cs="Calibri"/>
          <w:b/>
          <w:sz w:val="20"/>
          <w:szCs w:val="20"/>
          <w:lang w:val="es-ES_tradnl"/>
        </w:rPr>
      </w:pPr>
    </w:p>
    <w:p w:rsidR="00E66944" w:rsidRPr="00B524B8" w:rsidRDefault="00E66944" w:rsidP="0030245C">
      <w:pPr>
        <w:jc w:val="center"/>
        <w:rPr>
          <w:rFonts w:ascii="Calibri" w:hAnsi="Calibri" w:cs="Calibri"/>
          <w:b/>
          <w:sz w:val="20"/>
          <w:szCs w:val="20"/>
          <w:lang w:val="es-ES_tradnl"/>
        </w:rPr>
      </w:pPr>
    </w:p>
    <w:p w:rsidR="00E66944" w:rsidRPr="00B524B8" w:rsidRDefault="00E66944" w:rsidP="0030245C">
      <w:pPr>
        <w:rPr>
          <w:rFonts w:ascii="Calibri" w:hAnsi="Calibri" w:cs="Calibri"/>
          <w:b/>
          <w:sz w:val="28"/>
          <w:szCs w:val="28"/>
          <w:lang w:val="es-ES_tradnl"/>
        </w:rPr>
      </w:pPr>
    </w:p>
    <w:p w:rsidR="00E66944" w:rsidRPr="00B524B8" w:rsidRDefault="00165E40" w:rsidP="0030245C">
      <w:pPr>
        <w:jc w:val="center"/>
        <w:rPr>
          <w:rFonts w:ascii="Calibri" w:hAnsi="Calibri" w:cs="Calibri"/>
          <w:b/>
          <w:sz w:val="28"/>
          <w:szCs w:val="28"/>
          <w:lang w:val="es-ES_tradnl"/>
        </w:rPr>
      </w:pPr>
      <w:r>
        <w:rPr>
          <w:rFonts w:ascii="Calibri" w:hAnsi="Calibri" w:cs="Calibri"/>
          <w:b/>
          <w:sz w:val="28"/>
          <w:szCs w:val="28"/>
          <w:lang w:val="es-ES_tradnl"/>
        </w:rPr>
        <w:t xml:space="preserve">ASUNCIÓN – </w:t>
      </w:r>
      <w:r w:rsidR="00B11DCA">
        <w:rPr>
          <w:rFonts w:ascii="Calibri" w:hAnsi="Calibri" w:cs="Calibri"/>
          <w:b/>
          <w:sz w:val="28"/>
          <w:szCs w:val="28"/>
          <w:lang w:val="es-ES_tradnl"/>
        </w:rPr>
        <w:t>18</w:t>
      </w:r>
      <w:r w:rsidR="00E66944" w:rsidRPr="00B524B8">
        <w:rPr>
          <w:rFonts w:ascii="Calibri" w:hAnsi="Calibri" w:cs="Calibri"/>
          <w:b/>
          <w:sz w:val="28"/>
          <w:szCs w:val="28"/>
          <w:lang w:val="es-ES_tradnl"/>
        </w:rPr>
        <w:t xml:space="preserve"> de </w:t>
      </w:r>
      <w:r w:rsidR="00B11DCA">
        <w:rPr>
          <w:rFonts w:ascii="Calibri" w:hAnsi="Calibri" w:cs="Calibri"/>
          <w:b/>
          <w:sz w:val="28"/>
          <w:szCs w:val="28"/>
          <w:lang w:val="es-ES_tradnl"/>
        </w:rPr>
        <w:t>diciembre</w:t>
      </w:r>
      <w:r w:rsidR="00B11DCA" w:rsidRPr="00B524B8">
        <w:rPr>
          <w:rFonts w:ascii="Calibri" w:hAnsi="Calibri" w:cs="Calibri"/>
          <w:b/>
          <w:sz w:val="28"/>
          <w:szCs w:val="28"/>
          <w:lang w:val="es-ES_tradnl"/>
        </w:rPr>
        <w:t xml:space="preserve"> </w:t>
      </w:r>
      <w:r w:rsidR="00E66944" w:rsidRPr="00B524B8">
        <w:rPr>
          <w:rFonts w:ascii="Calibri" w:hAnsi="Calibri" w:cs="Calibri"/>
          <w:b/>
          <w:sz w:val="28"/>
          <w:szCs w:val="28"/>
          <w:lang w:val="es-ES_tradnl"/>
        </w:rPr>
        <w:t>de 2013</w:t>
      </w:r>
    </w:p>
    <w:p w:rsidR="001860F3" w:rsidRPr="001860F3" w:rsidRDefault="00E66944" w:rsidP="00F1655F">
      <w:pPr>
        <w:pStyle w:val="Heading1"/>
        <w:numPr>
          <w:ilvl w:val="0"/>
          <w:numId w:val="0"/>
        </w:numPr>
        <w:ind w:left="720"/>
        <w:rPr>
          <w:rFonts w:asciiTheme="minorHAnsi" w:hAnsiTheme="minorHAnsi"/>
          <w:noProof/>
        </w:rPr>
      </w:pPr>
      <w:r w:rsidRPr="00B524B8">
        <w:rPr>
          <w:rFonts w:cs="Calibri"/>
        </w:rPr>
        <w:br w:type="page"/>
      </w:r>
      <w:bookmarkStart w:id="0" w:name="_Toc367441036"/>
      <w:bookmarkStart w:id="1" w:name="_Toc367445770"/>
      <w:bookmarkStart w:id="2" w:name="_Toc375211952"/>
      <w:r w:rsidR="007D01EB">
        <w:lastRenderedPageBreak/>
        <w:t>Tabla de contenido</w:t>
      </w:r>
      <w:bookmarkEnd w:id="0"/>
      <w:bookmarkEnd w:id="1"/>
      <w:bookmarkEnd w:id="2"/>
      <w:r w:rsidR="007D01EB" w:rsidRPr="001860F3">
        <w:rPr>
          <w:rFonts w:asciiTheme="minorHAnsi" w:hAnsiTheme="minorHAnsi" w:cstheme="minorHAnsi"/>
          <w:sz w:val="24"/>
          <w:szCs w:val="24"/>
        </w:rPr>
        <w:fldChar w:fldCharType="begin"/>
      </w:r>
      <w:r w:rsidR="007D01EB" w:rsidRPr="001860F3">
        <w:rPr>
          <w:rFonts w:asciiTheme="minorHAnsi" w:hAnsiTheme="minorHAnsi" w:cstheme="minorHAnsi"/>
          <w:sz w:val="24"/>
          <w:szCs w:val="24"/>
        </w:rPr>
        <w:instrText xml:space="preserve"> TOC \o "1-3" \h \z \u </w:instrText>
      </w:r>
      <w:r w:rsidR="007D01EB" w:rsidRPr="001860F3">
        <w:rPr>
          <w:rFonts w:asciiTheme="minorHAnsi" w:hAnsiTheme="minorHAnsi" w:cstheme="minorHAnsi"/>
          <w:sz w:val="24"/>
          <w:szCs w:val="24"/>
        </w:rPr>
        <w:fldChar w:fldCharType="separate"/>
      </w:r>
    </w:p>
    <w:p w:rsidR="001860F3" w:rsidRPr="001860F3" w:rsidRDefault="00CD535C">
      <w:pPr>
        <w:pStyle w:val="TOC1"/>
        <w:tabs>
          <w:tab w:val="right" w:leader="dot" w:pos="8828"/>
        </w:tabs>
        <w:rPr>
          <w:rFonts w:asciiTheme="minorHAnsi" w:eastAsiaTheme="minorEastAsia" w:hAnsiTheme="minorHAnsi" w:cstheme="minorBidi"/>
          <w:noProof/>
          <w:sz w:val="22"/>
          <w:szCs w:val="22"/>
          <w:lang w:val="es-AR" w:eastAsia="es-AR"/>
        </w:rPr>
      </w:pPr>
      <w:hyperlink w:anchor="_Toc375211952" w:history="1">
        <w:r w:rsidR="001860F3" w:rsidRPr="001860F3">
          <w:rPr>
            <w:rStyle w:val="Hyperlink"/>
            <w:rFonts w:asciiTheme="minorHAnsi" w:hAnsiTheme="minorHAnsi"/>
            <w:noProof/>
          </w:rPr>
          <w:t>Tabla de contenido</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_Toc375211952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2</w:t>
        </w:r>
        <w:r w:rsidR="001860F3" w:rsidRPr="001860F3">
          <w:rPr>
            <w:rFonts w:asciiTheme="minorHAnsi" w:hAnsiTheme="minorHAnsi"/>
            <w:noProof/>
            <w:webHidden/>
          </w:rPr>
          <w:fldChar w:fldCharType="end"/>
        </w:r>
      </w:hyperlink>
    </w:p>
    <w:p w:rsidR="001860F3" w:rsidRPr="001860F3" w:rsidRDefault="00CD535C">
      <w:pPr>
        <w:pStyle w:val="TOC1"/>
        <w:tabs>
          <w:tab w:val="left" w:pos="480"/>
          <w:tab w:val="right" w:leader="dot" w:pos="8828"/>
        </w:tabs>
        <w:rPr>
          <w:rFonts w:asciiTheme="minorHAnsi" w:eastAsiaTheme="minorEastAsia" w:hAnsiTheme="minorHAnsi" w:cstheme="minorBidi"/>
          <w:noProof/>
          <w:sz w:val="22"/>
          <w:szCs w:val="22"/>
          <w:lang w:val="es-AR" w:eastAsia="es-AR"/>
        </w:rPr>
      </w:pPr>
      <w:hyperlink w:anchor="_Toc375211953" w:history="1">
        <w:r w:rsidR="001860F3" w:rsidRPr="001860F3">
          <w:rPr>
            <w:rStyle w:val="Hyperlink"/>
            <w:rFonts w:asciiTheme="minorHAnsi" w:hAnsiTheme="minorHAnsi"/>
            <w:noProof/>
          </w:rPr>
          <w:t>1.</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Resumen Ejecutivo</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_Toc375211953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4</w:t>
        </w:r>
        <w:r w:rsidR="001860F3" w:rsidRPr="001860F3">
          <w:rPr>
            <w:rFonts w:asciiTheme="minorHAnsi" w:hAnsiTheme="minorHAnsi"/>
            <w:noProof/>
            <w:webHidden/>
          </w:rPr>
          <w:fldChar w:fldCharType="end"/>
        </w:r>
      </w:hyperlink>
    </w:p>
    <w:p w:rsidR="001860F3" w:rsidRPr="001860F3" w:rsidRDefault="00CD535C">
      <w:pPr>
        <w:pStyle w:val="TOC1"/>
        <w:tabs>
          <w:tab w:val="left" w:pos="480"/>
          <w:tab w:val="right" w:leader="dot" w:pos="8828"/>
        </w:tabs>
        <w:rPr>
          <w:rFonts w:asciiTheme="minorHAnsi" w:eastAsiaTheme="minorEastAsia" w:hAnsiTheme="minorHAnsi" w:cstheme="minorBidi"/>
          <w:noProof/>
          <w:sz w:val="22"/>
          <w:szCs w:val="22"/>
          <w:lang w:val="es-AR" w:eastAsia="es-AR"/>
        </w:rPr>
      </w:pPr>
      <w:hyperlink w:anchor="_Toc375211954" w:history="1">
        <w:r w:rsidR="001860F3" w:rsidRPr="001860F3">
          <w:rPr>
            <w:rStyle w:val="Hyperlink"/>
            <w:rFonts w:asciiTheme="minorHAnsi" w:hAnsiTheme="minorHAnsi" w:cs="Arial"/>
            <w:noProof/>
          </w:rPr>
          <w:t>2.</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Introducción</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_Toc375211954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6</w:t>
        </w:r>
        <w:r w:rsidR="001860F3" w:rsidRPr="001860F3">
          <w:rPr>
            <w:rFonts w:asciiTheme="minorHAnsi" w:hAnsiTheme="minorHAnsi"/>
            <w:noProof/>
            <w:webHidden/>
          </w:rPr>
          <w:fldChar w:fldCharType="end"/>
        </w:r>
      </w:hyperlink>
    </w:p>
    <w:p w:rsidR="001860F3" w:rsidRPr="001860F3" w:rsidRDefault="00CD535C">
      <w:pPr>
        <w:pStyle w:val="TOC1"/>
        <w:tabs>
          <w:tab w:val="left" w:pos="480"/>
          <w:tab w:val="right" w:leader="dot" w:pos="8828"/>
        </w:tabs>
        <w:rPr>
          <w:rFonts w:asciiTheme="minorHAnsi" w:eastAsiaTheme="minorEastAsia" w:hAnsiTheme="minorHAnsi" w:cstheme="minorBidi"/>
          <w:noProof/>
          <w:sz w:val="22"/>
          <w:szCs w:val="22"/>
          <w:lang w:val="es-AR" w:eastAsia="es-AR"/>
        </w:rPr>
      </w:pPr>
      <w:hyperlink w:anchor="_Toc375211955" w:history="1">
        <w:r w:rsidR="001860F3" w:rsidRPr="001860F3">
          <w:rPr>
            <w:rStyle w:val="Hyperlink"/>
            <w:rFonts w:asciiTheme="minorHAnsi" w:hAnsiTheme="minorHAnsi"/>
            <w:noProof/>
          </w:rPr>
          <w:t>3.</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El PROCIT y su contexto económico e institucional</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_Toc375211955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9</w:t>
        </w:r>
        <w:r w:rsidR="001860F3" w:rsidRPr="001860F3">
          <w:rPr>
            <w:rFonts w:asciiTheme="minorHAnsi" w:hAnsiTheme="minorHAnsi"/>
            <w:noProof/>
            <w:webHidden/>
          </w:rPr>
          <w:fldChar w:fldCharType="end"/>
        </w:r>
      </w:hyperlink>
    </w:p>
    <w:p w:rsidR="001860F3" w:rsidRPr="001860F3" w:rsidRDefault="00CD535C">
      <w:pPr>
        <w:pStyle w:val="TOC2"/>
        <w:tabs>
          <w:tab w:val="left" w:pos="880"/>
          <w:tab w:val="right" w:leader="dot" w:pos="8828"/>
        </w:tabs>
        <w:rPr>
          <w:rFonts w:asciiTheme="minorHAnsi" w:eastAsiaTheme="minorEastAsia" w:hAnsiTheme="minorHAnsi" w:cstheme="minorBidi"/>
          <w:noProof/>
          <w:sz w:val="22"/>
          <w:szCs w:val="22"/>
          <w:lang w:val="es-AR" w:eastAsia="es-AR"/>
        </w:rPr>
      </w:pPr>
      <w:hyperlink w:anchor="_Toc375211959" w:history="1">
        <w:r w:rsidR="001860F3" w:rsidRPr="001860F3">
          <w:rPr>
            <w:rStyle w:val="Hyperlink"/>
            <w:rFonts w:asciiTheme="minorHAnsi" w:hAnsiTheme="minorHAnsi"/>
            <w:noProof/>
          </w:rPr>
          <w:t>3.1</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Contexto económico y sectorial</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_Toc375211959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9</w:t>
        </w:r>
        <w:r w:rsidR="001860F3" w:rsidRPr="001860F3">
          <w:rPr>
            <w:rFonts w:asciiTheme="minorHAnsi" w:hAnsiTheme="minorHAnsi"/>
            <w:noProof/>
            <w:webHidden/>
          </w:rPr>
          <w:fldChar w:fldCharType="end"/>
        </w:r>
      </w:hyperlink>
    </w:p>
    <w:p w:rsidR="001860F3" w:rsidRPr="001860F3" w:rsidRDefault="00CD535C">
      <w:pPr>
        <w:pStyle w:val="TOC2"/>
        <w:tabs>
          <w:tab w:val="left" w:pos="880"/>
          <w:tab w:val="right" w:leader="dot" w:pos="8828"/>
        </w:tabs>
        <w:rPr>
          <w:rFonts w:asciiTheme="minorHAnsi" w:eastAsiaTheme="minorEastAsia" w:hAnsiTheme="minorHAnsi" w:cstheme="minorBidi"/>
          <w:noProof/>
          <w:sz w:val="22"/>
          <w:szCs w:val="22"/>
          <w:lang w:val="es-AR" w:eastAsia="es-AR"/>
        </w:rPr>
      </w:pPr>
      <w:hyperlink w:anchor="_Toc375211960" w:history="1">
        <w:r w:rsidR="001860F3" w:rsidRPr="001860F3">
          <w:rPr>
            <w:rStyle w:val="Hyperlink"/>
            <w:rFonts w:asciiTheme="minorHAnsi" w:hAnsiTheme="minorHAnsi"/>
            <w:noProof/>
          </w:rPr>
          <w:t>3.2</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Contexto institucional</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_Toc375211960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19</w:t>
        </w:r>
        <w:r w:rsidR="001860F3" w:rsidRPr="001860F3">
          <w:rPr>
            <w:rFonts w:asciiTheme="minorHAnsi" w:hAnsiTheme="minorHAnsi"/>
            <w:noProof/>
            <w:webHidden/>
          </w:rPr>
          <w:fldChar w:fldCharType="end"/>
        </w:r>
      </w:hyperlink>
    </w:p>
    <w:p w:rsidR="001860F3" w:rsidRPr="001860F3" w:rsidRDefault="00CD535C">
      <w:pPr>
        <w:pStyle w:val="TOC2"/>
        <w:tabs>
          <w:tab w:val="left" w:pos="880"/>
          <w:tab w:val="right" w:leader="dot" w:pos="8828"/>
        </w:tabs>
        <w:rPr>
          <w:rFonts w:asciiTheme="minorHAnsi" w:eastAsiaTheme="minorEastAsia" w:hAnsiTheme="minorHAnsi" w:cstheme="minorBidi"/>
          <w:noProof/>
          <w:sz w:val="22"/>
          <w:szCs w:val="22"/>
          <w:lang w:val="es-AR" w:eastAsia="es-AR"/>
        </w:rPr>
      </w:pPr>
      <w:hyperlink w:anchor="_Toc375211961" w:history="1">
        <w:r w:rsidR="001860F3" w:rsidRPr="001860F3">
          <w:rPr>
            <w:rStyle w:val="Hyperlink"/>
            <w:rFonts w:asciiTheme="minorHAnsi" w:hAnsiTheme="minorHAnsi"/>
            <w:noProof/>
          </w:rPr>
          <w:t>3.3</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Los desafíos que motivaron el programa</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_Toc375211961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21</w:t>
        </w:r>
        <w:r w:rsidR="001860F3" w:rsidRPr="001860F3">
          <w:rPr>
            <w:rFonts w:asciiTheme="minorHAnsi" w:hAnsiTheme="minorHAnsi"/>
            <w:noProof/>
            <w:webHidden/>
          </w:rPr>
          <w:fldChar w:fldCharType="end"/>
        </w:r>
      </w:hyperlink>
    </w:p>
    <w:p w:rsidR="001860F3" w:rsidRPr="001860F3" w:rsidRDefault="00CD535C">
      <w:pPr>
        <w:pStyle w:val="TOC2"/>
        <w:tabs>
          <w:tab w:val="left" w:pos="880"/>
          <w:tab w:val="right" w:leader="dot" w:pos="8828"/>
        </w:tabs>
        <w:rPr>
          <w:rFonts w:asciiTheme="minorHAnsi" w:eastAsiaTheme="minorEastAsia" w:hAnsiTheme="minorHAnsi" w:cstheme="minorBidi"/>
          <w:noProof/>
          <w:sz w:val="22"/>
          <w:szCs w:val="22"/>
          <w:lang w:val="es-AR" w:eastAsia="es-AR"/>
        </w:rPr>
      </w:pPr>
      <w:hyperlink w:anchor="_Toc375211962" w:history="1">
        <w:r w:rsidR="001860F3" w:rsidRPr="001860F3">
          <w:rPr>
            <w:rStyle w:val="Hyperlink"/>
            <w:rFonts w:asciiTheme="minorHAnsi" w:hAnsiTheme="minorHAnsi"/>
            <w:noProof/>
          </w:rPr>
          <w:t>3.4</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Aspectos destacados del PROCIT: Caracterización del programa</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_Toc375211962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24</w:t>
        </w:r>
        <w:r w:rsidR="001860F3" w:rsidRPr="001860F3">
          <w:rPr>
            <w:rFonts w:asciiTheme="minorHAnsi" w:hAnsiTheme="minorHAnsi"/>
            <w:noProof/>
            <w:webHidden/>
          </w:rPr>
          <w:fldChar w:fldCharType="end"/>
        </w:r>
      </w:hyperlink>
    </w:p>
    <w:p w:rsidR="001860F3" w:rsidRPr="001860F3" w:rsidRDefault="00CD535C">
      <w:pPr>
        <w:pStyle w:val="TOC1"/>
        <w:tabs>
          <w:tab w:val="left" w:pos="480"/>
          <w:tab w:val="right" w:leader="dot" w:pos="8828"/>
        </w:tabs>
        <w:rPr>
          <w:rFonts w:asciiTheme="minorHAnsi" w:eastAsiaTheme="minorEastAsia" w:hAnsiTheme="minorHAnsi" w:cstheme="minorBidi"/>
          <w:noProof/>
          <w:sz w:val="22"/>
          <w:szCs w:val="22"/>
          <w:lang w:val="es-AR" w:eastAsia="es-AR"/>
        </w:rPr>
      </w:pPr>
      <w:hyperlink w:anchor="_Toc375211963" w:history="1">
        <w:r w:rsidR="001860F3" w:rsidRPr="001860F3">
          <w:rPr>
            <w:rStyle w:val="Hyperlink"/>
            <w:rFonts w:asciiTheme="minorHAnsi" w:hAnsiTheme="minorHAnsi"/>
            <w:noProof/>
          </w:rPr>
          <w:t>4.</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Marco conceptual y metodológico</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_Toc375211963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30</w:t>
        </w:r>
        <w:r w:rsidR="001860F3" w:rsidRPr="001860F3">
          <w:rPr>
            <w:rFonts w:asciiTheme="minorHAnsi" w:hAnsiTheme="minorHAnsi"/>
            <w:noProof/>
            <w:webHidden/>
          </w:rPr>
          <w:fldChar w:fldCharType="end"/>
        </w:r>
      </w:hyperlink>
    </w:p>
    <w:p w:rsidR="001860F3" w:rsidRPr="001860F3" w:rsidRDefault="00CD535C">
      <w:pPr>
        <w:pStyle w:val="TOC2"/>
        <w:tabs>
          <w:tab w:val="left" w:pos="880"/>
          <w:tab w:val="right" w:leader="dot" w:pos="8828"/>
        </w:tabs>
        <w:rPr>
          <w:rFonts w:asciiTheme="minorHAnsi" w:eastAsiaTheme="minorEastAsia" w:hAnsiTheme="minorHAnsi" w:cstheme="minorBidi"/>
          <w:noProof/>
          <w:sz w:val="22"/>
          <w:szCs w:val="22"/>
          <w:lang w:val="es-AR" w:eastAsia="es-AR"/>
        </w:rPr>
      </w:pPr>
      <w:hyperlink w:anchor="_Toc375211965" w:history="1">
        <w:r w:rsidR="001860F3" w:rsidRPr="001860F3">
          <w:rPr>
            <w:rStyle w:val="Hyperlink"/>
            <w:rFonts w:asciiTheme="minorHAnsi" w:hAnsiTheme="minorHAnsi"/>
            <w:noProof/>
          </w:rPr>
          <w:t>4.1</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Marco conceptual</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_Toc375211965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30</w:t>
        </w:r>
        <w:r w:rsidR="001860F3" w:rsidRPr="001860F3">
          <w:rPr>
            <w:rFonts w:asciiTheme="minorHAnsi" w:hAnsiTheme="minorHAnsi"/>
            <w:noProof/>
            <w:webHidden/>
          </w:rPr>
          <w:fldChar w:fldCharType="end"/>
        </w:r>
      </w:hyperlink>
    </w:p>
    <w:p w:rsidR="001860F3" w:rsidRPr="001860F3" w:rsidRDefault="00CD535C">
      <w:pPr>
        <w:pStyle w:val="TOC2"/>
        <w:tabs>
          <w:tab w:val="left" w:pos="880"/>
          <w:tab w:val="right" w:leader="dot" w:pos="8828"/>
        </w:tabs>
        <w:rPr>
          <w:rFonts w:asciiTheme="minorHAnsi" w:eastAsiaTheme="minorEastAsia" w:hAnsiTheme="minorHAnsi" w:cstheme="minorBidi"/>
          <w:noProof/>
          <w:sz w:val="22"/>
          <w:szCs w:val="22"/>
          <w:lang w:val="es-AR" w:eastAsia="es-AR"/>
        </w:rPr>
      </w:pPr>
      <w:hyperlink w:anchor="_Toc375211966" w:history="1">
        <w:r w:rsidR="001860F3" w:rsidRPr="001860F3">
          <w:rPr>
            <w:rStyle w:val="Hyperlink"/>
            <w:rFonts w:asciiTheme="minorHAnsi" w:hAnsiTheme="minorHAnsi"/>
            <w:noProof/>
          </w:rPr>
          <w:t>4.2</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Consideraciones metodológicas</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_Toc375211966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36</w:t>
        </w:r>
        <w:r w:rsidR="001860F3" w:rsidRPr="001860F3">
          <w:rPr>
            <w:rFonts w:asciiTheme="minorHAnsi" w:hAnsiTheme="minorHAnsi"/>
            <w:noProof/>
            <w:webHidden/>
          </w:rPr>
          <w:fldChar w:fldCharType="end"/>
        </w:r>
      </w:hyperlink>
    </w:p>
    <w:p w:rsidR="001860F3" w:rsidRPr="001860F3" w:rsidRDefault="00CD535C">
      <w:pPr>
        <w:pStyle w:val="TOC1"/>
        <w:tabs>
          <w:tab w:val="left" w:pos="480"/>
          <w:tab w:val="right" w:leader="dot" w:pos="8828"/>
        </w:tabs>
        <w:rPr>
          <w:rFonts w:asciiTheme="minorHAnsi" w:eastAsiaTheme="minorEastAsia" w:hAnsiTheme="minorHAnsi" w:cstheme="minorBidi"/>
          <w:noProof/>
          <w:sz w:val="22"/>
          <w:szCs w:val="22"/>
          <w:lang w:val="es-AR" w:eastAsia="es-AR"/>
        </w:rPr>
      </w:pPr>
      <w:hyperlink w:anchor="_Toc375211967" w:history="1">
        <w:r w:rsidR="001860F3" w:rsidRPr="001860F3">
          <w:rPr>
            <w:rStyle w:val="Hyperlink"/>
            <w:rFonts w:asciiTheme="minorHAnsi" w:hAnsiTheme="minorHAnsi"/>
            <w:noProof/>
          </w:rPr>
          <w:t>5.</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Logros del PROCIT</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_Toc375211967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42</w:t>
        </w:r>
        <w:r w:rsidR="001860F3" w:rsidRPr="001860F3">
          <w:rPr>
            <w:rFonts w:asciiTheme="minorHAnsi" w:hAnsiTheme="minorHAnsi"/>
            <w:noProof/>
            <w:webHidden/>
          </w:rPr>
          <w:fldChar w:fldCharType="end"/>
        </w:r>
      </w:hyperlink>
    </w:p>
    <w:p w:rsidR="001860F3" w:rsidRPr="001860F3" w:rsidRDefault="00CD535C">
      <w:pPr>
        <w:pStyle w:val="TOC2"/>
        <w:tabs>
          <w:tab w:val="left" w:pos="880"/>
          <w:tab w:val="right" w:leader="dot" w:pos="8828"/>
        </w:tabs>
        <w:rPr>
          <w:rFonts w:asciiTheme="minorHAnsi" w:eastAsiaTheme="minorEastAsia" w:hAnsiTheme="minorHAnsi" w:cstheme="minorBidi"/>
          <w:noProof/>
          <w:sz w:val="22"/>
          <w:szCs w:val="22"/>
          <w:lang w:val="es-AR" w:eastAsia="es-AR"/>
        </w:rPr>
      </w:pPr>
      <w:hyperlink w:anchor="_Toc375211969" w:history="1">
        <w:r w:rsidR="001860F3" w:rsidRPr="001860F3">
          <w:rPr>
            <w:rStyle w:val="Hyperlink"/>
            <w:rFonts w:asciiTheme="minorHAnsi" w:hAnsiTheme="minorHAnsi"/>
            <w:noProof/>
          </w:rPr>
          <w:t>5.1</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Logros en investigación científica y tecnológica</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_Toc375211969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42</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70" w:history="1">
        <w:r w:rsidR="001860F3" w:rsidRPr="001860F3">
          <w:rPr>
            <w:rStyle w:val="Hyperlink"/>
            <w:rFonts w:asciiTheme="minorHAnsi" w:hAnsiTheme="minorHAnsi"/>
            <w:iCs/>
            <w:noProof/>
          </w:rPr>
          <w:t>5.1.1</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Características del subcomponente</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_Toc375211970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42</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71" w:history="1">
        <w:r w:rsidR="001860F3" w:rsidRPr="001860F3">
          <w:rPr>
            <w:rStyle w:val="Hyperlink"/>
            <w:rFonts w:asciiTheme="minorHAnsi" w:hAnsiTheme="minorHAnsi"/>
            <w:iCs/>
            <w:noProof/>
          </w:rPr>
          <w:t>5.1.2</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Alcance</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_Toc375211971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43</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72" w:history="1">
        <w:r w:rsidR="001860F3" w:rsidRPr="001860F3">
          <w:rPr>
            <w:rStyle w:val="Hyperlink"/>
            <w:rFonts w:asciiTheme="minorHAnsi" w:hAnsiTheme="minorHAnsi"/>
            <w:iCs/>
            <w:noProof/>
          </w:rPr>
          <w:t>5.1.3</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Resultados</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_Toc375211972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48</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73" w:history="1">
        <w:r w:rsidR="001860F3" w:rsidRPr="001860F3">
          <w:rPr>
            <w:rStyle w:val="Hyperlink"/>
            <w:rFonts w:asciiTheme="minorHAnsi" w:hAnsiTheme="minorHAnsi"/>
            <w:iCs/>
            <w:noProof/>
          </w:rPr>
          <w:t>5.1.4</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Conclusiones y recomendaciones</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_Toc375211973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58</w:t>
        </w:r>
        <w:r w:rsidR="001860F3" w:rsidRPr="001860F3">
          <w:rPr>
            <w:rFonts w:asciiTheme="minorHAnsi" w:hAnsiTheme="minorHAnsi"/>
            <w:noProof/>
            <w:webHidden/>
          </w:rPr>
          <w:fldChar w:fldCharType="end"/>
        </w:r>
      </w:hyperlink>
    </w:p>
    <w:p w:rsidR="001860F3" w:rsidRPr="001860F3" w:rsidRDefault="00CD535C">
      <w:pPr>
        <w:pStyle w:val="TOC2"/>
        <w:tabs>
          <w:tab w:val="left" w:pos="880"/>
          <w:tab w:val="right" w:leader="dot" w:pos="8828"/>
        </w:tabs>
        <w:rPr>
          <w:rFonts w:asciiTheme="minorHAnsi" w:eastAsiaTheme="minorEastAsia" w:hAnsiTheme="minorHAnsi" w:cstheme="minorBidi"/>
          <w:noProof/>
          <w:sz w:val="22"/>
          <w:szCs w:val="22"/>
          <w:lang w:val="es-AR" w:eastAsia="es-AR"/>
        </w:rPr>
      </w:pPr>
      <w:hyperlink w:anchor="_Toc375211976" w:history="1">
        <w:r w:rsidR="001860F3" w:rsidRPr="001860F3">
          <w:rPr>
            <w:rStyle w:val="Hyperlink"/>
            <w:rFonts w:asciiTheme="minorHAnsi" w:hAnsiTheme="minorHAnsi"/>
            <w:noProof/>
          </w:rPr>
          <w:t>5.2</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Logros en innovación empresarial</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_Toc375211976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63</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77" w:history="1">
        <w:r w:rsidR="001860F3" w:rsidRPr="001860F3">
          <w:rPr>
            <w:rStyle w:val="Hyperlink"/>
            <w:rFonts w:asciiTheme="minorHAnsi" w:hAnsiTheme="minorHAnsi"/>
            <w:iCs/>
            <w:noProof/>
          </w:rPr>
          <w:t>5.2.1</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Características del subcomponente</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_Toc375211977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63</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78" w:history="1">
        <w:r w:rsidR="001860F3" w:rsidRPr="001860F3">
          <w:rPr>
            <w:rStyle w:val="Hyperlink"/>
            <w:rFonts w:asciiTheme="minorHAnsi" w:hAnsiTheme="minorHAnsi"/>
            <w:iCs/>
            <w:noProof/>
          </w:rPr>
          <w:t>5.2.2</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Alcance</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_Toc375211978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65</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79" w:history="1">
        <w:r w:rsidR="001860F3" w:rsidRPr="001860F3">
          <w:rPr>
            <w:rStyle w:val="Hyperlink"/>
            <w:rFonts w:asciiTheme="minorHAnsi" w:hAnsiTheme="minorHAnsi"/>
            <w:iCs/>
            <w:noProof/>
          </w:rPr>
          <w:t>5.2.3</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Resultados</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_Toc375211979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72</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80" w:history="1">
        <w:r w:rsidR="001860F3" w:rsidRPr="001860F3">
          <w:rPr>
            <w:rStyle w:val="Hyperlink"/>
            <w:rFonts w:asciiTheme="minorHAnsi" w:hAnsiTheme="minorHAnsi"/>
            <w:iCs/>
            <w:noProof/>
          </w:rPr>
          <w:t>5.2.4</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Conclusiones y recomendaciones</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_Toc375211980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84</w:t>
        </w:r>
        <w:r w:rsidR="001860F3" w:rsidRPr="001860F3">
          <w:rPr>
            <w:rFonts w:asciiTheme="minorHAnsi" w:hAnsiTheme="minorHAnsi"/>
            <w:noProof/>
            <w:webHidden/>
          </w:rPr>
          <w:fldChar w:fldCharType="end"/>
        </w:r>
      </w:hyperlink>
    </w:p>
    <w:p w:rsidR="001860F3" w:rsidRPr="001860F3" w:rsidRDefault="00CD535C">
      <w:pPr>
        <w:pStyle w:val="TOC2"/>
        <w:tabs>
          <w:tab w:val="left" w:pos="880"/>
          <w:tab w:val="right" w:leader="dot" w:pos="8828"/>
        </w:tabs>
        <w:rPr>
          <w:rFonts w:asciiTheme="minorHAnsi" w:eastAsiaTheme="minorEastAsia" w:hAnsiTheme="minorHAnsi" w:cstheme="minorBidi"/>
          <w:noProof/>
          <w:sz w:val="22"/>
          <w:szCs w:val="22"/>
          <w:lang w:val="es-AR" w:eastAsia="es-AR"/>
        </w:rPr>
      </w:pPr>
      <w:hyperlink w:anchor="_Toc375211981" w:history="1">
        <w:r w:rsidR="001860F3" w:rsidRPr="001860F3">
          <w:rPr>
            <w:rStyle w:val="Hyperlink"/>
            <w:rFonts w:asciiTheme="minorHAnsi" w:hAnsiTheme="minorHAnsi"/>
            <w:noProof/>
          </w:rPr>
          <w:t>5.3</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Logros en fortalecimiento de postgrados</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_Toc375211981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89</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83" w:history="1">
        <w:r w:rsidR="001860F3" w:rsidRPr="001860F3">
          <w:rPr>
            <w:rStyle w:val="Hyperlink"/>
            <w:rFonts w:asciiTheme="minorHAnsi" w:hAnsiTheme="minorHAnsi"/>
            <w:iCs/>
            <w:noProof/>
          </w:rPr>
          <w:t>5.3.1</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Características del subcomponente</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_Toc375211983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89</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84" w:history="1">
        <w:r w:rsidR="001860F3" w:rsidRPr="001860F3">
          <w:rPr>
            <w:rStyle w:val="Hyperlink"/>
            <w:rFonts w:asciiTheme="minorHAnsi" w:hAnsiTheme="minorHAnsi"/>
            <w:iCs/>
            <w:noProof/>
          </w:rPr>
          <w:t>5.3.2</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Alcance</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_Toc375211984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91</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85" w:history="1">
        <w:r w:rsidR="001860F3" w:rsidRPr="001860F3">
          <w:rPr>
            <w:rStyle w:val="Hyperlink"/>
            <w:rFonts w:asciiTheme="minorHAnsi" w:hAnsiTheme="minorHAnsi"/>
            <w:iCs/>
            <w:noProof/>
          </w:rPr>
          <w:t>5.3.3</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Resultados</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_Toc375211985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94</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86" w:history="1">
        <w:r w:rsidR="001860F3" w:rsidRPr="001860F3">
          <w:rPr>
            <w:rStyle w:val="Hyperlink"/>
            <w:rFonts w:asciiTheme="minorHAnsi" w:hAnsiTheme="minorHAnsi"/>
            <w:iCs/>
            <w:noProof/>
          </w:rPr>
          <w:t>5.3.4</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Conclusiones y recomendaciones</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_Toc375211986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101</w:t>
        </w:r>
        <w:r w:rsidR="001860F3" w:rsidRPr="001860F3">
          <w:rPr>
            <w:rFonts w:asciiTheme="minorHAnsi" w:hAnsiTheme="minorHAnsi"/>
            <w:noProof/>
            <w:webHidden/>
          </w:rPr>
          <w:fldChar w:fldCharType="end"/>
        </w:r>
      </w:hyperlink>
    </w:p>
    <w:p w:rsidR="001860F3" w:rsidRPr="001860F3" w:rsidRDefault="00CD535C">
      <w:pPr>
        <w:pStyle w:val="TOC2"/>
        <w:tabs>
          <w:tab w:val="left" w:pos="880"/>
          <w:tab w:val="right" w:leader="dot" w:pos="8828"/>
        </w:tabs>
        <w:rPr>
          <w:rFonts w:asciiTheme="minorHAnsi" w:eastAsiaTheme="minorEastAsia" w:hAnsiTheme="minorHAnsi" w:cstheme="minorBidi"/>
          <w:noProof/>
          <w:sz w:val="22"/>
          <w:szCs w:val="22"/>
          <w:lang w:val="es-AR" w:eastAsia="es-AR"/>
        </w:rPr>
      </w:pPr>
      <w:hyperlink w:anchor="_Toc375211987" w:history="1">
        <w:r w:rsidR="001860F3" w:rsidRPr="001860F3">
          <w:rPr>
            <w:rStyle w:val="Hyperlink"/>
            <w:rFonts w:asciiTheme="minorHAnsi" w:hAnsiTheme="minorHAnsi"/>
            <w:noProof/>
          </w:rPr>
          <w:t>5.4</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Logros en formación de capital humano</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_Toc375211987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103</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88" w:history="1">
        <w:r w:rsidR="001860F3" w:rsidRPr="001860F3">
          <w:rPr>
            <w:rStyle w:val="Hyperlink"/>
            <w:rFonts w:asciiTheme="minorHAnsi" w:hAnsiTheme="minorHAnsi"/>
            <w:iCs/>
            <w:noProof/>
          </w:rPr>
          <w:t>5.4.1</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Características del subcomponente</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_Toc375211988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103</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89" w:history="1">
        <w:r w:rsidR="001860F3" w:rsidRPr="001860F3">
          <w:rPr>
            <w:rStyle w:val="Hyperlink"/>
            <w:rFonts w:asciiTheme="minorHAnsi" w:hAnsiTheme="minorHAnsi"/>
            <w:iCs/>
            <w:noProof/>
          </w:rPr>
          <w:t>5.4.2</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Alcance</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_Toc375211989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105</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90" w:history="1">
        <w:r w:rsidR="001860F3" w:rsidRPr="001860F3">
          <w:rPr>
            <w:rStyle w:val="Hyperlink"/>
            <w:rFonts w:asciiTheme="minorHAnsi" w:hAnsiTheme="minorHAnsi"/>
            <w:iCs/>
            <w:noProof/>
          </w:rPr>
          <w:t>5.4.3</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Resultados</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_Toc375211990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109</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91" w:history="1">
        <w:r w:rsidR="001860F3" w:rsidRPr="001860F3">
          <w:rPr>
            <w:rStyle w:val="Hyperlink"/>
            <w:rFonts w:asciiTheme="minorHAnsi" w:hAnsiTheme="minorHAnsi"/>
            <w:iCs/>
            <w:noProof/>
          </w:rPr>
          <w:t>5.4.4</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Conclusiones y recomendaciones</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_Toc375211991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114</w:t>
        </w:r>
        <w:r w:rsidR="001860F3" w:rsidRPr="001860F3">
          <w:rPr>
            <w:rFonts w:asciiTheme="minorHAnsi" w:hAnsiTheme="minorHAnsi"/>
            <w:noProof/>
            <w:webHidden/>
          </w:rPr>
          <w:fldChar w:fldCharType="end"/>
        </w:r>
      </w:hyperlink>
    </w:p>
    <w:p w:rsidR="001860F3" w:rsidRPr="001860F3" w:rsidRDefault="00CD535C">
      <w:pPr>
        <w:pStyle w:val="TOC2"/>
        <w:tabs>
          <w:tab w:val="left" w:pos="880"/>
          <w:tab w:val="right" w:leader="dot" w:pos="8828"/>
        </w:tabs>
        <w:rPr>
          <w:rFonts w:asciiTheme="minorHAnsi" w:eastAsiaTheme="minorEastAsia" w:hAnsiTheme="minorHAnsi" w:cstheme="minorBidi"/>
          <w:noProof/>
          <w:sz w:val="22"/>
          <w:szCs w:val="22"/>
          <w:lang w:val="es-AR" w:eastAsia="es-AR"/>
        </w:rPr>
      </w:pPr>
      <w:hyperlink w:anchor="_Toc375211993" w:history="1">
        <w:r w:rsidR="001860F3" w:rsidRPr="001860F3">
          <w:rPr>
            <w:rStyle w:val="Hyperlink"/>
            <w:rFonts w:asciiTheme="minorHAnsi" w:hAnsiTheme="minorHAnsi"/>
            <w:noProof/>
          </w:rPr>
          <w:t>5.5</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Fortalecimiento y articulación del Sistema Nacional de Innovación (SNI)</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_Toc375211993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116</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94" w:history="1">
        <w:r w:rsidR="001860F3" w:rsidRPr="001860F3">
          <w:rPr>
            <w:rStyle w:val="Hyperlink"/>
            <w:rFonts w:asciiTheme="minorHAnsi" w:hAnsiTheme="minorHAnsi"/>
            <w:iCs/>
            <w:noProof/>
          </w:rPr>
          <w:t>5.5.1</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Características del subcomponente</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_Toc375211994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116</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95" w:history="1">
        <w:r w:rsidR="001860F3" w:rsidRPr="001860F3">
          <w:rPr>
            <w:rStyle w:val="Hyperlink"/>
            <w:rFonts w:asciiTheme="minorHAnsi" w:hAnsiTheme="minorHAnsi"/>
            <w:iCs/>
            <w:noProof/>
          </w:rPr>
          <w:t>5.5.2</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Alcance</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_Toc375211995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116</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96" w:history="1">
        <w:r w:rsidR="001860F3" w:rsidRPr="001860F3">
          <w:rPr>
            <w:rStyle w:val="Hyperlink"/>
            <w:rFonts w:asciiTheme="minorHAnsi" w:hAnsiTheme="minorHAnsi"/>
            <w:iCs/>
            <w:noProof/>
          </w:rPr>
          <w:t>5.5.3</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Resultados</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_Toc375211996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120</w:t>
        </w:r>
        <w:r w:rsidR="001860F3" w:rsidRPr="001860F3">
          <w:rPr>
            <w:rFonts w:asciiTheme="minorHAnsi" w:hAnsiTheme="minorHAnsi"/>
            <w:noProof/>
            <w:webHidden/>
          </w:rPr>
          <w:fldChar w:fldCharType="end"/>
        </w:r>
      </w:hyperlink>
    </w:p>
    <w:p w:rsidR="001860F3" w:rsidRPr="001860F3" w:rsidRDefault="00CD535C">
      <w:pPr>
        <w:pStyle w:val="TOC3"/>
        <w:tabs>
          <w:tab w:val="left" w:pos="1320"/>
          <w:tab w:val="right" w:leader="dot" w:pos="8828"/>
        </w:tabs>
        <w:rPr>
          <w:rFonts w:asciiTheme="minorHAnsi" w:eastAsiaTheme="minorEastAsia" w:hAnsiTheme="minorHAnsi" w:cstheme="minorBidi"/>
          <w:noProof/>
          <w:sz w:val="22"/>
          <w:szCs w:val="22"/>
          <w:lang w:val="es-AR" w:eastAsia="es-AR"/>
        </w:rPr>
      </w:pPr>
      <w:hyperlink w:anchor="_Toc375211997" w:history="1">
        <w:r w:rsidR="001860F3" w:rsidRPr="001860F3">
          <w:rPr>
            <w:rStyle w:val="Hyperlink"/>
            <w:rFonts w:asciiTheme="minorHAnsi" w:hAnsiTheme="minorHAnsi"/>
            <w:iCs/>
            <w:noProof/>
          </w:rPr>
          <w:t>5.5.4</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iCs/>
            <w:noProof/>
          </w:rPr>
          <w:t>Conclusiones y recomendaciones</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_Toc375211997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121</w:t>
        </w:r>
        <w:r w:rsidR="001860F3" w:rsidRPr="001860F3">
          <w:rPr>
            <w:rFonts w:asciiTheme="minorHAnsi" w:hAnsiTheme="minorHAnsi"/>
            <w:noProof/>
            <w:webHidden/>
          </w:rPr>
          <w:fldChar w:fldCharType="end"/>
        </w:r>
      </w:hyperlink>
    </w:p>
    <w:p w:rsidR="001860F3" w:rsidRPr="001860F3" w:rsidRDefault="00CD535C">
      <w:pPr>
        <w:pStyle w:val="TOC1"/>
        <w:tabs>
          <w:tab w:val="left" w:pos="480"/>
          <w:tab w:val="right" w:leader="dot" w:pos="8828"/>
        </w:tabs>
        <w:rPr>
          <w:rFonts w:asciiTheme="minorHAnsi" w:eastAsiaTheme="minorEastAsia" w:hAnsiTheme="minorHAnsi" w:cstheme="minorBidi"/>
          <w:noProof/>
          <w:sz w:val="22"/>
          <w:szCs w:val="22"/>
          <w:lang w:val="es-AR" w:eastAsia="es-AR"/>
        </w:rPr>
      </w:pPr>
      <w:hyperlink w:anchor="_Toc375211998" w:history="1">
        <w:r w:rsidR="001860F3" w:rsidRPr="001860F3">
          <w:rPr>
            <w:rStyle w:val="Hyperlink"/>
            <w:rFonts w:asciiTheme="minorHAnsi" w:hAnsiTheme="minorHAnsi"/>
            <w:noProof/>
          </w:rPr>
          <w:t>6.</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La gestión del PROCIT</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_Toc375211998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123</w:t>
        </w:r>
        <w:r w:rsidR="001860F3" w:rsidRPr="001860F3">
          <w:rPr>
            <w:rFonts w:asciiTheme="minorHAnsi" w:hAnsiTheme="minorHAnsi"/>
            <w:noProof/>
            <w:webHidden/>
          </w:rPr>
          <w:fldChar w:fldCharType="end"/>
        </w:r>
      </w:hyperlink>
    </w:p>
    <w:p w:rsidR="001860F3" w:rsidRPr="001860F3" w:rsidRDefault="00CD535C">
      <w:pPr>
        <w:pStyle w:val="TOC2"/>
        <w:tabs>
          <w:tab w:val="left" w:pos="880"/>
          <w:tab w:val="right" w:leader="dot" w:pos="8828"/>
        </w:tabs>
        <w:rPr>
          <w:rFonts w:asciiTheme="minorHAnsi" w:eastAsiaTheme="minorEastAsia" w:hAnsiTheme="minorHAnsi" w:cstheme="minorBidi"/>
          <w:noProof/>
          <w:sz w:val="22"/>
          <w:szCs w:val="22"/>
          <w:lang w:val="es-AR" w:eastAsia="es-AR"/>
        </w:rPr>
      </w:pPr>
      <w:hyperlink w:anchor="_Toc375212006" w:history="1">
        <w:r w:rsidR="001860F3" w:rsidRPr="001860F3">
          <w:rPr>
            <w:rStyle w:val="Hyperlink"/>
            <w:rFonts w:asciiTheme="minorHAnsi" w:hAnsiTheme="minorHAnsi"/>
            <w:noProof/>
          </w:rPr>
          <w:t>6.1</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Análisis de procesos</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_Toc375212006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123</w:t>
        </w:r>
        <w:r w:rsidR="001860F3" w:rsidRPr="001860F3">
          <w:rPr>
            <w:rFonts w:asciiTheme="minorHAnsi" w:hAnsiTheme="minorHAnsi"/>
            <w:noProof/>
            <w:webHidden/>
          </w:rPr>
          <w:fldChar w:fldCharType="end"/>
        </w:r>
      </w:hyperlink>
    </w:p>
    <w:p w:rsidR="001860F3" w:rsidRPr="001860F3" w:rsidRDefault="00CD535C">
      <w:pPr>
        <w:pStyle w:val="TOC2"/>
        <w:tabs>
          <w:tab w:val="left" w:pos="880"/>
          <w:tab w:val="right" w:leader="dot" w:pos="8828"/>
        </w:tabs>
        <w:rPr>
          <w:rFonts w:asciiTheme="minorHAnsi" w:eastAsiaTheme="minorEastAsia" w:hAnsiTheme="minorHAnsi" w:cstheme="minorBidi"/>
          <w:noProof/>
          <w:sz w:val="22"/>
          <w:szCs w:val="22"/>
          <w:lang w:val="es-AR" w:eastAsia="es-AR"/>
        </w:rPr>
      </w:pPr>
      <w:hyperlink w:anchor="_Toc375212008" w:history="1">
        <w:r w:rsidR="001860F3" w:rsidRPr="001860F3">
          <w:rPr>
            <w:rStyle w:val="Hyperlink"/>
            <w:rFonts w:asciiTheme="minorHAnsi" w:hAnsiTheme="minorHAnsi"/>
            <w:noProof/>
          </w:rPr>
          <w:t>6.2</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Análisis organizacional</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_Toc375212008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135</w:t>
        </w:r>
        <w:r w:rsidR="001860F3" w:rsidRPr="001860F3">
          <w:rPr>
            <w:rFonts w:asciiTheme="minorHAnsi" w:hAnsiTheme="minorHAnsi"/>
            <w:noProof/>
            <w:webHidden/>
          </w:rPr>
          <w:fldChar w:fldCharType="end"/>
        </w:r>
      </w:hyperlink>
    </w:p>
    <w:p w:rsidR="001860F3" w:rsidRPr="001860F3" w:rsidRDefault="00CD535C">
      <w:pPr>
        <w:pStyle w:val="TOC1"/>
        <w:tabs>
          <w:tab w:val="left" w:pos="480"/>
          <w:tab w:val="right" w:leader="dot" w:pos="8828"/>
        </w:tabs>
        <w:rPr>
          <w:rFonts w:asciiTheme="minorHAnsi" w:eastAsiaTheme="minorEastAsia" w:hAnsiTheme="minorHAnsi" w:cstheme="minorBidi"/>
          <w:noProof/>
          <w:sz w:val="22"/>
          <w:szCs w:val="22"/>
          <w:lang w:val="es-AR" w:eastAsia="es-AR"/>
        </w:rPr>
      </w:pPr>
      <w:hyperlink w:anchor="_Toc375212009" w:history="1">
        <w:r w:rsidR="001860F3" w:rsidRPr="001860F3">
          <w:rPr>
            <w:rStyle w:val="Hyperlink"/>
            <w:rFonts w:asciiTheme="minorHAnsi" w:hAnsiTheme="minorHAnsi"/>
            <w:noProof/>
          </w:rPr>
          <w:t>7.</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Conclusiones y recomendaciones</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_Toc375212009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138</w:t>
        </w:r>
        <w:r w:rsidR="001860F3" w:rsidRPr="001860F3">
          <w:rPr>
            <w:rFonts w:asciiTheme="minorHAnsi" w:hAnsiTheme="minorHAnsi"/>
            <w:noProof/>
            <w:webHidden/>
          </w:rPr>
          <w:fldChar w:fldCharType="end"/>
        </w:r>
      </w:hyperlink>
    </w:p>
    <w:p w:rsidR="001860F3" w:rsidRPr="001860F3" w:rsidRDefault="00CD535C">
      <w:pPr>
        <w:pStyle w:val="TOC1"/>
        <w:tabs>
          <w:tab w:val="left" w:pos="480"/>
          <w:tab w:val="right" w:leader="dot" w:pos="8828"/>
        </w:tabs>
        <w:rPr>
          <w:rFonts w:asciiTheme="minorHAnsi" w:eastAsiaTheme="minorEastAsia" w:hAnsiTheme="minorHAnsi" w:cstheme="minorBidi"/>
          <w:noProof/>
          <w:sz w:val="22"/>
          <w:szCs w:val="22"/>
          <w:lang w:val="es-AR" w:eastAsia="es-AR"/>
        </w:rPr>
      </w:pPr>
      <w:hyperlink w:anchor="_Toc375212010" w:history="1">
        <w:r w:rsidR="001860F3" w:rsidRPr="001860F3">
          <w:rPr>
            <w:rStyle w:val="Hyperlink"/>
            <w:rFonts w:asciiTheme="minorHAnsi" w:hAnsiTheme="minorHAnsi"/>
            <w:noProof/>
          </w:rPr>
          <w:t>8.</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Bibliografía</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_Toc375212010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143</w:t>
        </w:r>
        <w:r w:rsidR="001860F3" w:rsidRPr="001860F3">
          <w:rPr>
            <w:rFonts w:asciiTheme="minorHAnsi" w:hAnsiTheme="minorHAnsi"/>
            <w:noProof/>
            <w:webHidden/>
          </w:rPr>
          <w:fldChar w:fldCharType="end"/>
        </w:r>
      </w:hyperlink>
    </w:p>
    <w:p w:rsidR="001860F3" w:rsidRPr="001860F3" w:rsidRDefault="00CD535C">
      <w:pPr>
        <w:pStyle w:val="TOC1"/>
        <w:tabs>
          <w:tab w:val="left" w:pos="480"/>
          <w:tab w:val="right" w:leader="dot" w:pos="8828"/>
        </w:tabs>
        <w:rPr>
          <w:rFonts w:asciiTheme="minorHAnsi" w:eastAsiaTheme="minorEastAsia" w:hAnsiTheme="minorHAnsi" w:cstheme="minorBidi"/>
          <w:noProof/>
          <w:sz w:val="22"/>
          <w:szCs w:val="22"/>
          <w:lang w:val="es-AR" w:eastAsia="es-AR"/>
        </w:rPr>
      </w:pPr>
      <w:hyperlink w:anchor="_Toc375212011" w:history="1">
        <w:r w:rsidR="001860F3" w:rsidRPr="001860F3">
          <w:rPr>
            <w:rStyle w:val="Hyperlink"/>
            <w:rFonts w:asciiTheme="minorHAnsi" w:hAnsiTheme="minorHAnsi"/>
            <w:noProof/>
          </w:rPr>
          <w:t>9.</w:t>
        </w:r>
        <w:r w:rsidR="001860F3" w:rsidRPr="001860F3">
          <w:rPr>
            <w:rFonts w:asciiTheme="minorHAnsi" w:eastAsiaTheme="minorEastAsia" w:hAnsiTheme="minorHAnsi" w:cstheme="minorBidi"/>
            <w:noProof/>
            <w:sz w:val="22"/>
            <w:szCs w:val="22"/>
            <w:lang w:val="es-AR" w:eastAsia="es-AR"/>
          </w:rPr>
          <w:tab/>
        </w:r>
        <w:r w:rsidR="001860F3" w:rsidRPr="001860F3">
          <w:rPr>
            <w:rStyle w:val="Hyperlink"/>
            <w:rFonts w:asciiTheme="minorHAnsi" w:hAnsiTheme="minorHAnsi"/>
            <w:noProof/>
          </w:rPr>
          <w:t>Anexos</w:t>
        </w:r>
        <w:r w:rsidR="001860F3" w:rsidRPr="001860F3">
          <w:rPr>
            <w:rFonts w:asciiTheme="minorHAnsi" w:hAnsiTheme="minorHAnsi"/>
            <w:noProof/>
            <w:webHidden/>
          </w:rPr>
          <w:tab/>
        </w:r>
        <w:r w:rsidR="001860F3" w:rsidRPr="001860F3">
          <w:rPr>
            <w:rFonts w:asciiTheme="minorHAnsi" w:hAnsiTheme="minorHAnsi"/>
            <w:noProof/>
            <w:webHidden/>
          </w:rPr>
          <w:fldChar w:fldCharType="begin"/>
        </w:r>
        <w:r w:rsidR="001860F3" w:rsidRPr="001860F3">
          <w:rPr>
            <w:rFonts w:asciiTheme="minorHAnsi" w:hAnsiTheme="minorHAnsi"/>
            <w:noProof/>
            <w:webHidden/>
          </w:rPr>
          <w:instrText xml:space="preserve"> PAGEREF _Toc375212011 \h </w:instrText>
        </w:r>
        <w:r w:rsidR="001860F3" w:rsidRPr="001860F3">
          <w:rPr>
            <w:rFonts w:asciiTheme="minorHAnsi" w:hAnsiTheme="minorHAnsi"/>
            <w:noProof/>
            <w:webHidden/>
          </w:rPr>
        </w:r>
        <w:r w:rsidR="001860F3" w:rsidRPr="001860F3">
          <w:rPr>
            <w:rFonts w:asciiTheme="minorHAnsi" w:hAnsiTheme="minorHAnsi"/>
            <w:noProof/>
            <w:webHidden/>
          </w:rPr>
          <w:fldChar w:fldCharType="separate"/>
        </w:r>
        <w:r w:rsidR="00985BDA">
          <w:rPr>
            <w:rFonts w:asciiTheme="minorHAnsi" w:hAnsiTheme="minorHAnsi"/>
            <w:noProof/>
            <w:webHidden/>
          </w:rPr>
          <w:t>145</w:t>
        </w:r>
        <w:r w:rsidR="001860F3" w:rsidRPr="001860F3">
          <w:rPr>
            <w:rFonts w:asciiTheme="minorHAnsi" w:hAnsiTheme="minorHAnsi"/>
            <w:noProof/>
            <w:webHidden/>
          </w:rPr>
          <w:fldChar w:fldCharType="end"/>
        </w:r>
      </w:hyperlink>
    </w:p>
    <w:p w:rsidR="009B0493" w:rsidRPr="00822ED9" w:rsidRDefault="007D01EB" w:rsidP="009B0493">
      <w:pPr>
        <w:tabs>
          <w:tab w:val="left" w:pos="3195"/>
        </w:tabs>
        <w:spacing w:before="60" w:after="60"/>
        <w:rPr>
          <w:rFonts w:asciiTheme="minorHAnsi" w:hAnsiTheme="minorHAnsi" w:cstheme="minorHAnsi"/>
          <w:b/>
          <w:bCs/>
        </w:rPr>
      </w:pPr>
      <w:r w:rsidRPr="001860F3">
        <w:rPr>
          <w:rFonts w:asciiTheme="minorHAnsi" w:hAnsiTheme="minorHAnsi" w:cstheme="minorHAnsi"/>
          <w:b/>
          <w:bCs/>
        </w:rPr>
        <w:fldChar w:fldCharType="end"/>
      </w:r>
      <w:r w:rsidR="009B0493" w:rsidRPr="00822ED9">
        <w:rPr>
          <w:rFonts w:asciiTheme="minorHAnsi" w:hAnsiTheme="minorHAnsi" w:cstheme="minorHAnsi"/>
          <w:b/>
          <w:bCs/>
        </w:rPr>
        <w:tab/>
      </w:r>
    </w:p>
    <w:p w:rsidR="009B0493" w:rsidRPr="00D75CA0" w:rsidRDefault="009B0493">
      <w:pPr>
        <w:rPr>
          <w:rFonts w:asciiTheme="minorHAnsi" w:hAnsiTheme="minorHAnsi" w:cstheme="minorHAnsi"/>
          <w:b/>
          <w:bCs/>
        </w:rPr>
      </w:pPr>
      <w:r w:rsidRPr="00822ED9">
        <w:rPr>
          <w:rFonts w:asciiTheme="minorHAnsi" w:hAnsiTheme="minorHAnsi" w:cstheme="minorHAnsi"/>
          <w:b/>
          <w:bCs/>
        </w:rPr>
        <w:br w:type="page"/>
      </w:r>
      <w:bookmarkStart w:id="3" w:name="_GoBack"/>
      <w:bookmarkEnd w:id="3"/>
    </w:p>
    <w:p w:rsidR="007D01EB" w:rsidRPr="009B0493" w:rsidRDefault="007D01EB" w:rsidP="009B0493">
      <w:pPr>
        <w:tabs>
          <w:tab w:val="left" w:pos="3195"/>
        </w:tabs>
        <w:spacing w:before="60" w:after="60"/>
        <w:rPr>
          <w:rFonts w:asciiTheme="minorHAnsi" w:hAnsiTheme="minorHAnsi" w:cstheme="minorHAnsi"/>
        </w:rPr>
      </w:pPr>
    </w:p>
    <w:p w:rsidR="00E66944" w:rsidRPr="007D01EB" w:rsidRDefault="00E66944" w:rsidP="00F1655F">
      <w:pPr>
        <w:pStyle w:val="Heading1"/>
      </w:pPr>
      <w:bookmarkStart w:id="4" w:name="_Toc375211953"/>
      <w:r w:rsidRPr="007D01EB">
        <w:t>Resumen Ejecutivo</w:t>
      </w:r>
      <w:bookmarkEnd w:id="4"/>
      <w:r w:rsidRPr="007D01EB">
        <w:t xml:space="preserve"> </w:t>
      </w:r>
    </w:p>
    <w:p w:rsidR="005231AA" w:rsidRDefault="005231AA" w:rsidP="003C0133">
      <w:pPr>
        <w:pStyle w:val="ListParagraph"/>
        <w:spacing w:before="200" w:line="276" w:lineRule="auto"/>
        <w:ind w:left="0"/>
        <w:contextualSpacing w:val="0"/>
        <w:jc w:val="both"/>
        <w:rPr>
          <w:rFonts w:ascii="Calibri" w:hAnsi="Calibri" w:cs="Calibri"/>
          <w:iCs/>
        </w:rPr>
      </w:pPr>
      <w:r>
        <w:rPr>
          <w:rFonts w:ascii="Calibri" w:hAnsi="Calibri" w:cs="Calibri"/>
          <w:lang w:val="es-AR"/>
        </w:rPr>
        <w:t>E</w:t>
      </w:r>
      <w:r w:rsidRPr="00B524B8">
        <w:rPr>
          <w:rFonts w:ascii="Calibri" w:hAnsi="Calibri" w:cs="Calibri"/>
        </w:rPr>
        <w:t xml:space="preserve">l presente informe presenta la </w:t>
      </w:r>
      <w:r w:rsidRPr="00B524B8">
        <w:rPr>
          <w:rFonts w:ascii="Calibri" w:hAnsi="Calibri" w:cs="Calibri"/>
          <w:b/>
        </w:rPr>
        <w:t xml:space="preserve">evaluación final del </w:t>
      </w:r>
      <w:r w:rsidRPr="00B524B8">
        <w:rPr>
          <w:rFonts w:ascii="Calibri" w:hAnsi="Calibri" w:cs="Calibri"/>
          <w:b/>
          <w:color w:val="000000"/>
          <w:lang w:val="es-AR" w:eastAsia="es-AR"/>
        </w:rPr>
        <w:t>“Programa de Apoyo al Desarrollo de la Ciencia, Tecnología e Innovación” (PROCIT)</w:t>
      </w:r>
      <w:r w:rsidRPr="00B524B8">
        <w:rPr>
          <w:rFonts w:ascii="Calibri" w:hAnsi="Calibri" w:cs="Calibri"/>
        </w:rPr>
        <w:t xml:space="preserve">, con el objetivo de </w:t>
      </w:r>
      <w:r w:rsidRPr="00C63071">
        <w:rPr>
          <w:rFonts w:ascii="Calibri" w:hAnsi="Calibri" w:cs="Calibri"/>
          <w:iCs/>
        </w:rPr>
        <w:t>analizar el grado de cumplimiento de las metas establecidas para el mismo</w:t>
      </w:r>
      <w:r>
        <w:rPr>
          <w:rFonts w:ascii="Calibri" w:hAnsi="Calibri" w:cs="Calibri"/>
          <w:iCs/>
        </w:rPr>
        <w:t xml:space="preserve"> y </w:t>
      </w:r>
      <w:r w:rsidRPr="00C63071">
        <w:rPr>
          <w:rFonts w:ascii="Calibri" w:hAnsi="Calibri" w:cs="Calibri"/>
          <w:iCs/>
        </w:rPr>
        <w:t>de acuerdo con los indicadores de resultado establecidos en el programa. Asimismo, se plantea analizar los desvíos y sus posibles causas, medir el impacto del PROCIT y analizar la estrategia adoptada para su implementación y posterior divulgación de resultados, a los fines de extraer enseñanzas que permitan realizar ajustes al diseño y proceso de implementación de</w:t>
      </w:r>
      <w:r>
        <w:rPr>
          <w:rFonts w:ascii="Calibri" w:hAnsi="Calibri" w:cs="Calibri"/>
          <w:iCs/>
        </w:rPr>
        <w:t xml:space="preserve"> futuros </w:t>
      </w:r>
      <w:r w:rsidRPr="00C63071">
        <w:rPr>
          <w:rFonts w:ascii="Calibri" w:hAnsi="Calibri" w:cs="Calibri"/>
          <w:iCs/>
        </w:rPr>
        <w:t>programa</w:t>
      </w:r>
      <w:r>
        <w:rPr>
          <w:rFonts w:ascii="Calibri" w:hAnsi="Calibri" w:cs="Calibri"/>
          <w:iCs/>
        </w:rPr>
        <w:t>s,</w:t>
      </w:r>
      <w:r w:rsidRPr="00C63071">
        <w:rPr>
          <w:rFonts w:ascii="Calibri" w:hAnsi="Calibri" w:cs="Calibri"/>
          <w:iCs/>
        </w:rPr>
        <w:t xml:space="preserve"> tendientes a incrementar su efectividad e impacto</w:t>
      </w:r>
      <w:r>
        <w:rPr>
          <w:rFonts w:ascii="Calibri" w:hAnsi="Calibri" w:cs="Calibri"/>
          <w:iCs/>
        </w:rPr>
        <w:t>.</w:t>
      </w:r>
    </w:p>
    <w:p w:rsidR="005231AA" w:rsidRPr="0042242F" w:rsidRDefault="005231AA" w:rsidP="003C0133">
      <w:pPr>
        <w:autoSpaceDE w:val="0"/>
        <w:autoSpaceDN w:val="0"/>
        <w:adjustRightInd w:val="0"/>
        <w:spacing w:before="200" w:line="276" w:lineRule="auto"/>
        <w:jc w:val="both"/>
        <w:rPr>
          <w:rFonts w:ascii="Calibri" w:hAnsi="Calibri" w:cs="Calibri"/>
          <w:color w:val="000000"/>
          <w:lang w:val="es-AR" w:eastAsia="es-AR"/>
        </w:rPr>
      </w:pPr>
      <w:r>
        <w:rPr>
          <w:rFonts w:ascii="Calibri" w:hAnsi="Calibri" w:cs="Calibri"/>
          <w:iCs/>
        </w:rPr>
        <w:t>Para realizar esta valoración se</w:t>
      </w:r>
      <w:r w:rsidRPr="0042242F">
        <w:rPr>
          <w:rFonts w:ascii="Calibri" w:hAnsi="Calibri" w:cs="Calibri"/>
          <w:color w:val="000000"/>
          <w:lang w:val="es-AR" w:eastAsia="es-AR"/>
        </w:rPr>
        <w:t xml:space="preserve"> diseñó una estrategia metodológica de triangulación de métodos, considerando que tanto el enfoque cuantitativo como el cualitativo son necesarios para realizar una valoración integral del PROCIT. Para ello, se diseñaron e implementaron instrumentos para recolectar y analizar la información desde ambas perspectiva</w:t>
      </w:r>
      <w:r>
        <w:rPr>
          <w:rFonts w:ascii="Calibri" w:hAnsi="Calibri" w:cs="Calibri"/>
          <w:color w:val="000000"/>
          <w:lang w:val="es-AR" w:eastAsia="es-AR"/>
        </w:rPr>
        <w:t>s</w:t>
      </w:r>
      <w:r w:rsidRPr="0042242F">
        <w:rPr>
          <w:rFonts w:ascii="Calibri" w:hAnsi="Calibri" w:cs="Calibri"/>
          <w:color w:val="000000"/>
          <w:lang w:val="es-AR" w:eastAsia="es-AR"/>
        </w:rPr>
        <w:t>:</w:t>
      </w:r>
      <w:r>
        <w:rPr>
          <w:rFonts w:ascii="Calibri" w:hAnsi="Calibri" w:cs="Calibri"/>
          <w:color w:val="000000"/>
          <w:lang w:val="es-AR" w:eastAsia="es-AR"/>
        </w:rPr>
        <w:t xml:space="preserve"> encuestas, grupos focales, análisis documental, visitas y observación directa, entrevistas y análisis econométricos.</w:t>
      </w:r>
    </w:p>
    <w:p w:rsidR="005231AA" w:rsidRDefault="005231AA" w:rsidP="003C0133">
      <w:pPr>
        <w:pStyle w:val="ListParagraph"/>
        <w:spacing w:before="200" w:line="276" w:lineRule="auto"/>
        <w:ind w:left="0"/>
        <w:contextualSpacing w:val="0"/>
        <w:jc w:val="both"/>
        <w:rPr>
          <w:rFonts w:ascii="Calibri" w:hAnsi="Calibri" w:cs="Calibri"/>
          <w:lang w:val="es-AR"/>
        </w:rPr>
      </w:pPr>
      <w:r>
        <w:rPr>
          <w:rFonts w:ascii="Calibri" w:hAnsi="Calibri" w:cs="Calibri"/>
          <w:lang w:val="es-AR"/>
        </w:rPr>
        <w:t>Durante los meses de junio, julio, agosto y septiembre de 2013 se aplicaron estos instrumentos y se recolectó, procesó y analizó la información obtenida.</w:t>
      </w:r>
    </w:p>
    <w:p w:rsidR="005231AA" w:rsidRDefault="005231AA" w:rsidP="003C0133">
      <w:pPr>
        <w:pStyle w:val="ListParagraph"/>
        <w:spacing w:before="200" w:line="276" w:lineRule="auto"/>
        <w:ind w:left="0"/>
        <w:contextualSpacing w:val="0"/>
        <w:jc w:val="both"/>
        <w:rPr>
          <w:rFonts w:ascii="Calibri" w:hAnsi="Calibri" w:cs="Calibri"/>
          <w:lang w:val="es-AR"/>
        </w:rPr>
      </w:pPr>
      <w:r>
        <w:rPr>
          <w:rFonts w:ascii="Calibri" w:hAnsi="Calibri" w:cs="Calibri"/>
          <w:lang w:val="es-AR"/>
        </w:rPr>
        <w:t>Este trabajo permitió valorar el PROCIT tanto desde la perspectiva de su funcionamiento, como de los principales logros y resultados obtenidos, en general y para cada uno de sus componentes, a partir de cinco criterios guía: relevancia, eficacia, eficiencia, efectos e impacto, y sostenibilidad.</w:t>
      </w:r>
    </w:p>
    <w:p w:rsidR="005231AA" w:rsidRPr="00EA4A90" w:rsidRDefault="005231AA" w:rsidP="003C0133">
      <w:pPr>
        <w:pStyle w:val="ListParagraph"/>
        <w:spacing w:before="200" w:line="276" w:lineRule="auto"/>
        <w:ind w:left="0"/>
        <w:contextualSpacing w:val="0"/>
        <w:jc w:val="both"/>
        <w:rPr>
          <w:rStyle w:val="Emphasis"/>
          <w:rFonts w:ascii="Calibri" w:hAnsi="Calibri" w:cs="Calibri"/>
          <w:i w:val="0"/>
        </w:rPr>
      </w:pPr>
      <w:r w:rsidRPr="00EA4A90">
        <w:rPr>
          <w:rFonts w:ascii="Calibri" w:hAnsi="Calibri" w:cs="Calibri"/>
          <w:color w:val="000000"/>
          <w:lang w:val="es-AR" w:eastAsia="es-AR"/>
        </w:rPr>
        <w:t xml:space="preserve">El PROCIT es reconocido como la iniciativa más relevante para el logro del desarrollo científico tecnológico de Paraguay. Asimismo, </w:t>
      </w:r>
      <w:r w:rsidRPr="00EA4A90">
        <w:rPr>
          <w:rStyle w:val="Emphasis"/>
          <w:rFonts w:ascii="Calibri" w:hAnsi="Calibri" w:cs="Calibri"/>
          <w:i w:val="0"/>
        </w:rPr>
        <w:t>ha permitido identificar a CONACYT como institución referente en materia de políticas públicas de ciencia y tecnología</w:t>
      </w:r>
      <w:r>
        <w:rPr>
          <w:rStyle w:val="Emphasis"/>
          <w:rFonts w:ascii="Calibri" w:hAnsi="Calibri" w:cs="Calibri"/>
          <w:i w:val="0"/>
        </w:rPr>
        <w:t>, en un marco de solidez y transparencia.</w:t>
      </w:r>
      <w:r w:rsidRPr="00EA4A90">
        <w:rPr>
          <w:rStyle w:val="Emphasis"/>
          <w:rFonts w:ascii="Calibri" w:hAnsi="Calibri" w:cs="Calibri"/>
          <w:i w:val="0"/>
        </w:rPr>
        <w:t xml:space="preserve"> </w:t>
      </w:r>
    </w:p>
    <w:p w:rsidR="005231AA" w:rsidRPr="00EA4A90" w:rsidRDefault="005231AA" w:rsidP="003C0133">
      <w:pPr>
        <w:pStyle w:val="ListParagraph"/>
        <w:spacing w:before="200" w:line="276" w:lineRule="auto"/>
        <w:ind w:left="0"/>
        <w:contextualSpacing w:val="0"/>
        <w:jc w:val="both"/>
        <w:rPr>
          <w:rStyle w:val="Emphasis"/>
          <w:rFonts w:ascii="Calibri" w:hAnsi="Calibri" w:cs="Calibri"/>
          <w:i w:val="0"/>
        </w:rPr>
      </w:pPr>
      <w:r w:rsidRPr="00EA4A90">
        <w:rPr>
          <w:rStyle w:val="Emphasis"/>
          <w:rFonts w:ascii="Calibri" w:hAnsi="Calibri" w:cs="Calibri"/>
          <w:i w:val="0"/>
        </w:rPr>
        <w:t xml:space="preserve">Antes del PROCIT existía una investigación esporádica y autofinanciada. A partir del Programa, se crearon laboratorios, centros de investigación y nuevos grupos de investigadores con títulos de posgrado. En algunos casos, se reutilizaron espacios en desuso para el montaje de laboratorios y oficinas aumentando la eficiencia en el uso de los recursos públicos. </w:t>
      </w:r>
    </w:p>
    <w:p w:rsidR="005231AA" w:rsidRPr="00EA4A90" w:rsidRDefault="005231AA" w:rsidP="003C0133">
      <w:pPr>
        <w:pStyle w:val="ListParagraph"/>
        <w:spacing w:before="200" w:line="276" w:lineRule="auto"/>
        <w:ind w:left="0"/>
        <w:contextualSpacing w:val="0"/>
        <w:jc w:val="both"/>
        <w:rPr>
          <w:rStyle w:val="Emphasis"/>
          <w:rFonts w:ascii="Calibri" w:hAnsi="Calibri" w:cs="Calibri"/>
          <w:i w:val="0"/>
        </w:rPr>
      </w:pPr>
      <w:r w:rsidRPr="00EA4A90">
        <w:rPr>
          <w:rStyle w:val="Emphasis"/>
          <w:rFonts w:ascii="Calibri" w:hAnsi="Calibri" w:cs="Calibri"/>
          <w:i w:val="0"/>
        </w:rPr>
        <w:t xml:space="preserve">También se avanzó en relación a la formación de recursos humanos, tanto en lo que refiere a la ampliación de la oferta de formación de postgrado orientada a la investigación </w:t>
      </w:r>
      <w:r w:rsidRPr="00EA4A90">
        <w:rPr>
          <w:rStyle w:val="Emphasis"/>
          <w:rFonts w:ascii="Calibri" w:hAnsi="Calibri" w:cs="Calibri"/>
          <w:i w:val="0"/>
        </w:rPr>
        <w:lastRenderedPageBreak/>
        <w:t>y docencia, como así también en propiciar oportunidades de crecimiento y desarrollo a investigadores y docentes a través del otorgamiento de becas de estudio, investigación y/o práctica profesional.</w:t>
      </w:r>
    </w:p>
    <w:p w:rsidR="005231AA" w:rsidRPr="00EA4A90" w:rsidRDefault="005231AA" w:rsidP="003C0133">
      <w:pPr>
        <w:spacing w:before="200" w:line="276" w:lineRule="auto"/>
        <w:jc w:val="both"/>
        <w:rPr>
          <w:rFonts w:ascii="Calibri" w:hAnsi="Calibri" w:cs="Calibri"/>
        </w:rPr>
      </w:pPr>
      <w:r w:rsidRPr="00EA4A90">
        <w:rPr>
          <w:rFonts w:ascii="Calibri" w:hAnsi="Calibri" w:cs="Calibri"/>
          <w:color w:val="000000"/>
          <w:lang w:eastAsia="es-AR"/>
        </w:rPr>
        <w:t>Respecto de la innovación, e</w:t>
      </w:r>
      <w:r w:rsidRPr="00EA4A90">
        <w:rPr>
          <w:rFonts w:ascii="Calibri" w:hAnsi="Calibri" w:cs="Calibri"/>
        </w:rPr>
        <w:t>l beneficio básico del PROCIT ha sido estimular la actividad de emprender proyectos e iniciar una cultura de innovación en el tejido industrial de Paraguay.</w:t>
      </w:r>
    </w:p>
    <w:p w:rsidR="005231AA" w:rsidRPr="00EA4A90" w:rsidRDefault="005231AA" w:rsidP="003C0133">
      <w:pPr>
        <w:spacing w:before="200" w:line="276" w:lineRule="auto"/>
        <w:jc w:val="both"/>
        <w:rPr>
          <w:rFonts w:ascii="Calibri" w:hAnsi="Calibri" w:cs="Calibri"/>
          <w:color w:val="000000"/>
          <w:lang w:val="es-AR" w:eastAsia="es-AR"/>
        </w:rPr>
      </w:pPr>
      <w:r w:rsidRPr="00EA4A90">
        <w:rPr>
          <w:rFonts w:ascii="Calibri" w:hAnsi="Calibri" w:cs="Calibri"/>
          <w:color w:val="000000"/>
          <w:lang w:eastAsia="es-AR"/>
        </w:rPr>
        <w:t>Sin embargo, estos logros aún son incipientes y no logran consolidar el sistema de ciencia, tecnología e innovación de Paraguay. L</w:t>
      </w:r>
      <w:r w:rsidRPr="00EA4A90">
        <w:rPr>
          <w:rFonts w:ascii="Calibri" w:hAnsi="Calibri" w:cs="Calibri"/>
        </w:rPr>
        <w:t>a sostenibilidad financiera de los proyectos aparece como una de las principales preocupaciones entre los beneficiarios de los diferentes subcomponentes del PROCIT, ya que aún los proyectos no han logrado la autosustentabilidad y demandan recursos al CONACYT para garantizar su continuidad y el mantenimiento y mejora de los resultados que se están alcanzando.</w:t>
      </w:r>
    </w:p>
    <w:p w:rsidR="003C0133" w:rsidRPr="00EA4A90" w:rsidRDefault="005231AA" w:rsidP="003C0133">
      <w:pPr>
        <w:tabs>
          <w:tab w:val="left" w:pos="2715"/>
        </w:tabs>
        <w:spacing w:before="200" w:line="276" w:lineRule="auto"/>
        <w:jc w:val="both"/>
        <w:rPr>
          <w:rFonts w:ascii="Calibri" w:hAnsi="Calibri" w:cs="Calibri"/>
          <w:lang w:eastAsia="es-AR"/>
        </w:rPr>
      </w:pPr>
      <w:r w:rsidRPr="00EA4A90">
        <w:rPr>
          <w:rFonts w:ascii="Calibri" w:hAnsi="Calibri" w:cs="Calibri"/>
          <w:lang w:eastAsia="es-AR"/>
        </w:rPr>
        <w:t>Asimismo, aún quedan desafíos por abordar en términos de la articulación de act</w:t>
      </w:r>
      <w:r w:rsidR="003C0133">
        <w:rPr>
          <w:rFonts w:ascii="Calibri" w:hAnsi="Calibri" w:cs="Calibri"/>
          <w:lang w:eastAsia="es-AR"/>
        </w:rPr>
        <w:t xml:space="preserve">ores vinculados a este sistema y de generación de redes, </w:t>
      </w:r>
      <w:r w:rsidRPr="00EA4A90">
        <w:rPr>
          <w:rFonts w:ascii="Calibri" w:hAnsi="Calibri" w:cs="Calibri"/>
          <w:lang w:eastAsia="es-AR"/>
        </w:rPr>
        <w:t>de manera tal de generar sinergias que permitan un mejor aprovechamiento de los recursos y un mayor desarrollo de estos mismos actores. En este sentido, una mayor difusión de los logros y resultados alcanzados en el marco del PROCIT contribuirían a una mejor utilización de los mismos.</w:t>
      </w:r>
    </w:p>
    <w:p w:rsidR="00FE7684" w:rsidRPr="005231AA" w:rsidRDefault="00FE7684" w:rsidP="003C0133">
      <w:pPr>
        <w:pStyle w:val="ListParagraph"/>
        <w:spacing w:before="200" w:line="276" w:lineRule="auto"/>
        <w:ind w:left="0"/>
        <w:contextualSpacing w:val="0"/>
        <w:jc w:val="both"/>
        <w:rPr>
          <w:rFonts w:ascii="Calibri" w:hAnsi="Calibri" w:cs="Calibri"/>
          <w:color w:val="FF0000"/>
        </w:rPr>
      </w:pPr>
    </w:p>
    <w:p w:rsidR="00852419" w:rsidRPr="00C63071" w:rsidRDefault="00852419" w:rsidP="003C0133">
      <w:pPr>
        <w:tabs>
          <w:tab w:val="left" w:pos="2715"/>
        </w:tabs>
        <w:spacing w:before="200" w:line="276" w:lineRule="auto"/>
        <w:jc w:val="both"/>
        <w:rPr>
          <w:rFonts w:ascii="Calibri" w:hAnsi="Calibri" w:cs="Arial"/>
        </w:rPr>
      </w:pPr>
    </w:p>
    <w:p w:rsidR="00A1343F" w:rsidRDefault="00A1343F">
      <w:pPr>
        <w:rPr>
          <w:rFonts w:ascii="Cambria" w:eastAsia="Times New Roman" w:hAnsi="Cambria"/>
          <w:b/>
          <w:color w:val="244061"/>
          <w:sz w:val="28"/>
          <w:szCs w:val="28"/>
          <w:lang w:val="es-AR" w:eastAsia="es-AR"/>
        </w:rPr>
      </w:pPr>
      <w:r>
        <w:br w:type="page"/>
      </w:r>
    </w:p>
    <w:p w:rsidR="00E66944" w:rsidRPr="007D01EB" w:rsidRDefault="00E74B9E" w:rsidP="00F1655F">
      <w:pPr>
        <w:pStyle w:val="Heading1"/>
        <w:rPr>
          <w:rFonts w:ascii="Calibri" w:hAnsi="Calibri" w:cs="Arial"/>
        </w:rPr>
      </w:pPr>
      <w:bookmarkStart w:id="5" w:name="_Toc375211954"/>
      <w:r w:rsidRPr="007D01EB">
        <w:lastRenderedPageBreak/>
        <w:t>Introducción</w:t>
      </w:r>
      <w:bookmarkEnd w:id="5"/>
    </w:p>
    <w:p w:rsidR="00E30EB6" w:rsidRPr="00B524B8" w:rsidRDefault="00E30EB6" w:rsidP="0042242F">
      <w:pPr>
        <w:autoSpaceDE w:val="0"/>
        <w:autoSpaceDN w:val="0"/>
        <w:adjustRightInd w:val="0"/>
        <w:spacing w:before="120" w:after="120" w:line="288" w:lineRule="auto"/>
        <w:jc w:val="both"/>
        <w:rPr>
          <w:rFonts w:ascii="Calibri" w:hAnsi="Calibri" w:cs="Calibri"/>
          <w:color w:val="000000"/>
          <w:lang w:val="es-AR" w:eastAsia="es-AR"/>
        </w:rPr>
      </w:pPr>
      <w:r w:rsidRPr="00B524B8">
        <w:rPr>
          <w:rFonts w:ascii="Calibri" w:hAnsi="Calibri" w:cs="Calibri"/>
          <w:color w:val="000000"/>
          <w:lang w:val="es-AR" w:eastAsia="es-AR"/>
        </w:rPr>
        <w:t>El Consejo Nacional de Ciencia y Tecnología (</w:t>
      </w:r>
      <w:r w:rsidR="00493D03" w:rsidRPr="00B524B8">
        <w:rPr>
          <w:rFonts w:ascii="Calibri" w:hAnsi="Calibri" w:cs="Calibri"/>
          <w:color w:val="000000"/>
          <w:lang w:val="es-AR" w:eastAsia="es-AR"/>
        </w:rPr>
        <w:t>CONACYT</w:t>
      </w:r>
      <w:r w:rsidRPr="00B524B8">
        <w:rPr>
          <w:rFonts w:ascii="Calibri" w:hAnsi="Calibri" w:cs="Calibri"/>
          <w:color w:val="000000"/>
          <w:lang w:val="es-AR" w:eastAsia="es-AR"/>
        </w:rPr>
        <w:t>) es el organismo encargado de dirigir y coordinar el funcionamiento del Sistema Nacional de Ciencia, Tecnología, Innovación y Calidad</w:t>
      </w:r>
      <w:r w:rsidR="003D7927">
        <w:rPr>
          <w:rFonts w:ascii="Calibri" w:hAnsi="Calibri" w:cs="Calibri"/>
          <w:color w:val="000000"/>
          <w:lang w:val="es-AR" w:eastAsia="es-AR"/>
        </w:rPr>
        <w:t xml:space="preserve"> de Paraguay</w:t>
      </w:r>
      <w:r w:rsidRPr="00B524B8">
        <w:rPr>
          <w:rFonts w:ascii="Calibri" w:hAnsi="Calibri" w:cs="Calibri"/>
          <w:color w:val="000000"/>
          <w:lang w:val="es-AR" w:eastAsia="es-AR"/>
        </w:rPr>
        <w:t xml:space="preserve">, asesorar al gobierno, y apoyar el desarrollo científico y tecnológico del país mediante políticas y programas específicos, los cuales son impulsados por el sector público y coordinados con el sector privado. </w:t>
      </w:r>
    </w:p>
    <w:p w:rsidR="00E30EB6" w:rsidRPr="00B524B8" w:rsidRDefault="00E30EB6" w:rsidP="0042242F">
      <w:pPr>
        <w:autoSpaceDE w:val="0"/>
        <w:autoSpaceDN w:val="0"/>
        <w:adjustRightInd w:val="0"/>
        <w:spacing w:before="120" w:after="120" w:line="288" w:lineRule="auto"/>
        <w:jc w:val="both"/>
        <w:rPr>
          <w:rFonts w:ascii="Calibri" w:hAnsi="Calibri" w:cs="Calibri"/>
          <w:color w:val="000000"/>
          <w:lang w:val="es-AR" w:eastAsia="es-AR"/>
        </w:rPr>
      </w:pPr>
      <w:r w:rsidRPr="00B524B8">
        <w:rPr>
          <w:rFonts w:ascii="Calibri" w:hAnsi="Calibri" w:cs="Calibri"/>
          <w:color w:val="000000"/>
          <w:lang w:val="es-AR" w:eastAsia="es-AR"/>
        </w:rPr>
        <w:t xml:space="preserve">Creado en el año 1997 por la Ley 1028 -General de Ciencia y Tecnología-, CONACYT funciona como una institución autárquica dependiente de la Presidencia de la República, aunque de composición mixta, integrado por representantes de ministerios del Poder Ejecutivo, gremios industriales, universidades estatales y privadas, centrales sindicales y la Sociedad Científica. </w:t>
      </w:r>
    </w:p>
    <w:p w:rsidR="00E30EB6" w:rsidRPr="00B524B8" w:rsidRDefault="00E30EB6" w:rsidP="0042242F">
      <w:pPr>
        <w:autoSpaceDE w:val="0"/>
        <w:autoSpaceDN w:val="0"/>
        <w:adjustRightInd w:val="0"/>
        <w:spacing w:before="120" w:after="120" w:line="288" w:lineRule="auto"/>
        <w:jc w:val="both"/>
        <w:rPr>
          <w:rFonts w:ascii="Calibri" w:hAnsi="Calibri" w:cs="Calibri"/>
          <w:color w:val="000000"/>
          <w:lang w:val="es-AR" w:eastAsia="es-AR"/>
        </w:rPr>
      </w:pPr>
      <w:r w:rsidRPr="00B524B8">
        <w:rPr>
          <w:rFonts w:ascii="Calibri" w:hAnsi="Calibri" w:cs="Calibri"/>
          <w:color w:val="000000"/>
          <w:lang w:val="es-AR" w:eastAsia="es-AR"/>
        </w:rPr>
        <w:t xml:space="preserve">Es a partir del año 2006 que se desarrollan los primeros proyectos importantes con apoyo de organismos multilaterales como el Programa de Naciones Unidas para el Desarrollo (PNUD) y el Banco Interamericano de Desarrollo (BID), en un esfuerzo nacional basado en alianzas público – privadas. </w:t>
      </w:r>
    </w:p>
    <w:p w:rsidR="00E30EB6" w:rsidRPr="005B5A04" w:rsidRDefault="004A6231" w:rsidP="0042242F">
      <w:pPr>
        <w:autoSpaceDE w:val="0"/>
        <w:autoSpaceDN w:val="0"/>
        <w:adjustRightInd w:val="0"/>
        <w:spacing w:before="120" w:after="120" w:line="288" w:lineRule="auto"/>
        <w:jc w:val="both"/>
        <w:rPr>
          <w:rFonts w:ascii="Calibri" w:hAnsi="Calibri" w:cs="Calibri"/>
        </w:rPr>
      </w:pPr>
      <w:r>
        <w:rPr>
          <w:rFonts w:ascii="Calibri" w:hAnsi="Calibri" w:cs="Calibri"/>
          <w:color w:val="000000"/>
          <w:lang w:val="es-AR" w:eastAsia="es-AR"/>
        </w:rPr>
        <w:t xml:space="preserve">El 7 de diciembre del 2005 el Directorio del BID aprueba el </w:t>
      </w:r>
      <w:r w:rsidRPr="00B524B8">
        <w:rPr>
          <w:rFonts w:ascii="Calibri" w:hAnsi="Calibri" w:cs="Calibri"/>
          <w:b/>
          <w:color w:val="000000"/>
          <w:lang w:val="es-AR" w:eastAsia="es-AR"/>
        </w:rPr>
        <w:t>“Programa de Apoyo al Desarrollo de la Ciencia, Tecnología e Innovación” (PROCIT)</w:t>
      </w:r>
      <w:r>
        <w:rPr>
          <w:rFonts w:ascii="Calibri" w:hAnsi="Calibri" w:cs="Calibri"/>
          <w:b/>
          <w:color w:val="000000"/>
          <w:lang w:val="es-AR" w:eastAsia="es-AR"/>
        </w:rPr>
        <w:t xml:space="preserve"> </w:t>
      </w:r>
      <w:r w:rsidRPr="004A6231">
        <w:rPr>
          <w:rFonts w:ascii="Calibri" w:hAnsi="Calibri" w:cs="Calibri"/>
          <w:color w:val="000000"/>
          <w:lang w:val="es-AR" w:eastAsia="es-AR"/>
        </w:rPr>
        <w:t xml:space="preserve">y en abril de 2006 se firma el Convenio de Financiamiento. </w:t>
      </w:r>
      <w:r w:rsidR="00E30EB6" w:rsidRPr="004A6231">
        <w:rPr>
          <w:rFonts w:ascii="Calibri" w:hAnsi="Calibri" w:cs="Calibri"/>
          <w:color w:val="000000"/>
          <w:lang w:val="es-AR" w:eastAsia="es-AR"/>
        </w:rPr>
        <w:t>A fi</w:t>
      </w:r>
      <w:r w:rsidR="00E30EB6" w:rsidRPr="00B524B8">
        <w:rPr>
          <w:rFonts w:ascii="Calibri" w:hAnsi="Calibri" w:cs="Calibri"/>
          <w:color w:val="000000"/>
          <w:lang w:val="es-AR" w:eastAsia="es-AR"/>
        </w:rPr>
        <w:t>nales de 2007 comenzó la fase piloto de preparación</w:t>
      </w:r>
      <w:r>
        <w:rPr>
          <w:rFonts w:ascii="Calibri" w:hAnsi="Calibri" w:cs="Calibri"/>
          <w:color w:val="000000"/>
          <w:lang w:val="es-AR" w:eastAsia="es-AR"/>
        </w:rPr>
        <w:t>,</w:t>
      </w:r>
      <w:r w:rsidR="00E30EB6" w:rsidRPr="00B524B8">
        <w:rPr>
          <w:rFonts w:ascii="Calibri" w:hAnsi="Calibri" w:cs="Calibri"/>
          <w:color w:val="000000"/>
          <w:lang w:val="es-AR" w:eastAsia="es-AR"/>
        </w:rPr>
        <w:t xml:space="preserve"> </w:t>
      </w:r>
      <w:r>
        <w:rPr>
          <w:rFonts w:ascii="Calibri" w:hAnsi="Calibri" w:cs="Calibri"/>
          <w:color w:val="000000"/>
          <w:lang w:val="es-AR" w:eastAsia="es-AR"/>
        </w:rPr>
        <w:t>produciéndose el primer desembolso en octubre de 2008. En diciembre de ese mismo año se realizó el</w:t>
      </w:r>
      <w:r w:rsidR="00E30EB6" w:rsidRPr="00B524B8">
        <w:rPr>
          <w:rFonts w:ascii="Calibri" w:hAnsi="Calibri" w:cs="Calibri"/>
          <w:color w:val="000000"/>
          <w:lang w:val="es-AR" w:eastAsia="es-AR"/>
        </w:rPr>
        <w:t xml:space="preserve"> lanzamiento </w:t>
      </w:r>
      <w:r w:rsidR="00E30EB6" w:rsidRPr="005B5A04">
        <w:rPr>
          <w:rFonts w:ascii="Calibri" w:hAnsi="Calibri" w:cs="Calibri"/>
        </w:rPr>
        <w:t xml:space="preserve">oficial </w:t>
      </w:r>
      <w:r>
        <w:rPr>
          <w:rFonts w:ascii="Calibri" w:hAnsi="Calibri" w:cs="Calibri"/>
        </w:rPr>
        <w:t>del Programa</w:t>
      </w:r>
      <w:r w:rsidR="00AE161B">
        <w:rPr>
          <w:rFonts w:ascii="Calibri" w:hAnsi="Calibri" w:cs="Calibri"/>
        </w:rPr>
        <w:t>, fijándose como fecha de finalización del mismo diciembre de 2013.</w:t>
      </w:r>
    </w:p>
    <w:p w:rsidR="004A6231" w:rsidRDefault="005B5A04" w:rsidP="00EE347B">
      <w:pPr>
        <w:autoSpaceDE w:val="0"/>
        <w:autoSpaceDN w:val="0"/>
        <w:adjustRightInd w:val="0"/>
        <w:spacing w:before="120" w:after="120" w:line="288" w:lineRule="auto"/>
        <w:jc w:val="both"/>
        <w:rPr>
          <w:rFonts w:ascii="Calibri" w:hAnsi="Calibri" w:cs="Calibri"/>
        </w:rPr>
      </w:pPr>
      <w:r>
        <w:rPr>
          <w:rFonts w:ascii="Calibri" w:hAnsi="Calibri" w:cs="Calibri"/>
        </w:rPr>
        <w:t xml:space="preserve">El PROCIT se planteó como objetivo general </w:t>
      </w:r>
      <w:r w:rsidRPr="005B5A04">
        <w:rPr>
          <w:rFonts w:ascii="Calibri" w:hAnsi="Calibri" w:cs="Calibri"/>
        </w:rPr>
        <w:t xml:space="preserve">contribuir al fortalecimiento del Sistema Nacional de Innovación (SNI) de Paraguay. </w:t>
      </w:r>
      <w:r w:rsidR="004A6231">
        <w:rPr>
          <w:rFonts w:ascii="Calibri" w:hAnsi="Calibri" w:cs="Calibri"/>
        </w:rPr>
        <w:t>Los objetivos específicos definidos para este Programa fueron:</w:t>
      </w:r>
    </w:p>
    <w:p w:rsidR="004A6231" w:rsidRPr="00EE347B" w:rsidRDefault="00EE347B" w:rsidP="002D7EE9">
      <w:pPr>
        <w:pStyle w:val="ListParagraph"/>
        <w:numPr>
          <w:ilvl w:val="0"/>
          <w:numId w:val="14"/>
        </w:numPr>
        <w:autoSpaceDE w:val="0"/>
        <w:autoSpaceDN w:val="0"/>
        <w:adjustRightInd w:val="0"/>
        <w:spacing w:after="200" w:line="276" w:lineRule="auto"/>
        <w:jc w:val="both"/>
        <w:rPr>
          <w:rFonts w:ascii="Calibri" w:hAnsi="Calibri" w:cs="Calibri"/>
        </w:rPr>
      </w:pPr>
      <w:r>
        <w:rPr>
          <w:rFonts w:ascii="Calibri" w:hAnsi="Calibri" w:cs="Calibri"/>
        </w:rPr>
        <w:t>G</w:t>
      </w:r>
      <w:r w:rsidRPr="00EE347B">
        <w:rPr>
          <w:rFonts w:ascii="Calibri" w:hAnsi="Calibri" w:cs="Calibri"/>
        </w:rPr>
        <w:t>enerar conocimiento científico en el país y aumentar la innovación en las empresas beneficiarias.</w:t>
      </w:r>
    </w:p>
    <w:p w:rsidR="004A6231" w:rsidRPr="00EE347B" w:rsidRDefault="00EE347B" w:rsidP="002D7EE9">
      <w:pPr>
        <w:pStyle w:val="ListParagraph"/>
        <w:numPr>
          <w:ilvl w:val="0"/>
          <w:numId w:val="14"/>
        </w:numPr>
        <w:autoSpaceDE w:val="0"/>
        <w:autoSpaceDN w:val="0"/>
        <w:adjustRightInd w:val="0"/>
        <w:spacing w:after="200" w:line="276" w:lineRule="auto"/>
        <w:jc w:val="both"/>
        <w:rPr>
          <w:rFonts w:ascii="Calibri" w:hAnsi="Calibri" w:cs="Calibri"/>
        </w:rPr>
      </w:pPr>
      <w:r w:rsidRPr="00EE347B">
        <w:rPr>
          <w:rFonts w:ascii="Calibri" w:hAnsi="Calibri" w:cs="Calibri"/>
        </w:rPr>
        <w:t>Fortalecer las capacidades y aumentar la disponibilidad de recursos humanos dedicados a la generación de nuevos conocimientos y al desarrollo tecnológico e innovación.</w:t>
      </w:r>
    </w:p>
    <w:p w:rsidR="004A6231" w:rsidRPr="00EE347B" w:rsidRDefault="00EE347B" w:rsidP="002D7EE9">
      <w:pPr>
        <w:pStyle w:val="ListParagraph"/>
        <w:numPr>
          <w:ilvl w:val="0"/>
          <w:numId w:val="14"/>
        </w:numPr>
        <w:autoSpaceDE w:val="0"/>
        <w:autoSpaceDN w:val="0"/>
        <w:adjustRightInd w:val="0"/>
        <w:spacing w:after="200" w:line="276" w:lineRule="auto"/>
        <w:jc w:val="both"/>
        <w:rPr>
          <w:rFonts w:ascii="Calibri" w:hAnsi="Calibri" w:cs="Calibri"/>
        </w:rPr>
      </w:pPr>
      <w:r w:rsidRPr="00EE347B">
        <w:rPr>
          <w:rFonts w:ascii="Calibri" w:hAnsi="Calibri" w:cs="Calibri"/>
        </w:rPr>
        <w:t>Fortalecer y articular a los actores del Sistema Nacional de Innovación Paraguayo (SNIP), bajo el principio que distintos actores deben interactuar y lograr la articulación entre la generación de conocimiento y su aplicación a necesidades existentes para que la innovación, la ciencia y la tecnología tengan el impacto esperado en una sociedad.</w:t>
      </w:r>
    </w:p>
    <w:p w:rsidR="004A6231" w:rsidRDefault="004A6231" w:rsidP="0042242F">
      <w:pPr>
        <w:autoSpaceDE w:val="0"/>
        <w:autoSpaceDN w:val="0"/>
        <w:adjustRightInd w:val="0"/>
        <w:spacing w:before="120" w:after="120" w:line="288" w:lineRule="auto"/>
        <w:jc w:val="both"/>
        <w:rPr>
          <w:rFonts w:ascii="Calibri" w:hAnsi="Calibri" w:cs="Calibri"/>
        </w:rPr>
      </w:pPr>
      <w:r>
        <w:rPr>
          <w:rFonts w:ascii="Calibri" w:hAnsi="Calibri" w:cs="Calibri"/>
        </w:rPr>
        <w:lastRenderedPageBreak/>
        <w:t xml:space="preserve">Estos objetivos se alcanzarían a través de tres </w:t>
      </w:r>
      <w:r w:rsidR="005B5A04">
        <w:rPr>
          <w:rFonts w:ascii="Calibri" w:hAnsi="Calibri" w:cs="Calibri"/>
        </w:rPr>
        <w:t>componentes</w:t>
      </w:r>
      <w:r>
        <w:rPr>
          <w:rFonts w:ascii="Calibri" w:hAnsi="Calibri" w:cs="Calibri"/>
        </w:rPr>
        <w:t>, desagregados además en subcomponentes:</w:t>
      </w:r>
    </w:p>
    <w:p w:rsidR="004A6231" w:rsidRDefault="009E41F0" w:rsidP="0042242F">
      <w:pPr>
        <w:autoSpaceDE w:val="0"/>
        <w:autoSpaceDN w:val="0"/>
        <w:adjustRightInd w:val="0"/>
        <w:spacing w:before="120" w:after="120" w:line="288" w:lineRule="auto"/>
        <w:jc w:val="both"/>
        <w:rPr>
          <w:rFonts w:ascii="Calibri" w:hAnsi="Calibri" w:cs="Calibri"/>
        </w:rPr>
      </w:pPr>
      <w:r w:rsidRPr="00B524B8">
        <w:rPr>
          <w:rFonts w:ascii="Calibri" w:hAnsi="Calibri" w:cs="Calibri"/>
        </w:rPr>
        <w:t xml:space="preserve">(1a) apoyo financiero para proyectos de Investigación, con la participación de universidades, centros académicos, laboratorios y centros de investigación públicos y privados, por un lado; </w:t>
      </w:r>
    </w:p>
    <w:p w:rsidR="004A6231" w:rsidRDefault="009E41F0" w:rsidP="0042242F">
      <w:pPr>
        <w:autoSpaceDE w:val="0"/>
        <w:autoSpaceDN w:val="0"/>
        <w:adjustRightInd w:val="0"/>
        <w:spacing w:before="120" w:after="120" w:line="288" w:lineRule="auto"/>
        <w:jc w:val="both"/>
        <w:rPr>
          <w:rFonts w:ascii="Calibri" w:hAnsi="Calibri" w:cs="Calibri"/>
        </w:rPr>
      </w:pPr>
      <w:r w:rsidRPr="00B524B8">
        <w:rPr>
          <w:rFonts w:ascii="Calibri" w:hAnsi="Calibri" w:cs="Calibri"/>
        </w:rPr>
        <w:t xml:space="preserve">(1b) apoyo financiero para proyectos de Innovación Tecnológica, dirigidos a empresas, con la participación de instituciones públicas y privadas de apoyo al desarrollo del sector productivo, por el otro; </w:t>
      </w:r>
    </w:p>
    <w:p w:rsidR="004A6231" w:rsidRDefault="009E41F0" w:rsidP="0042242F">
      <w:pPr>
        <w:autoSpaceDE w:val="0"/>
        <w:autoSpaceDN w:val="0"/>
        <w:adjustRightInd w:val="0"/>
        <w:spacing w:before="120" w:after="120" w:line="288" w:lineRule="auto"/>
        <w:jc w:val="both"/>
        <w:rPr>
          <w:rFonts w:ascii="Calibri" w:hAnsi="Calibri" w:cs="Calibri"/>
        </w:rPr>
      </w:pPr>
      <w:r w:rsidRPr="00B524B8">
        <w:rPr>
          <w:rFonts w:ascii="Calibri" w:hAnsi="Calibri" w:cs="Calibri"/>
        </w:rPr>
        <w:t xml:space="preserve">(2a) fortalecimiento de postgrados nacionales; </w:t>
      </w:r>
    </w:p>
    <w:p w:rsidR="004A6231" w:rsidRDefault="009E41F0" w:rsidP="0042242F">
      <w:pPr>
        <w:autoSpaceDE w:val="0"/>
        <w:autoSpaceDN w:val="0"/>
        <w:adjustRightInd w:val="0"/>
        <w:spacing w:before="120" w:after="120" w:line="288" w:lineRule="auto"/>
        <w:jc w:val="both"/>
        <w:rPr>
          <w:rFonts w:ascii="Calibri" w:hAnsi="Calibri" w:cs="Calibri"/>
        </w:rPr>
      </w:pPr>
      <w:r w:rsidRPr="00B524B8">
        <w:rPr>
          <w:rFonts w:ascii="Calibri" w:hAnsi="Calibri" w:cs="Calibri"/>
        </w:rPr>
        <w:t xml:space="preserve">(2b) otorgamiento de becas de estudios de postgrado en el país, de corta duración para formación no conducente a títulos y apoyos complementarios para estudiantes de postgrado con estadía en el extranjero; y </w:t>
      </w:r>
    </w:p>
    <w:p w:rsidR="00E30EB6" w:rsidRPr="00B524B8" w:rsidRDefault="009E41F0" w:rsidP="0042242F">
      <w:pPr>
        <w:autoSpaceDE w:val="0"/>
        <w:autoSpaceDN w:val="0"/>
        <w:adjustRightInd w:val="0"/>
        <w:spacing w:before="120" w:after="120" w:line="288" w:lineRule="auto"/>
        <w:jc w:val="both"/>
        <w:rPr>
          <w:rFonts w:ascii="Calibri" w:hAnsi="Calibri" w:cs="Calibri"/>
        </w:rPr>
      </w:pPr>
      <w:r w:rsidRPr="00B524B8">
        <w:rPr>
          <w:rFonts w:ascii="Calibri" w:hAnsi="Calibri" w:cs="Calibri"/>
        </w:rPr>
        <w:t>(3) acciones de fortalecimiento y articulación del Sistema Nacional de Innovación (SNI) del Paraguay.</w:t>
      </w:r>
    </w:p>
    <w:p w:rsidR="00600B9C" w:rsidRPr="000078FC" w:rsidRDefault="004A6231" w:rsidP="0042242F">
      <w:pPr>
        <w:autoSpaceDE w:val="0"/>
        <w:autoSpaceDN w:val="0"/>
        <w:adjustRightInd w:val="0"/>
        <w:spacing w:before="120" w:after="120" w:line="288" w:lineRule="auto"/>
        <w:jc w:val="both"/>
        <w:rPr>
          <w:rFonts w:ascii="Calibri" w:hAnsi="Calibri" w:cs="Calibri"/>
        </w:rPr>
      </w:pPr>
      <w:r w:rsidRPr="00EE347B">
        <w:rPr>
          <w:rFonts w:ascii="Calibri" w:hAnsi="Calibri" w:cs="Calibri"/>
        </w:rPr>
        <w:t>El monto global de</w:t>
      </w:r>
      <w:r w:rsidR="00EE347B" w:rsidRPr="00EE347B">
        <w:rPr>
          <w:rFonts w:ascii="Calibri" w:hAnsi="Calibri" w:cs="Calibri"/>
        </w:rPr>
        <w:t xml:space="preserve">l PROCIT se estableció en 7.300.000 </w:t>
      </w:r>
      <w:r w:rsidRPr="00EE347B">
        <w:rPr>
          <w:rFonts w:ascii="Calibri" w:hAnsi="Calibri" w:cs="Calibri"/>
        </w:rPr>
        <w:t xml:space="preserve">dólares estadounidenses, </w:t>
      </w:r>
      <w:r w:rsidR="00777C0C">
        <w:rPr>
          <w:rFonts w:ascii="Calibri" w:hAnsi="Calibri" w:cs="Calibri"/>
        </w:rPr>
        <w:t xml:space="preserve">según se estipuló en el Contrato de Préstamo Nro. 1698/0C-PR entre la República del Paraguay y el Banco Interamericano de Desarrollo (2006), </w:t>
      </w:r>
      <w:r w:rsidR="00BE6AAD">
        <w:rPr>
          <w:rFonts w:ascii="Calibri" w:hAnsi="Calibri" w:cs="Calibri"/>
        </w:rPr>
        <w:t xml:space="preserve">de los cuales 6.500.000U$S serían aportados por el BID (89%) y 800.000U$S aportados localmente (11%). Estos montos estaban distribuidos </w:t>
      </w:r>
      <w:r w:rsidR="00EE347B" w:rsidRPr="00EE347B">
        <w:rPr>
          <w:rFonts w:ascii="Calibri" w:hAnsi="Calibri" w:cs="Calibri"/>
        </w:rPr>
        <w:t xml:space="preserve">en los diferentes componentes </w:t>
      </w:r>
      <w:r w:rsidR="00BE6AAD">
        <w:rPr>
          <w:rFonts w:ascii="Calibri" w:hAnsi="Calibri" w:cs="Calibri"/>
        </w:rPr>
        <w:t xml:space="preserve">del Programa </w:t>
      </w:r>
      <w:r w:rsidR="00EE347B" w:rsidRPr="00EE347B">
        <w:rPr>
          <w:rFonts w:ascii="Calibri" w:hAnsi="Calibri" w:cs="Calibri"/>
        </w:rPr>
        <w:t>y en actividades de</w:t>
      </w:r>
      <w:r w:rsidR="00BE6AAD">
        <w:rPr>
          <w:rFonts w:ascii="Calibri" w:hAnsi="Calibri" w:cs="Calibri"/>
        </w:rPr>
        <w:t xml:space="preserve"> administración</w:t>
      </w:r>
      <w:r w:rsidR="00B71EDB">
        <w:rPr>
          <w:rFonts w:ascii="Calibri" w:hAnsi="Calibri" w:cs="Calibri"/>
        </w:rPr>
        <w:t xml:space="preserve">, </w:t>
      </w:r>
      <w:r w:rsidR="00BE6AAD">
        <w:rPr>
          <w:rFonts w:ascii="Calibri" w:hAnsi="Calibri" w:cs="Calibri"/>
        </w:rPr>
        <w:t xml:space="preserve">costos concurrentes, </w:t>
      </w:r>
      <w:r w:rsidR="00EE347B" w:rsidRPr="00EE347B">
        <w:rPr>
          <w:rFonts w:ascii="Calibri" w:hAnsi="Calibri" w:cs="Calibri"/>
        </w:rPr>
        <w:t>imprevistos</w:t>
      </w:r>
      <w:r w:rsidR="00B71EDB">
        <w:rPr>
          <w:rFonts w:ascii="Calibri" w:hAnsi="Calibri" w:cs="Calibri"/>
        </w:rPr>
        <w:t xml:space="preserve"> y una partida específica para la fase piloto (FAPEP – Facilidad de Anticipo para la Preparación de la Ejecución del Programa)</w:t>
      </w:r>
      <w:r w:rsidR="00EE347B" w:rsidRPr="00EE347B">
        <w:rPr>
          <w:rFonts w:ascii="Calibri" w:hAnsi="Calibri" w:cs="Calibri"/>
        </w:rPr>
        <w:t xml:space="preserve">. </w:t>
      </w:r>
    </w:p>
    <w:p w:rsidR="00600B9C" w:rsidRDefault="003D7927" w:rsidP="0042242F">
      <w:pPr>
        <w:autoSpaceDE w:val="0"/>
        <w:autoSpaceDN w:val="0"/>
        <w:adjustRightInd w:val="0"/>
        <w:spacing w:before="120" w:after="120" w:line="288" w:lineRule="auto"/>
        <w:jc w:val="both"/>
        <w:rPr>
          <w:rFonts w:ascii="Calibri" w:hAnsi="Calibri" w:cs="Calibri"/>
        </w:rPr>
      </w:pPr>
      <w:r>
        <w:rPr>
          <w:rFonts w:ascii="Calibri" w:hAnsi="Calibri" w:cs="Calibri"/>
        </w:rPr>
        <w:t xml:space="preserve">La primera evaluación del PROCIT se realizó en </w:t>
      </w:r>
      <w:r w:rsidR="004A6231" w:rsidRPr="004A6231">
        <w:rPr>
          <w:rFonts w:ascii="Calibri" w:hAnsi="Calibri" w:cs="Calibri"/>
        </w:rPr>
        <w:t>abril de 2011</w:t>
      </w:r>
      <w:r>
        <w:rPr>
          <w:rFonts w:ascii="Calibri" w:hAnsi="Calibri" w:cs="Calibri"/>
        </w:rPr>
        <w:t xml:space="preserve">. Se trató de </w:t>
      </w:r>
      <w:r w:rsidR="004A6231" w:rsidRPr="004A6231">
        <w:rPr>
          <w:rFonts w:ascii="Calibri" w:hAnsi="Calibri" w:cs="Calibri"/>
        </w:rPr>
        <w:t>una e</w:t>
      </w:r>
      <w:r w:rsidR="00EE347B">
        <w:rPr>
          <w:rFonts w:ascii="Calibri" w:hAnsi="Calibri" w:cs="Calibri"/>
        </w:rPr>
        <w:t>valuación inte</w:t>
      </w:r>
      <w:r w:rsidR="00600B9C" w:rsidRPr="004A6231">
        <w:rPr>
          <w:rFonts w:ascii="Calibri" w:hAnsi="Calibri" w:cs="Calibri"/>
        </w:rPr>
        <w:t>rmedia</w:t>
      </w:r>
      <w:r w:rsidR="004A6231" w:rsidRPr="004A6231">
        <w:rPr>
          <w:rFonts w:ascii="Calibri" w:hAnsi="Calibri" w:cs="Calibri"/>
        </w:rPr>
        <w:t xml:space="preserve"> d</w:t>
      </w:r>
      <w:r w:rsidR="004A6231">
        <w:rPr>
          <w:rFonts w:ascii="Calibri" w:hAnsi="Calibri" w:cs="Calibri"/>
        </w:rPr>
        <w:t>el Programa, donde se presentaron algunos avances de</w:t>
      </w:r>
      <w:r>
        <w:rPr>
          <w:rFonts w:ascii="Calibri" w:hAnsi="Calibri" w:cs="Calibri"/>
        </w:rPr>
        <w:t xml:space="preserve"> sus</w:t>
      </w:r>
      <w:r w:rsidR="004A6231">
        <w:rPr>
          <w:rFonts w:ascii="Calibri" w:hAnsi="Calibri" w:cs="Calibri"/>
        </w:rPr>
        <w:t xml:space="preserve"> logros</w:t>
      </w:r>
      <w:r>
        <w:rPr>
          <w:rFonts w:ascii="Calibri" w:hAnsi="Calibri" w:cs="Calibri"/>
        </w:rPr>
        <w:t xml:space="preserve"> </w:t>
      </w:r>
      <w:r w:rsidR="004A6231">
        <w:rPr>
          <w:rFonts w:ascii="Calibri" w:hAnsi="Calibri" w:cs="Calibri"/>
        </w:rPr>
        <w:t xml:space="preserve">y se realizaron una serie de </w:t>
      </w:r>
      <w:r>
        <w:rPr>
          <w:rFonts w:ascii="Calibri" w:hAnsi="Calibri" w:cs="Calibri"/>
        </w:rPr>
        <w:t xml:space="preserve">recomendaciones de </w:t>
      </w:r>
      <w:r w:rsidR="004A6231">
        <w:rPr>
          <w:rFonts w:ascii="Calibri" w:hAnsi="Calibri" w:cs="Calibri"/>
        </w:rPr>
        <w:t>mejora para la continuidad de desarrollo del mismo.</w:t>
      </w:r>
    </w:p>
    <w:p w:rsidR="009E41F0" w:rsidRPr="00EE347B" w:rsidRDefault="00EE347B" w:rsidP="0042242F">
      <w:pPr>
        <w:autoSpaceDE w:val="0"/>
        <w:autoSpaceDN w:val="0"/>
        <w:adjustRightInd w:val="0"/>
        <w:spacing w:before="120" w:after="120" w:line="288" w:lineRule="auto"/>
        <w:jc w:val="both"/>
        <w:rPr>
          <w:rFonts w:ascii="Calibri" w:hAnsi="Calibri" w:cs="Calibri"/>
        </w:rPr>
      </w:pPr>
      <w:r>
        <w:rPr>
          <w:rFonts w:ascii="Calibri" w:hAnsi="Calibri" w:cs="Calibri"/>
        </w:rPr>
        <w:t>E</w:t>
      </w:r>
      <w:r w:rsidR="009E41F0" w:rsidRPr="00B524B8">
        <w:rPr>
          <w:rFonts w:ascii="Calibri" w:hAnsi="Calibri" w:cs="Calibri"/>
        </w:rPr>
        <w:t xml:space="preserve">l presente informe presenta la </w:t>
      </w:r>
      <w:r w:rsidR="009E41F0" w:rsidRPr="00B524B8">
        <w:rPr>
          <w:rFonts w:ascii="Calibri" w:hAnsi="Calibri" w:cs="Calibri"/>
          <w:b/>
        </w:rPr>
        <w:t>evaluación final del PROCIT</w:t>
      </w:r>
      <w:r w:rsidR="009E41F0" w:rsidRPr="00B524B8">
        <w:rPr>
          <w:rFonts w:ascii="Calibri" w:hAnsi="Calibri" w:cs="Calibri"/>
        </w:rPr>
        <w:t xml:space="preserve">, con el objetivo </w:t>
      </w:r>
      <w:r w:rsidR="009E41F0" w:rsidRPr="00EE347B">
        <w:rPr>
          <w:rFonts w:ascii="Calibri" w:hAnsi="Calibri" w:cs="Calibri"/>
        </w:rPr>
        <w:t xml:space="preserve">de </w:t>
      </w:r>
      <w:r w:rsidR="009E41F0" w:rsidRPr="00EE347B">
        <w:rPr>
          <w:rFonts w:ascii="Calibri" w:hAnsi="Calibri" w:cs="Calibri"/>
          <w:iCs/>
        </w:rPr>
        <w:t>analizar el grado de cumplimiento de las metas establecidas para el mismo</w:t>
      </w:r>
      <w:r>
        <w:rPr>
          <w:rFonts w:ascii="Calibri" w:hAnsi="Calibri" w:cs="Calibri"/>
          <w:iCs/>
        </w:rPr>
        <w:t xml:space="preserve">, y </w:t>
      </w:r>
      <w:r w:rsidR="009E41F0" w:rsidRPr="00EE347B">
        <w:rPr>
          <w:rFonts w:ascii="Calibri" w:hAnsi="Calibri" w:cs="Calibri"/>
          <w:iCs/>
        </w:rPr>
        <w:t xml:space="preserve">de acuerdo con los indicadores de resultado establecidos en el programa. Asimismo, </w:t>
      </w:r>
      <w:r>
        <w:rPr>
          <w:rFonts w:ascii="Calibri" w:hAnsi="Calibri" w:cs="Calibri"/>
          <w:iCs/>
        </w:rPr>
        <w:t>pretende</w:t>
      </w:r>
      <w:r w:rsidR="009E41F0" w:rsidRPr="00EE347B">
        <w:rPr>
          <w:rFonts w:ascii="Calibri" w:hAnsi="Calibri" w:cs="Calibri"/>
          <w:iCs/>
        </w:rPr>
        <w:t xml:space="preserve"> analizar </w:t>
      </w:r>
      <w:r w:rsidR="00F3538C">
        <w:rPr>
          <w:rFonts w:ascii="Calibri" w:hAnsi="Calibri" w:cs="Calibri"/>
          <w:iCs/>
        </w:rPr>
        <w:t xml:space="preserve">el alcance, los resultados y </w:t>
      </w:r>
      <w:r w:rsidR="009E41F0" w:rsidRPr="00EE347B">
        <w:rPr>
          <w:rFonts w:ascii="Calibri" w:hAnsi="Calibri" w:cs="Calibri"/>
          <w:iCs/>
        </w:rPr>
        <w:t>el impacto del PROCIT</w:t>
      </w:r>
      <w:r w:rsidR="00F3538C">
        <w:rPr>
          <w:rFonts w:ascii="Calibri" w:hAnsi="Calibri" w:cs="Calibri"/>
          <w:iCs/>
        </w:rPr>
        <w:t xml:space="preserve">, así como también </w:t>
      </w:r>
      <w:r w:rsidR="009E41F0" w:rsidRPr="00EE347B">
        <w:rPr>
          <w:rFonts w:ascii="Calibri" w:hAnsi="Calibri" w:cs="Calibri"/>
          <w:iCs/>
        </w:rPr>
        <w:t>la estrategia adoptada para su implementación y posterior divulgación de resultados, a los fines de extraer enseñanzas que permitan realizar ajustes al diseño y proceso de implementación de</w:t>
      </w:r>
      <w:r w:rsidR="00EA4A90" w:rsidRPr="00EE347B">
        <w:rPr>
          <w:rFonts w:ascii="Calibri" w:hAnsi="Calibri" w:cs="Calibri"/>
          <w:iCs/>
        </w:rPr>
        <w:t xml:space="preserve"> futuros programas</w:t>
      </w:r>
      <w:r>
        <w:rPr>
          <w:rFonts w:ascii="Calibri" w:hAnsi="Calibri" w:cs="Calibri"/>
          <w:iCs/>
        </w:rPr>
        <w:t>.</w:t>
      </w:r>
    </w:p>
    <w:p w:rsidR="009E41F0" w:rsidRPr="00B524B8" w:rsidRDefault="009E41F0" w:rsidP="0042242F">
      <w:pPr>
        <w:pStyle w:val="ListParagraph"/>
        <w:spacing w:before="120" w:after="120" w:line="288" w:lineRule="auto"/>
        <w:ind w:left="0"/>
        <w:jc w:val="both"/>
        <w:rPr>
          <w:rFonts w:ascii="Calibri" w:hAnsi="Calibri" w:cs="Calibri"/>
        </w:rPr>
      </w:pPr>
      <w:r w:rsidRPr="00B524B8">
        <w:rPr>
          <w:rFonts w:ascii="Calibri" w:hAnsi="Calibri" w:cs="Calibri"/>
        </w:rPr>
        <w:t>Específicamente, se plantearon tres objetivos</w:t>
      </w:r>
      <w:r w:rsidR="00EE347B">
        <w:rPr>
          <w:rFonts w:ascii="Calibri" w:hAnsi="Calibri" w:cs="Calibri"/>
        </w:rPr>
        <w:t xml:space="preserve"> para valorar este Programa</w:t>
      </w:r>
      <w:r w:rsidRPr="00B524B8">
        <w:rPr>
          <w:rFonts w:ascii="Calibri" w:hAnsi="Calibri" w:cs="Calibri"/>
        </w:rPr>
        <w:t>:</w:t>
      </w:r>
    </w:p>
    <w:p w:rsidR="009E41F0" w:rsidRPr="00B524B8" w:rsidRDefault="009E41F0" w:rsidP="0042242F">
      <w:pPr>
        <w:autoSpaceDE w:val="0"/>
        <w:autoSpaceDN w:val="0"/>
        <w:adjustRightInd w:val="0"/>
        <w:spacing w:before="120" w:after="120" w:line="288" w:lineRule="auto"/>
        <w:jc w:val="both"/>
        <w:rPr>
          <w:rFonts w:ascii="Calibri" w:hAnsi="Calibri" w:cs="Calibri"/>
          <w:color w:val="000000"/>
          <w:lang w:val="es-AR" w:eastAsia="es-AR"/>
        </w:rPr>
      </w:pPr>
      <w:r w:rsidRPr="00B524B8">
        <w:rPr>
          <w:rFonts w:ascii="Calibri" w:hAnsi="Calibri" w:cs="Calibri"/>
          <w:color w:val="000000"/>
          <w:lang w:val="es-AR" w:eastAsia="es-AR"/>
        </w:rPr>
        <w:lastRenderedPageBreak/>
        <w:t xml:space="preserve">a. Evaluar el nivel de cumplimiento de las metas establecidas para el PROCIT y analizar los desvíos y sus posibles causas a nivel de cada uno de sus componentes e instrumentos, así como el impacto real y potencial de los mismos, especificando, si existieran, particularidades por sectores de producción y/o áreas del conocimiento.  </w:t>
      </w:r>
    </w:p>
    <w:p w:rsidR="009E41F0" w:rsidRPr="00B524B8" w:rsidRDefault="009E41F0" w:rsidP="0042242F">
      <w:pPr>
        <w:autoSpaceDE w:val="0"/>
        <w:autoSpaceDN w:val="0"/>
        <w:adjustRightInd w:val="0"/>
        <w:spacing w:before="120" w:after="120" w:line="288" w:lineRule="auto"/>
        <w:jc w:val="both"/>
        <w:rPr>
          <w:rFonts w:ascii="Calibri" w:hAnsi="Calibri" w:cs="Calibri"/>
          <w:color w:val="000000"/>
          <w:lang w:val="es-AR" w:eastAsia="es-AR"/>
        </w:rPr>
      </w:pPr>
      <w:r w:rsidRPr="00B524B8">
        <w:rPr>
          <w:rFonts w:ascii="Calibri" w:hAnsi="Calibri" w:cs="Calibri"/>
          <w:color w:val="000000"/>
          <w:lang w:val="es-AR" w:eastAsia="es-AR"/>
        </w:rPr>
        <w:t xml:space="preserve">b. Realizar un análisis crítico de la metodología aplicada para implementar y gestionar el PROCIT y de su coherencia y adecuación con los resultados e impactos que promueven, a nivel de cada uno de sus subcomponentes. En particular, realizar un análisis de los sistemas de información, seguimiento y evaluación del PROCIT. </w:t>
      </w:r>
    </w:p>
    <w:p w:rsidR="009E41F0" w:rsidRPr="00B524B8" w:rsidRDefault="009E41F0" w:rsidP="0042242F">
      <w:pPr>
        <w:pStyle w:val="ListParagraph"/>
        <w:spacing w:before="120" w:after="120" w:line="288" w:lineRule="auto"/>
        <w:ind w:left="0"/>
        <w:jc w:val="both"/>
        <w:rPr>
          <w:rFonts w:ascii="Calibri" w:eastAsia="Calibri" w:hAnsi="Calibri" w:cs="Calibri"/>
          <w:color w:val="000000"/>
          <w:lang w:val="es-AR" w:eastAsia="es-AR"/>
        </w:rPr>
      </w:pPr>
      <w:r w:rsidRPr="00B524B8">
        <w:rPr>
          <w:rFonts w:ascii="Calibri" w:eastAsia="Calibri" w:hAnsi="Calibri" w:cs="Calibri"/>
          <w:color w:val="000000"/>
          <w:lang w:val="es-AR" w:eastAsia="es-AR"/>
        </w:rPr>
        <w:t>c. Identificar lecciones aprendidas y recomendaciones de política a partir de la evaluación del PROCIT. Proponer correcciones y/o ajustes para los procesos de diseño y mejora en la implementación de este tipo de Programas y en los sistemas de información seguimiento y evaluación tendientes a incrementar su eficiencia, eficacia e impacto.</w:t>
      </w:r>
    </w:p>
    <w:p w:rsidR="002A2394" w:rsidRPr="00C63071" w:rsidRDefault="009E41F0" w:rsidP="00600B9C">
      <w:pPr>
        <w:autoSpaceDE w:val="0"/>
        <w:autoSpaceDN w:val="0"/>
        <w:adjustRightInd w:val="0"/>
        <w:spacing w:before="120" w:after="120" w:line="288" w:lineRule="auto"/>
        <w:jc w:val="both"/>
        <w:rPr>
          <w:rFonts w:ascii="Calibri" w:hAnsi="Calibri" w:cs="Calibri"/>
          <w:color w:val="000000"/>
          <w:lang w:val="es-AR" w:eastAsia="es-AR"/>
        </w:rPr>
      </w:pPr>
      <w:r w:rsidRPr="0042242F">
        <w:rPr>
          <w:rFonts w:ascii="Calibri" w:hAnsi="Calibri" w:cs="Calibri"/>
          <w:color w:val="000000"/>
          <w:lang w:val="es-AR" w:eastAsia="es-AR"/>
        </w:rPr>
        <w:t xml:space="preserve">Para alcanzar estos objetivos, se diseñó una estrategia metodológica </w:t>
      </w:r>
      <w:r w:rsidR="002A2394" w:rsidRPr="0042242F">
        <w:rPr>
          <w:rFonts w:ascii="Calibri" w:hAnsi="Calibri" w:cs="Calibri"/>
          <w:color w:val="000000"/>
          <w:lang w:val="es-AR" w:eastAsia="es-AR"/>
        </w:rPr>
        <w:t>de triangulación de métodos, considerando que tanto el enfoque cuantitativo como el cualitativo son necesarios para realizar una valoración integral del PROCIT. Para ello, se diseñaron e implementaron instrumentos para recolectar y analizar la información desde ambas perspectivas</w:t>
      </w:r>
      <w:r w:rsidR="00600B9C">
        <w:rPr>
          <w:rFonts w:ascii="Calibri" w:hAnsi="Calibri" w:cs="Calibri"/>
          <w:color w:val="000000"/>
          <w:lang w:val="es-AR" w:eastAsia="es-AR"/>
        </w:rPr>
        <w:t>.</w:t>
      </w:r>
    </w:p>
    <w:p w:rsidR="00745164" w:rsidRDefault="009E41F0" w:rsidP="000B7CA3">
      <w:pPr>
        <w:autoSpaceDE w:val="0"/>
        <w:autoSpaceDN w:val="0"/>
        <w:adjustRightInd w:val="0"/>
        <w:spacing w:before="120" w:after="120" w:line="288" w:lineRule="auto"/>
        <w:jc w:val="both"/>
        <w:rPr>
          <w:rFonts w:ascii="Calibri" w:hAnsi="Calibri" w:cs="Calibri"/>
          <w:color w:val="000000"/>
          <w:lang w:val="es-AR" w:eastAsia="es-AR"/>
        </w:rPr>
      </w:pPr>
      <w:r w:rsidRPr="0042242F">
        <w:rPr>
          <w:rFonts w:ascii="Calibri" w:hAnsi="Calibri" w:cs="Calibri"/>
          <w:color w:val="000000"/>
          <w:lang w:val="es-AR" w:eastAsia="es-AR"/>
        </w:rPr>
        <w:t>A los fines de propiciar una mejor organización y comprensión de los resultados obtenidos, el presente informe se es</w:t>
      </w:r>
      <w:r w:rsidR="0042242F">
        <w:rPr>
          <w:rFonts w:ascii="Calibri" w:hAnsi="Calibri" w:cs="Calibri"/>
          <w:color w:val="000000"/>
          <w:lang w:val="es-AR" w:eastAsia="es-AR"/>
        </w:rPr>
        <w:t>tructura de la siguiente manera:</w:t>
      </w:r>
    </w:p>
    <w:p w:rsidR="000B7CA3" w:rsidRDefault="00745164" w:rsidP="000B7CA3">
      <w:pPr>
        <w:autoSpaceDE w:val="0"/>
        <w:autoSpaceDN w:val="0"/>
        <w:adjustRightInd w:val="0"/>
        <w:spacing w:before="120" w:after="120" w:line="288" w:lineRule="auto"/>
        <w:jc w:val="both"/>
        <w:rPr>
          <w:rFonts w:ascii="Calibri" w:hAnsi="Calibri" w:cs="Calibri"/>
          <w:color w:val="000000"/>
          <w:lang w:val="es-AR" w:eastAsia="es-AR"/>
        </w:rPr>
      </w:pPr>
      <w:r>
        <w:rPr>
          <w:rFonts w:ascii="Calibri" w:hAnsi="Calibri" w:cs="Calibri"/>
          <w:color w:val="000000"/>
          <w:lang w:val="es-AR" w:eastAsia="es-AR"/>
        </w:rPr>
        <w:t>En primer lugar, se p</w:t>
      </w:r>
      <w:r w:rsidR="003D7927">
        <w:rPr>
          <w:rFonts w:ascii="Calibri" w:hAnsi="Calibri" w:cs="Calibri"/>
          <w:color w:val="000000"/>
          <w:lang w:val="es-AR" w:eastAsia="es-AR"/>
        </w:rPr>
        <w:t>resenta el contexto económico e</w:t>
      </w:r>
      <w:r>
        <w:rPr>
          <w:rFonts w:ascii="Calibri" w:hAnsi="Calibri" w:cs="Calibri"/>
          <w:color w:val="000000"/>
          <w:lang w:val="es-AR" w:eastAsia="es-AR"/>
        </w:rPr>
        <w:t xml:space="preserve"> institucional de la creación del PROCIT, incluyendo un análisis de los desafíos que motivaron el Programa y una caracterización del mismo.</w:t>
      </w:r>
    </w:p>
    <w:p w:rsidR="00745164" w:rsidRDefault="00745164" w:rsidP="000B7CA3">
      <w:pPr>
        <w:autoSpaceDE w:val="0"/>
        <w:autoSpaceDN w:val="0"/>
        <w:adjustRightInd w:val="0"/>
        <w:spacing w:before="120" w:after="120" w:line="288" w:lineRule="auto"/>
        <w:jc w:val="both"/>
        <w:rPr>
          <w:rFonts w:ascii="Calibri" w:hAnsi="Calibri" w:cs="Calibri"/>
          <w:color w:val="000000"/>
          <w:lang w:val="es-AR" w:eastAsia="es-AR"/>
        </w:rPr>
      </w:pPr>
      <w:r>
        <w:rPr>
          <w:rFonts w:ascii="Calibri" w:hAnsi="Calibri" w:cs="Calibri"/>
          <w:color w:val="000000"/>
          <w:lang w:val="es-AR" w:eastAsia="es-AR"/>
        </w:rPr>
        <w:t>En segundo lugar, se desarrolla el marco conceptual a partir del cual se realiza la evaluación del PROCIT, y se desarrolla la estrategia metodológica llevada a cabo para la recolección de información, y para su procesamiento y análisis.</w:t>
      </w:r>
    </w:p>
    <w:p w:rsidR="00745164" w:rsidRDefault="00745164" w:rsidP="000B7CA3">
      <w:pPr>
        <w:autoSpaceDE w:val="0"/>
        <w:autoSpaceDN w:val="0"/>
        <w:adjustRightInd w:val="0"/>
        <w:spacing w:before="120" w:after="120" w:line="288" w:lineRule="auto"/>
        <w:jc w:val="both"/>
        <w:rPr>
          <w:rFonts w:ascii="Calibri" w:hAnsi="Calibri" w:cs="Calibri"/>
          <w:color w:val="000000"/>
          <w:lang w:val="es-AR" w:eastAsia="es-AR"/>
        </w:rPr>
      </w:pPr>
      <w:r>
        <w:rPr>
          <w:rFonts w:ascii="Calibri" w:hAnsi="Calibri" w:cs="Calibri"/>
          <w:color w:val="000000"/>
          <w:lang w:val="es-AR" w:eastAsia="es-AR"/>
        </w:rPr>
        <w:t>A continuación se presentan los logros del programa por componentes y subcomponentes. Para cada uno de ellos se realiza una descripción de sus objetivos, características, montos a financiar y destinatarios, para luego analizar su alcance, resultado</w:t>
      </w:r>
      <w:r w:rsidR="003D7927">
        <w:rPr>
          <w:rFonts w:ascii="Calibri" w:hAnsi="Calibri" w:cs="Calibri"/>
          <w:color w:val="000000"/>
          <w:lang w:val="es-AR" w:eastAsia="es-AR"/>
        </w:rPr>
        <w:t>s y plantear algunas recomendaciones</w:t>
      </w:r>
      <w:r>
        <w:rPr>
          <w:rFonts w:ascii="Calibri" w:hAnsi="Calibri" w:cs="Calibri"/>
          <w:color w:val="000000"/>
          <w:lang w:val="es-AR" w:eastAsia="es-AR"/>
        </w:rPr>
        <w:t xml:space="preserve"> de mejora.</w:t>
      </w:r>
    </w:p>
    <w:p w:rsidR="00745164" w:rsidRDefault="00745164" w:rsidP="000B7CA3">
      <w:pPr>
        <w:autoSpaceDE w:val="0"/>
        <w:autoSpaceDN w:val="0"/>
        <w:adjustRightInd w:val="0"/>
        <w:spacing w:before="120" w:after="120" w:line="288" w:lineRule="auto"/>
        <w:jc w:val="both"/>
        <w:rPr>
          <w:rFonts w:ascii="Calibri" w:hAnsi="Calibri" w:cs="Calibri"/>
          <w:color w:val="000000"/>
          <w:lang w:val="es-AR" w:eastAsia="es-AR"/>
        </w:rPr>
      </w:pPr>
      <w:r>
        <w:rPr>
          <w:rFonts w:ascii="Calibri" w:hAnsi="Calibri" w:cs="Calibri"/>
          <w:color w:val="000000"/>
          <w:lang w:val="es-AR" w:eastAsia="es-AR"/>
        </w:rPr>
        <w:t>Seguidamente se analizan los logros del PROCIT desde la perspectiva de los procesos y de</w:t>
      </w:r>
      <w:r w:rsidR="003D7927">
        <w:rPr>
          <w:rFonts w:ascii="Calibri" w:hAnsi="Calibri" w:cs="Calibri"/>
          <w:color w:val="000000"/>
          <w:lang w:val="es-AR" w:eastAsia="es-AR"/>
        </w:rPr>
        <w:t>l diseño organizacional de la Unidad Ejecutora</w:t>
      </w:r>
      <w:r>
        <w:rPr>
          <w:rFonts w:ascii="Calibri" w:hAnsi="Calibri" w:cs="Calibri"/>
          <w:color w:val="000000"/>
          <w:lang w:val="es-AR" w:eastAsia="es-AR"/>
        </w:rPr>
        <w:t>.</w:t>
      </w:r>
    </w:p>
    <w:p w:rsidR="00745164" w:rsidRPr="00745164" w:rsidRDefault="00745164" w:rsidP="000B7CA3">
      <w:pPr>
        <w:autoSpaceDE w:val="0"/>
        <w:autoSpaceDN w:val="0"/>
        <w:adjustRightInd w:val="0"/>
        <w:spacing w:before="120" w:after="120" w:line="288" w:lineRule="auto"/>
        <w:jc w:val="both"/>
        <w:rPr>
          <w:rFonts w:ascii="Calibri" w:hAnsi="Calibri" w:cs="Calibri"/>
          <w:color w:val="000000"/>
          <w:lang w:val="es-AR" w:eastAsia="es-AR"/>
        </w:rPr>
      </w:pPr>
      <w:r>
        <w:rPr>
          <w:rFonts w:ascii="Calibri" w:hAnsi="Calibri" w:cs="Calibri"/>
          <w:color w:val="000000"/>
          <w:lang w:val="es-AR" w:eastAsia="es-AR"/>
        </w:rPr>
        <w:t>Finalmente, se presentan las conclusiones, lecciones aprendidas y recomendaciones.</w:t>
      </w:r>
    </w:p>
    <w:p w:rsidR="00A1343F" w:rsidRDefault="00A1343F" w:rsidP="000B7CA3">
      <w:pPr>
        <w:autoSpaceDE w:val="0"/>
        <w:autoSpaceDN w:val="0"/>
        <w:adjustRightInd w:val="0"/>
        <w:spacing w:before="120" w:after="120" w:line="288" w:lineRule="auto"/>
        <w:jc w:val="both"/>
        <w:rPr>
          <w:rFonts w:ascii="Cambria" w:eastAsia="Times New Roman" w:hAnsi="Cambria"/>
          <w:b/>
          <w:color w:val="244061"/>
          <w:sz w:val="28"/>
          <w:szCs w:val="28"/>
          <w:lang w:val="es-AR" w:eastAsia="es-AR"/>
        </w:rPr>
      </w:pPr>
    </w:p>
    <w:p w:rsidR="00E66944" w:rsidRPr="007D01EB" w:rsidRDefault="00D01ADC" w:rsidP="00F1655F">
      <w:pPr>
        <w:pStyle w:val="Heading1"/>
      </w:pPr>
      <w:bookmarkStart w:id="6" w:name="_Toc375211955"/>
      <w:r>
        <w:lastRenderedPageBreak/>
        <w:t>El PROCIT</w:t>
      </w:r>
      <w:r w:rsidR="00AB134F">
        <w:t xml:space="preserve"> y su contexto económico e institucional</w:t>
      </w:r>
      <w:bookmarkEnd w:id="6"/>
      <w:r w:rsidR="00E66944" w:rsidRPr="007D01EB">
        <w:t xml:space="preserve"> </w:t>
      </w:r>
    </w:p>
    <w:p w:rsidR="00A1343F" w:rsidRPr="00FE4C2B" w:rsidRDefault="00FE4C2B" w:rsidP="00A1343F">
      <w:pPr>
        <w:pStyle w:val="ListParagraph"/>
        <w:spacing w:line="288" w:lineRule="auto"/>
        <w:ind w:left="0"/>
        <w:jc w:val="both"/>
        <w:rPr>
          <w:rFonts w:ascii="Calibri" w:eastAsia="Calibri" w:hAnsi="Calibri" w:cs="Calibri"/>
          <w:lang w:val="es-AR" w:eastAsia="es-AR"/>
        </w:rPr>
      </w:pPr>
      <w:bookmarkStart w:id="7" w:name="_Toc343767257"/>
      <w:r w:rsidRPr="00FE4C2B">
        <w:rPr>
          <w:rFonts w:ascii="Calibri" w:eastAsia="Calibri" w:hAnsi="Calibri" w:cs="Calibri"/>
          <w:lang w:val="es-AR" w:eastAsia="es-AR"/>
        </w:rPr>
        <w:t xml:space="preserve">En este apartado se presenta una descripción y valoración del contexto económico y sectorial de Paraguay, de manera comparada con algunos países de la región, así como también </w:t>
      </w:r>
      <w:r w:rsidR="0076647A" w:rsidRPr="00FE4C2B">
        <w:rPr>
          <w:rFonts w:ascii="Calibri" w:eastAsia="Calibri" w:hAnsi="Calibri" w:cs="Calibri"/>
          <w:lang w:val="es-AR" w:eastAsia="es-AR"/>
        </w:rPr>
        <w:t xml:space="preserve">el contexto </w:t>
      </w:r>
      <w:r>
        <w:rPr>
          <w:rFonts w:ascii="Calibri" w:eastAsia="Calibri" w:hAnsi="Calibri" w:cs="Calibri"/>
          <w:lang w:val="es-AR" w:eastAsia="es-AR"/>
        </w:rPr>
        <w:t>político-</w:t>
      </w:r>
      <w:r w:rsidR="0076647A" w:rsidRPr="00FE4C2B">
        <w:rPr>
          <w:rFonts w:ascii="Calibri" w:eastAsia="Calibri" w:hAnsi="Calibri" w:cs="Calibri"/>
          <w:lang w:val="es-AR" w:eastAsia="es-AR"/>
        </w:rPr>
        <w:t>institucional</w:t>
      </w:r>
      <w:r>
        <w:rPr>
          <w:rFonts w:ascii="Calibri" w:eastAsia="Calibri" w:hAnsi="Calibri" w:cs="Calibri"/>
          <w:lang w:val="es-AR" w:eastAsia="es-AR"/>
        </w:rPr>
        <w:t xml:space="preserve"> </w:t>
      </w:r>
      <w:r w:rsidRPr="00FE4C2B">
        <w:rPr>
          <w:rFonts w:ascii="Calibri" w:eastAsia="Calibri" w:hAnsi="Calibri" w:cs="Calibri"/>
          <w:lang w:val="es-AR" w:eastAsia="es-AR"/>
        </w:rPr>
        <w:t>en el cual se desarrolló el programa. A continuación, se presentan los principales desafíos que motivaron el PRO</w:t>
      </w:r>
      <w:r w:rsidR="007D0E98">
        <w:rPr>
          <w:rFonts w:ascii="Calibri" w:eastAsia="Calibri" w:hAnsi="Calibri" w:cs="Calibri"/>
          <w:lang w:val="es-AR" w:eastAsia="es-AR"/>
        </w:rPr>
        <w:t>CIT, para finalmente</w:t>
      </w:r>
      <w:r w:rsidRPr="00FE4C2B">
        <w:rPr>
          <w:rFonts w:ascii="Calibri" w:eastAsia="Calibri" w:hAnsi="Calibri" w:cs="Calibri"/>
          <w:lang w:val="es-AR" w:eastAsia="es-AR"/>
        </w:rPr>
        <w:t xml:space="preserve"> describir el programa tal como fue diseñado y puesto en funcionamiento.</w:t>
      </w:r>
    </w:p>
    <w:p w:rsidR="00097D6A" w:rsidRPr="00097D6A" w:rsidRDefault="00097D6A" w:rsidP="002D7EE9">
      <w:pPr>
        <w:pStyle w:val="ListParagraph"/>
        <w:keepNext/>
        <w:widowControl w:val="0"/>
        <w:numPr>
          <w:ilvl w:val="0"/>
          <w:numId w:val="4"/>
        </w:numPr>
        <w:tabs>
          <w:tab w:val="left" w:pos="0"/>
        </w:tabs>
        <w:spacing w:after="240" w:line="276" w:lineRule="auto"/>
        <w:contextualSpacing w:val="0"/>
        <w:jc w:val="both"/>
        <w:outlineLvl w:val="2"/>
        <w:rPr>
          <w:rFonts w:ascii="Calibri" w:hAnsi="Calibri" w:cs="Calibri"/>
          <w:b/>
          <w:i/>
          <w:vanish/>
          <w:lang w:val="es-ES_tradnl" w:eastAsia="en-US"/>
        </w:rPr>
      </w:pPr>
      <w:bookmarkStart w:id="8" w:name="_Toc372633743"/>
      <w:bookmarkStart w:id="9" w:name="_Toc372635358"/>
      <w:bookmarkStart w:id="10" w:name="_Toc372925326"/>
      <w:bookmarkStart w:id="11" w:name="_Toc372928064"/>
      <w:bookmarkStart w:id="12" w:name="_Toc372928371"/>
      <w:bookmarkStart w:id="13" w:name="_Toc372972616"/>
      <w:bookmarkStart w:id="14" w:name="_Toc373246210"/>
      <w:bookmarkStart w:id="15" w:name="_Toc373422215"/>
      <w:bookmarkStart w:id="16" w:name="_Toc373431251"/>
      <w:bookmarkStart w:id="17" w:name="_Toc373434387"/>
      <w:bookmarkStart w:id="18" w:name="_Toc373503962"/>
      <w:bookmarkStart w:id="19" w:name="_Toc373504409"/>
      <w:bookmarkStart w:id="20" w:name="_Toc375091176"/>
      <w:bookmarkStart w:id="21" w:name="_Toc375092756"/>
      <w:bookmarkStart w:id="22" w:name="_Toc375148573"/>
      <w:bookmarkStart w:id="23" w:name="_Toc375150245"/>
      <w:bookmarkStart w:id="24" w:name="_Toc37521195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097D6A" w:rsidRPr="00097D6A" w:rsidRDefault="00097D6A" w:rsidP="002D7EE9">
      <w:pPr>
        <w:pStyle w:val="ListParagraph"/>
        <w:keepNext/>
        <w:widowControl w:val="0"/>
        <w:numPr>
          <w:ilvl w:val="0"/>
          <w:numId w:val="4"/>
        </w:numPr>
        <w:tabs>
          <w:tab w:val="left" w:pos="0"/>
        </w:tabs>
        <w:spacing w:after="240" w:line="276" w:lineRule="auto"/>
        <w:contextualSpacing w:val="0"/>
        <w:jc w:val="both"/>
        <w:outlineLvl w:val="2"/>
        <w:rPr>
          <w:rFonts w:ascii="Calibri" w:hAnsi="Calibri" w:cs="Calibri"/>
          <w:b/>
          <w:i/>
          <w:vanish/>
          <w:lang w:val="es-ES_tradnl" w:eastAsia="en-US"/>
        </w:rPr>
      </w:pPr>
      <w:bookmarkStart w:id="25" w:name="_Toc372633744"/>
      <w:bookmarkStart w:id="26" w:name="_Toc372635359"/>
      <w:bookmarkStart w:id="27" w:name="_Toc372925327"/>
      <w:bookmarkStart w:id="28" w:name="_Toc372928065"/>
      <w:bookmarkStart w:id="29" w:name="_Toc372928372"/>
      <w:bookmarkStart w:id="30" w:name="_Toc372972617"/>
      <w:bookmarkStart w:id="31" w:name="_Toc373246211"/>
      <w:bookmarkStart w:id="32" w:name="_Toc373422216"/>
      <w:bookmarkStart w:id="33" w:name="_Toc373431252"/>
      <w:bookmarkStart w:id="34" w:name="_Toc373434388"/>
      <w:bookmarkStart w:id="35" w:name="_Toc373503963"/>
      <w:bookmarkStart w:id="36" w:name="_Toc373504410"/>
      <w:bookmarkStart w:id="37" w:name="_Toc375091177"/>
      <w:bookmarkStart w:id="38" w:name="_Toc375092757"/>
      <w:bookmarkStart w:id="39" w:name="_Toc375148574"/>
      <w:bookmarkStart w:id="40" w:name="_Toc375150246"/>
      <w:bookmarkStart w:id="41" w:name="_Toc37521195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097D6A" w:rsidRPr="00097D6A" w:rsidRDefault="00097D6A" w:rsidP="002D7EE9">
      <w:pPr>
        <w:pStyle w:val="ListParagraph"/>
        <w:keepNext/>
        <w:widowControl w:val="0"/>
        <w:numPr>
          <w:ilvl w:val="0"/>
          <w:numId w:val="4"/>
        </w:numPr>
        <w:tabs>
          <w:tab w:val="left" w:pos="0"/>
        </w:tabs>
        <w:spacing w:after="240" w:line="276" w:lineRule="auto"/>
        <w:contextualSpacing w:val="0"/>
        <w:jc w:val="both"/>
        <w:outlineLvl w:val="2"/>
        <w:rPr>
          <w:rFonts w:ascii="Calibri" w:hAnsi="Calibri" w:cs="Calibri"/>
          <w:b/>
          <w:i/>
          <w:vanish/>
          <w:lang w:val="es-ES_tradnl" w:eastAsia="en-US"/>
        </w:rPr>
      </w:pPr>
      <w:bookmarkStart w:id="42" w:name="_Toc372633745"/>
      <w:bookmarkStart w:id="43" w:name="_Toc372635360"/>
      <w:bookmarkStart w:id="44" w:name="_Toc372925328"/>
      <w:bookmarkStart w:id="45" w:name="_Toc372928066"/>
      <w:bookmarkStart w:id="46" w:name="_Toc372928373"/>
      <w:bookmarkStart w:id="47" w:name="_Toc372972618"/>
      <w:bookmarkStart w:id="48" w:name="_Toc373246212"/>
      <w:bookmarkStart w:id="49" w:name="_Toc373422217"/>
      <w:bookmarkStart w:id="50" w:name="_Toc373431253"/>
      <w:bookmarkStart w:id="51" w:name="_Toc373434389"/>
      <w:bookmarkStart w:id="52" w:name="_Toc373503964"/>
      <w:bookmarkStart w:id="53" w:name="_Toc373504411"/>
      <w:bookmarkStart w:id="54" w:name="_Toc375091178"/>
      <w:bookmarkStart w:id="55" w:name="_Toc375092758"/>
      <w:bookmarkStart w:id="56" w:name="_Toc375148575"/>
      <w:bookmarkStart w:id="57" w:name="_Toc375150247"/>
      <w:bookmarkStart w:id="58" w:name="_Toc375211958"/>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097D6A" w:rsidRDefault="00097D6A" w:rsidP="00097D6A">
      <w:pPr>
        <w:pStyle w:val="Heading2"/>
      </w:pPr>
      <w:bookmarkStart w:id="59" w:name="_Toc375211959"/>
      <w:r>
        <w:t>Contexto económico y sectorial</w:t>
      </w:r>
      <w:bookmarkEnd w:id="59"/>
    </w:p>
    <w:p w:rsidR="0076647A" w:rsidRPr="0076647A" w:rsidRDefault="0076647A" w:rsidP="0076647A">
      <w:pPr>
        <w:pStyle w:val="ListParagraph"/>
        <w:spacing w:line="288" w:lineRule="auto"/>
        <w:ind w:left="0"/>
        <w:jc w:val="both"/>
        <w:rPr>
          <w:rFonts w:ascii="Calibri" w:eastAsia="Calibri" w:hAnsi="Calibri" w:cs="Calibri"/>
          <w:lang w:val="es-AR" w:eastAsia="es-AR"/>
        </w:rPr>
      </w:pPr>
      <w:r w:rsidRPr="0076647A">
        <w:rPr>
          <w:rFonts w:asciiTheme="minorHAnsi" w:eastAsia="Calibri" w:hAnsiTheme="minorHAnsi" w:cstheme="minorHAnsi"/>
          <w:lang w:val="es-AR" w:eastAsia="es-AR"/>
        </w:rPr>
        <w:t>Los principales indicadores económicos de Paraguay ponen en evidencia un importante</w:t>
      </w:r>
      <w:r w:rsidRPr="0076647A">
        <w:rPr>
          <w:rFonts w:ascii="Calibri" w:eastAsia="Calibri" w:hAnsi="Calibri" w:cs="Calibri"/>
          <w:lang w:val="es-AR" w:eastAsia="es-AR"/>
        </w:rPr>
        <w:t xml:space="preserve"> grado de avance del país en los últimos años, principalmente a partir del año 2007, coincidiendo esto con el inicio del PROCIT. Esto indica que el programa se dio en un contexto de crecimiento en el país. </w:t>
      </w:r>
      <w:r w:rsidR="00FE4C2B">
        <w:rPr>
          <w:rFonts w:ascii="Calibri" w:eastAsia="Calibri" w:hAnsi="Calibri" w:cs="Calibri"/>
          <w:lang w:val="es-AR" w:eastAsia="es-AR"/>
        </w:rPr>
        <w:t>El gráfico 3.1</w:t>
      </w:r>
      <w:r w:rsidRPr="0076647A">
        <w:rPr>
          <w:rFonts w:ascii="Calibri" w:eastAsia="Calibri" w:hAnsi="Calibri" w:cs="Calibri"/>
          <w:lang w:val="es-AR" w:eastAsia="es-AR"/>
        </w:rPr>
        <w:t xml:space="preserve"> muestra la variación del PBI real en el período 2003 – 2012. El incremento del PBI en los años 2007 y 2008 fue del 5,4% y el 6,4% respectivamente, observándose una caída en 2009, la cual fue rápidamente recuperada en 2010 con una fuerte tasa de crecimiento de 13,1%. Este avance en los niveles de producto bruto fue acompañado por un buen contexto macroeconómico que muestra estabilidad en las tasas de inflación en el período 2007 – 2012, fluctuando entre el 2% y el 8% (gráfico 3.2), y reducciones en la tasa de desempleo. Sin embargo, cabe destacar que Paraguay cuenta con uno de los productos per cápita más bajos de la región, por debajo de Chile, Perú, Uruguay y Panamá (países seleccionados para realizar el análisis comparativo).</w:t>
      </w:r>
    </w:p>
    <w:p w:rsidR="007D0E98" w:rsidRDefault="007D0E98" w:rsidP="0076647A">
      <w:pPr>
        <w:spacing w:line="276" w:lineRule="auto"/>
        <w:jc w:val="center"/>
        <w:rPr>
          <w:rFonts w:ascii="Calibri" w:hAnsi="Calibri" w:cs="Calibri"/>
          <w:b/>
        </w:rPr>
      </w:pPr>
    </w:p>
    <w:p w:rsidR="0076647A" w:rsidRPr="0076647A" w:rsidRDefault="0076647A" w:rsidP="0076647A">
      <w:pPr>
        <w:spacing w:line="276" w:lineRule="auto"/>
        <w:jc w:val="center"/>
        <w:rPr>
          <w:rFonts w:ascii="Calibri" w:hAnsi="Calibri" w:cs="Calibri"/>
          <w:b/>
        </w:rPr>
      </w:pPr>
      <w:r w:rsidRPr="0076647A">
        <w:rPr>
          <w:rFonts w:ascii="Calibri" w:hAnsi="Calibri" w:cs="Calibri"/>
          <w:b/>
        </w:rPr>
        <w:t>Gráfico 3.1: Variación del PBI real</w:t>
      </w:r>
    </w:p>
    <w:p w:rsidR="0076647A" w:rsidRPr="0076647A" w:rsidRDefault="0076647A" w:rsidP="0076647A">
      <w:pPr>
        <w:spacing w:line="288" w:lineRule="auto"/>
        <w:jc w:val="center"/>
        <w:rPr>
          <w:rFonts w:ascii="Arial" w:hAnsi="Arial" w:cs="Arial"/>
          <w:sz w:val="20"/>
          <w:szCs w:val="20"/>
        </w:rPr>
      </w:pPr>
      <w:r w:rsidRPr="0076647A">
        <w:rPr>
          <w:noProof/>
          <w:lang w:val="es-ES_tradnl" w:eastAsia="es-ES_tradnl"/>
        </w:rPr>
        <w:drawing>
          <wp:inline distT="0" distB="0" distL="0" distR="0" wp14:anchorId="3EA64BAF" wp14:editId="0CB244DB">
            <wp:extent cx="4133850" cy="2476500"/>
            <wp:effectExtent l="0" t="0" r="0"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3850" cy="2476500"/>
                    </a:xfrm>
                    <a:prstGeom prst="rect">
                      <a:avLst/>
                    </a:prstGeom>
                    <a:noFill/>
                    <a:ln>
                      <a:noFill/>
                    </a:ln>
                  </pic:spPr>
                </pic:pic>
              </a:graphicData>
            </a:graphic>
          </wp:inline>
        </w:drawing>
      </w:r>
    </w:p>
    <w:p w:rsidR="0076647A" w:rsidRPr="004B542B" w:rsidRDefault="0076647A" w:rsidP="005627CA">
      <w:pPr>
        <w:spacing w:after="200" w:line="276" w:lineRule="auto"/>
        <w:ind w:left="1134" w:right="1183"/>
        <w:jc w:val="center"/>
        <w:rPr>
          <w:rFonts w:ascii="Calibri" w:hAnsi="Calibri" w:cs="Calibri"/>
          <w:b/>
          <w:sz w:val="18"/>
          <w:szCs w:val="18"/>
        </w:rPr>
      </w:pPr>
      <w:r w:rsidRPr="004B542B">
        <w:rPr>
          <w:rFonts w:ascii="Calibri" w:hAnsi="Calibri" w:cs="Arial"/>
          <w:sz w:val="18"/>
          <w:szCs w:val="18"/>
        </w:rPr>
        <w:t xml:space="preserve">Fuente: Innovos Group, en base a </w:t>
      </w:r>
      <w:r w:rsidRPr="004B542B">
        <w:rPr>
          <w:rFonts w:ascii="Calibri" w:hAnsi="Calibri" w:cs="Arial"/>
          <w:i/>
          <w:sz w:val="18"/>
          <w:szCs w:val="18"/>
        </w:rPr>
        <w:t>CEI</w:t>
      </w:r>
      <w:r w:rsidRPr="004B542B">
        <w:rPr>
          <w:rFonts w:ascii="Calibri" w:hAnsi="Calibri" w:cs="Calibri"/>
          <w:sz w:val="18"/>
          <w:szCs w:val="18"/>
        </w:rPr>
        <w:t xml:space="preserve"> (Centro de Economía Internacional) - Ministerio de Relaciones Exteriores Argentina</w:t>
      </w:r>
    </w:p>
    <w:p w:rsidR="00FC5F01" w:rsidRDefault="00FC5F01" w:rsidP="0076647A">
      <w:pPr>
        <w:spacing w:line="276" w:lineRule="auto"/>
        <w:jc w:val="center"/>
        <w:rPr>
          <w:rFonts w:ascii="Calibri" w:hAnsi="Calibri" w:cs="Calibri"/>
          <w:b/>
        </w:rPr>
      </w:pPr>
    </w:p>
    <w:p w:rsidR="0076647A" w:rsidRPr="0076647A" w:rsidRDefault="0076647A" w:rsidP="0076647A">
      <w:pPr>
        <w:spacing w:line="276" w:lineRule="auto"/>
        <w:jc w:val="center"/>
        <w:rPr>
          <w:rFonts w:ascii="Calibri" w:hAnsi="Calibri" w:cs="Calibri"/>
          <w:b/>
        </w:rPr>
      </w:pPr>
      <w:r w:rsidRPr="0076647A">
        <w:rPr>
          <w:rFonts w:ascii="Calibri" w:hAnsi="Calibri" w:cs="Calibri"/>
          <w:b/>
        </w:rPr>
        <w:t>Gráfico 3.2: Evolución de la inflación medida por el IPC</w:t>
      </w:r>
    </w:p>
    <w:p w:rsidR="0076647A" w:rsidRPr="0076647A" w:rsidRDefault="0076647A" w:rsidP="0076647A">
      <w:pPr>
        <w:spacing w:line="276" w:lineRule="auto"/>
        <w:jc w:val="center"/>
        <w:rPr>
          <w:rFonts w:ascii="Arial" w:hAnsi="Arial" w:cs="Arial"/>
          <w:sz w:val="16"/>
          <w:szCs w:val="16"/>
        </w:rPr>
      </w:pPr>
      <w:r w:rsidRPr="0076647A">
        <w:rPr>
          <w:noProof/>
          <w:lang w:val="es-ES_tradnl" w:eastAsia="es-ES_tradnl"/>
        </w:rPr>
        <w:drawing>
          <wp:inline distT="0" distB="0" distL="0" distR="0" wp14:anchorId="2E083597" wp14:editId="0BFCA5E5">
            <wp:extent cx="3609975" cy="2164189"/>
            <wp:effectExtent l="0" t="0" r="0" b="762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975" cy="2164189"/>
                    </a:xfrm>
                    <a:prstGeom prst="rect">
                      <a:avLst/>
                    </a:prstGeom>
                    <a:noFill/>
                    <a:ln>
                      <a:noFill/>
                    </a:ln>
                  </pic:spPr>
                </pic:pic>
              </a:graphicData>
            </a:graphic>
          </wp:inline>
        </w:drawing>
      </w:r>
    </w:p>
    <w:p w:rsidR="0076647A" w:rsidRPr="004B542B" w:rsidRDefault="0076647A" w:rsidP="0076647A">
      <w:pPr>
        <w:spacing w:line="276" w:lineRule="auto"/>
        <w:jc w:val="center"/>
        <w:rPr>
          <w:rFonts w:ascii="Calibri" w:hAnsi="Calibri" w:cs="Arial"/>
          <w:sz w:val="18"/>
          <w:szCs w:val="18"/>
        </w:rPr>
      </w:pPr>
      <w:r w:rsidRPr="004B542B">
        <w:rPr>
          <w:rFonts w:ascii="Calibri" w:hAnsi="Calibri" w:cs="Arial"/>
          <w:sz w:val="18"/>
          <w:szCs w:val="18"/>
        </w:rPr>
        <w:t>Fuente: Innovos Group en base a Banco Central del Paraguay</w:t>
      </w:r>
    </w:p>
    <w:p w:rsidR="0076647A" w:rsidRPr="0076647A" w:rsidRDefault="0076647A" w:rsidP="0076647A">
      <w:pPr>
        <w:pStyle w:val="ListParagraph"/>
        <w:spacing w:before="120" w:line="288" w:lineRule="auto"/>
        <w:ind w:left="0"/>
        <w:jc w:val="both"/>
        <w:rPr>
          <w:rFonts w:ascii="Calibri" w:eastAsia="Calibri" w:hAnsi="Calibri" w:cs="Calibri"/>
          <w:lang w:val="es-AR" w:eastAsia="es-AR"/>
        </w:rPr>
      </w:pPr>
      <w:r w:rsidRPr="0076647A">
        <w:rPr>
          <w:rFonts w:ascii="Calibri" w:eastAsia="Calibri" w:hAnsi="Calibri" w:cs="Calibri"/>
          <w:lang w:val="es-AR" w:eastAsia="es-AR"/>
        </w:rPr>
        <w:t xml:space="preserve">El crecimiento fue impulsado, entre otros factores, por el crecimiento en las exportaciones (destacándose las materias primas) y la inversión extranjera directa, estos indicadores muestran un incremento del 208% y del 350% entre 2001 y 2012 respectivamente, tal como se observa en el gráfico 3.3 y el gráfico 3.4. </w:t>
      </w:r>
    </w:p>
    <w:p w:rsidR="0076647A" w:rsidRPr="0076647A" w:rsidRDefault="0076647A" w:rsidP="0076647A">
      <w:pPr>
        <w:spacing w:before="120" w:line="276" w:lineRule="auto"/>
        <w:jc w:val="center"/>
        <w:rPr>
          <w:rFonts w:ascii="Calibri" w:hAnsi="Calibri" w:cs="Calibri"/>
          <w:b/>
        </w:rPr>
      </w:pPr>
      <w:r w:rsidRPr="0076647A">
        <w:rPr>
          <w:rFonts w:ascii="Calibri" w:hAnsi="Calibri" w:cs="Calibri"/>
          <w:b/>
        </w:rPr>
        <w:t>Gráfico 3.3: Evolución de las exportaciones (en millones de U$S)</w:t>
      </w:r>
    </w:p>
    <w:p w:rsidR="0076647A" w:rsidRPr="0076647A" w:rsidRDefault="0076647A" w:rsidP="0076647A">
      <w:pPr>
        <w:spacing w:line="276" w:lineRule="auto"/>
        <w:jc w:val="center"/>
        <w:rPr>
          <w:rFonts w:ascii="Calibri" w:hAnsi="Calibri" w:cs="Calibri"/>
          <w:sz w:val="18"/>
          <w:szCs w:val="18"/>
        </w:rPr>
      </w:pPr>
      <w:r w:rsidRPr="0076647A">
        <w:rPr>
          <w:rFonts w:ascii="Calibri" w:hAnsi="Calibri" w:cs="Calibri"/>
          <w:noProof/>
          <w:sz w:val="18"/>
          <w:szCs w:val="18"/>
          <w:lang w:val="es-ES_tradnl" w:eastAsia="es-ES_tradnl"/>
        </w:rPr>
        <w:drawing>
          <wp:inline distT="0" distB="0" distL="0" distR="0" wp14:anchorId="7674F2F7" wp14:editId="7F99F772">
            <wp:extent cx="3819525" cy="2286000"/>
            <wp:effectExtent l="0" t="0" r="9525"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9525" cy="2286000"/>
                    </a:xfrm>
                    <a:prstGeom prst="rect">
                      <a:avLst/>
                    </a:prstGeom>
                    <a:noFill/>
                    <a:ln>
                      <a:noFill/>
                    </a:ln>
                  </pic:spPr>
                </pic:pic>
              </a:graphicData>
            </a:graphic>
          </wp:inline>
        </w:drawing>
      </w:r>
    </w:p>
    <w:p w:rsidR="0076647A" w:rsidRPr="004B542B" w:rsidRDefault="0076647A" w:rsidP="0076647A">
      <w:pPr>
        <w:spacing w:line="276" w:lineRule="auto"/>
        <w:ind w:left="1418" w:right="1183"/>
        <w:jc w:val="center"/>
        <w:rPr>
          <w:rFonts w:ascii="Calibri" w:hAnsi="Calibri" w:cs="Calibri"/>
          <w:sz w:val="18"/>
          <w:szCs w:val="18"/>
        </w:rPr>
      </w:pPr>
      <w:r w:rsidRPr="004B542B">
        <w:rPr>
          <w:rFonts w:ascii="Calibri" w:hAnsi="Calibri" w:cs="Calibri"/>
          <w:sz w:val="18"/>
          <w:szCs w:val="18"/>
        </w:rPr>
        <w:t>Fuente: Innovos Group en base a CEI (Centro de Economía Internacional) - Ministerio de Relaciones Exteriores Argentina</w:t>
      </w:r>
    </w:p>
    <w:p w:rsidR="0076647A" w:rsidRPr="0076647A" w:rsidRDefault="0076647A" w:rsidP="0076647A">
      <w:pPr>
        <w:spacing w:line="276" w:lineRule="auto"/>
        <w:ind w:left="1418" w:right="1183"/>
        <w:rPr>
          <w:rFonts w:ascii="Calibri" w:hAnsi="Calibri" w:cs="Calibri"/>
          <w:sz w:val="18"/>
          <w:szCs w:val="18"/>
        </w:rPr>
      </w:pPr>
    </w:p>
    <w:p w:rsidR="00B75BEC" w:rsidRDefault="00B75BEC" w:rsidP="0076647A">
      <w:pPr>
        <w:spacing w:line="276" w:lineRule="auto"/>
        <w:jc w:val="center"/>
        <w:rPr>
          <w:rFonts w:ascii="Calibri" w:hAnsi="Calibri" w:cs="Calibri"/>
          <w:b/>
        </w:rPr>
      </w:pPr>
    </w:p>
    <w:p w:rsidR="00B75BEC" w:rsidRDefault="00B75BEC" w:rsidP="0076647A">
      <w:pPr>
        <w:spacing w:line="276" w:lineRule="auto"/>
        <w:jc w:val="center"/>
        <w:rPr>
          <w:rFonts w:ascii="Calibri" w:hAnsi="Calibri" w:cs="Calibri"/>
          <w:b/>
        </w:rPr>
      </w:pPr>
    </w:p>
    <w:p w:rsidR="00B75BEC" w:rsidRDefault="00B75BEC" w:rsidP="0076647A">
      <w:pPr>
        <w:spacing w:line="276" w:lineRule="auto"/>
        <w:jc w:val="center"/>
        <w:rPr>
          <w:rFonts w:ascii="Calibri" w:hAnsi="Calibri" w:cs="Calibri"/>
          <w:b/>
        </w:rPr>
      </w:pPr>
    </w:p>
    <w:p w:rsidR="00B75BEC" w:rsidRDefault="00B75BEC" w:rsidP="0076647A">
      <w:pPr>
        <w:spacing w:line="276" w:lineRule="auto"/>
        <w:jc w:val="center"/>
        <w:rPr>
          <w:rFonts w:ascii="Calibri" w:hAnsi="Calibri" w:cs="Calibri"/>
          <w:b/>
        </w:rPr>
      </w:pPr>
    </w:p>
    <w:p w:rsidR="00B75BEC" w:rsidRDefault="00B75BEC" w:rsidP="0076647A">
      <w:pPr>
        <w:spacing w:line="276" w:lineRule="auto"/>
        <w:jc w:val="center"/>
        <w:rPr>
          <w:rFonts w:ascii="Calibri" w:hAnsi="Calibri" w:cs="Calibri"/>
          <w:b/>
        </w:rPr>
      </w:pPr>
    </w:p>
    <w:p w:rsidR="00B75BEC" w:rsidRDefault="00B75BEC" w:rsidP="0076647A">
      <w:pPr>
        <w:spacing w:line="276" w:lineRule="auto"/>
        <w:jc w:val="center"/>
        <w:rPr>
          <w:rFonts w:ascii="Calibri" w:hAnsi="Calibri" w:cs="Calibri"/>
          <w:b/>
        </w:rPr>
      </w:pPr>
    </w:p>
    <w:p w:rsidR="00B75BEC" w:rsidRDefault="00B75BEC" w:rsidP="0076647A">
      <w:pPr>
        <w:spacing w:line="276" w:lineRule="auto"/>
        <w:jc w:val="center"/>
        <w:rPr>
          <w:rFonts w:ascii="Calibri" w:hAnsi="Calibri" w:cs="Calibri"/>
          <w:b/>
        </w:rPr>
      </w:pPr>
    </w:p>
    <w:p w:rsidR="00B75BEC" w:rsidRDefault="00B75BEC" w:rsidP="0076647A">
      <w:pPr>
        <w:spacing w:line="276" w:lineRule="auto"/>
        <w:jc w:val="center"/>
        <w:rPr>
          <w:rFonts w:ascii="Calibri" w:hAnsi="Calibri" w:cs="Calibri"/>
          <w:b/>
        </w:rPr>
      </w:pPr>
    </w:p>
    <w:p w:rsidR="0076647A" w:rsidRPr="0076647A" w:rsidRDefault="0076647A" w:rsidP="0076647A">
      <w:pPr>
        <w:spacing w:line="276" w:lineRule="auto"/>
        <w:jc w:val="center"/>
        <w:rPr>
          <w:rFonts w:ascii="Calibri" w:hAnsi="Calibri" w:cs="Calibri"/>
        </w:rPr>
      </w:pPr>
      <w:r w:rsidRPr="0076647A">
        <w:rPr>
          <w:rFonts w:ascii="Calibri" w:hAnsi="Calibri" w:cs="Calibri"/>
          <w:b/>
        </w:rPr>
        <w:t>Gráfico 3.4: Evolución de la inversión extranjera directa (en millones de U$S)</w:t>
      </w:r>
    </w:p>
    <w:p w:rsidR="0076647A" w:rsidRPr="0076647A" w:rsidRDefault="0076647A" w:rsidP="0076647A">
      <w:pPr>
        <w:spacing w:line="276" w:lineRule="auto"/>
        <w:jc w:val="center"/>
        <w:rPr>
          <w:rFonts w:ascii="Arial" w:hAnsi="Arial" w:cs="Arial"/>
          <w:sz w:val="16"/>
          <w:szCs w:val="16"/>
        </w:rPr>
      </w:pPr>
      <w:r w:rsidRPr="0076647A">
        <w:rPr>
          <w:noProof/>
          <w:lang w:val="es-ES_tradnl" w:eastAsia="es-ES_tradnl"/>
        </w:rPr>
        <w:drawing>
          <wp:inline distT="0" distB="0" distL="0" distR="0" wp14:anchorId="50B6CB39" wp14:editId="0F9F1876">
            <wp:extent cx="3705225" cy="2228638"/>
            <wp:effectExtent l="0" t="0" r="0" b="63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5225" cy="2228638"/>
                    </a:xfrm>
                    <a:prstGeom prst="rect">
                      <a:avLst/>
                    </a:prstGeom>
                    <a:noFill/>
                    <a:ln>
                      <a:noFill/>
                    </a:ln>
                  </pic:spPr>
                </pic:pic>
              </a:graphicData>
            </a:graphic>
          </wp:inline>
        </w:drawing>
      </w:r>
    </w:p>
    <w:p w:rsidR="0076647A" w:rsidRPr="004B542B" w:rsidRDefault="0076647A" w:rsidP="0076647A">
      <w:pPr>
        <w:spacing w:line="276" w:lineRule="auto"/>
        <w:ind w:left="1276" w:right="1183"/>
        <w:jc w:val="center"/>
        <w:rPr>
          <w:rFonts w:ascii="Calibri" w:hAnsi="Calibri" w:cs="Calibri"/>
          <w:b/>
          <w:sz w:val="18"/>
          <w:szCs w:val="18"/>
        </w:rPr>
      </w:pPr>
      <w:r w:rsidRPr="004B542B">
        <w:rPr>
          <w:rFonts w:ascii="Calibri" w:hAnsi="Calibri" w:cs="Calibri"/>
          <w:sz w:val="18"/>
          <w:szCs w:val="18"/>
        </w:rPr>
        <w:t>Fuente: Innovos Group en base a CEI (Centro de Economía Internacional) - Ministerio de Relaciones Exteriores Argentina</w:t>
      </w:r>
    </w:p>
    <w:p w:rsidR="0076647A" w:rsidRPr="0076647A" w:rsidRDefault="0076647A" w:rsidP="0076647A">
      <w:pPr>
        <w:pStyle w:val="ListParagraph"/>
        <w:spacing w:before="120" w:after="120" w:line="288" w:lineRule="auto"/>
        <w:ind w:left="0"/>
        <w:jc w:val="both"/>
        <w:rPr>
          <w:rFonts w:ascii="Calibri" w:eastAsia="Calibri" w:hAnsi="Calibri" w:cs="Calibri"/>
          <w:lang w:val="es-AR" w:eastAsia="es-AR"/>
        </w:rPr>
      </w:pPr>
      <w:r w:rsidRPr="0076647A">
        <w:rPr>
          <w:rFonts w:ascii="Calibri" w:eastAsia="Calibri" w:hAnsi="Calibri" w:cs="Calibri"/>
          <w:lang w:val="es-AR" w:eastAsia="es-AR"/>
        </w:rPr>
        <w:t xml:space="preserve">Por último es importante destacar que este desempeño macroeconómico favorable ayudó a mejorar la situación social del país, en términos de que se observa una reducción importante en la tasa de desempleo, la cual pasó de valores del 19% en el año 2003 a valores que fluctúan entre el 5% y el 8% en el período 2007-2012.  </w:t>
      </w:r>
    </w:p>
    <w:p w:rsidR="0076647A" w:rsidRPr="0076647A" w:rsidRDefault="0076647A" w:rsidP="0076647A">
      <w:pPr>
        <w:spacing w:before="120" w:after="120" w:line="276" w:lineRule="auto"/>
        <w:jc w:val="center"/>
        <w:rPr>
          <w:rFonts w:ascii="Calibri" w:hAnsi="Calibri" w:cs="Calibri"/>
        </w:rPr>
      </w:pPr>
      <w:r w:rsidRPr="0076647A">
        <w:rPr>
          <w:rFonts w:ascii="Calibri" w:hAnsi="Calibri" w:cs="Calibri"/>
          <w:b/>
        </w:rPr>
        <w:t>Gráfico 3.5: Evolución de la tasa de desempleo</w:t>
      </w:r>
    </w:p>
    <w:p w:rsidR="0076647A" w:rsidRPr="0076647A" w:rsidRDefault="0076647A" w:rsidP="0076647A">
      <w:pPr>
        <w:spacing w:line="276" w:lineRule="auto"/>
        <w:jc w:val="center"/>
        <w:rPr>
          <w:rFonts w:ascii="Arial" w:hAnsi="Arial" w:cs="Arial"/>
          <w:b/>
          <w:sz w:val="20"/>
          <w:szCs w:val="20"/>
        </w:rPr>
      </w:pPr>
      <w:r w:rsidRPr="0076647A">
        <w:rPr>
          <w:noProof/>
          <w:lang w:val="es-ES_tradnl" w:eastAsia="es-ES_tradnl"/>
        </w:rPr>
        <w:drawing>
          <wp:inline distT="0" distB="0" distL="0" distR="0" wp14:anchorId="657A16AB" wp14:editId="17C499FB">
            <wp:extent cx="3838652" cy="2305050"/>
            <wp:effectExtent l="0" t="0" r="9525"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8652" cy="2305050"/>
                    </a:xfrm>
                    <a:prstGeom prst="rect">
                      <a:avLst/>
                    </a:prstGeom>
                    <a:noFill/>
                    <a:ln>
                      <a:noFill/>
                    </a:ln>
                  </pic:spPr>
                </pic:pic>
              </a:graphicData>
            </a:graphic>
          </wp:inline>
        </w:drawing>
      </w:r>
    </w:p>
    <w:p w:rsidR="0076647A" w:rsidRPr="004B542B" w:rsidRDefault="0076647A" w:rsidP="0076647A">
      <w:pPr>
        <w:spacing w:line="276" w:lineRule="auto"/>
        <w:ind w:left="1276" w:right="1325"/>
        <w:jc w:val="center"/>
        <w:rPr>
          <w:rFonts w:ascii="Calibri" w:hAnsi="Calibri" w:cs="Calibri"/>
          <w:sz w:val="18"/>
          <w:szCs w:val="18"/>
        </w:rPr>
      </w:pPr>
      <w:r w:rsidRPr="004B542B">
        <w:rPr>
          <w:rFonts w:ascii="Calibri" w:hAnsi="Calibri" w:cs="Calibri"/>
          <w:sz w:val="18"/>
          <w:szCs w:val="18"/>
        </w:rPr>
        <w:t>Fuente: Innovos Group en base a CEI (Centro de Economía Internacional) - Ministerio de Relaciones Exteriores Argentina</w:t>
      </w:r>
    </w:p>
    <w:p w:rsidR="0076647A" w:rsidRPr="0076647A" w:rsidRDefault="0076647A" w:rsidP="0076647A">
      <w:pPr>
        <w:spacing w:line="276" w:lineRule="auto"/>
        <w:ind w:left="1276" w:right="1325"/>
        <w:rPr>
          <w:rFonts w:ascii="Calibri" w:hAnsi="Calibri" w:cs="Calibri"/>
          <w:sz w:val="18"/>
          <w:szCs w:val="18"/>
        </w:rPr>
      </w:pPr>
    </w:p>
    <w:p w:rsidR="0076647A" w:rsidRPr="0076647A" w:rsidRDefault="0076647A" w:rsidP="0076647A">
      <w:pPr>
        <w:spacing w:after="120" w:line="288" w:lineRule="auto"/>
        <w:jc w:val="both"/>
        <w:rPr>
          <w:rFonts w:ascii="Calibri" w:hAnsi="Calibri" w:cs="Calibri"/>
          <w:lang w:val="es-AR" w:eastAsia="es-AR"/>
        </w:rPr>
      </w:pPr>
      <w:r w:rsidRPr="0076647A">
        <w:rPr>
          <w:rFonts w:ascii="Calibri" w:hAnsi="Calibri" w:cs="Calibri"/>
          <w:lang w:val="es-AR" w:eastAsia="es-AR"/>
        </w:rPr>
        <w:t>Las oportunidades macroeconómicas favorables brindan una oportunidad para una mayor inversión en el Sistema de Ciencia</w:t>
      </w:r>
      <w:r w:rsidR="00FE4C2B">
        <w:rPr>
          <w:rFonts w:ascii="Calibri" w:hAnsi="Calibri" w:cs="Calibri"/>
          <w:lang w:val="es-AR" w:eastAsia="es-AR"/>
        </w:rPr>
        <w:t xml:space="preserve">, </w:t>
      </w:r>
      <w:r w:rsidRPr="0076647A">
        <w:rPr>
          <w:rFonts w:ascii="Calibri" w:hAnsi="Calibri" w:cs="Calibri"/>
          <w:lang w:val="es-AR" w:eastAsia="es-AR"/>
        </w:rPr>
        <w:t xml:space="preserve">Tecnología, </w:t>
      </w:r>
      <w:r w:rsidR="00FE4C2B">
        <w:rPr>
          <w:rFonts w:ascii="Calibri" w:hAnsi="Calibri" w:cs="Calibri"/>
          <w:lang w:val="es-AR" w:eastAsia="es-AR"/>
        </w:rPr>
        <w:t xml:space="preserve">Innovación y Calidad, </w:t>
      </w:r>
      <w:r w:rsidRPr="0076647A">
        <w:rPr>
          <w:rFonts w:ascii="Calibri" w:hAnsi="Calibri" w:cs="Calibri"/>
          <w:lang w:val="es-AR" w:eastAsia="es-AR"/>
        </w:rPr>
        <w:t xml:space="preserve">el cual a su vez contribuye a sostener las mejoras macroeconómicas en el futuro. </w:t>
      </w:r>
    </w:p>
    <w:p w:rsidR="0076647A" w:rsidRPr="0076647A" w:rsidRDefault="00E00384" w:rsidP="0076647A">
      <w:pPr>
        <w:spacing w:after="120" w:line="288" w:lineRule="auto"/>
        <w:jc w:val="both"/>
        <w:rPr>
          <w:rFonts w:ascii="Calibri" w:hAnsi="Calibri" w:cs="Calibri"/>
          <w:lang w:val="es-AR" w:eastAsia="es-AR"/>
        </w:rPr>
      </w:pPr>
      <w:r>
        <w:rPr>
          <w:rFonts w:ascii="Calibri" w:hAnsi="Calibri" w:cs="Calibri"/>
          <w:lang w:val="es-AR" w:eastAsia="es-AR"/>
        </w:rPr>
        <w:lastRenderedPageBreak/>
        <w:t xml:space="preserve">Este Sistema </w:t>
      </w:r>
      <w:r w:rsidR="0076647A" w:rsidRPr="0076647A">
        <w:rPr>
          <w:rFonts w:ascii="Calibri" w:hAnsi="Calibri" w:cs="Calibri"/>
          <w:lang w:val="es-AR" w:eastAsia="es-AR"/>
        </w:rPr>
        <w:t>en Paraguay se encuentra constituido fundamentalmente por universidades, institutos de investigación, y empresas que invierten en innovación tecnológica. Estas instituciones desarrollan actividades de investigación, innovación y formación de capital humano avanzado. Inicialmente estos actores no contaban con financiamiento externo para el desarrollo de estas actividades y las realizaban con recursos propios. El PROCIT se destaca por promover el desarrollo de estas actividades, las cuales logra financiar en conjunto con fondos provenientes del Banco Inte</w:t>
      </w:r>
      <w:r>
        <w:rPr>
          <w:rFonts w:ascii="Calibri" w:hAnsi="Calibri" w:cs="Calibri"/>
          <w:lang w:val="es-AR" w:eastAsia="es-AR"/>
        </w:rPr>
        <w:t>ramericano de Desarrollo y del E</w:t>
      </w:r>
      <w:r w:rsidR="0076647A" w:rsidRPr="0076647A">
        <w:rPr>
          <w:rFonts w:ascii="Calibri" w:hAnsi="Calibri" w:cs="Calibri"/>
          <w:lang w:val="es-AR" w:eastAsia="es-AR"/>
        </w:rPr>
        <w:t xml:space="preserve">stado. Este proyecto es reconocido como la iniciativa más relevante para el logro del desarrollo científico tecnológico del país. </w:t>
      </w:r>
    </w:p>
    <w:p w:rsidR="0076647A" w:rsidRPr="0076647A" w:rsidRDefault="0076647A" w:rsidP="0076647A">
      <w:pPr>
        <w:spacing w:after="120" w:line="288" w:lineRule="auto"/>
        <w:jc w:val="both"/>
        <w:rPr>
          <w:rFonts w:ascii="Calibri" w:hAnsi="Calibri" w:cs="Calibri"/>
          <w:lang w:val="es-AR" w:eastAsia="es-AR"/>
        </w:rPr>
      </w:pPr>
      <w:r w:rsidRPr="0076647A">
        <w:rPr>
          <w:rFonts w:ascii="Calibri" w:hAnsi="Calibri" w:cs="Calibri"/>
          <w:lang w:val="es-AR" w:eastAsia="es-AR"/>
        </w:rPr>
        <w:t xml:space="preserve">Históricamente, uno de los principales obstáculos para el desarrollo de la ciencia y la tecnología en Paraguay ha sido la débil articulación entre los diferentes actores y funciones del sistema. A partir del PROCIT y de la ejecución del programa a través de CONACYT, se han generado los primeros esfuerzos para avanzar en la coordinación y articulación de los actores. </w:t>
      </w:r>
    </w:p>
    <w:p w:rsidR="0076647A" w:rsidRPr="0076647A" w:rsidRDefault="0076647A" w:rsidP="0076647A">
      <w:pPr>
        <w:pStyle w:val="ListParagraph"/>
        <w:spacing w:after="120" w:line="288" w:lineRule="auto"/>
        <w:ind w:left="0"/>
        <w:jc w:val="both"/>
        <w:rPr>
          <w:rFonts w:ascii="Calibri" w:eastAsia="Calibri" w:hAnsi="Calibri" w:cs="Calibri"/>
          <w:lang w:val="es-AR" w:eastAsia="es-AR"/>
        </w:rPr>
      </w:pPr>
      <w:r w:rsidRPr="0076647A">
        <w:rPr>
          <w:rFonts w:ascii="Calibri" w:eastAsia="Calibri" w:hAnsi="Calibri" w:cs="Calibri"/>
          <w:lang w:val="es-AR" w:eastAsia="es-AR"/>
        </w:rPr>
        <w:t xml:space="preserve">Respecto a los indicadores, se observa que el gasto público en Ciencia y Tecnología (CyT) y el gasto en investigación y desarrollo (I+D) se ha incrementado en el período 2005-2008 (el primero pasó de U$S46,49 millones a U$S68,91 millones, y el segundo, de U$S6,56 millones a U$S10,14 millones), sin embargo las tasas de crecimiento de éstos son inferiores a la tasa de crecimiento del PBI, tal como se observa en el gráfico 3.6. A partir de esta información se puede concluir que el incremento en el gasto en CyT y en I+D acompañan la tendencia del PBI, pero a ritmos más lentos, generando así una reducción en el gasto CyT y el gasto en I+D como porcentaje del PBI, que fueron 0,63% y 0,09% respectivamente en el año 2005 y 0,41% y 0,06% en 2008.      </w:t>
      </w:r>
    </w:p>
    <w:p w:rsidR="0076647A" w:rsidRPr="0076647A" w:rsidRDefault="0076647A" w:rsidP="0076647A">
      <w:pPr>
        <w:spacing w:line="276" w:lineRule="auto"/>
        <w:jc w:val="center"/>
        <w:rPr>
          <w:rFonts w:ascii="Calibri" w:hAnsi="Calibri" w:cs="Calibri"/>
          <w:b/>
        </w:rPr>
      </w:pPr>
      <w:r w:rsidRPr="0076647A">
        <w:rPr>
          <w:rFonts w:ascii="Calibri" w:hAnsi="Calibri" w:cs="Calibri"/>
          <w:b/>
        </w:rPr>
        <w:t>Gráfico 3.6: Crecimiento del PBI, el gasto en CyT y el gasto en I+D</w:t>
      </w:r>
    </w:p>
    <w:p w:rsidR="0076647A" w:rsidRPr="0076647A" w:rsidRDefault="0076647A" w:rsidP="0076647A">
      <w:pPr>
        <w:spacing w:line="288" w:lineRule="auto"/>
        <w:jc w:val="center"/>
        <w:rPr>
          <w:rFonts w:ascii="Arial" w:hAnsi="Arial" w:cs="Arial"/>
          <w:sz w:val="20"/>
          <w:szCs w:val="20"/>
        </w:rPr>
      </w:pPr>
      <w:r w:rsidRPr="0076647A">
        <w:rPr>
          <w:noProof/>
          <w:lang w:val="es-ES_tradnl" w:eastAsia="es-ES_tradnl"/>
        </w:rPr>
        <w:drawing>
          <wp:inline distT="0" distB="0" distL="0" distR="0" wp14:anchorId="6C53EF53" wp14:editId="6B112562">
            <wp:extent cx="3495675" cy="2095687"/>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675" cy="2095687"/>
                    </a:xfrm>
                    <a:prstGeom prst="rect">
                      <a:avLst/>
                    </a:prstGeom>
                    <a:noFill/>
                    <a:ln>
                      <a:noFill/>
                    </a:ln>
                  </pic:spPr>
                </pic:pic>
              </a:graphicData>
            </a:graphic>
          </wp:inline>
        </w:drawing>
      </w:r>
    </w:p>
    <w:p w:rsidR="0076647A" w:rsidRPr="004B542B" w:rsidRDefault="0076647A" w:rsidP="0076647A">
      <w:pPr>
        <w:spacing w:line="276" w:lineRule="auto"/>
        <w:jc w:val="center"/>
        <w:rPr>
          <w:rFonts w:ascii="Calibri" w:hAnsi="Calibri" w:cs="Calibri"/>
          <w:sz w:val="18"/>
          <w:szCs w:val="18"/>
        </w:rPr>
      </w:pPr>
      <w:r w:rsidRPr="004B542B">
        <w:rPr>
          <w:rFonts w:ascii="Calibri" w:hAnsi="Calibri" w:cs="Calibri"/>
          <w:sz w:val="18"/>
          <w:szCs w:val="18"/>
        </w:rPr>
        <w:t xml:space="preserve">Fuente: </w:t>
      </w:r>
      <w:r w:rsidR="00B80BCF" w:rsidRPr="004B542B">
        <w:rPr>
          <w:rFonts w:ascii="Calibri" w:hAnsi="Calibri" w:cs="Calibri"/>
          <w:sz w:val="18"/>
          <w:szCs w:val="18"/>
        </w:rPr>
        <w:t>Innovos Group</w:t>
      </w:r>
      <w:r w:rsidRPr="004B542B">
        <w:rPr>
          <w:rFonts w:ascii="Calibri" w:hAnsi="Calibri" w:cs="Calibri"/>
          <w:sz w:val="18"/>
          <w:szCs w:val="18"/>
        </w:rPr>
        <w:t>, en base RICYT</w:t>
      </w:r>
    </w:p>
    <w:p w:rsidR="0076647A" w:rsidRPr="0076647A" w:rsidRDefault="0076647A" w:rsidP="0076647A">
      <w:pPr>
        <w:spacing w:line="276" w:lineRule="auto"/>
        <w:jc w:val="center"/>
        <w:rPr>
          <w:rFonts w:ascii="Calibri" w:hAnsi="Calibri" w:cs="Calibri"/>
          <w:sz w:val="18"/>
          <w:szCs w:val="18"/>
        </w:rPr>
      </w:pPr>
    </w:p>
    <w:p w:rsidR="0076647A" w:rsidRPr="0076647A" w:rsidRDefault="0076647A" w:rsidP="0076647A">
      <w:pPr>
        <w:pStyle w:val="ListParagraph"/>
        <w:spacing w:after="120" w:line="288" w:lineRule="auto"/>
        <w:ind w:left="0"/>
        <w:jc w:val="both"/>
        <w:rPr>
          <w:rFonts w:ascii="Calibri" w:eastAsia="Calibri" w:hAnsi="Calibri" w:cs="Calibri"/>
          <w:lang w:val="es-AR" w:eastAsia="es-AR"/>
        </w:rPr>
      </w:pPr>
      <w:r w:rsidRPr="0076647A">
        <w:rPr>
          <w:rFonts w:ascii="Calibri" w:eastAsia="Calibri" w:hAnsi="Calibri" w:cs="Calibri"/>
          <w:lang w:val="es-AR" w:eastAsia="es-AR"/>
        </w:rPr>
        <w:lastRenderedPageBreak/>
        <w:t xml:space="preserve">Resulta relevante </w:t>
      </w:r>
      <w:r w:rsidR="00E00384">
        <w:rPr>
          <w:rFonts w:ascii="Calibri" w:eastAsia="Calibri" w:hAnsi="Calibri" w:cs="Calibri"/>
          <w:lang w:val="es-AR" w:eastAsia="es-AR"/>
        </w:rPr>
        <w:t xml:space="preserve">además, </w:t>
      </w:r>
      <w:r w:rsidRPr="0076647A">
        <w:rPr>
          <w:rFonts w:ascii="Calibri" w:eastAsia="Calibri" w:hAnsi="Calibri" w:cs="Calibri"/>
          <w:lang w:val="es-AR" w:eastAsia="es-AR"/>
        </w:rPr>
        <w:t>analizar la evolución en los indicadores de competitividad que mostró Paraguay en el período 2004-2012</w:t>
      </w:r>
      <w:r w:rsidR="00C51962">
        <w:rPr>
          <w:rFonts w:ascii="Calibri" w:eastAsia="Calibri" w:hAnsi="Calibri" w:cs="Calibri"/>
          <w:lang w:val="es-AR" w:eastAsia="es-AR"/>
        </w:rPr>
        <w:t>. P</w:t>
      </w:r>
      <w:r w:rsidRPr="0076647A">
        <w:rPr>
          <w:rFonts w:ascii="Calibri" w:eastAsia="Calibri" w:hAnsi="Calibri" w:cs="Calibri"/>
          <w:lang w:val="es-AR" w:eastAsia="es-AR"/>
        </w:rPr>
        <w:t>ara ello se analizaron: el índice de competitividad global del Global Competitiveness Report</w:t>
      </w:r>
      <w:r w:rsidRPr="0076647A">
        <w:rPr>
          <w:rFonts w:ascii="Calibri" w:hAnsi="Calibri" w:cs="Arial"/>
          <w:sz w:val="20"/>
          <w:szCs w:val="20"/>
          <w:vertAlign w:val="superscript"/>
        </w:rPr>
        <w:footnoteReference w:id="1"/>
      </w:r>
      <w:r w:rsidRPr="0076647A">
        <w:rPr>
          <w:rFonts w:ascii="Calibri" w:eastAsia="Calibri" w:hAnsi="Calibri" w:cs="Calibri"/>
          <w:lang w:val="es-AR" w:eastAsia="es-AR"/>
        </w:rPr>
        <w:t xml:space="preserve">, y dos de sus componentes, el entorno macroeconómico y el componente de tecnología. El gráfico 3.7, muestra que Paraguay ha presentado una evolución favorable en los tres indicadores, destacándose la mejora en los indicadores macroeconómicos, que muestran un avance del índice del 87% en el período 2004-2012. </w:t>
      </w:r>
    </w:p>
    <w:p w:rsidR="0076647A" w:rsidRPr="0076647A" w:rsidRDefault="0076647A" w:rsidP="0076647A">
      <w:pPr>
        <w:spacing w:after="120"/>
        <w:jc w:val="center"/>
        <w:rPr>
          <w:rFonts w:ascii="Calibri" w:hAnsi="Calibri" w:cs="Calibri"/>
        </w:rPr>
      </w:pPr>
      <w:r w:rsidRPr="0076647A">
        <w:rPr>
          <w:rFonts w:ascii="Calibri" w:hAnsi="Calibri" w:cs="Calibri"/>
          <w:b/>
        </w:rPr>
        <w:t>Gráfico 3.7: Evolución de los indicadores de competitividad y sus componentes (entorno macroeconómico y tecnología)</w:t>
      </w:r>
      <w:r w:rsidR="00D05E52">
        <w:rPr>
          <w:rFonts w:ascii="Calibri" w:hAnsi="Calibri" w:cs="Calibri"/>
          <w:b/>
        </w:rPr>
        <w:t xml:space="preserve"> en Paraguay</w:t>
      </w:r>
    </w:p>
    <w:p w:rsidR="0076647A" w:rsidRPr="004B542B" w:rsidRDefault="0076647A" w:rsidP="0076647A">
      <w:pPr>
        <w:spacing w:after="120"/>
        <w:ind w:firstLine="567"/>
        <w:jc w:val="center"/>
        <w:rPr>
          <w:rFonts w:ascii="Calibri" w:hAnsi="Calibri" w:cs="Calibri"/>
          <w:sz w:val="18"/>
          <w:szCs w:val="18"/>
        </w:rPr>
      </w:pPr>
      <w:r w:rsidRPr="004B542B">
        <w:rPr>
          <w:rFonts w:ascii="Calibri" w:hAnsi="Calibri" w:cs="Calibri"/>
          <w:noProof/>
          <w:sz w:val="18"/>
          <w:szCs w:val="18"/>
          <w:lang w:val="es-ES_tradnl" w:eastAsia="es-ES_tradnl"/>
        </w:rPr>
        <w:drawing>
          <wp:inline distT="0" distB="0" distL="0" distR="0" wp14:anchorId="0BD3FF8A" wp14:editId="5EFF0A00">
            <wp:extent cx="3971925" cy="2305050"/>
            <wp:effectExtent l="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1925" cy="2305050"/>
                    </a:xfrm>
                    <a:prstGeom prst="rect">
                      <a:avLst/>
                    </a:prstGeom>
                    <a:noFill/>
                    <a:ln>
                      <a:noFill/>
                    </a:ln>
                  </pic:spPr>
                </pic:pic>
              </a:graphicData>
            </a:graphic>
          </wp:inline>
        </w:drawing>
      </w:r>
    </w:p>
    <w:p w:rsidR="0076647A" w:rsidRPr="004B542B" w:rsidRDefault="0076647A" w:rsidP="00934F54">
      <w:pPr>
        <w:spacing w:after="120"/>
        <w:ind w:left="1559" w:right="1183"/>
        <w:jc w:val="center"/>
        <w:rPr>
          <w:rFonts w:ascii="Arial" w:hAnsi="Arial" w:cs="Arial"/>
          <w:sz w:val="18"/>
          <w:szCs w:val="18"/>
          <w:highlight w:val="yellow"/>
        </w:rPr>
      </w:pPr>
      <w:r w:rsidRPr="004B542B">
        <w:rPr>
          <w:rFonts w:ascii="Calibri" w:hAnsi="Calibri" w:cs="Arial"/>
          <w:sz w:val="18"/>
          <w:szCs w:val="18"/>
        </w:rPr>
        <w:t>Fuente: Innovos Group en base a Global Competitiveness</w:t>
      </w:r>
      <w:r w:rsidR="00C51962" w:rsidRPr="004B542B">
        <w:rPr>
          <w:rFonts w:ascii="Calibri" w:hAnsi="Calibri" w:cs="Arial"/>
          <w:sz w:val="18"/>
          <w:szCs w:val="18"/>
        </w:rPr>
        <w:t xml:space="preserve"> </w:t>
      </w:r>
      <w:r w:rsidRPr="004B542B">
        <w:rPr>
          <w:rFonts w:ascii="Calibri" w:hAnsi="Calibri" w:cs="Arial"/>
          <w:sz w:val="18"/>
          <w:szCs w:val="18"/>
        </w:rPr>
        <w:t>Report. Corresponde a todos los</w:t>
      </w:r>
      <w:r w:rsidR="00934F54" w:rsidRPr="004B542B">
        <w:rPr>
          <w:rFonts w:ascii="Calibri" w:hAnsi="Calibri" w:cs="Arial"/>
          <w:sz w:val="18"/>
          <w:szCs w:val="18"/>
        </w:rPr>
        <w:t xml:space="preserve"> indicadores la escala de 0 a 7</w:t>
      </w:r>
    </w:p>
    <w:p w:rsidR="0076647A" w:rsidRPr="0076647A" w:rsidRDefault="0076647A" w:rsidP="0076647A">
      <w:pPr>
        <w:pStyle w:val="ListParagraph"/>
        <w:spacing w:after="120" w:line="288" w:lineRule="auto"/>
        <w:ind w:left="0"/>
        <w:jc w:val="both"/>
        <w:rPr>
          <w:rFonts w:ascii="Calibri" w:eastAsia="Calibri" w:hAnsi="Calibri" w:cs="Calibri"/>
          <w:lang w:val="es-AR" w:eastAsia="es-AR"/>
        </w:rPr>
      </w:pPr>
      <w:r w:rsidRPr="0076647A">
        <w:rPr>
          <w:rFonts w:ascii="Calibri" w:eastAsia="Calibri" w:hAnsi="Calibri" w:cs="Calibri"/>
          <w:lang w:val="es-AR" w:eastAsia="es-AR"/>
        </w:rPr>
        <w:t xml:space="preserve">Si se analiza la posición relativa de Paraguay en el </w:t>
      </w:r>
      <w:r w:rsidRPr="0076647A">
        <w:rPr>
          <w:rFonts w:ascii="Calibri" w:eastAsia="Calibri" w:hAnsi="Calibri" w:cs="Calibri"/>
          <w:i/>
          <w:lang w:val="es-AR" w:eastAsia="es-AR"/>
        </w:rPr>
        <w:t>ranking</w:t>
      </w:r>
      <w:r w:rsidRPr="0076647A">
        <w:rPr>
          <w:rFonts w:ascii="Calibri" w:eastAsia="Calibri" w:hAnsi="Calibri" w:cs="Calibri"/>
          <w:lang w:val="es-AR" w:eastAsia="es-AR"/>
        </w:rPr>
        <w:t xml:space="preserve"> en estos tres indicadores, (gráfico 3.8), se puede observar que la mejora absoluta no se ve reflejada en un mejora en la posición relativa. Paraguay pasa de ocupar el puesto 95 en 2003 a ocupar el puesto 116 en 2012 en el índice global, una evolución similar se observa en el </w:t>
      </w:r>
      <w:r w:rsidRPr="0076647A">
        <w:rPr>
          <w:rFonts w:ascii="Calibri" w:eastAsia="Calibri" w:hAnsi="Calibri" w:cs="Calibri"/>
          <w:i/>
          <w:lang w:val="es-AR" w:eastAsia="es-AR"/>
        </w:rPr>
        <w:t>ranking</w:t>
      </w:r>
      <w:r w:rsidRPr="0076647A">
        <w:rPr>
          <w:rFonts w:ascii="Calibri" w:eastAsia="Calibri" w:hAnsi="Calibri" w:cs="Calibri"/>
          <w:lang w:val="es-AR" w:eastAsia="es-AR"/>
        </w:rPr>
        <w:t xml:space="preserve"> de tecnología que pasa de ocupar el puesto 91 en 2003 a ocupar el 107 en 2012. Una situación diferente se observa en el </w:t>
      </w:r>
      <w:r w:rsidRPr="0076647A">
        <w:rPr>
          <w:rFonts w:ascii="Calibri" w:eastAsia="Calibri" w:hAnsi="Calibri" w:cs="Calibri"/>
          <w:i/>
          <w:lang w:val="es-AR" w:eastAsia="es-AR"/>
        </w:rPr>
        <w:t>ranking</w:t>
      </w:r>
      <w:r w:rsidRPr="0076647A">
        <w:rPr>
          <w:rFonts w:ascii="Calibri" w:eastAsia="Calibri" w:hAnsi="Calibri" w:cs="Calibri"/>
          <w:lang w:val="es-AR" w:eastAsia="es-AR"/>
        </w:rPr>
        <w:t xml:space="preserve"> del componente de entono macroeconómico, que muestra fluctuaciones en el período y presenta una importante mejora en 2012.  El cambio</w:t>
      </w:r>
      <w:r w:rsidR="00C51962">
        <w:rPr>
          <w:rFonts w:ascii="Calibri" w:eastAsia="Calibri" w:hAnsi="Calibri" w:cs="Calibri"/>
          <w:lang w:val="es-AR" w:eastAsia="es-AR"/>
        </w:rPr>
        <w:t xml:space="preserve">, </w:t>
      </w:r>
      <w:r w:rsidRPr="0076647A">
        <w:rPr>
          <w:rFonts w:ascii="Calibri" w:eastAsia="Calibri" w:hAnsi="Calibri" w:cs="Calibri"/>
          <w:lang w:val="es-AR" w:eastAsia="es-AR"/>
        </w:rPr>
        <w:t xml:space="preserve">la posición relativa que muestra Paraguay se debe a que el resto de los países incluidos en el </w:t>
      </w:r>
      <w:r w:rsidRPr="0076647A">
        <w:rPr>
          <w:rFonts w:ascii="Calibri" w:eastAsia="Calibri" w:hAnsi="Calibri" w:cs="Calibri"/>
          <w:i/>
          <w:lang w:val="es-AR" w:eastAsia="es-AR"/>
        </w:rPr>
        <w:t>ranking</w:t>
      </w:r>
      <w:r w:rsidRPr="0076647A">
        <w:rPr>
          <w:rFonts w:ascii="Calibri" w:eastAsia="Calibri" w:hAnsi="Calibri" w:cs="Calibri"/>
          <w:lang w:val="es-AR" w:eastAsia="es-AR"/>
        </w:rPr>
        <w:t xml:space="preserve"> presentan mejoras que superan a las de éste, ubicándolo por debajo de algunas economías que lograron crecimiento y desarrollo más rápido.</w:t>
      </w:r>
    </w:p>
    <w:p w:rsidR="0076647A" w:rsidRPr="0076647A" w:rsidRDefault="0076647A" w:rsidP="0076647A">
      <w:pPr>
        <w:jc w:val="center"/>
        <w:rPr>
          <w:rFonts w:ascii="Calibri" w:hAnsi="Calibri" w:cs="Calibri"/>
        </w:rPr>
      </w:pPr>
      <w:r w:rsidRPr="0076647A">
        <w:rPr>
          <w:rFonts w:ascii="Calibri" w:hAnsi="Calibri" w:cs="Calibri"/>
          <w:b/>
        </w:rPr>
        <w:lastRenderedPageBreak/>
        <w:t xml:space="preserve">Gráfico 3.8: Evolución del </w:t>
      </w:r>
      <w:r w:rsidRPr="0076647A">
        <w:rPr>
          <w:rFonts w:ascii="Calibri" w:hAnsi="Calibri" w:cs="Calibri"/>
          <w:b/>
          <w:i/>
        </w:rPr>
        <w:t>ranking</w:t>
      </w:r>
      <w:r w:rsidRPr="0076647A">
        <w:rPr>
          <w:rFonts w:ascii="Calibri" w:hAnsi="Calibri" w:cs="Calibri"/>
          <w:b/>
        </w:rPr>
        <w:t xml:space="preserve"> de Paraguay en los indicadores de competitividad y sus componentes (entorno macroeconómico y tecnología)</w:t>
      </w:r>
    </w:p>
    <w:p w:rsidR="0076647A" w:rsidRPr="0076647A" w:rsidRDefault="0076647A" w:rsidP="0076647A">
      <w:pPr>
        <w:pStyle w:val="ListParagraph"/>
        <w:spacing w:line="288" w:lineRule="auto"/>
        <w:ind w:left="0"/>
        <w:jc w:val="center"/>
        <w:rPr>
          <w:rFonts w:ascii="Calibri" w:eastAsia="Calibri" w:hAnsi="Calibri" w:cs="Calibri"/>
          <w:lang w:val="es-AR" w:eastAsia="es-AR"/>
        </w:rPr>
      </w:pPr>
      <w:r w:rsidRPr="0076647A">
        <w:rPr>
          <w:rFonts w:eastAsia="Calibri"/>
          <w:noProof/>
          <w:lang w:val="es-ES_tradnl" w:eastAsia="es-ES_tradnl"/>
        </w:rPr>
        <w:drawing>
          <wp:inline distT="0" distB="0" distL="0" distR="0" wp14:anchorId="792F9D07" wp14:editId="32A81F7D">
            <wp:extent cx="3619500" cy="2105891"/>
            <wp:effectExtent l="0" t="0" r="0" b="889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8222" cy="2110965"/>
                    </a:xfrm>
                    <a:prstGeom prst="rect">
                      <a:avLst/>
                    </a:prstGeom>
                    <a:noFill/>
                    <a:ln>
                      <a:noFill/>
                    </a:ln>
                  </pic:spPr>
                </pic:pic>
              </a:graphicData>
            </a:graphic>
          </wp:inline>
        </w:drawing>
      </w:r>
    </w:p>
    <w:p w:rsidR="0076647A" w:rsidRPr="004B542B" w:rsidRDefault="0076647A" w:rsidP="0076647A">
      <w:pPr>
        <w:spacing w:after="120" w:line="288" w:lineRule="auto"/>
        <w:jc w:val="center"/>
        <w:rPr>
          <w:rFonts w:ascii="Calibri" w:hAnsi="Calibri" w:cs="Arial"/>
          <w:sz w:val="18"/>
          <w:szCs w:val="18"/>
        </w:rPr>
      </w:pPr>
      <w:r w:rsidRPr="004B542B">
        <w:rPr>
          <w:rFonts w:ascii="Calibri" w:hAnsi="Calibri" w:cs="Arial"/>
          <w:sz w:val="18"/>
          <w:szCs w:val="18"/>
        </w:rPr>
        <w:t>Fuente: Innovos Group en base a Global Competitiveness Report</w:t>
      </w:r>
    </w:p>
    <w:p w:rsidR="0076647A" w:rsidRPr="0076647A" w:rsidRDefault="00E00384" w:rsidP="0076647A">
      <w:pPr>
        <w:spacing w:after="120" w:line="276" w:lineRule="auto"/>
        <w:jc w:val="both"/>
        <w:rPr>
          <w:rFonts w:ascii="Calibri" w:hAnsi="Calibri" w:cs="Calibri"/>
          <w:lang w:val="es-AR" w:eastAsia="es-AR"/>
        </w:rPr>
      </w:pPr>
      <w:r>
        <w:rPr>
          <w:rFonts w:ascii="Calibri" w:hAnsi="Calibri" w:cs="Calibri"/>
          <w:lang w:val="es-AR" w:eastAsia="es-AR"/>
        </w:rPr>
        <w:t xml:space="preserve">Específicamente </w:t>
      </w:r>
      <w:r w:rsidR="00684586">
        <w:rPr>
          <w:rFonts w:ascii="Calibri" w:hAnsi="Calibri" w:cs="Calibri"/>
          <w:lang w:val="es-AR" w:eastAsia="es-AR"/>
        </w:rPr>
        <w:t>en lo que refiere a los indicadores</w:t>
      </w:r>
      <w:r w:rsidR="0076647A" w:rsidRPr="0076647A">
        <w:rPr>
          <w:rFonts w:ascii="Calibri" w:hAnsi="Calibri" w:cs="Calibri"/>
          <w:lang w:val="es-AR" w:eastAsia="es-AR"/>
        </w:rPr>
        <w:t xml:space="preserve"> macroeconómicos e indicadores relacionados con la ciencia, la tecnología y la innovación</w:t>
      </w:r>
      <w:r w:rsidR="00684586">
        <w:rPr>
          <w:rFonts w:ascii="Calibri" w:hAnsi="Calibri" w:cs="Calibri"/>
          <w:lang w:val="es-AR" w:eastAsia="es-AR"/>
        </w:rPr>
        <w:t xml:space="preserve">, es útil analizarlos de manera comparada </w:t>
      </w:r>
      <w:r w:rsidR="0076647A" w:rsidRPr="0076647A">
        <w:rPr>
          <w:rFonts w:ascii="Calibri" w:hAnsi="Calibri" w:cs="Calibri"/>
          <w:lang w:val="es-AR" w:eastAsia="es-AR"/>
        </w:rPr>
        <w:t>entre Paraguay, Chile, Uruguay, Panamá y Perú</w:t>
      </w:r>
      <w:r w:rsidR="00684586">
        <w:rPr>
          <w:rStyle w:val="FootnoteReference"/>
          <w:rFonts w:ascii="Calibri" w:hAnsi="Calibri"/>
          <w:lang w:val="es-AR" w:eastAsia="es-AR"/>
        </w:rPr>
        <w:footnoteReference w:id="2"/>
      </w:r>
      <w:r w:rsidR="0076647A" w:rsidRPr="0076647A">
        <w:rPr>
          <w:rFonts w:ascii="Calibri" w:hAnsi="Calibri" w:cs="Calibri"/>
          <w:lang w:val="es-AR" w:eastAsia="es-AR"/>
        </w:rPr>
        <w:t>.</w:t>
      </w:r>
    </w:p>
    <w:p w:rsidR="0076647A" w:rsidRPr="0076647A" w:rsidRDefault="0076647A" w:rsidP="0076647A">
      <w:pPr>
        <w:spacing w:after="120" w:line="276" w:lineRule="auto"/>
        <w:jc w:val="both"/>
        <w:rPr>
          <w:rFonts w:ascii="Calibri" w:hAnsi="Calibri" w:cs="Calibri"/>
          <w:b/>
          <w:lang w:val="es-AR" w:eastAsia="es-AR"/>
        </w:rPr>
      </w:pPr>
      <w:r w:rsidRPr="0076647A">
        <w:rPr>
          <w:rFonts w:ascii="Calibri" w:hAnsi="Calibri" w:cs="Calibri"/>
          <w:lang w:val="es-AR" w:eastAsia="es-AR"/>
        </w:rPr>
        <w:t>Con respecto al entorno macroeconómico, de los países seleccionados, Paraguay es el que tiene la economía más pequeña, con marcada dependenc</w:t>
      </w:r>
      <w:r w:rsidR="00684586">
        <w:rPr>
          <w:rFonts w:ascii="Calibri" w:hAnsi="Calibri" w:cs="Calibri"/>
          <w:lang w:val="es-AR" w:eastAsia="es-AR"/>
        </w:rPr>
        <w:t xml:space="preserve">ia de sus vecinos. Sin embargo, </w:t>
      </w:r>
      <w:r w:rsidRPr="0076647A">
        <w:rPr>
          <w:rFonts w:ascii="Calibri" w:hAnsi="Calibri" w:cs="Calibri"/>
          <w:lang w:val="es-AR" w:eastAsia="es-AR"/>
        </w:rPr>
        <w:t xml:space="preserve">en los últimos años (2003 – 2010) se observó una importante evolución de su PBI per cápita. </w:t>
      </w:r>
    </w:p>
    <w:p w:rsidR="0076647A" w:rsidRPr="0076647A" w:rsidRDefault="0076647A" w:rsidP="0076647A">
      <w:pPr>
        <w:spacing w:after="200" w:line="276" w:lineRule="auto"/>
        <w:jc w:val="both"/>
        <w:rPr>
          <w:rFonts w:ascii="Calibri" w:hAnsi="Calibri" w:cs="Calibri"/>
          <w:lang w:val="es-AR" w:eastAsia="es-AR"/>
        </w:rPr>
      </w:pPr>
      <w:r w:rsidRPr="0076647A">
        <w:rPr>
          <w:rFonts w:ascii="Calibri" w:hAnsi="Calibri" w:cs="Calibri"/>
          <w:lang w:val="es-AR" w:eastAsia="es-AR"/>
        </w:rPr>
        <w:t>Se puede observar una evolución similar para todos los países, mostrando estos una tendencia de crecimiento sostenido, con la excepción del año 2009, en que la crisis financiera internacional golpeó a la economía latinoamericana. Luego de Uruguay, Paraguay es el país con el mayor crecimiento en el período indicado (2003 – 2010), multiplicando su producto nominal per cápita por casi tres veces (incremento del 199%).</w:t>
      </w:r>
    </w:p>
    <w:p w:rsidR="0076647A" w:rsidRPr="0076647A" w:rsidRDefault="0076647A" w:rsidP="0076647A">
      <w:pPr>
        <w:spacing w:before="120" w:after="120" w:line="288" w:lineRule="auto"/>
        <w:jc w:val="both"/>
        <w:rPr>
          <w:rFonts w:ascii="Calibri" w:hAnsi="Calibri" w:cs="Calibri"/>
          <w:lang w:val="es-AR" w:eastAsia="es-AR"/>
        </w:rPr>
      </w:pPr>
      <w:r w:rsidRPr="0076647A">
        <w:rPr>
          <w:rFonts w:ascii="Calibri" w:hAnsi="Calibri" w:cs="Calibri"/>
          <w:lang w:val="es-AR" w:eastAsia="es-AR"/>
        </w:rPr>
        <w:t>E</w:t>
      </w:r>
      <w:r w:rsidR="00684586">
        <w:rPr>
          <w:rFonts w:ascii="Calibri" w:hAnsi="Calibri" w:cs="Calibri"/>
          <w:lang w:val="es-AR" w:eastAsia="es-AR"/>
        </w:rPr>
        <w:t>n lo referente al ámbito de la ciencia y t</w:t>
      </w:r>
      <w:r w:rsidRPr="0076647A">
        <w:rPr>
          <w:rFonts w:ascii="Calibri" w:hAnsi="Calibri" w:cs="Calibri"/>
          <w:lang w:val="es-AR" w:eastAsia="es-AR"/>
        </w:rPr>
        <w:t>ecnología, el Gráfico 3.9 muestra la evolución del gasto en este sector para cada país como porcentaje de su PBI</w:t>
      </w:r>
      <w:r w:rsidRPr="0076647A">
        <w:rPr>
          <w:rStyle w:val="FootnoteReference"/>
          <w:rFonts w:ascii="Calibri" w:hAnsi="Calibri"/>
          <w:lang w:val="es-AR" w:eastAsia="es-AR"/>
        </w:rPr>
        <w:footnoteReference w:id="3"/>
      </w:r>
      <w:r w:rsidRPr="0076647A">
        <w:rPr>
          <w:rFonts w:ascii="Calibri" w:hAnsi="Calibri" w:cs="Calibri"/>
          <w:lang w:val="es-AR" w:eastAsia="es-AR"/>
        </w:rPr>
        <w:t xml:space="preserve">. Tal como se mencionó, Paraguay muestra un incremento en el gasto de CyT en valores absolutos, pero el incremento en el PBI es superior dando como resultado una disminución en este indicador. Otro país que tuvo una caída en este período fue Panamá. Sin embargo, a pesar de estar por debajo de Paraguay en el año 2002, lo superó en 2005 y 2008. Por otro lado, Uruguay mostró un crecimiento en este indicador en ese período. Estos datos permiten </w:t>
      </w:r>
      <w:r w:rsidRPr="0076647A">
        <w:rPr>
          <w:rFonts w:ascii="Calibri" w:hAnsi="Calibri" w:cs="Calibri"/>
          <w:lang w:val="es-AR" w:eastAsia="es-AR"/>
        </w:rPr>
        <w:lastRenderedPageBreak/>
        <w:t>destacar que Paraguay tiene una importante oportunidad de mejora en este sentido. El sector de CyT en Paraguay es marcadamente dependiente del apoyo público, por lo que un incremento del gasto en ese sector contribuiría a mejorar las redes entre sector público y privado necesarias para el crecimiento en el ámbito de la CyT. Esto repercutiría de manera positiva en el producto nacional, generando de esta manera un círculo virtuoso, al crear los incentivos adecuados para la inversión en el sector por parte de las empresas y para la investigación en el país por parte de los recursos humanos altamente calificados.</w:t>
      </w:r>
    </w:p>
    <w:p w:rsidR="0076647A" w:rsidRPr="0076647A" w:rsidRDefault="0076647A" w:rsidP="0076647A">
      <w:pPr>
        <w:spacing w:line="288" w:lineRule="auto"/>
        <w:jc w:val="center"/>
        <w:rPr>
          <w:rFonts w:ascii="Calibri" w:hAnsi="Calibri" w:cs="Calibri"/>
          <w:b/>
          <w:lang w:val="es-AR" w:eastAsia="es-AR"/>
        </w:rPr>
      </w:pPr>
      <w:r w:rsidRPr="0076647A">
        <w:rPr>
          <w:rFonts w:ascii="Calibri" w:hAnsi="Calibri" w:cs="Calibri"/>
          <w:b/>
          <w:lang w:val="es-AR" w:eastAsia="es-AR"/>
        </w:rPr>
        <w:t>Gráfico 3.9. Evolución del gasto en CyT como porcentaje del PBI</w:t>
      </w:r>
    </w:p>
    <w:p w:rsidR="0076647A" w:rsidRPr="004B542B" w:rsidRDefault="0076647A" w:rsidP="0076647A">
      <w:pPr>
        <w:spacing w:line="288" w:lineRule="auto"/>
        <w:jc w:val="center"/>
        <w:rPr>
          <w:rFonts w:ascii="Calibri" w:hAnsi="Calibri" w:cs="Calibri"/>
          <w:sz w:val="18"/>
          <w:szCs w:val="18"/>
          <w:lang w:val="es-AR" w:eastAsia="es-AR"/>
        </w:rPr>
      </w:pPr>
      <w:r w:rsidRPr="004B542B">
        <w:rPr>
          <w:noProof/>
          <w:sz w:val="18"/>
          <w:szCs w:val="18"/>
          <w:lang w:val="es-ES_tradnl" w:eastAsia="es-ES_tradnl"/>
        </w:rPr>
        <w:drawing>
          <wp:inline distT="0" distB="0" distL="0" distR="0" wp14:anchorId="76CCC151" wp14:editId="2821487F">
            <wp:extent cx="3971925" cy="23831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5221" cy="2385133"/>
                    </a:xfrm>
                    <a:prstGeom prst="rect">
                      <a:avLst/>
                    </a:prstGeom>
                    <a:noFill/>
                    <a:ln>
                      <a:noFill/>
                    </a:ln>
                  </pic:spPr>
                </pic:pic>
              </a:graphicData>
            </a:graphic>
          </wp:inline>
        </w:drawing>
      </w:r>
      <w:r w:rsidRPr="004B542B">
        <w:rPr>
          <w:rStyle w:val="CommentReference"/>
          <w:sz w:val="18"/>
          <w:szCs w:val="18"/>
        </w:rPr>
        <w:t xml:space="preserve"> </w:t>
      </w:r>
    </w:p>
    <w:p w:rsidR="0076647A" w:rsidRPr="004B542B" w:rsidRDefault="0076647A" w:rsidP="00934F54">
      <w:pPr>
        <w:tabs>
          <w:tab w:val="center" w:pos="5481"/>
        </w:tabs>
        <w:spacing w:line="276" w:lineRule="auto"/>
        <w:ind w:left="993" w:right="1041"/>
        <w:jc w:val="center"/>
        <w:rPr>
          <w:rFonts w:ascii="Calibri" w:hAnsi="Calibri" w:cs="Calibri"/>
          <w:sz w:val="18"/>
          <w:szCs w:val="18"/>
          <w:lang w:val="es-AR" w:eastAsia="es-AR"/>
        </w:rPr>
      </w:pPr>
      <w:r w:rsidRPr="004B542B">
        <w:rPr>
          <w:rFonts w:ascii="Calibri" w:hAnsi="Calibri" w:cs="Calibri"/>
          <w:sz w:val="18"/>
          <w:szCs w:val="18"/>
          <w:lang w:val="es-AR" w:eastAsia="es-AR"/>
        </w:rPr>
        <w:t>Fuente: Innovos Group en base RICYT</w:t>
      </w:r>
    </w:p>
    <w:p w:rsidR="00D05E52" w:rsidRPr="004B542B" w:rsidRDefault="00D05E52" w:rsidP="00934F54">
      <w:pPr>
        <w:tabs>
          <w:tab w:val="center" w:pos="5481"/>
        </w:tabs>
        <w:spacing w:line="276" w:lineRule="auto"/>
        <w:ind w:left="993" w:right="1041"/>
        <w:jc w:val="center"/>
        <w:rPr>
          <w:rFonts w:asciiTheme="minorHAnsi" w:hAnsiTheme="minorHAnsi" w:cstheme="minorHAnsi"/>
          <w:sz w:val="18"/>
          <w:szCs w:val="18"/>
          <w:lang w:val="es-AR" w:eastAsia="es-AR"/>
        </w:rPr>
      </w:pPr>
      <w:r w:rsidRPr="004B542B">
        <w:rPr>
          <w:rFonts w:asciiTheme="minorHAnsi" w:hAnsiTheme="minorHAnsi" w:cstheme="minorHAnsi"/>
          <w:color w:val="222222"/>
          <w:sz w:val="18"/>
          <w:szCs w:val="18"/>
          <w:shd w:val="clear" w:color="auto" w:fill="FFFFFF"/>
        </w:rPr>
        <w:t>Nota: No se consideró la totalidad de países bajo análisis debido a f</w:t>
      </w:r>
      <w:r w:rsidR="004B542B">
        <w:rPr>
          <w:rFonts w:asciiTheme="minorHAnsi" w:hAnsiTheme="minorHAnsi" w:cstheme="minorHAnsi"/>
          <w:color w:val="222222"/>
          <w:sz w:val="18"/>
          <w:szCs w:val="18"/>
          <w:shd w:val="clear" w:color="auto" w:fill="FFFFFF"/>
        </w:rPr>
        <w:t>alta de disponibilidad de datos</w:t>
      </w:r>
    </w:p>
    <w:p w:rsidR="0076647A" w:rsidRPr="0076647A" w:rsidRDefault="0076647A" w:rsidP="0076647A">
      <w:pPr>
        <w:spacing w:before="120" w:after="120" w:line="288" w:lineRule="auto"/>
        <w:jc w:val="both"/>
        <w:rPr>
          <w:rFonts w:ascii="Calibri" w:hAnsi="Calibri" w:cs="Calibri"/>
          <w:lang w:val="es-AR" w:eastAsia="es-AR"/>
        </w:rPr>
      </w:pPr>
      <w:r w:rsidRPr="0076647A">
        <w:rPr>
          <w:rFonts w:ascii="Calibri" w:hAnsi="Calibri" w:cs="Calibri"/>
          <w:lang w:val="es-AR" w:eastAsia="es-AR"/>
        </w:rPr>
        <w:t>Por otro lado, siguiendo la tendencia del resto de los países, Paraguay mostró una mejora en el gasto en I+D por investigador, tal como se observa en el Gráfico 3.10 a continuación. Si bien no lo hizo al ritmo de Uruguay (incremento del 419%), el incremento en Paraguay fue considerable para el período 2002–2008, superior al 75%. Panamá se destaca sobre el resto de los países, con un gasto anual superior a U$S103.000 promedio por investigador en el año 2008. En un segundo escalón para este año se ubica Chile, con U$S63.000, seguido por Uruguay (U$S43.000) y Paraguay (U$S12.000).</w:t>
      </w:r>
    </w:p>
    <w:p w:rsidR="00B75BEC" w:rsidRDefault="00B75BEC" w:rsidP="0076647A">
      <w:pPr>
        <w:spacing w:line="288" w:lineRule="auto"/>
        <w:jc w:val="center"/>
        <w:rPr>
          <w:rFonts w:ascii="Calibri" w:hAnsi="Calibri" w:cs="Calibri"/>
          <w:b/>
          <w:lang w:val="es-AR" w:eastAsia="es-AR"/>
        </w:rPr>
      </w:pPr>
    </w:p>
    <w:p w:rsidR="00B75BEC" w:rsidRDefault="00B75BEC" w:rsidP="0076647A">
      <w:pPr>
        <w:spacing w:line="288" w:lineRule="auto"/>
        <w:jc w:val="center"/>
        <w:rPr>
          <w:rFonts w:ascii="Calibri" w:hAnsi="Calibri" w:cs="Calibri"/>
          <w:b/>
          <w:lang w:val="es-AR" w:eastAsia="es-AR"/>
        </w:rPr>
      </w:pPr>
    </w:p>
    <w:p w:rsidR="00B75BEC" w:rsidRDefault="00B75BEC" w:rsidP="0076647A">
      <w:pPr>
        <w:spacing w:line="288" w:lineRule="auto"/>
        <w:jc w:val="center"/>
        <w:rPr>
          <w:rFonts w:ascii="Calibri" w:hAnsi="Calibri" w:cs="Calibri"/>
          <w:b/>
          <w:lang w:val="es-AR" w:eastAsia="es-AR"/>
        </w:rPr>
      </w:pPr>
    </w:p>
    <w:p w:rsidR="00B75BEC" w:rsidRDefault="00B75BEC" w:rsidP="0076647A">
      <w:pPr>
        <w:spacing w:line="288" w:lineRule="auto"/>
        <w:jc w:val="center"/>
        <w:rPr>
          <w:rFonts w:ascii="Calibri" w:hAnsi="Calibri" w:cs="Calibri"/>
          <w:b/>
          <w:lang w:val="es-AR" w:eastAsia="es-AR"/>
        </w:rPr>
      </w:pPr>
    </w:p>
    <w:p w:rsidR="00B75BEC" w:rsidRDefault="00B75BEC" w:rsidP="0076647A">
      <w:pPr>
        <w:spacing w:line="288" w:lineRule="auto"/>
        <w:jc w:val="center"/>
        <w:rPr>
          <w:rFonts w:ascii="Calibri" w:hAnsi="Calibri" w:cs="Calibri"/>
          <w:b/>
          <w:lang w:val="es-AR" w:eastAsia="es-AR"/>
        </w:rPr>
      </w:pPr>
    </w:p>
    <w:p w:rsidR="00B75BEC" w:rsidRDefault="00B75BEC" w:rsidP="0076647A">
      <w:pPr>
        <w:spacing w:line="288" w:lineRule="auto"/>
        <w:jc w:val="center"/>
        <w:rPr>
          <w:rFonts w:ascii="Calibri" w:hAnsi="Calibri" w:cs="Calibri"/>
          <w:b/>
          <w:lang w:val="es-AR" w:eastAsia="es-AR"/>
        </w:rPr>
      </w:pPr>
    </w:p>
    <w:p w:rsidR="00FC5F01" w:rsidRDefault="00FC5F01" w:rsidP="0076647A">
      <w:pPr>
        <w:spacing w:line="288" w:lineRule="auto"/>
        <w:jc w:val="center"/>
        <w:rPr>
          <w:rFonts w:ascii="Calibri" w:hAnsi="Calibri" w:cs="Calibri"/>
          <w:b/>
          <w:lang w:val="es-AR" w:eastAsia="es-AR"/>
        </w:rPr>
      </w:pPr>
    </w:p>
    <w:p w:rsidR="0076647A" w:rsidRPr="0076647A" w:rsidRDefault="0076647A" w:rsidP="0076647A">
      <w:pPr>
        <w:spacing w:line="288" w:lineRule="auto"/>
        <w:jc w:val="center"/>
        <w:rPr>
          <w:rFonts w:ascii="Calibri" w:hAnsi="Calibri" w:cs="Calibri"/>
          <w:noProof/>
          <w:sz w:val="22"/>
          <w:szCs w:val="22"/>
          <w:lang w:val="es-AR" w:eastAsia="es-AR"/>
        </w:rPr>
      </w:pPr>
      <w:r w:rsidRPr="0076647A">
        <w:rPr>
          <w:rFonts w:ascii="Calibri" w:hAnsi="Calibri" w:cs="Calibri"/>
          <w:b/>
          <w:lang w:val="es-AR" w:eastAsia="es-AR"/>
        </w:rPr>
        <w:lastRenderedPageBreak/>
        <w:t>Gráfico 3.10 Gasto en I+D por investigador (miles de dólares)</w:t>
      </w:r>
    </w:p>
    <w:p w:rsidR="0076647A" w:rsidRPr="004B542B" w:rsidRDefault="0076647A" w:rsidP="0076647A">
      <w:pPr>
        <w:spacing w:line="288" w:lineRule="auto"/>
        <w:jc w:val="center"/>
        <w:rPr>
          <w:rFonts w:ascii="Calibri" w:hAnsi="Calibri" w:cs="Calibri"/>
          <w:sz w:val="18"/>
          <w:szCs w:val="18"/>
          <w:lang w:val="es-AR" w:eastAsia="es-AR"/>
        </w:rPr>
      </w:pPr>
      <w:r w:rsidRPr="004B542B">
        <w:rPr>
          <w:noProof/>
          <w:sz w:val="18"/>
          <w:szCs w:val="18"/>
          <w:lang w:val="es-ES_tradnl" w:eastAsia="es-ES_tradnl"/>
        </w:rPr>
        <w:drawing>
          <wp:inline distT="0" distB="0" distL="0" distR="0" wp14:anchorId="1FE70495" wp14:editId="7CA796CD">
            <wp:extent cx="3933825" cy="23602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3825" cy="2360295"/>
                    </a:xfrm>
                    <a:prstGeom prst="rect">
                      <a:avLst/>
                    </a:prstGeom>
                    <a:noFill/>
                    <a:ln>
                      <a:noFill/>
                    </a:ln>
                  </pic:spPr>
                </pic:pic>
              </a:graphicData>
            </a:graphic>
          </wp:inline>
        </w:drawing>
      </w:r>
    </w:p>
    <w:p w:rsidR="00D05E52" w:rsidRPr="004B542B" w:rsidRDefault="0076647A" w:rsidP="00934F54">
      <w:pPr>
        <w:tabs>
          <w:tab w:val="center" w:pos="4419"/>
          <w:tab w:val="left" w:pos="7140"/>
        </w:tabs>
        <w:spacing w:line="288" w:lineRule="auto"/>
        <w:ind w:left="993" w:right="900"/>
        <w:rPr>
          <w:rFonts w:ascii="Calibri" w:hAnsi="Calibri" w:cs="Calibri"/>
          <w:sz w:val="18"/>
          <w:szCs w:val="18"/>
          <w:lang w:val="es-AR" w:eastAsia="es-AR"/>
        </w:rPr>
      </w:pPr>
      <w:r w:rsidRPr="004B542B">
        <w:rPr>
          <w:rFonts w:ascii="Calibri" w:hAnsi="Calibri" w:cs="Calibri"/>
          <w:sz w:val="18"/>
          <w:szCs w:val="18"/>
          <w:lang w:val="es-AR" w:eastAsia="es-AR"/>
        </w:rPr>
        <w:tab/>
        <w:t xml:space="preserve">Fuente: Innovos Group en base RICYT. </w:t>
      </w:r>
    </w:p>
    <w:p w:rsidR="00D05E52" w:rsidRPr="004B542B" w:rsidRDefault="00D05E52" w:rsidP="00934F54">
      <w:pPr>
        <w:tabs>
          <w:tab w:val="center" w:pos="5481"/>
        </w:tabs>
        <w:spacing w:line="276" w:lineRule="auto"/>
        <w:ind w:left="993" w:right="900"/>
        <w:jc w:val="center"/>
        <w:rPr>
          <w:rFonts w:asciiTheme="minorHAnsi" w:hAnsiTheme="minorHAnsi" w:cstheme="minorHAnsi"/>
          <w:sz w:val="18"/>
          <w:szCs w:val="18"/>
          <w:lang w:val="es-AR" w:eastAsia="es-AR"/>
        </w:rPr>
      </w:pPr>
      <w:r w:rsidRPr="004B542B">
        <w:rPr>
          <w:rFonts w:asciiTheme="minorHAnsi" w:hAnsiTheme="minorHAnsi" w:cstheme="minorHAnsi"/>
          <w:color w:val="222222"/>
          <w:sz w:val="18"/>
          <w:szCs w:val="18"/>
          <w:shd w:val="clear" w:color="auto" w:fill="FFFFFF"/>
        </w:rPr>
        <w:t>Nota: No se consideró la totalidad de países bajo análisis debido a f</w:t>
      </w:r>
      <w:r w:rsidR="004B542B" w:rsidRPr="004B542B">
        <w:rPr>
          <w:rFonts w:asciiTheme="minorHAnsi" w:hAnsiTheme="minorHAnsi" w:cstheme="minorHAnsi"/>
          <w:color w:val="222222"/>
          <w:sz w:val="18"/>
          <w:szCs w:val="18"/>
          <w:shd w:val="clear" w:color="auto" w:fill="FFFFFF"/>
        </w:rPr>
        <w:t>alta de disponibilidad de datos</w:t>
      </w:r>
    </w:p>
    <w:p w:rsidR="0076647A" w:rsidRPr="0076647A" w:rsidRDefault="0076647A" w:rsidP="0076647A">
      <w:pPr>
        <w:tabs>
          <w:tab w:val="center" w:pos="4419"/>
          <w:tab w:val="left" w:pos="7140"/>
        </w:tabs>
        <w:spacing w:line="288" w:lineRule="auto"/>
        <w:rPr>
          <w:rFonts w:ascii="Calibri" w:hAnsi="Calibri" w:cs="Calibri"/>
          <w:sz w:val="22"/>
          <w:szCs w:val="22"/>
          <w:lang w:val="es-AR" w:eastAsia="es-AR"/>
        </w:rPr>
      </w:pPr>
      <w:r w:rsidRPr="0076647A">
        <w:rPr>
          <w:rFonts w:ascii="Calibri" w:hAnsi="Calibri" w:cs="Calibri"/>
          <w:sz w:val="18"/>
          <w:szCs w:val="18"/>
          <w:lang w:val="es-AR" w:eastAsia="es-AR"/>
        </w:rPr>
        <w:tab/>
      </w:r>
    </w:p>
    <w:p w:rsidR="0076647A" w:rsidRPr="0076647A" w:rsidRDefault="0076647A" w:rsidP="0076647A">
      <w:pPr>
        <w:spacing w:before="120" w:after="120" w:line="288" w:lineRule="auto"/>
        <w:jc w:val="both"/>
        <w:rPr>
          <w:rFonts w:ascii="Calibri" w:hAnsi="Calibri" w:cs="Calibri"/>
          <w:sz w:val="22"/>
          <w:szCs w:val="22"/>
          <w:lang w:val="es-AR" w:eastAsia="es-AR"/>
        </w:rPr>
      </w:pPr>
      <w:r w:rsidRPr="0076647A">
        <w:rPr>
          <w:rFonts w:ascii="Calibri" w:hAnsi="Calibri" w:cs="Calibri"/>
          <w:lang w:val="es-AR" w:eastAsia="es-AR"/>
        </w:rPr>
        <w:t>Estos últimos indicadores, tanto el gasto en CyT como porcentaje del PBI como el gasto en I+D por investigador, resultan variables significativas a la hora de analizar el desarrollo y fortalecimiento de este sector en un país. Para lograr este desarrollo y fortalecimiento, los mecanismos de financiamiento son una pieza clave, y Paraguay muestra niveles incipientes, propios de un sistema de ciencia y tecnología que se encuentra en sus primeras fases de desarrollo, destacándose el importante esfuerzo que representa el PROCIT en este sentido.</w:t>
      </w:r>
    </w:p>
    <w:p w:rsidR="0076647A" w:rsidRPr="0076647A" w:rsidRDefault="0076647A" w:rsidP="0076647A">
      <w:pPr>
        <w:spacing w:before="120" w:after="120" w:line="288" w:lineRule="auto"/>
        <w:jc w:val="both"/>
        <w:rPr>
          <w:rFonts w:ascii="Calibri" w:hAnsi="Calibri" w:cs="Calibri"/>
          <w:lang w:val="es-AR" w:eastAsia="es-AR"/>
        </w:rPr>
      </w:pPr>
      <w:r w:rsidRPr="0076647A">
        <w:rPr>
          <w:rFonts w:ascii="Calibri" w:hAnsi="Calibri" w:cs="Calibri"/>
          <w:lang w:val="es-AR" w:eastAsia="es-AR"/>
        </w:rPr>
        <w:t>Otros indicadores de desarrollo del sector de CyT son aquellos referidos a la producción científica. El Gráfico 3.11 muestra el total de publicaciones en Science Citation Index (SCI) para Chile, Paraguay, Perú y Uruguay en los años 2002, 2005 y 2008.</w:t>
      </w:r>
    </w:p>
    <w:p w:rsidR="00FC5F01" w:rsidRDefault="00FC5F01" w:rsidP="0076647A">
      <w:pPr>
        <w:spacing w:before="120" w:after="120" w:line="288" w:lineRule="auto"/>
        <w:jc w:val="center"/>
        <w:rPr>
          <w:rFonts w:ascii="Calibri" w:hAnsi="Calibri" w:cs="Calibri"/>
          <w:b/>
          <w:lang w:val="es-AR" w:eastAsia="es-AR"/>
        </w:rPr>
      </w:pPr>
    </w:p>
    <w:p w:rsidR="00FC5F01" w:rsidRDefault="00FC5F01" w:rsidP="0076647A">
      <w:pPr>
        <w:spacing w:before="120" w:after="120" w:line="288" w:lineRule="auto"/>
        <w:jc w:val="center"/>
        <w:rPr>
          <w:rFonts w:ascii="Calibri" w:hAnsi="Calibri" w:cs="Calibri"/>
          <w:b/>
          <w:lang w:val="es-AR" w:eastAsia="es-AR"/>
        </w:rPr>
      </w:pPr>
    </w:p>
    <w:p w:rsidR="00FC5F01" w:rsidRDefault="00FC5F01" w:rsidP="0076647A">
      <w:pPr>
        <w:spacing w:before="120" w:after="120" w:line="288" w:lineRule="auto"/>
        <w:jc w:val="center"/>
        <w:rPr>
          <w:rFonts w:ascii="Calibri" w:hAnsi="Calibri" w:cs="Calibri"/>
          <w:b/>
          <w:lang w:val="es-AR" w:eastAsia="es-AR"/>
        </w:rPr>
      </w:pPr>
    </w:p>
    <w:p w:rsidR="00FC5F01" w:rsidRDefault="00FC5F01" w:rsidP="0076647A">
      <w:pPr>
        <w:spacing w:before="120" w:after="120" w:line="288" w:lineRule="auto"/>
        <w:jc w:val="center"/>
        <w:rPr>
          <w:rFonts w:ascii="Calibri" w:hAnsi="Calibri" w:cs="Calibri"/>
          <w:b/>
          <w:lang w:val="es-AR" w:eastAsia="es-AR"/>
        </w:rPr>
      </w:pPr>
    </w:p>
    <w:p w:rsidR="00FC5F01" w:rsidRDefault="00FC5F01" w:rsidP="0076647A">
      <w:pPr>
        <w:spacing w:before="120" w:after="120" w:line="288" w:lineRule="auto"/>
        <w:jc w:val="center"/>
        <w:rPr>
          <w:rFonts w:ascii="Calibri" w:hAnsi="Calibri" w:cs="Calibri"/>
          <w:b/>
          <w:lang w:val="es-AR" w:eastAsia="es-AR"/>
        </w:rPr>
      </w:pPr>
    </w:p>
    <w:p w:rsidR="00FC5F01" w:rsidRDefault="00FC5F01" w:rsidP="0076647A">
      <w:pPr>
        <w:spacing w:before="120" w:after="120" w:line="288" w:lineRule="auto"/>
        <w:jc w:val="center"/>
        <w:rPr>
          <w:rFonts w:ascii="Calibri" w:hAnsi="Calibri" w:cs="Calibri"/>
          <w:b/>
          <w:lang w:val="es-AR" w:eastAsia="es-AR"/>
        </w:rPr>
      </w:pPr>
    </w:p>
    <w:p w:rsidR="001860F3" w:rsidRDefault="001860F3" w:rsidP="0076647A">
      <w:pPr>
        <w:spacing w:before="120" w:after="120" w:line="288" w:lineRule="auto"/>
        <w:jc w:val="center"/>
        <w:rPr>
          <w:rFonts w:ascii="Calibri" w:hAnsi="Calibri" w:cs="Calibri"/>
          <w:b/>
          <w:lang w:val="es-AR" w:eastAsia="es-AR"/>
        </w:rPr>
      </w:pPr>
    </w:p>
    <w:p w:rsidR="001860F3" w:rsidRDefault="001860F3" w:rsidP="0076647A">
      <w:pPr>
        <w:spacing w:before="120" w:after="120" w:line="288" w:lineRule="auto"/>
        <w:jc w:val="center"/>
        <w:rPr>
          <w:rFonts w:ascii="Calibri" w:hAnsi="Calibri" w:cs="Calibri"/>
          <w:b/>
          <w:lang w:val="es-AR" w:eastAsia="es-AR"/>
        </w:rPr>
      </w:pPr>
    </w:p>
    <w:p w:rsidR="0076647A" w:rsidRPr="0076647A" w:rsidRDefault="0076647A" w:rsidP="0076647A">
      <w:pPr>
        <w:spacing w:before="120" w:after="120" w:line="288" w:lineRule="auto"/>
        <w:jc w:val="center"/>
        <w:rPr>
          <w:rFonts w:ascii="Calibri" w:hAnsi="Calibri" w:cs="Calibri"/>
          <w:b/>
          <w:lang w:val="es-AR" w:eastAsia="es-AR"/>
        </w:rPr>
      </w:pPr>
      <w:r w:rsidRPr="0076647A">
        <w:rPr>
          <w:rFonts w:ascii="Calibri" w:hAnsi="Calibri" w:cs="Calibri"/>
          <w:b/>
          <w:lang w:val="es-AR" w:eastAsia="es-AR"/>
        </w:rPr>
        <w:lastRenderedPageBreak/>
        <w:t>Gráfico 3.11. Total de publicaciones en SCI cada 100 investigadores</w:t>
      </w:r>
    </w:p>
    <w:p w:rsidR="0076647A" w:rsidRPr="004B542B" w:rsidRDefault="0076647A" w:rsidP="0076647A">
      <w:pPr>
        <w:spacing w:line="276" w:lineRule="auto"/>
        <w:jc w:val="center"/>
        <w:rPr>
          <w:rFonts w:ascii="Calibri" w:hAnsi="Calibri" w:cs="Calibri"/>
          <w:sz w:val="18"/>
          <w:szCs w:val="18"/>
          <w:lang w:val="es-AR" w:eastAsia="es-AR"/>
        </w:rPr>
      </w:pPr>
      <w:r w:rsidRPr="004B542B">
        <w:rPr>
          <w:noProof/>
          <w:sz w:val="18"/>
          <w:szCs w:val="18"/>
          <w:lang w:val="es-ES_tradnl" w:eastAsia="es-ES_tradnl"/>
        </w:rPr>
        <w:drawing>
          <wp:inline distT="0" distB="0" distL="0" distR="0" wp14:anchorId="44512C09" wp14:editId="79132EF5">
            <wp:extent cx="3905250" cy="232859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0" cy="2328596"/>
                    </a:xfrm>
                    <a:prstGeom prst="rect">
                      <a:avLst/>
                    </a:prstGeom>
                    <a:noFill/>
                    <a:ln>
                      <a:noFill/>
                    </a:ln>
                  </pic:spPr>
                </pic:pic>
              </a:graphicData>
            </a:graphic>
          </wp:inline>
        </w:drawing>
      </w:r>
    </w:p>
    <w:p w:rsidR="0076647A" w:rsidRPr="004B542B" w:rsidRDefault="0076647A" w:rsidP="0076647A">
      <w:pPr>
        <w:spacing w:line="276" w:lineRule="auto"/>
        <w:jc w:val="center"/>
        <w:rPr>
          <w:rFonts w:ascii="Calibri" w:hAnsi="Calibri" w:cs="Calibri"/>
          <w:sz w:val="18"/>
          <w:szCs w:val="18"/>
          <w:lang w:val="es-AR" w:eastAsia="es-AR"/>
        </w:rPr>
      </w:pPr>
      <w:r w:rsidRPr="004B542B">
        <w:rPr>
          <w:rFonts w:ascii="Calibri" w:hAnsi="Calibri" w:cs="Calibri"/>
          <w:sz w:val="18"/>
          <w:szCs w:val="18"/>
          <w:lang w:val="es-AR" w:eastAsia="es-AR"/>
        </w:rPr>
        <w:t>Fuente: Innovos Group en base a RICYT</w:t>
      </w:r>
    </w:p>
    <w:p w:rsidR="00D05E52" w:rsidRPr="004B542B" w:rsidRDefault="0076647A" w:rsidP="00D05E52">
      <w:pPr>
        <w:tabs>
          <w:tab w:val="center" w:pos="5481"/>
        </w:tabs>
        <w:spacing w:line="276" w:lineRule="auto"/>
        <w:jc w:val="center"/>
        <w:rPr>
          <w:rFonts w:asciiTheme="minorHAnsi" w:hAnsiTheme="minorHAnsi" w:cstheme="minorHAnsi"/>
          <w:color w:val="222222"/>
          <w:sz w:val="18"/>
          <w:szCs w:val="18"/>
          <w:shd w:val="clear" w:color="auto" w:fill="FFFFFF"/>
        </w:rPr>
      </w:pPr>
      <w:r w:rsidRPr="004B542B">
        <w:rPr>
          <w:rFonts w:ascii="Calibri" w:hAnsi="Calibri" w:cs="Arial"/>
          <w:sz w:val="18"/>
          <w:szCs w:val="18"/>
        </w:rPr>
        <w:t>* Por falta de datos, en Uruguay se tomó el indicador del año 2006 y en Perú el año 2004.</w:t>
      </w:r>
      <w:r w:rsidR="00D05E52" w:rsidRPr="004B542B">
        <w:rPr>
          <w:rFonts w:asciiTheme="minorHAnsi" w:hAnsiTheme="minorHAnsi" w:cstheme="minorHAnsi"/>
          <w:color w:val="222222"/>
          <w:sz w:val="18"/>
          <w:szCs w:val="18"/>
          <w:shd w:val="clear" w:color="auto" w:fill="FFFFFF"/>
        </w:rPr>
        <w:t xml:space="preserve"> </w:t>
      </w:r>
    </w:p>
    <w:p w:rsidR="00D05E52" w:rsidRPr="004B542B" w:rsidRDefault="00D05E52" w:rsidP="00D05E52">
      <w:pPr>
        <w:tabs>
          <w:tab w:val="center" w:pos="5481"/>
        </w:tabs>
        <w:spacing w:line="276" w:lineRule="auto"/>
        <w:jc w:val="center"/>
        <w:rPr>
          <w:rFonts w:asciiTheme="minorHAnsi" w:hAnsiTheme="minorHAnsi" w:cstheme="minorHAnsi"/>
          <w:sz w:val="18"/>
          <w:szCs w:val="18"/>
          <w:lang w:val="es-AR" w:eastAsia="es-AR"/>
        </w:rPr>
      </w:pPr>
      <w:r w:rsidRPr="004B542B">
        <w:rPr>
          <w:rFonts w:asciiTheme="minorHAnsi" w:hAnsiTheme="minorHAnsi" w:cstheme="minorHAnsi"/>
          <w:color w:val="222222"/>
          <w:sz w:val="18"/>
          <w:szCs w:val="18"/>
          <w:shd w:val="clear" w:color="auto" w:fill="FFFFFF"/>
        </w:rPr>
        <w:t>Nota: No se consideró la totalidad de países bajo análisis debido a falta de disponibilidad de datos</w:t>
      </w:r>
    </w:p>
    <w:p w:rsidR="0076647A" w:rsidRPr="00D05E52" w:rsidRDefault="0076647A" w:rsidP="0076647A">
      <w:pPr>
        <w:spacing w:after="200" w:line="276" w:lineRule="auto"/>
        <w:jc w:val="center"/>
        <w:rPr>
          <w:rFonts w:ascii="Calibri" w:hAnsi="Calibri"/>
          <w:b/>
          <w:i/>
          <w:sz w:val="18"/>
          <w:szCs w:val="18"/>
          <w:lang w:val="es-AR"/>
        </w:rPr>
      </w:pPr>
    </w:p>
    <w:p w:rsidR="0076647A" w:rsidRPr="0076647A" w:rsidRDefault="0076647A" w:rsidP="0076647A">
      <w:pPr>
        <w:spacing w:before="120" w:after="120" w:line="288" w:lineRule="auto"/>
        <w:jc w:val="both"/>
        <w:rPr>
          <w:rFonts w:ascii="Calibri" w:hAnsi="Calibri" w:cs="Calibri"/>
          <w:lang w:val="es-AR" w:eastAsia="es-AR"/>
        </w:rPr>
      </w:pPr>
      <w:r w:rsidRPr="0076647A">
        <w:rPr>
          <w:rFonts w:ascii="Calibri" w:hAnsi="Calibri" w:cs="Calibri"/>
          <w:lang w:val="es-AR" w:eastAsia="es-AR"/>
        </w:rPr>
        <w:t>Como se observa, en el período 2002 – 2008, tanto los investigadores uruguayos como los paraguayos incrementaron sus publicaciones en SCI. Para Perú y Chile se cuenta sólo con datos de un año, los cuales fueron incluidos para mostrar la importancia relativa de cada uno de ellos. Se destaca el caso de Chile, con más de 40 publicaciones en SCI cada 100 investigadores.</w:t>
      </w:r>
    </w:p>
    <w:p w:rsidR="0076647A" w:rsidRPr="0076647A" w:rsidRDefault="0076647A" w:rsidP="0076647A">
      <w:pPr>
        <w:spacing w:before="120" w:after="120" w:line="288" w:lineRule="auto"/>
        <w:jc w:val="both"/>
        <w:rPr>
          <w:rFonts w:ascii="Calibri" w:hAnsi="Calibri" w:cs="Calibri"/>
          <w:lang w:val="es-AR" w:eastAsia="es-AR"/>
        </w:rPr>
      </w:pPr>
      <w:r w:rsidRPr="0076647A">
        <w:rPr>
          <w:rFonts w:ascii="Calibri" w:hAnsi="Calibri" w:cs="Calibri"/>
          <w:lang w:val="es-AR" w:eastAsia="es-AR"/>
        </w:rPr>
        <w:t>Por otro lado, como medida del grado de innovación, resulta relevante analizar el coeficiente de invención, que señala el total de patentes solicitadas por residentes del país cada 100.000 habitantes. Para este indicador, nuevamente sobresale Chile sobre el resto, seguido por Perú, Uruguay, Paraguay y Panamá (que muestra valores relativamente insignificantes), posicionamientos que se mantienen para los años seleccionados a pesar de la evolución dispar para cada país (ver Gráfico 3.12).</w:t>
      </w:r>
    </w:p>
    <w:p w:rsidR="00FC5F01" w:rsidRDefault="00B75BEC" w:rsidP="001860F3">
      <w:pPr>
        <w:rPr>
          <w:rFonts w:ascii="Calibri" w:hAnsi="Calibri" w:cs="Calibri"/>
          <w:b/>
          <w:lang w:val="es-AR" w:eastAsia="es-AR"/>
        </w:rPr>
      </w:pPr>
      <w:r>
        <w:rPr>
          <w:rFonts w:ascii="Calibri" w:hAnsi="Calibri" w:cs="Calibri"/>
          <w:b/>
          <w:lang w:val="es-AR" w:eastAsia="es-AR"/>
        </w:rPr>
        <w:br w:type="page"/>
      </w:r>
    </w:p>
    <w:p w:rsidR="0076647A" w:rsidRPr="0076647A" w:rsidRDefault="0076647A" w:rsidP="0076647A">
      <w:pPr>
        <w:spacing w:after="200" w:line="276" w:lineRule="auto"/>
        <w:jc w:val="center"/>
        <w:rPr>
          <w:rFonts w:ascii="Calibri" w:hAnsi="Calibri" w:cs="Calibri"/>
          <w:b/>
          <w:lang w:val="es-AR" w:eastAsia="es-AR"/>
        </w:rPr>
      </w:pPr>
      <w:r w:rsidRPr="0076647A">
        <w:rPr>
          <w:rFonts w:ascii="Calibri" w:hAnsi="Calibri" w:cs="Calibri"/>
          <w:b/>
          <w:lang w:val="es-AR" w:eastAsia="es-AR"/>
        </w:rPr>
        <w:lastRenderedPageBreak/>
        <w:t>Gráfico 3.12. Patentes solicitadas cada 100.000 habitantes</w:t>
      </w:r>
    </w:p>
    <w:p w:rsidR="0076647A" w:rsidRPr="004B542B" w:rsidRDefault="0076647A" w:rsidP="0076647A">
      <w:pPr>
        <w:spacing w:line="276" w:lineRule="auto"/>
        <w:jc w:val="center"/>
        <w:rPr>
          <w:rFonts w:ascii="Calibri" w:hAnsi="Calibri" w:cs="Calibri"/>
          <w:sz w:val="18"/>
          <w:szCs w:val="18"/>
          <w:lang w:val="es-AR" w:eastAsia="es-AR"/>
        </w:rPr>
      </w:pPr>
      <w:r w:rsidRPr="004B542B">
        <w:rPr>
          <w:noProof/>
          <w:sz w:val="18"/>
          <w:szCs w:val="18"/>
          <w:lang w:val="es-ES_tradnl" w:eastAsia="es-ES_tradnl"/>
        </w:rPr>
        <w:drawing>
          <wp:inline distT="0" distB="0" distL="0" distR="0" wp14:anchorId="6FFD571A" wp14:editId="65036213">
            <wp:extent cx="3961111" cy="237172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3123" cy="2372929"/>
                    </a:xfrm>
                    <a:prstGeom prst="rect">
                      <a:avLst/>
                    </a:prstGeom>
                    <a:noFill/>
                    <a:ln>
                      <a:noFill/>
                    </a:ln>
                  </pic:spPr>
                </pic:pic>
              </a:graphicData>
            </a:graphic>
          </wp:inline>
        </w:drawing>
      </w:r>
    </w:p>
    <w:p w:rsidR="0076647A" w:rsidRPr="004B542B" w:rsidRDefault="0076647A" w:rsidP="0076647A">
      <w:pPr>
        <w:spacing w:line="276" w:lineRule="auto"/>
        <w:jc w:val="center"/>
        <w:rPr>
          <w:rFonts w:ascii="Calibri" w:hAnsi="Calibri" w:cs="Calibri"/>
          <w:sz w:val="18"/>
          <w:szCs w:val="18"/>
          <w:lang w:val="es-AR" w:eastAsia="es-AR"/>
        </w:rPr>
      </w:pPr>
      <w:r w:rsidRPr="004B542B">
        <w:rPr>
          <w:rFonts w:ascii="Calibri" w:hAnsi="Calibri" w:cs="Calibri"/>
          <w:sz w:val="18"/>
          <w:szCs w:val="18"/>
          <w:lang w:val="es-AR" w:eastAsia="es-AR"/>
        </w:rPr>
        <w:t>Fuente: Innovos</w:t>
      </w:r>
      <w:r w:rsidR="00DF4868" w:rsidRPr="004B542B">
        <w:rPr>
          <w:rFonts w:ascii="Calibri" w:hAnsi="Calibri" w:cs="Calibri"/>
          <w:sz w:val="18"/>
          <w:szCs w:val="18"/>
          <w:lang w:val="es-AR" w:eastAsia="es-AR"/>
        </w:rPr>
        <w:t xml:space="preserve"> </w:t>
      </w:r>
      <w:r w:rsidRPr="004B542B">
        <w:rPr>
          <w:rFonts w:ascii="Calibri" w:hAnsi="Calibri" w:cs="Calibri"/>
          <w:sz w:val="18"/>
          <w:szCs w:val="18"/>
          <w:lang w:val="es-AR" w:eastAsia="es-AR"/>
        </w:rPr>
        <w:t>Group en base a RICYT</w:t>
      </w:r>
    </w:p>
    <w:p w:rsidR="0076647A" w:rsidRPr="0076647A" w:rsidRDefault="0076647A" w:rsidP="0076647A">
      <w:pPr>
        <w:pStyle w:val="ListParagraph"/>
        <w:spacing w:line="288" w:lineRule="auto"/>
        <w:ind w:left="0"/>
        <w:jc w:val="both"/>
        <w:rPr>
          <w:rFonts w:ascii="Calibri" w:eastAsia="Calibri" w:hAnsi="Calibri" w:cs="Calibri"/>
          <w:lang w:val="es-AR" w:eastAsia="es-AR"/>
        </w:rPr>
      </w:pPr>
    </w:p>
    <w:p w:rsidR="0076647A" w:rsidRPr="0076647A" w:rsidRDefault="0076647A" w:rsidP="0076647A">
      <w:pPr>
        <w:spacing w:after="200" w:line="276" w:lineRule="auto"/>
        <w:jc w:val="both"/>
        <w:rPr>
          <w:rFonts w:ascii="Calibri" w:hAnsi="Calibri" w:cs="Calibri"/>
          <w:lang w:val="es-AR" w:eastAsia="es-AR"/>
        </w:rPr>
      </w:pPr>
      <w:r w:rsidRPr="0076647A">
        <w:rPr>
          <w:rFonts w:ascii="Calibri" w:hAnsi="Calibri" w:cs="Calibri"/>
          <w:lang w:val="es-AR" w:eastAsia="es-AR"/>
        </w:rPr>
        <w:t>Con respecto a los graduados de carreras de grado, además de Chile, se destaca Perú, con un incremento a lo largo del período 2002 – 2008. Paraguay y Uruguay muestran valores inferiores, pero también crecientes. En lo que respecta a los posgrados, el caso chileno sobresale más aún, mostrando valores casi tres veces superiores a los de Paraguay en 2005 y más de 5 veces superiores en 2008. Paraguay sigue en orden de importancia, mostrando para el período un fuerte incremento tanto en los graduados de maestría como en los de doctorado (ver Gráfico 3.13).</w:t>
      </w:r>
    </w:p>
    <w:p w:rsidR="00B75BEC" w:rsidRDefault="00B75BEC">
      <w:pPr>
        <w:rPr>
          <w:rFonts w:ascii="Calibri" w:hAnsi="Calibri" w:cs="Calibri"/>
          <w:b/>
          <w:lang w:val="es-AR" w:eastAsia="es-AR"/>
        </w:rPr>
      </w:pPr>
      <w:r>
        <w:rPr>
          <w:rFonts w:ascii="Calibri" w:hAnsi="Calibri" w:cs="Calibri"/>
          <w:b/>
          <w:lang w:val="es-AR" w:eastAsia="es-AR"/>
        </w:rPr>
        <w:br w:type="page"/>
      </w:r>
    </w:p>
    <w:p w:rsidR="0076647A" w:rsidRPr="0076647A" w:rsidRDefault="0076647A" w:rsidP="0076647A">
      <w:pPr>
        <w:spacing w:after="200" w:line="276" w:lineRule="auto"/>
        <w:jc w:val="center"/>
        <w:rPr>
          <w:rFonts w:ascii="Calibri" w:hAnsi="Calibri" w:cs="Calibri"/>
          <w:b/>
          <w:lang w:val="es-AR" w:eastAsia="es-AR"/>
        </w:rPr>
      </w:pPr>
      <w:r w:rsidRPr="0076647A">
        <w:rPr>
          <w:rFonts w:ascii="Calibri" w:hAnsi="Calibri" w:cs="Calibri"/>
          <w:b/>
          <w:lang w:val="es-AR" w:eastAsia="es-AR"/>
        </w:rPr>
        <w:lastRenderedPageBreak/>
        <w:t xml:space="preserve">Gráfico 3.13. Títulos de grado, maestría y doctorado </w:t>
      </w:r>
    </w:p>
    <w:p w:rsidR="0076647A" w:rsidRPr="004B542B" w:rsidRDefault="0076647A" w:rsidP="0076647A">
      <w:pPr>
        <w:pStyle w:val="ListParagraph"/>
        <w:spacing w:line="288" w:lineRule="auto"/>
        <w:ind w:left="-709"/>
        <w:jc w:val="center"/>
        <w:rPr>
          <w:rFonts w:ascii="Calibri" w:eastAsia="Calibri" w:hAnsi="Calibri" w:cs="Calibri"/>
          <w:sz w:val="18"/>
          <w:szCs w:val="18"/>
          <w:lang w:val="es-AR" w:eastAsia="es-AR"/>
        </w:rPr>
      </w:pPr>
      <w:r w:rsidRPr="004B542B">
        <w:rPr>
          <w:rFonts w:ascii="Calibri" w:eastAsia="Calibri" w:hAnsi="Calibri" w:cs="Calibri"/>
          <w:noProof/>
          <w:sz w:val="18"/>
          <w:szCs w:val="18"/>
          <w:lang w:val="es-ES_tradnl" w:eastAsia="es-ES_tradnl"/>
        </w:rPr>
        <w:drawing>
          <wp:inline distT="0" distB="0" distL="0" distR="0" wp14:anchorId="4DD666D1" wp14:editId="353339B1">
            <wp:extent cx="6566158" cy="399097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6158" cy="3990975"/>
                    </a:xfrm>
                    <a:prstGeom prst="rect">
                      <a:avLst/>
                    </a:prstGeom>
                    <a:noFill/>
                    <a:ln>
                      <a:noFill/>
                    </a:ln>
                  </pic:spPr>
                </pic:pic>
              </a:graphicData>
            </a:graphic>
          </wp:inline>
        </w:drawing>
      </w:r>
    </w:p>
    <w:p w:rsidR="0076647A" w:rsidRPr="004B542B" w:rsidRDefault="0076647A" w:rsidP="0076647A">
      <w:pPr>
        <w:spacing w:line="276" w:lineRule="auto"/>
        <w:jc w:val="center"/>
        <w:rPr>
          <w:rFonts w:ascii="Calibri" w:hAnsi="Calibri" w:cs="Calibri"/>
          <w:sz w:val="18"/>
          <w:szCs w:val="18"/>
          <w:lang w:val="es-AR" w:eastAsia="es-AR"/>
        </w:rPr>
      </w:pPr>
      <w:r w:rsidRPr="004B542B">
        <w:rPr>
          <w:rFonts w:ascii="Calibri" w:hAnsi="Calibri" w:cs="Calibri"/>
          <w:sz w:val="18"/>
          <w:szCs w:val="18"/>
          <w:lang w:val="es-AR" w:eastAsia="es-AR"/>
        </w:rPr>
        <w:t>Fuente: Innovos</w:t>
      </w:r>
      <w:r w:rsidR="00DF4868" w:rsidRPr="004B542B">
        <w:rPr>
          <w:rFonts w:ascii="Calibri" w:hAnsi="Calibri" w:cs="Calibri"/>
          <w:sz w:val="18"/>
          <w:szCs w:val="18"/>
          <w:lang w:val="es-AR" w:eastAsia="es-AR"/>
        </w:rPr>
        <w:t xml:space="preserve"> </w:t>
      </w:r>
      <w:r w:rsidRPr="004B542B">
        <w:rPr>
          <w:rFonts w:ascii="Calibri" w:hAnsi="Calibri" w:cs="Calibri"/>
          <w:sz w:val="18"/>
          <w:szCs w:val="18"/>
          <w:lang w:val="es-AR" w:eastAsia="es-AR"/>
        </w:rPr>
        <w:t>Group en base a RICYT</w:t>
      </w:r>
    </w:p>
    <w:p w:rsidR="00D05E52" w:rsidRPr="004B542B" w:rsidRDefault="00D05E52" w:rsidP="00D05E52">
      <w:pPr>
        <w:tabs>
          <w:tab w:val="center" w:pos="5481"/>
        </w:tabs>
        <w:spacing w:line="276" w:lineRule="auto"/>
        <w:jc w:val="center"/>
        <w:rPr>
          <w:rFonts w:asciiTheme="minorHAnsi" w:hAnsiTheme="minorHAnsi" w:cstheme="minorHAnsi"/>
          <w:sz w:val="18"/>
          <w:szCs w:val="18"/>
          <w:lang w:val="es-AR" w:eastAsia="es-AR"/>
        </w:rPr>
      </w:pPr>
      <w:r w:rsidRPr="004B542B">
        <w:rPr>
          <w:rFonts w:asciiTheme="minorHAnsi" w:hAnsiTheme="minorHAnsi" w:cstheme="minorHAnsi"/>
          <w:color w:val="222222"/>
          <w:sz w:val="18"/>
          <w:szCs w:val="18"/>
          <w:shd w:val="clear" w:color="auto" w:fill="FFFFFF"/>
        </w:rPr>
        <w:t>Nota: No se consideró la totalidad de países bajo análisis debido a falta de disponibilidad de datos</w:t>
      </w:r>
    </w:p>
    <w:p w:rsidR="0076647A" w:rsidRPr="0076647A" w:rsidRDefault="0076647A" w:rsidP="0076647A">
      <w:pPr>
        <w:spacing w:line="288" w:lineRule="auto"/>
        <w:rPr>
          <w:rFonts w:ascii="Calibri" w:hAnsi="Calibri" w:cs="Calibri"/>
          <w:lang w:val="es-AR" w:eastAsia="es-AR"/>
        </w:rPr>
      </w:pPr>
    </w:p>
    <w:p w:rsidR="00097D6A" w:rsidRPr="00B75BEC" w:rsidRDefault="0076647A" w:rsidP="00B75BEC">
      <w:pPr>
        <w:spacing w:after="200" w:line="276" w:lineRule="auto"/>
        <w:jc w:val="both"/>
        <w:rPr>
          <w:rFonts w:ascii="Calibri" w:hAnsi="Calibri" w:cs="Calibri"/>
          <w:lang w:val="es-AR" w:eastAsia="es-AR"/>
        </w:rPr>
      </w:pPr>
      <w:r w:rsidRPr="0076647A">
        <w:rPr>
          <w:rFonts w:ascii="Calibri" w:hAnsi="Calibri" w:cs="Calibri"/>
          <w:lang w:val="es-AR" w:eastAsia="es-AR"/>
        </w:rPr>
        <w:t>Estos indicadores, al igual que los expuestos anteriormente, muestran la impo</w:t>
      </w:r>
      <w:r w:rsidR="008449FC">
        <w:rPr>
          <w:rFonts w:ascii="Calibri" w:hAnsi="Calibri" w:cs="Calibri"/>
          <w:lang w:val="es-AR" w:eastAsia="es-AR"/>
        </w:rPr>
        <w:t>rtante evolución del sector de ciencia y t</w:t>
      </w:r>
      <w:r w:rsidRPr="0076647A">
        <w:rPr>
          <w:rFonts w:ascii="Calibri" w:hAnsi="Calibri" w:cs="Calibri"/>
          <w:lang w:val="es-AR" w:eastAsia="es-AR"/>
        </w:rPr>
        <w:t>ecnología en Paraguay, pero a la vez denotan cierto rezago del país con respecto al resto de la región.</w:t>
      </w:r>
    </w:p>
    <w:p w:rsidR="00097D6A" w:rsidRDefault="00097D6A" w:rsidP="00097D6A">
      <w:pPr>
        <w:pStyle w:val="Heading2"/>
      </w:pPr>
      <w:bookmarkStart w:id="60" w:name="_Toc375211960"/>
      <w:r>
        <w:t>Contexto institucional</w:t>
      </w:r>
      <w:bookmarkEnd w:id="60"/>
    </w:p>
    <w:p w:rsidR="00097D6A" w:rsidRPr="00090055" w:rsidRDefault="008449FC" w:rsidP="00F074EA">
      <w:pPr>
        <w:spacing w:after="200" w:line="276" w:lineRule="auto"/>
        <w:jc w:val="both"/>
        <w:rPr>
          <w:rFonts w:ascii="Calibri" w:hAnsi="Calibri" w:cs="Calibri"/>
          <w:lang w:val="es-AR" w:eastAsia="es-AR"/>
        </w:rPr>
      </w:pPr>
      <w:r w:rsidRPr="00090055">
        <w:rPr>
          <w:rFonts w:ascii="Calibri" w:hAnsi="Calibri" w:cs="Calibri"/>
          <w:lang w:val="es-AR" w:eastAsia="es-AR"/>
        </w:rPr>
        <w:t xml:space="preserve">Es importante considerar, en este análisis de contexto del PROCIT, el marco institucional en el cual se diseñó y comenzó a ejecutar el Programa. </w:t>
      </w:r>
      <w:r w:rsidR="005603F3">
        <w:rPr>
          <w:rFonts w:ascii="Calibri" w:hAnsi="Calibri" w:cs="Calibri"/>
          <w:lang w:val="es-AR" w:eastAsia="es-AR"/>
        </w:rPr>
        <w:t>El</w:t>
      </w:r>
      <w:r w:rsidRPr="00090055">
        <w:rPr>
          <w:rFonts w:ascii="Calibri" w:hAnsi="Calibri" w:cs="Calibri"/>
          <w:lang w:val="es-AR" w:eastAsia="es-AR"/>
        </w:rPr>
        <w:t xml:space="preserve"> CONACYT, órgano rector del </w:t>
      </w:r>
      <w:r w:rsidR="00C51962">
        <w:rPr>
          <w:rFonts w:ascii="Calibri" w:hAnsi="Calibri" w:cs="Calibri"/>
          <w:lang w:val="es-AR" w:eastAsia="es-AR"/>
        </w:rPr>
        <w:t>Sistema de Ciencia, Tecnología,</w:t>
      </w:r>
      <w:r w:rsidRPr="00090055">
        <w:rPr>
          <w:rFonts w:ascii="Calibri" w:hAnsi="Calibri" w:cs="Calibri"/>
          <w:lang w:val="es-AR" w:eastAsia="es-AR"/>
        </w:rPr>
        <w:t xml:space="preserve"> </w:t>
      </w:r>
      <w:r w:rsidR="00C51962">
        <w:rPr>
          <w:rFonts w:ascii="Calibri" w:hAnsi="Calibri" w:cs="Calibri"/>
          <w:lang w:val="es-AR" w:eastAsia="es-AR"/>
        </w:rPr>
        <w:t>I</w:t>
      </w:r>
      <w:r w:rsidRPr="00090055">
        <w:rPr>
          <w:rFonts w:ascii="Calibri" w:hAnsi="Calibri" w:cs="Calibri"/>
          <w:lang w:val="es-AR" w:eastAsia="es-AR"/>
        </w:rPr>
        <w:t>nnovación y Calidad de Paraguay</w:t>
      </w:r>
      <w:r w:rsidR="005603F3">
        <w:rPr>
          <w:rFonts w:ascii="Calibri" w:hAnsi="Calibri" w:cs="Calibri"/>
          <w:lang w:val="es-AR" w:eastAsia="es-AR"/>
        </w:rPr>
        <w:t>,</w:t>
      </w:r>
      <w:r w:rsidRPr="00090055">
        <w:rPr>
          <w:rFonts w:ascii="Calibri" w:hAnsi="Calibri" w:cs="Calibri"/>
          <w:lang w:val="es-AR" w:eastAsia="es-AR"/>
        </w:rPr>
        <w:t xml:space="preserve"> está conducido por un Presidente que es designado por el Presidente de la República, de una terna propuesta de entre sus miembros por el CONACYT, y dura dos años en sus funciones, pudiendo ser reelecto.</w:t>
      </w:r>
    </w:p>
    <w:p w:rsidR="005603F3" w:rsidRPr="007D78CE" w:rsidRDefault="005603F3" w:rsidP="007D78CE">
      <w:pPr>
        <w:shd w:val="clear" w:color="auto" w:fill="FFFFFF"/>
        <w:spacing w:after="200" w:line="276" w:lineRule="auto"/>
        <w:jc w:val="both"/>
        <w:rPr>
          <w:rFonts w:ascii="Calibri" w:hAnsi="Calibri" w:cs="Calibri"/>
          <w:lang w:val="es-AR" w:eastAsia="es-AR"/>
        </w:rPr>
      </w:pPr>
      <w:r w:rsidRPr="007D78CE">
        <w:rPr>
          <w:rFonts w:ascii="Calibri" w:hAnsi="Calibri" w:cs="Calibri"/>
          <w:lang w:val="es-AR" w:eastAsia="es-AR"/>
        </w:rPr>
        <w:t xml:space="preserve">En el año 2008, inicio de la ejecución del PROCIT, el Ing. Guillermo Stanley ocupaba la Presidencia de CONACYT, permaneciendo en este cargo hasta febrero de 2009, cuando asume como Presidente Interino la Dra. Fátima Mereles. En octubre del mismo año se </w:t>
      </w:r>
      <w:r w:rsidRPr="007D78CE">
        <w:rPr>
          <w:rFonts w:ascii="Calibri" w:hAnsi="Calibri" w:cs="Calibri"/>
          <w:lang w:val="es-AR" w:eastAsia="es-AR"/>
        </w:rPr>
        <w:lastRenderedPageBreak/>
        <w:t>produce un nuevo recambio, y se hace cargo de la Presidencia de CONACYT el Dr. Juan Carlos Rolón. Seguidamente, entre julio de 2011 y marzo de 2012 se designa un Encargado de Despacho, el Dr. Luis Alberto Dávalos</w:t>
      </w:r>
      <w:r w:rsidR="00F64702">
        <w:rPr>
          <w:rFonts w:ascii="Calibri" w:hAnsi="Calibri" w:cs="Calibri"/>
          <w:lang w:val="es-AR" w:eastAsia="es-AR"/>
        </w:rPr>
        <w:t xml:space="preserve"> Dávalos</w:t>
      </w:r>
      <w:r w:rsidRPr="007D78CE">
        <w:rPr>
          <w:rFonts w:ascii="Calibri" w:hAnsi="Calibri" w:cs="Calibri"/>
          <w:lang w:val="es-AR" w:eastAsia="es-AR"/>
        </w:rPr>
        <w:t>, quien luego asume como Presidente, hasta junio de 2013. En ese momento, se designa al Ing. Forestal César José Cardozo Román</w:t>
      </w:r>
      <w:r w:rsidR="00F074EA" w:rsidRPr="007D78CE">
        <w:rPr>
          <w:rFonts w:ascii="Calibri" w:hAnsi="Calibri" w:cs="Calibri"/>
          <w:lang w:val="es-AR" w:eastAsia="es-AR"/>
        </w:rPr>
        <w:t xml:space="preserve"> como </w:t>
      </w:r>
      <w:r w:rsidRPr="007D78CE">
        <w:rPr>
          <w:rFonts w:ascii="Calibri" w:hAnsi="Calibri" w:cs="Calibri"/>
          <w:lang w:val="es-AR" w:eastAsia="es-AR"/>
        </w:rPr>
        <w:t>Encargado de Despacho</w:t>
      </w:r>
      <w:r w:rsidR="00F074EA" w:rsidRPr="007D78CE">
        <w:rPr>
          <w:rFonts w:ascii="Calibri" w:hAnsi="Calibri" w:cs="Calibri"/>
          <w:lang w:val="es-AR" w:eastAsia="es-AR"/>
        </w:rPr>
        <w:t xml:space="preserve"> hasta noviembre de 2013, cuando asume la Presidencia de CONACYT el In</w:t>
      </w:r>
      <w:r w:rsidRPr="007D78CE">
        <w:rPr>
          <w:rFonts w:ascii="Calibri" w:hAnsi="Calibri" w:cs="Calibri"/>
          <w:lang w:val="es-AR" w:eastAsia="es-AR"/>
        </w:rPr>
        <w:t>g. Lui</w:t>
      </w:r>
      <w:r w:rsidR="00F074EA" w:rsidRPr="007D78CE">
        <w:rPr>
          <w:rFonts w:ascii="Calibri" w:hAnsi="Calibri" w:cs="Calibri"/>
          <w:lang w:val="es-AR" w:eastAsia="es-AR"/>
        </w:rPr>
        <w:t>s Alberto Lima Morra, quien se encuentra en funciones a diciembre de 2013, fecha de finalización del PROCIT.</w:t>
      </w:r>
    </w:p>
    <w:p w:rsidR="008B274D" w:rsidRPr="008B274D" w:rsidRDefault="008B274D" w:rsidP="008B274D">
      <w:pPr>
        <w:spacing w:after="200" w:line="276" w:lineRule="auto"/>
        <w:jc w:val="both"/>
        <w:rPr>
          <w:rFonts w:ascii="Calibri" w:hAnsi="Calibri" w:cs="Calibri"/>
          <w:lang w:val="es-AR" w:eastAsia="es-AR"/>
        </w:rPr>
      </w:pPr>
      <w:r w:rsidRPr="008B274D">
        <w:rPr>
          <w:rFonts w:ascii="Calibri" w:hAnsi="Calibri" w:cs="Calibri"/>
          <w:lang w:val="es-AR" w:eastAsia="es-AR"/>
        </w:rPr>
        <w:t>En términos del desarrollo del Sistema Nacional de Ciencia, Tecnología, Innovación y Calidad del Paraguay, PROCIT fue el primer programa en otorgar subsidios para la investigación y desarrollo en forma sistémica y sistemática en el Paraguay.</w:t>
      </w:r>
    </w:p>
    <w:p w:rsidR="008B274D" w:rsidRPr="00C936A5" w:rsidRDefault="008B274D" w:rsidP="008B274D">
      <w:pPr>
        <w:spacing w:after="200" w:line="276" w:lineRule="auto"/>
        <w:jc w:val="both"/>
        <w:rPr>
          <w:rFonts w:ascii="Calibri" w:hAnsi="Calibri" w:cs="Calibri"/>
          <w:color w:val="00B050"/>
          <w:lang w:val="es-AR" w:eastAsia="es-AR"/>
        </w:rPr>
      </w:pPr>
      <w:r w:rsidRPr="008B274D">
        <w:rPr>
          <w:rFonts w:ascii="Calibri" w:hAnsi="Calibri" w:cs="Calibri"/>
          <w:lang w:val="es-AR" w:eastAsia="es-AR"/>
        </w:rPr>
        <w:t>El gráfico 3.14 muestra que el PROCIT sirvió para fondear al CONACYT más allá de un presupuesto básico de operaciones a partir del a</w:t>
      </w:r>
      <w:r w:rsidR="00F074EA">
        <w:rPr>
          <w:rFonts w:ascii="Calibri" w:hAnsi="Calibri" w:cs="Calibri"/>
          <w:lang w:val="es-AR" w:eastAsia="es-AR"/>
        </w:rPr>
        <w:t xml:space="preserve">ño 2007. Más importante aún, </w:t>
      </w:r>
      <w:r w:rsidRPr="008B274D">
        <w:rPr>
          <w:rFonts w:ascii="Calibri" w:hAnsi="Calibri" w:cs="Calibri"/>
          <w:lang w:val="es-AR" w:eastAsia="es-AR"/>
        </w:rPr>
        <w:t>la ejecución del PROCIT evidenció la existencia de una demanda de calidad por este tipo de recursos y catalizó un incremento sustancial del presupuesto propio del CONACYT que en el año 2011 quintuplicó el presupuesto del año 2010. Si bien a partir del 2011 la ejecución presupuestaria del CONACYT ha ido disminuyendo, aún en el 2013 habrá sido el doble de la correspondiente al año 2010. De cualquier manera es muy probable que el presupuesto propio del CONACYT vuelva a aumentar pronto en forma significativa a partir de la eventual aprobación de fondeo para el programa PROCIENCIA.</w:t>
      </w:r>
    </w:p>
    <w:p w:rsidR="008B274D" w:rsidRDefault="008B274D" w:rsidP="008B274D">
      <w:pPr>
        <w:spacing w:line="276" w:lineRule="auto"/>
        <w:jc w:val="center"/>
        <w:rPr>
          <w:rFonts w:ascii="Calibri" w:hAnsi="Calibri" w:cs="Calibri"/>
          <w:b/>
        </w:rPr>
      </w:pPr>
    </w:p>
    <w:p w:rsidR="008B274D" w:rsidRPr="008B274D" w:rsidRDefault="008B274D" w:rsidP="008B274D">
      <w:pPr>
        <w:spacing w:line="276" w:lineRule="auto"/>
        <w:jc w:val="center"/>
        <w:rPr>
          <w:rFonts w:ascii="Calibri" w:hAnsi="Calibri" w:cs="Calibri"/>
          <w:b/>
        </w:rPr>
      </w:pPr>
      <w:r w:rsidRPr="008B274D">
        <w:rPr>
          <w:rFonts w:ascii="Calibri" w:hAnsi="Calibri" w:cs="Calibri"/>
          <w:b/>
        </w:rPr>
        <w:t>Gráfico 3.14: Presupuesto total de CONACYT y financiamiento BID para PROCIT</w:t>
      </w:r>
    </w:p>
    <w:p w:rsidR="008B274D" w:rsidRPr="004B542B" w:rsidRDefault="008B274D" w:rsidP="008B274D">
      <w:pPr>
        <w:spacing w:line="288" w:lineRule="auto"/>
        <w:jc w:val="center"/>
        <w:rPr>
          <w:rFonts w:ascii="Arial" w:hAnsi="Arial" w:cs="Arial"/>
          <w:color w:val="00B050"/>
          <w:sz w:val="18"/>
          <w:szCs w:val="18"/>
        </w:rPr>
      </w:pPr>
      <w:r w:rsidRPr="004B542B">
        <w:rPr>
          <w:noProof/>
          <w:color w:val="00B050"/>
          <w:sz w:val="18"/>
          <w:szCs w:val="18"/>
          <w:lang w:val="es-ES_tradnl" w:eastAsia="es-ES_tradnl"/>
        </w:rPr>
        <w:drawing>
          <wp:inline distT="0" distB="0" distL="0" distR="0" wp14:anchorId="09390602" wp14:editId="6BA831DF">
            <wp:extent cx="5612130" cy="280606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rsidR="008B274D" w:rsidRPr="004B542B" w:rsidRDefault="008B274D" w:rsidP="0037314C">
      <w:pPr>
        <w:spacing w:line="276" w:lineRule="auto"/>
        <w:ind w:right="51"/>
        <w:jc w:val="center"/>
        <w:rPr>
          <w:rFonts w:ascii="Calibri" w:hAnsi="Calibri" w:cs="Arial"/>
          <w:sz w:val="18"/>
          <w:szCs w:val="18"/>
        </w:rPr>
      </w:pPr>
      <w:r w:rsidRPr="004B542B">
        <w:rPr>
          <w:rFonts w:ascii="Calibri" w:hAnsi="Calibri" w:cs="Arial"/>
          <w:sz w:val="18"/>
          <w:szCs w:val="18"/>
        </w:rPr>
        <w:t>* ¿Proyectado?</w:t>
      </w:r>
    </w:p>
    <w:p w:rsidR="008B274D" w:rsidRPr="004B542B" w:rsidRDefault="008B274D" w:rsidP="008B274D">
      <w:pPr>
        <w:spacing w:line="276" w:lineRule="auto"/>
        <w:ind w:right="51"/>
        <w:jc w:val="center"/>
        <w:rPr>
          <w:rFonts w:ascii="Calibri" w:hAnsi="Calibri" w:cs="Calibri"/>
          <w:b/>
          <w:sz w:val="18"/>
          <w:szCs w:val="18"/>
        </w:rPr>
      </w:pPr>
      <w:r w:rsidRPr="004B542B">
        <w:rPr>
          <w:rFonts w:ascii="Calibri" w:hAnsi="Calibri" w:cs="Arial"/>
          <w:sz w:val="18"/>
          <w:szCs w:val="18"/>
        </w:rPr>
        <w:t>Fuente: Innovos Group, en base a CONACYT e informes de monitoreo del BID</w:t>
      </w:r>
    </w:p>
    <w:p w:rsidR="008B274D" w:rsidRPr="008B274D" w:rsidRDefault="008B274D" w:rsidP="008B274D">
      <w:pPr>
        <w:spacing w:after="200" w:line="276" w:lineRule="auto"/>
        <w:jc w:val="both"/>
        <w:rPr>
          <w:rFonts w:ascii="Calibri" w:hAnsi="Calibri" w:cs="Calibri"/>
          <w:lang w:eastAsia="es-AR"/>
        </w:rPr>
      </w:pPr>
    </w:p>
    <w:p w:rsidR="008B274D" w:rsidRPr="008B274D" w:rsidRDefault="008B274D" w:rsidP="008B274D">
      <w:pPr>
        <w:spacing w:after="200" w:line="276" w:lineRule="auto"/>
        <w:jc w:val="both"/>
        <w:rPr>
          <w:rFonts w:ascii="Calibri" w:hAnsi="Calibri" w:cs="Calibri"/>
          <w:lang w:val="es-AR" w:eastAsia="es-AR"/>
        </w:rPr>
      </w:pPr>
      <w:r w:rsidRPr="008B274D">
        <w:rPr>
          <w:rFonts w:ascii="Calibri" w:hAnsi="Calibri" w:cs="Calibri"/>
          <w:lang w:val="es-AR" w:eastAsia="es-AR"/>
        </w:rPr>
        <w:lastRenderedPageBreak/>
        <w:t>La experiencia y metodologías de trabajo acumuladas durante la implementación del PROCIT fueron utilizadas para el diseño e implementación de programas adicionales desarrollados en el marco de CONACYT. Uno de ellos es el DETIEC (Proyecto Desarrollo Tecnológico, Innovación y Evaluación de Conformidad), creado en el año 2009 y financiado por el Fondo para la Convergencia Estructural del MERCOSUR. Tiene como principal objetivo mejorar la competitividad de los productos y servicios del Paraguay, superando los obstáculos técnicos al comercio regional y asegurando la satisfacción de requerimientos cambiantes de los mercados a través de la calidad y la innovación, a través del desarrollo de dos componentes. El primero es el fortalecimiento del sistema nacional de calidad y el segundo, el fortalecimientos del sistema nacional de innovación.</w:t>
      </w:r>
    </w:p>
    <w:p w:rsidR="008B274D" w:rsidRPr="008B274D" w:rsidRDefault="008B274D" w:rsidP="008B274D">
      <w:pPr>
        <w:spacing w:after="200" w:line="276" w:lineRule="auto"/>
        <w:jc w:val="both"/>
        <w:rPr>
          <w:rFonts w:ascii="Calibri" w:hAnsi="Calibri" w:cs="Calibri"/>
          <w:lang w:val="es-AR" w:eastAsia="es-AR"/>
        </w:rPr>
      </w:pPr>
      <w:r w:rsidRPr="008B274D">
        <w:rPr>
          <w:rFonts w:ascii="Calibri" w:hAnsi="Calibri" w:cs="Calibri"/>
          <w:lang w:val="es-AR" w:eastAsia="es-AR"/>
        </w:rPr>
        <w:t>Otro de los programas destacados es el PRONNI (Programa Nacional de Incentivo al investigador), creado en el año 2011, y cuyo principal objetivo es identificar y categorizar a todos los profesionales paraguayos dedicados a la ciencia en el país o en el exterior, otorgando incentivos económicos a quienes demuestren una sostenida producción científica tecnológica y a quienes promuevan la formación de jóvenes científicos. Esta iniciativa busca fomentar la carrera del investigador en el Paraguay, mediante su categorización, evaluación de su producción científica y tecnológica, así como a través del otorgamiento de incentivos económicos.</w:t>
      </w:r>
    </w:p>
    <w:p w:rsidR="00AB134F" w:rsidRDefault="00AB134F" w:rsidP="00097D6A">
      <w:pPr>
        <w:pStyle w:val="Heading2"/>
      </w:pPr>
      <w:bookmarkStart w:id="61" w:name="_Toc367356300"/>
      <w:bookmarkStart w:id="62" w:name="_Toc367386177"/>
      <w:bookmarkStart w:id="63" w:name="_Toc367386234"/>
      <w:bookmarkStart w:id="64" w:name="_Toc367386393"/>
      <w:bookmarkStart w:id="65" w:name="_Toc367392976"/>
      <w:bookmarkStart w:id="66" w:name="_Toc367393260"/>
      <w:bookmarkStart w:id="67" w:name="_Toc367445774"/>
      <w:bookmarkStart w:id="68" w:name="_Toc370915097"/>
      <w:bookmarkStart w:id="69" w:name="_Toc375211961"/>
      <w:bookmarkStart w:id="70" w:name="_Toc367356303"/>
      <w:bookmarkStart w:id="71" w:name="_Toc367393263"/>
      <w:bookmarkEnd w:id="61"/>
      <w:bookmarkEnd w:id="62"/>
      <w:bookmarkEnd w:id="63"/>
      <w:bookmarkEnd w:id="64"/>
      <w:bookmarkEnd w:id="65"/>
      <w:bookmarkEnd w:id="66"/>
      <w:bookmarkEnd w:id="67"/>
      <w:bookmarkEnd w:id="68"/>
      <w:r>
        <w:t>Los desafíos que motivaron el programa</w:t>
      </w:r>
      <w:bookmarkEnd w:id="69"/>
    </w:p>
    <w:p w:rsidR="00F3689D" w:rsidRPr="00F84412" w:rsidRDefault="00F3689D" w:rsidP="00F84412">
      <w:pPr>
        <w:spacing w:after="200" w:line="276" w:lineRule="auto"/>
        <w:jc w:val="both"/>
        <w:rPr>
          <w:rFonts w:ascii="Calibri" w:hAnsi="Calibri" w:cs="Calibri"/>
          <w:color w:val="000000"/>
          <w:lang w:val="es-AR" w:eastAsia="es-AR"/>
        </w:rPr>
      </w:pPr>
      <w:r w:rsidRPr="00F84412">
        <w:rPr>
          <w:rFonts w:ascii="Calibri" w:hAnsi="Calibri" w:cs="Calibri"/>
          <w:color w:val="000000"/>
          <w:lang w:val="es-AR" w:eastAsia="es-AR"/>
        </w:rPr>
        <w:t>Las primeras políticas orientadas a promocionar la ciencia, tecnología e innovación en Paraguay crearon la Secretaría Técnica de Planificación en el año 1962, el Instituto Nacional de Tecnología y Normalización en 1963 y la Secretaría Nacional de Tecnología en 1976.  Sin embargo, el verdadero impulso a la investigación y la creación un sistema nacional de ciencia y tecnología no se concretó sino unas décadas después en el año 1997 cuando se promulgó la ley 1028 “Ley General de ciencia y tecnolog</w:t>
      </w:r>
      <w:r w:rsidR="00534377" w:rsidRPr="00F84412">
        <w:rPr>
          <w:rFonts w:ascii="Calibri" w:hAnsi="Calibri" w:cs="Calibri"/>
          <w:color w:val="000000"/>
          <w:lang w:val="es-AR" w:eastAsia="es-AR"/>
        </w:rPr>
        <w:t>ía” en donde se determinó que “l</w:t>
      </w:r>
      <w:r w:rsidRPr="00F84412">
        <w:rPr>
          <w:rFonts w:ascii="Calibri" w:hAnsi="Calibri" w:cs="Calibri"/>
          <w:color w:val="000000"/>
          <w:lang w:val="es-AR" w:eastAsia="es-AR"/>
        </w:rPr>
        <w:t>a coordinación, orientación y evaluación general del Sistema Nacional de Ciencia, Tecnología e Innovación y del Sistema Nacional de Calidad estarán a cargo del Consejo Nacional de Ciencia y Tecnología (CONACYT), organizado como institución pública, autárquica, de composición mixta, dependiente de la Presidencia de la República”, reglamentada por Decreto Nº 19.007/2002.</w:t>
      </w:r>
    </w:p>
    <w:p w:rsidR="00F3689D" w:rsidRPr="00F84412" w:rsidRDefault="00F3689D" w:rsidP="00F84412">
      <w:pPr>
        <w:spacing w:after="200" w:line="276" w:lineRule="auto"/>
        <w:jc w:val="both"/>
        <w:rPr>
          <w:rFonts w:ascii="Calibri" w:hAnsi="Calibri" w:cs="Calibri"/>
          <w:color w:val="000000"/>
          <w:lang w:val="es-AR" w:eastAsia="es-AR"/>
        </w:rPr>
      </w:pPr>
      <w:r w:rsidRPr="00F84412">
        <w:rPr>
          <w:rFonts w:ascii="Calibri" w:hAnsi="Calibri" w:cs="Calibri"/>
          <w:color w:val="000000"/>
          <w:lang w:val="es-AR" w:eastAsia="es-AR"/>
        </w:rPr>
        <w:t xml:space="preserve">La creación del CONACYT supuso un quiebre </w:t>
      </w:r>
      <w:r w:rsidR="00B80259">
        <w:rPr>
          <w:rFonts w:ascii="Calibri" w:hAnsi="Calibri" w:cs="Calibri"/>
          <w:color w:val="000000"/>
          <w:lang w:val="es-AR" w:eastAsia="es-AR"/>
        </w:rPr>
        <w:t>en el</w:t>
      </w:r>
      <w:r w:rsidRPr="00F84412">
        <w:rPr>
          <w:rFonts w:ascii="Calibri" w:hAnsi="Calibri" w:cs="Calibri"/>
          <w:color w:val="000000"/>
          <w:lang w:val="es-AR" w:eastAsia="es-AR"/>
        </w:rPr>
        <w:t xml:space="preserve"> sistema institucional que caracterizaba al país en materia de ciencia y tecnología. Este proceso supuso la creación de un marco legal de acción que permitiera articular las políticas que se venían desarrollando por los distintos actores involucrados (ministerios, universidades, gremios, institutos de investigación, entre otros).</w:t>
      </w:r>
    </w:p>
    <w:p w:rsidR="00534377" w:rsidRPr="00F84412" w:rsidRDefault="00534377" w:rsidP="00F84412">
      <w:pPr>
        <w:spacing w:after="200" w:line="276" w:lineRule="auto"/>
        <w:jc w:val="both"/>
        <w:rPr>
          <w:rFonts w:asciiTheme="minorHAnsi" w:hAnsiTheme="minorHAnsi" w:cstheme="minorHAnsi"/>
          <w:i/>
        </w:rPr>
      </w:pPr>
      <w:r w:rsidRPr="00F84412">
        <w:rPr>
          <w:rFonts w:asciiTheme="minorHAnsi" w:hAnsiTheme="minorHAnsi" w:cstheme="minorHAnsi"/>
        </w:rPr>
        <w:lastRenderedPageBreak/>
        <w:t xml:space="preserve">Según se expresa en el documento Política Nacional de Ciencia y Tecnología del año 2002, elaborado por CONACYT, </w:t>
      </w:r>
      <w:r w:rsidRPr="00F84412">
        <w:rPr>
          <w:rFonts w:asciiTheme="minorHAnsi" w:hAnsiTheme="minorHAnsi" w:cstheme="minorHAnsi"/>
          <w:i/>
        </w:rPr>
        <w:t xml:space="preserve">“…las actividades científicas y tecnológicas en Paraguay no han sido notables en la historia, así como tampoco ha tenido su tratamiento un peso gravitante en las políticas públicas. (…) Esto ha contribuido para que el país haya ampliado la brecha de conocimiento no solamente con los países más desarrollados del mundo, sino también con la mayor parte de los demás países sudamericanos. </w:t>
      </w:r>
    </w:p>
    <w:p w:rsidR="00534377" w:rsidRPr="00F84412" w:rsidRDefault="00534377" w:rsidP="00F84412">
      <w:pPr>
        <w:spacing w:after="200" w:line="276" w:lineRule="auto"/>
        <w:jc w:val="both"/>
        <w:rPr>
          <w:rFonts w:asciiTheme="minorHAnsi" w:hAnsiTheme="minorHAnsi" w:cstheme="minorHAnsi"/>
        </w:rPr>
      </w:pPr>
      <w:r w:rsidRPr="00F84412">
        <w:rPr>
          <w:rFonts w:asciiTheme="minorHAnsi" w:hAnsiTheme="minorHAnsi" w:cstheme="minorHAnsi"/>
          <w:i/>
        </w:rPr>
        <w:t>El hecho de que exista ese rezago comparativo en la generación, profundización y aplicación de conocimientos científicos y tecnológicos en el país produce no solamente un efecto directo en sí (por ejemplo, el escasísimo desarrollo de las ciencias básicas), en el sentido de llevar al país a los últimos lugares en cuanto a producción científica, sino también afecta directamente a la capacidad de innovación productiva, la competitividad de la producción nacional, el nivel y la calidad de vida de la población, la productividad y la capacidad de producción de bienes exportables con alto valor agregado. En la actualidad, el hecho de dejar un lugar marginal para la Investigación y Desarrollo (I+D) constituye un obstáculo para el crecimiento cultural, social y económico de los países.”</w:t>
      </w:r>
      <w:r w:rsidRPr="00F84412">
        <w:rPr>
          <w:rFonts w:asciiTheme="minorHAnsi" w:hAnsiTheme="minorHAnsi" w:cstheme="minorHAnsi"/>
        </w:rPr>
        <w:t xml:space="preserve"> (CONACYT, 2002:4) </w:t>
      </w:r>
    </w:p>
    <w:p w:rsidR="00534377" w:rsidRPr="00F84412" w:rsidRDefault="00534377" w:rsidP="00F84412">
      <w:pPr>
        <w:spacing w:after="200" w:line="276" w:lineRule="auto"/>
        <w:jc w:val="both"/>
        <w:rPr>
          <w:rFonts w:asciiTheme="minorHAnsi" w:hAnsiTheme="minorHAnsi" w:cstheme="minorHAnsi"/>
        </w:rPr>
      </w:pPr>
      <w:r w:rsidRPr="00F84412">
        <w:rPr>
          <w:rFonts w:asciiTheme="minorHAnsi" w:hAnsiTheme="minorHAnsi" w:cstheme="minorHAnsi"/>
        </w:rPr>
        <w:t>Esta Política Nacional de Ciencia y Tecnología se fundamentó, además, en cuatro factores de gran relevancia e impacto en este ámbito. En primer lugar, la globalización económica exige un desarrollo económico y social que tenga como base la innovación productiva, lo cual implica la existencia de condiciones favorables para la generación, mejoramiento, transferencia, aplicación o adaptación de conocimientos científicos y tecnológicos. En segundo lugar, el escaso desarrollo de las ciencias básicas en Paraguay se plantea como un impedimento para impulsar proyectos de investigación con potencial de éxito y de rigor científico. En tercer lugar, el CONACYT posee la atribución otorgada por Ley para formular y proponer la Política Nacional de Ciencia y Tecnología, en concordancia con la política de desarrollo económico y social. Finalmente, y en cuarto lugar, el gobierno paraguayo aprobó un Plan Estratégico Económico y Social, de cumplimiento obligatorio, en el cual se manifiesta la importancia de la ciencia y tecnología, y se le da un lugar destacado. (CONACYT, 2002).</w:t>
      </w:r>
    </w:p>
    <w:p w:rsidR="00534377" w:rsidRPr="00F84412" w:rsidRDefault="00534377" w:rsidP="00F84412">
      <w:pPr>
        <w:spacing w:after="200" w:line="276" w:lineRule="auto"/>
        <w:jc w:val="both"/>
        <w:rPr>
          <w:rFonts w:asciiTheme="minorHAnsi" w:hAnsiTheme="minorHAnsi" w:cstheme="minorHAnsi"/>
        </w:rPr>
      </w:pPr>
      <w:r w:rsidRPr="00F84412">
        <w:rPr>
          <w:rFonts w:asciiTheme="minorHAnsi" w:hAnsiTheme="minorHAnsi" w:cstheme="minorHAnsi"/>
        </w:rPr>
        <w:t xml:space="preserve">Asimismo, la Política Nacional de Ciencia y Tecnología se constituyó como eje rector del uso racional de los recursos disponibles en el país y los que provinieran de la cooperación internacional, teniendo un carácter indicativo respecto de las actividades y servicios científicos y tecnológicos que se desarrollen en organismos e instituciones públicas, privadas y de la sociedad civil. </w:t>
      </w:r>
    </w:p>
    <w:p w:rsidR="00534377" w:rsidRPr="00F84412" w:rsidRDefault="00F3689D" w:rsidP="00F84412">
      <w:pPr>
        <w:spacing w:after="200" w:line="276" w:lineRule="auto"/>
        <w:jc w:val="both"/>
        <w:rPr>
          <w:rFonts w:ascii="Calibri" w:hAnsi="Calibri" w:cs="Calibri"/>
          <w:color w:val="000000"/>
          <w:lang w:val="es-AR" w:eastAsia="es-AR"/>
        </w:rPr>
      </w:pPr>
      <w:r w:rsidRPr="00F84412">
        <w:rPr>
          <w:rFonts w:ascii="Calibri" w:hAnsi="Calibri" w:cs="Calibri"/>
          <w:color w:val="000000"/>
          <w:lang w:val="es-AR" w:eastAsia="es-AR"/>
        </w:rPr>
        <w:t>Para el logro de estos objetivos fue creado el Fondo Nacional de Ciencia y Tecnologí</w:t>
      </w:r>
      <w:r w:rsidR="00534377" w:rsidRPr="00F84412">
        <w:rPr>
          <w:rFonts w:ascii="Calibri" w:hAnsi="Calibri" w:cs="Calibri"/>
          <w:color w:val="000000"/>
          <w:lang w:val="es-AR" w:eastAsia="es-AR"/>
        </w:rPr>
        <w:t xml:space="preserve">a (FONACYT), </w:t>
      </w:r>
      <w:r w:rsidRPr="00F84412">
        <w:rPr>
          <w:rFonts w:ascii="Calibri" w:hAnsi="Calibri" w:cs="Calibri"/>
          <w:color w:val="000000"/>
          <w:lang w:val="es-AR" w:eastAsia="es-AR"/>
        </w:rPr>
        <w:t xml:space="preserve">“ente del CONACYT responsable del financiamiento de los programas y </w:t>
      </w:r>
      <w:r w:rsidRPr="00F84412">
        <w:rPr>
          <w:rFonts w:ascii="Calibri" w:hAnsi="Calibri" w:cs="Calibri"/>
          <w:color w:val="000000"/>
          <w:lang w:val="es-AR" w:eastAsia="es-AR"/>
        </w:rPr>
        <w:lastRenderedPageBreak/>
        <w:t xml:space="preserve">proyectos de investigación científica y de desarrollo tecnológico, a la adaptación de nuevas tecnologías y a la difusión de las mismas.” </w:t>
      </w:r>
    </w:p>
    <w:p w:rsidR="00462ECF" w:rsidRPr="00F84412" w:rsidRDefault="00462ECF" w:rsidP="00F84412">
      <w:pPr>
        <w:spacing w:after="200" w:line="276" w:lineRule="auto"/>
        <w:jc w:val="both"/>
        <w:rPr>
          <w:rFonts w:ascii="Calibri" w:hAnsi="Calibri" w:cs="Calibri"/>
          <w:color w:val="000000"/>
          <w:lang w:val="es-AR" w:eastAsia="es-AR"/>
        </w:rPr>
      </w:pPr>
      <w:r w:rsidRPr="00F84412">
        <w:rPr>
          <w:rFonts w:ascii="Calibri" w:hAnsi="Calibri" w:cs="Calibri"/>
          <w:color w:val="000000"/>
          <w:lang w:val="es-AR" w:eastAsia="es-AR"/>
        </w:rPr>
        <w:t>Sin embargo, hacia el año 2005, desde la perspectiva sectorial de ciencia y tecnología, aún esta política nacional no había logrado plasmarse en acciones y resultados concretos de mejora de este sector.</w:t>
      </w:r>
    </w:p>
    <w:p w:rsidR="002A3811" w:rsidRPr="00F84412" w:rsidRDefault="00462ECF" w:rsidP="00F84412">
      <w:pPr>
        <w:spacing w:after="200" w:line="276" w:lineRule="auto"/>
        <w:jc w:val="both"/>
        <w:rPr>
          <w:rFonts w:asciiTheme="minorHAnsi" w:hAnsiTheme="minorHAnsi" w:cstheme="minorHAnsi"/>
        </w:rPr>
      </w:pPr>
      <w:r w:rsidRPr="00F84412">
        <w:rPr>
          <w:rFonts w:ascii="Calibri" w:hAnsi="Calibri" w:cs="Calibri"/>
          <w:color w:val="000000"/>
          <w:lang w:val="es-AR" w:eastAsia="es-AR"/>
        </w:rPr>
        <w:t xml:space="preserve">El Informe de </w:t>
      </w:r>
      <w:r w:rsidRPr="00F84412">
        <w:rPr>
          <w:rFonts w:asciiTheme="minorHAnsi" w:hAnsiTheme="minorHAnsi" w:cstheme="minorHAnsi"/>
        </w:rPr>
        <w:t xml:space="preserve">Estadísticas e Indicadores de Ciencia y Tecnología de Paraguay del año 2005, elaborado por CONACYT, señala que </w:t>
      </w:r>
      <w:r w:rsidR="002A3811" w:rsidRPr="00F84412">
        <w:rPr>
          <w:rFonts w:asciiTheme="minorHAnsi" w:hAnsiTheme="minorHAnsi" w:cstheme="minorHAnsi"/>
        </w:rPr>
        <w:t xml:space="preserve">Paraguay presenta “…uno de los porcentajes de gastos para actividades de I+D más bajos de la región (0,086), posicionándose muy por debajo del promedio de América latina y el Caribe, que está en el orden de 0,57 % y más aún considerado el umbral de 1% que orientan la UNESCO y los países de la OCDE.” Comenta además que este gasto se enfoca al sector agropecuario, relacionado estrechamente con la actividad preponderante de Paraguay, pero a su vez la que posee menor valor agregado. Respecto de los investigadores, </w:t>
      </w:r>
      <w:r w:rsidR="00B1686D" w:rsidRPr="00F84412">
        <w:rPr>
          <w:rFonts w:asciiTheme="minorHAnsi" w:hAnsiTheme="minorHAnsi" w:cstheme="minorHAnsi"/>
        </w:rPr>
        <w:t xml:space="preserve">menciona que </w:t>
      </w:r>
      <w:r w:rsidR="002A3811" w:rsidRPr="00F84412">
        <w:rPr>
          <w:rFonts w:asciiTheme="minorHAnsi" w:hAnsiTheme="minorHAnsi" w:cstheme="minorHAnsi"/>
        </w:rPr>
        <w:t xml:space="preserve">en su mayoría pertenecen a este sector, así como también el objetivo socioeconómico al cual apuntan los trabajos de investigación realizados en Paraguay. </w:t>
      </w:r>
      <w:r w:rsidR="00B1686D" w:rsidRPr="00F84412">
        <w:rPr>
          <w:rFonts w:asciiTheme="minorHAnsi" w:hAnsiTheme="minorHAnsi" w:cstheme="minorHAnsi"/>
        </w:rPr>
        <w:t xml:space="preserve">A partir de estas conclusiones, sugiere </w:t>
      </w:r>
      <w:r w:rsidR="002A3811" w:rsidRPr="00F84412">
        <w:rPr>
          <w:rFonts w:asciiTheme="minorHAnsi" w:hAnsiTheme="minorHAnsi" w:cstheme="minorHAnsi"/>
        </w:rPr>
        <w:t xml:space="preserve">el desarrollo o fortalecimiento de otras áreas científicas tales como la biotecnología y las ingenierías y tecnologías. </w:t>
      </w:r>
    </w:p>
    <w:p w:rsidR="00462ECF" w:rsidRPr="00F84412" w:rsidRDefault="00B1686D" w:rsidP="00F84412">
      <w:pPr>
        <w:spacing w:after="200" w:line="276" w:lineRule="auto"/>
        <w:jc w:val="both"/>
        <w:rPr>
          <w:rFonts w:ascii="Calibri" w:hAnsi="Calibri" w:cs="Calibri"/>
          <w:color w:val="000000"/>
          <w:lang w:val="es-AR" w:eastAsia="es-AR"/>
        </w:rPr>
      </w:pPr>
      <w:r w:rsidRPr="00F84412">
        <w:rPr>
          <w:rFonts w:asciiTheme="minorHAnsi" w:hAnsiTheme="minorHAnsi" w:cstheme="minorHAnsi"/>
        </w:rPr>
        <w:t xml:space="preserve">Finalmente, valora el indicador de patentes, que si bien es un reflejo “imperfecto” </w:t>
      </w:r>
      <w:r w:rsidR="002A3811" w:rsidRPr="00F84412">
        <w:rPr>
          <w:rFonts w:asciiTheme="minorHAnsi" w:hAnsiTheme="minorHAnsi" w:cstheme="minorHAnsi"/>
        </w:rPr>
        <w:t>de la actividad innovadora</w:t>
      </w:r>
      <w:r w:rsidRPr="00F84412">
        <w:rPr>
          <w:rFonts w:asciiTheme="minorHAnsi" w:hAnsiTheme="minorHAnsi" w:cstheme="minorHAnsi"/>
        </w:rPr>
        <w:t xml:space="preserve">, </w:t>
      </w:r>
      <w:r w:rsidR="002A3811" w:rsidRPr="00F84412">
        <w:rPr>
          <w:rFonts w:asciiTheme="minorHAnsi" w:hAnsiTheme="minorHAnsi" w:cstheme="minorHAnsi"/>
        </w:rPr>
        <w:t>da</w:t>
      </w:r>
      <w:r w:rsidR="00F84412" w:rsidRPr="00F84412">
        <w:rPr>
          <w:rFonts w:asciiTheme="minorHAnsi" w:hAnsiTheme="minorHAnsi" w:cstheme="minorHAnsi"/>
        </w:rPr>
        <w:t xml:space="preserve"> una imagen de un</w:t>
      </w:r>
      <w:r w:rsidR="002A3811" w:rsidRPr="00F84412">
        <w:rPr>
          <w:rFonts w:asciiTheme="minorHAnsi" w:hAnsiTheme="minorHAnsi" w:cstheme="minorHAnsi"/>
        </w:rPr>
        <w:t>a baja tasa de autosuficiencia y una elevada tasa de dependencia del Paraguay.</w:t>
      </w:r>
    </w:p>
    <w:p w:rsidR="00534377" w:rsidRPr="00F84412" w:rsidRDefault="00462ECF" w:rsidP="00F84412">
      <w:pPr>
        <w:spacing w:after="200" w:line="276" w:lineRule="auto"/>
        <w:jc w:val="both"/>
        <w:rPr>
          <w:rFonts w:ascii="Calibri" w:hAnsi="Calibri" w:cs="Calibri"/>
          <w:color w:val="000000"/>
          <w:lang w:val="es-AR" w:eastAsia="es-AR"/>
        </w:rPr>
      </w:pPr>
      <w:r w:rsidRPr="00F84412">
        <w:rPr>
          <w:rFonts w:ascii="Calibri" w:hAnsi="Calibri" w:cs="Calibri"/>
          <w:color w:val="000000"/>
          <w:lang w:val="es-AR" w:eastAsia="es-AR"/>
        </w:rPr>
        <w:t xml:space="preserve">Estos indicadores de bajo desempeño sin duda constituyeron un gran desafío a mejorar. </w:t>
      </w:r>
      <w:r w:rsidR="00FE2AE3">
        <w:rPr>
          <w:rFonts w:ascii="Calibri" w:hAnsi="Calibri" w:cs="Calibri"/>
          <w:color w:val="000000"/>
          <w:lang w:val="es-AR" w:eastAsia="es-AR"/>
        </w:rPr>
        <w:t>Y este desafío se presentaba en un contexto económico-institucional favorable, ya que Paraguay contaba con</w:t>
      </w:r>
      <w:r w:rsidRPr="00F84412">
        <w:rPr>
          <w:rFonts w:ascii="Calibri" w:hAnsi="Calibri" w:cs="Calibri"/>
          <w:color w:val="000000"/>
          <w:lang w:val="es-AR" w:eastAsia="es-AR"/>
        </w:rPr>
        <w:t xml:space="preserve"> </w:t>
      </w:r>
      <w:r w:rsidR="00534377" w:rsidRPr="00F84412">
        <w:rPr>
          <w:rFonts w:ascii="Calibri" w:hAnsi="Calibri" w:cs="Calibri"/>
          <w:color w:val="000000"/>
          <w:lang w:val="es-AR" w:eastAsia="es-AR"/>
        </w:rPr>
        <w:t>marcos normativos de políticas públicas de ciencia y tecnología, y un contexto económico, hacia el año 2007, como ya se mencionó, de oportunidades macroeconómicas favorables y de crecimiento</w:t>
      </w:r>
      <w:r w:rsidR="00F84412" w:rsidRPr="00F84412">
        <w:rPr>
          <w:rFonts w:ascii="Calibri" w:hAnsi="Calibri" w:cs="Calibri"/>
          <w:color w:val="000000"/>
          <w:lang w:val="es-AR" w:eastAsia="es-AR"/>
        </w:rPr>
        <w:t>. Además, l</w:t>
      </w:r>
      <w:r w:rsidR="00F84412" w:rsidRPr="00F84412">
        <w:rPr>
          <w:rFonts w:asciiTheme="minorHAnsi" w:hAnsiTheme="minorHAnsi" w:cstheme="minorHAnsi"/>
        </w:rPr>
        <w:t xml:space="preserve">a posibilidad de conseguir financiamiento externo para desarrollar y potenciar el desarrollo de la ciencia, la tecnología y la innovación en Paraguay, constituyeron un primer gran paso para construir las bases de las capacidades nacionales en este ámbito y </w:t>
      </w:r>
      <w:r w:rsidR="00534377" w:rsidRPr="00F84412">
        <w:rPr>
          <w:rFonts w:ascii="Calibri" w:hAnsi="Calibri" w:cs="Calibri"/>
          <w:color w:val="000000"/>
          <w:lang w:val="es-AR" w:eastAsia="es-AR"/>
        </w:rPr>
        <w:t xml:space="preserve">conformaron un contexto </w:t>
      </w:r>
      <w:r w:rsidR="00FE2AE3">
        <w:rPr>
          <w:rFonts w:ascii="Calibri" w:hAnsi="Calibri" w:cs="Calibri"/>
          <w:color w:val="000000"/>
          <w:lang w:val="es-AR" w:eastAsia="es-AR"/>
        </w:rPr>
        <w:t xml:space="preserve">general </w:t>
      </w:r>
      <w:r w:rsidR="00534377" w:rsidRPr="00F84412">
        <w:rPr>
          <w:rFonts w:ascii="Calibri" w:hAnsi="Calibri" w:cs="Calibri"/>
          <w:color w:val="000000"/>
          <w:lang w:val="es-AR" w:eastAsia="es-AR"/>
        </w:rPr>
        <w:t xml:space="preserve">favorable para </w:t>
      </w:r>
      <w:r w:rsidRPr="00F84412">
        <w:rPr>
          <w:rFonts w:ascii="Calibri" w:hAnsi="Calibri" w:cs="Calibri"/>
          <w:color w:val="000000"/>
          <w:lang w:val="es-AR" w:eastAsia="es-AR"/>
        </w:rPr>
        <w:t>la creación del PROCIT.</w:t>
      </w:r>
    </w:p>
    <w:p w:rsidR="00AB134F" w:rsidRDefault="00AB134F" w:rsidP="00F84412">
      <w:pPr>
        <w:spacing w:after="200" w:line="276" w:lineRule="auto"/>
        <w:jc w:val="both"/>
        <w:rPr>
          <w:rFonts w:asciiTheme="minorHAnsi" w:hAnsiTheme="minorHAnsi" w:cstheme="minorHAnsi"/>
          <w:lang w:val="es-ES_tradnl"/>
        </w:rPr>
      </w:pPr>
    </w:p>
    <w:p w:rsidR="00FC5F01" w:rsidRDefault="00FC5F01" w:rsidP="00F84412">
      <w:pPr>
        <w:spacing w:after="200" w:line="276" w:lineRule="auto"/>
        <w:jc w:val="both"/>
        <w:rPr>
          <w:rFonts w:asciiTheme="minorHAnsi" w:hAnsiTheme="minorHAnsi" w:cstheme="minorHAnsi"/>
          <w:lang w:val="es-ES_tradnl"/>
        </w:rPr>
      </w:pPr>
    </w:p>
    <w:p w:rsidR="00FC5F01" w:rsidRPr="00F84412" w:rsidRDefault="00FC5F01" w:rsidP="00F84412">
      <w:pPr>
        <w:spacing w:after="200" w:line="276" w:lineRule="auto"/>
        <w:jc w:val="both"/>
        <w:rPr>
          <w:rFonts w:asciiTheme="minorHAnsi" w:hAnsiTheme="minorHAnsi" w:cstheme="minorHAnsi"/>
          <w:lang w:val="es-ES_tradnl"/>
        </w:rPr>
      </w:pPr>
    </w:p>
    <w:p w:rsidR="007934E0" w:rsidRDefault="007934E0" w:rsidP="00097D6A">
      <w:pPr>
        <w:pStyle w:val="Heading2"/>
      </w:pPr>
      <w:bookmarkStart w:id="72" w:name="_Toc375211962"/>
      <w:bookmarkEnd w:id="7"/>
      <w:bookmarkEnd w:id="70"/>
      <w:bookmarkEnd w:id="71"/>
      <w:r>
        <w:lastRenderedPageBreak/>
        <w:t>Aspectos destacados del PROCIT: Caracterización del programa</w:t>
      </w:r>
      <w:bookmarkEnd w:id="72"/>
    </w:p>
    <w:p w:rsidR="001E6BCC" w:rsidRDefault="001E6BCC" w:rsidP="001E6BCC">
      <w:pPr>
        <w:pStyle w:val="BodyText2"/>
        <w:spacing w:after="0" w:line="240" w:lineRule="auto"/>
        <w:ind w:left="1418" w:hanging="1418"/>
        <w:rPr>
          <w:rFonts w:ascii="Tahoma" w:eastAsia="Calibri" w:hAnsi="Tahoma" w:cs="Tahoma"/>
          <w:b/>
          <w:i/>
          <w:smallCaps/>
          <w:szCs w:val="22"/>
          <w:lang w:val="es-ES" w:eastAsia="en-US"/>
        </w:rPr>
      </w:pPr>
    </w:p>
    <w:p w:rsidR="001E6BCC" w:rsidRPr="001E6BCC" w:rsidRDefault="00FE2AE3" w:rsidP="00D31750">
      <w:pPr>
        <w:pStyle w:val="BodyText2"/>
        <w:spacing w:after="200" w:line="276" w:lineRule="auto"/>
        <w:jc w:val="both"/>
        <w:rPr>
          <w:rFonts w:asciiTheme="minorHAnsi" w:hAnsiTheme="minorHAnsi" w:cstheme="minorHAnsi"/>
          <w:sz w:val="24"/>
          <w:szCs w:val="24"/>
        </w:rPr>
      </w:pPr>
      <w:r>
        <w:rPr>
          <w:rFonts w:asciiTheme="minorHAnsi" w:hAnsiTheme="minorHAnsi" w:cstheme="minorHAnsi"/>
          <w:sz w:val="24"/>
          <w:szCs w:val="24"/>
        </w:rPr>
        <w:t>El PROCIT</w:t>
      </w:r>
      <w:r w:rsidR="001E6BCC" w:rsidRPr="001E6BCC">
        <w:rPr>
          <w:rFonts w:asciiTheme="minorHAnsi" w:hAnsiTheme="minorHAnsi" w:cstheme="minorHAnsi"/>
          <w:sz w:val="24"/>
          <w:szCs w:val="24"/>
        </w:rPr>
        <w:t xml:space="preserve"> fue aprobado por el Directorio del BID el día 7 de diciembre de 2005 y se f</w:t>
      </w:r>
      <w:r w:rsidR="001F193A">
        <w:rPr>
          <w:rFonts w:asciiTheme="minorHAnsi" w:hAnsiTheme="minorHAnsi" w:cstheme="minorHAnsi"/>
          <w:sz w:val="24"/>
          <w:szCs w:val="24"/>
        </w:rPr>
        <w:t>i</w:t>
      </w:r>
      <w:r w:rsidR="001E6BCC" w:rsidRPr="001E6BCC">
        <w:rPr>
          <w:rFonts w:asciiTheme="minorHAnsi" w:hAnsiTheme="minorHAnsi" w:cstheme="minorHAnsi"/>
          <w:sz w:val="24"/>
          <w:szCs w:val="24"/>
        </w:rPr>
        <w:t>rmó el convenio el día 10 de abril de 2006. El primer desembolso ocurrió con fecha 28</w:t>
      </w:r>
      <w:r w:rsidR="001F193A">
        <w:rPr>
          <w:rFonts w:asciiTheme="minorHAnsi" w:hAnsiTheme="minorHAnsi" w:cstheme="minorHAnsi"/>
          <w:sz w:val="24"/>
          <w:szCs w:val="24"/>
        </w:rPr>
        <w:t xml:space="preserve"> de octubre de </w:t>
      </w:r>
      <w:r w:rsidR="001E6BCC" w:rsidRPr="001E6BCC">
        <w:rPr>
          <w:rFonts w:asciiTheme="minorHAnsi" w:hAnsiTheme="minorHAnsi" w:cstheme="minorHAnsi"/>
          <w:sz w:val="24"/>
          <w:szCs w:val="24"/>
        </w:rPr>
        <w:t xml:space="preserve">2008. </w:t>
      </w:r>
      <w:r w:rsidR="00D31750">
        <w:rPr>
          <w:rFonts w:asciiTheme="minorHAnsi" w:hAnsiTheme="minorHAnsi" w:cstheme="minorHAnsi"/>
          <w:sz w:val="24"/>
          <w:szCs w:val="24"/>
        </w:rPr>
        <w:t>La tabla a continuación</w:t>
      </w:r>
      <w:r w:rsidR="001E6BCC" w:rsidRPr="001E6BCC">
        <w:rPr>
          <w:rFonts w:asciiTheme="minorHAnsi" w:hAnsiTheme="minorHAnsi" w:cstheme="minorHAnsi"/>
          <w:sz w:val="24"/>
          <w:szCs w:val="24"/>
        </w:rPr>
        <w:t xml:space="preserve"> muestra los días transcurridos entre estos hitos.</w:t>
      </w:r>
    </w:p>
    <w:p w:rsidR="001E6BCC" w:rsidRPr="00745164" w:rsidRDefault="00745164" w:rsidP="00BB678B">
      <w:pPr>
        <w:pStyle w:val="BodyText2"/>
        <w:spacing w:after="200" w:line="276" w:lineRule="auto"/>
        <w:ind w:left="1418" w:hanging="1418"/>
        <w:jc w:val="center"/>
        <w:rPr>
          <w:rFonts w:ascii="Calibri" w:eastAsia="Calibri" w:hAnsi="Calibri" w:cs="Calibri"/>
          <w:b/>
          <w:sz w:val="24"/>
          <w:szCs w:val="24"/>
          <w:lang w:val="es-AR" w:eastAsia="es-AR"/>
        </w:rPr>
      </w:pPr>
      <w:r>
        <w:rPr>
          <w:rFonts w:ascii="Calibri" w:eastAsia="Calibri" w:hAnsi="Calibri" w:cs="Calibri"/>
          <w:b/>
          <w:sz w:val="24"/>
          <w:szCs w:val="24"/>
          <w:lang w:val="es-AR" w:eastAsia="es-AR"/>
        </w:rPr>
        <w:t>Tabla 3.1.</w:t>
      </w:r>
      <w:r w:rsidR="00AF624A" w:rsidRPr="00745164">
        <w:rPr>
          <w:rFonts w:ascii="Calibri" w:eastAsia="Calibri" w:hAnsi="Calibri" w:cs="Calibri"/>
          <w:b/>
          <w:sz w:val="24"/>
          <w:szCs w:val="24"/>
          <w:lang w:val="es-AR" w:eastAsia="es-AR"/>
        </w:rPr>
        <w:t xml:space="preserve"> Hitos destacados del PROCIT</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559"/>
        <w:gridCol w:w="1271"/>
        <w:gridCol w:w="1848"/>
      </w:tblGrid>
      <w:tr w:rsidR="00BB678B" w:rsidRPr="00BB678B" w:rsidTr="00BB678B">
        <w:tc>
          <w:tcPr>
            <w:tcW w:w="4253" w:type="dxa"/>
            <w:shd w:val="clear" w:color="auto" w:fill="0F243E" w:themeFill="text2" w:themeFillShade="80"/>
          </w:tcPr>
          <w:p w:rsidR="001E6BCC" w:rsidRPr="00BB678B" w:rsidRDefault="001E6BCC" w:rsidP="00D31750">
            <w:pPr>
              <w:jc w:val="center"/>
              <w:rPr>
                <w:rFonts w:asciiTheme="minorHAnsi" w:hAnsiTheme="minorHAnsi" w:cstheme="minorHAnsi"/>
                <w:b/>
                <w:color w:val="FFFFFF" w:themeColor="background1"/>
                <w:sz w:val="20"/>
                <w:szCs w:val="20"/>
              </w:rPr>
            </w:pPr>
            <w:r w:rsidRPr="00BB678B">
              <w:rPr>
                <w:rFonts w:asciiTheme="minorHAnsi" w:hAnsiTheme="minorHAnsi" w:cstheme="minorHAnsi"/>
                <w:b/>
                <w:color w:val="FFFFFF" w:themeColor="background1"/>
                <w:sz w:val="20"/>
                <w:szCs w:val="20"/>
              </w:rPr>
              <w:t>Hito</w:t>
            </w:r>
          </w:p>
        </w:tc>
        <w:tc>
          <w:tcPr>
            <w:tcW w:w="1559" w:type="dxa"/>
            <w:shd w:val="clear" w:color="auto" w:fill="0F243E" w:themeFill="text2" w:themeFillShade="80"/>
          </w:tcPr>
          <w:p w:rsidR="001E6BCC" w:rsidRPr="00BB678B" w:rsidRDefault="001E6BCC" w:rsidP="00D31750">
            <w:pPr>
              <w:jc w:val="center"/>
              <w:rPr>
                <w:rFonts w:asciiTheme="minorHAnsi" w:hAnsiTheme="minorHAnsi" w:cstheme="minorHAnsi"/>
                <w:b/>
                <w:color w:val="FFFFFF" w:themeColor="background1"/>
                <w:sz w:val="20"/>
                <w:szCs w:val="20"/>
              </w:rPr>
            </w:pPr>
            <w:r w:rsidRPr="00BB678B">
              <w:rPr>
                <w:rFonts w:asciiTheme="minorHAnsi" w:hAnsiTheme="minorHAnsi" w:cstheme="minorHAnsi"/>
                <w:b/>
                <w:color w:val="FFFFFF" w:themeColor="background1"/>
                <w:sz w:val="20"/>
                <w:szCs w:val="20"/>
              </w:rPr>
              <w:t>Fecha</w:t>
            </w:r>
          </w:p>
        </w:tc>
        <w:tc>
          <w:tcPr>
            <w:tcW w:w="1271" w:type="dxa"/>
            <w:shd w:val="clear" w:color="auto" w:fill="0F243E" w:themeFill="text2" w:themeFillShade="80"/>
          </w:tcPr>
          <w:p w:rsidR="001E6BCC" w:rsidRPr="00BB678B" w:rsidRDefault="001E6BCC" w:rsidP="00D31750">
            <w:pPr>
              <w:jc w:val="center"/>
              <w:rPr>
                <w:rFonts w:asciiTheme="minorHAnsi" w:hAnsiTheme="minorHAnsi" w:cstheme="minorHAnsi"/>
                <w:b/>
                <w:color w:val="FFFFFF" w:themeColor="background1"/>
                <w:sz w:val="20"/>
                <w:szCs w:val="20"/>
              </w:rPr>
            </w:pPr>
            <w:r w:rsidRPr="00BB678B">
              <w:rPr>
                <w:rFonts w:asciiTheme="minorHAnsi" w:hAnsiTheme="minorHAnsi" w:cstheme="minorHAnsi"/>
                <w:b/>
                <w:color w:val="FFFFFF" w:themeColor="background1"/>
                <w:sz w:val="20"/>
                <w:szCs w:val="20"/>
              </w:rPr>
              <w:t>Demora</w:t>
            </w:r>
          </w:p>
        </w:tc>
        <w:tc>
          <w:tcPr>
            <w:tcW w:w="1848" w:type="dxa"/>
            <w:shd w:val="clear" w:color="auto" w:fill="0F243E" w:themeFill="text2" w:themeFillShade="80"/>
          </w:tcPr>
          <w:p w:rsidR="001E6BCC" w:rsidRPr="00BB678B" w:rsidRDefault="001E6BCC" w:rsidP="00D31750">
            <w:pPr>
              <w:jc w:val="center"/>
              <w:rPr>
                <w:rFonts w:asciiTheme="minorHAnsi" w:hAnsiTheme="minorHAnsi" w:cstheme="minorHAnsi"/>
                <w:b/>
                <w:color w:val="FFFFFF" w:themeColor="background1"/>
                <w:sz w:val="20"/>
                <w:szCs w:val="20"/>
              </w:rPr>
            </w:pPr>
            <w:r w:rsidRPr="00BB678B">
              <w:rPr>
                <w:rFonts w:asciiTheme="minorHAnsi" w:hAnsiTheme="minorHAnsi" w:cstheme="minorHAnsi"/>
                <w:b/>
                <w:color w:val="FFFFFF" w:themeColor="background1"/>
                <w:sz w:val="20"/>
                <w:szCs w:val="20"/>
              </w:rPr>
              <w:t>Demora acumulada</w:t>
            </w:r>
          </w:p>
        </w:tc>
      </w:tr>
      <w:tr w:rsidR="001E6BCC" w:rsidRPr="00D31750" w:rsidTr="00BB678B">
        <w:tc>
          <w:tcPr>
            <w:tcW w:w="4253" w:type="dxa"/>
          </w:tcPr>
          <w:p w:rsidR="001E6BCC" w:rsidRPr="00D31750" w:rsidRDefault="001E6BCC" w:rsidP="00D31750">
            <w:pPr>
              <w:rPr>
                <w:rFonts w:asciiTheme="minorHAnsi" w:hAnsiTheme="minorHAnsi" w:cstheme="minorHAnsi"/>
                <w:sz w:val="20"/>
                <w:szCs w:val="20"/>
              </w:rPr>
            </w:pPr>
            <w:r w:rsidRPr="00D31750">
              <w:rPr>
                <w:rFonts w:asciiTheme="minorHAnsi" w:hAnsiTheme="minorHAnsi" w:cstheme="minorHAnsi"/>
                <w:sz w:val="20"/>
                <w:szCs w:val="20"/>
              </w:rPr>
              <w:t>Aprobación Directorio BID</w:t>
            </w:r>
          </w:p>
        </w:tc>
        <w:tc>
          <w:tcPr>
            <w:tcW w:w="1559" w:type="dxa"/>
            <w:vAlign w:val="center"/>
          </w:tcPr>
          <w:p w:rsidR="001E6BCC" w:rsidRPr="00D31750" w:rsidRDefault="001E6BCC" w:rsidP="00D31750">
            <w:pPr>
              <w:jc w:val="center"/>
              <w:rPr>
                <w:rFonts w:asciiTheme="minorHAnsi" w:hAnsiTheme="minorHAnsi" w:cstheme="minorHAnsi"/>
                <w:sz w:val="20"/>
                <w:szCs w:val="20"/>
              </w:rPr>
            </w:pPr>
            <w:r w:rsidRPr="00D31750">
              <w:rPr>
                <w:rFonts w:asciiTheme="minorHAnsi" w:hAnsiTheme="minorHAnsi" w:cstheme="minorHAnsi"/>
                <w:sz w:val="20"/>
                <w:szCs w:val="20"/>
              </w:rPr>
              <w:t>07/12/2005</w:t>
            </w:r>
          </w:p>
        </w:tc>
        <w:tc>
          <w:tcPr>
            <w:tcW w:w="1271" w:type="dxa"/>
            <w:vAlign w:val="center"/>
          </w:tcPr>
          <w:p w:rsidR="001E6BCC" w:rsidRPr="00D31750" w:rsidRDefault="001E6BCC" w:rsidP="00D31750">
            <w:pPr>
              <w:jc w:val="center"/>
              <w:rPr>
                <w:rFonts w:asciiTheme="minorHAnsi" w:hAnsiTheme="minorHAnsi" w:cstheme="minorHAnsi"/>
                <w:sz w:val="20"/>
                <w:szCs w:val="20"/>
              </w:rPr>
            </w:pPr>
          </w:p>
        </w:tc>
        <w:tc>
          <w:tcPr>
            <w:tcW w:w="1848" w:type="dxa"/>
            <w:vAlign w:val="center"/>
          </w:tcPr>
          <w:p w:rsidR="001E6BCC" w:rsidRPr="00D31750" w:rsidRDefault="001E6BCC" w:rsidP="00D31750">
            <w:pPr>
              <w:jc w:val="center"/>
              <w:rPr>
                <w:rFonts w:asciiTheme="minorHAnsi" w:hAnsiTheme="minorHAnsi" w:cstheme="minorHAnsi"/>
                <w:sz w:val="20"/>
                <w:szCs w:val="20"/>
              </w:rPr>
            </w:pPr>
          </w:p>
        </w:tc>
      </w:tr>
      <w:tr w:rsidR="001E6BCC" w:rsidRPr="00D31750" w:rsidTr="00BB678B">
        <w:tc>
          <w:tcPr>
            <w:tcW w:w="4253" w:type="dxa"/>
          </w:tcPr>
          <w:p w:rsidR="001E6BCC" w:rsidRPr="00D31750" w:rsidRDefault="001E6BCC" w:rsidP="00D31750">
            <w:pPr>
              <w:rPr>
                <w:rFonts w:asciiTheme="minorHAnsi" w:hAnsiTheme="minorHAnsi" w:cstheme="minorHAnsi"/>
                <w:sz w:val="20"/>
                <w:szCs w:val="20"/>
              </w:rPr>
            </w:pPr>
            <w:r w:rsidRPr="00D31750">
              <w:rPr>
                <w:rFonts w:asciiTheme="minorHAnsi" w:hAnsiTheme="minorHAnsi" w:cstheme="minorHAnsi"/>
                <w:sz w:val="20"/>
                <w:szCs w:val="20"/>
              </w:rPr>
              <w:t>Firma Convenio de Financiamiento</w:t>
            </w:r>
          </w:p>
        </w:tc>
        <w:tc>
          <w:tcPr>
            <w:tcW w:w="1559" w:type="dxa"/>
            <w:vAlign w:val="center"/>
          </w:tcPr>
          <w:p w:rsidR="001E6BCC" w:rsidRPr="00D31750" w:rsidRDefault="001E6BCC" w:rsidP="00D31750">
            <w:pPr>
              <w:jc w:val="center"/>
              <w:rPr>
                <w:rFonts w:asciiTheme="minorHAnsi" w:hAnsiTheme="minorHAnsi" w:cstheme="minorHAnsi"/>
                <w:sz w:val="20"/>
                <w:szCs w:val="20"/>
              </w:rPr>
            </w:pPr>
            <w:r w:rsidRPr="00D31750">
              <w:rPr>
                <w:rFonts w:asciiTheme="minorHAnsi" w:hAnsiTheme="minorHAnsi" w:cstheme="minorHAnsi"/>
                <w:sz w:val="20"/>
                <w:szCs w:val="20"/>
              </w:rPr>
              <w:t>10/04/2006</w:t>
            </w:r>
          </w:p>
        </w:tc>
        <w:tc>
          <w:tcPr>
            <w:tcW w:w="1271" w:type="dxa"/>
            <w:vAlign w:val="center"/>
          </w:tcPr>
          <w:p w:rsidR="001E6BCC" w:rsidRPr="00D31750" w:rsidRDefault="001E6BCC" w:rsidP="00D31750">
            <w:pPr>
              <w:jc w:val="center"/>
              <w:rPr>
                <w:rFonts w:asciiTheme="minorHAnsi" w:hAnsiTheme="minorHAnsi" w:cstheme="minorHAnsi"/>
                <w:sz w:val="20"/>
                <w:szCs w:val="20"/>
              </w:rPr>
            </w:pPr>
            <w:r w:rsidRPr="00D31750">
              <w:rPr>
                <w:rFonts w:asciiTheme="minorHAnsi" w:hAnsiTheme="minorHAnsi" w:cstheme="minorHAnsi"/>
                <w:sz w:val="20"/>
                <w:szCs w:val="20"/>
              </w:rPr>
              <w:t>124</w:t>
            </w:r>
          </w:p>
        </w:tc>
        <w:tc>
          <w:tcPr>
            <w:tcW w:w="1848" w:type="dxa"/>
            <w:vAlign w:val="center"/>
          </w:tcPr>
          <w:p w:rsidR="001E6BCC" w:rsidRPr="00D31750" w:rsidRDefault="001E6BCC" w:rsidP="00D31750">
            <w:pPr>
              <w:jc w:val="center"/>
              <w:rPr>
                <w:rFonts w:asciiTheme="minorHAnsi" w:hAnsiTheme="minorHAnsi" w:cstheme="minorHAnsi"/>
                <w:color w:val="000000"/>
                <w:sz w:val="20"/>
                <w:szCs w:val="20"/>
              </w:rPr>
            </w:pPr>
          </w:p>
        </w:tc>
      </w:tr>
      <w:tr w:rsidR="001E6BCC" w:rsidRPr="00D31750" w:rsidTr="00BB678B">
        <w:tc>
          <w:tcPr>
            <w:tcW w:w="4253" w:type="dxa"/>
          </w:tcPr>
          <w:p w:rsidR="001E6BCC" w:rsidRPr="00D31750" w:rsidRDefault="001E6BCC" w:rsidP="00D31750">
            <w:pPr>
              <w:rPr>
                <w:rFonts w:asciiTheme="minorHAnsi" w:hAnsiTheme="minorHAnsi" w:cstheme="minorHAnsi"/>
                <w:sz w:val="20"/>
                <w:szCs w:val="20"/>
              </w:rPr>
            </w:pPr>
            <w:r w:rsidRPr="00D31750">
              <w:rPr>
                <w:rFonts w:asciiTheme="minorHAnsi" w:hAnsiTheme="minorHAnsi" w:cstheme="minorHAnsi"/>
                <w:sz w:val="20"/>
                <w:szCs w:val="20"/>
              </w:rPr>
              <w:t>Primer desembolso</w:t>
            </w:r>
          </w:p>
        </w:tc>
        <w:tc>
          <w:tcPr>
            <w:tcW w:w="1559" w:type="dxa"/>
            <w:vAlign w:val="center"/>
          </w:tcPr>
          <w:p w:rsidR="001E6BCC" w:rsidRPr="00D31750" w:rsidRDefault="001E6BCC" w:rsidP="00D31750">
            <w:pPr>
              <w:jc w:val="center"/>
              <w:rPr>
                <w:rFonts w:asciiTheme="minorHAnsi" w:hAnsiTheme="minorHAnsi" w:cstheme="minorHAnsi"/>
                <w:sz w:val="20"/>
                <w:szCs w:val="20"/>
              </w:rPr>
            </w:pPr>
            <w:r w:rsidRPr="00D31750">
              <w:rPr>
                <w:rFonts w:asciiTheme="minorHAnsi" w:hAnsiTheme="minorHAnsi" w:cstheme="minorHAnsi"/>
                <w:sz w:val="20"/>
                <w:szCs w:val="20"/>
              </w:rPr>
              <w:t>28/10/2008</w:t>
            </w:r>
          </w:p>
        </w:tc>
        <w:tc>
          <w:tcPr>
            <w:tcW w:w="1271" w:type="dxa"/>
            <w:vAlign w:val="center"/>
          </w:tcPr>
          <w:p w:rsidR="001E6BCC" w:rsidRPr="00D31750" w:rsidRDefault="001E6BCC" w:rsidP="00D31750">
            <w:pPr>
              <w:jc w:val="center"/>
              <w:rPr>
                <w:rFonts w:asciiTheme="minorHAnsi" w:hAnsiTheme="minorHAnsi" w:cstheme="minorHAnsi"/>
                <w:sz w:val="20"/>
                <w:szCs w:val="20"/>
              </w:rPr>
            </w:pPr>
            <w:r w:rsidRPr="00D31750">
              <w:rPr>
                <w:rFonts w:asciiTheme="minorHAnsi" w:hAnsiTheme="minorHAnsi" w:cstheme="minorHAnsi"/>
                <w:sz w:val="20"/>
                <w:szCs w:val="20"/>
              </w:rPr>
              <w:t>932</w:t>
            </w:r>
          </w:p>
        </w:tc>
        <w:tc>
          <w:tcPr>
            <w:tcW w:w="1848" w:type="dxa"/>
            <w:vAlign w:val="center"/>
          </w:tcPr>
          <w:p w:rsidR="001E6BCC" w:rsidRPr="00D31750" w:rsidRDefault="001E6BCC" w:rsidP="00D31750">
            <w:pPr>
              <w:jc w:val="center"/>
              <w:rPr>
                <w:rFonts w:asciiTheme="minorHAnsi" w:hAnsiTheme="minorHAnsi" w:cstheme="minorHAnsi"/>
                <w:color w:val="000000"/>
                <w:sz w:val="20"/>
                <w:szCs w:val="20"/>
              </w:rPr>
            </w:pPr>
            <w:r w:rsidRPr="00D31750">
              <w:rPr>
                <w:rFonts w:asciiTheme="minorHAnsi" w:hAnsiTheme="minorHAnsi" w:cstheme="minorHAnsi"/>
                <w:color w:val="000000"/>
                <w:sz w:val="20"/>
                <w:szCs w:val="20"/>
              </w:rPr>
              <w:t>1056</w:t>
            </w:r>
          </w:p>
        </w:tc>
      </w:tr>
      <w:tr w:rsidR="001E6BCC" w:rsidRPr="00D31750" w:rsidTr="00BB678B">
        <w:tc>
          <w:tcPr>
            <w:tcW w:w="4253" w:type="dxa"/>
          </w:tcPr>
          <w:p w:rsidR="001E6BCC" w:rsidRPr="00D31750" w:rsidRDefault="001E6BCC" w:rsidP="00D31750">
            <w:pPr>
              <w:rPr>
                <w:rFonts w:asciiTheme="minorHAnsi" w:hAnsiTheme="minorHAnsi" w:cstheme="minorHAnsi"/>
                <w:sz w:val="20"/>
                <w:szCs w:val="20"/>
              </w:rPr>
            </w:pPr>
            <w:r w:rsidRPr="00D31750">
              <w:rPr>
                <w:rFonts w:asciiTheme="minorHAnsi" w:hAnsiTheme="minorHAnsi" w:cstheme="minorHAnsi"/>
                <w:sz w:val="20"/>
                <w:szCs w:val="20"/>
              </w:rPr>
              <w:t>Primer pago a beneficiarios</w:t>
            </w:r>
          </w:p>
        </w:tc>
        <w:tc>
          <w:tcPr>
            <w:tcW w:w="1559" w:type="dxa"/>
            <w:vAlign w:val="center"/>
          </w:tcPr>
          <w:p w:rsidR="001E6BCC" w:rsidRPr="00D31750" w:rsidRDefault="001E6BCC" w:rsidP="00D31750">
            <w:pPr>
              <w:jc w:val="center"/>
              <w:rPr>
                <w:rFonts w:asciiTheme="minorHAnsi" w:hAnsiTheme="minorHAnsi" w:cstheme="minorHAnsi"/>
                <w:sz w:val="20"/>
                <w:szCs w:val="20"/>
              </w:rPr>
            </w:pPr>
            <w:r w:rsidRPr="00D31750">
              <w:rPr>
                <w:rFonts w:asciiTheme="minorHAnsi" w:hAnsiTheme="minorHAnsi" w:cstheme="minorHAnsi"/>
                <w:sz w:val="20"/>
                <w:szCs w:val="20"/>
              </w:rPr>
              <w:t>10/11/2009</w:t>
            </w:r>
          </w:p>
        </w:tc>
        <w:tc>
          <w:tcPr>
            <w:tcW w:w="1271" w:type="dxa"/>
            <w:vAlign w:val="center"/>
          </w:tcPr>
          <w:p w:rsidR="001E6BCC" w:rsidRPr="00D31750" w:rsidRDefault="001E6BCC" w:rsidP="00D31750">
            <w:pPr>
              <w:jc w:val="center"/>
              <w:rPr>
                <w:rFonts w:asciiTheme="minorHAnsi" w:hAnsiTheme="minorHAnsi" w:cstheme="minorHAnsi"/>
                <w:sz w:val="20"/>
                <w:szCs w:val="20"/>
              </w:rPr>
            </w:pPr>
            <w:r w:rsidRPr="00D31750">
              <w:rPr>
                <w:rFonts w:asciiTheme="minorHAnsi" w:hAnsiTheme="minorHAnsi" w:cstheme="minorHAnsi"/>
                <w:sz w:val="20"/>
                <w:szCs w:val="20"/>
              </w:rPr>
              <w:t>378</w:t>
            </w:r>
          </w:p>
        </w:tc>
        <w:tc>
          <w:tcPr>
            <w:tcW w:w="1848" w:type="dxa"/>
            <w:vAlign w:val="center"/>
          </w:tcPr>
          <w:p w:rsidR="001E6BCC" w:rsidRPr="00D31750" w:rsidRDefault="001E6BCC" w:rsidP="00D31750">
            <w:pPr>
              <w:jc w:val="center"/>
              <w:rPr>
                <w:rFonts w:asciiTheme="minorHAnsi" w:hAnsiTheme="minorHAnsi" w:cstheme="minorHAnsi"/>
                <w:sz w:val="20"/>
                <w:szCs w:val="20"/>
              </w:rPr>
            </w:pPr>
            <w:r w:rsidRPr="00D31750">
              <w:rPr>
                <w:rFonts w:asciiTheme="minorHAnsi" w:hAnsiTheme="minorHAnsi" w:cstheme="minorHAnsi"/>
                <w:sz w:val="20"/>
                <w:szCs w:val="20"/>
              </w:rPr>
              <w:t>1434</w:t>
            </w:r>
          </w:p>
        </w:tc>
      </w:tr>
    </w:tbl>
    <w:p w:rsidR="001F193A" w:rsidRPr="004B542B" w:rsidRDefault="00D31750" w:rsidP="001F193A">
      <w:pPr>
        <w:spacing w:line="276" w:lineRule="auto"/>
        <w:rPr>
          <w:rFonts w:ascii="Calibri" w:hAnsi="Calibri" w:cs="Calibri"/>
          <w:sz w:val="18"/>
          <w:szCs w:val="18"/>
          <w:lang w:val="es-AR" w:eastAsia="es-AR"/>
        </w:rPr>
      </w:pPr>
      <w:r w:rsidRPr="004B542B">
        <w:rPr>
          <w:rFonts w:asciiTheme="minorHAnsi" w:hAnsiTheme="minorHAnsi" w:cstheme="minorHAnsi"/>
          <w:sz w:val="18"/>
          <w:szCs w:val="18"/>
        </w:rPr>
        <w:t xml:space="preserve">Fuente: </w:t>
      </w:r>
      <w:r w:rsidR="001F193A" w:rsidRPr="004B542B">
        <w:rPr>
          <w:rFonts w:ascii="Calibri" w:hAnsi="Calibri" w:cs="Calibri"/>
          <w:sz w:val="18"/>
          <w:szCs w:val="18"/>
          <w:lang w:val="es-AR" w:eastAsia="es-AR"/>
        </w:rPr>
        <w:t>Innovos</w:t>
      </w:r>
      <w:r w:rsidR="00B80BCF" w:rsidRPr="004B542B">
        <w:rPr>
          <w:rFonts w:ascii="Calibri" w:hAnsi="Calibri" w:cs="Calibri"/>
          <w:sz w:val="18"/>
          <w:szCs w:val="18"/>
          <w:lang w:val="es-AR" w:eastAsia="es-AR"/>
        </w:rPr>
        <w:t xml:space="preserve"> </w:t>
      </w:r>
      <w:r w:rsidR="001F193A" w:rsidRPr="004B542B">
        <w:rPr>
          <w:rFonts w:ascii="Calibri" w:hAnsi="Calibri" w:cs="Calibri"/>
          <w:sz w:val="18"/>
          <w:szCs w:val="18"/>
          <w:lang w:val="es-AR" w:eastAsia="es-AR"/>
        </w:rPr>
        <w:t>Group en base a d</w:t>
      </w:r>
      <w:r w:rsidR="004B542B" w:rsidRPr="004B542B">
        <w:rPr>
          <w:rFonts w:ascii="Calibri" w:hAnsi="Calibri" w:cs="Calibri"/>
          <w:sz w:val="18"/>
          <w:szCs w:val="18"/>
          <w:lang w:val="es-AR" w:eastAsia="es-AR"/>
        </w:rPr>
        <w:t>atos proporcionados por CONACYT</w:t>
      </w:r>
    </w:p>
    <w:p w:rsidR="001E6BCC" w:rsidRPr="001F193A" w:rsidRDefault="001E6BCC" w:rsidP="001E6BCC">
      <w:pPr>
        <w:spacing w:after="200" w:line="276" w:lineRule="auto"/>
        <w:jc w:val="both"/>
        <w:rPr>
          <w:rFonts w:asciiTheme="minorHAnsi" w:hAnsiTheme="minorHAnsi" w:cstheme="minorHAnsi"/>
          <w:lang w:val="es-AR"/>
        </w:rPr>
      </w:pPr>
    </w:p>
    <w:p w:rsidR="001E6BCC" w:rsidRPr="001E6BCC" w:rsidRDefault="001E6BCC" w:rsidP="001E6BCC">
      <w:pPr>
        <w:pStyle w:val="BodyText2"/>
        <w:spacing w:after="200" w:line="276" w:lineRule="auto"/>
        <w:jc w:val="both"/>
        <w:rPr>
          <w:rFonts w:asciiTheme="minorHAnsi" w:hAnsiTheme="minorHAnsi" w:cstheme="minorHAnsi"/>
          <w:sz w:val="24"/>
          <w:szCs w:val="24"/>
        </w:rPr>
      </w:pPr>
      <w:r w:rsidRPr="001E6BCC">
        <w:rPr>
          <w:rFonts w:asciiTheme="minorHAnsi" w:hAnsiTheme="minorHAnsi" w:cstheme="minorHAnsi"/>
          <w:sz w:val="24"/>
          <w:szCs w:val="24"/>
        </w:rPr>
        <w:t xml:space="preserve">La demora entre la aprobación por parte del directorio del Banco y la firma del convenio equivale a poco más de 4 meses; no obstante, la correspondiente al momento en que se realizó el primer desembolso (932 días) es ligeramente superior a los dos años y medio. Si este hecho se combina con las dificultades en plazos y gestión que resultaron del cambio gubernamental del año 2009, los meses de dificultades institucionales representan una parte importante del período de ejecución de PROCIT. </w:t>
      </w:r>
    </w:p>
    <w:p w:rsidR="001E6BCC" w:rsidRPr="001E6BCC" w:rsidRDefault="001E6BCC" w:rsidP="001E6BCC">
      <w:pPr>
        <w:pStyle w:val="BodyText2"/>
        <w:spacing w:after="200" w:line="276" w:lineRule="auto"/>
        <w:jc w:val="both"/>
        <w:rPr>
          <w:rFonts w:asciiTheme="minorHAnsi" w:hAnsiTheme="minorHAnsi" w:cstheme="minorHAnsi"/>
          <w:sz w:val="24"/>
          <w:szCs w:val="24"/>
        </w:rPr>
      </w:pPr>
      <w:r w:rsidRPr="001E6BCC">
        <w:rPr>
          <w:rFonts w:asciiTheme="minorHAnsi" w:hAnsiTheme="minorHAnsi" w:cstheme="minorHAnsi"/>
          <w:sz w:val="24"/>
          <w:szCs w:val="24"/>
        </w:rPr>
        <w:t xml:space="preserve">Finalmente, entre el momento del primer desembolso (octubre 2008) y el primer pago a un beneficiario transcurrieron 378 días; si la demora se considera desde la aprobación por el Directorio del BID, la demora en entregar un beneficio a un integrante del grupo objetivo fue casi de 4 años (faltaron 26 días para que así fuera). Son plazos que desafían a cualquier institución, pues la </w:t>
      </w:r>
      <w:r w:rsidR="001F193A">
        <w:rPr>
          <w:rFonts w:asciiTheme="minorHAnsi" w:hAnsiTheme="minorHAnsi" w:cstheme="minorHAnsi"/>
          <w:sz w:val="24"/>
          <w:szCs w:val="24"/>
        </w:rPr>
        <w:t>razón de ser de los programas es</w:t>
      </w:r>
      <w:r w:rsidRPr="001E6BCC">
        <w:rPr>
          <w:rFonts w:asciiTheme="minorHAnsi" w:hAnsiTheme="minorHAnsi" w:cstheme="minorHAnsi"/>
          <w:sz w:val="24"/>
          <w:szCs w:val="24"/>
        </w:rPr>
        <w:t xml:space="preserve"> transferir recursos a los beneficiarios para que, por medio de las inversiones aprobadas, puedan desarrollar proyectos de mejora.</w:t>
      </w:r>
    </w:p>
    <w:p w:rsidR="001E6BCC" w:rsidRPr="001F193A" w:rsidRDefault="001E6BCC" w:rsidP="001E6BCC">
      <w:pPr>
        <w:pStyle w:val="BodyText2"/>
        <w:spacing w:after="200" w:line="276" w:lineRule="auto"/>
        <w:ind w:left="1418" w:hanging="1418"/>
        <w:rPr>
          <w:rFonts w:asciiTheme="minorHAnsi" w:eastAsia="Calibri" w:hAnsiTheme="minorHAnsi" w:cstheme="minorHAnsi"/>
          <w:b/>
          <w:sz w:val="24"/>
          <w:szCs w:val="24"/>
          <w:lang w:val="es-ES" w:eastAsia="en-US"/>
        </w:rPr>
      </w:pPr>
      <w:r w:rsidRPr="001F193A">
        <w:rPr>
          <w:rFonts w:asciiTheme="minorHAnsi" w:eastAsia="Calibri" w:hAnsiTheme="minorHAnsi" w:cstheme="minorHAnsi"/>
          <w:b/>
          <w:sz w:val="24"/>
          <w:szCs w:val="24"/>
          <w:lang w:val="es-ES" w:eastAsia="en-US"/>
        </w:rPr>
        <w:t>Presupuesto planeado y ejecutado</w:t>
      </w:r>
    </w:p>
    <w:p w:rsidR="001E6BCC" w:rsidRPr="007D1237" w:rsidRDefault="001F193A" w:rsidP="007D1237">
      <w:pPr>
        <w:spacing w:after="200" w:line="276" w:lineRule="auto"/>
        <w:jc w:val="both"/>
        <w:rPr>
          <w:rFonts w:asciiTheme="minorHAnsi" w:hAnsiTheme="minorHAnsi" w:cstheme="minorHAnsi"/>
          <w:lang w:val="es-ES_tradnl" w:eastAsia="zh-CN"/>
        </w:rPr>
      </w:pPr>
      <w:r>
        <w:rPr>
          <w:rFonts w:asciiTheme="minorHAnsi" w:hAnsiTheme="minorHAnsi" w:cstheme="minorHAnsi"/>
          <w:lang w:val="es-ES_tradnl" w:eastAsia="zh-CN"/>
        </w:rPr>
        <w:t>La Tabla 3.2</w:t>
      </w:r>
      <w:r w:rsidR="001E6BCC" w:rsidRPr="00001C83">
        <w:rPr>
          <w:rFonts w:asciiTheme="minorHAnsi" w:hAnsiTheme="minorHAnsi" w:cstheme="minorHAnsi"/>
          <w:lang w:val="es-ES_tradnl" w:eastAsia="zh-CN"/>
        </w:rPr>
        <w:t xml:space="preserve"> muestra el presupuesto y los fo</w:t>
      </w:r>
      <w:r w:rsidR="007D1237">
        <w:rPr>
          <w:rFonts w:asciiTheme="minorHAnsi" w:hAnsiTheme="minorHAnsi" w:cstheme="minorHAnsi"/>
          <w:lang w:val="es-ES_tradnl" w:eastAsia="zh-CN"/>
        </w:rPr>
        <w:t xml:space="preserve">ndos ejecutados por componente. Como se puede observar, al 30 de junio de 2013 se había ejecutado </w:t>
      </w:r>
      <w:r w:rsidR="0037415B">
        <w:rPr>
          <w:rFonts w:asciiTheme="minorHAnsi" w:hAnsiTheme="minorHAnsi" w:cstheme="minorHAnsi"/>
          <w:lang w:val="es-ES_tradnl" w:eastAsia="zh-CN"/>
        </w:rPr>
        <w:t>el 87</w:t>
      </w:r>
      <w:r w:rsidR="007D1237">
        <w:rPr>
          <w:rFonts w:asciiTheme="minorHAnsi" w:hAnsiTheme="minorHAnsi" w:cstheme="minorHAnsi"/>
          <w:lang w:val="es-ES_tradnl" w:eastAsia="zh-CN"/>
        </w:rPr>
        <w:t>% del presupuesto, y según manifestaron autoridades del CONACYT, a diciembre de 2013, fecha de finalización del Programa, el presupuesto se habrá ejecutado en su totalidad.</w:t>
      </w:r>
    </w:p>
    <w:p w:rsidR="00001C83" w:rsidRDefault="00001C83">
      <w:pPr>
        <w:rPr>
          <w:rFonts w:asciiTheme="minorHAnsi" w:eastAsia="Times New Roman" w:hAnsiTheme="minorHAnsi" w:cstheme="minorHAnsi"/>
          <w:lang w:val="es-ES_tradnl" w:eastAsia="zh-CN"/>
        </w:rPr>
      </w:pPr>
    </w:p>
    <w:p w:rsidR="00FC5F01" w:rsidRDefault="00FC5F01">
      <w:pPr>
        <w:rPr>
          <w:rFonts w:asciiTheme="minorHAnsi" w:eastAsia="Times New Roman" w:hAnsiTheme="minorHAnsi" w:cstheme="minorHAnsi"/>
          <w:lang w:val="es-ES_tradnl" w:eastAsia="zh-CN"/>
        </w:rPr>
      </w:pPr>
    </w:p>
    <w:p w:rsidR="00FC5F01" w:rsidRDefault="00FC5F01">
      <w:pPr>
        <w:rPr>
          <w:rFonts w:asciiTheme="minorHAnsi" w:eastAsia="Times New Roman" w:hAnsiTheme="minorHAnsi" w:cstheme="minorHAnsi"/>
          <w:lang w:val="es-ES_tradnl" w:eastAsia="zh-CN"/>
        </w:rPr>
      </w:pPr>
    </w:p>
    <w:p w:rsidR="00FC5F01" w:rsidRDefault="00FC5F01">
      <w:pPr>
        <w:rPr>
          <w:rFonts w:asciiTheme="minorHAnsi" w:eastAsia="Times New Roman" w:hAnsiTheme="minorHAnsi" w:cstheme="minorHAnsi"/>
          <w:lang w:val="es-ES_tradnl" w:eastAsia="zh-CN"/>
        </w:rPr>
      </w:pPr>
    </w:p>
    <w:p w:rsidR="00FC5F01" w:rsidRDefault="00FC5F01">
      <w:pPr>
        <w:rPr>
          <w:rFonts w:asciiTheme="minorHAnsi" w:eastAsia="Times New Roman" w:hAnsiTheme="minorHAnsi" w:cstheme="minorHAnsi"/>
          <w:lang w:val="es-ES_tradnl" w:eastAsia="zh-CN"/>
        </w:rPr>
      </w:pPr>
    </w:p>
    <w:p w:rsidR="00FC5F01" w:rsidRDefault="00FC5F01">
      <w:pPr>
        <w:rPr>
          <w:rFonts w:asciiTheme="minorHAnsi" w:eastAsia="Times New Roman" w:hAnsiTheme="minorHAnsi" w:cstheme="minorHAnsi"/>
          <w:lang w:val="es-ES_tradnl" w:eastAsia="zh-CN"/>
        </w:rPr>
      </w:pPr>
    </w:p>
    <w:p w:rsidR="007D1237" w:rsidRDefault="001F193A" w:rsidP="007D1237">
      <w:pPr>
        <w:pStyle w:val="ListParagraph"/>
        <w:contextualSpacing w:val="0"/>
        <w:jc w:val="center"/>
        <w:rPr>
          <w:rFonts w:asciiTheme="minorHAnsi" w:hAnsiTheme="minorHAnsi" w:cstheme="minorHAnsi"/>
          <w:b/>
          <w:lang w:val="es-ES_tradnl" w:eastAsia="zh-CN"/>
        </w:rPr>
      </w:pPr>
      <w:r w:rsidRPr="001F193A">
        <w:rPr>
          <w:rFonts w:asciiTheme="minorHAnsi" w:hAnsiTheme="minorHAnsi" w:cstheme="minorHAnsi"/>
          <w:b/>
          <w:lang w:val="es-ES_tradnl" w:eastAsia="zh-CN"/>
        </w:rPr>
        <w:t>Tabla 3.2.</w:t>
      </w:r>
      <w:r w:rsidR="001E6BCC" w:rsidRPr="001F193A">
        <w:rPr>
          <w:rFonts w:asciiTheme="minorHAnsi" w:hAnsiTheme="minorHAnsi" w:cstheme="minorHAnsi"/>
          <w:b/>
          <w:lang w:val="es-ES_tradnl" w:eastAsia="zh-CN"/>
        </w:rPr>
        <w:t xml:space="preserve"> Presupuesto y fondos comprometidos y ejecutados</w:t>
      </w:r>
      <w:r w:rsidR="007D1237">
        <w:rPr>
          <w:rFonts w:asciiTheme="minorHAnsi" w:hAnsiTheme="minorHAnsi" w:cstheme="minorHAnsi"/>
          <w:b/>
          <w:lang w:val="es-ES_tradnl" w:eastAsia="zh-CN"/>
        </w:rPr>
        <w:t xml:space="preserve"> (BID) </w:t>
      </w:r>
    </w:p>
    <w:p w:rsidR="001E6BCC" w:rsidRDefault="007D1237" w:rsidP="007D1237">
      <w:pPr>
        <w:pStyle w:val="ListParagraph"/>
        <w:contextualSpacing w:val="0"/>
        <w:jc w:val="center"/>
        <w:rPr>
          <w:rFonts w:asciiTheme="minorHAnsi" w:hAnsiTheme="minorHAnsi" w:cstheme="minorHAnsi"/>
          <w:b/>
          <w:lang w:val="es-ES_tradnl" w:eastAsia="zh-CN"/>
        </w:rPr>
      </w:pPr>
      <w:r>
        <w:rPr>
          <w:rFonts w:asciiTheme="minorHAnsi" w:hAnsiTheme="minorHAnsi" w:cstheme="minorHAnsi"/>
          <w:b/>
          <w:lang w:val="es-ES_tradnl" w:eastAsia="zh-CN"/>
        </w:rPr>
        <w:t>(en dólares estadounidenses)</w:t>
      </w:r>
    </w:p>
    <w:p w:rsidR="007D1237" w:rsidRPr="001F193A" w:rsidRDefault="007D1237" w:rsidP="007D1237">
      <w:pPr>
        <w:pStyle w:val="ListParagraph"/>
        <w:contextualSpacing w:val="0"/>
        <w:jc w:val="center"/>
        <w:rPr>
          <w:rFonts w:asciiTheme="minorHAnsi" w:hAnsiTheme="minorHAnsi" w:cstheme="minorHAnsi"/>
          <w:b/>
          <w:lang w:val="es-ES_tradnl" w:eastAsia="zh-CN"/>
        </w:rPr>
      </w:pPr>
    </w:p>
    <w:tbl>
      <w:tblPr>
        <w:tblW w:w="8070" w:type="dxa"/>
        <w:jc w:val="center"/>
        <w:tblCellMar>
          <w:left w:w="70" w:type="dxa"/>
          <w:right w:w="70" w:type="dxa"/>
        </w:tblCellMar>
        <w:tblLook w:val="04A0" w:firstRow="1" w:lastRow="0" w:firstColumn="1" w:lastColumn="0" w:noHBand="0" w:noVBand="1"/>
      </w:tblPr>
      <w:tblGrid>
        <w:gridCol w:w="3818"/>
        <w:gridCol w:w="1842"/>
        <w:gridCol w:w="2410"/>
      </w:tblGrid>
      <w:tr w:rsidR="007D1237" w:rsidRPr="007D1237" w:rsidTr="00A31215">
        <w:trPr>
          <w:trHeight w:val="585"/>
          <w:jc w:val="center"/>
        </w:trPr>
        <w:tc>
          <w:tcPr>
            <w:tcW w:w="3818" w:type="dxa"/>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hideMark/>
          </w:tcPr>
          <w:p w:rsidR="007D1237" w:rsidRPr="007D1237" w:rsidRDefault="007D1237" w:rsidP="001E6BCC">
            <w:pPr>
              <w:jc w:val="center"/>
              <w:rPr>
                <w:rFonts w:asciiTheme="minorHAnsi" w:hAnsiTheme="minorHAnsi" w:cstheme="minorHAnsi"/>
                <w:b/>
                <w:bCs/>
                <w:color w:val="FFFFFF" w:themeColor="background1"/>
                <w:sz w:val="20"/>
                <w:szCs w:val="20"/>
                <w:lang w:val="es-MX" w:eastAsia="es-MX"/>
              </w:rPr>
            </w:pPr>
            <w:r w:rsidRPr="007D1237">
              <w:rPr>
                <w:rFonts w:asciiTheme="minorHAnsi" w:hAnsiTheme="minorHAnsi" w:cstheme="minorHAnsi"/>
                <w:b/>
                <w:bCs/>
                <w:color w:val="FFFFFF" w:themeColor="background1"/>
                <w:sz w:val="20"/>
                <w:szCs w:val="20"/>
              </w:rPr>
              <w:t> </w:t>
            </w:r>
          </w:p>
        </w:tc>
        <w:tc>
          <w:tcPr>
            <w:tcW w:w="1842" w:type="dxa"/>
            <w:tcBorders>
              <w:top w:val="single" w:sz="8" w:space="0" w:color="auto"/>
              <w:left w:val="nil"/>
              <w:bottom w:val="single" w:sz="8" w:space="0" w:color="auto"/>
              <w:right w:val="single" w:sz="4" w:space="0" w:color="auto"/>
            </w:tcBorders>
            <w:shd w:val="clear" w:color="auto" w:fill="0F243E" w:themeFill="text2" w:themeFillShade="80"/>
            <w:vAlign w:val="center"/>
            <w:hideMark/>
          </w:tcPr>
          <w:p w:rsidR="007D1237" w:rsidRPr="007D1237" w:rsidRDefault="007D1237" w:rsidP="001E6BCC">
            <w:pPr>
              <w:jc w:val="center"/>
              <w:rPr>
                <w:rFonts w:asciiTheme="minorHAnsi" w:hAnsiTheme="minorHAnsi" w:cstheme="minorHAnsi"/>
                <w:b/>
                <w:color w:val="FFFFFF" w:themeColor="background1"/>
                <w:sz w:val="20"/>
                <w:szCs w:val="20"/>
              </w:rPr>
            </w:pPr>
            <w:r w:rsidRPr="007D1237">
              <w:rPr>
                <w:rFonts w:asciiTheme="minorHAnsi" w:hAnsiTheme="minorHAnsi" w:cstheme="minorHAnsi"/>
                <w:b/>
                <w:color w:val="FFFFFF" w:themeColor="background1"/>
                <w:sz w:val="20"/>
                <w:szCs w:val="20"/>
              </w:rPr>
              <w:t xml:space="preserve">Presupuesto </w:t>
            </w:r>
            <w:r>
              <w:rPr>
                <w:rFonts w:asciiTheme="minorHAnsi" w:hAnsiTheme="minorHAnsi" w:cstheme="minorHAnsi"/>
                <w:b/>
                <w:color w:val="FFFFFF" w:themeColor="background1"/>
                <w:sz w:val="20"/>
                <w:szCs w:val="20"/>
              </w:rPr>
              <w:t>BID</w:t>
            </w:r>
          </w:p>
        </w:tc>
        <w:tc>
          <w:tcPr>
            <w:tcW w:w="2410"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rsidR="007D1237" w:rsidRPr="007D1237" w:rsidRDefault="007D1237" w:rsidP="001E6BCC">
            <w:pPr>
              <w:jc w:val="center"/>
              <w:rPr>
                <w:rFonts w:asciiTheme="minorHAnsi" w:hAnsiTheme="minorHAnsi" w:cstheme="minorHAnsi"/>
                <w:b/>
                <w:color w:val="FFFFFF" w:themeColor="background1"/>
                <w:sz w:val="20"/>
                <w:szCs w:val="20"/>
                <w:highlight w:val="yellow"/>
              </w:rPr>
            </w:pPr>
            <w:r w:rsidRPr="007D1237">
              <w:rPr>
                <w:rFonts w:asciiTheme="minorHAnsi" w:hAnsiTheme="minorHAnsi" w:cstheme="minorHAnsi"/>
                <w:b/>
                <w:color w:val="FFFFFF" w:themeColor="background1"/>
                <w:sz w:val="20"/>
                <w:szCs w:val="20"/>
              </w:rPr>
              <w:t>Ejecutado al 30 de junio de 2013</w:t>
            </w:r>
            <w:r w:rsidR="00A31215">
              <w:rPr>
                <w:rFonts w:asciiTheme="minorHAnsi" w:hAnsiTheme="minorHAnsi" w:cstheme="minorHAnsi"/>
                <w:b/>
                <w:color w:val="FFFFFF" w:themeColor="background1"/>
                <w:sz w:val="20"/>
                <w:szCs w:val="20"/>
              </w:rPr>
              <w:t xml:space="preserve"> (en U$S y en %)</w:t>
            </w:r>
          </w:p>
        </w:tc>
      </w:tr>
      <w:tr w:rsidR="007D1237" w:rsidRPr="00DD3FAF" w:rsidTr="00A31215">
        <w:trPr>
          <w:trHeight w:val="316"/>
          <w:jc w:val="center"/>
        </w:trPr>
        <w:tc>
          <w:tcPr>
            <w:tcW w:w="3818" w:type="dxa"/>
            <w:tcBorders>
              <w:top w:val="nil"/>
              <w:left w:val="single" w:sz="8" w:space="0" w:color="auto"/>
              <w:bottom w:val="single" w:sz="8" w:space="0" w:color="auto"/>
              <w:right w:val="single" w:sz="8" w:space="0" w:color="auto"/>
            </w:tcBorders>
            <w:shd w:val="clear" w:color="auto" w:fill="auto"/>
            <w:vAlign w:val="center"/>
            <w:hideMark/>
          </w:tcPr>
          <w:p w:rsidR="007D1237" w:rsidRPr="00DD3FAF" w:rsidRDefault="007D1237" w:rsidP="001E6BCC">
            <w:pPr>
              <w:rPr>
                <w:rFonts w:asciiTheme="minorHAnsi" w:hAnsiTheme="minorHAnsi" w:cstheme="minorHAnsi"/>
                <w:b/>
                <w:bCs/>
                <w:color w:val="2A2A2A"/>
                <w:sz w:val="20"/>
                <w:szCs w:val="20"/>
              </w:rPr>
            </w:pPr>
            <w:r w:rsidRPr="00DD3FAF">
              <w:rPr>
                <w:rFonts w:asciiTheme="minorHAnsi" w:hAnsiTheme="minorHAnsi" w:cstheme="minorHAnsi"/>
                <w:b/>
                <w:bCs/>
                <w:color w:val="2A2A2A"/>
                <w:sz w:val="20"/>
                <w:szCs w:val="20"/>
              </w:rPr>
              <w:t>1. COSTOS DIRECTOS</w:t>
            </w:r>
          </w:p>
        </w:tc>
        <w:tc>
          <w:tcPr>
            <w:tcW w:w="1842" w:type="dxa"/>
            <w:tcBorders>
              <w:top w:val="nil"/>
              <w:left w:val="nil"/>
              <w:bottom w:val="single" w:sz="8" w:space="0" w:color="auto"/>
              <w:right w:val="single" w:sz="4" w:space="0" w:color="auto"/>
            </w:tcBorders>
            <w:shd w:val="clear" w:color="000000" w:fill="FFFFFF"/>
            <w:noWrap/>
            <w:vAlign w:val="center"/>
            <w:hideMark/>
          </w:tcPr>
          <w:p w:rsidR="007D1237" w:rsidRPr="00A31215" w:rsidRDefault="007D1237" w:rsidP="007D1237">
            <w:pPr>
              <w:jc w:val="right"/>
              <w:rPr>
                <w:rFonts w:asciiTheme="minorHAnsi" w:hAnsiTheme="minorHAnsi" w:cstheme="minorHAnsi"/>
                <w:b/>
                <w:bCs/>
                <w:color w:val="2A2A2A"/>
                <w:sz w:val="20"/>
                <w:szCs w:val="20"/>
              </w:rPr>
            </w:pPr>
            <w:r w:rsidRPr="00A31215">
              <w:rPr>
                <w:rFonts w:asciiTheme="minorHAnsi" w:hAnsiTheme="minorHAnsi" w:cstheme="minorHAnsi"/>
                <w:b/>
                <w:bCs/>
                <w:color w:val="2A2A2A"/>
                <w:sz w:val="20"/>
                <w:szCs w:val="20"/>
              </w:rPr>
              <w:t>4.920.000</w:t>
            </w:r>
            <w:r w:rsidR="00C201D5">
              <w:rPr>
                <w:rFonts w:asciiTheme="minorHAnsi" w:hAnsiTheme="minorHAnsi" w:cstheme="minorHAnsi"/>
                <w:b/>
                <w:bCs/>
                <w:color w:val="2A2A2A"/>
                <w:sz w:val="20"/>
                <w:szCs w:val="20"/>
              </w:rPr>
              <w:t>,00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D1237" w:rsidRPr="00A31215" w:rsidRDefault="004068DD" w:rsidP="001E6BCC">
            <w:pPr>
              <w:jc w:val="right"/>
              <w:rPr>
                <w:rFonts w:asciiTheme="minorHAnsi" w:hAnsiTheme="minorHAnsi" w:cstheme="minorHAnsi"/>
                <w:b/>
                <w:bCs/>
                <w:color w:val="2A2A2A"/>
                <w:sz w:val="20"/>
                <w:szCs w:val="20"/>
              </w:rPr>
            </w:pPr>
            <w:r>
              <w:rPr>
                <w:rFonts w:asciiTheme="minorHAnsi" w:hAnsiTheme="minorHAnsi" w:cstheme="minorHAnsi"/>
                <w:b/>
                <w:bCs/>
                <w:color w:val="2A2A2A"/>
                <w:sz w:val="20"/>
                <w:szCs w:val="20"/>
              </w:rPr>
              <w:t>4.386.945,81</w:t>
            </w:r>
            <w:r w:rsidR="00CD716B">
              <w:rPr>
                <w:rFonts w:asciiTheme="minorHAnsi" w:hAnsiTheme="minorHAnsi" w:cstheme="minorHAnsi"/>
                <w:b/>
                <w:bCs/>
                <w:color w:val="2A2A2A"/>
                <w:sz w:val="20"/>
                <w:szCs w:val="20"/>
              </w:rPr>
              <w:t xml:space="preserve"> ( 89</w:t>
            </w:r>
            <w:r>
              <w:rPr>
                <w:rFonts w:asciiTheme="minorHAnsi" w:hAnsiTheme="minorHAnsi" w:cstheme="minorHAnsi"/>
                <w:b/>
                <w:bCs/>
                <w:color w:val="2A2A2A"/>
                <w:sz w:val="20"/>
                <w:szCs w:val="20"/>
              </w:rPr>
              <w:t>%)</w:t>
            </w:r>
          </w:p>
        </w:tc>
      </w:tr>
      <w:tr w:rsidR="007D1237" w:rsidRPr="00DD3FAF" w:rsidTr="00A31215">
        <w:trPr>
          <w:trHeight w:val="315"/>
          <w:jc w:val="center"/>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D1237" w:rsidRPr="00DD3FAF" w:rsidRDefault="007D1237" w:rsidP="007D1237">
            <w:pPr>
              <w:rPr>
                <w:rFonts w:asciiTheme="minorHAnsi" w:hAnsiTheme="minorHAnsi" w:cstheme="minorHAnsi"/>
                <w:color w:val="2A2A2A"/>
                <w:sz w:val="20"/>
                <w:szCs w:val="20"/>
              </w:rPr>
            </w:pPr>
            <w:r>
              <w:rPr>
                <w:rFonts w:asciiTheme="minorHAnsi" w:hAnsiTheme="minorHAnsi" w:cstheme="minorHAnsi"/>
                <w:color w:val="2A2A2A"/>
                <w:sz w:val="20"/>
                <w:szCs w:val="20"/>
              </w:rPr>
              <w:t xml:space="preserve">1.1. </w:t>
            </w:r>
            <w:r w:rsidRPr="00DD3FAF">
              <w:rPr>
                <w:rFonts w:asciiTheme="minorHAnsi" w:hAnsiTheme="minorHAnsi" w:cstheme="minorHAnsi"/>
                <w:color w:val="2A2A2A"/>
                <w:sz w:val="20"/>
                <w:szCs w:val="20"/>
              </w:rPr>
              <w:t>Investigación e Innovación</w:t>
            </w:r>
          </w:p>
        </w:tc>
        <w:tc>
          <w:tcPr>
            <w:tcW w:w="1842" w:type="dxa"/>
            <w:tcBorders>
              <w:top w:val="nil"/>
              <w:left w:val="nil"/>
              <w:bottom w:val="single" w:sz="8" w:space="0" w:color="auto"/>
              <w:right w:val="single" w:sz="4" w:space="0" w:color="auto"/>
            </w:tcBorders>
            <w:shd w:val="clear" w:color="000000" w:fill="FFFFFF"/>
            <w:noWrap/>
            <w:vAlign w:val="center"/>
            <w:hideMark/>
          </w:tcPr>
          <w:p w:rsidR="007D1237" w:rsidRPr="00DD3FAF" w:rsidRDefault="007D1237" w:rsidP="001E6BCC">
            <w:pPr>
              <w:jc w:val="right"/>
              <w:rPr>
                <w:rFonts w:asciiTheme="minorHAnsi" w:hAnsiTheme="minorHAnsi" w:cstheme="minorHAnsi"/>
                <w:color w:val="2A2A2A"/>
                <w:sz w:val="20"/>
                <w:szCs w:val="20"/>
              </w:rPr>
            </w:pPr>
            <w:r w:rsidRPr="00DD3FAF">
              <w:rPr>
                <w:rFonts w:asciiTheme="minorHAnsi" w:hAnsiTheme="minorHAnsi" w:cstheme="minorHAnsi"/>
                <w:color w:val="2A2A2A"/>
                <w:sz w:val="20"/>
                <w:szCs w:val="20"/>
              </w:rPr>
              <w:t>2</w:t>
            </w:r>
            <w:r>
              <w:rPr>
                <w:rFonts w:asciiTheme="minorHAnsi" w:hAnsiTheme="minorHAnsi" w:cstheme="minorHAnsi"/>
                <w:color w:val="2A2A2A"/>
                <w:sz w:val="20"/>
                <w:szCs w:val="20"/>
              </w:rPr>
              <w:t>.</w:t>
            </w:r>
            <w:r w:rsidRPr="00DD3FAF">
              <w:rPr>
                <w:rFonts w:asciiTheme="minorHAnsi" w:hAnsiTheme="minorHAnsi" w:cstheme="minorHAnsi"/>
                <w:color w:val="2A2A2A"/>
                <w:sz w:val="20"/>
                <w:szCs w:val="20"/>
              </w:rPr>
              <w:t>900</w:t>
            </w:r>
            <w:r>
              <w:rPr>
                <w:rFonts w:asciiTheme="minorHAnsi" w:hAnsiTheme="minorHAnsi" w:cstheme="minorHAnsi"/>
                <w:color w:val="2A2A2A"/>
                <w:sz w:val="20"/>
                <w:szCs w:val="20"/>
              </w:rPr>
              <w:t>.</w:t>
            </w:r>
            <w:r w:rsidRPr="00DD3FAF">
              <w:rPr>
                <w:rFonts w:asciiTheme="minorHAnsi" w:hAnsiTheme="minorHAnsi" w:cstheme="minorHAnsi"/>
                <w:color w:val="2A2A2A"/>
                <w:sz w:val="20"/>
                <w:szCs w:val="20"/>
              </w:rPr>
              <w:t>000</w:t>
            </w:r>
            <w:r w:rsidR="00C201D5">
              <w:rPr>
                <w:rFonts w:asciiTheme="minorHAnsi" w:hAnsiTheme="minorHAnsi" w:cstheme="minorHAnsi"/>
                <w:color w:val="2A2A2A"/>
                <w:sz w:val="20"/>
                <w:szCs w:val="20"/>
              </w:rPr>
              <w:t>,00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1237" w:rsidRPr="00DD3FAF" w:rsidRDefault="004068DD" w:rsidP="00CD716B">
            <w:pPr>
              <w:jc w:val="right"/>
              <w:rPr>
                <w:rFonts w:asciiTheme="minorHAnsi" w:hAnsiTheme="minorHAnsi" w:cstheme="minorHAnsi"/>
                <w:color w:val="000000"/>
                <w:sz w:val="20"/>
                <w:szCs w:val="20"/>
              </w:rPr>
            </w:pPr>
            <w:r>
              <w:rPr>
                <w:rFonts w:asciiTheme="minorHAnsi" w:hAnsiTheme="minorHAnsi" w:cstheme="minorHAnsi"/>
                <w:color w:val="000000"/>
                <w:sz w:val="20"/>
                <w:szCs w:val="20"/>
              </w:rPr>
              <w:t>2.378.908,34</w:t>
            </w:r>
            <w:r w:rsidR="00CD716B">
              <w:rPr>
                <w:rFonts w:asciiTheme="minorHAnsi" w:hAnsiTheme="minorHAnsi" w:cstheme="minorHAnsi"/>
                <w:color w:val="000000"/>
                <w:sz w:val="20"/>
                <w:szCs w:val="20"/>
              </w:rPr>
              <w:t xml:space="preserve"> ( 82%</w:t>
            </w:r>
            <w:r>
              <w:rPr>
                <w:rFonts w:asciiTheme="minorHAnsi" w:hAnsiTheme="minorHAnsi" w:cstheme="minorHAnsi"/>
                <w:color w:val="000000"/>
                <w:sz w:val="20"/>
                <w:szCs w:val="20"/>
              </w:rPr>
              <w:t>)</w:t>
            </w:r>
          </w:p>
        </w:tc>
      </w:tr>
      <w:tr w:rsidR="007D1237" w:rsidRPr="00DD3FAF" w:rsidTr="00A31215">
        <w:trPr>
          <w:trHeight w:val="315"/>
          <w:jc w:val="center"/>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D1237" w:rsidRPr="00DD3FAF" w:rsidRDefault="007D1237" w:rsidP="007D1237">
            <w:pPr>
              <w:rPr>
                <w:rFonts w:asciiTheme="minorHAnsi" w:hAnsiTheme="minorHAnsi" w:cstheme="minorHAnsi"/>
                <w:color w:val="2A2A2A"/>
                <w:sz w:val="20"/>
                <w:szCs w:val="20"/>
              </w:rPr>
            </w:pPr>
            <w:r>
              <w:rPr>
                <w:rFonts w:asciiTheme="minorHAnsi" w:hAnsiTheme="minorHAnsi" w:cstheme="minorHAnsi"/>
                <w:color w:val="2A2A2A"/>
                <w:sz w:val="20"/>
                <w:szCs w:val="20"/>
              </w:rPr>
              <w:t xml:space="preserve">1.2. </w:t>
            </w:r>
            <w:r w:rsidRPr="00DD3FAF">
              <w:rPr>
                <w:rFonts w:asciiTheme="minorHAnsi" w:hAnsiTheme="minorHAnsi" w:cstheme="minorHAnsi"/>
                <w:color w:val="2A2A2A"/>
                <w:sz w:val="20"/>
                <w:szCs w:val="20"/>
              </w:rPr>
              <w:t>Fortalecimiento de Recursos Humanos</w:t>
            </w:r>
          </w:p>
        </w:tc>
        <w:tc>
          <w:tcPr>
            <w:tcW w:w="1842" w:type="dxa"/>
            <w:tcBorders>
              <w:top w:val="nil"/>
              <w:left w:val="nil"/>
              <w:bottom w:val="single" w:sz="8" w:space="0" w:color="auto"/>
              <w:right w:val="single" w:sz="4" w:space="0" w:color="auto"/>
            </w:tcBorders>
            <w:shd w:val="clear" w:color="000000" w:fill="FFFFFF"/>
            <w:noWrap/>
            <w:vAlign w:val="center"/>
            <w:hideMark/>
          </w:tcPr>
          <w:p w:rsidR="007D1237" w:rsidRPr="00DD3FAF" w:rsidRDefault="007D1237" w:rsidP="001E6BCC">
            <w:pPr>
              <w:jc w:val="right"/>
              <w:rPr>
                <w:rFonts w:asciiTheme="minorHAnsi" w:hAnsiTheme="minorHAnsi" w:cstheme="minorHAnsi"/>
                <w:color w:val="2A2A2A"/>
                <w:sz w:val="20"/>
                <w:szCs w:val="20"/>
              </w:rPr>
            </w:pPr>
            <w:r w:rsidRPr="00DD3FAF">
              <w:rPr>
                <w:rFonts w:asciiTheme="minorHAnsi" w:hAnsiTheme="minorHAnsi" w:cstheme="minorHAnsi"/>
                <w:color w:val="2A2A2A"/>
                <w:sz w:val="20"/>
                <w:szCs w:val="20"/>
              </w:rPr>
              <w:t>1.450.000</w:t>
            </w:r>
            <w:r w:rsidR="00C201D5">
              <w:rPr>
                <w:rFonts w:asciiTheme="minorHAnsi" w:hAnsiTheme="minorHAnsi" w:cstheme="minorHAnsi"/>
                <w:color w:val="2A2A2A"/>
                <w:sz w:val="20"/>
                <w:szCs w:val="20"/>
              </w:rPr>
              <w:t>,00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1237" w:rsidRPr="00DD3FAF" w:rsidRDefault="004068DD" w:rsidP="001E6BCC">
            <w:pPr>
              <w:jc w:val="right"/>
              <w:rPr>
                <w:rFonts w:asciiTheme="minorHAnsi" w:hAnsiTheme="minorHAnsi" w:cstheme="minorHAnsi"/>
                <w:color w:val="000000"/>
                <w:sz w:val="20"/>
                <w:szCs w:val="20"/>
              </w:rPr>
            </w:pPr>
            <w:r>
              <w:rPr>
                <w:rFonts w:asciiTheme="minorHAnsi" w:hAnsiTheme="minorHAnsi" w:cstheme="minorHAnsi"/>
                <w:color w:val="000000"/>
                <w:sz w:val="20"/>
                <w:szCs w:val="20"/>
              </w:rPr>
              <w:t>1.618.174,16</w:t>
            </w:r>
            <w:r w:rsidR="00CD716B">
              <w:rPr>
                <w:rFonts w:asciiTheme="minorHAnsi" w:hAnsiTheme="minorHAnsi" w:cstheme="minorHAnsi"/>
                <w:color w:val="000000"/>
                <w:sz w:val="20"/>
                <w:szCs w:val="20"/>
              </w:rPr>
              <w:t xml:space="preserve"> (111</w:t>
            </w:r>
            <w:r>
              <w:rPr>
                <w:rFonts w:asciiTheme="minorHAnsi" w:hAnsiTheme="minorHAnsi" w:cstheme="minorHAnsi"/>
                <w:color w:val="000000"/>
                <w:sz w:val="20"/>
                <w:szCs w:val="20"/>
              </w:rPr>
              <w:t>%)</w:t>
            </w:r>
          </w:p>
        </w:tc>
      </w:tr>
      <w:tr w:rsidR="007D1237" w:rsidRPr="00DD3FAF" w:rsidTr="00A31215">
        <w:trPr>
          <w:trHeight w:val="315"/>
          <w:jc w:val="center"/>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D1237" w:rsidRPr="00DD3FAF" w:rsidRDefault="007D1237" w:rsidP="007D1237">
            <w:pPr>
              <w:rPr>
                <w:rFonts w:asciiTheme="minorHAnsi" w:hAnsiTheme="minorHAnsi" w:cstheme="minorHAnsi"/>
                <w:color w:val="2A2A2A"/>
                <w:sz w:val="20"/>
                <w:szCs w:val="20"/>
              </w:rPr>
            </w:pPr>
            <w:r>
              <w:rPr>
                <w:rFonts w:asciiTheme="minorHAnsi" w:hAnsiTheme="minorHAnsi" w:cstheme="minorHAnsi"/>
                <w:color w:val="2A2A2A"/>
                <w:sz w:val="20"/>
                <w:szCs w:val="20"/>
              </w:rPr>
              <w:t xml:space="preserve">1.3. </w:t>
            </w:r>
            <w:r w:rsidRPr="00DD3FAF">
              <w:rPr>
                <w:rFonts w:asciiTheme="minorHAnsi" w:hAnsiTheme="minorHAnsi" w:cstheme="minorHAnsi"/>
                <w:color w:val="2A2A2A"/>
                <w:sz w:val="20"/>
                <w:szCs w:val="20"/>
              </w:rPr>
              <w:t>Fortalecimiento del SNIP</w:t>
            </w:r>
          </w:p>
        </w:tc>
        <w:tc>
          <w:tcPr>
            <w:tcW w:w="1842" w:type="dxa"/>
            <w:tcBorders>
              <w:top w:val="nil"/>
              <w:left w:val="nil"/>
              <w:bottom w:val="single" w:sz="8" w:space="0" w:color="auto"/>
              <w:right w:val="single" w:sz="4" w:space="0" w:color="auto"/>
            </w:tcBorders>
            <w:shd w:val="clear" w:color="000000" w:fill="FFFFFF"/>
            <w:noWrap/>
            <w:vAlign w:val="center"/>
            <w:hideMark/>
          </w:tcPr>
          <w:p w:rsidR="007D1237" w:rsidRPr="00DD3FAF" w:rsidRDefault="007D1237" w:rsidP="001E6BCC">
            <w:pPr>
              <w:jc w:val="right"/>
              <w:rPr>
                <w:rFonts w:asciiTheme="minorHAnsi" w:hAnsiTheme="minorHAnsi" w:cstheme="minorHAnsi"/>
                <w:color w:val="2A2A2A"/>
                <w:sz w:val="20"/>
                <w:szCs w:val="20"/>
              </w:rPr>
            </w:pPr>
            <w:r w:rsidRPr="00DD3FAF">
              <w:rPr>
                <w:rFonts w:asciiTheme="minorHAnsi" w:hAnsiTheme="minorHAnsi" w:cstheme="minorHAnsi"/>
                <w:color w:val="2A2A2A"/>
                <w:sz w:val="20"/>
                <w:szCs w:val="20"/>
              </w:rPr>
              <w:t>570.000</w:t>
            </w:r>
            <w:r w:rsidR="00C201D5">
              <w:rPr>
                <w:rFonts w:asciiTheme="minorHAnsi" w:hAnsiTheme="minorHAnsi" w:cstheme="minorHAnsi"/>
                <w:color w:val="2A2A2A"/>
                <w:sz w:val="20"/>
                <w:szCs w:val="20"/>
              </w:rPr>
              <w:t>,00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1237" w:rsidRPr="00DD3FAF" w:rsidRDefault="004068DD" w:rsidP="001E6BCC">
            <w:pPr>
              <w:jc w:val="right"/>
              <w:rPr>
                <w:rFonts w:asciiTheme="minorHAnsi" w:hAnsiTheme="minorHAnsi" w:cstheme="minorHAnsi"/>
                <w:color w:val="000000"/>
                <w:sz w:val="20"/>
                <w:szCs w:val="20"/>
              </w:rPr>
            </w:pPr>
            <w:r>
              <w:rPr>
                <w:rFonts w:asciiTheme="minorHAnsi" w:hAnsiTheme="minorHAnsi" w:cstheme="minorHAnsi"/>
                <w:color w:val="000000"/>
                <w:sz w:val="20"/>
                <w:szCs w:val="20"/>
              </w:rPr>
              <w:t>389.863,31</w:t>
            </w:r>
            <w:r w:rsidR="00CD716B">
              <w:rPr>
                <w:rFonts w:asciiTheme="minorHAnsi" w:hAnsiTheme="minorHAnsi" w:cstheme="minorHAnsi"/>
                <w:color w:val="000000"/>
                <w:sz w:val="20"/>
                <w:szCs w:val="20"/>
              </w:rPr>
              <w:t xml:space="preserve"> ( 68</w:t>
            </w:r>
            <w:r>
              <w:rPr>
                <w:rFonts w:asciiTheme="minorHAnsi" w:hAnsiTheme="minorHAnsi" w:cstheme="minorHAnsi"/>
                <w:color w:val="000000"/>
                <w:sz w:val="20"/>
                <w:szCs w:val="20"/>
              </w:rPr>
              <w:t>%)</w:t>
            </w:r>
          </w:p>
        </w:tc>
      </w:tr>
      <w:tr w:rsidR="007D1237" w:rsidRPr="00DD3FAF" w:rsidTr="00A31215">
        <w:trPr>
          <w:trHeight w:val="315"/>
          <w:jc w:val="center"/>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D1237" w:rsidRPr="00DD3FAF" w:rsidRDefault="007D1237" w:rsidP="001E6BCC">
            <w:pPr>
              <w:rPr>
                <w:rFonts w:asciiTheme="minorHAnsi" w:hAnsiTheme="minorHAnsi" w:cstheme="minorHAnsi"/>
                <w:b/>
                <w:bCs/>
                <w:color w:val="2A2A2A"/>
                <w:sz w:val="20"/>
                <w:szCs w:val="20"/>
              </w:rPr>
            </w:pPr>
            <w:r>
              <w:rPr>
                <w:rFonts w:asciiTheme="minorHAnsi" w:hAnsiTheme="minorHAnsi" w:cstheme="minorHAnsi"/>
                <w:b/>
                <w:bCs/>
                <w:color w:val="2A2A2A"/>
                <w:sz w:val="20"/>
                <w:szCs w:val="20"/>
              </w:rPr>
              <w:t>2. ADMINISTRACION</w:t>
            </w:r>
          </w:p>
        </w:tc>
        <w:tc>
          <w:tcPr>
            <w:tcW w:w="1842" w:type="dxa"/>
            <w:tcBorders>
              <w:top w:val="nil"/>
              <w:left w:val="nil"/>
              <w:bottom w:val="single" w:sz="8" w:space="0" w:color="auto"/>
              <w:right w:val="single" w:sz="4" w:space="0" w:color="auto"/>
            </w:tcBorders>
            <w:shd w:val="clear" w:color="000000" w:fill="FFFFFF"/>
            <w:noWrap/>
            <w:vAlign w:val="center"/>
            <w:hideMark/>
          </w:tcPr>
          <w:p w:rsidR="007D1237" w:rsidRPr="00A31215" w:rsidRDefault="007D1237" w:rsidP="001E6BCC">
            <w:pPr>
              <w:jc w:val="right"/>
              <w:rPr>
                <w:rFonts w:asciiTheme="minorHAnsi" w:hAnsiTheme="minorHAnsi" w:cstheme="minorHAnsi"/>
                <w:b/>
                <w:color w:val="2A2A2A"/>
                <w:sz w:val="20"/>
                <w:szCs w:val="20"/>
              </w:rPr>
            </w:pPr>
            <w:r w:rsidRPr="00A31215">
              <w:rPr>
                <w:rFonts w:asciiTheme="minorHAnsi" w:hAnsiTheme="minorHAnsi" w:cstheme="minorHAnsi"/>
                <w:b/>
                <w:color w:val="2A2A2A"/>
                <w:sz w:val="20"/>
                <w:szCs w:val="20"/>
              </w:rPr>
              <w:t>660.000</w:t>
            </w:r>
            <w:r w:rsidR="00C201D5">
              <w:rPr>
                <w:rFonts w:asciiTheme="minorHAnsi" w:hAnsiTheme="minorHAnsi" w:cstheme="minorHAnsi"/>
                <w:b/>
                <w:color w:val="2A2A2A"/>
                <w:sz w:val="20"/>
                <w:szCs w:val="20"/>
              </w:rPr>
              <w:t>,00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1237" w:rsidRPr="00A31215" w:rsidRDefault="004068DD" w:rsidP="001E6BCC">
            <w:pPr>
              <w:jc w:val="right"/>
              <w:rPr>
                <w:rFonts w:asciiTheme="minorHAnsi" w:hAnsiTheme="minorHAnsi" w:cstheme="minorHAnsi"/>
                <w:b/>
                <w:color w:val="000000"/>
                <w:sz w:val="20"/>
                <w:szCs w:val="20"/>
              </w:rPr>
            </w:pPr>
            <w:r>
              <w:rPr>
                <w:rFonts w:asciiTheme="minorHAnsi" w:hAnsiTheme="minorHAnsi" w:cstheme="minorHAnsi"/>
                <w:b/>
                <w:color w:val="000000"/>
                <w:sz w:val="20"/>
                <w:szCs w:val="20"/>
              </w:rPr>
              <w:t>637.732,58 (</w:t>
            </w:r>
            <w:r w:rsidR="00CD716B">
              <w:rPr>
                <w:rFonts w:asciiTheme="minorHAnsi" w:hAnsiTheme="minorHAnsi" w:cstheme="minorHAnsi"/>
                <w:b/>
                <w:color w:val="000000"/>
                <w:sz w:val="20"/>
                <w:szCs w:val="20"/>
              </w:rPr>
              <w:t xml:space="preserve"> 97</w:t>
            </w:r>
            <w:r>
              <w:rPr>
                <w:rFonts w:asciiTheme="minorHAnsi" w:hAnsiTheme="minorHAnsi" w:cstheme="minorHAnsi"/>
                <w:b/>
                <w:color w:val="000000"/>
                <w:sz w:val="20"/>
                <w:szCs w:val="20"/>
              </w:rPr>
              <w:t>%)</w:t>
            </w:r>
          </w:p>
        </w:tc>
      </w:tr>
      <w:tr w:rsidR="007D1237" w:rsidRPr="00DD3FAF" w:rsidTr="00A31215">
        <w:trPr>
          <w:trHeight w:val="315"/>
          <w:jc w:val="center"/>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D1237" w:rsidRPr="00DD3FAF" w:rsidRDefault="007D1237" w:rsidP="001E6BCC">
            <w:pPr>
              <w:rPr>
                <w:rFonts w:asciiTheme="minorHAnsi" w:hAnsiTheme="minorHAnsi" w:cstheme="minorHAnsi"/>
                <w:b/>
                <w:bCs/>
                <w:color w:val="2A2A2A"/>
                <w:sz w:val="20"/>
                <w:szCs w:val="20"/>
              </w:rPr>
            </w:pPr>
            <w:r>
              <w:rPr>
                <w:rFonts w:asciiTheme="minorHAnsi" w:hAnsiTheme="minorHAnsi" w:cstheme="minorHAnsi"/>
                <w:b/>
                <w:bCs/>
                <w:color w:val="2A2A2A"/>
                <w:sz w:val="20"/>
                <w:szCs w:val="20"/>
              </w:rPr>
              <w:t xml:space="preserve">3. </w:t>
            </w:r>
            <w:r w:rsidRPr="00DD3FAF">
              <w:rPr>
                <w:rFonts w:asciiTheme="minorHAnsi" w:hAnsiTheme="minorHAnsi" w:cstheme="minorHAnsi"/>
                <w:b/>
                <w:bCs/>
                <w:color w:val="2A2A2A"/>
                <w:sz w:val="20"/>
                <w:szCs w:val="20"/>
              </w:rPr>
              <w:t>COSTOS CONCURRENTES</w:t>
            </w:r>
          </w:p>
        </w:tc>
        <w:tc>
          <w:tcPr>
            <w:tcW w:w="1842" w:type="dxa"/>
            <w:tcBorders>
              <w:top w:val="nil"/>
              <w:left w:val="nil"/>
              <w:bottom w:val="single" w:sz="8" w:space="0" w:color="auto"/>
              <w:right w:val="single" w:sz="4" w:space="0" w:color="auto"/>
            </w:tcBorders>
            <w:shd w:val="clear" w:color="000000" w:fill="FFFFFF"/>
            <w:noWrap/>
            <w:vAlign w:val="center"/>
            <w:hideMark/>
          </w:tcPr>
          <w:p w:rsidR="007D1237" w:rsidRPr="00A31215" w:rsidRDefault="007D1237" w:rsidP="001E6BCC">
            <w:pPr>
              <w:jc w:val="right"/>
              <w:rPr>
                <w:rFonts w:asciiTheme="minorHAnsi" w:hAnsiTheme="minorHAnsi" w:cstheme="minorHAnsi"/>
                <w:b/>
                <w:color w:val="2A2A2A"/>
                <w:sz w:val="20"/>
                <w:szCs w:val="20"/>
              </w:rPr>
            </w:pPr>
            <w:r w:rsidRPr="00A31215">
              <w:rPr>
                <w:rFonts w:asciiTheme="minorHAnsi" w:hAnsiTheme="minorHAnsi" w:cstheme="minorHAnsi"/>
                <w:b/>
                <w:color w:val="2A2A2A"/>
                <w:sz w:val="20"/>
                <w:szCs w:val="20"/>
              </w:rPr>
              <w:t>120.000</w:t>
            </w:r>
            <w:r w:rsidR="00C201D5">
              <w:rPr>
                <w:rFonts w:asciiTheme="minorHAnsi" w:hAnsiTheme="minorHAnsi" w:cstheme="minorHAnsi"/>
                <w:b/>
                <w:color w:val="2A2A2A"/>
                <w:sz w:val="20"/>
                <w:szCs w:val="20"/>
              </w:rPr>
              <w:t>,00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1237" w:rsidRPr="00A31215" w:rsidRDefault="004068DD" w:rsidP="001E6BCC">
            <w:pPr>
              <w:jc w:val="right"/>
              <w:rPr>
                <w:rFonts w:asciiTheme="minorHAnsi" w:hAnsiTheme="minorHAnsi" w:cstheme="minorHAnsi"/>
                <w:b/>
                <w:color w:val="000000"/>
                <w:sz w:val="20"/>
                <w:szCs w:val="20"/>
              </w:rPr>
            </w:pPr>
            <w:r>
              <w:rPr>
                <w:rFonts w:asciiTheme="minorHAnsi" w:hAnsiTheme="minorHAnsi" w:cstheme="minorHAnsi"/>
                <w:b/>
                <w:color w:val="000000"/>
                <w:sz w:val="20"/>
                <w:szCs w:val="20"/>
              </w:rPr>
              <w:t>40.656,18 (</w:t>
            </w:r>
            <w:r w:rsidR="00CD716B">
              <w:rPr>
                <w:rFonts w:asciiTheme="minorHAnsi" w:hAnsiTheme="minorHAnsi" w:cstheme="minorHAnsi"/>
                <w:b/>
                <w:color w:val="000000"/>
                <w:sz w:val="20"/>
                <w:szCs w:val="20"/>
              </w:rPr>
              <w:t xml:space="preserve"> 33</w:t>
            </w:r>
            <w:r>
              <w:rPr>
                <w:rFonts w:asciiTheme="minorHAnsi" w:hAnsiTheme="minorHAnsi" w:cstheme="minorHAnsi"/>
                <w:b/>
                <w:color w:val="000000"/>
                <w:sz w:val="20"/>
                <w:szCs w:val="20"/>
              </w:rPr>
              <w:t>%)</w:t>
            </w:r>
          </w:p>
        </w:tc>
      </w:tr>
      <w:tr w:rsidR="007D1237" w:rsidRPr="00DD3FAF" w:rsidTr="00A31215">
        <w:trPr>
          <w:trHeight w:val="315"/>
          <w:jc w:val="center"/>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D1237" w:rsidRPr="00DD3FAF" w:rsidRDefault="007D1237" w:rsidP="001E6BCC">
            <w:pPr>
              <w:rPr>
                <w:rFonts w:asciiTheme="minorHAnsi" w:hAnsiTheme="minorHAnsi" w:cstheme="minorHAnsi"/>
                <w:b/>
                <w:bCs/>
                <w:color w:val="2A2A2A"/>
                <w:sz w:val="20"/>
                <w:szCs w:val="20"/>
              </w:rPr>
            </w:pPr>
            <w:r>
              <w:rPr>
                <w:rFonts w:asciiTheme="minorHAnsi" w:hAnsiTheme="minorHAnsi" w:cstheme="minorHAnsi"/>
                <w:b/>
                <w:bCs/>
                <w:color w:val="2A2A2A"/>
                <w:sz w:val="20"/>
                <w:szCs w:val="20"/>
              </w:rPr>
              <w:t xml:space="preserve">4. </w:t>
            </w:r>
            <w:r w:rsidRPr="00DD3FAF">
              <w:rPr>
                <w:rFonts w:asciiTheme="minorHAnsi" w:hAnsiTheme="minorHAnsi" w:cstheme="minorHAnsi"/>
                <w:b/>
                <w:bCs/>
                <w:color w:val="2A2A2A"/>
                <w:sz w:val="20"/>
                <w:szCs w:val="20"/>
              </w:rPr>
              <w:t>IMPREVISTOS</w:t>
            </w:r>
          </w:p>
        </w:tc>
        <w:tc>
          <w:tcPr>
            <w:tcW w:w="1842" w:type="dxa"/>
            <w:tcBorders>
              <w:top w:val="nil"/>
              <w:left w:val="nil"/>
              <w:bottom w:val="single" w:sz="8" w:space="0" w:color="auto"/>
              <w:right w:val="single" w:sz="4" w:space="0" w:color="auto"/>
            </w:tcBorders>
            <w:shd w:val="clear" w:color="000000" w:fill="FFFFFF"/>
            <w:noWrap/>
            <w:vAlign w:val="center"/>
            <w:hideMark/>
          </w:tcPr>
          <w:p w:rsidR="007D1237" w:rsidRPr="00A31215" w:rsidRDefault="007D1237" w:rsidP="001E6BCC">
            <w:pPr>
              <w:jc w:val="right"/>
              <w:rPr>
                <w:rFonts w:asciiTheme="minorHAnsi" w:hAnsiTheme="minorHAnsi" w:cstheme="minorHAnsi"/>
                <w:b/>
                <w:color w:val="2A2A2A"/>
                <w:sz w:val="20"/>
                <w:szCs w:val="20"/>
              </w:rPr>
            </w:pPr>
            <w:r w:rsidRPr="00A31215">
              <w:rPr>
                <w:rFonts w:asciiTheme="minorHAnsi" w:hAnsiTheme="minorHAnsi" w:cstheme="minorHAnsi"/>
                <w:b/>
                <w:color w:val="2A2A2A"/>
                <w:sz w:val="20"/>
                <w:szCs w:val="20"/>
              </w:rPr>
              <w:t>50.000</w:t>
            </w:r>
            <w:r w:rsidR="00C201D5">
              <w:rPr>
                <w:rFonts w:asciiTheme="minorHAnsi" w:hAnsiTheme="minorHAnsi" w:cstheme="minorHAnsi"/>
                <w:b/>
                <w:color w:val="2A2A2A"/>
                <w:sz w:val="20"/>
                <w:szCs w:val="20"/>
              </w:rPr>
              <w:t>,00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1237" w:rsidRPr="00A31215" w:rsidRDefault="004068DD" w:rsidP="001E6BCC">
            <w:pPr>
              <w:jc w:val="right"/>
              <w:rPr>
                <w:rFonts w:asciiTheme="minorHAnsi" w:hAnsiTheme="minorHAnsi" w:cstheme="minorHAnsi"/>
                <w:b/>
                <w:color w:val="000000"/>
                <w:sz w:val="20"/>
                <w:szCs w:val="20"/>
              </w:rPr>
            </w:pPr>
            <w:r>
              <w:rPr>
                <w:rFonts w:asciiTheme="minorHAnsi" w:hAnsiTheme="minorHAnsi" w:cstheme="minorHAnsi"/>
                <w:b/>
                <w:color w:val="000000"/>
                <w:sz w:val="20"/>
                <w:szCs w:val="20"/>
              </w:rPr>
              <w:t>0,00 (</w:t>
            </w:r>
            <w:r w:rsidR="00CD716B">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 xml:space="preserve"> 0%) </w:t>
            </w:r>
          </w:p>
        </w:tc>
      </w:tr>
      <w:tr w:rsidR="007D1237" w:rsidRPr="00DD3FAF" w:rsidTr="00A31215">
        <w:trPr>
          <w:trHeight w:val="315"/>
          <w:jc w:val="center"/>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D1237" w:rsidRPr="00DD3FAF" w:rsidRDefault="004068DD" w:rsidP="001E6BCC">
            <w:pPr>
              <w:rPr>
                <w:rFonts w:asciiTheme="minorHAnsi" w:hAnsiTheme="minorHAnsi" w:cstheme="minorHAnsi"/>
                <w:b/>
                <w:bCs/>
                <w:color w:val="2A2A2A"/>
                <w:sz w:val="20"/>
                <w:szCs w:val="20"/>
              </w:rPr>
            </w:pPr>
            <w:r>
              <w:rPr>
                <w:rFonts w:asciiTheme="minorHAnsi" w:hAnsiTheme="minorHAnsi" w:cstheme="minorHAnsi"/>
                <w:b/>
                <w:bCs/>
                <w:color w:val="2A2A2A"/>
                <w:sz w:val="20"/>
                <w:szCs w:val="20"/>
              </w:rPr>
              <w:t>5</w:t>
            </w:r>
            <w:r w:rsidR="007D1237" w:rsidRPr="00DD3FAF">
              <w:rPr>
                <w:rFonts w:asciiTheme="minorHAnsi" w:hAnsiTheme="minorHAnsi" w:cstheme="minorHAnsi"/>
                <w:b/>
                <w:bCs/>
                <w:color w:val="2A2A2A"/>
                <w:sz w:val="20"/>
                <w:szCs w:val="20"/>
              </w:rPr>
              <w:t>.  FAPEP</w:t>
            </w:r>
          </w:p>
        </w:tc>
        <w:tc>
          <w:tcPr>
            <w:tcW w:w="1842" w:type="dxa"/>
            <w:tcBorders>
              <w:top w:val="nil"/>
              <w:left w:val="nil"/>
              <w:bottom w:val="single" w:sz="8" w:space="0" w:color="auto"/>
              <w:right w:val="single" w:sz="4" w:space="0" w:color="auto"/>
            </w:tcBorders>
            <w:shd w:val="clear" w:color="000000" w:fill="FFFFFF"/>
            <w:noWrap/>
            <w:vAlign w:val="center"/>
            <w:hideMark/>
          </w:tcPr>
          <w:p w:rsidR="007D1237" w:rsidRPr="00A31215" w:rsidRDefault="007D1237" w:rsidP="001E6BCC">
            <w:pPr>
              <w:jc w:val="right"/>
              <w:rPr>
                <w:rFonts w:asciiTheme="minorHAnsi" w:hAnsiTheme="minorHAnsi" w:cstheme="minorHAnsi"/>
                <w:b/>
                <w:color w:val="2A2A2A"/>
                <w:sz w:val="20"/>
                <w:szCs w:val="20"/>
              </w:rPr>
            </w:pPr>
            <w:r w:rsidRPr="00A31215">
              <w:rPr>
                <w:rFonts w:asciiTheme="minorHAnsi" w:hAnsiTheme="minorHAnsi" w:cstheme="minorHAnsi"/>
                <w:b/>
                <w:color w:val="2A2A2A"/>
                <w:sz w:val="20"/>
                <w:szCs w:val="20"/>
              </w:rPr>
              <w:t>750.000</w:t>
            </w:r>
            <w:r w:rsidR="00C201D5">
              <w:rPr>
                <w:rFonts w:asciiTheme="minorHAnsi" w:hAnsiTheme="minorHAnsi" w:cstheme="minorHAnsi"/>
                <w:b/>
                <w:color w:val="2A2A2A"/>
                <w:sz w:val="20"/>
                <w:szCs w:val="20"/>
              </w:rPr>
              <w:t>,00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1237" w:rsidRPr="00A31215" w:rsidRDefault="004068DD" w:rsidP="001E6BCC">
            <w:pPr>
              <w:jc w:val="right"/>
              <w:rPr>
                <w:rFonts w:asciiTheme="minorHAnsi" w:hAnsiTheme="minorHAnsi" w:cstheme="minorHAnsi"/>
                <w:b/>
                <w:color w:val="000000"/>
                <w:sz w:val="20"/>
                <w:szCs w:val="20"/>
              </w:rPr>
            </w:pPr>
            <w:r>
              <w:rPr>
                <w:rFonts w:asciiTheme="minorHAnsi" w:hAnsiTheme="minorHAnsi" w:cstheme="minorHAnsi"/>
                <w:b/>
                <w:color w:val="000000"/>
                <w:sz w:val="20"/>
                <w:szCs w:val="20"/>
              </w:rPr>
              <w:t>621.926,26 (</w:t>
            </w:r>
            <w:r w:rsidR="00CD716B">
              <w:rPr>
                <w:rFonts w:asciiTheme="minorHAnsi" w:hAnsiTheme="minorHAnsi" w:cstheme="minorHAnsi"/>
                <w:b/>
                <w:color w:val="000000"/>
                <w:sz w:val="20"/>
                <w:szCs w:val="20"/>
              </w:rPr>
              <w:t xml:space="preserve"> 83</w:t>
            </w:r>
            <w:r>
              <w:rPr>
                <w:rFonts w:asciiTheme="minorHAnsi" w:hAnsiTheme="minorHAnsi" w:cstheme="minorHAnsi"/>
                <w:b/>
                <w:color w:val="000000"/>
                <w:sz w:val="20"/>
                <w:szCs w:val="20"/>
              </w:rPr>
              <w:t>%)</w:t>
            </w:r>
          </w:p>
        </w:tc>
      </w:tr>
      <w:tr w:rsidR="007D1237" w:rsidRPr="00DD3FAF" w:rsidTr="00A31215">
        <w:trPr>
          <w:trHeight w:val="315"/>
          <w:jc w:val="center"/>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D1237" w:rsidRPr="00DD3FAF" w:rsidRDefault="007D1237" w:rsidP="001E6BCC">
            <w:pPr>
              <w:rPr>
                <w:rFonts w:asciiTheme="minorHAnsi" w:hAnsiTheme="minorHAnsi" w:cstheme="minorHAnsi"/>
                <w:b/>
                <w:bCs/>
                <w:color w:val="000000"/>
                <w:sz w:val="20"/>
                <w:szCs w:val="20"/>
              </w:rPr>
            </w:pPr>
            <w:r w:rsidRPr="00DD3FAF">
              <w:rPr>
                <w:rFonts w:asciiTheme="minorHAnsi" w:hAnsiTheme="minorHAnsi" w:cstheme="minorHAnsi"/>
                <w:b/>
                <w:bCs/>
                <w:color w:val="000000"/>
                <w:sz w:val="20"/>
                <w:szCs w:val="20"/>
              </w:rPr>
              <w:t>TOTAL</w:t>
            </w:r>
          </w:p>
        </w:tc>
        <w:tc>
          <w:tcPr>
            <w:tcW w:w="1842" w:type="dxa"/>
            <w:tcBorders>
              <w:top w:val="nil"/>
              <w:left w:val="nil"/>
              <w:bottom w:val="single" w:sz="8" w:space="0" w:color="auto"/>
              <w:right w:val="single" w:sz="4" w:space="0" w:color="auto"/>
            </w:tcBorders>
            <w:shd w:val="clear" w:color="000000" w:fill="FFFFFF"/>
            <w:noWrap/>
            <w:vAlign w:val="center"/>
            <w:hideMark/>
          </w:tcPr>
          <w:p w:rsidR="007D1237" w:rsidRPr="00A31215" w:rsidRDefault="007D1237" w:rsidP="001E6BCC">
            <w:pPr>
              <w:jc w:val="right"/>
              <w:rPr>
                <w:rFonts w:asciiTheme="minorHAnsi" w:hAnsiTheme="minorHAnsi" w:cstheme="minorHAnsi"/>
                <w:b/>
                <w:bCs/>
                <w:color w:val="2A2A2A"/>
                <w:sz w:val="20"/>
                <w:szCs w:val="20"/>
              </w:rPr>
            </w:pPr>
            <w:r w:rsidRPr="00A31215">
              <w:rPr>
                <w:rFonts w:asciiTheme="minorHAnsi" w:hAnsiTheme="minorHAnsi" w:cstheme="minorHAnsi"/>
                <w:b/>
                <w:bCs/>
                <w:color w:val="2A2A2A"/>
                <w:sz w:val="20"/>
                <w:szCs w:val="20"/>
              </w:rPr>
              <w:t>6.500.000</w:t>
            </w:r>
            <w:r w:rsidR="00C201D5">
              <w:rPr>
                <w:rFonts w:asciiTheme="minorHAnsi" w:hAnsiTheme="minorHAnsi" w:cstheme="minorHAnsi"/>
                <w:b/>
                <w:bCs/>
                <w:color w:val="2A2A2A"/>
                <w:sz w:val="20"/>
                <w:szCs w:val="20"/>
              </w:rPr>
              <w:t>,00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D1237" w:rsidRPr="00A31215" w:rsidRDefault="004068DD" w:rsidP="001E6BCC">
            <w:pPr>
              <w:jc w:val="right"/>
              <w:rPr>
                <w:rFonts w:asciiTheme="minorHAnsi" w:hAnsiTheme="minorHAnsi" w:cstheme="minorHAnsi"/>
                <w:b/>
                <w:bCs/>
                <w:color w:val="2A2A2A"/>
                <w:sz w:val="20"/>
                <w:szCs w:val="20"/>
              </w:rPr>
            </w:pPr>
            <w:r>
              <w:rPr>
                <w:rFonts w:asciiTheme="minorHAnsi" w:hAnsiTheme="minorHAnsi" w:cstheme="minorHAnsi"/>
                <w:b/>
                <w:bCs/>
                <w:color w:val="2A2A2A"/>
                <w:sz w:val="20"/>
                <w:szCs w:val="20"/>
              </w:rPr>
              <w:t>5.687.260,84 (</w:t>
            </w:r>
            <w:r w:rsidR="00CD716B">
              <w:rPr>
                <w:rFonts w:asciiTheme="minorHAnsi" w:hAnsiTheme="minorHAnsi" w:cstheme="minorHAnsi"/>
                <w:b/>
                <w:bCs/>
                <w:color w:val="2A2A2A"/>
                <w:sz w:val="20"/>
                <w:szCs w:val="20"/>
              </w:rPr>
              <w:t xml:space="preserve"> </w:t>
            </w:r>
            <w:r w:rsidR="00011942">
              <w:rPr>
                <w:rFonts w:asciiTheme="minorHAnsi" w:hAnsiTheme="minorHAnsi" w:cstheme="minorHAnsi"/>
                <w:b/>
                <w:bCs/>
                <w:color w:val="2A2A2A"/>
                <w:sz w:val="20"/>
                <w:szCs w:val="20"/>
              </w:rPr>
              <w:t>87</w:t>
            </w:r>
            <w:r>
              <w:rPr>
                <w:rFonts w:asciiTheme="minorHAnsi" w:hAnsiTheme="minorHAnsi" w:cstheme="minorHAnsi"/>
                <w:b/>
                <w:bCs/>
                <w:color w:val="2A2A2A"/>
                <w:sz w:val="20"/>
                <w:szCs w:val="20"/>
              </w:rPr>
              <w:t>%)</w:t>
            </w:r>
          </w:p>
        </w:tc>
      </w:tr>
    </w:tbl>
    <w:p w:rsidR="001F193A" w:rsidRPr="004B542B" w:rsidRDefault="00A31215" w:rsidP="001F193A">
      <w:pPr>
        <w:spacing w:line="276" w:lineRule="auto"/>
        <w:rPr>
          <w:rFonts w:ascii="Calibri" w:hAnsi="Calibri" w:cs="Calibri"/>
          <w:sz w:val="18"/>
          <w:szCs w:val="18"/>
          <w:lang w:val="es-AR" w:eastAsia="es-AR"/>
        </w:rPr>
      </w:pPr>
      <w:r w:rsidRPr="004B542B">
        <w:rPr>
          <w:rFonts w:asciiTheme="minorHAnsi" w:hAnsiTheme="minorHAnsi" w:cstheme="minorHAnsi"/>
          <w:sz w:val="18"/>
          <w:szCs w:val="18"/>
        </w:rPr>
        <w:t xml:space="preserve">         </w:t>
      </w:r>
      <w:r w:rsidR="001F193A" w:rsidRPr="004B542B">
        <w:rPr>
          <w:rFonts w:asciiTheme="minorHAnsi" w:hAnsiTheme="minorHAnsi" w:cstheme="minorHAnsi"/>
          <w:sz w:val="18"/>
          <w:szCs w:val="18"/>
        </w:rPr>
        <w:t xml:space="preserve">Fuente: </w:t>
      </w:r>
      <w:r w:rsidR="001F193A" w:rsidRPr="004B542B">
        <w:rPr>
          <w:rFonts w:ascii="Calibri" w:hAnsi="Calibri" w:cs="Calibri"/>
          <w:sz w:val="18"/>
          <w:szCs w:val="18"/>
          <w:lang w:val="es-AR" w:eastAsia="es-AR"/>
        </w:rPr>
        <w:t>Innovos</w:t>
      </w:r>
      <w:r w:rsidR="00B80BCF" w:rsidRPr="004B542B">
        <w:rPr>
          <w:rFonts w:ascii="Calibri" w:hAnsi="Calibri" w:cs="Calibri"/>
          <w:sz w:val="18"/>
          <w:szCs w:val="18"/>
          <w:lang w:val="es-AR" w:eastAsia="es-AR"/>
        </w:rPr>
        <w:t xml:space="preserve"> </w:t>
      </w:r>
      <w:r w:rsidR="001F193A" w:rsidRPr="004B542B">
        <w:rPr>
          <w:rFonts w:ascii="Calibri" w:hAnsi="Calibri" w:cs="Calibri"/>
          <w:sz w:val="18"/>
          <w:szCs w:val="18"/>
          <w:lang w:val="es-AR" w:eastAsia="es-AR"/>
        </w:rPr>
        <w:t>Group</w:t>
      </w:r>
      <w:r w:rsidR="007D1237" w:rsidRPr="004B542B">
        <w:rPr>
          <w:rFonts w:ascii="Calibri" w:hAnsi="Calibri" w:cs="Calibri"/>
          <w:sz w:val="18"/>
          <w:szCs w:val="18"/>
          <w:lang w:val="es-AR" w:eastAsia="es-AR"/>
        </w:rPr>
        <w:t xml:space="preserve"> en base</w:t>
      </w:r>
      <w:r w:rsidR="001F193A" w:rsidRPr="004B542B">
        <w:rPr>
          <w:rFonts w:ascii="Calibri" w:hAnsi="Calibri" w:cs="Calibri"/>
          <w:sz w:val="18"/>
          <w:szCs w:val="18"/>
          <w:lang w:val="es-AR" w:eastAsia="es-AR"/>
        </w:rPr>
        <w:t xml:space="preserve"> </w:t>
      </w:r>
      <w:r w:rsidR="007D1237" w:rsidRPr="004B542B">
        <w:rPr>
          <w:rFonts w:ascii="Calibri" w:hAnsi="Calibri" w:cs="Calibri"/>
          <w:sz w:val="18"/>
          <w:szCs w:val="18"/>
          <w:lang w:val="es-AR" w:eastAsia="es-AR"/>
        </w:rPr>
        <w:t>al Anexo 1 del Informe Semestral de Progreso – Estado de Inversiones – CONACYT</w:t>
      </w:r>
    </w:p>
    <w:p w:rsidR="001F193A" w:rsidRDefault="001F193A" w:rsidP="001F193A">
      <w:pPr>
        <w:spacing w:line="276" w:lineRule="auto"/>
        <w:rPr>
          <w:rFonts w:ascii="Calibri" w:hAnsi="Calibri" w:cs="Calibri"/>
          <w:sz w:val="18"/>
          <w:szCs w:val="18"/>
          <w:lang w:val="es-AR" w:eastAsia="es-AR"/>
        </w:rPr>
      </w:pPr>
    </w:p>
    <w:p w:rsidR="001E6BCC" w:rsidRPr="001F193A" w:rsidRDefault="001E6BCC" w:rsidP="001E6BCC">
      <w:pPr>
        <w:pStyle w:val="BodyText2"/>
        <w:spacing w:after="200" w:line="276" w:lineRule="auto"/>
        <w:ind w:left="1418" w:hanging="1418"/>
        <w:rPr>
          <w:rFonts w:asciiTheme="minorHAnsi" w:eastAsia="Calibri" w:hAnsiTheme="minorHAnsi" w:cstheme="minorHAnsi"/>
          <w:b/>
          <w:sz w:val="24"/>
          <w:szCs w:val="24"/>
          <w:lang w:val="es-ES" w:eastAsia="en-US"/>
        </w:rPr>
      </w:pPr>
      <w:r w:rsidRPr="001F193A">
        <w:rPr>
          <w:rFonts w:asciiTheme="minorHAnsi" w:eastAsia="Calibri" w:hAnsiTheme="minorHAnsi" w:cstheme="minorHAnsi"/>
          <w:b/>
          <w:sz w:val="24"/>
          <w:szCs w:val="24"/>
          <w:lang w:val="es-ES" w:eastAsia="en-US"/>
        </w:rPr>
        <w:t>Descripción del programa y sus componentes e instrumentos</w:t>
      </w:r>
    </w:p>
    <w:p w:rsidR="001E6BCC" w:rsidRDefault="001E6BCC" w:rsidP="001E6BCC">
      <w:pPr>
        <w:spacing w:after="200" w:line="276" w:lineRule="auto"/>
        <w:jc w:val="both"/>
        <w:rPr>
          <w:rFonts w:asciiTheme="minorHAnsi" w:hAnsiTheme="minorHAnsi" w:cstheme="minorHAnsi"/>
        </w:rPr>
      </w:pPr>
      <w:r w:rsidRPr="001E6BCC">
        <w:rPr>
          <w:rFonts w:asciiTheme="minorHAnsi" w:hAnsiTheme="minorHAnsi" w:cstheme="minorHAnsi"/>
        </w:rPr>
        <w:t xml:space="preserve">El </w:t>
      </w:r>
      <w:r w:rsidR="001F193A">
        <w:rPr>
          <w:rFonts w:asciiTheme="minorHAnsi" w:hAnsiTheme="minorHAnsi" w:cstheme="minorHAnsi"/>
        </w:rPr>
        <w:t>objetivo general del Programa fue</w:t>
      </w:r>
      <w:r w:rsidRPr="001E6BCC">
        <w:rPr>
          <w:rFonts w:asciiTheme="minorHAnsi" w:hAnsiTheme="minorHAnsi" w:cstheme="minorHAnsi"/>
        </w:rPr>
        <w:t xml:space="preserve"> contribuir al fortalecimiento del Sistema Nacional de Innovación de Paraguay. El objetivo específico</w:t>
      </w:r>
      <w:r w:rsidR="001F193A">
        <w:rPr>
          <w:rFonts w:asciiTheme="minorHAnsi" w:hAnsiTheme="minorHAnsi" w:cstheme="minorHAnsi"/>
        </w:rPr>
        <w:t xml:space="preserve">, </w:t>
      </w:r>
      <w:r w:rsidRPr="001E6BCC">
        <w:rPr>
          <w:rFonts w:asciiTheme="minorHAnsi" w:hAnsiTheme="minorHAnsi" w:cstheme="minorHAnsi"/>
        </w:rPr>
        <w:t>aumentar la capacidad de investigación e innovación en el país.</w:t>
      </w:r>
    </w:p>
    <w:p w:rsidR="00754BD3" w:rsidRDefault="00754BD3" w:rsidP="001E6BCC">
      <w:pPr>
        <w:spacing w:after="200" w:line="276" w:lineRule="auto"/>
        <w:jc w:val="both"/>
        <w:rPr>
          <w:rFonts w:asciiTheme="minorHAnsi" w:hAnsiTheme="minorHAnsi" w:cstheme="minorHAnsi"/>
        </w:rPr>
      </w:pPr>
      <w:r>
        <w:rPr>
          <w:rFonts w:asciiTheme="minorHAnsi" w:hAnsiTheme="minorHAnsi" w:cstheme="minorHAnsi"/>
        </w:rPr>
        <w:t>En términos de resultados, se esperaba alcanzar los siguientes</w:t>
      </w:r>
      <w:r>
        <w:rPr>
          <w:rStyle w:val="FootnoteReference"/>
          <w:rFonts w:asciiTheme="minorHAnsi" w:hAnsiTheme="minorHAnsi"/>
        </w:rPr>
        <w:footnoteReference w:id="4"/>
      </w:r>
      <w:r>
        <w:rPr>
          <w:rFonts w:asciiTheme="minorHAnsi" w:hAnsiTheme="minorHAnsi" w:cstheme="minorHAnsi"/>
        </w:rPr>
        <w:t>:</w:t>
      </w:r>
    </w:p>
    <w:p w:rsidR="00754BD3" w:rsidRPr="00754BD3" w:rsidRDefault="00754BD3" w:rsidP="00754BD3">
      <w:pPr>
        <w:pStyle w:val="ListParagraph"/>
        <w:numPr>
          <w:ilvl w:val="0"/>
          <w:numId w:val="28"/>
        </w:numPr>
        <w:spacing w:after="200" w:line="276" w:lineRule="auto"/>
        <w:jc w:val="both"/>
        <w:rPr>
          <w:rFonts w:asciiTheme="minorHAnsi" w:eastAsia="Calibri" w:hAnsiTheme="minorHAnsi" w:cstheme="minorHAnsi"/>
        </w:rPr>
      </w:pPr>
      <w:r w:rsidRPr="00754BD3">
        <w:rPr>
          <w:rFonts w:asciiTheme="minorHAnsi" w:eastAsia="Calibri" w:hAnsiTheme="minorHAnsi" w:cstheme="minorHAnsi"/>
        </w:rPr>
        <w:t>Incremento de la inversión nacional pública y privada en Investigación y Desarrollo, con una gestión más eficaz y eficiente, aumentando por ende la exportación y el empleo.</w:t>
      </w:r>
    </w:p>
    <w:p w:rsidR="00754BD3" w:rsidRPr="00754BD3" w:rsidRDefault="00754BD3" w:rsidP="00754BD3">
      <w:pPr>
        <w:pStyle w:val="ListParagraph"/>
        <w:numPr>
          <w:ilvl w:val="0"/>
          <w:numId w:val="28"/>
        </w:numPr>
        <w:spacing w:after="200" w:line="276" w:lineRule="auto"/>
        <w:jc w:val="both"/>
        <w:rPr>
          <w:rFonts w:asciiTheme="minorHAnsi" w:eastAsia="Calibri" w:hAnsiTheme="minorHAnsi" w:cstheme="minorHAnsi"/>
        </w:rPr>
      </w:pPr>
      <w:r w:rsidRPr="00754BD3">
        <w:rPr>
          <w:rFonts w:asciiTheme="minorHAnsi" w:eastAsia="Calibri" w:hAnsiTheme="minorHAnsi" w:cstheme="minorHAnsi"/>
        </w:rPr>
        <w:t xml:space="preserve">Aumento del número de proyectos de Investigación, Desarrollo e Innovación. </w:t>
      </w:r>
      <w:r w:rsidR="00B46995">
        <w:rPr>
          <w:rFonts w:asciiTheme="minorHAnsi" w:eastAsia="Calibri" w:hAnsiTheme="minorHAnsi" w:cstheme="minorHAnsi"/>
        </w:rPr>
        <w:t xml:space="preserve">En el momento de inicio del Programa se desarrollaban </w:t>
      </w:r>
      <w:r w:rsidRPr="00754BD3">
        <w:rPr>
          <w:rFonts w:asciiTheme="minorHAnsi" w:eastAsia="Calibri" w:hAnsiTheme="minorHAnsi" w:cstheme="minorHAnsi"/>
        </w:rPr>
        <w:t>menos de 30 proyectos y se busca</w:t>
      </w:r>
      <w:r w:rsidR="00B46995">
        <w:rPr>
          <w:rFonts w:asciiTheme="minorHAnsi" w:eastAsia="Calibri" w:hAnsiTheme="minorHAnsi" w:cstheme="minorHAnsi"/>
        </w:rPr>
        <w:t>ba</w:t>
      </w:r>
      <w:r w:rsidRPr="00754BD3">
        <w:rPr>
          <w:rFonts w:asciiTheme="minorHAnsi" w:eastAsia="Calibri" w:hAnsiTheme="minorHAnsi" w:cstheme="minorHAnsi"/>
        </w:rPr>
        <w:t xml:space="preserve"> aumentar el número a 80.</w:t>
      </w:r>
    </w:p>
    <w:p w:rsidR="00754BD3" w:rsidRPr="00754BD3" w:rsidRDefault="00754BD3" w:rsidP="00754BD3">
      <w:pPr>
        <w:pStyle w:val="ListParagraph"/>
        <w:numPr>
          <w:ilvl w:val="0"/>
          <w:numId w:val="28"/>
        </w:numPr>
        <w:spacing w:after="200" w:line="276" w:lineRule="auto"/>
        <w:jc w:val="both"/>
        <w:rPr>
          <w:rFonts w:asciiTheme="minorHAnsi" w:eastAsia="Calibri" w:hAnsiTheme="minorHAnsi" w:cstheme="minorHAnsi"/>
        </w:rPr>
      </w:pPr>
      <w:r w:rsidRPr="00754BD3">
        <w:rPr>
          <w:rFonts w:asciiTheme="minorHAnsi" w:eastAsia="Calibri" w:hAnsiTheme="minorHAnsi" w:cstheme="minorHAnsi"/>
        </w:rPr>
        <w:t>Mejora de la competitividad y visibilidad en el mercado regional y global de aproximadamente 100 empresas paraguayas.</w:t>
      </w:r>
    </w:p>
    <w:p w:rsidR="00754BD3" w:rsidRPr="00754BD3" w:rsidRDefault="00754BD3" w:rsidP="00754BD3">
      <w:pPr>
        <w:pStyle w:val="ListParagraph"/>
        <w:numPr>
          <w:ilvl w:val="0"/>
          <w:numId w:val="28"/>
        </w:numPr>
        <w:spacing w:after="200" w:line="276" w:lineRule="auto"/>
        <w:jc w:val="both"/>
        <w:rPr>
          <w:rFonts w:asciiTheme="minorHAnsi" w:eastAsia="Calibri" w:hAnsiTheme="minorHAnsi" w:cstheme="minorHAnsi"/>
        </w:rPr>
      </w:pPr>
      <w:r w:rsidRPr="00754BD3">
        <w:rPr>
          <w:rFonts w:asciiTheme="minorHAnsi" w:eastAsia="Calibri" w:hAnsiTheme="minorHAnsi" w:cstheme="minorHAnsi"/>
        </w:rPr>
        <w:t>Inserción laboral y profesional en áreas de Ciencia y Tecnología de la población joven del país (mayoritaria en nuestra pirámide poblacional). Se aprovecha</w:t>
      </w:r>
      <w:r w:rsidR="00B46995">
        <w:rPr>
          <w:rFonts w:asciiTheme="minorHAnsi" w:eastAsia="Calibri" w:hAnsiTheme="minorHAnsi" w:cstheme="minorHAnsi"/>
        </w:rPr>
        <w:t>ría</w:t>
      </w:r>
      <w:r w:rsidRPr="00754BD3">
        <w:rPr>
          <w:rFonts w:asciiTheme="minorHAnsi" w:eastAsia="Calibri" w:hAnsiTheme="minorHAnsi" w:cstheme="minorHAnsi"/>
        </w:rPr>
        <w:t xml:space="preserve"> la relación natural existente entre la juventud y las nuevas tecnologías.</w:t>
      </w:r>
    </w:p>
    <w:p w:rsidR="00754BD3" w:rsidRPr="00754BD3" w:rsidRDefault="00754BD3" w:rsidP="00754BD3">
      <w:pPr>
        <w:pStyle w:val="ListParagraph"/>
        <w:numPr>
          <w:ilvl w:val="0"/>
          <w:numId w:val="28"/>
        </w:numPr>
        <w:spacing w:after="200" w:line="276" w:lineRule="auto"/>
        <w:jc w:val="both"/>
        <w:rPr>
          <w:rFonts w:asciiTheme="minorHAnsi" w:eastAsia="Calibri" w:hAnsiTheme="minorHAnsi" w:cstheme="minorHAnsi"/>
        </w:rPr>
      </w:pPr>
      <w:r w:rsidRPr="00754BD3">
        <w:rPr>
          <w:rFonts w:asciiTheme="minorHAnsi" w:eastAsia="Calibri" w:hAnsiTheme="minorHAnsi" w:cstheme="minorHAnsi"/>
        </w:rPr>
        <w:t>De los fondos dispon</w:t>
      </w:r>
      <w:r w:rsidR="00B46995">
        <w:rPr>
          <w:rFonts w:asciiTheme="minorHAnsi" w:eastAsia="Calibri" w:hAnsiTheme="minorHAnsi" w:cstheme="minorHAnsi"/>
        </w:rPr>
        <w:t>ibles, el 83% de los mismos sería</w:t>
      </w:r>
      <w:r w:rsidRPr="00754BD3">
        <w:rPr>
          <w:rFonts w:asciiTheme="minorHAnsi" w:eastAsia="Calibri" w:hAnsiTheme="minorHAnsi" w:cstheme="minorHAnsi"/>
        </w:rPr>
        <w:t xml:space="preserve">n transferidos a beneficiarios directos (52% a proyectos de investigación, desarrollo e innovación en empresas y </w:t>
      </w:r>
      <w:r w:rsidRPr="00754BD3">
        <w:rPr>
          <w:rFonts w:asciiTheme="minorHAnsi" w:eastAsia="Calibri" w:hAnsiTheme="minorHAnsi" w:cstheme="minorHAnsi"/>
        </w:rPr>
        <w:lastRenderedPageBreak/>
        <w:t xml:space="preserve">universidades paraguayas; el 31% a Capacitación de Actores Institucionales y la Formación de Recursos Humanos </w:t>
      </w:r>
      <w:r w:rsidR="00B46995">
        <w:rPr>
          <w:rFonts w:asciiTheme="minorHAnsi" w:eastAsia="Calibri" w:hAnsiTheme="minorHAnsi" w:cstheme="minorHAnsi"/>
        </w:rPr>
        <w:t>de alta calificación) y 17% sería</w:t>
      </w:r>
      <w:r w:rsidRPr="00754BD3">
        <w:rPr>
          <w:rFonts w:asciiTheme="minorHAnsi" w:eastAsia="Calibri" w:hAnsiTheme="minorHAnsi" w:cstheme="minorHAnsi"/>
        </w:rPr>
        <w:t xml:space="preserve"> destinado a gastos de gestión del proyecto y fortalecimiento institucional.</w:t>
      </w:r>
    </w:p>
    <w:p w:rsidR="00754BD3" w:rsidRPr="00754BD3" w:rsidRDefault="00B46995" w:rsidP="00754BD3">
      <w:pPr>
        <w:pStyle w:val="ListParagraph"/>
        <w:numPr>
          <w:ilvl w:val="0"/>
          <w:numId w:val="28"/>
        </w:numPr>
        <w:spacing w:after="200" w:line="276" w:lineRule="auto"/>
        <w:jc w:val="both"/>
        <w:rPr>
          <w:rFonts w:asciiTheme="minorHAnsi" w:hAnsiTheme="minorHAnsi" w:cstheme="minorHAnsi"/>
        </w:rPr>
      </w:pPr>
      <w:r>
        <w:rPr>
          <w:rFonts w:asciiTheme="minorHAnsi" w:eastAsia="Calibri" w:hAnsiTheme="minorHAnsi" w:cstheme="minorHAnsi"/>
        </w:rPr>
        <w:t>El Programa se manejaría</w:t>
      </w:r>
      <w:r w:rsidR="00754BD3" w:rsidRPr="00754BD3">
        <w:rPr>
          <w:rFonts w:asciiTheme="minorHAnsi" w:eastAsia="Calibri" w:hAnsiTheme="minorHAnsi" w:cstheme="minorHAnsi"/>
        </w:rPr>
        <w:t xml:space="preserve"> bajo reglamentos claros, estables y validados po</w:t>
      </w:r>
      <w:r>
        <w:rPr>
          <w:rFonts w:asciiTheme="minorHAnsi" w:eastAsia="Calibri" w:hAnsiTheme="minorHAnsi" w:cstheme="minorHAnsi"/>
        </w:rPr>
        <w:t>r los actores nacionales. Estaría</w:t>
      </w:r>
      <w:r w:rsidR="00754BD3" w:rsidRPr="00754BD3">
        <w:rPr>
          <w:rFonts w:asciiTheme="minorHAnsi" w:eastAsia="Calibri" w:hAnsiTheme="minorHAnsi" w:cstheme="minorHAnsi"/>
        </w:rPr>
        <w:t xml:space="preserve"> sujeto a mecanismos de revisión, auditorias y el control de la rendición de cuentas sobre la gestión por parte de auditores independientes y autoridades competentes, con la estrecha cooperación del BID. Los procesos de</w:t>
      </w:r>
      <w:r>
        <w:rPr>
          <w:rFonts w:asciiTheme="minorHAnsi" w:eastAsia="Calibri" w:hAnsiTheme="minorHAnsi" w:cstheme="minorHAnsi"/>
        </w:rPr>
        <w:t xml:space="preserve"> selección de proyectos contarían</w:t>
      </w:r>
      <w:r w:rsidR="00754BD3" w:rsidRPr="00754BD3">
        <w:rPr>
          <w:rFonts w:asciiTheme="minorHAnsi" w:eastAsia="Calibri" w:hAnsiTheme="minorHAnsi" w:cstheme="minorHAnsi"/>
        </w:rPr>
        <w:t xml:space="preserve"> con la participación de evaluadores y jurados independientes nacionales e internacionales.</w:t>
      </w:r>
    </w:p>
    <w:p w:rsidR="001E6BCC" w:rsidRPr="00B73685" w:rsidRDefault="00754BD3" w:rsidP="00754BD3">
      <w:pPr>
        <w:rPr>
          <w:rFonts w:asciiTheme="minorHAnsi" w:hAnsiTheme="minorHAnsi" w:cstheme="minorHAnsi"/>
          <w:lang w:val="es-AR"/>
        </w:rPr>
      </w:pPr>
      <w:r w:rsidRPr="00B73685">
        <w:rPr>
          <w:rFonts w:asciiTheme="minorHAnsi" w:hAnsiTheme="minorHAnsi" w:cstheme="minorHAnsi"/>
          <w:lang w:val="es-AR"/>
        </w:rPr>
        <w:t xml:space="preserve"> </w:t>
      </w:r>
    </w:p>
    <w:p w:rsidR="001E6BCC" w:rsidRPr="001F193A" w:rsidRDefault="001E6BCC" w:rsidP="001E6BCC">
      <w:pPr>
        <w:pStyle w:val="BodyText2"/>
        <w:spacing w:after="200" w:line="276" w:lineRule="auto"/>
        <w:ind w:left="1418" w:hanging="1418"/>
        <w:rPr>
          <w:rFonts w:asciiTheme="minorHAnsi" w:eastAsia="Calibri" w:hAnsiTheme="minorHAnsi" w:cstheme="minorHAnsi"/>
          <w:b/>
          <w:sz w:val="24"/>
          <w:szCs w:val="24"/>
          <w:lang w:val="es-ES" w:eastAsia="en-US"/>
        </w:rPr>
      </w:pPr>
      <w:r w:rsidRPr="001F193A">
        <w:rPr>
          <w:rFonts w:asciiTheme="minorHAnsi" w:eastAsia="Calibri" w:hAnsiTheme="minorHAnsi" w:cstheme="minorHAnsi"/>
          <w:b/>
          <w:sz w:val="24"/>
          <w:szCs w:val="24"/>
          <w:lang w:val="es-ES" w:eastAsia="en-US"/>
        </w:rPr>
        <w:t>Componente I</w:t>
      </w:r>
    </w:p>
    <w:p w:rsidR="001E6BCC" w:rsidRPr="001E6BCC" w:rsidRDefault="001E6BCC" w:rsidP="001E6BCC">
      <w:pPr>
        <w:spacing w:after="200" w:line="276" w:lineRule="auto"/>
        <w:jc w:val="both"/>
        <w:rPr>
          <w:rFonts w:asciiTheme="minorHAnsi" w:hAnsiTheme="minorHAnsi" w:cstheme="minorHAnsi"/>
        </w:rPr>
      </w:pPr>
      <w:r w:rsidRPr="001E6BCC">
        <w:rPr>
          <w:rFonts w:asciiTheme="minorHAnsi" w:hAnsiTheme="minorHAnsi" w:cstheme="minorHAnsi"/>
        </w:rPr>
        <w:t>El objetivo del Componente I fue generar conocimiento científico en el país y aumentar la innovación en las empresas beneficiarias, mediante el financiamiento parcial no reembolsable para dos líneas de proyectos: (i) investigación en universidades y centros educativos; e (ii) innovación tecnológica en empresas. Mientras la primera línea estuvo destinada a apoyar a universidades e institutos en iniciativas de investigación básica, aplicada y pre-competitiva, la segunda línea apoyó a empresas con proyectos innovadores, de mejora de productos y procesos que aumenten su competitividad, ya sea individualmente o en conjunto con universidades y centros técnicos. Las metas para</w:t>
      </w:r>
      <w:r w:rsidR="0001404C">
        <w:rPr>
          <w:rFonts w:asciiTheme="minorHAnsi" w:hAnsiTheme="minorHAnsi" w:cstheme="minorHAnsi"/>
        </w:rPr>
        <w:t xml:space="preserve"> este</w:t>
      </w:r>
      <w:r w:rsidRPr="001E6BCC">
        <w:rPr>
          <w:rFonts w:asciiTheme="minorHAnsi" w:hAnsiTheme="minorHAnsi" w:cstheme="minorHAnsi"/>
        </w:rPr>
        <w:t xml:space="preserve"> </w:t>
      </w:r>
      <w:r w:rsidR="0001404C">
        <w:rPr>
          <w:rFonts w:asciiTheme="minorHAnsi" w:hAnsiTheme="minorHAnsi" w:cstheme="minorHAnsi"/>
        </w:rPr>
        <w:t>componente</w:t>
      </w:r>
      <w:r w:rsidRPr="001E6BCC">
        <w:rPr>
          <w:rFonts w:asciiTheme="minorHAnsi" w:hAnsiTheme="minorHAnsi" w:cstheme="minorHAnsi"/>
        </w:rPr>
        <w:t xml:space="preserve"> se presentan en </w:t>
      </w:r>
      <w:r w:rsidR="00103D90">
        <w:rPr>
          <w:rFonts w:asciiTheme="minorHAnsi" w:hAnsiTheme="minorHAnsi" w:cstheme="minorHAnsi"/>
        </w:rPr>
        <w:t>la Tabla 3.3</w:t>
      </w:r>
      <w:r w:rsidRPr="001E6BCC">
        <w:rPr>
          <w:rFonts w:asciiTheme="minorHAnsi" w:hAnsiTheme="minorHAnsi" w:cstheme="minorHAnsi"/>
        </w:rPr>
        <w:t>.</w:t>
      </w:r>
    </w:p>
    <w:p w:rsidR="001E6BCC" w:rsidRPr="00103D90" w:rsidRDefault="00103D90" w:rsidP="00132BC4">
      <w:pPr>
        <w:spacing w:after="200" w:line="276" w:lineRule="auto"/>
        <w:jc w:val="center"/>
        <w:rPr>
          <w:rFonts w:asciiTheme="minorHAnsi" w:hAnsiTheme="minorHAnsi" w:cstheme="minorHAnsi"/>
          <w:b/>
        </w:rPr>
      </w:pPr>
      <w:r w:rsidRPr="00103D90">
        <w:rPr>
          <w:rFonts w:asciiTheme="minorHAnsi" w:hAnsiTheme="minorHAnsi" w:cstheme="minorHAnsi"/>
          <w:b/>
        </w:rPr>
        <w:t xml:space="preserve">Tabla 3.3. </w:t>
      </w:r>
      <w:r w:rsidR="001E6BCC" w:rsidRPr="00103D90">
        <w:rPr>
          <w:rFonts w:asciiTheme="minorHAnsi" w:hAnsiTheme="minorHAnsi" w:cstheme="minorHAnsi"/>
          <w:b/>
        </w:rPr>
        <w:t xml:space="preserve">Metas </w:t>
      </w:r>
      <w:r w:rsidRPr="00103D90">
        <w:rPr>
          <w:rFonts w:asciiTheme="minorHAnsi" w:hAnsiTheme="minorHAnsi" w:cstheme="minorHAnsi"/>
          <w:b/>
        </w:rPr>
        <w:t>para el C</w:t>
      </w:r>
      <w:r w:rsidR="001E6BCC" w:rsidRPr="00103D90">
        <w:rPr>
          <w:rFonts w:asciiTheme="minorHAnsi" w:hAnsiTheme="minorHAnsi" w:cstheme="minorHAnsi"/>
          <w:b/>
        </w:rPr>
        <w:t>omponente I</w:t>
      </w:r>
    </w:p>
    <w:tbl>
      <w:tblPr>
        <w:tblStyle w:val="TableGrid"/>
        <w:tblW w:w="0" w:type="auto"/>
        <w:jc w:val="center"/>
        <w:tblLayout w:type="fixed"/>
        <w:tblLook w:val="04A0" w:firstRow="1" w:lastRow="0" w:firstColumn="1" w:lastColumn="0" w:noHBand="0" w:noVBand="1"/>
      </w:tblPr>
      <w:tblGrid>
        <w:gridCol w:w="4820"/>
        <w:gridCol w:w="1418"/>
        <w:gridCol w:w="1418"/>
      </w:tblGrid>
      <w:tr w:rsidR="000E50D9" w:rsidRPr="000E50D9" w:rsidTr="000E50D9">
        <w:trPr>
          <w:jc w:val="center"/>
        </w:trPr>
        <w:tc>
          <w:tcPr>
            <w:tcW w:w="4820" w:type="dxa"/>
            <w:shd w:val="clear" w:color="auto" w:fill="0F243E" w:themeFill="text2" w:themeFillShade="80"/>
          </w:tcPr>
          <w:p w:rsidR="001E6BCC" w:rsidRPr="000E50D9" w:rsidRDefault="001E6BCC" w:rsidP="00132BC4">
            <w:pPr>
              <w:jc w:val="center"/>
              <w:rPr>
                <w:rFonts w:asciiTheme="minorHAnsi" w:hAnsiTheme="minorHAnsi" w:cstheme="minorHAnsi"/>
                <w:b/>
                <w:color w:val="FFFFFF" w:themeColor="background1"/>
                <w:sz w:val="20"/>
                <w:szCs w:val="20"/>
              </w:rPr>
            </w:pPr>
            <w:r w:rsidRPr="000E50D9">
              <w:rPr>
                <w:rFonts w:asciiTheme="minorHAnsi" w:hAnsiTheme="minorHAnsi" w:cstheme="minorHAnsi"/>
                <w:b/>
                <w:color w:val="FFFFFF" w:themeColor="background1"/>
                <w:sz w:val="20"/>
                <w:szCs w:val="20"/>
              </w:rPr>
              <w:t>Subcomponente</w:t>
            </w:r>
          </w:p>
        </w:tc>
        <w:tc>
          <w:tcPr>
            <w:tcW w:w="1418" w:type="dxa"/>
            <w:shd w:val="clear" w:color="auto" w:fill="0F243E" w:themeFill="text2" w:themeFillShade="80"/>
          </w:tcPr>
          <w:p w:rsidR="001E6BCC" w:rsidRPr="000E50D9" w:rsidRDefault="001E6BCC" w:rsidP="00132BC4">
            <w:pPr>
              <w:jc w:val="center"/>
              <w:rPr>
                <w:rFonts w:asciiTheme="minorHAnsi" w:hAnsiTheme="minorHAnsi" w:cstheme="minorHAnsi"/>
                <w:b/>
                <w:color w:val="FFFFFF" w:themeColor="background1"/>
                <w:sz w:val="20"/>
                <w:szCs w:val="20"/>
              </w:rPr>
            </w:pPr>
            <w:r w:rsidRPr="000E50D9">
              <w:rPr>
                <w:rFonts w:asciiTheme="minorHAnsi" w:hAnsiTheme="minorHAnsi" w:cstheme="minorHAnsi"/>
                <w:b/>
                <w:color w:val="FFFFFF" w:themeColor="background1"/>
                <w:sz w:val="20"/>
                <w:szCs w:val="20"/>
              </w:rPr>
              <w:t>Indicador</w:t>
            </w:r>
          </w:p>
        </w:tc>
        <w:tc>
          <w:tcPr>
            <w:tcW w:w="1418" w:type="dxa"/>
            <w:shd w:val="clear" w:color="auto" w:fill="0F243E" w:themeFill="text2" w:themeFillShade="80"/>
          </w:tcPr>
          <w:p w:rsidR="001E6BCC" w:rsidRPr="000E50D9" w:rsidRDefault="001E6BCC" w:rsidP="00132BC4">
            <w:pPr>
              <w:jc w:val="center"/>
              <w:rPr>
                <w:rFonts w:asciiTheme="minorHAnsi" w:hAnsiTheme="minorHAnsi" w:cstheme="minorHAnsi"/>
                <w:b/>
                <w:color w:val="FFFFFF" w:themeColor="background1"/>
                <w:sz w:val="20"/>
                <w:szCs w:val="20"/>
              </w:rPr>
            </w:pPr>
            <w:r w:rsidRPr="000E50D9">
              <w:rPr>
                <w:rFonts w:asciiTheme="minorHAnsi" w:hAnsiTheme="minorHAnsi" w:cstheme="minorHAnsi"/>
                <w:b/>
                <w:color w:val="FFFFFF" w:themeColor="background1"/>
                <w:sz w:val="20"/>
                <w:szCs w:val="20"/>
              </w:rPr>
              <w:t>Meta</w:t>
            </w:r>
          </w:p>
        </w:tc>
      </w:tr>
      <w:tr w:rsidR="001E6BCC" w:rsidRPr="00DD3FAF" w:rsidTr="00132BC4">
        <w:trPr>
          <w:jc w:val="center"/>
        </w:trPr>
        <w:tc>
          <w:tcPr>
            <w:tcW w:w="4820" w:type="dxa"/>
          </w:tcPr>
          <w:p w:rsidR="001E6BCC" w:rsidRPr="00DD3FAF" w:rsidRDefault="001E6BCC" w:rsidP="00132BC4">
            <w:pPr>
              <w:jc w:val="both"/>
              <w:rPr>
                <w:rFonts w:asciiTheme="minorHAnsi" w:hAnsiTheme="minorHAnsi" w:cstheme="minorHAnsi"/>
                <w:sz w:val="20"/>
                <w:szCs w:val="20"/>
              </w:rPr>
            </w:pPr>
            <w:r w:rsidRPr="00DD3FAF">
              <w:rPr>
                <w:rFonts w:asciiTheme="minorHAnsi" w:hAnsiTheme="minorHAnsi" w:cstheme="minorHAnsi"/>
                <w:sz w:val="20"/>
                <w:szCs w:val="20"/>
              </w:rPr>
              <w:t>Investigación en universidades y centros académicos</w:t>
            </w:r>
          </w:p>
        </w:tc>
        <w:tc>
          <w:tcPr>
            <w:tcW w:w="1418" w:type="dxa"/>
          </w:tcPr>
          <w:p w:rsidR="001E6BCC" w:rsidRPr="00DD3FAF" w:rsidRDefault="001E6BCC" w:rsidP="00132BC4">
            <w:pPr>
              <w:jc w:val="center"/>
              <w:rPr>
                <w:rFonts w:asciiTheme="minorHAnsi" w:hAnsiTheme="minorHAnsi" w:cstheme="minorHAnsi"/>
                <w:sz w:val="20"/>
                <w:szCs w:val="20"/>
              </w:rPr>
            </w:pPr>
            <w:r w:rsidRPr="00DD3FAF">
              <w:rPr>
                <w:rFonts w:asciiTheme="minorHAnsi" w:hAnsiTheme="minorHAnsi" w:cstheme="minorHAnsi"/>
                <w:sz w:val="20"/>
                <w:szCs w:val="20"/>
              </w:rPr>
              <w:t>Proyectos</w:t>
            </w:r>
          </w:p>
        </w:tc>
        <w:tc>
          <w:tcPr>
            <w:tcW w:w="1418" w:type="dxa"/>
          </w:tcPr>
          <w:p w:rsidR="001E6BCC" w:rsidRPr="00DD3FAF" w:rsidRDefault="001E6BCC" w:rsidP="00132BC4">
            <w:pPr>
              <w:jc w:val="center"/>
              <w:rPr>
                <w:rFonts w:asciiTheme="minorHAnsi" w:hAnsiTheme="minorHAnsi" w:cstheme="minorHAnsi"/>
                <w:sz w:val="20"/>
                <w:szCs w:val="20"/>
              </w:rPr>
            </w:pPr>
            <w:r w:rsidRPr="00DD3FAF">
              <w:rPr>
                <w:rFonts w:asciiTheme="minorHAnsi" w:hAnsiTheme="minorHAnsi" w:cstheme="minorHAnsi"/>
                <w:sz w:val="20"/>
                <w:szCs w:val="20"/>
              </w:rPr>
              <w:t>37</w:t>
            </w:r>
          </w:p>
        </w:tc>
      </w:tr>
      <w:tr w:rsidR="001E6BCC" w:rsidRPr="00DD3FAF" w:rsidTr="00132BC4">
        <w:trPr>
          <w:jc w:val="center"/>
        </w:trPr>
        <w:tc>
          <w:tcPr>
            <w:tcW w:w="4820" w:type="dxa"/>
          </w:tcPr>
          <w:p w:rsidR="001E6BCC" w:rsidRPr="00DD3FAF" w:rsidRDefault="001E6BCC" w:rsidP="00132BC4">
            <w:pPr>
              <w:jc w:val="both"/>
              <w:rPr>
                <w:rFonts w:asciiTheme="minorHAnsi" w:hAnsiTheme="minorHAnsi" w:cstheme="minorHAnsi"/>
                <w:sz w:val="20"/>
                <w:szCs w:val="20"/>
              </w:rPr>
            </w:pPr>
            <w:r w:rsidRPr="00DD3FAF">
              <w:rPr>
                <w:rFonts w:asciiTheme="minorHAnsi" w:hAnsiTheme="minorHAnsi" w:cstheme="minorHAnsi"/>
                <w:sz w:val="20"/>
                <w:szCs w:val="20"/>
              </w:rPr>
              <w:t>Innovación tecnológica en empresas</w:t>
            </w:r>
          </w:p>
        </w:tc>
        <w:tc>
          <w:tcPr>
            <w:tcW w:w="1418" w:type="dxa"/>
          </w:tcPr>
          <w:p w:rsidR="001E6BCC" w:rsidRPr="00DD3FAF" w:rsidRDefault="001E6BCC" w:rsidP="00132BC4">
            <w:pPr>
              <w:jc w:val="center"/>
              <w:rPr>
                <w:rFonts w:asciiTheme="minorHAnsi" w:hAnsiTheme="minorHAnsi" w:cstheme="minorHAnsi"/>
                <w:sz w:val="20"/>
                <w:szCs w:val="20"/>
              </w:rPr>
            </w:pPr>
            <w:r w:rsidRPr="00DD3FAF">
              <w:rPr>
                <w:rFonts w:asciiTheme="minorHAnsi" w:hAnsiTheme="minorHAnsi" w:cstheme="minorHAnsi"/>
                <w:sz w:val="20"/>
                <w:szCs w:val="20"/>
              </w:rPr>
              <w:t>Proyectos</w:t>
            </w:r>
          </w:p>
        </w:tc>
        <w:tc>
          <w:tcPr>
            <w:tcW w:w="1418" w:type="dxa"/>
          </w:tcPr>
          <w:p w:rsidR="001E6BCC" w:rsidRPr="00DD3FAF" w:rsidRDefault="001E6BCC" w:rsidP="00132BC4">
            <w:pPr>
              <w:jc w:val="center"/>
              <w:rPr>
                <w:rFonts w:asciiTheme="minorHAnsi" w:hAnsiTheme="minorHAnsi" w:cstheme="minorHAnsi"/>
                <w:sz w:val="20"/>
                <w:szCs w:val="20"/>
              </w:rPr>
            </w:pPr>
            <w:r w:rsidRPr="00DD3FAF">
              <w:rPr>
                <w:rFonts w:asciiTheme="minorHAnsi" w:hAnsiTheme="minorHAnsi" w:cstheme="minorHAnsi"/>
                <w:sz w:val="20"/>
                <w:szCs w:val="20"/>
              </w:rPr>
              <w:t>24</w:t>
            </w:r>
          </w:p>
        </w:tc>
      </w:tr>
    </w:tbl>
    <w:p w:rsidR="00103D90" w:rsidRPr="0076647A" w:rsidRDefault="00AD4E53" w:rsidP="00AD4E53">
      <w:pPr>
        <w:spacing w:line="276" w:lineRule="auto"/>
        <w:ind w:firstLine="360"/>
        <w:rPr>
          <w:rFonts w:ascii="Calibri" w:hAnsi="Calibri" w:cs="Calibri"/>
          <w:sz w:val="18"/>
          <w:szCs w:val="18"/>
          <w:lang w:val="es-AR" w:eastAsia="es-AR"/>
        </w:rPr>
      </w:pPr>
      <w:r>
        <w:rPr>
          <w:rFonts w:asciiTheme="minorHAnsi" w:hAnsiTheme="minorHAnsi" w:cstheme="minorHAnsi"/>
          <w:sz w:val="18"/>
          <w:szCs w:val="18"/>
        </w:rPr>
        <w:t xml:space="preserve">     </w:t>
      </w:r>
      <w:r w:rsidR="00103D90" w:rsidRPr="001F193A">
        <w:rPr>
          <w:rFonts w:asciiTheme="minorHAnsi" w:hAnsiTheme="minorHAnsi" w:cstheme="minorHAnsi"/>
          <w:sz w:val="18"/>
          <w:szCs w:val="18"/>
        </w:rPr>
        <w:t xml:space="preserve">Fuente: </w:t>
      </w:r>
      <w:r w:rsidR="00103D90" w:rsidRPr="001F193A">
        <w:rPr>
          <w:rFonts w:ascii="Calibri" w:hAnsi="Calibri" w:cs="Calibri"/>
          <w:sz w:val="18"/>
          <w:szCs w:val="18"/>
          <w:lang w:val="es-AR" w:eastAsia="es-AR"/>
        </w:rPr>
        <w:t>Innovos</w:t>
      </w:r>
      <w:r w:rsidR="00B80BCF">
        <w:rPr>
          <w:rFonts w:ascii="Calibri" w:hAnsi="Calibri" w:cs="Calibri"/>
          <w:sz w:val="18"/>
          <w:szCs w:val="18"/>
          <w:lang w:val="es-AR" w:eastAsia="es-AR"/>
        </w:rPr>
        <w:t xml:space="preserve"> </w:t>
      </w:r>
      <w:r w:rsidR="00103D90" w:rsidRPr="001F193A">
        <w:rPr>
          <w:rFonts w:ascii="Calibri" w:hAnsi="Calibri" w:cs="Calibri"/>
          <w:sz w:val="18"/>
          <w:szCs w:val="18"/>
          <w:lang w:val="es-AR" w:eastAsia="es-AR"/>
        </w:rPr>
        <w:t>Group</w:t>
      </w:r>
      <w:r w:rsidR="00103D90">
        <w:rPr>
          <w:rFonts w:ascii="Calibri" w:hAnsi="Calibri" w:cs="Calibri"/>
          <w:sz w:val="18"/>
          <w:szCs w:val="18"/>
          <w:lang w:val="es-AR" w:eastAsia="es-AR"/>
        </w:rPr>
        <w:t xml:space="preserve"> en base a datos proporcionados p</w:t>
      </w:r>
      <w:r w:rsidR="004B542B">
        <w:rPr>
          <w:rFonts w:ascii="Calibri" w:hAnsi="Calibri" w:cs="Calibri"/>
          <w:sz w:val="18"/>
          <w:szCs w:val="18"/>
          <w:lang w:val="es-AR" w:eastAsia="es-AR"/>
        </w:rPr>
        <w:t>or CONACYT</w:t>
      </w:r>
    </w:p>
    <w:p w:rsidR="001E6BCC" w:rsidRPr="001E6BCC" w:rsidRDefault="001E6BCC" w:rsidP="001E6BCC">
      <w:pPr>
        <w:spacing w:after="200" w:line="276" w:lineRule="auto"/>
        <w:jc w:val="both"/>
        <w:rPr>
          <w:rFonts w:asciiTheme="minorHAnsi" w:hAnsiTheme="minorHAnsi" w:cstheme="minorHAnsi"/>
          <w:strike/>
        </w:rPr>
      </w:pPr>
    </w:p>
    <w:p w:rsidR="001E6BCC" w:rsidRPr="000E50D9" w:rsidRDefault="001E6BCC" w:rsidP="000E50D9">
      <w:pPr>
        <w:pStyle w:val="ListParagraph"/>
        <w:numPr>
          <w:ilvl w:val="0"/>
          <w:numId w:val="34"/>
        </w:numPr>
        <w:spacing w:after="200" w:line="276" w:lineRule="auto"/>
        <w:jc w:val="both"/>
        <w:rPr>
          <w:rFonts w:asciiTheme="minorHAnsi" w:hAnsiTheme="minorHAnsi" w:cstheme="minorHAnsi"/>
        </w:rPr>
      </w:pPr>
      <w:r w:rsidRPr="000E50D9">
        <w:rPr>
          <w:rFonts w:asciiTheme="minorHAnsi" w:hAnsiTheme="minorHAnsi" w:cstheme="minorHAnsi"/>
        </w:rPr>
        <w:t>Subcomponente 1.1: Proyectos de Investigación en universidades y centros educativos.</w:t>
      </w:r>
    </w:p>
    <w:p w:rsidR="001E6BCC" w:rsidRPr="001E6BCC" w:rsidRDefault="00E94DA1" w:rsidP="001E6BCC">
      <w:pPr>
        <w:spacing w:after="200" w:line="276" w:lineRule="auto"/>
        <w:jc w:val="both"/>
        <w:rPr>
          <w:rFonts w:asciiTheme="minorHAnsi" w:hAnsiTheme="minorHAnsi" w:cstheme="minorHAnsi"/>
        </w:rPr>
      </w:pPr>
      <w:r>
        <w:rPr>
          <w:rFonts w:asciiTheme="minorHAnsi" w:hAnsiTheme="minorHAnsi" w:cstheme="minorHAnsi"/>
        </w:rPr>
        <w:t>El objetivo de este s</w:t>
      </w:r>
      <w:r w:rsidR="001E6BCC" w:rsidRPr="001E6BCC">
        <w:rPr>
          <w:rFonts w:asciiTheme="minorHAnsi" w:hAnsiTheme="minorHAnsi" w:cstheme="minorHAnsi"/>
        </w:rPr>
        <w:t>ubcomponente fue fortalecer la capacidad de investigación y la generación de conocimientos relevantes mediante el financiamiento no reembolsable de proyectos de investigación. Los beneficiarios del subcomponente fueron entidades jurídicas legalmente constituidas, con capacidad para ejecutar proyectos cuyo principal propósito fue</w:t>
      </w:r>
      <w:r w:rsidR="00B46995">
        <w:rPr>
          <w:rFonts w:asciiTheme="minorHAnsi" w:hAnsiTheme="minorHAnsi" w:cstheme="minorHAnsi"/>
        </w:rPr>
        <w:t>ra</w:t>
      </w:r>
      <w:r w:rsidR="001E6BCC" w:rsidRPr="001E6BCC">
        <w:rPr>
          <w:rFonts w:asciiTheme="minorHAnsi" w:hAnsiTheme="minorHAnsi" w:cstheme="minorHAnsi"/>
        </w:rPr>
        <w:t xml:space="preserve"> el avance del conocimiento en diferentes campos de ciencia y tecnología. </w:t>
      </w:r>
    </w:p>
    <w:p w:rsidR="001E6BCC" w:rsidRDefault="001E6BCC" w:rsidP="001E6BCC">
      <w:pPr>
        <w:spacing w:after="200" w:line="276" w:lineRule="auto"/>
        <w:jc w:val="both"/>
        <w:rPr>
          <w:rFonts w:asciiTheme="minorHAnsi" w:hAnsiTheme="minorHAnsi" w:cstheme="minorHAnsi"/>
        </w:rPr>
      </w:pPr>
      <w:r w:rsidRPr="001E6BCC">
        <w:rPr>
          <w:rFonts w:asciiTheme="minorHAnsi" w:hAnsiTheme="minorHAnsi" w:cstheme="minorHAnsi"/>
        </w:rPr>
        <w:lastRenderedPageBreak/>
        <w:t xml:space="preserve">El mecanismo de entrega seleccionado para el funcionamiento de este subcomponente fue la convocatoria a investigadores e instituciones de investigación para presentar proyectos según un formato pre-establecido. </w:t>
      </w:r>
    </w:p>
    <w:p w:rsidR="00FC5F01" w:rsidRPr="001E6BCC" w:rsidRDefault="00FC5F01" w:rsidP="001E6BCC">
      <w:pPr>
        <w:spacing w:after="200" w:line="276" w:lineRule="auto"/>
        <w:jc w:val="both"/>
        <w:rPr>
          <w:rFonts w:asciiTheme="minorHAnsi" w:hAnsiTheme="minorHAnsi" w:cstheme="minorHAnsi"/>
        </w:rPr>
      </w:pPr>
    </w:p>
    <w:p w:rsidR="001E6BCC" w:rsidRPr="000E50D9" w:rsidRDefault="001E6BCC" w:rsidP="000E50D9">
      <w:pPr>
        <w:pStyle w:val="ListParagraph"/>
        <w:numPr>
          <w:ilvl w:val="0"/>
          <w:numId w:val="34"/>
        </w:numPr>
        <w:spacing w:after="200" w:line="276" w:lineRule="auto"/>
        <w:jc w:val="both"/>
        <w:rPr>
          <w:rFonts w:asciiTheme="minorHAnsi" w:hAnsiTheme="minorHAnsi" w:cstheme="minorHAnsi"/>
        </w:rPr>
      </w:pPr>
      <w:r w:rsidRPr="000E50D9">
        <w:rPr>
          <w:rFonts w:asciiTheme="minorHAnsi" w:hAnsiTheme="minorHAnsi" w:cstheme="minorHAnsi"/>
        </w:rPr>
        <w:t>Subcomponente 1.2: Proyectos de innovación tecnológica en empresas</w:t>
      </w:r>
    </w:p>
    <w:p w:rsidR="001E6BCC" w:rsidRPr="001E6BCC" w:rsidRDefault="00132BC4" w:rsidP="001E6BCC">
      <w:pPr>
        <w:spacing w:after="200" w:line="276" w:lineRule="auto"/>
        <w:jc w:val="both"/>
        <w:rPr>
          <w:rFonts w:asciiTheme="minorHAnsi" w:hAnsiTheme="minorHAnsi" w:cstheme="minorHAnsi"/>
        </w:rPr>
      </w:pPr>
      <w:r>
        <w:rPr>
          <w:rFonts w:asciiTheme="minorHAnsi" w:hAnsiTheme="minorHAnsi" w:cstheme="minorHAnsi"/>
        </w:rPr>
        <w:t>El objetivo de este s</w:t>
      </w:r>
      <w:r w:rsidR="001E6BCC" w:rsidRPr="001E6BCC">
        <w:rPr>
          <w:rFonts w:asciiTheme="minorHAnsi" w:hAnsiTheme="minorHAnsi" w:cstheme="minorHAnsi"/>
        </w:rPr>
        <w:t xml:space="preserve">ubcomponente fue promover la innovación tecnológica en empresas privadas, por medio de la provisión de asistencia técnica y cofinanciamiento no reembolsable de proyectos de innovación (para el desarrollo o mejoramiento de productos y procesos, incluyendo la adaptación de tecnologías limpias). </w:t>
      </w:r>
    </w:p>
    <w:p w:rsidR="001E6BCC" w:rsidRPr="001E6BCC" w:rsidRDefault="001E6BCC" w:rsidP="001E6BCC">
      <w:pPr>
        <w:spacing w:after="200" w:line="276" w:lineRule="auto"/>
        <w:jc w:val="both"/>
        <w:rPr>
          <w:rFonts w:asciiTheme="minorHAnsi" w:hAnsiTheme="minorHAnsi" w:cstheme="minorHAnsi"/>
        </w:rPr>
      </w:pPr>
      <w:r w:rsidRPr="001E6BCC">
        <w:rPr>
          <w:rFonts w:asciiTheme="minorHAnsi" w:hAnsiTheme="minorHAnsi" w:cstheme="minorHAnsi"/>
        </w:rPr>
        <w:t>El componente comenzó a funcionar durante la prueba piloto por medio de una convoc</w:t>
      </w:r>
      <w:r w:rsidR="00B46995">
        <w:rPr>
          <w:rFonts w:asciiTheme="minorHAnsi" w:hAnsiTheme="minorHAnsi" w:cstheme="minorHAnsi"/>
        </w:rPr>
        <w:t>atoria. Posteriormente, con el P</w:t>
      </w:r>
      <w:r w:rsidRPr="001E6BCC">
        <w:rPr>
          <w:rFonts w:asciiTheme="minorHAnsi" w:hAnsiTheme="minorHAnsi" w:cstheme="minorHAnsi"/>
        </w:rPr>
        <w:t>rograma en régimen, se inició el funcionamiento a través de una ventanilla abierta permanente para la recepción de proyectos de innovación de empresas paraguayas. La meta establecida para el subcomponente fue de 24 proyectos de innovación.</w:t>
      </w:r>
    </w:p>
    <w:p w:rsidR="001E6BCC" w:rsidRPr="001E6BCC" w:rsidRDefault="001E6BCC" w:rsidP="001E6BCC">
      <w:pPr>
        <w:spacing w:after="200" w:line="276" w:lineRule="auto"/>
        <w:jc w:val="both"/>
        <w:rPr>
          <w:rFonts w:asciiTheme="minorHAnsi" w:hAnsiTheme="minorHAnsi" w:cstheme="minorHAnsi"/>
        </w:rPr>
      </w:pPr>
    </w:p>
    <w:p w:rsidR="001E6BCC" w:rsidRPr="00132BC4" w:rsidRDefault="001E6BCC" w:rsidP="001E6BCC">
      <w:pPr>
        <w:spacing w:after="200" w:line="276" w:lineRule="auto"/>
        <w:jc w:val="both"/>
        <w:rPr>
          <w:rFonts w:asciiTheme="minorHAnsi" w:hAnsiTheme="minorHAnsi" w:cstheme="minorHAnsi"/>
          <w:b/>
          <w:lang w:eastAsia="en-US"/>
        </w:rPr>
      </w:pPr>
      <w:r w:rsidRPr="00132BC4">
        <w:rPr>
          <w:rFonts w:asciiTheme="minorHAnsi" w:hAnsiTheme="minorHAnsi" w:cstheme="minorHAnsi"/>
          <w:b/>
          <w:lang w:eastAsia="en-US"/>
        </w:rPr>
        <w:t>Componente II</w:t>
      </w:r>
    </w:p>
    <w:p w:rsidR="001E6BCC" w:rsidRPr="001E6BCC" w:rsidRDefault="001E6BCC" w:rsidP="001E6BCC">
      <w:pPr>
        <w:spacing w:after="200" w:line="276" w:lineRule="auto"/>
        <w:jc w:val="both"/>
        <w:rPr>
          <w:rFonts w:asciiTheme="minorHAnsi" w:hAnsiTheme="minorHAnsi" w:cstheme="minorHAnsi"/>
        </w:rPr>
      </w:pPr>
      <w:r w:rsidRPr="001E6BCC">
        <w:rPr>
          <w:rFonts w:asciiTheme="minorHAnsi" w:hAnsiTheme="minorHAnsi" w:cstheme="minorHAnsi"/>
        </w:rPr>
        <w:t xml:space="preserve">El objetivo de este componente fue fortalecer las capacidades y aumentar la disponibilidad de recursos humanos dedicados a la generación de nuevos conocimientos y al desarrollo tecnológico e innovación. Se financiaron planes de fortalecimiento de programas de postgrados nacionales (doctorados y maestrías), becas para estudiantes de esos mismos postgrados y para complementar otras becas de estudios de </w:t>
      </w:r>
      <w:r w:rsidR="00B46995">
        <w:rPr>
          <w:rFonts w:asciiTheme="minorHAnsi" w:hAnsiTheme="minorHAnsi" w:cstheme="minorHAnsi"/>
        </w:rPr>
        <w:t>postgrado</w:t>
      </w:r>
      <w:r w:rsidRPr="001E6BCC">
        <w:rPr>
          <w:rFonts w:asciiTheme="minorHAnsi" w:hAnsiTheme="minorHAnsi" w:cstheme="minorHAnsi"/>
        </w:rPr>
        <w:t xml:space="preserve"> en el extranjero; asimismo se debía incentivar la atracción y vinculación de científicos e investigadores paraguayos que residen en el exterior.</w:t>
      </w:r>
    </w:p>
    <w:p w:rsidR="001E6BCC" w:rsidRPr="001E6BCC" w:rsidRDefault="001E6BCC" w:rsidP="00DD3FAF">
      <w:pPr>
        <w:spacing w:after="200" w:line="276" w:lineRule="auto"/>
        <w:jc w:val="both"/>
        <w:rPr>
          <w:rFonts w:asciiTheme="minorHAnsi" w:hAnsiTheme="minorHAnsi" w:cstheme="minorHAnsi"/>
        </w:rPr>
      </w:pPr>
      <w:r w:rsidRPr="001E6BCC">
        <w:rPr>
          <w:rFonts w:asciiTheme="minorHAnsi" w:hAnsiTheme="minorHAnsi" w:cstheme="minorHAnsi"/>
        </w:rPr>
        <w:t xml:space="preserve">Las metas para los diferentes subgrupos de este componente se encuentran en </w:t>
      </w:r>
      <w:r w:rsidR="00132BC4">
        <w:rPr>
          <w:rFonts w:asciiTheme="minorHAnsi" w:hAnsiTheme="minorHAnsi" w:cstheme="minorHAnsi"/>
        </w:rPr>
        <w:t>la Tabla 3.4.</w:t>
      </w:r>
    </w:p>
    <w:p w:rsidR="001E6BCC" w:rsidRPr="00132BC4" w:rsidRDefault="00132BC4" w:rsidP="001E6BCC">
      <w:pPr>
        <w:spacing w:after="200" w:line="276" w:lineRule="auto"/>
        <w:jc w:val="center"/>
        <w:rPr>
          <w:rFonts w:asciiTheme="minorHAnsi" w:hAnsiTheme="minorHAnsi" w:cstheme="minorHAnsi"/>
          <w:b/>
        </w:rPr>
      </w:pPr>
      <w:r w:rsidRPr="00132BC4">
        <w:rPr>
          <w:rFonts w:asciiTheme="minorHAnsi" w:hAnsiTheme="minorHAnsi" w:cstheme="minorHAnsi"/>
          <w:b/>
        </w:rPr>
        <w:t>Tabla 3.4. Metas para el Componente II</w: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0"/>
        <w:gridCol w:w="2438"/>
        <w:gridCol w:w="1134"/>
      </w:tblGrid>
      <w:tr w:rsidR="000E50D9" w:rsidRPr="000E50D9" w:rsidTr="000E50D9">
        <w:tc>
          <w:tcPr>
            <w:tcW w:w="5070" w:type="dxa"/>
            <w:shd w:val="clear" w:color="auto" w:fill="0F243E" w:themeFill="text2" w:themeFillShade="80"/>
          </w:tcPr>
          <w:p w:rsidR="001E6BCC" w:rsidRPr="000E50D9" w:rsidRDefault="00132BC4" w:rsidP="00132BC4">
            <w:pPr>
              <w:jc w:val="center"/>
              <w:rPr>
                <w:rFonts w:asciiTheme="minorHAnsi" w:hAnsiTheme="minorHAnsi" w:cstheme="minorHAnsi"/>
                <w:b/>
                <w:color w:val="FFFFFF" w:themeColor="background1"/>
                <w:sz w:val="20"/>
                <w:szCs w:val="20"/>
              </w:rPr>
            </w:pPr>
            <w:r w:rsidRPr="000E50D9">
              <w:rPr>
                <w:rFonts w:asciiTheme="minorHAnsi" w:hAnsiTheme="minorHAnsi" w:cstheme="minorHAnsi"/>
                <w:b/>
                <w:color w:val="FFFFFF" w:themeColor="background1"/>
                <w:sz w:val="20"/>
                <w:szCs w:val="20"/>
              </w:rPr>
              <w:t>Subcomponentes</w:t>
            </w:r>
          </w:p>
        </w:tc>
        <w:tc>
          <w:tcPr>
            <w:tcW w:w="2438" w:type="dxa"/>
            <w:shd w:val="clear" w:color="auto" w:fill="0F243E" w:themeFill="text2" w:themeFillShade="80"/>
          </w:tcPr>
          <w:p w:rsidR="001E6BCC" w:rsidRPr="000E50D9" w:rsidRDefault="001E6BCC" w:rsidP="00132BC4">
            <w:pPr>
              <w:jc w:val="center"/>
              <w:rPr>
                <w:rFonts w:asciiTheme="minorHAnsi" w:hAnsiTheme="minorHAnsi" w:cstheme="minorHAnsi"/>
                <w:b/>
                <w:color w:val="FFFFFF" w:themeColor="background1"/>
                <w:sz w:val="20"/>
                <w:szCs w:val="20"/>
              </w:rPr>
            </w:pPr>
            <w:r w:rsidRPr="000E50D9">
              <w:rPr>
                <w:rFonts w:asciiTheme="minorHAnsi" w:hAnsiTheme="minorHAnsi" w:cstheme="minorHAnsi"/>
                <w:b/>
                <w:color w:val="FFFFFF" w:themeColor="background1"/>
                <w:sz w:val="20"/>
                <w:szCs w:val="20"/>
              </w:rPr>
              <w:t>Indicador</w:t>
            </w:r>
          </w:p>
        </w:tc>
        <w:tc>
          <w:tcPr>
            <w:tcW w:w="1134" w:type="dxa"/>
            <w:shd w:val="clear" w:color="auto" w:fill="0F243E" w:themeFill="text2" w:themeFillShade="80"/>
          </w:tcPr>
          <w:p w:rsidR="001E6BCC" w:rsidRPr="000E50D9" w:rsidRDefault="001E6BCC" w:rsidP="00132BC4">
            <w:pPr>
              <w:jc w:val="center"/>
              <w:rPr>
                <w:rFonts w:asciiTheme="minorHAnsi" w:hAnsiTheme="minorHAnsi" w:cstheme="minorHAnsi"/>
                <w:b/>
                <w:color w:val="FFFFFF" w:themeColor="background1"/>
                <w:sz w:val="20"/>
                <w:szCs w:val="20"/>
              </w:rPr>
            </w:pPr>
            <w:r w:rsidRPr="000E50D9">
              <w:rPr>
                <w:rFonts w:asciiTheme="minorHAnsi" w:hAnsiTheme="minorHAnsi" w:cstheme="minorHAnsi"/>
                <w:b/>
                <w:color w:val="FFFFFF" w:themeColor="background1"/>
                <w:sz w:val="20"/>
                <w:szCs w:val="20"/>
              </w:rPr>
              <w:t>Meta</w:t>
            </w:r>
          </w:p>
        </w:tc>
      </w:tr>
      <w:tr w:rsidR="001E6BCC" w:rsidRPr="00DD3FAF" w:rsidTr="001E6BCC">
        <w:tc>
          <w:tcPr>
            <w:tcW w:w="5070" w:type="dxa"/>
          </w:tcPr>
          <w:p w:rsidR="001E6BCC" w:rsidRPr="00DD3FAF" w:rsidRDefault="001E6BCC" w:rsidP="00132BC4">
            <w:pPr>
              <w:rPr>
                <w:rFonts w:asciiTheme="minorHAnsi" w:hAnsiTheme="minorHAnsi" w:cstheme="minorHAnsi"/>
                <w:sz w:val="20"/>
                <w:szCs w:val="20"/>
              </w:rPr>
            </w:pPr>
            <w:r w:rsidRPr="00DD3FAF">
              <w:rPr>
                <w:rFonts w:asciiTheme="minorHAnsi" w:hAnsiTheme="minorHAnsi" w:cstheme="minorHAnsi"/>
                <w:sz w:val="20"/>
                <w:szCs w:val="20"/>
              </w:rPr>
              <w:t>Estudios postgrado (maestría y doctorado) en el país</w:t>
            </w:r>
          </w:p>
        </w:tc>
        <w:tc>
          <w:tcPr>
            <w:tcW w:w="2438" w:type="dxa"/>
          </w:tcPr>
          <w:p w:rsidR="001E6BCC" w:rsidRPr="00DD3FAF" w:rsidRDefault="001E6BCC" w:rsidP="00132BC4">
            <w:pPr>
              <w:jc w:val="center"/>
              <w:rPr>
                <w:rFonts w:asciiTheme="minorHAnsi" w:hAnsiTheme="minorHAnsi" w:cstheme="minorHAnsi"/>
                <w:sz w:val="20"/>
                <w:szCs w:val="20"/>
              </w:rPr>
            </w:pPr>
            <w:r w:rsidRPr="00DD3FAF">
              <w:rPr>
                <w:rFonts w:asciiTheme="minorHAnsi" w:hAnsiTheme="minorHAnsi" w:cstheme="minorHAnsi"/>
                <w:sz w:val="20"/>
                <w:szCs w:val="20"/>
              </w:rPr>
              <w:t>Becas</w:t>
            </w:r>
          </w:p>
        </w:tc>
        <w:tc>
          <w:tcPr>
            <w:tcW w:w="1134" w:type="dxa"/>
          </w:tcPr>
          <w:p w:rsidR="001E6BCC" w:rsidRPr="00DD3FAF" w:rsidRDefault="001E6BCC" w:rsidP="00132BC4">
            <w:pPr>
              <w:jc w:val="center"/>
              <w:rPr>
                <w:rFonts w:asciiTheme="minorHAnsi" w:hAnsiTheme="minorHAnsi" w:cstheme="minorHAnsi"/>
                <w:sz w:val="20"/>
                <w:szCs w:val="20"/>
              </w:rPr>
            </w:pPr>
            <w:r w:rsidRPr="00DD3FAF">
              <w:rPr>
                <w:rFonts w:asciiTheme="minorHAnsi" w:hAnsiTheme="minorHAnsi" w:cstheme="minorHAnsi"/>
                <w:sz w:val="20"/>
                <w:szCs w:val="20"/>
              </w:rPr>
              <w:t>30</w:t>
            </w:r>
          </w:p>
        </w:tc>
      </w:tr>
      <w:tr w:rsidR="001E6BCC" w:rsidRPr="00DD3FAF" w:rsidTr="001E6BCC">
        <w:tc>
          <w:tcPr>
            <w:tcW w:w="5070" w:type="dxa"/>
          </w:tcPr>
          <w:p w:rsidR="001E6BCC" w:rsidRPr="00DD3FAF" w:rsidRDefault="001E6BCC" w:rsidP="00132BC4">
            <w:pPr>
              <w:rPr>
                <w:rFonts w:asciiTheme="minorHAnsi" w:hAnsiTheme="minorHAnsi" w:cstheme="minorHAnsi"/>
                <w:sz w:val="20"/>
                <w:szCs w:val="20"/>
              </w:rPr>
            </w:pPr>
            <w:r w:rsidRPr="00DD3FAF">
              <w:rPr>
                <w:rFonts w:asciiTheme="minorHAnsi" w:hAnsiTheme="minorHAnsi" w:cstheme="minorHAnsi"/>
                <w:sz w:val="20"/>
                <w:szCs w:val="20"/>
              </w:rPr>
              <w:t>Formación no conducente a títulos</w:t>
            </w:r>
          </w:p>
        </w:tc>
        <w:tc>
          <w:tcPr>
            <w:tcW w:w="2438" w:type="dxa"/>
          </w:tcPr>
          <w:p w:rsidR="001E6BCC" w:rsidRPr="00DD3FAF" w:rsidRDefault="001E6BCC" w:rsidP="00132BC4">
            <w:pPr>
              <w:jc w:val="center"/>
              <w:rPr>
                <w:rFonts w:asciiTheme="minorHAnsi" w:hAnsiTheme="minorHAnsi" w:cstheme="minorHAnsi"/>
                <w:sz w:val="20"/>
                <w:szCs w:val="20"/>
              </w:rPr>
            </w:pPr>
            <w:r w:rsidRPr="00DD3FAF">
              <w:rPr>
                <w:rFonts w:asciiTheme="minorHAnsi" w:hAnsiTheme="minorHAnsi" w:cstheme="minorHAnsi"/>
                <w:sz w:val="20"/>
                <w:szCs w:val="20"/>
              </w:rPr>
              <w:t>Becas corta duración</w:t>
            </w:r>
          </w:p>
        </w:tc>
        <w:tc>
          <w:tcPr>
            <w:tcW w:w="1134" w:type="dxa"/>
          </w:tcPr>
          <w:p w:rsidR="001E6BCC" w:rsidRPr="00DD3FAF" w:rsidRDefault="001E6BCC" w:rsidP="00132BC4">
            <w:pPr>
              <w:jc w:val="center"/>
              <w:rPr>
                <w:rFonts w:asciiTheme="minorHAnsi" w:hAnsiTheme="minorHAnsi" w:cstheme="minorHAnsi"/>
                <w:sz w:val="20"/>
                <w:szCs w:val="20"/>
              </w:rPr>
            </w:pPr>
            <w:r w:rsidRPr="00DD3FAF">
              <w:rPr>
                <w:rFonts w:asciiTheme="minorHAnsi" w:hAnsiTheme="minorHAnsi" w:cstheme="minorHAnsi"/>
                <w:sz w:val="20"/>
                <w:szCs w:val="20"/>
              </w:rPr>
              <w:t>30</w:t>
            </w:r>
          </w:p>
        </w:tc>
      </w:tr>
      <w:tr w:rsidR="001E6BCC" w:rsidRPr="00DD3FAF" w:rsidTr="001E6BCC">
        <w:tc>
          <w:tcPr>
            <w:tcW w:w="5070" w:type="dxa"/>
          </w:tcPr>
          <w:p w:rsidR="001E6BCC" w:rsidRPr="00DD3FAF" w:rsidRDefault="001E6BCC" w:rsidP="00132BC4">
            <w:pPr>
              <w:rPr>
                <w:rFonts w:asciiTheme="minorHAnsi" w:hAnsiTheme="minorHAnsi" w:cstheme="minorHAnsi"/>
                <w:sz w:val="20"/>
                <w:szCs w:val="20"/>
              </w:rPr>
            </w:pPr>
            <w:r w:rsidRPr="00DD3FAF">
              <w:rPr>
                <w:rFonts w:asciiTheme="minorHAnsi" w:hAnsiTheme="minorHAnsi" w:cstheme="minorHAnsi"/>
                <w:sz w:val="20"/>
                <w:szCs w:val="20"/>
              </w:rPr>
              <w:t>Apoyo complementario para becarios en el extranjero</w:t>
            </w:r>
          </w:p>
        </w:tc>
        <w:tc>
          <w:tcPr>
            <w:tcW w:w="2438" w:type="dxa"/>
          </w:tcPr>
          <w:p w:rsidR="001E6BCC" w:rsidRPr="00DD3FAF" w:rsidRDefault="001E6BCC" w:rsidP="00132BC4">
            <w:pPr>
              <w:jc w:val="center"/>
              <w:rPr>
                <w:rFonts w:asciiTheme="minorHAnsi" w:hAnsiTheme="minorHAnsi" w:cstheme="minorHAnsi"/>
                <w:sz w:val="20"/>
                <w:szCs w:val="20"/>
              </w:rPr>
            </w:pPr>
            <w:r w:rsidRPr="00DD3FAF">
              <w:rPr>
                <w:rFonts w:asciiTheme="minorHAnsi" w:hAnsiTheme="minorHAnsi" w:cstheme="minorHAnsi"/>
                <w:sz w:val="20"/>
                <w:szCs w:val="20"/>
              </w:rPr>
              <w:t>Becas complementarias</w:t>
            </w:r>
          </w:p>
        </w:tc>
        <w:tc>
          <w:tcPr>
            <w:tcW w:w="1134" w:type="dxa"/>
          </w:tcPr>
          <w:p w:rsidR="001E6BCC" w:rsidRPr="00DD3FAF" w:rsidRDefault="001E6BCC" w:rsidP="00132BC4">
            <w:pPr>
              <w:jc w:val="center"/>
              <w:rPr>
                <w:rFonts w:asciiTheme="minorHAnsi" w:hAnsiTheme="minorHAnsi" w:cstheme="minorHAnsi"/>
                <w:sz w:val="20"/>
                <w:szCs w:val="20"/>
              </w:rPr>
            </w:pPr>
            <w:r w:rsidRPr="00DD3FAF">
              <w:rPr>
                <w:rFonts w:asciiTheme="minorHAnsi" w:hAnsiTheme="minorHAnsi" w:cstheme="minorHAnsi"/>
                <w:sz w:val="20"/>
                <w:szCs w:val="20"/>
              </w:rPr>
              <w:t>20</w:t>
            </w:r>
          </w:p>
        </w:tc>
      </w:tr>
      <w:tr w:rsidR="001E6BCC" w:rsidRPr="00DD3FAF" w:rsidTr="001E6BCC">
        <w:tc>
          <w:tcPr>
            <w:tcW w:w="5070" w:type="dxa"/>
          </w:tcPr>
          <w:p w:rsidR="001E6BCC" w:rsidRPr="00DD3FAF" w:rsidRDefault="001E6BCC" w:rsidP="00132BC4">
            <w:pPr>
              <w:rPr>
                <w:rFonts w:asciiTheme="minorHAnsi" w:hAnsiTheme="minorHAnsi" w:cstheme="minorHAnsi"/>
                <w:sz w:val="20"/>
                <w:szCs w:val="20"/>
              </w:rPr>
            </w:pPr>
            <w:r w:rsidRPr="00DD3FAF">
              <w:rPr>
                <w:rFonts w:asciiTheme="minorHAnsi" w:hAnsiTheme="minorHAnsi" w:cstheme="minorHAnsi"/>
                <w:sz w:val="20"/>
                <w:szCs w:val="20"/>
              </w:rPr>
              <w:t>Fortalecimiento de postgrados nacionales</w:t>
            </w:r>
          </w:p>
        </w:tc>
        <w:tc>
          <w:tcPr>
            <w:tcW w:w="2438" w:type="dxa"/>
          </w:tcPr>
          <w:p w:rsidR="001E6BCC" w:rsidRPr="00DD3FAF" w:rsidRDefault="001E6BCC" w:rsidP="00132BC4">
            <w:pPr>
              <w:jc w:val="center"/>
              <w:rPr>
                <w:rFonts w:asciiTheme="minorHAnsi" w:hAnsiTheme="minorHAnsi" w:cstheme="minorHAnsi"/>
                <w:sz w:val="20"/>
                <w:szCs w:val="20"/>
              </w:rPr>
            </w:pPr>
            <w:r w:rsidRPr="00DD3FAF">
              <w:rPr>
                <w:rFonts w:asciiTheme="minorHAnsi" w:hAnsiTheme="minorHAnsi" w:cstheme="minorHAnsi"/>
                <w:sz w:val="20"/>
                <w:szCs w:val="20"/>
              </w:rPr>
              <w:t>Proyectos</w:t>
            </w:r>
          </w:p>
        </w:tc>
        <w:tc>
          <w:tcPr>
            <w:tcW w:w="1134" w:type="dxa"/>
          </w:tcPr>
          <w:p w:rsidR="001E6BCC" w:rsidRPr="00DD3FAF" w:rsidRDefault="001E6BCC" w:rsidP="00132BC4">
            <w:pPr>
              <w:jc w:val="center"/>
              <w:rPr>
                <w:rFonts w:asciiTheme="minorHAnsi" w:hAnsiTheme="minorHAnsi" w:cstheme="minorHAnsi"/>
                <w:sz w:val="20"/>
                <w:szCs w:val="20"/>
              </w:rPr>
            </w:pPr>
            <w:r w:rsidRPr="00DD3FAF">
              <w:rPr>
                <w:rFonts w:asciiTheme="minorHAnsi" w:hAnsiTheme="minorHAnsi" w:cstheme="minorHAnsi"/>
                <w:sz w:val="20"/>
                <w:szCs w:val="20"/>
              </w:rPr>
              <w:t>8</w:t>
            </w:r>
          </w:p>
        </w:tc>
      </w:tr>
    </w:tbl>
    <w:p w:rsidR="00132BC4" w:rsidRPr="0076647A" w:rsidRDefault="00132BC4" w:rsidP="00132BC4">
      <w:pPr>
        <w:spacing w:line="276" w:lineRule="auto"/>
        <w:rPr>
          <w:rFonts w:ascii="Calibri" w:hAnsi="Calibri" w:cs="Calibri"/>
          <w:sz w:val="18"/>
          <w:szCs w:val="18"/>
          <w:lang w:val="es-AR" w:eastAsia="es-AR"/>
        </w:rPr>
      </w:pPr>
      <w:r w:rsidRPr="001F193A">
        <w:rPr>
          <w:rFonts w:asciiTheme="minorHAnsi" w:hAnsiTheme="minorHAnsi" w:cstheme="minorHAnsi"/>
          <w:sz w:val="18"/>
          <w:szCs w:val="18"/>
        </w:rPr>
        <w:t xml:space="preserve">Fuente: </w:t>
      </w:r>
      <w:r w:rsidRPr="001F193A">
        <w:rPr>
          <w:rFonts w:ascii="Calibri" w:hAnsi="Calibri" w:cs="Calibri"/>
          <w:sz w:val="18"/>
          <w:szCs w:val="18"/>
          <w:lang w:val="es-AR" w:eastAsia="es-AR"/>
        </w:rPr>
        <w:t>Innovos</w:t>
      </w:r>
      <w:r w:rsidR="00B80BCF">
        <w:rPr>
          <w:rFonts w:ascii="Calibri" w:hAnsi="Calibri" w:cs="Calibri"/>
          <w:sz w:val="18"/>
          <w:szCs w:val="18"/>
          <w:lang w:val="es-AR" w:eastAsia="es-AR"/>
        </w:rPr>
        <w:t xml:space="preserve"> </w:t>
      </w:r>
      <w:r w:rsidRPr="001F193A">
        <w:rPr>
          <w:rFonts w:ascii="Calibri" w:hAnsi="Calibri" w:cs="Calibri"/>
          <w:sz w:val="18"/>
          <w:szCs w:val="18"/>
          <w:lang w:val="es-AR" w:eastAsia="es-AR"/>
        </w:rPr>
        <w:t>Group</w:t>
      </w:r>
      <w:r>
        <w:rPr>
          <w:rFonts w:ascii="Calibri" w:hAnsi="Calibri" w:cs="Calibri"/>
          <w:sz w:val="18"/>
          <w:szCs w:val="18"/>
          <w:lang w:val="es-AR" w:eastAsia="es-AR"/>
        </w:rPr>
        <w:t xml:space="preserve"> en base a d</w:t>
      </w:r>
      <w:r w:rsidR="006C6743">
        <w:rPr>
          <w:rFonts w:ascii="Calibri" w:hAnsi="Calibri" w:cs="Calibri"/>
          <w:sz w:val="18"/>
          <w:szCs w:val="18"/>
          <w:lang w:val="es-AR" w:eastAsia="es-AR"/>
        </w:rPr>
        <w:t>atos proporcionados por CONACYT</w:t>
      </w:r>
    </w:p>
    <w:p w:rsidR="001E6BCC" w:rsidRPr="001E6BCC" w:rsidRDefault="001E6BCC" w:rsidP="001E6BCC">
      <w:pPr>
        <w:spacing w:after="200" w:line="276" w:lineRule="auto"/>
        <w:rPr>
          <w:rFonts w:asciiTheme="minorHAnsi" w:hAnsiTheme="minorHAnsi" w:cstheme="minorHAnsi"/>
        </w:rPr>
      </w:pPr>
    </w:p>
    <w:p w:rsidR="001E6BCC" w:rsidRDefault="001E6BCC" w:rsidP="001E6BCC">
      <w:pPr>
        <w:spacing w:after="200" w:line="276" w:lineRule="auto"/>
        <w:jc w:val="both"/>
        <w:rPr>
          <w:rFonts w:asciiTheme="minorHAnsi" w:hAnsiTheme="minorHAnsi" w:cstheme="minorHAnsi"/>
        </w:rPr>
      </w:pPr>
      <w:r w:rsidRPr="001E6BCC">
        <w:rPr>
          <w:rFonts w:asciiTheme="minorHAnsi" w:hAnsiTheme="minorHAnsi" w:cstheme="minorHAnsi"/>
        </w:rPr>
        <w:lastRenderedPageBreak/>
        <w:t>Para el logro de los objetivos del Componente II, el mismo se estructuró en los siguientes subcomponentes:</w:t>
      </w:r>
    </w:p>
    <w:p w:rsidR="001E6BCC" w:rsidRPr="000E50D9" w:rsidRDefault="001E6BCC" w:rsidP="000E50D9">
      <w:pPr>
        <w:pStyle w:val="ListParagraph"/>
        <w:numPr>
          <w:ilvl w:val="0"/>
          <w:numId w:val="34"/>
        </w:numPr>
        <w:spacing w:after="200" w:line="276" w:lineRule="auto"/>
        <w:jc w:val="both"/>
        <w:rPr>
          <w:rFonts w:asciiTheme="minorHAnsi" w:hAnsiTheme="minorHAnsi" w:cstheme="minorHAnsi"/>
        </w:rPr>
      </w:pPr>
      <w:r w:rsidRPr="000E50D9">
        <w:rPr>
          <w:rFonts w:asciiTheme="minorHAnsi" w:hAnsiTheme="minorHAnsi" w:cstheme="minorHAnsi"/>
        </w:rPr>
        <w:t>Subcomponente 2.1: Fortaleci</w:t>
      </w:r>
      <w:r w:rsidR="00DD3FAF" w:rsidRPr="000E50D9">
        <w:rPr>
          <w:rFonts w:asciiTheme="minorHAnsi" w:hAnsiTheme="minorHAnsi" w:cstheme="minorHAnsi"/>
        </w:rPr>
        <w:t>miento de postgrados nacionales</w:t>
      </w:r>
    </w:p>
    <w:p w:rsidR="001E6BCC" w:rsidRPr="001E6BCC" w:rsidRDefault="001E6BCC" w:rsidP="001E6BCC">
      <w:pPr>
        <w:spacing w:after="200" w:line="276" w:lineRule="auto"/>
        <w:jc w:val="both"/>
        <w:rPr>
          <w:rFonts w:asciiTheme="minorHAnsi" w:hAnsiTheme="minorHAnsi" w:cstheme="minorHAnsi"/>
        </w:rPr>
      </w:pPr>
      <w:r w:rsidRPr="001E6BCC">
        <w:rPr>
          <w:rFonts w:asciiTheme="minorHAnsi" w:hAnsiTheme="minorHAnsi" w:cstheme="minorHAnsi"/>
        </w:rPr>
        <w:t>El objetivo de este subcomponente fue apoyar la creación o el fortalecimiento de programas de postgrado de nivel de maestr</w:t>
      </w:r>
      <w:r w:rsidR="00B46995">
        <w:rPr>
          <w:rFonts w:asciiTheme="minorHAnsi" w:hAnsiTheme="minorHAnsi" w:cstheme="minorHAnsi"/>
        </w:rPr>
        <w:t>ía o doctorado con el fin de</w:t>
      </w:r>
      <w:r w:rsidRPr="001E6BCC">
        <w:rPr>
          <w:rFonts w:asciiTheme="minorHAnsi" w:hAnsiTheme="minorHAnsi" w:cstheme="minorHAnsi"/>
        </w:rPr>
        <w:t xml:space="preserve"> formar investigadores en disciplinas prioritarias de ciencias, tecnologías, y/o gestión tecnológica.</w:t>
      </w:r>
    </w:p>
    <w:p w:rsidR="001E6BCC" w:rsidRPr="000E50D9" w:rsidRDefault="001E6BCC" w:rsidP="000E50D9">
      <w:pPr>
        <w:pStyle w:val="ListParagraph"/>
        <w:numPr>
          <w:ilvl w:val="0"/>
          <w:numId w:val="34"/>
        </w:numPr>
        <w:spacing w:after="200" w:line="276" w:lineRule="auto"/>
        <w:jc w:val="both"/>
        <w:rPr>
          <w:rFonts w:asciiTheme="minorHAnsi" w:hAnsiTheme="minorHAnsi" w:cstheme="minorHAnsi"/>
        </w:rPr>
      </w:pPr>
      <w:r w:rsidRPr="000E50D9">
        <w:rPr>
          <w:rFonts w:asciiTheme="minorHAnsi" w:hAnsiTheme="minorHAnsi" w:cstheme="minorHAnsi"/>
        </w:rPr>
        <w:t xml:space="preserve">Subcomponente 2.2: Becas para estudio de postgrado </w:t>
      </w:r>
      <w:r w:rsidR="00DD3FAF" w:rsidRPr="000E50D9">
        <w:rPr>
          <w:rFonts w:asciiTheme="minorHAnsi" w:hAnsiTheme="minorHAnsi" w:cstheme="minorHAnsi"/>
        </w:rPr>
        <w:t>(maestría-doctorado) en el país</w:t>
      </w:r>
    </w:p>
    <w:p w:rsidR="001E6BCC" w:rsidRPr="001E6BCC" w:rsidRDefault="001E6BCC" w:rsidP="001E6BCC">
      <w:pPr>
        <w:spacing w:after="200" w:line="276" w:lineRule="auto"/>
        <w:jc w:val="both"/>
        <w:rPr>
          <w:rFonts w:asciiTheme="minorHAnsi" w:hAnsiTheme="minorHAnsi" w:cstheme="minorHAnsi"/>
        </w:rPr>
      </w:pPr>
      <w:r w:rsidRPr="001E6BCC">
        <w:rPr>
          <w:rFonts w:asciiTheme="minorHAnsi" w:hAnsiTheme="minorHAnsi" w:cstheme="minorHAnsi"/>
        </w:rPr>
        <w:t>El objetivo de este subcomponente fue promover estudios de postgrado de ciudadanos paraguayos con título de grado en una disciplina relacionada, que estuvieran iniciando sus estudios de postgrado o realizando su tesis de postgraduación. La meta del subcomponente era otorgar 30 becas.</w:t>
      </w:r>
    </w:p>
    <w:p w:rsidR="001E6BCC" w:rsidRPr="000E50D9" w:rsidRDefault="001E6BCC" w:rsidP="000E50D9">
      <w:pPr>
        <w:pStyle w:val="ListParagraph"/>
        <w:numPr>
          <w:ilvl w:val="0"/>
          <w:numId w:val="34"/>
        </w:numPr>
        <w:spacing w:after="200" w:line="276" w:lineRule="auto"/>
        <w:jc w:val="both"/>
        <w:rPr>
          <w:rFonts w:asciiTheme="minorHAnsi" w:hAnsiTheme="minorHAnsi" w:cstheme="minorHAnsi"/>
        </w:rPr>
      </w:pPr>
      <w:r w:rsidRPr="000E50D9">
        <w:rPr>
          <w:rFonts w:asciiTheme="minorHAnsi" w:hAnsiTheme="minorHAnsi" w:cstheme="minorHAnsi"/>
        </w:rPr>
        <w:t>Subcomponente 2.3: Becas de corta dur</w:t>
      </w:r>
      <w:r w:rsidR="00B46995">
        <w:rPr>
          <w:rFonts w:asciiTheme="minorHAnsi" w:hAnsiTheme="minorHAnsi" w:cstheme="minorHAnsi"/>
        </w:rPr>
        <w:t xml:space="preserve">ación no conducentes a títulos y becas de </w:t>
      </w:r>
      <w:r w:rsidRPr="000E50D9">
        <w:rPr>
          <w:rFonts w:asciiTheme="minorHAnsi" w:hAnsiTheme="minorHAnsi" w:cstheme="minorHAnsi"/>
        </w:rPr>
        <w:t>apoyo complementar</w:t>
      </w:r>
      <w:r w:rsidR="00B46995">
        <w:rPr>
          <w:rFonts w:asciiTheme="minorHAnsi" w:hAnsiTheme="minorHAnsi" w:cstheme="minorHAnsi"/>
        </w:rPr>
        <w:t>io para becarios en el extranjero</w:t>
      </w:r>
    </w:p>
    <w:p w:rsidR="001E6BCC" w:rsidRPr="001E6BCC" w:rsidRDefault="001E6BCC" w:rsidP="00DD3FAF">
      <w:pPr>
        <w:spacing w:after="200" w:line="276" w:lineRule="auto"/>
        <w:jc w:val="both"/>
        <w:rPr>
          <w:rFonts w:asciiTheme="minorHAnsi" w:hAnsiTheme="minorHAnsi" w:cstheme="minorHAnsi"/>
        </w:rPr>
      </w:pPr>
      <w:r w:rsidRPr="001E6BCC">
        <w:rPr>
          <w:rFonts w:asciiTheme="minorHAnsi" w:hAnsiTheme="minorHAnsi" w:cstheme="minorHAnsi"/>
        </w:rPr>
        <w:t>El objetivo de este subcomponente fue facilitar la interacción de los investigadores con las instituciones paraguayas y sus pares en la región y el mundo, mediante el</w:t>
      </w:r>
      <w:r w:rsidR="00B46995">
        <w:rPr>
          <w:rFonts w:asciiTheme="minorHAnsi" w:hAnsiTheme="minorHAnsi" w:cstheme="minorHAnsi"/>
        </w:rPr>
        <w:t xml:space="preserve"> financiamiento de treinta </w:t>
      </w:r>
      <w:r w:rsidRPr="001E6BCC">
        <w:rPr>
          <w:rFonts w:asciiTheme="minorHAnsi" w:hAnsiTheme="minorHAnsi" w:cstheme="minorHAnsi"/>
        </w:rPr>
        <w:t>becas</w:t>
      </w:r>
      <w:r w:rsidRPr="001E6BCC">
        <w:rPr>
          <w:rStyle w:val="FootnoteReference"/>
          <w:rFonts w:asciiTheme="minorHAnsi" w:hAnsiTheme="minorHAnsi" w:cstheme="minorHAnsi"/>
        </w:rPr>
        <w:footnoteReference w:id="5"/>
      </w:r>
      <w:r w:rsidRPr="001E6BCC">
        <w:rPr>
          <w:rFonts w:asciiTheme="minorHAnsi" w:hAnsiTheme="minorHAnsi" w:cstheme="minorHAnsi"/>
        </w:rPr>
        <w:t>.</w:t>
      </w:r>
    </w:p>
    <w:p w:rsidR="001E6BCC" w:rsidRPr="001E6BCC" w:rsidRDefault="001E6BCC" w:rsidP="00DD3FAF">
      <w:pPr>
        <w:spacing w:after="200" w:line="276" w:lineRule="auto"/>
        <w:jc w:val="both"/>
        <w:rPr>
          <w:rFonts w:asciiTheme="minorHAnsi" w:hAnsiTheme="minorHAnsi" w:cstheme="minorHAnsi"/>
        </w:rPr>
      </w:pPr>
      <w:r w:rsidRPr="001E6BCC">
        <w:rPr>
          <w:rFonts w:asciiTheme="minorHAnsi" w:hAnsiTheme="minorHAnsi" w:cstheme="minorHAnsi"/>
        </w:rPr>
        <w:t xml:space="preserve">El grupo objetivo lo constituyeron investigadores con nivel de postgrado interesados en actividades en el extranjero no conducentes a título. Entre las actividades elegibles se encontraban: pasantías cortas de investigación, asistencia a cursos de entrenamiento; y seminarios y talleres de postgrado para reforzar la formación y desempeño en investigación científica y tecnológica, </w:t>
      </w:r>
      <w:r w:rsidR="00DD3FAF">
        <w:rPr>
          <w:rFonts w:asciiTheme="minorHAnsi" w:hAnsiTheme="minorHAnsi" w:cstheme="minorHAnsi"/>
        </w:rPr>
        <w:t>en disciplinas prioritarias de ciencia y t</w:t>
      </w:r>
      <w:r w:rsidRPr="001E6BCC">
        <w:rPr>
          <w:rFonts w:asciiTheme="minorHAnsi" w:hAnsiTheme="minorHAnsi" w:cstheme="minorHAnsi"/>
        </w:rPr>
        <w:t>ecnología, así como en gestión tecnológica.</w:t>
      </w:r>
    </w:p>
    <w:p w:rsidR="001E6BCC" w:rsidRPr="001E6BCC" w:rsidRDefault="001E6BCC" w:rsidP="001E6BCC">
      <w:pPr>
        <w:spacing w:after="200" w:line="276" w:lineRule="auto"/>
        <w:rPr>
          <w:rFonts w:asciiTheme="minorHAnsi" w:hAnsiTheme="minorHAnsi" w:cstheme="minorHAnsi"/>
          <w:lang w:val="es-PY"/>
        </w:rPr>
      </w:pPr>
    </w:p>
    <w:p w:rsidR="001E6BCC" w:rsidRPr="00DD3FAF" w:rsidRDefault="001E6BCC" w:rsidP="001E6BCC">
      <w:pPr>
        <w:spacing w:after="200" w:line="276" w:lineRule="auto"/>
        <w:jc w:val="both"/>
        <w:rPr>
          <w:rFonts w:asciiTheme="minorHAnsi" w:hAnsiTheme="minorHAnsi" w:cstheme="minorHAnsi"/>
          <w:b/>
          <w:lang w:eastAsia="en-US"/>
        </w:rPr>
      </w:pPr>
      <w:r w:rsidRPr="00DD3FAF">
        <w:rPr>
          <w:rFonts w:asciiTheme="minorHAnsi" w:hAnsiTheme="minorHAnsi" w:cstheme="minorHAnsi"/>
          <w:b/>
          <w:lang w:eastAsia="en-US"/>
        </w:rPr>
        <w:t>Componente III</w:t>
      </w:r>
    </w:p>
    <w:p w:rsidR="001E6BCC" w:rsidRPr="001E6BCC" w:rsidRDefault="001E6BCC" w:rsidP="001E6BCC">
      <w:pPr>
        <w:spacing w:after="200" w:line="276" w:lineRule="auto"/>
        <w:jc w:val="both"/>
        <w:rPr>
          <w:rFonts w:asciiTheme="minorHAnsi" w:hAnsiTheme="minorHAnsi" w:cstheme="minorHAnsi"/>
        </w:rPr>
      </w:pPr>
      <w:r w:rsidRPr="001E6BCC">
        <w:rPr>
          <w:rFonts w:asciiTheme="minorHAnsi" w:hAnsiTheme="minorHAnsi" w:cstheme="minorHAnsi"/>
        </w:rPr>
        <w:t xml:space="preserve">El Componente III se orientó a fortalecer y articular a los actores del Sistema Nacional de Innovación Paraguayo, bajo el principio que distintos actores deben interactuar y lograr la articulación entre la generación de conocimiento y su aplicación a necesidades existentes para que la innovación, la ciencia y la tecnología tengan el impacto esperado en una sociedad. </w:t>
      </w:r>
    </w:p>
    <w:p w:rsidR="001E6BCC" w:rsidRPr="00DD3FAF" w:rsidRDefault="00DD3FAF" w:rsidP="00DD1026">
      <w:pPr>
        <w:spacing w:after="200" w:line="276" w:lineRule="auto"/>
        <w:jc w:val="center"/>
        <w:rPr>
          <w:rFonts w:asciiTheme="minorHAnsi" w:hAnsiTheme="minorHAnsi" w:cstheme="minorHAnsi"/>
          <w:b/>
        </w:rPr>
      </w:pPr>
      <w:r w:rsidRPr="00DD3FAF">
        <w:rPr>
          <w:rFonts w:asciiTheme="minorHAnsi" w:hAnsiTheme="minorHAnsi" w:cstheme="minorHAnsi"/>
          <w:b/>
        </w:rPr>
        <w:t>Tabla 3.5. Metas para el Componente III</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8"/>
        <w:gridCol w:w="2410"/>
        <w:gridCol w:w="1843"/>
      </w:tblGrid>
      <w:tr w:rsidR="00DD1026" w:rsidRPr="00DD1026" w:rsidTr="00DD1026">
        <w:tc>
          <w:tcPr>
            <w:tcW w:w="5098" w:type="dxa"/>
            <w:shd w:val="clear" w:color="auto" w:fill="0F243E" w:themeFill="text2" w:themeFillShade="80"/>
          </w:tcPr>
          <w:p w:rsidR="001E6BCC" w:rsidRPr="00DD1026" w:rsidRDefault="00DD3FAF" w:rsidP="00DD3FAF">
            <w:pPr>
              <w:jc w:val="center"/>
              <w:rPr>
                <w:rFonts w:asciiTheme="minorHAnsi" w:hAnsiTheme="minorHAnsi" w:cstheme="minorHAnsi"/>
                <w:b/>
                <w:color w:val="FFFFFF" w:themeColor="background1"/>
                <w:sz w:val="20"/>
                <w:szCs w:val="20"/>
              </w:rPr>
            </w:pPr>
            <w:r w:rsidRPr="00DD1026">
              <w:rPr>
                <w:rFonts w:asciiTheme="minorHAnsi" w:hAnsiTheme="minorHAnsi" w:cstheme="minorHAnsi"/>
                <w:b/>
                <w:color w:val="FFFFFF" w:themeColor="background1"/>
                <w:sz w:val="20"/>
                <w:szCs w:val="20"/>
              </w:rPr>
              <w:lastRenderedPageBreak/>
              <w:t>Subcomponente</w:t>
            </w:r>
          </w:p>
        </w:tc>
        <w:tc>
          <w:tcPr>
            <w:tcW w:w="2410" w:type="dxa"/>
            <w:shd w:val="clear" w:color="auto" w:fill="0F243E" w:themeFill="text2" w:themeFillShade="80"/>
          </w:tcPr>
          <w:p w:rsidR="001E6BCC" w:rsidRPr="00DD1026" w:rsidRDefault="001E6BCC" w:rsidP="00DD3FAF">
            <w:pPr>
              <w:jc w:val="center"/>
              <w:rPr>
                <w:rFonts w:asciiTheme="minorHAnsi" w:hAnsiTheme="minorHAnsi" w:cstheme="minorHAnsi"/>
                <w:b/>
                <w:color w:val="FFFFFF" w:themeColor="background1"/>
                <w:sz w:val="20"/>
                <w:szCs w:val="20"/>
              </w:rPr>
            </w:pPr>
            <w:r w:rsidRPr="00DD1026">
              <w:rPr>
                <w:rFonts w:asciiTheme="minorHAnsi" w:hAnsiTheme="minorHAnsi" w:cstheme="minorHAnsi"/>
                <w:b/>
                <w:color w:val="FFFFFF" w:themeColor="background1"/>
                <w:sz w:val="20"/>
                <w:szCs w:val="20"/>
              </w:rPr>
              <w:t>Indicador</w:t>
            </w:r>
          </w:p>
        </w:tc>
        <w:tc>
          <w:tcPr>
            <w:tcW w:w="1843" w:type="dxa"/>
            <w:shd w:val="clear" w:color="auto" w:fill="0F243E" w:themeFill="text2" w:themeFillShade="80"/>
          </w:tcPr>
          <w:p w:rsidR="001E6BCC" w:rsidRPr="00DD1026" w:rsidRDefault="001E6BCC" w:rsidP="00DD3FAF">
            <w:pPr>
              <w:jc w:val="center"/>
              <w:rPr>
                <w:rFonts w:asciiTheme="minorHAnsi" w:hAnsiTheme="minorHAnsi" w:cstheme="minorHAnsi"/>
                <w:b/>
                <w:color w:val="FFFFFF" w:themeColor="background1"/>
                <w:sz w:val="20"/>
                <w:szCs w:val="20"/>
              </w:rPr>
            </w:pPr>
            <w:r w:rsidRPr="00DD1026">
              <w:rPr>
                <w:rFonts w:asciiTheme="minorHAnsi" w:hAnsiTheme="minorHAnsi" w:cstheme="minorHAnsi"/>
                <w:b/>
                <w:color w:val="FFFFFF" w:themeColor="background1"/>
                <w:sz w:val="20"/>
                <w:szCs w:val="20"/>
              </w:rPr>
              <w:t>Meta</w:t>
            </w:r>
          </w:p>
        </w:tc>
      </w:tr>
      <w:tr w:rsidR="001E6BCC" w:rsidRPr="00DD3FAF" w:rsidTr="001E6BCC">
        <w:tc>
          <w:tcPr>
            <w:tcW w:w="5098" w:type="dxa"/>
          </w:tcPr>
          <w:p w:rsidR="001E6BCC" w:rsidRPr="00DD3FAF" w:rsidRDefault="001E6BCC" w:rsidP="00DD3FAF">
            <w:pPr>
              <w:rPr>
                <w:rFonts w:asciiTheme="minorHAnsi" w:hAnsiTheme="minorHAnsi" w:cstheme="minorHAnsi"/>
                <w:sz w:val="20"/>
                <w:szCs w:val="20"/>
              </w:rPr>
            </w:pPr>
            <w:r w:rsidRPr="00DD3FAF">
              <w:rPr>
                <w:rFonts w:asciiTheme="minorHAnsi" w:hAnsiTheme="minorHAnsi" w:cstheme="minorHAnsi"/>
                <w:sz w:val="20"/>
                <w:szCs w:val="20"/>
              </w:rPr>
              <w:t>Vinculación académica</w:t>
            </w:r>
          </w:p>
        </w:tc>
        <w:tc>
          <w:tcPr>
            <w:tcW w:w="2410" w:type="dxa"/>
          </w:tcPr>
          <w:p w:rsidR="001E6BCC" w:rsidRPr="00DD3FAF" w:rsidRDefault="001E6BCC" w:rsidP="00DD3FAF">
            <w:pPr>
              <w:jc w:val="center"/>
              <w:rPr>
                <w:rFonts w:asciiTheme="minorHAnsi" w:hAnsiTheme="minorHAnsi" w:cstheme="minorHAnsi"/>
                <w:sz w:val="20"/>
                <w:szCs w:val="20"/>
              </w:rPr>
            </w:pPr>
            <w:r w:rsidRPr="00DD3FAF">
              <w:rPr>
                <w:rFonts w:asciiTheme="minorHAnsi" w:hAnsiTheme="minorHAnsi" w:cstheme="minorHAnsi"/>
                <w:sz w:val="20"/>
                <w:szCs w:val="20"/>
              </w:rPr>
              <w:t>Actividades</w:t>
            </w:r>
          </w:p>
        </w:tc>
        <w:tc>
          <w:tcPr>
            <w:tcW w:w="1843" w:type="dxa"/>
          </w:tcPr>
          <w:p w:rsidR="001E6BCC" w:rsidRPr="00DD3FAF" w:rsidRDefault="001E6BCC" w:rsidP="00DD3FAF">
            <w:pPr>
              <w:jc w:val="center"/>
              <w:rPr>
                <w:rFonts w:asciiTheme="minorHAnsi" w:hAnsiTheme="minorHAnsi" w:cstheme="minorHAnsi"/>
                <w:sz w:val="20"/>
                <w:szCs w:val="20"/>
              </w:rPr>
            </w:pPr>
            <w:r w:rsidRPr="00DD3FAF">
              <w:rPr>
                <w:rFonts w:asciiTheme="minorHAnsi" w:hAnsiTheme="minorHAnsi" w:cstheme="minorHAnsi"/>
                <w:sz w:val="20"/>
                <w:szCs w:val="20"/>
              </w:rPr>
              <w:t>40</w:t>
            </w:r>
          </w:p>
        </w:tc>
      </w:tr>
      <w:tr w:rsidR="001E6BCC" w:rsidRPr="00DD3FAF" w:rsidTr="001E6BCC">
        <w:tc>
          <w:tcPr>
            <w:tcW w:w="5098" w:type="dxa"/>
          </w:tcPr>
          <w:p w:rsidR="001E6BCC" w:rsidRPr="00DD3FAF" w:rsidRDefault="001E6BCC" w:rsidP="00DD3FAF">
            <w:pPr>
              <w:rPr>
                <w:rFonts w:asciiTheme="minorHAnsi" w:hAnsiTheme="minorHAnsi" w:cstheme="minorHAnsi"/>
                <w:sz w:val="20"/>
                <w:szCs w:val="20"/>
              </w:rPr>
            </w:pPr>
            <w:r w:rsidRPr="00DD3FAF">
              <w:rPr>
                <w:rFonts w:asciiTheme="minorHAnsi" w:hAnsiTheme="minorHAnsi" w:cstheme="minorHAnsi"/>
                <w:sz w:val="20"/>
                <w:szCs w:val="20"/>
              </w:rPr>
              <w:t>Red ARANDU</w:t>
            </w:r>
          </w:p>
        </w:tc>
        <w:tc>
          <w:tcPr>
            <w:tcW w:w="2410" w:type="dxa"/>
          </w:tcPr>
          <w:p w:rsidR="001E6BCC" w:rsidRPr="00DD3FAF" w:rsidRDefault="001E6BCC" w:rsidP="00DD3FAF">
            <w:pPr>
              <w:jc w:val="center"/>
              <w:rPr>
                <w:rFonts w:asciiTheme="minorHAnsi" w:hAnsiTheme="minorHAnsi" w:cstheme="minorHAnsi"/>
                <w:sz w:val="20"/>
                <w:szCs w:val="20"/>
              </w:rPr>
            </w:pPr>
            <w:r w:rsidRPr="00DD3FAF">
              <w:rPr>
                <w:rFonts w:asciiTheme="minorHAnsi" w:hAnsiTheme="minorHAnsi" w:cstheme="minorHAnsi"/>
                <w:sz w:val="20"/>
                <w:szCs w:val="20"/>
              </w:rPr>
              <w:t>Red en funcionamiento</w:t>
            </w:r>
          </w:p>
        </w:tc>
        <w:tc>
          <w:tcPr>
            <w:tcW w:w="1843" w:type="dxa"/>
          </w:tcPr>
          <w:p w:rsidR="001E6BCC" w:rsidRPr="00DD3FAF" w:rsidRDefault="001E6BCC" w:rsidP="00DD3FAF">
            <w:pPr>
              <w:jc w:val="center"/>
              <w:rPr>
                <w:rFonts w:asciiTheme="minorHAnsi" w:hAnsiTheme="minorHAnsi" w:cstheme="minorHAnsi"/>
                <w:sz w:val="20"/>
                <w:szCs w:val="20"/>
              </w:rPr>
            </w:pPr>
            <w:r w:rsidRPr="00DD3FAF">
              <w:rPr>
                <w:rFonts w:asciiTheme="minorHAnsi" w:hAnsiTheme="minorHAnsi" w:cstheme="minorHAnsi"/>
                <w:sz w:val="20"/>
                <w:szCs w:val="20"/>
              </w:rPr>
              <w:t>100% ejecutado al 2do año</w:t>
            </w:r>
          </w:p>
        </w:tc>
      </w:tr>
      <w:tr w:rsidR="001E6BCC" w:rsidRPr="00DD3FAF" w:rsidTr="001E6BCC">
        <w:tc>
          <w:tcPr>
            <w:tcW w:w="5098" w:type="dxa"/>
          </w:tcPr>
          <w:p w:rsidR="001E6BCC" w:rsidRPr="00DD3FAF" w:rsidRDefault="001E6BCC" w:rsidP="00DD3FAF">
            <w:pPr>
              <w:rPr>
                <w:rFonts w:asciiTheme="minorHAnsi" w:hAnsiTheme="minorHAnsi" w:cstheme="minorHAnsi"/>
                <w:sz w:val="20"/>
                <w:szCs w:val="20"/>
              </w:rPr>
            </w:pPr>
            <w:r w:rsidRPr="00DD3FAF">
              <w:rPr>
                <w:rFonts w:asciiTheme="minorHAnsi" w:hAnsiTheme="minorHAnsi" w:cstheme="minorHAnsi"/>
                <w:sz w:val="20"/>
                <w:szCs w:val="20"/>
              </w:rPr>
              <w:t>Construcción y mejora de provisión de información de Ciencia, tecnología e Información</w:t>
            </w:r>
          </w:p>
        </w:tc>
        <w:tc>
          <w:tcPr>
            <w:tcW w:w="2410" w:type="dxa"/>
          </w:tcPr>
          <w:p w:rsidR="001E6BCC" w:rsidRPr="00DD3FAF" w:rsidRDefault="001E6BCC" w:rsidP="00DD3FAF">
            <w:pPr>
              <w:jc w:val="center"/>
              <w:rPr>
                <w:rFonts w:asciiTheme="minorHAnsi" w:hAnsiTheme="minorHAnsi" w:cstheme="minorHAnsi"/>
                <w:sz w:val="20"/>
                <w:szCs w:val="20"/>
              </w:rPr>
            </w:pPr>
            <w:r w:rsidRPr="00DD3FAF">
              <w:rPr>
                <w:rFonts w:asciiTheme="minorHAnsi" w:hAnsiTheme="minorHAnsi" w:cstheme="minorHAnsi"/>
                <w:sz w:val="20"/>
                <w:szCs w:val="20"/>
              </w:rPr>
              <w:t>Actividades</w:t>
            </w:r>
          </w:p>
        </w:tc>
        <w:tc>
          <w:tcPr>
            <w:tcW w:w="1843" w:type="dxa"/>
          </w:tcPr>
          <w:p w:rsidR="001E6BCC" w:rsidRPr="00DD3FAF" w:rsidRDefault="001E6BCC" w:rsidP="00DD3FAF">
            <w:pPr>
              <w:jc w:val="center"/>
              <w:rPr>
                <w:rFonts w:asciiTheme="minorHAnsi" w:hAnsiTheme="minorHAnsi" w:cstheme="minorHAnsi"/>
                <w:sz w:val="20"/>
                <w:szCs w:val="20"/>
              </w:rPr>
            </w:pPr>
            <w:r w:rsidRPr="00DD3FAF">
              <w:rPr>
                <w:rFonts w:asciiTheme="minorHAnsi" w:hAnsiTheme="minorHAnsi" w:cstheme="minorHAnsi"/>
                <w:sz w:val="20"/>
                <w:szCs w:val="20"/>
              </w:rPr>
              <w:t>8 (2 por año)</w:t>
            </w:r>
          </w:p>
        </w:tc>
      </w:tr>
      <w:tr w:rsidR="001E6BCC" w:rsidRPr="00DD3FAF" w:rsidTr="001E6BCC">
        <w:tc>
          <w:tcPr>
            <w:tcW w:w="5098" w:type="dxa"/>
          </w:tcPr>
          <w:p w:rsidR="001E6BCC" w:rsidRPr="00DD3FAF" w:rsidRDefault="001E6BCC" w:rsidP="00DD3FAF">
            <w:pPr>
              <w:rPr>
                <w:rFonts w:asciiTheme="minorHAnsi" w:hAnsiTheme="minorHAnsi" w:cstheme="minorHAnsi"/>
                <w:sz w:val="20"/>
                <w:szCs w:val="20"/>
              </w:rPr>
            </w:pPr>
            <w:r w:rsidRPr="00DD3FAF">
              <w:rPr>
                <w:rFonts w:asciiTheme="minorHAnsi" w:hAnsiTheme="minorHAnsi" w:cstheme="minorHAnsi"/>
                <w:sz w:val="20"/>
                <w:szCs w:val="20"/>
              </w:rPr>
              <w:t xml:space="preserve">Difusión del Programa y las actividades de ciencia, tecnología e </w:t>
            </w:r>
          </w:p>
          <w:p w:rsidR="001E6BCC" w:rsidRPr="00DD3FAF" w:rsidRDefault="001E6BCC" w:rsidP="00DD3FAF">
            <w:pPr>
              <w:rPr>
                <w:rFonts w:asciiTheme="minorHAnsi" w:hAnsiTheme="minorHAnsi" w:cstheme="minorHAnsi"/>
                <w:sz w:val="20"/>
                <w:szCs w:val="20"/>
              </w:rPr>
            </w:pPr>
            <w:r w:rsidRPr="00DD3FAF">
              <w:rPr>
                <w:rFonts w:asciiTheme="minorHAnsi" w:hAnsiTheme="minorHAnsi" w:cstheme="minorHAnsi"/>
                <w:sz w:val="20"/>
                <w:szCs w:val="20"/>
              </w:rPr>
              <w:t>innovación</w:t>
            </w:r>
          </w:p>
        </w:tc>
        <w:tc>
          <w:tcPr>
            <w:tcW w:w="2410" w:type="dxa"/>
          </w:tcPr>
          <w:p w:rsidR="001E6BCC" w:rsidRPr="00DD3FAF" w:rsidRDefault="001E6BCC" w:rsidP="00DD3FAF">
            <w:pPr>
              <w:jc w:val="center"/>
              <w:rPr>
                <w:rFonts w:asciiTheme="minorHAnsi" w:hAnsiTheme="minorHAnsi" w:cstheme="minorHAnsi"/>
                <w:sz w:val="20"/>
                <w:szCs w:val="20"/>
              </w:rPr>
            </w:pPr>
            <w:r w:rsidRPr="00DD3FAF">
              <w:rPr>
                <w:rFonts w:asciiTheme="minorHAnsi" w:hAnsiTheme="minorHAnsi" w:cstheme="minorHAnsi"/>
                <w:sz w:val="20"/>
                <w:szCs w:val="20"/>
              </w:rPr>
              <w:t>Plan de Comunicación</w:t>
            </w:r>
          </w:p>
        </w:tc>
        <w:tc>
          <w:tcPr>
            <w:tcW w:w="1843" w:type="dxa"/>
          </w:tcPr>
          <w:p w:rsidR="001E6BCC" w:rsidRPr="00DD3FAF" w:rsidRDefault="001E6BCC" w:rsidP="00DD3FAF">
            <w:pPr>
              <w:jc w:val="center"/>
              <w:rPr>
                <w:rFonts w:asciiTheme="minorHAnsi" w:hAnsiTheme="minorHAnsi" w:cstheme="minorHAnsi"/>
                <w:sz w:val="20"/>
                <w:szCs w:val="20"/>
              </w:rPr>
            </w:pPr>
            <w:r w:rsidRPr="00DD3FAF">
              <w:rPr>
                <w:rFonts w:asciiTheme="minorHAnsi" w:hAnsiTheme="minorHAnsi" w:cstheme="minorHAnsi"/>
                <w:sz w:val="20"/>
                <w:szCs w:val="20"/>
              </w:rPr>
              <w:t>1</w:t>
            </w:r>
          </w:p>
        </w:tc>
      </w:tr>
    </w:tbl>
    <w:p w:rsidR="00DD3FAF" w:rsidRPr="0076647A" w:rsidRDefault="00DD3FAF" w:rsidP="00DD3FAF">
      <w:pPr>
        <w:spacing w:line="276" w:lineRule="auto"/>
        <w:rPr>
          <w:rFonts w:ascii="Calibri" w:hAnsi="Calibri" w:cs="Calibri"/>
          <w:sz w:val="18"/>
          <w:szCs w:val="18"/>
          <w:lang w:val="es-AR" w:eastAsia="es-AR"/>
        </w:rPr>
      </w:pPr>
      <w:r w:rsidRPr="001F193A">
        <w:rPr>
          <w:rFonts w:asciiTheme="minorHAnsi" w:hAnsiTheme="minorHAnsi" w:cstheme="minorHAnsi"/>
          <w:sz w:val="18"/>
          <w:szCs w:val="18"/>
        </w:rPr>
        <w:t xml:space="preserve">Fuente: </w:t>
      </w:r>
      <w:r w:rsidRPr="001F193A">
        <w:rPr>
          <w:rFonts w:ascii="Calibri" w:hAnsi="Calibri" w:cs="Calibri"/>
          <w:sz w:val="18"/>
          <w:szCs w:val="18"/>
          <w:lang w:val="es-AR" w:eastAsia="es-AR"/>
        </w:rPr>
        <w:t>Innovos</w:t>
      </w:r>
      <w:r w:rsidR="00B80BCF">
        <w:rPr>
          <w:rFonts w:ascii="Calibri" w:hAnsi="Calibri" w:cs="Calibri"/>
          <w:sz w:val="18"/>
          <w:szCs w:val="18"/>
          <w:lang w:val="es-AR" w:eastAsia="es-AR"/>
        </w:rPr>
        <w:t xml:space="preserve"> </w:t>
      </w:r>
      <w:r w:rsidRPr="001F193A">
        <w:rPr>
          <w:rFonts w:ascii="Calibri" w:hAnsi="Calibri" w:cs="Calibri"/>
          <w:sz w:val="18"/>
          <w:szCs w:val="18"/>
          <w:lang w:val="es-AR" w:eastAsia="es-AR"/>
        </w:rPr>
        <w:t>Group</w:t>
      </w:r>
      <w:r>
        <w:rPr>
          <w:rFonts w:ascii="Calibri" w:hAnsi="Calibri" w:cs="Calibri"/>
          <w:sz w:val="18"/>
          <w:szCs w:val="18"/>
          <w:lang w:val="es-AR" w:eastAsia="es-AR"/>
        </w:rPr>
        <w:t xml:space="preserve"> en base a d</w:t>
      </w:r>
      <w:r w:rsidR="006C6743">
        <w:rPr>
          <w:rFonts w:ascii="Calibri" w:hAnsi="Calibri" w:cs="Calibri"/>
          <w:sz w:val="18"/>
          <w:szCs w:val="18"/>
          <w:lang w:val="es-AR" w:eastAsia="es-AR"/>
        </w:rPr>
        <w:t>atos proporcionados por CONACYT</w:t>
      </w:r>
    </w:p>
    <w:p w:rsidR="00DD1026" w:rsidRDefault="00DD1026" w:rsidP="001E6BCC">
      <w:pPr>
        <w:spacing w:after="200" w:line="276" w:lineRule="auto"/>
        <w:rPr>
          <w:rFonts w:asciiTheme="minorHAnsi" w:hAnsiTheme="minorHAnsi" w:cstheme="minorHAnsi"/>
        </w:rPr>
      </w:pPr>
    </w:p>
    <w:p w:rsidR="001E6BCC" w:rsidRPr="001E6BCC" w:rsidRDefault="001E6BCC" w:rsidP="001E6BCC">
      <w:pPr>
        <w:spacing w:after="200" w:line="276" w:lineRule="auto"/>
        <w:rPr>
          <w:rFonts w:asciiTheme="minorHAnsi" w:hAnsiTheme="minorHAnsi" w:cstheme="minorHAnsi"/>
        </w:rPr>
      </w:pPr>
      <w:r w:rsidRPr="001E6BCC">
        <w:rPr>
          <w:rFonts w:asciiTheme="minorHAnsi" w:hAnsiTheme="minorHAnsi" w:cstheme="minorHAnsi"/>
        </w:rPr>
        <w:t>Las actividades del Componente III se organizaron en tres subcomponentes:</w:t>
      </w:r>
    </w:p>
    <w:p w:rsidR="001E6BCC" w:rsidRPr="00DD1026" w:rsidRDefault="001E6BCC" w:rsidP="00DD1026">
      <w:pPr>
        <w:pStyle w:val="ListParagraph"/>
        <w:numPr>
          <w:ilvl w:val="0"/>
          <w:numId w:val="34"/>
        </w:numPr>
        <w:spacing w:after="200" w:line="276" w:lineRule="auto"/>
        <w:jc w:val="both"/>
        <w:rPr>
          <w:rFonts w:asciiTheme="minorHAnsi" w:hAnsiTheme="minorHAnsi" w:cstheme="minorHAnsi"/>
        </w:rPr>
      </w:pPr>
      <w:r w:rsidRPr="00DD1026">
        <w:rPr>
          <w:rFonts w:asciiTheme="minorHAnsi" w:hAnsiTheme="minorHAnsi" w:cstheme="minorHAnsi"/>
        </w:rPr>
        <w:t>Subcomponente 3.1: Fortalecimiento de capacidades de gestión de la innovación y vinculación acto</w:t>
      </w:r>
      <w:r w:rsidR="00DD3FAF" w:rsidRPr="00DD1026">
        <w:rPr>
          <w:rFonts w:asciiTheme="minorHAnsi" w:hAnsiTheme="minorHAnsi" w:cstheme="minorHAnsi"/>
        </w:rPr>
        <w:t>res del SNIP</w:t>
      </w:r>
    </w:p>
    <w:p w:rsidR="001E6BCC" w:rsidRPr="001E6BCC" w:rsidRDefault="001E6BCC" w:rsidP="001E6BCC">
      <w:pPr>
        <w:spacing w:after="200" w:line="276" w:lineRule="auto"/>
        <w:jc w:val="both"/>
        <w:rPr>
          <w:rFonts w:asciiTheme="minorHAnsi" w:hAnsiTheme="minorHAnsi" w:cstheme="minorHAnsi"/>
        </w:rPr>
      </w:pPr>
      <w:r w:rsidRPr="001E6BCC">
        <w:rPr>
          <w:rFonts w:asciiTheme="minorHAnsi" w:hAnsiTheme="minorHAnsi" w:cstheme="minorHAnsi"/>
        </w:rPr>
        <w:t>Este subcomponente financió: (i) formación en gestión de la innovación para actores clave en universidades, entes públicos relacionados, cámaras empresariales y ONGs; incluyendo la formación en temas ambientales; (ii) cursos y talleres sobre formulación y gestión de proyectos para usuarios del Programa y consultores con capacidades para apoyar la formulación de proyectos de in</w:t>
      </w:r>
      <w:r w:rsidR="00B46995">
        <w:rPr>
          <w:rFonts w:asciiTheme="minorHAnsi" w:hAnsiTheme="minorHAnsi" w:cstheme="minorHAnsi"/>
        </w:rPr>
        <w:t>novación de empresas y de I+</w:t>
      </w:r>
      <w:r w:rsidRPr="001E6BCC">
        <w:rPr>
          <w:rFonts w:asciiTheme="minorHAnsi" w:hAnsiTheme="minorHAnsi" w:cstheme="minorHAnsi"/>
        </w:rPr>
        <w:t>D; (iii) seminarios, foros, reuniones para difundir casos de éxitos de proyectos y experiencias de innovación (nacionales e internacionales); (iv) divulgación y difusión a los usuarios potenciales de las capacidades tecnológicas de las instituciones de CyT, incluyendo los temas de tecnologías limpias y sustentabilidad ambiental; y (v) fortalecimiento (charlas, cursos, eventos, congresos) de las unidades de vinculación tecnológica de las universidades y de estructuras de interface</w:t>
      </w:r>
      <w:r w:rsidR="00B46995">
        <w:rPr>
          <w:rFonts w:asciiTheme="minorHAnsi" w:hAnsiTheme="minorHAnsi" w:cstheme="minorHAnsi"/>
        </w:rPr>
        <w:t xml:space="preserve"> entre capacidades de I+</w:t>
      </w:r>
      <w:r w:rsidRPr="001E6BCC">
        <w:rPr>
          <w:rFonts w:asciiTheme="minorHAnsi" w:hAnsiTheme="minorHAnsi" w:cstheme="minorHAnsi"/>
        </w:rPr>
        <w:t>D y empresas.</w:t>
      </w:r>
    </w:p>
    <w:p w:rsidR="001E6BCC" w:rsidRPr="00DD1026" w:rsidRDefault="001E6BCC" w:rsidP="00DD1026">
      <w:pPr>
        <w:pStyle w:val="ListParagraph"/>
        <w:numPr>
          <w:ilvl w:val="0"/>
          <w:numId w:val="34"/>
        </w:numPr>
        <w:spacing w:after="200" w:line="276" w:lineRule="auto"/>
        <w:jc w:val="both"/>
        <w:rPr>
          <w:rFonts w:asciiTheme="minorHAnsi" w:hAnsiTheme="minorHAnsi" w:cstheme="minorHAnsi"/>
        </w:rPr>
      </w:pPr>
      <w:r w:rsidRPr="00DD1026">
        <w:rPr>
          <w:rFonts w:asciiTheme="minorHAnsi" w:hAnsiTheme="minorHAnsi" w:cstheme="minorHAnsi"/>
        </w:rPr>
        <w:t xml:space="preserve">Subcomponente 3.2: Conectividad e infraestructura de tecnologías de información y comunicación para universidades y </w:t>
      </w:r>
      <w:r w:rsidR="00DD3FAF" w:rsidRPr="00DD1026">
        <w:rPr>
          <w:rFonts w:asciiTheme="minorHAnsi" w:hAnsiTheme="minorHAnsi" w:cstheme="minorHAnsi"/>
        </w:rPr>
        <w:t>acceso a información científica</w:t>
      </w:r>
    </w:p>
    <w:p w:rsidR="001E6BCC" w:rsidRPr="001E6BCC" w:rsidRDefault="00DD3FAF" w:rsidP="001E6BCC">
      <w:pPr>
        <w:spacing w:after="200" w:line="276" w:lineRule="auto"/>
        <w:jc w:val="both"/>
        <w:rPr>
          <w:rFonts w:asciiTheme="minorHAnsi" w:hAnsiTheme="minorHAnsi" w:cstheme="minorHAnsi"/>
        </w:rPr>
      </w:pPr>
      <w:r>
        <w:rPr>
          <w:rFonts w:asciiTheme="minorHAnsi" w:hAnsiTheme="minorHAnsi" w:cstheme="minorHAnsi"/>
        </w:rPr>
        <w:t>El objetivo de este subcomponente fue</w:t>
      </w:r>
      <w:r w:rsidR="001E6BCC" w:rsidRPr="001E6BCC">
        <w:rPr>
          <w:rFonts w:asciiTheme="minorHAnsi" w:hAnsiTheme="minorHAnsi" w:cstheme="minorHAnsi"/>
        </w:rPr>
        <w:t xml:space="preserve"> facilitar el acceso de las universidades paraguayas a Internet II, para que los investigadores del país puedan interactuar con sus pares nacionales e internacionales mediante tecnologías de información y comunicación. Una actividad importante fue la cr</w:t>
      </w:r>
      <w:r w:rsidR="00425B2F">
        <w:rPr>
          <w:rFonts w:asciiTheme="minorHAnsi" w:hAnsiTheme="minorHAnsi" w:cstheme="minorHAnsi"/>
        </w:rPr>
        <w:t>eación de la red nacional ARANDÚ</w:t>
      </w:r>
      <w:r w:rsidR="001E6BCC" w:rsidRPr="001E6BCC">
        <w:rPr>
          <w:rFonts w:asciiTheme="minorHAnsi" w:hAnsiTheme="minorHAnsi" w:cstheme="minorHAnsi"/>
        </w:rPr>
        <w:t xml:space="preserve"> (“sabiduría” en guaraní), con el fin de integrarla a la red regional CLARA (Consorcio Latinoamericano de Redes Avanzadas). </w:t>
      </w:r>
    </w:p>
    <w:p w:rsidR="001E6BCC" w:rsidRPr="001E6BCC" w:rsidRDefault="001E6BCC" w:rsidP="001E6BCC">
      <w:pPr>
        <w:spacing w:after="200" w:line="276" w:lineRule="auto"/>
        <w:jc w:val="both"/>
        <w:rPr>
          <w:rFonts w:asciiTheme="minorHAnsi" w:hAnsiTheme="minorHAnsi" w:cstheme="minorHAnsi"/>
        </w:rPr>
      </w:pPr>
      <w:r w:rsidRPr="001E6BCC">
        <w:rPr>
          <w:rFonts w:asciiTheme="minorHAnsi" w:hAnsiTheme="minorHAnsi" w:cstheme="minorHAnsi"/>
        </w:rPr>
        <w:t xml:space="preserve">Con ese fin, el Programa debía cofinanciar: (i) compra de equipamientos informáticos; (ii) interconexión física de las Universidades (instrumentación, montaje y operación de la infraestructura de comunicación de las universidades asociadas al proyecto); y (iii) costos del enlace internacional. </w:t>
      </w:r>
    </w:p>
    <w:p w:rsidR="001E6BCC" w:rsidRPr="00DD1026" w:rsidRDefault="001E6BCC" w:rsidP="00DD1026">
      <w:pPr>
        <w:pStyle w:val="ListParagraph"/>
        <w:numPr>
          <w:ilvl w:val="0"/>
          <w:numId w:val="34"/>
        </w:numPr>
        <w:spacing w:after="200" w:line="276" w:lineRule="auto"/>
        <w:jc w:val="both"/>
        <w:rPr>
          <w:rFonts w:asciiTheme="minorHAnsi" w:hAnsiTheme="minorHAnsi" w:cstheme="minorHAnsi"/>
        </w:rPr>
      </w:pPr>
      <w:r w:rsidRPr="00DD1026">
        <w:rPr>
          <w:rFonts w:asciiTheme="minorHAnsi" w:hAnsiTheme="minorHAnsi" w:cstheme="minorHAnsi"/>
        </w:rPr>
        <w:lastRenderedPageBreak/>
        <w:t>Subcomponente 3.3: Difusión del programa y las actividades de c</w:t>
      </w:r>
      <w:r w:rsidR="00DD3FAF" w:rsidRPr="00DD1026">
        <w:rPr>
          <w:rFonts w:asciiTheme="minorHAnsi" w:hAnsiTheme="minorHAnsi" w:cstheme="minorHAnsi"/>
        </w:rPr>
        <w:t>iencia, tecnología e innovación</w:t>
      </w:r>
    </w:p>
    <w:p w:rsidR="001E6BCC" w:rsidRPr="001E6BCC" w:rsidRDefault="001E6BCC" w:rsidP="001E6BCC">
      <w:pPr>
        <w:spacing w:after="200" w:line="276" w:lineRule="auto"/>
        <w:jc w:val="both"/>
        <w:rPr>
          <w:rFonts w:asciiTheme="minorHAnsi" w:hAnsiTheme="minorHAnsi" w:cstheme="minorHAnsi"/>
        </w:rPr>
      </w:pPr>
      <w:r w:rsidRPr="001E6BCC">
        <w:rPr>
          <w:rFonts w:asciiTheme="minorHAnsi" w:hAnsiTheme="minorHAnsi" w:cstheme="minorHAnsi"/>
        </w:rPr>
        <w:t xml:space="preserve">Este sub-componente se orientó a difundir los servicios del Programa y sensibilizar a la población y a los actores del SNIP sobre las acciones que se realizaron en el sector y la importancia de la ciencia, la tecnología y la innovación. </w:t>
      </w:r>
    </w:p>
    <w:p w:rsidR="001E6BCC" w:rsidRPr="001E6BCC" w:rsidRDefault="001E6BCC" w:rsidP="001E6BCC">
      <w:pPr>
        <w:spacing w:after="200" w:line="276" w:lineRule="auto"/>
        <w:jc w:val="both"/>
        <w:rPr>
          <w:rFonts w:asciiTheme="minorHAnsi" w:hAnsiTheme="minorHAnsi" w:cstheme="minorHAnsi"/>
          <w:b/>
          <w:smallCaps/>
        </w:rPr>
      </w:pPr>
      <w:r w:rsidRPr="001E6BCC">
        <w:rPr>
          <w:rFonts w:asciiTheme="minorHAnsi" w:hAnsiTheme="minorHAnsi" w:cstheme="minorHAnsi"/>
        </w:rPr>
        <w:t>Las actividades debían enfocarse en la promoción, talleres, cursos, premios y publicaciones para difundir el Programa y la ciencia, tecnología e innovación. Podían participar del subcomponente: (i) potenciales usuarios del Programa; (ii) población de Paraguay en general; y (iii) socios estratégicos como el Parlamento, gobernaciones, municipalidades, periodistas, asociaciones gremiales</w:t>
      </w:r>
      <w:r w:rsidR="002B0B4A">
        <w:rPr>
          <w:rFonts w:asciiTheme="minorHAnsi" w:hAnsiTheme="minorHAnsi" w:cstheme="minorHAnsi"/>
        </w:rPr>
        <w:t>.</w:t>
      </w:r>
      <w:r w:rsidRPr="001E6BCC">
        <w:rPr>
          <w:rFonts w:asciiTheme="minorHAnsi" w:hAnsiTheme="minorHAnsi" w:cstheme="minorHAnsi"/>
        </w:rPr>
        <w:t xml:space="preserve"> </w:t>
      </w:r>
    </w:p>
    <w:p w:rsidR="00425B2F" w:rsidRPr="001E6BCC" w:rsidRDefault="00425B2F" w:rsidP="001E6BCC">
      <w:pPr>
        <w:spacing w:after="200" w:line="276" w:lineRule="auto"/>
        <w:rPr>
          <w:rFonts w:asciiTheme="minorHAnsi" w:eastAsia="Times New Roman" w:hAnsiTheme="minorHAnsi" w:cstheme="minorHAnsi"/>
          <w:b/>
          <w:color w:val="244061"/>
          <w:lang w:val="es-AR" w:eastAsia="es-AR"/>
        </w:rPr>
      </w:pPr>
    </w:p>
    <w:p w:rsidR="002C4702" w:rsidRDefault="00E66944" w:rsidP="00F1655F">
      <w:pPr>
        <w:pStyle w:val="Heading1"/>
      </w:pPr>
      <w:bookmarkStart w:id="73" w:name="_Toc375211963"/>
      <w:r w:rsidRPr="007D01EB">
        <w:t xml:space="preserve">Marco conceptual </w:t>
      </w:r>
      <w:r w:rsidR="002C4702">
        <w:t>y metodológico</w:t>
      </w:r>
      <w:bookmarkEnd w:id="73"/>
    </w:p>
    <w:p w:rsidR="002C4702" w:rsidRPr="002C4702" w:rsidRDefault="002C4702" w:rsidP="002D7EE9">
      <w:pPr>
        <w:pStyle w:val="ListParagraph"/>
        <w:keepNext/>
        <w:numPr>
          <w:ilvl w:val="0"/>
          <w:numId w:val="4"/>
        </w:numPr>
        <w:spacing w:before="240" w:after="240" w:line="276" w:lineRule="auto"/>
        <w:contextualSpacing w:val="0"/>
        <w:jc w:val="both"/>
        <w:outlineLvl w:val="1"/>
        <w:rPr>
          <w:rFonts w:ascii="Arial" w:hAnsi="Arial" w:cs="Arial"/>
          <w:b/>
          <w:bCs/>
          <w:i/>
          <w:iCs/>
          <w:vanish/>
          <w:color w:val="31849B"/>
          <w:sz w:val="22"/>
          <w:szCs w:val="22"/>
          <w:lang w:val="es-ES_tradnl"/>
        </w:rPr>
      </w:pPr>
      <w:bookmarkStart w:id="74" w:name="_Toc370915106"/>
      <w:bookmarkStart w:id="75" w:name="_Toc372633751"/>
      <w:bookmarkStart w:id="76" w:name="_Toc372635366"/>
      <w:bookmarkStart w:id="77" w:name="_Toc372925334"/>
      <w:bookmarkStart w:id="78" w:name="_Toc372928072"/>
      <w:bookmarkStart w:id="79" w:name="_Toc372928379"/>
      <w:bookmarkStart w:id="80" w:name="_Toc372972624"/>
      <w:bookmarkStart w:id="81" w:name="_Toc373246218"/>
      <w:bookmarkStart w:id="82" w:name="_Toc373422223"/>
      <w:bookmarkStart w:id="83" w:name="_Toc373431259"/>
      <w:bookmarkStart w:id="84" w:name="_Toc373434395"/>
      <w:bookmarkStart w:id="85" w:name="_Toc373503970"/>
      <w:bookmarkStart w:id="86" w:name="_Toc373504417"/>
      <w:bookmarkStart w:id="87" w:name="_Toc375091184"/>
      <w:bookmarkStart w:id="88" w:name="_Toc375092764"/>
      <w:bookmarkStart w:id="89" w:name="_Toc375148581"/>
      <w:bookmarkStart w:id="90" w:name="_Toc375150253"/>
      <w:bookmarkStart w:id="91" w:name="_Toc375211964"/>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C4702" w:rsidRDefault="00E66944" w:rsidP="00097D6A">
      <w:pPr>
        <w:pStyle w:val="Heading2"/>
      </w:pPr>
      <w:r w:rsidRPr="00B524B8">
        <w:t xml:space="preserve"> </w:t>
      </w:r>
      <w:bookmarkStart w:id="92" w:name="_Toc375211965"/>
      <w:r w:rsidR="002C4702">
        <w:t>Marco conceptual</w:t>
      </w:r>
      <w:bookmarkEnd w:id="92"/>
    </w:p>
    <w:p w:rsidR="00B47377" w:rsidRPr="006020B4" w:rsidRDefault="00425B2F" w:rsidP="006020B4">
      <w:pPr>
        <w:spacing w:after="200" w:line="276" w:lineRule="auto"/>
        <w:jc w:val="both"/>
        <w:rPr>
          <w:rFonts w:asciiTheme="minorHAnsi" w:hAnsiTheme="minorHAnsi" w:cstheme="minorHAnsi"/>
          <w:i/>
          <w:color w:val="000000"/>
          <w:lang w:val="es-AR" w:eastAsia="es-AR"/>
        </w:rPr>
      </w:pPr>
      <w:r>
        <w:rPr>
          <w:rFonts w:asciiTheme="minorHAnsi" w:hAnsiTheme="minorHAnsi" w:cstheme="minorHAnsi"/>
          <w:color w:val="000000"/>
          <w:lang w:val="es-AR" w:eastAsia="es-AR"/>
        </w:rPr>
        <w:t>Habiendo presentado y descripto el contexto económico e institucional en el que se diseñó y comenzó a desarrollar el PROCIT, así como también los objetivos, resultados esperados y componentes del Programa, e</w:t>
      </w:r>
      <w:r w:rsidR="00B47377" w:rsidRPr="006020B4">
        <w:rPr>
          <w:rFonts w:asciiTheme="minorHAnsi" w:hAnsiTheme="minorHAnsi" w:cstheme="minorHAnsi"/>
          <w:color w:val="000000"/>
          <w:lang w:val="es-AR" w:eastAsia="es-AR"/>
        </w:rPr>
        <w:t>ste apartado tendrá como objetivo la presentación de un modelo conceptual de ciencia y tecnología que permita analizar el funcionamiento del Sistema Nacional de Ciencia, Tecnología e Innovación en Paraguay, a partir de un marco teórico que sustenta la</w:t>
      </w:r>
      <w:r>
        <w:rPr>
          <w:rFonts w:asciiTheme="minorHAnsi" w:hAnsiTheme="minorHAnsi" w:cstheme="minorHAnsi"/>
          <w:color w:val="000000"/>
          <w:lang w:val="es-AR" w:eastAsia="es-AR"/>
        </w:rPr>
        <w:t xml:space="preserve">s políticas de innovación </w:t>
      </w:r>
      <w:r w:rsidR="00B47377" w:rsidRPr="006020B4">
        <w:rPr>
          <w:rFonts w:asciiTheme="minorHAnsi" w:hAnsiTheme="minorHAnsi" w:cstheme="minorHAnsi"/>
          <w:color w:val="000000"/>
          <w:lang w:val="es-AR" w:eastAsia="es-AR"/>
        </w:rPr>
        <w:t>en el país</w:t>
      </w:r>
      <w:r>
        <w:rPr>
          <w:rFonts w:asciiTheme="minorHAnsi" w:hAnsiTheme="minorHAnsi" w:cstheme="minorHAnsi"/>
          <w:color w:val="000000"/>
          <w:lang w:val="es-AR" w:eastAsia="es-AR"/>
        </w:rPr>
        <w:t xml:space="preserve"> y </w:t>
      </w:r>
      <w:r w:rsidR="00B47377" w:rsidRPr="006020B4">
        <w:rPr>
          <w:rFonts w:asciiTheme="minorHAnsi" w:hAnsiTheme="minorHAnsi" w:cstheme="minorHAnsi"/>
          <w:color w:val="000000"/>
          <w:lang w:val="es-AR" w:eastAsia="es-AR"/>
        </w:rPr>
        <w:t xml:space="preserve">en la región latinoamericana, tanto desde la perspectiva de su formulación como desde la perspectiva de su evaluación. </w:t>
      </w:r>
    </w:p>
    <w:p w:rsidR="00B47377" w:rsidRPr="006020B4" w:rsidRDefault="00B47377" w:rsidP="006020B4">
      <w:pPr>
        <w:spacing w:after="200" w:line="276" w:lineRule="auto"/>
        <w:jc w:val="both"/>
        <w:rPr>
          <w:rFonts w:asciiTheme="minorHAnsi" w:hAnsiTheme="minorHAnsi" w:cstheme="minorHAnsi"/>
          <w:color w:val="000000"/>
          <w:lang w:val="es-AR" w:eastAsia="es-AR"/>
        </w:rPr>
      </w:pPr>
      <w:r w:rsidRPr="006020B4">
        <w:rPr>
          <w:rFonts w:asciiTheme="minorHAnsi" w:hAnsiTheme="minorHAnsi" w:cstheme="minorHAnsi"/>
          <w:color w:val="000000"/>
          <w:lang w:val="es-AR" w:eastAsia="es-AR"/>
        </w:rPr>
        <w:t xml:space="preserve">Desde mediados de la década de los 90 las políticas de ciencia, tecnología e innovación recuperaron importancia en la agenda de los gobiernos latinoamericanos. Sin embargo, este proceso </w:t>
      </w:r>
      <w:r w:rsidR="003E6B6D">
        <w:rPr>
          <w:rFonts w:asciiTheme="minorHAnsi" w:hAnsiTheme="minorHAnsi" w:cstheme="minorHAnsi"/>
          <w:color w:val="000000"/>
          <w:lang w:val="es-AR" w:eastAsia="es-AR"/>
        </w:rPr>
        <w:t xml:space="preserve">había comenzado a </w:t>
      </w:r>
      <w:r w:rsidRPr="006020B4">
        <w:rPr>
          <w:rFonts w:asciiTheme="minorHAnsi" w:hAnsiTheme="minorHAnsi" w:cstheme="minorHAnsi"/>
          <w:color w:val="000000"/>
          <w:lang w:val="es-AR" w:eastAsia="es-AR"/>
        </w:rPr>
        <w:t xml:space="preserve">desarrollarse en los años 50, fuertemente propulsado por los organismos internacionales de crédito, y con la mirada puesta en la creación de capacidades científicas endógenas como estrategia de soporte a la industrialización. Ese modelo procuraba responder a las fallas de mercado o externalidades. De este “…modelo lineal de oferta (…) los países de la región han avanzado hacia modelos más sofisticados centrados en las asociaciones público-privadas para la innovación, pasando en los años 80 y 90 por una fase de modelos lineales de demanda en los cuales las políticas públicas jugaban un papel marginal y simplemente ofrecían incentivos para la dinamización del sector privado”. (OCDE; 2011) En este sentido, el caso Paraguayo estuvo ligado a la estructura de producción agraria, es decir, la estructura productiva vigente en aquel entonces. </w:t>
      </w:r>
    </w:p>
    <w:p w:rsidR="00B47377" w:rsidRPr="006020B4" w:rsidRDefault="00B47377" w:rsidP="006020B4">
      <w:pPr>
        <w:spacing w:after="200" w:line="276" w:lineRule="auto"/>
        <w:jc w:val="both"/>
        <w:rPr>
          <w:rFonts w:asciiTheme="minorHAnsi" w:hAnsiTheme="minorHAnsi" w:cstheme="minorHAnsi"/>
          <w:color w:val="000000"/>
          <w:lang w:val="es-AR" w:eastAsia="es-AR"/>
        </w:rPr>
      </w:pPr>
      <w:r w:rsidRPr="006020B4">
        <w:rPr>
          <w:rFonts w:asciiTheme="minorHAnsi" w:hAnsiTheme="minorHAnsi" w:cstheme="minorHAnsi"/>
          <w:color w:val="000000"/>
          <w:lang w:val="es-AR" w:eastAsia="es-AR"/>
        </w:rPr>
        <w:lastRenderedPageBreak/>
        <w:t xml:space="preserve">Como mencionábamos, en la última década la innovación ocupa un papel central en las agendas públicas de desarrollo en casi todos los países de la región, no quizás desde el punto de vista de asignación de recursos, pero sí a nivel conceptual si lo mirásemos desde la óptica de políticas públicas. La </w:t>
      </w:r>
      <w:r w:rsidR="00DC0750">
        <w:rPr>
          <w:rFonts w:asciiTheme="minorHAnsi" w:hAnsiTheme="minorHAnsi" w:cstheme="minorHAnsi"/>
          <w:color w:val="000000"/>
          <w:lang w:val="es-AR" w:eastAsia="es-AR"/>
        </w:rPr>
        <w:t>incorporación del concepto de “S</w:t>
      </w:r>
      <w:r w:rsidRPr="006020B4">
        <w:rPr>
          <w:rFonts w:asciiTheme="minorHAnsi" w:hAnsiTheme="minorHAnsi" w:cstheme="minorHAnsi"/>
          <w:color w:val="000000"/>
          <w:lang w:val="es-AR" w:eastAsia="es-AR"/>
        </w:rPr>
        <w:t xml:space="preserve">istema Nacional de Innovación” ha servido como un marco referencial para el desarrollo e implementación de políticas públicas de ciencia y tecnología. A partir del mismo, se ha generado un esquema de interacción o trabajo en redes de actores de diferente naturaleza. La lógica del modelo no es lineal ni determinista, sino que necesita de la interacción de actores (de diferentes sectores y con diversos niveles de agregación) como ser universidades, empresas, centros tecnológicos, incubadoras de empresas, centros de investigación, investigadores, doctores, becarios, entre otros.  </w:t>
      </w:r>
    </w:p>
    <w:p w:rsidR="00B47377" w:rsidRPr="006020B4" w:rsidRDefault="00B47377" w:rsidP="006020B4">
      <w:pPr>
        <w:spacing w:after="200" w:line="276" w:lineRule="auto"/>
        <w:jc w:val="both"/>
        <w:rPr>
          <w:rFonts w:asciiTheme="minorHAnsi" w:hAnsiTheme="minorHAnsi" w:cstheme="minorHAnsi"/>
          <w:color w:val="000000"/>
          <w:lang w:val="es-AR" w:eastAsia="es-AR"/>
        </w:rPr>
      </w:pPr>
      <w:r w:rsidRPr="006020B4">
        <w:rPr>
          <w:rFonts w:asciiTheme="minorHAnsi" w:hAnsiTheme="minorHAnsi" w:cstheme="minorHAnsi"/>
          <w:color w:val="000000"/>
          <w:lang w:val="es-AR" w:eastAsia="es-AR"/>
        </w:rPr>
        <w:t>“La dinámica de la innovación no depende por ende sólo del esfuerzo de una determinada empresa, o centro de investigación sino también de la interacción entre ellos y de la capacidad sistémica de generar condiciones e incentivos para la innovación. En este contexto las políticas públicas juegan un papel determinante para apoyar el desarrollo científico, tecnológico y la innovación, especialmente en contextos donde la especialización productiva está orientada hacia sectores intensivos en recursos naturales, o mano de obra, que operan con bajo contenido tecnológico y que de por sí demandan poco conocimiento</w:t>
      </w:r>
      <w:r w:rsidR="00DC0750">
        <w:rPr>
          <w:rFonts w:asciiTheme="minorHAnsi" w:hAnsiTheme="minorHAnsi" w:cstheme="minorHAnsi"/>
          <w:color w:val="000000"/>
          <w:lang w:val="es-AR" w:eastAsia="es-AR"/>
        </w:rPr>
        <w:t>.</w:t>
      </w:r>
      <w:r w:rsidRPr="006020B4">
        <w:rPr>
          <w:rFonts w:asciiTheme="minorHAnsi" w:hAnsiTheme="minorHAnsi" w:cstheme="minorHAnsi"/>
          <w:color w:val="000000"/>
          <w:lang w:val="es-AR" w:eastAsia="es-AR"/>
        </w:rPr>
        <w:t>” (CEPAL, 2004;</w:t>
      </w:r>
      <w:r w:rsidR="00DC0750">
        <w:rPr>
          <w:rFonts w:asciiTheme="minorHAnsi" w:hAnsiTheme="minorHAnsi" w:cstheme="minorHAnsi"/>
          <w:color w:val="000000"/>
          <w:lang w:val="es-AR" w:eastAsia="es-AR"/>
        </w:rPr>
        <w:t xml:space="preserve"> Cimoli, Ferraz y Primi, 2009)</w:t>
      </w:r>
    </w:p>
    <w:p w:rsidR="00B47377" w:rsidRPr="006020B4" w:rsidRDefault="00B47377" w:rsidP="006020B4">
      <w:pPr>
        <w:spacing w:after="200" w:line="276" w:lineRule="auto"/>
        <w:jc w:val="both"/>
        <w:rPr>
          <w:rFonts w:asciiTheme="minorHAnsi" w:hAnsiTheme="minorHAnsi" w:cstheme="minorHAnsi"/>
          <w:color w:val="000000"/>
          <w:lang w:val="es-AR" w:eastAsia="es-AR"/>
        </w:rPr>
      </w:pPr>
      <w:r w:rsidRPr="006020B4">
        <w:rPr>
          <w:rFonts w:asciiTheme="minorHAnsi" w:hAnsiTheme="minorHAnsi" w:cstheme="minorHAnsi"/>
          <w:color w:val="000000"/>
          <w:lang w:val="es-AR" w:eastAsia="es-AR"/>
        </w:rPr>
        <w:t>En este sentido, los esfuerzos de los países de América Latina por elaborar políticas de ciencia y tecnología en un mismo sentido, y a partir de la revalorización del rol del Estado en la puesta en marcha de estas políticas, ha generado que se pongan en juego recursos públicos y de la cooperación internacional para financiar estas políticas. Por esta razón, se hace necesario evaluar su efectividad, tanto ex ante (previamente a la adopción de las iniciativas respectivas) como ex post (evaluando el resultado concreto de las políticas).  (López, 2009)</w:t>
      </w:r>
    </w:p>
    <w:p w:rsidR="00B47377" w:rsidRPr="006020B4" w:rsidRDefault="00B47377" w:rsidP="006020B4">
      <w:pPr>
        <w:spacing w:after="200" w:line="276" w:lineRule="auto"/>
        <w:jc w:val="both"/>
        <w:rPr>
          <w:rFonts w:asciiTheme="minorHAnsi" w:hAnsiTheme="minorHAnsi" w:cstheme="minorHAnsi"/>
          <w:color w:val="000000"/>
          <w:lang w:val="es-AR" w:eastAsia="es-AR"/>
        </w:rPr>
      </w:pPr>
      <w:r w:rsidRPr="006020B4">
        <w:rPr>
          <w:rFonts w:asciiTheme="minorHAnsi" w:hAnsiTheme="minorHAnsi" w:cstheme="minorHAnsi"/>
          <w:color w:val="000000"/>
          <w:lang w:val="es-AR" w:eastAsia="es-AR"/>
        </w:rPr>
        <w:t>Para analizar el alcance y resultados de este programa paraguayo, se llamó a licitación la “Evaluación final del PROCIT” cuyo principal objetivo es “analizar el grado de cumplimiento de las metas establecidas para el mismo, de acuerdo con lo</w:t>
      </w:r>
      <w:r w:rsidR="00DC0750">
        <w:rPr>
          <w:rFonts w:asciiTheme="minorHAnsi" w:hAnsiTheme="minorHAnsi" w:cstheme="minorHAnsi"/>
          <w:color w:val="000000"/>
          <w:lang w:val="es-AR" w:eastAsia="es-AR"/>
        </w:rPr>
        <w:t>s indicadores de resultado del P</w:t>
      </w:r>
      <w:r w:rsidRPr="006020B4">
        <w:rPr>
          <w:rFonts w:asciiTheme="minorHAnsi" w:hAnsiTheme="minorHAnsi" w:cstheme="minorHAnsi"/>
          <w:color w:val="000000"/>
          <w:lang w:val="es-AR" w:eastAsia="es-AR"/>
        </w:rPr>
        <w:t>rograma, según la información que figura en el marco lógico y la matriz de resultados. También analizar los desvíos y sus posibles causas, medir el impacto del Programa y analizar la estrategia adoptada para su implementación y posterior divulgación de resultados, de forma de extraer enseñanzas que permitan realizar ajustes al diseño y proceso de implementación del Programa tendientes a incrementar su efectividad e impacto”.</w:t>
      </w:r>
    </w:p>
    <w:p w:rsidR="00B47377" w:rsidRPr="006020B4" w:rsidRDefault="00B47377" w:rsidP="006020B4">
      <w:pPr>
        <w:spacing w:after="200" w:line="276" w:lineRule="auto"/>
        <w:jc w:val="both"/>
        <w:rPr>
          <w:rFonts w:asciiTheme="minorHAnsi" w:hAnsiTheme="minorHAnsi" w:cstheme="minorHAnsi"/>
          <w:color w:val="000000"/>
          <w:highlight w:val="yellow"/>
          <w:lang w:val="es-AR" w:eastAsia="es-AR"/>
        </w:rPr>
      </w:pPr>
      <w:r w:rsidRPr="006020B4">
        <w:rPr>
          <w:rFonts w:asciiTheme="minorHAnsi" w:hAnsiTheme="minorHAnsi" w:cstheme="minorHAnsi"/>
          <w:color w:val="000000"/>
          <w:lang w:val="es-AR" w:eastAsia="es-AR"/>
        </w:rPr>
        <w:lastRenderedPageBreak/>
        <w:t>Es importante destacar que la evaluación de políticas públicas ha comenzado en los últimos tiempos a tomar relevancia como una herramienta para la gestión estratégica de las políticas y de allí la importancia de articular técnicas de evaluación tanto cuantitativas como cualitativas para tener una visión integral del marco de un programa o política. Una evaluación es “una forma de investigación social aplicada, sistemática, planificada y dirigida; encaminada a identificar, obtener y proporcionar de manera válida y fiable, datos e información suficiente y relevante en que apoyar un juicio acerca del mérito y el valor de los diferentes componentes de un programa (tanto en la fase de diagnóstico, programación o ejecución), o de un conjunto de actividades específicas que se realizan, se han realizado o realizarán, con el propósito de producir efectos y resultados concretos; comprobando la extensión y el grado en el que dichos logros se han dado, de forma tal, que sirva de base o guía para una toma de decisiones racional e inteligente entre cursos de acción o para solucionar problemas y promover el conocimiento y la comprensión de los factores asociados al éxito o al fracaso de sus resultados”</w:t>
      </w:r>
      <w:r w:rsidRPr="006020B4">
        <w:rPr>
          <w:rFonts w:asciiTheme="minorHAnsi" w:hAnsiTheme="minorHAnsi" w:cstheme="minorHAnsi"/>
          <w:color w:val="000000"/>
          <w:vertAlign w:val="superscript"/>
          <w:lang w:eastAsia="es-AR"/>
        </w:rPr>
        <w:footnoteReference w:id="6"/>
      </w:r>
      <w:r w:rsidRPr="006020B4">
        <w:rPr>
          <w:rFonts w:asciiTheme="minorHAnsi" w:hAnsiTheme="minorHAnsi" w:cstheme="minorHAnsi"/>
          <w:color w:val="000000"/>
          <w:lang w:val="es-AR" w:eastAsia="es-AR"/>
        </w:rPr>
        <w:t xml:space="preserve">.  En ese sentido la evaluación supone elaborar juicios de </w:t>
      </w:r>
      <w:r w:rsidR="00D37D00">
        <w:rPr>
          <w:rFonts w:asciiTheme="minorHAnsi" w:hAnsiTheme="minorHAnsi" w:cstheme="minorHAnsi"/>
          <w:color w:val="000000"/>
          <w:lang w:val="es-AR" w:eastAsia="es-AR"/>
        </w:rPr>
        <w:t xml:space="preserve">valor </w:t>
      </w:r>
      <w:r w:rsidRPr="006020B4">
        <w:rPr>
          <w:rFonts w:asciiTheme="minorHAnsi" w:hAnsiTheme="minorHAnsi" w:cstheme="minorHAnsi"/>
          <w:color w:val="000000"/>
          <w:lang w:val="es-AR" w:eastAsia="es-AR"/>
        </w:rPr>
        <w:t>basado</w:t>
      </w:r>
      <w:r w:rsidR="003D7CF3">
        <w:rPr>
          <w:rFonts w:asciiTheme="minorHAnsi" w:hAnsiTheme="minorHAnsi" w:cstheme="minorHAnsi"/>
          <w:color w:val="000000"/>
          <w:lang w:val="es-AR" w:eastAsia="es-AR"/>
        </w:rPr>
        <w:t xml:space="preserve">s en la información obtenida a </w:t>
      </w:r>
      <w:r w:rsidRPr="006020B4">
        <w:rPr>
          <w:rFonts w:asciiTheme="minorHAnsi" w:hAnsiTheme="minorHAnsi" w:cstheme="minorHAnsi"/>
          <w:color w:val="000000"/>
          <w:lang w:val="es-AR" w:eastAsia="es-AR"/>
        </w:rPr>
        <w:t>través de diversas técnicas con el objetivo de (i) mejorar la eficacia, eficiencia y efectividad de los programas</w:t>
      </w:r>
      <w:r w:rsidR="00DC0750">
        <w:rPr>
          <w:rFonts w:asciiTheme="minorHAnsi" w:hAnsiTheme="minorHAnsi" w:cstheme="minorHAnsi"/>
          <w:color w:val="000000"/>
          <w:lang w:val="es-AR" w:eastAsia="es-AR"/>
        </w:rPr>
        <w:t>,</w:t>
      </w:r>
      <w:r w:rsidRPr="006020B4">
        <w:rPr>
          <w:rFonts w:asciiTheme="minorHAnsi" w:hAnsiTheme="minorHAnsi" w:cstheme="minorHAnsi"/>
          <w:color w:val="000000"/>
          <w:lang w:val="es-AR" w:eastAsia="es-AR"/>
        </w:rPr>
        <w:t xml:space="preserve"> (ii) producir conocimiento sobre las distintas experiencias</w:t>
      </w:r>
      <w:r w:rsidR="00DC0750">
        <w:rPr>
          <w:rFonts w:asciiTheme="minorHAnsi" w:hAnsiTheme="minorHAnsi" w:cstheme="minorHAnsi"/>
          <w:color w:val="000000"/>
          <w:lang w:val="es-AR" w:eastAsia="es-AR"/>
        </w:rPr>
        <w:t>,</w:t>
      </w:r>
      <w:r w:rsidRPr="006020B4">
        <w:rPr>
          <w:rFonts w:asciiTheme="minorHAnsi" w:hAnsiTheme="minorHAnsi" w:cstheme="minorHAnsi"/>
          <w:color w:val="000000"/>
          <w:lang w:val="es-AR" w:eastAsia="es-AR"/>
        </w:rPr>
        <w:t xml:space="preserve"> (iii) diseminar y difundir las lecciones aprendidas a partir de modelos en marcha</w:t>
      </w:r>
      <w:r w:rsidR="00DC0750">
        <w:rPr>
          <w:rFonts w:asciiTheme="minorHAnsi" w:hAnsiTheme="minorHAnsi" w:cstheme="minorHAnsi"/>
          <w:color w:val="000000"/>
          <w:lang w:val="es-AR" w:eastAsia="es-AR"/>
        </w:rPr>
        <w:t>,</w:t>
      </w:r>
      <w:r w:rsidRPr="006020B4">
        <w:rPr>
          <w:rFonts w:asciiTheme="minorHAnsi" w:hAnsiTheme="minorHAnsi" w:cstheme="minorHAnsi"/>
          <w:color w:val="000000"/>
          <w:lang w:val="es-AR" w:eastAsia="es-AR"/>
        </w:rPr>
        <w:t xml:space="preserve"> y (iv) fortalecer lazos y entendimiento entre los diversos actores involucrados. </w:t>
      </w:r>
    </w:p>
    <w:p w:rsidR="00B47377" w:rsidRPr="006020B4" w:rsidRDefault="00B47377" w:rsidP="006020B4">
      <w:pPr>
        <w:spacing w:after="200" w:line="276" w:lineRule="auto"/>
        <w:jc w:val="both"/>
        <w:rPr>
          <w:rFonts w:asciiTheme="minorHAnsi" w:hAnsiTheme="minorHAnsi" w:cstheme="minorHAnsi"/>
          <w:color w:val="000000"/>
          <w:lang w:val="es-AR" w:eastAsia="es-AR"/>
        </w:rPr>
      </w:pPr>
      <w:r w:rsidRPr="006020B4">
        <w:rPr>
          <w:rFonts w:asciiTheme="minorHAnsi" w:hAnsiTheme="minorHAnsi" w:cstheme="minorHAnsi"/>
          <w:color w:val="000000"/>
          <w:lang w:val="es-AR" w:eastAsia="es-AR"/>
        </w:rPr>
        <w:t xml:space="preserve">Los criterios guía para la presente evaluación son tomados de la “dirección de cooperación al desarrollo” (DAC por sus siglas en inglés) y servirán para dilucidar </w:t>
      </w:r>
      <w:r w:rsidR="00DC0750">
        <w:rPr>
          <w:rFonts w:asciiTheme="minorHAnsi" w:hAnsiTheme="minorHAnsi" w:cstheme="minorHAnsi"/>
          <w:color w:val="000000"/>
          <w:lang w:val="es-AR" w:eastAsia="es-AR"/>
        </w:rPr>
        <w:t>respecto de</w:t>
      </w:r>
      <w:r w:rsidRPr="006020B4">
        <w:rPr>
          <w:rFonts w:asciiTheme="minorHAnsi" w:hAnsiTheme="minorHAnsi" w:cstheme="minorHAnsi"/>
          <w:color w:val="000000"/>
          <w:lang w:val="es-AR" w:eastAsia="es-AR"/>
        </w:rPr>
        <w:t xml:space="preserve"> la relevancia, eficacia, eficiencia,</w:t>
      </w:r>
      <w:r w:rsidR="00DC0750">
        <w:rPr>
          <w:rFonts w:asciiTheme="minorHAnsi" w:hAnsiTheme="minorHAnsi" w:cstheme="minorHAnsi"/>
          <w:color w:val="000000"/>
          <w:lang w:val="es-AR" w:eastAsia="es-AR"/>
        </w:rPr>
        <w:t xml:space="preserve"> impacto y sustentabilidad del P</w:t>
      </w:r>
      <w:r w:rsidRPr="006020B4">
        <w:rPr>
          <w:rFonts w:asciiTheme="minorHAnsi" w:hAnsiTheme="minorHAnsi" w:cstheme="minorHAnsi"/>
          <w:color w:val="000000"/>
          <w:lang w:val="es-AR" w:eastAsia="es-AR"/>
        </w:rPr>
        <w:t xml:space="preserve">rograma. </w:t>
      </w:r>
    </w:p>
    <w:p w:rsidR="00B47377" w:rsidRPr="006020B4" w:rsidRDefault="00B47377" w:rsidP="006020B4">
      <w:pPr>
        <w:spacing w:after="200" w:line="276" w:lineRule="auto"/>
        <w:jc w:val="both"/>
        <w:rPr>
          <w:rFonts w:asciiTheme="minorHAnsi" w:hAnsiTheme="minorHAnsi" w:cstheme="minorHAnsi"/>
          <w:color w:val="000000"/>
          <w:lang w:val="es-AR" w:eastAsia="es-AR"/>
        </w:rPr>
      </w:pPr>
      <w:r w:rsidRPr="006020B4">
        <w:rPr>
          <w:rFonts w:asciiTheme="minorHAnsi" w:hAnsiTheme="minorHAnsi" w:cstheme="minorHAnsi"/>
          <w:color w:val="000000"/>
          <w:lang w:val="es-AR" w:eastAsia="es-AR"/>
        </w:rPr>
        <w:t xml:space="preserve">Valorar la </w:t>
      </w:r>
      <w:r w:rsidRPr="006020B4">
        <w:rPr>
          <w:rFonts w:asciiTheme="minorHAnsi" w:hAnsiTheme="minorHAnsi" w:cstheme="minorHAnsi"/>
          <w:b/>
          <w:i/>
          <w:color w:val="000000"/>
          <w:lang w:val="es-AR" w:eastAsia="es-AR"/>
        </w:rPr>
        <w:t>relevancia</w:t>
      </w:r>
      <w:r w:rsidRPr="006020B4">
        <w:rPr>
          <w:rFonts w:asciiTheme="minorHAnsi" w:hAnsiTheme="minorHAnsi" w:cstheme="minorHAnsi"/>
          <w:color w:val="000000"/>
          <w:lang w:val="es-AR" w:eastAsia="es-AR"/>
        </w:rPr>
        <w:t xml:space="preserve"> de una política implica dilucidar en qué medida las actividades responden a las prioridades y políticas del grupo objetivo, receptores y donantes. </w:t>
      </w:r>
    </w:p>
    <w:p w:rsidR="00B47377" w:rsidRPr="006020B4" w:rsidRDefault="00B47377" w:rsidP="006020B4">
      <w:pPr>
        <w:spacing w:after="200" w:line="276" w:lineRule="auto"/>
        <w:jc w:val="both"/>
        <w:rPr>
          <w:rFonts w:asciiTheme="minorHAnsi" w:hAnsiTheme="minorHAnsi" w:cstheme="minorHAnsi"/>
          <w:color w:val="000000"/>
          <w:lang w:val="es-AR" w:eastAsia="es-AR"/>
        </w:rPr>
      </w:pPr>
      <w:r w:rsidRPr="006020B4">
        <w:rPr>
          <w:rFonts w:asciiTheme="minorHAnsi" w:hAnsiTheme="minorHAnsi" w:cstheme="minorHAnsi"/>
          <w:color w:val="000000"/>
          <w:lang w:val="es-AR" w:eastAsia="es-AR"/>
        </w:rPr>
        <w:t xml:space="preserve">La </w:t>
      </w:r>
      <w:r w:rsidRPr="006020B4">
        <w:rPr>
          <w:rFonts w:asciiTheme="minorHAnsi" w:hAnsiTheme="minorHAnsi" w:cstheme="minorHAnsi"/>
          <w:b/>
          <w:i/>
          <w:color w:val="000000"/>
          <w:lang w:val="es-AR" w:eastAsia="es-AR"/>
        </w:rPr>
        <w:t>eficacia</w:t>
      </w:r>
      <w:r w:rsidRPr="006020B4">
        <w:rPr>
          <w:rFonts w:asciiTheme="minorHAnsi" w:hAnsiTheme="minorHAnsi" w:cstheme="minorHAnsi"/>
          <w:color w:val="000000"/>
          <w:lang w:val="es-AR" w:eastAsia="es-AR"/>
        </w:rPr>
        <w:t xml:space="preserve">, en cambio, refiere a la capacidad de un programa o de alguno de sus componentes para alcanzar sus objetivos en el tiempo esperado. Contempla el cumplimiento de objetivos en tiempo, sin importar el costo o el uso de recursos, y tiene relación fundamentalmente con la capacidad organizativa, de flexibilidad y adaptación frente a la situación de cambio a la que están sometidos generalmente los programas. Con el análisis de eficacia se indaga sobre la capacidad de gestión de un programa, más allá de cómo fue diseñado y teniendo en cuenta incluso la posibilidad de logro de efectos que no estaban señalados en los objetivos. </w:t>
      </w:r>
    </w:p>
    <w:p w:rsidR="00B47377" w:rsidRPr="006020B4" w:rsidRDefault="00B47377" w:rsidP="006020B4">
      <w:pPr>
        <w:spacing w:after="200" w:line="276" w:lineRule="auto"/>
        <w:jc w:val="both"/>
        <w:rPr>
          <w:rFonts w:asciiTheme="minorHAnsi" w:hAnsiTheme="minorHAnsi" w:cstheme="minorHAnsi"/>
          <w:lang w:val="es-AR" w:eastAsia="es-AR"/>
        </w:rPr>
      </w:pPr>
      <w:r w:rsidRPr="006020B4">
        <w:rPr>
          <w:rFonts w:asciiTheme="minorHAnsi" w:hAnsiTheme="minorHAnsi" w:cstheme="minorHAnsi"/>
          <w:color w:val="000000"/>
          <w:lang w:val="es-AR" w:eastAsia="es-AR"/>
        </w:rPr>
        <w:t xml:space="preserve">En tercer lugar, la </w:t>
      </w:r>
      <w:r w:rsidRPr="006020B4">
        <w:rPr>
          <w:rFonts w:asciiTheme="minorHAnsi" w:hAnsiTheme="minorHAnsi" w:cstheme="minorHAnsi"/>
          <w:b/>
          <w:i/>
          <w:color w:val="000000"/>
          <w:lang w:val="es-AR" w:eastAsia="es-AR"/>
        </w:rPr>
        <w:t xml:space="preserve">eficiencia </w:t>
      </w:r>
      <w:r w:rsidRPr="006020B4">
        <w:rPr>
          <w:rFonts w:asciiTheme="minorHAnsi" w:hAnsiTheme="minorHAnsi" w:cstheme="minorHAnsi"/>
          <w:lang w:val="es-AR" w:eastAsia="es-AR"/>
        </w:rPr>
        <w:t xml:space="preserve">se define como la relación entre los productos o resultados esperados de un programa y los costos de los insumos o procesos de apoyo o </w:t>
      </w:r>
      <w:r w:rsidRPr="006020B4">
        <w:rPr>
          <w:rFonts w:asciiTheme="minorHAnsi" w:hAnsiTheme="minorHAnsi" w:cstheme="minorHAnsi"/>
          <w:lang w:val="es-AR" w:eastAsia="es-AR"/>
        </w:rPr>
        <w:lastRenderedPageBreak/>
        <w:t xml:space="preserve">funcionamiento que implica. Esta valoración debe brindar elementos de juicio para identificar alternativas de acción que permitan obtener mejores resultados con igual cantidad de recursos o bien los mismos resultados con una mejor combinación o utilización de los recursos existentes. La eficiencia tiene relación con la maximización del impacto del gasto público, el que siempre enfrenta desafíos asociados al costo de oportunidad de asignar recursos a determinados programas en relación a otros, en un contexto de variadas y complejas necesidades sociales no satisfechas. Es importante aclarar que la eficiencia no se logra sencillamente minimizando costos. La eficiencia obliga a poner un estándar a la minimización de costos: cumplir el objetivo, a mínimo costo o generar el mayor logro, para un determinado costo. (Neirotti, 2007) </w:t>
      </w:r>
    </w:p>
    <w:p w:rsidR="00B47377" w:rsidRPr="006020B4" w:rsidRDefault="00B47377" w:rsidP="006020B4">
      <w:pPr>
        <w:spacing w:after="200" w:line="276" w:lineRule="auto"/>
        <w:jc w:val="both"/>
        <w:rPr>
          <w:rFonts w:asciiTheme="minorHAnsi" w:hAnsiTheme="minorHAnsi" w:cstheme="minorHAnsi"/>
          <w:lang w:val="es-AR" w:eastAsia="es-AR"/>
        </w:rPr>
      </w:pPr>
      <w:r w:rsidRPr="006020B4">
        <w:rPr>
          <w:rFonts w:asciiTheme="minorHAnsi" w:hAnsiTheme="minorHAnsi" w:cstheme="minorHAnsi"/>
          <w:lang w:val="es-AR" w:eastAsia="es-AR"/>
        </w:rPr>
        <w:t xml:space="preserve">El </w:t>
      </w:r>
      <w:r w:rsidRPr="006020B4">
        <w:rPr>
          <w:rFonts w:asciiTheme="minorHAnsi" w:hAnsiTheme="minorHAnsi" w:cstheme="minorHAnsi"/>
          <w:b/>
          <w:i/>
          <w:lang w:val="es-AR" w:eastAsia="es-AR"/>
        </w:rPr>
        <w:t>impacto</w:t>
      </w:r>
      <w:r w:rsidRPr="006020B4">
        <w:rPr>
          <w:rFonts w:asciiTheme="minorHAnsi" w:hAnsiTheme="minorHAnsi" w:cstheme="minorHAnsi"/>
          <w:lang w:val="es-AR" w:eastAsia="es-AR"/>
        </w:rPr>
        <w:t>, refiere a los cambios positivos y negativos producidos por una intervención de desarrollo, directa o indirectamente, con o sin intención. Se trata de los principales impactos y los efectos resultantes de la actividad en los indicadores locales de desarrollo social, económico, am</w:t>
      </w:r>
      <w:r w:rsidR="00AE7CDF">
        <w:rPr>
          <w:rFonts w:asciiTheme="minorHAnsi" w:hAnsiTheme="minorHAnsi" w:cstheme="minorHAnsi"/>
          <w:lang w:val="es-AR" w:eastAsia="es-AR"/>
        </w:rPr>
        <w:t>biental y otros. El examen debe estar</w:t>
      </w:r>
      <w:r w:rsidRPr="006020B4">
        <w:rPr>
          <w:rFonts w:asciiTheme="minorHAnsi" w:hAnsiTheme="minorHAnsi" w:cstheme="minorHAnsi"/>
          <w:lang w:val="es-AR" w:eastAsia="es-AR"/>
        </w:rPr>
        <w:t xml:space="preserve"> relacionado con ambos resultados deseados y no deseados y también debe incluir el impacto positivo y negativo de los factores externos, tales como cambios en los términos de intercambio y las condiciones financieras. </w:t>
      </w:r>
    </w:p>
    <w:p w:rsidR="00B47377" w:rsidRPr="006020B4" w:rsidRDefault="00AE7CDF" w:rsidP="006020B4">
      <w:pPr>
        <w:autoSpaceDE w:val="0"/>
        <w:autoSpaceDN w:val="0"/>
        <w:adjustRightInd w:val="0"/>
        <w:spacing w:after="200" w:line="276" w:lineRule="auto"/>
        <w:jc w:val="both"/>
        <w:rPr>
          <w:rFonts w:asciiTheme="minorHAnsi" w:eastAsiaTheme="minorHAnsi" w:hAnsiTheme="minorHAnsi" w:cstheme="minorHAnsi"/>
          <w:lang w:val="es-AR" w:eastAsia="en-US"/>
        </w:rPr>
      </w:pPr>
      <w:r>
        <w:rPr>
          <w:rFonts w:asciiTheme="minorHAnsi" w:eastAsiaTheme="minorHAnsi" w:hAnsiTheme="minorHAnsi" w:cstheme="minorHAnsi"/>
          <w:lang w:val="es-AR" w:eastAsia="en-US"/>
        </w:rPr>
        <w:t>En este punto podemos hacer una distinción entre evaluación</w:t>
      </w:r>
      <w:r w:rsidR="00B47377" w:rsidRPr="006020B4">
        <w:rPr>
          <w:rFonts w:asciiTheme="minorHAnsi" w:eastAsiaTheme="minorHAnsi" w:hAnsiTheme="minorHAnsi" w:cstheme="minorHAnsi"/>
          <w:lang w:val="es-AR" w:eastAsia="en-US"/>
        </w:rPr>
        <w:t xml:space="preserve"> de “efectos” o de “impacto”. Por evaluación de </w:t>
      </w:r>
      <w:r w:rsidR="00B47377" w:rsidRPr="006020B4">
        <w:rPr>
          <w:rFonts w:asciiTheme="minorHAnsi" w:eastAsiaTheme="minorHAnsi" w:hAnsiTheme="minorHAnsi" w:cstheme="minorHAnsi"/>
          <w:u w:val="single"/>
          <w:lang w:val="es-AR" w:eastAsia="en-US"/>
        </w:rPr>
        <w:t>efectos</w:t>
      </w:r>
      <w:r w:rsidR="00B47377" w:rsidRPr="006020B4">
        <w:rPr>
          <w:rFonts w:asciiTheme="minorHAnsi" w:eastAsiaTheme="minorHAnsi" w:hAnsiTheme="minorHAnsi" w:cstheme="minorHAnsi"/>
          <w:lang w:val="es-AR" w:eastAsia="en-US"/>
        </w:rPr>
        <w:t xml:space="preserve"> se entiende aquélla que indaga sobre los cambios en la realidad producidos por el programa, es decir, nuevos estados o condiciones en las personas, en las cosas o en las instituciones que son producto de la intervención del programa, ya sea que respondan o no a los objetivos planteados. </w:t>
      </w:r>
    </w:p>
    <w:p w:rsidR="00B47377" w:rsidRPr="006020B4" w:rsidRDefault="00B47377" w:rsidP="006020B4">
      <w:pPr>
        <w:autoSpaceDE w:val="0"/>
        <w:autoSpaceDN w:val="0"/>
        <w:adjustRightInd w:val="0"/>
        <w:spacing w:after="200" w:line="276" w:lineRule="auto"/>
        <w:jc w:val="both"/>
        <w:rPr>
          <w:rFonts w:asciiTheme="minorHAnsi" w:eastAsiaTheme="minorHAnsi" w:hAnsiTheme="minorHAnsi" w:cstheme="minorHAnsi"/>
          <w:lang w:val="es-AR" w:eastAsia="en-US"/>
        </w:rPr>
      </w:pPr>
      <w:r w:rsidRPr="006020B4">
        <w:rPr>
          <w:rFonts w:asciiTheme="minorHAnsi" w:eastAsiaTheme="minorHAnsi" w:hAnsiTheme="minorHAnsi" w:cstheme="minorHAnsi"/>
          <w:lang w:val="es-AR" w:eastAsia="en-US"/>
        </w:rPr>
        <w:t xml:space="preserve">La evaluación de </w:t>
      </w:r>
      <w:r w:rsidRPr="006020B4">
        <w:rPr>
          <w:rFonts w:asciiTheme="minorHAnsi" w:eastAsiaTheme="minorHAnsi" w:hAnsiTheme="minorHAnsi" w:cstheme="minorHAnsi"/>
          <w:u w:val="single"/>
          <w:lang w:val="es-AR" w:eastAsia="en-US"/>
        </w:rPr>
        <w:t>impactos</w:t>
      </w:r>
      <w:r w:rsidRPr="006020B4">
        <w:rPr>
          <w:rFonts w:asciiTheme="minorHAnsi" w:eastAsiaTheme="minorHAnsi" w:hAnsiTheme="minorHAnsi" w:cstheme="minorHAnsi"/>
          <w:lang w:val="es-AR" w:eastAsia="en-US"/>
        </w:rPr>
        <w:t xml:space="preserve"> busca analizar los cambios producidos por el programa en un período mayor de tiempo (mediano y largo plazo) conjuntamente con otros factores intervinientes.</w:t>
      </w:r>
      <w:r w:rsidR="00AE7CDF">
        <w:rPr>
          <w:rFonts w:asciiTheme="minorHAnsi" w:eastAsiaTheme="minorHAnsi" w:hAnsiTheme="minorHAnsi" w:cstheme="minorHAnsi"/>
          <w:lang w:val="es-AR" w:eastAsia="en-US"/>
        </w:rPr>
        <w:t xml:space="preserve"> </w:t>
      </w:r>
      <w:r w:rsidRPr="006020B4">
        <w:rPr>
          <w:rFonts w:asciiTheme="minorHAnsi" w:eastAsiaTheme="minorHAnsi" w:hAnsiTheme="minorHAnsi" w:cstheme="minorHAnsi"/>
          <w:lang w:val="es-AR" w:eastAsia="en-US"/>
        </w:rPr>
        <w:t>A esta evaluación se la llama “sumativa”, si se tiene en cuenta el alcance de la misma, puesto que al finalizar la vida de un programa o una etapa del mismo se logra contar con un cúmulo de conocimientos que resultan de lo que se aprendió antes del inicio y durante todo el proceso de implementación. (Neirotti, 2007)</w:t>
      </w:r>
    </w:p>
    <w:p w:rsidR="00B47377" w:rsidRPr="006020B4" w:rsidRDefault="00B47377" w:rsidP="006020B4">
      <w:pPr>
        <w:autoSpaceDE w:val="0"/>
        <w:autoSpaceDN w:val="0"/>
        <w:adjustRightInd w:val="0"/>
        <w:spacing w:after="200" w:line="276" w:lineRule="auto"/>
        <w:jc w:val="both"/>
        <w:rPr>
          <w:rFonts w:asciiTheme="minorHAnsi" w:eastAsiaTheme="minorHAnsi" w:hAnsiTheme="minorHAnsi" w:cstheme="minorHAnsi"/>
          <w:lang w:val="es-AR" w:eastAsia="en-US"/>
        </w:rPr>
      </w:pPr>
      <w:r w:rsidRPr="006020B4">
        <w:rPr>
          <w:rFonts w:asciiTheme="minorHAnsi" w:eastAsiaTheme="minorHAnsi" w:hAnsiTheme="minorHAnsi" w:cstheme="minorHAnsi"/>
          <w:lang w:val="es-AR" w:eastAsia="en-US"/>
        </w:rPr>
        <w:t xml:space="preserve">Dadas las características de este tipo de evaluación </w:t>
      </w:r>
      <w:r w:rsidR="00AE7CDF">
        <w:rPr>
          <w:rFonts w:asciiTheme="minorHAnsi" w:eastAsiaTheme="minorHAnsi" w:hAnsiTheme="minorHAnsi" w:cstheme="minorHAnsi"/>
          <w:lang w:val="es-AR" w:eastAsia="en-US"/>
        </w:rPr>
        <w:t xml:space="preserve">–de impactos–, </w:t>
      </w:r>
      <w:r w:rsidRPr="006020B4">
        <w:rPr>
          <w:rFonts w:asciiTheme="minorHAnsi" w:eastAsiaTheme="minorHAnsi" w:hAnsiTheme="minorHAnsi" w:cstheme="minorHAnsi"/>
          <w:lang w:val="es-AR" w:eastAsia="en-US"/>
        </w:rPr>
        <w:t xml:space="preserve">medir el impacto que produjo </w:t>
      </w:r>
      <w:r w:rsidR="00AE7CDF">
        <w:rPr>
          <w:rFonts w:asciiTheme="minorHAnsi" w:eastAsiaTheme="minorHAnsi" w:hAnsiTheme="minorHAnsi" w:cstheme="minorHAnsi"/>
          <w:lang w:val="es-AR" w:eastAsia="en-US"/>
        </w:rPr>
        <w:t>el PROCIT</w:t>
      </w:r>
      <w:r w:rsidRPr="006020B4">
        <w:rPr>
          <w:rFonts w:asciiTheme="minorHAnsi" w:eastAsiaTheme="minorHAnsi" w:hAnsiTheme="minorHAnsi" w:cstheme="minorHAnsi"/>
          <w:lang w:val="es-AR" w:eastAsia="en-US"/>
        </w:rPr>
        <w:t xml:space="preserve"> tiene algunas limitaciones</w:t>
      </w:r>
      <w:r w:rsidR="00481F33">
        <w:rPr>
          <w:rFonts w:asciiTheme="minorHAnsi" w:eastAsiaTheme="minorHAnsi" w:hAnsiTheme="minorHAnsi" w:cstheme="minorHAnsi"/>
          <w:lang w:val="es-AR" w:eastAsia="en-US"/>
        </w:rPr>
        <w:t xml:space="preserve"> debido a que </w:t>
      </w:r>
      <w:r w:rsidRPr="006020B4">
        <w:rPr>
          <w:rFonts w:asciiTheme="minorHAnsi" w:eastAsiaTheme="minorHAnsi" w:hAnsiTheme="minorHAnsi" w:cstheme="minorHAnsi"/>
          <w:lang w:val="es-AR" w:eastAsia="en-US"/>
        </w:rPr>
        <w:t xml:space="preserve">la cantidad y calidad de datos necesarios para realizar una evaluación de </w:t>
      </w:r>
      <w:r w:rsidR="000134FE">
        <w:rPr>
          <w:rFonts w:asciiTheme="minorHAnsi" w:eastAsiaTheme="minorHAnsi" w:hAnsiTheme="minorHAnsi" w:cstheme="minorHAnsi"/>
          <w:lang w:val="es-AR" w:eastAsia="en-US"/>
        </w:rPr>
        <w:t>este tipo</w:t>
      </w:r>
      <w:r w:rsidRPr="006020B4">
        <w:rPr>
          <w:rFonts w:asciiTheme="minorHAnsi" w:eastAsiaTheme="minorHAnsi" w:hAnsiTheme="minorHAnsi" w:cstheme="minorHAnsi"/>
          <w:lang w:val="es-AR" w:eastAsia="en-US"/>
        </w:rPr>
        <w:t xml:space="preserve"> surgen de proyectos con un nivel de financiamiento mayor</w:t>
      </w:r>
      <w:r w:rsidR="000134FE">
        <w:rPr>
          <w:rFonts w:asciiTheme="minorHAnsi" w:eastAsiaTheme="minorHAnsi" w:hAnsiTheme="minorHAnsi" w:cstheme="minorHAnsi"/>
          <w:lang w:val="es-AR" w:eastAsia="en-US"/>
        </w:rPr>
        <w:t>,</w:t>
      </w:r>
      <w:r w:rsidRPr="006020B4">
        <w:rPr>
          <w:rFonts w:asciiTheme="minorHAnsi" w:eastAsiaTheme="minorHAnsi" w:hAnsiTheme="minorHAnsi" w:cstheme="minorHAnsi"/>
          <w:lang w:val="es-AR" w:eastAsia="en-US"/>
        </w:rPr>
        <w:t xml:space="preserve"> y como consecuencia de una serie de programas similares previos. En este sentido Paraguay recién comienza a transitar por estas etapas y realizar un análisis de este tipo no permitiría apreciar de manera correcta los logros del PROCIT.  Por estas razones se eligió realizar una evaluación de los efectos que ha producido el programa realizando algunas aproximaciones respecto a los indicadores que deberán ser tomados </w:t>
      </w:r>
      <w:r w:rsidRPr="006020B4">
        <w:rPr>
          <w:rFonts w:asciiTheme="minorHAnsi" w:eastAsiaTheme="minorHAnsi" w:hAnsiTheme="minorHAnsi" w:cstheme="minorHAnsi"/>
          <w:lang w:val="es-AR" w:eastAsia="en-US"/>
        </w:rPr>
        <w:lastRenderedPageBreak/>
        <w:t>de referencia para posteriores evaluaciones de impacto una vez que se haya cumplido un tiempo prudencial que permita generar una mirada con perspectiva para este tipo de análisis.</w:t>
      </w:r>
    </w:p>
    <w:p w:rsidR="00B47377" w:rsidRPr="006020B4" w:rsidRDefault="00B47377" w:rsidP="006020B4">
      <w:pPr>
        <w:spacing w:after="200" w:line="276" w:lineRule="auto"/>
        <w:jc w:val="both"/>
        <w:rPr>
          <w:rFonts w:asciiTheme="minorHAnsi" w:hAnsiTheme="minorHAnsi" w:cstheme="minorHAnsi"/>
          <w:color w:val="000000"/>
          <w:lang w:val="es-AR" w:eastAsia="es-AR"/>
        </w:rPr>
      </w:pPr>
      <w:r w:rsidRPr="006020B4">
        <w:rPr>
          <w:rFonts w:asciiTheme="minorHAnsi" w:hAnsiTheme="minorHAnsi" w:cstheme="minorHAnsi"/>
          <w:lang w:val="es-AR" w:eastAsia="es-AR"/>
        </w:rPr>
        <w:t xml:space="preserve">Por último, valorar la </w:t>
      </w:r>
      <w:r w:rsidRPr="006020B4">
        <w:rPr>
          <w:rFonts w:asciiTheme="minorHAnsi" w:hAnsiTheme="minorHAnsi" w:cstheme="minorHAnsi"/>
          <w:b/>
          <w:i/>
          <w:lang w:val="es-AR" w:eastAsia="es-AR"/>
        </w:rPr>
        <w:t>sostenibilidad</w:t>
      </w:r>
      <w:r w:rsidRPr="006020B4">
        <w:rPr>
          <w:rFonts w:asciiTheme="minorHAnsi" w:hAnsiTheme="minorHAnsi" w:cstheme="minorHAnsi"/>
          <w:lang w:val="es-AR" w:eastAsia="es-AR"/>
        </w:rPr>
        <w:t xml:space="preserve"> implica medir si es probable que los beneficios de una actividad continúen después de financiación de los donantes ha sido retirada. Los proyectos deben ser ambiental y económicamente sostenibles.</w:t>
      </w:r>
    </w:p>
    <w:p w:rsidR="006020B4" w:rsidRPr="006020B4" w:rsidRDefault="006020B4" w:rsidP="006020B4">
      <w:pPr>
        <w:spacing w:after="200" w:line="276" w:lineRule="auto"/>
        <w:jc w:val="both"/>
        <w:rPr>
          <w:rFonts w:asciiTheme="minorHAnsi" w:hAnsiTheme="minorHAnsi" w:cstheme="minorHAnsi"/>
          <w:lang w:val="es-AR" w:eastAsia="es-AR"/>
        </w:rPr>
      </w:pPr>
      <w:r w:rsidRPr="006020B4">
        <w:rPr>
          <w:rFonts w:asciiTheme="minorHAnsi" w:hAnsiTheme="minorHAnsi" w:cstheme="minorHAnsi"/>
          <w:lang w:val="es-AR" w:eastAsia="es-AR"/>
        </w:rPr>
        <w:t>En lo que respecta a la relevancia y la eficacia específicamente en el fomento a la innovación, para los fines del análisis existen dos conceptos claves que son el grado de innovación y el grado de riesgo.</w:t>
      </w:r>
    </w:p>
    <w:p w:rsidR="006020B4" w:rsidRPr="006020B4" w:rsidRDefault="006020B4" w:rsidP="006020B4">
      <w:pPr>
        <w:spacing w:after="200" w:line="276" w:lineRule="auto"/>
        <w:jc w:val="both"/>
        <w:rPr>
          <w:rFonts w:asciiTheme="minorHAnsi" w:hAnsiTheme="minorHAnsi" w:cstheme="minorHAnsi"/>
          <w:lang w:val="es-AR" w:eastAsia="es-AR"/>
        </w:rPr>
      </w:pPr>
      <w:r w:rsidRPr="006020B4">
        <w:rPr>
          <w:rFonts w:asciiTheme="minorHAnsi" w:hAnsiTheme="minorHAnsi" w:cstheme="minorHAnsi"/>
          <w:lang w:val="es-AR" w:eastAsia="es-AR"/>
        </w:rPr>
        <w:t>Para identificar el grado de innovación de cada proyecto, se han utilizado las categorías del Manual de Oslo</w:t>
      </w:r>
      <w:r w:rsidRPr="006020B4">
        <w:rPr>
          <w:rStyle w:val="FootnoteReference"/>
          <w:rFonts w:asciiTheme="minorHAnsi" w:hAnsiTheme="minorHAnsi" w:cstheme="minorHAnsi"/>
          <w:color w:val="000000"/>
        </w:rPr>
        <w:footnoteReference w:id="7"/>
      </w:r>
      <w:r w:rsidRPr="006020B4">
        <w:rPr>
          <w:rFonts w:asciiTheme="minorHAnsi" w:hAnsiTheme="minorHAnsi" w:cstheme="minorHAnsi"/>
          <w:color w:val="000000"/>
        </w:rPr>
        <w:t xml:space="preserve"> que </w:t>
      </w:r>
      <w:r w:rsidRPr="006020B4">
        <w:rPr>
          <w:rFonts w:asciiTheme="minorHAnsi" w:hAnsiTheme="minorHAnsi" w:cstheme="minorHAnsi"/>
          <w:lang w:val="es-AR" w:eastAsia="es-AR"/>
        </w:rPr>
        <w:t xml:space="preserve">distingue entre: </w:t>
      </w:r>
    </w:p>
    <w:p w:rsidR="006020B4" w:rsidRPr="006020B4" w:rsidRDefault="006020B4" w:rsidP="002D7EE9">
      <w:pPr>
        <w:numPr>
          <w:ilvl w:val="0"/>
          <w:numId w:val="2"/>
        </w:numPr>
        <w:suppressAutoHyphens/>
        <w:spacing w:after="200" w:line="276" w:lineRule="auto"/>
        <w:ind w:left="720" w:hanging="360"/>
        <w:jc w:val="both"/>
        <w:rPr>
          <w:rFonts w:asciiTheme="minorHAnsi" w:hAnsiTheme="minorHAnsi" w:cstheme="minorHAnsi"/>
          <w:lang w:val="es-AR" w:eastAsia="es-AR"/>
        </w:rPr>
      </w:pPr>
      <w:r w:rsidRPr="006020B4">
        <w:rPr>
          <w:rFonts w:asciiTheme="minorHAnsi" w:hAnsiTheme="minorHAnsi" w:cstheme="minorHAnsi"/>
          <w:lang w:val="es-AR" w:eastAsia="es-AR"/>
        </w:rPr>
        <w:t>Un producto tecnológicamente nuevo.</w:t>
      </w:r>
    </w:p>
    <w:p w:rsidR="006020B4" w:rsidRPr="006020B4" w:rsidRDefault="006020B4" w:rsidP="002D7EE9">
      <w:pPr>
        <w:numPr>
          <w:ilvl w:val="0"/>
          <w:numId w:val="2"/>
        </w:numPr>
        <w:suppressAutoHyphens/>
        <w:spacing w:after="200" w:line="276" w:lineRule="auto"/>
        <w:ind w:left="720" w:hanging="360"/>
        <w:jc w:val="both"/>
        <w:rPr>
          <w:rFonts w:asciiTheme="minorHAnsi" w:hAnsiTheme="minorHAnsi" w:cstheme="minorHAnsi"/>
          <w:lang w:val="es-AR" w:eastAsia="es-AR"/>
        </w:rPr>
      </w:pPr>
      <w:r w:rsidRPr="006020B4">
        <w:rPr>
          <w:rFonts w:asciiTheme="minorHAnsi" w:hAnsiTheme="minorHAnsi" w:cstheme="minorHAnsi"/>
          <w:lang w:val="es-AR" w:eastAsia="es-AR"/>
        </w:rPr>
        <w:t>Un producto tecnológicamente mejorado.</w:t>
      </w:r>
    </w:p>
    <w:p w:rsidR="006020B4" w:rsidRPr="006020B4" w:rsidRDefault="006020B4" w:rsidP="002D7EE9">
      <w:pPr>
        <w:numPr>
          <w:ilvl w:val="0"/>
          <w:numId w:val="2"/>
        </w:numPr>
        <w:suppressAutoHyphens/>
        <w:spacing w:after="200" w:line="276" w:lineRule="auto"/>
        <w:ind w:left="720" w:hanging="360"/>
        <w:jc w:val="both"/>
        <w:rPr>
          <w:rFonts w:asciiTheme="minorHAnsi" w:hAnsiTheme="minorHAnsi" w:cstheme="minorHAnsi"/>
          <w:lang w:val="es-AR" w:eastAsia="es-AR"/>
        </w:rPr>
      </w:pPr>
      <w:r w:rsidRPr="006020B4">
        <w:rPr>
          <w:rFonts w:asciiTheme="minorHAnsi" w:hAnsiTheme="minorHAnsi" w:cstheme="minorHAnsi"/>
          <w:lang w:val="es-AR" w:eastAsia="es-AR"/>
        </w:rPr>
        <w:t>Una innovación tecnológica de proceso.</w:t>
      </w:r>
    </w:p>
    <w:p w:rsidR="006020B4" w:rsidRPr="006020B4" w:rsidRDefault="006020B4" w:rsidP="006020B4">
      <w:pPr>
        <w:spacing w:after="200" w:line="276" w:lineRule="auto"/>
        <w:jc w:val="both"/>
        <w:rPr>
          <w:rFonts w:asciiTheme="minorHAnsi" w:hAnsiTheme="minorHAnsi" w:cstheme="minorHAnsi"/>
          <w:lang w:val="es-AR" w:eastAsia="es-AR"/>
        </w:rPr>
      </w:pPr>
      <w:r w:rsidRPr="006020B4">
        <w:rPr>
          <w:rFonts w:asciiTheme="minorHAnsi" w:hAnsiTheme="minorHAnsi" w:cstheme="minorHAnsi"/>
          <w:lang w:val="es-AR" w:eastAsia="es-AR"/>
        </w:rPr>
        <w:t>Estas categorías se han desagregado en los niveles que se describen en la Tabla a continuación:</w:t>
      </w:r>
    </w:p>
    <w:p w:rsidR="00FC5F01" w:rsidRDefault="00FC5F01" w:rsidP="006020B4">
      <w:pPr>
        <w:spacing w:after="200" w:line="276" w:lineRule="auto"/>
        <w:jc w:val="center"/>
        <w:rPr>
          <w:rFonts w:asciiTheme="minorHAnsi" w:hAnsiTheme="minorHAnsi" w:cstheme="minorHAnsi"/>
          <w:b/>
          <w:lang w:val="es-AR" w:eastAsia="es-AR"/>
        </w:rPr>
      </w:pPr>
    </w:p>
    <w:p w:rsidR="006020B4" w:rsidRPr="006020B4" w:rsidRDefault="006020B4" w:rsidP="006020B4">
      <w:pPr>
        <w:spacing w:after="200" w:line="276" w:lineRule="auto"/>
        <w:jc w:val="center"/>
        <w:rPr>
          <w:rFonts w:asciiTheme="minorHAnsi" w:hAnsiTheme="minorHAnsi" w:cstheme="minorHAnsi"/>
          <w:b/>
          <w:lang w:val="es-AR" w:eastAsia="es-AR"/>
        </w:rPr>
      </w:pPr>
      <w:r w:rsidRPr="006020B4">
        <w:rPr>
          <w:rFonts w:asciiTheme="minorHAnsi" w:hAnsiTheme="minorHAnsi" w:cstheme="minorHAnsi"/>
          <w:b/>
          <w:lang w:val="es-AR" w:eastAsia="es-AR"/>
        </w:rPr>
        <w:t>Tabla 4.1. Grados de innovación</w:t>
      </w:r>
    </w:p>
    <w:tbl>
      <w:tblPr>
        <w:tblStyle w:val="TableGrid"/>
        <w:tblW w:w="0" w:type="auto"/>
        <w:tblLook w:val="04A0" w:firstRow="1" w:lastRow="0" w:firstColumn="1" w:lastColumn="0" w:noHBand="0" w:noVBand="1"/>
      </w:tblPr>
      <w:tblGrid>
        <w:gridCol w:w="2802"/>
        <w:gridCol w:w="5953"/>
      </w:tblGrid>
      <w:tr w:rsidR="003D7CF3" w:rsidRPr="003D7CF3" w:rsidTr="003D7CF3">
        <w:tc>
          <w:tcPr>
            <w:tcW w:w="2802" w:type="dxa"/>
            <w:shd w:val="clear" w:color="auto" w:fill="0F243E" w:themeFill="text2" w:themeFillShade="80"/>
          </w:tcPr>
          <w:p w:rsidR="006020B4" w:rsidRPr="003D7CF3" w:rsidRDefault="006020B4" w:rsidP="003D7CF3">
            <w:pPr>
              <w:spacing w:before="60" w:after="60" w:line="288" w:lineRule="auto"/>
              <w:jc w:val="center"/>
              <w:rPr>
                <w:rFonts w:asciiTheme="minorHAnsi" w:eastAsia="Times New Roman" w:hAnsiTheme="minorHAnsi" w:cstheme="minorHAnsi"/>
                <w:b/>
                <w:color w:val="FFFFFF" w:themeColor="background1"/>
                <w:sz w:val="20"/>
                <w:szCs w:val="20"/>
              </w:rPr>
            </w:pPr>
            <w:r w:rsidRPr="003D7CF3">
              <w:rPr>
                <w:rFonts w:asciiTheme="minorHAnsi" w:eastAsia="Times New Roman" w:hAnsiTheme="minorHAnsi" w:cstheme="minorHAnsi"/>
                <w:b/>
                <w:color w:val="FFFFFF" w:themeColor="background1"/>
                <w:sz w:val="20"/>
                <w:szCs w:val="20"/>
              </w:rPr>
              <w:t>Nivel</w:t>
            </w:r>
          </w:p>
        </w:tc>
        <w:tc>
          <w:tcPr>
            <w:tcW w:w="5953" w:type="dxa"/>
            <w:shd w:val="clear" w:color="auto" w:fill="0F243E" w:themeFill="text2" w:themeFillShade="80"/>
          </w:tcPr>
          <w:p w:rsidR="006020B4" w:rsidRPr="003D7CF3" w:rsidRDefault="006020B4" w:rsidP="003D7CF3">
            <w:pPr>
              <w:spacing w:before="60" w:after="60" w:line="288" w:lineRule="auto"/>
              <w:jc w:val="center"/>
              <w:rPr>
                <w:rFonts w:asciiTheme="minorHAnsi" w:eastAsia="Times New Roman" w:hAnsiTheme="minorHAnsi" w:cstheme="minorHAnsi"/>
                <w:b/>
                <w:color w:val="FFFFFF" w:themeColor="background1"/>
                <w:sz w:val="20"/>
                <w:szCs w:val="20"/>
              </w:rPr>
            </w:pPr>
            <w:r w:rsidRPr="003D7CF3">
              <w:rPr>
                <w:rFonts w:asciiTheme="minorHAnsi" w:eastAsia="Times New Roman" w:hAnsiTheme="minorHAnsi" w:cstheme="minorHAnsi"/>
                <w:b/>
                <w:color w:val="FFFFFF" w:themeColor="background1"/>
                <w:sz w:val="20"/>
                <w:szCs w:val="20"/>
              </w:rPr>
              <w:t>Definición</w:t>
            </w:r>
          </w:p>
        </w:tc>
      </w:tr>
      <w:tr w:rsidR="006020B4" w:rsidRPr="008D1D6A" w:rsidTr="0000601C">
        <w:tc>
          <w:tcPr>
            <w:tcW w:w="2802" w:type="dxa"/>
          </w:tcPr>
          <w:p w:rsidR="006020B4" w:rsidRPr="008D1D6A" w:rsidRDefault="006020B4" w:rsidP="0000601C">
            <w:pPr>
              <w:spacing w:before="60" w:after="60" w:line="288" w:lineRule="auto"/>
              <w:jc w:val="both"/>
              <w:rPr>
                <w:rFonts w:asciiTheme="minorHAnsi" w:eastAsia="Times New Roman" w:hAnsiTheme="minorHAnsi" w:cstheme="minorHAnsi"/>
                <w:color w:val="000000"/>
                <w:sz w:val="20"/>
                <w:szCs w:val="20"/>
              </w:rPr>
            </w:pPr>
            <w:r w:rsidRPr="008D1D6A">
              <w:rPr>
                <w:rFonts w:asciiTheme="minorHAnsi" w:eastAsia="Times New Roman" w:hAnsiTheme="minorHAnsi" w:cstheme="minorHAnsi"/>
                <w:color w:val="000000"/>
                <w:sz w:val="20"/>
                <w:szCs w:val="20"/>
              </w:rPr>
              <w:t xml:space="preserve">Innovación de producto, de proceso o de servicio: </w:t>
            </w:r>
          </w:p>
        </w:tc>
        <w:tc>
          <w:tcPr>
            <w:tcW w:w="5953" w:type="dxa"/>
          </w:tcPr>
          <w:p w:rsidR="006020B4" w:rsidRDefault="006020B4" w:rsidP="0000601C">
            <w:pPr>
              <w:spacing w:before="60" w:after="60" w:line="288" w:lineRule="auto"/>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P</w:t>
            </w:r>
            <w:r w:rsidRPr="008D1D6A">
              <w:rPr>
                <w:rFonts w:asciiTheme="minorHAnsi" w:eastAsia="Times New Roman" w:hAnsiTheme="minorHAnsi" w:cstheme="minorHAnsi"/>
                <w:color w:val="000000"/>
                <w:sz w:val="20"/>
                <w:szCs w:val="20"/>
              </w:rPr>
              <w:t xml:space="preserve">uesta en el mercado de un proceso o producto que incorpora al menos un componente que no ha sido utilizado en ninguna otra parte o que organiza los componentes de una manera inédita. </w:t>
            </w:r>
          </w:p>
          <w:p w:rsidR="006020B4" w:rsidRDefault="006020B4" w:rsidP="0000601C">
            <w:pPr>
              <w:spacing w:before="60" w:after="60" w:line="288" w:lineRule="auto"/>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r w:rsidRPr="00613C39">
              <w:rPr>
                <w:rFonts w:asciiTheme="minorHAnsi" w:eastAsia="Times New Roman" w:hAnsiTheme="minorHAnsi" w:cstheme="minorHAnsi"/>
                <w:color w:val="000000"/>
                <w:sz w:val="20"/>
                <w:szCs w:val="20"/>
              </w:rPr>
              <w:t>Un producto tecnológicamente nuevo es un producto cuyas características tecnológicas o usos previstos difieren significativamente de los correspondientes a productos anteriores. Tales innovaciones pueden incluir tecnologías radicalmente nuevas, pueden basarse en combinar tecnologías existentes dándoles nuevos usos o bien pueden derivar del uso de un conocimiento nuevo”</w:t>
            </w:r>
            <w:r w:rsidRPr="006020B4">
              <w:rPr>
                <w:rFonts w:asciiTheme="minorHAnsi" w:eastAsia="Times New Roman" w:hAnsiTheme="minorHAnsi" w:cstheme="minorHAnsi"/>
                <w:color w:val="000000"/>
                <w:sz w:val="20"/>
                <w:szCs w:val="20"/>
                <w:vertAlign w:val="superscript"/>
              </w:rPr>
              <w:footnoteReference w:id="8"/>
            </w:r>
          </w:p>
          <w:p w:rsidR="00FC5F01" w:rsidRPr="008D1D6A" w:rsidRDefault="00FC5F01" w:rsidP="0000601C">
            <w:pPr>
              <w:spacing w:before="60" w:after="60" w:line="288" w:lineRule="auto"/>
              <w:jc w:val="both"/>
              <w:rPr>
                <w:rFonts w:asciiTheme="minorHAnsi" w:eastAsia="Times New Roman" w:hAnsiTheme="minorHAnsi" w:cstheme="minorHAnsi"/>
                <w:color w:val="000000"/>
                <w:sz w:val="20"/>
                <w:szCs w:val="20"/>
              </w:rPr>
            </w:pPr>
          </w:p>
        </w:tc>
      </w:tr>
      <w:tr w:rsidR="00FC5F01" w:rsidRPr="003D7CF3" w:rsidTr="007A62FA">
        <w:tc>
          <w:tcPr>
            <w:tcW w:w="2802" w:type="dxa"/>
            <w:shd w:val="clear" w:color="auto" w:fill="0F243E" w:themeFill="text2" w:themeFillShade="80"/>
          </w:tcPr>
          <w:p w:rsidR="00FC5F01" w:rsidRPr="003D7CF3" w:rsidRDefault="00FC5F01" w:rsidP="007A62FA">
            <w:pPr>
              <w:spacing w:before="60" w:after="60" w:line="288" w:lineRule="auto"/>
              <w:jc w:val="center"/>
              <w:rPr>
                <w:rFonts w:asciiTheme="minorHAnsi" w:eastAsia="Times New Roman" w:hAnsiTheme="minorHAnsi" w:cstheme="minorHAnsi"/>
                <w:b/>
                <w:color w:val="FFFFFF" w:themeColor="background1"/>
                <w:sz w:val="20"/>
                <w:szCs w:val="20"/>
              </w:rPr>
            </w:pPr>
            <w:r w:rsidRPr="003D7CF3">
              <w:rPr>
                <w:rFonts w:asciiTheme="minorHAnsi" w:eastAsia="Times New Roman" w:hAnsiTheme="minorHAnsi" w:cstheme="minorHAnsi"/>
                <w:b/>
                <w:color w:val="FFFFFF" w:themeColor="background1"/>
                <w:sz w:val="20"/>
                <w:szCs w:val="20"/>
              </w:rPr>
              <w:lastRenderedPageBreak/>
              <w:t>Nivel</w:t>
            </w:r>
          </w:p>
        </w:tc>
        <w:tc>
          <w:tcPr>
            <w:tcW w:w="5953" w:type="dxa"/>
            <w:shd w:val="clear" w:color="auto" w:fill="0F243E" w:themeFill="text2" w:themeFillShade="80"/>
          </w:tcPr>
          <w:p w:rsidR="00FC5F01" w:rsidRPr="003D7CF3" w:rsidRDefault="00FC5F01" w:rsidP="007A62FA">
            <w:pPr>
              <w:spacing w:before="60" w:after="60" w:line="288" w:lineRule="auto"/>
              <w:jc w:val="center"/>
              <w:rPr>
                <w:rFonts w:asciiTheme="minorHAnsi" w:eastAsia="Times New Roman" w:hAnsiTheme="minorHAnsi" w:cstheme="minorHAnsi"/>
                <w:b/>
                <w:color w:val="FFFFFF" w:themeColor="background1"/>
                <w:sz w:val="20"/>
                <w:szCs w:val="20"/>
              </w:rPr>
            </w:pPr>
            <w:r w:rsidRPr="003D7CF3">
              <w:rPr>
                <w:rFonts w:asciiTheme="minorHAnsi" w:eastAsia="Times New Roman" w:hAnsiTheme="minorHAnsi" w:cstheme="minorHAnsi"/>
                <w:b/>
                <w:color w:val="FFFFFF" w:themeColor="background1"/>
                <w:sz w:val="20"/>
                <w:szCs w:val="20"/>
              </w:rPr>
              <w:t>Definición</w:t>
            </w:r>
          </w:p>
        </w:tc>
      </w:tr>
      <w:tr w:rsidR="006020B4" w:rsidRPr="008D1D6A" w:rsidTr="0000601C">
        <w:tc>
          <w:tcPr>
            <w:tcW w:w="2802" w:type="dxa"/>
          </w:tcPr>
          <w:p w:rsidR="006020B4" w:rsidRPr="008D1D6A" w:rsidRDefault="006020B4" w:rsidP="0000601C">
            <w:pPr>
              <w:spacing w:before="60" w:after="60" w:line="288" w:lineRule="auto"/>
              <w:jc w:val="both"/>
              <w:rPr>
                <w:rFonts w:asciiTheme="minorHAnsi" w:eastAsia="Times New Roman" w:hAnsiTheme="minorHAnsi" w:cstheme="minorHAnsi"/>
                <w:color w:val="000000"/>
                <w:sz w:val="20"/>
                <w:szCs w:val="20"/>
              </w:rPr>
            </w:pPr>
            <w:r w:rsidRPr="008D1D6A">
              <w:rPr>
                <w:rFonts w:asciiTheme="minorHAnsi" w:eastAsia="Times New Roman" w:hAnsiTheme="minorHAnsi" w:cstheme="minorHAnsi"/>
                <w:color w:val="000000"/>
                <w:sz w:val="20"/>
                <w:szCs w:val="20"/>
              </w:rPr>
              <w:t xml:space="preserve">Mejora de producto, de proceso o de servicio: </w:t>
            </w:r>
          </w:p>
        </w:tc>
        <w:tc>
          <w:tcPr>
            <w:tcW w:w="5953" w:type="dxa"/>
          </w:tcPr>
          <w:p w:rsidR="006020B4" w:rsidRPr="00613C39" w:rsidRDefault="006020B4" w:rsidP="0000601C">
            <w:pPr>
              <w:spacing w:before="60" w:after="60" w:line="288" w:lineRule="auto"/>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C</w:t>
            </w:r>
            <w:r w:rsidRPr="008D1D6A">
              <w:rPr>
                <w:rFonts w:asciiTheme="minorHAnsi" w:eastAsia="Times New Roman" w:hAnsiTheme="minorHAnsi" w:cstheme="minorHAnsi"/>
                <w:color w:val="000000"/>
                <w:sz w:val="20"/>
                <w:szCs w:val="20"/>
              </w:rPr>
              <w:t>ambios en un producto, proceso o servicio que lo hacen más eficiente o eficaz, sin cambiar los componentes fundamentales o la manera en que éstos se organizan,</w:t>
            </w:r>
            <w:r w:rsidRPr="00613C39">
              <w:rPr>
                <w:rFonts w:asciiTheme="minorHAnsi" w:eastAsia="Times New Roman" w:hAnsiTheme="minorHAnsi" w:cstheme="minorHAnsi"/>
                <w:color w:val="000000"/>
                <w:sz w:val="20"/>
                <w:szCs w:val="20"/>
              </w:rPr>
              <w:t xml:space="preserve"> </w:t>
            </w:r>
          </w:p>
          <w:p w:rsidR="006020B4" w:rsidRPr="008D1D6A" w:rsidRDefault="006020B4" w:rsidP="0000601C">
            <w:pPr>
              <w:spacing w:before="60" w:after="60" w:line="288" w:lineRule="auto"/>
              <w:jc w:val="both"/>
              <w:rPr>
                <w:rFonts w:asciiTheme="minorHAnsi" w:eastAsia="Times New Roman" w:hAnsiTheme="minorHAnsi" w:cstheme="minorHAnsi"/>
                <w:color w:val="000000"/>
                <w:sz w:val="20"/>
                <w:szCs w:val="20"/>
              </w:rPr>
            </w:pPr>
            <w:r w:rsidRPr="00613C39">
              <w:rPr>
                <w:rFonts w:asciiTheme="minorHAnsi" w:eastAsia="Times New Roman" w:hAnsiTheme="minorHAnsi" w:cstheme="minorHAnsi"/>
                <w:color w:val="000000"/>
                <w:sz w:val="20"/>
                <w:szCs w:val="20"/>
              </w:rPr>
              <w:t>“Un producto tecnológicamente mejorado es un producto existente cuyo desempeño ha sido mejorado o perfeccionado en gran medida. Se puede mejorar un producto simple (es decir, lograr un mejor desempeño o un costo menor) mediante el uso de componentes o materiales de mayor rendimiento. A un producto complejo, que consta de una cantidad de subsistemas técnicos integrados, se lo puede mejorar mediante cambios parciales en uno de los subsistemas”</w:t>
            </w:r>
            <w:r w:rsidRPr="00613C39">
              <w:rPr>
                <w:rFonts w:asciiTheme="minorHAnsi" w:eastAsia="Times New Roman" w:hAnsiTheme="minorHAnsi" w:cstheme="minorHAnsi"/>
                <w:color w:val="000000"/>
                <w:sz w:val="20"/>
                <w:szCs w:val="20"/>
              </w:rPr>
              <w:footnoteReference w:id="9"/>
            </w:r>
          </w:p>
        </w:tc>
      </w:tr>
      <w:tr w:rsidR="006020B4" w:rsidRPr="008D1D6A" w:rsidTr="0000601C">
        <w:tc>
          <w:tcPr>
            <w:tcW w:w="2802" w:type="dxa"/>
          </w:tcPr>
          <w:p w:rsidR="006020B4" w:rsidRPr="008D1D6A" w:rsidRDefault="006020B4" w:rsidP="0000601C">
            <w:pPr>
              <w:spacing w:before="60" w:after="60" w:line="288" w:lineRule="auto"/>
              <w:jc w:val="both"/>
              <w:rPr>
                <w:rFonts w:asciiTheme="minorHAnsi" w:eastAsia="Times New Roman" w:hAnsiTheme="minorHAnsi" w:cstheme="minorHAnsi"/>
                <w:color w:val="000000"/>
                <w:sz w:val="20"/>
                <w:szCs w:val="20"/>
              </w:rPr>
            </w:pPr>
            <w:r w:rsidRPr="008D1D6A">
              <w:rPr>
                <w:rFonts w:asciiTheme="minorHAnsi" w:eastAsia="Times New Roman" w:hAnsiTheme="minorHAnsi" w:cstheme="minorHAnsi"/>
                <w:color w:val="000000"/>
                <w:sz w:val="20"/>
                <w:szCs w:val="20"/>
              </w:rPr>
              <w:t xml:space="preserve">Adaptación de proceso o de servicio: </w:t>
            </w:r>
          </w:p>
        </w:tc>
        <w:tc>
          <w:tcPr>
            <w:tcW w:w="5953" w:type="dxa"/>
          </w:tcPr>
          <w:p w:rsidR="006020B4" w:rsidRPr="008D1D6A" w:rsidRDefault="006020B4" w:rsidP="00AE7CDF">
            <w:pPr>
              <w:spacing w:before="60" w:after="60" w:line="288" w:lineRule="auto"/>
              <w:jc w:val="both"/>
              <w:rPr>
                <w:rFonts w:asciiTheme="minorHAnsi" w:eastAsia="Times New Roman" w:hAnsiTheme="minorHAnsi" w:cstheme="minorHAnsi"/>
                <w:color w:val="000000"/>
                <w:sz w:val="20"/>
                <w:szCs w:val="20"/>
              </w:rPr>
            </w:pPr>
            <w:r w:rsidRPr="008D1D6A">
              <w:rPr>
                <w:rFonts w:asciiTheme="minorHAnsi" w:eastAsia="Times New Roman" w:hAnsiTheme="minorHAnsi" w:cstheme="minorHAnsi"/>
                <w:color w:val="000000"/>
                <w:sz w:val="20"/>
                <w:szCs w:val="20"/>
              </w:rPr>
              <w:t>Un proceso o servicio que ha sido desarrollado y que está en el mercado</w:t>
            </w:r>
            <w:r w:rsidR="00AE7CDF">
              <w:rPr>
                <w:rFonts w:asciiTheme="minorHAnsi" w:eastAsia="Times New Roman" w:hAnsiTheme="minorHAnsi" w:cstheme="minorHAnsi"/>
                <w:color w:val="000000"/>
                <w:sz w:val="20"/>
                <w:szCs w:val="20"/>
              </w:rPr>
              <w:t xml:space="preserve"> </w:t>
            </w:r>
            <w:r w:rsidRPr="008D1D6A">
              <w:rPr>
                <w:rFonts w:asciiTheme="minorHAnsi" w:eastAsia="Times New Roman" w:hAnsiTheme="minorHAnsi" w:cstheme="minorHAnsi"/>
                <w:color w:val="000000"/>
                <w:sz w:val="20"/>
                <w:szCs w:val="20"/>
              </w:rPr>
              <w:t>en otro lugar, se adapta a condiciones locales.</w:t>
            </w:r>
          </w:p>
        </w:tc>
      </w:tr>
      <w:tr w:rsidR="006020B4" w:rsidTr="0000601C">
        <w:tc>
          <w:tcPr>
            <w:tcW w:w="2802" w:type="dxa"/>
          </w:tcPr>
          <w:p w:rsidR="006020B4" w:rsidRPr="008D1D6A" w:rsidRDefault="006020B4" w:rsidP="0000601C">
            <w:pPr>
              <w:spacing w:before="60" w:after="60" w:line="288" w:lineRule="auto"/>
              <w:jc w:val="both"/>
              <w:rPr>
                <w:rFonts w:asciiTheme="minorHAnsi" w:eastAsia="Times New Roman" w:hAnsiTheme="minorHAnsi" w:cstheme="minorHAnsi"/>
                <w:color w:val="000000"/>
                <w:sz w:val="20"/>
                <w:szCs w:val="20"/>
              </w:rPr>
            </w:pPr>
            <w:r w:rsidRPr="008D1D6A">
              <w:rPr>
                <w:rFonts w:asciiTheme="minorHAnsi" w:eastAsia="Times New Roman" w:hAnsiTheme="minorHAnsi" w:cstheme="minorHAnsi"/>
                <w:color w:val="000000"/>
                <w:sz w:val="20"/>
                <w:szCs w:val="20"/>
              </w:rPr>
              <w:t xml:space="preserve">Transferencia de tecnología: </w:t>
            </w:r>
          </w:p>
        </w:tc>
        <w:tc>
          <w:tcPr>
            <w:tcW w:w="5953" w:type="dxa"/>
          </w:tcPr>
          <w:p w:rsidR="006020B4" w:rsidRDefault="006020B4" w:rsidP="0000601C">
            <w:pPr>
              <w:spacing w:before="60" w:after="60" w:line="288" w:lineRule="auto"/>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A</w:t>
            </w:r>
            <w:r w:rsidRPr="008D1D6A">
              <w:rPr>
                <w:rFonts w:asciiTheme="minorHAnsi" w:eastAsia="Times New Roman" w:hAnsiTheme="minorHAnsi" w:cstheme="minorHAnsi"/>
                <w:color w:val="000000"/>
                <w:sz w:val="20"/>
                <w:szCs w:val="20"/>
              </w:rPr>
              <w:t>dquisición de bienes de capit</w:t>
            </w:r>
            <w:r w:rsidR="00AE7CDF">
              <w:rPr>
                <w:rFonts w:asciiTheme="minorHAnsi" w:eastAsia="Times New Roman" w:hAnsiTheme="minorHAnsi" w:cstheme="minorHAnsi"/>
                <w:color w:val="000000"/>
                <w:sz w:val="20"/>
                <w:szCs w:val="20"/>
              </w:rPr>
              <w:t>al, sistemas, conocimiento, par</w:t>
            </w:r>
            <w:r w:rsidRPr="008D1D6A">
              <w:rPr>
                <w:rFonts w:asciiTheme="minorHAnsi" w:eastAsia="Times New Roman" w:hAnsiTheme="minorHAnsi" w:cstheme="minorHAnsi"/>
                <w:color w:val="000000"/>
                <w:sz w:val="20"/>
                <w:szCs w:val="20"/>
              </w:rPr>
              <w:t>a reproducir productos, procesos o servicios que están siendo comercializados en otra parte</w:t>
            </w:r>
            <w:r w:rsidR="00AE7CDF">
              <w:rPr>
                <w:rFonts w:asciiTheme="minorHAnsi" w:eastAsia="Times New Roman" w:hAnsiTheme="minorHAnsi" w:cstheme="minorHAnsi"/>
                <w:color w:val="000000"/>
                <w:sz w:val="20"/>
                <w:szCs w:val="20"/>
              </w:rPr>
              <w:t>.</w:t>
            </w:r>
          </w:p>
        </w:tc>
      </w:tr>
    </w:tbl>
    <w:p w:rsidR="006020B4" w:rsidRPr="0037314C" w:rsidRDefault="00D37D00" w:rsidP="00D37D00">
      <w:pPr>
        <w:spacing w:after="200" w:line="276" w:lineRule="auto"/>
        <w:jc w:val="both"/>
        <w:rPr>
          <w:rFonts w:asciiTheme="minorHAnsi" w:eastAsia="Times New Roman" w:hAnsiTheme="minorHAnsi" w:cstheme="minorHAnsi"/>
          <w:color w:val="000000"/>
          <w:sz w:val="18"/>
          <w:szCs w:val="18"/>
        </w:rPr>
      </w:pPr>
      <w:r w:rsidRPr="0037314C">
        <w:rPr>
          <w:rFonts w:asciiTheme="minorHAnsi" w:eastAsia="Times New Roman" w:hAnsiTheme="minorHAnsi" w:cstheme="minorHAnsi"/>
          <w:color w:val="000000"/>
          <w:sz w:val="18"/>
          <w:szCs w:val="18"/>
        </w:rPr>
        <w:t xml:space="preserve">Fuente: </w:t>
      </w:r>
      <w:r w:rsidR="00B80BCF" w:rsidRPr="0037314C">
        <w:rPr>
          <w:rFonts w:asciiTheme="minorHAnsi" w:eastAsia="Times New Roman" w:hAnsiTheme="minorHAnsi" w:cstheme="minorHAnsi"/>
          <w:color w:val="000000"/>
          <w:sz w:val="18"/>
          <w:szCs w:val="18"/>
        </w:rPr>
        <w:t>Innovos Group</w:t>
      </w:r>
      <w:r w:rsidRPr="0037314C">
        <w:rPr>
          <w:rFonts w:asciiTheme="minorHAnsi" w:eastAsia="Times New Roman" w:hAnsiTheme="minorHAnsi" w:cstheme="minorHAnsi"/>
          <w:color w:val="000000"/>
          <w:sz w:val="18"/>
          <w:szCs w:val="18"/>
        </w:rPr>
        <w:t xml:space="preserve"> b</w:t>
      </w:r>
      <w:r w:rsidR="006C6743">
        <w:rPr>
          <w:rFonts w:asciiTheme="minorHAnsi" w:eastAsia="Times New Roman" w:hAnsiTheme="minorHAnsi" w:cstheme="minorHAnsi"/>
          <w:color w:val="000000"/>
          <w:sz w:val="18"/>
          <w:szCs w:val="18"/>
        </w:rPr>
        <w:t>asado en Manual de Bogotá, 2001</w:t>
      </w:r>
    </w:p>
    <w:p w:rsidR="006020B4" w:rsidRPr="00D37D00" w:rsidRDefault="006020B4" w:rsidP="00D37D00">
      <w:pPr>
        <w:autoSpaceDE w:val="0"/>
        <w:autoSpaceDN w:val="0"/>
        <w:adjustRightInd w:val="0"/>
        <w:spacing w:after="200" w:line="276" w:lineRule="auto"/>
        <w:jc w:val="both"/>
        <w:rPr>
          <w:rFonts w:asciiTheme="minorHAnsi" w:hAnsiTheme="minorHAnsi" w:cstheme="minorHAnsi"/>
          <w:lang w:val="es-AR" w:eastAsia="es-AR"/>
        </w:rPr>
      </w:pPr>
      <w:r w:rsidRPr="00D37D00">
        <w:rPr>
          <w:rFonts w:asciiTheme="minorHAnsi" w:hAnsiTheme="minorHAnsi" w:cstheme="minorHAnsi"/>
          <w:lang w:val="es-AR" w:eastAsia="es-AR"/>
        </w:rPr>
        <w:t xml:space="preserve">Un segundo concepto recurrente en los sistemas de innovación es el de riesgo, que constituye una de las falla de mercado que fundamentan la necesidad de una intervención pública. </w:t>
      </w:r>
      <w:r w:rsidRPr="00D37D00">
        <w:rPr>
          <w:rStyle w:val="FootnoteReference"/>
          <w:rFonts w:asciiTheme="minorHAnsi" w:hAnsiTheme="minorHAnsi" w:cstheme="minorHAnsi"/>
          <w:lang w:val="es-AR" w:eastAsia="es-AR"/>
        </w:rPr>
        <w:footnoteReference w:id="10"/>
      </w:r>
    </w:p>
    <w:p w:rsidR="006020B4" w:rsidRPr="00D37D00" w:rsidRDefault="006020B4" w:rsidP="00D37D00">
      <w:pPr>
        <w:pStyle w:val="Textoindependiente31"/>
        <w:spacing w:after="200" w:line="276" w:lineRule="auto"/>
        <w:jc w:val="both"/>
        <w:rPr>
          <w:rFonts w:asciiTheme="minorHAnsi" w:eastAsia="Calibri" w:hAnsiTheme="minorHAnsi" w:cstheme="minorHAnsi"/>
          <w:color w:val="auto"/>
          <w:sz w:val="24"/>
          <w:szCs w:val="24"/>
          <w:lang w:val="es-AR" w:eastAsia="es-AR"/>
        </w:rPr>
      </w:pPr>
      <w:r w:rsidRPr="00D37D00">
        <w:rPr>
          <w:rFonts w:asciiTheme="minorHAnsi" w:eastAsia="Calibri" w:hAnsiTheme="minorHAnsi" w:cstheme="minorHAnsi"/>
          <w:color w:val="auto"/>
          <w:sz w:val="24"/>
          <w:szCs w:val="24"/>
          <w:lang w:val="es-AR" w:eastAsia="es-AR"/>
        </w:rPr>
        <w:t xml:space="preserve">El riesgo de los proyectos </w:t>
      </w:r>
      <w:r w:rsidR="00AE7CDF">
        <w:rPr>
          <w:rFonts w:asciiTheme="minorHAnsi" w:eastAsia="Calibri" w:hAnsiTheme="minorHAnsi" w:cstheme="minorHAnsi"/>
          <w:color w:val="auto"/>
          <w:sz w:val="24"/>
          <w:szCs w:val="24"/>
          <w:lang w:val="es-AR" w:eastAsia="es-AR"/>
        </w:rPr>
        <w:t xml:space="preserve">de innovación </w:t>
      </w:r>
      <w:r w:rsidRPr="00D37D00">
        <w:rPr>
          <w:rFonts w:asciiTheme="minorHAnsi" w:eastAsia="Calibri" w:hAnsiTheme="minorHAnsi" w:cstheme="minorHAnsi"/>
          <w:color w:val="auto"/>
          <w:sz w:val="24"/>
          <w:szCs w:val="24"/>
          <w:lang w:val="es-AR" w:eastAsia="es-AR"/>
        </w:rPr>
        <w:t>se ha catalogado para los fines de esta evaluación en dos dimensiones, no excluyentes entre sí.</w:t>
      </w:r>
    </w:p>
    <w:p w:rsidR="006020B4" w:rsidRPr="00D37D00" w:rsidRDefault="006020B4" w:rsidP="00D37D00">
      <w:pPr>
        <w:spacing w:after="200" w:line="276" w:lineRule="auto"/>
        <w:jc w:val="both"/>
        <w:rPr>
          <w:rFonts w:asciiTheme="minorHAnsi" w:hAnsiTheme="minorHAnsi" w:cstheme="minorHAnsi"/>
          <w:lang w:val="es-AR" w:eastAsia="es-AR"/>
        </w:rPr>
      </w:pPr>
      <w:bookmarkStart w:id="93" w:name="__RefHeading__233_2002463214"/>
      <w:bookmarkEnd w:id="93"/>
      <w:r w:rsidRPr="00D37D00">
        <w:rPr>
          <w:rFonts w:asciiTheme="minorHAnsi" w:hAnsiTheme="minorHAnsi" w:cstheme="minorHAnsi"/>
          <w:lang w:val="es-AR" w:eastAsia="es-AR"/>
        </w:rPr>
        <w:t>Riesgo Tecnológico</w:t>
      </w:r>
      <w:r w:rsidR="00D37D00">
        <w:rPr>
          <w:rFonts w:asciiTheme="minorHAnsi" w:hAnsiTheme="minorHAnsi" w:cstheme="minorHAnsi"/>
          <w:lang w:val="es-AR" w:eastAsia="es-AR"/>
        </w:rPr>
        <w:t xml:space="preserve">: </w:t>
      </w:r>
      <w:r w:rsidRPr="00D37D00">
        <w:rPr>
          <w:rFonts w:asciiTheme="minorHAnsi" w:hAnsiTheme="minorHAnsi" w:cstheme="minorHAnsi"/>
          <w:lang w:val="es-AR" w:eastAsia="es-AR"/>
        </w:rPr>
        <w:t>Una propuesta innovadora tiene riesgo tecnológico cuando existe incertidumbre respecto de la factibilidad de lograr que el producto o proceso funcione de la manera deseada, incluso a nivel de prototipo de laboratorio.</w:t>
      </w:r>
    </w:p>
    <w:p w:rsidR="006020B4" w:rsidRPr="00D37D00" w:rsidRDefault="006020B4" w:rsidP="00D37D00">
      <w:pPr>
        <w:spacing w:after="200" w:line="276" w:lineRule="auto"/>
        <w:jc w:val="both"/>
        <w:rPr>
          <w:rFonts w:asciiTheme="minorHAnsi" w:hAnsiTheme="minorHAnsi" w:cstheme="minorHAnsi"/>
          <w:lang w:val="es-AR" w:eastAsia="es-AR"/>
        </w:rPr>
      </w:pPr>
      <w:bookmarkStart w:id="94" w:name="__RefHeading__235_2002463214"/>
      <w:bookmarkEnd w:id="94"/>
      <w:r w:rsidRPr="00D37D00">
        <w:rPr>
          <w:rFonts w:asciiTheme="minorHAnsi" w:hAnsiTheme="minorHAnsi" w:cstheme="minorHAnsi"/>
          <w:lang w:val="es-AR" w:eastAsia="es-AR"/>
        </w:rPr>
        <w:t>Riesgo de Mercado</w:t>
      </w:r>
      <w:r w:rsidR="00D37D00">
        <w:rPr>
          <w:rFonts w:asciiTheme="minorHAnsi" w:hAnsiTheme="minorHAnsi" w:cstheme="minorHAnsi"/>
          <w:lang w:val="es-AR" w:eastAsia="es-AR"/>
        </w:rPr>
        <w:t xml:space="preserve">: </w:t>
      </w:r>
      <w:r w:rsidRPr="00D37D00">
        <w:rPr>
          <w:rFonts w:asciiTheme="minorHAnsi" w:hAnsiTheme="minorHAnsi" w:cstheme="minorHAnsi"/>
          <w:lang w:val="es-AR" w:eastAsia="es-AR"/>
        </w:rPr>
        <w:t>El riesgo de mercado se refiere a la incertidumbre de que exista una demanda real por parte de los consumidores, así como la falta de seguridad respecto a la disposición a pagar por parte del mercado. Se incluye en este riesgo la incógnita respecto de contar con el financiamiento para el escalamiento productivo.</w:t>
      </w:r>
    </w:p>
    <w:p w:rsidR="00B47377" w:rsidRPr="00D37D00" w:rsidRDefault="00B47377" w:rsidP="00D37D00">
      <w:pPr>
        <w:spacing w:after="200" w:line="276" w:lineRule="auto"/>
        <w:jc w:val="both"/>
        <w:rPr>
          <w:rFonts w:asciiTheme="minorHAnsi" w:hAnsiTheme="minorHAnsi" w:cstheme="minorHAnsi"/>
          <w:color w:val="000000"/>
          <w:lang w:val="es-AR" w:eastAsia="es-AR"/>
        </w:rPr>
      </w:pPr>
      <w:r w:rsidRPr="00D37D00">
        <w:rPr>
          <w:rFonts w:asciiTheme="minorHAnsi" w:hAnsiTheme="minorHAnsi" w:cstheme="minorHAnsi"/>
          <w:color w:val="000000"/>
          <w:lang w:val="es-AR" w:eastAsia="es-AR"/>
        </w:rPr>
        <w:lastRenderedPageBreak/>
        <w:t>A continuación se mencionarán preguntas guía, que ayudarán a estructurar el informe y los objetivos de la evaluación utilizando los criterios referenciados anteriormente.</w:t>
      </w:r>
    </w:p>
    <w:p w:rsidR="00B47377" w:rsidRPr="00D37D00" w:rsidRDefault="00B47377" w:rsidP="002D7EE9">
      <w:pPr>
        <w:pStyle w:val="ListParagraph"/>
        <w:numPr>
          <w:ilvl w:val="0"/>
          <w:numId w:val="9"/>
        </w:numPr>
        <w:spacing w:after="200" w:line="276" w:lineRule="auto"/>
        <w:contextualSpacing w:val="0"/>
        <w:jc w:val="both"/>
        <w:rPr>
          <w:rFonts w:asciiTheme="minorHAnsi" w:eastAsia="Calibri" w:hAnsiTheme="minorHAnsi" w:cstheme="minorHAnsi"/>
          <w:color w:val="000000"/>
          <w:lang w:val="es-AR" w:eastAsia="es-AR"/>
        </w:rPr>
      </w:pPr>
      <w:r w:rsidRPr="00D37D00">
        <w:rPr>
          <w:rFonts w:asciiTheme="minorHAnsi" w:eastAsia="Calibri" w:hAnsiTheme="minorHAnsi" w:cstheme="minorHAnsi"/>
          <w:lang w:val="es-AR" w:eastAsia="es-AR"/>
        </w:rPr>
        <w:t>¿En qué medida los objetivos del programa siguen siendo válidos?  ¿Están las actividades y los resultados del programa en consonancia con el objetivo general y el logro de los objetivos específicos?  ¿Son las actividades y productos del programa compatibles con los impactos y efectos esperados?</w:t>
      </w:r>
    </w:p>
    <w:p w:rsidR="00B47377" w:rsidRPr="00D37D00" w:rsidRDefault="00B47377" w:rsidP="002D7EE9">
      <w:pPr>
        <w:pStyle w:val="ListParagraph"/>
        <w:numPr>
          <w:ilvl w:val="0"/>
          <w:numId w:val="9"/>
        </w:numPr>
        <w:shd w:val="clear" w:color="auto" w:fill="FFFFFF"/>
        <w:spacing w:after="200" w:line="276" w:lineRule="auto"/>
        <w:contextualSpacing w:val="0"/>
        <w:jc w:val="both"/>
        <w:rPr>
          <w:rFonts w:asciiTheme="minorHAnsi" w:eastAsia="Calibri" w:hAnsiTheme="minorHAnsi" w:cstheme="minorHAnsi"/>
          <w:lang w:val="es-AR" w:eastAsia="es-AR"/>
        </w:rPr>
      </w:pPr>
      <w:r w:rsidRPr="00D37D00">
        <w:rPr>
          <w:rFonts w:asciiTheme="minorHAnsi" w:eastAsia="Calibri" w:hAnsiTheme="minorHAnsi" w:cstheme="minorHAnsi"/>
          <w:lang w:val="es-AR" w:eastAsia="es-AR"/>
        </w:rPr>
        <w:t>¿Hasta qué punto fueron alcanzados los objetivos / metas?</w:t>
      </w:r>
      <w:r w:rsidRPr="00D37D00">
        <w:rPr>
          <w:rFonts w:asciiTheme="minorHAnsi" w:hAnsiTheme="minorHAnsi" w:cstheme="minorHAnsi"/>
          <w:lang w:val="es-AR" w:eastAsia="es-AR"/>
        </w:rPr>
        <w:t xml:space="preserve"> </w:t>
      </w:r>
      <w:r w:rsidRPr="00D37D00">
        <w:rPr>
          <w:rFonts w:asciiTheme="minorHAnsi" w:eastAsia="Calibri" w:hAnsiTheme="minorHAnsi" w:cstheme="minorHAnsi"/>
          <w:lang w:val="es-AR" w:eastAsia="es-AR"/>
        </w:rPr>
        <w:t>¿Cuáles fueron los principales factore</w:t>
      </w:r>
      <w:r w:rsidR="00DC69EB" w:rsidRPr="00D37D00">
        <w:rPr>
          <w:rFonts w:asciiTheme="minorHAnsi" w:eastAsia="Calibri" w:hAnsiTheme="minorHAnsi" w:cstheme="minorHAnsi"/>
          <w:lang w:val="es-AR" w:eastAsia="es-AR"/>
        </w:rPr>
        <w:t xml:space="preserve">s que influyeron en el logro o </w:t>
      </w:r>
      <w:r w:rsidRPr="00D37D00">
        <w:rPr>
          <w:rFonts w:asciiTheme="minorHAnsi" w:eastAsia="Calibri" w:hAnsiTheme="minorHAnsi" w:cstheme="minorHAnsi"/>
          <w:lang w:val="es-AR" w:eastAsia="es-AR"/>
        </w:rPr>
        <w:t>imposibilidad de alcanzar los objetivos?</w:t>
      </w:r>
    </w:p>
    <w:p w:rsidR="00B47377" w:rsidRPr="00D37D00" w:rsidRDefault="00B47377" w:rsidP="002D7EE9">
      <w:pPr>
        <w:pStyle w:val="ListParagraph"/>
        <w:numPr>
          <w:ilvl w:val="0"/>
          <w:numId w:val="9"/>
        </w:numPr>
        <w:shd w:val="clear" w:color="auto" w:fill="FFFFFF"/>
        <w:spacing w:after="200" w:line="276" w:lineRule="auto"/>
        <w:contextualSpacing w:val="0"/>
        <w:jc w:val="both"/>
        <w:rPr>
          <w:rFonts w:asciiTheme="minorHAnsi" w:eastAsia="Calibri" w:hAnsiTheme="minorHAnsi" w:cstheme="minorHAnsi"/>
          <w:lang w:val="es-AR" w:eastAsia="es-AR"/>
        </w:rPr>
      </w:pPr>
      <w:r w:rsidRPr="00D37D00">
        <w:rPr>
          <w:rFonts w:asciiTheme="minorHAnsi" w:eastAsia="Calibri" w:hAnsiTheme="minorHAnsi" w:cstheme="minorHAnsi"/>
          <w:lang w:val="es-AR" w:eastAsia="es-AR"/>
        </w:rPr>
        <w:t>¿Eran actividades rentables?</w:t>
      </w:r>
      <w:r w:rsidRPr="00D37D00">
        <w:rPr>
          <w:rFonts w:asciiTheme="minorHAnsi" w:hAnsiTheme="minorHAnsi" w:cstheme="minorHAnsi"/>
          <w:lang w:val="es-AR" w:eastAsia="es-AR"/>
        </w:rPr>
        <w:t xml:space="preserve"> </w:t>
      </w:r>
      <w:r w:rsidRPr="00D37D00">
        <w:rPr>
          <w:rFonts w:asciiTheme="minorHAnsi" w:eastAsia="Calibri" w:hAnsiTheme="minorHAnsi" w:cstheme="minorHAnsi"/>
          <w:lang w:val="es-AR" w:eastAsia="es-AR"/>
        </w:rPr>
        <w:t>¿Se alcanzaron los objetivos en el tiempo estipulado?</w:t>
      </w:r>
      <w:r w:rsidRPr="00D37D00">
        <w:rPr>
          <w:rFonts w:asciiTheme="minorHAnsi" w:hAnsiTheme="minorHAnsi" w:cstheme="minorHAnsi"/>
          <w:lang w:val="es-AR" w:eastAsia="es-AR"/>
        </w:rPr>
        <w:t xml:space="preserve"> </w:t>
      </w:r>
      <w:r w:rsidRPr="00D37D00">
        <w:rPr>
          <w:rFonts w:asciiTheme="minorHAnsi" w:eastAsia="Calibri" w:hAnsiTheme="minorHAnsi" w:cstheme="minorHAnsi"/>
          <w:lang w:val="es-AR" w:eastAsia="es-AR"/>
        </w:rPr>
        <w:t>¿Fue el programa o proyecto realizado de la manera más eficiente en comparación con las alternativas? </w:t>
      </w:r>
    </w:p>
    <w:p w:rsidR="00B47377" w:rsidRPr="00D37D00" w:rsidRDefault="00B47377" w:rsidP="002D7EE9">
      <w:pPr>
        <w:pStyle w:val="ListParagraph"/>
        <w:numPr>
          <w:ilvl w:val="0"/>
          <w:numId w:val="9"/>
        </w:numPr>
        <w:shd w:val="clear" w:color="auto" w:fill="FFFFFF"/>
        <w:spacing w:after="200" w:line="276" w:lineRule="auto"/>
        <w:contextualSpacing w:val="0"/>
        <w:jc w:val="both"/>
        <w:rPr>
          <w:rFonts w:asciiTheme="minorHAnsi" w:eastAsia="Calibri" w:hAnsiTheme="minorHAnsi" w:cstheme="minorHAnsi"/>
          <w:lang w:val="es-AR" w:eastAsia="es-AR"/>
        </w:rPr>
      </w:pPr>
      <w:r w:rsidRPr="00D37D00">
        <w:rPr>
          <w:rFonts w:asciiTheme="minorHAnsi" w:eastAsia="Calibri" w:hAnsiTheme="minorHAnsi" w:cstheme="minorHAnsi"/>
          <w:lang w:val="es-AR" w:eastAsia="es-AR"/>
        </w:rPr>
        <w:t>¿Qué ha ocurrido como resultado del programa o proyecto?</w:t>
      </w:r>
      <w:r w:rsidRPr="00D37D00">
        <w:rPr>
          <w:rFonts w:asciiTheme="minorHAnsi" w:hAnsiTheme="minorHAnsi" w:cstheme="minorHAnsi"/>
          <w:lang w:val="es-AR" w:eastAsia="es-AR"/>
        </w:rPr>
        <w:t xml:space="preserve"> </w:t>
      </w:r>
      <w:r w:rsidRPr="00D37D00">
        <w:rPr>
          <w:rFonts w:asciiTheme="minorHAnsi" w:eastAsia="Calibri" w:hAnsiTheme="minorHAnsi" w:cstheme="minorHAnsi"/>
          <w:lang w:val="es-AR" w:eastAsia="es-AR"/>
        </w:rPr>
        <w:t>¿Qué diferencia aportó el proyecto a los beneficiarios? ¿Cuántas personas</w:t>
      </w:r>
      <w:r w:rsidRPr="00D37D00">
        <w:rPr>
          <w:rFonts w:asciiTheme="minorHAnsi" w:hAnsiTheme="minorHAnsi" w:cstheme="minorHAnsi"/>
          <w:lang w:val="es-AR" w:eastAsia="es-AR"/>
        </w:rPr>
        <w:t xml:space="preserve"> fueron beneficiadas con el programa</w:t>
      </w:r>
      <w:r w:rsidRPr="00D37D00">
        <w:rPr>
          <w:rFonts w:asciiTheme="minorHAnsi" w:eastAsia="Calibri" w:hAnsiTheme="minorHAnsi" w:cstheme="minorHAnsi"/>
          <w:lang w:val="es-AR" w:eastAsia="es-AR"/>
        </w:rPr>
        <w:t>?</w:t>
      </w:r>
    </w:p>
    <w:p w:rsidR="00B47377" w:rsidRPr="00D37D00" w:rsidRDefault="00B47377" w:rsidP="002D7EE9">
      <w:pPr>
        <w:pStyle w:val="ListParagraph"/>
        <w:numPr>
          <w:ilvl w:val="0"/>
          <w:numId w:val="9"/>
        </w:numPr>
        <w:shd w:val="clear" w:color="auto" w:fill="FFFFFF"/>
        <w:spacing w:after="200" w:line="276" w:lineRule="auto"/>
        <w:contextualSpacing w:val="0"/>
        <w:jc w:val="both"/>
        <w:rPr>
          <w:rFonts w:asciiTheme="minorHAnsi" w:eastAsia="Calibri" w:hAnsiTheme="minorHAnsi" w:cstheme="minorHAnsi"/>
          <w:lang w:val="es-AR" w:eastAsia="es-AR"/>
        </w:rPr>
      </w:pPr>
      <w:r w:rsidRPr="00D37D00">
        <w:rPr>
          <w:rFonts w:asciiTheme="minorHAnsi" w:eastAsia="Calibri" w:hAnsiTheme="minorHAnsi" w:cstheme="minorHAnsi"/>
          <w:lang w:val="es-AR" w:eastAsia="es-AR"/>
        </w:rPr>
        <w:t xml:space="preserve">¿Hasta qué punto los beneficios del programa continúan después </w:t>
      </w:r>
      <w:r w:rsidRPr="00D37D00">
        <w:rPr>
          <w:rFonts w:asciiTheme="minorHAnsi" w:hAnsiTheme="minorHAnsi" w:cstheme="minorHAnsi"/>
          <w:lang w:val="es-AR" w:eastAsia="es-AR"/>
        </w:rPr>
        <w:t xml:space="preserve">del cese </w:t>
      </w:r>
      <w:r w:rsidRPr="00D37D00">
        <w:rPr>
          <w:rFonts w:asciiTheme="minorHAnsi" w:eastAsia="Calibri" w:hAnsiTheme="minorHAnsi" w:cstheme="minorHAnsi"/>
          <w:lang w:val="es-AR" w:eastAsia="es-AR"/>
        </w:rPr>
        <w:t>del financiamiento?</w:t>
      </w:r>
      <w:r w:rsidRPr="00D37D00">
        <w:rPr>
          <w:rFonts w:asciiTheme="minorHAnsi" w:hAnsiTheme="minorHAnsi" w:cstheme="minorHAnsi"/>
          <w:lang w:val="es-AR" w:eastAsia="es-AR"/>
        </w:rPr>
        <w:t xml:space="preserve"> </w:t>
      </w:r>
      <w:r w:rsidRPr="00D37D00">
        <w:rPr>
          <w:rFonts w:asciiTheme="minorHAnsi" w:eastAsia="Calibri" w:hAnsiTheme="minorHAnsi" w:cstheme="minorHAnsi"/>
          <w:lang w:val="es-AR" w:eastAsia="es-AR"/>
        </w:rPr>
        <w:t>¿Cuáles fueron los principales factores que influyeron en la sostenibilidad del programa o proyecto?</w:t>
      </w:r>
    </w:p>
    <w:p w:rsidR="00B47377" w:rsidRPr="002400AD" w:rsidRDefault="00B47377" w:rsidP="00B47377">
      <w:pPr>
        <w:shd w:val="clear" w:color="auto" w:fill="FFFFFF"/>
        <w:spacing w:before="60" w:after="60" w:line="288" w:lineRule="auto"/>
        <w:jc w:val="both"/>
        <w:rPr>
          <w:rFonts w:ascii="Calibri" w:eastAsia="Times New Roman" w:hAnsi="Calibri"/>
          <w:color w:val="FF0000"/>
          <w:sz w:val="22"/>
          <w:szCs w:val="22"/>
          <w:highlight w:val="yellow"/>
          <w:lang w:val="es-AR" w:eastAsia="es-AR"/>
        </w:rPr>
      </w:pPr>
    </w:p>
    <w:p w:rsidR="002C4702" w:rsidRDefault="002C4702" w:rsidP="00097D6A">
      <w:pPr>
        <w:pStyle w:val="Heading2"/>
      </w:pPr>
      <w:bookmarkStart w:id="95" w:name="_Toc375211966"/>
      <w:r>
        <w:t>Consideraciones metodológicas</w:t>
      </w:r>
      <w:bookmarkEnd w:id="95"/>
    </w:p>
    <w:p w:rsidR="00600B9C" w:rsidRPr="00C30FF0" w:rsidRDefault="00D37D00" w:rsidP="00C30FF0">
      <w:pPr>
        <w:autoSpaceDE w:val="0"/>
        <w:autoSpaceDN w:val="0"/>
        <w:adjustRightInd w:val="0"/>
        <w:spacing w:after="200" w:line="276" w:lineRule="auto"/>
        <w:jc w:val="both"/>
        <w:rPr>
          <w:rFonts w:asciiTheme="minorHAnsi" w:hAnsiTheme="minorHAnsi" w:cstheme="minorHAnsi"/>
          <w:color w:val="000000"/>
          <w:lang w:val="es-AR" w:eastAsia="es-AR"/>
        </w:rPr>
      </w:pPr>
      <w:r w:rsidRPr="00C30FF0">
        <w:rPr>
          <w:rFonts w:asciiTheme="minorHAnsi" w:hAnsiTheme="minorHAnsi" w:cstheme="minorHAnsi"/>
          <w:color w:val="000000"/>
          <w:lang w:val="es-AR" w:eastAsia="es-AR"/>
        </w:rPr>
        <w:t>A los fines de la evaluación del PROCIT</w:t>
      </w:r>
      <w:r w:rsidR="00600B9C" w:rsidRPr="00C30FF0">
        <w:rPr>
          <w:rFonts w:asciiTheme="minorHAnsi" w:hAnsiTheme="minorHAnsi" w:cstheme="minorHAnsi"/>
          <w:color w:val="000000"/>
          <w:lang w:val="es-AR" w:eastAsia="es-AR"/>
        </w:rPr>
        <w:t>, se diseñó una estrategia metodológica de triangulación de métodos, considerando que tanto el enfoque cuantitativo como el cualitativo son necesarios para realizar una valoración integral del P</w:t>
      </w:r>
      <w:r w:rsidRPr="00C30FF0">
        <w:rPr>
          <w:rFonts w:asciiTheme="minorHAnsi" w:hAnsiTheme="minorHAnsi" w:cstheme="minorHAnsi"/>
          <w:color w:val="000000"/>
          <w:lang w:val="es-AR" w:eastAsia="es-AR"/>
        </w:rPr>
        <w:t>rograma</w:t>
      </w:r>
      <w:r w:rsidR="00600B9C" w:rsidRPr="00C30FF0">
        <w:rPr>
          <w:rFonts w:asciiTheme="minorHAnsi" w:hAnsiTheme="minorHAnsi" w:cstheme="minorHAnsi"/>
          <w:color w:val="000000"/>
          <w:lang w:val="es-AR" w:eastAsia="es-AR"/>
        </w:rPr>
        <w:t>. Para ello, se diseñaron e implementaron instrumentos para recolectar y analizar la información desde ambas perspectivas.</w:t>
      </w:r>
    </w:p>
    <w:p w:rsidR="0059491F" w:rsidRPr="00C30FF0" w:rsidRDefault="00AE7CDF" w:rsidP="00C30FF0">
      <w:pPr>
        <w:spacing w:after="200" w:line="276" w:lineRule="auto"/>
        <w:jc w:val="both"/>
        <w:rPr>
          <w:rFonts w:asciiTheme="minorHAnsi" w:hAnsiTheme="minorHAnsi" w:cstheme="minorHAnsi"/>
          <w:lang w:val="es-ES_tradnl" w:eastAsia="en-US"/>
        </w:rPr>
      </w:pPr>
      <w:r>
        <w:rPr>
          <w:rFonts w:asciiTheme="minorHAnsi" w:hAnsiTheme="minorHAnsi" w:cstheme="minorHAnsi"/>
          <w:lang w:val="es-ES_tradnl" w:eastAsia="en-US"/>
        </w:rPr>
        <w:t>Para cada c</w:t>
      </w:r>
      <w:r w:rsidR="0059491F" w:rsidRPr="00C30FF0">
        <w:rPr>
          <w:rFonts w:asciiTheme="minorHAnsi" w:hAnsiTheme="minorHAnsi" w:cstheme="minorHAnsi"/>
          <w:lang w:val="es-ES_tradnl" w:eastAsia="en-US"/>
        </w:rPr>
        <w:t>omponente del PROCIT se asignó un/dos consultor/</w:t>
      </w:r>
      <w:r w:rsidR="00D37D00" w:rsidRPr="00C30FF0">
        <w:rPr>
          <w:rFonts w:asciiTheme="minorHAnsi" w:hAnsiTheme="minorHAnsi" w:cstheme="minorHAnsi"/>
          <w:lang w:val="es-ES_tradnl" w:eastAsia="en-US"/>
        </w:rPr>
        <w:t>es responsables, y se especificaron</w:t>
      </w:r>
      <w:r w:rsidR="0059491F" w:rsidRPr="00C30FF0">
        <w:rPr>
          <w:rFonts w:asciiTheme="minorHAnsi" w:hAnsiTheme="minorHAnsi" w:cstheme="minorHAnsi"/>
          <w:lang w:val="es-ES_tradnl" w:eastAsia="en-US"/>
        </w:rPr>
        <w:t xml:space="preserve"> todas las actividades que cada uno debía realizar, tanto en lo que refiere al trabajo de campo, como al análisis de los resultados y elaboración de recomendaciones de mejora.</w:t>
      </w:r>
    </w:p>
    <w:p w:rsidR="0059491F" w:rsidRPr="00C30FF0" w:rsidRDefault="0059491F" w:rsidP="00C30FF0">
      <w:pPr>
        <w:spacing w:after="200" w:line="276" w:lineRule="auto"/>
        <w:jc w:val="both"/>
        <w:rPr>
          <w:rFonts w:asciiTheme="minorHAnsi" w:hAnsiTheme="minorHAnsi" w:cstheme="minorHAnsi"/>
          <w:lang w:val="es-ES_tradnl" w:eastAsia="en-US"/>
        </w:rPr>
      </w:pPr>
      <w:r w:rsidRPr="00C30FF0">
        <w:rPr>
          <w:rFonts w:asciiTheme="minorHAnsi" w:hAnsiTheme="minorHAnsi" w:cstheme="minorHAnsi"/>
          <w:lang w:val="es-ES_tradnl" w:eastAsia="en-US"/>
        </w:rPr>
        <w:t>En la semana del 5 al 9 de agosto un equipo de cinco consultores realizó visitas a los beneficiarios de proyectos de investigación y proyectos de innovación, y a beneficiarios d</w:t>
      </w:r>
      <w:r w:rsidR="007146DB">
        <w:rPr>
          <w:rFonts w:asciiTheme="minorHAnsi" w:hAnsiTheme="minorHAnsi" w:cstheme="minorHAnsi"/>
          <w:lang w:val="es-ES_tradnl" w:eastAsia="en-US"/>
        </w:rPr>
        <w:t>e carreras de postgrado</w:t>
      </w:r>
      <w:r w:rsidR="00AE7CDF">
        <w:rPr>
          <w:rFonts w:asciiTheme="minorHAnsi" w:hAnsiTheme="minorHAnsi" w:cstheme="minorHAnsi"/>
          <w:lang w:val="es-ES_tradnl" w:eastAsia="en-US"/>
        </w:rPr>
        <w:t xml:space="preserve"> que habían</w:t>
      </w:r>
      <w:r w:rsidRPr="00C30FF0">
        <w:rPr>
          <w:rFonts w:asciiTheme="minorHAnsi" w:hAnsiTheme="minorHAnsi" w:cstheme="minorHAnsi"/>
          <w:lang w:val="es-ES_tradnl" w:eastAsia="en-US"/>
        </w:rPr>
        <w:t xml:space="preserve"> recibido apoyo institucional del PROCIT. También se </w:t>
      </w:r>
      <w:r w:rsidRPr="00C30FF0">
        <w:rPr>
          <w:rFonts w:asciiTheme="minorHAnsi" w:hAnsiTheme="minorHAnsi" w:cstheme="minorHAnsi"/>
          <w:lang w:val="es-ES_tradnl" w:eastAsia="en-US"/>
        </w:rPr>
        <w:lastRenderedPageBreak/>
        <w:t>realizaron grupos focales a beneficiarios y no beneficiarios de algunos de los subcomponentes y entrevistas en profundidad a actores relevantes.</w:t>
      </w:r>
    </w:p>
    <w:p w:rsidR="0059491F" w:rsidRPr="00C30FF0" w:rsidRDefault="0059491F" w:rsidP="00C30FF0">
      <w:pPr>
        <w:spacing w:after="200" w:line="276" w:lineRule="auto"/>
        <w:jc w:val="both"/>
        <w:rPr>
          <w:rFonts w:asciiTheme="minorHAnsi" w:hAnsiTheme="minorHAnsi" w:cstheme="minorHAnsi"/>
          <w:lang w:val="es-ES_tradnl" w:eastAsia="en-US"/>
        </w:rPr>
      </w:pPr>
      <w:r w:rsidRPr="00C30FF0">
        <w:rPr>
          <w:rFonts w:asciiTheme="minorHAnsi" w:hAnsiTheme="minorHAnsi" w:cstheme="minorHAnsi"/>
          <w:lang w:val="es-ES_tradnl" w:eastAsia="en-US"/>
        </w:rPr>
        <w:t>Las herramientas metodológicas utilizadas en la presente evaluación incluyen: (i) encuestas; (ii) análisis de carpetas; (iii) visitas a beneficiarios, grupo focales y entrevistas en terreno; y (iv) análisis econométrico. La tabla a continuación incluye un resumen de las mismas por cada componente y subcomponente.</w:t>
      </w:r>
    </w:p>
    <w:p w:rsidR="0059491F" w:rsidRPr="00C30FF0" w:rsidRDefault="0059491F" w:rsidP="00C30FF0">
      <w:pPr>
        <w:spacing w:after="200" w:line="276" w:lineRule="auto"/>
        <w:jc w:val="both"/>
        <w:rPr>
          <w:rFonts w:asciiTheme="minorHAnsi" w:hAnsiTheme="minorHAnsi" w:cstheme="minorHAnsi"/>
          <w:b/>
          <w:u w:val="single"/>
          <w:lang w:val="es-ES_tradnl"/>
        </w:rPr>
        <w:sectPr w:rsidR="0059491F" w:rsidRPr="00C30FF0" w:rsidSect="006C6A4B">
          <w:headerReference w:type="default" r:id="rId24"/>
          <w:footerReference w:type="default" r:id="rId25"/>
          <w:type w:val="continuous"/>
          <w:pgSz w:w="12240" w:h="15840"/>
          <w:pgMar w:top="1418" w:right="1701" w:bottom="1418" w:left="1701" w:header="709" w:footer="709" w:gutter="0"/>
          <w:cols w:space="708"/>
          <w:titlePg/>
          <w:docGrid w:linePitch="360"/>
        </w:sectPr>
      </w:pPr>
    </w:p>
    <w:p w:rsidR="0059491F" w:rsidRPr="00C30FF0" w:rsidRDefault="0059491F" w:rsidP="00C30FF0">
      <w:pPr>
        <w:spacing w:after="200" w:line="276" w:lineRule="auto"/>
        <w:jc w:val="center"/>
        <w:rPr>
          <w:rFonts w:asciiTheme="minorHAnsi" w:hAnsiTheme="minorHAnsi" w:cstheme="minorHAnsi"/>
          <w:b/>
          <w:lang w:val="es-ES_tradnl"/>
        </w:rPr>
      </w:pPr>
      <w:r w:rsidRPr="00C30FF0">
        <w:rPr>
          <w:rFonts w:asciiTheme="minorHAnsi" w:hAnsiTheme="minorHAnsi" w:cstheme="minorHAnsi"/>
          <w:b/>
          <w:lang w:val="es-ES_tradnl"/>
        </w:rPr>
        <w:lastRenderedPageBreak/>
        <w:t>Tabla</w:t>
      </w:r>
      <w:r w:rsidR="00C30FF0" w:rsidRPr="00C30FF0">
        <w:rPr>
          <w:rFonts w:asciiTheme="minorHAnsi" w:hAnsiTheme="minorHAnsi" w:cstheme="minorHAnsi"/>
          <w:b/>
          <w:lang w:val="es-ES_tradnl"/>
        </w:rPr>
        <w:t xml:space="preserve"> 4.2.</w:t>
      </w:r>
      <w:r w:rsidRPr="00C30FF0">
        <w:rPr>
          <w:rFonts w:asciiTheme="minorHAnsi" w:hAnsiTheme="minorHAnsi" w:cstheme="minorHAnsi"/>
          <w:b/>
          <w:lang w:val="es-ES_tradnl"/>
        </w:rPr>
        <w:t xml:space="preserve"> Herramientas de evaluación por instrumento</w:t>
      </w:r>
    </w:p>
    <w:p w:rsidR="0059491F" w:rsidRPr="00C30FF0" w:rsidRDefault="0059491F" w:rsidP="00C30FF0">
      <w:pPr>
        <w:pStyle w:val="ListParagraph"/>
        <w:spacing w:line="276" w:lineRule="auto"/>
        <w:ind w:left="0"/>
        <w:contextualSpacing w:val="0"/>
        <w:jc w:val="both"/>
        <w:rPr>
          <w:rFonts w:asciiTheme="minorHAnsi" w:hAnsiTheme="minorHAnsi" w:cstheme="minorHAnsi"/>
          <w:color w:val="31849B" w:themeColor="accent5" w:themeShade="BF"/>
          <w:lang w:val="es-ES_tradnl"/>
        </w:rPr>
      </w:pPr>
      <w:r w:rsidRPr="00C30FF0">
        <w:rPr>
          <w:rFonts w:asciiTheme="minorHAnsi" w:hAnsiTheme="minorHAnsi" w:cstheme="minorHAnsi"/>
          <w:noProof/>
          <w:lang w:val="es-ES_tradnl" w:eastAsia="es-ES_tradnl"/>
        </w:rPr>
        <w:drawing>
          <wp:inline distT="0" distB="0" distL="0" distR="0" wp14:anchorId="2E8E2C3A" wp14:editId="1F437C6C">
            <wp:extent cx="6257925" cy="4127139"/>
            <wp:effectExtent l="0" t="0" r="0" b="69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60050" cy="4128540"/>
                    </a:xfrm>
                    <a:prstGeom prst="rect">
                      <a:avLst/>
                    </a:prstGeom>
                    <a:noFill/>
                    <a:ln>
                      <a:noFill/>
                    </a:ln>
                  </pic:spPr>
                </pic:pic>
              </a:graphicData>
            </a:graphic>
          </wp:inline>
        </w:drawing>
      </w:r>
    </w:p>
    <w:p w:rsidR="0059491F" w:rsidRPr="0037314C" w:rsidRDefault="0059491F" w:rsidP="005627CA">
      <w:pPr>
        <w:spacing w:after="200" w:line="276" w:lineRule="auto"/>
        <w:rPr>
          <w:rFonts w:asciiTheme="minorHAnsi" w:hAnsiTheme="minorHAnsi" w:cstheme="minorHAnsi"/>
          <w:sz w:val="18"/>
          <w:szCs w:val="18"/>
          <w:lang w:val="es-ES_tradnl" w:eastAsia="en-US"/>
        </w:rPr>
        <w:sectPr w:rsidR="0059491F" w:rsidRPr="0037314C" w:rsidSect="007430F4">
          <w:type w:val="continuous"/>
          <w:pgSz w:w="12240" w:h="15840"/>
          <w:pgMar w:top="1418" w:right="1701" w:bottom="1418" w:left="1701" w:header="709" w:footer="709" w:gutter="0"/>
          <w:cols w:space="708"/>
          <w:titlePg/>
          <w:docGrid w:linePitch="360"/>
        </w:sectPr>
      </w:pPr>
      <w:r w:rsidRPr="0037314C">
        <w:rPr>
          <w:rFonts w:asciiTheme="minorHAnsi" w:hAnsiTheme="minorHAnsi" w:cstheme="minorHAnsi"/>
          <w:sz w:val="18"/>
          <w:szCs w:val="18"/>
          <w:lang w:val="es-ES_tradnl" w:eastAsia="en-US"/>
        </w:rPr>
        <w:t>Fuente: Elaboración propia</w:t>
      </w:r>
    </w:p>
    <w:p w:rsidR="0059491F" w:rsidRPr="00C30FF0" w:rsidRDefault="0059491F" w:rsidP="00C30FF0">
      <w:pPr>
        <w:autoSpaceDE w:val="0"/>
        <w:autoSpaceDN w:val="0"/>
        <w:adjustRightInd w:val="0"/>
        <w:spacing w:after="200" w:line="276" w:lineRule="auto"/>
        <w:jc w:val="both"/>
        <w:rPr>
          <w:rFonts w:asciiTheme="minorHAnsi" w:hAnsiTheme="minorHAnsi" w:cstheme="minorHAnsi"/>
          <w:color w:val="000000"/>
          <w:lang w:val="es-AR" w:eastAsia="es-AR"/>
        </w:rPr>
      </w:pPr>
      <w:r w:rsidRPr="00C30FF0">
        <w:rPr>
          <w:rFonts w:asciiTheme="minorHAnsi" w:hAnsiTheme="minorHAnsi" w:cstheme="minorHAnsi"/>
          <w:color w:val="000000"/>
          <w:lang w:val="es-AR" w:eastAsia="es-AR"/>
        </w:rPr>
        <w:lastRenderedPageBreak/>
        <w:t xml:space="preserve">Durante todo el estudio se realizó un </w:t>
      </w:r>
      <w:r w:rsidRPr="00C30FF0">
        <w:rPr>
          <w:rFonts w:asciiTheme="minorHAnsi" w:hAnsiTheme="minorHAnsi" w:cstheme="minorHAnsi"/>
          <w:b/>
          <w:color w:val="000000"/>
          <w:lang w:val="es-AR" w:eastAsia="es-AR"/>
        </w:rPr>
        <w:t>análisis de fuentes secundarias</w:t>
      </w:r>
      <w:r w:rsidRPr="00C30FF0">
        <w:rPr>
          <w:rFonts w:asciiTheme="minorHAnsi" w:hAnsiTheme="minorHAnsi" w:cstheme="minorHAnsi"/>
          <w:color w:val="000000"/>
          <w:lang w:val="es-AR" w:eastAsia="es-AR"/>
        </w:rPr>
        <w:t xml:space="preserve">. Se relevó información cuantitativa (planillas de datos de actividades de cada componente y datos económicos) y cualitativa (documentos, normativas, carpetas de proyectos, </w:t>
      </w:r>
      <w:r w:rsidRPr="00C30FF0">
        <w:rPr>
          <w:rFonts w:asciiTheme="minorHAnsi" w:hAnsiTheme="minorHAnsi" w:cstheme="minorHAnsi"/>
          <w:i/>
          <w:color w:val="000000"/>
          <w:lang w:val="es-AR" w:eastAsia="es-AR"/>
        </w:rPr>
        <w:t>curriculum vitae</w:t>
      </w:r>
      <w:r w:rsidRPr="00C30FF0">
        <w:rPr>
          <w:rFonts w:asciiTheme="minorHAnsi" w:hAnsiTheme="minorHAnsi" w:cstheme="minorHAnsi"/>
          <w:color w:val="000000"/>
          <w:lang w:val="es-AR" w:eastAsia="es-AR"/>
        </w:rPr>
        <w:t xml:space="preserve"> de investigadores, etc.) solicitada directamente y provista por CONACYT.</w:t>
      </w:r>
    </w:p>
    <w:p w:rsidR="00AE7CDF" w:rsidRDefault="0059491F" w:rsidP="00AE7CDF">
      <w:pPr>
        <w:spacing w:after="200" w:line="276" w:lineRule="auto"/>
        <w:jc w:val="both"/>
        <w:rPr>
          <w:rFonts w:asciiTheme="minorHAnsi" w:hAnsiTheme="minorHAnsi" w:cstheme="minorHAnsi"/>
          <w:lang w:val="es-ES_tradnl" w:eastAsia="en-US"/>
        </w:rPr>
      </w:pPr>
      <w:r w:rsidRPr="00C30FF0">
        <w:rPr>
          <w:rFonts w:asciiTheme="minorHAnsi" w:hAnsiTheme="minorHAnsi" w:cstheme="minorHAnsi"/>
          <w:color w:val="000000"/>
          <w:lang w:val="es-AR" w:eastAsia="es-AR"/>
        </w:rPr>
        <w:t xml:space="preserve">Se realizaron </w:t>
      </w:r>
      <w:r w:rsidRPr="00C30FF0">
        <w:rPr>
          <w:rFonts w:asciiTheme="minorHAnsi" w:hAnsiTheme="minorHAnsi" w:cstheme="minorHAnsi"/>
          <w:b/>
          <w:color w:val="000000"/>
          <w:lang w:val="es-AR" w:eastAsia="es-AR"/>
        </w:rPr>
        <w:t>encuestas</w:t>
      </w:r>
      <w:r w:rsidRPr="00C30FF0">
        <w:rPr>
          <w:rFonts w:asciiTheme="minorHAnsi" w:hAnsiTheme="minorHAnsi" w:cstheme="minorHAnsi"/>
          <w:color w:val="000000"/>
          <w:lang w:val="es-AR" w:eastAsia="es-AR"/>
        </w:rPr>
        <w:t xml:space="preserve"> a beneficiarios y no beneficiarios de cada uno de los subcomponentes. </w:t>
      </w:r>
      <w:r w:rsidR="00AE7CDF">
        <w:rPr>
          <w:rFonts w:asciiTheme="minorHAnsi" w:hAnsiTheme="minorHAnsi" w:cstheme="minorHAnsi"/>
          <w:lang w:val="es-ES_tradnl" w:eastAsia="en-US"/>
        </w:rPr>
        <w:t>En este sentido, se diseñaron</w:t>
      </w:r>
      <w:r w:rsidRPr="00C30FF0">
        <w:rPr>
          <w:rFonts w:asciiTheme="minorHAnsi" w:hAnsiTheme="minorHAnsi" w:cstheme="minorHAnsi"/>
          <w:lang w:val="es-ES_tradnl" w:eastAsia="en-US"/>
        </w:rPr>
        <w:t xml:space="preserve"> un total de ocho formularios de encuestas diferentes, según los instrumentos y los tipos de encuestados. La tabla a continuación presenta un resumen de las características de las encuestas, incluyendo el número de </w:t>
      </w:r>
      <w:r w:rsidRPr="00C30FF0">
        <w:rPr>
          <w:rFonts w:asciiTheme="minorHAnsi" w:hAnsiTheme="minorHAnsi" w:cstheme="minorHAnsi"/>
          <w:lang w:val="es-ES_tradnl" w:eastAsia="en-US"/>
        </w:rPr>
        <w:lastRenderedPageBreak/>
        <w:t xml:space="preserve">casos sobre el cual se aplicó la encuesta y el </w:t>
      </w:r>
      <w:r w:rsidR="00AE7CDF">
        <w:rPr>
          <w:rFonts w:asciiTheme="minorHAnsi" w:hAnsiTheme="minorHAnsi" w:cstheme="minorHAnsi"/>
          <w:lang w:val="es-ES_tradnl" w:eastAsia="en-US"/>
        </w:rPr>
        <w:t>subcomponente</w:t>
      </w:r>
      <w:r w:rsidRPr="00C30FF0">
        <w:rPr>
          <w:rFonts w:asciiTheme="minorHAnsi" w:hAnsiTheme="minorHAnsi" w:cstheme="minorHAnsi"/>
          <w:lang w:val="es-ES_tradnl" w:eastAsia="en-US"/>
        </w:rPr>
        <w:t xml:space="preserve"> </w:t>
      </w:r>
      <w:r w:rsidR="00AE7CDF">
        <w:rPr>
          <w:rFonts w:asciiTheme="minorHAnsi" w:hAnsiTheme="minorHAnsi" w:cstheme="minorHAnsi"/>
          <w:lang w:val="es-ES_tradnl" w:eastAsia="en-US"/>
        </w:rPr>
        <w:t>sobre el cual relevaron información.</w:t>
      </w:r>
    </w:p>
    <w:p w:rsidR="007A62FA" w:rsidRDefault="007A62FA" w:rsidP="00AE7CDF">
      <w:pPr>
        <w:spacing w:after="200" w:line="276" w:lineRule="auto"/>
        <w:jc w:val="center"/>
        <w:rPr>
          <w:rFonts w:asciiTheme="minorHAnsi" w:hAnsiTheme="minorHAnsi" w:cstheme="minorHAnsi"/>
          <w:b/>
          <w:lang w:val="es-ES_tradnl"/>
        </w:rPr>
      </w:pPr>
    </w:p>
    <w:p w:rsidR="0059491F" w:rsidRPr="00C30FF0" w:rsidRDefault="0059491F" w:rsidP="00AE7CDF">
      <w:pPr>
        <w:spacing w:after="200" w:line="276" w:lineRule="auto"/>
        <w:jc w:val="center"/>
        <w:rPr>
          <w:rFonts w:asciiTheme="minorHAnsi" w:hAnsiTheme="minorHAnsi" w:cstheme="minorHAnsi"/>
          <w:b/>
          <w:bCs/>
        </w:rPr>
      </w:pPr>
      <w:r w:rsidRPr="00C30FF0">
        <w:rPr>
          <w:rFonts w:asciiTheme="minorHAnsi" w:hAnsiTheme="minorHAnsi" w:cstheme="minorHAnsi"/>
          <w:b/>
          <w:lang w:val="es-ES_tradnl"/>
        </w:rPr>
        <w:t>Tabla</w:t>
      </w:r>
      <w:r w:rsidR="00C30FF0" w:rsidRPr="00C30FF0">
        <w:rPr>
          <w:rFonts w:asciiTheme="minorHAnsi" w:hAnsiTheme="minorHAnsi" w:cstheme="minorHAnsi"/>
          <w:b/>
          <w:lang w:val="es-ES_tradnl"/>
        </w:rPr>
        <w:t xml:space="preserve"> 4.3.</w:t>
      </w:r>
      <w:r w:rsidRPr="00C30FF0">
        <w:rPr>
          <w:rFonts w:asciiTheme="minorHAnsi" w:hAnsiTheme="minorHAnsi" w:cstheme="minorHAnsi"/>
          <w:b/>
          <w:lang w:val="es-ES_tradnl"/>
        </w:rPr>
        <w:t xml:space="preserve"> Características de las encuestas</w:t>
      </w:r>
    </w:p>
    <w:tbl>
      <w:tblPr>
        <w:tblStyle w:val="TableGrid"/>
        <w:tblW w:w="8789" w:type="dxa"/>
        <w:tblInd w:w="-5" w:type="dxa"/>
        <w:tblLook w:val="04A0" w:firstRow="1" w:lastRow="0" w:firstColumn="1" w:lastColumn="0" w:noHBand="0" w:noVBand="1"/>
      </w:tblPr>
      <w:tblGrid>
        <w:gridCol w:w="779"/>
        <w:gridCol w:w="4183"/>
        <w:gridCol w:w="2976"/>
        <w:gridCol w:w="851"/>
      </w:tblGrid>
      <w:tr w:rsidR="003D7CF3" w:rsidRPr="003D7CF3" w:rsidTr="003D7CF3">
        <w:trPr>
          <w:trHeight w:val="583"/>
          <w:tblHeader/>
        </w:trPr>
        <w:tc>
          <w:tcPr>
            <w:tcW w:w="779" w:type="dxa"/>
            <w:shd w:val="clear" w:color="auto" w:fill="0F243E" w:themeFill="text2" w:themeFillShade="80"/>
            <w:vAlign w:val="center"/>
          </w:tcPr>
          <w:p w:rsidR="0059491F" w:rsidRPr="003D7CF3" w:rsidRDefault="0059491F" w:rsidP="00BF7F58">
            <w:pPr>
              <w:jc w:val="both"/>
              <w:rPr>
                <w:rFonts w:asciiTheme="minorHAnsi" w:hAnsiTheme="minorHAnsi" w:cstheme="minorHAnsi"/>
                <w:b/>
                <w:bCs/>
                <w:color w:val="FFFFFF" w:themeColor="background1"/>
                <w:sz w:val="20"/>
                <w:szCs w:val="20"/>
              </w:rPr>
            </w:pPr>
            <w:r w:rsidRPr="003D7CF3">
              <w:rPr>
                <w:rFonts w:asciiTheme="minorHAnsi" w:hAnsiTheme="minorHAnsi" w:cstheme="minorHAnsi"/>
                <w:b/>
                <w:bCs/>
                <w:color w:val="FFFFFF" w:themeColor="background1"/>
                <w:sz w:val="20"/>
                <w:szCs w:val="20"/>
              </w:rPr>
              <w:t>Nº</w:t>
            </w:r>
          </w:p>
        </w:tc>
        <w:tc>
          <w:tcPr>
            <w:tcW w:w="4183" w:type="dxa"/>
            <w:shd w:val="clear" w:color="auto" w:fill="0F243E" w:themeFill="text2" w:themeFillShade="80"/>
            <w:vAlign w:val="center"/>
          </w:tcPr>
          <w:p w:rsidR="0059491F" w:rsidRPr="003D7CF3" w:rsidRDefault="0059491F" w:rsidP="00BF7F58">
            <w:pPr>
              <w:jc w:val="both"/>
              <w:rPr>
                <w:rFonts w:asciiTheme="minorHAnsi" w:hAnsiTheme="minorHAnsi" w:cstheme="minorHAnsi"/>
                <w:b/>
                <w:bCs/>
                <w:color w:val="FFFFFF" w:themeColor="background1"/>
                <w:sz w:val="20"/>
                <w:szCs w:val="20"/>
              </w:rPr>
            </w:pPr>
            <w:r w:rsidRPr="003D7CF3">
              <w:rPr>
                <w:rFonts w:asciiTheme="minorHAnsi" w:hAnsiTheme="minorHAnsi" w:cstheme="minorHAnsi"/>
                <w:b/>
                <w:bCs/>
                <w:color w:val="FFFFFF" w:themeColor="background1"/>
                <w:sz w:val="20"/>
                <w:szCs w:val="20"/>
              </w:rPr>
              <w:t>Subcomponente</w:t>
            </w:r>
          </w:p>
        </w:tc>
        <w:tc>
          <w:tcPr>
            <w:tcW w:w="2976" w:type="dxa"/>
            <w:shd w:val="clear" w:color="auto" w:fill="0F243E" w:themeFill="text2" w:themeFillShade="80"/>
            <w:vAlign w:val="center"/>
          </w:tcPr>
          <w:p w:rsidR="0059491F" w:rsidRPr="003D7CF3" w:rsidRDefault="0059491F" w:rsidP="00BF7F58">
            <w:pPr>
              <w:jc w:val="both"/>
              <w:rPr>
                <w:rFonts w:asciiTheme="minorHAnsi" w:hAnsiTheme="minorHAnsi" w:cstheme="minorHAnsi"/>
                <w:b/>
                <w:bCs/>
                <w:color w:val="FFFFFF" w:themeColor="background1"/>
                <w:sz w:val="20"/>
                <w:szCs w:val="20"/>
              </w:rPr>
            </w:pPr>
            <w:r w:rsidRPr="003D7CF3">
              <w:rPr>
                <w:rFonts w:asciiTheme="minorHAnsi" w:hAnsiTheme="minorHAnsi" w:cstheme="minorHAnsi"/>
                <w:b/>
                <w:bCs/>
                <w:color w:val="FFFFFF" w:themeColor="background1"/>
                <w:sz w:val="20"/>
                <w:szCs w:val="20"/>
              </w:rPr>
              <w:t>Encuestado</w:t>
            </w:r>
          </w:p>
        </w:tc>
        <w:tc>
          <w:tcPr>
            <w:tcW w:w="851" w:type="dxa"/>
            <w:shd w:val="clear" w:color="auto" w:fill="0F243E" w:themeFill="text2" w:themeFillShade="80"/>
            <w:vAlign w:val="center"/>
          </w:tcPr>
          <w:p w:rsidR="0059491F" w:rsidRPr="003D7CF3" w:rsidRDefault="0059491F" w:rsidP="00BF7F58">
            <w:pPr>
              <w:jc w:val="both"/>
              <w:rPr>
                <w:rFonts w:asciiTheme="minorHAnsi" w:hAnsiTheme="minorHAnsi" w:cstheme="minorHAnsi"/>
                <w:b/>
                <w:bCs/>
                <w:color w:val="FFFFFF" w:themeColor="background1"/>
                <w:sz w:val="20"/>
                <w:szCs w:val="20"/>
              </w:rPr>
            </w:pPr>
            <w:r w:rsidRPr="003D7CF3">
              <w:rPr>
                <w:rFonts w:asciiTheme="minorHAnsi" w:hAnsiTheme="minorHAnsi" w:cstheme="minorHAnsi"/>
                <w:b/>
                <w:bCs/>
                <w:color w:val="FFFFFF" w:themeColor="background1"/>
                <w:sz w:val="20"/>
                <w:szCs w:val="20"/>
              </w:rPr>
              <w:t>Nº de casos</w:t>
            </w:r>
          </w:p>
        </w:tc>
      </w:tr>
      <w:tr w:rsidR="0059491F" w:rsidRPr="00BF7F58" w:rsidTr="003D7CF3">
        <w:trPr>
          <w:trHeight w:val="360"/>
        </w:trPr>
        <w:tc>
          <w:tcPr>
            <w:tcW w:w="779" w:type="dxa"/>
            <w:vAlign w:val="center"/>
          </w:tcPr>
          <w:p w:rsidR="0059491F" w:rsidRPr="00BF7F58" w:rsidRDefault="0059491F" w:rsidP="002D7EE9">
            <w:pPr>
              <w:pStyle w:val="ListParagraph"/>
              <w:numPr>
                <w:ilvl w:val="0"/>
                <w:numId w:val="10"/>
              </w:numPr>
              <w:contextualSpacing w:val="0"/>
              <w:jc w:val="both"/>
              <w:rPr>
                <w:rFonts w:asciiTheme="minorHAnsi" w:hAnsiTheme="minorHAnsi" w:cstheme="minorHAnsi"/>
                <w:bCs/>
                <w:sz w:val="20"/>
                <w:szCs w:val="20"/>
              </w:rPr>
            </w:pPr>
          </w:p>
        </w:tc>
        <w:tc>
          <w:tcPr>
            <w:tcW w:w="4183" w:type="dxa"/>
            <w:vAlign w:val="center"/>
          </w:tcPr>
          <w:p w:rsidR="0059491F" w:rsidRPr="00BF7F58" w:rsidRDefault="0059491F" w:rsidP="00BF7F58">
            <w:pPr>
              <w:jc w:val="both"/>
              <w:rPr>
                <w:rFonts w:asciiTheme="minorHAnsi" w:hAnsiTheme="minorHAnsi" w:cstheme="minorHAnsi"/>
                <w:bCs/>
                <w:sz w:val="20"/>
                <w:szCs w:val="20"/>
                <w:lang w:val="es-AR"/>
              </w:rPr>
            </w:pPr>
            <w:r w:rsidRPr="00BF7F58">
              <w:rPr>
                <w:rFonts w:asciiTheme="minorHAnsi" w:hAnsiTheme="minorHAnsi" w:cstheme="minorHAnsi"/>
                <w:sz w:val="20"/>
                <w:szCs w:val="20"/>
                <w:lang w:val="es-ES_tradnl" w:eastAsia="en-US"/>
              </w:rPr>
              <w:t>Proyectos de investigación en universidades y centros educativos</w:t>
            </w:r>
          </w:p>
        </w:tc>
        <w:tc>
          <w:tcPr>
            <w:tcW w:w="2976"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Beneficiarios de los proyectos</w:t>
            </w:r>
          </w:p>
        </w:tc>
        <w:tc>
          <w:tcPr>
            <w:tcW w:w="851" w:type="dxa"/>
            <w:vAlign w:val="center"/>
          </w:tcPr>
          <w:p w:rsidR="0059491F" w:rsidRPr="00BF7F58" w:rsidRDefault="0059491F" w:rsidP="00BF7F58">
            <w:pPr>
              <w:jc w:val="both"/>
              <w:rPr>
                <w:rFonts w:asciiTheme="minorHAnsi" w:hAnsiTheme="minorHAnsi" w:cstheme="minorHAnsi"/>
                <w:bCs/>
                <w:sz w:val="20"/>
                <w:szCs w:val="20"/>
              </w:rPr>
            </w:pPr>
            <w:r w:rsidRPr="00BF7F58">
              <w:rPr>
                <w:rFonts w:asciiTheme="minorHAnsi" w:hAnsiTheme="minorHAnsi" w:cstheme="minorHAnsi"/>
                <w:bCs/>
                <w:sz w:val="20"/>
                <w:szCs w:val="20"/>
              </w:rPr>
              <w:t>46</w:t>
            </w:r>
          </w:p>
        </w:tc>
      </w:tr>
      <w:tr w:rsidR="0059491F" w:rsidRPr="00BF7F58" w:rsidTr="003D7CF3">
        <w:trPr>
          <w:trHeight w:val="347"/>
        </w:trPr>
        <w:tc>
          <w:tcPr>
            <w:tcW w:w="779" w:type="dxa"/>
            <w:vAlign w:val="center"/>
          </w:tcPr>
          <w:p w:rsidR="0059491F" w:rsidRPr="00BF7F58" w:rsidRDefault="0059491F" w:rsidP="002D7EE9">
            <w:pPr>
              <w:pStyle w:val="ListParagraph"/>
              <w:numPr>
                <w:ilvl w:val="0"/>
                <w:numId w:val="10"/>
              </w:numPr>
              <w:contextualSpacing w:val="0"/>
              <w:jc w:val="both"/>
              <w:rPr>
                <w:rFonts w:asciiTheme="minorHAnsi" w:hAnsiTheme="minorHAnsi" w:cstheme="minorHAnsi"/>
                <w:bCs/>
                <w:sz w:val="20"/>
                <w:szCs w:val="20"/>
              </w:rPr>
            </w:pPr>
          </w:p>
        </w:tc>
        <w:tc>
          <w:tcPr>
            <w:tcW w:w="4183" w:type="dxa"/>
            <w:vAlign w:val="center"/>
          </w:tcPr>
          <w:p w:rsidR="0059491F" w:rsidRPr="00BF7F58" w:rsidRDefault="0059491F" w:rsidP="00BF7F58">
            <w:pPr>
              <w:jc w:val="both"/>
              <w:rPr>
                <w:rFonts w:asciiTheme="minorHAnsi" w:hAnsiTheme="minorHAnsi" w:cstheme="minorHAnsi"/>
                <w:bCs/>
                <w:sz w:val="20"/>
                <w:szCs w:val="20"/>
              </w:rPr>
            </w:pPr>
            <w:r w:rsidRPr="00BF7F58">
              <w:rPr>
                <w:rFonts w:asciiTheme="minorHAnsi" w:hAnsiTheme="minorHAnsi" w:cstheme="minorHAnsi"/>
                <w:sz w:val="20"/>
                <w:szCs w:val="20"/>
                <w:lang w:val="es-ES_tradnl" w:eastAsia="en-US"/>
              </w:rPr>
              <w:t>Proyectos de investigación en universidades y centros educativos</w:t>
            </w:r>
          </w:p>
        </w:tc>
        <w:tc>
          <w:tcPr>
            <w:tcW w:w="2976"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No beneficiarios de los proyectos</w:t>
            </w:r>
          </w:p>
        </w:tc>
        <w:tc>
          <w:tcPr>
            <w:tcW w:w="851" w:type="dxa"/>
            <w:vAlign w:val="center"/>
          </w:tcPr>
          <w:p w:rsidR="0059491F" w:rsidRPr="00BF7F58" w:rsidRDefault="0059491F" w:rsidP="00BF7F58">
            <w:pPr>
              <w:jc w:val="both"/>
              <w:rPr>
                <w:rFonts w:asciiTheme="minorHAnsi" w:hAnsiTheme="minorHAnsi" w:cstheme="minorHAnsi"/>
                <w:bCs/>
                <w:sz w:val="20"/>
                <w:szCs w:val="20"/>
              </w:rPr>
            </w:pPr>
            <w:r w:rsidRPr="00BF7F58">
              <w:rPr>
                <w:rFonts w:asciiTheme="minorHAnsi" w:hAnsiTheme="minorHAnsi" w:cstheme="minorHAnsi"/>
                <w:bCs/>
                <w:sz w:val="20"/>
                <w:szCs w:val="20"/>
              </w:rPr>
              <w:t>296</w:t>
            </w:r>
          </w:p>
        </w:tc>
      </w:tr>
      <w:tr w:rsidR="0059491F" w:rsidRPr="00BF7F58" w:rsidTr="003D7CF3">
        <w:trPr>
          <w:trHeight w:val="360"/>
        </w:trPr>
        <w:tc>
          <w:tcPr>
            <w:tcW w:w="779" w:type="dxa"/>
            <w:vAlign w:val="center"/>
          </w:tcPr>
          <w:p w:rsidR="0059491F" w:rsidRPr="00BF7F58" w:rsidRDefault="0059491F" w:rsidP="002D7EE9">
            <w:pPr>
              <w:pStyle w:val="ListParagraph"/>
              <w:numPr>
                <w:ilvl w:val="0"/>
                <w:numId w:val="10"/>
              </w:numPr>
              <w:contextualSpacing w:val="0"/>
              <w:jc w:val="both"/>
              <w:rPr>
                <w:rFonts w:asciiTheme="minorHAnsi" w:hAnsiTheme="minorHAnsi" w:cstheme="minorHAnsi"/>
                <w:bCs/>
                <w:sz w:val="20"/>
                <w:szCs w:val="20"/>
              </w:rPr>
            </w:pPr>
          </w:p>
        </w:tc>
        <w:tc>
          <w:tcPr>
            <w:tcW w:w="4183"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Proyectos de innovación en empresas</w:t>
            </w:r>
          </w:p>
        </w:tc>
        <w:tc>
          <w:tcPr>
            <w:tcW w:w="2976"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Beneficiarios de los proyectos</w:t>
            </w:r>
          </w:p>
        </w:tc>
        <w:tc>
          <w:tcPr>
            <w:tcW w:w="851" w:type="dxa"/>
            <w:vAlign w:val="center"/>
          </w:tcPr>
          <w:p w:rsidR="0059491F" w:rsidRPr="00BF7F58" w:rsidRDefault="0059491F" w:rsidP="00BF7F58">
            <w:pPr>
              <w:jc w:val="both"/>
              <w:rPr>
                <w:rFonts w:asciiTheme="minorHAnsi" w:hAnsiTheme="minorHAnsi" w:cstheme="minorHAnsi"/>
                <w:bCs/>
                <w:sz w:val="20"/>
                <w:szCs w:val="20"/>
              </w:rPr>
            </w:pPr>
            <w:r w:rsidRPr="00BF7F58">
              <w:rPr>
                <w:rFonts w:asciiTheme="minorHAnsi" w:hAnsiTheme="minorHAnsi" w:cstheme="minorHAnsi"/>
                <w:bCs/>
                <w:sz w:val="20"/>
                <w:szCs w:val="20"/>
              </w:rPr>
              <w:t>19</w:t>
            </w:r>
          </w:p>
        </w:tc>
      </w:tr>
      <w:tr w:rsidR="0059491F" w:rsidRPr="00BF7F58" w:rsidTr="003D7CF3">
        <w:trPr>
          <w:trHeight w:val="360"/>
        </w:trPr>
        <w:tc>
          <w:tcPr>
            <w:tcW w:w="779" w:type="dxa"/>
            <w:vAlign w:val="center"/>
          </w:tcPr>
          <w:p w:rsidR="0059491F" w:rsidRPr="00BF7F58" w:rsidRDefault="0059491F" w:rsidP="002D7EE9">
            <w:pPr>
              <w:pStyle w:val="ListParagraph"/>
              <w:numPr>
                <w:ilvl w:val="0"/>
                <w:numId w:val="10"/>
              </w:numPr>
              <w:contextualSpacing w:val="0"/>
              <w:jc w:val="both"/>
              <w:rPr>
                <w:rFonts w:asciiTheme="minorHAnsi" w:hAnsiTheme="minorHAnsi" w:cstheme="minorHAnsi"/>
                <w:bCs/>
                <w:sz w:val="20"/>
                <w:szCs w:val="20"/>
              </w:rPr>
            </w:pPr>
          </w:p>
        </w:tc>
        <w:tc>
          <w:tcPr>
            <w:tcW w:w="4183"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Proyectos de innovación en empresas</w:t>
            </w:r>
          </w:p>
        </w:tc>
        <w:tc>
          <w:tcPr>
            <w:tcW w:w="2976"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No beneficiarios de los proyectos</w:t>
            </w:r>
          </w:p>
        </w:tc>
        <w:tc>
          <w:tcPr>
            <w:tcW w:w="851" w:type="dxa"/>
            <w:vAlign w:val="center"/>
          </w:tcPr>
          <w:p w:rsidR="0059491F" w:rsidRPr="00BF7F58" w:rsidRDefault="0059491F" w:rsidP="00BF7F58">
            <w:pPr>
              <w:jc w:val="both"/>
              <w:rPr>
                <w:rFonts w:asciiTheme="minorHAnsi" w:hAnsiTheme="minorHAnsi" w:cstheme="minorHAnsi"/>
                <w:bCs/>
                <w:sz w:val="20"/>
                <w:szCs w:val="20"/>
              </w:rPr>
            </w:pPr>
            <w:r w:rsidRPr="00BF7F58">
              <w:rPr>
                <w:rFonts w:asciiTheme="minorHAnsi" w:hAnsiTheme="minorHAnsi" w:cstheme="minorHAnsi"/>
                <w:bCs/>
                <w:sz w:val="20"/>
                <w:szCs w:val="20"/>
              </w:rPr>
              <w:t>58</w:t>
            </w:r>
          </w:p>
        </w:tc>
      </w:tr>
      <w:tr w:rsidR="0059491F" w:rsidRPr="00BF7F58" w:rsidTr="003D7CF3">
        <w:trPr>
          <w:trHeight w:val="360"/>
        </w:trPr>
        <w:tc>
          <w:tcPr>
            <w:tcW w:w="779" w:type="dxa"/>
            <w:vAlign w:val="center"/>
          </w:tcPr>
          <w:p w:rsidR="0059491F" w:rsidRPr="00BF7F58" w:rsidRDefault="0059491F" w:rsidP="002D7EE9">
            <w:pPr>
              <w:pStyle w:val="ListParagraph"/>
              <w:numPr>
                <w:ilvl w:val="0"/>
                <w:numId w:val="10"/>
              </w:numPr>
              <w:contextualSpacing w:val="0"/>
              <w:jc w:val="both"/>
              <w:rPr>
                <w:rFonts w:asciiTheme="minorHAnsi" w:hAnsiTheme="minorHAnsi" w:cstheme="minorHAnsi"/>
                <w:bCs/>
                <w:sz w:val="20"/>
                <w:szCs w:val="20"/>
              </w:rPr>
            </w:pPr>
          </w:p>
        </w:tc>
        <w:tc>
          <w:tcPr>
            <w:tcW w:w="4183"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Becas para estudio de posgrado (maestría-doctorado) en el país</w:t>
            </w:r>
          </w:p>
        </w:tc>
        <w:tc>
          <w:tcPr>
            <w:tcW w:w="2976"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Beneficiarios de las becas</w:t>
            </w:r>
          </w:p>
        </w:tc>
        <w:tc>
          <w:tcPr>
            <w:tcW w:w="851" w:type="dxa"/>
            <w:vAlign w:val="center"/>
          </w:tcPr>
          <w:p w:rsidR="0059491F" w:rsidRPr="00BF7F58" w:rsidRDefault="0059491F" w:rsidP="00BF7F58">
            <w:pPr>
              <w:jc w:val="both"/>
              <w:rPr>
                <w:rFonts w:asciiTheme="minorHAnsi" w:hAnsiTheme="minorHAnsi" w:cstheme="minorHAnsi"/>
                <w:bCs/>
                <w:sz w:val="20"/>
                <w:szCs w:val="20"/>
              </w:rPr>
            </w:pPr>
            <w:r w:rsidRPr="00BF7F58">
              <w:rPr>
                <w:rFonts w:asciiTheme="minorHAnsi" w:hAnsiTheme="minorHAnsi" w:cstheme="minorHAnsi"/>
                <w:bCs/>
                <w:sz w:val="20"/>
                <w:szCs w:val="20"/>
              </w:rPr>
              <w:t>51</w:t>
            </w:r>
          </w:p>
        </w:tc>
      </w:tr>
      <w:tr w:rsidR="0059491F" w:rsidRPr="00BF7F58" w:rsidTr="003D7CF3">
        <w:trPr>
          <w:trHeight w:val="347"/>
        </w:trPr>
        <w:tc>
          <w:tcPr>
            <w:tcW w:w="779" w:type="dxa"/>
            <w:vAlign w:val="center"/>
          </w:tcPr>
          <w:p w:rsidR="0059491F" w:rsidRPr="00BF7F58" w:rsidRDefault="0059491F" w:rsidP="002D7EE9">
            <w:pPr>
              <w:pStyle w:val="ListParagraph"/>
              <w:numPr>
                <w:ilvl w:val="0"/>
                <w:numId w:val="10"/>
              </w:numPr>
              <w:contextualSpacing w:val="0"/>
              <w:jc w:val="both"/>
              <w:rPr>
                <w:rFonts w:asciiTheme="minorHAnsi" w:hAnsiTheme="minorHAnsi" w:cstheme="minorHAnsi"/>
                <w:bCs/>
                <w:sz w:val="20"/>
                <w:szCs w:val="20"/>
              </w:rPr>
            </w:pPr>
          </w:p>
        </w:tc>
        <w:tc>
          <w:tcPr>
            <w:tcW w:w="4183"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Becas para estudio de posgrado (maestría-doctorado) en el país</w:t>
            </w:r>
          </w:p>
        </w:tc>
        <w:tc>
          <w:tcPr>
            <w:tcW w:w="2976"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No beneficiarios de las becas</w:t>
            </w:r>
          </w:p>
        </w:tc>
        <w:tc>
          <w:tcPr>
            <w:tcW w:w="851" w:type="dxa"/>
            <w:vAlign w:val="center"/>
          </w:tcPr>
          <w:p w:rsidR="0059491F" w:rsidRPr="00BF7F58" w:rsidRDefault="0059491F" w:rsidP="00BF7F58">
            <w:pPr>
              <w:jc w:val="both"/>
              <w:rPr>
                <w:rFonts w:asciiTheme="minorHAnsi" w:hAnsiTheme="minorHAnsi" w:cstheme="minorHAnsi"/>
                <w:bCs/>
                <w:sz w:val="20"/>
                <w:szCs w:val="20"/>
              </w:rPr>
            </w:pPr>
            <w:r w:rsidRPr="00BF7F58">
              <w:rPr>
                <w:rFonts w:asciiTheme="minorHAnsi" w:hAnsiTheme="minorHAnsi" w:cstheme="minorHAnsi"/>
                <w:bCs/>
                <w:sz w:val="20"/>
                <w:szCs w:val="20"/>
              </w:rPr>
              <w:t>25</w:t>
            </w:r>
          </w:p>
        </w:tc>
      </w:tr>
      <w:tr w:rsidR="0059491F" w:rsidRPr="00BF7F58" w:rsidTr="003D7CF3">
        <w:trPr>
          <w:trHeight w:val="360"/>
        </w:trPr>
        <w:tc>
          <w:tcPr>
            <w:tcW w:w="779" w:type="dxa"/>
            <w:vAlign w:val="center"/>
          </w:tcPr>
          <w:p w:rsidR="0059491F" w:rsidRPr="00BF7F58" w:rsidRDefault="0059491F" w:rsidP="002D7EE9">
            <w:pPr>
              <w:pStyle w:val="ListParagraph"/>
              <w:numPr>
                <w:ilvl w:val="0"/>
                <w:numId w:val="10"/>
              </w:numPr>
              <w:contextualSpacing w:val="0"/>
              <w:jc w:val="both"/>
              <w:rPr>
                <w:rFonts w:asciiTheme="minorHAnsi" w:hAnsiTheme="minorHAnsi" w:cstheme="minorHAnsi"/>
                <w:bCs/>
                <w:sz w:val="20"/>
                <w:szCs w:val="20"/>
              </w:rPr>
            </w:pPr>
          </w:p>
        </w:tc>
        <w:tc>
          <w:tcPr>
            <w:tcW w:w="4183"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Becas de corta duración no conducentes a título en el extranjero</w:t>
            </w:r>
          </w:p>
        </w:tc>
        <w:tc>
          <w:tcPr>
            <w:tcW w:w="2976"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Beneficiarios de las becas</w:t>
            </w:r>
          </w:p>
        </w:tc>
        <w:tc>
          <w:tcPr>
            <w:tcW w:w="851" w:type="dxa"/>
            <w:vAlign w:val="center"/>
          </w:tcPr>
          <w:p w:rsidR="0059491F" w:rsidRPr="00BF7F58" w:rsidRDefault="0059491F" w:rsidP="00BF7F58">
            <w:pPr>
              <w:jc w:val="both"/>
              <w:rPr>
                <w:rFonts w:asciiTheme="minorHAnsi" w:hAnsiTheme="minorHAnsi" w:cstheme="minorHAnsi"/>
                <w:bCs/>
                <w:sz w:val="20"/>
                <w:szCs w:val="20"/>
              </w:rPr>
            </w:pPr>
            <w:r w:rsidRPr="00BF7F58">
              <w:rPr>
                <w:rFonts w:asciiTheme="minorHAnsi" w:hAnsiTheme="minorHAnsi" w:cstheme="minorHAnsi"/>
                <w:bCs/>
                <w:sz w:val="20"/>
                <w:szCs w:val="20"/>
              </w:rPr>
              <w:t>73</w:t>
            </w:r>
          </w:p>
        </w:tc>
      </w:tr>
      <w:tr w:rsidR="0059491F" w:rsidRPr="00BF7F58" w:rsidTr="003D7CF3">
        <w:trPr>
          <w:trHeight w:val="347"/>
        </w:trPr>
        <w:tc>
          <w:tcPr>
            <w:tcW w:w="779" w:type="dxa"/>
            <w:vAlign w:val="center"/>
          </w:tcPr>
          <w:p w:rsidR="0059491F" w:rsidRPr="00BF7F58" w:rsidRDefault="0059491F" w:rsidP="002D7EE9">
            <w:pPr>
              <w:pStyle w:val="ListParagraph"/>
              <w:numPr>
                <w:ilvl w:val="0"/>
                <w:numId w:val="10"/>
              </w:numPr>
              <w:contextualSpacing w:val="0"/>
              <w:jc w:val="both"/>
              <w:rPr>
                <w:rFonts w:asciiTheme="minorHAnsi" w:hAnsiTheme="minorHAnsi" w:cstheme="minorHAnsi"/>
                <w:bCs/>
                <w:sz w:val="20"/>
                <w:szCs w:val="20"/>
              </w:rPr>
            </w:pPr>
          </w:p>
        </w:tc>
        <w:tc>
          <w:tcPr>
            <w:tcW w:w="4183"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Becas de corta duración no conducentes a título en el extranjero</w:t>
            </w:r>
          </w:p>
        </w:tc>
        <w:tc>
          <w:tcPr>
            <w:tcW w:w="2976"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No beneficiarios de las becas</w:t>
            </w:r>
          </w:p>
        </w:tc>
        <w:tc>
          <w:tcPr>
            <w:tcW w:w="851" w:type="dxa"/>
            <w:vAlign w:val="center"/>
          </w:tcPr>
          <w:p w:rsidR="0059491F" w:rsidRPr="00BF7F58" w:rsidRDefault="0059491F" w:rsidP="00BF7F58">
            <w:pPr>
              <w:jc w:val="both"/>
              <w:rPr>
                <w:rFonts w:asciiTheme="minorHAnsi" w:hAnsiTheme="minorHAnsi" w:cstheme="minorHAnsi"/>
                <w:bCs/>
                <w:sz w:val="20"/>
                <w:szCs w:val="20"/>
              </w:rPr>
            </w:pPr>
            <w:r w:rsidRPr="00BF7F58">
              <w:rPr>
                <w:rFonts w:asciiTheme="minorHAnsi" w:hAnsiTheme="minorHAnsi" w:cstheme="minorHAnsi"/>
                <w:bCs/>
                <w:sz w:val="20"/>
                <w:szCs w:val="20"/>
              </w:rPr>
              <w:t>32</w:t>
            </w:r>
          </w:p>
        </w:tc>
      </w:tr>
      <w:tr w:rsidR="0059491F" w:rsidRPr="00BF7F58" w:rsidTr="003D7CF3">
        <w:trPr>
          <w:trHeight w:val="360"/>
        </w:trPr>
        <w:tc>
          <w:tcPr>
            <w:tcW w:w="779" w:type="dxa"/>
            <w:vAlign w:val="center"/>
          </w:tcPr>
          <w:p w:rsidR="0059491F" w:rsidRPr="00BF7F58" w:rsidRDefault="0059491F" w:rsidP="002D7EE9">
            <w:pPr>
              <w:pStyle w:val="ListParagraph"/>
              <w:numPr>
                <w:ilvl w:val="0"/>
                <w:numId w:val="10"/>
              </w:numPr>
              <w:contextualSpacing w:val="0"/>
              <w:jc w:val="both"/>
              <w:rPr>
                <w:rFonts w:asciiTheme="minorHAnsi" w:hAnsiTheme="minorHAnsi" w:cstheme="minorHAnsi"/>
                <w:bCs/>
                <w:sz w:val="20"/>
                <w:szCs w:val="20"/>
              </w:rPr>
            </w:pPr>
          </w:p>
        </w:tc>
        <w:tc>
          <w:tcPr>
            <w:tcW w:w="4183"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Becas de apoyo complementario a becarios en el extranjero</w:t>
            </w:r>
          </w:p>
        </w:tc>
        <w:tc>
          <w:tcPr>
            <w:tcW w:w="2976"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Beneficiarios de las becas</w:t>
            </w:r>
          </w:p>
        </w:tc>
        <w:tc>
          <w:tcPr>
            <w:tcW w:w="851" w:type="dxa"/>
            <w:vAlign w:val="center"/>
          </w:tcPr>
          <w:p w:rsidR="0059491F" w:rsidRPr="00BF7F58" w:rsidRDefault="0059491F" w:rsidP="00BF7F58">
            <w:pPr>
              <w:jc w:val="both"/>
              <w:rPr>
                <w:rFonts w:asciiTheme="minorHAnsi" w:hAnsiTheme="minorHAnsi" w:cstheme="minorHAnsi"/>
                <w:bCs/>
                <w:sz w:val="20"/>
                <w:szCs w:val="20"/>
              </w:rPr>
            </w:pPr>
            <w:r w:rsidRPr="00BF7F58">
              <w:rPr>
                <w:rFonts w:asciiTheme="minorHAnsi" w:hAnsiTheme="minorHAnsi" w:cstheme="minorHAnsi"/>
                <w:bCs/>
                <w:sz w:val="20"/>
                <w:szCs w:val="20"/>
              </w:rPr>
              <w:t>82</w:t>
            </w:r>
          </w:p>
        </w:tc>
      </w:tr>
      <w:tr w:rsidR="0059491F" w:rsidRPr="00BF7F58" w:rsidTr="003D7CF3">
        <w:trPr>
          <w:trHeight w:val="347"/>
        </w:trPr>
        <w:tc>
          <w:tcPr>
            <w:tcW w:w="779" w:type="dxa"/>
            <w:vAlign w:val="center"/>
          </w:tcPr>
          <w:p w:rsidR="0059491F" w:rsidRPr="00BF7F58" w:rsidRDefault="0059491F" w:rsidP="002D7EE9">
            <w:pPr>
              <w:pStyle w:val="ListParagraph"/>
              <w:numPr>
                <w:ilvl w:val="0"/>
                <w:numId w:val="10"/>
              </w:numPr>
              <w:contextualSpacing w:val="0"/>
              <w:jc w:val="both"/>
              <w:rPr>
                <w:rFonts w:asciiTheme="minorHAnsi" w:hAnsiTheme="minorHAnsi" w:cstheme="minorHAnsi"/>
                <w:bCs/>
                <w:sz w:val="20"/>
                <w:szCs w:val="20"/>
              </w:rPr>
            </w:pPr>
          </w:p>
        </w:tc>
        <w:tc>
          <w:tcPr>
            <w:tcW w:w="4183"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Becas de apoyo complementario a becarios en el extranjero</w:t>
            </w:r>
          </w:p>
        </w:tc>
        <w:tc>
          <w:tcPr>
            <w:tcW w:w="2976"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No beneficiarios de las becas</w:t>
            </w:r>
          </w:p>
        </w:tc>
        <w:tc>
          <w:tcPr>
            <w:tcW w:w="851" w:type="dxa"/>
            <w:vAlign w:val="center"/>
          </w:tcPr>
          <w:p w:rsidR="0059491F" w:rsidRPr="00BF7F58" w:rsidRDefault="0059491F" w:rsidP="00BF7F58">
            <w:pPr>
              <w:jc w:val="both"/>
              <w:rPr>
                <w:rFonts w:asciiTheme="minorHAnsi" w:hAnsiTheme="minorHAnsi" w:cstheme="minorHAnsi"/>
                <w:bCs/>
                <w:sz w:val="20"/>
                <w:szCs w:val="20"/>
              </w:rPr>
            </w:pPr>
            <w:r w:rsidRPr="00BF7F58">
              <w:rPr>
                <w:rFonts w:asciiTheme="minorHAnsi" w:hAnsiTheme="minorHAnsi" w:cstheme="minorHAnsi"/>
                <w:bCs/>
                <w:sz w:val="20"/>
                <w:szCs w:val="20"/>
              </w:rPr>
              <w:t>84</w:t>
            </w:r>
          </w:p>
        </w:tc>
      </w:tr>
      <w:tr w:rsidR="0059491F" w:rsidRPr="00BF7F58" w:rsidTr="003D7CF3">
        <w:trPr>
          <w:trHeight w:val="360"/>
        </w:trPr>
        <w:tc>
          <w:tcPr>
            <w:tcW w:w="779" w:type="dxa"/>
            <w:vAlign w:val="center"/>
          </w:tcPr>
          <w:p w:rsidR="0059491F" w:rsidRPr="00BF7F58" w:rsidRDefault="0059491F" w:rsidP="002D7EE9">
            <w:pPr>
              <w:pStyle w:val="ListParagraph"/>
              <w:numPr>
                <w:ilvl w:val="0"/>
                <w:numId w:val="10"/>
              </w:numPr>
              <w:contextualSpacing w:val="0"/>
              <w:jc w:val="both"/>
              <w:rPr>
                <w:rFonts w:asciiTheme="minorHAnsi" w:hAnsiTheme="minorHAnsi" w:cstheme="minorHAnsi"/>
                <w:bCs/>
                <w:sz w:val="20"/>
                <w:szCs w:val="20"/>
              </w:rPr>
            </w:pPr>
          </w:p>
        </w:tc>
        <w:tc>
          <w:tcPr>
            <w:tcW w:w="4183"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Proyectos de fortalecimiento de postgrados nacionales</w:t>
            </w:r>
          </w:p>
        </w:tc>
        <w:tc>
          <w:tcPr>
            <w:tcW w:w="2976"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Beneficiarios de los proyectos</w:t>
            </w:r>
          </w:p>
        </w:tc>
        <w:tc>
          <w:tcPr>
            <w:tcW w:w="851" w:type="dxa"/>
            <w:vAlign w:val="center"/>
          </w:tcPr>
          <w:p w:rsidR="0059491F" w:rsidRPr="00BF7F58" w:rsidRDefault="0059491F" w:rsidP="00BF7F58">
            <w:pPr>
              <w:jc w:val="both"/>
              <w:rPr>
                <w:rFonts w:asciiTheme="minorHAnsi" w:hAnsiTheme="minorHAnsi" w:cstheme="minorHAnsi"/>
                <w:bCs/>
                <w:sz w:val="20"/>
                <w:szCs w:val="20"/>
              </w:rPr>
            </w:pPr>
            <w:r w:rsidRPr="00BF7F58">
              <w:rPr>
                <w:rFonts w:asciiTheme="minorHAnsi" w:hAnsiTheme="minorHAnsi" w:cstheme="minorHAnsi"/>
                <w:bCs/>
                <w:sz w:val="20"/>
                <w:szCs w:val="20"/>
              </w:rPr>
              <w:t>11</w:t>
            </w:r>
          </w:p>
        </w:tc>
      </w:tr>
      <w:tr w:rsidR="0059491F" w:rsidRPr="00BF7F58" w:rsidTr="003D7CF3">
        <w:trPr>
          <w:trHeight w:val="347"/>
        </w:trPr>
        <w:tc>
          <w:tcPr>
            <w:tcW w:w="779" w:type="dxa"/>
            <w:vAlign w:val="center"/>
          </w:tcPr>
          <w:p w:rsidR="0059491F" w:rsidRPr="00BF7F58" w:rsidRDefault="0059491F" w:rsidP="002D7EE9">
            <w:pPr>
              <w:pStyle w:val="ListParagraph"/>
              <w:numPr>
                <w:ilvl w:val="0"/>
                <w:numId w:val="10"/>
              </w:numPr>
              <w:contextualSpacing w:val="0"/>
              <w:jc w:val="both"/>
              <w:rPr>
                <w:rFonts w:asciiTheme="minorHAnsi" w:hAnsiTheme="minorHAnsi" w:cstheme="minorHAnsi"/>
                <w:bCs/>
                <w:sz w:val="20"/>
                <w:szCs w:val="20"/>
              </w:rPr>
            </w:pPr>
          </w:p>
        </w:tc>
        <w:tc>
          <w:tcPr>
            <w:tcW w:w="4183"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Proyectos de fortalecimiento de postgrados nacionales</w:t>
            </w:r>
          </w:p>
        </w:tc>
        <w:tc>
          <w:tcPr>
            <w:tcW w:w="2976" w:type="dxa"/>
            <w:vAlign w:val="center"/>
          </w:tcPr>
          <w:p w:rsidR="0059491F" w:rsidRPr="00BF7F58" w:rsidRDefault="0059491F" w:rsidP="00BF7F58">
            <w:pPr>
              <w:jc w:val="both"/>
              <w:rPr>
                <w:rFonts w:asciiTheme="minorHAnsi" w:hAnsiTheme="minorHAnsi" w:cstheme="minorHAnsi"/>
                <w:sz w:val="20"/>
                <w:szCs w:val="20"/>
                <w:lang w:val="es-ES_tradnl" w:eastAsia="en-US"/>
              </w:rPr>
            </w:pPr>
            <w:r w:rsidRPr="00BF7F58">
              <w:rPr>
                <w:rFonts w:asciiTheme="minorHAnsi" w:hAnsiTheme="minorHAnsi" w:cstheme="minorHAnsi"/>
                <w:sz w:val="20"/>
                <w:szCs w:val="20"/>
                <w:lang w:val="es-ES_tradnl" w:eastAsia="en-US"/>
              </w:rPr>
              <w:t>No beneficiarios de los proyectos</w:t>
            </w:r>
          </w:p>
        </w:tc>
        <w:tc>
          <w:tcPr>
            <w:tcW w:w="851" w:type="dxa"/>
            <w:vAlign w:val="center"/>
          </w:tcPr>
          <w:p w:rsidR="0059491F" w:rsidRPr="00BF7F58" w:rsidRDefault="0059491F" w:rsidP="00BF7F58">
            <w:pPr>
              <w:jc w:val="both"/>
              <w:rPr>
                <w:rFonts w:asciiTheme="minorHAnsi" w:hAnsiTheme="minorHAnsi" w:cstheme="minorHAnsi"/>
                <w:bCs/>
                <w:sz w:val="20"/>
                <w:szCs w:val="20"/>
              </w:rPr>
            </w:pPr>
            <w:r w:rsidRPr="00BF7F58">
              <w:rPr>
                <w:rFonts w:asciiTheme="minorHAnsi" w:hAnsiTheme="minorHAnsi" w:cstheme="minorHAnsi"/>
                <w:bCs/>
                <w:sz w:val="20"/>
                <w:szCs w:val="20"/>
              </w:rPr>
              <w:t>15</w:t>
            </w:r>
          </w:p>
        </w:tc>
      </w:tr>
    </w:tbl>
    <w:p w:rsidR="0059491F" w:rsidRPr="0037314C" w:rsidRDefault="0059491F" w:rsidP="00C30FF0">
      <w:pPr>
        <w:autoSpaceDE w:val="0"/>
        <w:autoSpaceDN w:val="0"/>
        <w:adjustRightInd w:val="0"/>
        <w:spacing w:after="200" w:line="276" w:lineRule="auto"/>
        <w:jc w:val="both"/>
        <w:rPr>
          <w:rFonts w:asciiTheme="minorHAnsi" w:hAnsiTheme="minorHAnsi" w:cstheme="minorHAnsi"/>
          <w:sz w:val="18"/>
          <w:szCs w:val="18"/>
          <w:lang w:val="es-ES_tradnl" w:eastAsia="en-US"/>
        </w:rPr>
      </w:pPr>
      <w:r w:rsidRPr="0037314C">
        <w:rPr>
          <w:rFonts w:asciiTheme="minorHAnsi" w:hAnsiTheme="minorHAnsi" w:cstheme="minorHAnsi"/>
          <w:sz w:val="18"/>
          <w:szCs w:val="18"/>
          <w:lang w:val="es-ES_tradnl" w:eastAsia="en-US"/>
        </w:rPr>
        <w:t>Fuente: Elaboración propia en base a datos del PROCIT</w:t>
      </w:r>
    </w:p>
    <w:p w:rsidR="0059491F" w:rsidRPr="00C30FF0" w:rsidRDefault="0059491F" w:rsidP="00C30FF0">
      <w:pPr>
        <w:spacing w:after="200" w:line="276" w:lineRule="auto"/>
        <w:jc w:val="both"/>
        <w:rPr>
          <w:rFonts w:asciiTheme="minorHAnsi" w:hAnsiTheme="minorHAnsi" w:cstheme="minorHAnsi"/>
          <w:kern w:val="32"/>
        </w:rPr>
      </w:pPr>
      <w:r w:rsidRPr="00C30FF0">
        <w:rPr>
          <w:rFonts w:asciiTheme="minorHAnsi" w:hAnsiTheme="minorHAnsi" w:cstheme="minorHAnsi"/>
          <w:lang w:val="es-ES_tradnl" w:eastAsia="en-US"/>
        </w:rPr>
        <w:t xml:space="preserve">Las encuestas se enviaron a todo el universo de postulantes (indistintamente de si sus proyectos se aprobaron o no). La misma fue de aplicación on-line, a través de la plataforma Survey Monkey. A los fines de garantizar una alta tasa de representatividad en las respuestas, las encuestas se enviaron con una carta oficial del PROCIT firmada por el presidente del CONACYT y se contrató un </w:t>
      </w:r>
      <w:r w:rsidR="00AE7CDF">
        <w:rPr>
          <w:rFonts w:asciiTheme="minorHAnsi" w:hAnsiTheme="minorHAnsi" w:cstheme="minorHAnsi"/>
          <w:lang w:val="es-ES_tradnl" w:eastAsia="en-US"/>
        </w:rPr>
        <w:t>asistente</w:t>
      </w:r>
      <w:r w:rsidRPr="00C30FF0">
        <w:rPr>
          <w:rFonts w:asciiTheme="minorHAnsi" w:hAnsiTheme="minorHAnsi" w:cstheme="minorHAnsi"/>
          <w:lang w:val="es-ES_tradnl" w:eastAsia="en-US"/>
        </w:rPr>
        <w:t xml:space="preserve"> destinado a realizar un seguimiento vía e- mail y telefónico de las encuestas durante un mes y medio.  Se insistió en la respuesta al menos tres veces por postulante. </w:t>
      </w:r>
    </w:p>
    <w:p w:rsidR="0059491F" w:rsidRPr="00C30FF0" w:rsidRDefault="0059491F" w:rsidP="00C30FF0">
      <w:pPr>
        <w:spacing w:after="200" w:line="276" w:lineRule="auto"/>
        <w:jc w:val="both"/>
        <w:rPr>
          <w:rFonts w:asciiTheme="minorHAnsi" w:hAnsiTheme="minorHAnsi" w:cstheme="minorHAnsi"/>
          <w:lang w:val="es-ES_tradnl" w:eastAsia="en-US"/>
        </w:rPr>
      </w:pPr>
      <w:r w:rsidRPr="00C30FF0">
        <w:rPr>
          <w:rFonts w:asciiTheme="minorHAnsi" w:hAnsiTheme="minorHAnsi" w:cstheme="minorHAnsi"/>
          <w:lang w:val="es-ES_tradnl" w:eastAsia="en-US"/>
        </w:rPr>
        <w:t>Respecto del diseño de la encuesta, y a los fines de garantizar la recolección de toda la información necesaria para el análisis, se elaboró un esquema de apartados y categorías para cada subcomponente a partir del cual se construyeron las correspondientes preguntas.</w:t>
      </w:r>
    </w:p>
    <w:p w:rsidR="0059491F" w:rsidRPr="00C30FF0" w:rsidRDefault="0059491F" w:rsidP="00C30FF0">
      <w:pPr>
        <w:autoSpaceDE w:val="0"/>
        <w:autoSpaceDN w:val="0"/>
        <w:adjustRightInd w:val="0"/>
        <w:spacing w:after="200" w:line="276" w:lineRule="auto"/>
        <w:jc w:val="both"/>
        <w:rPr>
          <w:rFonts w:asciiTheme="minorHAnsi" w:hAnsiTheme="minorHAnsi" w:cstheme="minorHAnsi"/>
          <w:color w:val="000000"/>
          <w:lang w:val="es-AR" w:eastAsia="es-AR"/>
        </w:rPr>
      </w:pPr>
      <w:r w:rsidRPr="00C30FF0">
        <w:rPr>
          <w:rFonts w:asciiTheme="minorHAnsi" w:hAnsiTheme="minorHAnsi" w:cstheme="minorHAnsi"/>
          <w:color w:val="000000"/>
          <w:lang w:val="es-AR" w:eastAsia="es-AR"/>
        </w:rPr>
        <w:lastRenderedPageBreak/>
        <w:t>Como resultado de esta actividad</w:t>
      </w:r>
      <w:r w:rsidR="00AE7CDF">
        <w:rPr>
          <w:rFonts w:asciiTheme="minorHAnsi" w:hAnsiTheme="minorHAnsi" w:cstheme="minorHAnsi"/>
          <w:color w:val="000000"/>
          <w:lang w:val="es-AR" w:eastAsia="es-AR"/>
        </w:rPr>
        <w:t>,</w:t>
      </w:r>
      <w:r w:rsidRPr="00C30FF0">
        <w:rPr>
          <w:rFonts w:asciiTheme="minorHAnsi" w:hAnsiTheme="minorHAnsi" w:cstheme="minorHAnsi"/>
          <w:color w:val="000000"/>
          <w:lang w:val="es-AR" w:eastAsia="es-AR"/>
        </w:rPr>
        <w:t xml:space="preserve"> se enviaron </w:t>
      </w:r>
      <w:r w:rsidR="00AE7CDF">
        <w:rPr>
          <w:rFonts w:asciiTheme="minorHAnsi" w:hAnsiTheme="minorHAnsi" w:cstheme="minorHAnsi"/>
          <w:color w:val="000000"/>
          <w:lang w:val="es-AR" w:eastAsia="es-AR"/>
        </w:rPr>
        <w:t xml:space="preserve">encuestas </w:t>
      </w:r>
      <w:r w:rsidRPr="00C30FF0">
        <w:rPr>
          <w:rFonts w:asciiTheme="minorHAnsi" w:hAnsiTheme="minorHAnsi" w:cstheme="minorHAnsi"/>
          <w:color w:val="000000"/>
          <w:lang w:val="es-AR" w:eastAsia="es-AR"/>
        </w:rPr>
        <w:t>a 591 personas, y se obtuvieron 212 respuestas. Respondieron a las encuestas 141 beneficiarios y 71 no beneficiarios (un 47,8% y 24% respectivamente)</w:t>
      </w:r>
      <w:r w:rsidR="00AE7CDF">
        <w:rPr>
          <w:rFonts w:asciiTheme="minorHAnsi" w:hAnsiTheme="minorHAnsi" w:cstheme="minorHAnsi"/>
          <w:color w:val="000000"/>
          <w:lang w:val="es-AR" w:eastAsia="es-AR"/>
        </w:rPr>
        <w:t>.</w:t>
      </w:r>
    </w:p>
    <w:p w:rsidR="0059491F" w:rsidRPr="00C30FF0" w:rsidRDefault="0059491F" w:rsidP="00C30FF0">
      <w:pPr>
        <w:spacing w:after="200" w:line="276" w:lineRule="auto"/>
        <w:jc w:val="both"/>
        <w:rPr>
          <w:rFonts w:asciiTheme="minorHAnsi" w:hAnsiTheme="minorHAnsi" w:cstheme="minorHAnsi"/>
          <w:lang w:val="es-ES_tradnl" w:eastAsia="en-US"/>
        </w:rPr>
      </w:pPr>
      <w:r w:rsidRPr="00C30FF0">
        <w:rPr>
          <w:rFonts w:asciiTheme="minorHAnsi" w:hAnsiTheme="minorHAnsi" w:cstheme="minorHAnsi"/>
          <w:lang w:val="es-ES_tradnl" w:eastAsia="en-US"/>
        </w:rPr>
        <w:t xml:space="preserve">Para complementar la información obtenida mediante encuestas se realizaron visitas a las instituciones y organizaciones beneficiarias de proyectos seleccionados, para observar en terreno los productos y resultados alcanzados, y a su vez, indagar sobre las dificultades de implementación. Asimismo, se realizaron una serie de grupos focales con beneficiarios y no </w:t>
      </w:r>
      <w:r w:rsidR="00BF7F58">
        <w:rPr>
          <w:rFonts w:asciiTheme="minorHAnsi" w:hAnsiTheme="minorHAnsi" w:cstheme="minorHAnsi"/>
          <w:lang w:val="es-ES_tradnl" w:eastAsia="en-US"/>
        </w:rPr>
        <w:t xml:space="preserve">beneficiarios (según </w:t>
      </w:r>
      <w:r w:rsidRPr="00C30FF0">
        <w:rPr>
          <w:rFonts w:asciiTheme="minorHAnsi" w:hAnsiTheme="minorHAnsi" w:cstheme="minorHAnsi"/>
          <w:lang w:val="es-ES_tradnl" w:eastAsia="en-US"/>
        </w:rPr>
        <w:t>subcomponente) y entrevistas con informantes clave, fundamentalmente personas que conocían los proyectos o quienes er</w:t>
      </w:r>
      <w:r w:rsidR="00AE7CDF">
        <w:rPr>
          <w:rFonts w:asciiTheme="minorHAnsi" w:hAnsiTheme="minorHAnsi" w:cstheme="minorHAnsi"/>
          <w:lang w:val="es-ES_tradnl" w:eastAsia="en-US"/>
        </w:rPr>
        <w:t>an considerados referentes del Sistema Nacional de Ciencia, T</w:t>
      </w:r>
      <w:r w:rsidRPr="00C30FF0">
        <w:rPr>
          <w:rFonts w:asciiTheme="minorHAnsi" w:hAnsiTheme="minorHAnsi" w:cstheme="minorHAnsi"/>
          <w:lang w:val="es-ES_tradnl" w:eastAsia="en-US"/>
        </w:rPr>
        <w:t>ecnología</w:t>
      </w:r>
      <w:r w:rsidR="00AE7CDF">
        <w:rPr>
          <w:rFonts w:asciiTheme="minorHAnsi" w:hAnsiTheme="minorHAnsi" w:cstheme="minorHAnsi"/>
          <w:lang w:val="es-ES_tradnl" w:eastAsia="en-US"/>
        </w:rPr>
        <w:t>, I</w:t>
      </w:r>
      <w:r w:rsidRPr="00C30FF0">
        <w:rPr>
          <w:rFonts w:asciiTheme="minorHAnsi" w:hAnsiTheme="minorHAnsi" w:cstheme="minorHAnsi"/>
          <w:lang w:val="es-ES_tradnl" w:eastAsia="en-US"/>
        </w:rPr>
        <w:t>nnovación</w:t>
      </w:r>
      <w:r w:rsidR="00AE7CDF">
        <w:rPr>
          <w:rFonts w:asciiTheme="minorHAnsi" w:hAnsiTheme="minorHAnsi" w:cstheme="minorHAnsi"/>
          <w:lang w:val="es-ES_tradnl" w:eastAsia="en-US"/>
        </w:rPr>
        <w:t xml:space="preserve"> y Calidad</w:t>
      </w:r>
      <w:r w:rsidRPr="00C30FF0">
        <w:rPr>
          <w:rFonts w:asciiTheme="minorHAnsi" w:hAnsiTheme="minorHAnsi" w:cstheme="minorHAnsi"/>
          <w:lang w:val="es-ES_tradnl" w:eastAsia="en-US"/>
        </w:rPr>
        <w:t xml:space="preserve">, a los fines de indagar en profundidad sobre las características de las líneas de acción del PROCIT y el impacto de los proyectos. </w:t>
      </w:r>
      <w:r w:rsidRPr="00C30FF0">
        <w:rPr>
          <w:rFonts w:asciiTheme="minorHAnsi" w:hAnsiTheme="minorHAnsi" w:cstheme="minorHAnsi"/>
          <w:color w:val="000000"/>
          <w:lang w:val="es-AR" w:eastAsia="es-AR"/>
        </w:rPr>
        <w:t xml:space="preserve">Se realizaron 22 </w:t>
      </w:r>
      <w:r w:rsidRPr="00C30FF0">
        <w:rPr>
          <w:rFonts w:asciiTheme="minorHAnsi" w:hAnsiTheme="minorHAnsi" w:cstheme="minorHAnsi"/>
          <w:b/>
          <w:color w:val="000000"/>
          <w:lang w:val="es-AR" w:eastAsia="es-AR"/>
        </w:rPr>
        <w:t>visitas</w:t>
      </w:r>
      <w:r w:rsidRPr="00C30FF0">
        <w:rPr>
          <w:rFonts w:asciiTheme="minorHAnsi" w:hAnsiTheme="minorHAnsi" w:cstheme="minorHAnsi"/>
          <w:color w:val="000000"/>
          <w:lang w:val="es-AR" w:eastAsia="es-AR"/>
        </w:rPr>
        <w:t xml:space="preserve"> a empresas, centros de investigación y universidades; 10 </w:t>
      </w:r>
      <w:r w:rsidRPr="00C30FF0">
        <w:rPr>
          <w:rFonts w:asciiTheme="minorHAnsi" w:hAnsiTheme="minorHAnsi" w:cstheme="minorHAnsi"/>
          <w:b/>
          <w:color w:val="000000"/>
          <w:lang w:val="es-AR" w:eastAsia="es-AR"/>
        </w:rPr>
        <w:t>grupos focales</w:t>
      </w:r>
      <w:r w:rsidRPr="00C30FF0">
        <w:rPr>
          <w:rFonts w:asciiTheme="minorHAnsi" w:hAnsiTheme="minorHAnsi" w:cstheme="minorHAnsi"/>
          <w:color w:val="000000"/>
          <w:lang w:val="es-AR" w:eastAsia="es-AR"/>
        </w:rPr>
        <w:t xml:space="preserve"> a beneficiarios y no beneficiarios de cada uno de los subcomponentes y se </w:t>
      </w:r>
      <w:r w:rsidRPr="00C30FF0">
        <w:rPr>
          <w:rFonts w:asciiTheme="minorHAnsi" w:hAnsiTheme="minorHAnsi" w:cstheme="minorHAnsi"/>
          <w:b/>
          <w:color w:val="000000"/>
          <w:lang w:val="es-AR" w:eastAsia="es-AR"/>
        </w:rPr>
        <w:t>entrevistaron</w:t>
      </w:r>
      <w:r w:rsidRPr="00C30FF0">
        <w:rPr>
          <w:rFonts w:asciiTheme="minorHAnsi" w:hAnsiTheme="minorHAnsi" w:cstheme="minorHAnsi"/>
          <w:color w:val="000000"/>
          <w:lang w:val="es-AR" w:eastAsia="es-AR"/>
        </w:rPr>
        <w:t xml:space="preserve"> 10 actores relevantes del</w:t>
      </w:r>
      <w:r w:rsidR="00AE7CDF">
        <w:rPr>
          <w:rFonts w:asciiTheme="minorHAnsi" w:hAnsiTheme="minorHAnsi" w:cstheme="minorHAnsi"/>
          <w:color w:val="000000"/>
          <w:lang w:val="es-AR" w:eastAsia="es-AR"/>
        </w:rPr>
        <w:t xml:space="preserve"> mencionado sistema</w:t>
      </w:r>
      <w:r w:rsidRPr="00C30FF0">
        <w:rPr>
          <w:rFonts w:asciiTheme="minorHAnsi" w:hAnsiTheme="minorHAnsi" w:cstheme="minorHAnsi"/>
          <w:color w:val="000000"/>
          <w:lang w:val="es-AR" w:eastAsia="es-AR"/>
        </w:rPr>
        <w:t>.</w:t>
      </w:r>
    </w:p>
    <w:p w:rsidR="0059491F" w:rsidRPr="00C30FF0" w:rsidRDefault="0059491F" w:rsidP="00C30FF0">
      <w:pPr>
        <w:spacing w:after="200" w:line="276" w:lineRule="auto"/>
        <w:jc w:val="both"/>
        <w:rPr>
          <w:rFonts w:asciiTheme="minorHAnsi" w:hAnsiTheme="minorHAnsi" w:cstheme="minorHAnsi"/>
          <w:lang w:val="es-ES_tradnl" w:eastAsia="en-US"/>
        </w:rPr>
      </w:pPr>
      <w:r w:rsidRPr="00C30FF0">
        <w:rPr>
          <w:rFonts w:asciiTheme="minorHAnsi" w:hAnsiTheme="minorHAnsi" w:cstheme="minorHAnsi"/>
          <w:lang w:val="es-ES_tradnl" w:eastAsia="en-US"/>
        </w:rPr>
        <w:t xml:space="preserve">Las entidades a </w:t>
      </w:r>
      <w:r w:rsidRPr="00C30FF0">
        <w:rPr>
          <w:rFonts w:asciiTheme="minorHAnsi" w:hAnsiTheme="minorHAnsi" w:cstheme="minorHAnsi"/>
          <w:b/>
          <w:lang w:val="es-ES_tradnl" w:eastAsia="en-US"/>
        </w:rPr>
        <w:t>visitar</w:t>
      </w:r>
      <w:r w:rsidRPr="00C30FF0">
        <w:rPr>
          <w:rFonts w:asciiTheme="minorHAnsi" w:hAnsiTheme="minorHAnsi" w:cstheme="minorHAnsi"/>
          <w:lang w:val="es-ES_tradnl" w:eastAsia="en-US"/>
        </w:rPr>
        <w:t xml:space="preserve"> se seleccionaron en acuerdo con el PROCIT, considerando los siguientes criterios:</w:t>
      </w:r>
    </w:p>
    <w:p w:rsidR="0059491F" w:rsidRPr="00BF7F58" w:rsidRDefault="0059491F" w:rsidP="00BF7F58">
      <w:pPr>
        <w:spacing w:after="200" w:line="276" w:lineRule="auto"/>
        <w:jc w:val="both"/>
        <w:rPr>
          <w:rFonts w:asciiTheme="minorHAnsi" w:hAnsiTheme="minorHAnsi" w:cstheme="minorHAnsi"/>
          <w:b/>
          <w:i/>
          <w:lang w:val="es-ES_tradnl" w:eastAsia="en-US"/>
        </w:rPr>
      </w:pPr>
      <w:r w:rsidRPr="00BF7F58">
        <w:rPr>
          <w:rFonts w:asciiTheme="minorHAnsi" w:hAnsiTheme="minorHAnsi" w:cstheme="minorHAnsi"/>
          <w:b/>
          <w:i/>
          <w:lang w:val="es-ES_tradnl" w:eastAsia="en-US"/>
        </w:rPr>
        <w:t>Para proyectos de investigación y fortalecimiento de postgrados:</w:t>
      </w:r>
    </w:p>
    <w:p w:rsidR="0059491F" w:rsidRPr="00C30FF0" w:rsidRDefault="0059491F" w:rsidP="00BF7F58">
      <w:pPr>
        <w:spacing w:after="200" w:line="276" w:lineRule="auto"/>
        <w:jc w:val="both"/>
        <w:rPr>
          <w:rFonts w:asciiTheme="minorHAnsi" w:hAnsiTheme="minorHAnsi" w:cstheme="minorHAnsi"/>
          <w:lang w:val="es-ES_tradnl" w:eastAsia="en-US"/>
        </w:rPr>
      </w:pPr>
      <w:r w:rsidRPr="00C30FF0">
        <w:rPr>
          <w:rFonts w:asciiTheme="minorHAnsi" w:hAnsiTheme="minorHAnsi" w:cstheme="minorHAnsi"/>
          <w:lang w:val="es-ES_tradnl" w:eastAsia="en-US"/>
        </w:rPr>
        <w:t>Se visitaron ocho proyectos de investigación y cuatro de fortalecimiento de postgrados. Los criterios de selección de la muestra fueron: (i) heterogeneidad de disciplinas en los proponentes; (ii) diversidad en las instituciones a quienes fueron adjudicados los proyectos, es decir, asociaciones, fundaciones, institutos, etc.; (iii) instituciones de gestión pública y de gestión privada; (iv) proyectos de tipo asociativo y no asociativo; (v) proyectos ubicados en el Gran Asunción; (vi) diversidad respecto al sector al que pertenecen; (vii) proyectos que hayan realizado la firma de contrato hace tiempo y proyectos que hayan firmado contrato recientemente; (viii) proyectos muy exitosos y proyectos menos exitosos en relación con los resultados alcanzados.</w:t>
      </w:r>
    </w:p>
    <w:p w:rsidR="0059491F" w:rsidRPr="00C30FF0" w:rsidRDefault="0059491F" w:rsidP="00BF7F58">
      <w:pPr>
        <w:spacing w:after="200" w:line="276" w:lineRule="auto"/>
        <w:jc w:val="both"/>
        <w:rPr>
          <w:rFonts w:asciiTheme="minorHAnsi" w:hAnsiTheme="minorHAnsi" w:cstheme="minorHAnsi"/>
          <w:b/>
          <w:i/>
          <w:lang w:val="es-ES_tradnl" w:eastAsia="en-US"/>
        </w:rPr>
      </w:pPr>
      <w:r w:rsidRPr="00C30FF0">
        <w:rPr>
          <w:rFonts w:asciiTheme="minorHAnsi" w:hAnsiTheme="minorHAnsi" w:cstheme="minorHAnsi"/>
          <w:b/>
          <w:i/>
          <w:lang w:val="es-ES_tradnl" w:eastAsia="en-US"/>
        </w:rPr>
        <w:t>Para proyectos de Innovación:</w:t>
      </w:r>
    </w:p>
    <w:p w:rsidR="0059491F" w:rsidRPr="00B75BEC" w:rsidRDefault="0059491F" w:rsidP="00C30FF0">
      <w:pPr>
        <w:spacing w:after="200" w:line="276" w:lineRule="auto"/>
        <w:jc w:val="both"/>
        <w:rPr>
          <w:rFonts w:asciiTheme="minorHAnsi" w:hAnsiTheme="minorHAnsi" w:cstheme="minorHAnsi"/>
          <w:lang w:val="es-ES_tradnl" w:eastAsia="en-US"/>
        </w:rPr>
      </w:pPr>
      <w:r w:rsidRPr="00C30FF0">
        <w:rPr>
          <w:rFonts w:asciiTheme="minorHAnsi" w:hAnsiTheme="minorHAnsi" w:cstheme="minorHAnsi"/>
          <w:lang w:val="es-ES_tradnl" w:eastAsia="en-US"/>
        </w:rPr>
        <w:t xml:space="preserve">Se seleccionaron los diez proyectos con mayor impacto económico para estudiar en detalle, usando la metodología de esperanza de impacto económico. Para la realización de las mismas se les envió a las autoridades del CONACYT un protocolo de visita por cada componente. </w:t>
      </w:r>
    </w:p>
    <w:p w:rsidR="0059491F" w:rsidRPr="00C30FF0" w:rsidRDefault="0059491F" w:rsidP="00C30FF0">
      <w:pPr>
        <w:spacing w:after="200" w:line="276" w:lineRule="auto"/>
        <w:jc w:val="both"/>
        <w:rPr>
          <w:rFonts w:asciiTheme="minorHAnsi" w:hAnsiTheme="minorHAnsi" w:cstheme="minorHAnsi"/>
          <w:kern w:val="32"/>
        </w:rPr>
        <w:sectPr w:rsidR="0059491F" w:rsidRPr="00C30FF0" w:rsidSect="007430F4">
          <w:type w:val="continuous"/>
          <w:pgSz w:w="12240" w:h="15840"/>
          <w:pgMar w:top="1418" w:right="1701" w:bottom="1418" w:left="1701" w:header="709" w:footer="709" w:gutter="0"/>
          <w:cols w:space="708"/>
          <w:titlePg/>
          <w:docGrid w:linePitch="360"/>
        </w:sectPr>
      </w:pPr>
    </w:p>
    <w:p w:rsidR="0059491F" w:rsidRPr="00C30FF0" w:rsidRDefault="0059491F" w:rsidP="00C30FF0">
      <w:pPr>
        <w:spacing w:after="200" w:line="276" w:lineRule="auto"/>
        <w:jc w:val="both"/>
        <w:rPr>
          <w:rFonts w:asciiTheme="minorHAnsi" w:hAnsiTheme="minorHAnsi" w:cstheme="minorHAnsi"/>
          <w:lang w:val="es-ES_tradnl"/>
        </w:rPr>
      </w:pPr>
      <w:r w:rsidRPr="00C30FF0">
        <w:rPr>
          <w:rFonts w:asciiTheme="minorHAnsi" w:hAnsiTheme="minorHAnsi" w:cstheme="minorHAnsi"/>
          <w:lang w:val="es-ES_tradnl"/>
        </w:rPr>
        <w:lastRenderedPageBreak/>
        <w:t>Los grupos focales se realizaron según el siguiente detalle:</w:t>
      </w:r>
    </w:p>
    <w:p w:rsidR="007A62FA" w:rsidRDefault="007A62FA" w:rsidP="00BF7F58">
      <w:pPr>
        <w:spacing w:after="200" w:line="276" w:lineRule="auto"/>
        <w:jc w:val="center"/>
        <w:rPr>
          <w:rFonts w:asciiTheme="minorHAnsi" w:hAnsiTheme="minorHAnsi" w:cstheme="minorHAnsi"/>
          <w:b/>
          <w:lang w:val="es-ES_tradnl"/>
        </w:rPr>
      </w:pPr>
    </w:p>
    <w:p w:rsidR="007A62FA" w:rsidRDefault="007A62FA" w:rsidP="00BF7F58">
      <w:pPr>
        <w:spacing w:after="200" w:line="276" w:lineRule="auto"/>
        <w:jc w:val="center"/>
        <w:rPr>
          <w:rFonts w:asciiTheme="minorHAnsi" w:hAnsiTheme="minorHAnsi" w:cstheme="minorHAnsi"/>
          <w:b/>
          <w:lang w:val="es-ES_tradnl"/>
        </w:rPr>
      </w:pPr>
    </w:p>
    <w:p w:rsidR="007A62FA" w:rsidRDefault="007A62FA" w:rsidP="00BF7F58">
      <w:pPr>
        <w:spacing w:after="200" w:line="276" w:lineRule="auto"/>
        <w:jc w:val="center"/>
        <w:rPr>
          <w:rFonts w:asciiTheme="minorHAnsi" w:hAnsiTheme="minorHAnsi" w:cstheme="minorHAnsi"/>
          <w:b/>
          <w:lang w:val="es-ES_tradnl"/>
        </w:rPr>
      </w:pPr>
    </w:p>
    <w:p w:rsidR="007A62FA" w:rsidRDefault="007A62FA" w:rsidP="00BF7F58">
      <w:pPr>
        <w:spacing w:after="200" w:line="276" w:lineRule="auto"/>
        <w:jc w:val="center"/>
        <w:rPr>
          <w:rFonts w:asciiTheme="minorHAnsi" w:hAnsiTheme="minorHAnsi" w:cstheme="minorHAnsi"/>
          <w:b/>
          <w:lang w:val="es-ES_tradnl"/>
        </w:rPr>
      </w:pPr>
    </w:p>
    <w:p w:rsidR="0059491F" w:rsidRPr="00C30FF0" w:rsidRDefault="0059491F" w:rsidP="00BF7F58">
      <w:pPr>
        <w:spacing w:after="200" w:line="276" w:lineRule="auto"/>
        <w:jc w:val="center"/>
        <w:rPr>
          <w:rFonts w:asciiTheme="minorHAnsi" w:hAnsiTheme="minorHAnsi" w:cstheme="minorHAnsi"/>
          <w:b/>
          <w:lang w:val="es-ES_tradnl"/>
        </w:rPr>
      </w:pPr>
      <w:r w:rsidRPr="00C30FF0">
        <w:rPr>
          <w:rFonts w:asciiTheme="minorHAnsi" w:hAnsiTheme="minorHAnsi" w:cstheme="minorHAnsi"/>
          <w:b/>
          <w:lang w:val="es-ES_tradnl"/>
        </w:rPr>
        <w:t>Tabla</w:t>
      </w:r>
      <w:r w:rsidR="00BF7F58">
        <w:rPr>
          <w:rFonts w:asciiTheme="minorHAnsi" w:hAnsiTheme="minorHAnsi" w:cstheme="minorHAnsi"/>
          <w:b/>
          <w:lang w:val="es-ES_tradnl"/>
        </w:rPr>
        <w:t xml:space="preserve"> </w:t>
      </w:r>
      <w:r w:rsidR="00C30FF0" w:rsidRPr="00C30FF0">
        <w:rPr>
          <w:rFonts w:asciiTheme="minorHAnsi" w:hAnsiTheme="minorHAnsi" w:cstheme="minorHAnsi"/>
          <w:b/>
          <w:lang w:val="es-ES_tradnl"/>
        </w:rPr>
        <w:t>4.4.</w:t>
      </w:r>
      <w:r w:rsidRPr="00C30FF0">
        <w:rPr>
          <w:rFonts w:asciiTheme="minorHAnsi" w:hAnsiTheme="minorHAnsi" w:cstheme="minorHAnsi"/>
          <w:b/>
          <w:lang w:val="es-ES_tradnl"/>
        </w:rPr>
        <w:t xml:space="preserve"> Cantidad de grupos focales a realizar según tipo de participante y subcomponente</w:t>
      </w:r>
    </w:p>
    <w:tbl>
      <w:tblPr>
        <w:tblStyle w:val="TableGrid"/>
        <w:tblW w:w="8784" w:type="dxa"/>
        <w:tblLayout w:type="fixed"/>
        <w:tblLook w:val="04A0" w:firstRow="1" w:lastRow="0" w:firstColumn="1" w:lastColumn="0" w:noHBand="0" w:noVBand="1"/>
      </w:tblPr>
      <w:tblGrid>
        <w:gridCol w:w="4656"/>
        <w:gridCol w:w="2002"/>
        <w:gridCol w:w="2126"/>
      </w:tblGrid>
      <w:tr w:rsidR="003D7CF3" w:rsidRPr="003D7CF3" w:rsidTr="003D7CF3">
        <w:trPr>
          <w:trHeight w:val="305"/>
        </w:trPr>
        <w:tc>
          <w:tcPr>
            <w:tcW w:w="4656" w:type="dxa"/>
            <w:vMerge w:val="restart"/>
            <w:shd w:val="clear" w:color="auto" w:fill="0F243E" w:themeFill="text2" w:themeFillShade="80"/>
          </w:tcPr>
          <w:p w:rsidR="0059491F" w:rsidRPr="003D7CF3" w:rsidRDefault="0059491F" w:rsidP="00BF7F58">
            <w:pPr>
              <w:jc w:val="both"/>
              <w:rPr>
                <w:rFonts w:asciiTheme="minorHAnsi" w:hAnsiTheme="minorHAnsi" w:cstheme="minorHAnsi"/>
                <w:b/>
                <w:bCs/>
                <w:color w:val="FFFFFF" w:themeColor="background1"/>
                <w:sz w:val="20"/>
                <w:szCs w:val="20"/>
                <w:lang w:val="es-ES_tradnl"/>
              </w:rPr>
            </w:pPr>
          </w:p>
          <w:p w:rsidR="0059491F" w:rsidRPr="003D7CF3" w:rsidRDefault="0059491F" w:rsidP="00BF7F58">
            <w:pPr>
              <w:jc w:val="both"/>
              <w:rPr>
                <w:rFonts w:asciiTheme="minorHAnsi" w:hAnsiTheme="minorHAnsi" w:cstheme="minorHAnsi"/>
                <w:b/>
                <w:bCs/>
                <w:color w:val="FFFFFF" w:themeColor="background1"/>
                <w:sz w:val="20"/>
                <w:szCs w:val="20"/>
                <w:lang w:val="es-ES_tradnl"/>
              </w:rPr>
            </w:pPr>
            <w:r w:rsidRPr="003D7CF3">
              <w:rPr>
                <w:rFonts w:asciiTheme="minorHAnsi" w:hAnsiTheme="minorHAnsi" w:cstheme="minorHAnsi"/>
                <w:b/>
                <w:bCs/>
                <w:color w:val="FFFFFF" w:themeColor="background1"/>
                <w:sz w:val="20"/>
                <w:szCs w:val="20"/>
                <w:lang w:val="es-ES_tradnl"/>
              </w:rPr>
              <w:t>Subcomponente</w:t>
            </w:r>
          </w:p>
        </w:tc>
        <w:tc>
          <w:tcPr>
            <w:tcW w:w="4128" w:type="dxa"/>
            <w:gridSpan w:val="2"/>
            <w:shd w:val="clear" w:color="auto" w:fill="0F243E" w:themeFill="text2" w:themeFillShade="80"/>
          </w:tcPr>
          <w:p w:rsidR="0059491F" w:rsidRPr="003D7CF3" w:rsidRDefault="0059491F" w:rsidP="00BF7F58">
            <w:pPr>
              <w:jc w:val="center"/>
              <w:rPr>
                <w:rFonts w:asciiTheme="minorHAnsi" w:hAnsiTheme="minorHAnsi" w:cstheme="minorHAnsi"/>
                <w:b/>
                <w:bCs/>
                <w:color w:val="FFFFFF" w:themeColor="background1"/>
                <w:sz w:val="20"/>
                <w:szCs w:val="20"/>
                <w:lang w:val="es-ES_tradnl"/>
              </w:rPr>
            </w:pPr>
            <w:r w:rsidRPr="003D7CF3">
              <w:rPr>
                <w:rFonts w:asciiTheme="minorHAnsi" w:hAnsiTheme="minorHAnsi" w:cstheme="minorHAnsi"/>
                <w:b/>
                <w:bCs/>
                <w:color w:val="FFFFFF" w:themeColor="background1"/>
                <w:sz w:val="20"/>
                <w:szCs w:val="20"/>
                <w:lang w:val="es-ES_tradnl"/>
              </w:rPr>
              <w:t>Tipo de participante</w:t>
            </w:r>
          </w:p>
        </w:tc>
      </w:tr>
      <w:tr w:rsidR="003D7CF3" w:rsidRPr="003D7CF3" w:rsidTr="003D7CF3">
        <w:trPr>
          <w:trHeight w:val="271"/>
        </w:trPr>
        <w:tc>
          <w:tcPr>
            <w:tcW w:w="4656" w:type="dxa"/>
            <w:vMerge/>
            <w:shd w:val="clear" w:color="auto" w:fill="0F243E" w:themeFill="text2" w:themeFillShade="80"/>
          </w:tcPr>
          <w:p w:rsidR="0059491F" w:rsidRPr="003D7CF3" w:rsidRDefault="0059491F" w:rsidP="00BF7F58">
            <w:pPr>
              <w:jc w:val="both"/>
              <w:rPr>
                <w:rFonts w:asciiTheme="minorHAnsi" w:hAnsiTheme="minorHAnsi" w:cstheme="minorHAnsi"/>
                <w:color w:val="FFFFFF" w:themeColor="background1"/>
                <w:sz w:val="20"/>
                <w:szCs w:val="20"/>
                <w:lang w:val="es-ES_tradnl"/>
              </w:rPr>
            </w:pPr>
          </w:p>
        </w:tc>
        <w:tc>
          <w:tcPr>
            <w:tcW w:w="2002" w:type="dxa"/>
            <w:shd w:val="clear" w:color="auto" w:fill="0F243E" w:themeFill="text2" w:themeFillShade="80"/>
          </w:tcPr>
          <w:p w:rsidR="0059491F" w:rsidRPr="003D7CF3" w:rsidRDefault="0059491F" w:rsidP="00BF7F58">
            <w:pPr>
              <w:jc w:val="both"/>
              <w:rPr>
                <w:rFonts w:asciiTheme="minorHAnsi" w:hAnsiTheme="minorHAnsi" w:cstheme="minorHAnsi"/>
                <w:b/>
                <w:bCs/>
                <w:color w:val="FFFFFF" w:themeColor="background1"/>
                <w:sz w:val="20"/>
                <w:szCs w:val="20"/>
                <w:lang w:val="es-ES_tradnl"/>
              </w:rPr>
            </w:pPr>
            <w:r w:rsidRPr="003D7CF3">
              <w:rPr>
                <w:rFonts w:asciiTheme="minorHAnsi" w:hAnsiTheme="minorHAnsi" w:cstheme="minorHAnsi"/>
                <w:b/>
                <w:bCs/>
                <w:color w:val="FFFFFF" w:themeColor="background1"/>
                <w:sz w:val="20"/>
                <w:szCs w:val="20"/>
                <w:lang w:val="es-ES_tradnl"/>
              </w:rPr>
              <w:t>Beneficiario</w:t>
            </w:r>
          </w:p>
        </w:tc>
        <w:tc>
          <w:tcPr>
            <w:tcW w:w="2126" w:type="dxa"/>
            <w:shd w:val="clear" w:color="auto" w:fill="0F243E" w:themeFill="text2" w:themeFillShade="80"/>
          </w:tcPr>
          <w:p w:rsidR="0059491F" w:rsidRPr="003D7CF3" w:rsidRDefault="0059491F" w:rsidP="00BF7F58">
            <w:pPr>
              <w:jc w:val="both"/>
              <w:rPr>
                <w:rFonts w:asciiTheme="minorHAnsi" w:hAnsiTheme="minorHAnsi" w:cstheme="minorHAnsi"/>
                <w:b/>
                <w:bCs/>
                <w:color w:val="FFFFFF" w:themeColor="background1"/>
                <w:sz w:val="20"/>
                <w:szCs w:val="20"/>
                <w:lang w:val="es-ES_tradnl"/>
              </w:rPr>
            </w:pPr>
            <w:r w:rsidRPr="003D7CF3">
              <w:rPr>
                <w:rFonts w:asciiTheme="minorHAnsi" w:hAnsiTheme="minorHAnsi" w:cstheme="minorHAnsi"/>
                <w:b/>
                <w:bCs/>
                <w:color w:val="FFFFFF" w:themeColor="background1"/>
                <w:sz w:val="20"/>
                <w:szCs w:val="20"/>
                <w:lang w:val="es-ES_tradnl"/>
              </w:rPr>
              <w:t>No beneficiarios</w:t>
            </w:r>
          </w:p>
        </w:tc>
      </w:tr>
      <w:tr w:rsidR="0059491F" w:rsidRPr="00BF7F58" w:rsidTr="00BF7F58">
        <w:trPr>
          <w:trHeight w:val="357"/>
        </w:trPr>
        <w:tc>
          <w:tcPr>
            <w:tcW w:w="4656" w:type="dxa"/>
            <w:vAlign w:val="center"/>
          </w:tcPr>
          <w:p w:rsidR="0059491F" w:rsidRPr="00BF7F58" w:rsidRDefault="0059491F" w:rsidP="00BF7F58">
            <w:pPr>
              <w:jc w:val="both"/>
              <w:rPr>
                <w:rFonts w:asciiTheme="minorHAnsi" w:hAnsiTheme="minorHAnsi" w:cstheme="minorHAnsi"/>
                <w:sz w:val="20"/>
                <w:szCs w:val="20"/>
                <w:lang w:val="es-ES_tradnl"/>
              </w:rPr>
            </w:pPr>
            <w:r w:rsidRPr="00BF7F58">
              <w:rPr>
                <w:rFonts w:asciiTheme="minorHAnsi" w:hAnsiTheme="minorHAnsi" w:cstheme="minorHAnsi"/>
                <w:sz w:val="20"/>
                <w:szCs w:val="20"/>
                <w:lang w:val="es-ES_tradnl"/>
              </w:rPr>
              <w:t>Proyectos de investigación</w:t>
            </w:r>
          </w:p>
        </w:tc>
        <w:tc>
          <w:tcPr>
            <w:tcW w:w="2002" w:type="dxa"/>
            <w:vAlign w:val="center"/>
          </w:tcPr>
          <w:p w:rsidR="0059491F" w:rsidRPr="00BF7F58" w:rsidRDefault="0059491F" w:rsidP="00BF7F58">
            <w:pPr>
              <w:jc w:val="both"/>
              <w:rPr>
                <w:rFonts w:asciiTheme="minorHAnsi" w:hAnsiTheme="minorHAnsi" w:cstheme="minorHAnsi"/>
                <w:sz w:val="20"/>
                <w:szCs w:val="20"/>
                <w:lang w:val="es-ES_tradnl"/>
              </w:rPr>
            </w:pPr>
            <w:r w:rsidRPr="00BF7F58">
              <w:rPr>
                <w:rFonts w:asciiTheme="minorHAnsi" w:hAnsiTheme="minorHAnsi" w:cstheme="minorHAnsi"/>
                <w:sz w:val="20"/>
                <w:szCs w:val="20"/>
                <w:lang w:val="es-ES_tradnl"/>
              </w:rPr>
              <w:t>--</w:t>
            </w:r>
          </w:p>
        </w:tc>
        <w:tc>
          <w:tcPr>
            <w:tcW w:w="2126" w:type="dxa"/>
            <w:vAlign w:val="center"/>
          </w:tcPr>
          <w:p w:rsidR="0059491F" w:rsidRPr="00BF7F58" w:rsidRDefault="0059491F" w:rsidP="00BF7F58">
            <w:pPr>
              <w:jc w:val="both"/>
              <w:rPr>
                <w:rFonts w:asciiTheme="minorHAnsi" w:hAnsiTheme="minorHAnsi" w:cstheme="minorHAnsi"/>
                <w:sz w:val="20"/>
                <w:szCs w:val="20"/>
                <w:lang w:val="es-ES_tradnl"/>
              </w:rPr>
            </w:pPr>
            <w:r w:rsidRPr="00BF7F58">
              <w:rPr>
                <w:rFonts w:asciiTheme="minorHAnsi" w:hAnsiTheme="minorHAnsi" w:cstheme="minorHAnsi"/>
                <w:sz w:val="20"/>
                <w:szCs w:val="20"/>
                <w:lang w:val="es-ES_tradnl"/>
              </w:rPr>
              <w:t>1</w:t>
            </w:r>
          </w:p>
        </w:tc>
      </w:tr>
      <w:tr w:rsidR="0059491F" w:rsidRPr="00BF7F58" w:rsidTr="00BF7F58">
        <w:trPr>
          <w:trHeight w:val="262"/>
        </w:trPr>
        <w:tc>
          <w:tcPr>
            <w:tcW w:w="4656" w:type="dxa"/>
            <w:vAlign w:val="center"/>
          </w:tcPr>
          <w:p w:rsidR="0059491F" w:rsidRPr="00BF7F58" w:rsidRDefault="0059491F" w:rsidP="00BF7F58">
            <w:pPr>
              <w:jc w:val="both"/>
              <w:rPr>
                <w:rFonts w:asciiTheme="minorHAnsi" w:hAnsiTheme="minorHAnsi" w:cstheme="minorHAnsi"/>
                <w:sz w:val="20"/>
                <w:szCs w:val="20"/>
                <w:lang w:val="es-ES_tradnl"/>
              </w:rPr>
            </w:pPr>
            <w:r w:rsidRPr="00BF7F58">
              <w:rPr>
                <w:rFonts w:asciiTheme="minorHAnsi" w:hAnsiTheme="minorHAnsi" w:cstheme="minorHAnsi"/>
                <w:sz w:val="20"/>
                <w:szCs w:val="20"/>
                <w:lang w:val="es-ES_tradnl"/>
              </w:rPr>
              <w:t>Proyectos de innovación</w:t>
            </w:r>
          </w:p>
        </w:tc>
        <w:tc>
          <w:tcPr>
            <w:tcW w:w="2002" w:type="dxa"/>
            <w:vAlign w:val="center"/>
          </w:tcPr>
          <w:p w:rsidR="0059491F" w:rsidRPr="00BF7F58" w:rsidRDefault="0059491F" w:rsidP="00BF7F58">
            <w:pPr>
              <w:jc w:val="both"/>
              <w:rPr>
                <w:rFonts w:asciiTheme="minorHAnsi" w:hAnsiTheme="minorHAnsi" w:cstheme="minorHAnsi"/>
                <w:sz w:val="20"/>
                <w:szCs w:val="20"/>
                <w:lang w:val="es-ES_tradnl"/>
              </w:rPr>
            </w:pPr>
            <w:r w:rsidRPr="00BF7F58">
              <w:rPr>
                <w:rFonts w:asciiTheme="minorHAnsi" w:hAnsiTheme="minorHAnsi" w:cstheme="minorHAnsi"/>
                <w:sz w:val="20"/>
                <w:szCs w:val="20"/>
                <w:lang w:val="es-ES_tradnl"/>
              </w:rPr>
              <w:t>--</w:t>
            </w:r>
          </w:p>
        </w:tc>
        <w:tc>
          <w:tcPr>
            <w:tcW w:w="2126" w:type="dxa"/>
            <w:vAlign w:val="center"/>
          </w:tcPr>
          <w:p w:rsidR="0059491F" w:rsidRPr="00BF7F58" w:rsidRDefault="0059491F" w:rsidP="00BF7F58">
            <w:pPr>
              <w:jc w:val="both"/>
              <w:rPr>
                <w:rFonts w:asciiTheme="minorHAnsi" w:hAnsiTheme="minorHAnsi" w:cstheme="minorHAnsi"/>
                <w:sz w:val="20"/>
                <w:szCs w:val="20"/>
                <w:lang w:val="es-ES_tradnl"/>
              </w:rPr>
            </w:pPr>
            <w:r w:rsidRPr="00BF7F58">
              <w:rPr>
                <w:rFonts w:asciiTheme="minorHAnsi" w:hAnsiTheme="minorHAnsi" w:cstheme="minorHAnsi"/>
                <w:sz w:val="20"/>
                <w:szCs w:val="20"/>
                <w:lang w:val="es-ES_tradnl"/>
              </w:rPr>
              <w:t>1</w:t>
            </w:r>
          </w:p>
        </w:tc>
      </w:tr>
      <w:tr w:rsidR="0059491F" w:rsidRPr="00BF7F58" w:rsidTr="00BF7F58">
        <w:trPr>
          <w:trHeight w:val="280"/>
        </w:trPr>
        <w:tc>
          <w:tcPr>
            <w:tcW w:w="4656" w:type="dxa"/>
            <w:vAlign w:val="center"/>
          </w:tcPr>
          <w:p w:rsidR="0059491F" w:rsidRPr="00BF7F58" w:rsidRDefault="0059491F" w:rsidP="00BF7F58">
            <w:pPr>
              <w:jc w:val="both"/>
              <w:rPr>
                <w:rFonts w:asciiTheme="minorHAnsi" w:hAnsiTheme="minorHAnsi" w:cstheme="minorHAnsi"/>
                <w:sz w:val="20"/>
                <w:szCs w:val="20"/>
                <w:lang w:val="es-ES_tradnl"/>
              </w:rPr>
            </w:pPr>
            <w:r w:rsidRPr="00BF7F58">
              <w:rPr>
                <w:rFonts w:asciiTheme="minorHAnsi" w:hAnsiTheme="minorHAnsi" w:cstheme="minorHAnsi"/>
                <w:sz w:val="20"/>
                <w:szCs w:val="20"/>
                <w:lang w:val="es-ES_tradnl"/>
              </w:rPr>
              <w:t>Postgrados</w:t>
            </w:r>
          </w:p>
        </w:tc>
        <w:tc>
          <w:tcPr>
            <w:tcW w:w="2002" w:type="dxa"/>
            <w:vAlign w:val="center"/>
          </w:tcPr>
          <w:p w:rsidR="0059491F" w:rsidRPr="00BF7F58" w:rsidRDefault="0059491F" w:rsidP="00BF7F58">
            <w:pPr>
              <w:jc w:val="both"/>
              <w:rPr>
                <w:rFonts w:asciiTheme="minorHAnsi" w:hAnsiTheme="minorHAnsi" w:cstheme="minorHAnsi"/>
                <w:sz w:val="20"/>
                <w:szCs w:val="20"/>
                <w:lang w:val="es-ES_tradnl"/>
              </w:rPr>
            </w:pPr>
            <w:r w:rsidRPr="00BF7F58">
              <w:rPr>
                <w:rFonts w:asciiTheme="minorHAnsi" w:hAnsiTheme="minorHAnsi" w:cstheme="minorHAnsi"/>
                <w:sz w:val="20"/>
                <w:szCs w:val="20"/>
                <w:lang w:val="es-ES_tradnl"/>
              </w:rPr>
              <w:t>--</w:t>
            </w:r>
          </w:p>
        </w:tc>
        <w:tc>
          <w:tcPr>
            <w:tcW w:w="2126" w:type="dxa"/>
            <w:vAlign w:val="center"/>
          </w:tcPr>
          <w:p w:rsidR="0059491F" w:rsidRPr="00BF7F58" w:rsidRDefault="0059491F" w:rsidP="00BF7F58">
            <w:pPr>
              <w:jc w:val="both"/>
              <w:rPr>
                <w:rFonts w:asciiTheme="minorHAnsi" w:hAnsiTheme="minorHAnsi" w:cstheme="minorHAnsi"/>
                <w:sz w:val="20"/>
                <w:szCs w:val="20"/>
                <w:lang w:val="es-ES_tradnl"/>
              </w:rPr>
            </w:pPr>
            <w:r w:rsidRPr="00BF7F58">
              <w:rPr>
                <w:rFonts w:asciiTheme="minorHAnsi" w:hAnsiTheme="minorHAnsi" w:cstheme="minorHAnsi"/>
                <w:sz w:val="20"/>
                <w:szCs w:val="20"/>
                <w:lang w:val="es-ES_tradnl"/>
              </w:rPr>
              <w:t>1</w:t>
            </w:r>
          </w:p>
        </w:tc>
      </w:tr>
      <w:tr w:rsidR="0059491F" w:rsidRPr="00BF7F58" w:rsidTr="00BF7F58">
        <w:trPr>
          <w:trHeight w:val="270"/>
        </w:trPr>
        <w:tc>
          <w:tcPr>
            <w:tcW w:w="4656" w:type="dxa"/>
            <w:vAlign w:val="center"/>
          </w:tcPr>
          <w:p w:rsidR="0059491F" w:rsidRPr="00BF7F58" w:rsidRDefault="0059491F" w:rsidP="00BF7F58">
            <w:pPr>
              <w:jc w:val="both"/>
              <w:rPr>
                <w:rFonts w:asciiTheme="minorHAnsi" w:hAnsiTheme="minorHAnsi" w:cstheme="minorHAnsi"/>
                <w:sz w:val="20"/>
                <w:szCs w:val="20"/>
                <w:lang w:val="es-ES_tradnl"/>
              </w:rPr>
            </w:pPr>
            <w:r w:rsidRPr="00BF7F58">
              <w:rPr>
                <w:rFonts w:asciiTheme="minorHAnsi" w:hAnsiTheme="minorHAnsi" w:cstheme="minorHAnsi"/>
                <w:sz w:val="20"/>
                <w:szCs w:val="20"/>
                <w:lang w:val="es-ES_tradnl"/>
              </w:rPr>
              <w:t>Becas para estudio de postgrados nacionales</w:t>
            </w:r>
          </w:p>
        </w:tc>
        <w:tc>
          <w:tcPr>
            <w:tcW w:w="2002" w:type="dxa"/>
            <w:vAlign w:val="center"/>
          </w:tcPr>
          <w:p w:rsidR="0059491F" w:rsidRPr="00BF7F58" w:rsidRDefault="0059491F" w:rsidP="00BF7F58">
            <w:pPr>
              <w:jc w:val="both"/>
              <w:rPr>
                <w:rFonts w:asciiTheme="minorHAnsi" w:hAnsiTheme="minorHAnsi" w:cstheme="minorHAnsi"/>
                <w:sz w:val="20"/>
                <w:szCs w:val="20"/>
                <w:lang w:val="es-ES_tradnl"/>
              </w:rPr>
            </w:pPr>
            <w:r w:rsidRPr="00BF7F58">
              <w:rPr>
                <w:rFonts w:asciiTheme="minorHAnsi" w:hAnsiTheme="minorHAnsi" w:cstheme="minorHAnsi"/>
                <w:sz w:val="20"/>
                <w:szCs w:val="20"/>
                <w:lang w:val="es-ES_tradnl"/>
              </w:rPr>
              <w:t>1</w:t>
            </w:r>
          </w:p>
        </w:tc>
        <w:tc>
          <w:tcPr>
            <w:tcW w:w="2126" w:type="dxa"/>
            <w:vAlign w:val="center"/>
          </w:tcPr>
          <w:p w:rsidR="0059491F" w:rsidRPr="00BF7F58" w:rsidRDefault="0059491F" w:rsidP="00BF7F58">
            <w:pPr>
              <w:jc w:val="both"/>
              <w:rPr>
                <w:rFonts w:asciiTheme="minorHAnsi" w:hAnsiTheme="minorHAnsi" w:cstheme="minorHAnsi"/>
                <w:sz w:val="20"/>
                <w:szCs w:val="20"/>
                <w:lang w:val="es-ES_tradnl"/>
              </w:rPr>
            </w:pPr>
            <w:r w:rsidRPr="00BF7F58">
              <w:rPr>
                <w:rFonts w:asciiTheme="minorHAnsi" w:hAnsiTheme="minorHAnsi" w:cstheme="minorHAnsi"/>
                <w:sz w:val="20"/>
                <w:szCs w:val="20"/>
                <w:lang w:val="es-ES_tradnl"/>
              </w:rPr>
              <w:t>1</w:t>
            </w:r>
          </w:p>
        </w:tc>
      </w:tr>
      <w:tr w:rsidR="0059491F" w:rsidRPr="00BF7F58" w:rsidTr="00BF7F58">
        <w:trPr>
          <w:trHeight w:val="481"/>
        </w:trPr>
        <w:tc>
          <w:tcPr>
            <w:tcW w:w="4656" w:type="dxa"/>
            <w:vAlign w:val="center"/>
          </w:tcPr>
          <w:p w:rsidR="0059491F" w:rsidRPr="00BF7F58" w:rsidRDefault="0059491F" w:rsidP="00BF7F58">
            <w:pPr>
              <w:jc w:val="both"/>
              <w:rPr>
                <w:rFonts w:asciiTheme="minorHAnsi" w:hAnsiTheme="minorHAnsi" w:cstheme="minorHAnsi"/>
                <w:sz w:val="20"/>
                <w:szCs w:val="20"/>
                <w:lang w:val="es-ES_tradnl"/>
              </w:rPr>
            </w:pPr>
            <w:r w:rsidRPr="00BF7F58">
              <w:rPr>
                <w:rFonts w:asciiTheme="minorHAnsi" w:hAnsiTheme="minorHAnsi" w:cstheme="minorHAnsi"/>
                <w:sz w:val="20"/>
                <w:szCs w:val="20"/>
                <w:lang w:val="es-ES_tradnl"/>
              </w:rPr>
              <w:t>Becas de corta duración no conducentes a título en el extranjero</w:t>
            </w:r>
          </w:p>
        </w:tc>
        <w:tc>
          <w:tcPr>
            <w:tcW w:w="2002" w:type="dxa"/>
            <w:vAlign w:val="center"/>
          </w:tcPr>
          <w:p w:rsidR="0059491F" w:rsidRPr="00BF7F58" w:rsidRDefault="0059491F" w:rsidP="00BF7F58">
            <w:pPr>
              <w:jc w:val="both"/>
              <w:rPr>
                <w:rFonts w:asciiTheme="minorHAnsi" w:hAnsiTheme="minorHAnsi" w:cstheme="minorHAnsi"/>
                <w:sz w:val="20"/>
                <w:szCs w:val="20"/>
                <w:lang w:val="es-ES_tradnl"/>
              </w:rPr>
            </w:pPr>
            <w:r w:rsidRPr="00BF7F58">
              <w:rPr>
                <w:rFonts w:asciiTheme="minorHAnsi" w:hAnsiTheme="minorHAnsi" w:cstheme="minorHAnsi"/>
                <w:sz w:val="20"/>
                <w:szCs w:val="20"/>
                <w:lang w:val="es-ES_tradnl"/>
              </w:rPr>
              <w:t>1</w:t>
            </w:r>
          </w:p>
        </w:tc>
        <w:tc>
          <w:tcPr>
            <w:tcW w:w="2126" w:type="dxa"/>
            <w:vAlign w:val="center"/>
          </w:tcPr>
          <w:p w:rsidR="0059491F" w:rsidRPr="00BF7F58" w:rsidRDefault="0059491F" w:rsidP="00BF7F58">
            <w:pPr>
              <w:jc w:val="both"/>
              <w:rPr>
                <w:rFonts w:asciiTheme="minorHAnsi" w:hAnsiTheme="minorHAnsi" w:cstheme="minorHAnsi"/>
                <w:sz w:val="20"/>
                <w:szCs w:val="20"/>
                <w:lang w:val="es-ES_tradnl"/>
              </w:rPr>
            </w:pPr>
            <w:r w:rsidRPr="00BF7F58">
              <w:rPr>
                <w:rFonts w:asciiTheme="minorHAnsi" w:hAnsiTheme="minorHAnsi" w:cstheme="minorHAnsi"/>
                <w:sz w:val="20"/>
                <w:szCs w:val="20"/>
                <w:lang w:val="es-ES_tradnl"/>
              </w:rPr>
              <w:t>1</w:t>
            </w:r>
          </w:p>
        </w:tc>
      </w:tr>
      <w:tr w:rsidR="0059491F" w:rsidRPr="00BF7F58" w:rsidTr="00BF7F58">
        <w:trPr>
          <w:trHeight w:val="210"/>
        </w:trPr>
        <w:tc>
          <w:tcPr>
            <w:tcW w:w="4656" w:type="dxa"/>
            <w:vAlign w:val="center"/>
          </w:tcPr>
          <w:p w:rsidR="0059491F" w:rsidRPr="00BF7F58" w:rsidRDefault="0059491F" w:rsidP="00BF7F58">
            <w:pPr>
              <w:jc w:val="both"/>
              <w:rPr>
                <w:rFonts w:asciiTheme="minorHAnsi" w:hAnsiTheme="minorHAnsi" w:cstheme="minorHAnsi"/>
                <w:sz w:val="20"/>
                <w:szCs w:val="20"/>
                <w:lang w:val="es-ES_tradnl"/>
              </w:rPr>
            </w:pPr>
            <w:r w:rsidRPr="00BF7F58">
              <w:rPr>
                <w:rFonts w:asciiTheme="minorHAnsi" w:hAnsiTheme="minorHAnsi" w:cstheme="minorHAnsi"/>
                <w:sz w:val="20"/>
                <w:szCs w:val="20"/>
                <w:lang w:val="es-ES_tradnl"/>
              </w:rPr>
              <w:t>Becas de apoyo complementario a becarios en el extranjero</w:t>
            </w:r>
          </w:p>
        </w:tc>
        <w:tc>
          <w:tcPr>
            <w:tcW w:w="2002" w:type="dxa"/>
            <w:vAlign w:val="center"/>
          </w:tcPr>
          <w:p w:rsidR="0059491F" w:rsidRPr="00BF7F58" w:rsidRDefault="0059491F" w:rsidP="00BF7F58">
            <w:pPr>
              <w:jc w:val="both"/>
              <w:rPr>
                <w:rFonts w:asciiTheme="minorHAnsi" w:hAnsiTheme="minorHAnsi" w:cstheme="minorHAnsi"/>
                <w:sz w:val="20"/>
                <w:szCs w:val="20"/>
                <w:lang w:val="es-ES_tradnl"/>
              </w:rPr>
            </w:pPr>
            <w:r w:rsidRPr="00BF7F58">
              <w:rPr>
                <w:rFonts w:asciiTheme="minorHAnsi" w:hAnsiTheme="minorHAnsi" w:cstheme="minorHAnsi"/>
                <w:sz w:val="20"/>
                <w:szCs w:val="20"/>
                <w:lang w:val="es-ES_tradnl"/>
              </w:rPr>
              <w:t>1</w:t>
            </w:r>
          </w:p>
        </w:tc>
        <w:tc>
          <w:tcPr>
            <w:tcW w:w="2126" w:type="dxa"/>
            <w:vAlign w:val="center"/>
          </w:tcPr>
          <w:p w:rsidR="0059491F" w:rsidRPr="00BF7F58" w:rsidRDefault="0059491F" w:rsidP="00BF7F58">
            <w:pPr>
              <w:jc w:val="both"/>
              <w:rPr>
                <w:rFonts w:asciiTheme="minorHAnsi" w:hAnsiTheme="minorHAnsi" w:cstheme="minorHAnsi"/>
                <w:sz w:val="20"/>
                <w:szCs w:val="20"/>
                <w:lang w:val="es-ES_tradnl"/>
              </w:rPr>
            </w:pPr>
            <w:r w:rsidRPr="00BF7F58">
              <w:rPr>
                <w:rFonts w:asciiTheme="minorHAnsi" w:hAnsiTheme="minorHAnsi" w:cstheme="minorHAnsi"/>
                <w:sz w:val="20"/>
                <w:szCs w:val="20"/>
                <w:lang w:val="es-ES_tradnl"/>
              </w:rPr>
              <w:t>1</w:t>
            </w:r>
          </w:p>
        </w:tc>
      </w:tr>
    </w:tbl>
    <w:p w:rsidR="0059491F" w:rsidRPr="0037314C" w:rsidRDefault="0059491F" w:rsidP="00C30FF0">
      <w:pPr>
        <w:spacing w:after="200" w:line="276" w:lineRule="auto"/>
        <w:jc w:val="both"/>
        <w:rPr>
          <w:rFonts w:asciiTheme="minorHAnsi" w:hAnsiTheme="minorHAnsi" w:cstheme="minorHAnsi"/>
          <w:sz w:val="18"/>
          <w:szCs w:val="18"/>
          <w:lang w:val="es-ES_tradnl"/>
        </w:rPr>
      </w:pPr>
      <w:r w:rsidRPr="0037314C">
        <w:rPr>
          <w:rFonts w:asciiTheme="minorHAnsi" w:hAnsiTheme="minorHAnsi" w:cstheme="minorHAnsi"/>
          <w:sz w:val="18"/>
          <w:szCs w:val="18"/>
          <w:lang w:val="es-ES_tradnl"/>
        </w:rPr>
        <w:t xml:space="preserve">Fuente: Elaboración propia  </w:t>
      </w:r>
    </w:p>
    <w:p w:rsidR="0059491F" w:rsidRPr="00C30FF0" w:rsidRDefault="0059491F" w:rsidP="00C30FF0">
      <w:pPr>
        <w:spacing w:after="200" w:line="276" w:lineRule="auto"/>
        <w:jc w:val="both"/>
        <w:rPr>
          <w:rFonts w:asciiTheme="minorHAnsi" w:hAnsiTheme="minorHAnsi" w:cstheme="minorHAnsi"/>
          <w:lang w:val="es-ES_tradnl" w:eastAsia="en-US"/>
        </w:rPr>
      </w:pPr>
      <w:r w:rsidRPr="00C30FF0">
        <w:rPr>
          <w:rFonts w:asciiTheme="minorHAnsi" w:hAnsiTheme="minorHAnsi" w:cstheme="minorHAnsi"/>
          <w:lang w:val="es-ES_tradnl"/>
        </w:rPr>
        <w:t>Para la realización de los grupos focales y entrevistas en profun</w:t>
      </w:r>
      <w:r w:rsidR="006D3C3F" w:rsidRPr="00C30FF0">
        <w:rPr>
          <w:rFonts w:asciiTheme="minorHAnsi" w:hAnsiTheme="minorHAnsi" w:cstheme="minorHAnsi"/>
          <w:lang w:val="es-ES_tradnl"/>
        </w:rPr>
        <w:t>d</w:t>
      </w:r>
      <w:r w:rsidRPr="00C30FF0">
        <w:rPr>
          <w:rFonts w:asciiTheme="minorHAnsi" w:hAnsiTheme="minorHAnsi" w:cstheme="minorHAnsi"/>
          <w:lang w:val="es-ES_tradnl"/>
        </w:rPr>
        <w:t>idad se elaboró un guión temático con las principales categorías a relevar.</w:t>
      </w:r>
      <w:r w:rsidRPr="00C30FF0">
        <w:rPr>
          <w:rFonts w:asciiTheme="minorHAnsi" w:hAnsiTheme="minorHAnsi" w:cstheme="minorHAnsi"/>
          <w:lang w:val="es-ES_tradnl" w:eastAsia="en-US"/>
        </w:rPr>
        <w:t xml:space="preserve"> La finalidad de este instrumento era obtener información más detallada y con mayor profundidad a los fines de complementar la información volcada en la encuesta.</w:t>
      </w:r>
      <w:r w:rsidRPr="00C30FF0">
        <w:rPr>
          <w:rFonts w:asciiTheme="minorHAnsi" w:hAnsiTheme="minorHAnsi" w:cstheme="minorHAnsi"/>
          <w:lang w:val="es-ES_tradnl"/>
        </w:rPr>
        <w:t xml:space="preserve"> Respecto de las entrevistas</w:t>
      </w:r>
      <w:r w:rsidR="004C0916">
        <w:rPr>
          <w:rFonts w:asciiTheme="minorHAnsi" w:hAnsiTheme="minorHAnsi" w:cstheme="minorHAnsi"/>
          <w:lang w:val="es-ES_tradnl"/>
        </w:rPr>
        <w:t>,</w:t>
      </w:r>
      <w:r w:rsidRPr="00C30FF0">
        <w:rPr>
          <w:rFonts w:asciiTheme="minorHAnsi" w:hAnsiTheme="minorHAnsi" w:cstheme="minorHAnsi"/>
          <w:lang w:val="es-ES_tradnl"/>
        </w:rPr>
        <w:t xml:space="preserve"> en la Tabla a continuación se detallan </w:t>
      </w:r>
      <w:r w:rsidRPr="00C30FF0">
        <w:rPr>
          <w:rFonts w:asciiTheme="minorHAnsi" w:hAnsiTheme="minorHAnsi" w:cstheme="minorHAnsi"/>
          <w:lang w:val="es-ES_tradnl" w:eastAsia="en-US"/>
        </w:rPr>
        <w:t xml:space="preserve">los </w:t>
      </w:r>
      <w:r w:rsidR="004C0916">
        <w:rPr>
          <w:rFonts w:asciiTheme="minorHAnsi" w:hAnsiTheme="minorHAnsi" w:cstheme="minorHAnsi"/>
          <w:lang w:val="es-ES_tradnl" w:eastAsia="en-US"/>
        </w:rPr>
        <w:t>sub</w:t>
      </w:r>
      <w:r w:rsidRPr="00C30FF0">
        <w:rPr>
          <w:rFonts w:asciiTheme="minorHAnsi" w:hAnsiTheme="minorHAnsi" w:cstheme="minorHAnsi"/>
          <w:lang w:val="es-ES_tradnl" w:eastAsia="en-US"/>
        </w:rPr>
        <w:t>componentes evaluados bajo esta modalidad y las personas que fueron entrevistadas.</w:t>
      </w:r>
    </w:p>
    <w:p w:rsidR="0059491F" w:rsidRPr="00C30FF0" w:rsidRDefault="0059491F" w:rsidP="00B75BEC">
      <w:pPr>
        <w:tabs>
          <w:tab w:val="left" w:pos="1633"/>
        </w:tabs>
        <w:spacing w:line="276" w:lineRule="auto"/>
        <w:jc w:val="center"/>
        <w:rPr>
          <w:rFonts w:asciiTheme="minorHAnsi" w:hAnsiTheme="minorHAnsi" w:cstheme="minorHAnsi"/>
          <w:lang w:val="es-ES_tradnl"/>
        </w:rPr>
      </w:pPr>
      <w:r w:rsidRPr="00C30FF0">
        <w:rPr>
          <w:rFonts w:asciiTheme="minorHAnsi" w:hAnsiTheme="minorHAnsi" w:cstheme="minorHAnsi"/>
          <w:b/>
          <w:lang w:val="es-ES_tradnl"/>
        </w:rPr>
        <w:t>Tabla</w:t>
      </w:r>
      <w:r w:rsidR="00C30FF0" w:rsidRPr="00C30FF0">
        <w:rPr>
          <w:rFonts w:asciiTheme="minorHAnsi" w:hAnsiTheme="minorHAnsi" w:cstheme="minorHAnsi"/>
          <w:b/>
          <w:lang w:val="es-ES_tradnl"/>
        </w:rPr>
        <w:t xml:space="preserve"> 4.5.</w:t>
      </w:r>
      <w:r w:rsidRPr="00C30FF0">
        <w:rPr>
          <w:rFonts w:asciiTheme="minorHAnsi" w:hAnsiTheme="minorHAnsi" w:cstheme="minorHAnsi"/>
          <w:b/>
          <w:lang w:val="es-ES_tradnl"/>
        </w:rPr>
        <w:t xml:space="preserve"> Personas entrevista</w:t>
      </w:r>
      <w:r w:rsidR="004C0916">
        <w:rPr>
          <w:rFonts w:asciiTheme="minorHAnsi" w:hAnsiTheme="minorHAnsi" w:cstheme="minorHAnsi"/>
          <w:b/>
          <w:lang w:val="es-ES_tradnl"/>
        </w:rPr>
        <w:t>da</w:t>
      </w:r>
      <w:r w:rsidRPr="00C30FF0">
        <w:rPr>
          <w:rFonts w:asciiTheme="minorHAnsi" w:hAnsiTheme="minorHAnsi" w:cstheme="minorHAnsi"/>
          <w:b/>
          <w:lang w:val="es-ES_tradnl"/>
        </w:rPr>
        <w:t>s según componente y subcomponente</w:t>
      </w:r>
    </w:p>
    <w:tbl>
      <w:tblPr>
        <w:tblStyle w:val="TableGrid"/>
        <w:tblpPr w:leftFromText="141" w:rightFromText="141" w:vertAnchor="text" w:tblpXSpec="center" w:tblpY="94"/>
        <w:tblW w:w="8784" w:type="dxa"/>
        <w:tblLayout w:type="fixed"/>
        <w:tblLook w:val="04A0" w:firstRow="1" w:lastRow="0" w:firstColumn="1" w:lastColumn="0" w:noHBand="0" w:noVBand="1"/>
      </w:tblPr>
      <w:tblGrid>
        <w:gridCol w:w="3936"/>
        <w:gridCol w:w="2013"/>
        <w:gridCol w:w="2835"/>
      </w:tblGrid>
      <w:tr w:rsidR="003D7CF3" w:rsidRPr="00B75BEC" w:rsidTr="00B75BEC">
        <w:trPr>
          <w:trHeight w:val="384"/>
          <w:tblHeader/>
        </w:trPr>
        <w:tc>
          <w:tcPr>
            <w:tcW w:w="3936" w:type="dxa"/>
            <w:shd w:val="clear" w:color="auto" w:fill="0F243E" w:themeFill="text2" w:themeFillShade="80"/>
          </w:tcPr>
          <w:p w:rsidR="00BF7F58" w:rsidRPr="00B75BEC" w:rsidRDefault="00BF7F58" w:rsidP="00B75BEC">
            <w:pPr>
              <w:jc w:val="center"/>
              <w:rPr>
                <w:rFonts w:asciiTheme="minorHAnsi" w:hAnsiTheme="minorHAnsi" w:cstheme="minorHAnsi"/>
                <w:b/>
                <w:bCs/>
                <w:color w:val="FFFFFF" w:themeColor="background1"/>
                <w:sz w:val="20"/>
                <w:szCs w:val="20"/>
                <w:lang w:val="es-ES_tradnl"/>
              </w:rPr>
            </w:pPr>
            <w:r w:rsidRPr="00B75BEC">
              <w:rPr>
                <w:rFonts w:asciiTheme="minorHAnsi" w:hAnsiTheme="minorHAnsi" w:cstheme="minorHAnsi"/>
                <w:b/>
                <w:bCs/>
                <w:color w:val="FFFFFF" w:themeColor="background1"/>
                <w:sz w:val="20"/>
                <w:szCs w:val="20"/>
                <w:lang w:val="es-ES_tradnl"/>
              </w:rPr>
              <w:t>Subcomponente</w:t>
            </w:r>
          </w:p>
        </w:tc>
        <w:tc>
          <w:tcPr>
            <w:tcW w:w="2013" w:type="dxa"/>
            <w:shd w:val="clear" w:color="auto" w:fill="0F243E" w:themeFill="text2" w:themeFillShade="80"/>
          </w:tcPr>
          <w:p w:rsidR="00BF7F58" w:rsidRPr="00B75BEC" w:rsidRDefault="00BF7F58" w:rsidP="00B75BEC">
            <w:pPr>
              <w:jc w:val="center"/>
              <w:rPr>
                <w:rFonts w:asciiTheme="minorHAnsi" w:hAnsiTheme="minorHAnsi" w:cstheme="minorHAnsi"/>
                <w:b/>
                <w:bCs/>
                <w:color w:val="FFFFFF" w:themeColor="background1"/>
                <w:sz w:val="20"/>
                <w:szCs w:val="20"/>
                <w:lang w:val="es-ES_tradnl"/>
              </w:rPr>
            </w:pPr>
            <w:r w:rsidRPr="00B75BEC">
              <w:rPr>
                <w:rFonts w:asciiTheme="minorHAnsi" w:hAnsiTheme="minorHAnsi" w:cstheme="minorHAnsi"/>
                <w:b/>
                <w:bCs/>
                <w:color w:val="FFFFFF" w:themeColor="background1"/>
                <w:sz w:val="20"/>
                <w:szCs w:val="20"/>
                <w:lang w:val="es-ES_tradnl"/>
              </w:rPr>
              <w:t>Informante clave</w:t>
            </w:r>
          </w:p>
        </w:tc>
        <w:tc>
          <w:tcPr>
            <w:tcW w:w="2835" w:type="dxa"/>
            <w:shd w:val="clear" w:color="auto" w:fill="0F243E" w:themeFill="text2" w:themeFillShade="80"/>
          </w:tcPr>
          <w:p w:rsidR="00BF7F58" w:rsidRPr="00B75BEC" w:rsidRDefault="00BF7F58" w:rsidP="00B75BEC">
            <w:pPr>
              <w:jc w:val="center"/>
              <w:rPr>
                <w:rFonts w:asciiTheme="minorHAnsi" w:hAnsiTheme="minorHAnsi" w:cstheme="minorHAnsi"/>
                <w:b/>
                <w:bCs/>
                <w:color w:val="FFFFFF" w:themeColor="background1"/>
                <w:sz w:val="20"/>
                <w:szCs w:val="20"/>
                <w:lang w:val="es-ES_tradnl"/>
              </w:rPr>
            </w:pPr>
            <w:r w:rsidRPr="00B75BEC">
              <w:rPr>
                <w:rFonts w:asciiTheme="minorHAnsi" w:hAnsiTheme="minorHAnsi" w:cstheme="minorHAnsi"/>
                <w:b/>
                <w:bCs/>
                <w:color w:val="FFFFFF" w:themeColor="background1"/>
                <w:sz w:val="20"/>
                <w:szCs w:val="20"/>
                <w:lang w:val="es-ES_tradnl"/>
              </w:rPr>
              <w:t>Institución a la que pertenece</w:t>
            </w:r>
          </w:p>
        </w:tc>
      </w:tr>
      <w:tr w:rsidR="00BF7F58" w:rsidRPr="00B75BEC" w:rsidTr="00B75BEC">
        <w:trPr>
          <w:trHeight w:val="399"/>
          <w:tblHeader/>
        </w:trPr>
        <w:tc>
          <w:tcPr>
            <w:tcW w:w="3936" w:type="dxa"/>
            <w:vAlign w:val="center"/>
          </w:tcPr>
          <w:p w:rsidR="00BF7F58" w:rsidRPr="00B75BEC" w:rsidRDefault="00BF7F58" w:rsidP="00B75BEC">
            <w:pPr>
              <w:rPr>
                <w:rFonts w:asciiTheme="minorHAnsi" w:hAnsiTheme="minorHAnsi" w:cstheme="minorHAnsi"/>
                <w:sz w:val="18"/>
                <w:szCs w:val="18"/>
                <w:lang w:val="es-ES_tradnl" w:eastAsia="en-US"/>
              </w:rPr>
            </w:pPr>
            <w:r w:rsidRPr="00B75BEC">
              <w:rPr>
                <w:rFonts w:asciiTheme="minorHAnsi" w:hAnsiTheme="minorHAnsi" w:cstheme="minorHAnsi"/>
                <w:sz w:val="18"/>
                <w:szCs w:val="18"/>
                <w:lang w:val="es-ES_tradnl" w:eastAsia="en-US"/>
              </w:rPr>
              <w:t>Proyectos de investigación en universidades y centros educativos</w:t>
            </w:r>
          </w:p>
        </w:tc>
        <w:tc>
          <w:tcPr>
            <w:tcW w:w="2013" w:type="dxa"/>
            <w:vAlign w:val="center"/>
          </w:tcPr>
          <w:p w:rsidR="00BF7F58" w:rsidRPr="00B75BEC" w:rsidRDefault="00BF7F58" w:rsidP="00B75BEC">
            <w:pPr>
              <w:rPr>
                <w:rFonts w:asciiTheme="minorHAnsi" w:hAnsiTheme="minorHAnsi" w:cstheme="minorHAnsi"/>
                <w:sz w:val="18"/>
                <w:szCs w:val="18"/>
                <w:lang w:val="es-ES_tradnl" w:eastAsia="en-US"/>
              </w:rPr>
            </w:pPr>
            <w:r w:rsidRPr="00B75BEC">
              <w:rPr>
                <w:rFonts w:asciiTheme="minorHAnsi" w:hAnsiTheme="minorHAnsi" w:cstheme="minorHAnsi"/>
                <w:sz w:val="18"/>
                <w:szCs w:val="18"/>
                <w:lang w:val="es-ES_tradnl" w:eastAsia="en-US"/>
              </w:rPr>
              <w:t>Secretario ejecutivo del CONACYT</w:t>
            </w:r>
          </w:p>
        </w:tc>
        <w:tc>
          <w:tcPr>
            <w:tcW w:w="2835" w:type="dxa"/>
          </w:tcPr>
          <w:p w:rsidR="00BF7F58" w:rsidRPr="00B75BEC" w:rsidRDefault="00BF7F58" w:rsidP="00B75BEC">
            <w:pPr>
              <w:rPr>
                <w:rFonts w:asciiTheme="minorHAnsi" w:hAnsiTheme="minorHAnsi" w:cstheme="minorHAnsi"/>
                <w:sz w:val="18"/>
                <w:szCs w:val="18"/>
                <w:lang w:val="es-ES_tradnl" w:eastAsia="en-US"/>
              </w:rPr>
            </w:pPr>
            <w:r w:rsidRPr="00B75BEC">
              <w:rPr>
                <w:rFonts w:asciiTheme="minorHAnsi" w:hAnsiTheme="minorHAnsi" w:cstheme="minorHAnsi"/>
                <w:sz w:val="18"/>
                <w:szCs w:val="18"/>
                <w:lang w:val="es-ES_tradnl" w:eastAsia="en-US"/>
              </w:rPr>
              <w:t>CONACYT</w:t>
            </w:r>
          </w:p>
        </w:tc>
      </w:tr>
      <w:tr w:rsidR="00BF7F58" w:rsidRPr="00B75BEC" w:rsidTr="00B75BEC">
        <w:trPr>
          <w:trHeight w:val="384"/>
          <w:tblHeader/>
        </w:trPr>
        <w:tc>
          <w:tcPr>
            <w:tcW w:w="3936" w:type="dxa"/>
          </w:tcPr>
          <w:p w:rsidR="00BF7F58" w:rsidRPr="00B75BEC" w:rsidRDefault="00BF7F58" w:rsidP="00B75BEC">
            <w:pPr>
              <w:rPr>
                <w:rFonts w:asciiTheme="minorHAnsi" w:hAnsiTheme="minorHAnsi" w:cstheme="minorHAnsi"/>
                <w:sz w:val="18"/>
                <w:szCs w:val="18"/>
                <w:lang w:val="es-ES_tradnl"/>
              </w:rPr>
            </w:pPr>
            <w:r w:rsidRPr="00B75BEC">
              <w:rPr>
                <w:rFonts w:asciiTheme="minorHAnsi" w:hAnsiTheme="minorHAnsi" w:cstheme="minorHAnsi"/>
                <w:sz w:val="18"/>
                <w:szCs w:val="18"/>
                <w:lang w:val="es-ES_tradnl" w:eastAsia="en-US"/>
              </w:rPr>
              <w:t>Proyectos de investigación en universidades y centros educativos</w:t>
            </w:r>
          </w:p>
        </w:tc>
        <w:tc>
          <w:tcPr>
            <w:tcW w:w="2013" w:type="dxa"/>
            <w:vAlign w:val="center"/>
          </w:tcPr>
          <w:p w:rsidR="00BF7F58" w:rsidRPr="00B75BEC" w:rsidRDefault="00BF7F58" w:rsidP="00B75BEC">
            <w:pPr>
              <w:rPr>
                <w:rFonts w:asciiTheme="minorHAnsi" w:hAnsiTheme="minorHAnsi" w:cstheme="minorHAnsi"/>
                <w:sz w:val="18"/>
                <w:szCs w:val="18"/>
                <w:lang w:val="es-ES_tradnl" w:eastAsia="en-US"/>
              </w:rPr>
            </w:pPr>
            <w:r w:rsidRPr="00B75BEC">
              <w:rPr>
                <w:rFonts w:asciiTheme="minorHAnsi" w:hAnsiTheme="minorHAnsi" w:cstheme="minorHAnsi"/>
                <w:sz w:val="18"/>
                <w:szCs w:val="18"/>
                <w:lang w:val="es-ES_tradnl" w:eastAsia="en-US"/>
              </w:rPr>
              <w:t>Rector de la UCA</w:t>
            </w:r>
          </w:p>
        </w:tc>
        <w:tc>
          <w:tcPr>
            <w:tcW w:w="2835" w:type="dxa"/>
          </w:tcPr>
          <w:p w:rsidR="00BF7F58" w:rsidRPr="00B75BEC" w:rsidRDefault="004C0916" w:rsidP="00B75BEC">
            <w:pPr>
              <w:rPr>
                <w:rFonts w:asciiTheme="minorHAnsi" w:hAnsiTheme="minorHAnsi" w:cstheme="minorHAnsi"/>
                <w:sz w:val="18"/>
                <w:szCs w:val="18"/>
                <w:lang w:val="es-ES_tradnl" w:eastAsia="en-US"/>
              </w:rPr>
            </w:pPr>
            <w:r w:rsidRPr="00B75BEC">
              <w:rPr>
                <w:rFonts w:asciiTheme="minorHAnsi" w:hAnsiTheme="minorHAnsi" w:cstheme="minorHAnsi"/>
                <w:sz w:val="18"/>
                <w:szCs w:val="18"/>
                <w:lang w:val="es-ES_tradnl" w:eastAsia="en-US"/>
              </w:rPr>
              <w:t>Universidad Católica de Nuestra S</w:t>
            </w:r>
            <w:r w:rsidR="00BF7F58" w:rsidRPr="00B75BEC">
              <w:rPr>
                <w:rFonts w:asciiTheme="minorHAnsi" w:hAnsiTheme="minorHAnsi" w:cstheme="minorHAnsi"/>
                <w:sz w:val="18"/>
                <w:szCs w:val="18"/>
                <w:lang w:val="es-ES_tradnl" w:eastAsia="en-US"/>
              </w:rPr>
              <w:t>eñora de Asunción</w:t>
            </w:r>
          </w:p>
        </w:tc>
      </w:tr>
      <w:tr w:rsidR="00BF7F58" w:rsidRPr="00B75BEC" w:rsidTr="00B75BEC">
        <w:trPr>
          <w:trHeight w:val="384"/>
          <w:tblHeader/>
        </w:trPr>
        <w:tc>
          <w:tcPr>
            <w:tcW w:w="3936" w:type="dxa"/>
          </w:tcPr>
          <w:p w:rsidR="00BF7F58" w:rsidRPr="00B75BEC" w:rsidRDefault="00BF7F58" w:rsidP="00B75BEC">
            <w:pPr>
              <w:rPr>
                <w:rFonts w:asciiTheme="minorHAnsi" w:hAnsiTheme="minorHAnsi" w:cstheme="minorHAnsi"/>
                <w:sz w:val="18"/>
                <w:szCs w:val="18"/>
                <w:lang w:val="es-ES_tradnl"/>
              </w:rPr>
            </w:pPr>
            <w:r w:rsidRPr="00B75BEC">
              <w:rPr>
                <w:rFonts w:asciiTheme="minorHAnsi" w:hAnsiTheme="minorHAnsi" w:cstheme="minorHAnsi"/>
                <w:sz w:val="18"/>
                <w:szCs w:val="18"/>
                <w:lang w:val="es-ES_tradnl" w:eastAsia="en-US"/>
              </w:rPr>
              <w:t>Proyectos de investigación en universidades y centros educativos</w:t>
            </w:r>
          </w:p>
        </w:tc>
        <w:tc>
          <w:tcPr>
            <w:tcW w:w="2013" w:type="dxa"/>
            <w:vAlign w:val="center"/>
          </w:tcPr>
          <w:p w:rsidR="00BF7F58" w:rsidRPr="00B75BEC" w:rsidRDefault="00BF7F58" w:rsidP="00B75BEC">
            <w:pPr>
              <w:rPr>
                <w:rFonts w:asciiTheme="minorHAnsi" w:hAnsiTheme="minorHAnsi" w:cstheme="minorHAnsi"/>
                <w:sz w:val="18"/>
                <w:szCs w:val="18"/>
                <w:lang w:val="es-ES_tradnl" w:eastAsia="en-US"/>
              </w:rPr>
            </w:pPr>
            <w:r w:rsidRPr="00B75BEC">
              <w:rPr>
                <w:rFonts w:asciiTheme="minorHAnsi" w:hAnsiTheme="minorHAnsi" w:cstheme="minorHAnsi"/>
                <w:sz w:val="18"/>
                <w:szCs w:val="18"/>
                <w:lang w:val="es-ES_tradnl" w:eastAsia="en-US"/>
              </w:rPr>
              <w:t>Rector de la UNA</w:t>
            </w:r>
          </w:p>
        </w:tc>
        <w:tc>
          <w:tcPr>
            <w:tcW w:w="2835" w:type="dxa"/>
          </w:tcPr>
          <w:p w:rsidR="00BF7F58" w:rsidRPr="00B75BEC" w:rsidRDefault="00BF7F58" w:rsidP="00B75BEC">
            <w:pPr>
              <w:rPr>
                <w:rFonts w:asciiTheme="minorHAnsi" w:hAnsiTheme="minorHAnsi" w:cstheme="minorHAnsi"/>
                <w:sz w:val="18"/>
                <w:szCs w:val="18"/>
                <w:lang w:val="es-ES_tradnl" w:eastAsia="en-US"/>
              </w:rPr>
            </w:pPr>
            <w:r w:rsidRPr="00B75BEC">
              <w:rPr>
                <w:rFonts w:asciiTheme="minorHAnsi" w:hAnsiTheme="minorHAnsi" w:cstheme="minorHAnsi"/>
                <w:sz w:val="18"/>
                <w:szCs w:val="18"/>
                <w:lang w:val="es-ES_tradnl" w:eastAsia="en-US"/>
              </w:rPr>
              <w:t>Universidad Nacional de Asunción</w:t>
            </w:r>
          </w:p>
        </w:tc>
      </w:tr>
      <w:tr w:rsidR="00BF7F58" w:rsidRPr="00B75BEC" w:rsidTr="00B75BEC">
        <w:trPr>
          <w:trHeight w:val="384"/>
          <w:tblHeader/>
        </w:trPr>
        <w:tc>
          <w:tcPr>
            <w:tcW w:w="3936" w:type="dxa"/>
            <w:vAlign w:val="center"/>
          </w:tcPr>
          <w:p w:rsidR="00BF7F58" w:rsidRPr="00B75BEC" w:rsidRDefault="00BF7F58" w:rsidP="00B75BEC">
            <w:pPr>
              <w:rPr>
                <w:rFonts w:asciiTheme="minorHAnsi" w:hAnsiTheme="minorHAnsi" w:cstheme="minorHAnsi"/>
                <w:bCs/>
                <w:sz w:val="18"/>
                <w:szCs w:val="18"/>
                <w:lang w:val="es-ES_tradnl"/>
              </w:rPr>
            </w:pPr>
            <w:r w:rsidRPr="00B75BEC">
              <w:rPr>
                <w:rFonts w:asciiTheme="minorHAnsi" w:hAnsiTheme="minorHAnsi" w:cstheme="minorHAnsi"/>
                <w:sz w:val="18"/>
                <w:szCs w:val="18"/>
                <w:lang w:val="es-ES_tradnl" w:eastAsia="en-US"/>
              </w:rPr>
              <w:t>Proyectos de innovación en empresas</w:t>
            </w:r>
          </w:p>
        </w:tc>
        <w:tc>
          <w:tcPr>
            <w:tcW w:w="2013" w:type="dxa"/>
            <w:vAlign w:val="center"/>
          </w:tcPr>
          <w:p w:rsidR="00BF7F58" w:rsidRPr="00B75BEC" w:rsidRDefault="00BF7F58" w:rsidP="00B75BEC">
            <w:pPr>
              <w:rPr>
                <w:rFonts w:asciiTheme="minorHAnsi" w:hAnsiTheme="minorHAnsi" w:cstheme="minorHAnsi"/>
                <w:sz w:val="18"/>
                <w:szCs w:val="18"/>
                <w:lang w:val="es-ES_tradnl" w:eastAsia="en-US"/>
              </w:rPr>
            </w:pPr>
            <w:r w:rsidRPr="00B75BEC">
              <w:rPr>
                <w:rFonts w:asciiTheme="minorHAnsi" w:hAnsiTheme="minorHAnsi" w:cstheme="minorHAnsi"/>
                <w:sz w:val="18"/>
                <w:szCs w:val="18"/>
                <w:lang w:val="es-ES_tradnl" w:eastAsia="en-US"/>
              </w:rPr>
              <w:t xml:space="preserve">Ricardo Horacio Felippo Solares </w:t>
            </w:r>
          </w:p>
        </w:tc>
        <w:tc>
          <w:tcPr>
            <w:tcW w:w="2835" w:type="dxa"/>
          </w:tcPr>
          <w:p w:rsidR="00BF7F58" w:rsidRPr="00B75BEC" w:rsidRDefault="00BF7F58" w:rsidP="00B75BEC">
            <w:pPr>
              <w:rPr>
                <w:rFonts w:asciiTheme="minorHAnsi" w:hAnsiTheme="minorHAnsi" w:cstheme="minorHAnsi"/>
                <w:sz w:val="18"/>
                <w:szCs w:val="18"/>
                <w:lang w:val="es-ES_tradnl" w:eastAsia="en-US"/>
              </w:rPr>
            </w:pPr>
            <w:r w:rsidRPr="00B75BEC">
              <w:rPr>
                <w:rFonts w:asciiTheme="minorHAnsi" w:hAnsiTheme="minorHAnsi" w:cstheme="minorHAnsi"/>
                <w:sz w:val="18"/>
                <w:szCs w:val="18"/>
                <w:lang w:val="es-ES_tradnl" w:eastAsia="en-US"/>
              </w:rPr>
              <w:t>Federación de la Producción, Industria y el Comercio</w:t>
            </w:r>
          </w:p>
        </w:tc>
      </w:tr>
      <w:tr w:rsidR="00BF7F58" w:rsidRPr="00B75BEC" w:rsidTr="00B75BEC">
        <w:trPr>
          <w:trHeight w:val="399"/>
          <w:tblHeader/>
        </w:trPr>
        <w:tc>
          <w:tcPr>
            <w:tcW w:w="3936" w:type="dxa"/>
          </w:tcPr>
          <w:p w:rsidR="00BF7F58" w:rsidRPr="00B75BEC" w:rsidRDefault="00BF7F58" w:rsidP="00B75BEC">
            <w:pPr>
              <w:rPr>
                <w:rFonts w:asciiTheme="minorHAnsi" w:hAnsiTheme="minorHAnsi" w:cstheme="minorHAnsi"/>
                <w:sz w:val="18"/>
                <w:szCs w:val="18"/>
                <w:lang w:val="es-ES_tradnl"/>
              </w:rPr>
            </w:pPr>
            <w:r w:rsidRPr="00B75BEC">
              <w:rPr>
                <w:rFonts w:asciiTheme="minorHAnsi" w:hAnsiTheme="minorHAnsi" w:cstheme="minorHAnsi"/>
                <w:sz w:val="18"/>
                <w:szCs w:val="18"/>
                <w:lang w:val="es-ES_tradnl" w:eastAsia="en-US"/>
              </w:rPr>
              <w:t>Proyectos de innovación en empresas</w:t>
            </w:r>
          </w:p>
        </w:tc>
        <w:tc>
          <w:tcPr>
            <w:tcW w:w="2013" w:type="dxa"/>
            <w:vAlign w:val="center"/>
          </w:tcPr>
          <w:p w:rsidR="00BF7F58" w:rsidRPr="00B75BEC" w:rsidRDefault="00BF7F58" w:rsidP="00B75BEC">
            <w:pPr>
              <w:rPr>
                <w:rFonts w:asciiTheme="minorHAnsi" w:hAnsiTheme="minorHAnsi" w:cstheme="minorHAnsi"/>
                <w:sz w:val="18"/>
                <w:szCs w:val="18"/>
                <w:lang w:val="es-ES_tradnl" w:eastAsia="en-US"/>
              </w:rPr>
            </w:pPr>
            <w:r w:rsidRPr="00B75BEC">
              <w:rPr>
                <w:rFonts w:asciiTheme="minorHAnsi" w:hAnsiTheme="minorHAnsi" w:cstheme="minorHAnsi"/>
                <w:sz w:val="18"/>
                <w:szCs w:val="18"/>
                <w:lang w:val="es-ES_tradnl" w:eastAsia="en-US"/>
              </w:rPr>
              <w:t xml:space="preserve">Ricardo Díaz Martínez  </w:t>
            </w:r>
          </w:p>
        </w:tc>
        <w:tc>
          <w:tcPr>
            <w:tcW w:w="2835" w:type="dxa"/>
          </w:tcPr>
          <w:p w:rsidR="00BF7F58" w:rsidRPr="00B75BEC" w:rsidRDefault="00BF7F58" w:rsidP="00B75BEC">
            <w:pPr>
              <w:rPr>
                <w:rFonts w:asciiTheme="minorHAnsi" w:hAnsiTheme="minorHAnsi" w:cstheme="minorHAnsi"/>
                <w:sz w:val="18"/>
                <w:szCs w:val="18"/>
                <w:lang w:val="es-ES_tradnl" w:eastAsia="en-US"/>
              </w:rPr>
            </w:pPr>
            <w:r w:rsidRPr="00B75BEC">
              <w:rPr>
                <w:rFonts w:asciiTheme="minorHAnsi" w:hAnsiTheme="minorHAnsi" w:cstheme="minorHAnsi"/>
                <w:sz w:val="18"/>
                <w:szCs w:val="18"/>
                <w:lang w:val="es-ES_tradnl" w:eastAsia="en-US"/>
              </w:rPr>
              <w:t>Asociación de Pequeñas y Medianas Empresas</w:t>
            </w:r>
          </w:p>
        </w:tc>
      </w:tr>
      <w:tr w:rsidR="00BF7F58" w:rsidRPr="00B75BEC" w:rsidTr="00B75BEC">
        <w:trPr>
          <w:trHeight w:val="399"/>
          <w:tblHeader/>
        </w:trPr>
        <w:tc>
          <w:tcPr>
            <w:tcW w:w="3936" w:type="dxa"/>
          </w:tcPr>
          <w:p w:rsidR="00BF7F58" w:rsidRPr="00B75BEC" w:rsidRDefault="00BF7F58" w:rsidP="00B75BEC">
            <w:pPr>
              <w:rPr>
                <w:rFonts w:asciiTheme="minorHAnsi" w:hAnsiTheme="minorHAnsi" w:cstheme="minorHAnsi"/>
                <w:sz w:val="18"/>
                <w:szCs w:val="18"/>
                <w:lang w:val="es-ES_tradnl"/>
              </w:rPr>
            </w:pPr>
            <w:r w:rsidRPr="00B75BEC">
              <w:rPr>
                <w:rFonts w:asciiTheme="minorHAnsi" w:hAnsiTheme="minorHAnsi" w:cstheme="minorHAnsi"/>
                <w:sz w:val="18"/>
                <w:szCs w:val="18"/>
                <w:lang w:val="es-ES_tradnl" w:eastAsia="en-US"/>
              </w:rPr>
              <w:t>Proyectos de innovación en empresas</w:t>
            </w:r>
          </w:p>
        </w:tc>
        <w:tc>
          <w:tcPr>
            <w:tcW w:w="2013" w:type="dxa"/>
            <w:vAlign w:val="center"/>
          </w:tcPr>
          <w:p w:rsidR="00BF7F58" w:rsidRPr="00B75BEC" w:rsidRDefault="00BF7F58" w:rsidP="00B75BEC">
            <w:pPr>
              <w:rPr>
                <w:rFonts w:asciiTheme="minorHAnsi" w:hAnsiTheme="minorHAnsi" w:cstheme="minorHAnsi"/>
                <w:sz w:val="18"/>
                <w:szCs w:val="18"/>
                <w:lang w:val="es-ES_tradnl" w:eastAsia="en-US"/>
              </w:rPr>
            </w:pPr>
            <w:r w:rsidRPr="00B75BEC">
              <w:rPr>
                <w:rFonts w:asciiTheme="minorHAnsi" w:hAnsiTheme="minorHAnsi" w:cstheme="minorHAnsi"/>
                <w:sz w:val="18"/>
                <w:szCs w:val="18"/>
                <w:lang w:val="es-ES_tradnl" w:eastAsia="en-US"/>
              </w:rPr>
              <w:t>Gustavo Adolfo María Volpe Martínez</w:t>
            </w:r>
          </w:p>
        </w:tc>
        <w:tc>
          <w:tcPr>
            <w:tcW w:w="2835" w:type="dxa"/>
          </w:tcPr>
          <w:p w:rsidR="00BF7F58" w:rsidRPr="00B75BEC" w:rsidRDefault="004C0916" w:rsidP="00B75BEC">
            <w:pPr>
              <w:rPr>
                <w:rFonts w:asciiTheme="minorHAnsi" w:hAnsiTheme="minorHAnsi" w:cstheme="minorHAnsi"/>
                <w:sz w:val="18"/>
                <w:szCs w:val="18"/>
                <w:lang w:val="es-ES_tradnl" w:eastAsia="en-US"/>
              </w:rPr>
            </w:pPr>
            <w:r w:rsidRPr="00B75BEC">
              <w:rPr>
                <w:rFonts w:asciiTheme="minorHAnsi" w:hAnsiTheme="minorHAnsi" w:cstheme="minorHAnsi"/>
                <w:sz w:val="18"/>
                <w:szCs w:val="18"/>
                <w:lang w:val="es-ES_tradnl" w:eastAsia="en-US"/>
              </w:rPr>
              <w:t>Unión Industrial P</w:t>
            </w:r>
            <w:r w:rsidR="00BF7F58" w:rsidRPr="00B75BEC">
              <w:rPr>
                <w:rFonts w:asciiTheme="minorHAnsi" w:hAnsiTheme="minorHAnsi" w:cstheme="minorHAnsi"/>
                <w:sz w:val="18"/>
                <w:szCs w:val="18"/>
                <w:lang w:val="es-ES_tradnl" w:eastAsia="en-US"/>
              </w:rPr>
              <w:t>araguaya</w:t>
            </w:r>
          </w:p>
        </w:tc>
      </w:tr>
    </w:tbl>
    <w:p w:rsidR="0059491F" w:rsidRPr="0037314C" w:rsidRDefault="003D7CF3" w:rsidP="00B75BEC">
      <w:pPr>
        <w:spacing w:line="276" w:lineRule="auto"/>
        <w:jc w:val="both"/>
        <w:rPr>
          <w:rFonts w:asciiTheme="minorHAnsi" w:hAnsiTheme="minorHAnsi" w:cstheme="minorHAnsi"/>
          <w:sz w:val="18"/>
          <w:szCs w:val="18"/>
          <w:lang w:val="es-ES_tradnl" w:eastAsia="en-US"/>
        </w:rPr>
      </w:pPr>
      <w:r>
        <w:rPr>
          <w:rFonts w:asciiTheme="minorHAnsi" w:hAnsiTheme="minorHAnsi" w:cstheme="minorHAnsi"/>
          <w:lang w:val="es-ES_tradnl" w:eastAsia="en-US"/>
        </w:rPr>
        <w:t xml:space="preserve"> </w:t>
      </w:r>
      <w:r w:rsidR="0059491F" w:rsidRPr="0037314C">
        <w:rPr>
          <w:rFonts w:asciiTheme="minorHAnsi" w:hAnsiTheme="minorHAnsi" w:cstheme="minorHAnsi"/>
          <w:sz w:val="18"/>
          <w:szCs w:val="18"/>
          <w:lang w:val="es-ES_tradnl" w:eastAsia="en-US"/>
        </w:rPr>
        <w:t>Fuente: Elaboración propia en base a datos del PROCIT</w:t>
      </w:r>
    </w:p>
    <w:p w:rsidR="0059491F" w:rsidRDefault="0059491F" w:rsidP="00C30FF0">
      <w:pPr>
        <w:spacing w:after="200" w:line="276" w:lineRule="auto"/>
        <w:jc w:val="both"/>
        <w:rPr>
          <w:rFonts w:asciiTheme="minorHAnsi" w:hAnsiTheme="minorHAnsi" w:cstheme="minorHAnsi"/>
          <w:lang w:val="es-ES_tradnl" w:eastAsia="en-US"/>
        </w:rPr>
      </w:pPr>
      <w:r w:rsidRPr="00C30FF0">
        <w:rPr>
          <w:rFonts w:asciiTheme="minorHAnsi" w:hAnsiTheme="minorHAnsi" w:cstheme="minorHAnsi"/>
          <w:lang w:val="es-ES_tradnl" w:eastAsia="en-US"/>
        </w:rPr>
        <w:t xml:space="preserve">Por último, para el análisis del </w:t>
      </w:r>
      <w:r w:rsidR="0017519B">
        <w:rPr>
          <w:rFonts w:asciiTheme="minorHAnsi" w:hAnsiTheme="minorHAnsi" w:cstheme="minorHAnsi"/>
          <w:lang w:val="es-ES_tradnl" w:eastAsia="en-US"/>
        </w:rPr>
        <w:t>subcomponente 1.1, de Investigación,</w:t>
      </w:r>
      <w:r w:rsidRPr="00C30FF0">
        <w:rPr>
          <w:rFonts w:asciiTheme="minorHAnsi" w:hAnsiTheme="minorHAnsi" w:cstheme="minorHAnsi"/>
          <w:lang w:val="es-ES_tradnl" w:eastAsia="en-US"/>
        </w:rPr>
        <w:t xml:space="preserve"> se utilizaron técnicas econométricas para medir el impacto del programa</w:t>
      </w:r>
      <w:r w:rsidR="00325523">
        <w:rPr>
          <w:rFonts w:asciiTheme="minorHAnsi" w:hAnsiTheme="minorHAnsi" w:cstheme="minorHAnsi"/>
          <w:lang w:val="es-ES_tradnl" w:eastAsia="en-US"/>
        </w:rPr>
        <w:t>.</w:t>
      </w:r>
    </w:p>
    <w:p w:rsidR="00325523" w:rsidRPr="003D7CF3" w:rsidRDefault="00325523" w:rsidP="003D7CF3">
      <w:pPr>
        <w:autoSpaceDE w:val="0"/>
        <w:autoSpaceDN w:val="0"/>
        <w:adjustRightInd w:val="0"/>
        <w:spacing w:after="200" w:line="276" w:lineRule="auto"/>
        <w:jc w:val="both"/>
        <w:rPr>
          <w:rFonts w:ascii="Calibri" w:hAnsi="Calibri" w:cs="Calibri"/>
          <w:color w:val="000000"/>
          <w:lang w:val="es-AR" w:eastAsia="es-AR"/>
        </w:rPr>
      </w:pPr>
      <w:r w:rsidRPr="003D7CF3">
        <w:rPr>
          <w:rFonts w:ascii="Calibri" w:hAnsi="Calibri" w:cs="Calibri"/>
          <w:color w:val="000000"/>
          <w:lang w:val="es-AR" w:eastAsia="es-AR"/>
        </w:rPr>
        <w:lastRenderedPageBreak/>
        <w:t xml:space="preserve">El método utilizado fue el de </w:t>
      </w:r>
      <w:r w:rsidRPr="003D7CF3">
        <w:rPr>
          <w:rFonts w:ascii="Calibri" w:hAnsi="Calibri" w:cs="Calibri"/>
          <w:b/>
          <w:i/>
          <w:color w:val="000000"/>
          <w:lang w:val="es-AR" w:eastAsia="es-AR"/>
        </w:rPr>
        <w:t>diferencias en diferencias</w:t>
      </w:r>
      <w:r w:rsidRPr="003D7CF3">
        <w:rPr>
          <w:rFonts w:ascii="Calibri" w:hAnsi="Calibri" w:cs="Calibri"/>
          <w:color w:val="000000"/>
          <w:lang w:val="es-AR" w:eastAsia="es-AR"/>
        </w:rPr>
        <w:t>, el cual se basa en comparar los cambios a lo largo del tiempo en la variable de interés entre una población afectada por un programa o evento (el grupo de tratamiento) y una población no afectada (el grupo control). La estimación del impacto se computa de la siguiente manera:</w:t>
      </w:r>
    </w:p>
    <w:p w:rsidR="00325523" w:rsidRPr="003D7CF3" w:rsidRDefault="00325523" w:rsidP="003D7CF3">
      <w:pPr>
        <w:pStyle w:val="ListParagraph"/>
        <w:numPr>
          <w:ilvl w:val="0"/>
          <w:numId w:val="29"/>
        </w:numPr>
        <w:autoSpaceDE w:val="0"/>
        <w:autoSpaceDN w:val="0"/>
        <w:adjustRightInd w:val="0"/>
        <w:spacing w:after="200" w:line="276" w:lineRule="auto"/>
        <w:contextualSpacing w:val="0"/>
        <w:jc w:val="both"/>
        <w:rPr>
          <w:rFonts w:ascii="Calibri" w:eastAsia="Calibri" w:hAnsi="Calibri" w:cs="Calibri"/>
          <w:color w:val="000000"/>
          <w:lang w:val="es-AR" w:eastAsia="es-AR"/>
        </w:rPr>
      </w:pPr>
      <w:r w:rsidRPr="003D7CF3">
        <w:rPr>
          <w:rFonts w:ascii="Calibri" w:eastAsia="Calibri" w:hAnsi="Calibri" w:cs="Calibri"/>
          <w:color w:val="000000"/>
          <w:lang w:val="es-AR" w:eastAsia="es-AR"/>
        </w:rPr>
        <w:t>Se calcula la diferencia del resultado (Y) entre las situaciones antes y después para el grupo de tratamiento (B − A).</w:t>
      </w:r>
    </w:p>
    <w:p w:rsidR="00325523" w:rsidRPr="003D7CF3" w:rsidRDefault="00325523" w:rsidP="003D7CF3">
      <w:pPr>
        <w:pStyle w:val="ListParagraph"/>
        <w:numPr>
          <w:ilvl w:val="0"/>
          <w:numId w:val="29"/>
        </w:numPr>
        <w:autoSpaceDE w:val="0"/>
        <w:autoSpaceDN w:val="0"/>
        <w:adjustRightInd w:val="0"/>
        <w:spacing w:after="200" w:line="276" w:lineRule="auto"/>
        <w:contextualSpacing w:val="0"/>
        <w:jc w:val="both"/>
        <w:rPr>
          <w:rFonts w:ascii="Calibri" w:eastAsia="Calibri" w:hAnsi="Calibri" w:cs="Calibri"/>
          <w:color w:val="000000"/>
          <w:lang w:val="es-AR" w:eastAsia="es-AR"/>
        </w:rPr>
      </w:pPr>
      <w:r w:rsidRPr="003D7CF3">
        <w:rPr>
          <w:rFonts w:ascii="Calibri" w:eastAsia="Calibri" w:hAnsi="Calibri" w:cs="Calibri"/>
          <w:color w:val="000000"/>
          <w:lang w:val="es-AR" w:eastAsia="es-AR"/>
        </w:rPr>
        <w:t>Se calcula la diferencia del resultado (Y) entre las situaciones antes y después para el grupo control (D − C).</w:t>
      </w:r>
    </w:p>
    <w:p w:rsidR="00325523" w:rsidRPr="003D7CF3" w:rsidRDefault="00325523" w:rsidP="003D7CF3">
      <w:pPr>
        <w:pStyle w:val="ListParagraph"/>
        <w:numPr>
          <w:ilvl w:val="0"/>
          <w:numId w:val="29"/>
        </w:numPr>
        <w:autoSpaceDE w:val="0"/>
        <w:autoSpaceDN w:val="0"/>
        <w:adjustRightInd w:val="0"/>
        <w:spacing w:after="200" w:line="276" w:lineRule="auto"/>
        <w:contextualSpacing w:val="0"/>
        <w:jc w:val="both"/>
        <w:rPr>
          <w:rFonts w:ascii="Calibri" w:eastAsia="Calibri" w:hAnsi="Calibri" w:cs="Calibri"/>
          <w:color w:val="000000"/>
          <w:lang w:val="es-AR" w:eastAsia="es-AR"/>
        </w:rPr>
      </w:pPr>
      <w:r w:rsidRPr="003D7CF3">
        <w:rPr>
          <w:rFonts w:ascii="Calibri" w:eastAsia="Calibri" w:hAnsi="Calibri" w:cs="Calibri"/>
          <w:color w:val="000000"/>
          <w:lang w:val="es-AR" w:eastAsia="es-AR"/>
        </w:rPr>
        <w:t>A continuación, se calcula la diferencia entre la diferencia en los resultados del grupo de tratamiento (B − A) y la diferencia del grupo de comparación (D − C), o DD = (B − A) − (D − C).</w:t>
      </w:r>
    </w:p>
    <w:p w:rsidR="00325523" w:rsidRPr="00D16C82" w:rsidRDefault="00325523" w:rsidP="00325523">
      <w:pPr>
        <w:autoSpaceDE w:val="0"/>
        <w:autoSpaceDN w:val="0"/>
        <w:adjustRightInd w:val="0"/>
        <w:spacing w:after="120" w:line="288" w:lineRule="auto"/>
        <w:ind w:left="360"/>
        <w:jc w:val="center"/>
        <w:rPr>
          <w:rFonts w:ascii="Calibri" w:hAnsi="Calibri" w:cs="Calibri"/>
          <w:b/>
          <w:color w:val="000000"/>
          <w:sz w:val="22"/>
          <w:szCs w:val="22"/>
          <w:lang w:val="es-AR" w:eastAsia="es-AR"/>
        </w:rPr>
      </w:pPr>
      <w:r w:rsidRPr="00325523">
        <w:rPr>
          <w:rFonts w:ascii="Calibri" w:hAnsi="Calibri" w:cs="Calibri"/>
          <w:b/>
          <w:color w:val="000000"/>
          <w:sz w:val="22"/>
          <w:szCs w:val="22"/>
          <w:lang w:val="es-AR" w:eastAsia="es-AR"/>
        </w:rPr>
        <w:t>Gráfico 4.1.</w:t>
      </w:r>
      <w:r>
        <w:rPr>
          <w:rFonts w:ascii="Calibri" w:hAnsi="Calibri" w:cs="Calibri"/>
          <w:b/>
          <w:color w:val="000000"/>
          <w:sz w:val="22"/>
          <w:szCs w:val="22"/>
          <w:lang w:val="es-AR" w:eastAsia="es-AR"/>
        </w:rPr>
        <w:t xml:space="preserve"> </w:t>
      </w:r>
      <w:r w:rsidRPr="00D16C82">
        <w:rPr>
          <w:rFonts w:ascii="Calibri" w:hAnsi="Calibri" w:cs="Calibri"/>
          <w:b/>
          <w:color w:val="000000"/>
          <w:sz w:val="22"/>
          <w:szCs w:val="22"/>
          <w:lang w:val="es-AR" w:eastAsia="es-AR"/>
        </w:rPr>
        <w:t>El método de diferencias en diferencias</w:t>
      </w:r>
    </w:p>
    <w:p w:rsidR="00325523" w:rsidRDefault="00325523" w:rsidP="00325523">
      <w:pPr>
        <w:autoSpaceDE w:val="0"/>
        <w:autoSpaceDN w:val="0"/>
        <w:adjustRightInd w:val="0"/>
        <w:spacing w:before="120" w:after="120" w:line="288" w:lineRule="auto"/>
        <w:jc w:val="center"/>
        <w:rPr>
          <w:rFonts w:ascii="Calibri" w:hAnsi="Calibri" w:cs="Calibri"/>
          <w:color w:val="000000"/>
          <w:sz w:val="22"/>
          <w:szCs w:val="22"/>
          <w:lang w:val="es-AR" w:eastAsia="es-AR"/>
        </w:rPr>
      </w:pPr>
      <w:r w:rsidRPr="0049632D">
        <w:rPr>
          <w:rFonts w:ascii="Arial" w:hAnsi="Arial" w:cs="Arial"/>
          <w:noProof/>
          <w:szCs w:val="22"/>
          <w:lang w:val="es-ES_tradnl" w:eastAsia="es-ES_tradnl"/>
        </w:rPr>
        <w:drawing>
          <wp:inline distT="0" distB="0" distL="0" distR="0" wp14:anchorId="7B08FC6B" wp14:editId="22C89620">
            <wp:extent cx="3091113" cy="2234299"/>
            <wp:effectExtent l="19050" t="0" r="0" b="0"/>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3092330" cy="2235178"/>
                    </a:xfrm>
                    <a:prstGeom prst="rect">
                      <a:avLst/>
                    </a:prstGeom>
                    <a:noFill/>
                    <a:ln w="9525">
                      <a:noFill/>
                      <a:miter lim="800000"/>
                      <a:headEnd/>
                      <a:tailEnd/>
                    </a:ln>
                  </pic:spPr>
                </pic:pic>
              </a:graphicData>
            </a:graphic>
          </wp:inline>
        </w:drawing>
      </w:r>
    </w:p>
    <w:p w:rsidR="00325523" w:rsidRPr="0037314C" w:rsidRDefault="00325523" w:rsidP="00325523">
      <w:pPr>
        <w:autoSpaceDE w:val="0"/>
        <w:autoSpaceDN w:val="0"/>
        <w:adjustRightInd w:val="0"/>
        <w:jc w:val="center"/>
        <w:rPr>
          <w:rFonts w:asciiTheme="minorHAnsi" w:hAnsiTheme="minorHAnsi" w:cs="Arial"/>
          <w:sz w:val="18"/>
          <w:szCs w:val="18"/>
        </w:rPr>
      </w:pPr>
      <w:r w:rsidRPr="0037314C">
        <w:rPr>
          <w:rFonts w:asciiTheme="minorHAnsi" w:hAnsiTheme="minorHAnsi" w:cs="Arial"/>
          <w:sz w:val="18"/>
          <w:szCs w:val="18"/>
        </w:rPr>
        <w:t>Fuente: Gertler et al (2011)</w:t>
      </w:r>
    </w:p>
    <w:p w:rsidR="003D7CF3" w:rsidRDefault="003D7CF3" w:rsidP="003D7CF3">
      <w:pPr>
        <w:autoSpaceDE w:val="0"/>
        <w:autoSpaceDN w:val="0"/>
        <w:adjustRightInd w:val="0"/>
        <w:spacing w:after="200" w:line="276" w:lineRule="auto"/>
        <w:jc w:val="both"/>
        <w:rPr>
          <w:rFonts w:ascii="Calibri" w:hAnsi="Calibri" w:cs="Calibri"/>
          <w:color w:val="000000"/>
          <w:lang w:val="es-AR" w:eastAsia="es-AR"/>
        </w:rPr>
      </w:pPr>
    </w:p>
    <w:p w:rsidR="00325523" w:rsidRPr="003D7CF3" w:rsidRDefault="00325523" w:rsidP="003D7CF3">
      <w:pPr>
        <w:autoSpaceDE w:val="0"/>
        <w:autoSpaceDN w:val="0"/>
        <w:adjustRightInd w:val="0"/>
        <w:spacing w:after="200" w:line="276" w:lineRule="auto"/>
        <w:jc w:val="both"/>
        <w:rPr>
          <w:rFonts w:ascii="Calibri" w:hAnsi="Calibri" w:cs="Calibri"/>
          <w:color w:val="000000"/>
          <w:lang w:val="es-AR" w:eastAsia="es-AR"/>
        </w:rPr>
      </w:pPr>
      <w:r w:rsidRPr="003D7CF3">
        <w:rPr>
          <w:rFonts w:ascii="Calibri" w:hAnsi="Calibri" w:cs="Calibri"/>
          <w:color w:val="000000"/>
          <w:lang w:val="es-AR" w:eastAsia="es-AR"/>
        </w:rPr>
        <w:t>Una ventaja del método es que los grupos de tratamiento y de control no tienen que contar necesariamente con las mismas condiciones previas a la intervención. Tampoco requiere que se especifiquen las reglas para la asignación del tratamiento. El modelo supone que, en ausencia del programa, el resultado del grupo de tratamiento habría evolucionado paralelamente al grupo control (supuesto de “igualdad de tendencias”).</w:t>
      </w:r>
    </w:p>
    <w:p w:rsidR="00325523" w:rsidRPr="003D7CF3" w:rsidRDefault="00325523" w:rsidP="003D7CF3">
      <w:pPr>
        <w:autoSpaceDE w:val="0"/>
        <w:autoSpaceDN w:val="0"/>
        <w:adjustRightInd w:val="0"/>
        <w:spacing w:after="200" w:line="276" w:lineRule="auto"/>
        <w:jc w:val="both"/>
        <w:rPr>
          <w:rFonts w:ascii="Calibri" w:hAnsi="Calibri" w:cs="Calibri"/>
          <w:color w:val="000000"/>
          <w:lang w:val="es-AR" w:eastAsia="es-AR"/>
        </w:rPr>
      </w:pPr>
      <w:r w:rsidRPr="003D7CF3">
        <w:rPr>
          <w:rFonts w:ascii="Calibri" w:hAnsi="Calibri" w:cs="Calibri"/>
          <w:color w:val="000000"/>
          <w:lang w:val="es-AR" w:eastAsia="es-AR"/>
        </w:rPr>
        <w:t xml:space="preserve">Se pretende estimar el impacto del programa PROCIT en la producción bibliográfica y técnica de los investigadores paraguayos beneficiados. El programa fue aplicado durante los años 2008-2012 y se consideraron todos los beneficiarios de los cuales se tenían datos. Además, se disponen datos de producción bibliográfica y técnica para el período 2003-2012. </w:t>
      </w:r>
    </w:p>
    <w:p w:rsidR="00325523" w:rsidRPr="003D7CF3" w:rsidRDefault="00325523" w:rsidP="003D7CF3">
      <w:pPr>
        <w:autoSpaceDE w:val="0"/>
        <w:autoSpaceDN w:val="0"/>
        <w:adjustRightInd w:val="0"/>
        <w:spacing w:after="200" w:line="276" w:lineRule="auto"/>
        <w:jc w:val="both"/>
        <w:rPr>
          <w:rFonts w:ascii="Calibri" w:hAnsi="Calibri" w:cs="Calibri"/>
          <w:color w:val="000000"/>
          <w:lang w:val="es-AR" w:eastAsia="es-AR"/>
        </w:rPr>
      </w:pPr>
      <w:r w:rsidRPr="003D7CF3">
        <w:rPr>
          <w:rFonts w:ascii="Calibri" w:hAnsi="Calibri" w:cs="Calibri"/>
          <w:color w:val="000000"/>
          <w:lang w:val="es-AR" w:eastAsia="es-AR"/>
        </w:rPr>
        <w:lastRenderedPageBreak/>
        <w:t>Respecto de las decisiones metodológicas adoptadas, se consideraron seis variables de resultados para evaluar si el programa tuvo impacto sobre las mismas. Las variables son:</w:t>
      </w:r>
    </w:p>
    <w:p w:rsidR="00325523" w:rsidRPr="003D7CF3" w:rsidRDefault="00325523" w:rsidP="003D7CF3">
      <w:pPr>
        <w:pStyle w:val="ListParagraph"/>
        <w:numPr>
          <w:ilvl w:val="0"/>
          <w:numId w:val="33"/>
        </w:numPr>
        <w:autoSpaceDE w:val="0"/>
        <w:autoSpaceDN w:val="0"/>
        <w:adjustRightInd w:val="0"/>
        <w:spacing w:after="200" w:line="276" w:lineRule="auto"/>
        <w:contextualSpacing w:val="0"/>
        <w:jc w:val="both"/>
        <w:rPr>
          <w:rFonts w:ascii="Calibri" w:eastAsia="Calibri" w:hAnsi="Calibri" w:cs="Calibri"/>
          <w:color w:val="000000"/>
          <w:lang w:val="es-AR" w:eastAsia="es-AR"/>
        </w:rPr>
      </w:pPr>
      <w:r w:rsidRPr="003D7CF3">
        <w:rPr>
          <w:rFonts w:ascii="Calibri" w:eastAsia="Calibri" w:hAnsi="Calibri" w:cs="Calibri"/>
          <w:color w:val="000000"/>
          <w:lang w:val="es-AR" w:eastAsia="es-AR"/>
        </w:rPr>
        <w:t xml:space="preserve">Producción Bibliográfica: Capítulos en libros, Libros, Publicaciones en revistas arbitradas, Publicaciones en revistas no arbitradas. </w:t>
      </w:r>
    </w:p>
    <w:p w:rsidR="0059491F" w:rsidRPr="00B75BEC" w:rsidRDefault="00325523" w:rsidP="00B75BEC">
      <w:pPr>
        <w:pStyle w:val="ListParagraph"/>
        <w:numPr>
          <w:ilvl w:val="0"/>
          <w:numId w:val="33"/>
        </w:numPr>
        <w:autoSpaceDE w:val="0"/>
        <w:autoSpaceDN w:val="0"/>
        <w:adjustRightInd w:val="0"/>
        <w:spacing w:after="200" w:line="276" w:lineRule="auto"/>
        <w:contextualSpacing w:val="0"/>
        <w:jc w:val="both"/>
        <w:rPr>
          <w:rFonts w:ascii="Calibri" w:eastAsia="Calibri" w:hAnsi="Calibri" w:cs="Calibri"/>
          <w:color w:val="000000"/>
          <w:lang w:val="es-AR" w:eastAsia="es-AR"/>
        </w:rPr>
      </w:pPr>
      <w:r w:rsidRPr="003D7CF3">
        <w:rPr>
          <w:rFonts w:ascii="Calibri" w:eastAsia="Calibri" w:hAnsi="Calibri" w:cs="Calibri"/>
          <w:color w:val="000000"/>
          <w:lang w:val="es-AR" w:eastAsia="es-AR"/>
        </w:rPr>
        <w:t>Producción Técnica.</w:t>
      </w:r>
    </w:p>
    <w:p w:rsidR="00C30FF0" w:rsidRDefault="00325523" w:rsidP="00B75BEC">
      <w:pPr>
        <w:shd w:val="clear" w:color="auto" w:fill="FFFFFF"/>
        <w:spacing w:after="200" w:line="276" w:lineRule="auto"/>
        <w:jc w:val="both"/>
        <w:rPr>
          <w:rFonts w:ascii="Calibri" w:hAnsi="Calibri" w:cs="Calibri"/>
          <w:color w:val="000000"/>
          <w:lang w:val="es-AR" w:eastAsia="es-AR"/>
        </w:rPr>
      </w:pPr>
      <w:r w:rsidRPr="003D7CF3">
        <w:rPr>
          <w:rFonts w:ascii="Calibri" w:hAnsi="Calibri" w:cs="Calibri"/>
          <w:color w:val="000000"/>
          <w:lang w:val="es-AR" w:eastAsia="es-AR"/>
        </w:rPr>
        <w:t>Luego de haber desarrollado el marco conceptual y metodológico a partir del cual se realizó la evaluación del PROCIT, se presentan y analizan a continuación los principales logros del Programa por subcomponentes.</w:t>
      </w:r>
    </w:p>
    <w:p w:rsidR="007A62FA" w:rsidRPr="00B75BEC" w:rsidRDefault="007A62FA" w:rsidP="00B75BEC">
      <w:pPr>
        <w:shd w:val="clear" w:color="auto" w:fill="FFFFFF"/>
        <w:spacing w:after="200" w:line="276" w:lineRule="auto"/>
        <w:jc w:val="both"/>
        <w:rPr>
          <w:rFonts w:ascii="Calibri" w:hAnsi="Calibri" w:cs="Calibri"/>
          <w:color w:val="000000"/>
          <w:lang w:val="es-AR" w:eastAsia="es-AR"/>
        </w:rPr>
      </w:pPr>
    </w:p>
    <w:p w:rsidR="00D4326F" w:rsidRDefault="00D4326F" w:rsidP="00F1655F">
      <w:pPr>
        <w:pStyle w:val="Heading1"/>
      </w:pPr>
      <w:bookmarkStart w:id="96" w:name="_Toc375211967"/>
      <w:r w:rsidRPr="007D01EB">
        <w:t>Logros del P</w:t>
      </w:r>
      <w:r>
        <w:t>ROCIT</w:t>
      </w:r>
      <w:bookmarkEnd w:id="96"/>
    </w:p>
    <w:p w:rsidR="00652E5F" w:rsidRDefault="00652E5F" w:rsidP="00D4326F">
      <w:pPr>
        <w:autoSpaceDE w:val="0"/>
        <w:autoSpaceDN w:val="0"/>
        <w:adjustRightInd w:val="0"/>
        <w:spacing w:before="120" w:after="120" w:line="288" w:lineRule="auto"/>
        <w:jc w:val="both"/>
        <w:rPr>
          <w:rFonts w:ascii="Calibri" w:hAnsi="Calibri" w:cs="Calibri"/>
        </w:rPr>
      </w:pPr>
      <w:r>
        <w:rPr>
          <w:rFonts w:ascii="Calibri" w:hAnsi="Calibri" w:cs="Calibri"/>
        </w:rPr>
        <w:t xml:space="preserve">El análisis en profundidad de cada uno de los componentes del Programa resulta fundamental para poder hacer una valoración del mismo: investigación científica y tecnológica, fortalecimiento de postgrados, formación en recursos humanos, innovación, y </w:t>
      </w:r>
      <w:r w:rsidRPr="00652E5F">
        <w:rPr>
          <w:rFonts w:ascii="Calibri" w:hAnsi="Calibri" w:cs="Calibri"/>
        </w:rPr>
        <w:t xml:space="preserve">fortalecimiento y articulación del Sistema Nacional de Innovación (SNI) del Paraguay. </w:t>
      </w:r>
    </w:p>
    <w:p w:rsidR="00E039CC" w:rsidRDefault="00652E5F" w:rsidP="00D4326F">
      <w:pPr>
        <w:autoSpaceDE w:val="0"/>
        <w:autoSpaceDN w:val="0"/>
        <w:adjustRightInd w:val="0"/>
        <w:spacing w:before="120" w:after="120" w:line="288" w:lineRule="auto"/>
        <w:jc w:val="both"/>
        <w:rPr>
          <w:rFonts w:ascii="Calibri" w:hAnsi="Calibri" w:cs="Calibri"/>
        </w:rPr>
      </w:pPr>
      <w:r w:rsidRPr="00652E5F">
        <w:rPr>
          <w:rFonts w:ascii="Calibri" w:hAnsi="Calibri" w:cs="Calibri"/>
        </w:rPr>
        <w:t xml:space="preserve">Para ello, </w:t>
      </w:r>
      <w:r>
        <w:rPr>
          <w:rFonts w:ascii="Calibri" w:hAnsi="Calibri" w:cs="Calibri"/>
        </w:rPr>
        <w:t xml:space="preserve">en primer lugar se presentan las características del </w:t>
      </w:r>
      <w:r w:rsidRPr="00652E5F">
        <w:rPr>
          <w:rFonts w:ascii="Calibri" w:hAnsi="Calibri" w:cs="Calibri"/>
        </w:rPr>
        <w:t>subcomponente</w:t>
      </w:r>
      <w:r>
        <w:rPr>
          <w:rFonts w:ascii="Calibri" w:hAnsi="Calibri" w:cs="Calibri"/>
        </w:rPr>
        <w:t xml:space="preserve">, luego se analiza el alcance de la implementación del mismo, para luego analizar sus resultados y, a partir de toda esta información, poder presentar algunas conclusiones y recomendaciones para orientar futuras acciones de mejora. </w:t>
      </w:r>
    </w:p>
    <w:p w:rsidR="007A62FA" w:rsidRDefault="007A62FA" w:rsidP="00D4326F">
      <w:pPr>
        <w:autoSpaceDE w:val="0"/>
        <w:autoSpaceDN w:val="0"/>
        <w:adjustRightInd w:val="0"/>
        <w:spacing w:before="120" w:after="120" w:line="288" w:lineRule="auto"/>
        <w:jc w:val="both"/>
        <w:rPr>
          <w:rFonts w:ascii="Calibri" w:hAnsi="Calibri" w:cs="Calibri"/>
        </w:rPr>
      </w:pPr>
    </w:p>
    <w:p w:rsidR="00D4326F" w:rsidRPr="002F5E2A" w:rsidRDefault="00D4326F" w:rsidP="002D7EE9">
      <w:pPr>
        <w:pStyle w:val="ListParagraph"/>
        <w:keepNext/>
        <w:numPr>
          <w:ilvl w:val="0"/>
          <w:numId w:val="4"/>
        </w:numPr>
        <w:spacing w:before="240" w:after="240" w:line="276" w:lineRule="auto"/>
        <w:contextualSpacing w:val="0"/>
        <w:jc w:val="both"/>
        <w:outlineLvl w:val="1"/>
        <w:rPr>
          <w:rFonts w:ascii="Arial" w:hAnsi="Arial" w:cs="Arial"/>
          <w:b/>
          <w:bCs/>
          <w:i/>
          <w:iCs/>
          <w:vanish/>
          <w:color w:val="31849B"/>
          <w:sz w:val="22"/>
          <w:szCs w:val="22"/>
          <w:lang w:val="es-ES_tradnl"/>
        </w:rPr>
      </w:pPr>
      <w:bookmarkStart w:id="97" w:name="_Toc367283344"/>
      <w:bookmarkStart w:id="98" w:name="_Toc367364296"/>
      <w:bookmarkStart w:id="99" w:name="_Toc367386200"/>
      <w:bookmarkStart w:id="100" w:name="_Toc367386257"/>
      <w:bookmarkStart w:id="101" w:name="_Toc367386413"/>
      <w:bookmarkStart w:id="102" w:name="_Toc367392996"/>
      <w:bookmarkStart w:id="103" w:name="_Toc367393280"/>
      <w:bookmarkStart w:id="104" w:name="_Toc367441059"/>
      <w:bookmarkStart w:id="105" w:name="_Toc367445793"/>
      <w:bookmarkStart w:id="106" w:name="_Toc370915110"/>
      <w:bookmarkStart w:id="107" w:name="_Toc372633755"/>
      <w:bookmarkStart w:id="108" w:name="_Toc372635370"/>
      <w:bookmarkStart w:id="109" w:name="_Toc372925338"/>
      <w:bookmarkStart w:id="110" w:name="_Toc372928076"/>
      <w:bookmarkStart w:id="111" w:name="_Toc372928383"/>
      <w:bookmarkStart w:id="112" w:name="_Toc372972628"/>
      <w:bookmarkStart w:id="113" w:name="_Toc373246222"/>
      <w:bookmarkStart w:id="114" w:name="_Toc373422227"/>
      <w:bookmarkStart w:id="115" w:name="_Toc373431263"/>
      <w:bookmarkStart w:id="116" w:name="_Toc373434399"/>
      <w:bookmarkStart w:id="117" w:name="_Toc373503974"/>
      <w:bookmarkStart w:id="118" w:name="_Toc373504421"/>
      <w:bookmarkStart w:id="119" w:name="_Toc375091188"/>
      <w:bookmarkStart w:id="120" w:name="_Toc375092768"/>
      <w:bookmarkStart w:id="121" w:name="_Toc375148585"/>
      <w:bookmarkStart w:id="122" w:name="_Toc375150257"/>
      <w:bookmarkStart w:id="123" w:name="_Toc375211968"/>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D4326F" w:rsidRDefault="00D4326F" w:rsidP="00097D6A">
      <w:pPr>
        <w:pStyle w:val="Heading2"/>
      </w:pPr>
      <w:bookmarkStart w:id="124" w:name="_Toc375211969"/>
      <w:r>
        <w:t>Logros en i</w:t>
      </w:r>
      <w:r w:rsidRPr="002F5E2A">
        <w:t>nvestigación</w:t>
      </w:r>
      <w:r>
        <w:t xml:space="preserve"> cient</w:t>
      </w:r>
      <w:r w:rsidR="00E039CC">
        <w:t>ífica y tec</w:t>
      </w:r>
      <w:r>
        <w:t>nológica</w:t>
      </w:r>
      <w:bookmarkEnd w:id="124"/>
    </w:p>
    <w:p w:rsidR="00D4326F" w:rsidRDefault="00D4326F" w:rsidP="002D7EE9">
      <w:pPr>
        <w:pStyle w:val="Heading3"/>
        <w:numPr>
          <w:ilvl w:val="2"/>
          <w:numId w:val="4"/>
        </w:numPr>
        <w:rPr>
          <w:rStyle w:val="Emphasis"/>
          <w:rFonts w:cs="Calibri"/>
          <w:i/>
        </w:rPr>
      </w:pPr>
      <w:bookmarkStart w:id="125" w:name="_Toc375211970"/>
      <w:r>
        <w:rPr>
          <w:rStyle w:val="Emphasis"/>
          <w:rFonts w:cs="Calibri"/>
          <w:i/>
        </w:rPr>
        <w:t>Características del subcomponente</w:t>
      </w:r>
      <w:bookmarkEnd w:id="125"/>
    </w:p>
    <w:p w:rsidR="00AE7040" w:rsidRPr="000C7ADE" w:rsidRDefault="00AE7040" w:rsidP="00AE7040">
      <w:pPr>
        <w:spacing w:before="200" w:line="276" w:lineRule="auto"/>
        <w:jc w:val="both"/>
        <w:rPr>
          <w:rFonts w:ascii="Calibri" w:eastAsia="Times New Roman" w:hAnsi="Calibri" w:cs="Calibri"/>
          <w:lang w:eastAsia="es-AR"/>
        </w:rPr>
      </w:pPr>
      <w:r w:rsidRPr="000C7ADE">
        <w:rPr>
          <w:rFonts w:ascii="Calibri" w:eastAsia="Times New Roman" w:hAnsi="Calibri" w:cs="Calibri"/>
          <w:lang w:eastAsia="es-AR"/>
        </w:rPr>
        <w:t xml:space="preserve">El Consejo Nacional de Ciencia y Tecnología (CONACYT), en el marco del Contrato de Préstamo 1698/OC-PR “Programa de Apoyo al Desarrollo de la Ciencia, Tecnología e Innovación", suscrito entre el Gobierno de la República del Paraguay y el Banco Interamericano de Desarrollo (BID) el 10 de abril de 2006 convocó a los interesados a presentar propuestas de proyecto para su cofinanciación. </w:t>
      </w:r>
    </w:p>
    <w:p w:rsidR="00AE7040" w:rsidRPr="000C7ADE" w:rsidRDefault="00AE7040" w:rsidP="00AE7040">
      <w:pPr>
        <w:spacing w:before="200" w:line="276" w:lineRule="auto"/>
        <w:jc w:val="both"/>
        <w:rPr>
          <w:rFonts w:ascii="Calibri" w:eastAsia="Times New Roman" w:hAnsi="Calibri" w:cs="Calibri"/>
          <w:lang w:eastAsia="es-AR"/>
        </w:rPr>
      </w:pPr>
      <w:r w:rsidRPr="000C7ADE">
        <w:rPr>
          <w:rFonts w:ascii="Calibri" w:eastAsia="Times New Roman" w:hAnsi="Calibri" w:cs="Calibri"/>
          <w:lang w:eastAsia="es-AR"/>
        </w:rPr>
        <w:t>El objetivo general de este subcomponente, fue fortalecer la capacidad de investigación y la generación de conocimientos relevantes para el sector productivo o para mejorar la calidad de vida de los paraguayos mediante el financiamiento no reembolsable de proyectos de investigación cuyo principal propósito fue el avance del conocimiento en diferentes áreas de la ciencia. Para ello se financió la realización de proyectos de inves</w:t>
      </w:r>
      <w:r w:rsidRPr="000C7ADE">
        <w:rPr>
          <w:rFonts w:ascii="Calibri" w:eastAsia="Times New Roman" w:hAnsi="Calibri" w:cs="Calibri"/>
          <w:lang w:eastAsia="es-AR"/>
        </w:rPr>
        <w:softHyphen/>
        <w:t>ti</w:t>
      </w:r>
      <w:r w:rsidRPr="000C7ADE">
        <w:rPr>
          <w:rFonts w:ascii="Calibri" w:eastAsia="Times New Roman" w:hAnsi="Calibri" w:cs="Calibri"/>
          <w:lang w:eastAsia="es-AR"/>
        </w:rPr>
        <w:softHyphen/>
      </w:r>
      <w:r w:rsidRPr="000C7ADE">
        <w:rPr>
          <w:rFonts w:ascii="Calibri" w:eastAsia="Times New Roman" w:hAnsi="Calibri" w:cs="Calibri"/>
          <w:lang w:eastAsia="es-AR"/>
        </w:rPr>
        <w:lastRenderedPageBreak/>
        <w:t>gación científica, siempre y cuando tuvieran como finalidad buscar un progreso en el estado del conocimiento con aplicación a la solución de problemas específicos de la sociedad paraguaya.</w:t>
      </w:r>
    </w:p>
    <w:p w:rsidR="00AE7040" w:rsidRPr="000C7ADE" w:rsidRDefault="00AE7040" w:rsidP="00AE7040">
      <w:pPr>
        <w:spacing w:before="200" w:line="276" w:lineRule="auto"/>
        <w:jc w:val="both"/>
        <w:rPr>
          <w:rFonts w:ascii="Calibri" w:eastAsia="Times New Roman" w:hAnsi="Calibri" w:cs="Calibri"/>
          <w:lang w:eastAsia="es-AR"/>
        </w:rPr>
      </w:pPr>
      <w:r w:rsidRPr="000C7ADE">
        <w:rPr>
          <w:rFonts w:ascii="Calibri" w:eastAsia="Times New Roman" w:hAnsi="Calibri" w:cs="Calibri"/>
          <w:lang w:eastAsia="es-AR"/>
        </w:rPr>
        <w:t>La convocatoria a presentación de proyectos de investigación buscaba cofinanciar con fondos públicos, propuestas en las cuales intervinieran una o más de las siguientes áreas de la ciencia con sus metodologías y técnicas respectivas: (i) Ciencias naturales y exactas;</w:t>
      </w:r>
      <w:r>
        <w:rPr>
          <w:rFonts w:ascii="Calibri" w:eastAsia="Times New Roman" w:hAnsi="Calibri" w:cs="Calibri"/>
          <w:lang w:eastAsia="es-AR"/>
        </w:rPr>
        <w:t xml:space="preserve"> (ii) Ciencias médicas y de la s</w:t>
      </w:r>
      <w:r w:rsidRPr="000C7ADE">
        <w:rPr>
          <w:rFonts w:ascii="Calibri" w:eastAsia="Times New Roman" w:hAnsi="Calibri" w:cs="Calibri"/>
          <w:lang w:eastAsia="es-AR"/>
        </w:rPr>
        <w:t xml:space="preserve">alud; (iii) Ciencias agropecuarias (iv) Ingenierías y tecnologías (v) Las ciencias sociales y; (vi) las humanidades. </w:t>
      </w:r>
    </w:p>
    <w:p w:rsidR="00AE7040" w:rsidRPr="000C7ADE" w:rsidRDefault="00AE7040" w:rsidP="00AE7040">
      <w:pPr>
        <w:spacing w:before="200" w:line="276" w:lineRule="auto"/>
        <w:jc w:val="both"/>
        <w:rPr>
          <w:rFonts w:ascii="Calibri" w:eastAsia="Times New Roman" w:hAnsi="Calibri" w:cs="Calibri"/>
          <w:lang w:eastAsia="es-AR"/>
        </w:rPr>
      </w:pPr>
      <w:r w:rsidRPr="000C7ADE">
        <w:rPr>
          <w:rFonts w:ascii="Calibri" w:eastAsia="Times New Roman" w:hAnsi="Calibri" w:cs="Calibri"/>
          <w:lang w:eastAsia="es-AR"/>
        </w:rPr>
        <w:t xml:space="preserve">En este sentido, </w:t>
      </w:r>
      <w:r>
        <w:rPr>
          <w:rFonts w:ascii="Calibri" w:eastAsia="Times New Roman" w:hAnsi="Calibri" w:cs="Calibri"/>
          <w:lang w:eastAsia="es-AR"/>
        </w:rPr>
        <w:t xml:space="preserve">en cada convocatoria, </w:t>
      </w:r>
      <w:r w:rsidRPr="000C7ADE">
        <w:rPr>
          <w:rFonts w:ascii="Calibri" w:eastAsia="Times New Roman" w:hAnsi="Calibri" w:cs="Calibri"/>
          <w:lang w:eastAsia="es-AR"/>
        </w:rPr>
        <w:t>se</w:t>
      </w:r>
      <w:r>
        <w:rPr>
          <w:rFonts w:ascii="Calibri" w:eastAsia="Times New Roman" w:hAnsi="Calibri" w:cs="Calibri"/>
          <w:lang w:eastAsia="es-AR"/>
        </w:rPr>
        <w:t xml:space="preserve"> buscaba cofinanciar </w:t>
      </w:r>
      <w:r w:rsidRPr="000C7ADE">
        <w:rPr>
          <w:rFonts w:ascii="Calibri" w:eastAsia="Times New Roman" w:hAnsi="Calibri" w:cs="Calibri"/>
          <w:lang w:eastAsia="es-AR"/>
        </w:rPr>
        <w:t>proyectos de investigación totalizando una cartera con u</w:t>
      </w:r>
      <w:r>
        <w:rPr>
          <w:rFonts w:ascii="Calibri" w:eastAsia="Times New Roman" w:hAnsi="Calibri" w:cs="Calibri"/>
          <w:lang w:eastAsia="es-AR"/>
        </w:rPr>
        <w:t>n monto máximo de USD 400.000 (dólares americanos cuatrocientos m</w:t>
      </w:r>
      <w:r w:rsidRPr="000C7ADE">
        <w:rPr>
          <w:rFonts w:ascii="Calibri" w:eastAsia="Times New Roman" w:hAnsi="Calibri" w:cs="Calibri"/>
          <w:lang w:eastAsia="es-AR"/>
        </w:rPr>
        <w:t xml:space="preserve">il). El Programa </w:t>
      </w:r>
      <w:r>
        <w:rPr>
          <w:rFonts w:ascii="Calibri" w:eastAsia="Times New Roman" w:hAnsi="Calibri" w:cs="Calibri"/>
          <w:lang w:eastAsia="es-AR"/>
        </w:rPr>
        <w:t>podía financiar</w:t>
      </w:r>
      <w:r w:rsidRPr="000C7ADE">
        <w:rPr>
          <w:rFonts w:ascii="Calibri" w:eastAsia="Times New Roman" w:hAnsi="Calibri" w:cs="Calibri"/>
          <w:lang w:eastAsia="es-AR"/>
        </w:rPr>
        <w:t xml:space="preserve"> </w:t>
      </w:r>
      <w:r>
        <w:rPr>
          <w:rFonts w:ascii="Calibri" w:eastAsia="Times New Roman" w:hAnsi="Calibri" w:cs="Calibri"/>
          <w:lang w:eastAsia="es-AR"/>
        </w:rPr>
        <w:t>hasta un máximo de USD 50.000 (dólares americanos cincuenta m</w:t>
      </w:r>
      <w:r w:rsidRPr="000C7ADE">
        <w:rPr>
          <w:rFonts w:ascii="Calibri" w:eastAsia="Times New Roman" w:hAnsi="Calibri" w:cs="Calibri"/>
          <w:lang w:eastAsia="es-AR"/>
        </w:rPr>
        <w:t>il) por proyecto</w:t>
      </w:r>
      <w:r>
        <w:rPr>
          <w:rFonts w:ascii="Calibri" w:eastAsia="Times New Roman" w:hAnsi="Calibri" w:cs="Calibri"/>
          <w:lang w:eastAsia="es-AR"/>
        </w:rPr>
        <w:t xml:space="preserve"> en cada convocatoria</w:t>
      </w:r>
      <w:r w:rsidRPr="000C7ADE">
        <w:rPr>
          <w:rFonts w:ascii="Calibri" w:eastAsia="Times New Roman" w:hAnsi="Calibri" w:cs="Calibri"/>
          <w:lang w:eastAsia="es-AR"/>
        </w:rPr>
        <w:t>.</w:t>
      </w:r>
    </w:p>
    <w:p w:rsidR="00AE7040" w:rsidRPr="00DC3ED5" w:rsidRDefault="00AE7040" w:rsidP="00AE7040">
      <w:pPr>
        <w:spacing w:before="200" w:line="276" w:lineRule="auto"/>
        <w:jc w:val="both"/>
        <w:rPr>
          <w:rFonts w:ascii="Calibri" w:eastAsia="Times New Roman" w:hAnsi="Calibri" w:cs="Calibri"/>
          <w:lang w:eastAsia="es-AR"/>
        </w:rPr>
      </w:pPr>
      <w:r>
        <w:rPr>
          <w:rFonts w:ascii="Calibri" w:eastAsia="Times New Roman" w:hAnsi="Calibri" w:cs="Calibri"/>
          <w:lang w:eastAsia="es-AR"/>
        </w:rPr>
        <w:t>Los beneficiarios de e</w:t>
      </w:r>
      <w:r w:rsidRPr="000C7ADE">
        <w:rPr>
          <w:rFonts w:ascii="Calibri" w:eastAsia="Times New Roman" w:hAnsi="Calibri" w:cs="Calibri"/>
          <w:lang w:eastAsia="es-AR"/>
        </w:rPr>
        <w:t xml:space="preserve">ste subcomponente </w:t>
      </w:r>
      <w:r>
        <w:rPr>
          <w:rFonts w:ascii="Calibri" w:eastAsia="Times New Roman" w:hAnsi="Calibri" w:cs="Calibri"/>
          <w:lang w:eastAsia="es-AR"/>
        </w:rPr>
        <w:t xml:space="preserve">fueron </w:t>
      </w:r>
      <w:r w:rsidRPr="000C7ADE">
        <w:rPr>
          <w:rFonts w:ascii="Calibri" w:eastAsia="Times New Roman" w:hAnsi="Calibri" w:cs="Calibri"/>
          <w:lang w:eastAsia="es-AR"/>
        </w:rPr>
        <w:t xml:space="preserve">entidades jurídicas legalmente constituidas ya sean universidades, entidades educativas, institutos, centros de investigación, y </w:t>
      </w:r>
      <w:r w:rsidRPr="00DC3ED5">
        <w:rPr>
          <w:rFonts w:ascii="Calibri" w:eastAsia="Times New Roman" w:hAnsi="Calibri" w:cs="Calibri"/>
          <w:lang w:eastAsia="es-AR"/>
        </w:rPr>
        <w:t>organismos no gubernamentales, quienes ejecutaron los proyectos cofinanciados.</w:t>
      </w:r>
    </w:p>
    <w:p w:rsidR="00AE7040" w:rsidRDefault="00AE7040" w:rsidP="00AE7040">
      <w:pPr>
        <w:spacing w:before="200" w:line="276" w:lineRule="auto"/>
        <w:rPr>
          <w:rStyle w:val="Emphasis"/>
          <w:rFonts w:ascii="Calibri" w:hAnsi="Calibri" w:cs="Calibri"/>
          <w:i w:val="0"/>
        </w:rPr>
      </w:pPr>
      <w:r w:rsidRPr="00B966EC">
        <w:rPr>
          <w:rStyle w:val="Emphasis"/>
          <w:rFonts w:ascii="Calibri" w:hAnsi="Calibri" w:cs="Calibri"/>
          <w:i w:val="0"/>
        </w:rPr>
        <w:t>A continuación se describirá el alcance del programa, es decir, los proyectos y montos aprobados, los proyectos aprobados según área/disciplina, institución, región, etc.</w:t>
      </w:r>
    </w:p>
    <w:p w:rsidR="00AE7040" w:rsidRPr="00D4326F" w:rsidRDefault="00AE7040" w:rsidP="00AE7040">
      <w:pPr>
        <w:spacing w:before="200" w:line="276" w:lineRule="auto"/>
        <w:rPr>
          <w:rFonts w:asciiTheme="minorHAnsi" w:hAnsiTheme="minorHAnsi" w:cstheme="minorHAnsi"/>
          <w:lang w:val="es-ES_tradnl" w:eastAsia="en-US"/>
        </w:rPr>
      </w:pPr>
    </w:p>
    <w:p w:rsidR="00D4326F" w:rsidRDefault="00D4326F" w:rsidP="002D7EE9">
      <w:pPr>
        <w:pStyle w:val="Heading3"/>
        <w:numPr>
          <w:ilvl w:val="2"/>
          <w:numId w:val="4"/>
        </w:numPr>
        <w:rPr>
          <w:rStyle w:val="Emphasis"/>
          <w:rFonts w:cs="Calibri"/>
          <w:i/>
        </w:rPr>
      </w:pPr>
      <w:bookmarkStart w:id="126" w:name="_Toc375211971"/>
      <w:r>
        <w:rPr>
          <w:rStyle w:val="Emphasis"/>
          <w:rFonts w:cs="Calibri"/>
          <w:i/>
        </w:rPr>
        <w:t>Alcance</w:t>
      </w:r>
      <w:bookmarkEnd w:id="126"/>
    </w:p>
    <w:p w:rsidR="00AE7040" w:rsidRPr="00B524B8" w:rsidRDefault="00AE7040" w:rsidP="00AE7040">
      <w:pPr>
        <w:pStyle w:val="NormalWeb"/>
        <w:spacing w:before="200" w:beforeAutospacing="0" w:after="0" w:afterAutospacing="0" w:line="276" w:lineRule="auto"/>
        <w:jc w:val="both"/>
        <w:textAlignment w:val="baseline"/>
        <w:rPr>
          <w:rFonts w:ascii="Calibri" w:hAnsi="Calibri" w:cs="Calibri"/>
          <w:lang w:val="es-ES"/>
        </w:rPr>
      </w:pPr>
      <w:r>
        <w:rPr>
          <w:rFonts w:ascii="Calibri" w:hAnsi="Calibri" w:cs="Calibri"/>
          <w:lang w:val="es-ES"/>
        </w:rPr>
        <w:t>Respecto al alcance del programa puede decirse que, como meta original, s</w:t>
      </w:r>
      <w:r w:rsidRPr="00052535">
        <w:rPr>
          <w:rFonts w:ascii="Calibri" w:hAnsi="Calibri" w:cs="Calibri"/>
          <w:lang w:val="es-ES"/>
        </w:rPr>
        <w:t xml:space="preserve">e fijó el financiamiento parcial no reembolsable a 47 proyectos. En 2011, la meta original fue ajustada y se determinó que el subsidio se otorgaría a un total de 37 proyectos. Hacia el año 2012, con la finalización del programa se observa que esta meta ajustada fue ampliamente superada acercándose a la meta original con un total de 46 proyectos adjudicados, como se presenta en el gráfico </w:t>
      </w:r>
      <w:r w:rsidR="00235AAE">
        <w:rPr>
          <w:rFonts w:ascii="Calibri" w:hAnsi="Calibri" w:cs="Calibri"/>
          <w:lang w:val="es-ES"/>
        </w:rPr>
        <w:t>5</w:t>
      </w:r>
      <w:r w:rsidRPr="00AE7040">
        <w:rPr>
          <w:rFonts w:ascii="Calibri" w:hAnsi="Calibri" w:cs="Calibri"/>
          <w:lang w:val="es-ES"/>
        </w:rPr>
        <w:t>.1</w:t>
      </w:r>
      <w:r w:rsidRPr="00052535">
        <w:rPr>
          <w:rFonts w:ascii="Calibri" w:hAnsi="Calibri" w:cs="Calibri"/>
          <w:lang w:val="es-ES"/>
        </w:rPr>
        <w:t xml:space="preserve">, a continuación. </w:t>
      </w:r>
      <w:r w:rsidRPr="00B524B8">
        <w:rPr>
          <w:rFonts w:ascii="Calibri" w:hAnsi="Calibri" w:cs="Calibri"/>
          <w:lang w:val="es-ES"/>
        </w:rPr>
        <w:t>Para alcanzar la meta fijada se realizaron cinco convocato</w:t>
      </w:r>
      <w:r>
        <w:rPr>
          <w:rFonts w:ascii="Calibri" w:hAnsi="Calibri" w:cs="Calibri"/>
          <w:lang w:val="es-ES"/>
        </w:rPr>
        <w:t>rias (2007, 2008, 2009, 2010 y 2</w:t>
      </w:r>
      <w:r w:rsidRPr="00B524B8">
        <w:rPr>
          <w:rFonts w:ascii="Calibri" w:hAnsi="Calibri" w:cs="Calibri"/>
          <w:lang w:val="es-ES"/>
        </w:rPr>
        <w:t xml:space="preserve">012). En todos los casos hubo más de 60 proyectos de investigación presentados.  La adjudicación rondó entre el 8% y el 18% de todos los proyectos presentados en las cinco convocatorias.  </w:t>
      </w:r>
    </w:p>
    <w:p w:rsidR="00AE7040" w:rsidRPr="00B524B8" w:rsidRDefault="00AE7040" w:rsidP="00AE7040">
      <w:pPr>
        <w:pStyle w:val="NormalWeb"/>
        <w:spacing w:before="200" w:beforeAutospacing="0" w:after="0" w:afterAutospacing="0" w:line="276" w:lineRule="auto"/>
        <w:jc w:val="both"/>
        <w:textAlignment w:val="baseline"/>
        <w:rPr>
          <w:rFonts w:ascii="Calibri" w:hAnsi="Calibri" w:cs="Calibri"/>
          <w:lang w:val="es-ES"/>
        </w:rPr>
      </w:pPr>
      <w:r w:rsidRPr="00B524B8">
        <w:rPr>
          <w:rFonts w:ascii="Calibri" w:hAnsi="Calibri" w:cs="Calibri"/>
          <w:lang w:val="es-ES"/>
        </w:rPr>
        <w:t xml:space="preserve">En general, la cantidad de proyectos presentados en todas las convocatorias fue bastante constante con un máximo de 76 proyectos presentados en 2008 y un mínimo de 60 proyectos presentados en la primera convocatoria en 2007 (como es de esperar por ser la primera experiencia).  Asimismo, esta convocatoria tuvo la menor tasa de adjudicación en relación a los demás años (con un total de sólo 5 proyectos adjudicados). </w:t>
      </w:r>
    </w:p>
    <w:p w:rsidR="007A62FA" w:rsidRDefault="007A62FA" w:rsidP="00AE7040">
      <w:pPr>
        <w:pStyle w:val="NormalWeb"/>
        <w:spacing w:before="120" w:beforeAutospacing="0" w:after="120" w:afterAutospacing="0" w:line="288" w:lineRule="auto"/>
        <w:jc w:val="center"/>
        <w:textAlignment w:val="baseline"/>
        <w:rPr>
          <w:rFonts w:ascii="Calibri" w:hAnsi="Calibri" w:cs="Calibri"/>
          <w:b/>
        </w:rPr>
      </w:pPr>
    </w:p>
    <w:p w:rsidR="007A62FA" w:rsidRDefault="007A62FA" w:rsidP="00AE7040">
      <w:pPr>
        <w:pStyle w:val="NormalWeb"/>
        <w:spacing w:before="120" w:beforeAutospacing="0" w:after="120" w:afterAutospacing="0" w:line="288" w:lineRule="auto"/>
        <w:jc w:val="center"/>
        <w:textAlignment w:val="baseline"/>
        <w:rPr>
          <w:rFonts w:ascii="Calibri" w:hAnsi="Calibri" w:cs="Calibri"/>
          <w:b/>
        </w:rPr>
      </w:pPr>
    </w:p>
    <w:p w:rsidR="00AE7040" w:rsidRPr="00B524B8" w:rsidRDefault="00AE7040" w:rsidP="00AE7040">
      <w:pPr>
        <w:pStyle w:val="NormalWeb"/>
        <w:spacing w:before="120" w:beforeAutospacing="0" w:after="120" w:afterAutospacing="0" w:line="288" w:lineRule="auto"/>
        <w:jc w:val="center"/>
        <w:textAlignment w:val="baseline"/>
        <w:rPr>
          <w:rFonts w:ascii="Calibri" w:hAnsi="Calibri" w:cs="Calibri"/>
          <w:b/>
        </w:rPr>
      </w:pPr>
      <w:r>
        <w:rPr>
          <w:rFonts w:ascii="Calibri" w:hAnsi="Calibri" w:cs="Calibri"/>
          <w:b/>
        </w:rPr>
        <w:t xml:space="preserve">Gráfico </w:t>
      </w:r>
      <w:r w:rsidR="00235AAE">
        <w:rPr>
          <w:rFonts w:ascii="Calibri" w:hAnsi="Calibri" w:cs="Calibri"/>
          <w:b/>
        </w:rPr>
        <w:t>5</w:t>
      </w:r>
      <w:r>
        <w:rPr>
          <w:rFonts w:ascii="Calibri" w:hAnsi="Calibri" w:cs="Calibri"/>
          <w:b/>
        </w:rPr>
        <w:t>.1.</w:t>
      </w:r>
      <w:r w:rsidRPr="00B524B8">
        <w:rPr>
          <w:rFonts w:ascii="Calibri" w:hAnsi="Calibri" w:cs="Calibri"/>
          <w:b/>
        </w:rPr>
        <w:t xml:space="preserve"> Análisis de metas del subcomponente de Investigación</w:t>
      </w:r>
    </w:p>
    <w:p w:rsidR="00AE7040" w:rsidRPr="00B524B8" w:rsidRDefault="00AE7040" w:rsidP="006C6743">
      <w:pPr>
        <w:pStyle w:val="ListParagraph"/>
        <w:spacing w:before="120" w:after="120" w:line="288" w:lineRule="auto"/>
        <w:ind w:left="0"/>
        <w:jc w:val="center"/>
        <w:rPr>
          <w:rFonts w:ascii="Calibri" w:hAnsi="Calibri" w:cs="Calibri"/>
          <w:b/>
          <w:u w:val="single"/>
        </w:rPr>
      </w:pPr>
      <w:r w:rsidRPr="00FB25AB">
        <w:rPr>
          <w:noProof/>
          <w:lang w:val="es-ES_tradnl" w:eastAsia="es-ES_tradnl"/>
        </w:rPr>
        <w:drawing>
          <wp:inline distT="0" distB="0" distL="0" distR="0" wp14:anchorId="043409D8" wp14:editId="5B6A4A21">
            <wp:extent cx="3381375" cy="2104492"/>
            <wp:effectExtent l="19050" t="19050" r="9525" b="1016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3876" cy="2106048"/>
                    </a:xfrm>
                    <a:prstGeom prst="rect">
                      <a:avLst/>
                    </a:prstGeom>
                    <a:noFill/>
                    <a:ln>
                      <a:solidFill>
                        <a:schemeClr val="bg1">
                          <a:lumMod val="65000"/>
                        </a:schemeClr>
                      </a:solidFill>
                    </a:ln>
                  </pic:spPr>
                </pic:pic>
              </a:graphicData>
            </a:graphic>
          </wp:inline>
        </w:drawing>
      </w:r>
    </w:p>
    <w:p w:rsidR="00AE7040" w:rsidRPr="00B524B8" w:rsidRDefault="00AE7040" w:rsidP="006C6743">
      <w:pPr>
        <w:pStyle w:val="ListParagraph"/>
        <w:spacing w:before="120" w:after="120" w:line="288" w:lineRule="auto"/>
        <w:ind w:left="1276" w:right="1183"/>
        <w:jc w:val="center"/>
        <w:rPr>
          <w:rFonts w:ascii="Calibri" w:hAnsi="Calibri" w:cs="Calibri"/>
          <w:sz w:val="18"/>
          <w:szCs w:val="18"/>
        </w:rPr>
      </w:pPr>
      <w:r w:rsidRPr="00B524B8">
        <w:rPr>
          <w:rFonts w:ascii="Calibri" w:hAnsi="Calibri" w:cs="Calibri"/>
          <w:sz w:val="18"/>
          <w:szCs w:val="18"/>
        </w:rPr>
        <w:t>Fuente: Innovos Group en base a datos provistos por CONACYT</w:t>
      </w:r>
    </w:p>
    <w:p w:rsidR="00AE7040" w:rsidRDefault="00AE7040" w:rsidP="006C6743">
      <w:pPr>
        <w:pStyle w:val="ListParagraph"/>
        <w:spacing w:before="120" w:after="120" w:line="288" w:lineRule="auto"/>
        <w:ind w:left="1276" w:right="1183"/>
        <w:jc w:val="center"/>
        <w:rPr>
          <w:rFonts w:ascii="Calibri" w:hAnsi="Calibri" w:cs="Calibri"/>
          <w:sz w:val="18"/>
          <w:szCs w:val="18"/>
        </w:rPr>
      </w:pPr>
      <w:r w:rsidRPr="00B524B8">
        <w:rPr>
          <w:rFonts w:ascii="Calibri" w:hAnsi="Calibri" w:cs="Calibri"/>
          <w:sz w:val="18"/>
          <w:szCs w:val="18"/>
        </w:rPr>
        <w:t>*Los indicadores fueron ajustados en la Misión de Supervisión, llevada a cabo en Asunción del 28/02/2011 al 03/03/2011, y constan e</w:t>
      </w:r>
      <w:r w:rsidR="006C6743">
        <w:rPr>
          <w:rFonts w:ascii="Calibri" w:hAnsi="Calibri" w:cs="Calibri"/>
          <w:sz w:val="18"/>
          <w:szCs w:val="18"/>
        </w:rPr>
        <w:t>n la Ayuda Memoria de la Misión</w:t>
      </w:r>
    </w:p>
    <w:p w:rsidR="00AE7040" w:rsidRDefault="00AE7040" w:rsidP="00AE7040">
      <w:pPr>
        <w:pStyle w:val="NormalWeb"/>
        <w:spacing w:before="200" w:beforeAutospacing="0" w:after="0" w:afterAutospacing="0" w:line="276" w:lineRule="auto"/>
        <w:jc w:val="both"/>
        <w:textAlignment w:val="baseline"/>
        <w:rPr>
          <w:rFonts w:ascii="Calibri" w:hAnsi="Calibri" w:cs="Calibri"/>
          <w:lang w:val="es-ES"/>
        </w:rPr>
      </w:pPr>
      <w:r>
        <w:rPr>
          <w:rFonts w:ascii="Calibri" w:hAnsi="Calibri" w:cs="Calibri"/>
          <w:lang w:val="es-ES"/>
        </w:rPr>
        <w:t>Por otra parte, en lo que respecta a</w:t>
      </w:r>
      <w:r w:rsidRPr="00B524B8">
        <w:rPr>
          <w:rFonts w:ascii="Calibri" w:hAnsi="Calibri" w:cs="Calibri"/>
          <w:lang w:val="es-ES"/>
        </w:rPr>
        <w:t xml:space="preserve"> este subcomponente, la demanda del subsidio fue muy alta y se lograron cumplir las metas fijadas originalmente obteniendo resultados muy satisfactorios. Estos valores, desagregados por convocatoria, se presentan a continuación.</w:t>
      </w:r>
      <w:r>
        <w:rPr>
          <w:rFonts w:ascii="Calibri" w:hAnsi="Calibri" w:cs="Calibri"/>
          <w:lang w:val="es-ES"/>
        </w:rPr>
        <w:t xml:space="preserve"> Es necesario destacar, que la convocatoria de 2012, fue realizada con recursos propios (sin fondos internacionales) lo que resulta meritorio para el crecimiento del país.  </w:t>
      </w:r>
      <w:r w:rsidRPr="00B524B8">
        <w:rPr>
          <w:rFonts w:ascii="Calibri" w:hAnsi="Calibri" w:cs="Calibri"/>
          <w:lang w:val="es-ES"/>
        </w:rPr>
        <w:t xml:space="preserve">   </w:t>
      </w:r>
    </w:p>
    <w:p w:rsidR="00AE7040" w:rsidRPr="00B524B8" w:rsidRDefault="00235AAE" w:rsidP="00AE7040">
      <w:pPr>
        <w:spacing w:line="288" w:lineRule="auto"/>
        <w:jc w:val="center"/>
        <w:rPr>
          <w:rFonts w:ascii="Calibri" w:hAnsi="Calibri" w:cs="Calibri"/>
          <w:b/>
        </w:rPr>
      </w:pPr>
      <w:r>
        <w:rPr>
          <w:rFonts w:ascii="Calibri" w:hAnsi="Calibri" w:cs="Calibri"/>
          <w:b/>
        </w:rPr>
        <w:t>Gráfico 5</w:t>
      </w:r>
      <w:r w:rsidR="0023300A">
        <w:rPr>
          <w:rFonts w:ascii="Calibri" w:hAnsi="Calibri" w:cs="Calibri"/>
          <w:b/>
        </w:rPr>
        <w:t>.2.</w:t>
      </w:r>
      <w:r w:rsidR="00AE7040">
        <w:rPr>
          <w:rFonts w:ascii="Calibri" w:hAnsi="Calibri" w:cs="Calibri"/>
          <w:b/>
        </w:rPr>
        <w:t xml:space="preserve"> </w:t>
      </w:r>
      <w:r w:rsidR="00AE7040" w:rsidRPr="00B524B8">
        <w:rPr>
          <w:rFonts w:ascii="Calibri" w:hAnsi="Calibri" w:cs="Calibri"/>
          <w:b/>
        </w:rPr>
        <w:t>Análisis de demanda del subcomponente de Investigación</w:t>
      </w:r>
    </w:p>
    <w:p w:rsidR="00AE7040" w:rsidRPr="00B524B8" w:rsidRDefault="00AE7040" w:rsidP="00AE7040">
      <w:pPr>
        <w:spacing w:line="288" w:lineRule="auto"/>
        <w:jc w:val="center"/>
        <w:rPr>
          <w:rFonts w:ascii="Calibri" w:hAnsi="Calibri" w:cs="Calibri"/>
          <w:b/>
          <w:highlight w:val="yellow"/>
          <w:u w:val="single"/>
        </w:rPr>
      </w:pPr>
      <w:r w:rsidRPr="00FB25AB">
        <w:rPr>
          <w:noProof/>
          <w:lang w:val="es-ES_tradnl" w:eastAsia="es-ES_tradnl"/>
        </w:rPr>
        <w:drawing>
          <wp:inline distT="0" distB="0" distL="0" distR="0" wp14:anchorId="17AAC9B4" wp14:editId="0E08BF95">
            <wp:extent cx="3581400" cy="2278288"/>
            <wp:effectExtent l="19050" t="19050" r="19050" b="27305"/>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0" cy="2278288"/>
                    </a:xfrm>
                    <a:prstGeom prst="rect">
                      <a:avLst/>
                    </a:prstGeom>
                    <a:noFill/>
                    <a:ln>
                      <a:solidFill>
                        <a:schemeClr val="bg1">
                          <a:lumMod val="65000"/>
                        </a:schemeClr>
                      </a:solidFill>
                    </a:ln>
                  </pic:spPr>
                </pic:pic>
              </a:graphicData>
            </a:graphic>
          </wp:inline>
        </w:drawing>
      </w:r>
    </w:p>
    <w:p w:rsidR="00AE7040" w:rsidRPr="00B524B8" w:rsidRDefault="00AE7040" w:rsidP="0037314C">
      <w:pPr>
        <w:spacing w:line="288" w:lineRule="auto"/>
        <w:jc w:val="center"/>
        <w:rPr>
          <w:rFonts w:ascii="Calibri" w:hAnsi="Calibri" w:cs="Calibri"/>
          <w:sz w:val="18"/>
          <w:szCs w:val="18"/>
        </w:rPr>
      </w:pPr>
      <w:r w:rsidRPr="00B524B8">
        <w:rPr>
          <w:rFonts w:ascii="Calibri" w:hAnsi="Calibri" w:cs="Calibri"/>
          <w:sz w:val="18"/>
          <w:szCs w:val="18"/>
        </w:rPr>
        <w:t>Fuente: Innovos Group en base a datos provistos por CONACYT</w:t>
      </w:r>
    </w:p>
    <w:p w:rsidR="00AE7040" w:rsidRPr="00105574" w:rsidRDefault="00AE7040" w:rsidP="00105574">
      <w:pPr>
        <w:pStyle w:val="NormalWeb"/>
        <w:spacing w:before="200" w:beforeAutospacing="0" w:after="0" w:afterAutospacing="0" w:line="276" w:lineRule="auto"/>
        <w:jc w:val="both"/>
        <w:textAlignment w:val="baseline"/>
        <w:rPr>
          <w:rFonts w:ascii="Calibri" w:hAnsi="Calibri" w:cs="Calibri"/>
          <w:iCs/>
          <w:lang w:val="es-ES"/>
        </w:rPr>
      </w:pPr>
      <w:r w:rsidRPr="00105574">
        <w:rPr>
          <w:rFonts w:ascii="Calibri" w:hAnsi="Calibri" w:cs="Calibri"/>
          <w:iCs/>
          <w:lang w:val="es-ES"/>
        </w:rPr>
        <w:t xml:space="preserve">La mayoría de los proyectos de investigación beneficiarios del PROCIT fueron adjudicados a la Universidad Nacional de Asunción, que obtuvo un 46% del total de los proyectos </w:t>
      </w:r>
      <w:r w:rsidRPr="00105574">
        <w:rPr>
          <w:rFonts w:ascii="Calibri" w:hAnsi="Calibri" w:cs="Calibri"/>
          <w:iCs/>
          <w:lang w:val="es-ES"/>
        </w:rPr>
        <w:lastRenderedPageBreak/>
        <w:t>adjudicados. En segundo lugar, se encuentra la Universidad Católica de Asunción con un 17% de proyectos adjudicados y en tercer lugar una organización de la sociedad civil (Fundación Moisés Bertoni) con un total de 9% de proyectos adjudicados. La distribución de proyectos por institución s</w:t>
      </w:r>
      <w:r w:rsidR="00105574">
        <w:rPr>
          <w:rFonts w:ascii="Calibri" w:hAnsi="Calibri" w:cs="Calibri"/>
          <w:iCs/>
          <w:lang w:val="es-ES"/>
        </w:rPr>
        <w:t>e puede observar en el gráfico 5</w:t>
      </w:r>
      <w:r w:rsidRPr="00105574">
        <w:rPr>
          <w:rFonts w:ascii="Calibri" w:hAnsi="Calibri" w:cs="Calibri"/>
          <w:iCs/>
          <w:lang w:val="es-ES"/>
        </w:rPr>
        <w:t xml:space="preserve">.3 a continuación.   </w:t>
      </w:r>
    </w:p>
    <w:p w:rsidR="00AE7040" w:rsidRPr="00DC3ED5" w:rsidRDefault="00AE7040" w:rsidP="00AE7040">
      <w:pPr>
        <w:spacing w:before="120" w:after="120" w:line="288" w:lineRule="auto"/>
        <w:jc w:val="center"/>
        <w:rPr>
          <w:rFonts w:ascii="Calibri" w:hAnsi="Calibri" w:cs="Calibri"/>
          <w:b/>
        </w:rPr>
      </w:pPr>
      <w:r>
        <w:rPr>
          <w:rFonts w:ascii="Calibri" w:hAnsi="Calibri" w:cs="Calibri"/>
          <w:b/>
        </w:rPr>
        <w:t xml:space="preserve"> </w:t>
      </w:r>
      <w:r w:rsidR="0023300A">
        <w:rPr>
          <w:rFonts w:ascii="Calibri" w:hAnsi="Calibri" w:cs="Calibri"/>
          <w:b/>
        </w:rPr>
        <w:t xml:space="preserve">Gráfico </w:t>
      </w:r>
      <w:r w:rsidR="00235AAE">
        <w:rPr>
          <w:rFonts w:ascii="Calibri" w:hAnsi="Calibri" w:cs="Calibri"/>
          <w:b/>
        </w:rPr>
        <w:t>5</w:t>
      </w:r>
      <w:r w:rsidR="0023300A">
        <w:rPr>
          <w:rFonts w:ascii="Calibri" w:hAnsi="Calibri" w:cs="Calibri"/>
          <w:b/>
        </w:rPr>
        <w:t>.3.</w:t>
      </w:r>
      <w:r w:rsidRPr="00DC3ED5">
        <w:rPr>
          <w:rFonts w:ascii="Calibri" w:hAnsi="Calibri" w:cs="Calibri"/>
          <w:b/>
        </w:rPr>
        <w:t xml:space="preserve"> Cantidad de proyectos adjudicados por institución</w:t>
      </w:r>
    </w:p>
    <w:p w:rsidR="00AE7040" w:rsidRDefault="00AE7040" w:rsidP="00AE7040">
      <w:pPr>
        <w:pStyle w:val="ListParagraph"/>
        <w:spacing w:before="120" w:after="120" w:line="288" w:lineRule="auto"/>
        <w:ind w:left="360"/>
        <w:jc w:val="center"/>
        <w:rPr>
          <w:noProof/>
          <w:lang w:val="es-AR" w:eastAsia="es-AR"/>
        </w:rPr>
      </w:pPr>
      <w:r w:rsidRPr="00DC3ED5">
        <w:rPr>
          <w:noProof/>
          <w:lang w:val="es-ES_tradnl" w:eastAsia="es-ES_tradnl"/>
        </w:rPr>
        <w:drawing>
          <wp:inline distT="0" distB="0" distL="0" distR="0" wp14:anchorId="00AA6BA8" wp14:editId="24F0CC2C">
            <wp:extent cx="2571750" cy="2957924"/>
            <wp:effectExtent l="19050" t="19050" r="19050" b="1397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4004" cy="2960516"/>
                    </a:xfrm>
                    <a:prstGeom prst="rect">
                      <a:avLst/>
                    </a:prstGeom>
                    <a:noFill/>
                    <a:ln>
                      <a:solidFill>
                        <a:schemeClr val="bg1">
                          <a:lumMod val="65000"/>
                        </a:schemeClr>
                      </a:solidFill>
                    </a:ln>
                  </pic:spPr>
                </pic:pic>
              </a:graphicData>
            </a:graphic>
          </wp:inline>
        </w:drawing>
      </w:r>
      <w:r w:rsidRPr="00DE189D">
        <w:rPr>
          <w:noProof/>
          <w:lang w:val="es-AR" w:eastAsia="es-AR"/>
        </w:rPr>
        <w:t xml:space="preserve"> </w:t>
      </w:r>
    </w:p>
    <w:p w:rsidR="00AE7040" w:rsidRPr="00034C17" w:rsidRDefault="00AE7040" w:rsidP="00AE7040">
      <w:pPr>
        <w:jc w:val="both"/>
        <w:rPr>
          <w:rFonts w:asciiTheme="minorHAnsi" w:eastAsia="Times New Roman" w:hAnsiTheme="minorHAnsi" w:cs="Microsoft Sans Serif"/>
          <w:sz w:val="18"/>
          <w:szCs w:val="18"/>
          <w:lang w:eastAsia="es-AR"/>
        </w:rPr>
      </w:pPr>
      <w:r>
        <w:rPr>
          <w:rFonts w:asciiTheme="minorHAnsi" w:eastAsia="Times New Roman" w:hAnsiTheme="minorHAnsi" w:cs="Microsoft Sans Serif"/>
          <w:sz w:val="18"/>
          <w:szCs w:val="18"/>
          <w:lang w:eastAsia="es-AR"/>
        </w:rPr>
        <w:t xml:space="preserve">Nota: A continuación se detallan las siglas correspondientes a cada institución. </w:t>
      </w:r>
      <w:r w:rsidRPr="00034C17">
        <w:rPr>
          <w:rFonts w:asciiTheme="minorHAnsi" w:eastAsia="Times New Roman" w:hAnsiTheme="minorHAnsi" w:cs="Microsoft Sans Serif"/>
          <w:sz w:val="18"/>
          <w:szCs w:val="18"/>
          <w:lang w:eastAsia="es-AR"/>
        </w:rPr>
        <w:t>Centro de Análisis y difusión de la economía (CADE); Fundación Centro de Información y Recursos para el Desarrollo (FCIRD); Centro Unificado de Sociología y Politología para la investigación docencia y extensión (CUSPIDE); Instituto Desarrollo (ID); Instituto Superior de Educación (ISE); Mingara asociación para el Desarrollo Sustentable (MINAGRA); Organización multidisciplinaria de apoyo a profesores y alumnos (OMAPA); Universidad Iberoamericana (UI); Asociación Guyra Paraguay (AGP); Universidad Nacional del Este (UNE); Fundación Moisés Bertoni (FMB); Universidad Católica de Asunción (UCA); Universidad Nacional de Asunción (UNA)</w:t>
      </w:r>
    </w:p>
    <w:p w:rsidR="00AE7040" w:rsidRPr="00B75BEC" w:rsidRDefault="00235AAE" w:rsidP="00B75BEC">
      <w:pPr>
        <w:spacing w:before="120" w:after="120" w:line="288" w:lineRule="auto"/>
        <w:jc w:val="center"/>
        <w:rPr>
          <w:rFonts w:ascii="Calibri" w:hAnsi="Calibri" w:cs="Calibri"/>
          <w:b/>
        </w:rPr>
      </w:pPr>
      <w:r>
        <w:rPr>
          <w:rFonts w:ascii="Calibri" w:hAnsi="Calibri" w:cs="Calibri"/>
          <w:b/>
        </w:rPr>
        <w:t>Gráfico 5</w:t>
      </w:r>
      <w:r w:rsidR="0023300A">
        <w:rPr>
          <w:rFonts w:ascii="Calibri" w:hAnsi="Calibri" w:cs="Calibri"/>
          <w:b/>
        </w:rPr>
        <w:t>.4.</w:t>
      </w:r>
      <w:r w:rsidR="00AE7040" w:rsidRPr="00DC3ED5">
        <w:rPr>
          <w:rFonts w:ascii="Calibri" w:hAnsi="Calibri" w:cs="Calibri"/>
          <w:b/>
        </w:rPr>
        <w:t xml:space="preserve"> Cantidad de proyectos </w:t>
      </w:r>
      <w:r w:rsidR="00AE7040">
        <w:rPr>
          <w:rFonts w:ascii="Calibri" w:hAnsi="Calibri" w:cs="Calibri"/>
          <w:b/>
        </w:rPr>
        <w:t>por sector</w:t>
      </w:r>
    </w:p>
    <w:p w:rsidR="00AE7040" w:rsidRPr="00DC3ED5" w:rsidRDefault="00AE7040" w:rsidP="00AE7040">
      <w:pPr>
        <w:pStyle w:val="ListParagraph"/>
        <w:spacing w:before="120" w:after="120" w:line="288" w:lineRule="auto"/>
        <w:ind w:left="360"/>
        <w:jc w:val="center"/>
        <w:rPr>
          <w:rFonts w:ascii="Calibri" w:hAnsi="Calibri" w:cs="Calibri"/>
          <w:b/>
        </w:rPr>
      </w:pPr>
      <w:r>
        <w:rPr>
          <w:noProof/>
          <w:lang w:val="es-ES_tradnl" w:eastAsia="es-ES_tradnl"/>
        </w:rPr>
        <w:drawing>
          <wp:inline distT="0" distB="0" distL="0" distR="0" wp14:anchorId="44D57A0B" wp14:editId="4CB7D6F8">
            <wp:extent cx="3286125" cy="2390775"/>
            <wp:effectExtent l="0" t="0" r="9525" b="952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E7040" w:rsidRPr="00DC3ED5" w:rsidRDefault="00AE7040" w:rsidP="00AE7040">
      <w:pPr>
        <w:spacing w:before="120" w:after="120" w:line="288" w:lineRule="auto"/>
        <w:ind w:left="2268"/>
        <w:jc w:val="both"/>
        <w:rPr>
          <w:rFonts w:ascii="Calibri" w:hAnsi="Calibri" w:cs="Calibri"/>
          <w:sz w:val="18"/>
          <w:szCs w:val="18"/>
        </w:rPr>
      </w:pPr>
      <w:r w:rsidRPr="00DC3ED5">
        <w:rPr>
          <w:rFonts w:ascii="Calibri" w:hAnsi="Calibri" w:cs="Calibri"/>
          <w:sz w:val="18"/>
          <w:szCs w:val="18"/>
        </w:rPr>
        <w:lastRenderedPageBreak/>
        <w:t>Fuente: Innovos Group en base a datos provistos por CONACYT</w:t>
      </w:r>
    </w:p>
    <w:p w:rsidR="00AE7040" w:rsidRPr="00105574" w:rsidRDefault="00AE7040" w:rsidP="00105574">
      <w:pPr>
        <w:pStyle w:val="NormalWeb"/>
        <w:spacing w:before="200" w:beforeAutospacing="0" w:after="0" w:afterAutospacing="0" w:line="276" w:lineRule="auto"/>
        <w:jc w:val="both"/>
        <w:textAlignment w:val="baseline"/>
        <w:rPr>
          <w:rFonts w:ascii="Calibri" w:hAnsi="Calibri" w:cs="Calibri"/>
          <w:iCs/>
          <w:lang w:val="es-ES"/>
        </w:rPr>
      </w:pPr>
      <w:r w:rsidRPr="00105574">
        <w:rPr>
          <w:rFonts w:ascii="Calibri" w:hAnsi="Calibri" w:cs="Calibri"/>
          <w:iCs/>
          <w:lang w:val="es-ES"/>
        </w:rPr>
        <w:t>El total de proyectos adjudicados, fue similar en todas las convocatorias. El máximo de proyectos adjudicados fueron 12 en la convocatoria del año 2010. El mínimo fue en 2007, con un total de 5 proyectos adjudicados.</w:t>
      </w:r>
    </w:p>
    <w:p w:rsidR="00AE7040" w:rsidRPr="00B524B8" w:rsidRDefault="00AE7040" w:rsidP="00AE7040">
      <w:pPr>
        <w:spacing w:before="120" w:after="120" w:line="288" w:lineRule="auto"/>
        <w:jc w:val="center"/>
        <w:rPr>
          <w:rFonts w:ascii="Calibri" w:hAnsi="Calibri" w:cs="Calibri"/>
          <w:b/>
        </w:rPr>
      </w:pPr>
      <w:r w:rsidRPr="00B524B8">
        <w:rPr>
          <w:rFonts w:ascii="Calibri" w:hAnsi="Calibri" w:cs="Calibri"/>
          <w:b/>
        </w:rPr>
        <w:t>G</w:t>
      </w:r>
      <w:r w:rsidR="00235AAE">
        <w:rPr>
          <w:rFonts w:ascii="Calibri" w:hAnsi="Calibri" w:cs="Calibri"/>
          <w:b/>
        </w:rPr>
        <w:t>ráfico 5</w:t>
      </w:r>
      <w:r w:rsidR="0023300A">
        <w:rPr>
          <w:rFonts w:ascii="Calibri" w:hAnsi="Calibri" w:cs="Calibri"/>
          <w:b/>
        </w:rPr>
        <w:t>.5.</w:t>
      </w:r>
      <w:r w:rsidRPr="00B524B8">
        <w:rPr>
          <w:rFonts w:ascii="Calibri" w:hAnsi="Calibri" w:cs="Calibri"/>
          <w:b/>
        </w:rPr>
        <w:t xml:space="preserve"> Cantidad de investigadores por convocatoria</w:t>
      </w:r>
    </w:p>
    <w:p w:rsidR="00AE7040" w:rsidRPr="00B524B8" w:rsidRDefault="00AE7040" w:rsidP="00AE7040">
      <w:pPr>
        <w:pStyle w:val="ListParagraph"/>
        <w:spacing w:before="120" w:after="120" w:line="288" w:lineRule="auto"/>
        <w:ind w:left="1560"/>
        <w:jc w:val="both"/>
        <w:rPr>
          <w:rFonts w:ascii="Calibri" w:hAnsi="Calibri" w:cs="Calibri"/>
          <w:b/>
        </w:rPr>
      </w:pPr>
      <w:r>
        <w:rPr>
          <w:rFonts w:ascii="Calibri" w:hAnsi="Calibri" w:cs="Calibri"/>
          <w:b/>
          <w:noProof/>
          <w:lang w:val="es-ES_tradnl" w:eastAsia="es-ES_tradnl"/>
        </w:rPr>
        <w:drawing>
          <wp:inline distT="0" distB="0" distL="0" distR="0" wp14:anchorId="43BEB785" wp14:editId="0693317A">
            <wp:extent cx="3562350" cy="2286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2350" cy="2286000"/>
                    </a:xfrm>
                    <a:prstGeom prst="rect">
                      <a:avLst/>
                    </a:prstGeom>
                    <a:noFill/>
                    <a:ln>
                      <a:noFill/>
                    </a:ln>
                  </pic:spPr>
                </pic:pic>
              </a:graphicData>
            </a:graphic>
          </wp:inline>
        </w:drawing>
      </w:r>
    </w:p>
    <w:p w:rsidR="00AE7040" w:rsidRPr="00B524B8" w:rsidRDefault="00AE7040" w:rsidP="006C6743">
      <w:pPr>
        <w:spacing w:before="120" w:after="120" w:line="288" w:lineRule="auto"/>
        <w:jc w:val="center"/>
        <w:rPr>
          <w:rFonts w:ascii="Calibri" w:hAnsi="Calibri" w:cs="Calibri"/>
          <w:sz w:val="18"/>
          <w:szCs w:val="18"/>
        </w:rPr>
      </w:pPr>
      <w:r w:rsidRPr="00B524B8">
        <w:rPr>
          <w:rFonts w:ascii="Calibri" w:hAnsi="Calibri" w:cs="Calibri"/>
          <w:sz w:val="18"/>
          <w:szCs w:val="18"/>
        </w:rPr>
        <w:t>Fuente: Innovos Group en base a datos provistos por CONACYT</w:t>
      </w:r>
    </w:p>
    <w:p w:rsidR="00AE7040" w:rsidRDefault="00AE7040" w:rsidP="00105574">
      <w:pPr>
        <w:pStyle w:val="NormalWeb"/>
        <w:spacing w:before="200" w:beforeAutospacing="0" w:after="0" w:afterAutospacing="0" w:line="276" w:lineRule="auto"/>
        <w:jc w:val="both"/>
        <w:textAlignment w:val="baseline"/>
        <w:rPr>
          <w:rFonts w:ascii="Calibri" w:hAnsi="Calibri" w:cs="Calibri"/>
          <w:iCs/>
          <w:lang w:val="es-ES"/>
        </w:rPr>
      </w:pPr>
      <w:r w:rsidRPr="003D7B40">
        <w:rPr>
          <w:rFonts w:ascii="Calibri" w:hAnsi="Calibri" w:cs="Calibri"/>
          <w:iCs/>
          <w:lang w:val="es-ES"/>
        </w:rPr>
        <w:t xml:space="preserve">En este sentido, la mayoría de los proyectos han sido adjudicados en el radio urbano metropolitano de Asunción. </w:t>
      </w:r>
      <w:r w:rsidR="00235AAE">
        <w:rPr>
          <w:rFonts w:ascii="Calibri" w:hAnsi="Calibri" w:cs="Calibri"/>
          <w:iCs/>
          <w:lang w:val="es-ES"/>
        </w:rPr>
        <w:t>Como se observa en el gráfico 5</w:t>
      </w:r>
      <w:r w:rsidR="0023300A">
        <w:rPr>
          <w:rFonts w:ascii="Calibri" w:hAnsi="Calibri" w:cs="Calibri"/>
          <w:iCs/>
          <w:lang w:val="es-ES"/>
        </w:rPr>
        <w:t>.6</w:t>
      </w:r>
      <w:r>
        <w:rPr>
          <w:rFonts w:ascii="Calibri" w:hAnsi="Calibri" w:cs="Calibri"/>
          <w:iCs/>
          <w:lang w:val="es-ES"/>
        </w:rPr>
        <w:t xml:space="preserve"> que muestra la distribución geográfica de los proyectos el 86% de los mismos se financiaron en Asunción y Gran asunción. </w:t>
      </w:r>
      <w:r w:rsidRPr="003D7B40">
        <w:rPr>
          <w:rFonts w:ascii="Calibri" w:hAnsi="Calibri" w:cs="Calibri"/>
          <w:iCs/>
          <w:lang w:val="es-ES"/>
        </w:rPr>
        <w:t>A diferencia del subcomponente de fortalecimiento de posgrados, en investigación no se hicieron convocatorias diferenciales para el interior</w:t>
      </w:r>
      <w:r>
        <w:rPr>
          <w:rFonts w:ascii="Calibri" w:hAnsi="Calibri" w:cs="Calibri"/>
          <w:iCs/>
          <w:lang w:val="es-ES"/>
        </w:rPr>
        <w:t xml:space="preserve"> del país</w:t>
      </w:r>
      <w:r w:rsidRPr="003D7B40">
        <w:rPr>
          <w:rFonts w:ascii="Calibri" w:hAnsi="Calibri" w:cs="Calibri"/>
          <w:iCs/>
          <w:lang w:val="es-ES"/>
        </w:rPr>
        <w:t>.</w:t>
      </w:r>
      <w:r>
        <w:rPr>
          <w:rFonts w:ascii="Calibri" w:hAnsi="Calibri" w:cs="Calibri"/>
          <w:iCs/>
          <w:lang w:val="es-ES"/>
        </w:rPr>
        <w:t xml:space="preserve"> </w:t>
      </w:r>
    </w:p>
    <w:p w:rsidR="00AE7040" w:rsidRDefault="00AE7040" w:rsidP="00AE7040">
      <w:pPr>
        <w:pStyle w:val="NormalWeb"/>
        <w:spacing w:before="120" w:beforeAutospacing="0" w:after="120" w:afterAutospacing="0" w:line="288" w:lineRule="auto"/>
        <w:jc w:val="both"/>
        <w:textAlignment w:val="baseline"/>
        <w:rPr>
          <w:rFonts w:ascii="Calibri" w:hAnsi="Calibri" w:cs="Calibri"/>
          <w:iCs/>
          <w:lang w:val="es-ES"/>
        </w:rPr>
      </w:pPr>
    </w:p>
    <w:p w:rsidR="00AE7040" w:rsidRPr="00C00ADA" w:rsidRDefault="00AE7040" w:rsidP="00AE7040">
      <w:pPr>
        <w:spacing w:before="120" w:after="120" w:line="288" w:lineRule="auto"/>
        <w:jc w:val="center"/>
        <w:rPr>
          <w:rFonts w:ascii="Calibri" w:hAnsi="Calibri" w:cs="Calibri"/>
          <w:b/>
        </w:rPr>
      </w:pPr>
      <w:r w:rsidRPr="00B524B8">
        <w:rPr>
          <w:rFonts w:ascii="Calibri" w:hAnsi="Calibri" w:cs="Calibri"/>
          <w:b/>
        </w:rPr>
        <w:t>G</w:t>
      </w:r>
      <w:r w:rsidR="00235AAE">
        <w:rPr>
          <w:rFonts w:ascii="Calibri" w:hAnsi="Calibri" w:cs="Calibri"/>
          <w:b/>
        </w:rPr>
        <w:t>ráfico 5</w:t>
      </w:r>
      <w:r w:rsidR="0023300A">
        <w:rPr>
          <w:rFonts w:ascii="Calibri" w:hAnsi="Calibri" w:cs="Calibri"/>
          <w:b/>
        </w:rPr>
        <w:t>.6.</w:t>
      </w:r>
      <w:r w:rsidRPr="00B524B8">
        <w:rPr>
          <w:rFonts w:ascii="Calibri" w:hAnsi="Calibri" w:cs="Calibri"/>
          <w:b/>
        </w:rPr>
        <w:t xml:space="preserve"> </w:t>
      </w:r>
      <w:r>
        <w:rPr>
          <w:rFonts w:ascii="Calibri" w:hAnsi="Calibri" w:cs="Calibri"/>
          <w:b/>
        </w:rPr>
        <w:t>Distribución geográfica por proyecto</w:t>
      </w:r>
    </w:p>
    <w:p w:rsidR="00AE7040" w:rsidRPr="003D7B40" w:rsidRDefault="00AE7040" w:rsidP="00AE7040">
      <w:pPr>
        <w:pStyle w:val="NormalWeb"/>
        <w:spacing w:before="120" w:beforeAutospacing="0" w:after="120" w:afterAutospacing="0" w:line="288" w:lineRule="auto"/>
        <w:jc w:val="center"/>
        <w:textAlignment w:val="baseline"/>
        <w:rPr>
          <w:rFonts w:ascii="Calibri" w:hAnsi="Calibri" w:cs="Calibri"/>
          <w:iCs/>
          <w:lang w:val="es-ES"/>
        </w:rPr>
      </w:pPr>
      <w:r w:rsidRPr="00C00ADA">
        <w:rPr>
          <w:noProof/>
          <w:lang w:val="es-ES_tradnl" w:eastAsia="es-ES_tradnl"/>
        </w:rPr>
        <w:drawing>
          <wp:inline distT="0" distB="0" distL="0" distR="0" wp14:anchorId="57DDC5B9" wp14:editId="71F73115">
            <wp:extent cx="3196425" cy="2483945"/>
            <wp:effectExtent l="0" t="0" r="444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6514" cy="2484014"/>
                    </a:xfrm>
                    <a:prstGeom prst="rect">
                      <a:avLst/>
                    </a:prstGeom>
                    <a:noFill/>
                    <a:ln>
                      <a:noFill/>
                    </a:ln>
                  </pic:spPr>
                </pic:pic>
              </a:graphicData>
            </a:graphic>
          </wp:inline>
        </w:drawing>
      </w:r>
    </w:p>
    <w:p w:rsidR="00AE7040" w:rsidRDefault="0023300A" w:rsidP="0023300A">
      <w:pPr>
        <w:pStyle w:val="NormalWeb"/>
        <w:spacing w:before="120" w:beforeAutospacing="0" w:after="120" w:afterAutospacing="0" w:line="288" w:lineRule="auto"/>
        <w:ind w:left="1416" w:firstLine="708"/>
        <w:jc w:val="both"/>
        <w:textAlignment w:val="baseline"/>
        <w:rPr>
          <w:rFonts w:ascii="Calibri" w:hAnsi="Calibri" w:cs="Calibri"/>
          <w:lang w:val="es-ES"/>
        </w:rPr>
      </w:pPr>
      <w:r w:rsidRPr="00B524B8">
        <w:rPr>
          <w:rFonts w:ascii="Calibri" w:hAnsi="Calibri" w:cs="Calibri"/>
          <w:sz w:val="18"/>
          <w:szCs w:val="18"/>
        </w:rPr>
        <w:lastRenderedPageBreak/>
        <w:t>Fuente: Innovos Group en base a datos provistos por CONACYT</w:t>
      </w:r>
    </w:p>
    <w:p w:rsidR="00AE7040" w:rsidRPr="00480839" w:rsidRDefault="00AE7040" w:rsidP="00480839">
      <w:pPr>
        <w:pStyle w:val="NormalWeb"/>
        <w:spacing w:before="200" w:beforeAutospacing="0" w:after="0" w:afterAutospacing="0" w:line="276" w:lineRule="auto"/>
        <w:jc w:val="both"/>
        <w:textAlignment w:val="baseline"/>
        <w:rPr>
          <w:rFonts w:ascii="Calibri" w:hAnsi="Calibri" w:cs="Calibri"/>
          <w:lang w:val="es-ES"/>
        </w:rPr>
      </w:pPr>
      <w:r>
        <w:rPr>
          <w:rFonts w:ascii="Calibri" w:hAnsi="Calibri" w:cs="Calibri"/>
          <w:lang w:val="es-ES"/>
        </w:rPr>
        <w:t>Si observamos la distribución de proyectos adjudicados por disciplina se obtiene que, en primer lugar, fueron financiados un 35% de los proyectos que correspondían al área de Ciencias médicas y de la salud y en segundo lugar con un 22% se financiaron proyectos de las áreas de Ciencias naturales y exactas e ingenierías y tecnología. Por último se observan proyectos correspondientes a las Ciencias sociales (13%) y a las ciencias agropecuarias (9%)</w:t>
      </w:r>
      <w:r w:rsidRPr="00105574">
        <w:rPr>
          <w:rFonts w:cs="Calibri"/>
          <w:vertAlign w:val="superscript"/>
        </w:rPr>
        <w:footnoteReference w:id="11"/>
      </w:r>
      <w:r>
        <w:rPr>
          <w:rFonts w:ascii="Calibri" w:hAnsi="Calibri" w:cs="Calibri"/>
          <w:lang w:val="es-ES"/>
        </w:rPr>
        <w:t xml:space="preserve">. </w:t>
      </w:r>
    </w:p>
    <w:p w:rsidR="00AE7040" w:rsidRPr="00F93612" w:rsidRDefault="00235AAE" w:rsidP="00AE7040">
      <w:pPr>
        <w:pStyle w:val="NormalWeb"/>
        <w:spacing w:before="120" w:beforeAutospacing="0" w:after="120" w:afterAutospacing="0" w:line="288" w:lineRule="auto"/>
        <w:jc w:val="center"/>
        <w:textAlignment w:val="baseline"/>
        <w:rPr>
          <w:rFonts w:ascii="Calibri" w:hAnsi="Calibri" w:cs="Calibri"/>
          <w:b/>
        </w:rPr>
      </w:pPr>
      <w:r>
        <w:rPr>
          <w:rFonts w:ascii="Calibri" w:hAnsi="Calibri" w:cs="Calibri"/>
          <w:b/>
        </w:rPr>
        <w:t>Gráfico 5</w:t>
      </w:r>
      <w:r w:rsidR="0023300A">
        <w:rPr>
          <w:rFonts w:ascii="Calibri" w:hAnsi="Calibri" w:cs="Calibri"/>
          <w:b/>
        </w:rPr>
        <w:t>.7.</w:t>
      </w:r>
      <w:r w:rsidR="00AE7040">
        <w:rPr>
          <w:rFonts w:ascii="Calibri" w:hAnsi="Calibri" w:cs="Calibri"/>
          <w:b/>
        </w:rPr>
        <w:t xml:space="preserve"> Análisis de los proyectos adjudicados por disciplina</w:t>
      </w:r>
    </w:p>
    <w:p w:rsidR="00AE7040" w:rsidRDefault="00AE7040" w:rsidP="0037314C">
      <w:pPr>
        <w:pStyle w:val="NormalWeb"/>
        <w:spacing w:before="120" w:beforeAutospacing="0" w:after="0" w:afterAutospacing="0" w:line="288" w:lineRule="auto"/>
        <w:jc w:val="center"/>
        <w:textAlignment w:val="baseline"/>
        <w:rPr>
          <w:rFonts w:ascii="Calibri" w:hAnsi="Calibri" w:cs="Calibri"/>
          <w:lang w:val="es-ES"/>
        </w:rPr>
      </w:pPr>
      <w:r w:rsidRPr="00F93612">
        <w:rPr>
          <w:noProof/>
          <w:lang w:val="es-ES_tradnl" w:eastAsia="es-ES_tradnl"/>
        </w:rPr>
        <w:drawing>
          <wp:inline distT="0" distB="0" distL="0" distR="0" wp14:anchorId="3322DB88" wp14:editId="5B4CAF45">
            <wp:extent cx="3876713" cy="2838062"/>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7526" cy="2838657"/>
                    </a:xfrm>
                    <a:prstGeom prst="rect">
                      <a:avLst/>
                    </a:prstGeom>
                    <a:noFill/>
                    <a:ln>
                      <a:noFill/>
                    </a:ln>
                  </pic:spPr>
                </pic:pic>
              </a:graphicData>
            </a:graphic>
          </wp:inline>
        </w:drawing>
      </w:r>
    </w:p>
    <w:p w:rsidR="00AE7040" w:rsidRPr="00DC3ED5" w:rsidRDefault="00AE7040" w:rsidP="0037314C">
      <w:pPr>
        <w:spacing w:line="288" w:lineRule="auto"/>
        <w:jc w:val="center"/>
        <w:rPr>
          <w:rFonts w:ascii="Calibri" w:hAnsi="Calibri" w:cs="Calibri"/>
          <w:sz w:val="18"/>
          <w:szCs w:val="18"/>
        </w:rPr>
      </w:pPr>
      <w:r w:rsidRPr="00B524B8">
        <w:rPr>
          <w:rFonts w:ascii="Calibri" w:hAnsi="Calibri" w:cs="Calibri"/>
          <w:sz w:val="18"/>
          <w:szCs w:val="18"/>
        </w:rPr>
        <w:t>Fuente: Innovos Group en bas</w:t>
      </w:r>
      <w:r>
        <w:rPr>
          <w:rFonts w:ascii="Calibri" w:hAnsi="Calibri" w:cs="Calibri"/>
          <w:sz w:val="18"/>
          <w:szCs w:val="18"/>
        </w:rPr>
        <w:t>e a datos provistos por CONACYT</w:t>
      </w:r>
    </w:p>
    <w:p w:rsidR="00AE7040" w:rsidRDefault="00AE7040" w:rsidP="00105574">
      <w:pPr>
        <w:pStyle w:val="NormalWeb"/>
        <w:spacing w:before="200" w:beforeAutospacing="0" w:after="0" w:afterAutospacing="0" w:line="276" w:lineRule="auto"/>
        <w:jc w:val="both"/>
        <w:textAlignment w:val="baseline"/>
        <w:rPr>
          <w:rFonts w:ascii="Calibri" w:hAnsi="Calibri" w:cs="Calibri"/>
          <w:lang w:val="es-ES"/>
        </w:rPr>
      </w:pPr>
    </w:p>
    <w:p w:rsidR="00AE7040" w:rsidRPr="001849C5" w:rsidRDefault="00AE7040" w:rsidP="00105574">
      <w:pPr>
        <w:spacing w:before="200" w:line="276" w:lineRule="auto"/>
        <w:jc w:val="both"/>
        <w:rPr>
          <w:rFonts w:asciiTheme="minorHAnsi" w:eastAsia="Times New Roman" w:hAnsiTheme="minorHAnsi" w:cs="Arial"/>
          <w:lang w:val="es-AR" w:eastAsia="es-AR"/>
        </w:rPr>
      </w:pPr>
      <w:r w:rsidRPr="001849C5">
        <w:rPr>
          <w:rFonts w:asciiTheme="minorHAnsi" w:hAnsiTheme="minorHAnsi" w:cs="Calibri"/>
        </w:rPr>
        <w:t xml:space="preserve">El monto total de los 46 proyectos fue de U$S </w:t>
      </w:r>
      <w:r w:rsidRPr="001849C5">
        <w:rPr>
          <w:rFonts w:asciiTheme="minorHAnsi" w:eastAsia="Times New Roman" w:hAnsiTheme="minorHAnsi" w:cs="Arial"/>
          <w:lang w:val="es-AR" w:eastAsia="es-AR"/>
        </w:rPr>
        <w:t>1.591.657 (</w:t>
      </w:r>
      <w:r w:rsidRPr="001849C5">
        <w:rPr>
          <w:rFonts w:asciiTheme="minorHAnsi" w:hAnsiTheme="minorHAnsi" w:cs="Calibri"/>
        </w:rPr>
        <w:t xml:space="preserve">16.718.906.490 guaraníes) y en promedio se gastó U$S 34.601 (363.454.489 guaraníes) por proyecto. Ahora bien, en las bases de la convocatoria se estableció como requisito de la cofinanciación que </w:t>
      </w:r>
      <w:r>
        <w:rPr>
          <w:rFonts w:asciiTheme="minorHAnsi" w:hAnsiTheme="minorHAnsi" w:cs="Calibri"/>
        </w:rPr>
        <w:t>“</w:t>
      </w:r>
      <w:r w:rsidRPr="001849C5">
        <w:rPr>
          <w:rFonts w:asciiTheme="minorHAnsi" w:hAnsiTheme="minorHAnsi" w:cs="Calibri"/>
        </w:rPr>
        <w:t>la/s institución/es beneficiaria/s deberá/n aportar al menos un 10% del costo total del proyecto, como contrapartida</w:t>
      </w:r>
      <w:r>
        <w:rPr>
          <w:rFonts w:asciiTheme="minorHAnsi" w:hAnsiTheme="minorHAnsi" w:cs="Calibri"/>
        </w:rPr>
        <w:t>”</w:t>
      </w:r>
      <w:r w:rsidRPr="001849C5">
        <w:rPr>
          <w:rFonts w:asciiTheme="minorHAnsi" w:hAnsiTheme="minorHAnsi" w:cs="Calibri"/>
        </w:rPr>
        <w:t xml:space="preserve">. En este sentido, el mínimo de aporte propio debía ser de un 10% y el máximo de un 90%, el monto restante fue lo financiado por </w:t>
      </w:r>
      <w:r w:rsidR="0023300A">
        <w:rPr>
          <w:rFonts w:asciiTheme="minorHAnsi" w:hAnsiTheme="minorHAnsi" w:cs="Calibri"/>
        </w:rPr>
        <w:t>CONACYT</w:t>
      </w:r>
      <w:r w:rsidRPr="001849C5">
        <w:rPr>
          <w:rFonts w:asciiTheme="minorHAnsi" w:hAnsiTheme="minorHAnsi" w:cs="Calibri"/>
        </w:rPr>
        <w:t xml:space="preserve">. En </w:t>
      </w:r>
      <w:r w:rsidR="0023300A">
        <w:rPr>
          <w:rFonts w:asciiTheme="minorHAnsi" w:hAnsiTheme="minorHAnsi" w:cs="Calibri"/>
        </w:rPr>
        <w:t>el gráfico 6.8</w:t>
      </w:r>
      <w:r w:rsidRPr="001849C5">
        <w:rPr>
          <w:rFonts w:asciiTheme="minorHAnsi" w:hAnsiTheme="minorHAnsi" w:cs="Calibri"/>
        </w:rPr>
        <w:t xml:space="preserve"> se presentan los rangos porcentuales del aporte del </w:t>
      </w:r>
      <w:r w:rsidR="0023300A">
        <w:rPr>
          <w:rFonts w:asciiTheme="minorHAnsi" w:hAnsiTheme="minorHAnsi" w:cs="Calibri"/>
        </w:rPr>
        <w:t>CONACYT</w:t>
      </w:r>
      <w:r w:rsidRPr="001849C5">
        <w:rPr>
          <w:rFonts w:asciiTheme="minorHAnsi" w:hAnsiTheme="minorHAnsi" w:cs="Calibri"/>
        </w:rPr>
        <w:t xml:space="preserve"> en los proyectos. Como se puede observar, en 32 de 46 proyectos el aporte del </w:t>
      </w:r>
      <w:r w:rsidR="0023300A">
        <w:rPr>
          <w:rFonts w:asciiTheme="minorHAnsi" w:hAnsiTheme="minorHAnsi" w:cs="Calibri"/>
        </w:rPr>
        <w:t>CONACYT</w:t>
      </w:r>
      <w:r w:rsidR="0023300A" w:rsidRPr="001849C5">
        <w:rPr>
          <w:rFonts w:asciiTheme="minorHAnsi" w:hAnsiTheme="minorHAnsi" w:cs="Calibri"/>
        </w:rPr>
        <w:t xml:space="preserve"> </w:t>
      </w:r>
      <w:r w:rsidRPr="001849C5">
        <w:rPr>
          <w:rFonts w:asciiTheme="minorHAnsi" w:hAnsiTheme="minorHAnsi" w:cs="Calibri"/>
        </w:rPr>
        <w:t>fue mayor al 50%; 11 proyectos recibieron un fin</w:t>
      </w:r>
      <w:r w:rsidR="00235AAE">
        <w:rPr>
          <w:rFonts w:asciiTheme="minorHAnsi" w:hAnsiTheme="minorHAnsi" w:cs="Calibri"/>
        </w:rPr>
        <w:t xml:space="preserve">anciamiento entre el 30% y 50% </w:t>
      </w:r>
      <w:r w:rsidRPr="001849C5">
        <w:rPr>
          <w:rFonts w:asciiTheme="minorHAnsi" w:hAnsiTheme="minorHAnsi" w:cs="Calibri"/>
        </w:rPr>
        <w:t xml:space="preserve">y sólo 3 proyectos recibieron un aporte del 10% al 30%.   </w:t>
      </w:r>
    </w:p>
    <w:p w:rsidR="00AE7040" w:rsidRDefault="00AE7040" w:rsidP="00AE7040">
      <w:pPr>
        <w:pStyle w:val="NormalWeb"/>
        <w:spacing w:before="120" w:beforeAutospacing="0" w:after="120" w:afterAutospacing="0" w:line="288" w:lineRule="auto"/>
        <w:jc w:val="center"/>
        <w:textAlignment w:val="baseline"/>
        <w:rPr>
          <w:rFonts w:ascii="Calibri" w:hAnsi="Calibri" w:cs="Calibri"/>
          <w:sz w:val="18"/>
          <w:szCs w:val="18"/>
        </w:rPr>
      </w:pPr>
      <w:r>
        <w:rPr>
          <w:rFonts w:ascii="Calibri" w:hAnsi="Calibri" w:cs="Calibri"/>
          <w:b/>
        </w:rPr>
        <w:t xml:space="preserve">Gráfico </w:t>
      </w:r>
      <w:r w:rsidR="00235AAE">
        <w:rPr>
          <w:rFonts w:ascii="Calibri" w:hAnsi="Calibri" w:cs="Calibri"/>
          <w:b/>
        </w:rPr>
        <w:t>5</w:t>
      </w:r>
      <w:r w:rsidR="0023300A">
        <w:rPr>
          <w:rFonts w:ascii="Calibri" w:hAnsi="Calibri" w:cs="Calibri"/>
          <w:b/>
        </w:rPr>
        <w:t>.8.</w:t>
      </w:r>
      <w:r w:rsidRPr="00B524B8">
        <w:rPr>
          <w:rFonts w:ascii="Calibri" w:hAnsi="Calibri" w:cs="Calibri"/>
          <w:b/>
        </w:rPr>
        <w:t xml:space="preserve"> Análisis de </w:t>
      </w:r>
      <w:r>
        <w:rPr>
          <w:rFonts w:ascii="Calibri" w:hAnsi="Calibri" w:cs="Calibri"/>
          <w:b/>
        </w:rPr>
        <w:t>porcentaje de financiamiento del CONACYT</w:t>
      </w:r>
      <w:r w:rsidRPr="005F35D6">
        <w:rPr>
          <w:noProof/>
          <w:lang w:val="es-ES_tradnl" w:eastAsia="es-ES_tradnl"/>
        </w:rPr>
        <w:drawing>
          <wp:inline distT="0" distB="0" distL="0" distR="0" wp14:anchorId="27ECD31E" wp14:editId="436BF2B3">
            <wp:extent cx="3222207" cy="2342922"/>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2426" cy="2343081"/>
                    </a:xfrm>
                    <a:prstGeom prst="rect">
                      <a:avLst/>
                    </a:prstGeom>
                    <a:noFill/>
                    <a:ln>
                      <a:noFill/>
                    </a:ln>
                  </pic:spPr>
                </pic:pic>
              </a:graphicData>
            </a:graphic>
          </wp:inline>
        </w:drawing>
      </w:r>
    </w:p>
    <w:p w:rsidR="00AE7040" w:rsidRDefault="00AE7040" w:rsidP="0023300A">
      <w:pPr>
        <w:pStyle w:val="ListParagraph"/>
        <w:spacing w:before="120" w:after="120" w:line="288" w:lineRule="auto"/>
        <w:ind w:left="1985" w:right="1892"/>
        <w:jc w:val="both"/>
        <w:rPr>
          <w:rFonts w:ascii="Calibri" w:hAnsi="Calibri" w:cs="Calibri"/>
          <w:sz w:val="18"/>
          <w:szCs w:val="18"/>
        </w:rPr>
      </w:pPr>
      <w:r w:rsidRPr="00B524B8">
        <w:rPr>
          <w:rFonts w:ascii="Calibri" w:hAnsi="Calibri" w:cs="Calibri"/>
          <w:sz w:val="18"/>
          <w:szCs w:val="18"/>
        </w:rPr>
        <w:t>Fuente: Innovos Group en base a datos provistos por CONACYT</w:t>
      </w:r>
    </w:p>
    <w:p w:rsidR="00AE7040" w:rsidRPr="00B524B8" w:rsidRDefault="00AE7040" w:rsidP="0023300A">
      <w:pPr>
        <w:pStyle w:val="ListParagraph"/>
        <w:spacing w:before="120" w:after="120" w:line="288" w:lineRule="auto"/>
        <w:ind w:left="1985" w:right="1892"/>
        <w:jc w:val="both"/>
        <w:rPr>
          <w:rFonts w:ascii="Calibri" w:hAnsi="Calibri" w:cs="Calibri"/>
          <w:sz w:val="18"/>
          <w:szCs w:val="18"/>
        </w:rPr>
      </w:pPr>
      <w:r>
        <w:rPr>
          <w:rFonts w:ascii="Calibri" w:hAnsi="Calibri" w:cs="Calibri"/>
          <w:sz w:val="18"/>
          <w:szCs w:val="18"/>
        </w:rPr>
        <w:t xml:space="preserve">Nota: los rangos incorporan decimales, es decir, que de un rango a otro se tomarán en cuenta dos decimales. </w:t>
      </w:r>
      <w:r w:rsidR="00B80BCF">
        <w:rPr>
          <w:rFonts w:ascii="Calibri" w:hAnsi="Calibri" w:cs="Calibri"/>
          <w:sz w:val="18"/>
          <w:szCs w:val="18"/>
        </w:rPr>
        <w:t>Ej.</w:t>
      </w:r>
      <w:r>
        <w:rPr>
          <w:rFonts w:ascii="Calibri" w:hAnsi="Calibri" w:cs="Calibri"/>
          <w:sz w:val="18"/>
          <w:szCs w:val="18"/>
        </w:rPr>
        <w:t>: 10,00%- 30,00% a 30,01% - 50, 00%</w:t>
      </w:r>
    </w:p>
    <w:p w:rsidR="00AE7040" w:rsidRPr="00D4326F" w:rsidRDefault="00AE7040" w:rsidP="00D4326F">
      <w:pPr>
        <w:rPr>
          <w:lang w:val="es-ES_tradnl" w:eastAsia="en-US"/>
        </w:rPr>
      </w:pPr>
    </w:p>
    <w:p w:rsidR="00D4326F" w:rsidRDefault="00D4326F" w:rsidP="002D7EE9">
      <w:pPr>
        <w:pStyle w:val="Heading3"/>
        <w:numPr>
          <w:ilvl w:val="2"/>
          <w:numId w:val="4"/>
        </w:numPr>
        <w:rPr>
          <w:rStyle w:val="Emphasis"/>
          <w:rFonts w:cs="Calibri"/>
          <w:i/>
        </w:rPr>
      </w:pPr>
      <w:bookmarkStart w:id="127" w:name="_Toc375211972"/>
      <w:r>
        <w:rPr>
          <w:rStyle w:val="Emphasis"/>
          <w:rFonts w:cs="Calibri"/>
          <w:i/>
        </w:rPr>
        <w:t>Resultados</w:t>
      </w:r>
      <w:bookmarkEnd w:id="127"/>
    </w:p>
    <w:p w:rsidR="00235AAE" w:rsidRPr="00B524B8" w:rsidRDefault="00235AAE" w:rsidP="00105574">
      <w:pPr>
        <w:pStyle w:val="ListParagraph"/>
        <w:spacing w:before="200" w:line="276" w:lineRule="auto"/>
        <w:ind w:left="0"/>
        <w:contextualSpacing w:val="0"/>
        <w:jc w:val="both"/>
        <w:rPr>
          <w:rStyle w:val="Emphasis"/>
          <w:rFonts w:ascii="Calibri" w:hAnsi="Calibri" w:cs="Calibri"/>
          <w:i w:val="0"/>
        </w:rPr>
      </w:pPr>
      <w:r w:rsidRPr="00B524B8">
        <w:rPr>
          <w:rStyle w:val="Emphasis"/>
          <w:rFonts w:ascii="Calibri" w:hAnsi="Calibri" w:cs="Calibri"/>
          <w:i w:val="0"/>
        </w:rPr>
        <w:t>Tanto beneficiarios como no beneficiarios de los proyectos valoran positivamente el otorgamient</w:t>
      </w:r>
      <w:r w:rsidR="007146DB">
        <w:rPr>
          <w:rStyle w:val="Emphasis"/>
          <w:rFonts w:ascii="Calibri" w:hAnsi="Calibri" w:cs="Calibri"/>
          <w:i w:val="0"/>
        </w:rPr>
        <w:t>o de los subsidios y reconocen a</w:t>
      </w:r>
      <w:r w:rsidRPr="00B524B8">
        <w:rPr>
          <w:rStyle w:val="Emphasis"/>
          <w:rFonts w:ascii="Calibri" w:hAnsi="Calibri" w:cs="Calibri"/>
          <w:i w:val="0"/>
        </w:rPr>
        <w:t xml:space="preserve">l PROCIT como </w:t>
      </w:r>
      <w:r>
        <w:rPr>
          <w:rStyle w:val="Emphasis"/>
          <w:rFonts w:ascii="Calibri" w:hAnsi="Calibri" w:cs="Calibri"/>
          <w:i w:val="0"/>
        </w:rPr>
        <w:t xml:space="preserve">una </w:t>
      </w:r>
      <w:r w:rsidRPr="00B524B8">
        <w:rPr>
          <w:rStyle w:val="Emphasis"/>
          <w:rFonts w:ascii="Calibri" w:hAnsi="Calibri" w:cs="Calibri"/>
          <w:i w:val="0"/>
        </w:rPr>
        <w:t xml:space="preserve">oportunidad </w:t>
      </w:r>
      <w:r>
        <w:rPr>
          <w:rStyle w:val="Emphasis"/>
          <w:rFonts w:ascii="Calibri" w:hAnsi="Calibri" w:cs="Calibri"/>
          <w:i w:val="0"/>
        </w:rPr>
        <w:t xml:space="preserve">importante </w:t>
      </w:r>
      <w:r w:rsidRPr="00B524B8">
        <w:rPr>
          <w:rStyle w:val="Emphasis"/>
          <w:rFonts w:ascii="Calibri" w:hAnsi="Calibri" w:cs="Calibri"/>
          <w:i w:val="0"/>
        </w:rPr>
        <w:t xml:space="preserve">para el desarrollo del país. </w:t>
      </w:r>
    </w:p>
    <w:p w:rsidR="00235AAE" w:rsidRPr="00B524B8" w:rsidRDefault="00235AAE" w:rsidP="00235AAE">
      <w:pPr>
        <w:pStyle w:val="ListParagraph"/>
        <w:spacing w:before="120" w:after="120" w:line="288" w:lineRule="auto"/>
        <w:ind w:left="3402"/>
        <w:jc w:val="right"/>
        <w:rPr>
          <w:rStyle w:val="Emphasis"/>
          <w:rFonts w:ascii="Calibri" w:hAnsi="Calibri" w:cs="Calibri"/>
          <w:sz w:val="20"/>
          <w:szCs w:val="20"/>
        </w:rPr>
      </w:pPr>
      <w:r w:rsidRPr="00B524B8">
        <w:rPr>
          <w:rStyle w:val="Emphasis"/>
          <w:rFonts w:ascii="Calibri" w:hAnsi="Calibri" w:cs="Calibri"/>
          <w:sz w:val="20"/>
          <w:szCs w:val="20"/>
        </w:rPr>
        <w:t>“…el hecho de que se iniciara este programa ha sido un cambio radical en el país, nosotros no teníamos casi inversión en investigación, la investigación era considerada casi un pasatiempo y nuestras autoridades no veían que la investigación era la palanca para el desarrollo del país.”</w:t>
      </w:r>
    </w:p>
    <w:p w:rsidR="00235AAE" w:rsidRPr="00B524B8" w:rsidRDefault="00235AAE" w:rsidP="00235AAE">
      <w:pPr>
        <w:pStyle w:val="ListParagraph"/>
        <w:spacing w:before="120" w:after="120" w:line="288" w:lineRule="auto"/>
        <w:ind w:left="3402"/>
        <w:jc w:val="right"/>
        <w:rPr>
          <w:rStyle w:val="Emphasis"/>
          <w:rFonts w:ascii="Calibri" w:hAnsi="Calibri" w:cs="Calibri"/>
          <w:i w:val="0"/>
          <w:sz w:val="20"/>
          <w:szCs w:val="20"/>
        </w:rPr>
      </w:pPr>
      <w:r w:rsidRPr="00B524B8">
        <w:rPr>
          <w:rStyle w:val="Emphasis"/>
          <w:rFonts w:ascii="Calibri" w:hAnsi="Calibri" w:cs="Calibri"/>
          <w:i w:val="0"/>
          <w:sz w:val="20"/>
          <w:szCs w:val="20"/>
        </w:rPr>
        <w:t>(Investigador beneficiario)</w:t>
      </w:r>
    </w:p>
    <w:p w:rsidR="00235AAE" w:rsidRPr="00105574" w:rsidRDefault="00235AAE" w:rsidP="00105574">
      <w:pPr>
        <w:pStyle w:val="ListParagraph"/>
        <w:spacing w:before="200" w:line="276" w:lineRule="auto"/>
        <w:ind w:left="0"/>
        <w:contextualSpacing w:val="0"/>
        <w:jc w:val="both"/>
        <w:rPr>
          <w:rStyle w:val="Emphasis"/>
          <w:rFonts w:asciiTheme="minorHAnsi" w:hAnsiTheme="minorHAnsi" w:cstheme="minorHAnsi"/>
          <w:i w:val="0"/>
          <w:iCs w:val="0"/>
        </w:rPr>
      </w:pPr>
      <w:r w:rsidRPr="00105574">
        <w:rPr>
          <w:rStyle w:val="Emphasis"/>
          <w:rFonts w:asciiTheme="minorHAnsi" w:hAnsiTheme="minorHAnsi" w:cstheme="minorHAnsi"/>
          <w:i w:val="0"/>
          <w:iCs w:val="0"/>
        </w:rPr>
        <w:lastRenderedPageBreak/>
        <w:t xml:space="preserve">El PROCIT ha permitido identificar a CONACYT como institución referente en materia de políticas públicas de ciencia y tecnología, siendo actualmente receptora de las demandas de la población, y teniendo así un panorama más certero de la realidad de los investigadores, becarios y empresarios del país. Además, este reconocimiento como entidad rectora de la ciencia, tecnología e innovación en Paraguay, sumado a avances en términos de una mayor claridad y solidez en la definición de políticas, ha impactado positivamente en la decisión de regresar a Paraguay de algunos investigadores que se encontraban en el extranjero. </w:t>
      </w:r>
    </w:p>
    <w:p w:rsidR="00235AAE" w:rsidRPr="00105574" w:rsidRDefault="00235AAE" w:rsidP="00105574">
      <w:pPr>
        <w:pStyle w:val="ListParagraph"/>
        <w:spacing w:before="200" w:line="276" w:lineRule="auto"/>
        <w:ind w:left="0"/>
        <w:contextualSpacing w:val="0"/>
        <w:jc w:val="both"/>
        <w:rPr>
          <w:rStyle w:val="Emphasis"/>
          <w:rFonts w:asciiTheme="minorHAnsi" w:hAnsiTheme="minorHAnsi" w:cstheme="minorHAnsi"/>
          <w:i w:val="0"/>
          <w:iCs w:val="0"/>
        </w:rPr>
      </w:pPr>
      <w:r w:rsidRPr="00105574">
        <w:rPr>
          <w:rStyle w:val="Emphasis"/>
          <w:rFonts w:asciiTheme="minorHAnsi" w:hAnsiTheme="minorHAnsi" w:cstheme="minorHAnsi"/>
          <w:i w:val="0"/>
          <w:iCs w:val="0"/>
        </w:rPr>
        <w:t>Valoraremos a continuación los principales resultados del programa, teniendo en cuenta los cinco criterios guía definidos en el marco conceptual para la evaluación de políticas públicas: relevancia, eficacia, eficiencia, efectos e impacto, y sostenibilidad.</w:t>
      </w:r>
    </w:p>
    <w:p w:rsidR="00235AAE" w:rsidRPr="00105574" w:rsidRDefault="00235AAE" w:rsidP="00105574">
      <w:pPr>
        <w:pStyle w:val="ListParagraph"/>
        <w:spacing w:before="200" w:line="276" w:lineRule="auto"/>
        <w:ind w:left="0"/>
        <w:contextualSpacing w:val="0"/>
        <w:jc w:val="both"/>
        <w:rPr>
          <w:rStyle w:val="Emphasis"/>
          <w:rFonts w:asciiTheme="minorHAnsi" w:hAnsiTheme="minorHAnsi" w:cstheme="minorHAnsi"/>
          <w:b/>
          <w:i w:val="0"/>
        </w:rPr>
      </w:pPr>
      <w:r w:rsidRPr="00105574">
        <w:rPr>
          <w:rStyle w:val="Emphasis"/>
          <w:rFonts w:asciiTheme="minorHAnsi" w:hAnsiTheme="minorHAnsi" w:cstheme="minorHAnsi"/>
          <w:b/>
          <w:i w:val="0"/>
        </w:rPr>
        <w:t xml:space="preserve">Respecto de la relevancia </w:t>
      </w:r>
    </w:p>
    <w:p w:rsidR="00235AAE" w:rsidRPr="00105574" w:rsidRDefault="00235AAE" w:rsidP="00105574">
      <w:pPr>
        <w:pStyle w:val="ListParagraph"/>
        <w:spacing w:before="200" w:line="276" w:lineRule="auto"/>
        <w:ind w:left="0"/>
        <w:contextualSpacing w:val="0"/>
        <w:jc w:val="both"/>
        <w:rPr>
          <w:rStyle w:val="Emphasis"/>
          <w:rFonts w:asciiTheme="minorHAnsi" w:hAnsiTheme="minorHAnsi" w:cstheme="minorHAnsi"/>
          <w:i w:val="0"/>
        </w:rPr>
      </w:pPr>
      <w:r w:rsidRPr="00105574">
        <w:rPr>
          <w:rStyle w:val="Emphasis"/>
          <w:rFonts w:asciiTheme="minorHAnsi" w:hAnsiTheme="minorHAnsi" w:cstheme="minorHAnsi"/>
          <w:i w:val="0"/>
        </w:rPr>
        <w:t>En la percepción tanto de beneficiarios como no beneficiarios, antes del PROCIT “…no existía la cultura de la investigación”. Este programa estaría desarrollando acciones sin precedentes en Paraguay, impulsando la implementación y difusión de proyectos que sin el apoyo económico del PROCIT no podrían haberse desarrollado.  Es importante destacar, que este tipo de iniciativas, como se mencionó en el marco conceptual, han venido desarrollándose en la región desde hace ya algunas décadas. La incorporación de Paraguay a este sistema de subsidios cofinanciados tiene una gran relevancia para el desarrollo de las políticas de Ciencia y Tecnología en el país, sin embargo, los montos financiados aún resultan escasos en comparación con otros fondos.   Tal es el caso del Fondo Nacional de Desarrollo Científico Tecnológico (FONDECYT) en Chile</w:t>
      </w:r>
      <w:r w:rsidRPr="002A4128">
        <w:rPr>
          <w:rStyle w:val="Emphasis"/>
          <w:rFonts w:asciiTheme="minorHAnsi" w:hAnsiTheme="minorHAnsi" w:cstheme="minorHAnsi"/>
          <w:i w:val="0"/>
          <w:iCs w:val="0"/>
          <w:vertAlign w:val="superscript"/>
        </w:rPr>
        <w:footnoteReference w:id="12"/>
      </w:r>
      <w:r w:rsidRPr="00105574">
        <w:rPr>
          <w:rStyle w:val="Emphasis"/>
          <w:rFonts w:asciiTheme="minorHAnsi" w:hAnsiTheme="minorHAnsi" w:cstheme="minorHAnsi"/>
          <w:i w:val="0"/>
        </w:rPr>
        <w:t xml:space="preserve"> que tiene presupuesto de U$S 158.000.000. Otro ejemplo de un programa muy similar es el FINCYT en Perú cuyo presupuesto para el componente de investigación fue de U$S </w:t>
      </w:r>
      <w:r w:rsidR="00B80BCF" w:rsidRPr="00105574">
        <w:rPr>
          <w:rStyle w:val="Emphasis"/>
          <w:rFonts w:asciiTheme="minorHAnsi" w:hAnsiTheme="minorHAnsi" w:cstheme="minorHAnsi"/>
          <w:i w:val="0"/>
        </w:rPr>
        <w:t>11.048.411 a</w:t>
      </w:r>
      <w:r w:rsidRPr="00105574">
        <w:rPr>
          <w:rStyle w:val="Emphasis"/>
          <w:rFonts w:asciiTheme="minorHAnsi" w:hAnsiTheme="minorHAnsi" w:cstheme="minorHAnsi"/>
          <w:i w:val="0"/>
        </w:rPr>
        <w:t xml:space="preserve"> repartir entre 77 proyectos durante un período de 5 años.</w:t>
      </w:r>
    </w:p>
    <w:p w:rsidR="00235AAE" w:rsidRPr="00105574" w:rsidRDefault="00235AAE" w:rsidP="00105574">
      <w:pPr>
        <w:pStyle w:val="ListParagraph"/>
        <w:spacing w:before="200" w:line="276" w:lineRule="auto"/>
        <w:ind w:left="0"/>
        <w:contextualSpacing w:val="0"/>
        <w:jc w:val="both"/>
        <w:rPr>
          <w:rStyle w:val="Emphasis"/>
          <w:rFonts w:asciiTheme="minorHAnsi" w:hAnsiTheme="minorHAnsi" w:cstheme="minorHAnsi"/>
          <w:i w:val="0"/>
        </w:rPr>
      </w:pPr>
      <w:r w:rsidRPr="00105574">
        <w:rPr>
          <w:rStyle w:val="Emphasis"/>
          <w:rFonts w:asciiTheme="minorHAnsi" w:hAnsiTheme="minorHAnsi" w:cstheme="minorHAnsi"/>
          <w:i w:val="0"/>
        </w:rPr>
        <w:t>Antes de la implementación de</w:t>
      </w:r>
      <w:r w:rsidR="002A4128">
        <w:rPr>
          <w:rStyle w:val="Emphasis"/>
          <w:rFonts w:asciiTheme="minorHAnsi" w:hAnsiTheme="minorHAnsi" w:cstheme="minorHAnsi"/>
          <w:i w:val="0"/>
        </w:rPr>
        <w:t>l</w:t>
      </w:r>
      <w:r w:rsidRPr="00105574">
        <w:rPr>
          <w:rStyle w:val="Emphasis"/>
          <w:rFonts w:asciiTheme="minorHAnsi" w:hAnsiTheme="minorHAnsi" w:cstheme="minorHAnsi"/>
          <w:i w:val="0"/>
        </w:rPr>
        <w:t xml:space="preserve"> PROCIT, y bajo el esquema de autofinanciamiento, la actividad principal de los investigadores era la docencia. </w:t>
      </w:r>
      <w:r w:rsidR="002A4128">
        <w:rPr>
          <w:rStyle w:val="Emphasis"/>
          <w:rFonts w:asciiTheme="minorHAnsi" w:hAnsiTheme="minorHAnsi" w:cstheme="minorHAnsi"/>
          <w:i w:val="0"/>
        </w:rPr>
        <w:t>Con la implementación del PROCIT</w:t>
      </w:r>
      <w:r w:rsidRPr="00105574">
        <w:rPr>
          <w:rStyle w:val="Emphasis"/>
          <w:rFonts w:asciiTheme="minorHAnsi" w:hAnsiTheme="minorHAnsi" w:cstheme="minorHAnsi"/>
          <w:i w:val="0"/>
        </w:rPr>
        <w:t xml:space="preserve"> se posibilitó la combinación de las actividades de investigación y docencia y, en algunos casos, la dedicación exclusiva a la investigación.  </w:t>
      </w:r>
    </w:p>
    <w:p w:rsidR="00235AAE" w:rsidRPr="00105574" w:rsidRDefault="00235AAE" w:rsidP="00105574">
      <w:pPr>
        <w:pStyle w:val="ListParagraph"/>
        <w:spacing w:before="200" w:line="276" w:lineRule="auto"/>
        <w:ind w:left="0"/>
        <w:contextualSpacing w:val="0"/>
        <w:jc w:val="both"/>
        <w:rPr>
          <w:rStyle w:val="Emphasis"/>
          <w:rFonts w:asciiTheme="minorHAnsi" w:hAnsiTheme="minorHAnsi" w:cstheme="minorHAnsi"/>
          <w:i w:val="0"/>
          <w:iCs w:val="0"/>
        </w:rPr>
      </w:pPr>
      <w:r w:rsidRPr="00105574">
        <w:rPr>
          <w:rStyle w:val="Emphasis"/>
          <w:rFonts w:asciiTheme="minorHAnsi" w:hAnsiTheme="minorHAnsi" w:cstheme="minorHAnsi"/>
          <w:i w:val="0"/>
        </w:rPr>
        <w:t xml:space="preserve">Para evaluar la relevancia del subsidio a la investigación, es necesario, dilucidar en qué medida el financiamiento y actividades propuestas en el PROCIT responden a las prioridades de los beneficiarios. En este sentido, </w:t>
      </w:r>
      <w:r w:rsidRPr="00105574">
        <w:rPr>
          <w:rStyle w:val="Emphasis"/>
          <w:rFonts w:asciiTheme="minorHAnsi" w:hAnsiTheme="minorHAnsi" w:cstheme="minorHAnsi"/>
          <w:i w:val="0"/>
          <w:iCs w:val="0"/>
        </w:rPr>
        <w:t xml:space="preserve">el 90% de los beneficiarios de proyectos </w:t>
      </w:r>
      <w:r w:rsidRPr="00105574">
        <w:rPr>
          <w:rStyle w:val="Emphasis"/>
          <w:rFonts w:asciiTheme="minorHAnsi" w:hAnsiTheme="minorHAnsi" w:cstheme="minorHAnsi"/>
          <w:i w:val="0"/>
          <w:iCs w:val="0"/>
        </w:rPr>
        <w:lastRenderedPageBreak/>
        <w:t>de investigación encuestados por el equipo consultor respondió que su proyecto no se habría llevado a cabo (o se habría llevado a cabo pero en un tiempo más prolongado y de manera más reducida) si no se hubiese contado con el subsidio. Esta informaci</w:t>
      </w:r>
      <w:r w:rsidR="00105574">
        <w:rPr>
          <w:rStyle w:val="Emphasis"/>
          <w:rFonts w:asciiTheme="minorHAnsi" w:hAnsiTheme="minorHAnsi" w:cstheme="minorHAnsi"/>
          <w:i w:val="0"/>
          <w:iCs w:val="0"/>
        </w:rPr>
        <w:t>ón se presenta en el gráfico 5.9</w:t>
      </w:r>
      <w:r w:rsidRPr="00105574">
        <w:rPr>
          <w:rStyle w:val="Emphasis"/>
          <w:rFonts w:asciiTheme="minorHAnsi" w:hAnsiTheme="minorHAnsi" w:cstheme="minorHAnsi"/>
          <w:i w:val="0"/>
          <w:iCs w:val="0"/>
        </w:rPr>
        <w:t xml:space="preserve"> a continuación.</w:t>
      </w:r>
    </w:p>
    <w:p w:rsidR="00235AAE" w:rsidRPr="009D7A20" w:rsidRDefault="00105574" w:rsidP="00235AAE">
      <w:pPr>
        <w:pStyle w:val="ListParagraph"/>
        <w:spacing w:before="120" w:after="120" w:line="288" w:lineRule="auto"/>
        <w:ind w:left="360"/>
        <w:jc w:val="center"/>
        <w:rPr>
          <w:rStyle w:val="Emphasis"/>
          <w:rFonts w:ascii="Calibri" w:hAnsi="Calibri" w:cs="Calibri"/>
          <w:i w:val="0"/>
        </w:rPr>
      </w:pPr>
      <w:r>
        <w:rPr>
          <w:rFonts w:ascii="Calibri" w:hAnsi="Calibri" w:cs="Calibri"/>
          <w:b/>
          <w:iCs/>
        </w:rPr>
        <w:t>Gráfico 5.9.</w:t>
      </w:r>
      <w:r w:rsidR="00235AAE" w:rsidRPr="009D7A20">
        <w:rPr>
          <w:rFonts w:ascii="Calibri" w:hAnsi="Calibri" w:cs="Calibri"/>
          <w:b/>
          <w:iCs/>
        </w:rPr>
        <w:t xml:space="preserve"> Opinión sobre la viabilidad del proyecto de investigación si no se hubiera contado con el financiamiento del PROCIT</w:t>
      </w:r>
      <w:r w:rsidR="00235AAE" w:rsidRPr="009D7A20">
        <w:rPr>
          <w:rFonts w:ascii="Calibri" w:hAnsi="Calibri" w:cs="Calibri"/>
          <w:noProof/>
          <w:lang w:val="es-AR" w:eastAsia="es-AR"/>
        </w:rPr>
        <w:t xml:space="preserve"> </w:t>
      </w:r>
      <w:r w:rsidR="00235AAE" w:rsidRPr="009D7A20">
        <w:rPr>
          <w:rFonts w:ascii="Calibri" w:hAnsi="Calibri" w:cs="Calibri"/>
          <w:noProof/>
          <w:lang w:val="es-ES_tradnl" w:eastAsia="es-ES_tradnl"/>
        </w:rPr>
        <w:drawing>
          <wp:inline distT="0" distB="0" distL="0" distR="0" wp14:anchorId="1F4A9DD6" wp14:editId="0C95E84C">
            <wp:extent cx="4300220" cy="3232785"/>
            <wp:effectExtent l="0" t="0" r="24130" b="24765"/>
            <wp:docPr id="28" name="Imagen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35AAE" w:rsidRPr="009D7A20" w:rsidRDefault="00235AAE" w:rsidP="0037314C">
      <w:pPr>
        <w:spacing w:before="120" w:after="120" w:line="288" w:lineRule="auto"/>
        <w:ind w:left="1276" w:right="900"/>
        <w:jc w:val="center"/>
        <w:rPr>
          <w:rStyle w:val="Emphasis"/>
          <w:rFonts w:ascii="Calibri" w:hAnsi="Calibri" w:cs="Calibri"/>
          <w:i w:val="0"/>
          <w:iCs w:val="0"/>
          <w:sz w:val="18"/>
          <w:szCs w:val="18"/>
        </w:rPr>
      </w:pPr>
      <w:r w:rsidRPr="009D7A20">
        <w:rPr>
          <w:rFonts w:ascii="Calibri" w:hAnsi="Calibri" w:cs="Calibri"/>
          <w:sz w:val="18"/>
          <w:szCs w:val="18"/>
        </w:rPr>
        <w:t>Fuente: Innovos Group en base a datos provistos por las encuestas realizadas a proyectos de investigación beneficiarios del PROCIT</w:t>
      </w:r>
    </w:p>
    <w:p w:rsidR="00235AAE" w:rsidRPr="009D7A20" w:rsidRDefault="00235AAE" w:rsidP="00105574">
      <w:pPr>
        <w:pStyle w:val="ListParagraph"/>
        <w:spacing w:before="200" w:line="276" w:lineRule="auto"/>
        <w:ind w:left="0"/>
        <w:contextualSpacing w:val="0"/>
        <w:jc w:val="both"/>
        <w:rPr>
          <w:rStyle w:val="Emphasis"/>
          <w:rFonts w:ascii="Calibri" w:hAnsi="Calibri" w:cs="Calibri"/>
          <w:i w:val="0"/>
        </w:rPr>
      </w:pPr>
      <w:r w:rsidRPr="009D7A20">
        <w:rPr>
          <w:rStyle w:val="Emphasis"/>
          <w:rFonts w:ascii="Calibri" w:hAnsi="Calibri" w:cs="Calibri"/>
          <w:i w:val="0"/>
        </w:rPr>
        <w:t xml:space="preserve">Respecto de las actividades realizadas por </w:t>
      </w:r>
      <w:r w:rsidR="0041657B">
        <w:rPr>
          <w:rStyle w:val="Emphasis"/>
          <w:rFonts w:ascii="Calibri" w:hAnsi="Calibri" w:cs="Calibri"/>
          <w:i w:val="0"/>
        </w:rPr>
        <w:t xml:space="preserve">el </w:t>
      </w:r>
      <w:r w:rsidRPr="009D7A20">
        <w:rPr>
          <w:rStyle w:val="Emphasis"/>
          <w:rFonts w:ascii="Calibri" w:hAnsi="Calibri" w:cs="Calibri"/>
          <w:i w:val="0"/>
        </w:rPr>
        <w:t>PROCIT, en lo que refiere a convocatorias, ejecución y presentación de resultados, en general y como se</w:t>
      </w:r>
      <w:r w:rsidR="00105574">
        <w:rPr>
          <w:rStyle w:val="Emphasis"/>
          <w:rFonts w:ascii="Calibri" w:hAnsi="Calibri" w:cs="Calibri"/>
          <w:i w:val="0"/>
        </w:rPr>
        <w:t xml:space="preserve"> especificará en el apartado 6.1</w:t>
      </w:r>
      <w:r w:rsidRPr="009D7A20">
        <w:rPr>
          <w:rStyle w:val="Emphasis"/>
          <w:rFonts w:ascii="Calibri" w:hAnsi="Calibri" w:cs="Calibri"/>
          <w:i w:val="0"/>
        </w:rPr>
        <w:t xml:space="preserve"> de los procesos, los encue</w:t>
      </w:r>
      <w:r w:rsidR="00105574">
        <w:rPr>
          <w:rStyle w:val="Emphasis"/>
          <w:rFonts w:ascii="Calibri" w:hAnsi="Calibri" w:cs="Calibri"/>
          <w:i w:val="0"/>
        </w:rPr>
        <w:t>s</w:t>
      </w:r>
      <w:r w:rsidRPr="009D7A20">
        <w:rPr>
          <w:rStyle w:val="Emphasis"/>
          <w:rFonts w:ascii="Calibri" w:hAnsi="Calibri" w:cs="Calibri"/>
          <w:i w:val="0"/>
        </w:rPr>
        <w:t>tados han valorado positivamente los objetivos y actividades del PROCIT. Para el subcomponente de investigación, de los 21 beneficiarios que respondieron la encuesta, el 76% respondieron que su proyecto estab</w:t>
      </w:r>
      <w:r>
        <w:rPr>
          <w:rStyle w:val="Emphasis"/>
          <w:rFonts w:ascii="Calibri" w:hAnsi="Calibri" w:cs="Calibri"/>
          <w:i w:val="0"/>
        </w:rPr>
        <w:t xml:space="preserve">a finalizado. Asimismo el 100% </w:t>
      </w:r>
      <w:r w:rsidRPr="009D7A20">
        <w:rPr>
          <w:rStyle w:val="Emphasis"/>
          <w:rFonts w:ascii="Calibri" w:hAnsi="Calibri" w:cs="Calibri"/>
          <w:i w:val="0"/>
        </w:rPr>
        <w:t xml:space="preserve">valoró la difusión de los objetivos y características del componente como adecuada (80%) y muy adecuado (20%). </w:t>
      </w:r>
    </w:p>
    <w:p w:rsidR="00235AAE" w:rsidRPr="009D7A20" w:rsidRDefault="00235AAE" w:rsidP="00105574">
      <w:pPr>
        <w:pStyle w:val="ListParagraph"/>
        <w:spacing w:before="200" w:line="276" w:lineRule="auto"/>
        <w:ind w:left="0"/>
        <w:contextualSpacing w:val="0"/>
        <w:jc w:val="both"/>
        <w:rPr>
          <w:rStyle w:val="Emphasis"/>
          <w:rFonts w:ascii="Calibri" w:hAnsi="Calibri" w:cs="Calibri"/>
        </w:rPr>
      </w:pPr>
      <w:r w:rsidRPr="009D7A20">
        <w:rPr>
          <w:rStyle w:val="Emphasis"/>
          <w:rFonts w:ascii="Calibri" w:hAnsi="Calibri" w:cs="Calibri"/>
          <w:i w:val="0"/>
        </w:rPr>
        <w:t xml:space="preserve">Respecto de la gestión administrativa, en los casos que ha habido asociación con fundaciones y empresas se agilizó este proceso y se realizaron inversiones más significativas. A partir de esta inversión las instalaciones fueron más adecuadas para el desarrollo de los proyectos. Asimismo, se generaron redes de cooperación y vinculación de intereses entre todas las partes.  </w:t>
      </w:r>
    </w:p>
    <w:p w:rsidR="00235AAE" w:rsidRPr="009D7A20" w:rsidRDefault="00235AAE" w:rsidP="00235AAE">
      <w:pPr>
        <w:pStyle w:val="ListParagraph"/>
        <w:spacing w:before="120" w:after="120" w:line="288" w:lineRule="auto"/>
        <w:ind w:left="357"/>
        <w:jc w:val="both"/>
        <w:rPr>
          <w:rStyle w:val="Emphasis"/>
          <w:rFonts w:ascii="Calibri" w:hAnsi="Calibri" w:cs="Calibri"/>
        </w:rPr>
      </w:pPr>
    </w:p>
    <w:p w:rsidR="00235AAE" w:rsidRPr="009D7A20" w:rsidRDefault="00235AAE" w:rsidP="00235AAE">
      <w:pPr>
        <w:pStyle w:val="ListParagraph"/>
        <w:spacing w:before="120" w:after="120" w:line="288" w:lineRule="auto"/>
        <w:ind w:left="3402"/>
        <w:jc w:val="right"/>
        <w:rPr>
          <w:rStyle w:val="Emphasis"/>
          <w:rFonts w:ascii="Calibri" w:hAnsi="Calibri" w:cs="Calibri"/>
          <w:sz w:val="20"/>
          <w:szCs w:val="20"/>
        </w:rPr>
      </w:pPr>
      <w:r w:rsidRPr="009D7A20">
        <w:rPr>
          <w:rStyle w:val="Emphasis"/>
          <w:rFonts w:ascii="Calibri" w:hAnsi="Calibri" w:cs="Calibri"/>
          <w:sz w:val="20"/>
          <w:szCs w:val="20"/>
        </w:rPr>
        <w:lastRenderedPageBreak/>
        <w:t>“Somos tres instituciones que formamos un consorcio (…) la fundación se dedica a la parte administrativa y la empresa nos donó el lugar con todas las divisiones, mamparas y nos pagan la luz y el teléfono (…) La fundación nos hace gratis la administración y nosotros les damos otro tipo de apoyo. Los ayudamos en sus investigaciones y han ganado algunos proyectos con nuestra ayuda.”</w:t>
      </w:r>
    </w:p>
    <w:p w:rsidR="00235AAE" w:rsidRPr="009D7A20" w:rsidRDefault="00235AAE" w:rsidP="00235AAE">
      <w:pPr>
        <w:pStyle w:val="ListParagraph"/>
        <w:spacing w:before="120" w:after="120" w:line="288" w:lineRule="auto"/>
        <w:ind w:left="3402"/>
        <w:jc w:val="right"/>
        <w:rPr>
          <w:rStyle w:val="Emphasis"/>
          <w:rFonts w:ascii="Calibri" w:hAnsi="Calibri" w:cs="Calibri"/>
          <w:i w:val="0"/>
          <w:sz w:val="20"/>
          <w:szCs w:val="20"/>
        </w:rPr>
      </w:pPr>
      <w:r w:rsidRPr="009D7A20">
        <w:rPr>
          <w:rStyle w:val="Emphasis"/>
          <w:rFonts w:ascii="Calibri" w:hAnsi="Calibri" w:cs="Calibri"/>
          <w:i w:val="0"/>
          <w:sz w:val="20"/>
          <w:szCs w:val="20"/>
        </w:rPr>
        <w:t>(Investigador beneficiario)</w:t>
      </w:r>
    </w:p>
    <w:p w:rsidR="00235AAE" w:rsidRPr="009D7A20" w:rsidRDefault="00235AAE" w:rsidP="00235AAE">
      <w:pPr>
        <w:pStyle w:val="ListParagraph"/>
        <w:spacing w:before="120" w:after="120" w:line="288" w:lineRule="auto"/>
        <w:ind w:left="0"/>
        <w:jc w:val="both"/>
        <w:rPr>
          <w:rStyle w:val="Emphasis"/>
          <w:rFonts w:ascii="Calibri" w:hAnsi="Calibri" w:cs="Calibri"/>
          <w:i w:val="0"/>
        </w:rPr>
      </w:pPr>
    </w:p>
    <w:p w:rsidR="00235AAE" w:rsidRPr="009D7A20" w:rsidRDefault="00235AAE" w:rsidP="00105574">
      <w:pPr>
        <w:pStyle w:val="ListParagraph"/>
        <w:spacing w:before="200" w:line="276" w:lineRule="auto"/>
        <w:ind w:left="0"/>
        <w:contextualSpacing w:val="0"/>
        <w:jc w:val="both"/>
        <w:rPr>
          <w:rStyle w:val="Emphasis"/>
          <w:rFonts w:ascii="Calibri" w:hAnsi="Calibri" w:cs="Calibri"/>
          <w:i w:val="0"/>
        </w:rPr>
      </w:pPr>
      <w:r w:rsidRPr="009D7A20">
        <w:rPr>
          <w:rStyle w:val="Emphasis"/>
          <w:rFonts w:ascii="Calibri" w:hAnsi="Calibri" w:cs="Calibri"/>
          <w:i w:val="0"/>
        </w:rPr>
        <w:t>Al no haber obtenido recursos (solo algunos muy esporádicos o poco significativos) para comprar equipamiento antes del inicio del PROCIT, las primeras adquisiciones que realizaron los proyectos con el subsidio han sido de utilidad para llevar a cabo las primeras metas, pero no han llegado a las últimas fases de desarrollo. Aún faltan herramientas para desarrollar tecnología de punto y generar innovación significativa</w:t>
      </w:r>
      <w:r w:rsidRPr="009D7A20">
        <w:rPr>
          <w:rStyle w:val="Emphasis"/>
          <w:rFonts w:ascii="Calibri" w:hAnsi="Calibri" w:cs="Calibri"/>
          <w:i w:val="0"/>
          <w:vertAlign w:val="superscript"/>
        </w:rPr>
        <w:footnoteReference w:id="13"/>
      </w:r>
      <w:r w:rsidRPr="009D7A20">
        <w:rPr>
          <w:rStyle w:val="Emphasis"/>
          <w:rFonts w:ascii="Calibri" w:hAnsi="Calibri" w:cs="Calibri"/>
          <w:i w:val="0"/>
          <w:vertAlign w:val="superscript"/>
        </w:rPr>
        <w:t xml:space="preserve"> </w:t>
      </w:r>
      <w:r w:rsidRPr="009D7A20">
        <w:rPr>
          <w:rStyle w:val="Emphasis"/>
          <w:rFonts w:ascii="Calibri" w:hAnsi="Calibri" w:cs="Calibri"/>
          <w:i w:val="0"/>
        </w:rPr>
        <w:t xml:space="preserve">en el país. </w:t>
      </w:r>
    </w:p>
    <w:p w:rsidR="00235AAE" w:rsidRPr="009D7A20" w:rsidRDefault="00235AAE" w:rsidP="00235AAE">
      <w:pPr>
        <w:pStyle w:val="ListParagraph"/>
        <w:spacing w:before="120" w:after="120" w:line="288" w:lineRule="auto"/>
        <w:jc w:val="right"/>
        <w:rPr>
          <w:rStyle w:val="Emphasis"/>
          <w:rFonts w:ascii="Calibri" w:hAnsi="Calibri" w:cs="Calibri"/>
          <w:sz w:val="20"/>
          <w:szCs w:val="20"/>
        </w:rPr>
      </w:pPr>
    </w:p>
    <w:p w:rsidR="00235AAE" w:rsidRPr="009D7A20" w:rsidRDefault="00235AAE" w:rsidP="00235AAE">
      <w:pPr>
        <w:pStyle w:val="ListParagraph"/>
        <w:spacing w:before="120" w:after="120" w:line="288" w:lineRule="auto"/>
        <w:ind w:left="3402"/>
        <w:jc w:val="right"/>
        <w:rPr>
          <w:rStyle w:val="Emphasis"/>
          <w:rFonts w:ascii="Calibri" w:hAnsi="Calibri" w:cs="Calibri"/>
          <w:sz w:val="20"/>
          <w:szCs w:val="20"/>
        </w:rPr>
      </w:pPr>
      <w:r w:rsidRPr="009D7A20">
        <w:rPr>
          <w:rStyle w:val="Emphasis"/>
          <w:rFonts w:ascii="Calibri" w:hAnsi="Calibri" w:cs="Calibri"/>
          <w:sz w:val="20"/>
          <w:szCs w:val="20"/>
        </w:rPr>
        <w:t>“El PROCIT I nos ayudó para adquirir los conocimientos básicos pero recién en el PROCIT II va a haber innovación cuando contemos con mayores fuentes de financiamiento. Hay equipamiento básico que sale muy caro, necesario para investigaciones y aún no podemos comprar. El PROCIT II debería permitirnos comprar equipamiento de punta. Desarrollo de nanotecnología.”</w:t>
      </w:r>
    </w:p>
    <w:p w:rsidR="00235AAE" w:rsidRPr="009D7A20" w:rsidRDefault="00235AAE" w:rsidP="00235AAE">
      <w:pPr>
        <w:pStyle w:val="ListParagraph"/>
        <w:spacing w:before="120" w:after="120" w:line="288" w:lineRule="auto"/>
        <w:ind w:left="3402"/>
        <w:jc w:val="right"/>
        <w:rPr>
          <w:rStyle w:val="Emphasis"/>
          <w:rFonts w:ascii="Calibri" w:hAnsi="Calibri" w:cs="Calibri"/>
          <w:i w:val="0"/>
          <w:sz w:val="20"/>
          <w:szCs w:val="20"/>
        </w:rPr>
      </w:pPr>
      <w:r w:rsidRPr="009D7A20">
        <w:rPr>
          <w:rStyle w:val="Emphasis"/>
          <w:rFonts w:ascii="Calibri" w:hAnsi="Calibri" w:cs="Calibri"/>
          <w:i w:val="0"/>
          <w:sz w:val="20"/>
          <w:szCs w:val="20"/>
        </w:rPr>
        <w:t>(Investigador beneficiario)</w:t>
      </w:r>
    </w:p>
    <w:p w:rsidR="00235AAE" w:rsidRPr="009D7A20" w:rsidRDefault="00235AAE" w:rsidP="00235AAE">
      <w:pPr>
        <w:pStyle w:val="ListParagraph"/>
        <w:spacing w:before="120" w:after="120" w:line="288" w:lineRule="auto"/>
        <w:ind w:left="0"/>
        <w:jc w:val="both"/>
        <w:rPr>
          <w:rStyle w:val="Emphasis"/>
          <w:rFonts w:ascii="Calibri" w:hAnsi="Calibri" w:cs="Calibri"/>
          <w:i w:val="0"/>
        </w:rPr>
      </w:pPr>
    </w:p>
    <w:p w:rsidR="00235AAE" w:rsidRDefault="00235AAE" w:rsidP="00105574">
      <w:pPr>
        <w:pStyle w:val="ListParagraph"/>
        <w:spacing w:before="200" w:line="276" w:lineRule="auto"/>
        <w:ind w:left="0"/>
        <w:contextualSpacing w:val="0"/>
        <w:jc w:val="both"/>
        <w:rPr>
          <w:rStyle w:val="Emphasis"/>
          <w:rFonts w:ascii="Calibri" w:hAnsi="Calibri" w:cs="Calibri"/>
          <w:i w:val="0"/>
        </w:rPr>
      </w:pPr>
      <w:r w:rsidRPr="009D7A20">
        <w:rPr>
          <w:rStyle w:val="Emphasis"/>
          <w:rFonts w:ascii="Calibri" w:hAnsi="Calibri" w:cs="Calibri"/>
          <w:i w:val="0"/>
        </w:rPr>
        <w:t>Respecto al proceso de convocatoria y, específicamente, al aprendizaje en la presentación de los proyectos, la mayoría de los investigadores valora como muy importante la retroalimentación de las evaluaciones para el momento de la formulación del proyecto.</w:t>
      </w:r>
    </w:p>
    <w:p w:rsidR="00235AAE" w:rsidRPr="007B0590" w:rsidRDefault="00235AAE" w:rsidP="00105574">
      <w:pPr>
        <w:pStyle w:val="ListParagraph"/>
        <w:spacing w:before="200" w:line="276" w:lineRule="auto"/>
        <w:ind w:left="0"/>
        <w:contextualSpacing w:val="0"/>
        <w:jc w:val="both"/>
        <w:rPr>
          <w:rStyle w:val="Emphasis"/>
          <w:rFonts w:ascii="Calibri" w:hAnsi="Calibri" w:cs="Calibri"/>
          <w:b/>
          <w:i w:val="0"/>
        </w:rPr>
      </w:pPr>
      <w:r w:rsidRPr="007B0590">
        <w:rPr>
          <w:rStyle w:val="Emphasis"/>
          <w:rFonts w:ascii="Calibri" w:hAnsi="Calibri" w:cs="Calibri"/>
          <w:b/>
          <w:i w:val="0"/>
        </w:rPr>
        <w:t>Respecto de la eficacia</w:t>
      </w:r>
    </w:p>
    <w:p w:rsidR="00235AAE" w:rsidRPr="00BB193D" w:rsidRDefault="00235AAE" w:rsidP="00105574">
      <w:pPr>
        <w:pStyle w:val="ListParagraph"/>
        <w:spacing w:before="200" w:line="276" w:lineRule="auto"/>
        <w:ind w:left="0"/>
        <w:contextualSpacing w:val="0"/>
        <w:jc w:val="both"/>
        <w:rPr>
          <w:rStyle w:val="Emphasis"/>
          <w:rFonts w:ascii="Calibri" w:hAnsi="Calibri" w:cs="Calibri"/>
          <w:i w:val="0"/>
        </w:rPr>
      </w:pPr>
      <w:r w:rsidRPr="00BB193D">
        <w:rPr>
          <w:rStyle w:val="Emphasis"/>
          <w:rFonts w:ascii="Calibri" w:hAnsi="Calibri" w:cs="Calibri"/>
          <w:i w:val="0"/>
        </w:rPr>
        <w:t>Tal como se especificó en el marco conceptual, con el análisis de eficacia se indaga sobre la capacidad de un programa o de alguno de sus componentes para alcanzar sus objetivos en el tiempo esperado. En este subapartado se indagará sobre los resultados de los proyectos respecto a sus objetivos y respecto al logro de efectos que no estaban señalados en los objetivos.</w:t>
      </w:r>
    </w:p>
    <w:p w:rsidR="00235AAE" w:rsidRDefault="00235AAE" w:rsidP="00105574">
      <w:pPr>
        <w:pStyle w:val="ListParagraph"/>
        <w:spacing w:before="200" w:line="276" w:lineRule="auto"/>
        <w:ind w:left="0"/>
        <w:contextualSpacing w:val="0"/>
        <w:jc w:val="both"/>
        <w:rPr>
          <w:rStyle w:val="Emphasis"/>
          <w:rFonts w:ascii="Calibri" w:hAnsi="Calibri" w:cs="Calibri"/>
          <w:i w:val="0"/>
        </w:rPr>
      </w:pPr>
      <w:r>
        <w:rPr>
          <w:rStyle w:val="Emphasis"/>
          <w:rFonts w:ascii="Calibri" w:hAnsi="Calibri" w:cs="Calibri"/>
          <w:i w:val="0"/>
        </w:rPr>
        <w:t>Según la infor</w:t>
      </w:r>
      <w:r w:rsidR="00105574">
        <w:rPr>
          <w:rStyle w:val="Emphasis"/>
          <w:rFonts w:ascii="Calibri" w:hAnsi="Calibri" w:cs="Calibri"/>
          <w:i w:val="0"/>
        </w:rPr>
        <w:t>mación relevada en la visita a P</w:t>
      </w:r>
      <w:r>
        <w:rPr>
          <w:rStyle w:val="Emphasis"/>
          <w:rFonts w:ascii="Calibri" w:hAnsi="Calibri" w:cs="Calibri"/>
          <w:i w:val="0"/>
        </w:rPr>
        <w:t>araguay, los informantes clave manifestaron que a</w:t>
      </w:r>
      <w:r w:rsidRPr="00B524B8">
        <w:rPr>
          <w:rStyle w:val="Emphasis"/>
          <w:rFonts w:ascii="Calibri" w:hAnsi="Calibri" w:cs="Calibri"/>
          <w:i w:val="0"/>
        </w:rPr>
        <w:t xml:space="preserve">ntes del PROCIT existía una investigación esporádica y autofinanciada. A partir del programa, se crearon laboratorios, centros de investigación y nuevos grupos de </w:t>
      </w:r>
      <w:r w:rsidRPr="00B524B8">
        <w:rPr>
          <w:rStyle w:val="Emphasis"/>
          <w:rFonts w:ascii="Calibri" w:hAnsi="Calibri" w:cs="Calibri"/>
          <w:i w:val="0"/>
        </w:rPr>
        <w:lastRenderedPageBreak/>
        <w:t>investigadores con títulos de posgrado.</w:t>
      </w:r>
      <w:r w:rsidRPr="00905B01">
        <w:rPr>
          <w:rStyle w:val="Emphasis"/>
          <w:rFonts w:ascii="Calibri" w:hAnsi="Calibri" w:cs="Calibri"/>
          <w:i w:val="0"/>
        </w:rPr>
        <w:t xml:space="preserve"> </w:t>
      </w:r>
      <w:r w:rsidRPr="00B524B8">
        <w:rPr>
          <w:rStyle w:val="Emphasis"/>
          <w:rFonts w:ascii="Calibri" w:hAnsi="Calibri" w:cs="Calibri"/>
          <w:i w:val="0"/>
        </w:rPr>
        <w:t>En algunos casos, se reutilizaron espacios en desuso para el montaje de laboratorios y oficinas aumentando la eficiencia en el uso de los recursos públicos.</w:t>
      </w:r>
    </w:p>
    <w:p w:rsidR="00235AAE" w:rsidRDefault="00235AAE" w:rsidP="00105574">
      <w:pPr>
        <w:pStyle w:val="ListParagraph"/>
        <w:spacing w:before="200" w:line="276" w:lineRule="auto"/>
        <w:ind w:left="0"/>
        <w:contextualSpacing w:val="0"/>
        <w:jc w:val="both"/>
        <w:rPr>
          <w:rStyle w:val="Emphasis"/>
          <w:rFonts w:ascii="Calibri" w:hAnsi="Calibri" w:cs="Calibri"/>
          <w:i w:val="0"/>
        </w:rPr>
      </w:pPr>
      <w:r>
        <w:rPr>
          <w:rStyle w:val="Emphasis"/>
          <w:rFonts w:ascii="Calibri" w:hAnsi="Calibri" w:cs="Calibri"/>
          <w:i w:val="0"/>
        </w:rPr>
        <w:t xml:space="preserve">También se observa un aumento en </w:t>
      </w:r>
      <w:r w:rsidRPr="00B524B8">
        <w:rPr>
          <w:rStyle w:val="Emphasis"/>
          <w:rFonts w:ascii="Calibri" w:hAnsi="Calibri" w:cs="Calibri"/>
          <w:i w:val="0"/>
        </w:rPr>
        <w:t>el número de do</w:t>
      </w:r>
      <w:r>
        <w:rPr>
          <w:rStyle w:val="Emphasis"/>
          <w:rFonts w:ascii="Calibri" w:hAnsi="Calibri" w:cs="Calibri"/>
          <w:i w:val="0"/>
        </w:rPr>
        <w:t>ctores con dedicación exclusiva, f</w:t>
      </w:r>
      <w:r w:rsidRPr="00B524B8">
        <w:rPr>
          <w:rStyle w:val="Emphasis"/>
          <w:rFonts w:ascii="Calibri" w:hAnsi="Calibri" w:cs="Calibri"/>
          <w:i w:val="0"/>
        </w:rPr>
        <w:t>ortaleci</w:t>
      </w:r>
      <w:r>
        <w:rPr>
          <w:rStyle w:val="Emphasis"/>
          <w:rFonts w:ascii="Calibri" w:hAnsi="Calibri" w:cs="Calibri"/>
          <w:i w:val="0"/>
        </w:rPr>
        <w:t>endo</w:t>
      </w:r>
      <w:r w:rsidRPr="00B524B8">
        <w:rPr>
          <w:rStyle w:val="Emphasis"/>
          <w:rFonts w:ascii="Calibri" w:hAnsi="Calibri" w:cs="Calibri"/>
          <w:i w:val="0"/>
        </w:rPr>
        <w:t xml:space="preserve"> la participación en eventos internacionales y congresos</w:t>
      </w:r>
      <w:r>
        <w:rPr>
          <w:rStyle w:val="Emphasis"/>
          <w:rFonts w:ascii="Calibri" w:hAnsi="Calibri" w:cs="Calibri"/>
          <w:i w:val="0"/>
        </w:rPr>
        <w:t xml:space="preserve">, </w:t>
      </w:r>
      <w:r w:rsidRPr="00B524B8">
        <w:rPr>
          <w:rStyle w:val="Emphasis"/>
          <w:rFonts w:ascii="Calibri" w:hAnsi="Calibri" w:cs="Calibri"/>
          <w:i w:val="0"/>
        </w:rPr>
        <w:t xml:space="preserve">la generación </w:t>
      </w:r>
      <w:r>
        <w:rPr>
          <w:rStyle w:val="Emphasis"/>
          <w:rFonts w:ascii="Calibri" w:hAnsi="Calibri" w:cs="Calibri"/>
          <w:i w:val="0"/>
        </w:rPr>
        <w:t xml:space="preserve">de </w:t>
      </w:r>
      <w:r w:rsidRPr="00B524B8">
        <w:rPr>
          <w:rStyle w:val="Emphasis"/>
          <w:rFonts w:ascii="Calibri" w:hAnsi="Calibri" w:cs="Calibri"/>
          <w:i w:val="0"/>
        </w:rPr>
        <w:t>redes con otros investiga</w:t>
      </w:r>
      <w:r>
        <w:rPr>
          <w:rStyle w:val="Emphasis"/>
          <w:rFonts w:ascii="Calibri" w:hAnsi="Calibri" w:cs="Calibri"/>
          <w:i w:val="0"/>
        </w:rPr>
        <w:t>dores para trabajar en conjunto,</w:t>
      </w:r>
      <w:r w:rsidRPr="00B524B8">
        <w:rPr>
          <w:rStyle w:val="Emphasis"/>
          <w:rFonts w:ascii="Calibri" w:hAnsi="Calibri" w:cs="Calibri"/>
          <w:i w:val="0"/>
        </w:rPr>
        <w:t xml:space="preserve"> y la incorporación de nuevos conocimientos y técnica</w:t>
      </w:r>
      <w:r>
        <w:rPr>
          <w:rStyle w:val="Emphasis"/>
          <w:rFonts w:ascii="Calibri" w:hAnsi="Calibri" w:cs="Calibri"/>
          <w:i w:val="0"/>
        </w:rPr>
        <w:t>s a partir de viajes al extranjero</w:t>
      </w:r>
      <w:r w:rsidRPr="00B524B8">
        <w:rPr>
          <w:rStyle w:val="Emphasis"/>
          <w:rFonts w:ascii="Calibri" w:hAnsi="Calibri" w:cs="Calibri"/>
          <w:i w:val="0"/>
        </w:rPr>
        <w:t xml:space="preserve">. </w:t>
      </w:r>
      <w:r>
        <w:rPr>
          <w:rStyle w:val="Emphasis"/>
          <w:rFonts w:ascii="Calibri" w:hAnsi="Calibri" w:cs="Calibri"/>
          <w:i w:val="0"/>
        </w:rPr>
        <w:t xml:space="preserve">En este sentido, de acuerdo a los datos relevados en las encuestas, a partir del PROCIT, los investigadores tuvieron la posibilidad de participar en 320 congresos nacionales y 18 congresos internacionales. </w:t>
      </w:r>
    </w:p>
    <w:p w:rsidR="00105574" w:rsidRPr="00105574" w:rsidRDefault="00105574" w:rsidP="00105574">
      <w:pPr>
        <w:pStyle w:val="ListParagraph"/>
        <w:spacing w:before="200" w:line="276" w:lineRule="auto"/>
        <w:ind w:left="0"/>
        <w:contextualSpacing w:val="0"/>
        <w:jc w:val="center"/>
        <w:rPr>
          <w:rStyle w:val="Emphasis"/>
          <w:rFonts w:ascii="Calibri" w:hAnsi="Calibri" w:cs="Calibri"/>
          <w:b/>
          <w:i w:val="0"/>
        </w:rPr>
      </w:pPr>
      <w:r w:rsidRPr="00105574">
        <w:rPr>
          <w:rStyle w:val="Emphasis"/>
          <w:rFonts w:ascii="Calibri" w:hAnsi="Calibri" w:cs="Calibri"/>
          <w:b/>
          <w:i w:val="0"/>
        </w:rPr>
        <w:t>Tabla 5.1. Cantidad de presentaciones en congresos</w:t>
      </w:r>
    </w:p>
    <w:tbl>
      <w:tblPr>
        <w:tblW w:w="8729" w:type="dxa"/>
        <w:tblInd w:w="55" w:type="dxa"/>
        <w:tblCellMar>
          <w:left w:w="70" w:type="dxa"/>
          <w:right w:w="70" w:type="dxa"/>
        </w:tblCellMar>
        <w:tblLook w:val="04A0" w:firstRow="1" w:lastRow="0" w:firstColumn="1" w:lastColumn="0" w:noHBand="0" w:noVBand="1"/>
      </w:tblPr>
      <w:tblGrid>
        <w:gridCol w:w="6167"/>
        <w:gridCol w:w="2562"/>
      </w:tblGrid>
      <w:tr w:rsidR="00105574" w:rsidRPr="00105574" w:rsidTr="00105574">
        <w:trPr>
          <w:trHeight w:val="376"/>
        </w:trPr>
        <w:tc>
          <w:tcPr>
            <w:tcW w:w="6167"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tcPr>
          <w:p w:rsidR="00235AAE" w:rsidRPr="00105574" w:rsidRDefault="00235AAE" w:rsidP="00671EBD">
            <w:pPr>
              <w:jc w:val="center"/>
              <w:rPr>
                <w:rFonts w:asciiTheme="minorHAnsi" w:eastAsia="Times New Roman" w:hAnsiTheme="minorHAnsi" w:cs="Microsoft Sans Serif"/>
                <w:b/>
                <w:color w:val="FFFFFF" w:themeColor="background1"/>
                <w:sz w:val="20"/>
                <w:szCs w:val="20"/>
                <w:lang w:val="es-AR" w:eastAsia="es-AR"/>
              </w:rPr>
            </w:pPr>
            <w:r w:rsidRPr="00105574">
              <w:rPr>
                <w:rFonts w:asciiTheme="minorHAnsi" w:eastAsia="Times New Roman" w:hAnsiTheme="minorHAnsi" w:cs="Microsoft Sans Serif"/>
                <w:b/>
                <w:color w:val="FFFFFF" w:themeColor="background1"/>
                <w:sz w:val="20"/>
                <w:szCs w:val="20"/>
                <w:lang w:val="es-AR" w:eastAsia="es-AR"/>
              </w:rPr>
              <w:t>Presentación en congresos</w:t>
            </w:r>
          </w:p>
        </w:tc>
        <w:tc>
          <w:tcPr>
            <w:tcW w:w="2562" w:type="dxa"/>
            <w:tcBorders>
              <w:top w:val="single" w:sz="4" w:space="0" w:color="auto"/>
              <w:left w:val="nil"/>
              <w:bottom w:val="single" w:sz="4" w:space="0" w:color="auto"/>
              <w:right w:val="single" w:sz="4" w:space="0" w:color="auto"/>
            </w:tcBorders>
            <w:shd w:val="clear" w:color="auto" w:fill="0F243E" w:themeFill="text2" w:themeFillShade="80"/>
            <w:noWrap/>
            <w:vAlign w:val="center"/>
          </w:tcPr>
          <w:p w:rsidR="00235AAE" w:rsidRPr="00105574" w:rsidRDefault="00235AAE" w:rsidP="00671EBD">
            <w:pPr>
              <w:jc w:val="center"/>
              <w:rPr>
                <w:rFonts w:asciiTheme="minorHAnsi" w:eastAsia="Times New Roman" w:hAnsiTheme="minorHAnsi" w:cs="Microsoft Sans Serif"/>
                <w:b/>
                <w:color w:val="FFFFFF" w:themeColor="background1"/>
                <w:sz w:val="20"/>
                <w:szCs w:val="20"/>
                <w:lang w:val="es-AR" w:eastAsia="es-AR"/>
              </w:rPr>
            </w:pPr>
            <w:r w:rsidRPr="00105574">
              <w:rPr>
                <w:rFonts w:asciiTheme="minorHAnsi" w:eastAsia="Times New Roman" w:hAnsiTheme="minorHAnsi" w:cs="Microsoft Sans Serif"/>
                <w:b/>
                <w:color w:val="FFFFFF" w:themeColor="background1"/>
                <w:sz w:val="20"/>
                <w:szCs w:val="20"/>
                <w:lang w:val="es-AR" w:eastAsia="es-AR"/>
              </w:rPr>
              <w:t>Cantidad</w:t>
            </w:r>
          </w:p>
        </w:tc>
      </w:tr>
      <w:tr w:rsidR="00235AAE" w:rsidRPr="00C9359A" w:rsidTr="00105574">
        <w:trPr>
          <w:trHeight w:val="288"/>
        </w:trPr>
        <w:tc>
          <w:tcPr>
            <w:tcW w:w="6167" w:type="dxa"/>
            <w:tcBorders>
              <w:top w:val="nil"/>
              <w:left w:val="single" w:sz="4" w:space="0" w:color="auto"/>
              <w:bottom w:val="single" w:sz="4" w:space="0" w:color="auto"/>
              <w:right w:val="single" w:sz="4" w:space="0" w:color="auto"/>
            </w:tcBorders>
            <w:shd w:val="clear" w:color="auto" w:fill="auto"/>
            <w:vAlign w:val="center"/>
            <w:hideMark/>
          </w:tcPr>
          <w:p w:rsidR="00235AAE" w:rsidRPr="005C01A5" w:rsidRDefault="00235AAE" w:rsidP="00671EBD">
            <w:pPr>
              <w:rPr>
                <w:rFonts w:asciiTheme="minorHAnsi" w:eastAsia="Times New Roman" w:hAnsiTheme="minorHAnsi" w:cs="Microsoft Sans Serif"/>
                <w:color w:val="333333"/>
                <w:sz w:val="20"/>
                <w:szCs w:val="20"/>
                <w:lang w:val="es-AR" w:eastAsia="es-AR"/>
              </w:rPr>
            </w:pPr>
            <w:r w:rsidRPr="005C01A5">
              <w:rPr>
                <w:rFonts w:asciiTheme="minorHAnsi" w:eastAsia="Times New Roman" w:hAnsiTheme="minorHAnsi" w:cs="Microsoft Sans Serif"/>
                <w:color w:val="333333"/>
                <w:sz w:val="20"/>
                <w:szCs w:val="20"/>
                <w:lang w:val="es-AR" w:eastAsia="es-AR"/>
              </w:rPr>
              <w:t>Presentaciones en congresos nacionales (cantidad de congresos)</w:t>
            </w:r>
          </w:p>
        </w:tc>
        <w:tc>
          <w:tcPr>
            <w:tcW w:w="2562" w:type="dxa"/>
            <w:tcBorders>
              <w:top w:val="nil"/>
              <w:left w:val="nil"/>
              <w:bottom w:val="single" w:sz="4" w:space="0" w:color="auto"/>
              <w:right w:val="single" w:sz="4" w:space="0" w:color="auto"/>
            </w:tcBorders>
            <w:shd w:val="clear" w:color="auto" w:fill="auto"/>
            <w:noWrap/>
            <w:vAlign w:val="center"/>
            <w:hideMark/>
          </w:tcPr>
          <w:p w:rsidR="00235AAE" w:rsidRPr="005C01A5" w:rsidRDefault="00235AAE" w:rsidP="00671EBD">
            <w:pPr>
              <w:jc w:val="center"/>
              <w:rPr>
                <w:rFonts w:asciiTheme="minorHAnsi" w:eastAsia="Times New Roman" w:hAnsiTheme="minorHAnsi" w:cs="Microsoft Sans Serif"/>
                <w:sz w:val="20"/>
                <w:szCs w:val="20"/>
                <w:lang w:val="es-AR" w:eastAsia="es-AR"/>
              </w:rPr>
            </w:pPr>
            <w:r w:rsidRPr="005C01A5">
              <w:rPr>
                <w:rFonts w:asciiTheme="minorHAnsi" w:eastAsia="Times New Roman" w:hAnsiTheme="minorHAnsi" w:cs="Microsoft Sans Serif"/>
                <w:sz w:val="20"/>
                <w:szCs w:val="20"/>
                <w:lang w:val="es-AR" w:eastAsia="es-AR"/>
              </w:rPr>
              <w:t>320</w:t>
            </w:r>
          </w:p>
        </w:tc>
      </w:tr>
      <w:tr w:rsidR="00235AAE" w:rsidRPr="00C9359A" w:rsidTr="00105574">
        <w:trPr>
          <w:trHeight w:val="278"/>
        </w:trPr>
        <w:tc>
          <w:tcPr>
            <w:tcW w:w="6167" w:type="dxa"/>
            <w:tcBorders>
              <w:top w:val="nil"/>
              <w:left w:val="single" w:sz="4" w:space="0" w:color="auto"/>
              <w:bottom w:val="single" w:sz="4" w:space="0" w:color="auto"/>
              <w:right w:val="single" w:sz="4" w:space="0" w:color="auto"/>
            </w:tcBorders>
            <w:shd w:val="clear" w:color="auto" w:fill="auto"/>
            <w:vAlign w:val="center"/>
            <w:hideMark/>
          </w:tcPr>
          <w:p w:rsidR="00235AAE" w:rsidRPr="005C01A5" w:rsidRDefault="00235AAE" w:rsidP="00671EBD">
            <w:pPr>
              <w:rPr>
                <w:rFonts w:asciiTheme="minorHAnsi" w:eastAsia="Times New Roman" w:hAnsiTheme="minorHAnsi" w:cs="Microsoft Sans Serif"/>
                <w:color w:val="333333"/>
                <w:sz w:val="20"/>
                <w:szCs w:val="20"/>
                <w:lang w:val="es-AR" w:eastAsia="es-AR"/>
              </w:rPr>
            </w:pPr>
            <w:r w:rsidRPr="005C01A5">
              <w:rPr>
                <w:rFonts w:asciiTheme="minorHAnsi" w:eastAsia="Times New Roman" w:hAnsiTheme="minorHAnsi" w:cs="Microsoft Sans Serif"/>
                <w:color w:val="333333"/>
                <w:sz w:val="20"/>
                <w:szCs w:val="20"/>
                <w:lang w:val="es-AR" w:eastAsia="es-AR"/>
              </w:rPr>
              <w:t>Presentación en congresos internacionales (cantidad de congresos)</w:t>
            </w:r>
          </w:p>
        </w:tc>
        <w:tc>
          <w:tcPr>
            <w:tcW w:w="2562" w:type="dxa"/>
            <w:tcBorders>
              <w:top w:val="nil"/>
              <w:left w:val="nil"/>
              <w:bottom w:val="single" w:sz="4" w:space="0" w:color="auto"/>
              <w:right w:val="single" w:sz="4" w:space="0" w:color="auto"/>
            </w:tcBorders>
            <w:shd w:val="clear" w:color="auto" w:fill="auto"/>
            <w:noWrap/>
            <w:vAlign w:val="center"/>
            <w:hideMark/>
          </w:tcPr>
          <w:p w:rsidR="00235AAE" w:rsidRPr="005C01A5" w:rsidRDefault="00235AAE" w:rsidP="00671EBD">
            <w:pPr>
              <w:jc w:val="center"/>
              <w:rPr>
                <w:rFonts w:asciiTheme="minorHAnsi" w:eastAsia="Times New Roman" w:hAnsiTheme="minorHAnsi" w:cs="Microsoft Sans Serif"/>
                <w:sz w:val="20"/>
                <w:szCs w:val="20"/>
                <w:lang w:val="es-AR" w:eastAsia="es-AR"/>
              </w:rPr>
            </w:pPr>
            <w:r w:rsidRPr="005C01A5">
              <w:rPr>
                <w:rFonts w:asciiTheme="minorHAnsi" w:eastAsia="Times New Roman" w:hAnsiTheme="minorHAnsi" w:cs="Microsoft Sans Serif"/>
                <w:sz w:val="20"/>
                <w:szCs w:val="20"/>
                <w:lang w:val="es-AR" w:eastAsia="es-AR"/>
              </w:rPr>
              <w:t>18</w:t>
            </w:r>
          </w:p>
        </w:tc>
      </w:tr>
    </w:tbl>
    <w:p w:rsidR="00105574" w:rsidRPr="00D657C5" w:rsidRDefault="00D657C5" w:rsidP="00235AAE">
      <w:pPr>
        <w:pStyle w:val="ListParagraph"/>
        <w:spacing w:before="120" w:after="120" w:line="288" w:lineRule="auto"/>
        <w:ind w:left="0"/>
        <w:contextualSpacing w:val="0"/>
        <w:jc w:val="both"/>
        <w:rPr>
          <w:rStyle w:val="Emphasis"/>
          <w:rFonts w:ascii="Calibri" w:hAnsi="Calibri" w:cs="Calibri"/>
          <w:i w:val="0"/>
          <w:sz w:val="20"/>
          <w:szCs w:val="20"/>
        </w:rPr>
      </w:pPr>
      <w:r>
        <w:rPr>
          <w:rStyle w:val="Emphasis"/>
          <w:rFonts w:ascii="Calibri" w:hAnsi="Calibri" w:cs="Calibri"/>
          <w:i w:val="0"/>
          <w:sz w:val="20"/>
          <w:szCs w:val="20"/>
        </w:rPr>
        <w:t xml:space="preserve">   </w:t>
      </w:r>
      <w:r w:rsidRPr="00D657C5">
        <w:rPr>
          <w:rStyle w:val="Emphasis"/>
          <w:rFonts w:ascii="Calibri" w:hAnsi="Calibri" w:cs="Calibri"/>
          <w:i w:val="0"/>
          <w:sz w:val="20"/>
          <w:szCs w:val="20"/>
        </w:rPr>
        <w:t>Fuente: Innovos Group en base a encuestas a beneficiario</w:t>
      </w:r>
      <w:r w:rsidR="006C6743">
        <w:rPr>
          <w:rStyle w:val="Emphasis"/>
          <w:rFonts w:ascii="Calibri" w:hAnsi="Calibri" w:cs="Calibri"/>
          <w:i w:val="0"/>
          <w:sz w:val="20"/>
          <w:szCs w:val="20"/>
        </w:rPr>
        <w:t>s de proyectos de investigación</w:t>
      </w:r>
    </w:p>
    <w:p w:rsidR="00235AAE" w:rsidRPr="009D6DD5" w:rsidRDefault="00235AAE" w:rsidP="00D657C5">
      <w:pPr>
        <w:pStyle w:val="ListParagraph"/>
        <w:spacing w:before="200" w:line="276" w:lineRule="auto"/>
        <w:ind w:left="0"/>
        <w:contextualSpacing w:val="0"/>
        <w:jc w:val="both"/>
        <w:rPr>
          <w:rStyle w:val="Emphasis"/>
          <w:rFonts w:ascii="Calibri" w:hAnsi="Calibri" w:cs="Calibri"/>
          <w:i w:val="0"/>
          <w:iCs w:val="0"/>
        </w:rPr>
      </w:pPr>
      <w:r w:rsidRPr="00B524B8">
        <w:rPr>
          <w:rStyle w:val="Emphasis"/>
          <w:rFonts w:ascii="Calibri" w:hAnsi="Calibri" w:cs="Calibri"/>
          <w:i w:val="0"/>
        </w:rPr>
        <w:t>Algunos casos exitosos han obtenido premios y menciones de honor en conferencias internacionales y han logrado la concreción de sus objetiv</w:t>
      </w:r>
      <w:r w:rsidR="00D657C5">
        <w:rPr>
          <w:rStyle w:val="Emphasis"/>
          <w:rFonts w:ascii="Calibri" w:hAnsi="Calibri" w:cs="Calibri"/>
          <w:i w:val="0"/>
        </w:rPr>
        <w:t xml:space="preserve">os y la proliferación de nuevos </w:t>
      </w:r>
      <w:r w:rsidRPr="00B524B8">
        <w:rPr>
          <w:rStyle w:val="Emphasis"/>
          <w:rFonts w:ascii="Calibri" w:hAnsi="Calibri" w:cs="Calibri"/>
          <w:i w:val="0"/>
        </w:rPr>
        <w:t xml:space="preserve">proyectos atrayendo inversores a partir de la difusión de estos resultados. Estas acciones otorgan visibilidad en materia de ciencia y tecnología, posicionando al país como referente de la temática. </w:t>
      </w:r>
    </w:p>
    <w:p w:rsidR="00235AAE" w:rsidRPr="00B524B8" w:rsidRDefault="00235AAE" w:rsidP="00235AAE">
      <w:pPr>
        <w:pStyle w:val="ListParagraph"/>
        <w:spacing w:before="120" w:after="120" w:line="288" w:lineRule="auto"/>
        <w:ind w:left="3402"/>
        <w:jc w:val="right"/>
        <w:rPr>
          <w:rStyle w:val="Emphasis"/>
          <w:rFonts w:ascii="Calibri" w:hAnsi="Calibri" w:cs="Calibri"/>
          <w:sz w:val="20"/>
          <w:szCs w:val="20"/>
        </w:rPr>
      </w:pPr>
      <w:r w:rsidRPr="00B524B8">
        <w:rPr>
          <w:rStyle w:val="Emphasis"/>
          <w:rFonts w:ascii="Calibri" w:hAnsi="Calibri" w:cs="Calibri"/>
          <w:sz w:val="20"/>
          <w:szCs w:val="20"/>
        </w:rPr>
        <w:t>“Los resultados preliminares de la investigación, los hemos presentado en el congreso, en el decimotercer congreso de pediatría en el año 2012 y obtuvo una mención de honor al mejor trabajo.”</w:t>
      </w:r>
    </w:p>
    <w:p w:rsidR="00235AAE" w:rsidRPr="00B524B8" w:rsidRDefault="00235AAE" w:rsidP="00235AAE">
      <w:pPr>
        <w:pStyle w:val="ListParagraph"/>
        <w:spacing w:before="120" w:after="120" w:line="288" w:lineRule="auto"/>
        <w:ind w:left="3402"/>
        <w:jc w:val="right"/>
        <w:rPr>
          <w:rStyle w:val="Emphasis"/>
          <w:rFonts w:ascii="Calibri" w:hAnsi="Calibri" w:cs="Calibri"/>
          <w:i w:val="0"/>
          <w:sz w:val="20"/>
          <w:szCs w:val="20"/>
        </w:rPr>
      </w:pPr>
      <w:r w:rsidRPr="00B524B8">
        <w:rPr>
          <w:rStyle w:val="Emphasis"/>
          <w:rFonts w:ascii="Calibri" w:hAnsi="Calibri" w:cs="Calibri"/>
          <w:i w:val="0"/>
          <w:sz w:val="20"/>
          <w:szCs w:val="20"/>
        </w:rPr>
        <w:t>(Investigador beneficiario)</w:t>
      </w:r>
    </w:p>
    <w:p w:rsidR="00235AAE" w:rsidRPr="00B524B8" w:rsidRDefault="00235AAE" w:rsidP="00235AAE">
      <w:pPr>
        <w:pStyle w:val="ListParagraph"/>
        <w:spacing w:before="120" w:after="120" w:line="288" w:lineRule="auto"/>
        <w:ind w:left="3402"/>
        <w:jc w:val="both"/>
        <w:rPr>
          <w:rStyle w:val="Emphasis"/>
          <w:rFonts w:ascii="Calibri" w:hAnsi="Calibri" w:cs="Calibri"/>
          <w:i w:val="0"/>
        </w:rPr>
      </w:pPr>
    </w:p>
    <w:p w:rsidR="00235AAE" w:rsidRPr="00B524B8" w:rsidRDefault="00235AAE" w:rsidP="00235AAE">
      <w:pPr>
        <w:pStyle w:val="ListParagraph"/>
        <w:spacing w:before="120" w:after="120" w:line="288" w:lineRule="auto"/>
        <w:ind w:left="0"/>
        <w:contextualSpacing w:val="0"/>
        <w:jc w:val="both"/>
        <w:rPr>
          <w:rStyle w:val="Emphasis"/>
          <w:rFonts w:ascii="Calibri" w:hAnsi="Calibri" w:cs="Calibri"/>
          <w:i w:val="0"/>
        </w:rPr>
      </w:pPr>
      <w:r>
        <w:rPr>
          <w:rStyle w:val="Emphasis"/>
          <w:rFonts w:ascii="Calibri" w:hAnsi="Calibri" w:cs="Calibri"/>
          <w:i w:val="0"/>
        </w:rPr>
        <w:t>Inclusive</w:t>
      </w:r>
      <w:r w:rsidRPr="00B524B8">
        <w:rPr>
          <w:rStyle w:val="Emphasis"/>
          <w:rFonts w:ascii="Calibri" w:hAnsi="Calibri" w:cs="Calibri"/>
          <w:i w:val="0"/>
        </w:rPr>
        <w:t>, se fortaleció la incorporación de investigadores formados en el extranjero aportando así al crecimiento del conocimiento. Además, a partir de la incorporación en grupos de investigación, algunos investigadores han logrado incorporarse y categorizar en el Programa Nacional de Incentivo al Investigador (PRONII).</w:t>
      </w:r>
    </w:p>
    <w:p w:rsidR="00235AAE" w:rsidRDefault="00235AAE" w:rsidP="00235AAE">
      <w:pPr>
        <w:pStyle w:val="ListParagraph"/>
        <w:spacing w:before="120" w:after="120" w:line="288" w:lineRule="auto"/>
        <w:ind w:left="0"/>
        <w:jc w:val="both"/>
        <w:rPr>
          <w:rStyle w:val="Emphasis"/>
          <w:rFonts w:ascii="Calibri" w:hAnsi="Calibri" w:cs="Calibri"/>
          <w:i w:val="0"/>
        </w:rPr>
      </w:pPr>
      <w:r>
        <w:rPr>
          <w:rStyle w:val="Emphasis"/>
          <w:rFonts w:ascii="Calibri" w:hAnsi="Calibri" w:cs="Calibri"/>
          <w:i w:val="0"/>
        </w:rPr>
        <w:t>Respecto al alcance de los objetivos de los proyectos de investigación, un 63% de los beneficiarios encuestados que respondieron la encuesta indicaron que los objetivos del proyecto se alcanzaron totalmente y un 21% respondió que los mismos se superaron. Sólo un 11% respondió que se alcanzaron parcialmente. A continuación se presenta esta información en el gráfico</w:t>
      </w:r>
      <w:r w:rsidR="00D657C5">
        <w:rPr>
          <w:rStyle w:val="Emphasis"/>
          <w:rFonts w:ascii="Calibri" w:hAnsi="Calibri" w:cs="Calibri"/>
          <w:i w:val="0"/>
        </w:rPr>
        <w:t xml:space="preserve"> 5.10.</w:t>
      </w:r>
    </w:p>
    <w:p w:rsidR="00D657C5" w:rsidRDefault="00D657C5" w:rsidP="00235AAE">
      <w:pPr>
        <w:pStyle w:val="ListParagraph"/>
        <w:spacing w:before="120" w:after="120" w:line="288" w:lineRule="auto"/>
        <w:ind w:left="0"/>
        <w:jc w:val="both"/>
        <w:rPr>
          <w:rStyle w:val="Emphasis"/>
          <w:rFonts w:ascii="Calibri" w:hAnsi="Calibri" w:cs="Calibri"/>
          <w:i w:val="0"/>
        </w:rPr>
      </w:pPr>
    </w:p>
    <w:p w:rsidR="00480839" w:rsidRDefault="00480839" w:rsidP="00235AAE">
      <w:pPr>
        <w:pStyle w:val="ListParagraph"/>
        <w:spacing w:before="120" w:after="120" w:line="288" w:lineRule="auto"/>
        <w:ind w:left="0"/>
        <w:jc w:val="center"/>
        <w:rPr>
          <w:rFonts w:ascii="Calibri" w:hAnsi="Calibri" w:cs="Calibri"/>
          <w:b/>
        </w:rPr>
      </w:pPr>
    </w:p>
    <w:p w:rsidR="00235AAE" w:rsidRPr="00B524B8" w:rsidRDefault="00235AAE" w:rsidP="00235AAE">
      <w:pPr>
        <w:pStyle w:val="ListParagraph"/>
        <w:spacing w:before="120" w:after="120" w:line="288" w:lineRule="auto"/>
        <w:ind w:left="0"/>
        <w:jc w:val="center"/>
        <w:rPr>
          <w:rFonts w:ascii="Calibri" w:hAnsi="Calibri" w:cs="Calibri"/>
          <w:b/>
        </w:rPr>
      </w:pPr>
      <w:r w:rsidRPr="00B524B8">
        <w:rPr>
          <w:rFonts w:ascii="Calibri" w:hAnsi="Calibri" w:cs="Calibri"/>
          <w:b/>
        </w:rPr>
        <w:lastRenderedPageBreak/>
        <w:t xml:space="preserve">Gráfico </w:t>
      </w:r>
      <w:r w:rsidR="00D657C5">
        <w:rPr>
          <w:rFonts w:ascii="Calibri" w:hAnsi="Calibri" w:cs="Calibri"/>
          <w:b/>
        </w:rPr>
        <w:t>5.10.</w:t>
      </w:r>
      <w:r w:rsidRPr="00B524B8">
        <w:rPr>
          <w:rFonts w:ascii="Calibri" w:hAnsi="Calibri" w:cs="Calibri"/>
          <w:b/>
        </w:rPr>
        <w:t xml:space="preserve"> Alcance de los objetivos de proyectos beneficiarios</w:t>
      </w:r>
    </w:p>
    <w:p w:rsidR="00235AAE" w:rsidRPr="00B524B8" w:rsidRDefault="00235AAE" w:rsidP="00235AAE">
      <w:pPr>
        <w:spacing w:before="120" w:after="120" w:line="288" w:lineRule="auto"/>
        <w:jc w:val="center"/>
        <w:rPr>
          <w:rStyle w:val="Emphasis"/>
          <w:rFonts w:ascii="Calibri" w:hAnsi="Calibri" w:cs="Calibri"/>
          <w:i w:val="0"/>
          <w:iCs w:val="0"/>
        </w:rPr>
      </w:pPr>
      <w:r w:rsidRPr="009D6DD5">
        <w:rPr>
          <w:noProof/>
          <w:lang w:val="es-ES_tradnl" w:eastAsia="es-ES_tradnl"/>
        </w:rPr>
        <w:drawing>
          <wp:inline distT="0" distB="0" distL="0" distR="0" wp14:anchorId="6DFD5F02" wp14:editId="2C32C0CB">
            <wp:extent cx="2886075" cy="2164556"/>
            <wp:effectExtent l="0" t="0" r="0" b="762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6075" cy="2164556"/>
                    </a:xfrm>
                    <a:prstGeom prst="rect">
                      <a:avLst/>
                    </a:prstGeom>
                    <a:noFill/>
                    <a:ln>
                      <a:noFill/>
                    </a:ln>
                  </pic:spPr>
                </pic:pic>
              </a:graphicData>
            </a:graphic>
          </wp:inline>
        </w:drawing>
      </w:r>
    </w:p>
    <w:p w:rsidR="00235AAE" w:rsidRPr="009D6DD5" w:rsidRDefault="00235AAE" w:rsidP="0037314C">
      <w:pPr>
        <w:spacing w:before="120" w:after="120" w:line="288" w:lineRule="auto"/>
        <w:ind w:left="2127" w:right="2034"/>
        <w:jc w:val="center"/>
        <w:rPr>
          <w:rFonts w:ascii="Calibri" w:hAnsi="Calibri" w:cs="Calibri"/>
          <w:sz w:val="18"/>
          <w:szCs w:val="18"/>
        </w:rPr>
      </w:pPr>
      <w:r w:rsidRPr="004B3DA8">
        <w:rPr>
          <w:rFonts w:ascii="Calibri" w:hAnsi="Calibri" w:cs="Calibri"/>
          <w:sz w:val="18"/>
          <w:szCs w:val="18"/>
        </w:rPr>
        <w:t>Fuente: Innovos Group en base a datos provistos por las encuestas realizadas a proyectos de investigación beneficiarios del PROCIT</w:t>
      </w:r>
    </w:p>
    <w:p w:rsidR="00235AAE" w:rsidRPr="009D6DD5" w:rsidRDefault="00235AAE" w:rsidP="00D657C5">
      <w:pPr>
        <w:pStyle w:val="ListParagraph"/>
        <w:spacing w:before="200" w:line="276" w:lineRule="auto"/>
        <w:ind w:left="0"/>
        <w:contextualSpacing w:val="0"/>
        <w:jc w:val="both"/>
        <w:rPr>
          <w:rStyle w:val="Emphasis"/>
          <w:rFonts w:ascii="Calibri" w:hAnsi="Calibri" w:cs="Calibri"/>
          <w:i w:val="0"/>
        </w:rPr>
      </w:pPr>
      <w:r w:rsidRPr="00B524B8">
        <w:rPr>
          <w:rStyle w:val="Emphasis"/>
          <w:rFonts w:ascii="Calibri" w:hAnsi="Calibri" w:cs="Calibri"/>
          <w:i w:val="0"/>
        </w:rPr>
        <w:t xml:space="preserve">Respecto a los tipos de resultados que se obtuvieron de los proyectos, un 47% de los encuestados manifestó que el resultado de su proyecto fue una metodología, un 26% respondió que se trataba de un servicio tecnológico y un 42% indicó tratarse de otro tipo de resultados. Ente la categoría “otros” se incluyen patentes, y conocimiento sobre el sector ambiental y salud. </w:t>
      </w:r>
    </w:p>
    <w:p w:rsidR="00235AAE" w:rsidRPr="00B524B8" w:rsidRDefault="00235AAE" w:rsidP="00235AAE">
      <w:pPr>
        <w:pStyle w:val="ListParagraph"/>
        <w:spacing w:before="120" w:after="120" w:line="288" w:lineRule="auto"/>
        <w:ind w:left="360"/>
        <w:jc w:val="center"/>
        <w:rPr>
          <w:rStyle w:val="Emphasis"/>
          <w:rFonts w:ascii="Calibri" w:hAnsi="Calibri" w:cs="Calibri"/>
          <w:b/>
          <w:i w:val="0"/>
        </w:rPr>
      </w:pPr>
      <w:r w:rsidRPr="00B524B8">
        <w:rPr>
          <w:rStyle w:val="Emphasis"/>
          <w:rFonts w:ascii="Calibri" w:hAnsi="Calibri" w:cs="Calibri"/>
          <w:b/>
          <w:i w:val="0"/>
        </w:rPr>
        <w:t xml:space="preserve">Gráfico </w:t>
      </w:r>
      <w:r w:rsidR="00D657C5">
        <w:rPr>
          <w:rStyle w:val="Emphasis"/>
          <w:rFonts w:ascii="Calibri" w:hAnsi="Calibri" w:cs="Calibri"/>
          <w:b/>
          <w:i w:val="0"/>
        </w:rPr>
        <w:t>5.11.</w:t>
      </w:r>
      <w:r w:rsidRPr="00B524B8">
        <w:rPr>
          <w:rStyle w:val="Emphasis"/>
          <w:rFonts w:ascii="Calibri" w:hAnsi="Calibri" w:cs="Calibri"/>
          <w:b/>
          <w:i w:val="0"/>
        </w:rPr>
        <w:t xml:space="preserve"> Tipos de resultados de los proyectos beneficiarios de investigación</w:t>
      </w:r>
    </w:p>
    <w:p w:rsidR="00235AAE" w:rsidRPr="00B524B8" w:rsidRDefault="00235AAE" w:rsidP="00235AAE">
      <w:pPr>
        <w:pStyle w:val="ListParagraph"/>
        <w:spacing w:before="120" w:after="120" w:line="288" w:lineRule="auto"/>
        <w:ind w:left="360"/>
        <w:jc w:val="center"/>
        <w:rPr>
          <w:rStyle w:val="Emphasis"/>
          <w:rFonts w:ascii="Calibri" w:hAnsi="Calibri" w:cs="Calibri"/>
          <w:i w:val="0"/>
          <w:iCs w:val="0"/>
        </w:rPr>
      </w:pPr>
      <w:r w:rsidRPr="009D6DD5">
        <w:rPr>
          <w:noProof/>
          <w:lang w:val="es-ES_tradnl" w:eastAsia="es-ES_tradnl"/>
        </w:rPr>
        <w:drawing>
          <wp:inline distT="0" distB="0" distL="0" distR="0" wp14:anchorId="321B0955" wp14:editId="5241D6B2">
            <wp:extent cx="2771775" cy="2215918"/>
            <wp:effectExtent l="0" t="0" r="0"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1775" cy="2215918"/>
                    </a:xfrm>
                    <a:prstGeom prst="rect">
                      <a:avLst/>
                    </a:prstGeom>
                    <a:noFill/>
                    <a:ln>
                      <a:noFill/>
                    </a:ln>
                  </pic:spPr>
                </pic:pic>
              </a:graphicData>
            </a:graphic>
          </wp:inline>
        </w:drawing>
      </w:r>
    </w:p>
    <w:p w:rsidR="00235AAE" w:rsidRPr="004B3DA8" w:rsidRDefault="00235AAE" w:rsidP="0037314C">
      <w:pPr>
        <w:spacing w:before="120" w:after="120" w:line="288" w:lineRule="auto"/>
        <w:ind w:left="2410" w:right="2034"/>
        <w:jc w:val="center"/>
        <w:rPr>
          <w:rStyle w:val="Emphasis"/>
          <w:rFonts w:ascii="Calibri" w:hAnsi="Calibri" w:cs="Calibri"/>
          <w:i w:val="0"/>
          <w:iCs w:val="0"/>
          <w:sz w:val="18"/>
          <w:szCs w:val="18"/>
        </w:rPr>
      </w:pPr>
      <w:r w:rsidRPr="004B3DA8">
        <w:rPr>
          <w:rFonts w:ascii="Calibri" w:hAnsi="Calibri" w:cs="Calibri"/>
          <w:sz w:val="18"/>
          <w:szCs w:val="18"/>
        </w:rPr>
        <w:t>Fuente: Innovos Group en base a datos provistos por las encuestas realizadas a proyectos de investigación beneficiarios del PROCIT</w:t>
      </w:r>
    </w:p>
    <w:p w:rsidR="00235AAE" w:rsidRPr="00D657C5" w:rsidRDefault="00235AAE" w:rsidP="00D657C5">
      <w:pPr>
        <w:pStyle w:val="ListParagraph"/>
        <w:spacing w:before="200" w:line="276" w:lineRule="auto"/>
        <w:ind w:left="0"/>
        <w:contextualSpacing w:val="0"/>
        <w:jc w:val="both"/>
        <w:rPr>
          <w:rStyle w:val="Emphasis"/>
          <w:rFonts w:asciiTheme="minorHAnsi" w:hAnsiTheme="minorHAnsi" w:cstheme="minorHAnsi"/>
          <w:i w:val="0"/>
        </w:rPr>
      </w:pPr>
      <w:r w:rsidRPr="00D657C5">
        <w:rPr>
          <w:rStyle w:val="Emphasis"/>
          <w:rFonts w:asciiTheme="minorHAnsi" w:hAnsiTheme="minorHAnsi" w:cstheme="minorHAnsi"/>
          <w:i w:val="0"/>
        </w:rPr>
        <w:t xml:space="preserve">A pesar de que, en términos generales y atendiendo a alcance de los objetivos propuestos para los proyectos de investigación, se ha logrado un buen nivel de eficacia en los proyectos que fueron adjudicados, es necesario destacar algunos aspectos a mejorar. En </w:t>
      </w:r>
      <w:r w:rsidRPr="00D657C5">
        <w:rPr>
          <w:rStyle w:val="Emphasis"/>
          <w:rFonts w:asciiTheme="minorHAnsi" w:hAnsiTheme="minorHAnsi" w:cstheme="minorHAnsi"/>
          <w:i w:val="0"/>
        </w:rPr>
        <w:lastRenderedPageBreak/>
        <w:t xml:space="preserve">este sentido, la creación de laboratorios y espacios de trabajo de los investigadores ha fortalecido la capacidad de investigación entre los investigadores senior, el involucramiento de jóvenes estudiantes al proceso ha sido en la mayoría de los casos que se relevaron durante la visita muy escaso. </w:t>
      </w:r>
    </w:p>
    <w:p w:rsidR="00235AAE" w:rsidRPr="00D657C5" w:rsidRDefault="00235AAE" w:rsidP="00D657C5">
      <w:pPr>
        <w:pStyle w:val="ListParagraph"/>
        <w:spacing w:before="200" w:line="276" w:lineRule="auto"/>
        <w:ind w:left="0"/>
        <w:contextualSpacing w:val="0"/>
        <w:jc w:val="both"/>
        <w:rPr>
          <w:rStyle w:val="Emphasis"/>
          <w:rFonts w:asciiTheme="minorHAnsi" w:hAnsiTheme="minorHAnsi" w:cstheme="minorHAnsi"/>
          <w:i w:val="0"/>
        </w:rPr>
      </w:pPr>
      <w:r w:rsidRPr="00D657C5">
        <w:rPr>
          <w:rStyle w:val="Emphasis"/>
          <w:rFonts w:asciiTheme="minorHAnsi" w:hAnsiTheme="minorHAnsi" w:cstheme="minorHAnsi"/>
          <w:i w:val="0"/>
        </w:rPr>
        <w:t xml:space="preserve">Otro aspecto interesante para destacar respecto a la eficacia del alance de los objetivos propuestos tiene que ver con el involucramiento y seguimiento o monitoreo de los proyectos radicados en el interior que son aquellos que pueden encontrar mayores dificultades en el alcance de sus objetivos durante todo el proceso (ya sea desde la presentación de las propuestas hasta la evaluación final de la ejecución de los proyectos). </w:t>
      </w:r>
    </w:p>
    <w:p w:rsidR="00235AAE" w:rsidRPr="00D657C5" w:rsidRDefault="00235AAE" w:rsidP="00D657C5">
      <w:pPr>
        <w:pStyle w:val="ListParagraph"/>
        <w:spacing w:before="200" w:line="276" w:lineRule="auto"/>
        <w:ind w:left="0"/>
        <w:contextualSpacing w:val="0"/>
        <w:jc w:val="both"/>
        <w:rPr>
          <w:rStyle w:val="Emphasis"/>
          <w:rFonts w:asciiTheme="minorHAnsi" w:hAnsiTheme="minorHAnsi" w:cstheme="minorHAnsi"/>
          <w:b/>
          <w:i w:val="0"/>
        </w:rPr>
      </w:pPr>
      <w:r w:rsidRPr="00D657C5">
        <w:rPr>
          <w:rStyle w:val="Emphasis"/>
          <w:rFonts w:asciiTheme="minorHAnsi" w:hAnsiTheme="minorHAnsi" w:cstheme="minorHAnsi"/>
          <w:b/>
          <w:i w:val="0"/>
        </w:rPr>
        <w:t>Respecto de la eficiencia</w:t>
      </w:r>
    </w:p>
    <w:p w:rsidR="00235AAE" w:rsidRPr="00D657C5" w:rsidRDefault="00235AAE" w:rsidP="00D657C5">
      <w:pPr>
        <w:spacing w:before="200" w:line="276" w:lineRule="auto"/>
        <w:jc w:val="both"/>
        <w:rPr>
          <w:rStyle w:val="Emphasis"/>
          <w:rFonts w:asciiTheme="minorHAnsi" w:eastAsia="Times New Roman" w:hAnsiTheme="minorHAnsi" w:cstheme="minorHAnsi"/>
          <w:i w:val="0"/>
          <w:iCs w:val="0"/>
          <w:lang w:val="es-AR" w:eastAsia="es-AR"/>
        </w:rPr>
      </w:pPr>
      <w:r w:rsidRPr="00D657C5">
        <w:rPr>
          <w:rStyle w:val="Emphasis"/>
          <w:rFonts w:asciiTheme="minorHAnsi" w:hAnsiTheme="minorHAnsi" w:cstheme="minorHAnsi"/>
          <w:i w:val="0"/>
        </w:rPr>
        <w:t xml:space="preserve">En lo que refiere a la eficiencia, si bien los montos ejecutados U$S </w:t>
      </w:r>
      <w:r w:rsidRPr="00D657C5">
        <w:rPr>
          <w:rFonts w:asciiTheme="minorHAnsi" w:eastAsia="Times New Roman" w:hAnsiTheme="minorHAnsi" w:cstheme="minorHAnsi"/>
          <w:lang w:val="es-AR" w:eastAsia="es-AR"/>
        </w:rPr>
        <w:t xml:space="preserve">1.591.657 </w:t>
      </w:r>
      <w:r w:rsidRPr="00D657C5">
        <w:rPr>
          <w:rStyle w:val="Emphasis"/>
          <w:rFonts w:asciiTheme="minorHAnsi" w:hAnsiTheme="minorHAnsi" w:cstheme="minorHAnsi"/>
          <w:i w:val="0"/>
        </w:rPr>
        <w:t xml:space="preserve">en el componente de investigación casi alcanzaron el presupuesto original de U$S 1.700.000 los tiempos de desembolsos han presentado dificultades (como se analizará en los procesos) y de acuerdo a la información de las visitas, la mayoría de los informantes manifestó que el presupuesto de cada proyecto fue demasiado rígido. </w:t>
      </w:r>
    </w:p>
    <w:p w:rsidR="00235AAE" w:rsidRPr="00D657C5" w:rsidRDefault="00235AAE" w:rsidP="00D657C5">
      <w:pPr>
        <w:pStyle w:val="ListParagraph"/>
        <w:spacing w:before="200" w:line="276" w:lineRule="auto"/>
        <w:ind w:left="0"/>
        <w:contextualSpacing w:val="0"/>
        <w:jc w:val="both"/>
        <w:rPr>
          <w:rStyle w:val="Emphasis"/>
          <w:rFonts w:asciiTheme="minorHAnsi" w:hAnsiTheme="minorHAnsi" w:cstheme="minorHAnsi"/>
          <w:i w:val="0"/>
        </w:rPr>
      </w:pPr>
      <w:r w:rsidRPr="00D657C5">
        <w:rPr>
          <w:rStyle w:val="Emphasis"/>
          <w:rFonts w:asciiTheme="minorHAnsi" w:hAnsiTheme="minorHAnsi" w:cstheme="minorHAnsi"/>
          <w:i w:val="0"/>
        </w:rPr>
        <w:t>Si bien con los montos que se financiaron se alcanzaron los objetivos planteados, muchos de los informantes expresaron la necesidad de aumentar el subsidio para el alcance de objetivos más amplios y la mejora de los resultados de los proyectos en lo que refiere principalmente a la generación de conocimientos relevantes para el sector productivo. En este sentido, y como observaremos en el análisis de los resultados del proyecto, la mayoría de l</w:t>
      </w:r>
      <w:r w:rsidR="00D657C5">
        <w:rPr>
          <w:rStyle w:val="Emphasis"/>
          <w:rFonts w:asciiTheme="minorHAnsi" w:hAnsiTheme="minorHAnsi" w:cstheme="minorHAnsi"/>
          <w:i w:val="0"/>
        </w:rPr>
        <w:t xml:space="preserve">os proyectos no podrá alcanzar </w:t>
      </w:r>
      <w:r w:rsidRPr="00D657C5">
        <w:rPr>
          <w:rStyle w:val="Emphasis"/>
          <w:rFonts w:asciiTheme="minorHAnsi" w:hAnsiTheme="minorHAnsi" w:cstheme="minorHAnsi"/>
          <w:i w:val="0"/>
        </w:rPr>
        <w:t>fases superiores de desarrollo del proyecto que generen un impacto cuantitativo en el nivel de producción científico (patentes, registros de marca y propiedad, etc</w:t>
      </w:r>
      <w:r w:rsidR="00D657C5">
        <w:rPr>
          <w:rStyle w:val="Emphasis"/>
          <w:rFonts w:asciiTheme="minorHAnsi" w:hAnsiTheme="minorHAnsi" w:cstheme="minorHAnsi"/>
          <w:i w:val="0"/>
        </w:rPr>
        <w:t>.</w:t>
      </w:r>
      <w:r w:rsidRPr="00D657C5">
        <w:rPr>
          <w:rStyle w:val="Emphasis"/>
          <w:rFonts w:asciiTheme="minorHAnsi" w:hAnsiTheme="minorHAnsi" w:cstheme="minorHAnsi"/>
          <w:i w:val="0"/>
        </w:rPr>
        <w:t xml:space="preserve">) o incorporación al mercado. Los proyectos aún están en fases incipientes y con objetivos acotados al presupuesto. El desarrollo de las fases sucesivas sólo puede generarse a partir de nuevos subsidios para comprar los insumos necesarios e incorporar mayor cantidad de recursos humanos formados.  </w:t>
      </w:r>
    </w:p>
    <w:p w:rsidR="00235AAE" w:rsidRPr="00D657C5" w:rsidRDefault="00235AAE" w:rsidP="00D657C5">
      <w:pPr>
        <w:pStyle w:val="ListParagraph"/>
        <w:spacing w:before="200" w:line="276" w:lineRule="auto"/>
        <w:ind w:left="0"/>
        <w:contextualSpacing w:val="0"/>
        <w:jc w:val="both"/>
        <w:rPr>
          <w:rStyle w:val="Emphasis"/>
          <w:rFonts w:asciiTheme="minorHAnsi" w:hAnsiTheme="minorHAnsi" w:cstheme="minorHAnsi"/>
          <w:i w:val="0"/>
        </w:rPr>
      </w:pPr>
      <w:r w:rsidRPr="00D657C5">
        <w:rPr>
          <w:rStyle w:val="Emphasis"/>
          <w:rFonts w:asciiTheme="minorHAnsi" w:hAnsiTheme="minorHAnsi" w:cstheme="minorHAnsi"/>
          <w:i w:val="0"/>
        </w:rPr>
        <w:t>Atendiendo a las dificultades en la ejecución de los proyectos algunos comentarios o recomendaciones de los beneficiarios de los proyectos de investigación indicaron que una nueva convocatoria que exprese deseos de continuar for</w:t>
      </w:r>
      <w:r w:rsidR="00D657C5">
        <w:rPr>
          <w:rStyle w:val="Emphasis"/>
          <w:rFonts w:asciiTheme="minorHAnsi" w:hAnsiTheme="minorHAnsi" w:cstheme="minorHAnsi"/>
          <w:i w:val="0"/>
        </w:rPr>
        <w:t>taleciendo la investigación en P</w:t>
      </w:r>
      <w:r w:rsidRPr="00D657C5">
        <w:rPr>
          <w:rStyle w:val="Emphasis"/>
          <w:rFonts w:asciiTheme="minorHAnsi" w:hAnsiTheme="minorHAnsi" w:cstheme="minorHAnsi"/>
          <w:i w:val="0"/>
        </w:rPr>
        <w:t xml:space="preserve">araguay debería:  </w:t>
      </w:r>
      <w:r w:rsidRPr="00D657C5">
        <w:rPr>
          <w:rStyle w:val="Emphasis"/>
          <w:rFonts w:asciiTheme="minorHAnsi" w:hAnsiTheme="minorHAnsi" w:cstheme="minorHAnsi"/>
        </w:rPr>
        <w:t xml:space="preserve">“Aumentar la </w:t>
      </w:r>
      <w:r w:rsidR="00D657C5" w:rsidRPr="00D657C5">
        <w:rPr>
          <w:rStyle w:val="Emphasis"/>
          <w:rFonts w:asciiTheme="minorHAnsi" w:hAnsiTheme="minorHAnsi" w:cstheme="minorHAnsi"/>
        </w:rPr>
        <w:t>línea</w:t>
      </w:r>
      <w:r w:rsidRPr="00D657C5">
        <w:rPr>
          <w:rStyle w:val="Emphasis"/>
          <w:rFonts w:asciiTheme="minorHAnsi" w:hAnsiTheme="minorHAnsi" w:cstheme="minorHAnsi"/>
        </w:rPr>
        <w:t xml:space="preserve"> de financiamiento”; “Financiar los costos reales de implementación de un proyecto con exigencia de contrapartidas pero en su total dimensión”; “mayor cantidad de fondos que permita asociaciones de universidades y centros de investigación”; “que los montos de los proyectos sean mayores”</w:t>
      </w:r>
      <w:r w:rsidRPr="00D657C5">
        <w:rPr>
          <w:rStyle w:val="FootnoteReference"/>
          <w:rFonts w:asciiTheme="minorHAnsi" w:hAnsiTheme="minorHAnsi" w:cstheme="minorHAnsi"/>
          <w:i/>
          <w:iCs/>
        </w:rPr>
        <w:footnoteReference w:id="14"/>
      </w:r>
      <w:r w:rsidRPr="00D657C5">
        <w:rPr>
          <w:rStyle w:val="Emphasis"/>
          <w:rFonts w:asciiTheme="minorHAnsi" w:hAnsiTheme="minorHAnsi" w:cstheme="minorHAnsi"/>
        </w:rPr>
        <w:t>.</w:t>
      </w:r>
      <w:r w:rsidRPr="00D657C5">
        <w:rPr>
          <w:rStyle w:val="Emphasis"/>
          <w:rFonts w:asciiTheme="minorHAnsi" w:hAnsiTheme="minorHAnsi" w:cstheme="minorHAnsi"/>
          <w:i w:val="0"/>
        </w:rPr>
        <w:t xml:space="preserve"> </w:t>
      </w:r>
    </w:p>
    <w:p w:rsidR="00235AAE" w:rsidRPr="00D657C5" w:rsidRDefault="00235AAE" w:rsidP="00D657C5">
      <w:pPr>
        <w:pStyle w:val="ListParagraph"/>
        <w:spacing w:before="200" w:line="276" w:lineRule="auto"/>
        <w:ind w:left="0"/>
        <w:contextualSpacing w:val="0"/>
        <w:jc w:val="both"/>
        <w:rPr>
          <w:rStyle w:val="Emphasis"/>
          <w:rFonts w:asciiTheme="minorHAnsi" w:hAnsiTheme="minorHAnsi" w:cstheme="minorHAnsi"/>
          <w:b/>
          <w:i w:val="0"/>
        </w:rPr>
      </w:pPr>
      <w:r w:rsidRPr="00D657C5">
        <w:rPr>
          <w:rStyle w:val="Emphasis"/>
          <w:rFonts w:asciiTheme="minorHAnsi" w:hAnsiTheme="minorHAnsi" w:cstheme="minorHAnsi"/>
          <w:b/>
          <w:i w:val="0"/>
        </w:rPr>
        <w:lastRenderedPageBreak/>
        <w:t>Respecto de los efectos e impacto</w:t>
      </w:r>
    </w:p>
    <w:p w:rsidR="00235AAE" w:rsidRPr="00D657C5" w:rsidRDefault="00235AAE" w:rsidP="00D657C5">
      <w:pPr>
        <w:pStyle w:val="ListParagraph"/>
        <w:spacing w:before="200" w:line="276" w:lineRule="auto"/>
        <w:ind w:left="0"/>
        <w:contextualSpacing w:val="0"/>
        <w:jc w:val="both"/>
        <w:rPr>
          <w:rStyle w:val="Emphasis"/>
          <w:rFonts w:asciiTheme="minorHAnsi" w:hAnsiTheme="minorHAnsi" w:cstheme="minorHAnsi"/>
          <w:i w:val="0"/>
        </w:rPr>
      </w:pPr>
      <w:r w:rsidRPr="00D657C5">
        <w:rPr>
          <w:rStyle w:val="Emphasis"/>
          <w:rFonts w:asciiTheme="minorHAnsi" w:hAnsiTheme="minorHAnsi" w:cstheme="minorHAnsi"/>
          <w:i w:val="0"/>
        </w:rPr>
        <w:t>Como se expresó en e</w:t>
      </w:r>
      <w:r w:rsidR="00D657C5">
        <w:rPr>
          <w:rStyle w:val="Emphasis"/>
          <w:rFonts w:asciiTheme="minorHAnsi" w:hAnsiTheme="minorHAnsi" w:cstheme="minorHAnsi"/>
          <w:i w:val="0"/>
        </w:rPr>
        <w:t xml:space="preserve">l marco conceptual, el estudio </w:t>
      </w:r>
      <w:r w:rsidRPr="00D657C5">
        <w:rPr>
          <w:rStyle w:val="Emphasis"/>
          <w:rFonts w:asciiTheme="minorHAnsi" w:hAnsiTheme="minorHAnsi" w:cstheme="minorHAnsi"/>
          <w:i w:val="0"/>
        </w:rPr>
        <w:t xml:space="preserve">de impacto presenta algunas dificultades dado el contexto, el tiempo transcurrido desde el inicio del programa y características del mismo. Al tratarse de la primera iniciativa, modelo y referente en el país, de un subsidio no reembolsable a la ciencia y la tecnología hablar de impacto sería muy incipiente. Se presentarán </w:t>
      </w:r>
      <w:r w:rsidR="00D657C5">
        <w:rPr>
          <w:rStyle w:val="Emphasis"/>
          <w:rFonts w:asciiTheme="minorHAnsi" w:hAnsiTheme="minorHAnsi" w:cstheme="minorHAnsi"/>
          <w:i w:val="0"/>
        </w:rPr>
        <w:t>a continuación</w:t>
      </w:r>
      <w:r w:rsidRPr="00D657C5">
        <w:rPr>
          <w:rStyle w:val="Emphasis"/>
          <w:rFonts w:asciiTheme="minorHAnsi" w:hAnsiTheme="minorHAnsi" w:cstheme="minorHAnsi"/>
          <w:i w:val="0"/>
        </w:rPr>
        <w:t xml:space="preserve"> algunos resultados e indicadores que deben tomarse como referencia para futuras evaluaciones. </w:t>
      </w:r>
    </w:p>
    <w:p w:rsidR="00235AAE" w:rsidRPr="00D657C5" w:rsidRDefault="00235AAE" w:rsidP="00D657C5">
      <w:pPr>
        <w:pStyle w:val="ListParagraph"/>
        <w:spacing w:before="200" w:line="276" w:lineRule="auto"/>
        <w:ind w:left="0"/>
        <w:contextualSpacing w:val="0"/>
        <w:jc w:val="both"/>
        <w:rPr>
          <w:rStyle w:val="Emphasis"/>
          <w:rFonts w:asciiTheme="minorHAnsi" w:hAnsiTheme="minorHAnsi" w:cstheme="minorHAnsi"/>
          <w:i w:val="0"/>
        </w:rPr>
      </w:pPr>
      <w:r w:rsidRPr="00D657C5">
        <w:rPr>
          <w:rStyle w:val="Emphasis"/>
          <w:rFonts w:asciiTheme="minorHAnsi" w:hAnsiTheme="minorHAnsi" w:cstheme="minorHAnsi"/>
          <w:i w:val="0"/>
        </w:rPr>
        <w:t xml:space="preserve">En este sentido, a partir del PROCIT ha habido, un cambio cualitativo en materia de preparación y elaboración de proyectos y procesos de evaluación que han dejado enseñanzas muy valiosas para los investigadores. Algunos proyectos, por ejemplo, ya califican para la presentación en protocolos internacionales lo que les permitiría acceder a financiamiento internacional de importancia. </w:t>
      </w:r>
    </w:p>
    <w:p w:rsidR="00D657C5" w:rsidRDefault="00235AAE" w:rsidP="00D657C5">
      <w:pPr>
        <w:pStyle w:val="ListParagraph"/>
        <w:spacing w:before="200" w:line="276" w:lineRule="auto"/>
        <w:ind w:left="0"/>
        <w:contextualSpacing w:val="0"/>
        <w:jc w:val="both"/>
        <w:rPr>
          <w:rStyle w:val="Emphasis"/>
          <w:rFonts w:asciiTheme="minorHAnsi" w:hAnsiTheme="minorHAnsi" w:cstheme="minorHAnsi"/>
          <w:i w:val="0"/>
        </w:rPr>
      </w:pPr>
      <w:r w:rsidRPr="00D657C5">
        <w:rPr>
          <w:rStyle w:val="Emphasis"/>
          <w:rFonts w:asciiTheme="minorHAnsi" w:hAnsiTheme="minorHAnsi" w:cstheme="minorHAnsi"/>
          <w:i w:val="0"/>
        </w:rPr>
        <w:t xml:space="preserve">La importancia de los subsidios se manifiesta cuando analizamos los casos de los proyectos no beneficiarios. Los entrevistados, manifestaron que el 56% de los proyectos rechazados no se ha llevado a cabo y un 36% se ha llevado a cabo pero parcialmente. De aquellos proyectos que fueron implementados sin el apoyo del PROCIT la mayoría respondió que utilizaron recursos propios y de otras instituciones (de manera conjunta). Esta información se presenta en el gráfico </w:t>
      </w:r>
      <w:r w:rsidR="00D657C5">
        <w:rPr>
          <w:rStyle w:val="Emphasis"/>
          <w:rFonts w:asciiTheme="minorHAnsi" w:hAnsiTheme="minorHAnsi" w:cstheme="minorHAnsi"/>
          <w:i w:val="0"/>
        </w:rPr>
        <w:t xml:space="preserve">5.12 </w:t>
      </w:r>
      <w:r w:rsidRPr="00D657C5">
        <w:rPr>
          <w:rStyle w:val="Emphasis"/>
          <w:rFonts w:asciiTheme="minorHAnsi" w:hAnsiTheme="minorHAnsi" w:cstheme="minorHAnsi"/>
          <w:i w:val="0"/>
        </w:rPr>
        <w:t>a continuación.</w:t>
      </w:r>
    </w:p>
    <w:p w:rsidR="00235AAE" w:rsidRPr="00B524B8" w:rsidRDefault="00235AAE" w:rsidP="00D657C5">
      <w:pPr>
        <w:pStyle w:val="ListParagraph"/>
        <w:spacing w:before="200" w:after="120" w:line="288" w:lineRule="auto"/>
        <w:ind w:left="0"/>
        <w:jc w:val="center"/>
        <w:rPr>
          <w:rStyle w:val="Emphasis"/>
          <w:rFonts w:ascii="Calibri" w:hAnsi="Calibri" w:cs="Calibri"/>
          <w:b/>
          <w:i w:val="0"/>
        </w:rPr>
      </w:pPr>
      <w:r w:rsidRPr="00B524B8">
        <w:rPr>
          <w:rStyle w:val="Emphasis"/>
          <w:rFonts w:ascii="Calibri" w:hAnsi="Calibri" w:cs="Calibri"/>
          <w:b/>
          <w:i w:val="0"/>
        </w:rPr>
        <w:t xml:space="preserve">Gráfico </w:t>
      </w:r>
      <w:r w:rsidR="00D657C5">
        <w:rPr>
          <w:rStyle w:val="Emphasis"/>
          <w:rFonts w:ascii="Calibri" w:hAnsi="Calibri" w:cs="Calibri"/>
          <w:b/>
          <w:i w:val="0"/>
        </w:rPr>
        <w:t>5.12.</w:t>
      </w:r>
      <w:r w:rsidRPr="00B524B8">
        <w:rPr>
          <w:rStyle w:val="Emphasis"/>
          <w:rFonts w:ascii="Calibri" w:hAnsi="Calibri" w:cs="Calibri"/>
          <w:b/>
          <w:i w:val="0"/>
        </w:rPr>
        <w:t xml:space="preserve"> Tasa de implementación de proyectos no beneficiarios del subsidio</w:t>
      </w:r>
    </w:p>
    <w:p w:rsidR="00235AAE" w:rsidRPr="00B524B8" w:rsidRDefault="00235AAE" w:rsidP="00235AAE">
      <w:pPr>
        <w:pStyle w:val="ListParagraph"/>
        <w:spacing w:before="120" w:after="120" w:line="288" w:lineRule="auto"/>
        <w:ind w:left="360"/>
        <w:jc w:val="center"/>
        <w:rPr>
          <w:rStyle w:val="Emphasis"/>
          <w:rFonts w:ascii="Calibri" w:hAnsi="Calibri" w:cs="Calibri"/>
          <w:i w:val="0"/>
        </w:rPr>
      </w:pPr>
      <w:r w:rsidRPr="009D6DD5">
        <w:rPr>
          <w:noProof/>
          <w:lang w:val="es-ES_tradnl" w:eastAsia="es-ES_tradnl"/>
        </w:rPr>
        <w:drawing>
          <wp:inline distT="0" distB="0" distL="0" distR="0" wp14:anchorId="42D65C2E" wp14:editId="349B31AB">
            <wp:extent cx="3096676" cy="2562225"/>
            <wp:effectExtent l="0" t="0" r="889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9654" cy="2572963"/>
                    </a:xfrm>
                    <a:prstGeom prst="rect">
                      <a:avLst/>
                    </a:prstGeom>
                    <a:noFill/>
                    <a:ln>
                      <a:noFill/>
                    </a:ln>
                  </pic:spPr>
                </pic:pic>
              </a:graphicData>
            </a:graphic>
          </wp:inline>
        </w:drawing>
      </w:r>
    </w:p>
    <w:p w:rsidR="00235AAE" w:rsidRPr="00FF782B" w:rsidRDefault="00235AAE" w:rsidP="00FC352D">
      <w:pPr>
        <w:ind w:left="2126" w:right="1894"/>
        <w:jc w:val="center"/>
        <w:rPr>
          <w:rFonts w:ascii="Calibri" w:hAnsi="Calibri" w:cs="Calibri"/>
          <w:sz w:val="18"/>
          <w:szCs w:val="18"/>
        </w:rPr>
      </w:pPr>
      <w:r w:rsidRPr="00E65C61">
        <w:rPr>
          <w:rFonts w:ascii="Calibri" w:hAnsi="Calibri" w:cs="Calibri"/>
          <w:sz w:val="18"/>
          <w:szCs w:val="18"/>
        </w:rPr>
        <w:t xml:space="preserve">Fuente: Innovos Group en base a datos provistos por las encuestas realizadas a proyectos de investigación beneficiarios </w:t>
      </w:r>
      <w:r w:rsidRPr="00FF782B">
        <w:rPr>
          <w:rFonts w:ascii="Calibri" w:hAnsi="Calibri" w:cs="Calibri"/>
          <w:sz w:val="18"/>
          <w:szCs w:val="18"/>
        </w:rPr>
        <w:t>del PROCIT</w:t>
      </w:r>
    </w:p>
    <w:p w:rsidR="00235AAE" w:rsidRPr="00FF782B" w:rsidRDefault="00235AAE" w:rsidP="00235AAE">
      <w:pPr>
        <w:jc w:val="both"/>
        <w:rPr>
          <w:rFonts w:ascii="Calibri" w:eastAsia="Times New Roman" w:hAnsi="Calibri" w:cs="Arial"/>
          <w:sz w:val="22"/>
          <w:szCs w:val="22"/>
          <w:lang w:eastAsia="es-AR"/>
        </w:rPr>
      </w:pPr>
    </w:p>
    <w:p w:rsidR="00235AAE" w:rsidRDefault="00235AAE" w:rsidP="00D657C5">
      <w:pPr>
        <w:pStyle w:val="ListParagraph"/>
        <w:spacing w:before="200" w:line="276" w:lineRule="auto"/>
        <w:ind w:left="0"/>
        <w:contextualSpacing w:val="0"/>
        <w:jc w:val="both"/>
        <w:rPr>
          <w:rStyle w:val="Emphasis"/>
          <w:rFonts w:asciiTheme="minorHAnsi" w:hAnsiTheme="minorHAnsi" w:cs="Calibri"/>
          <w:i w:val="0"/>
        </w:rPr>
      </w:pPr>
      <w:r w:rsidRPr="008B527B">
        <w:rPr>
          <w:rStyle w:val="Emphasis"/>
          <w:rFonts w:asciiTheme="minorHAnsi" w:hAnsiTheme="minorHAnsi" w:cs="Calibri"/>
          <w:i w:val="0"/>
        </w:rPr>
        <w:lastRenderedPageBreak/>
        <w:t>Respecto a la formación de recursos humanos, el 14 % de los proyectos manifestó haber contado con la participación de un alumno de doctorado en el equipo. Asimismo, el 33% de los proyectos contó con al menos un alumno de master y el 62% con alumnos de pre- grado.  Además el 86% de los proyectos contó con un miembro del equipo técnico que participara de talleres o cursos de formación. Esta infor</w:t>
      </w:r>
      <w:r w:rsidR="00D657C5">
        <w:rPr>
          <w:rStyle w:val="Emphasis"/>
          <w:rFonts w:asciiTheme="minorHAnsi" w:hAnsiTheme="minorHAnsi" w:cs="Calibri"/>
          <w:i w:val="0"/>
        </w:rPr>
        <w:t>mación se detalla en la Tabla 5.2</w:t>
      </w:r>
      <w:r w:rsidRPr="008B527B">
        <w:rPr>
          <w:rStyle w:val="Emphasis"/>
          <w:rFonts w:asciiTheme="minorHAnsi" w:hAnsiTheme="minorHAnsi" w:cs="Calibri"/>
          <w:i w:val="0"/>
        </w:rPr>
        <w:t xml:space="preserve"> a continuación.  </w:t>
      </w:r>
      <w:r>
        <w:rPr>
          <w:rStyle w:val="Emphasis"/>
          <w:rFonts w:asciiTheme="minorHAnsi" w:hAnsiTheme="minorHAnsi" w:cs="Calibri"/>
          <w:i w:val="0"/>
        </w:rPr>
        <w:t>Sin embargo, muchos de los proyectos visitados expresaron la importancia de retener los recursos humanos del país que hasta entonces se habían erradicado para desarrollarse en lo académico y profesional en el exterior.</w:t>
      </w:r>
    </w:p>
    <w:p w:rsidR="00235AAE" w:rsidRPr="00B524B8" w:rsidRDefault="00235AAE" w:rsidP="00235AAE">
      <w:pPr>
        <w:pStyle w:val="ListParagraph"/>
        <w:spacing w:before="120" w:after="120" w:line="288" w:lineRule="auto"/>
        <w:ind w:left="3402"/>
        <w:jc w:val="right"/>
        <w:rPr>
          <w:rStyle w:val="Emphasis"/>
          <w:rFonts w:ascii="Calibri" w:hAnsi="Calibri" w:cs="Calibri"/>
          <w:sz w:val="20"/>
          <w:szCs w:val="20"/>
        </w:rPr>
      </w:pPr>
      <w:r w:rsidRPr="00B524B8">
        <w:rPr>
          <w:rStyle w:val="Emphasis"/>
          <w:rFonts w:ascii="Calibri" w:hAnsi="Calibri" w:cs="Calibri"/>
          <w:sz w:val="20"/>
          <w:szCs w:val="20"/>
        </w:rPr>
        <w:t>“Algo que aún hoy tenemos pendiente es la formación de recursos humanos. Formarlos y recuperarlos después es difícil…”</w:t>
      </w:r>
    </w:p>
    <w:p w:rsidR="00235AAE" w:rsidRPr="00B524B8" w:rsidRDefault="00235AAE" w:rsidP="00235AAE">
      <w:pPr>
        <w:pStyle w:val="ListParagraph"/>
        <w:spacing w:before="120" w:after="120" w:line="288" w:lineRule="auto"/>
        <w:ind w:left="3402"/>
        <w:jc w:val="right"/>
        <w:rPr>
          <w:rStyle w:val="Emphasis"/>
          <w:rFonts w:ascii="Calibri" w:hAnsi="Calibri" w:cs="Calibri"/>
          <w:i w:val="0"/>
          <w:sz w:val="20"/>
          <w:szCs w:val="20"/>
        </w:rPr>
      </w:pPr>
      <w:r w:rsidRPr="00B524B8">
        <w:rPr>
          <w:rStyle w:val="Emphasis"/>
          <w:rFonts w:ascii="Calibri" w:hAnsi="Calibri" w:cs="Calibri"/>
          <w:i w:val="0"/>
          <w:sz w:val="20"/>
          <w:szCs w:val="20"/>
        </w:rPr>
        <w:t>(Investigador beneficiario)</w:t>
      </w:r>
    </w:p>
    <w:p w:rsidR="00235AAE" w:rsidRPr="008B527B" w:rsidRDefault="00235AAE" w:rsidP="00235AAE">
      <w:pPr>
        <w:pStyle w:val="ListParagraph"/>
        <w:spacing w:before="60" w:after="60" w:line="288" w:lineRule="auto"/>
        <w:ind w:left="0"/>
        <w:contextualSpacing w:val="0"/>
        <w:jc w:val="both"/>
        <w:rPr>
          <w:rStyle w:val="Emphasis"/>
          <w:rFonts w:asciiTheme="minorHAnsi" w:hAnsiTheme="minorHAnsi" w:cs="Calibri"/>
          <w:i w:val="0"/>
        </w:rPr>
      </w:pPr>
    </w:p>
    <w:p w:rsidR="00235AAE" w:rsidRPr="008B527B" w:rsidRDefault="00235AAE" w:rsidP="00235AAE">
      <w:pPr>
        <w:pStyle w:val="ListParagraph"/>
        <w:spacing w:before="120" w:after="120" w:line="288" w:lineRule="auto"/>
        <w:ind w:left="0"/>
        <w:jc w:val="center"/>
        <w:rPr>
          <w:rFonts w:ascii="Calibri" w:hAnsi="Calibri" w:cs="Calibri"/>
          <w:b/>
          <w:iCs/>
        </w:rPr>
      </w:pPr>
      <w:r>
        <w:rPr>
          <w:rStyle w:val="Emphasis"/>
          <w:rFonts w:ascii="Calibri" w:hAnsi="Calibri" w:cs="Calibri"/>
          <w:b/>
          <w:i w:val="0"/>
        </w:rPr>
        <w:t>Tabla</w:t>
      </w:r>
      <w:r w:rsidRPr="00B524B8">
        <w:rPr>
          <w:rStyle w:val="Emphasis"/>
          <w:rFonts w:ascii="Calibri" w:hAnsi="Calibri" w:cs="Calibri"/>
          <w:b/>
          <w:i w:val="0"/>
        </w:rPr>
        <w:t xml:space="preserve"> </w:t>
      </w:r>
      <w:r w:rsidR="00D657C5">
        <w:rPr>
          <w:rStyle w:val="Emphasis"/>
          <w:rFonts w:ascii="Calibri" w:hAnsi="Calibri" w:cs="Calibri"/>
          <w:b/>
          <w:i w:val="0"/>
        </w:rPr>
        <w:t>5.2.</w:t>
      </w:r>
      <w:r>
        <w:rPr>
          <w:rStyle w:val="Emphasis"/>
          <w:rFonts w:ascii="Calibri" w:hAnsi="Calibri" w:cs="Calibri"/>
          <w:b/>
          <w:i w:val="0"/>
        </w:rPr>
        <w:t xml:space="preserve"> Porcentaje de proyectos que formaron capital humano en distintos niveles</w:t>
      </w:r>
    </w:p>
    <w:tbl>
      <w:tblPr>
        <w:tblW w:w="8639" w:type="dxa"/>
        <w:tblInd w:w="55" w:type="dxa"/>
        <w:tblCellMar>
          <w:left w:w="70" w:type="dxa"/>
          <w:right w:w="70" w:type="dxa"/>
        </w:tblCellMar>
        <w:tblLook w:val="04A0" w:firstRow="1" w:lastRow="0" w:firstColumn="1" w:lastColumn="0" w:noHBand="0" w:noVBand="1"/>
      </w:tblPr>
      <w:tblGrid>
        <w:gridCol w:w="5969"/>
        <w:gridCol w:w="2670"/>
      </w:tblGrid>
      <w:tr w:rsidR="00D657C5" w:rsidRPr="00D657C5" w:rsidTr="00D657C5">
        <w:trPr>
          <w:trHeight w:val="570"/>
        </w:trPr>
        <w:tc>
          <w:tcPr>
            <w:tcW w:w="5969"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rsidR="00235AAE" w:rsidRPr="00D657C5" w:rsidRDefault="00235AAE" w:rsidP="00671EBD">
            <w:pPr>
              <w:jc w:val="both"/>
              <w:rPr>
                <w:rFonts w:asciiTheme="minorHAnsi" w:eastAsia="Times New Roman" w:hAnsiTheme="minorHAnsi" w:cs="Microsoft Sans Serif"/>
                <w:b/>
                <w:bCs/>
                <w:color w:val="FFFFFF" w:themeColor="background1"/>
                <w:sz w:val="20"/>
                <w:szCs w:val="20"/>
                <w:lang w:val="es-AR" w:eastAsia="es-AR"/>
              </w:rPr>
            </w:pPr>
            <w:r w:rsidRPr="00D657C5">
              <w:rPr>
                <w:rFonts w:asciiTheme="minorHAnsi" w:eastAsia="Times New Roman" w:hAnsiTheme="minorHAnsi" w:cs="Microsoft Sans Serif"/>
                <w:b/>
                <w:bCs/>
                <w:color w:val="FFFFFF" w:themeColor="background1"/>
                <w:sz w:val="20"/>
                <w:szCs w:val="20"/>
                <w:lang w:val="es-AR" w:eastAsia="es-AR"/>
              </w:rPr>
              <w:t>Formación de recursos</w:t>
            </w:r>
          </w:p>
        </w:tc>
        <w:tc>
          <w:tcPr>
            <w:tcW w:w="2670"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rsidR="00235AAE" w:rsidRPr="00D657C5" w:rsidRDefault="00235AAE" w:rsidP="00671EBD">
            <w:pPr>
              <w:jc w:val="both"/>
              <w:rPr>
                <w:rFonts w:asciiTheme="minorHAnsi" w:eastAsia="Times New Roman" w:hAnsiTheme="minorHAnsi" w:cs="Microsoft Sans Serif"/>
                <w:b/>
                <w:bCs/>
                <w:color w:val="FFFFFF" w:themeColor="background1"/>
                <w:sz w:val="20"/>
                <w:szCs w:val="20"/>
                <w:lang w:val="es-AR" w:eastAsia="es-AR"/>
              </w:rPr>
            </w:pPr>
            <w:r w:rsidRPr="00D657C5">
              <w:rPr>
                <w:rFonts w:asciiTheme="minorHAnsi" w:eastAsia="Times New Roman" w:hAnsiTheme="minorHAnsi" w:cs="Microsoft Sans Serif"/>
                <w:b/>
                <w:bCs/>
                <w:color w:val="FFFFFF" w:themeColor="background1"/>
                <w:sz w:val="20"/>
                <w:szCs w:val="20"/>
                <w:lang w:val="es-AR" w:eastAsia="es-AR"/>
              </w:rPr>
              <w:t>Porcentaje de proyectos que formaron capital humano en los distintos niveles</w:t>
            </w:r>
          </w:p>
        </w:tc>
      </w:tr>
      <w:tr w:rsidR="00235AAE" w:rsidRPr="00C05758" w:rsidTr="00671EBD">
        <w:trPr>
          <w:trHeight w:val="402"/>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235AAE" w:rsidRPr="00024B61" w:rsidRDefault="00235AAE" w:rsidP="00671EBD">
            <w:pPr>
              <w:jc w:val="both"/>
              <w:rPr>
                <w:rFonts w:asciiTheme="minorHAnsi" w:eastAsia="Times New Roman" w:hAnsiTheme="minorHAnsi" w:cs="Microsoft Sans Serif"/>
                <w:sz w:val="20"/>
                <w:szCs w:val="20"/>
                <w:lang w:val="es-AR" w:eastAsia="es-AR"/>
              </w:rPr>
            </w:pPr>
            <w:r w:rsidRPr="00024B61">
              <w:rPr>
                <w:rFonts w:asciiTheme="minorHAnsi" w:eastAsia="Times New Roman" w:hAnsiTheme="minorHAnsi" w:cs="Microsoft Sans Serif"/>
                <w:sz w:val="20"/>
                <w:szCs w:val="20"/>
                <w:lang w:val="es-AR" w:eastAsia="es-AR"/>
              </w:rPr>
              <w:t>Cantidad de miembros del equipo técnico que han participado en talleres o cursos cortos de formación</w:t>
            </w:r>
          </w:p>
        </w:tc>
        <w:tc>
          <w:tcPr>
            <w:tcW w:w="2670" w:type="dxa"/>
            <w:tcBorders>
              <w:top w:val="nil"/>
              <w:left w:val="nil"/>
              <w:bottom w:val="single" w:sz="4" w:space="0" w:color="auto"/>
              <w:right w:val="single" w:sz="4" w:space="0" w:color="auto"/>
            </w:tcBorders>
            <w:shd w:val="clear" w:color="auto" w:fill="auto"/>
            <w:noWrap/>
            <w:vAlign w:val="bottom"/>
            <w:hideMark/>
          </w:tcPr>
          <w:p w:rsidR="00235AAE" w:rsidRPr="002E56E8" w:rsidRDefault="00235AAE" w:rsidP="00671EBD">
            <w:pPr>
              <w:jc w:val="center"/>
              <w:rPr>
                <w:rFonts w:asciiTheme="minorHAnsi" w:hAnsiTheme="minorHAnsi" w:cs="Microsoft Sans Serif"/>
                <w:sz w:val="20"/>
                <w:szCs w:val="20"/>
              </w:rPr>
            </w:pPr>
            <w:r w:rsidRPr="002E56E8">
              <w:rPr>
                <w:rFonts w:asciiTheme="minorHAnsi" w:hAnsiTheme="minorHAnsi" w:cs="Microsoft Sans Serif"/>
                <w:sz w:val="20"/>
                <w:szCs w:val="20"/>
              </w:rPr>
              <w:t>86%</w:t>
            </w:r>
          </w:p>
        </w:tc>
      </w:tr>
      <w:tr w:rsidR="00235AAE" w:rsidRPr="00C05758" w:rsidTr="00671EBD">
        <w:trPr>
          <w:trHeight w:val="351"/>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235AAE" w:rsidRPr="00024B61" w:rsidRDefault="00235AAE" w:rsidP="00671EBD">
            <w:pPr>
              <w:jc w:val="both"/>
              <w:rPr>
                <w:rFonts w:asciiTheme="minorHAnsi" w:eastAsia="Times New Roman" w:hAnsiTheme="minorHAnsi" w:cs="Microsoft Sans Serif"/>
                <w:sz w:val="20"/>
                <w:szCs w:val="20"/>
                <w:lang w:val="es-AR" w:eastAsia="es-AR"/>
              </w:rPr>
            </w:pPr>
            <w:r w:rsidRPr="00024B61">
              <w:rPr>
                <w:rFonts w:asciiTheme="minorHAnsi" w:eastAsia="Times New Roman" w:hAnsiTheme="minorHAnsi" w:cs="Microsoft Sans Serif"/>
                <w:sz w:val="20"/>
                <w:szCs w:val="20"/>
                <w:lang w:val="es-AR" w:eastAsia="es-AR"/>
              </w:rPr>
              <w:t>Cantidad de pasantes que han participado del proyecto</w:t>
            </w:r>
          </w:p>
        </w:tc>
        <w:tc>
          <w:tcPr>
            <w:tcW w:w="2670" w:type="dxa"/>
            <w:tcBorders>
              <w:top w:val="nil"/>
              <w:left w:val="nil"/>
              <w:bottom w:val="single" w:sz="4" w:space="0" w:color="auto"/>
              <w:right w:val="single" w:sz="4" w:space="0" w:color="auto"/>
            </w:tcBorders>
            <w:shd w:val="clear" w:color="auto" w:fill="auto"/>
            <w:noWrap/>
            <w:vAlign w:val="bottom"/>
            <w:hideMark/>
          </w:tcPr>
          <w:p w:rsidR="00235AAE" w:rsidRPr="002E56E8" w:rsidRDefault="00235AAE" w:rsidP="00671EBD">
            <w:pPr>
              <w:jc w:val="center"/>
              <w:rPr>
                <w:rFonts w:asciiTheme="minorHAnsi" w:hAnsiTheme="minorHAnsi" w:cs="Microsoft Sans Serif"/>
                <w:sz w:val="20"/>
                <w:szCs w:val="20"/>
              </w:rPr>
            </w:pPr>
            <w:r w:rsidRPr="002E56E8">
              <w:rPr>
                <w:rFonts w:asciiTheme="minorHAnsi" w:hAnsiTheme="minorHAnsi" w:cs="Microsoft Sans Serif"/>
                <w:sz w:val="20"/>
                <w:szCs w:val="20"/>
              </w:rPr>
              <w:t>62%</w:t>
            </w:r>
          </w:p>
        </w:tc>
      </w:tr>
      <w:tr w:rsidR="00235AAE" w:rsidRPr="00C05758" w:rsidTr="00671EBD">
        <w:trPr>
          <w:trHeight w:val="35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235AAE" w:rsidRPr="00024B61" w:rsidRDefault="00235AAE" w:rsidP="00671EBD">
            <w:pPr>
              <w:jc w:val="both"/>
              <w:rPr>
                <w:rFonts w:asciiTheme="minorHAnsi" w:eastAsia="Times New Roman" w:hAnsiTheme="minorHAnsi" w:cs="Microsoft Sans Serif"/>
                <w:sz w:val="20"/>
                <w:szCs w:val="20"/>
                <w:lang w:val="es-AR" w:eastAsia="es-AR"/>
              </w:rPr>
            </w:pPr>
            <w:r w:rsidRPr="00024B61">
              <w:rPr>
                <w:rFonts w:asciiTheme="minorHAnsi" w:eastAsia="Times New Roman" w:hAnsiTheme="minorHAnsi" w:cs="Microsoft Sans Serif"/>
                <w:sz w:val="20"/>
                <w:szCs w:val="20"/>
                <w:lang w:val="es-AR" w:eastAsia="es-AR"/>
              </w:rPr>
              <w:t>Cantidad de alumnos de pregrado que han participado en el proyecto</w:t>
            </w:r>
          </w:p>
        </w:tc>
        <w:tc>
          <w:tcPr>
            <w:tcW w:w="2670" w:type="dxa"/>
            <w:tcBorders>
              <w:top w:val="nil"/>
              <w:left w:val="nil"/>
              <w:bottom w:val="single" w:sz="4" w:space="0" w:color="auto"/>
              <w:right w:val="single" w:sz="4" w:space="0" w:color="auto"/>
            </w:tcBorders>
            <w:shd w:val="clear" w:color="auto" w:fill="auto"/>
            <w:noWrap/>
            <w:vAlign w:val="bottom"/>
            <w:hideMark/>
          </w:tcPr>
          <w:p w:rsidR="00235AAE" w:rsidRPr="002E56E8" w:rsidRDefault="00235AAE" w:rsidP="00671EBD">
            <w:pPr>
              <w:jc w:val="center"/>
              <w:rPr>
                <w:rFonts w:asciiTheme="minorHAnsi" w:hAnsiTheme="minorHAnsi" w:cs="Microsoft Sans Serif"/>
                <w:sz w:val="20"/>
                <w:szCs w:val="20"/>
              </w:rPr>
            </w:pPr>
            <w:r w:rsidRPr="002E56E8">
              <w:rPr>
                <w:rFonts w:asciiTheme="minorHAnsi" w:hAnsiTheme="minorHAnsi" w:cs="Microsoft Sans Serif"/>
                <w:sz w:val="20"/>
                <w:szCs w:val="20"/>
              </w:rPr>
              <w:t>62%</w:t>
            </w:r>
          </w:p>
        </w:tc>
      </w:tr>
      <w:tr w:rsidR="00235AAE" w:rsidRPr="00C05758" w:rsidTr="00671EBD">
        <w:trPr>
          <w:trHeight w:val="35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235AAE" w:rsidRPr="00024B61" w:rsidRDefault="00235AAE" w:rsidP="00671EBD">
            <w:pPr>
              <w:jc w:val="both"/>
              <w:rPr>
                <w:rFonts w:asciiTheme="minorHAnsi" w:eastAsia="Times New Roman" w:hAnsiTheme="minorHAnsi" w:cs="Microsoft Sans Serif"/>
                <w:sz w:val="20"/>
                <w:szCs w:val="20"/>
                <w:lang w:val="es-AR" w:eastAsia="es-AR"/>
              </w:rPr>
            </w:pPr>
            <w:r w:rsidRPr="00024B61">
              <w:rPr>
                <w:rFonts w:asciiTheme="minorHAnsi" w:eastAsia="Times New Roman" w:hAnsiTheme="minorHAnsi" w:cs="Microsoft Sans Serif"/>
                <w:sz w:val="20"/>
                <w:szCs w:val="20"/>
                <w:lang w:val="es-AR" w:eastAsia="es-AR"/>
              </w:rPr>
              <w:t>Cantidad de alumnos de master que han participado en el proyecto</w:t>
            </w:r>
          </w:p>
        </w:tc>
        <w:tc>
          <w:tcPr>
            <w:tcW w:w="2670" w:type="dxa"/>
            <w:tcBorders>
              <w:top w:val="nil"/>
              <w:left w:val="nil"/>
              <w:bottom w:val="single" w:sz="4" w:space="0" w:color="auto"/>
              <w:right w:val="single" w:sz="4" w:space="0" w:color="auto"/>
            </w:tcBorders>
            <w:shd w:val="clear" w:color="auto" w:fill="auto"/>
            <w:noWrap/>
            <w:vAlign w:val="bottom"/>
            <w:hideMark/>
          </w:tcPr>
          <w:p w:rsidR="00235AAE" w:rsidRPr="002E56E8" w:rsidRDefault="00235AAE" w:rsidP="00671EBD">
            <w:pPr>
              <w:jc w:val="center"/>
              <w:rPr>
                <w:rFonts w:asciiTheme="minorHAnsi" w:hAnsiTheme="minorHAnsi" w:cs="Microsoft Sans Serif"/>
                <w:sz w:val="20"/>
                <w:szCs w:val="20"/>
              </w:rPr>
            </w:pPr>
            <w:r w:rsidRPr="002E56E8">
              <w:rPr>
                <w:rFonts w:asciiTheme="minorHAnsi" w:hAnsiTheme="minorHAnsi" w:cs="Microsoft Sans Serif"/>
                <w:sz w:val="20"/>
                <w:szCs w:val="20"/>
              </w:rPr>
              <w:t>33%</w:t>
            </w:r>
          </w:p>
        </w:tc>
      </w:tr>
      <w:tr w:rsidR="00235AAE" w:rsidRPr="00C05758" w:rsidTr="00671EBD">
        <w:trPr>
          <w:trHeight w:val="319"/>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235AAE" w:rsidRPr="00024B61" w:rsidRDefault="00235AAE" w:rsidP="00671EBD">
            <w:pPr>
              <w:jc w:val="both"/>
              <w:rPr>
                <w:rFonts w:asciiTheme="minorHAnsi" w:eastAsia="Times New Roman" w:hAnsiTheme="minorHAnsi" w:cs="Microsoft Sans Serif"/>
                <w:sz w:val="20"/>
                <w:szCs w:val="20"/>
                <w:lang w:val="es-AR" w:eastAsia="es-AR"/>
              </w:rPr>
            </w:pPr>
            <w:r w:rsidRPr="00024B61">
              <w:rPr>
                <w:rFonts w:asciiTheme="minorHAnsi" w:eastAsia="Times New Roman" w:hAnsiTheme="minorHAnsi" w:cs="Microsoft Sans Serif"/>
                <w:sz w:val="20"/>
                <w:szCs w:val="20"/>
                <w:lang w:val="es-AR" w:eastAsia="es-AR"/>
              </w:rPr>
              <w:t>Cantidad de alumnos de doctorado que han participado en el proyecto</w:t>
            </w:r>
          </w:p>
        </w:tc>
        <w:tc>
          <w:tcPr>
            <w:tcW w:w="2670" w:type="dxa"/>
            <w:tcBorders>
              <w:top w:val="nil"/>
              <w:left w:val="nil"/>
              <w:bottom w:val="single" w:sz="4" w:space="0" w:color="auto"/>
              <w:right w:val="single" w:sz="4" w:space="0" w:color="auto"/>
            </w:tcBorders>
            <w:shd w:val="clear" w:color="auto" w:fill="auto"/>
            <w:noWrap/>
            <w:vAlign w:val="bottom"/>
            <w:hideMark/>
          </w:tcPr>
          <w:p w:rsidR="00235AAE" w:rsidRPr="002E56E8" w:rsidRDefault="00235AAE" w:rsidP="00671EBD">
            <w:pPr>
              <w:jc w:val="center"/>
              <w:rPr>
                <w:rFonts w:asciiTheme="minorHAnsi" w:hAnsiTheme="minorHAnsi" w:cs="Microsoft Sans Serif"/>
                <w:sz w:val="20"/>
                <w:szCs w:val="20"/>
              </w:rPr>
            </w:pPr>
            <w:r w:rsidRPr="002E56E8">
              <w:rPr>
                <w:rFonts w:asciiTheme="minorHAnsi" w:hAnsiTheme="minorHAnsi" w:cs="Microsoft Sans Serif"/>
                <w:sz w:val="20"/>
                <w:szCs w:val="20"/>
              </w:rPr>
              <w:t>14%</w:t>
            </w:r>
          </w:p>
        </w:tc>
      </w:tr>
    </w:tbl>
    <w:p w:rsidR="00D657C5" w:rsidRPr="00FC352D" w:rsidRDefault="00D657C5" w:rsidP="00235AAE">
      <w:pPr>
        <w:pStyle w:val="ListParagraph"/>
        <w:spacing w:before="60" w:after="60" w:line="288" w:lineRule="auto"/>
        <w:ind w:left="0"/>
        <w:contextualSpacing w:val="0"/>
        <w:jc w:val="both"/>
        <w:rPr>
          <w:rStyle w:val="Emphasis"/>
          <w:rFonts w:asciiTheme="minorHAnsi" w:hAnsiTheme="minorHAnsi" w:cs="Calibri"/>
          <w:i w:val="0"/>
          <w:sz w:val="18"/>
          <w:szCs w:val="18"/>
        </w:rPr>
      </w:pPr>
      <w:r>
        <w:rPr>
          <w:rStyle w:val="Emphasis"/>
          <w:rFonts w:asciiTheme="minorHAnsi" w:hAnsiTheme="minorHAnsi" w:cs="Calibri"/>
          <w:i w:val="0"/>
          <w:sz w:val="20"/>
          <w:szCs w:val="20"/>
        </w:rPr>
        <w:t xml:space="preserve">  </w:t>
      </w:r>
      <w:r w:rsidRPr="00FC352D">
        <w:rPr>
          <w:rStyle w:val="Emphasis"/>
          <w:rFonts w:asciiTheme="minorHAnsi" w:hAnsiTheme="minorHAnsi" w:cs="Calibri"/>
          <w:i w:val="0"/>
          <w:sz w:val="18"/>
          <w:szCs w:val="18"/>
        </w:rPr>
        <w:t>Fuente: In</w:t>
      </w:r>
      <w:r w:rsidR="00FC352D" w:rsidRPr="00FC352D">
        <w:rPr>
          <w:rStyle w:val="Emphasis"/>
          <w:rFonts w:asciiTheme="minorHAnsi" w:hAnsiTheme="minorHAnsi" w:cs="Calibri"/>
          <w:i w:val="0"/>
          <w:sz w:val="18"/>
          <w:szCs w:val="18"/>
        </w:rPr>
        <w:t>novos Group en base a encuestas</w:t>
      </w:r>
    </w:p>
    <w:p w:rsidR="00235AAE" w:rsidRDefault="00235AAE" w:rsidP="00D657C5">
      <w:pPr>
        <w:pStyle w:val="ListParagraph"/>
        <w:spacing w:before="200" w:line="276" w:lineRule="auto"/>
        <w:ind w:left="0"/>
        <w:contextualSpacing w:val="0"/>
        <w:jc w:val="both"/>
        <w:rPr>
          <w:rStyle w:val="Emphasis"/>
          <w:rFonts w:asciiTheme="minorHAnsi" w:hAnsiTheme="minorHAnsi" w:cs="Calibri"/>
          <w:i w:val="0"/>
        </w:rPr>
      </w:pPr>
      <w:r w:rsidRPr="008B527B">
        <w:rPr>
          <w:rStyle w:val="Emphasis"/>
          <w:rFonts w:asciiTheme="minorHAnsi" w:hAnsiTheme="minorHAnsi" w:cs="Calibri"/>
          <w:i w:val="0"/>
        </w:rPr>
        <w:t xml:space="preserve">En lo que refiere a la mejora en el conocimiento científico y desarrollo tecnológico, es decir, generación de nuevas publicaciones, patentes, </w:t>
      </w:r>
      <w:r>
        <w:rPr>
          <w:rStyle w:val="Emphasis"/>
          <w:rFonts w:asciiTheme="minorHAnsi" w:hAnsiTheme="minorHAnsi" w:cs="Calibri"/>
          <w:i w:val="0"/>
        </w:rPr>
        <w:t>libros, etc</w:t>
      </w:r>
      <w:r w:rsidR="00D657C5">
        <w:rPr>
          <w:rStyle w:val="Emphasis"/>
          <w:rFonts w:asciiTheme="minorHAnsi" w:hAnsiTheme="minorHAnsi" w:cs="Calibri"/>
          <w:i w:val="0"/>
        </w:rPr>
        <w:t>.</w:t>
      </w:r>
      <w:r>
        <w:rPr>
          <w:rStyle w:val="Emphasis"/>
          <w:rFonts w:asciiTheme="minorHAnsi" w:hAnsiTheme="minorHAnsi" w:cs="Calibri"/>
          <w:i w:val="0"/>
        </w:rPr>
        <w:t>, los encuestados manifestaron que a partir del PROCIT ha</w:t>
      </w:r>
      <w:r w:rsidR="00D657C5">
        <w:rPr>
          <w:rStyle w:val="Emphasis"/>
          <w:rFonts w:asciiTheme="minorHAnsi" w:hAnsiTheme="minorHAnsi" w:cs="Calibri"/>
          <w:i w:val="0"/>
        </w:rPr>
        <w:t>n</w:t>
      </w:r>
      <w:r>
        <w:rPr>
          <w:rStyle w:val="Emphasis"/>
          <w:rFonts w:asciiTheme="minorHAnsi" w:hAnsiTheme="minorHAnsi" w:cs="Calibri"/>
          <w:i w:val="0"/>
        </w:rPr>
        <w:t xml:space="preserve"> generado 64 nuevas publicaciones referidas a los resultados de los proyectos adjudicados. Es necesario aclarar que las cantidades refieren a las publicaciones que realizaron los 21 proyectos beneficiarios de investigación que respondieron a las encuestas, sin embargo, los demás beneficiarios pueden haber realizado publicaciones que no están siendo relevadas en el estudio. Entre las nuevas publicaciones se pueden mencionar libros, capítulos de libros y artículos en revistas sin arbitraje y con arbitraje. En el gráfico </w:t>
      </w:r>
      <w:r w:rsidR="00D657C5">
        <w:rPr>
          <w:rStyle w:val="Emphasis"/>
          <w:rFonts w:asciiTheme="minorHAnsi" w:hAnsiTheme="minorHAnsi" w:cs="Calibri"/>
          <w:i w:val="0"/>
        </w:rPr>
        <w:t>5.13</w:t>
      </w:r>
      <w:r>
        <w:rPr>
          <w:rStyle w:val="Emphasis"/>
          <w:rFonts w:asciiTheme="minorHAnsi" w:hAnsiTheme="minorHAnsi" w:cs="Calibri"/>
          <w:i w:val="0"/>
        </w:rPr>
        <w:t xml:space="preserve"> se presentan estas categorías desagregadas. Además se elaboraron 43 nuevos documentos de trabajo según lo manifestado en las encuestas. </w:t>
      </w:r>
    </w:p>
    <w:p w:rsidR="00480839" w:rsidRDefault="00480839" w:rsidP="00235AAE">
      <w:pPr>
        <w:pStyle w:val="ListParagraph"/>
        <w:spacing w:before="120" w:after="120" w:line="288" w:lineRule="auto"/>
        <w:ind w:left="0"/>
        <w:jc w:val="center"/>
        <w:rPr>
          <w:rStyle w:val="Emphasis"/>
          <w:rFonts w:ascii="Calibri" w:hAnsi="Calibri" w:cs="Calibri"/>
          <w:b/>
          <w:i w:val="0"/>
        </w:rPr>
      </w:pPr>
    </w:p>
    <w:p w:rsidR="00480839" w:rsidRDefault="00480839" w:rsidP="00235AAE">
      <w:pPr>
        <w:pStyle w:val="ListParagraph"/>
        <w:spacing w:before="120" w:after="120" w:line="288" w:lineRule="auto"/>
        <w:ind w:left="0"/>
        <w:jc w:val="center"/>
        <w:rPr>
          <w:rStyle w:val="Emphasis"/>
          <w:rFonts w:ascii="Calibri" w:hAnsi="Calibri" w:cs="Calibri"/>
          <w:b/>
          <w:i w:val="0"/>
        </w:rPr>
      </w:pPr>
    </w:p>
    <w:p w:rsidR="00480839" w:rsidRDefault="00480839" w:rsidP="00235AAE">
      <w:pPr>
        <w:pStyle w:val="ListParagraph"/>
        <w:spacing w:before="120" w:after="120" w:line="288" w:lineRule="auto"/>
        <w:ind w:left="0"/>
        <w:jc w:val="center"/>
        <w:rPr>
          <w:rStyle w:val="Emphasis"/>
          <w:rFonts w:ascii="Calibri" w:hAnsi="Calibri" w:cs="Calibri"/>
          <w:b/>
          <w:i w:val="0"/>
        </w:rPr>
      </w:pPr>
    </w:p>
    <w:p w:rsidR="00480839" w:rsidRDefault="00480839" w:rsidP="00235AAE">
      <w:pPr>
        <w:pStyle w:val="ListParagraph"/>
        <w:spacing w:before="120" w:after="120" w:line="288" w:lineRule="auto"/>
        <w:ind w:left="0"/>
        <w:jc w:val="center"/>
        <w:rPr>
          <w:rStyle w:val="Emphasis"/>
          <w:rFonts w:ascii="Calibri" w:hAnsi="Calibri" w:cs="Calibri"/>
          <w:b/>
          <w:i w:val="0"/>
        </w:rPr>
      </w:pPr>
    </w:p>
    <w:p w:rsidR="007A62FA" w:rsidRDefault="007A62FA" w:rsidP="00235AAE">
      <w:pPr>
        <w:pStyle w:val="ListParagraph"/>
        <w:spacing w:before="120" w:after="120" w:line="288" w:lineRule="auto"/>
        <w:ind w:left="0"/>
        <w:jc w:val="center"/>
        <w:rPr>
          <w:rStyle w:val="Emphasis"/>
          <w:rFonts w:ascii="Calibri" w:hAnsi="Calibri" w:cs="Calibri"/>
          <w:b/>
          <w:i w:val="0"/>
        </w:rPr>
      </w:pPr>
    </w:p>
    <w:p w:rsidR="00235AAE" w:rsidRPr="0093397F" w:rsidRDefault="00235AAE" w:rsidP="00235AAE">
      <w:pPr>
        <w:pStyle w:val="ListParagraph"/>
        <w:spacing w:before="120" w:after="120" w:line="288" w:lineRule="auto"/>
        <w:ind w:left="0"/>
        <w:jc w:val="center"/>
        <w:rPr>
          <w:rStyle w:val="Emphasis"/>
          <w:rFonts w:ascii="Calibri" w:hAnsi="Calibri" w:cs="Calibri"/>
          <w:b/>
          <w:i w:val="0"/>
        </w:rPr>
      </w:pPr>
      <w:r>
        <w:rPr>
          <w:rStyle w:val="Emphasis"/>
          <w:rFonts w:ascii="Calibri" w:hAnsi="Calibri" w:cs="Calibri"/>
          <w:b/>
          <w:i w:val="0"/>
        </w:rPr>
        <w:t>Gráfico</w:t>
      </w:r>
      <w:r w:rsidRPr="00B524B8">
        <w:rPr>
          <w:rStyle w:val="Emphasis"/>
          <w:rFonts w:ascii="Calibri" w:hAnsi="Calibri" w:cs="Calibri"/>
          <w:b/>
          <w:i w:val="0"/>
        </w:rPr>
        <w:t xml:space="preserve"> </w:t>
      </w:r>
      <w:r w:rsidR="00D657C5">
        <w:rPr>
          <w:rStyle w:val="Emphasis"/>
          <w:rFonts w:ascii="Calibri" w:hAnsi="Calibri" w:cs="Calibri"/>
          <w:b/>
          <w:i w:val="0"/>
        </w:rPr>
        <w:t>5.13.</w:t>
      </w:r>
      <w:r>
        <w:rPr>
          <w:rStyle w:val="Emphasis"/>
          <w:rFonts w:ascii="Calibri" w:hAnsi="Calibri" w:cs="Calibri"/>
          <w:b/>
          <w:i w:val="0"/>
        </w:rPr>
        <w:t xml:space="preserve"> Cantidad de publicaciones de los proyectos</w:t>
      </w:r>
    </w:p>
    <w:p w:rsidR="00235AAE" w:rsidRDefault="00235AAE" w:rsidP="00FC352D">
      <w:pPr>
        <w:pStyle w:val="ListParagraph"/>
        <w:spacing w:line="288" w:lineRule="auto"/>
        <w:ind w:left="0"/>
        <w:contextualSpacing w:val="0"/>
        <w:jc w:val="center"/>
        <w:rPr>
          <w:rFonts w:asciiTheme="minorHAnsi" w:hAnsiTheme="minorHAnsi" w:cs="Calibri"/>
          <w:iCs/>
        </w:rPr>
      </w:pPr>
      <w:r w:rsidRPr="0093397F">
        <w:rPr>
          <w:noProof/>
          <w:lang w:val="es-ES_tradnl" w:eastAsia="es-ES_tradnl"/>
        </w:rPr>
        <w:drawing>
          <wp:inline distT="0" distB="0" distL="0" distR="0" wp14:anchorId="40CD489C" wp14:editId="1E675A32">
            <wp:extent cx="4572000" cy="28194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819400"/>
                    </a:xfrm>
                    <a:prstGeom prst="rect">
                      <a:avLst/>
                    </a:prstGeom>
                    <a:noFill/>
                    <a:ln>
                      <a:noFill/>
                    </a:ln>
                  </pic:spPr>
                </pic:pic>
              </a:graphicData>
            </a:graphic>
          </wp:inline>
        </w:drawing>
      </w:r>
    </w:p>
    <w:p w:rsidR="00D657C5" w:rsidRPr="00FC352D" w:rsidRDefault="00D657C5" w:rsidP="00FC352D">
      <w:pPr>
        <w:spacing w:line="288" w:lineRule="auto"/>
        <w:jc w:val="center"/>
        <w:rPr>
          <w:rStyle w:val="Emphasis"/>
          <w:rFonts w:ascii="Calibri" w:hAnsi="Calibri" w:cs="Calibri"/>
          <w:i w:val="0"/>
          <w:sz w:val="18"/>
          <w:szCs w:val="18"/>
        </w:rPr>
      </w:pPr>
      <w:r w:rsidRPr="00FC352D">
        <w:rPr>
          <w:rStyle w:val="Emphasis"/>
          <w:rFonts w:asciiTheme="minorHAnsi" w:hAnsiTheme="minorHAnsi" w:cs="Calibri"/>
          <w:i w:val="0"/>
          <w:sz w:val="18"/>
          <w:szCs w:val="18"/>
        </w:rPr>
        <w:t>Fuente: In</w:t>
      </w:r>
      <w:r w:rsidR="00FC352D" w:rsidRPr="00FC352D">
        <w:rPr>
          <w:rStyle w:val="Emphasis"/>
          <w:rFonts w:asciiTheme="minorHAnsi" w:hAnsiTheme="minorHAnsi" w:cs="Calibri"/>
          <w:i w:val="0"/>
          <w:sz w:val="18"/>
          <w:szCs w:val="18"/>
        </w:rPr>
        <w:t>novos Group en base a encuestas</w:t>
      </w:r>
    </w:p>
    <w:p w:rsidR="00235AAE" w:rsidRPr="00927D25" w:rsidRDefault="00235AAE" w:rsidP="00D657C5">
      <w:pPr>
        <w:pStyle w:val="ListParagraph"/>
        <w:spacing w:before="200" w:line="276" w:lineRule="auto"/>
        <w:ind w:left="0"/>
        <w:contextualSpacing w:val="0"/>
        <w:jc w:val="both"/>
        <w:rPr>
          <w:rStyle w:val="Emphasis"/>
          <w:rFonts w:ascii="Calibri" w:hAnsi="Calibri" w:cs="Calibri"/>
          <w:i w:val="0"/>
        </w:rPr>
      </w:pPr>
      <w:r w:rsidRPr="00927D25">
        <w:rPr>
          <w:rStyle w:val="Emphasis"/>
          <w:rFonts w:ascii="Calibri" w:hAnsi="Calibri" w:cs="Calibri"/>
          <w:i w:val="0"/>
        </w:rPr>
        <w:t xml:space="preserve">En lo que refiere a patentamiento, según la información relevada solo uno de los proyectos beneficiarios </w:t>
      </w:r>
      <w:r w:rsidR="00D657C5">
        <w:rPr>
          <w:rStyle w:val="Emphasis"/>
          <w:rFonts w:ascii="Calibri" w:hAnsi="Calibri" w:cs="Calibri"/>
          <w:i w:val="0"/>
        </w:rPr>
        <w:t>h</w:t>
      </w:r>
      <w:r w:rsidRPr="00927D25">
        <w:rPr>
          <w:rStyle w:val="Emphasis"/>
          <w:rFonts w:ascii="Calibri" w:hAnsi="Calibri" w:cs="Calibri"/>
          <w:i w:val="0"/>
        </w:rPr>
        <w:t xml:space="preserve">a conseguido </w:t>
      </w:r>
      <w:r>
        <w:rPr>
          <w:rStyle w:val="Emphasis"/>
          <w:rFonts w:ascii="Calibri" w:hAnsi="Calibri" w:cs="Calibri"/>
          <w:i w:val="0"/>
        </w:rPr>
        <w:t xml:space="preserve">una </w:t>
      </w:r>
      <w:r w:rsidRPr="00927D25">
        <w:rPr>
          <w:rStyle w:val="Emphasis"/>
          <w:rFonts w:ascii="Calibri" w:hAnsi="Calibri" w:cs="Calibri"/>
          <w:i w:val="0"/>
        </w:rPr>
        <w:t xml:space="preserve">patente. Estos resultados, se deben en parte a las etapas o fases de desarrollo de los proyectos, pero además se observa la existencia de obstáculos para </w:t>
      </w:r>
      <w:r>
        <w:rPr>
          <w:rStyle w:val="Emphasis"/>
          <w:rFonts w:ascii="Calibri" w:hAnsi="Calibri" w:cs="Calibri"/>
          <w:i w:val="0"/>
        </w:rPr>
        <w:t xml:space="preserve">el </w:t>
      </w:r>
      <w:r w:rsidRPr="00927D25">
        <w:rPr>
          <w:rStyle w:val="Emphasis"/>
          <w:rFonts w:ascii="Calibri" w:hAnsi="Calibri" w:cs="Calibri"/>
          <w:i w:val="0"/>
        </w:rPr>
        <w:t>patentamiento de los productos a comercializar.  Hay una falta de conocimiento sobre la normativa de patentamiento y en general una valoración negativa y reticente a estos procesos.</w:t>
      </w:r>
    </w:p>
    <w:p w:rsidR="00235AAE" w:rsidRPr="00B524B8" w:rsidRDefault="00235AAE" w:rsidP="00235AAE">
      <w:pPr>
        <w:pStyle w:val="ListParagraph"/>
        <w:spacing w:before="120" w:after="120" w:line="288" w:lineRule="auto"/>
        <w:ind w:left="3402"/>
        <w:jc w:val="right"/>
        <w:rPr>
          <w:rStyle w:val="Emphasis"/>
          <w:rFonts w:ascii="Calibri" w:hAnsi="Calibri" w:cs="Calibri"/>
          <w:sz w:val="20"/>
          <w:szCs w:val="20"/>
        </w:rPr>
      </w:pPr>
      <w:r w:rsidRPr="00B524B8">
        <w:rPr>
          <w:rStyle w:val="Emphasis"/>
          <w:rFonts w:ascii="Calibri" w:hAnsi="Calibri" w:cs="Calibri"/>
          <w:sz w:val="20"/>
          <w:szCs w:val="20"/>
        </w:rPr>
        <w:t>“Necesitamos un asesoramiento sobre patentes (…) para valorar de antemano potencialidades y dificultades…”</w:t>
      </w:r>
    </w:p>
    <w:p w:rsidR="00235AAE" w:rsidRPr="00FF4A77" w:rsidRDefault="00235AAE" w:rsidP="00235AAE">
      <w:pPr>
        <w:pStyle w:val="ListParagraph"/>
        <w:spacing w:before="120" w:after="120" w:line="288" w:lineRule="auto"/>
        <w:ind w:left="0"/>
        <w:contextualSpacing w:val="0"/>
        <w:jc w:val="right"/>
        <w:rPr>
          <w:rStyle w:val="Emphasis"/>
          <w:rFonts w:ascii="Calibri" w:hAnsi="Calibri" w:cs="Calibri"/>
          <w:i w:val="0"/>
          <w:color w:val="7030A0"/>
        </w:rPr>
      </w:pPr>
      <w:r w:rsidRPr="00B524B8">
        <w:rPr>
          <w:rStyle w:val="Emphasis"/>
          <w:rFonts w:ascii="Calibri" w:hAnsi="Calibri" w:cs="Calibri"/>
          <w:i w:val="0"/>
          <w:sz w:val="20"/>
          <w:szCs w:val="20"/>
        </w:rPr>
        <w:t>(Investigadora beneficiaria</w:t>
      </w:r>
      <w:r>
        <w:rPr>
          <w:rStyle w:val="Emphasis"/>
          <w:rFonts w:ascii="Calibri" w:hAnsi="Calibri" w:cs="Calibri"/>
          <w:i w:val="0"/>
          <w:sz w:val="20"/>
          <w:szCs w:val="20"/>
        </w:rPr>
        <w:t>)</w:t>
      </w:r>
    </w:p>
    <w:p w:rsidR="00235AAE" w:rsidRDefault="00235AAE" w:rsidP="00D657C5">
      <w:pPr>
        <w:pStyle w:val="ListParagraph"/>
        <w:spacing w:before="200" w:line="276" w:lineRule="auto"/>
        <w:ind w:left="0"/>
        <w:contextualSpacing w:val="0"/>
        <w:jc w:val="both"/>
        <w:rPr>
          <w:rStyle w:val="Emphasis"/>
          <w:rFonts w:ascii="Calibri" w:hAnsi="Calibri" w:cs="Calibri"/>
          <w:i w:val="0"/>
        </w:rPr>
      </w:pPr>
      <w:r w:rsidRPr="003375C2">
        <w:rPr>
          <w:rStyle w:val="Emphasis"/>
          <w:rFonts w:ascii="Calibri" w:hAnsi="Calibri" w:cs="Calibri"/>
          <w:i w:val="0"/>
        </w:rPr>
        <w:t>Respecto a la vinculación y transferencia de tecnología los datos de las en</w:t>
      </w:r>
      <w:r>
        <w:rPr>
          <w:rStyle w:val="Emphasis"/>
          <w:rFonts w:ascii="Calibri" w:hAnsi="Calibri" w:cs="Calibri"/>
          <w:i w:val="0"/>
        </w:rPr>
        <w:t>cuestas muestran que ha habido nueve</w:t>
      </w:r>
      <w:r w:rsidRPr="003375C2">
        <w:rPr>
          <w:rStyle w:val="Emphasis"/>
          <w:rFonts w:ascii="Calibri" w:hAnsi="Calibri" w:cs="Calibri"/>
          <w:i w:val="0"/>
        </w:rPr>
        <w:t xml:space="preserve"> empresas receptoras de transferencia de tecnología. La </w:t>
      </w:r>
      <w:r w:rsidR="00D657C5">
        <w:rPr>
          <w:rStyle w:val="Emphasis"/>
          <w:rFonts w:ascii="Calibri" w:hAnsi="Calibri" w:cs="Calibri"/>
          <w:i w:val="0"/>
        </w:rPr>
        <w:t>T</w:t>
      </w:r>
      <w:r>
        <w:rPr>
          <w:rStyle w:val="Emphasis"/>
          <w:rFonts w:ascii="Calibri" w:hAnsi="Calibri" w:cs="Calibri"/>
          <w:i w:val="0"/>
        </w:rPr>
        <w:t xml:space="preserve">abla </w:t>
      </w:r>
      <w:r w:rsidR="00D657C5">
        <w:rPr>
          <w:rStyle w:val="Emphasis"/>
          <w:rFonts w:ascii="Calibri" w:hAnsi="Calibri" w:cs="Calibri"/>
          <w:i w:val="0"/>
        </w:rPr>
        <w:t>5.3</w:t>
      </w:r>
      <w:r>
        <w:rPr>
          <w:rStyle w:val="Emphasis"/>
          <w:rFonts w:ascii="Calibri" w:hAnsi="Calibri" w:cs="Calibri"/>
          <w:i w:val="0"/>
        </w:rPr>
        <w:t xml:space="preserve"> presenta</w:t>
      </w:r>
      <w:r w:rsidRPr="003375C2">
        <w:rPr>
          <w:rStyle w:val="Emphasis"/>
          <w:rFonts w:ascii="Calibri" w:hAnsi="Calibri" w:cs="Calibri"/>
          <w:i w:val="0"/>
        </w:rPr>
        <w:t xml:space="preserve"> información sobre la transferencia de tecnología a terceros, la cantidad de seminar</w:t>
      </w:r>
      <w:r>
        <w:rPr>
          <w:rStyle w:val="Emphasis"/>
          <w:rFonts w:ascii="Calibri" w:hAnsi="Calibri" w:cs="Calibri"/>
          <w:i w:val="0"/>
        </w:rPr>
        <w:t>ios dictados a partir del PROCIT</w:t>
      </w:r>
      <w:r w:rsidRPr="003375C2">
        <w:rPr>
          <w:rStyle w:val="Emphasis"/>
          <w:rFonts w:ascii="Calibri" w:hAnsi="Calibri" w:cs="Calibri"/>
          <w:i w:val="0"/>
        </w:rPr>
        <w:t xml:space="preserve">, la cantidad de artículos o notas de prensa que generaron los proyectos beneficiarios y la cantidad de disertaciones y presentaciones de posters.   </w:t>
      </w:r>
    </w:p>
    <w:p w:rsidR="00235AAE" w:rsidRPr="007A7C87" w:rsidRDefault="00235AAE" w:rsidP="00235AAE">
      <w:pPr>
        <w:pStyle w:val="ListParagraph"/>
        <w:spacing w:before="120" w:after="120" w:line="288" w:lineRule="auto"/>
        <w:ind w:left="0"/>
        <w:jc w:val="center"/>
        <w:rPr>
          <w:rStyle w:val="Emphasis"/>
          <w:rFonts w:ascii="Calibri" w:hAnsi="Calibri" w:cs="Calibri"/>
          <w:b/>
          <w:i w:val="0"/>
        </w:rPr>
      </w:pPr>
      <w:r>
        <w:rPr>
          <w:rStyle w:val="Emphasis"/>
          <w:rFonts w:ascii="Calibri" w:hAnsi="Calibri" w:cs="Calibri"/>
          <w:b/>
          <w:i w:val="0"/>
        </w:rPr>
        <w:t>Tabla</w:t>
      </w:r>
      <w:r w:rsidRPr="00B524B8">
        <w:rPr>
          <w:rStyle w:val="Emphasis"/>
          <w:rFonts w:ascii="Calibri" w:hAnsi="Calibri" w:cs="Calibri"/>
          <w:b/>
          <w:i w:val="0"/>
        </w:rPr>
        <w:t xml:space="preserve"> </w:t>
      </w:r>
      <w:r w:rsidR="00D657C5">
        <w:rPr>
          <w:rStyle w:val="Emphasis"/>
          <w:rFonts w:ascii="Calibri" w:hAnsi="Calibri" w:cs="Calibri"/>
          <w:b/>
          <w:i w:val="0"/>
        </w:rPr>
        <w:t>5.3.</w:t>
      </w:r>
      <w:r>
        <w:rPr>
          <w:rStyle w:val="Emphasis"/>
          <w:rFonts w:ascii="Calibri" w:hAnsi="Calibri" w:cs="Calibri"/>
          <w:b/>
          <w:i w:val="0"/>
        </w:rPr>
        <w:t xml:space="preserve"> Vinculación y transferencia de tecnología</w:t>
      </w:r>
    </w:p>
    <w:tbl>
      <w:tblPr>
        <w:tblW w:w="9395" w:type="dxa"/>
        <w:tblInd w:w="55" w:type="dxa"/>
        <w:tblCellMar>
          <w:left w:w="70" w:type="dxa"/>
          <w:right w:w="70" w:type="dxa"/>
        </w:tblCellMar>
        <w:tblLook w:val="04A0" w:firstRow="1" w:lastRow="0" w:firstColumn="1" w:lastColumn="0" w:noHBand="0" w:noVBand="1"/>
      </w:tblPr>
      <w:tblGrid>
        <w:gridCol w:w="6167"/>
        <w:gridCol w:w="3228"/>
      </w:tblGrid>
      <w:tr w:rsidR="00D657C5" w:rsidRPr="00D657C5" w:rsidTr="00D657C5">
        <w:trPr>
          <w:trHeight w:val="376"/>
        </w:trPr>
        <w:tc>
          <w:tcPr>
            <w:tcW w:w="6167"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tcPr>
          <w:p w:rsidR="00235AAE" w:rsidRPr="00D657C5" w:rsidRDefault="00235AAE" w:rsidP="00671EBD">
            <w:pPr>
              <w:jc w:val="center"/>
              <w:rPr>
                <w:rFonts w:asciiTheme="minorHAnsi" w:eastAsia="Times New Roman" w:hAnsiTheme="minorHAnsi" w:cstheme="minorHAnsi"/>
                <w:b/>
                <w:color w:val="FFFFFF" w:themeColor="background1"/>
                <w:sz w:val="20"/>
                <w:szCs w:val="20"/>
                <w:lang w:val="es-AR" w:eastAsia="es-AR"/>
              </w:rPr>
            </w:pPr>
            <w:r w:rsidRPr="00D657C5">
              <w:rPr>
                <w:rFonts w:asciiTheme="minorHAnsi" w:eastAsia="Times New Roman" w:hAnsiTheme="minorHAnsi" w:cstheme="minorHAnsi"/>
                <w:b/>
                <w:color w:val="FFFFFF" w:themeColor="background1"/>
                <w:sz w:val="20"/>
                <w:szCs w:val="20"/>
                <w:lang w:val="es-AR" w:eastAsia="es-AR"/>
              </w:rPr>
              <w:t>Vinculación y transferencia de tecnología</w:t>
            </w:r>
          </w:p>
        </w:tc>
        <w:tc>
          <w:tcPr>
            <w:tcW w:w="3228" w:type="dxa"/>
            <w:tcBorders>
              <w:top w:val="single" w:sz="4" w:space="0" w:color="auto"/>
              <w:left w:val="nil"/>
              <w:bottom w:val="single" w:sz="4" w:space="0" w:color="auto"/>
              <w:right w:val="single" w:sz="4" w:space="0" w:color="auto"/>
            </w:tcBorders>
            <w:shd w:val="clear" w:color="auto" w:fill="0F243E" w:themeFill="text2" w:themeFillShade="80"/>
            <w:noWrap/>
            <w:vAlign w:val="center"/>
          </w:tcPr>
          <w:p w:rsidR="00235AAE" w:rsidRPr="00D657C5" w:rsidRDefault="00235AAE" w:rsidP="00671EBD">
            <w:pPr>
              <w:jc w:val="center"/>
              <w:rPr>
                <w:rFonts w:asciiTheme="minorHAnsi" w:eastAsia="Times New Roman" w:hAnsiTheme="minorHAnsi" w:cstheme="minorHAnsi"/>
                <w:b/>
                <w:color w:val="FFFFFF" w:themeColor="background1"/>
                <w:sz w:val="20"/>
                <w:szCs w:val="20"/>
                <w:lang w:val="es-AR" w:eastAsia="es-AR"/>
              </w:rPr>
            </w:pPr>
            <w:r w:rsidRPr="00D657C5">
              <w:rPr>
                <w:rFonts w:asciiTheme="minorHAnsi" w:eastAsia="Times New Roman" w:hAnsiTheme="minorHAnsi" w:cstheme="minorHAnsi"/>
                <w:b/>
                <w:color w:val="FFFFFF" w:themeColor="background1"/>
                <w:sz w:val="20"/>
                <w:szCs w:val="20"/>
                <w:lang w:val="es-AR" w:eastAsia="es-AR"/>
              </w:rPr>
              <w:t>Cantidad</w:t>
            </w:r>
          </w:p>
        </w:tc>
      </w:tr>
      <w:tr w:rsidR="00235AAE" w:rsidRPr="00C9359A" w:rsidTr="00671EBD">
        <w:trPr>
          <w:trHeight w:val="518"/>
        </w:trPr>
        <w:tc>
          <w:tcPr>
            <w:tcW w:w="6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AAE" w:rsidRPr="00024B61" w:rsidRDefault="00235AAE" w:rsidP="00671EBD">
            <w:pPr>
              <w:rPr>
                <w:rFonts w:asciiTheme="minorHAnsi" w:eastAsia="Times New Roman" w:hAnsiTheme="minorHAnsi" w:cs="Microsoft Sans Serif"/>
                <w:color w:val="333333"/>
                <w:sz w:val="20"/>
                <w:szCs w:val="20"/>
                <w:lang w:val="es-AR" w:eastAsia="es-AR"/>
              </w:rPr>
            </w:pPr>
            <w:r w:rsidRPr="00024B61">
              <w:rPr>
                <w:rFonts w:asciiTheme="minorHAnsi" w:eastAsia="Times New Roman" w:hAnsiTheme="minorHAnsi" w:cs="Microsoft Sans Serif"/>
                <w:color w:val="333333"/>
                <w:sz w:val="20"/>
                <w:szCs w:val="20"/>
                <w:lang w:val="es-AR" w:eastAsia="es-AR"/>
              </w:rPr>
              <w:t>Transferencia de tecnología a terceros (cantidad empresas receptoras de transferencia)</w:t>
            </w:r>
          </w:p>
        </w:tc>
        <w:tc>
          <w:tcPr>
            <w:tcW w:w="3228" w:type="dxa"/>
            <w:tcBorders>
              <w:top w:val="single" w:sz="4" w:space="0" w:color="auto"/>
              <w:left w:val="nil"/>
              <w:bottom w:val="single" w:sz="4" w:space="0" w:color="auto"/>
              <w:right w:val="single" w:sz="4" w:space="0" w:color="auto"/>
            </w:tcBorders>
            <w:shd w:val="clear" w:color="auto" w:fill="auto"/>
            <w:noWrap/>
            <w:vAlign w:val="center"/>
            <w:hideMark/>
          </w:tcPr>
          <w:p w:rsidR="00235AAE" w:rsidRPr="00024B61" w:rsidRDefault="00235AAE" w:rsidP="00671EBD">
            <w:pPr>
              <w:jc w:val="center"/>
              <w:rPr>
                <w:rFonts w:asciiTheme="minorHAnsi" w:eastAsia="Times New Roman" w:hAnsiTheme="minorHAnsi" w:cs="Microsoft Sans Serif"/>
                <w:sz w:val="20"/>
                <w:szCs w:val="20"/>
                <w:lang w:val="es-AR" w:eastAsia="es-AR"/>
              </w:rPr>
            </w:pPr>
            <w:r w:rsidRPr="00024B61">
              <w:rPr>
                <w:rFonts w:asciiTheme="minorHAnsi" w:eastAsia="Times New Roman" w:hAnsiTheme="minorHAnsi" w:cs="Microsoft Sans Serif"/>
                <w:sz w:val="20"/>
                <w:szCs w:val="20"/>
                <w:lang w:val="es-AR" w:eastAsia="es-AR"/>
              </w:rPr>
              <w:t>9</w:t>
            </w:r>
          </w:p>
        </w:tc>
      </w:tr>
      <w:tr w:rsidR="00235AAE" w:rsidRPr="00C9359A" w:rsidTr="00671EBD">
        <w:trPr>
          <w:trHeight w:val="270"/>
        </w:trPr>
        <w:tc>
          <w:tcPr>
            <w:tcW w:w="6167" w:type="dxa"/>
            <w:tcBorders>
              <w:top w:val="nil"/>
              <w:left w:val="single" w:sz="4" w:space="0" w:color="auto"/>
              <w:bottom w:val="single" w:sz="4" w:space="0" w:color="auto"/>
              <w:right w:val="single" w:sz="4" w:space="0" w:color="auto"/>
            </w:tcBorders>
            <w:shd w:val="clear" w:color="auto" w:fill="auto"/>
            <w:vAlign w:val="center"/>
            <w:hideMark/>
          </w:tcPr>
          <w:p w:rsidR="00235AAE" w:rsidRPr="00E236EC" w:rsidRDefault="00235AAE" w:rsidP="00671EBD">
            <w:pPr>
              <w:rPr>
                <w:rFonts w:asciiTheme="minorHAnsi" w:eastAsia="Times New Roman" w:hAnsiTheme="minorHAnsi" w:cs="Microsoft Sans Serif"/>
                <w:color w:val="333333"/>
                <w:sz w:val="20"/>
                <w:szCs w:val="20"/>
                <w:lang w:val="es-AR" w:eastAsia="es-AR"/>
              </w:rPr>
            </w:pPr>
            <w:r w:rsidRPr="00E236EC">
              <w:rPr>
                <w:rFonts w:asciiTheme="minorHAnsi" w:eastAsia="Times New Roman" w:hAnsiTheme="minorHAnsi" w:cs="Microsoft Sans Serif"/>
                <w:color w:val="333333"/>
                <w:sz w:val="20"/>
                <w:szCs w:val="20"/>
                <w:lang w:val="es-AR" w:eastAsia="es-AR"/>
              </w:rPr>
              <w:t>Seminarios</w:t>
            </w:r>
            <w:r>
              <w:rPr>
                <w:rFonts w:asciiTheme="minorHAnsi" w:eastAsia="Times New Roman" w:hAnsiTheme="minorHAnsi" w:cs="Microsoft Sans Serif"/>
                <w:color w:val="333333"/>
                <w:sz w:val="20"/>
                <w:szCs w:val="20"/>
                <w:lang w:val="es-AR" w:eastAsia="es-AR"/>
              </w:rPr>
              <w:t xml:space="preserve"> (cantidad)</w:t>
            </w:r>
          </w:p>
        </w:tc>
        <w:tc>
          <w:tcPr>
            <w:tcW w:w="3228" w:type="dxa"/>
            <w:tcBorders>
              <w:top w:val="nil"/>
              <w:left w:val="nil"/>
              <w:bottom w:val="single" w:sz="4" w:space="0" w:color="auto"/>
              <w:right w:val="single" w:sz="4" w:space="0" w:color="auto"/>
            </w:tcBorders>
            <w:shd w:val="clear" w:color="auto" w:fill="auto"/>
            <w:noWrap/>
            <w:vAlign w:val="center"/>
            <w:hideMark/>
          </w:tcPr>
          <w:p w:rsidR="00235AAE" w:rsidRPr="00E236EC" w:rsidRDefault="00235AAE" w:rsidP="00671EBD">
            <w:pPr>
              <w:jc w:val="center"/>
              <w:rPr>
                <w:rFonts w:asciiTheme="minorHAnsi" w:eastAsia="Times New Roman" w:hAnsiTheme="minorHAnsi" w:cs="Microsoft Sans Serif"/>
                <w:sz w:val="20"/>
                <w:szCs w:val="20"/>
                <w:lang w:val="es-AR" w:eastAsia="es-AR"/>
              </w:rPr>
            </w:pPr>
            <w:r w:rsidRPr="00E236EC">
              <w:rPr>
                <w:rFonts w:asciiTheme="minorHAnsi" w:eastAsia="Times New Roman" w:hAnsiTheme="minorHAnsi" w:cs="Microsoft Sans Serif"/>
                <w:sz w:val="20"/>
                <w:szCs w:val="20"/>
                <w:lang w:val="es-AR" w:eastAsia="es-AR"/>
              </w:rPr>
              <w:t>12</w:t>
            </w:r>
          </w:p>
        </w:tc>
      </w:tr>
      <w:tr w:rsidR="00235AAE" w:rsidRPr="00C9359A" w:rsidTr="00671EBD">
        <w:trPr>
          <w:trHeight w:val="254"/>
        </w:trPr>
        <w:tc>
          <w:tcPr>
            <w:tcW w:w="6167" w:type="dxa"/>
            <w:tcBorders>
              <w:top w:val="nil"/>
              <w:left w:val="single" w:sz="4" w:space="0" w:color="auto"/>
              <w:bottom w:val="single" w:sz="4" w:space="0" w:color="auto"/>
              <w:right w:val="single" w:sz="4" w:space="0" w:color="auto"/>
            </w:tcBorders>
            <w:shd w:val="clear" w:color="auto" w:fill="auto"/>
            <w:vAlign w:val="center"/>
            <w:hideMark/>
          </w:tcPr>
          <w:p w:rsidR="00235AAE" w:rsidRPr="00024B61" w:rsidRDefault="00235AAE" w:rsidP="00671EBD">
            <w:pPr>
              <w:rPr>
                <w:rFonts w:asciiTheme="minorHAnsi" w:eastAsia="Times New Roman" w:hAnsiTheme="minorHAnsi" w:cs="Microsoft Sans Serif"/>
                <w:color w:val="333333"/>
                <w:sz w:val="20"/>
                <w:szCs w:val="20"/>
                <w:lang w:val="es-AR" w:eastAsia="es-AR"/>
              </w:rPr>
            </w:pPr>
            <w:r w:rsidRPr="00024B61">
              <w:rPr>
                <w:rFonts w:asciiTheme="minorHAnsi" w:eastAsia="Times New Roman" w:hAnsiTheme="minorHAnsi" w:cs="Microsoft Sans Serif"/>
                <w:color w:val="333333"/>
                <w:sz w:val="20"/>
                <w:szCs w:val="20"/>
                <w:lang w:val="es-AR" w:eastAsia="es-AR"/>
              </w:rPr>
              <w:t>Artículos o notas de prensa (cantidad)</w:t>
            </w:r>
          </w:p>
        </w:tc>
        <w:tc>
          <w:tcPr>
            <w:tcW w:w="3228" w:type="dxa"/>
            <w:tcBorders>
              <w:top w:val="nil"/>
              <w:left w:val="nil"/>
              <w:bottom w:val="single" w:sz="4" w:space="0" w:color="auto"/>
              <w:right w:val="single" w:sz="4" w:space="0" w:color="auto"/>
            </w:tcBorders>
            <w:shd w:val="clear" w:color="auto" w:fill="auto"/>
            <w:noWrap/>
            <w:vAlign w:val="center"/>
            <w:hideMark/>
          </w:tcPr>
          <w:p w:rsidR="00235AAE" w:rsidRPr="00024B61" w:rsidRDefault="00235AAE" w:rsidP="00671EBD">
            <w:pPr>
              <w:jc w:val="center"/>
              <w:rPr>
                <w:rFonts w:asciiTheme="minorHAnsi" w:eastAsia="Times New Roman" w:hAnsiTheme="minorHAnsi" w:cs="Microsoft Sans Serif"/>
                <w:sz w:val="20"/>
                <w:szCs w:val="20"/>
                <w:lang w:val="es-AR" w:eastAsia="es-AR"/>
              </w:rPr>
            </w:pPr>
            <w:r w:rsidRPr="00024B61">
              <w:rPr>
                <w:rFonts w:asciiTheme="minorHAnsi" w:eastAsia="Times New Roman" w:hAnsiTheme="minorHAnsi" w:cs="Microsoft Sans Serif"/>
                <w:sz w:val="20"/>
                <w:szCs w:val="20"/>
                <w:lang w:val="es-AR" w:eastAsia="es-AR"/>
              </w:rPr>
              <w:t>14</w:t>
            </w:r>
          </w:p>
        </w:tc>
      </w:tr>
      <w:tr w:rsidR="00235AAE" w:rsidRPr="00C9359A" w:rsidTr="00671EBD">
        <w:trPr>
          <w:trHeight w:val="286"/>
        </w:trPr>
        <w:tc>
          <w:tcPr>
            <w:tcW w:w="6167" w:type="dxa"/>
            <w:tcBorders>
              <w:top w:val="nil"/>
              <w:left w:val="single" w:sz="4" w:space="0" w:color="auto"/>
              <w:bottom w:val="single" w:sz="4" w:space="0" w:color="auto"/>
              <w:right w:val="single" w:sz="4" w:space="0" w:color="auto"/>
            </w:tcBorders>
            <w:shd w:val="clear" w:color="auto" w:fill="auto"/>
            <w:vAlign w:val="center"/>
            <w:hideMark/>
          </w:tcPr>
          <w:p w:rsidR="00235AAE" w:rsidRPr="00024B61" w:rsidRDefault="00235AAE" w:rsidP="00671EBD">
            <w:pPr>
              <w:rPr>
                <w:rFonts w:asciiTheme="minorHAnsi" w:eastAsia="Times New Roman" w:hAnsiTheme="minorHAnsi" w:cs="Microsoft Sans Serif"/>
                <w:color w:val="333333"/>
                <w:sz w:val="20"/>
                <w:szCs w:val="20"/>
                <w:lang w:val="es-AR" w:eastAsia="es-AR"/>
              </w:rPr>
            </w:pPr>
            <w:r w:rsidRPr="00024B61">
              <w:rPr>
                <w:rFonts w:asciiTheme="minorHAnsi" w:eastAsia="Times New Roman" w:hAnsiTheme="minorHAnsi" w:cs="Microsoft Sans Serif"/>
                <w:color w:val="333333"/>
                <w:sz w:val="20"/>
                <w:szCs w:val="20"/>
                <w:lang w:val="es-AR" w:eastAsia="es-AR"/>
              </w:rPr>
              <w:lastRenderedPageBreak/>
              <w:t>Disertaciones y presentaciones de posters (cantidad)</w:t>
            </w:r>
          </w:p>
        </w:tc>
        <w:tc>
          <w:tcPr>
            <w:tcW w:w="3228" w:type="dxa"/>
            <w:tcBorders>
              <w:top w:val="nil"/>
              <w:left w:val="nil"/>
              <w:bottom w:val="single" w:sz="4" w:space="0" w:color="auto"/>
              <w:right w:val="single" w:sz="4" w:space="0" w:color="auto"/>
            </w:tcBorders>
            <w:shd w:val="clear" w:color="auto" w:fill="auto"/>
            <w:noWrap/>
            <w:vAlign w:val="center"/>
            <w:hideMark/>
          </w:tcPr>
          <w:p w:rsidR="00235AAE" w:rsidRPr="00024B61" w:rsidRDefault="00235AAE" w:rsidP="00671EBD">
            <w:pPr>
              <w:jc w:val="center"/>
              <w:rPr>
                <w:rFonts w:asciiTheme="minorHAnsi" w:eastAsia="Times New Roman" w:hAnsiTheme="minorHAnsi" w:cs="Microsoft Sans Serif"/>
                <w:sz w:val="20"/>
                <w:szCs w:val="20"/>
                <w:lang w:val="es-AR" w:eastAsia="es-AR"/>
              </w:rPr>
            </w:pPr>
            <w:r w:rsidRPr="00024B61">
              <w:rPr>
                <w:rFonts w:asciiTheme="minorHAnsi" w:eastAsia="Times New Roman" w:hAnsiTheme="minorHAnsi" w:cs="Microsoft Sans Serif"/>
                <w:sz w:val="20"/>
                <w:szCs w:val="20"/>
                <w:lang w:val="es-AR" w:eastAsia="es-AR"/>
              </w:rPr>
              <w:t>36</w:t>
            </w:r>
          </w:p>
        </w:tc>
      </w:tr>
    </w:tbl>
    <w:p w:rsidR="00235AAE" w:rsidRPr="00C9359A" w:rsidRDefault="007A62FA" w:rsidP="00235AAE">
      <w:pPr>
        <w:ind w:right="1894"/>
        <w:jc w:val="both"/>
        <w:rPr>
          <w:rFonts w:ascii="Calibri" w:hAnsi="Calibri" w:cs="Arial"/>
          <w:color w:val="1F497D"/>
          <w:sz w:val="22"/>
          <w:szCs w:val="22"/>
          <w:lang w:eastAsia="es-AR"/>
        </w:rPr>
      </w:pPr>
      <w:r>
        <w:rPr>
          <w:rStyle w:val="Emphasis"/>
          <w:rFonts w:asciiTheme="minorHAnsi" w:hAnsiTheme="minorHAnsi" w:cs="Calibri"/>
          <w:i w:val="0"/>
          <w:sz w:val="18"/>
          <w:szCs w:val="18"/>
        </w:rPr>
        <w:t xml:space="preserve">  </w:t>
      </w:r>
      <w:r w:rsidRPr="00FC352D">
        <w:rPr>
          <w:rStyle w:val="Emphasis"/>
          <w:rFonts w:asciiTheme="minorHAnsi" w:hAnsiTheme="minorHAnsi" w:cs="Calibri"/>
          <w:i w:val="0"/>
          <w:sz w:val="18"/>
          <w:szCs w:val="18"/>
        </w:rPr>
        <w:t>Fuente: Innovos Group en base a encuestas</w:t>
      </w:r>
      <w:r>
        <w:rPr>
          <w:rStyle w:val="Emphasis"/>
          <w:rFonts w:asciiTheme="minorHAnsi" w:hAnsiTheme="minorHAnsi" w:cs="Calibri"/>
          <w:i w:val="0"/>
          <w:sz w:val="18"/>
          <w:szCs w:val="18"/>
        </w:rPr>
        <w:t>.</w:t>
      </w:r>
    </w:p>
    <w:p w:rsidR="00235AAE" w:rsidRPr="005B156C" w:rsidRDefault="00235AAE" w:rsidP="00D657C5">
      <w:pPr>
        <w:pStyle w:val="ListParagraph"/>
        <w:spacing w:before="200" w:line="276" w:lineRule="auto"/>
        <w:ind w:left="0"/>
        <w:contextualSpacing w:val="0"/>
        <w:jc w:val="both"/>
        <w:rPr>
          <w:rStyle w:val="Emphasis"/>
          <w:rFonts w:asciiTheme="minorHAnsi" w:hAnsiTheme="minorHAnsi" w:cs="Calibri"/>
          <w:i w:val="0"/>
        </w:rPr>
      </w:pPr>
      <w:r w:rsidRPr="005B156C">
        <w:rPr>
          <w:rStyle w:val="Emphasis"/>
          <w:rFonts w:asciiTheme="minorHAnsi" w:hAnsiTheme="minorHAnsi" w:cs="Calibri"/>
          <w:i w:val="0"/>
        </w:rPr>
        <w:t>Si bien se han dado los primeros pasos en relación a la vinculación entre los proyectos de investigación y las redes o mecanismos de vinculación con empresas los entrevistados manifestaron que aún les resulta complejo conseguir apoyo de empresas u otros mecanismos de financiamiento que les permitan generar redes a la vez de impulsar nuevas tecnologías para el sector privado. De hecho, muchos investigadores no se muestran interesados por la salida al mercado</w:t>
      </w:r>
      <w:r>
        <w:rPr>
          <w:rStyle w:val="Emphasis"/>
          <w:rFonts w:asciiTheme="minorHAnsi" w:hAnsiTheme="minorHAnsi" w:cs="Calibri"/>
          <w:i w:val="0"/>
        </w:rPr>
        <w:t xml:space="preserve"> lo que refuerza aún más la idea de asociación de los distintos secto</w:t>
      </w:r>
      <w:r w:rsidR="007D78CE">
        <w:rPr>
          <w:rStyle w:val="Emphasis"/>
          <w:rFonts w:asciiTheme="minorHAnsi" w:hAnsiTheme="minorHAnsi" w:cs="Calibri"/>
          <w:i w:val="0"/>
        </w:rPr>
        <w:t xml:space="preserve">res con intereses diversos pero </w:t>
      </w:r>
      <w:r>
        <w:rPr>
          <w:rStyle w:val="Emphasis"/>
          <w:rFonts w:asciiTheme="minorHAnsi" w:hAnsiTheme="minorHAnsi" w:cs="Calibri"/>
          <w:i w:val="0"/>
        </w:rPr>
        <w:t xml:space="preserve">complementarios como ocurre en los diferentes programas similares al PROCIT en otras partes de la región. </w:t>
      </w:r>
    </w:p>
    <w:p w:rsidR="00235AAE" w:rsidRPr="00E00FA3" w:rsidRDefault="00235AAE" w:rsidP="00D657C5">
      <w:pPr>
        <w:pStyle w:val="ListParagraph"/>
        <w:spacing w:before="200" w:line="276" w:lineRule="auto"/>
        <w:ind w:left="0"/>
        <w:contextualSpacing w:val="0"/>
        <w:jc w:val="both"/>
        <w:rPr>
          <w:rFonts w:asciiTheme="minorHAnsi" w:hAnsiTheme="minorHAnsi" w:cs="Calibri"/>
          <w:b/>
          <w:iCs/>
        </w:rPr>
      </w:pPr>
      <w:r w:rsidRPr="00E00FA3">
        <w:rPr>
          <w:rStyle w:val="Emphasis"/>
          <w:rFonts w:asciiTheme="minorHAnsi" w:hAnsiTheme="minorHAnsi" w:cs="Calibri"/>
          <w:b/>
          <w:i w:val="0"/>
        </w:rPr>
        <w:t>Respecto de la sostenibilidad</w:t>
      </w:r>
    </w:p>
    <w:p w:rsidR="00235AAE" w:rsidRDefault="00235AAE" w:rsidP="00D657C5">
      <w:pPr>
        <w:spacing w:before="200" w:line="276" w:lineRule="auto"/>
        <w:jc w:val="both"/>
        <w:rPr>
          <w:rStyle w:val="Emphasis"/>
          <w:rFonts w:asciiTheme="minorHAnsi" w:eastAsia="Times New Roman" w:hAnsiTheme="minorHAnsi" w:cs="Calibri"/>
          <w:i w:val="0"/>
        </w:rPr>
      </w:pPr>
      <w:r w:rsidRPr="00E00FA3">
        <w:rPr>
          <w:rStyle w:val="Emphasis"/>
          <w:rFonts w:asciiTheme="minorHAnsi" w:eastAsia="Times New Roman" w:hAnsiTheme="minorHAnsi" w:cs="Calibri"/>
          <w:i w:val="0"/>
        </w:rPr>
        <w:t xml:space="preserve">Como se explicitó en el marco conceptual la sostenibilidad implica identificar si es probable que los beneficios del programa continúen después de financiación de los donantes ha sido retirada. Tal como se expresó en el gráfico </w:t>
      </w:r>
      <w:r w:rsidR="007B0DC7" w:rsidRPr="007B0DC7">
        <w:rPr>
          <w:rStyle w:val="Emphasis"/>
          <w:rFonts w:asciiTheme="minorHAnsi" w:eastAsia="Times New Roman" w:hAnsiTheme="minorHAnsi" w:cs="Calibri"/>
          <w:i w:val="0"/>
        </w:rPr>
        <w:t>5.</w:t>
      </w:r>
      <w:r w:rsidR="007B0DC7">
        <w:rPr>
          <w:rStyle w:val="Emphasis"/>
          <w:rFonts w:asciiTheme="minorHAnsi" w:eastAsia="Times New Roman" w:hAnsiTheme="minorHAnsi" w:cs="Calibri"/>
          <w:i w:val="0"/>
        </w:rPr>
        <w:t>9</w:t>
      </w:r>
      <w:r w:rsidRPr="00E00FA3">
        <w:rPr>
          <w:rStyle w:val="Emphasis"/>
          <w:rFonts w:asciiTheme="minorHAnsi" w:eastAsia="Times New Roman" w:hAnsiTheme="minorHAnsi" w:cs="Calibri"/>
          <w:i w:val="0"/>
        </w:rPr>
        <w:t xml:space="preserve"> sobre la o</w:t>
      </w:r>
      <w:r w:rsidRPr="00E00FA3">
        <w:rPr>
          <w:rStyle w:val="Emphasis"/>
          <w:rFonts w:asciiTheme="minorHAnsi" w:eastAsia="Times New Roman" w:hAnsiTheme="minorHAnsi" w:cs="Calibri"/>
          <w:i w:val="0"/>
          <w:iCs w:val="0"/>
        </w:rPr>
        <w:t>pinión de la viabilidad del proyecto de investigación si no se hubiera contado con el financiamiento del PROCIT de los be</w:t>
      </w:r>
      <w:r w:rsidR="007B0DC7">
        <w:rPr>
          <w:rStyle w:val="Emphasis"/>
          <w:rFonts w:asciiTheme="minorHAnsi" w:eastAsia="Times New Roman" w:hAnsiTheme="minorHAnsi" w:cs="Calibri"/>
          <w:i w:val="0"/>
          <w:iCs w:val="0"/>
        </w:rPr>
        <w:t>neficiarios, como en el gráfico 5.12</w:t>
      </w:r>
      <w:r w:rsidRPr="00E00FA3">
        <w:rPr>
          <w:rStyle w:val="Emphasis"/>
          <w:rFonts w:asciiTheme="minorHAnsi" w:eastAsia="Times New Roman" w:hAnsiTheme="minorHAnsi" w:cs="Calibri"/>
          <w:i w:val="0"/>
          <w:iCs w:val="0"/>
        </w:rPr>
        <w:t xml:space="preserve"> de la t</w:t>
      </w:r>
      <w:r w:rsidRPr="00E00FA3">
        <w:rPr>
          <w:rStyle w:val="Emphasis"/>
          <w:rFonts w:asciiTheme="minorHAnsi" w:eastAsia="Times New Roman" w:hAnsiTheme="minorHAnsi" w:cs="Calibri"/>
          <w:i w:val="0"/>
        </w:rPr>
        <w:t>asa de implementación de proyectos no beneficiarios del subsidio</w:t>
      </w:r>
      <w:r>
        <w:rPr>
          <w:rStyle w:val="Emphasis"/>
          <w:rFonts w:asciiTheme="minorHAnsi" w:eastAsia="Times New Roman" w:hAnsiTheme="minorHAnsi" w:cs="Calibri"/>
          <w:i w:val="0"/>
        </w:rPr>
        <w:t>, la sostenibilidad de los proyectos no será viable por un período prolongado sin el aporte de otros subsidios. En este sentido, aquellos investigadores que hayan conseguido subsidios de otras instituciones o consigan de nuevos fondos se mantendrán en el t</w:t>
      </w:r>
      <w:r w:rsidR="007B0DC7">
        <w:rPr>
          <w:rStyle w:val="Emphasis"/>
          <w:rFonts w:asciiTheme="minorHAnsi" w:eastAsia="Times New Roman" w:hAnsiTheme="minorHAnsi" w:cs="Calibri"/>
          <w:i w:val="0"/>
        </w:rPr>
        <w:t xml:space="preserve">iempo pero de lo contrario las </w:t>
      </w:r>
      <w:r>
        <w:rPr>
          <w:rStyle w:val="Emphasis"/>
          <w:rFonts w:asciiTheme="minorHAnsi" w:eastAsia="Times New Roman" w:hAnsiTheme="minorHAnsi" w:cs="Calibri"/>
          <w:i w:val="0"/>
        </w:rPr>
        <w:t>posibilidades de ser sostenibles en</w:t>
      </w:r>
      <w:r w:rsidR="007B0DC7">
        <w:rPr>
          <w:rStyle w:val="Emphasis"/>
          <w:rFonts w:asciiTheme="minorHAnsi" w:eastAsia="Times New Roman" w:hAnsiTheme="minorHAnsi" w:cs="Calibri"/>
          <w:i w:val="0"/>
        </w:rPr>
        <w:t xml:space="preserve"> estas fases de los proyectos son</w:t>
      </w:r>
      <w:r>
        <w:rPr>
          <w:rStyle w:val="Emphasis"/>
          <w:rFonts w:asciiTheme="minorHAnsi" w:eastAsia="Times New Roman" w:hAnsiTheme="minorHAnsi" w:cs="Calibri"/>
          <w:i w:val="0"/>
        </w:rPr>
        <w:t xml:space="preserve"> muy baja</w:t>
      </w:r>
      <w:r w:rsidR="007B0DC7">
        <w:rPr>
          <w:rStyle w:val="Emphasis"/>
          <w:rFonts w:asciiTheme="minorHAnsi" w:eastAsia="Times New Roman" w:hAnsiTheme="minorHAnsi" w:cs="Calibri"/>
          <w:i w:val="0"/>
        </w:rPr>
        <w:t>s</w:t>
      </w:r>
      <w:r>
        <w:rPr>
          <w:rStyle w:val="Emphasis"/>
          <w:rFonts w:asciiTheme="minorHAnsi" w:eastAsia="Times New Roman" w:hAnsiTheme="minorHAnsi" w:cs="Calibri"/>
          <w:i w:val="0"/>
        </w:rPr>
        <w:t xml:space="preserve">. </w:t>
      </w:r>
    </w:p>
    <w:p w:rsidR="00235AAE" w:rsidRDefault="00235AAE" w:rsidP="00D657C5">
      <w:pPr>
        <w:spacing w:before="200" w:line="276" w:lineRule="auto"/>
        <w:jc w:val="both"/>
        <w:rPr>
          <w:rStyle w:val="Emphasis"/>
          <w:rFonts w:asciiTheme="minorHAnsi" w:eastAsia="Times New Roman" w:hAnsiTheme="minorHAnsi" w:cs="Calibri"/>
          <w:i w:val="0"/>
        </w:rPr>
      </w:pPr>
      <w:r>
        <w:rPr>
          <w:rStyle w:val="Emphasis"/>
          <w:rFonts w:asciiTheme="minorHAnsi" w:eastAsia="Times New Roman" w:hAnsiTheme="minorHAnsi" w:cs="Calibri"/>
          <w:i w:val="0"/>
        </w:rPr>
        <w:t xml:space="preserve">Durante las visitas la información relevada de los informantes clave indicaba que en los casos en que se consiguieron nuevos o diversos financiamientos se continúan las actividades con expectativas de avanzar en nuevos proyectos con objetivos más amplios. En los demás casos que no contaban con otro financiamiento tras la consecución de los objetivos planteados en los fondos las actividades habrían disminuido considerablemente o parado por tiempo indeterminado hasta conseguir nuevos fondos. </w:t>
      </w:r>
    </w:p>
    <w:p w:rsidR="00235AAE" w:rsidRPr="00235AAE" w:rsidRDefault="00235AAE" w:rsidP="00D4326F">
      <w:pPr>
        <w:rPr>
          <w:rFonts w:asciiTheme="minorHAnsi" w:hAnsiTheme="minorHAnsi" w:cstheme="minorHAnsi"/>
          <w:lang w:eastAsia="en-US"/>
        </w:rPr>
      </w:pPr>
    </w:p>
    <w:p w:rsidR="00D4326F" w:rsidRDefault="00D4326F" w:rsidP="002D7EE9">
      <w:pPr>
        <w:pStyle w:val="Heading3"/>
        <w:numPr>
          <w:ilvl w:val="2"/>
          <w:numId w:val="4"/>
        </w:numPr>
        <w:rPr>
          <w:rStyle w:val="Emphasis"/>
          <w:rFonts w:cs="Calibri"/>
          <w:i/>
        </w:rPr>
      </w:pPr>
      <w:bookmarkStart w:id="128" w:name="_Toc375211973"/>
      <w:r>
        <w:rPr>
          <w:rStyle w:val="Emphasis"/>
          <w:rFonts w:cs="Calibri"/>
          <w:i/>
        </w:rPr>
        <w:t>Conclusiones y recomendaciones</w:t>
      </w:r>
      <w:bookmarkEnd w:id="128"/>
    </w:p>
    <w:p w:rsidR="00E0722F" w:rsidRPr="00A05A7F" w:rsidRDefault="00E0722F" w:rsidP="00E0722F">
      <w:pPr>
        <w:pStyle w:val="ListParagraph"/>
        <w:spacing w:before="200" w:line="276" w:lineRule="auto"/>
        <w:ind w:left="0"/>
        <w:contextualSpacing w:val="0"/>
        <w:jc w:val="both"/>
        <w:rPr>
          <w:rStyle w:val="Emphasis"/>
          <w:rFonts w:ascii="Calibri" w:hAnsi="Calibri" w:cs="Calibri"/>
          <w:i w:val="0"/>
        </w:rPr>
      </w:pPr>
      <w:r w:rsidRPr="00A05A7F">
        <w:rPr>
          <w:rStyle w:val="Emphasis"/>
          <w:rFonts w:ascii="Calibri" w:hAnsi="Calibri" w:cs="Calibri"/>
          <w:i w:val="0"/>
        </w:rPr>
        <w:t>La implementación de este sub-componente le ha permitido a CONACYT comenzar a cumplir con su función básica, entendida como el establecimiento de condiciones adecuadas para la realización de actividades científico-tecnológicas en el Paraguay. Claramente,</w:t>
      </w:r>
      <w:r>
        <w:rPr>
          <w:rStyle w:val="Emphasis"/>
          <w:rFonts w:ascii="Calibri" w:hAnsi="Calibri" w:cs="Calibri"/>
          <w:i w:val="0"/>
        </w:rPr>
        <w:t xml:space="preserve"> con la implementación del PROCIT</w:t>
      </w:r>
      <w:r w:rsidRPr="00A05A7F">
        <w:rPr>
          <w:rStyle w:val="Emphasis"/>
          <w:rFonts w:ascii="Calibri" w:hAnsi="Calibri" w:cs="Calibri"/>
          <w:i w:val="0"/>
        </w:rPr>
        <w:t xml:space="preserve"> se abrió una etapa de oportunidad para investigar en el país, dándose ahora las condiciones mínimas necesarias para el desarrollo profesional de la investigación científica, llenándose un claro vacío institucional.</w:t>
      </w:r>
    </w:p>
    <w:p w:rsidR="00E0722F" w:rsidRPr="00A05A7F" w:rsidRDefault="00E0722F" w:rsidP="00E0722F">
      <w:pPr>
        <w:pStyle w:val="ListParagraph"/>
        <w:spacing w:before="200" w:line="276" w:lineRule="auto"/>
        <w:ind w:left="0"/>
        <w:contextualSpacing w:val="0"/>
        <w:jc w:val="both"/>
        <w:rPr>
          <w:rStyle w:val="Emphasis"/>
          <w:rFonts w:ascii="Calibri" w:hAnsi="Calibri" w:cs="Calibri"/>
          <w:i w:val="0"/>
        </w:rPr>
      </w:pPr>
    </w:p>
    <w:p w:rsidR="00E0722F" w:rsidRDefault="00E0722F" w:rsidP="00E0722F">
      <w:pPr>
        <w:pStyle w:val="ListParagraph"/>
        <w:spacing w:before="200" w:line="276" w:lineRule="auto"/>
        <w:ind w:left="0"/>
        <w:contextualSpacing w:val="0"/>
        <w:jc w:val="both"/>
        <w:rPr>
          <w:rStyle w:val="Emphasis"/>
          <w:rFonts w:ascii="Calibri" w:hAnsi="Calibri" w:cs="Calibri"/>
          <w:i w:val="0"/>
        </w:rPr>
      </w:pPr>
      <w:r w:rsidRPr="00A05A7F">
        <w:rPr>
          <w:rStyle w:val="Emphasis"/>
          <w:rFonts w:ascii="Calibri" w:hAnsi="Calibri" w:cs="Calibri"/>
          <w:i w:val="0"/>
        </w:rPr>
        <w:t>Se han dado los primeros pasos hacia la creación de una cultura de la investigación, donde la investigación es valorada a través del otorgamiento de subsidios periódicos y donde se da importancia a la investigación colaborativa a través de proyectos conjuntos entre varias instituciones. El mecanismo de financiamiento por concursos anuales funcionó bien, con un nivel de demanda estable, de calidad y una selectividad muy alta, lo que garantiza el futuro uso responsable de recursos adicionales, a través de un mayor número de proyectos como de proyectos de mayor envergadura. Se han conformado nuevos núcleos de investigación, principalmente alrededor de científicos recientemente regresados del exterior y de investigadores residentes en Paraguay que se encuentran iniciando su trayectoria científica. Estos núcleos de investigación tienen un fuerte liderazgo científico, similar al de otros países de la región. Con un financiamiento sustancial y continuado en el tiempo, dichos núcleos pueden evolucionar hasta transformarse en centros de excelencia en investigación.</w:t>
      </w:r>
    </w:p>
    <w:p w:rsidR="00CA22D8" w:rsidRDefault="00E0722F" w:rsidP="00E0722F">
      <w:pPr>
        <w:pStyle w:val="ListParagraph"/>
        <w:spacing w:before="200" w:line="276" w:lineRule="auto"/>
        <w:ind w:left="0"/>
        <w:contextualSpacing w:val="0"/>
        <w:jc w:val="both"/>
        <w:rPr>
          <w:rStyle w:val="Emphasis"/>
          <w:rFonts w:ascii="Calibri" w:hAnsi="Calibri" w:cs="Calibri"/>
          <w:i w:val="0"/>
        </w:rPr>
      </w:pPr>
      <w:r w:rsidRPr="00A05A7F">
        <w:rPr>
          <w:rStyle w:val="Emphasis"/>
          <w:rFonts w:ascii="Calibri" w:hAnsi="Calibri" w:cs="Calibri"/>
          <w:i w:val="0"/>
        </w:rPr>
        <w:t>La distribución de proyectos aprobados refleja las capacidades d</w:t>
      </w:r>
      <w:r>
        <w:rPr>
          <w:rStyle w:val="Emphasis"/>
          <w:rFonts w:ascii="Calibri" w:hAnsi="Calibri" w:cs="Calibri"/>
          <w:i w:val="0"/>
        </w:rPr>
        <w:t>e investigación previas a PROCIT</w:t>
      </w:r>
      <w:r w:rsidRPr="00A05A7F">
        <w:rPr>
          <w:rStyle w:val="Emphasis"/>
          <w:rFonts w:ascii="Calibri" w:hAnsi="Calibri" w:cs="Calibri"/>
          <w:i w:val="0"/>
        </w:rPr>
        <w:t>, tanto a nivel institucional y geográfico, como de temáticas de investigación. El número de proyectos financiados y los montos correspondientes han sido adecuados como comienzo de un proceso que debe ampliars</w:t>
      </w:r>
      <w:r w:rsidR="00CA22D8">
        <w:rPr>
          <w:rStyle w:val="Emphasis"/>
          <w:rFonts w:ascii="Calibri" w:hAnsi="Calibri" w:cs="Calibri"/>
          <w:i w:val="0"/>
        </w:rPr>
        <w:t>e en el tiempo y ya en PROCIENCIA</w:t>
      </w:r>
      <w:r w:rsidRPr="00A05A7F">
        <w:rPr>
          <w:rStyle w:val="Emphasis"/>
          <w:rFonts w:ascii="Calibri" w:hAnsi="Calibri" w:cs="Calibri"/>
          <w:i w:val="0"/>
        </w:rPr>
        <w:t xml:space="preserve"> se contemplan montos mucho mayores a los financiados hasta el momento, lo cual es muy positivo.</w:t>
      </w:r>
    </w:p>
    <w:p w:rsidR="00E0722F" w:rsidRPr="00A05A7F" w:rsidRDefault="00E0722F" w:rsidP="00E0722F">
      <w:pPr>
        <w:pStyle w:val="ListParagraph"/>
        <w:spacing w:before="200" w:line="276" w:lineRule="auto"/>
        <w:ind w:left="0"/>
        <w:contextualSpacing w:val="0"/>
        <w:jc w:val="both"/>
        <w:rPr>
          <w:rStyle w:val="Emphasis"/>
          <w:rFonts w:ascii="Calibri" w:hAnsi="Calibri" w:cs="Calibri"/>
          <w:i w:val="0"/>
        </w:rPr>
      </w:pPr>
      <w:r w:rsidRPr="00DB5141">
        <w:rPr>
          <w:rStyle w:val="Emphasis"/>
          <w:rFonts w:ascii="Calibri" w:hAnsi="Calibri" w:cs="Calibri"/>
          <w:i w:val="0"/>
          <w:lang w:val="es-ES_tradnl"/>
        </w:rPr>
        <w:t>Teniendo en cuenta las características de este subcomponente, sus principales logros y resultados, se sugieren algunas acciones para mejorar futuras convocatorias:</w:t>
      </w:r>
    </w:p>
    <w:p w:rsidR="00E0722F" w:rsidRPr="00DB5141" w:rsidRDefault="00E0722F" w:rsidP="00E0722F">
      <w:pPr>
        <w:pStyle w:val="ListParagraph"/>
        <w:spacing w:before="200" w:line="276" w:lineRule="auto"/>
        <w:ind w:left="0"/>
        <w:contextualSpacing w:val="0"/>
        <w:jc w:val="both"/>
        <w:rPr>
          <w:rStyle w:val="Emphasis"/>
          <w:rFonts w:ascii="Calibri" w:hAnsi="Calibri" w:cs="Calibri"/>
          <w:b/>
          <w:i w:val="0"/>
        </w:rPr>
      </w:pPr>
      <w:r w:rsidRPr="00DB5141">
        <w:rPr>
          <w:rStyle w:val="Emphasis"/>
          <w:rFonts w:ascii="Calibri" w:hAnsi="Calibri" w:cs="Calibri"/>
          <w:b/>
          <w:i w:val="0"/>
        </w:rPr>
        <w:t>Eficacia</w:t>
      </w:r>
    </w:p>
    <w:p w:rsidR="00E0722F" w:rsidRPr="00DB5141" w:rsidRDefault="00E0722F" w:rsidP="00E0722F">
      <w:pPr>
        <w:pStyle w:val="ListParagraph"/>
        <w:spacing w:before="200" w:line="276" w:lineRule="auto"/>
        <w:ind w:left="0"/>
        <w:contextualSpacing w:val="0"/>
        <w:jc w:val="both"/>
        <w:rPr>
          <w:rStyle w:val="Emphasis"/>
          <w:rFonts w:ascii="Calibri" w:hAnsi="Calibri" w:cs="Calibri"/>
          <w:i w:val="0"/>
        </w:rPr>
      </w:pPr>
      <w:r w:rsidRPr="00DB5141">
        <w:rPr>
          <w:rStyle w:val="Emphasis"/>
          <w:rFonts w:ascii="Calibri" w:hAnsi="Calibri" w:cs="Calibri"/>
          <w:u w:val="single"/>
        </w:rPr>
        <w:t>Incentivar a los jóvenes investigadores</w:t>
      </w:r>
      <w:r w:rsidRPr="00DB5141">
        <w:rPr>
          <w:rStyle w:val="Emphasis"/>
          <w:rFonts w:ascii="Calibri" w:hAnsi="Calibri" w:cs="Calibri"/>
          <w:i w:val="0"/>
        </w:rPr>
        <w:t xml:space="preserve">. Los casos de involucramiento de jóvenes investigadores/estudiantes que participan como becarios en los centros y laboratorios instalados son muy pocos. Sería positivo considerar incentivos a los estudiantes para que participen de los proyectos, generen sus propias líneas de investigación y puedan en un futuro tener publicaciones o ampliar sus conocimientos. </w:t>
      </w:r>
    </w:p>
    <w:p w:rsidR="00E0722F" w:rsidRPr="00DB5141" w:rsidRDefault="00E0722F" w:rsidP="00E0722F">
      <w:pPr>
        <w:pStyle w:val="ListParagraph"/>
        <w:spacing w:before="200" w:line="276" w:lineRule="auto"/>
        <w:ind w:left="0"/>
        <w:contextualSpacing w:val="0"/>
        <w:jc w:val="both"/>
        <w:rPr>
          <w:rStyle w:val="Emphasis"/>
          <w:rFonts w:ascii="Calibri" w:hAnsi="Calibri" w:cs="Calibri"/>
          <w:i w:val="0"/>
        </w:rPr>
      </w:pPr>
      <w:r w:rsidRPr="00DB5141">
        <w:rPr>
          <w:rStyle w:val="Emphasis"/>
          <w:rFonts w:ascii="Calibri" w:hAnsi="Calibri" w:cs="Calibri"/>
          <w:u w:val="single"/>
        </w:rPr>
        <w:t>Efectuar un trato diferencial a los proyectos provenientes del interior</w:t>
      </w:r>
      <w:r w:rsidRPr="00DB5141">
        <w:rPr>
          <w:rStyle w:val="Emphasis"/>
          <w:rFonts w:ascii="Calibri" w:hAnsi="Calibri" w:cs="Calibri"/>
          <w:i w:val="0"/>
        </w:rPr>
        <w:t xml:space="preserve">. Teniendo en cuenta las dificultades temporales y espaciales para la presentación de los mismos en los plazos establecidos, una convocatoria a proyectos del interior exclusivamente facilitaría el contacto y la participación de los aspirantes a concursar. </w:t>
      </w:r>
    </w:p>
    <w:p w:rsidR="001860F3" w:rsidRDefault="001860F3" w:rsidP="00E0722F">
      <w:pPr>
        <w:pStyle w:val="ListParagraph"/>
        <w:spacing w:before="200" w:line="276" w:lineRule="auto"/>
        <w:ind w:left="0"/>
        <w:contextualSpacing w:val="0"/>
        <w:jc w:val="both"/>
        <w:rPr>
          <w:rStyle w:val="Emphasis"/>
          <w:rFonts w:ascii="Calibri" w:hAnsi="Calibri" w:cs="Calibri"/>
          <w:b/>
          <w:i w:val="0"/>
        </w:rPr>
      </w:pPr>
    </w:p>
    <w:p w:rsidR="00E0722F" w:rsidRPr="00DB5141" w:rsidRDefault="00E0722F" w:rsidP="00E0722F">
      <w:pPr>
        <w:pStyle w:val="ListParagraph"/>
        <w:spacing w:before="200" w:line="276" w:lineRule="auto"/>
        <w:ind w:left="0"/>
        <w:contextualSpacing w:val="0"/>
        <w:jc w:val="both"/>
        <w:rPr>
          <w:rStyle w:val="Emphasis"/>
          <w:rFonts w:ascii="Calibri" w:hAnsi="Calibri" w:cs="Calibri"/>
          <w:b/>
          <w:i w:val="0"/>
        </w:rPr>
      </w:pPr>
      <w:r w:rsidRPr="00DB5141">
        <w:rPr>
          <w:rStyle w:val="Emphasis"/>
          <w:rFonts w:ascii="Calibri" w:hAnsi="Calibri" w:cs="Calibri"/>
          <w:b/>
          <w:i w:val="0"/>
        </w:rPr>
        <w:lastRenderedPageBreak/>
        <w:t>Eficiencia</w:t>
      </w:r>
    </w:p>
    <w:p w:rsidR="00E0722F" w:rsidRPr="00DB5141" w:rsidRDefault="00E0722F" w:rsidP="00E0722F">
      <w:pPr>
        <w:pStyle w:val="ListParagraph"/>
        <w:spacing w:before="200" w:line="276" w:lineRule="auto"/>
        <w:ind w:left="0"/>
        <w:contextualSpacing w:val="0"/>
        <w:jc w:val="both"/>
        <w:rPr>
          <w:rStyle w:val="Emphasis"/>
          <w:rFonts w:ascii="Calibri" w:hAnsi="Calibri" w:cs="Calibri"/>
          <w:i w:val="0"/>
        </w:rPr>
      </w:pPr>
      <w:r w:rsidRPr="00DB5141">
        <w:rPr>
          <w:rStyle w:val="Emphasis"/>
          <w:rFonts w:ascii="Calibri" w:hAnsi="Calibri" w:cs="Calibri"/>
          <w:u w:val="single"/>
        </w:rPr>
        <w:t>Generar nuevas líneas de financiamiento</w:t>
      </w:r>
      <w:r w:rsidRPr="00DB5141">
        <w:rPr>
          <w:rStyle w:val="Emphasis"/>
          <w:rFonts w:ascii="Calibri" w:hAnsi="Calibri" w:cs="Calibri"/>
          <w:i w:val="0"/>
        </w:rPr>
        <w:t xml:space="preserve">. Estas líneas deberían estar canalizadas por el CONACYT, pero con el presupuesto del estado y a largo plazo. Aún falta una figura estatal que sirva como receptor de las demandas y que financie los proyectos a largo plazo. Falta una política pública en materia de innovación sostenida con presupuesto del estado. </w:t>
      </w:r>
    </w:p>
    <w:p w:rsidR="00E0722F" w:rsidRPr="00DB5141" w:rsidRDefault="00E0722F" w:rsidP="00E0722F">
      <w:pPr>
        <w:pStyle w:val="ListParagraph"/>
        <w:spacing w:before="200" w:line="276" w:lineRule="auto"/>
        <w:ind w:left="0"/>
        <w:contextualSpacing w:val="0"/>
        <w:jc w:val="both"/>
        <w:rPr>
          <w:rFonts w:ascii="Calibri" w:hAnsi="Calibri" w:cs="Calibri"/>
        </w:rPr>
      </w:pPr>
      <w:r w:rsidRPr="00DB5141">
        <w:rPr>
          <w:rStyle w:val="Emphasis"/>
          <w:rFonts w:ascii="Calibri" w:hAnsi="Calibri" w:cs="Calibri"/>
          <w:u w:val="single"/>
        </w:rPr>
        <w:t>Otorgar subsidios directamente al investigador</w:t>
      </w:r>
      <w:r w:rsidRPr="00DB5141">
        <w:rPr>
          <w:rStyle w:val="Emphasis"/>
          <w:rFonts w:ascii="Calibri" w:hAnsi="Calibri" w:cs="Calibri"/>
        </w:rPr>
        <w:t>.</w:t>
      </w:r>
      <w:r w:rsidRPr="00DB5141">
        <w:rPr>
          <w:rStyle w:val="Emphasis"/>
          <w:rFonts w:ascii="Calibri" w:hAnsi="Calibri" w:cs="Calibri"/>
          <w:i w:val="0"/>
        </w:rPr>
        <w:t xml:space="preserve"> Es recomendable evaluar los proyectos que han tenido éxito y cuyos resultados demuestran un avance significativo, y otorgar el subsidio directamente al investigador, quien podría utilizar esos fondos a su discreción, facilitando los procesos administrativos y rindiendo cuentas claras y transparentes al organismo financiador</w:t>
      </w:r>
      <w:r w:rsidRPr="00DB5141">
        <w:rPr>
          <w:rStyle w:val="FootnoteReference"/>
          <w:rFonts w:ascii="Calibri" w:hAnsi="Calibri" w:cs="Calibri"/>
        </w:rPr>
        <w:footnoteReference w:id="15"/>
      </w:r>
      <w:r w:rsidRPr="00DB5141">
        <w:rPr>
          <w:rFonts w:ascii="Calibri" w:hAnsi="Calibri" w:cs="Calibri"/>
        </w:rPr>
        <w:t xml:space="preserve">. </w:t>
      </w:r>
      <w:r>
        <w:rPr>
          <w:rFonts w:ascii="Calibri" w:hAnsi="Calibri" w:cs="Calibri"/>
        </w:rPr>
        <w:t xml:space="preserve"> Un buen ejemplo del uso de este procedimiento es la Iniciativa Científica del Milenio (ICM) en Chile, que lo ha estado implementando por más de 10 años.  </w:t>
      </w:r>
    </w:p>
    <w:p w:rsidR="00E0722F" w:rsidRPr="00DB5141" w:rsidRDefault="00E0722F" w:rsidP="00E0722F">
      <w:pPr>
        <w:pStyle w:val="ListParagraph"/>
        <w:spacing w:before="200" w:line="276" w:lineRule="auto"/>
        <w:ind w:left="0"/>
        <w:contextualSpacing w:val="0"/>
        <w:jc w:val="both"/>
        <w:rPr>
          <w:rStyle w:val="Emphasis"/>
          <w:rFonts w:ascii="Calibri" w:hAnsi="Calibri" w:cs="Calibri"/>
          <w:i w:val="0"/>
        </w:rPr>
      </w:pPr>
      <w:r w:rsidRPr="00DB5141">
        <w:rPr>
          <w:rStyle w:val="Emphasis"/>
          <w:rFonts w:ascii="Calibri" w:hAnsi="Calibri" w:cs="Calibri"/>
          <w:u w:val="single"/>
        </w:rPr>
        <w:t>Ampliar los fondos de subsidios</w:t>
      </w:r>
      <w:r w:rsidRPr="00DB5141">
        <w:rPr>
          <w:rStyle w:val="Emphasis"/>
          <w:rFonts w:ascii="Calibri" w:hAnsi="Calibri" w:cs="Calibri"/>
          <w:i w:val="0"/>
        </w:rPr>
        <w:t>. En general los proyectos surgidos del PROCIT han alcanzado la fase de prueba piloto pero, para llegar a</w:t>
      </w:r>
      <w:r w:rsidR="00B80BCF">
        <w:rPr>
          <w:rStyle w:val="Emphasis"/>
          <w:rFonts w:ascii="Calibri" w:hAnsi="Calibri" w:cs="Calibri"/>
          <w:i w:val="0"/>
        </w:rPr>
        <w:t>l patentamiento</w:t>
      </w:r>
      <w:r w:rsidRPr="00DB5141">
        <w:rPr>
          <w:rStyle w:val="Emphasis"/>
          <w:rFonts w:ascii="Calibri" w:hAnsi="Calibri" w:cs="Calibri"/>
          <w:i w:val="0"/>
        </w:rPr>
        <w:t xml:space="preserve">/publicación del producto/investigación, es necesaria la continuidad de los proyectos, la compra de equipos y </w:t>
      </w:r>
      <w:r>
        <w:rPr>
          <w:rStyle w:val="Emphasis"/>
          <w:rFonts w:ascii="Calibri" w:hAnsi="Calibri" w:cs="Calibri"/>
          <w:i w:val="0"/>
        </w:rPr>
        <w:t xml:space="preserve">la incorporación de estudiantes, particularmente de doctorado. </w:t>
      </w:r>
      <w:r w:rsidRPr="00DB5141">
        <w:rPr>
          <w:rStyle w:val="Emphasis"/>
          <w:rFonts w:ascii="Calibri" w:hAnsi="Calibri" w:cs="Calibri"/>
          <w:i w:val="0"/>
        </w:rPr>
        <w:t xml:space="preserve"> </w:t>
      </w:r>
    </w:p>
    <w:p w:rsidR="00E0722F" w:rsidRPr="00DB5141" w:rsidRDefault="00E0722F" w:rsidP="00E0722F">
      <w:pPr>
        <w:pStyle w:val="ListParagraph"/>
        <w:spacing w:before="200" w:line="276" w:lineRule="auto"/>
        <w:ind w:left="0"/>
        <w:contextualSpacing w:val="0"/>
        <w:jc w:val="both"/>
        <w:rPr>
          <w:rStyle w:val="Emphasis"/>
          <w:rFonts w:ascii="Calibri" w:hAnsi="Calibri" w:cs="Calibri"/>
          <w:b/>
          <w:i w:val="0"/>
        </w:rPr>
      </w:pPr>
      <w:r w:rsidRPr="00DB5141">
        <w:rPr>
          <w:rStyle w:val="Emphasis"/>
          <w:rFonts w:ascii="Calibri" w:hAnsi="Calibri" w:cs="Calibri"/>
          <w:b/>
          <w:i w:val="0"/>
        </w:rPr>
        <w:t>Resultados e impacto</w:t>
      </w:r>
    </w:p>
    <w:p w:rsidR="00E0722F" w:rsidRPr="00DB5141" w:rsidRDefault="00E0722F" w:rsidP="00E0722F">
      <w:pPr>
        <w:pStyle w:val="ListParagraph"/>
        <w:spacing w:before="200" w:line="276" w:lineRule="auto"/>
        <w:ind w:left="0"/>
        <w:contextualSpacing w:val="0"/>
        <w:jc w:val="both"/>
        <w:rPr>
          <w:rStyle w:val="Emphasis"/>
          <w:rFonts w:ascii="Calibri" w:hAnsi="Calibri" w:cs="Calibri"/>
          <w:i w:val="0"/>
        </w:rPr>
      </w:pPr>
      <w:r w:rsidRPr="00DB5141">
        <w:rPr>
          <w:rStyle w:val="Emphasis"/>
          <w:rFonts w:ascii="Calibri" w:hAnsi="Calibri" w:cs="Calibri"/>
          <w:u w:val="single"/>
        </w:rPr>
        <w:t>Ampliar la formación de recursos humanos.</w:t>
      </w:r>
      <w:r w:rsidRPr="00DB5141">
        <w:rPr>
          <w:rStyle w:val="Emphasis"/>
          <w:rFonts w:ascii="Calibri" w:hAnsi="Calibri" w:cs="Calibri"/>
          <w:i w:val="0"/>
        </w:rPr>
        <w:t xml:space="preserve"> Especialmente en el país y en carreras específicas de alta tecnología para evitar la migración de los investigadores y generar incentivos para repatriar a aquellos que residan en otros países.  </w:t>
      </w:r>
    </w:p>
    <w:p w:rsidR="00E0722F" w:rsidRPr="00DB5141" w:rsidRDefault="00E0722F" w:rsidP="00E0722F">
      <w:pPr>
        <w:pStyle w:val="ListParagraph"/>
        <w:spacing w:before="200" w:line="276" w:lineRule="auto"/>
        <w:ind w:left="0"/>
        <w:contextualSpacing w:val="0"/>
        <w:jc w:val="both"/>
        <w:rPr>
          <w:rStyle w:val="Emphasis"/>
          <w:rFonts w:ascii="Calibri" w:hAnsi="Calibri" w:cs="Calibri"/>
          <w:i w:val="0"/>
        </w:rPr>
      </w:pPr>
      <w:r w:rsidRPr="00DB5141">
        <w:rPr>
          <w:rStyle w:val="Emphasis"/>
          <w:rFonts w:ascii="Calibri" w:hAnsi="Calibri" w:cs="Calibri"/>
          <w:u w:val="single"/>
        </w:rPr>
        <w:t>Formular estrategias de incentivo al patentamiento/publicación de los productos/ investigaciones</w:t>
      </w:r>
      <w:r w:rsidRPr="00DB5141">
        <w:rPr>
          <w:rStyle w:val="Emphasis"/>
          <w:rFonts w:ascii="Calibri" w:hAnsi="Calibri" w:cs="Calibri"/>
          <w:i w:val="0"/>
        </w:rPr>
        <w:t xml:space="preserve">. Una de ellas podría ser la capacitación de los investigadores sobre las cuestiones normativas de patentamiento en Paraguay. En este sentido, se debería buscar otra forma de generar la protección de los resultados en las investigaciones. Se recomienda explorar opciones como derechos de autor, registros de marca u otros menos problemáticos. </w:t>
      </w:r>
    </w:p>
    <w:p w:rsidR="00E0722F" w:rsidRPr="00DB5141" w:rsidRDefault="00E0722F" w:rsidP="00E0722F">
      <w:pPr>
        <w:pStyle w:val="ListParagraph"/>
        <w:spacing w:before="200" w:line="276" w:lineRule="auto"/>
        <w:ind w:left="0"/>
        <w:contextualSpacing w:val="0"/>
        <w:jc w:val="both"/>
        <w:rPr>
          <w:rStyle w:val="Emphasis"/>
          <w:rFonts w:ascii="Calibri" w:hAnsi="Calibri" w:cs="Calibri"/>
          <w:i w:val="0"/>
        </w:rPr>
      </w:pPr>
      <w:r w:rsidRPr="00DB5141">
        <w:rPr>
          <w:rStyle w:val="Emphasis"/>
          <w:rFonts w:ascii="Calibri" w:hAnsi="Calibri" w:cs="Calibri"/>
          <w:u w:val="single"/>
        </w:rPr>
        <w:t>Reforzar asociaciones con empresas</w:t>
      </w:r>
      <w:r w:rsidRPr="00DB5141">
        <w:rPr>
          <w:rStyle w:val="Emphasis"/>
          <w:rFonts w:ascii="Calibri" w:hAnsi="Calibri" w:cs="Calibri"/>
          <w:i w:val="0"/>
        </w:rPr>
        <w:t xml:space="preserve">. Los proyectos más exitosos han sido aquellos en los que el subsidio permitió alcanzar algunos resultados que sirvieron como disparadores para nuevas alianzas y búsqueda de fondos alternativos, generándose la posibilidad de seguir adelante con nuevas técnicas y perfeccionamiento. </w:t>
      </w:r>
    </w:p>
    <w:p w:rsidR="00E0722F" w:rsidRPr="00DB5141" w:rsidRDefault="00E0722F" w:rsidP="00E0722F">
      <w:pPr>
        <w:pStyle w:val="ListParagraph"/>
        <w:spacing w:before="200" w:line="276" w:lineRule="auto"/>
        <w:ind w:left="0"/>
        <w:contextualSpacing w:val="0"/>
        <w:jc w:val="both"/>
        <w:rPr>
          <w:rStyle w:val="Emphasis"/>
          <w:rFonts w:ascii="Calibri" w:hAnsi="Calibri" w:cs="Calibri"/>
          <w:i w:val="0"/>
        </w:rPr>
      </w:pPr>
      <w:r w:rsidRPr="00DB5141">
        <w:rPr>
          <w:rStyle w:val="Emphasis"/>
          <w:rFonts w:ascii="Calibri" w:hAnsi="Calibri" w:cs="Calibri"/>
          <w:u w:val="single"/>
        </w:rPr>
        <w:lastRenderedPageBreak/>
        <w:t>Asesorar con expertos en planes de negocios y estudios de mercado a los investigadores</w:t>
      </w:r>
      <w:r w:rsidRPr="00DB5141">
        <w:rPr>
          <w:rStyle w:val="Emphasis"/>
          <w:rFonts w:ascii="Calibri" w:hAnsi="Calibri" w:cs="Calibri"/>
          <w:i w:val="0"/>
        </w:rPr>
        <w:t xml:space="preserve">. De esta manera se podrían generar incentivos para conocer las características y posibilidades de inserción/ innovación de su producto en el mercado al que se desee apuntar. </w:t>
      </w:r>
    </w:p>
    <w:p w:rsidR="007A62FA" w:rsidRDefault="007A62FA" w:rsidP="00E0722F">
      <w:pPr>
        <w:spacing w:before="200" w:line="276" w:lineRule="auto"/>
        <w:rPr>
          <w:rFonts w:asciiTheme="minorHAnsi" w:hAnsiTheme="minorHAnsi" w:cstheme="minorHAnsi"/>
          <w:b/>
          <w:lang w:val="es-ES_tradnl" w:eastAsia="en-US"/>
        </w:rPr>
      </w:pPr>
    </w:p>
    <w:p w:rsidR="00E0722F" w:rsidRPr="00DB5141" w:rsidRDefault="00E0722F" w:rsidP="00E0722F">
      <w:pPr>
        <w:spacing w:before="200" w:line="276" w:lineRule="auto"/>
        <w:rPr>
          <w:rFonts w:asciiTheme="minorHAnsi" w:hAnsiTheme="minorHAnsi" w:cstheme="minorHAnsi"/>
          <w:b/>
          <w:lang w:val="es-ES_tradnl" w:eastAsia="en-US"/>
        </w:rPr>
      </w:pPr>
      <w:r w:rsidRPr="00DB5141">
        <w:rPr>
          <w:rFonts w:asciiTheme="minorHAnsi" w:hAnsiTheme="minorHAnsi" w:cstheme="minorHAnsi"/>
          <w:b/>
          <w:lang w:val="es-ES_tradnl" w:eastAsia="en-US"/>
        </w:rPr>
        <w:t>Sostenibilidad</w:t>
      </w:r>
    </w:p>
    <w:p w:rsidR="00E0722F" w:rsidRPr="00C76D9B" w:rsidRDefault="00E0722F" w:rsidP="00E0722F">
      <w:pPr>
        <w:pStyle w:val="ListParagraph"/>
        <w:spacing w:before="200" w:line="276" w:lineRule="auto"/>
        <w:ind w:left="0"/>
        <w:contextualSpacing w:val="0"/>
        <w:jc w:val="both"/>
        <w:rPr>
          <w:rStyle w:val="Emphasis"/>
          <w:rFonts w:ascii="Calibri" w:hAnsi="Calibri" w:cs="Calibri"/>
          <w:i w:val="0"/>
        </w:rPr>
      </w:pPr>
      <w:r w:rsidRPr="00C76D9B">
        <w:rPr>
          <w:rStyle w:val="Emphasis"/>
          <w:rFonts w:ascii="Calibri" w:hAnsi="Calibri" w:cs="Calibri"/>
          <w:iCs w:val="0"/>
          <w:u w:val="single"/>
        </w:rPr>
        <w:t>Financiar la compra de equipamiento </w:t>
      </w:r>
      <w:r>
        <w:rPr>
          <w:rStyle w:val="Emphasis"/>
          <w:rFonts w:ascii="Calibri" w:hAnsi="Calibri" w:cs="Calibri"/>
          <w:iCs w:val="0"/>
          <w:u w:val="single"/>
        </w:rPr>
        <w:t>mediano y mayor</w:t>
      </w:r>
      <w:r w:rsidRPr="00E0722F">
        <w:rPr>
          <w:rStyle w:val="Emphasis"/>
          <w:rFonts w:ascii="Calibri" w:hAnsi="Calibri" w:cs="Calibri"/>
          <w:iCs w:val="0"/>
        </w:rPr>
        <w:t>.</w:t>
      </w:r>
      <w:r>
        <w:rPr>
          <w:rStyle w:val="Emphasis"/>
          <w:rFonts w:ascii="Calibri" w:hAnsi="Calibri" w:cs="Calibri"/>
          <w:iCs w:val="0"/>
        </w:rPr>
        <w:t xml:space="preserve"> </w:t>
      </w:r>
      <w:r w:rsidRPr="00C76D9B">
        <w:rPr>
          <w:rStyle w:val="Emphasis"/>
          <w:rFonts w:ascii="Calibri" w:hAnsi="Calibri" w:cs="Calibri"/>
          <w:i w:val="0"/>
        </w:rPr>
        <w:t>Este tipo de inversiones, además de ser muy necesarias en este momento en Paraguay, dotan de una infraestructura básica a los grupos de investigación que les permite realizar investigaciones futuras con menor costo adicional relativo. También, contar con equipamiento adecuado les facilita a los investigadores conseguir financiamiento de fuentes diferentes del CONACYT, ya sea de organizaciones internacionales (haciendo propuestas de proyectos más ambiciosas) o del sector privado (ofreciendo servicios pagos). El equipamiento mediano puede ser un gasto elegible en proyectos individuales o asociativos, mientras que el equipamiento mayor se puede financiar a través del establecimiento de centros de equipamiento de uso compartido.</w:t>
      </w:r>
    </w:p>
    <w:p w:rsidR="00E0722F" w:rsidRPr="00E0722F" w:rsidRDefault="00E0722F" w:rsidP="00E0722F">
      <w:pPr>
        <w:pStyle w:val="ListParagraph"/>
        <w:spacing w:before="200" w:line="276" w:lineRule="auto"/>
        <w:ind w:left="0"/>
        <w:contextualSpacing w:val="0"/>
        <w:jc w:val="both"/>
        <w:rPr>
          <w:rStyle w:val="Emphasis"/>
          <w:rFonts w:ascii="Calibri" w:hAnsi="Calibri" w:cs="Calibri"/>
          <w:u w:val="single"/>
        </w:rPr>
      </w:pPr>
      <w:r w:rsidRPr="00C76D9B">
        <w:rPr>
          <w:rStyle w:val="Emphasis"/>
          <w:rFonts w:ascii="Calibri" w:hAnsi="Calibri" w:cs="Calibri"/>
          <w:iCs w:val="0"/>
          <w:u w:val="single"/>
        </w:rPr>
        <w:t>Apalancar recursos a nivel nacional para la realización de proyectos internacionales</w:t>
      </w:r>
      <w:r>
        <w:rPr>
          <w:rStyle w:val="Emphasis"/>
          <w:rFonts w:ascii="Calibri" w:hAnsi="Calibri" w:cs="Calibri"/>
          <w:i w:val="0"/>
        </w:rPr>
        <w:t xml:space="preserve">. </w:t>
      </w:r>
      <w:r w:rsidRPr="00C76D9B">
        <w:rPr>
          <w:rStyle w:val="Emphasis"/>
          <w:rFonts w:ascii="Calibri" w:hAnsi="Calibri" w:cs="Calibri"/>
          <w:i w:val="0"/>
        </w:rPr>
        <w:t>Por ejemplo a través de la realización de convenios de cofinanciamiento con países limítrofes, permitiendo el acceso a know-how e infraestructura existente en dichos países. Además, convenios con organizaciones como Fullbright permite que los beneficios de la formación de recursos de alto nivel se extiendan en el tiempo al insertarse los beneficiarios en redes de carácter internacional.</w:t>
      </w:r>
    </w:p>
    <w:p w:rsidR="00E0722F" w:rsidRPr="005830C2" w:rsidRDefault="00E0722F" w:rsidP="007F2F3F">
      <w:pPr>
        <w:rPr>
          <w:rFonts w:asciiTheme="minorHAnsi" w:hAnsiTheme="minorHAnsi" w:cstheme="minorHAnsi"/>
          <w:b/>
          <w:lang w:eastAsia="en-US"/>
        </w:rPr>
      </w:pPr>
    </w:p>
    <w:p w:rsidR="007F2F3F" w:rsidRPr="005830C2" w:rsidRDefault="007F2F3F" w:rsidP="007F2F3F">
      <w:pPr>
        <w:rPr>
          <w:rFonts w:asciiTheme="minorHAnsi" w:hAnsiTheme="minorHAnsi" w:cstheme="minorHAnsi"/>
          <w:b/>
          <w:lang w:val="es-ES_tradnl" w:eastAsia="en-US"/>
        </w:rPr>
      </w:pPr>
    </w:p>
    <w:p w:rsidR="00896EBF" w:rsidRDefault="00896EBF" w:rsidP="007F2F3F">
      <w:pPr>
        <w:pStyle w:val="Default"/>
        <w:spacing w:before="60" w:after="60" w:line="288" w:lineRule="auto"/>
        <w:jc w:val="both"/>
        <w:rPr>
          <w:rFonts w:asciiTheme="minorHAnsi" w:hAnsiTheme="minorHAnsi"/>
          <w:b/>
          <w:sz w:val="20"/>
          <w:szCs w:val="20"/>
        </w:rPr>
      </w:pPr>
    </w:p>
    <w:p w:rsidR="00480839" w:rsidRDefault="00480839">
      <w:pPr>
        <w:rPr>
          <w:rFonts w:asciiTheme="minorHAnsi" w:hAnsiTheme="minorHAnsi"/>
          <w:b/>
          <w:color w:val="000000"/>
          <w:sz w:val="20"/>
          <w:szCs w:val="20"/>
          <w:lang w:val="es-AR" w:eastAsia="es-AR"/>
        </w:rPr>
      </w:pPr>
      <w:r>
        <w:rPr>
          <w:rFonts w:asciiTheme="minorHAnsi" w:hAnsiTheme="minorHAnsi"/>
          <w:b/>
          <w:sz w:val="20"/>
          <w:szCs w:val="20"/>
        </w:rPr>
        <w:br w:type="page"/>
      </w:r>
    </w:p>
    <w:p w:rsidR="005830C2" w:rsidRDefault="005830C2" w:rsidP="007F2F3F">
      <w:pPr>
        <w:pStyle w:val="Default"/>
        <w:spacing w:before="60" w:after="60" w:line="288" w:lineRule="auto"/>
        <w:jc w:val="both"/>
        <w:rPr>
          <w:rFonts w:asciiTheme="minorHAnsi" w:hAnsiTheme="minorHAnsi"/>
          <w:b/>
          <w:sz w:val="20"/>
          <w:szCs w:val="20"/>
        </w:rPr>
      </w:pPr>
    </w:p>
    <w:p w:rsidR="005830C2" w:rsidRDefault="005830C2" w:rsidP="007F2F3F">
      <w:pPr>
        <w:pStyle w:val="Default"/>
        <w:spacing w:before="60" w:after="60" w:line="288" w:lineRule="auto"/>
        <w:jc w:val="both"/>
        <w:rPr>
          <w:rFonts w:asciiTheme="minorHAnsi" w:hAnsiTheme="minorHAnsi"/>
          <w:b/>
          <w:sz w:val="20"/>
          <w:szCs w:val="20"/>
        </w:rPr>
      </w:pPr>
    </w:p>
    <w:p w:rsidR="005830C2" w:rsidRDefault="005830C2" w:rsidP="007F2F3F">
      <w:pPr>
        <w:pStyle w:val="Default"/>
        <w:spacing w:before="60" w:after="60" w:line="288" w:lineRule="auto"/>
        <w:jc w:val="both"/>
        <w:rPr>
          <w:rFonts w:asciiTheme="minorHAnsi" w:hAnsiTheme="minorHAnsi"/>
          <w:b/>
          <w:sz w:val="20"/>
          <w:szCs w:val="20"/>
        </w:rPr>
      </w:pPr>
    </w:p>
    <w:p w:rsidR="007F2F3F" w:rsidRPr="00C447E8" w:rsidRDefault="00480839" w:rsidP="007F2F3F">
      <w:pPr>
        <w:pStyle w:val="Default"/>
        <w:spacing w:before="60" w:after="60" w:line="288" w:lineRule="auto"/>
        <w:jc w:val="both"/>
        <w:rPr>
          <w:rFonts w:asciiTheme="minorHAnsi" w:hAnsiTheme="minorHAnsi"/>
          <w:b/>
          <w:caps/>
          <w:sz w:val="20"/>
          <w:szCs w:val="20"/>
        </w:rPr>
      </w:pPr>
      <w:r>
        <w:rPr>
          <w:rFonts w:asciiTheme="minorHAnsi" w:hAnsiTheme="minorHAnsi"/>
          <w:b/>
          <w:noProof/>
          <w:sz w:val="20"/>
          <w:szCs w:val="20"/>
          <w:lang w:val="es-ES_tradnl" w:eastAsia="es-ES_tradnl"/>
        </w:rPr>
        <mc:AlternateContent>
          <mc:Choice Requires="wps">
            <w:drawing>
              <wp:anchor distT="0" distB="0" distL="114300" distR="114300" simplePos="0" relativeHeight="251659264" behindDoc="1" locked="0" layoutInCell="1" allowOverlap="1" wp14:anchorId="7DFBFB9D" wp14:editId="46F0B2DE">
                <wp:simplePos x="0" y="0"/>
                <wp:positionH relativeFrom="column">
                  <wp:posOffset>-118110</wp:posOffset>
                </wp:positionH>
                <wp:positionV relativeFrom="paragraph">
                  <wp:posOffset>-92710</wp:posOffset>
                </wp:positionV>
                <wp:extent cx="5874385" cy="5200650"/>
                <wp:effectExtent l="0" t="0" r="12065" b="19050"/>
                <wp:wrapNone/>
                <wp:docPr id="15" name="8 Rectángulo"/>
                <wp:cNvGraphicFramePr/>
                <a:graphic xmlns:a="http://schemas.openxmlformats.org/drawingml/2006/main">
                  <a:graphicData uri="http://schemas.microsoft.com/office/word/2010/wordprocessingShape">
                    <wps:wsp>
                      <wps:cNvSpPr/>
                      <wps:spPr>
                        <a:xfrm>
                          <a:off x="0" y="0"/>
                          <a:ext cx="5874385" cy="52006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8CEE7E" id="8 Rectángulo" o:spid="_x0000_s1026" style="position:absolute;margin-left:-9.3pt;margin-top:-7.3pt;width:462.55pt;height:4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" fillcolor="#dbe5f1 [660]" strokecolor="#243f60 [1604]" strokeweight="2pt"/>
            </w:pict>
          </mc:Fallback>
        </mc:AlternateContent>
      </w:r>
      <w:r w:rsidR="007F2F3F">
        <w:rPr>
          <w:rFonts w:asciiTheme="minorHAnsi" w:hAnsiTheme="minorHAnsi"/>
          <w:b/>
          <w:sz w:val="20"/>
          <w:szCs w:val="20"/>
        </w:rPr>
        <w:t>Título del proyecto: M</w:t>
      </w:r>
      <w:r w:rsidR="007F2F3F" w:rsidRPr="00C447E8">
        <w:rPr>
          <w:rFonts w:asciiTheme="minorHAnsi" w:hAnsiTheme="minorHAnsi"/>
          <w:b/>
          <w:sz w:val="20"/>
          <w:szCs w:val="20"/>
        </w:rPr>
        <w:t>ejorar la sobrevida de los niños con cáncer en Paraguay mediante la correcta caracterización diagnostica por inmunofenotipaje</w:t>
      </w:r>
    </w:p>
    <w:p w:rsidR="007F2F3F" w:rsidRPr="00DB5141" w:rsidRDefault="007F2F3F" w:rsidP="007F2F3F">
      <w:pPr>
        <w:spacing w:before="60" w:after="60" w:line="288" w:lineRule="auto"/>
        <w:jc w:val="both"/>
        <w:rPr>
          <w:rFonts w:asciiTheme="minorHAnsi" w:hAnsiTheme="minorHAnsi" w:cstheme="minorHAnsi"/>
          <w:sz w:val="16"/>
          <w:szCs w:val="16"/>
        </w:rPr>
      </w:pPr>
      <w:r w:rsidRPr="00DB5141">
        <w:rPr>
          <w:rFonts w:asciiTheme="minorHAnsi" w:hAnsiTheme="minorHAnsi" w:cstheme="minorHAnsi"/>
          <w:sz w:val="16"/>
          <w:szCs w:val="16"/>
        </w:rPr>
        <w:t>El cáncer es una enfermedad un poco precoz en pediatría pero se estima que</w:t>
      </w:r>
      <w:r w:rsidR="00896EBF">
        <w:rPr>
          <w:rFonts w:asciiTheme="minorHAnsi" w:hAnsiTheme="minorHAnsi" w:cstheme="minorHAnsi"/>
          <w:sz w:val="16"/>
          <w:szCs w:val="16"/>
        </w:rPr>
        <w:t xml:space="preserve"> siempre hay entre un 0,5 % y </w:t>
      </w:r>
      <w:r w:rsidRPr="00DB5141">
        <w:rPr>
          <w:rFonts w:asciiTheme="minorHAnsi" w:hAnsiTheme="minorHAnsi" w:cstheme="minorHAnsi"/>
          <w:sz w:val="16"/>
          <w:szCs w:val="16"/>
        </w:rPr>
        <w:t>1% en niños de 9 a 15 años. Con esta incidencia, en Paraguay existen entre 12 y 14 casos de cáncer pediátrico por cada 100 mil niños, es decir, 300 nuevos casos por año.</w:t>
      </w:r>
    </w:p>
    <w:p w:rsidR="007F2F3F" w:rsidRPr="00DB5141" w:rsidRDefault="007F2F3F" w:rsidP="007F2F3F">
      <w:pPr>
        <w:spacing w:before="60" w:after="60" w:line="288" w:lineRule="auto"/>
        <w:jc w:val="both"/>
        <w:rPr>
          <w:rFonts w:asciiTheme="minorHAnsi" w:hAnsiTheme="minorHAnsi" w:cstheme="minorHAnsi"/>
          <w:sz w:val="16"/>
          <w:szCs w:val="16"/>
        </w:rPr>
      </w:pPr>
      <w:r w:rsidRPr="00DB5141">
        <w:rPr>
          <w:rFonts w:asciiTheme="minorHAnsi" w:hAnsiTheme="minorHAnsi" w:cstheme="minorHAnsi"/>
          <w:sz w:val="16"/>
          <w:szCs w:val="16"/>
        </w:rPr>
        <w:t>La Leucemia es el cáncer más común que se diagnostica en niños y en adolescentes (23%), el 80% de los casos de leucemia son leucemias linfoblásticas agudas, sin embargo, las características morfológicas y clínicas resultan insuficientes para la correcta clasificación de las leucemias agudas y otras neoplasias Hematológicas. Por esta razón, el Inmunofenotipaje por Citometría de Flujo es fundamental en el diagnóstico, clasificación, pronóstico y tratamiento de pacientes con estas patologías</w:t>
      </w:r>
    </w:p>
    <w:p w:rsidR="007F2F3F" w:rsidRPr="00DB5141" w:rsidRDefault="007F2F3F" w:rsidP="007F2F3F">
      <w:pPr>
        <w:spacing w:before="60" w:after="60" w:line="288" w:lineRule="auto"/>
        <w:jc w:val="both"/>
        <w:rPr>
          <w:rFonts w:asciiTheme="minorHAnsi" w:hAnsiTheme="minorHAnsi" w:cstheme="minorHAnsi"/>
          <w:sz w:val="16"/>
          <w:szCs w:val="16"/>
        </w:rPr>
      </w:pPr>
      <w:r w:rsidRPr="00DB5141">
        <w:rPr>
          <w:rFonts w:asciiTheme="minorHAnsi" w:hAnsiTheme="minorHAnsi" w:cstheme="minorHAnsi"/>
          <w:sz w:val="16"/>
          <w:szCs w:val="16"/>
        </w:rPr>
        <w:t>¿Cuál fue el objetivo del proyecto? En primer lugar, mejorar el diagnóstico y el tratamiento de los niños con patologías oncológicas (pacientes pediátricos con leucemias agudas) mediante la implementación de un laboratorio de citometría de flujo</w:t>
      </w:r>
      <w:r w:rsidR="00896EBF">
        <w:rPr>
          <w:rFonts w:asciiTheme="minorHAnsi" w:hAnsiTheme="minorHAnsi" w:cstheme="minorHAnsi"/>
          <w:sz w:val="16"/>
          <w:szCs w:val="16"/>
        </w:rPr>
        <w:t xml:space="preserve"> </w:t>
      </w:r>
      <w:r w:rsidRPr="00DB5141">
        <w:rPr>
          <w:rFonts w:asciiTheme="minorHAnsi" w:hAnsiTheme="minorHAnsi" w:cstheme="minorHAnsi"/>
          <w:sz w:val="16"/>
          <w:szCs w:val="16"/>
        </w:rPr>
        <w:t xml:space="preserve">y, en segundo lugar, conocer mejor las patologías y poder identificar los grupos de riesgo, es decir, caracterizar las leucemias por Inmunofenotipo en los pacientes pediátricos </w:t>
      </w:r>
    </w:p>
    <w:p w:rsidR="007F2F3F" w:rsidRPr="00DB5141" w:rsidRDefault="007F2F3F" w:rsidP="007F2F3F">
      <w:pPr>
        <w:spacing w:before="60" w:after="60" w:line="288" w:lineRule="auto"/>
        <w:jc w:val="both"/>
        <w:rPr>
          <w:rFonts w:asciiTheme="minorHAnsi" w:hAnsiTheme="minorHAnsi" w:cstheme="minorHAnsi"/>
          <w:sz w:val="16"/>
          <w:szCs w:val="16"/>
        </w:rPr>
      </w:pPr>
      <w:r w:rsidRPr="00DB5141">
        <w:rPr>
          <w:rFonts w:asciiTheme="minorHAnsi" w:hAnsiTheme="minorHAnsi" w:cstheme="minorHAnsi"/>
          <w:sz w:val="16"/>
          <w:szCs w:val="16"/>
        </w:rPr>
        <w:t>Gracias al aporte del PROCIT el laboratorio de oncología pediátrica se inauguró el 15 de febrero de 2012 y la adquisición de insumos, reactivos y algunos de los equipamientos se compraron con el financiamiento.  Asimismo, otro de los resultados esperados, era obtener y contratar recursos humanos capacitados y actualmente el equipo cuenta con tres profesionales para el laboratorio dos de ellos capacitados en el hospital del niño Jesús de Madrid para poder aprender la técnica.</w:t>
      </w:r>
    </w:p>
    <w:p w:rsidR="007F2F3F" w:rsidRPr="00DB5141" w:rsidRDefault="007F2F3F" w:rsidP="007F2F3F">
      <w:pPr>
        <w:spacing w:before="60" w:after="60" w:line="288" w:lineRule="auto"/>
        <w:jc w:val="both"/>
        <w:rPr>
          <w:rFonts w:asciiTheme="minorHAnsi" w:hAnsiTheme="minorHAnsi" w:cstheme="minorHAnsi"/>
          <w:sz w:val="16"/>
          <w:szCs w:val="16"/>
        </w:rPr>
      </w:pPr>
      <w:r w:rsidRPr="00DB5141">
        <w:rPr>
          <w:rFonts w:asciiTheme="minorHAnsi" w:hAnsiTheme="minorHAnsi" w:cstheme="minorHAnsi"/>
          <w:sz w:val="16"/>
          <w:szCs w:val="16"/>
        </w:rPr>
        <w:t xml:space="preserve">¿Cuáles fueron los resultados de la investigación?  </w:t>
      </w:r>
      <w:r w:rsidRPr="00DB5141">
        <w:rPr>
          <w:rFonts w:asciiTheme="minorHAnsi" w:hAnsiTheme="minorHAnsi"/>
          <w:sz w:val="16"/>
          <w:szCs w:val="16"/>
        </w:rPr>
        <w:t xml:space="preserve">Se estudiaron 50 pacientes con leucemia aguda. </w:t>
      </w:r>
      <w:r w:rsidR="00896EBF">
        <w:rPr>
          <w:rFonts w:asciiTheme="minorHAnsi" w:hAnsiTheme="minorHAnsi"/>
          <w:sz w:val="16"/>
          <w:szCs w:val="16"/>
        </w:rPr>
        <w:t xml:space="preserve">Se observó que el 88 % (44/50) eran de linaje linfoide y </w:t>
      </w:r>
      <w:r w:rsidRPr="00DB5141">
        <w:rPr>
          <w:rFonts w:asciiTheme="minorHAnsi" w:hAnsiTheme="minorHAnsi"/>
          <w:sz w:val="16"/>
          <w:szCs w:val="16"/>
        </w:rPr>
        <w:t>12 % (6/50) de linaje mieloide. De las leucemias agudas linfoblásticas 86% (38/44) eran de células B precursoras y el 14 % (6/44) de células T.</w:t>
      </w:r>
      <w:r w:rsidRPr="00DB5141">
        <w:rPr>
          <w:rFonts w:asciiTheme="minorHAnsi" w:hAnsiTheme="minorHAnsi" w:cstheme="minorHAnsi"/>
          <w:sz w:val="16"/>
          <w:szCs w:val="16"/>
        </w:rPr>
        <w:t xml:space="preserve"> A partir de este descubrimiento, los pacientes fueron clasificados en grupos de riesgo y se les pudo dar el tratamiento adecuado. Un 66% de pacientes fueron de riesgo estándar y un 34% con riesgo alto y lo que es más importante, es que la mortalidad temprana en pacientes con leucemia linfoblastica aguda se redujo del 22% al 11%, lo que significó salvar una vida más por año.  Los resultados preliminares de la investigación, fueron presentados en el decimotercer congreso de pediatría en el año 2012 y obtuvo una mención de honor al mejor trabajo. </w:t>
      </w:r>
    </w:p>
    <w:p w:rsidR="007F2F3F" w:rsidRPr="00DB5141" w:rsidRDefault="007F2F3F" w:rsidP="007F2F3F">
      <w:pPr>
        <w:spacing w:before="60" w:after="60" w:line="288" w:lineRule="auto"/>
        <w:jc w:val="both"/>
        <w:rPr>
          <w:rFonts w:asciiTheme="minorHAnsi" w:hAnsiTheme="minorHAnsi" w:cstheme="minorHAnsi"/>
          <w:color w:val="000000" w:themeColor="text1"/>
          <w:sz w:val="16"/>
          <w:szCs w:val="16"/>
        </w:rPr>
      </w:pPr>
      <w:r w:rsidRPr="00DB5141">
        <w:rPr>
          <w:rFonts w:asciiTheme="minorHAnsi" w:hAnsiTheme="minorHAnsi" w:cstheme="minorHAnsi"/>
          <w:i/>
          <w:sz w:val="16"/>
          <w:szCs w:val="16"/>
        </w:rPr>
        <w:t xml:space="preserve">“Conseguimos establecer y estandarizar la técnica de citometria de flujo así con este proyecto. Pudimos ver la prevalencia de los distintos tipos de leucemias linfoblásticas agudas </w:t>
      </w:r>
      <w:r w:rsidRPr="00DB5141">
        <w:rPr>
          <w:rFonts w:asciiTheme="minorHAnsi" w:hAnsiTheme="minorHAnsi" w:cstheme="minorHAnsi"/>
          <w:i/>
          <w:color w:val="000000" w:themeColor="text1"/>
          <w:sz w:val="16"/>
          <w:szCs w:val="16"/>
        </w:rPr>
        <w:t xml:space="preserve">y sobre todo, el conocimiento de este inmunofenotipo nos permitió clasificar de forma correcta y adecuada a los tiempos, actualmente verdad, a las leucemias, mejorando la sobrevida de los niños con cáncer y sobre todo disminuyendo la mortalidad. Eso es lo que, agradecemos al </w:t>
      </w:r>
      <w:r w:rsidR="00D30CEF">
        <w:rPr>
          <w:rFonts w:asciiTheme="minorHAnsi" w:hAnsiTheme="minorHAnsi" w:cstheme="minorHAnsi"/>
          <w:i/>
          <w:color w:val="000000" w:themeColor="text1"/>
          <w:sz w:val="16"/>
          <w:szCs w:val="16"/>
        </w:rPr>
        <w:t>CONACYT</w:t>
      </w:r>
      <w:r w:rsidRPr="00DB5141">
        <w:rPr>
          <w:rFonts w:asciiTheme="minorHAnsi" w:hAnsiTheme="minorHAnsi" w:cstheme="minorHAnsi"/>
          <w:i/>
          <w:color w:val="000000" w:themeColor="text1"/>
          <w:sz w:val="16"/>
          <w:szCs w:val="16"/>
        </w:rPr>
        <w:t xml:space="preserve">” </w:t>
      </w:r>
      <w:r w:rsidRPr="00DB5141">
        <w:rPr>
          <w:rFonts w:asciiTheme="minorHAnsi" w:hAnsiTheme="minorHAnsi" w:cstheme="minorHAnsi"/>
          <w:color w:val="000000" w:themeColor="text1"/>
          <w:sz w:val="16"/>
          <w:szCs w:val="16"/>
        </w:rPr>
        <w:t xml:space="preserve">                                                                                                                                          </w:t>
      </w:r>
    </w:p>
    <w:p w:rsidR="007F2F3F" w:rsidRPr="00DB5141" w:rsidRDefault="007F2F3F" w:rsidP="007F2F3F">
      <w:pPr>
        <w:spacing w:before="60" w:after="60" w:line="288" w:lineRule="auto"/>
        <w:jc w:val="right"/>
        <w:rPr>
          <w:rFonts w:asciiTheme="minorHAnsi" w:hAnsiTheme="minorHAnsi" w:cstheme="minorHAnsi"/>
          <w:i/>
          <w:color w:val="000000" w:themeColor="text1"/>
          <w:sz w:val="16"/>
          <w:szCs w:val="16"/>
        </w:rPr>
      </w:pPr>
      <w:r w:rsidRPr="00DB5141">
        <w:rPr>
          <w:rFonts w:asciiTheme="minorHAnsi" w:hAnsiTheme="minorHAnsi" w:cstheme="minorHAnsi"/>
          <w:color w:val="000000" w:themeColor="text1"/>
          <w:sz w:val="16"/>
          <w:szCs w:val="16"/>
        </w:rPr>
        <w:t xml:space="preserve">                                                                                                          (Dra. Angelica Jimenez de Samudio. Responsable del proyecto y beneficiaria de los fondos del PROCIT para investigación)</w:t>
      </w:r>
    </w:p>
    <w:p w:rsidR="007F2F3F" w:rsidRDefault="007F2F3F" w:rsidP="007F2F3F"/>
    <w:p w:rsidR="007F2F3F" w:rsidRPr="002F5E2A" w:rsidRDefault="007F2F3F" w:rsidP="002D7EE9">
      <w:pPr>
        <w:pStyle w:val="ListParagraph"/>
        <w:keepNext/>
        <w:widowControl w:val="0"/>
        <w:numPr>
          <w:ilvl w:val="0"/>
          <w:numId w:val="3"/>
        </w:numPr>
        <w:tabs>
          <w:tab w:val="left" w:pos="0"/>
        </w:tabs>
        <w:spacing w:before="120" w:after="120" w:line="276" w:lineRule="auto"/>
        <w:contextualSpacing w:val="0"/>
        <w:jc w:val="both"/>
        <w:outlineLvl w:val="2"/>
        <w:rPr>
          <w:rStyle w:val="Emphasis"/>
          <w:rFonts w:ascii="Calibri" w:hAnsi="Calibri" w:cs="Calibri"/>
          <w:vanish/>
          <w:lang w:val="es-ES_tradnl" w:eastAsia="en-US"/>
        </w:rPr>
      </w:pPr>
      <w:bookmarkStart w:id="129" w:name="_Toc367283346"/>
      <w:bookmarkStart w:id="130" w:name="_Toc367364298"/>
      <w:bookmarkStart w:id="131" w:name="_Toc367386202"/>
      <w:bookmarkStart w:id="132" w:name="_Toc367386259"/>
      <w:bookmarkStart w:id="133" w:name="_Toc367386415"/>
      <w:bookmarkStart w:id="134" w:name="_Toc367392998"/>
      <w:bookmarkStart w:id="135" w:name="_Toc367393282"/>
      <w:bookmarkStart w:id="136" w:name="_Toc367441061"/>
      <w:bookmarkStart w:id="137" w:name="_Toc367445795"/>
      <w:bookmarkStart w:id="138" w:name="_Toc370915117"/>
      <w:bookmarkStart w:id="139" w:name="_Toc372972634"/>
      <w:bookmarkStart w:id="140" w:name="_Toc373246228"/>
      <w:bookmarkStart w:id="141" w:name="_Toc373422233"/>
      <w:bookmarkStart w:id="142" w:name="_Toc373431269"/>
      <w:bookmarkStart w:id="143" w:name="_Toc373434405"/>
      <w:bookmarkStart w:id="144" w:name="_Toc373503980"/>
      <w:bookmarkStart w:id="145" w:name="_Toc373504427"/>
      <w:bookmarkStart w:id="146" w:name="_Toc375091194"/>
      <w:bookmarkStart w:id="147" w:name="_Toc375092774"/>
      <w:bookmarkStart w:id="148" w:name="_Toc375148591"/>
      <w:bookmarkStart w:id="149" w:name="_Toc375150263"/>
      <w:bookmarkStart w:id="150" w:name="_Toc375211974"/>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7F2F3F" w:rsidRPr="002F5E2A" w:rsidRDefault="007F2F3F" w:rsidP="002D7EE9">
      <w:pPr>
        <w:pStyle w:val="ListParagraph"/>
        <w:keepNext/>
        <w:widowControl w:val="0"/>
        <w:numPr>
          <w:ilvl w:val="1"/>
          <w:numId w:val="3"/>
        </w:numPr>
        <w:tabs>
          <w:tab w:val="left" w:pos="0"/>
        </w:tabs>
        <w:spacing w:before="120" w:after="120" w:line="276" w:lineRule="auto"/>
        <w:contextualSpacing w:val="0"/>
        <w:jc w:val="both"/>
        <w:outlineLvl w:val="2"/>
        <w:rPr>
          <w:rStyle w:val="Emphasis"/>
          <w:rFonts w:ascii="Calibri" w:hAnsi="Calibri" w:cs="Calibri"/>
          <w:vanish/>
          <w:lang w:val="es-ES_tradnl" w:eastAsia="en-US"/>
        </w:rPr>
      </w:pPr>
      <w:bookmarkStart w:id="151" w:name="_Toc367283347"/>
      <w:bookmarkStart w:id="152" w:name="_Toc367364299"/>
      <w:bookmarkStart w:id="153" w:name="_Toc367386203"/>
      <w:bookmarkStart w:id="154" w:name="_Toc367386260"/>
      <w:bookmarkStart w:id="155" w:name="_Toc367386416"/>
      <w:bookmarkStart w:id="156" w:name="_Toc367392999"/>
      <w:bookmarkStart w:id="157" w:name="_Toc367393283"/>
      <w:bookmarkStart w:id="158" w:name="_Toc367441062"/>
      <w:bookmarkStart w:id="159" w:name="_Toc367445796"/>
      <w:bookmarkStart w:id="160" w:name="_Toc370915118"/>
      <w:bookmarkStart w:id="161" w:name="_Toc372972635"/>
      <w:bookmarkStart w:id="162" w:name="_Toc373246229"/>
      <w:bookmarkStart w:id="163" w:name="_Toc373422234"/>
      <w:bookmarkStart w:id="164" w:name="_Toc373431270"/>
      <w:bookmarkStart w:id="165" w:name="_Toc373434406"/>
      <w:bookmarkStart w:id="166" w:name="_Toc373503981"/>
      <w:bookmarkStart w:id="167" w:name="_Toc373504428"/>
      <w:bookmarkStart w:id="168" w:name="_Toc375091195"/>
      <w:bookmarkStart w:id="169" w:name="_Toc375092775"/>
      <w:bookmarkStart w:id="170" w:name="_Toc375148592"/>
      <w:bookmarkStart w:id="171" w:name="_Toc375150264"/>
      <w:bookmarkStart w:id="172" w:name="_Toc375211975"/>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D4326F" w:rsidRDefault="00D4326F" w:rsidP="00D4326F">
      <w:pPr>
        <w:rPr>
          <w:rFonts w:asciiTheme="minorHAnsi" w:hAnsiTheme="minorHAnsi" w:cstheme="minorHAnsi"/>
          <w:lang w:val="es-ES_tradnl" w:eastAsia="en-US"/>
        </w:rPr>
      </w:pPr>
    </w:p>
    <w:p w:rsidR="008C6725" w:rsidRDefault="008C6725" w:rsidP="00D4326F">
      <w:pPr>
        <w:rPr>
          <w:rFonts w:asciiTheme="minorHAnsi" w:hAnsiTheme="minorHAnsi" w:cstheme="minorHAnsi"/>
          <w:lang w:val="es-ES_tradnl" w:eastAsia="en-US"/>
        </w:rPr>
      </w:pPr>
    </w:p>
    <w:p w:rsidR="007A62FA" w:rsidRDefault="007A62FA">
      <w:pPr>
        <w:rPr>
          <w:rFonts w:ascii="Calibri" w:hAnsi="Calibri" w:cs="Calibri"/>
        </w:rPr>
      </w:pPr>
      <w:r>
        <w:rPr>
          <w:rFonts w:ascii="Calibri" w:hAnsi="Calibri" w:cs="Calibri"/>
        </w:rPr>
        <w:br w:type="page"/>
      </w:r>
    </w:p>
    <w:p w:rsidR="008C6725" w:rsidRPr="00B43238" w:rsidRDefault="008C6725" w:rsidP="008C6725">
      <w:pPr>
        <w:tabs>
          <w:tab w:val="left" w:pos="3840"/>
        </w:tabs>
        <w:rPr>
          <w:rFonts w:ascii="Calibri" w:hAnsi="Calibri" w:cs="Calibri"/>
        </w:rPr>
      </w:pPr>
    </w:p>
    <w:p w:rsidR="008C6725" w:rsidRDefault="008C6725" w:rsidP="008C6725">
      <w:pPr>
        <w:pStyle w:val="Heading2"/>
      </w:pPr>
      <w:bookmarkStart w:id="173" w:name="_Toc375211976"/>
      <w:r>
        <w:t xml:space="preserve">Logros en innovación </w:t>
      </w:r>
      <w:r w:rsidRPr="002F5E2A">
        <w:t>empresa</w:t>
      </w:r>
      <w:r>
        <w:t>rial</w:t>
      </w:r>
      <w:bookmarkEnd w:id="173"/>
      <w:r>
        <w:t xml:space="preserve">  </w:t>
      </w:r>
    </w:p>
    <w:p w:rsidR="008C6725" w:rsidRDefault="008C6725" w:rsidP="008C6725">
      <w:pPr>
        <w:pStyle w:val="Heading3"/>
        <w:numPr>
          <w:ilvl w:val="2"/>
          <w:numId w:val="4"/>
        </w:numPr>
        <w:rPr>
          <w:rStyle w:val="Emphasis"/>
          <w:rFonts w:cs="Calibri"/>
          <w:i/>
        </w:rPr>
      </w:pPr>
      <w:bookmarkStart w:id="174" w:name="_Toc375211977"/>
      <w:r>
        <w:rPr>
          <w:rStyle w:val="Emphasis"/>
          <w:rFonts w:cs="Calibri"/>
          <w:i/>
        </w:rPr>
        <w:t>Características del subcomponente</w:t>
      </w:r>
      <w:bookmarkEnd w:id="174"/>
    </w:p>
    <w:p w:rsidR="008C6725" w:rsidRDefault="008C6725" w:rsidP="008C6725">
      <w:pPr>
        <w:spacing w:after="200" w:line="276" w:lineRule="auto"/>
        <w:jc w:val="both"/>
        <w:rPr>
          <w:rFonts w:asciiTheme="minorHAnsi" w:hAnsiTheme="minorHAnsi" w:cstheme="minorHAnsi"/>
        </w:rPr>
      </w:pPr>
      <w:r>
        <w:rPr>
          <w:rFonts w:asciiTheme="minorHAnsi" w:hAnsiTheme="minorHAnsi" w:cstheme="minorHAnsi"/>
          <w:lang w:val="es-AR" w:eastAsia="en-US"/>
        </w:rPr>
        <w:t>El s</w:t>
      </w:r>
      <w:r w:rsidRPr="00890D13">
        <w:rPr>
          <w:rFonts w:asciiTheme="minorHAnsi" w:hAnsiTheme="minorHAnsi" w:cstheme="minorHAnsi"/>
          <w:lang w:val="es-AR" w:eastAsia="en-US"/>
        </w:rPr>
        <w:t>ubcomponente “Proyectos de innovación tecnológica en empresas” define como objetivo:</w:t>
      </w:r>
      <w:r>
        <w:rPr>
          <w:rFonts w:asciiTheme="minorHAnsi" w:hAnsiTheme="minorHAnsi" w:cstheme="minorHAnsi"/>
          <w:lang w:val="es-AR" w:eastAsia="en-US"/>
        </w:rPr>
        <w:t xml:space="preserve"> </w:t>
      </w:r>
      <w:r w:rsidRPr="00890D13">
        <w:rPr>
          <w:rFonts w:asciiTheme="minorHAnsi" w:hAnsiTheme="minorHAnsi" w:cstheme="minorHAnsi"/>
        </w:rPr>
        <w:t>“Promover la innovación tecnológica en empresas privadas. El Programa otorgará asistencia técnica y cofinanciamiento no reembolsable a proyectos de innovación presentados por empresas para el desarrollo o mejoramiento de productos y procesos, incluyendo la adopción de tecnologías limpias. Los proyectos podrán ser ejecutados por una empresa con su propio personal, un grupo de empresas asociadas, una empresa (o grupo) en asociación con instituciones de investigaciones sin fines de lucro, o subcontratando servicios con empresa</w:t>
      </w:r>
      <w:r>
        <w:rPr>
          <w:rFonts w:asciiTheme="minorHAnsi" w:hAnsiTheme="minorHAnsi" w:cstheme="minorHAnsi"/>
        </w:rPr>
        <w:t xml:space="preserve">s o consultores especializados. </w:t>
      </w:r>
      <w:r w:rsidRPr="00890D13">
        <w:rPr>
          <w:rFonts w:asciiTheme="minorHAnsi" w:hAnsiTheme="minorHAnsi" w:cstheme="minorHAnsi"/>
        </w:rPr>
        <w:t>Se financiar</w:t>
      </w:r>
      <w:r>
        <w:rPr>
          <w:rFonts w:asciiTheme="minorHAnsi" w:hAnsiTheme="minorHAnsi" w:cstheme="minorHAnsi"/>
        </w:rPr>
        <w:t>á</w:t>
      </w:r>
      <w:r w:rsidRPr="00890D13">
        <w:rPr>
          <w:rFonts w:asciiTheme="minorHAnsi" w:hAnsiTheme="minorHAnsi" w:cstheme="minorHAnsi"/>
        </w:rPr>
        <w:t>n proyectos de innovación que tengan como objetivo mejorar la competitividad, productividad y rentabilidad de las empresas, mediante la investigación y desarrollo de nuevos productos y/o procesos, para satisfacer necesidades y oportunidades de mercado, así como el mejoramiento de sus productos y/o procesos existentes.”</w:t>
      </w:r>
      <w:r w:rsidRPr="00890D13">
        <w:rPr>
          <w:rFonts w:asciiTheme="minorHAnsi" w:hAnsiTheme="minorHAnsi" w:cstheme="minorHAnsi"/>
          <w:vertAlign w:val="superscript"/>
        </w:rPr>
        <w:t xml:space="preserve"> </w:t>
      </w:r>
      <w:r w:rsidRPr="00890D13">
        <w:rPr>
          <w:rFonts w:asciiTheme="minorHAnsi" w:hAnsiTheme="minorHAnsi" w:cstheme="minorHAnsi"/>
          <w:vertAlign w:val="superscript"/>
        </w:rPr>
        <w:footnoteReference w:id="16"/>
      </w:r>
    </w:p>
    <w:p w:rsidR="008C6725" w:rsidRPr="00890D13" w:rsidRDefault="008C6725" w:rsidP="008C6725">
      <w:pPr>
        <w:pStyle w:val="DefaultStyle"/>
        <w:jc w:val="both"/>
        <w:rPr>
          <w:rFonts w:asciiTheme="minorHAnsi" w:hAnsiTheme="minorHAnsi" w:cstheme="minorHAnsi"/>
          <w:sz w:val="24"/>
          <w:szCs w:val="24"/>
        </w:rPr>
      </w:pPr>
      <w:r w:rsidRPr="00890D13">
        <w:rPr>
          <w:rFonts w:asciiTheme="minorHAnsi" w:hAnsiTheme="minorHAnsi" w:cstheme="minorHAnsi"/>
          <w:sz w:val="24"/>
          <w:szCs w:val="24"/>
        </w:rPr>
        <w:t>Las bases establecen que el subsidio ofrecido exige un cofinanciamiento de parte del beneficiario.</w:t>
      </w:r>
      <w:r>
        <w:rPr>
          <w:rFonts w:asciiTheme="minorHAnsi" w:hAnsiTheme="minorHAnsi" w:cstheme="minorHAnsi"/>
          <w:sz w:val="24"/>
          <w:szCs w:val="24"/>
        </w:rPr>
        <w:t xml:space="preserve"> El porcentaje de apoyo se establecería en</w:t>
      </w:r>
      <w:r w:rsidRPr="00890D13">
        <w:rPr>
          <w:rFonts w:asciiTheme="minorHAnsi" w:hAnsiTheme="minorHAnsi" w:cstheme="minorHAnsi"/>
          <w:sz w:val="24"/>
          <w:szCs w:val="24"/>
        </w:rPr>
        <w:t xml:space="preserve"> función del modelo de vinculación del beneficiario.</w:t>
      </w:r>
    </w:p>
    <w:p w:rsidR="008C6725" w:rsidRPr="00890D13" w:rsidRDefault="008C6725" w:rsidP="008C6725">
      <w:pPr>
        <w:pStyle w:val="DefaultStyle"/>
        <w:jc w:val="both"/>
        <w:rPr>
          <w:rFonts w:asciiTheme="minorHAnsi" w:hAnsiTheme="minorHAnsi" w:cstheme="minorHAnsi"/>
          <w:sz w:val="24"/>
          <w:szCs w:val="24"/>
        </w:rPr>
      </w:pPr>
      <w:r w:rsidRPr="00890D13">
        <w:rPr>
          <w:rFonts w:asciiTheme="minorHAnsi" w:hAnsiTheme="minorHAnsi" w:cstheme="minorHAnsi"/>
          <w:sz w:val="24"/>
          <w:szCs w:val="24"/>
        </w:rPr>
        <w:t>Se definió un subsidio de hasta un 70% del monto total del proyecto cuando se trate de proyectos en los que el be</w:t>
      </w:r>
      <w:r>
        <w:rPr>
          <w:rFonts w:asciiTheme="minorHAnsi" w:hAnsiTheme="minorHAnsi" w:cstheme="minorHAnsi"/>
          <w:sz w:val="24"/>
          <w:szCs w:val="24"/>
        </w:rPr>
        <w:t xml:space="preserve">neficiario sea una empresa que </w:t>
      </w:r>
      <w:r w:rsidRPr="00890D13">
        <w:rPr>
          <w:rFonts w:asciiTheme="minorHAnsi" w:hAnsiTheme="minorHAnsi" w:cstheme="minorHAnsi"/>
          <w:sz w:val="24"/>
          <w:szCs w:val="24"/>
        </w:rPr>
        <w:t xml:space="preserve">no esté vinculada a un centro de investigación y desarrollo; y hasta un 80% del monto total del proyecto cuando exista una vinculación entre empresa y centro de investigación y desarrollo, así como </w:t>
      </w:r>
      <w:r>
        <w:rPr>
          <w:rFonts w:asciiTheme="minorHAnsi" w:hAnsiTheme="minorHAnsi" w:cstheme="minorHAnsi"/>
          <w:sz w:val="24"/>
          <w:szCs w:val="24"/>
        </w:rPr>
        <w:t>también cuando el proyecto</w:t>
      </w:r>
      <w:r w:rsidRPr="00890D13">
        <w:rPr>
          <w:rFonts w:asciiTheme="minorHAnsi" w:hAnsiTheme="minorHAnsi" w:cstheme="minorHAnsi"/>
          <w:sz w:val="24"/>
          <w:szCs w:val="24"/>
        </w:rPr>
        <w:t xml:space="preserve"> sea presentado por grupos de al menos cuatro empresas.</w:t>
      </w:r>
    </w:p>
    <w:p w:rsidR="008C6725" w:rsidRPr="00890D13" w:rsidRDefault="008C6725" w:rsidP="008C6725">
      <w:pPr>
        <w:pStyle w:val="DefaultStyle"/>
        <w:jc w:val="both"/>
        <w:rPr>
          <w:rFonts w:asciiTheme="minorHAnsi" w:hAnsiTheme="minorHAnsi" w:cstheme="minorHAnsi"/>
          <w:sz w:val="24"/>
          <w:szCs w:val="24"/>
        </w:rPr>
      </w:pPr>
      <w:r w:rsidRPr="00890D13">
        <w:rPr>
          <w:rFonts w:asciiTheme="minorHAnsi" w:hAnsiTheme="minorHAnsi" w:cstheme="minorHAnsi"/>
          <w:sz w:val="24"/>
          <w:szCs w:val="24"/>
        </w:rPr>
        <w:t>Al comenzar el Programa, el subsidio máximo por proyecto fue fijado en el e</w:t>
      </w:r>
      <w:r>
        <w:rPr>
          <w:rFonts w:asciiTheme="minorHAnsi" w:hAnsiTheme="minorHAnsi" w:cstheme="minorHAnsi"/>
          <w:sz w:val="24"/>
          <w:szCs w:val="24"/>
        </w:rPr>
        <w:t>quivalente de 100.000 dólares estadounidenses</w:t>
      </w:r>
      <w:r w:rsidRPr="00890D13">
        <w:rPr>
          <w:rFonts w:asciiTheme="minorHAnsi" w:hAnsiTheme="minorHAnsi" w:cstheme="minorHAnsi"/>
          <w:sz w:val="24"/>
          <w:szCs w:val="24"/>
        </w:rPr>
        <w:t>.</w:t>
      </w:r>
      <w:r>
        <w:rPr>
          <w:rFonts w:asciiTheme="minorHAnsi" w:hAnsiTheme="minorHAnsi" w:cstheme="minorHAnsi"/>
          <w:sz w:val="24"/>
          <w:szCs w:val="24"/>
        </w:rPr>
        <w:t xml:space="preserve"> </w:t>
      </w:r>
      <w:r w:rsidRPr="00890D13">
        <w:rPr>
          <w:rFonts w:asciiTheme="minorHAnsi" w:hAnsiTheme="minorHAnsi" w:cstheme="minorHAnsi"/>
          <w:sz w:val="24"/>
          <w:szCs w:val="24"/>
        </w:rPr>
        <w:t xml:space="preserve">Sin embargo, luego el monto máximo de subsidio fue fijado en el equivalente de 40.000 dólares </w:t>
      </w:r>
      <w:r>
        <w:rPr>
          <w:rFonts w:asciiTheme="minorHAnsi" w:hAnsiTheme="minorHAnsi" w:cstheme="minorHAnsi"/>
          <w:sz w:val="24"/>
          <w:szCs w:val="24"/>
        </w:rPr>
        <w:t>estadounidenses</w:t>
      </w:r>
      <w:r w:rsidRPr="00890D13">
        <w:rPr>
          <w:rFonts w:asciiTheme="minorHAnsi" w:hAnsiTheme="minorHAnsi" w:cstheme="minorHAnsi"/>
          <w:sz w:val="24"/>
          <w:szCs w:val="24"/>
        </w:rPr>
        <w:t>.</w:t>
      </w:r>
    </w:p>
    <w:p w:rsidR="008C6725" w:rsidRPr="00890D13" w:rsidRDefault="008C6725" w:rsidP="008C6725">
      <w:pPr>
        <w:pStyle w:val="DefaultStyle"/>
        <w:jc w:val="both"/>
        <w:rPr>
          <w:rFonts w:asciiTheme="minorHAnsi" w:hAnsiTheme="minorHAnsi" w:cstheme="minorHAnsi"/>
          <w:sz w:val="24"/>
          <w:szCs w:val="24"/>
        </w:rPr>
      </w:pPr>
      <w:r w:rsidRPr="00890D13">
        <w:rPr>
          <w:rFonts w:asciiTheme="minorHAnsi" w:hAnsiTheme="minorHAnsi" w:cstheme="minorHAnsi"/>
          <w:sz w:val="24"/>
          <w:szCs w:val="24"/>
        </w:rPr>
        <w:t>El subcomponente de innovación ha funcionado con la modalidad de ventanilla abierta permanente.</w:t>
      </w:r>
    </w:p>
    <w:p w:rsidR="008C6725" w:rsidRDefault="008C6725" w:rsidP="008C6725">
      <w:pPr>
        <w:pStyle w:val="DefaultStyle"/>
        <w:jc w:val="both"/>
        <w:rPr>
          <w:rFonts w:asciiTheme="minorHAnsi" w:hAnsiTheme="minorHAnsi" w:cstheme="minorHAnsi"/>
          <w:sz w:val="24"/>
          <w:szCs w:val="24"/>
        </w:rPr>
      </w:pPr>
      <w:r w:rsidRPr="00890D13">
        <w:rPr>
          <w:rFonts w:asciiTheme="minorHAnsi" w:hAnsiTheme="minorHAnsi" w:cstheme="minorHAnsi"/>
          <w:sz w:val="24"/>
          <w:szCs w:val="24"/>
        </w:rPr>
        <w:t xml:space="preserve">El proceso general comprendía nueve pasos:  </w:t>
      </w:r>
    </w:p>
    <w:p w:rsidR="005830C2" w:rsidRDefault="005830C2" w:rsidP="008C6725">
      <w:pPr>
        <w:pStyle w:val="DefaultStyle"/>
        <w:jc w:val="both"/>
        <w:rPr>
          <w:rFonts w:asciiTheme="minorHAnsi" w:hAnsiTheme="minorHAnsi" w:cstheme="minorHAnsi"/>
          <w:sz w:val="24"/>
          <w:szCs w:val="24"/>
        </w:rPr>
      </w:pPr>
    </w:p>
    <w:p w:rsidR="008C6725" w:rsidRPr="00890D13" w:rsidRDefault="008C6725" w:rsidP="008C6725">
      <w:pPr>
        <w:pStyle w:val="DefaultStyle"/>
        <w:widowControl w:val="0"/>
        <w:numPr>
          <w:ilvl w:val="0"/>
          <w:numId w:val="15"/>
        </w:numPr>
        <w:tabs>
          <w:tab w:val="left" w:pos="360"/>
        </w:tabs>
        <w:spacing w:after="0"/>
        <w:jc w:val="both"/>
        <w:rPr>
          <w:rFonts w:asciiTheme="minorHAnsi" w:hAnsiTheme="minorHAnsi" w:cstheme="minorHAnsi"/>
          <w:sz w:val="24"/>
          <w:szCs w:val="24"/>
        </w:rPr>
      </w:pPr>
      <w:r w:rsidRPr="00890D13">
        <w:rPr>
          <w:rFonts w:asciiTheme="minorHAnsi" w:hAnsiTheme="minorHAnsi" w:cstheme="minorHAnsi"/>
          <w:spacing w:val="-2"/>
          <w:sz w:val="24"/>
          <w:szCs w:val="24"/>
        </w:rPr>
        <w:lastRenderedPageBreak/>
        <w:t>Recepción de la Propuesta.</w:t>
      </w:r>
    </w:p>
    <w:p w:rsidR="008C6725" w:rsidRPr="00890D13" w:rsidRDefault="008C6725" w:rsidP="008C6725">
      <w:pPr>
        <w:pStyle w:val="DefaultStyle"/>
        <w:widowControl w:val="0"/>
        <w:numPr>
          <w:ilvl w:val="0"/>
          <w:numId w:val="15"/>
        </w:numPr>
        <w:tabs>
          <w:tab w:val="left" w:pos="360"/>
        </w:tabs>
        <w:spacing w:after="0"/>
        <w:jc w:val="both"/>
        <w:rPr>
          <w:rFonts w:asciiTheme="minorHAnsi" w:hAnsiTheme="minorHAnsi" w:cstheme="minorHAnsi"/>
          <w:sz w:val="24"/>
          <w:szCs w:val="24"/>
        </w:rPr>
      </w:pPr>
      <w:r w:rsidRPr="00890D13">
        <w:rPr>
          <w:rFonts w:asciiTheme="minorHAnsi" w:hAnsiTheme="minorHAnsi" w:cstheme="minorHAnsi"/>
          <w:spacing w:val="-2"/>
          <w:sz w:val="24"/>
          <w:szCs w:val="24"/>
        </w:rPr>
        <w:t>Evaluación preliminar, por parte del Equipo Técnico del CONACYT, del cumplimento de requisitos mínimos establecidos.</w:t>
      </w:r>
    </w:p>
    <w:p w:rsidR="008C6725" w:rsidRPr="00890D13" w:rsidRDefault="008C6725" w:rsidP="008C6725">
      <w:pPr>
        <w:pStyle w:val="DefaultStyle"/>
        <w:widowControl w:val="0"/>
        <w:numPr>
          <w:ilvl w:val="0"/>
          <w:numId w:val="15"/>
        </w:numPr>
        <w:tabs>
          <w:tab w:val="left" w:pos="360"/>
        </w:tabs>
        <w:spacing w:after="0"/>
        <w:jc w:val="both"/>
        <w:rPr>
          <w:rFonts w:asciiTheme="minorHAnsi" w:hAnsiTheme="minorHAnsi" w:cstheme="minorHAnsi"/>
          <w:sz w:val="24"/>
          <w:szCs w:val="24"/>
        </w:rPr>
      </w:pPr>
      <w:r w:rsidRPr="00890D13">
        <w:rPr>
          <w:rFonts w:asciiTheme="minorHAnsi" w:hAnsiTheme="minorHAnsi" w:cstheme="minorHAnsi"/>
          <w:spacing w:val="-2"/>
          <w:sz w:val="24"/>
          <w:szCs w:val="24"/>
        </w:rPr>
        <w:t xml:space="preserve">Evaluación final de la solicitud a través de Evaluadores Individuales y aprobación por el </w:t>
      </w:r>
      <w:r w:rsidRPr="00890D13">
        <w:rPr>
          <w:rFonts w:asciiTheme="minorHAnsi" w:hAnsiTheme="minorHAnsi" w:cstheme="minorHAnsi"/>
          <w:sz w:val="24"/>
          <w:szCs w:val="24"/>
        </w:rPr>
        <w:t>Comité.</w:t>
      </w:r>
    </w:p>
    <w:p w:rsidR="008C6725" w:rsidRPr="00890D13" w:rsidRDefault="008C6725" w:rsidP="008C6725">
      <w:pPr>
        <w:pStyle w:val="DefaultStyle"/>
        <w:widowControl w:val="0"/>
        <w:numPr>
          <w:ilvl w:val="0"/>
          <w:numId w:val="15"/>
        </w:numPr>
        <w:tabs>
          <w:tab w:val="left" w:pos="360"/>
        </w:tabs>
        <w:spacing w:after="0"/>
        <w:jc w:val="both"/>
        <w:rPr>
          <w:rFonts w:asciiTheme="minorHAnsi" w:hAnsiTheme="minorHAnsi" w:cstheme="minorHAnsi"/>
          <w:sz w:val="24"/>
          <w:szCs w:val="24"/>
        </w:rPr>
      </w:pPr>
      <w:r w:rsidRPr="00890D13">
        <w:rPr>
          <w:rFonts w:asciiTheme="minorHAnsi" w:hAnsiTheme="minorHAnsi" w:cstheme="minorHAnsi"/>
          <w:spacing w:val="-2"/>
          <w:sz w:val="24"/>
          <w:szCs w:val="24"/>
        </w:rPr>
        <w:t xml:space="preserve">Aclaraciones. </w:t>
      </w:r>
    </w:p>
    <w:p w:rsidR="008C6725" w:rsidRPr="00890D13" w:rsidRDefault="008C6725" w:rsidP="008C6725">
      <w:pPr>
        <w:pStyle w:val="DefaultStyle"/>
        <w:widowControl w:val="0"/>
        <w:numPr>
          <w:ilvl w:val="0"/>
          <w:numId w:val="15"/>
        </w:numPr>
        <w:tabs>
          <w:tab w:val="left" w:pos="360"/>
        </w:tabs>
        <w:spacing w:after="0"/>
        <w:jc w:val="both"/>
        <w:rPr>
          <w:rFonts w:asciiTheme="minorHAnsi" w:hAnsiTheme="minorHAnsi" w:cstheme="minorHAnsi"/>
          <w:sz w:val="24"/>
          <w:szCs w:val="24"/>
        </w:rPr>
      </w:pPr>
      <w:r w:rsidRPr="00890D13">
        <w:rPr>
          <w:rFonts w:asciiTheme="minorHAnsi" w:hAnsiTheme="minorHAnsi" w:cstheme="minorHAnsi"/>
          <w:spacing w:val="-2"/>
          <w:sz w:val="24"/>
          <w:szCs w:val="24"/>
        </w:rPr>
        <w:t xml:space="preserve">Selección final.  </w:t>
      </w:r>
    </w:p>
    <w:p w:rsidR="008C6725" w:rsidRPr="00890D13" w:rsidRDefault="008C6725" w:rsidP="008C6725">
      <w:pPr>
        <w:pStyle w:val="DefaultStyle"/>
        <w:widowControl w:val="0"/>
        <w:numPr>
          <w:ilvl w:val="0"/>
          <w:numId w:val="15"/>
        </w:numPr>
        <w:tabs>
          <w:tab w:val="left" w:pos="360"/>
        </w:tabs>
        <w:spacing w:after="0"/>
        <w:jc w:val="both"/>
        <w:rPr>
          <w:rFonts w:asciiTheme="minorHAnsi" w:hAnsiTheme="minorHAnsi" w:cstheme="minorHAnsi"/>
          <w:sz w:val="24"/>
          <w:szCs w:val="24"/>
        </w:rPr>
      </w:pPr>
      <w:r w:rsidRPr="00890D13">
        <w:rPr>
          <w:rFonts w:asciiTheme="minorHAnsi" w:hAnsiTheme="minorHAnsi" w:cstheme="minorHAnsi"/>
          <w:spacing w:val="-2"/>
          <w:sz w:val="24"/>
          <w:szCs w:val="24"/>
        </w:rPr>
        <w:t>Firma de Contrato en el caso de aprobación</w:t>
      </w:r>
      <w:r>
        <w:rPr>
          <w:rFonts w:asciiTheme="minorHAnsi" w:hAnsiTheme="minorHAnsi" w:cstheme="minorHAnsi"/>
          <w:spacing w:val="-2"/>
          <w:sz w:val="24"/>
          <w:szCs w:val="24"/>
        </w:rPr>
        <w:t>.</w:t>
      </w:r>
      <w:r w:rsidRPr="00890D13">
        <w:rPr>
          <w:rFonts w:asciiTheme="minorHAnsi" w:hAnsiTheme="minorHAnsi" w:cstheme="minorHAnsi"/>
          <w:spacing w:val="-2"/>
          <w:sz w:val="24"/>
          <w:szCs w:val="24"/>
        </w:rPr>
        <w:t xml:space="preserve"> </w:t>
      </w:r>
    </w:p>
    <w:p w:rsidR="008C6725" w:rsidRPr="00890D13" w:rsidRDefault="008C6725" w:rsidP="008C6725">
      <w:pPr>
        <w:pStyle w:val="DefaultStyle"/>
        <w:widowControl w:val="0"/>
        <w:numPr>
          <w:ilvl w:val="0"/>
          <w:numId w:val="15"/>
        </w:numPr>
        <w:tabs>
          <w:tab w:val="left" w:pos="360"/>
        </w:tabs>
        <w:spacing w:after="0"/>
        <w:jc w:val="both"/>
        <w:rPr>
          <w:rFonts w:asciiTheme="minorHAnsi" w:hAnsiTheme="minorHAnsi" w:cstheme="minorHAnsi"/>
          <w:sz w:val="24"/>
          <w:szCs w:val="24"/>
        </w:rPr>
      </w:pPr>
      <w:r w:rsidRPr="00890D13">
        <w:rPr>
          <w:rFonts w:asciiTheme="minorHAnsi" w:hAnsiTheme="minorHAnsi" w:cstheme="minorHAnsi"/>
          <w:spacing w:val="-2"/>
          <w:sz w:val="24"/>
          <w:szCs w:val="24"/>
        </w:rPr>
        <w:t>Desembolsos.</w:t>
      </w:r>
    </w:p>
    <w:p w:rsidR="008C6725" w:rsidRPr="00890D13" w:rsidRDefault="008C6725" w:rsidP="008C6725">
      <w:pPr>
        <w:pStyle w:val="DefaultStyle"/>
        <w:widowControl w:val="0"/>
        <w:numPr>
          <w:ilvl w:val="0"/>
          <w:numId w:val="15"/>
        </w:numPr>
        <w:tabs>
          <w:tab w:val="left" w:pos="360"/>
        </w:tabs>
        <w:spacing w:after="0"/>
        <w:jc w:val="both"/>
        <w:rPr>
          <w:rFonts w:asciiTheme="minorHAnsi" w:hAnsiTheme="minorHAnsi" w:cstheme="minorHAnsi"/>
          <w:sz w:val="24"/>
          <w:szCs w:val="24"/>
        </w:rPr>
      </w:pPr>
      <w:r w:rsidRPr="00890D13">
        <w:rPr>
          <w:rFonts w:asciiTheme="minorHAnsi" w:hAnsiTheme="minorHAnsi" w:cstheme="minorHAnsi"/>
          <w:spacing w:val="-2"/>
          <w:sz w:val="24"/>
          <w:szCs w:val="24"/>
        </w:rPr>
        <w:t xml:space="preserve">Informes de Avance. </w:t>
      </w:r>
    </w:p>
    <w:p w:rsidR="008C6725" w:rsidRPr="00890D13" w:rsidRDefault="008C6725" w:rsidP="008C6725">
      <w:pPr>
        <w:pStyle w:val="DefaultStyle"/>
        <w:widowControl w:val="0"/>
        <w:numPr>
          <w:ilvl w:val="0"/>
          <w:numId w:val="15"/>
        </w:numPr>
        <w:tabs>
          <w:tab w:val="left" w:pos="360"/>
        </w:tabs>
        <w:jc w:val="both"/>
        <w:rPr>
          <w:rFonts w:asciiTheme="minorHAnsi" w:hAnsiTheme="minorHAnsi" w:cstheme="minorHAnsi"/>
          <w:sz w:val="24"/>
          <w:szCs w:val="24"/>
        </w:rPr>
      </w:pPr>
      <w:r w:rsidRPr="00890D13">
        <w:rPr>
          <w:rFonts w:asciiTheme="minorHAnsi" w:hAnsiTheme="minorHAnsi" w:cstheme="minorHAnsi"/>
          <w:spacing w:val="-2"/>
          <w:sz w:val="24"/>
          <w:szCs w:val="24"/>
        </w:rPr>
        <w:t xml:space="preserve">Informe Final. </w:t>
      </w:r>
    </w:p>
    <w:p w:rsidR="008C6725" w:rsidRPr="00890D13" w:rsidRDefault="008C6725" w:rsidP="008C6725">
      <w:pPr>
        <w:pStyle w:val="DefaultStyle"/>
        <w:jc w:val="both"/>
        <w:rPr>
          <w:rFonts w:asciiTheme="minorHAnsi" w:hAnsiTheme="minorHAnsi" w:cstheme="minorHAnsi"/>
          <w:sz w:val="24"/>
          <w:szCs w:val="24"/>
        </w:rPr>
      </w:pPr>
      <w:r w:rsidRPr="00890D13">
        <w:rPr>
          <w:rFonts w:asciiTheme="minorHAnsi" w:hAnsiTheme="minorHAnsi" w:cstheme="minorHAnsi"/>
          <w:sz w:val="24"/>
          <w:szCs w:val="24"/>
        </w:rPr>
        <w:t xml:space="preserve">El proceso es semejante al de los otros componentes del Programa. La parte más específica del proceso está en </w:t>
      </w:r>
      <w:r>
        <w:rPr>
          <w:rFonts w:asciiTheme="minorHAnsi" w:hAnsiTheme="minorHAnsi" w:cstheme="minorHAnsi"/>
          <w:sz w:val="24"/>
          <w:szCs w:val="24"/>
        </w:rPr>
        <w:t>la evaluación de las propuestas, ya que e</w:t>
      </w:r>
      <w:r w:rsidRPr="00890D13">
        <w:rPr>
          <w:rFonts w:asciiTheme="minorHAnsi" w:hAnsiTheme="minorHAnsi" w:cstheme="minorHAnsi"/>
          <w:sz w:val="24"/>
          <w:szCs w:val="24"/>
        </w:rPr>
        <w:t>sta evaluación comprende dos etapas, la de “evaluación de perfiles” y la de “evaluación de proyectos”.</w:t>
      </w:r>
    </w:p>
    <w:p w:rsidR="008C6725" w:rsidRPr="00890D13" w:rsidRDefault="008C6725" w:rsidP="008C6725">
      <w:pPr>
        <w:pStyle w:val="DefaultStyle"/>
        <w:jc w:val="both"/>
        <w:rPr>
          <w:rFonts w:asciiTheme="minorHAnsi" w:hAnsiTheme="minorHAnsi" w:cstheme="minorHAnsi"/>
          <w:sz w:val="24"/>
          <w:szCs w:val="24"/>
        </w:rPr>
      </w:pPr>
      <w:r w:rsidRPr="00890D13">
        <w:rPr>
          <w:rFonts w:asciiTheme="minorHAnsi" w:hAnsiTheme="minorHAnsi" w:cstheme="minorHAnsi"/>
          <w:sz w:val="24"/>
          <w:szCs w:val="24"/>
        </w:rPr>
        <w:t xml:space="preserve">La </w:t>
      </w:r>
      <w:bookmarkStart w:id="175" w:name="_Toc194133169"/>
      <w:bookmarkStart w:id="176" w:name="_Toc160215099"/>
      <w:bookmarkStart w:id="177" w:name="_Toc194133168"/>
      <w:bookmarkStart w:id="178" w:name="_Toc160215098"/>
      <w:bookmarkEnd w:id="175"/>
      <w:bookmarkEnd w:id="176"/>
      <w:bookmarkEnd w:id="177"/>
      <w:bookmarkEnd w:id="178"/>
      <w:r w:rsidRPr="00890D13">
        <w:rPr>
          <w:rFonts w:asciiTheme="minorHAnsi" w:hAnsiTheme="minorHAnsi" w:cstheme="minorHAnsi"/>
          <w:sz w:val="24"/>
          <w:szCs w:val="24"/>
        </w:rPr>
        <w:t>fase de identificación y evaluación de perfiles se lleva</w:t>
      </w:r>
      <w:r>
        <w:rPr>
          <w:rFonts w:asciiTheme="minorHAnsi" w:hAnsiTheme="minorHAnsi" w:cstheme="minorHAnsi"/>
          <w:sz w:val="24"/>
          <w:szCs w:val="24"/>
        </w:rPr>
        <w:t>ría</w:t>
      </w:r>
      <w:r w:rsidRPr="00890D13">
        <w:rPr>
          <w:rFonts w:asciiTheme="minorHAnsi" w:hAnsiTheme="minorHAnsi" w:cstheme="minorHAnsi"/>
          <w:sz w:val="24"/>
          <w:szCs w:val="24"/>
        </w:rPr>
        <w:t xml:space="preserve"> a cabo según los criterios siguientes:</w:t>
      </w:r>
      <w:r>
        <w:rPr>
          <w:rFonts w:asciiTheme="minorHAnsi" w:hAnsiTheme="minorHAnsi" w:cstheme="minorHAnsi"/>
          <w:sz w:val="24"/>
          <w:szCs w:val="24"/>
        </w:rPr>
        <w:t xml:space="preserve"> </w:t>
      </w:r>
      <w:r w:rsidRPr="00890D13">
        <w:rPr>
          <w:rFonts w:asciiTheme="minorHAnsi" w:hAnsiTheme="minorHAnsi" w:cstheme="minorHAnsi"/>
          <w:sz w:val="24"/>
          <w:szCs w:val="24"/>
        </w:rPr>
        <w:t>“(i) existencia de una innovación identificable según estándares internacional</w:t>
      </w:r>
      <w:r>
        <w:rPr>
          <w:rFonts w:asciiTheme="minorHAnsi" w:hAnsiTheme="minorHAnsi" w:cstheme="minorHAnsi"/>
          <w:sz w:val="24"/>
          <w:szCs w:val="24"/>
        </w:rPr>
        <w:t xml:space="preserve">es (definición Manual de Oslo)”; </w:t>
      </w:r>
      <w:r w:rsidRPr="00890D13">
        <w:rPr>
          <w:rFonts w:asciiTheme="minorHAnsi" w:hAnsiTheme="minorHAnsi" w:cstheme="minorHAnsi"/>
          <w:sz w:val="24"/>
          <w:szCs w:val="24"/>
        </w:rPr>
        <w:t>“(ii) ju</w:t>
      </w:r>
      <w:r>
        <w:rPr>
          <w:rFonts w:asciiTheme="minorHAnsi" w:hAnsiTheme="minorHAnsi" w:cstheme="minorHAnsi"/>
          <w:sz w:val="24"/>
          <w:szCs w:val="24"/>
        </w:rPr>
        <w:t xml:space="preserve">stificación e impacto esperado”; </w:t>
      </w:r>
      <w:r w:rsidRPr="00890D13">
        <w:rPr>
          <w:rFonts w:asciiTheme="minorHAnsi" w:hAnsiTheme="minorHAnsi" w:cstheme="minorHAnsi"/>
          <w:sz w:val="24"/>
          <w:szCs w:val="24"/>
        </w:rPr>
        <w:t>“(iii) situación econ</w:t>
      </w:r>
      <w:r>
        <w:rPr>
          <w:rFonts w:asciiTheme="minorHAnsi" w:hAnsiTheme="minorHAnsi" w:cstheme="minorHAnsi"/>
          <w:sz w:val="24"/>
          <w:szCs w:val="24"/>
        </w:rPr>
        <w:t xml:space="preserve">ómico-financiera de la empresa”; </w:t>
      </w:r>
      <w:r w:rsidRPr="00890D13">
        <w:rPr>
          <w:rFonts w:asciiTheme="minorHAnsi" w:hAnsiTheme="minorHAnsi" w:cstheme="minorHAnsi"/>
          <w:sz w:val="24"/>
          <w:szCs w:val="24"/>
        </w:rPr>
        <w:t>“(iv) probabilidad de explotación comercial y/o impacto social de los resultados”.</w:t>
      </w:r>
    </w:p>
    <w:p w:rsidR="008C6725" w:rsidRPr="00890D13" w:rsidRDefault="008C6725" w:rsidP="008C6725">
      <w:pPr>
        <w:pStyle w:val="DefaultStyle"/>
        <w:jc w:val="both"/>
        <w:rPr>
          <w:rFonts w:asciiTheme="minorHAnsi" w:hAnsiTheme="minorHAnsi" w:cstheme="minorHAnsi"/>
          <w:sz w:val="24"/>
          <w:szCs w:val="24"/>
        </w:rPr>
      </w:pPr>
      <w:r w:rsidRPr="00890D13">
        <w:rPr>
          <w:rFonts w:asciiTheme="minorHAnsi" w:hAnsiTheme="minorHAnsi" w:cstheme="minorHAnsi"/>
          <w:sz w:val="24"/>
          <w:szCs w:val="24"/>
        </w:rPr>
        <w:t>L</w:t>
      </w:r>
      <w:r>
        <w:rPr>
          <w:rFonts w:asciiTheme="minorHAnsi" w:hAnsiTheme="minorHAnsi" w:cstheme="minorHAnsi"/>
          <w:sz w:val="24"/>
          <w:szCs w:val="24"/>
        </w:rPr>
        <w:t>as propuestas cuyos perfiles fueran</w:t>
      </w:r>
      <w:r w:rsidRPr="00890D13">
        <w:rPr>
          <w:rFonts w:asciiTheme="minorHAnsi" w:hAnsiTheme="minorHAnsi" w:cstheme="minorHAnsi"/>
          <w:sz w:val="24"/>
          <w:szCs w:val="24"/>
        </w:rPr>
        <w:t xml:space="preserve"> aprobados, pasa</w:t>
      </w:r>
      <w:r>
        <w:rPr>
          <w:rFonts w:asciiTheme="minorHAnsi" w:hAnsiTheme="minorHAnsi" w:cstheme="minorHAnsi"/>
          <w:sz w:val="24"/>
          <w:szCs w:val="24"/>
        </w:rPr>
        <w:t>ría</w:t>
      </w:r>
      <w:r w:rsidRPr="00890D13">
        <w:rPr>
          <w:rFonts w:asciiTheme="minorHAnsi" w:hAnsiTheme="minorHAnsi" w:cstheme="minorHAnsi"/>
          <w:sz w:val="24"/>
          <w:szCs w:val="24"/>
        </w:rPr>
        <w:t>n a l</w:t>
      </w:r>
      <w:r>
        <w:rPr>
          <w:rFonts w:asciiTheme="minorHAnsi" w:hAnsiTheme="minorHAnsi" w:cstheme="minorHAnsi"/>
          <w:sz w:val="24"/>
          <w:szCs w:val="24"/>
        </w:rPr>
        <w:t>a siguiente etapa que consistía</w:t>
      </w:r>
      <w:r w:rsidRPr="00890D13">
        <w:rPr>
          <w:rFonts w:asciiTheme="minorHAnsi" w:hAnsiTheme="minorHAnsi" w:cstheme="minorHAnsi"/>
          <w:sz w:val="24"/>
          <w:szCs w:val="24"/>
        </w:rPr>
        <w:t xml:space="preserve"> en la elaboración de un “proyectos detallado”.</w:t>
      </w:r>
      <w:r>
        <w:rPr>
          <w:rFonts w:asciiTheme="minorHAnsi" w:hAnsiTheme="minorHAnsi" w:cstheme="minorHAnsi"/>
          <w:sz w:val="24"/>
          <w:szCs w:val="24"/>
        </w:rPr>
        <w:t xml:space="preserve"> Esta evaluación del proyecto se haría </w:t>
      </w:r>
      <w:r w:rsidRPr="00890D13">
        <w:rPr>
          <w:rFonts w:asciiTheme="minorHAnsi" w:hAnsiTheme="minorHAnsi" w:cstheme="minorHAnsi"/>
          <w:sz w:val="24"/>
          <w:szCs w:val="24"/>
        </w:rPr>
        <w:t>en base a los siguientes criterios:</w:t>
      </w:r>
      <w:r>
        <w:rPr>
          <w:rFonts w:asciiTheme="minorHAnsi" w:hAnsiTheme="minorHAnsi" w:cstheme="minorHAnsi"/>
          <w:sz w:val="24"/>
          <w:szCs w:val="24"/>
        </w:rPr>
        <w:t xml:space="preserve"> </w:t>
      </w:r>
      <w:r w:rsidRPr="00890D13">
        <w:rPr>
          <w:rFonts w:asciiTheme="minorHAnsi" w:hAnsiTheme="minorHAnsi" w:cstheme="minorHAnsi"/>
          <w:sz w:val="24"/>
          <w:szCs w:val="24"/>
        </w:rPr>
        <w:t>“(i) viabilidad técnica (alcance del proyecto, plan de trabajo y recursos a asignar)”; “(ii) aportes financieros (disponibilidad de recursos por parte de la empresa / contrapartida)”; “(iii) evaluación de la situación financiera de las entidades participantes una vez recibido el subsidio”); “(iv) anteproyecto productivo (incluyendo un modelo / plan de negocios elaborado para la innovación)”; “(v) capacidad de ejecución (fortalezas de orden técnico, administrativo y de gestión que presenta la empresa para ejecutar el proye</w:t>
      </w:r>
      <w:r>
        <w:rPr>
          <w:rFonts w:asciiTheme="minorHAnsi" w:hAnsiTheme="minorHAnsi" w:cstheme="minorHAnsi"/>
          <w:sz w:val="24"/>
          <w:szCs w:val="24"/>
        </w:rPr>
        <w:t>cto en calidad, costo y plazo)”</w:t>
      </w:r>
      <w:r w:rsidRPr="00890D13">
        <w:rPr>
          <w:rFonts w:asciiTheme="minorHAnsi" w:hAnsiTheme="minorHAnsi" w:cstheme="minorHAnsi"/>
          <w:sz w:val="24"/>
          <w:szCs w:val="24"/>
        </w:rPr>
        <w:t>.</w:t>
      </w:r>
    </w:p>
    <w:p w:rsidR="008C6725" w:rsidRPr="00890D13" w:rsidRDefault="008C6725" w:rsidP="008C6725">
      <w:pPr>
        <w:pStyle w:val="DefaultStyle"/>
        <w:widowControl w:val="0"/>
        <w:tabs>
          <w:tab w:val="left" w:pos="360"/>
        </w:tabs>
        <w:jc w:val="both"/>
        <w:rPr>
          <w:rFonts w:asciiTheme="minorHAnsi" w:hAnsiTheme="minorHAnsi" w:cstheme="minorHAnsi"/>
          <w:sz w:val="24"/>
          <w:szCs w:val="24"/>
        </w:rPr>
      </w:pPr>
      <w:r w:rsidRPr="00890D13">
        <w:rPr>
          <w:rFonts w:asciiTheme="minorHAnsi" w:hAnsiTheme="minorHAnsi" w:cstheme="minorHAnsi"/>
          <w:sz w:val="24"/>
          <w:szCs w:val="24"/>
        </w:rPr>
        <w:t>En ambas instancias, “perfil” y “proyectos detallado”, e</w:t>
      </w:r>
      <w:r w:rsidRPr="00890D13">
        <w:rPr>
          <w:rFonts w:asciiTheme="minorHAnsi" w:hAnsiTheme="minorHAnsi" w:cstheme="minorHAnsi"/>
          <w:spacing w:val="-2"/>
          <w:sz w:val="24"/>
          <w:szCs w:val="24"/>
        </w:rPr>
        <w:t>l Comité Ejecutivo del Programa debe</w:t>
      </w:r>
      <w:r>
        <w:rPr>
          <w:rFonts w:asciiTheme="minorHAnsi" w:hAnsiTheme="minorHAnsi" w:cstheme="minorHAnsi"/>
          <w:spacing w:val="-2"/>
          <w:sz w:val="24"/>
          <w:szCs w:val="24"/>
        </w:rPr>
        <w:t>ría</w:t>
      </w:r>
      <w:r w:rsidRPr="00890D13">
        <w:rPr>
          <w:rFonts w:asciiTheme="minorHAnsi" w:hAnsiTheme="minorHAnsi" w:cstheme="minorHAnsi"/>
          <w:spacing w:val="-2"/>
          <w:sz w:val="24"/>
          <w:szCs w:val="24"/>
        </w:rPr>
        <w:t xml:space="preserve"> validar las evaluaciones y las eleva</w:t>
      </w:r>
      <w:r>
        <w:rPr>
          <w:rFonts w:asciiTheme="minorHAnsi" w:hAnsiTheme="minorHAnsi" w:cstheme="minorHAnsi"/>
          <w:spacing w:val="-2"/>
          <w:sz w:val="24"/>
          <w:szCs w:val="24"/>
        </w:rPr>
        <w:t>ría</w:t>
      </w:r>
      <w:r w:rsidRPr="00890D13">
        <w:rPr>
          <w:rFonts w:asciiTheme="minorHAnsi" w:hAnsiTheme="minorHAnsi" w:cstheme="minorHAnsi"/>
          <w:spacing w:val="-2"/>
          <w:sz w:val="24"/>
          <w:szCs w:val="24"/>
        </w:rPr>
        <w:t xml:space="preserve"> al Presidente del CONACYT, quien las presenta</w:t>
      </w:r>
      <w:r>
        <w:rPr>
          <w:rFonts w:asciiTheme="minorHAnsi" w:hAnsiTheme="minorHAnsi" w:cstheme="minorHAnsi"/>
          <w:spacing w:val="-2"/>
          <w:sz w:val="24"/>
          <w:szCs w:val="24"/>
        </w:rPr>
        <w:t>ba</w:t>
      </w:r>
      <w:r w:rsidRPr="00890D13">
        <w:rPr>
          <w:rFonts w:asciiTheme="minorHAnsi" w:hAnsiTheme="minorHAnsi" w:cstheme="minorHAnsi"/>
          <w:spacing w:val="-2"/>
          <w:sz w:val="24"/>
          <w:szCs w:val="24"/>
        </w:rPr>
        <w:t xml:space="preserve"> al Consejo del CONACYT para su aprobación final. </w:t>
      </w:r>
    </w:p>
    <w:p w:rsidR="008C6725" w:rsidRPr="00890D13" w:rsidRDefault="008C6725" w:rsidP="008C6725">
      <w:pPr>
        <w:pStyle w:val="DefaultStyle"/>
        <w:jc w:val="both"/>
        <w:rPr>
          <w:rFonts w:asciiTheme="minorHAnsi" w:hAnsiTheme="minorHAnsi" w:cstheme="minorHAnsi"/>
          <w:spacing w:val="-2"/>
          <w:sz w:val="24"/>
          <w:szCs w:val="24"/>
        </w:rPr>
      </w:pPr>
      <w:r w:rsidRPr="00890D13">
        <w:rPr>
          <w:rFonts w:asciiTheme="minorHAnsi" w:hAnsiTheme="minorHAnsi" w:cstheme="minorHAnsi"/>
          <w:color w:val="000000" w:themeColor="text1"/>
          <w:sz w:val="24"/>
          <w:szCs w:val="24"/>
          <w:lang w:val="es-ES_tradnl"/>
        </w:rPr>
        <w:t>Los beneficiarios de este subcomponente, de acuerdo a las bases</w:t>
      </w:r>
      <w:r>
        <w:rPr>
          <w:rFonts w:asciiTheme="minorHAnsi" w:hAnsiTheme="minorHAnsi" w:cstheme="minorHAnsi"/>
          <w:color w:val="000000" w:themeColor="text1"/>
          <w:sz w:val="24"/>
          <w:szCs w:val="24"/>
          <w:lang w:val="es-ES_tradnl"/>
        </w:rPr>
        <w:t>,</w:t>
      </w:r>
      <w:r w:rsidRPr="00890D13">
        <w:rPr>
          <w:rFonts w:asciiTheme="minorHAnsi" w:hAnsiTheme="minorHAnsi" w:cstheme="minorHAnsi"/>
          <w:color w:val="000000" w:themeColor="text1"/>
          <w:sz w:val="24"/>
          <w:szCs w:val="24"/>
          <w:lang w:val="es-ES_tradnl"/>
        </w:rPr>
        <w:t xml:space="preserve"> </w:t>
      </w:r>
      <w:r>
        <w:rPr>
          <w:rFonts w:asciiTheme="minorHAnsi" w:hAnsiTheme="minorHAnsi" w:cstheme="minorHAnsi"/>
          <w:color w:val="000000" w:themeColor="text1"/>
          <w:sz w:val="24"/>
          <w:szCs w:val="24"/>
          <w:lang w:val="es-ES_tradnl"/>
        </w:rPr>
        <w:t>eran</w:t>
      </w:r>
      <w:r w:rsidRPr="00890D13">
        <w:rPr>
          <w:rFonts w:asciiTheme="minorHAnsi" w:hAnsiTheme="minorHAnsi" w:cstheme="minorHAnsi"/>
          <w:color w:val="000000" w:themeColor="text1"/>
          <w:sz w:val="24"/>
          <w:szCs w:val="24"/>
          <w:lang w:val="es-ES_tradnl"/>
        </w:rPr>
        <w:t xml:space="preserve"> “</w:t>
      </w:r>
      <w:r>
        <w:rPr>
          <w:rFonts w:asciiTheme="minorHAnsi" w:hAnsiTheme="minorHAnsi" w:cstheme="minorHAnsi"/>
          <w:color w:val="000000" w:themeColor="text1"/>
          <w:sz w:val="24"/>
          <w:szCs w:val="24"/>
          <w:lang w:val="es-ES_tradnl"/>
        </w:rPr>
        <w:t>e</w:t>
      </w:r>
      <w:r w:rsidRPr="00890D13">
        <w:rPr>
          <w:rFonts w:asciiTheme="minorHAnsi" w:hAnsiTheme="minorHAnsi" w:cstheme="minorHAnsi"/>
          <w:spacing w:val="-2"/>
          <w:sz w:val="24"/>
          <w:szCs w:val="24"/>
        </w:rPr>
        <w:t xml:space="preserve">mpresas radicadas en la República del Paraguay, cuyas actividades innovativas permitan establecer y </w:t>
      </w:r>
      <w:r w:rsidRPr="00890D13">
        <w:rPr>
          <w:rFonts w:asciiTheme="minorHAnsi" w:hAnsiTheme="minorHAnsi" w:cstheme="minorHAnsi"/>
          <w:spacing w:val="-2"/>
          <w:sz w:val="24"/>
          <w:szCs w:val="24"/>
        </w:rPr>
        <w:lastRenderedPageBreak/>
        <w:t>desarrollar capacidades en el país de manera sustentable. Las empresas podrán presentarse individualmente o asociadas a otras empresas y/o a instituciones de investigación.”</w:t>
      </w:r>
      <w:r w:rsidRPr="00890D13">
        <w:rPr>
          <w:rStyle w:val="FootnoteReference"/>
          <w:rFonts w:asciiTheme="minorHAnsi" w:hAnsiTheme="minorHAnsi" w:cstheme="minorHAnsi"/>
          <w:spacing w:val="-2"/>
          <w:sz w:val="24"/>
          <w:szCs w:val="24"/>
        </w:rPr>
        <w:footnoteReference w:id="17"/>
      </w:r>
    </w:p>
    <w:p w:rsidR="008C6725" w:rsidRPr="00890D13" w:rsidRDefault="008C6725" w:rsidP="008C6725">
      <w:pPr>
        <w:pStyle w:val="DefaultStyle"/>
        <w:jc w:val="both"/>
        <w:rPr>
          <w:rFonts w:asciiTheme="minorHAnsi" w:hAnsiTheme="minorHAnsi" w:cstheme="minorHAnsi"/>
          <w:sz w:val="24"/>
          <w:szCs w:val="24"/>
        </w:rPr>
      </w:pPr>
      <w:r w:rsidRPr="00890D13">
        <w:rPr>
          <w:rFonts w:asciiTheme="minorHAnsi" w:hAnsiTheme="minorHAnsi" w:cstheme="minorHAnsi"/>
          <w:sz w:val="24"/>
          <w:szCs w:val="24"/>
        </w:rPr>
        <w:t>“Las demás podrán cumplir el rol de instituciones beneficiarias asociadas, las cuales podrán ser: universidades o centros académicos; institutos y centros de investigación; y organismos no gubernamentales y gubernamentales; nacionales, regionales o internacionales con actividades afines al desarrollo tecnológico del Paraguay. El ejecutor deberá contar con los Memorandos de Entendimiento correspondientes, que demuestren la intención de los demás beneficiarios, de ser parte del proyecto, en el caso de que se obtenga el co-financiamiento. Personas individuales con especialización notoria también firmarán Memorandos de Entendimiento para participar a través de una de las entidades beneficiarias”</w:t>
      </w:r>
      <w:r w:rsidRPr="00890D13">
        <w:rPr>
          <w:rStyle w:val="FootnoteReference"/>
          <w:rFonts w:asciiTheme="minorHAnsi" w:hAnsiTheme="minorHAnsi" w:cstheme="minorHAnsi"/>
          <w:sz w:val="24"/>
          <w:szCs w:val="24"/>
        </w:rPr>
        <w:footnoteReference w:id="18"/>
      </w:r>
      <w:r w:rsidRPr="00890D13">
        <w:rPr>
          <w:rFonts w:asciiTheme="minorHAnsi" w:hAnsiTheme="minorHAnsi" w:cstheme="minorHAnsi"/>
          <w:sz w:val="24"/>
          <w:szCs w:val="24"/>
        </w:rPr>
        <w:t>.</w:t>
      </w:r>
    </w:p>
    <w:p w:rsidR="008C6725" w:rsidRPr="00890D13" w:rsidRDefault="008C6725" w:rsidP="008C6725">
      <w:pPr>
        <w:pStyle w:val="DefaultStyle"/>
        <w:jc w:val="both"/>
        <w:rPr>
          <w:rFonts w:asciiTheme="minorHAnsi" w:hAnsiTheme="minorHAnsi" w:cstheme="minorHAnsi"/>
          <w:spacing w:val="-2"/>
          <w:sz w:val="24"/>
          <w:szCs w:val="24"/>
        </w:rPr>
      </w:pPr>
      <w:r>
        <w:rPr>
          <w:rFonts w:asciiTheme="minorHAnsi" w:hAnsiTheme="minorHAnsi" w:cstheme="minorHAnsi"/>
          <w:spacing w:val="-2"/>
          <w:sz w:val="24"/>
          <w:szCs w:val="24"/>
        </w:rPr>
        <w:t>El R</w:t>
      </w:r>
      <w:r w:rsidRPr="00890D13">
        <w:rPr>
          <w:rFonts w:asciiTheme="minorHAnsi" w:hAnsiTheme="minorHAnsi" w:cstheme="minorHAnsi"/>
          <w:spacing w:val="-2"/>
          <w:sz w:val="24"/>
          <w:szCs w:val="24"/>
        </w:rPr>
        <w:t xml:space="preserve">eglamento </w:t>
      </w:r>
      <w:r>
        <w:rPr>
          <w:rFonts w:asciiTheme="minorHAnsi" w:hAnsiTheme="minorHAnsi" w:cstheme="minorHAnsi"/>
          <w:spacing w:val="-2"/>
          <w:sz w:val="24"/>
          <w:szCs w:val="24"/>
        </w:rPr>
        <w:t>Operativo</w:t>
      </w:r>
      <w:r w:rsidRPr="00890D13">
        <w:rPr>
          <w:rFonts w:asciiTheme="minorHAnsi" w:hAnsiTheme="minorHAnsi" w:cstheme="minorHAnsi"/>
          <w:spacing w:val="-2"/>
          <w:sz w:val="24"/>
          <w:szCs w:val="24"/>
        </w:rPr>
        <w:t xml:space="preserve"> </w:t>
      </w:r>
      <w:r>
        <w:rPr>
          <w:rFonts w:asciiTheme="minorHAnsi" w:hAnsiTheme="minorHAnsi" w:cstheme="minorHAnsi"/>
          <w:spacing w:val="-2"/>
          <w:sz w:val="24"/>
          <w:szCs w:val="24"/>
        </w:rPr>
        <w:t xml:space="preserve">del PROCIT </w:t>
      </w:r>
      <w:r w:rsidRPr="00890D13">
        <w:rPr>
          <w:rFonts w:asciiTheme="minorHAnsi" w:hAnsiTheme="minorHAnsi" w:cstheme="minorHAnsi"/>
          <w:spacing w:val="-2"/>
          <w:sz w:val="24"/>
          <w:szCs w:val="24"/>
        </w:rPr>
        <w:t>distingue entre ejecutores y beneficiarios.</w:t>
      </w:r>
      <w:r>
        <w:rPr>
          <w:rFonts w:asciiTheme="minorHAnsi" w:hAnsiTheme="minorHAnsi" w:cstheme="minorHAnsi"/>
          <w:spacing w:val="-2"/>
          <w:sz w:val="24"/>
          <w:szCs w:val="24"/>
        </w:rPr>
        <w:t xml:space="preserve"> Los ejecutores serían</w:t>
      </w:r>
      <w:r w:rsidRPr="00890D13">
        <w:rPr>
          <w:rFonts w:asciiTheme="minorHAnsi" w:hAnsiTheme="minorHAnsi" w:cstheme="minorHAnsi"/>
          <w:spacing w:val="-2"/>
          <w:sz w:val="24"/>
          <w:szCs w:val="24"/>
        </w:rPr>
        <w:t xml:space="preserve"> quienes reciben y administran los recursos transferidos por CONACYT.</w:t>
      </w:r>
      <w:r>
        <w:rPr>
          <w:rFonts w:asciiTheme="minorHAnsi" w:hAnsiTheme="minorHAnsi" w:cstheme="minorHAnsi"/>
          <w:spacing w:val="-2"/>
          <w:sz w:val="24"/>
          <w:szCs w:val="24"/>
        </w:rPr>
        <w:t xml:space="preserve"> Los beneficiarios serían</w:t>
      </w:r>
      <w:r w:rsidRPr="00890D13">
        <w:rPr>
          <w:rFonts w:asciiTheme="minorHAnsi" w:hAnsiTheme="minorHAnsi" w:cstheme="minorHAnsi"/>
          <w:spacing w:val="-2"/>
          <w:sz w:val="24"/>
          <w:szCs w:val="24"/>
        </w:rPr>
        <w:t xml:space="preserve"> todos aquellos que reciben f</w:t>
      </w:r>
      <w:r>
        <w:rPr>
          <w:rFonts w:asciiTheme="minorHAnsi" w:hAnsiTheme="minorHAnsi" w:cstheme="minorHAnsi"/>
          <w:spacing w:val="-2"/>
          <w:sz w:val="24"/>
          <w:szCs w:val="24"/>
        </w:rPr>
        <w:t>inanciamiento de CONACYT. Podían</w:t>
      </w:r>
      <w:r w:rsidRPr="00890D13">
        <w:rPr>
          <w:rFonts w:asciiTheme="minorHAnsi" w:hAnsiTheme="minorHAnsi" w:cstheme="minorHAnsi"/>
          <w:spacing w:val="-2"/>
          <w:sz w:val="24"/>
          <w:szCs w:val="24"/>
        </w:rPr>
        <w:t xml:space="preserve"> ser tanto empresas como personas naturales e instituciones extranjeras.</w:t>
      </w:r>
    </w:p>
    <w:p w:rsidR="008C6725" w:rsidRDefault="008C6725" w:rsidP="008C6725">
      <w:pPr>
        <w:pStyle w:val="Heading3"/>
        <w:numPr>
          <w:ilvl w:val="2"/>
          <w:numId w:val="4"/>
        </w:numPr>
        <w:rPr>
          <w:rStyle w:val="Emphasis"/>
          <w:rFonts w:cs="Calibri"/>
          <w:i/>
        </w:rPr>
      </w:pPr>
      <w:bookmarkStart w:id="181" w:name="_Toc375211978"/>
      <w:r>
        <w:rPr>
          <w:rStyle w:val="Emphasis"/>
          <w:rFonts w:cs="Calibri"/>
          <w:i/>
        </w:rPr>
        <w:t>Alcance</w:t>
      </w:r>
      <w:bookmarkEnd w:id="181"/>
    </w:p>
    <w:p w:rsidR="008C6725" w:rsidRPr="000105EE" w:rsidRDefault="008C6725" w:rsidP="008C6725">
      <w:pPr>
        <w:spacing w:after="200" w:line="276" w:lineRule="auto"/>
        <w:jc w:val="both"/>
        <w:rPr>
          <w:rFonts w:asciiTheme="minorHAnsi" w:hAnsiTheme="minorHAnsi" w:cstheme="minorHAnsi"/>
          <w:color w:val="000000" w:themeColor="text1"/>
        </w:rPr>
      </w:pPr>
      <w:r w:rsidRPr="000105EE">
        <w:rPr>
          <w:rFonts w:asciiTheme="minorHAnsi" w:hAnsiTheme="minorHAnsi" w:cstheme="minorHAnsi"/>
          <w:color w:val="000000" w:themeColor="text1"/>
          <w:lang w:val="es-ES_tradnl" w:eastAsia="en-US"/>
        </w:rPr>
        <w:t xml:space="preserve">Se aprobaron en total </w:t>
      </w:r>
      <w:r>
        <w:rPr>
          <w:rFonts w:asciiTheme="minorHAnsi" w:hAnsiTheme="minorHAnsi" w:cstheme="minorHAnsi"/>
          <w:color w:val="000000" w:themeColor="text1"/>
          <w:lang w:val="es-ES_tradnl" w:eastAsia="en-US"/>
        </w:rPr>
        <w:t>20</w:t>
      </w:r>
      <w:r w:rsidRPr="000105EE">
        <w:rPr>
          <w:rFonts w:asciiTheme="minorHAnsi" w:hAnsiTheme="minorHAnsi" w:cstheme="minorHAnsi"/>
          <w:color w:val="000000" w:themeColor="text1"/>
          <w:lang w:val="es-ES_tradnl" w:eastAsia="en-US"/>
        </w:rPr>
        <w:t xml:space="preserve"> proyectos. De ellos, el proyecto PR9-INN06 “</w:t>
      </w:r>
      <w:r w:rsidRPr="000105EE">
        <w:rPr>
          <w:rFonts w:asciiTheme="minorHAnsi" w:hAnsiTheme="minorHAnsi" w:cstheme="minorHAnsi"/>
          <w:color w:val="000000" w:themeColor="text1"/>
        </w:rPr>
        <w:t xml:space="preserve">Aplicación de microsatélites de ADN para la identificación biológica de ganado bovino” no se concretó. Por tanto, los proyectos realmente ejecutados son </w:t>
      </w:r>
      <w:r>
        <w:rPr>
          <w:rFonts w:asciiTheme="minorHAnsi" w:hAnsiTheme="minorHAnsi" w:cstheme="minorHAnsi"/>
          <w:color w:val="000000" w:themeColor="text1"/>
        </w:rPr>
        <w:t>19</w:t>
      </w:r>
      <w:r w:rsidRPr="000105EE">
        <w:rPr>
          <w:rFonts w:asciiTheme="minorHAnsi" w:hAnsiTheme="minorHAnsi" w:cstheme="minorHAnsi"/>
          <w:color w:val="000000" w:themeColor="text1"/>
        </w:rPr>
        <w:t>.</w:t>
      </w:r>
    </w:p>
    <w:p w:rsidR="008C6725" w:rsidRPr="000F42D9" w:rsidRDefault="008C6725" w:rsidP="008C6725">
      <w:pPr>
        <w:jc w:val="center"/>
        <w:rPr>
          <w:rFonts w:asciiTheme="minorHAnsi" w:hAnsiTheme="minorHAnsi" w:cstheme="minorHAnsi"/>
          <w:i/>
          <w:color w:val="000000" w:themeColor="text1"/>
        </w:rPr>
      </w:pPr>
      <w:r w:rsidRPr="000F42D9">
        <w:rPr>
          <w:rStyle w:val="Emphasis"/>
          <w:rFonts w:asciiTheme="minorHAnsi" w:hAnsiTheme="minorHAnsi" w:cstheme="minorHAnsi"/>
          <w:b/>
          <w:i w:val="0"/>
          <w:color w:val="000000" w:themeColor="text1"/>
        </w:rPr>
        <w:t xml:space="preserve">Tabla </w:t>
      </w:r>
      <w:r>
        <w:rPr>
          <w:rStyle w:val="Emphasis"/>
          <w:rFonts w:asciiTheme="minorHAnsi" w:hAnsiTheme="minorHAnsi" w:cstheme="minorHAnsi"/>
          <w:b/>
          <w:i w:val="0"/>
          <w:color w:val="000000" w:themeColor="text1"/>
        </w:rPr>
        <w:t>5.</w:t>
      </w:r>
      <w:r w:rsidR="006F1343">
        <w:rPr>
          <w:rStyle w:val="Emphasis"/>
          <w:rFonts w:asciiTheme="minorHAnsi" w:hAnsiTheme="minorHAnsi" w:cstheme="minorHAnsi"/>
          <w:b/>
          <w:i w:val="0"/>
          <w:color w:val="000000" w:themeColor="text1"/>
        </w:rPr>
        <w:t>4</w:t>
      </w:r>
      <w:r w:rsidRPr="000F42D9">
        <w:rPr>
          <w:rStyle w:val="Emphasis"/>
          <w:rFonts w:asciiTheme="minorHAnsi" w:hAnsiTheme="minorHAnsi" w:cstheme="minorHAnsi"/>
          <w:b/>
          <w:i w:val="0"/>
          <w:color w:val="000000" w:themeColor="text1"/>
        </w:rPr>
        <w:t>. Listado de proyectos de innovación aprobados por convocatoria.</w:t>
      </w:r>
    </w:p>
    <w:p w:rsidR="008C6725" w:rsidRPr="004E48C5" w:rsidRDefault="008C6725" w:rsidP="008C6725">
      <w:pPr>
        <w:jc w:val="both"/>
        <w:rPr>
          <w:rFonts w:asciiTheme="minorHAnsi" w:hAnsiTheme="minorHAnsi" w:cstheme="minorHAnsi"/>
          <w:color w:val="000000" w:themeColor="text1"/>
          <w:sz w:val="20"/>
          <w:szCs w:val="20"/>
        </w:rPr>
      </w:pPr>
    </w:p>
    <w:tbl>
      <w:tblPr>
        <w:tblW w:w="10170" w:type="dxa"/>
        <w:tblInd w:w="-60" w:type="dxa"/>
        <w:tblLayout w:type="fixed"/>
        <w:tblCellMar>
          <w:left w:w="0" w:type="dxa"/>
          <w:right w:w="0" w:type="dxa"/>
        </w:tblCellMar>
        <w:tblLook w:val="0000" w:firstRow="0" w:lastRow="0" w:firstColumn="0" w:lastColumn="0" w:noHBand="0" w:noVBand="0"/>
      </w:tblPr>
      <w:tblGrid>
        <w:gridCol w:w="10"/>
        <w:gridCol w:w="1447"/>
        <w:gridCol w:w="10"/>
        <w:gridCol w:w="3550"/>
        <w:gridCol w:w="10"/>
        <w:gridCol w:w="1550"/>
        <w:gridCol w:w="10"/>
        <w:gridCol w:w="1832"/>
        <w:gridCol w:w="10"/>
        <w:gridCol w:w="1731"/>
        <w:gridCol w:w="10"/>
      </w:tblGrid>
      <w:tr w:rsidR="008C6725" w:rsidRPr="00E10FD1" w:rsidTr="00802E2B">
        <w:trPr>
          <w:gridBefore w:val="1"/>
          <w:wBefore w:w="10" w:type="dxa"/>
          <w:cantSplit/>
          <w:tblHeader/>
        </w:trPr>
        <w:tc>
          <w:tcPr>
            <w:tcW w:w="1457" w:type="dxa"/>
            <w:gridSpan w:val="2"/>
            <w:tcBorders>
              <w:top w:val="single" w:sz="4" w:space="0" w:color="000000"/>
              <w:left w:val="single" w:sz="4" w:space="0" w:color="000000"/>
              <w:bottom w:val="single" w:sz="4" w:space="0" w:color="000000"/>
            </w:tcBorders>
            <w:shd w:val="clear" w:color="auto" w:fill="0F243E" w:themeFill="text2" w:themeFillShade="80"/>
            <w:vAlign w:val="center"/>
          </w:tcPr>
          <w:p w:rsidR="008C6725" w:rsidRPr="00E10FD1" w:rsidRDefault="008C6725" w:rsidP="00802E2B">
            <w:pPr>
              <w:jc w:val="center"/>
              <w:rPr>
                <w:rFonts w:asciiTheme="minorHAnsi" w:hAnsiTheme="minorHAnsi" w:cstheme="minorHAnsi"/>
                <w:b/>
                <w:color w:val="FFFFFF" w:themeColor="background1"/>
                <w:sz w:val="20"/>
                <w:szCs w:val="20"/>
              </w:rPr>
            </w:pPr>
            <w:r w:rsidRPr="00E10FD1">
              <w:rPr>
                <w:rStyle w:val="Emphasis"/>
                <w:rFonts w:asciiTheme="minorHAnsi" w:hAnsiTheme="minorHAnsi" w:cstheme="minorHAnsi"/>
                <w:b/>
                <w:i w:val="0"/>
                <w:color w:val="FFFFFF" w:themeColor="background1"/>
                <w:sz w:val="20"/>
                <w:szCs w:val="20"/>
              </w:rPr>
              <w:t>Convocatoria</w:t>
            </w:r>
          </w:p>
        </w:tc>
        <w:tc>
          <w:tcPr>
            <w:tcW w:w="3560" w:type="dxa"/>
            <w:gridSpan w:val="2"/>
            <w:tcBorders>
              <w:top w:val="single" w:sz="4" w:space="0" w:color="000000"/>
              <w:left w:val="single" w:sz="4" w:space="0" w:color="000000"/>
              <w:bottom w:val="single" w:sz="4" w:space="0" w:color="000000"/>
            </w:tcBorders>
            <w:shd w:val="clear" w:color="auto" w:fill="0F243E" w:themeFill="text2" w:themeFillShade="80"/>
            <w:vAlign w:val="center"/>
          </w:tcPr>
          <w:p w:rsidR="008C6725" w:rsidRPr="00E10FD1" w:rsidRDefault="008C6725" w:rsidP="00802E2B">
            <w:pPr>
              <w:jc w:val="center"/>
              <w:rPr>
                <w:rFonts w:asciiTheme="minorHAnsi" w:hAnsiTheme="minorHAnsi" w:cstheme="minorHAnsi"/>
                <w:b/>
                <w:color w:val="FFFFFF" w:themeColor="background1"/>
                <w:sz w:val="20"/>
                <w:szCs w:val="20"/>
              </w:rPr>
            </w:pPr>
            <w:r w:rsidRPr="00E10FD1">
              <w:rPr>
                <w:rFonts w:asciiTheme="minorHAnsi" w:hAnsiTheme="minorHAnsi" w:cstheme="minorHAnsi"/>
                <w:b/>
                <w:color w:val="FFFFFF" w:themeColor="background1"/>
                <w:sz w:val="20"/>
                <w:szCs w:val="20"/>
              </w:rPr>
              <w:t>Nombre del Proyecto</w:t>
            </w:r>
          </w:p>
        </w:tc>
        <w:tc>
          <w:tcPr>
            <w:tcW w:w="1560" w:type="dxa"/>
            <w:gridSpan w:val="2"/>
            <w:tcBorders>
              <w:top w:val="single" w:sz="4" w:space="0" w:color="000000"/>
              <w:left w:val="single" w:sz="4" w:space="0" w:color="000000"/>
              <w:bottom w:val="single" w:sz="4" w:space="0" w:color="000000"/>
            </w:tcBorders>
            <w:shd w:val="clear" w:color="auto" w:fill="0F243E" w:themeFill="text2" w:themeFillShade="80"/>
            <w:vAlign w:val="center"/>
          </w:tcPr>
          <w:p w:rsidR="008C6725" w:rsidRPr="00E10FD1" w:rsidRDefault="008C6725" w:rsidP="00802E2B">
            <w:pPr>
              <w:jc w:val="center"/>
              <w:rPr>
                <w:rFonts w:asciiTheme="minorHAnsi" w:hAnsiTheme="minorHAnsi" w:cstheme="minorHAnsi"/>
                <w:b/>
                <w:color w:val="FFFFFF" w:themeColor="background1"/>
                <w:sz w:val="20"/>
                <w:szCs w:val="20"/>
              </w:rPr>
            </w:pPr>
            <w:r w:rsidRPr="00E10FD1">
              <w:rPr>
                <w:rFonts w:asciiTheme="minorHAnsi" w:hAnsiTheme="minorHAnsi" w:cstheme="minorHAnsi"/>
                <w:b/>
                <w:color w:val="FFFFFF" w:themeColor="background1"/>
                <w:sz w:val="20"/>
                <w:szCs w:val="20"/>
              </w:rPr>
              <w:t>Proponente</w:t>
            </w:r>
          </w:p>
        </w:tc>
        <w:tc>
          <w:tcPr>
            <w:tcW w:w="1842" w:type="dxa"/>
            <w:gridSpan w:val="2"/>
            <w:tcBorders>
              <w:top w:val="single" w:sz="4" w:space="0" w:color="000000"/>
              <w:left w:val="single" w:sz="4" w:space="0" w:color="000000"/>
              <w:bottom w:val="single" w:sz="4" w:space="0" w:color="000000"/>
            </w:tcBorders>
            <w:shd w:val="clear" w:color="auto" w:fill="0F243E" w:themeFill="text2" w:themeFillShade="80"/>
            <w:vAlign w:val="center"/>
          </w:tcPr>
          <w:p w:rsidR="008C6725" w:rsidRPr="00E10FD1" w:rsidRDefault="008C6725" w:rsidP="00802E2B">
            <w:pPr>
              <w:jc w:val="center"/>
              <w:rPr>
                <w:rFonts w:asciiTheme="minorHAnsi" w:hAnsiTheme="minorHAnsi" w:cstheme="minorHAnsi"/>
                <w:b/>
                <w:color w:val="FFFFFF" w:themeColor="background1"/>
                <w:sz w:val="20"/>
                <w:szCs w:val="20"/>
              </w:rPr>
            </w:pPr>
            <w:r w:rsidRPr="00E10FD1">
              <w:rPr>
                <w:rFonts w:asciiTheme="minorHAnsi" w:hAnsiTheme="minorHAnsi" w:cstheme="minorHAnsi"/>
                <w:b/>
                <w:color w:val="FFFFFF" w:themeColor="background1"/>
                <w:sz w:val="20"/>
                <w:szCs w:val="20"/>
              </w:rPr>
              <w:t>Asociados</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0F243E" w:themeFill="text2" w:themeFillShade="80"/>
            <w:vAlign w:val="center"/>
          </w:tcPr>
          <w:p w:rsidR="008C6725" w:rsidRPr="00E10FD1" w:rsidRDefault="008C6725" w:rsidP="00802E2B">
            <w:pPr>
              <w:jc w:val="center"/>
              <w:rPr>
                <w:rFonts w:asciiTheme="minorHAnsi" w:hAnsiTheme="minorHAnsi" w:cstheme="minorHAnsi"/>
                <w:b/>
                <w:color w:val="FFFFFF" w:themeColor="background1"/>
                <w:sz w:val="20"/>
                <w:szCs w:val="20"/>
              </w:rPr>
            </w:pPr>
            <w:r w:rsidRPr="00E10FD1">
              <w:rPr>
                <w:rFonts w:asciiTheme="minorHAnsi" w:hAnsiTheme="minorHAnsi" w:cstheme="minorHAnsi"/>
                <w:b/>
                <w:color w:val="FFFFFF" w:themeColor="background1"/>
                <w:sz w:val="20"/>
                <w:szCs w:val="20"/>
              </w:rPr>
              <w:t>Sector</w:t>
            </w:r>
          </w:p>
        </w:tc>
      </w:tr>
      <w:tr w:rsidR="008C6725" w:rsidRPr="004E48C5" w:rsidTr="00802E2B">
        <w:trPr>
          <w:gridBefore w:val="1"/>
          <w:wBefore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FAPEP </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Innovación en procesos de packaging</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PY TEAS SRL</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N/A</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Ciencias Agrícolas</w:t>
            </w:r>
          </w:p>
        </w:tc>
      </w:tr>
      <w:tr w:rsidR="008C6725" w:rsidRPr="004E48C5" w:rsidTr="00802E2B">
        <w:trPr>
          <w:gridBefore w:val="1"/>
          <w:wBefore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FAPEP </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Selección de cepas locales de Bradyrhizobium para nodulación de soja en Paraguay</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CHEMTEC SAE</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 CEMIT; Rectorado UNA </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Ciencias Agrícolas</w:t>
            </w:r>
          </w:p>
        </w:tc>
      </w:tr>
      <w:tr w:rsidR="008C6725" w:rsidRPr="004E48C5" w:rsidTr="00802E2B">
        <w:trPr>
          <w:gridBefore w:val="1"/>
          <w:wBefore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FAPEP </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Sistema de Supervisión del Cobro de Pasaje y Localización de Flota</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DEI-LED UCA</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 TEX SRL </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 Servicios </w:t>
            </w:r>
          </w:p>
        </w:tc>
      </w:tr>
      <w:tr w:rsidR="008C6725" w:rsidRPr="004E48C5" w:rsidTr="00802E2B">
        <w:trPr>
          <w:gridBefore w:val="1"/>
          <w:wBefore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FAPEP </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Desarrollo de un protocolo estandarizado de producción sustentable de fitofármacos antidepresivos a partir de partes aéreas de burrito (Aloysiapolystachya) cultivado en Paraguay</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Vicente Scavone&amp;Cía - Laboratorios Lasca</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Fac. Ciencias Químicas UNA; IICS UNA</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Salud</w:t>
            </w:r>
          </w:p>
        </w:tc>
      </w:tr>
      <w:tr w:rsidR="008C6725" w:rsidRPr="004E48C5" w:rsidTr="00802E2B">
        <w:trPr>
          <w:gridBefore w:val="1"/>
          <w:wBefore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Ventanilla 2009</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Aplicación de microsatélites de ADN para la identificación biológica de ganado bovino</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ARP/IICS</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Instituto de Investigaciones en Ciencias de la Salud (UNA) </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Ciencias Naturales </w:t>
            </w:r>
          </w:p>
        </w:tc>
      </w:tr>
      <w:tr w:rsidR="008C6725" w:rsidRPr="004E48C5" w:rsidTr="00802E2B">
        <w:trPr>
          <w:gridBefore w:val="1"/>
          <w:wBefore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lastRenderedPageBreak/>
              <w:t>Ventanilla 2009</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Planta Industrial de Biorreactores para la producción de inoculante nativo para soja en Paraguay.  </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CHEMTEC S.A.E</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Centro Multidisciplinario de Investigaciones Tecnológicas (CEMIT)</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Ciencias Agrícolas </w:t>
            </w:r>
          </w:p>
        </w:tc>
      </w:tr>
      <w:tr w:rsidR="008C6725" w:rsidRPr="004E48C5" w:rsidTr="00802E2B">
        <w:trPr>
          <w:gridBefore w:val="1"/>
          <w:wBefore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Ventanilla 2009</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Refinación, recuperación de aceites usados de motor para coadyuvante agrícola.</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AGROFUTURO </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Ingeniería y Tecnología </w:t>
            </w:r>
          </w:p>
        </w:tc>
      </w:tr>
      <w:tr w:rsidR="008C6725" w:rsidRPr="004E48C5" w:rsidTr="00802E2B">
        <w:trPr>
          <w:gridBefore w:val="1"/>
          <w:wBefore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Ventanilla 2009</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Incorporación de tecnología avanzada para procesar carne de cerdo de músculo entero.</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FRIGORIFICO GUARANI </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Ingeniería y Tecnología </w:t>
            </w:r>
          </w:p>
        </w:tc>
      </w:tr>
      <w:tr w:rsidR="008C6725" w:rsidRPr="004E48C5" w:rsidTr="00802E2B">
        <w:trPr>
          <w:gridBefore w:val="1"/>
          <w:wBefore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Ventanilla 2009</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Proceso mejorado de producción de plantas ornamentales para exportación</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CEDIAL</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Embassy Flores </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Ciencias Agrícolas </w:t>
            </w:r>
          </w:p>
        </w:tc>
      </w:tr>
      <w:tr w:rsidR="008C6725" w:rsidRPr="004E48C5" w:rsidTr="00802E2B">
        <w:trPr>
          <w:gridBefore w:val="1"/>
          <w:wBefore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Ventanilla 2009</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Plataforma de señalización SS7 para prestación de servicios de valor agregado VAS en operaciones de telefonía celular</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lang w:val="en-US"/>
              </w:rPr>
            </w:pPr>
            <w:r w:rsidRPr="004E48C5">
              <w:rPr>
                <w:rFonts w:asciiTheme="minorHAnsi" w:hAnsiTheme="minorHAnsi" w:cstheme="minorHAnsi"/>
                <w:color w:val="000000" w:themeColor="text1"/>
                <w:sz w:val="20"/>
                <w:szCs w:val="20"/>
              </w:rPr>
              <w:t>MULTICONT S.A</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lang w:val="en-US"/>
              </w:rPr>
            </w:pPr>
            <w:r w:rsidRPr="004E48C5">
              <w:rPr>
                <w:rFonts w:asciiTheme="minorHAnsi" w:hAnsiTheme="minorHAnsi" w:cstheme="minorHAnsi"/>
                <w:color w:val="000000" w:themeColor="text1"/>
                <w:sz w:val="20"/>
                <w:szCs w:val="20"/>
                <w:lang w:val="en-US"/>
              </w:rPr>
              <w:t>SS7 Solutions S.R.L.</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Ingeniería y Tecnología </w:t>
            </w:r>
          </w:p>
        </w:tc>
      </w:tr>
      <w:tr w:rsidR="008C6725" w:rsidRPr="004E48C5" w:rsidTr="00802E2B">
        <w:trPr>
          <w:gridBefore w:val="1"/>
          <w:wBefore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Ventanilla 2009</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Incorporación de tecnología para el desarrollo del negocio de fabricación de vehículos aéreos no tripulados VANT</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CASA BOLLER </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Ingeniería y Tecnología </w:t>
            </w:r>
          </w:p>
        </w:tc>
      </w:tr>
      <w:tr w:rsidR="008C6725" w:rsidRPr="004E48C5" w:rsidTr="00802E2B">
        <w:trPr>
          <w:gridBefore w:val="1"/>
          <w:wBefore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Ventanilla 2009</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Solución Tecnológica para digitalización de archivos</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DATA SYSTEMS</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Ingeniería y Tecnología </w:t>
            </w:r>
          </w:p>
        </w:tc>
      </w:tr>
      <w:tr w:rsidR="008C6725" w:rsidRPr="004E48C5" w:rsidTr="00802E2B">
        <w:trPr>
          <w:gridBefore w:val="1"/>
          <w:wBefore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Ventanilla 2010</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Generación de biogás por estabilización de contacto anaeróbica de la industria alcoholera</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DESTILERIA MUSSI</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ALPASA</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Ciencias Naturales </w:t>
            </w:r>
          </w:p>
        </w:tc>
      </w:tr>
      <w:tr w:rsidR="008C6725" w:rsidRPr="004E48C5" w:rsidTr="00802E2B">
        <w:trPr>
          <w:gridBefore w:val="1"/>
          <w:wBefore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Ventanilla 2010</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Manufactura integrada por Computadora (CIM)</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ACHON </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Ingeniería y Tecnología </w:t>
            </w:r>
          </w:p>
        </w:tc>
      </w:tr>
      <w:tr w:rsidR="008C6725" w:rsidRPr="004E48C5" w:rsidTr="00802E2B">
        <w:trPr>
          <w:gridBefore w:val="1"/>
          <w:wBefore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Ventanilla 2010</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Tratamiento térmico de aceros en atmósfera gaseosa</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FABRIPAR S.A </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Ciencias Naturales </w:t>
            </w:r>
          </w:p>
        </w:tc>
      </w:tr>
      <w:tr w:rsidR="008C6725" w:rsidRPr="004E48C5" w:rsidTr="00802E2B">
        <w:trPr>
          <w:gridBefore w:val="1"/>
          <w:wBefore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Ventanilla 2010</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Servicio de Compensación, control y archivo digitalizado de cheques</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COMPUTER PLUS </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Ingeniería y Tecnología </w:t>
            </w:r>
          </w:p>
        </w:tc>
      </w:tr>
      <w:tr w:rsidR="008C6725" w:rsidRPr="004E48C5" w:rsidTr="00802E2B">
        <w:trPr>
          <w:gridBefore w:val="1"/>
          <w:wBefore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Ventanilla 2010</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Servicio de Información Agroclimática por Telefonía Móvil</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UNICOOP-UCA/CTA</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Ingeniería y Tecnología </w:t>
            </w:r>
          </w:p>
        </w:tc>
      </w:tr>
      <w:tr w:rsidR="008C6725" w:rsidRPr="004E48C5" w:rsidTr="00802E2B">
        <w:trPr>
          <w:gridBefore w:val="1"/>
          <w:wBefore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Ventanilla 2011</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Sistema de Adquisición y Gestión de dato meteorológico.</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ENVING S.R.L </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Facultad Politécnica (UNA)</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Ingenierías y Tecnologías</w:t>
            </w:r>
          </w:p>
        </w:tc>
      </w:tr>
      <w:tr w:rsidR="008C6725" w:rsidRPr="004E48C5" w:rsidTr="00802E2B">
        <w:trPr>
          <w:gridBefore w:val="1"/>
          <w:wBefore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Ventanilla 2011</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Prototipo y Fabricación de Vehículo Eléctrico para usuarios en silla de ruedas</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 xml:space="preserve">MOTOPAR </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4E48C5" w:rsidRDefault="008C6725" w:rsidP="00802E2B">
            <w:pP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Ingenierías y Tecnologías</w:t>
            </w:r>
          </w:p>
        </w:tc>
      </w:tr>
      <w:tr w:rsidR="008C6725" w:rsidRPr="004E48C5" w:rsidTr="00802E2B">
        <w:trPr>
          <w:gridAfter w:val="1"/>
          <w:wAfter w:w="10" w:type="dxa"/>
        </w:trPr>
        <w:tc>
          <w:tcPr>
            <w:tcW w:w="1457" w:type="dxa"/>
            <w:gridSpan w:val="2"/>
            <w:tcBorders>
              <w:top w:val="single" w:sz="4" w:space="0" w:color="000000"/>
              <w:left w:val="single" w:sz="4" w:space="0" w:color="000000"/>
              <w:bottom w:val="single" w:sz="4" w:space="0" w:color="000000"/>
            </w:tcBorders>
            <w:shd w:val="clear" w:color="auto" w:fill="auto"/>
            <w:vAlign w:val="center"/>
          </w:tcPr>
          <w:p w:rsidR="008C6725" w:rsidRPr="00B158E6" w:rsidRDefault="008C6725" w:rsidP="00802E2B">
            <w:pPr>
              <w:rPr>
                <w:rFonts w:asciiTheme="minorHAnsi" w:hAnsiTheme="minorHAnsi" w:cstheme="minorHAnsi"/>
                <w:color w:val="000000" w:themeColor="text1"/>
                <w:sz w:val="20"/>
                <w:szCs w:val="20"/>
              </w:rPr>
            </w:pPr>
            <w:r w:rsidRPr="00B158E6">
              <w:rPr>
                <w:rFonts w:asciiTheme="minorHAnsi" w:hAnsiTheme="minorHAnsi" w:cstheme="minorHAnsi"/>
                <w:color w:val="000000" w:themeColor="text1"/>
                <w:sz w:val="20"/>
                <w:szCs w:val="20"/>
              </w:rPr>
              <w:t>Convocatoria Especial 2012</w:t>
            </w:r>
            <w:r>
              <w:rPr>
                <w:rFonts w:asciiTheme="minorHAnsi" w:hAnsiTheme="minorHAnsi" w:cstheme="minorHAnsi"/>
                <w:color w:val="000000" w:themeColor="text1"/>
                <w:sz w:val="20"/>
                <w:szCs w:val="20"/>
              </w:rPr>
              <w:t>*</w:t>
            </w:r>
          </w:p>
        </w:tc>
        <w:tc>
          <w:tcPr>
            <w:tcW w:w="3560" w:type="dxa"/>
            <w:gridSpan w:val="2"/>
            <w:tcBorders>
              <w:top w:val="single" w:sz="4" w:space="0" w:color="000000"/>
              <w:left w:val="single" w:sz="4" w:space="0" w:color="000000"/>
              <w:bottom w:val="single" w:sz="4" w:space="0" w:color="000000"/>
            </w:tcBorders>
            <w:shd w:val="clear" w:color="auto" w:fill="auto"/>
            <w:vAlign w:val="center"/>
          </w:tcPr>
          <w:p w:rsidR="008C6725" w:rsidRPr="00B158E6" w:rsidRDefault="008C6725" w:rsidP="00802E2B">
            <w:pPr>
              <w:rPr>
                <w:rFonts w:asciiTheme="minorHAnsi" w:hAnsiTheme="minorHAnsi" w:cstheme="minorHAnsi"/>
                <w:color w:val="000000" w:themeColor="text1"/>
                <w:sz w:val="20"/>
                <w:szCs w:val="20"/>
              </w:rPr>
            </w:pPr>
            <w:r w:rsidRPr="00B158E6">
              <w:rPr>
                <w:rFonts w:asciiTheme="minorHAnsi" w:hAnsiTheme="minorHAnsi" w:cstheme="minorHAnsi"/>
                <w:color w:val="000000" w:themeColor="text1"/>
                <w:sz w:val="20"/>
                <w:szCs w:val="20"/>
              </w:rPr>
              <w:t>Sistema de postulación a instrumentos del CONACYT</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8C6725" w:rsidRPr="00B158E6" w:rsidRDefault="008C6725" w:rsidP="00802E2B">
            <w:pPr>
              <w:rPr>
                <w:rFonts w:asciiTheme="minorHAnsi" w:hAnsiTheme="minorHAnsi" w:cstheme="minorHAnsi"/>
                <w:color w:val="000000" w:themeColor="text1"/>
                <w:sz w:val="20"/>
                <w:szCs w:val="20"/>
              </w:rPr>
            </w:pPr>
            <w:r w:rsidRPr="00B158E6">
              <w:rPr>
                <w:rFonts w:asciiTheme="minorHAnsi" w:hAnsiTheme="minorHAnsi" w:cstheme="minorHAnsi"/>
                <w:color w:val="000000" w:themeColor="text1"/>
                <w:sz w:val="20"/>
                <w:szCs w:val="20"/>
              </w:rPr>
              <w:t>SIMGIA</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8C6725" w:rsidRPr="00B158E6" w:rsidRDefault="008C6725" w:rsidP="00802E2B">
            <w:pPr>
              <w:rPr>
                <w:rFonts w:asciiTheme="minorHAnsi" w:hAnsiTheme="minorHAnsi" w:cstheme="minorHAnsi"/>
                <w:color w:val="000000" w:themeColor="text1"/>
                <w:sz w:val="20"/>
                <w:szCs w:val="20"/>
              </w:rPr>
            </w:pP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6725" w:rsidRPr="00B158E6" w:rsidRDefault="008C6725" w:rsidP="00802E2B">
            <w:pPr>
              <w:rPr>
                <w:rFonts w:asciiTheme="minorHAnsi" w:hAnsiTheme="minorHAnsi" w:cstheme="minorHAnsi"/>
                <w:color w:val="000000" w:themeColor="text1"/>
                <w:sz w:val="20"/>
                <w:szCs w:val="20"/>
              </w:rPr>
            </w:pPr>
            <w:r w:rsidRPr="00B158E6">
              <w:rPr>
                <w:rFonts w:asciiTheme="minorHAnsi" w:hAnsiTheme="minorHAnsi" w:cstheme="minorHAnsi"/>
                <w:color w:val="000000" w:themeColor="text1"/>
                <w:sz w:val="20"/>
                <w:szCs w:val="20"/>
              </w:rPr>
              <w:t>Ingenierías y Tecnologías</w:t>
            </w:r>
          </w:p>
        </w:tc>
      </w:tr>
    </w:tbl>
    <w:p w:rsidR="008C6725" w:rsidRDefault="008C6725" w:rsidP="008C6725">
      <w:pPr>
        <w:jc w:val="both"/>
        <w:rPr>
          <w:rFonts w:asciiTheme="minorHAnsi" w:hAnsiTheme="minorHAnsi" w:cstheme="minorHAnsi"/>
          <w:color w:val="000000" w:themeColor="text1"/>
          <w:sz w:val="18"/>
          <w:szCs w:val="18"/>
        </w:rPr>
      </w:pPr>
      <w:r w:rsidRPr="00171404">
        <w:rPr>
          <w:rFonts w:asciiTheme="minorHAnsi" w:hAnsiTheme="minorHAnsi" w:cstheme="minorHAnsi"/>
          <w:color w:val="000000" w:themeColor="text1"/>
          <w:sz w:val="18"/>
          <w:szCs w:val="18"/>
        </w:rPr>
        <w:t>Fuente: Innovos Group en base a dato</w:t>
      </w:r>
      <w:r>
        <w:rPr>
          <w:rFonts w:asciiTheme="minorHAnsi" w:hAnsiTheme="minorHAnsi" w:cstheme="minorHAnsi"/>
          <w:color w:val="000000" w:themeColor="text1"/>
          <w:sz w:val="18"/>
          <w:szCs w:val="18"/>
        </w:rPr>
        <w:t>s provistos por CONACYT</w:t>
      </w:r>
    </w:p>
    <w:p w:rsidR="008C6725" w:rsidRPr="00171404" w:rsidRDefault="008C6725" w:rsidP="008C6725">
      <w:pPr>
        <w:ind w:right="-1227"/>
        <w:jc w:val="both"/>
        <w:rPr>
          <w:rFonts w:asciiTheme="minorHAnsi" w:hAnsiTheme="minorHAnsi" w:cstheme="minorHAnsi"/>
          <w:color w:val="000000" w:themeColor="text1"/>
          <w:sz w:val="18"/>
          <w:szCs w:val="18"/>
        </w:rPr>
      </w:pPr>
      <w:r w:rsidRPr="00983C5E">
        <w:rPr>
          <w:rFonts w:asciiTheme="minorHAnsi" w:hAnsiTheme="minorHAnsi" w:cstheme="minorHAnsi"/>
          <w:color w:val="000000" w:themeColor="text1"/>
          <w:sz w:val="20"/>
          <w:szCs w:val="20"/>
        </w:rPr>
        <w:t>*</w:t>
      </w:r>
      <w:r>
        <w:rPr>
          <w:rFonts w:asciiTheme="minorHAnsi" w:hAnsiTheme="minorHAnsi" w:cstheme="minorHAnsi"/>
          <w:color w:val="000000" w:themeColor="text1"/>
          <w:sz w:val="18"/>
          <w:szCs w:val="18"/>
        </w:rPr>
        <w:t>Nota: A los fines del análisis de los logros en innovación empresarial, este proyecto no se considerará por</w:t>
      </w:r>
      <w:r w:rsidRPr="00983C5E">
        <w:rPr>
          <w:rFonts w:asciiTheme="minorHAnsi" w:hAnsiTheme="minorHAnsi" w:cstheme="minorHAnsi"/>
          <w:color w:val="000000" w:themeColor="text1"/>
          <w:sz w:val="18"/>
          <w:szCs w:val="18"/>
        </w:rPr>
        <w:t xml:space="preserve"> tratarse de </w:t>
      </w:r>
      <w:r>
        <w:rPr>
          <w:rFonts w:asciiTheme="minorHAnsi" w:hAnsiTheme="minorHAnsi" w:cstheme="minorHAnsi"/>
          <w:color w:val="000000" w:themeColor="text1"/>
          <w:sz w:val="18"/>
          <w:szCs w:val="18"/>
        </w:rPr>
        <w:t>una subcontratación del PROCIT</w:t>
      </w:r>
      <w:r w:rsidRPr="00983C5E">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 xml:space="preserve"> Por lo tanto, el número de proyectos sobre el cual se referencia es de 19 proyectos aprobados y 18 proyectos efectivamente ejecutados.</w:t>
      </w:r>
    </w:p>
    <w:p w:rsidR="008C6725" w:rsidRPr="00A637CB" w:rsidRDefault="008C6725" w:rsidP="008C6725">
      <w:pPr>
        <w:rPr>
          <w:rFonts w:asciiTheme="minorHAnsi" w:hAnsiTheme="minorHAnsi" w:cstheme="minorHAnsi"/>
          <w:color w:val="000000" w:themeColor="text1"/>
          <w:sz w:val="20"/>
          <w:szCs w:val="20"/>
          <w:lang w:eastAsia="en-US"/>
        </w:rPr>
      </w:pPr>
    </w:p>
    <w:p w:rsidR="008C6725" w:rsidRPr="000105EE" w:rsidRDefault="008C6725" w:rsidP="008C6725">
      <w:pPr>
        <w:pStyle w:val="Prrafodelista1"/>
        <w:spacing w:before="120" w:after="120" w:line="288" w:lineRule="auto"/>
        <w:ind w:left="0"/>
        <w:contextualSpacing w:val="0"/>
        <w:jc w:val="both"/>
        <w:rPr>
          <w:rStyle w:val="Emphasis"/>
          <w:rFonts w:asciiTheme="minorHAnsi" w:hAnsiTheme="minorHAnsi" w:cstheme="minorHAnsi"/>
          <w:color w:val="000000" w:themeColor="text1"/>
          <w:sz w:val="24"/>
        </w:rPr>
      </w:pPr>
      <w:r w:rsidRPr="000105EE">
        <w:rPr>
          <w:rStyle w:val="Emphasis"/>
          <w:rFonts w:asciiTheme="minorHAnsi" w:hAnsiTheme="minorHAnsi" w:cstheme="minorHAnsi"/>
          <w:i w:val="0"/>
          <w:color w:val="000000" w:themeColor="text1"/>
          <w:sz w:val="24"/>
        </w:rPr>
        <w:t>Desde un punto de vista estricto del número de proyectos que fueron ejecutados en relación a la meta original, el cumplimiento de la meta es de un 74%.</w:t>
      </w:r>
    </w:p>
    <w:p w:rsidR="008C6725" w:rsidRPr="000105EE" w:rsidRDefault="008C6725" w:rsidP="008C6725">
      <w:pPr>
        <w:pStyle w:val="Prrafodelista1"/>
        <w:spacing w:before="120" w:after="120" w:line="288" w:lineRule="auto"/>
        <w:ind w:left="0"/>
        <w:contextualSpacing w:val="0"/>
        <w:jc w:val="both"/>
        <w:rPr>
          <w:rFonts w:asciiTheme="minorHAnsi" w:hAnsiTheme="minorHAnsi" w:cstheme="minorHAnsi"/>
          <w:i/>
          <w:iCs/>
          <w:color w:val="000000" w:themeColor="text1"/>
          <w:sz w:val="24"/>
        </w:rPr>
      </w:pPr>
      <w:r w:rsidRPr="000105EE">
        <w:rPr>
          <w:rStyle w:val="Emphasis"/>
          <w:rFonts w:asciiTheme="minorHAnsi" w:hAnsiTheme="minorHAnsi" w:cstheme="minorHAnsi"/>
          <w:i w:val="0"/>
          <w:color w:val="000000" w:themeColor="text1"/>
          <w:sz w:val="24"/>
        </w:rPr>
        <w:t>Se ejecutaron 18 proyectos de innovación de empresas (de 19 aprobados). Si bien la meta original fue de 35 proyectos, esta meta fue ajustada en la Misión de Supervisión siendo fijada en 24 proyectos, como se presenta en el gráfico a continuación.</w:t>
      </w:r>
    </w:p>
    <w:p w:rsidR="008C6725" w:rsidRDefault="008C6725" w:rsidP="008C6725">
      <w:pPr>
        <w:jc w:val="center"/>
        <w:rPr>
          <w:rFonts w:asciiTheme="minorHAnsi" w:hAnsiTheme="minorHAnsi" w:cstheme="minorHAnsi"/>
          <w:b/>
          <w:color w:val="000000" w:themeColor="text1"/>
        </w:rPr>
      </w:pPr>
    </w:p>
    <w:p w:rsidR="008C6725" w:rsidRDefault="008C6725" w:rsidP="008C6725">
      <w:pPr>
        <w:jc w:val="center"/>
        <w:rPr>
          <w:rFonts w:asciiTheme="minorHAnsi" w:hAnsiTheme="minorHAnsi" w:cstheme="minorHAnsi"/>
          <w:b/>
          <w:color w:val="000000" w:themeColor="text1"/>
        </w:rPr>
      </w:pPr>
    </w:p>
    <w:p w:rsidR="008C6725" w:rsidRDefault="008C6725" w:rsidP="008C6725">
      <w:pPr>
        <w:jc w:val="center"/>
        <w:rPr>
          <w:rFonts w:asciiTheme="minorHAnsi" w:hAnsiTheme="minorHAnsi" w:cstheme="minorHAnsi"/>
          <w:b/>
          <w:color w:val="000000" w:themeColor="text1"/>
        </w:rPr>
      </w:pPr>
    </w:p>
    <w:p w:rsidR="008C6725" w:rsidRPr="00527CDE" w:rsidRDefault="00802E2B" w:rsidP="008C6725">
      <w:pPr>
        <w:jc w:val="center"/>
        <w:rPr>
          <w:rFonts w:asciiTheme="minorHAnsi" w:hAnsiTheme="minorHAnsi" w:cstheme="minorHAnsi"/>
          <w:b/>
          <w:color w:val="000000" w:themeColor="text1"/>
          <w:u w:val="single"/>
        </w:rPr>
      </w:pPr>
      <w:r>
        <w:rPr>
          <w:rFonts w:asciiTheme="minorHAnsi" w:hAnsiTheme="minorHAnsi" w:cstheme="minorHAnsi"/>
          <w:b/>
          <w:color w:val="000000" w:themeColor="text1"/>
        </w:rPr>
        <w:t>Gráfico 5.14</w:t>
      </w:r>
      <w:r w:rsidR="008C6725" w:rsidRPr="00527CDE">
        <w:rPr>
          <w:rFonts w:asciiTheme="minorHAnsi" w:hAnsiTheme="minorHAnsi" w:cstheme="minorHAnsi"/>
          <w:b/>
          <w:color w:val="000000" w:themeColor="text1"/>
        </w:rPr>
        <w:t>. Análisis de metas del subcomponente de Proyectos de Innovación</w:t>
      </w:r>
    </w:p>
    <w:p w:rsidR="008C6725" w:rsidRPr="004E48C5" w:rsidRDefault="008C6725" w:rsidP="008C6725">
      <w:pPr>
        <w:jc w:val="center"/>
        <w:rPr>
          <w:rFonts w:asciiTheme="minorHAnsi" w:hAnsiTheme="minorHAnsi" w:cstheme="minorHAnsi"/>
          <w:b/>
          <w:color w:val="000000" w:themeColor="text1"/>
          <w:sz w:val="20"/>
          <w:szCs w:val="20"/>
          <w:u w:val="single"/>
        </w:rPr>
      </w:pPr>
    </w:p>
    <w:p w:rsidR="008C6725" w:rsidRDefault="008C6725" w:rsidP="008C6725">
      <w:pPr>
        <w:ind w:left="1701" w:right="1325"/>
        <w:jc w:val="both"/>
        <w:rPr>
          <w:rFonts w:asciiTheme="minorHAnsi" w:hAnsiTheme="minorHAnsi" w:cstheme="minorHAnsi"/>
          <w:color w:val="000000" w:themeColor="text1"/>
          <w:sz w:val="20"/>
          <w:szCs w:val="20"/>
        </w:rPr>
      </w:pPr>
      <w:r w:rsidRPr="004E48C5">
        <w:rPr>
          <w:rFonts w:asciiTheme="minorHAnsi" w:hAnsiTheme="minorHAnsi" w:cstheme="minorHAnsi"/>
          <w:b/>
          <w:noProof/>
          <w:color w:val="000000" w:themeColor="text1"/>
          <w:sz w:val="20"/>
          <w:szCs w:val="20"/>
          <w:lang w:val="es-ES_tradnl" w:eastAsia="es-ES_tradnl"/>
        </w:rPr>
        <w:drawing>
          <wp:inline distT="0" distB="0" distL="0" distR="0" wp14:anchorId="44F12B85" wp14:editId="731F68E0">
            <wp:extent cx="3510915" cy="2190750"/>
            <wp:effectExtent l="0" t="0" r="0" b="0"/>
            <wp:docPr id="1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0915" cy="2190750"/>
                    </a:xfrm>
                    <a:prstGeom prst="rect">
                      <a:avLst/>
                    </a:prstGeom>
                    <a:noFill/>
                    <a:ln>
                      <a:noFill/>
                    </a:ln>
                  </pic:spPr>
                </pic:pic>
              </a:graphicData>
            </a:graphic>
          </wp:inline>
        </w:drawing>
      </w:r>
    </w:p>
    <w:p w:rsidR="008C6725" w:rsidRPr="004E48C5" w:rsidRDefault="008C6725" w:rsidP="008C6725">
      <w:pPr>
        <w:ind w:left="1276" w:right="1183"/>
        <w:jc w:val="center"/>
        <w:rPr>
          <w:rStyle w:val="Emphasis"/>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Fuente: Innovos Group en base a datos de proyectos provistos por CONACYT</w:t>
      </w:r>
    </w:p>
    <w:p w:rsidR="008C6725" w:rsidRPr="004E48C5" w:rsidRDefault="008C6725" w:rsidP="008C6725">
      <w:pPr>
        <w:ind w:left="1276" w:right="1183"/>
        <w:contextualSpacing/>
        <w:jc w:val="center"/>
        <w:rPr>
          <w:rFonts w:asciiTheme="minorHAnsi" w:hAnsiTheme="minorHAnsi" w:cstheme="minorHAnsi"/>
          <w:color w:val="000000" w:themeColor="text1"/>
          <w:sz w:val="20"/>
          <w:szCs w:val="20"/>
          <w:shd w:val="clear" w:color="auto" w:fill="FFFF00"/>
        </w:rPr>
      </w:pPr>
      <w:r w:rsidRPr="004E48C5">
        <w:rPr>
          <w:rStyle w:val="Emphasis"/>
          <w:rFonts w:asciiTheme="minorHAnsi" w:hAnsiTheme="minorHAnsi" w:cstheme="minorHAnsi"/>
          <w:color w:val="000000" w:themeColor="text1"/>
          <w:sz w:val="20"/>
          <w:szCs w:val="20"/>
        </w:rPr>
        <w:t>*Los indicadores fueron ajustados en la Misión de Supervisión, llevada a cabo en Asunción del 28/02/2011 al 03/03/2011, y constan e</w:t>
      </w:r>
      <w:r>
        <w:rPr>
          <w:rStyle w:val="Emphasis"/>
          <w:rFonts w:asciiTheme="minorHAnsi" w:hAnsiTheme="minorHAnsi" w:cstheme="minorHAnsi"/>
          <w:color w:val="000000" w:themeColor="text1"/>
          <w:sz w:val="20"/>
          <w:szCs w:val="20"/>
        </w:rPr>
        <w:t>n la Ayuda Memoria de la Misión</w:t>
      </w:r>
    </w:p>
    <w:p w:rsidR="008C6725" w:rsidRPr="004E48C5" w:rsidRDefault="008C6725" w:rsidP="008C6725">
      <w:pPr>
        <w:pStyle w:val="Prrafodelista1"/>
        <w:jc w:val="both"/>
        <w:rPr>
          <w:rFonts w:asciiTheme="minorHAnsi" w:hAnsiTheme="minorHAnsi" w:cstheme="minorHAnsi"/>
          <w:color w:val="000000" w:themeColor="text1"/>
          <w:sz w:val="20"/>
          <w:szCs w:val="20"/>
          <w:shd w:val="clear" w:color="auto" w:fill="FFFF00"/>
        </w:rPr>
      </w:pPr>
    </w:p>
    <w:p w:rsidR="008C6725" w:rsidRPr="000105EE" w:rsidRDefault="008C6725" w:rsidP="008C6725">
      <w:pPr>
        <w:pStyle w:val="Prrafodelista1"/>
        <w:spacing w:before="120" w:after="120" w:line="288" w:lineRule="auto"/>
        <w:ind w:left="0"/>
        <w:jc w:val="both"/>
        <w:rPr>
          <w:rStyle w:val="Emphasis"/>
          <w:rFonts w:asciiTheme="minorHAnsi" w:hAnsiTheme="minorHAnsi" w:cstheme="minorHAnsi"/>
          <w:i w:val="0"/>
          <w:color w:val="000000" w:themeColor="text1"/>
          <w:sz w:val="24"/>
        </w:rPr>
      </w:pPr>
      <w:r w:rsidRPr="000105EE">
        <w:rPr>
          <w:rStyle w:val="Emphasis"/>
          <w:rFonts w:asciiTheme="minorHAnsi" w:hAnsiTheme="minorHAnsi" w:cstheme="minorHAnsi"/>
          <w:i w:val="0"/>
          <w:color w:val="000000" w:themeColor="text1"/>
          <w:sz w:val="24"/>
        </w:rPr>
        <w:t>En este subcomponente,</w:t>
      </w:r>
      <w:r>
        <w:rPr>
          <w:rStyle w:val="Emphasis"/>
          <w:rFonts w:asciiTheme="minorHAnsi" w:hAnsiTheme="minorHAnsi" w:cstheme="minorHAnsi"/>
          <w:i w:val="0"/>
          <w:color w:val="000000" w:themeColor="text1"/>
          <w:sz w:val="24"/>
        </w:rPr>
        <w:t xml:space="preserve"> se presentaron 75 propuestas, </w:t>
      </w:r>
      <w:r w:rsidRPr="000105EE">
        <w:rPr>
          <w:rStyle w:val="Emphasis"/>
          <w:rFonts w:asciiTheme="minorHAnsi" w:hAnsiTheme="minorHAnsi" w:cstheme="minorHAnsi"/>
          <w:i w:val="0"/>
          <w:color w:val="000000" w:themeColor="text1"/>
          <w:sz w:val="24"/>
        </w:rPr>
        <w:t>lo que corresponde a una tasa de rechazo del 75%.</w:t>
      </w:r>
    </w:p>
    <w:p w:rsidR="008C6725" w:rsidRPr="000105EE" w:rsidRDefault="008C6725" w:rsidP="008C6725">
      <w:pPr>
        <w:jc w:val="center"/>
        <w:rPr>
          <w:rFonts w:asciiTheme="minorHAnsi" w:hAnsiTheme="minorHAnsi" w:cstheme="minorHAnsi"/>
          <w:b/>
          <w:color w:val="000000" w:themeColor="text1"/>
          <w:u w:val="single"/>
        </w:rPr>
      </w:pPr>
      <w:r w:rsidRPr="000105EE">
        <w:rPr>
          <w:rFonts w:asciiTheme="minorHAnsi" w:hAnsiTheme="minorHAnsi" w:cstheme="minorHAnsi"/>
          <w:b/>
          <w:color w:val="000000" w:themeColor="text1"/>
        </w:rPr>
        <w:t xml:space="preserve">Gráfico </w:t>
      </w:r>
      <w:r w:rsidR="00802E2B">
        <w:rPr>
          <w:rFonts w:asciiTheme="minorHAnsi" w:hAnsiTheme="minorHAnsi" w:cstheme="minorHAnsi"/>
          <w:b/>
          <w:color w:val="000000" w:themeColor="text1"/>
        </w:rPr>
        <w:t>5.15</w:t>
      </w:r>
      <w:r>
        <w:rPr>
          <w:rFonts w:asciiTheme="minorHAnsi" w:hAnsiTheme="minorHAnsi" w:cstheme="minorHAnsi"/>
          <w:b/>
          <w:color w:val="000000" w:themeColor="text1"/>
        </w:rPr>
        <w:t>.</w:t>
      </w:r>
      <w:r w:rsidRPr="000105EE">
        <w:rPr>
          <w:rFonts w:asciiTheme="minorHAnsi" w:hAnsiTheme="minorHAnsi" w:cstheme="minorHAnsi"/>
          <w:b/>
          <w:color w:val="000000" w:themeColor="text1"/>
        </w:rPr>
        <w:t xml:space="preserve"> Análisis de demanda del subcomponente de Proyectos de Innovación</w:t>
      </w:r>
    </w:p>
    <w:p w:rsidR="008C6725" w:rsidRPr="004E48C5" w:rsidRDefault="008C6725" w:rsidP="008C6725">
      <w:pPr>
        <w:jc w:val="both"/>
        <w:rPr>
          <w:rFonts w:asciiTheme="minorHAnsi" w:hAnsiTheme="minorHAnsi" w:cstheme="minorHAnsi"/>
          <w:b/>
          <w:color w:val="000000" w:themeColor="text1"/>
          <w:sz w:val="20"/>
          <w:szCs w:val="20"/>
          <w:u w:val="single"/>
        </w:rPr>
      </w:pPr>
    </w:p>
    <w:p w:rsidR="008C6725" w:rsidRPr="004E48C5" w:rsidRDefault="008C6725" w:rsidP="008C6725">
      <w:pPr>
        <w:jc w:val="center"/>
        <w:rPr>
          <w:rFonts w:asciiTheme="minorHAnsi" w:hAnsiTheme="minorHAnsi" w:cstheme="minorHAnsi"/>
          <w:b/>
          <w:color w:val="000000" w:themeColor="text1"/>
          <w:sz w:val="20"/>
          <w:szCs w:val="20"/>
          <w:u w:val="single"/>
        </w:rPr>
      </w:pPr>
      <w:r w:rsidRPr="004E48C5">
        <w:rPr>
          <w:rFonts w:asciiTheme="minorHAnsi" w:hAnsiTheme="minorHAnsi" w:cstheme="minorHAnsi"/>
          <w:b/>
          <w:noProof/>
          <w:color w:val="000000" w:themeColor="text1"/>
          <w:sz w:val="20"/>
          <w:szCs w:val="20"/>
          <w:lang w:val="es-ES_tradnl" w:eastAsia="es-ES_tradnl"/>
        </w:rPr>
        <w:drawing>
          <wp:inline distT="0" distB="0" distL="0" distR="0" wp14:anchorId="1707583B" wp14:editId="0FD096D8">
            <wp:extent cx="4063041" cy="2441203"/>
            <wp:effectExtent l="0" t="0" r="0" b="0"/>
            <wp:docPr id="1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7278" cy="2443749"/>
                    </a:xfrm>
                    <a:prstGeom prst="rect">
                      <a:avLst/>
                    </a:prstGeom>
                    <a:noFill/>
                    <a:ln>
                      <a:noFill/>
                    </a:ln>
                  </pic:spPr>
                </pic:pic>
              </a:graphicData>
            </a:graphic>
          </wp:inline>
        </w:drawing>
      </w:r>
    </w:p>
    <w:p w:rsidR="008C6725" w:rsidRPr="00171404" w:rsidRDefault="008C6725" w:rsidP="008C6725">
      <w:pPr>
        <w:jc w:val="center"/>
        <w:rPr>
          <w:rStyle w:val="Emphasis"/>
          <w:rFonts w:asciiTheme="minorHAnsi" w:hAnsiTheme="minorHAnsi" w:cstheme="minorHAnsi"/>
          <w:b/>
          <w:i w:val="0"/>
          <w:iCs w:val="0"/>
          <w:color w:val="000000" w:themeColor="text1"/>
          <w:sz w:val="18"/>
          <w:szCs w:val="18"/>
          <w:u w:val="single"/>
        </w:rPr>
      </w:pPr>
      <w:r w:rsidRPr="00171404">
        <w:rPr>
          <w:rFonts w:asciiTheme="minorHAnsi" w:hAnsiTheme="minorHAnsi" w:cstheme="minorHAnsi"/>
          <w:color w:val="000000" w:themeColor="text1"/>
          <w:sz w:val="18"/>
          <w:szCs w:val="18"/>
        </w:rPr>
        <w:t>Fuente: Innovos Group en base a datos de proyectos provistos por CONACYT</w:t>
      </w:r>
    </w:p>
    <w:p w:rsidR="008C6725" w:rsidRPr="00171404" w:rsidRDefault="008C6725" w:rsidP="008C6725">
      <w:pPr>
        <w:ind w:left="851" w:right="900"/>
        <w:contextualSpacing/>
        <w:jc w:val="center"/>
        <w:rPr>
          <w:rFonts w:asciiTheme="minorHAnsi" w:hAnsiTheme="minorHAnsi" w:cstheme="minorHAnsi"/>
          <w:color w:val="000000" w:themeColor="text1"/>
          <w:sz w:val="18"/>
          <w:szCs w:val="18"/>
        </w:rPr>
      </w:pPr>
      <w:r w:rsidRPr="00171404">
        <w:rPr>
          <w:rStyle w:val="Emphasis"/>
          <w:rFonts w:asciiTheme="minorHAnsi" w:hAnsiTheme="minorHAnsi" w:cstheme="minorHAnsi"/>
          <w:color w:val="000000" w:themeColor="text1"/>
          <w:sz w:val="18"/>
          <w:szCs w:val="18"/>
        </w:rPr>
        <w:t>*Corresponde a Fase Piloto en el marco de la Facilidad de Anticipo para la Preparación de la Ejecución del Programa (FAPEP)</w:t>
      </w:r>
    </w:p>
    <w:p w:rsidR="008C6725" w:rsidRDefault="008C6725" w:rsidP="008C6725">
      <w:pPr>
        <w:rPr>
          <w:rFonts w:asciiTheme="minorHAnsi" w:hAnsiTheme="minorHAnsi" w:cstheme="minorHAnsi"/>
          <w:color w:val="000000" w:themeColor="text1"/>
          <w:sz w:val="20"/>
          <w:szCs w:val="20"/>
          <w:lang w:val="es-ES_tradnl" w:eastAsia="en-US"/>
        </w:rPr>
      </w:pPr>
    </w:p>
    <w:p w:rsidR="008C6725" w:rsidRPr="000105EE" w:rsidRDefault="008C6725" w:rsidP="008C6725">
      <w:pPr>
        <w:spacing w:after="200" w:line="276" w:lineRule="auto"/>
        <w:rPr>
          <w:rFonts w:asciiTheme="minorHAnsi" w:hAnsiTheme="minorHAnsi" w:cstheme="minorHAnsi"/>
          <w:color w:val="000000" w:themeColor="text1"/>
          <w:lang w:val="es-ES_tradnl" w:eastAsia="en-US"/>
        </w:rPr>
      </w:pPr>
      <w:r w:rsidRPr="000105EE">
        <w:rPr>
          <w:rFonts w:asciiTheme="minorHAnsi" w:hAnsiTheme="minorHAnsi" w:cstheme="minorHAnsi"/>
          <w:color w:val="000000" w:themeColor="text1"/>
          <w:lang w:val="es-ES_tradnl" w:eastAsia="en-US"/>
        </w:rPr>
        <w:t>En lo que respecta a los montos aprobados, la tabla siguiente resume los totales en moneda local.</w:t>
      </w:r>
    </w:p>
    <w:p w:rsidR="008C6725" w:rsidRDefault="008C6725" w:rsidP="008C6725">
      <w:pPr>
        <w:jc w:val="center"/>
        <w:rPr>
          <w:rFonts w:asciiTheme="minorHAnsi" w:hAnsiTheme="minorHAnsi" w:cstheme="minorHAnsi"/>
          <w:b/>
          <w:color w:val="000000" w:themeColor="text1"/>
          <w:lang w:val="es-ES_tradnl" w:eastAsia="en-US"/>
        </w:rPr>
      </w:pPr>
    </w:p>
    <w:p w:rsidR="008C6725" w:rsidRDefault="008C6725" w:rsidP="008C6725">
      <w:pPr>
        <w:jc w:val="center"/>
        <w:rPr>
          <w:rFonts w:asciiTheme="minorHAnsi" w:hAnsiTheme="minorHAnsi" w:cstheme="minorHAnsi"/>
          <w:b/>
          <w:color w:val="000000" w:themeColor="text1"/>
          <w:lang w:val="es-ES_tradnl" w:eastAsia="en-US"/>
        </w:rPr>
      </w:pPr>
    </w:p>
    <w:p w:rsidR="008C6725" w:rsidRPr="000105EE" w:rsidRDefault="006F1343" w:rsidP="008C6725">
      <w:pPr>
        <w:jc w:val="center"/>
        <w:rPr>
          <w:rFonts w:asciiTheme="minorHAnsi" w:hAnsiTheme="minorHAnsi" w:cstheme="minorHAnsi"/>
          <w:b/>
          <w:color w:val="000000" w:themeColor="text1"/>
          <w:lang w:val="es-ES_tradnl" w:eastAsia="en-US"/>
        </w:rPr>
      </w:pPr>
      <w:r>
        <w:rPr>
          <w:rFonts w:asciiTheme="minorHAnsi" w:hAnsiTheme="minorHAnsi" w:cstheme="minorHAnsi"/>
          <w:b/>
          <w:color w:val="000000" w:themeColor="text1"/>
          <w:lang w:val="es-ES_tradnl" w:eastAsia="en-US"/>
        </w:rPr>
        <w:t>Tabla 5.5</w:t>
      </w:r>
      <w:r w:rsidR="008C6725" w:rsidRPr="000105EE">
        <w:rPr>
          <w:rFonts w:asciiTheme="minorHAnsi" w:hAnsiTheme="minorHAnsi" w:cstheme="minorHAnsi"/>
          <w:b/>
          <w:color w:val="000000" w:themeColor="text1"/>
          <w:lang w:val="es-ES_tradnl" w:eastAsia="en-US"/>
        </w:rPr>
        <w:t>. Montos aprobados de proyectos de innovación</w:t>
      </w:r>
      <w:r w:rsidR="008C6725">
        <w:rPr>
          <w:rFonts w:asciiTheme="minorHAnsi" w:hAnsiTheme="minorHAnsi" w:cstheme="minorHAnsi"/>
          <w:b/>
          <w:color w:val="000000" w:themeColor="text1"/>
          <w:lang w:val="es-ES_tradnl" w:eastAsia="en-US"/>
        </w:rPr>
        <w:t xml:space="preserve"> en moneda local</w:t>
      </w: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0"/>
        <w:gridCol w:w="2000"/>
        <w:gridCol w:w="2280"/>
      </w:tblGrid>
      <w:tr w:rsidR="008C6725" w:rsidRPr="00AF0BE4" w:rsidTr="00802E2B">
        <w:trPr>
          <w:trHeight w:val="315"/>
          <w:jc w:val="center"/>
        </w:trPr>
        <w:tc>
          <w:tcPr>
            <w:tcW w:w="2560" w:type="dxa"/>
            <w:shd w:val="clear" w:color="auto" w:fill="0F243E" w:themeFill="text2" w:themeFillShade="80"/>
            <w:noWrap/>
            <w:vAlign w:val="bottom"/>
            <w:hideMark/>
          </w:tcPr>
          <w:p w:rsidR="008C6725" w:rsidRPr="00AF0BE4" w:rsidRDefault="008C6725" w:rsidP="00802E2B">
            <w:pPr>
              <w:jc w:val="center"/>
              <w:rPr>
                <w:rFonts w:ascii="Calibri" w:eastAsia="Times New Roman" w:hAnsi="Calibri" w:cs="Calibri"/>
                <w:b/>
                <w:color w:val="FFFFFF" w:themeColor="background1"/>
                <w:sz w:val="20"/>
                <w:szCs w:val="20"/>
              </w:rPr>
            </w:pPr>
            <w:r w:rsidRPr="00AF0BE4">
              <w:rPr>
                <w:rFonts w:ascii="Calibri" w:eastAsia="Times New Roman" w:hAnsi="Calibri" w:cs="Calibri"/>
                <w:b/>
                <w:color w:val="FFFFFF" w:themeColor="background1"/>
                <w:sz w:val="20"/>
                <w:szCs w:val="20"/>
              </w:rPr>
              <w:t>Costo Total de proyectos en el subcomponente (Guaraníes)</w:t>
            </w:r>
          </w:p>
        </w:tc>
        <w:tc>
          <w:tcPr>
            <w:tcW w:w="2000" w:type="dxa"/>
            <w:shd w:val="clear" w:color="auto" w:fill="0F243E" w:themeFill="text2" w:themeFillShade="80"/>
            <w:noWrap/>
            <w:vAlign w:val="bottom"/>
            <w:hideMark/>
          </w:tcPr>
          <w:p w:rsidR="008C6725" w:rsidRPr="00AF0BE4" w:rsidRDefault="008C6725" w:rsidP="00802E2B">
            <w:pPr>
              <w:jc w:val="center"/>
              <w:rPr>
                <w:rFonts w:ascii="Calibri" w:eastAsia="Times New Roman" w:hAnsi="Calibri" w:cs="Calibri"/>
                <w:b/>
                <w:color w:val="FFFFFF" w:themeColor="background1"/>
                <w:sz w:val="20"/>
                <w:szCs w:val="20"/>
              </w:rPr>
            </w:pPr>
            <w:r w:rsidRPr="00AF0BE4">
              <w:rPr>
                <w:rFonts w:ascii="Calibri" w:eastAsia="Times New Roman" w:hAnsi="Calibri" w:cs="Calibri"/>
                <w:b/>
                <w:color w:val="FFFFFF" w:themeColor="background1"/>
                <w:sz w:val="20"/>
                <w:szCs w:val="20"/>
              </w:rPr>
              <w:t>Aporte total de ejecutores (Guaraníes)</w:t>
            </w:r>
          </w:p>
        </w:tc>
        <w:tc>
          <w:tcPr>
            <w:tcW w:w="2280" w:type="dxa"/>
            <w:shd w:val="clear" w:color="auto" w:fill="0F243E" w:themeFill="text2" w:themeFillShade="80"/>
            <w:noWrap/>
            <w:vAlign w:val="bottom"/>
            <w:hideMark/>
          </w:tcPr>
          <w:p w:rsidR="008C6725" w:rsidRPr="00AF0BE4" w:rsidRDefault="008C6725" w:rsidP="00802E2B">
            <w:pPr>
              <w:jc w:val="center"/>
              <w:rPr>
                <w:rFonts w:ascii="Calibri" w:eastAsia="Times New Roman" w:hAnsi="Calibri" w:cs="Calibri"/>
                <w:b/>
                <w:color w:val="FFFFFF" w:themeColor="background1"/>
                <w:sz w:val="20"/>
                <w:szCs w:val="20"/>
              </w:rPr>
            </w:pPr>
            <w:r w:rsidRPr="00AF0BE4">
              <w:rPr>
                <w:rFonts w:ascii="Calibri" w:eastAsia="Times New Roman" w:hAnsi="Calibri" w:cs="Calibri"/>
                <w:b/>
                <w:color w:val="FFFFFF" w:themeColor="background1"/>
                <w:sz w:val="20"/>
                <w:szCs w:val="20"/>
              </w:rPr>
              <w:t xml:space="preserve">Aporte Total del CONACYT </w:t>
            </w:r>
          </w:p>
          <w:p w:rsidR="008C6725" w:rsidRPr="00AF0BE4" w:rsidRDefault="008C6725" w:rsidP="00802E2B">
            <w:pPr>
              <w:jc w:val="center"/>
              <w:rPr>
                <w:rFonts w:ascii="Calibri" w:eastAsia="Times New Roman" w:hAnsi="Calibri" w:cs="Calibri"/>
                <w:b/>
                <w:color w:val="FFFFFF" w:themeColor="background1"/>
                <w:sz w:val="20"/>
                <w:szCs w:val="20"/>
              </w:rPr>
            </w:pPr>
            <w:r w:rsidRPr="00AF0BE4">
              <w:rPr>
                <w:rFonts w:ascii="Calibri" w:eastAsia="Times New Roman" w:hAnsi="Calibri" w:cs="Calibri"/>
                <w:b/>
                <w:color w:val="FFFFFF" w:themeColor="background1"/>
                <w:sz w:val="20"/>
                <w:szCs w:val="20"/>
              </w:rPr>
              <w:t>(Guaraníes)</w:t>
            </w:r>
          </w:p>
        </w:tc>
      </w:tr>
      <w:tr w:rsidR="008C6725" w:rsidRPr="004C4E6D" w:rsidTr="00802E2B">
        <w:trPr>
          <w:trHeight w:val="315"/>
          <w:jc w:val="center"/>
        </w:trPr>
        <w:tc>
          <w:tcPr>
            <w:tcW w:w="2560" w:type="dxa"/>
            <w:shd w:val="clear" w:color="auto" w:fill="auto"/>
            <w:noWrap/>
            <w:vAlign w:val="bottom"/>
            <w:hideMark/>
          </w:tcPr>
          <w:p w:rsidR="008C6725" w:rsidRPr="004C4E6D" w:rsidRDefault="008C6725" w:rsidP="00802E2B">
            <w:pPr>
              <w:jc w:val="right"/>
              <w:rPr>
                <w:rFonts w:ascii="Calibri" w:eastAsia="Times New Roman" w:hAnsi="Calibri" w:cs="Calibri"/>
                <w:color w:val="000000"/>
                <w:sz w:val="20"/>
                <w:szCs w:val="20"/>
              </w:rPr>
            </w:pPr>
            <w:r w:rsidRPr="004C4E6D">
              <w:rPr>
                <w:rFonts w:ascii="Calibri" w:eastAsia="Times New Roman" w:hAnsi="Calibri" w:cs="Calibri"/>
                <w:color w:val="000000"/>
                <w:sz w:val="20"/>
                <w:szCs w:val="20"/>
              </w:rPr>
              <w:t>15.420.932.385</w:t>
            </w:r>
          </w:p>
        </w:tc>
        <w:tc>
          <w:tcPr>
            <w:tcW w:w="2000" w:type="dxa"/>
            <w:shd w:val="clear" w:color="auto" w:fill="auto"/>
            <w:noWrap/>
            <w:vAlign w:val="bottom"/>
            <w:hideMark/>
          </w:tcPr>
          <w:p w:rsidR="008C6725" w:rsidRPr="004C4E6D" w:rsidRDefault="008C6725" w:rsidP="00802E2B">
            <w:pPr>
              <w:jc w:val="right"/>
              <w:rPr>
                <w:rFonts w:ascii="Calibri" w:eastAsia="Times New Roman" w:hAnsi="Calibri" w:cs="Calibri"/>
                <w:color w:val="000000"/>
                <w:sz w:val="20"/>
                <w:szCs w:val="20"/>
              </w:rPr>
            </w:pPr>
            <w:r w:rsidRPr="004C4E6D">
              <w:rPr>
                <w:rFonts w:ascii="Calibri" w:eastAsia="Times New Roman" w:hAnsi="Calibri" w:cs="Calibri"/>
                <w:color w:val="000000"/>
                <w:sz w:val="20"/>
                <w:szCs w:val="20"/>
              </w:rPr>
              <w:t>10.993.894.814</w:t>
            </w:r>
          </w:p>
        </w:tc>
        <w:tc>
          <w:tcPr>
            <w:tcW w:w="2280" w:type="dxa"/>
            <w:shd w:val="clear" w:color="auto" w:fill="auto"/>
            <w:noWrap/>
            <w:vAlign w:val="bottom"/>
            <w:hideMark/>
          </w:tcPr>
          <w:p w:rsidR="008C6725" w:rsidRPr="004C4E6D" w:rsidRDefault="008C6725" w:rsidP="00802E2B">
            <w:pPr>
              <w:jc w:val="right"/>
              <w:rPr>
                <w:rFonts w:ascii="Calibri" w:eastAsia="Times New Roman" w:hAnsi="Calibri" w:cs="Calibri"/>
                <w:color w:val="000000"/>
                <w:sz w:val="20"/>
                <w:szCs w:val="20"/>
              </w:rPr>
            </w:pPr>
            <w:r w:rsidRPr="004C4E6D">
              <w:rPr>
                <w:rFonts w:ascii="Calibri" w:eastAsia="Times New Roman" w:hAnsi="Calibri" w:cs="Calibri"/>
                <w:color w:val="000000"/>
                <w:sz w:val="20"/>
                <w:szCs w:val="20"/>
              </w:rPr>
              <w:t>4.427.037.571</w:t>
            </w:r>
          </w:p>
        </w:tc>
      </w:tr>
    </w:tbl>
    <w:p w:rsidR="008C6725" w:rsidRPr="00171404" w:rsidRDefault="008C6725" w:rsidP="008C6725">
      <w:pPr>
        <w:ind w:left="851"/>
        <w:jc w:val="both"/>
        <w:rPr>
          <w:rStyle w:val="Emphasis"/>
          <w:rFonts w:asciiTheme="minorHAnsi" w:hAnsiTheme="minorHAnsi" w:cstheme="minorHAnsi"/>
          <w:b/>
          <w:i w:val="0"/>
          <w:iCs w:val="0"/>
          <w:color w:val="000000" w:themeColor="text1"/>
          <w:sz w:val="18"/>
          <w:szCs w:val="18"/>
          <w:u w:val="single"/>
        </w:rPr>
      </w:pPr>
      <w:r w:rsidRPr="00171404">
        <w:rPr>
          <w:rFonts w:asciiTheme="minorHAnsi" w:hAnsiTheme="minorHAnsi" w:cstheme="minorHAnsi"/>
          <w:color w:val="000000" w:themeColor="text1"/>
          <w:sz w:val="18"/>
          <w:szCs w:val="18"/>
        </w:rPr>
        <w:t xml:space="preserve">   Fuente: Innovos Group en base a datos de proyectos provistos por CONACYT</w:t>
      </w:r>
    </w:p>
    <w:p w:rsidR="008C6725" w:rsidRPr="00171404" w:rsidRDefault="008C6725" w:rsidP="008C6725">
      <w:pPr>
        <w:rPr>
          <w:rFonts w:asciiTheme="minorHAnsi" w:hAnsiTheme="minorHAnsi" w:cstheme="minorHAnsi"/>
          <w:color w:val="000000" w:themeColor="text1"/>
          <w:sz w:val="18"/>
          <w:szCs w:val="18"/>
          <w:lang w:val="es-ES_tradnl" w:eastAsia="en-US"/>
        </w:rPr>
      </w:pPr>
      <w:r w:rsidRPr="00171404">
        <w:rPr>
          <w:rFonts w:asciiTheme="minorHAnsi" w:hAnsiTheme="minorHAnsi" w:cstheme="minorHAnsi"/>
          <w:color w:val="000000" w:themeColor="text1"/>
          <w:sz w:val="18"/>
          <w:szCs w:val="18"/>
          <w:lang w:val="es-ES_tradnl" w:eastAsia="en-US"/>
        </w:rPr>
        <w:t xml:space="preserve"> </w:t>
      </w:r>
      <w:r w:rsidRPr="00171404">
        <w:rPr>
          <w:rFonts w:asciiTheme="minorHAnsi" w:hAnsiTheme="minorHAnsi" w:cstheme="minorHAnsi"/>
          <w:color w:val="000000" w:themeColor="text1"/>
          <w:sz w:val="18"/>
          <w:szCs w:val="18"/>
          <w:lang w:val="es-ES_tradnl" w:eastAsia="en-US"/>
        </w:rPr>
        <w:tab/>
        <w:t xml:space="preserve">      (No incluye proyecto PR9-INN06, aprobado pero no ejecutado)</w:t>
      </w:r>
    </w:p>
    <w:p w:rsidR="008C6725" w:rsidRDefault="008C6725" w:rsidP="008C6725">
      <w:pPr>
        <w:rPr>
          <w:rFonts w:asciiTheme="minorHAnsi" w:hAnsiTheme="minorHAnsi" w:cstheme="minorHAnsi"/>
          <w:color w:val="000000" w:themeColor="text1"/>
          <w:sz w:val="20"/>
          <w:szCs w:val="20"/>
          <w:lang w:val="es-ES_tradnl" w:eastAsia="en-US"/>
        </w:rPr>
      </w:pPr>
    </w:p>
    <w:p w:rsidR="008C6725" w:rsidRPr="000105EE" w:rsidRDefault="008C6725" w:rsidP="008C6725">
      <w:pPr>
        <w:spacing w:after="200" w:line="276" w:lineRule="auto"/>
        <w:jc w:val="both"/>
        <w:rPr>
          <w:rFonts w:asciiTheme="minorHAnsi" w:hAnsiTheme="minorHAnsi" w:cstheme="minorHAnsi"/>
          <w:color w:val="000000" w:themeColor="text1"/>
          <w:lang w:val="es-ES_tradnl" w:eastAsia="en-US"/>
        </w:rPr>
      </w:pPr>
      <w:r w:rsidRPr="000105EE">
        <w:rPr>
          <w:rFonts w:asciiTheme="minorHAnsi" w:hAnsiTheme="minorHAnsi" w:cstheme="minorHAnsi"/>
          <w:color w:val="000000" w:themeColor="text1"/>
          <w:lang w:val="es-ES_tradnl" w:eastAsia="en-US"/>
        </w:rPr>
        <w:t>Para calcular estos valores en dólares norteamericanos, se hizo una conversión de la moneda local, utilizando el valor promedio del dólar en el año de adjudicación de proyecto. Los monto</w:t>
      </w:r>
      <w:r>
        <w:rPr>
          <w:rFonts w:asciiTheme="minorHAnsi" w:hAnsiTheme="minorHAnsi" w:cstheme="minorHAnsi"/>
          <w:color w:val="000000" w:themeColor="text1"/>
          <w:lang w:val="es-ES_tradnl" w:eastAsia="en-US"/>
        </w:rPr>
        <w:t>s</w:t>
      </w:r>
      <w:r w:rsidRPr="000105EE">
        <w:rPr>
          <w:rFonts w:asciiTheme="minorHAnsi" w:hAnsiTheme="minorHAnsi" w:cstheme="minorHAnsi"/>
          <w:color w:val="000000" w:themeColor="text1"/>
          <w:lang w:val="es-ES_tradnl" w:eastAsia="en-US"/>
        </w:rPr>
        <w:t xml:space="preserve"> totales se presentan en la tabla siguiente.</w:t>
      </w:r>
    </w:p>
    <w:p w:rsidR="008C6725" w:rsidRPr="000105EE" w:rsidRDefault="006F1343" w:rsidP="008C6725">
      <w:pPr>
        <w:jc w:val="center"/>
        <w:rPr>
          <w:rFonts w:asciiTheme="minorHAnsi" w:hAnsiTheme="minorHAnsi" w:cstheme="minorHAnsi"/>
          <w:b/>
          <w:color w:val="000000" w:themeColor="text1"/>
          <w:lang w:val="es-ES_tradnl" w:eastAsia="en-US"/>
        </w:rPr>
      </w:pPr>
      <w:r>
        <w:rPr>
          <w:rFonts w:asciiTheme="minorHAnsi" w:hAnsiTheme="minorHAnsi" w:cstheme="minorHAnsi"/>
          <w:b/>
          <w:color w:val="000000" w:themeColor="text1"/>
          <w:lang w:val="es-ES_tradnl" w:eastAsia="en-US"/>
        </w:rPr>
        <w:t>Tabla 5.6</w:t>
      </w:r>
      <w:r w:rsidR="008C6725" w:rsidRPr="000105EE">
        <w:rPr>
          <w:rFonts w:asciiTheme="minorHAnsi" w:hAnsiTheme="minorHAnsi" w:cstheme="minorHAnsi"/>
          <w:b/>
          <w:color w:val="000000" w:themeColor="text1"/>
          <w:lang w:val="es-ES_tradnl" w:eastAsia="en-US"/>
        </w:rPr>
        <w:t>. Montos aprobados de proyectos de innovación</w:t>
      </w:r>
      <w:r w:rsidR="008C6725">
        <w:rPr>
          <w:rFonts w:asciiTheme="minorHAnsi" w:hAnsiTheme="minorHAnsi" w:cstheme="minorHAnsi"/>
          <w:b/>
          <w:color w:val="000000" w:themeColor="text1"/>
          <w:lang w:val="es-ES_tradnl" w:eastAsia="en-US"/>
        </w:rPr>
        <w:t xml:space="preserve"> en dólares estadounidenses</w:t>
      </w:r>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1423"/>
        <w:gridCol w:w="1134"/>
      </w:tblGrid>
      <w:tr w:rsidR="008C6725" w:rsidRPr="00AF0BE4" w:rsidTr="00802E2B">
        <w:trPr>
          <w:trHeight w:val="765"/>
          <w:jc w:val="center"/>
        </w:trPr>
        <w:tc>
          <w:tcPr>
            <w:tcW w:w="1200" w:type="dxa"/>
            <w:shd w:val="clear" w:color="auto" w:fill="0F243E" w:themeFill="text2" w:themeFillShade="80"/>
            <w:vAlign w:val="center"/>
            <w:hideMark/>
          </w:tcPr>
          <w:p w:rsidR="008C6725" w:rsidRPr="00AF0BE4" w:rsidRDefault="008C6725" w:rsidP="00802E2B">
            <w:pPr>
              <w:jc w:val="center"/>
              <w:rPr>
                <w:rFonts w:ascii="Calibri" w:eastAsia="Times New Roman" w:hAnsi="Calibri" w:cs="Calibri"/>
                <w:b/>
                <w:bCs/>
                <w:color w:val="FFFFFF" w:themeColor="background1"/>
                <w:sz w:val="20"/>
                <w:szCs w:val="20"/>
              </w:rPr>
            </w:pPr>
            <w:r>
              <w:rPr>
                <w:rFonts w:ascii="Calibri" w:eastAsia="Times New Roman" w:hAnsi="Calibri" w:cs="Calibri"/>
                <w:b/>
                <w:bCs/>
                <w:color w:val="FFFFFF" w:themeColor="background1"/>
                <w:sz w:val="20"/>
                <w:szCs w:val="20"/>
              </w:rPr>
              <w:t>Costo U$S</w:t>
            </w:r>
          </w:p>
        </w:tc>
        <w:tc>
          <w:tcPr>
            <w:tcW w:w="1200" w:type="dxa"/>
            <w:shd w:val="clear" w:color="auto" w:fill="0F243E" w:themeFill="text2" w:themeFillShade="80"/>
            <w:vAlign w:val="center"/>
            <w:hideMark/>
          </w:tcPr>
          <w:p w:rsidR="008C6725" w:rsidRPr="00AF0BE4" w:rsidRDefault="008C6725" w:rsidP="00802E2B">
            <w:pPr>
              <w:jc w:val="center"/>
              <w:rPr>
                <w:rFonts w:ascii="Calibri" w:eastAsia="Times New Roman" w:hAnsi="Calibri" w:cs="Calibri"/>
                <w:b/>
                <w:bCs/>
                <w:color w:val="FFFFFF" w:themeColor="background1"/>
                <w:sz w:val="20"/>
                <w:szCs w:val="20"/>
              </w:rPr>
            </w:pPr>
            <w:r w:rsidRPr="00AF0BE4">
              <w:rPr>
                <w:rFonts w:ascii="Calibri" w:eastAsia="Times New Roman" w:hAnsi="Calibri" w:cs="Calibri"/>
                <w:b/>
                <w:bCs/>
                <w:color w:val="FFFFFF" w:themeColor="background1"/>
                <w:sz w:val="20"/>
                <w:szCs w:val="20"/>
              </w:rPr>
              <w:t>Aporte Ejecutor U</w:t>
            </w:r>
            <w:r>
              <w:rPr>
                <w:rFonts w:ascii="Calibri" w:eastAsia="Times New Roman" w:hAnsi="Calibri" w:cs="Calibri"/>
                <w:b/>
                <w:bCs/>
                <w:color w:val="FFFFFF" w:themeColor="background1"/>
                <w:sz w:val="20"/>
                <w:szCs w:val="20"/>
              </w:rPr>
              <w:t>$S</w:t>
            </w:r>
          </w:p>
        </w:tc>
        <w:tc>
          <w:tcPr>
            <w:tcW w:w="1423" w:type="dxa"/>
            <w:shd w:val="clear" w:color="auto" w:fill="0F243E" w:themeFill="text2" w:themeFillShade="80"/>
            <w:vAlign w:val="center"/>
            <w:hideMark/>
          </w:tcPr>
          <w:p w:rsidR="008C6725" w:rsidRPr="00AF0BE4" w:rsidRDefault="008C6725" w:rsidP="00802E2B">
            <w:pPr>
              <w:jc w:val="center"/>
              <w:rPr>
                <w:rFonts w:ascii="Calibri" w:eastAsia="Times New Roman" w:hAnsi="Calibri" w:cs="Calibri"/>
                <w:b/>
                <w:bCs/>
                <w:color w:val="FFFFFF" w:themeColor="background1"/>
                <w:sz w:val="20"/>
                <w:szCs w:val="20"/>
              </w:rPr>
            </w:pPr>
            <w:r w:rsidRPr="00AF0BE4">
              <w:rPr>
                <w:rFonts w:ascii="Calibri" w:eastAsia="Times New Roman" w:hAnsi="Calibri" w:cs="Calibri"/>
                <w:b/>
                <w:bCs/>
                <w:color w:val="FFFFFF" w:themeColor="background1"/>
                <w:sz w:val="20"/>
                <w:szCs w:val="20"/>
              </w:rPr>
              <w:t>A</w:t>
            </w:r>
            <w:r>
              <w:rPr>
                <w:rFonts w:ascii="Calibri" w:eastAsia="Times New Roman" w:hAnsi="Calibri" w:cs="Calibri"/>
                <w:b/>
                <w:bCs/>
                <w:color w:val="FFFFFF" w:themeColor="background1"/>
                <w:sz w:val="20"/>
                <w:szCs w:val="20"/>
              </w:rPr>
              <w:t>porte CONACYT U$S</w:t>
            </w:r>
          </w:p>
        </w:tc>
        <w:tc>
          <w:tcPr>
            <w:tcW w:w="1134" w:type="dxa"/>
            <w:shd w:val="clear" w:color="auto" w:fill="0F243E" w:themeFill="text2" w:themeFillShade="80"/>
            <w:vAlign w:val="center"/>
            <w:hideMark/>
          </w:tcPr>
          <w:p w:rsidR="008C6725" w:rsidRPr="00AF0BE4" w:rsidRDefault="008C6725" w:rsidP="00802E2B">
            <w:pPr>
              <w:jc w:val="center"/>
              <w:rPr>
                <w:rFonts w:ascii="Calibri" w:eastAsia="Times New Roman" w:hAnsi="Calibri" w:cs="Calibri"/>
                <w:b/>
                <w:bCs/>
                <w:color w:val="FFFFFF" w:themeColor="background1"/>
                <w:sz w:val="20"/>
                <w:szCs w:val="20"/>
              </w:rPr>
            </w:pPr>
            <w:r>
              <w:rPr>
                <w:rFonts w:ascii="Calibri" w:eastAsia="Times New Roman" w:hAnsi="Calibri" w:cs="Calibri"/>
                <w:b/>
                <w:bCs/>
                <w:color w:val="FFFFFF" w:themeColor="background1"/>
                <w:sz w:val="20"/>
                <w:szCs w:val="20"/>
              </w:rPr>
              <w:t>% Aporte CONACYT</w:t>
            </w:r>
          </w:p>
        </w:tc>
      </w:tr>
      <w:tr w:rsidR="008C6725" w:rsidRPr="004C4E6D" w:rsidTr="00802E2B">
        <w:trPr>
          <w:trHeight w:val="300"/>
          <w:jc w:val="center"/>
        </w:trPr>
        <w:tc>
          <w:tcPr>
            <w:tcW w:w="1200" w:type="dxa"/>
            <w:shd w:val="clear" w:color="auto" w:fill="auto"/>
            <w:noWrap/>
            <w:vAlign w:val="bottom"/>
            <w:hideMark/>
          </w:tcPr>
          <w:p w:rsidR="008C6725" w:rsidRPr="004C4E6D" w:rsidRDefault="008C6725" w:rsidP="00802E2B">
            <w:pPr>
              <w:jc w:val="right"/>
              <w:rPr>
                <w:rFonts w:ascii="Calibri" w:eastAsia="Times New Roman" w:hAnsi="Calibri" w:cs="Calibri"/>
                <w:color w:val="000000"/>
                <w:sz w:val="20"/>
                <w:szCs w:val="20"/>
              </w:rPr>
            </w:pPr>
            <w:r w:rsidRPr="004C4E6D">
              <w:rPr>
                <w:rFonts w:ascii="Calibri" w:eastAsia="Times New Roman" w:hAnsi="Calibri" w:cs="Calibri"/>
                <w:color w:val="000000"/>
                <w:sz w:val="20"/>
                <w:szCs w:val="20"/>
              </w:rPr>
              <w:t>3.015.880</w:t>
            </w:r>
          </w:p>
        </w:tc>
        <w:tc>
          <w:tcPr>
            <w:tcW w:w="1200" w:type="dxa"/>
            <w:shd w:val="clear" w:color="auto" w:fill="auto"/>
            <w:noWrap/>
            <w:vAlign w:val="bottom"/>
            <w:hideMark/>
          </w:tcPr>
          <w:p w:rsidR="008C6725" w:rsidRPr="004C4E6D" w:rsidRDefault="008C6725" w:rsidP="00802E2B">
            <w:pPr>
              <w:jc w:val="right"/>
              <w:rPr>
                <w:rFonts w:ascii="Calibri" w:eastAsia="Times New Roman" w:hAnsi="Calibri" w:cs="Calibri"/>
                <w:color w:val="000000"/>
                <w:sz w:val="20"/>
                <w:szCs w:val="20"/>
              </w:rPr>
            </w:pPr>
            <w:r w:rsidRPr="004C4E6D">
              <w:rPr>
                <w:rFonts w:ascii="Calibri" w:eastAsia="Times New Roman" w:hAnsi="Calibri" w:cs="Calibri"/>
                <w:color w:val="000000"/>
                <w:sz w:val="20"/>
                <w:szCs w:val="20"/>
              </w:rPr>
              <w:t>2.111.863</w:t>
            </w:r>
          </w:p>
        </w:tc>
        <w:tc>
          <w:tcPr>
            <w:tcW w:w="1423" w:type="dxa"/>
            <w:shd w:val="clear" w:color="auto" w:fill="auto"/>
            <w:noWrap/>
            <w:vAlign w:val="bottom"/>
            <w:hideMark/>
          </w:tcPr>
          <w:p w:rsidR="008C6725" w:rsidRPr="004C4E6D" w:rsidRDefault="008C6725" w:rsidP="00802E2B">
            <w:pPr>
              <w:jc w:val="right"/>
              <w:rPr>
                <w:rFonts w:ascii="Calibri" w:eastAsia="Times New Roman" w:hAnsi="Calibri" w:cs="Calibri"/>
                <w:color w:val="000000"/>
                <w:sz w:val="20"/>
                <w:szCs w:val="20"/>
              </w:rPr>
            </w:pPr>
            <w:r w:rsidRPr="004C4E6D">
              <w:rPr>
                <w:rFonts w:ascii="Calibri" w:eastAsia="Times New Roman" w:hAnsi="Calibri" w:cs="Calibri"/>
                <w:color w:val="000000"/>
                <w:sz w:val="20"/>
                <w:szCs w:val="20"/>
              </w:rPr>
              <w:t>904.017</w:t>
            </w:r>
          </w:p>
        </w:tc>
        <w:tc>
          <w:tcPr>
            <w:tcW w:w="1134" w:type="dxa"/>
            <w:shd w:val="clear" w:color="auto" w:fill="auto"/>
            <w:noWrap/>
            <w:vAlign w:val="bottom"/>
            <w:hideMark/>
          </w:tcPr>
          <w:p w:rsidR="008C6725" w:rsidRPr="004C4E6D" w:rsidRDefault="008C6725" w:rsidP="00802E2B">
            <w:pPr>
              <w:jc w:val="right"/>
              <w:rPr>
                <w:rFonts w:ascii="Calibri" w:eastAsia="Times New Roman" w:hAnsi="Calibri" w:cs="Calibri"/>
                <w:color w:val="000000"/>
                <w:sz w:val="20"/>
                <w:szCs w:val="20"/>
              </w:rPr>
            </w:pPr>
            <w:r w:rsidRPr="004C4E6D">
              <w:rPr>
                <w:rFonts w:ascii="Calibri" w:eastAsia="Times New Roman" w:hAnsi="Calibri" w:cs="Calibri"/>
                <w:color w:val="000000"/>
                <w:sz w:val="20"/>
                <w:szCs w:val="20"/>
              </w:rPr>
              <w:t>30%</w:t>
            </w:r>
          </w:p>
        </w:tc>
      </w:tr>
    </w:tbl>
    <w:p w:rsidR="008C6725" w:rsidRPr="00171404" w:rsidRDefault="008C6725" w:rsidP="008C6725">
      <w:pPr>
        <w:ind w:left="1985" w:right="1892"/>
        <w:jc w:val="both"/>
        <w:rPr>
          <w:rStyle w:val="Emphasis"/>
          <w:rFonts w:asciiTheme="minorHAnsi" w:hAnsiTheme="minorHAnsi" w:cstheme="minorHAnsi"/>
          <w:b/>
          <w:i w:val="0"/>
          <w:iCs w:val="0"/>
          <w:color w:val="000000" w:themeColor="text1"/>
          <w:sz w:val="18"/>
          <w:szCs w:val="18"/>
          <w:u w:val="single"/>
        </w:rPr>
      </w:pPr>
      <w:r w:rsidRPr="00171404">
        <w:rPr>
          <w:rFonts w:asciiTheme="minorHAnsi" w:hAnsiTheme="minorHAnsi" w:cstheme="minorHAnsi"/>
          <w:color w:val="000000" w:themeColor="text1"/>
          <w:sz w:val="18"/>
          <w:szCs w:val="18"/>
        </w:rPr>
        <w:t>Fuente: Innovos Group en base a datos de proyectos provistos por CONACYT</w:t>
      </w:r>
    </w:p>
    <w:p w:rsidR="008C6725" w:rsidRPr="00171404" w:rsidRDefault="008C6725" w:rsidP="008C6725">
      <w:pPr>
        <w:ind w:left="1277" w:right="1750" w:firstLine="708"/>
        <w:rPr>
          <w:rFonts w:asciiTheme="minorHAnsi" w:hAnsiTheme="minorHAnsi" w:cstheme="minorHAnsi"/>
          <w:color w:val="000000" w:themeColor="text1"/>
          <w:sz w:val="18"/>
          <w:szCs w:val="18"/>
          <w:lang w:val="es-ES_tradnl" w:eastAsia="en-US"/>
        </w:rPr>
      </w:pPr>
      <w:r w:rsidRPr="00171404">
        <w:rPr>
          <w:rFonts w:asciiTheme="minorHAnsi" w:hAnsiTheme="minorHAnsi" w:cstheme="minorHAnsi"/>
          <w:color w:val="000000" w:themeColor="text1"/>
          <w:sz w:val="18"/>
          <w:szCs w:val="18"/>
          <w:lang w:val="es-ES_tradnl" w:eastAsia="en-US"/>
        </w:rPr>
        <w:t>(No incluye proyecto PR9-INN06, aprobado pero no ejecutado)</w:t>
      </w:r>
    </w:p>
    <w:p w:rsidR="008C6725" w:rsidRDefault="008C6725" w:rsidP="008C6725">
      <w:pPr>
        <w:rPr>
          <w:rFonts w:asciiTheme="minorHAnsi" w:hAnsiTheme="minorHAnsi" w:cstheme="minorHAnsi"/>
          <w:color w:val="000000" w:themeColor="text1"/>
          <w:sz w:val="20"/>
          <w:szCs w:val="20"/>
          <w:lang w:val="es-ES_tradnl" w:eastAsia="en-US"/>
        </w:rPr>
      </w:pPr>
    </w:p>
    <w:p w:rsidR="008C6725" w:rsidRPr="000105EE" w:rsidRDefault="008C6725" w:rsidP="008C6725">
      <w:pPr>
        <w:spacing w:after="200" w:line="276" w:lineRule="auto"/>
        <w:jc w:val="both"/>
        <w:rPr>
          <w:rFonts w:ascii="Calibri" w:eastAsia="Times New Roman" w:hAnsi="Calibri" w:cs="Calibri"/>
          <w:color w:val="000000"/>
        </w:rPr>
      </w:pPr>
      <w:r w:rsidRPr="000105EE">
        <w:rPr>
          <w:rFonts w:asciiTheme="minorHAnsi" w:hAnsiTheme="minorHAnsi" w:cstheme="minorHAnsi"/>
          <w:color w:val="000000" w:themeColor="text1"/>
          <w:lang w:val="es-ES_tradnl" w:eastAsia="en-US"/>
        </w:rPr>
        <w:t>Se da el caso de que un sólo proyecto afecta fuertemente estos resultados. Se trata del Proyecto “</w:t>
      </w:r>
      <w:r w:rsidRPr="000105EE">
        <w:rPr>
          <w:rFonts w:ascii="Calibri" w:eastAsia="Times New Roman" w:hAnsi="Calibri" w:cs="Calibri"/>
          <w:color w:val="000000"/>
        </w:rPr>
        <w:t>PR-09-INN-20, “Incorporación de tecnología más avanzada para el procesamiento de la carne, con especial énfasis en los productos cárnicos cocidos y marinados” de la empresa Frigorífico Guaraní S.A.</w:t>
      </w:r>
    </w:p>
    <w:p w:rsidR="005830C2" w:rsidRDefault="008C6725" w:rsidP="005830C2">
      <w:pPr>
        <w:spacing w:after="200" w:line="276" w:lineRule="auto"/>
        <w:jc w:val="both"/>
        <w:rPr>
          <w:rFonts w:ascii="Calibri" w:eastAsia="Times New Roman" w:hAnsi="Calibri" w:cs="Calibri"/>
          <w:color w:val="000000"/>
        </w:rPr>
      </w:pPr>
      <w:r w:rsidRPr="000105EE">
        <w:rPr>
          <w:rFonts w:asciiTheme="minorHAnsi" w:hAnsiTheme="minorHAnsi" w:cstheme="minorHAnsi"/>
          <w:color w:val="000000" w:themeColor="text1"/>
          <w:lang w:eastAsia="en-US"/>
        </w:rPr>
        <w:t xml:space="preserve">Se trata de un proyecto cuyo monto total, de </w:t>
      </w:r>
      <w:r w:rsidRPr="000105EE">
        <w:rPr>
          <w:rFonts w:ascii="Calibri" w:eastAsia="Times New Roman" w:hAnsi="Calibri" w:cs="Calibri"/>
          <w:color w:val="000000"/>
        </w:rPr>
        <w:t>1.350.758 dólares, recibió un subsidio de 89.530 dólares, lo que representa un 7% del subsidio. El costo de este solo proyecto es del 45% del total del costo de todos los proyectos ejecutados. Si este proyecto no se considerara en el</w:t>
      </w:r>
      <w:r>
        <w:rPr>
          <w:rFonts w:ascii="Calibri" w:eastAsia="Times New Roman" w:hAnsi="Calibri" w:cs="Calibri"/>
          <w:color w:val="000000"/>
        </w:rPr>
        <w:t xml:space="preserve"> total, </w:t>
      </w:r>
      <w:r w:rsidRPr="000105EE">
        <w:rPr>
          <w:rFonts w:ascii="Calibri" w:eastAsia="Times New Roman" w:hAnsi="Calibri" w:cs="Calibri"/>
          <w:color w:val="000000"/>
        </w:rPr>
        <w:t>el aporte del Fondo sería de un 49% del total del costo de los proyectos.</w:t>
      </w:r>
    </w:p>
    <w:p w:rsidR="005830C2" w:rsidRDefault="005830C2" w:rsidP="005830C2">
      <w:pPr>
        <w:spacing w:after="200" w:line="276" w:lineRule="auto"/>
        <w:jc w:val="center"/>
        <w:rPr>
          <w:rFonts w:asciiTheme="minorHAnsi" w:hAnsiTheme="minorHAnsi" w:cstheme="minorHAnsi"/>
          <w:b/>
          <w:color w:val="000000" w:themeColor="text1"/>
          <w:lang w:val="es-ES_tradnl" w:eastAsia="en-US"/>
        </w:rPr>
      </w:pPr>
    </w:p>
    <w:p w:rsidR="005830C2" w:rsidRDefault="005830C2" w:rsidP="005830C2">
      <w:pPr>
        <w:spacing w:after="200" w:line="276" w:lineRule="auto"/>
        <w:jc w:val="center"/>
        <w:rPr>
          <w:rFonts w:asciiTheme="minorHAnsi" w:hAnsiTheme="minorHAnsi" w:cstheme="minorHAnsi"/>
          <w:b/>
          <w:color w:val="000000" w:themeColor="text1"/>
          <w:lang w:val="es-ES_tradnl" w:eastAsia="en-US"/>
        </w:rPr>
      </w:pPr>
    </w:p>
    <w:p w:rsidR="005830C2" w:rsidRDefault="005830C2" w:rsidP="005830C2">
      <w:pPr>
        <w:spacing w:after="200" w:line="276" w:lineRule="auto"/>
        <w:jc w:val="center"/>
        <w:rPr>
          <w:rFonts w:asciiTheme="minorHAnsi" w:hAnsiTheme="minorHAnsi" w:cstheme="minorHAnsi"/>
          <w:b/>
          <w:color w:val="000000" w:themeColor="text1"/>
          <w:lang w:val="es-ES_tradnl" w:eastAsia="en-US"/>
        </w:rPr>
      </w:pPr>
    </w:p>
    <w:p w:rsidR="005830C2" w:rsidRDefault="005830C2" w:rsidP="005830C2">
      <w:pPr>
        <w:spacing w:after="200" w:line="276" w:lineRule="auto"/>
        <w:jc w:val="center"/>
        <w:rPr>
          <w:rFonts w:asciiTheme="minorHAnsi" w:hAnsiTheme="minorHAnsi" w:cstheme="minorHAnsi"/>
          <w:b/>
          <w:color w:val="000000" w:themeColor="text1"/>
          <w:lang w:val="es-ES_tradnl" w:eastAsia="en-US"/>
        </w:rPr>
      </w:pPr>
    </w:p>
    <w:p w:rsidR="005830C2" w:rsidRDefault="005830C2" w:rsidP="005830C2">
      <w:pPr>
        <w:spacing w:after="200" w:line="276" w:lineRule="auto"/>
        <w:jc w:val="center"/>
        <w:rPr>
          <w:rFonts w:asciiTheme="minorHAnsi" w:hAnsiTheme="minorHAnsi" w:cstheme="minorHAnsi"/>
          <w:b/>
          <w:color w:val="000000" w:themeColor="text1"/>
          <w:lang w:val="es-ES_tradnl" w:eastAsia="en-US"/>
        </w:rPr>
      </w:pPr>
    </w:p>
    <w:p w:rsidR="005830C2" w:rsidRDefault="005830C2" w:rsidP="005830C2">
      <w:pPr>
        <w:spacing w:after="200" w:line="276" w:lineRule="auto"/>
        <w:jc w:val="center"/>
        <w:rPr>
          <w:rFonts w:asciiTheme="minorHAnsi" w:hAnsiTheme="minorHAnsi" w:cstheme="minorHAnsi"/>
          <w:b/>
          <w:color w:val="000000" w:themeColor="text1"/>
          <w:lang w:val="es-ES_tradnl" w:eastAsia="en-US"/>
        </w:rPr>
      </w:pPr>
    </w:p>
    <w:p w:rsidR="008C6725" w:rsidRPr="00DA4676" w:rsidRDefault="00802E2B" w:rsidP="005830C2">
      <w:pPr>
        <w:spacing w:after="200" w:line="276" w:lineRule="auto"/>
        <w:jc w:val="center"/>
        <w:rPr>
          <w:rFonts w:asciiTheme="minorHAnsi" w:hAnsiTheme="minorHAnsi" w:cstheme="minorHAnsi"/>
          <w:b/>
          <w:color w:val="000000" w:themeColor="text1"/>
          <w:lang w:val="es-ES_tradnl" w:eastAsia="en-US"/>
        </w:rPr>
      </w:pPr>
      <w:r>
        <w:rPr>
          <w:rFonts w:asciiTheme="minorHAnsi" w:hAnsiTheme="minorHAnsi" w:cstheme="minorHAnsi"/>
          <w:b/>
          <w:color w:val="000000" w:themeColor="text1"/>
          <w:lang w:val="es-ES_tradnl" w:eastAsia="en-US"/>
        </w:rPr>
        <w:lastRenderedPageBreak/>
        <w:t>Gráfico 5.16</w:t>
      </w:r>
      <w:r w:rsidR="008C6725" w:rsidRPr="000105EE">
        <w:rPr>
          <w:rFonts w:asciiTheme="minorHAnsi" w:hAnsiTheme="minorHAnsi" w:cstheme="minorHAnsi"/>
          <w:b/>
          <w:color w:val="000000" w:themeColor="text1"/>
          <w:lang w:val="es-ES_tradnl" w:eastAsia="en-US"/>
        </w:rPr>
        <w:t>. Monto total colocado en dólares estadounidenses</w:t>
      </w:r>
    </w:p>
    <w:p w:rsidR="008C6725" w:rsidRDefault="008C6725" w:rsidP="008C6725">
      <w:pPr>
        <w:jc w:val="center"/>
        <w:rPr>
          <w:rFonts w:asciiTheme="minorHAnsi" w:hAnsiTheme="minorHAnsi" w:cstheme="minorHAnsi"/>
          <w:color w:val="000000" w:themeColor="text1"/>
          <w:sz w:val="20"/>
          <w:szCs w:val="20"/>
          <w:lang w:val="es-ES_tradnl" w:eastAsia="en-US"/>
        </w:rPr>
      </w:pPr>
      <w:r>
        <w:rPr>
          <w:rFonts w:asciiTheme="minorHAnsi" w:hAnsiTheme="minorHAnsi" w:cstheme="minorHAnsi"/>
          <w:noProof/>
          <w:color w:val="000000" w:themeColor="text1"/>
          <w:sz w:val="20"/>
          <w:szCs w:val="20"/>
          <w:lang w:val="es-ES_tradnl" w:eastAsia="es-ES_tradnl"/>
        </w:rPr>
        <w:drawing>
          <wp:inline distT="0" distB="0" distL="0" distR="0" wp14:anchorId="503793EA" wp14:editId="2E70CDC4">
            <wp:extent cx="3076575" cy="204538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76575" cy="2045381"/>
                    </a:xfrm>
                    <a:prstGeom prst="rect">
                      <a:avLst/>
                    </a:prstGeom>
                    <a:noFill/>
                  </pic:spPr>
                </pic:pic>
              </a:graphicData>
            </a:graphic>
          </wp:inline>
        </w:drawing>
      </w:r>
    </w:p>
    <w:p w:rsidR="008C6725" w:rsidRPr="00171404" w:rsidRDefault="008C6725" w:rsidP="008C6725">
      <w:pPr>
        <w:ind w:left="708" w:right="900" w:firstLine="1"/>
        <w:jc w:val="center"/>
        <w:rPr>
          <w:rFonts w:asciiTheme="minorHAnsi" w:hAnsiTheme="minorHAnsi" w:cstheme="minorHAnsi"/>
          <w:color w:val="000000" w:themeColor="text1"/>
          <w:sz w:val="18"/>
          <w:szCs w:val="18"/>
          <w:lang w:val="es-ES_tradnl" w:eastAsia="en-US"/>
        </w:rPr>
      </w:pPr>
      <w:r w:rsidRPr="00171404">
        <w:rPr>
          <w:rFonts w:asciiTheme="minorHAnsi" w:hAnsiTheme="minorHAnsi" w:cstheme="minorHAnsi"/>
          <w:color w:val="000000" w:themeColor="text1"/>
          <w:sz w:val="18"/>
          <w:szCs w:val="18"/>
        </w:rPr>
        <w:t>Fuente: Innovos Group en base a datos de proyectos provistos por CONACYT</w:t>
      </w:r>
    </w:p>
    <w:p w:rsidR="008C6725" w:rsidRPr="00171404" w:rsidRDefault="008C6725" w:rsidP="008C6725">
      <w:pPr>
        <w:ind w:left="708" w:right="900" w:firstLine="1"/>
        <w:jc w:val="center"/>
        <w:rPr>
          <w:rFonts w:asciiTheme="minorHAnsi" w:hAnsiTheme="minorHAnsi" w:cstheme="minorHAnsi"/>
          <w:color w:val="000000" w:themeColor="text1"/>
          <w:sz w:val="18"/>
          <w:szCs w:val="18"/>
          <w:lang w:val="es-ES_tradnl" w:eastAsia="en-US"/>
        </w:rPr>
      </w:pPr>
      <w:r w:rsidRPr="00171404">
        <w:rPr>
          <w:rFonts w:asciiTheme="minorHAnsi" w:hAnsiTheme="minorHAnsi" w:cstheme="minorHAnsi"/>
          <w:color w:val="000000" w:themeColor="text1"/>
          <w:sz w:val="18"/>
          <w:szCs w:val="18"/>
          <w:lang w:val="es-ES_tradnl" w:eastAsia="en-US"/>
        </w:rPr>
        <w:t>(No incluye proyecto PR9-INN06, aprobado pero no ejecutado)</w:t>
      </w:r>
    </w:p>
    <w:p w:rsidR="008C6725" w:rsidRDefault="008C6725" w:rsidP="008C6725">
      <w:pPr>
        <w:rPr>
          <w:rFonts w:asciiTheme="minorHAnsi" w:hAnsiTheme="minorHAnsi" w:cstheme="minorHAnsi"/>
          <w:color w:val="000000" w:themeColor="text1"/>
          <w:sz w:val="20"/>
          <w:szCs w:val="20"/>
          <w:lang w:val="es-ES_tradnl" w:eastAsia="en-US"/>
        </w:rPr>
      </w:pPr>
    </w:p>
    <w:p w:rsidR="008C6725" w:rsidRPr="000105EE" w:rsidRDefault="008C6725" w:rsidP="008C6725">
      <w:pPr>
        <w:spacing w:after="200" w:line="276" w:lineRule="auto"/>
        <w:jc w:val="both"/>
        <w:rPr>
          <w:rFonts w:asciiTheme="minorHAnsi" w:hAnsiTheme="minorHAnsi" w:cstheme="minorHAnsi"/>
          <w:color w:val="000000" w:themeColor="text1"/>
        </w:rPr>
      </w:pPr>
      <w:r w:rsidRPr="000105EE">
        <w:rPr>
          <w:rFonts w:asciiTheme="minorHAnsi" w:hAnsiTheme="minorHAnsi" w:cstheme="minorHAnsi"/>
          <w:color w:val="000000" w:themeColor="text1"/>
        </w:rPr>
        <w:t>La clasificación por áreas indica un predominio de proyectos en el área de Ingeniería y Tecnología, seguido por Ciencias Agrícolas y Ciencias Naturales, como se presenta en la tabla a continuación.</w:t>
      </w:r>
    </w:p>
    <w:p w:rsidR="008C6725" w:rsidRPr="000105EE" w:rsidRDefault="008C6725" w:rsidP="008C6725">
      <w:pPr>
        <w:spacing w:after="200" w:line="276" w:lineRule="auto"/>
        <w:jc w:val="center"/>
        <w:rPr>
          <w:rFonts w:asciiTheme="minorHAnsi" w:hAnsiTheme="minorHAnsi" w:cstheme="minorHAnsi"/>
          <w:b/>
          <w:color w:val="000000" w:themeColor="text1"/>
        </w:rPr>
      </w:pPr>
      <w:r w:rsidRPr="000105EE">
        <w:rPr>
          <w:rFonts w:asciiTheme="minorHAnsi" w:hAnsiTheme="minorHAnsi" w:cstheme="minorHAnsi"/>
          <w:b/>
          <w:color w:val="000000" w:themeColor="text1"/>
        </w:rPr>
        <w:t xml:space="preserve">Tabla </w:t>
      </w:r>
      <w:r w:rsidR="006F1343">
        <w:rPr>
          <w:rFonts w:asciiTheme="minorHAnsi" w:hAnsiTheme="minorHAnsi" w:cstheme="minorHAnsi"/>
          <w:b/>
          <w:color w:val="000000" w:themeColor="text1"/>
        </w:rPr>
        <w:t>5.7</w:t>
      </w:r>
      <w:r>
        <w:rPr>
          <w:rFonts w:asciiTheme="minorHAnsi" w:hAnsiTheme="minorHAnsi" w:cstheme="minorHAnsi"/>
          <w:b/>
          <w:color w:val="000000" w:themeColor="text1"/>
        </w:rPr>
        <w:t>.</w:t>
      </w:r>
      <w:r w:rsidRPr="000105EE">
        <w:rPr>
          <w:rFonts w:asciiTheme="minorHAnsi" w:hAnsiTheme="minorHAnsi" w:cstheme="minorHAnsi"/>
          <w:b/>
          <w:color w:val="000000" w:themeColor="text1"/>
        </w:rPr>
        <w:t xml:space="preserve"> Distribución de proyectos de innovación por área del conocimiento.</w:t>
      </w:r>
    </w:p>
    <w:tbl>
      <w:tblPr>
        <w:tblW w:w="0" w:type="auto"/>
        <w:jc w:val="center"/>
        <w:tblLayout w:type="fixed"/>
        <w:tblCellMar>
          <w:left w:w="0" w:type="dxa"/>
          <w:right w:w="0" w:type="dxa"/>
        </w:tblCellMar>
        <w:tblLook w:val="0000" w:firstRow="0" w:lastRow="0" w:firstColumn="0" w:lastColumn="0" w:noHBand="0" w:noVBand="0"/>
      </w:tblPr>
      <w:tblGrid>
        <w:gridCol w:w="2848"/>
        <w:gridCol w:w="2250"/>
      </w:tblGrid>
      <w:tr w:rsidR="008C6725" w:rsidRPr="00AF0BE4" w:rsidTr="00802E2B">
        <w:trPr>
          <w:trHeight w:val="283"/>
          <w:jc w:val="center"/>
        </w:trPr>
        <w:tc>
          <w:tcPr>
            <w:tcW w:w="2848" w:type="dxa"/>
            <w:tcBorders>
              <w:top w:val="single" w:sz="4" w:space="0" w:color="000000"/>
              <w:left w:val="single" w:sz="4" w:space="0" w:color="000000"/>
              <w:bottom w:val="single" w:sz="4" w:space="0" w:color="000000"/>
            </w:tcBorders>
            <w:shd w:val="clear" w:color="auto" w:fill="0F243E" w:themeFill="text2" w:themeFillShade="80"/>
            <w:vAlign w:val="bottom"/>
          </w:tcPr>
          <w:p w:rsidR="008C6725" w:rsidRPr="00AF0BE4" w:rsidRDefault="008C6725" w:rsidP="00802E2B">
            <w:pPr>
              <w:jc w:val="center"/>
              <w:rPr>
                <w:rStyle w:val="Emphasis"/>
                <w:rFonts w:asciiTheme="minorHAnsi" w:hAnsiTheme="minorHAnsi" w:cstheme="minorHAnsi"/>
                <w:b/>
                <w:i w:val="0"/>
                <w:color w:val="FFFFFF" w:themeColor="background1"/>
                <w:sz w:val="20"/>
                <w:szCs w:val="20"/>
              </w:rPr>
            </w:pPr>
            <w:r w:rsidRPr="00AF0BE4">
              <w:rPr>
                <w:rStyle w:val="Emphasis"/>
                <w:rFonts w:asciiTheme="minorHAnsi" w:hAnsiTheme="minorHAnsi" w:cstheme="minorHAnsi"/>
                <w:b/>
                <w:i w:val="0"/>
                <w:color w:val="FFFFFF" w:themeColor="background1"/>
                <w:sz w:val="20"/>
                <w:szCs w:val="20"/>
              </w:rPr>
              <w:t>Área</w:t>
            </w:r>
          </w:p>
        </w:tc>
        <w:tc>
          <w:tcPr>
            <w:tcW w:w="2250" w:type="dxa"/>
            <w:tcBorders>
              <w:top w:val="single" w:sz="4" w:space="0" w:color="000000"/>
              <w:left w:val="single" w:sz="4" w:space="0" w:color="000000"/>
              <w:bottom w:val="single" w:sz="4" w:space="0" w:color="000000"/>
              <w:right w:val="single" w:sz="4" w:space="0" w:color="000000"/>
            </w:tcBorders>
            <w:shd w:val="clear" w:color="auto" w:fill="0F243E" w:themeFill="text2" w:themeFillShade="80"/>
            <w:vAlign w:val="bottom"/>
          </w:tcPr>
          <w:p w:rsidR="008C6725" w:rsidRPr="00AF0BE4" w:rsidRDefault="008C6725" w:rsidP="00802E2B">
            <w:pPr>
              <w:jc w:val="center"/>
              <w:rPr>
                <w:rStyle w:val="Emphasis"/>
                <w:rFonts w:asciiTheme="minorHAnsi" w:hAnsiTheme="minorHAnsi" w:cstheme="minorHAnsi"/>
                <w:b/>
                <w:i w:val="0"/>
                <w:color w:val="FFFFFF" w:themeColor="background1"/>
                <w:sz w:val="20"/>
                <w:szCs w:val="20"/>
              </w:rPr>
            </w:pPr>
            <w:r w:rsidRPr="00AF0BE4">
              <w:rPr>
                <w:rStyle w:val="Emphasis"/>
                <w:rFonts w:asciiTheme="minorHAnsi" w:hAnsiTheme="minorHAnsi" w:cstheme="minorHAnsi"/>
                <w:b/>
                <w:i w:val="0"/>
                <w:color w:val="FFFFFF" w:themeColor="background1"/>
                <w:sz w:val="20"/>
                <w:szCs w:val="20"/>
              </w:rPr>
              <w:t>Cantidad de proyectos</w:t>
            </w:r>
          </w:p>
        </w:tc>
      </w:tr>
      <w:tr w:rsidR="008C6725" w:rsidRPr="00E847CE" w:rsidTr="00802E2B">
        <w:trPr>
          <w:trHeight w:val="283"/>
          <w:jc w:val="center"/>
        </w:trPr>
        <w:tc>
          <w:tcPr>
            <w:tcW w:w="2848" w:type="dxa"/>
            <w:tcBorders>
              <w:top w:val="single" w:sz="4" w:space="0" w:color="000000"/>
              <w:left w:val="single" w:sz="4" w:space="0" w:color="000000"/>
              <w:bottom w:val="single" w:sz="4" w:space="0" w:color="000000"/>
            </w:tcBorders>
            <w:shd w:val="clear" w:color="auto" w:fill="auto"/>
            <w:vAlign w:val="bottom"/>
          </w:tcPr>
          <w:p w:rsidR="008C6725" w:rsidRPr="00E847CE" w:rsidRDefault="008C6725" w:rsidP="00802E2B">
            <w:pPr>
              <w:jc w:val="both"/>
              <w:rPr>
                <w:rFonts w:asciiTheme="minorHAnsi" w:hAnsiTheme="minorHAnsi" w:cstheme="minorHAnsi"/>
                <w:color w:val="000000" w:themeColor="text1"/>
                <w:sz w:val="20"/>
                <w:szCs w:val="20"/>
              </w:rPr>
            </w:pPr>
            <w:r w:rsidRPr="00E847CE">
              <w:rPr>
                <w:rFonts w:asciiTheme="minorHAnsi" w:hAnsiTheme="minorHAnsi" w:cstheme="minorHAnsi"/>
                <w:color w:val="000000" w:themeColor="text1"/>
                <w:sz w:val="20"/>
                <w:szCs w:val="20"/>
              </w:rPr>
              <w:t>Salud</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6725" w:rsidRPr="00E847CE" w:rsidRDefault="008C6725" w:rsidP="00802E2B">
            <w:pPr>
              <w:jc w:val="center"/>
              <w:rPr>
                <w:rFonts w:asciiTheme="minorHAnsi" w:hAnsiTheme="minorHAnsi" w:cstheme="minorHAnsi"/>
                <w:color w:val="000000" w:themeColor="text1"/>
                <w:sz w:val="20"/>
                <w:szCs w:val="20"/>
              </w:rPr>
            </w:pPr>
            <w:r w:rsidRPr="00E847CE">
              <w:rPr>
                <w:rFonts w:asciiTheme="minorHAnsi" w:hAnsiTheme="minorHAnsi" w:cstheme="minorHAnsi"/>
                <w:color w:val="000000" w:themeColor="text1"/>
                <w:sz w:val="20"/>
                <w:szCs w:val="20"/>
              </w:rPr>
              <w:t>1</w:t>
            </w:r>
          </w:p>
        </w:tc>
      </w:tr>
      <w:tr w:rsidR="008C6725" w:rsidRPr="00E847CE" w:rsidTr="00802E2B">
        <w:trPr>
          <w:trHeight w:val="283"/>
          <w:jc w:val="center"/>
        </w:trPr>
        <w:tc>
          <w:tcPr>
            <w:tcW w:w="2848" w:type="dxa"/>
            <w:tcBorders>
              <w:top w:val="single" w:sz="4" w:space="0" w:color="000000"/>
              <w:left w:val="single" w:sz="4" w:space="0" w:color="000000"/>
              <w:bottom w:val="single" w:sz="4" w:space="0" w:color="000000"/>
            </w:tcBorders>
            <w:shd w:val="clear" w:color="auto" w:fill="auto"/>
            <w:vAlign w:val="bottom"/>
          </w:tcPr>
          <w:p w:rsidR="008C6725" w:rsidRPr="00E847CE" w:rsidRDefault="008C6725" w:rsidP="00802E2B">
            <w:pPr>
              <w:jc w:val="both"/>
              <w:rPr>
                <w:rFonts w:asciiTheme="minorHAnsi" w:hAnsiTheme="minorHAnsi" w:cstheme="minorHAnsi"/>
                <w:color w:val="000000" w:themeColor="text1"/>
                <w:sz w:val="20"/>
                <w:szCs w:val="20"/>
              </w:rPr>
            </w:pPr>
            <w:r w:rsidRPr="00E847CE">
              <w:rPr>
                <w:rFonts w:asciiTheme="minorHAnsi" w:hAnsiTheme="minorHAnsi" w:cstheme="minorHAnsi"/>
                <w:color w:val="000000" w:themeColor="text1"/>
                <w:sz w:val="20"/>
                <w:szCs w:val="20"/>
              </w:rPr>
              <w:t>Servicios</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6725" w:rsidRPr="00E847CE" w:rsidRDefault="008C6725" w:rsidP="00802E2B">
            <w:pPr>
              <w:jc w:val="center"/>
              <w:rPr>
                <w:rFonts w:asciiTheme="minorHAnsi" w:hAnsiTheme="minorHAnsi" w:cstheme="minorHAnsi"/>
                <w:color w:val="000000" w:themeColor="text1"/>
                <w:sz w:val="20"/>
                <w:szCs w:val="20"/>
              </w:rPr>
            </w:pPr>
            <w:r w:rsidRPr="00E847CE">
              <w:rPr>
                <w:rFonts w:asciiTheme="minorHAnsi" w:hAnsiTheme="minorHAnsi" w:cstheme="minorHAnsi"/>
                <w:color w:val="000000" w:themeColor="text1"/>
                <w:sz w:val="20"/>
                <w:szCs w:val="20"/>
              </w:rPr>
              <w:t>1</w:t>
            </w:r>
          </w:p>
        </w:tc>
      </w:tr>
      <w:tr w:rsidR="008C6725" w:rsidRPr="00E847CE" w:rsidTr="00802E2B">
        <w:trPr>
          <w:trHeight w:val="283"/>
          <w:jc w:val="center"/>
        </w:trPr>
        <w:tc>
          <w:tcPr>
            <w:tcW w:w="2848" w:type="dxa"/>
            <w:tcBorders>
              <w:top w:val="single" w:sz="4" w:space="0" w:color="000000"/>
              <w:left w:val="single" w:sz="4" w:space="0" w:color="000000"/>
              <w:bottom w:val="single" w:sz="4" w:space="0" w:color="000000"/>
            </w:tcBorders>
            <w:shd w:val="clear" w:color="auto" w:fill="auto"/>
            <w:vAlign w:val="bottom"/>
          </w:tcPr>
          <w:p w:rsidR="008C6725" w:rsidRPr="00E847CE" w:rsidRDefault="008C6725" w:rsidP="00802E2B">
            <w:pPr>
              <w:jc w:val="both"/>
              <w:rPr>
                <w:rFonts w:asciiTheme="minorHAnsi" w:hAnsiTheme="minorHAnsi" w:cstheme="minorHAnsi"/>
                <w:color w:val="000000" w:themeColor="text1"/>
                <w:sz w:val="20"/>
                <w:szCs w:val="20"/>
              </w:rPr>
            </w:pPr>
            <w:r w:rsidRPr="00E847CE">
              <w:rPr>
                <w:rFonts w:asciiTheme="minorHAnsi" w:hAnsiTheme="minorHAnsi" w:cstheme="minorHAnsi"/>
                <w:color w:val="000000" w:themeColor="text1"/>
                <w:sz w:val="20"/>
                <w:szCs w:val="20"/>
              </w:rPr>
              <w:t>Ciencias Agrícolas</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6725" w:rsidRPr="00E847CE" w:rsidRDefault="008C6725" w:rsidP="00802E2B">
            <w:pPr>
              <w:jc w:val="center"/>
              <w:rPr>
                <w:rFonts w:asciiTheme="minorHAnsi" w:hAnsiTheme="minorHAnsi" w:cstheme="minorHAnsi"/>
                <w:color w:val="000000" w:themeColor="text1"/>
                <w:sz w:val="20"/>
                <w:szCs w:val="20"/>
              </w:rPr>
            </w:pPr>
            <w:r w:rsidRPr="00E847CE">
              <w:rPr>
                <w:rFonts w:asciiTheme="minorHAnsi" w:hAnsiTheme="minorHAnsi" w:cstheme="minorHAnsi"/>
                <w:color w:val="000000" w:themeColor="text1"/>
                <w:sz w:val="20"/>
                <w:szCs w:val="20"/>
              </w:rPr>
              <w:t>4</w:t>
            </w:r>
          </w:p>
        </w:tc>
      </w:tr>
      <w:tr w:rsidR="008C6725" w:rsidRPr="00E847CE" w:rsidTr="00802E2B">
        <w:trPr>
          <w:trHeight w:val="283"/>
          <w:jc w:val="center"/>
        </w:trPr>
        <w:tc>
          <w:tcPr>
            <w:tcW w:w="2848" w:type="dxa"/>
            <w:tcBorders>
              <w:top w:val="single" w:sz="4" w:space="0" w:color="000000"/>
              <w:left w:val="single" w:sz="4" w:space="0" w:color="000000"/>
              <w:bottom w:val="single" w:sz="4" w:space="0" w:color="000000"/>
            </w:tcBorders>
            <w:shd w:val="clear" w:color="auto" w:fill="auto"/>
            <w:vAlign w:val="bottom"/>
          </w:tcPr>
          <w:p w:rsidR="008C6725" w:rsidRPr="00E847CE" w:rsidRDefault="008C6725" w:rsidP="00802E2B">
            <w:pPr>
              <w:jc w:val="both"/>
              <w:rPr>
                <w:rFonts w:asciiTheme="minorHAnsi" w:hAnsiTheme="minorHAnsi" w:cstheme="minorHAnsi"/>
                <w:color w:val="000000" w:themeColor="text1"/>
                <w:sz w:val="20"/>
                <w:szCs w:val="20"/>
              </w:rPr>
            </w:pPr>
            <w:r w:rsidRPr="00E847CE">
              <w:rPr>
                <w:rFonts w:asciiTheme="minorHAnsi" w:hAnsiTheme="minorHAnsi" w:cstheme="minorHAnsi"/>
                <w:color w:val="000000" w:themeColor="text1"/>
                <w:sz w:val="20"/>
                <w:szCs w:val="20"/>
              </w:rPr>
              <w:t>Ciencias Naturales</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6725" w:rsidRPr="00E847CE" w:rsidRDefault="008C6725" w:rsidP="00802E2B">
            <w:pPr>
              <w:jc w:val="center"/>
              <w:rPr>
                <w:rFonts w:asciiTheme="minorHAnsi" w:hAnsiTheme="minorHAnsi" w:cstheme="minorHAnsi"/>
                <w:color w:val="000000" w:themeColor="text1"/>
                <w:sz w:val="20"/>
                <w:szCs w:val="20"/>
              </w:rPr>
            </w:pPr>
            <w:r w:rsidRPr="00E847CE">
              <w:rPr>
                <w:rFonts w:asciiTheme="minorHAnsi" w:hAnsiTheme="minorHAnsi" w:cstheme="minorHAnsi"/>
                <w:color w:val="000000" w:themeColor="text1"/>
                <w:sz w:val="20"/>
                <w:szCs w:val="20"/>
              </w:rPr>
              <w:t>2</w:t>
            </w:r>
          </w:p>
        </w:tc>
      </w:tr>
      <w:tr w:rsidR="008C6725" w:rsidRPr="00E847CE" w:rsidTr="00802E2B">
        <w:trPr>
          <w:trHeight w:val="283"/>
          <w:jc w:val="center"/>
        </w:trPr>
        <w:tc>
          <w:tcPr>
            <w:tcW w:w="2848" w:type="dxa"/>
            <w:tcBorders>
              <w:top w:val="single" w:sz="4" w:space="0" w:color="000000"/>
              <w:left w:val="single" w:sz="4" w:space="0" w:color="000000"/>
              <w:bottom w:val="single" w:sz="4" w:space="0" w:color="000000"/>
            </w:tcBorders>
            <w:shd w:val="clear" w:color="auto" w:fill="auto"/>
            <w:vAlign w:val="bottom"/>
          </w:tcPr>
          <w:p w:rsidR="008C6725" w:rsidRPr="00E847CE" w:rsidRDefault="008C6725" w:rsidP="00802E2B">
            <w:pPr>
              <w:jc w:val="both"/>
              <w:rPr>
                <w:rFonts w:asciiTheme="minorHAnsi" w:hAnsiTheme="minorHAnsi" w:cstheme="minorHAnsi"/>
                <w:color w:val="000000" w:themeColor="text1"/>
                <w:sz w:val="20"/>
                <w:szCs w:val="20"/>
              </w:rPr>
            </w:pPr>
            <w:r w:rsidRPr="00E847CE">
              <w:rPr>
                <w:rFonts w:asciiTheme="minorHAnsi" w:hAnsiTheme="minorHAnsi" w:cstheme="minorHAnsi"/>
                <w:color w:val="000000" w:themeColor="text1"/>
                <w:sz w:val="20"/>
                <w:szCs w:val="20"/>
              </w:rPr>
              <w:t>Ingenierías y Tecnologías</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6725" w:rsidRPr="00E847CE" w:rsidRDefault="008C6725" w:rsidP="00802E2B">
            <w:pPr>
              <w:jc w:val="center"/>
              <w:rPr>
                <w:rFonts w:asciiTheme="minorHAnsi" w:hAnsiTheme="minorHAnsi" w:cstheme="minorHAnsi"/>
                <w:color w:val="000000" w:themeColor="text1"/>
                <w:sz w:val="20"/>
                <w:szCs w:val="20"/>
              </w:rPr>
            </w:pPr>
            <w:r w:rsidRPr="00E847CE">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1</w:t>
            </w:r>
          </w:p>
        </w:tc>
      </w:tr>
    </w:tbl>
    <w:p w:rsidR="008C6725" w:rsidRPr="00171404" w:rsidRDefault="008C6725" w:rsidP="008C6725">
      <w:pPr>
        <w:ind w:left="1843"/>
        <w:jc w:val="both"/>
        <w:rPr>
          <w:rFonts w:asciiTheme="minorHAnsi" w:hAnsiTheme="minorHAnsi" w:cstheme="minorHAnsi"/>
          <w:color w:val="000000" w:themeColor="text1"/>
          <w:sz w:val="18"/>
          <w:szCs w:val="18"/>
        </w:rPr>
      </w:pPr>
      <w:r w:rsidRPr="00171404">
        <w:rPr>
          <w:rFonts w:asciiTheme="minorHAnsi" w:hAnsiTheme="minorHAnsi" w:cstheme="minorHAnsi"/>
          <w:color w:val="000000" w:themeColor="text1"/>
          <w:sz w:val="18"/>
          <w:szCs w:val="18"/>
        </w:rPr>
        <w:t>Fuente: Innovos Group en base a datos provistos por CONACYT.</w:t>
      </w:r>
    </w:p>
    <w:p w:rsidR="008C6725" w:rsidRPr="00171404" w:rsidRDefault="008C6725" w:rsidP="008C6725">
      <w:pPr>
        <w:ind w:left="1843"/>
        <w:jc w:val="both"/>
        <w:rPr>
          <w:rFonts w:asciiTheme="minorHAnsi" w:hAnsiTheme="minorHAnsi" w:cstheme="minorHAnsi"/>
          <w:color w:val="000000" w:themeColor="text1"/>
          <w:sz w:val="18"/>
          <w:szCs w:val="18"/>
          <w:lang w:val="es-ES_tradnl" w:eastAsia="en-US"/>
        </w:rPr>
      </w:pPr>
      <w:r w:rsidRPr="00171404">
        <w:rPr>
          <w:rFonts w:asciiTheme="minorHAnsi" w:hAnsiTheme="minorHAnsi" w:cstheme="minorHAnsi"/>
          <w:color w:val="000000" w:themeColor="text1"/>
          <w:sz w:val="18"/>
          <w:szCs w:val="18"/>
          <w:lang w:val="es-ES_tradnl" w:eastAsia="en-US"/>
        </w:rPr>
        <w:t>(No incluye proyecto PR9-INN06, aprobado pero no ejecutado)</w:t>
      </w:r>
    </w:p>
    <w:p w:rsidR="008C6725" w:rsidRDefault="008C6725" w:rsidP="008C6725">
      <w:pPr>
        <w:spacing w:after="200" w:line="276" w:lineRule="auto"/>
        <w:jc w:val="both"/>
        <w:rPr>
          <w:rFonts w:asciiTheme="minorHAnsi" w:hAnsiTheme="minorHAnsi" w:cstheme="minorHAnsi"/>
          <w:color w:val="000000" w:themeColor="text1"/>
        </w:rPr>
      </w:pPr>
    </w:p>
    <w:p w:rsidR="008C6725" w:rsidRPr="000105EE" w:rsidRDefault="008C6725" w:rsidP="008C6725">
      <w:pPr>
        <w:spacing w:after="200" w:line="276" w:lineRule="auto"/>
        <w:jc w:val="both"/>
        <w:rPr>
          <w:rFonts w:asciiTheme="minorHAnsi" w:hAnsiTheme="minorHAnsi" w:cstheme="minorHAnsi"/>
          <w:color w:val="000000" w:themeColor="text1"/>
        </w:rPr>
      </w:pPr>
      <w:r w:rsidRPr="000105EE">
        <w:rPr>
          <w:rFonts w:asciiTheme="minorHAnsi" w:hAnsiTheme="minorHAnsi" w:cstheme="minorHAnsi"/>
          <w:color w:val="000000" w:themeColor="text1"/>
        </w:rPr>
        <w:t>Sin embargo, dos de los proyectos clasificados como ciencias naturales entrarían con mayor propiedad en la categoría de “ingenierías y tecnologías”.</w:t>
      </w:r>
    </w:p>
    <w:p w:rsidR="008C6725" w:rsidRPr="000105EE" w:rsidRDefault="008C6725" w:rsidP="008C6725">
      <w:pPr>
        <w:spacing w:after="200" w:line="276" w:lineRule="auto"/>
        <w:jc w:val="both"/>
        <w:rPr>
          <w:rFonts w:asciiTheme="minorHAnsi" w:hAnsiTheme="minorHAnsi" w:cstheme="minorHAnsi"/>
          <w:color w:val="000000" w:themeColor="text1"/>
        </w:rPr>
      </w:pPr>
      <w:r w:rsidRPr="000105EE">
        <w:rPr>
          <w:rFonts w:asciiTheme="minorHAnsi" w:hAnsiTheme="minorHAnsi" w:cstheme="minorHAnsi"/>
          <w:color w:val="000000" w:themeColor="text1"/>
        </w:rPr>
        <w:t>Se trata de los proyectos “Generación de biogás por estabilización de contacto anaeróbica de la industria alcoholera” y “Tratamiento térmico de aceros en atmósfera gaseosa” que pertenecen a la ingeniería de procesos y a la ingeniería metalúrgica respectivamente.</w:t>
      </w:r>
    </w:p>
    <w:p w:rsidR="008C6725" w:rsidRPr="000105EE" w:rsidRDefault="008C6725" w:rsidP="008C6725">
      <w:pPr>
        <w:spacing w:after="200" w:line="276" w:lineRule="auto"/>
        <w:jc w:val="both"/>
        <w:rPr>
          <w:rFonts w:asciiTheme="minorHAnsi" w:hAnsiTheme="minorHAnsi" w:cstheme="minorHAnsi"/>
          <w:color w:val="000000" w:themeColor="text1"/>
        </w:rPr>
      </w:pPr>
      <w:r w:rsidRPr="000105EE">
        <w:rPr>
          <w:rFonts w:asciiTheme="minorHAnsi" w:hAnsiTheme="minorHAnsi" w:cstheme="minorHAnsi"/>
          <w:color w:val="000000" w:themeColor="text1"/>
        </w:rPr>
        <w:t xml:space="preserve">Dos de los proyectos están encadenados. Se trata de los proyectos de la empresa CHEMTEC S.A.E “Selección de cepas locales de </w:t>
      </w:r>
      <w:r w:rsidRPr="000105EE">
        <w:rPr>
          <w:rFonts w:asciiTheme="minorHAnsi" w:hAnsiTheme="minorHAnsi" w:cstheme="minorHAnsi"/>
          <w:i/>
          <w:color w:val="000000" w:themeColor="text1"/>
        </w:rPr>
        <w:t>Bradyrhizobium</w:t>
      </w:r>
      <w:r w:rsidRPr="000105EE">
        <w:rPr>
          <w:rFonts w:asciiTheme="minorHAnsi" w:hAnsiTheme="minorHAnsi" w:cstheme="minorHAnsi"/>
          <w:color w:val="000000" w:themeColor="text1"/>
        </w:rPr>
        <w:t xml:space="preserve"> para nodulación de soja en Paraguay” y “Planta Industrial de Biorreactores para la producción de inoculante nativo para soja en Paraguay”.</w:t>
      </w:r>
      <w:r>
        <w:rPr>
          <w:rFonts w:asciiTheme="minorHAnsi" w:hAnsiTheme="minorHAnsi" w:cstheme="minorHAnsi"/>
          <w:color w:val="000000" w:themeColor="text1"/>
        </w:rPr>
        <w:t xml:space="preserve"> </w:t>
      </w:r>
      <w:r w:rsidRPr="000105EE">
        <w:rPr>
          <w:rFonts w:asciiTheme="minorHAnsi" w:hAnsiTheme="minorHAnsi" w:cstheme="minorHAnsi"/>
          <w:color w:val="000000" w:themeColor="text1"/>
        </w:rPr>
        <w:t xml:space="preserve">El segundo proyecto es la aplicación de la cepa identificada en el primer proyecto.  </w:t>
      </w:r>
    </w:p>
    <w:p w:rsidR="008C6725" w:rsidRPr="00E847CE" w:rsidRDefault="008C6725" w:rsidP="008C6725">
      <w:pPr>
        <w:spacing w:after="200" w:line="276" w:lineRule="auto"/>
        <w:jc w:val="both"/>
        <w:rPr>
          <w:rFonts w:asciiTheme="minorHAnsi" w:hAnsiTheme="minorHAnsi" w:cstheme="minorHAnsi"/>
          <w:b/>
        </w:rPr>
      </w:pPr>
      <w:r w:rsidRPr="00E847CE">
        <w:rPr>
          <w:rFonts w:asciiTheme="minorHAnsi" w:hAnsiTheme="minorHAnsi" w:cstheme="minorHAnsi"/>
          <w:b/>
        </w:rPr>
        <w:lastRenderedPageBreak/>
        <w:t xml:space="preserve">Caracterización de empresas ejecutoras </w:t>
      </w:r>
    </w:p>
    <w:p w:rsidR="008C6725" w:rsidRPr="000105EE" w:rsidRDefault="008C6725" w:rsidP="008C6725">
      <w:pPr>
        <w:spacing w:after="200" w:line="276" w:lineRule="auto"/>
        <w:jc w:val="both"/>
        <w:rPr>
          <w:rFonts w:asciiTheme="minorHAnsi" w:hAnsiTheme="minorHAnsi" w:cstheme="minorHAnsi"/>
          <w:color w:val="000000" w:themeColor="text1"/>
        </w:rPr>
      </w:pPr>
      <w:r w:rsidRPr="000105EE">
        <w:rPr>
          <w:rFonts w:asciiTheme="minorHAnsi" w:hAnsiTheme="minorHAnsi" w:cstheme="minorHAnsi"/>
          <w:color w:val="000000" w:themeColor="text1"/>
        </w:rPr>
        <w:t>Se clasificaron las empresas ejecutoras de acuerdo a su tamaño, utilizando las categorías de Paraguay de número de empleados</w:t>
      </w:r>
      <w:r>
        <w:rPr>
          <w:rFonts w:asciiTheme="minorHAnsi" w:hAnsiTheme="minorHAnsi" w:cstheme="minorHAnsi"/>
          <w:color w:val="000000" w:themeColor="text1"/>
        </w:rPr>
        <w:t xml:space="preserve"> (Pequeña: menos de 25 empleados, </w:t>
      </w:r>
      <w:r w:rsidRPr="000105EE">
        <w:rPr>
          <w:rFonts w:asciiTheme="minorHAnsi" w:hAnsiTheme="minorHAnsi" w:cstheme="minorHAnsi"/>
          <w:color w:val="000000" w:themeColor="text1"/>
        </w:rPr>
        <w:t>Me</w:t>
      </w:r>
      <w:r>
        <w:rPr>
          <w:rFonts w:asciiTheme="minorHAnsi" w:hAnsiTheme="minorHAnsi" w:cstheme="minorHAnsi"/>
          <w:color w:val="000000" w:themeColor="text1"/>
        </w:rPr>
        <w:t xml:space="preserve">diana: entre 25 y 100 empleados, </w:t>
      </w:r>
      <w:r w:rsidRPr="000105EE">
        <w:rPr>
          <w:rFonts w:asciiTheme="minorHAnsi" w:hAnsiTheme="minorHAnsi" w:cstheme="minorHAnsi"/>
          <w:color w:val="000000" w:themeColor="text1"/>
        </w:rPr>
        <w:t>Grande: más de 100 empleados</w:t>
      </w:r>
      <w:r>
        <w:rPr>
          <w:rFonts w:asciiTheme="minorHAnsi" w:hAnsiTheme="minorHAnsi" w:cstheme="minorHAnsi"/>
          <w:color w:val="000000" w:themeColor="text1"/>
        </w:rPr>
        <w:t>)</w:t>
      </w:r>
      <w:r w:rsidRPr="000105EE">
        <w:rPr>
          <w:rFonts w:asciiTheme="minorHAnsi" w:hAnsiTheme="minorHAnsi" w:cstheme="minorHAnsi"/>
          <w:color w:val="000000" w:themeColor="text1"/>
        </w:rPr>
        <w:t>.</w:t>
      </w:r>
    </w:p>
    <w:p w:rsidR="008C6725" w:rsidRPr="000105EE" w:rsidRDefault="008C6725" w:rsidP="005830C2">
      <w:pPr>
        <w:rPr>
          <w:rFonts w:asciiTheme="minorHAnsi" w:eastAsia="Times New Roman" w:hAnsiTheme="minorHAnsi" w:cstheme="minorHAnsi"/>
          <w:color w:val="000000"/>
        </w:rPr>
      </w:pPr>
      <w:r w:rsidRPr="000105EE">
        <w:rPr>
          <w:rFonts w:asciiTheme="minorHAnsi" w:eastAsia="Times New Roman" w:hAnsiTheme="minorHAnsi" w:cstheme="minorHAnsi"/>
          <w:color w:val="000000"/>
        </w:rPr>
        <w:t>De esta manera, se obtiene la siguiente tabla:</w:t>
      </w:r>
    </w:p>
    <w:p w:rsidR="008C6725" w:rsidRPr="00E847CE" w:rsidRDefault="008C6725" w:rsidP="008C6725">
      <w:pPr>
        <w:spacing w:after="200" w:line="276" w:lineRule="auto"/>
        <w:jc w:val="center"/>
        <w:rPr>
          <w:rFonts w:asciiTheme="minorHAnsi" w:hAnsiTheme="minorHAnsi" w:cstheme="minorHAnsi"/>
          <w:b/>
          <w:color w:val="000000" w:themeColor="text1"/>
        </w:rPr>
      </w:pPr>
      <w:r w:rsidRPr="00E847CE">
        <w:rPr>
          <w:rFonts w:asciiTheme="minorHAnsi" w:hAnsiTheme="minorHAnsi" w:cstheme="minorHAnsi"/>
          <w:b/>
        </w:rPr>
        <w:t>Tabla</w:t>
      </w:r>
      <w:r w:rsidR="006F1343">
        <w:rPr>
          <w:rFonts w:asciiTheme="minorHAnsi" w:hAnsiTheme="minorHAnsi" w:cstheme="minorHAnsi"/>
          <w:b/>
        </w:rPr>
        <w:t xml:space="preserve"> 5.8</w:t>
      </w:r>
      <w:r>
        <w:rPr>
          <w:rFonts w:asciiTheme="minorHAnsi" w:hAnsiTheme="minorHAnsi" w:cstheme="minorHAnsi"/>
          <w:b/>
        </w:rPr>
        <w:t>.</w:t>
      </w:r>
      <w:r w:rsidRPr="00E847CE">
        <w:rPr>
          <w:rFonts w:asciiTheme="minorHAnsi" w:hAnsiTheme="minorHAnsi" w:cstheme="minorHAnsi"/>
          <w:b/>
        </w:rPr>
        <w:t xml:space="preserve"> Tamaño de la empresa ejecutora de proyectos aprobados</w:t>
      </w:r>
    </w:p>
    <w:tbl>
      <w:tblPr>
        <w:tblW w:w="3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917"/>
      </w:tblGrid>
      <w:tr w:rsidR="008C6725" w:rsidRPr="00AF0BE4" w:rsidTr="00802E2B">
        <w:trPr>
          <w:trHeight w:val="300"/>
          <w:jc w:val="center"/>
        </w:trPr>
        <w:tc>
          <w:tcPr>
            <w:tcW w:w="2263" w:type="dxa"/>
            <w:shd w:val="clear" w:color="auto" w:fill="0F243E" w:themeFill="text2" w:themeFillShade="80"/>
            <w:noWrap/>
            <w:vAlign w:val="bottom"/>
          </w:tcPr>
          <w:p w:rsidR="008C6725" w:rsidRPr="00AF0BE4" w:rsidRDefault="008C6725" w:rsidP="00802E2B">
            <w:pPr>
              <w:spacing w:line="276" w:lineRule="auto"/>
              <w:jc w:val="center"/>
              <w:rPr>
                <w:rFonts w:asciiTheme="minorHAnsi" w:eastAsia="Times New Roman" w:hAnsiTheme="minorHAnsi" w:cstheme="minorHAnsi"/>
                <w:b/>
                <w:color w:val="FFFFFF" w:themeColor="background1"/>
                <w:sz w:val="20"/>
                <w:szCs w:val="20"/>
              </w:rPr>
            </w:pPr>
            <w:r w:rsidRPr="00AF0BE4">
              <w:rPr>
                <w:rFonts w:asciiTheme="minorHAnsi" w:eastAsia="Times New Roman" w:hAnsiTheme="minorHAnsi" w:cstheme="minorHAnsi"/>
                <w:b/>
                <w:color w:val="FFFFFF" w:themeColor="background1"/>
                <w:sz w:val="20"/>
                <w:szCs w:val="20"/>
              </w:rPr>
              <w:t>Tamaño de la empresa</w:t>
            </w:r>
          </w:p>
        </w:tc>
        <w:tc>
          <w:tcPr>
            <w:tcW w:w="917" w:type="dxa"/>
            <w:shd w:val="clear" w:color="auto" w:fill="0F243E" w:themeFill="text2" w:themeFillShade="80"/>
            <w:noWrap/>
            <w:vAlign w:val="bottom"/>
          </w:tcPr>
          <w:p w:rsidR="008C6725" w:rsidRPr="00AF0BE4" w:rsidRDefault="008C6725" w:rsidP="00802E2B">
            <w:pPr>
              <w:spacing w:line="276" w:lineRule="auto"/>
              <w:jc w:val="center"/>
              <w:rPr>
                <w:rFonts w:asciiTheme="minorHAnsi" w:eastAsia="Times New Roman" w:hAnsiTheme="minorHAnsi" w:cstheme="minorHAnsi"/>
                <w:b/>
                <w:color w:val="FFFFFF" w:themeColor="background1"/>
                <w:sz w:val="20"/>
                <w:szCs w:val="20"/>
              </w:rPr>
            </w:pPr>
            <w:r w:rsidRPr="00AF0BE4">
              <w:rPr>
                <w:rFonts w:asciiTheme="minorHAnsi" w:eastAsia="Times New Roman" w:hAnsiTheme="minorHAnsi" w:cstheme="minorHAnsi"/>
                <w:b/>
                <w:color w:val="FFFFFF" w:themeColor="background1"/>
                <w:sz w:val="20"/>
                <w:szCs w:val="20"/>
              </w:rPr>
              <w:t>Cantidad</w:t>
            </w:r>
          </w:p>
        </w:tc>
      </w:tr>
      <w:tr w:rsidR="008C6725" w:rsidRPr="00E847CE" w:rsidTr="00802E2B">
        <w:trPr>
          <w:trHeight w:val="300"/>
          <w:jc w:val="center"/>
        </w:trPr>
        <w:tc>
          <w:tcPr>
            <w:tcW w:w="2263" w:type="dxa"/>
            <w:shd w:val="clear" w:color="auto" w:fill="auto"/>
            <w:noWrap/>
            <w:vAlign w:val="bottom"/>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Grande</w:t>
            </w:r>
          </w:p>
        </w:tc>
        <w:tc>
          <w:tcPr>
            <w:tcW w:w="917" w:type="dxa"/>
            <w:shd w:val="clear" w:color="auto" w:fill="auto"/>
            <w:noWrap/>
            <w:vAlign w:val="bottom"/>
          </w:tcPr>
          <w:p w:rsidR="008C6725" w:rsidRPr="00E847CE" w:rsidRDefault="008C6725" w:rsidP="00802E2B">
            <w:pPr>
              <w:spacing w:line="276" w:lineRule="auto"/>
              <w:jc w:val="center"/>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3</w:t>
            </w:r>
          </w:p>
        </w:tc>
      </w:tr>
      <w:tr w:rsidR="008C6725" w:rsidRPr="00E847CE" w:rsidTr="00802E2B">
        <w:trPr>
          <w:trHeight w:val="300"/>
          <w:jc w:val="center"/>
        </w:trPr>
        <w:tc>
          <w:tcPr>
            <w:tcW w:w="2263"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Mediana</w:t>
            </w:r>
          </w:p>
        </w:tc>
        <w:tc>
          <w:tcPr>
            <w:tcW w:w="917" w:type="dxa"/>
            <w:shd w:val="clear" w:color="auto" w:fill="auto"/>
            <w:noWrap/>
            <w:vAlign w:val="bottom"/>
            <w:hideMark/>
          </w:tcPr>
          <w:p w:rsidR="008C6725" w:rsidRPr="00E847CE" w:rsidRDefault="008C6725" w:rsidP="00802E2B">
            <w:pPr>
              <w:spacing w:line="276" w:lineRule="auto"/>
              <w:jc w:val="center"/>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5</w:t>
            </w:r>
          </w:p>
        </w:tc>
      </w:tr>
      <w:tr w:rsidR="008C6725" w:rsidRPr="00E847CE" w:rsidTr="00802E2B">
        <w:trPr>
          <w:trHeight w:val="300"/>
          <w:jc w:val="center"/>
        </w:trPr>
        <w:tc>
          <w:tcPr>
            <w:tcW w:w="2263"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Pequeña</w:t>
            </w:r>
          </w:p>
        </w:tc>
        <w:tc>
          <w:tcPr>
            <w:tcW w:w="917" w:type="dxa"/>
            <w:shd w:val="clear" w:color="auto" w:fill="auto"/>
            <w:noWrap/>
            <w:vAlign w:val="bottom"/>
            <w:hideMark/>
          </w:tcPr>
          <w:p w:rsidR="008C6725" w:rsidRPr="00E847CE" w:rsidRDefault="008C6725" w:rsidP="00802E2B">
            <w:pPr>
              <w:spacing w:line="276" w:lineRule="auto"/>
              <w:jc w:val="center"/>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10</w:t>
            </w:r>
          </w:p>
        </w:tc>
      </w:tr>
      <w:tr w:rsidR="008C6725" w:rsidRPr="00E847CE" w:rsidTr="00802E2B">
        <w:trPr>
          <w:trHeight w:val="300"/>
          <w:jc w:val="center"/>
        </w:trPr>
        <w:tc>
          <w:tcPr>
            <w:tcW w:w="2263"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Total general</w:t>
            </w:r>
          </w:p>
        </w:tc>
        <w:tc>
          <w:tcPr>
            <w:tcW w:w="917" w:type="dxa"/>
            <w:shd w:val="clear" w:color="auto" w:fill="auto"/>
            <w:noWrap/>
            <w:vAlign w:val="bottom"/>
            <w:hideMark/>
          </w:tcPr>
          <w:p w:rsidR="008C6725" w:rsidRPr="00E847CE" w:rsidRDefault="008C6725" w:rsidP="00802E2B">
            <w:pPr>
              <w:spacing w:line="276" w:lineRule="auto"/>
              <w:jc w:val="center"/>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18</w:t>
            </w:r>
          </w:p>
        </w:tc>
      </w:tr>
    </w:tbl>
    <w:p w:rsidR="008C6725" w:rsidRPr="00171404" w:rsidRDefault="008C6725" w:rsidP="008C6725">
      <w:pPr>
        <w:ind w:left="1701"/>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20"/>
          <w:szCs w:val="20"/>
        </w:rPr>
        <w:t xml:space="preserve">     </w:t>
      </w:r>
      <w:r w:rsidRPr="00171404">
        <w:rPr>
          <w:rFonts w:asciiTheme="minorHAnsi" w:hAnsiTheme="minorHAnsi" w:cstheme="minorHAnsi"/>
          <w:color w:val="000000" w:themeColor="text1"/>
          <w:sz w:val="18"/>
          <w:szCs w:val="18"/>
        </w:rPr>
        <w:t>Fuente: Innovos Group en base a datos provistos por CONACYT.</w:t>
      </w:r>
    </w:p>
    <w:p w:rsidR="008C6725" w:rsidRPr="00171404" w:rsidRDefault="008C6725" w:rsidP="008C6725">
      <w:pPr>
        <w:spacing w:line="276" w:lineRule="auto"/>
        <w:ind w:left="993" w:firstLine="708"/>
        <w:jc w:val="both"/>
        <w:rPr>
          <w:rFonts w:asciiTheme="minorHAnsi" w:hAnsiTheme="minorHAnsi" w:cstheme="minorHAnsi"/>
          <w:color w:val="000000" w:themeColor="text1"/>
          <w:sz w:val="18"/>
          <w:szCs w:val="18"/>
          <w:lang w:val="es-ES_tradnl" w:eastAsia="en-US"/>
        </w:rPr>
      </w:pPr>
      <w:r w:rsidRPr="00171404">
        <w:rPr>
          <w:rFonts w:asciiTheme="minorHAnsi" w:hAnsiTheme="minorHAnsi" w:cstheme="minorHAnsi"/>
          <w:color w:val="000000" w:themeColor="text1"/>
          <w:sz w:val="18"/>
          <w:szCs w:val="18"/>
          <w:lang w:eastAsia="en-US"/>
        </w:rPr>
        <w:t xml:space="preserve">     </w:t>
      </w:r>
      <w:r w:rsidRPr="00171404">
        <w:rPr>
          <w:rFonts w:asciiTheme="minorHAnsi" w:hAnsiTheme="minorHAnsi" w:cstheme="minorHAnsi"/>
          <w:color w:val="000000" w:themeColor="text1"/>
          <w:sz w:val="18"/>
          <w:szCs w:val="18"/>
          <w:lang w:val="es-ES_tradnl" w:eastAsia="en-US"/>
        </w:rPr>
        <w:t xml:space="preserve"> (No incluye proyecto PR9-INN06, aprobado pero no ejecutado)</w:t>
      </w:r>
    </w:p>
    <w:p w:rsidR="008C6725" w:rsidRPr="00E847CE" w:rsidRDefault="008C6725" w:rsidP="008C6725">
      <w:pPr>
        <w:tabs>
          <w:tab w:val="left" w:pos="935"/>
          <w:tab w:val="left" w:pos="1735"/>
          <w:tab w:val="left" w:pos="8015"/>
        </w:tabs>
        <w:spacing w:after="200" w:line="276" w:lineRule="auto"/>
        <w:ind w:left="55"/>
        <w:jc w:val="both"/>
        <w:rPr>
          <w:rFonts w:asciiTheme="minorHAnsi" w:eastAsia="Times New Roman" w:hAnsiTheme="minorHAnsi" w:cstheme="minorHAnsi"/>
          <w:color w:val="000000"/>
        </w:rPr>
      </w:pPr>
      <w:r w:rsidRPr="00E847CE">
        <w:rPr>
          <w:rFonts w:asciiTheme="minorHAnsi" w:hAnsiTheme="minorHAnsi" w:cstheme="minorHAnsi"/>
          <w:color w:val="000000" w:themeColor="text1"/>
        </w:rPr>
        <w:t xml:space="preserve">Se realizó una corrección </w:t>
      </w:r>
      <w:r w:rsidRPr="00E847CE">
        <w:rPr>
          <w:rFonts w:asciiTheme="minorHAnsi" w:eastAsia="Times New Roman" w:hAnsiTheme="minorHAnsi" w:cstheme="minorHAnsi"/>
          <w:color w:val="000000"/>
        </w:rPr>
        <w:t>respecto del proyecto PR-09-INN-27, “Incorporación de tecnología para el desarrollo del negocio de fabricación de vehículos aéreos no tripulados VANT”. Desde el punto de vista formal, este proyecto fue ejecutado por la empresa “Casa Boller S.A.”, empres</w:t>
      </w:r>
      <w:r>
        <w:rPr>
          <w:rFonts w:asciiTheme="minorHAnsi" w:eastAsia="Times New Roman" w:hAnsiTheme="minorHAnsi" w:cstheme="minorHAnsi"/>
          <w:color w:val="000000"/>
        </w:rPr>
        <w:t xml:space="preserve">a representante de los grandes </w:t>
      </w:r>
      <w:r w:rsidRPr="00E847CE">
        <w:rPr>
          <w:rFonts w:asciiTheme="minorHAnsi" w:eastAsia="Times New Roman" w:hAnsiTheme="minorHAnsi" w:cstheme="minorHAnsi"/>
          <w:color w:val="000000"/>
        </w:rPr>
        <w:t>laboratorios Roche y Novatis. Esta empresa factura del orden de los 7 millones de dólares anuales. Sin embargo, la realidad es que esta empresa solamente actúa como ejecutor formal ya que e</w:t>
      </w:r>
      <w:r>
        <w:rPr>
          <w:rFonts w:asciiTheme="minorHAnsi" w:eastAsia="Times New Roman" w:hAnsiTheme="minorHAnsi" w:cstheme="minorHAnsi"/>
          <w:color w:val="000000"/>
        </w:rPr>
        <w:t xml:space="preserve">l proyecto es ejecutado por un </w:t>
      </w:r>
      <w:r w:rsidRPr="00E847CE">
        <w:rPr>
          <w:rFonts w:asciiTheme="minorHAnsi" w:eastAsia="Times New Roman" w:hAnsiTheme="minorHAnsi" w:cstheme="minorHAnsi"/>
          <w:color w:val="000000"/>
        </w:rPr>
        <w:t>grupo de personas que, no teniendo una empresa con el tiempo de existencia necesario para postular, consiguieron el patrocinio de Casa Boller. En la realidad se trata por tanto de un emprendimiento que se ha catalogado como empresa pequeña para los fines del análisis.</w:t>
      </w:r>
    </w:p>
    <w:p w:rsidR="008C6725" w:rsidRPr="000105EE" w:rsidRDefault="008C6725" w:rsidP="008C6725">
      <w:pPr>
        <w:tabs>
          <w:tab w:val="left" w:pos="935"/>
          <w:tab w:val="left" w:pos="1735"/>
          <w:tab w:val="left" w:pos="8015"/>
        </w:tabs>
        <w:spacing w:after="200" w:line="276" w:lineRule="auto"/>
        <w:ind w:left="55"/>
        <w:jc w:val="both"/>
        <w:rPr>
          <w:rFonts w:asciiTheme="minorHAnsi" w:hAnsiTheme="minorHAnsi" w:cstheme="minorHAnsi"/>
          <w:color w:val="000000" w:themeColor="text1"/>
        </w:rPr>
      </w:pPr>
      <w:r w:rsidRPr="000105EE">
        <w:rPr>
          <w:rFonts w:asciiTheme="minorHAnsi" w:hAnsiTheme="minorHAnsi" w:cstheme="minorHAnsi"/>
          <w:color w:val="000000" w:themeColor="text1"/>
        </w:rPr>
        <w:t>Se destaca que la mitad de los proyectos aprobados tienen como ejecutor a una empresa pequeña.</w:t>
      </w:r>
    </w:p>
    <w:p w:rsidR="008C6725" w:rsidRPr="000105EE" w:rsidRDefault="008C6725" w:rsidP="008C6725">
      <w:pPr>
        <w:tabs>
          <w:tab w:val="left" w:pos="935"/>
          <w:tab w:val="left" w:pos="1735"/>
          <w:tab w:val="left" w:pos="8015"/>
        </w:tabs>
        <w:spacing w:after="200" w:line="276" w:lineRule="auto"/>
        <w:ind w:left="55"/>
        <w:jc w:val="both"/>
        <w:rPr>
          <w:rFonts w:asciiTheme="minorHAnsi" w:hAnsiTheme="minorHAnsi" w:cstheme="minorHAnsi"/>
          <w:color w:val="000000" w:themeColor="text1"/>
        </w:rPr>
      </w:pPr>
      <w:r w:rsidRPr="000105EE">
        <w:rPr>
          <w:rFonts w:asciiTheme="minorHAnsi" w:hAnsiTheme="minorHAnsi" w:cstheme="minorHAnsi"/>
          <w:color w:val="000000" w:themeColor="text1"/>
        </w:rPr>
        <w:t>Para la caracterización de las empresas ejecutoras como “innovadoras” o “tradicionales” se utilizó una subdivisión de la calificación de innovadora en dos categorías, basadas en el Manual de Bogotá</w:t>
      </w:r>
      <w:r w:rsidRPr="000105EE">
        <w:rPr>
          <w:rStyle w:val="FootnoteReference"/>
          <w:rFonts w:asciiTheme="minorHAnsi" w:hAnsiTheme="minorHAnsi" w:cstheme="minorHAnsi"/>
          <w:color w:val="000000" w:themeColor="text1"/>
        </w:rPr>
        <w:footnoteReference w:id="19"/>
      </w:r>
      <w:r w:rsidRPr="000105EE">
        <w:rPr>
          <w:rFonts w:asciiTheme="minorHAnsi" w:hAnsiTheme="minorHAnsi" w:cstheme="minorHAnsi"/>
          <w:color w:val="000000" w:themeColor="text1"/>
        </w:rPr>
        <w:t>.</w:t>
      </w:r>
    </w:p>
    <w:p w:rsidR="008C6725" w:rsidRPr="000105EE" w:rsidRDefault="008C6725" w:rsidP="008C6725">
      <w:pPr>
        <w:tabs>
          <w:tab w:val="left" w:pos="935"/>
          <w:tab w:val="left" w:pos="1735"/>
          <w:tab w:val="left" w:pos="8015"/>
        </w:tabs>
        <w:spacing w:after="200" w:line="276" w:lineRule="auto"/>
        <w:ind w:left="55"/>
        <w:jc w:val="both"/>
        <w:rPr>
          <w:rFonts w:asciiTheme="minorHAnsi" w:hAnsiTheme="minorHAnsi" w:cstheme="minorHAnsi"/>
          <w:color w:val="000000" w:themeColor="text1"/>
        </w:rPr>
      </w:pPr>
      <w:r w:rsidRPr="000105EE">
        <w:rPr>
          <w:rFonts w:asciiTheme="minorHAnsi" w:hAnsiTheme="minorHAnsi" w:cstheme="minorHAnsi"/>
          <w:color w:val="000000" w:themeColor="text1"/>
        </w:rPr>
        <w:t>Dicho Manual distingue en la empresa entre, por una parte, la innovación “I+D”</w:t>
      </w:r>
      <w:r w:rsidRPr="000105EE">
        <w:rPr>
          <w:rStyle w:val="FootnoteReference"/>
          <w:rFonts w:asciiTheme="minorHAnsi" w:hAnsiTheme="minorHAnsi" w:cstheme="minorHAnsi"/>
          <w:color w:val="000000" w:themeColor="text1"/>
        </w:rPr>
        <w:footnoteReference w:id="20"/>
      </w:r>
      <w:r w:rsidRPr="000105EE">
        <w:rPr>
          <w:rFonts w:asciiTheme="minorHAnsi" w:hAnsiTheme="minorHAnsi" w:cstheme="minorHAnsi"/>
          <w:color w:val="000000" w:themeColor="text1"/>
        </w:rPr>
        <w:t xml:space="preserve"> que implica un trabajo creativo de desarrollo de productos y procesos y por otra parte, los </w:t>
      </w:r>
      <w:r w:rsidRPr="000105EE">
        <w:rPr>
          <w:rFonts w:asciiTheme="minorHAnsi" w:hAnsiTheme="minorHAnsi" w:cstheme="minorHAnsi"/>
          <w:color w:val="000000" w:themeColor="text1"/>
        </w:rPr>
        <w:lastRenderedPageBreak/>
        <w:t>“esfuerzos de innovación”</w:t>
      </w:r>
      <w:r w:rsidRPr="000105EE">
        <w:rPr>
          <w:rStyle w:val="FootnoteReference"/>
          <w:rFonts w:asciiTheme="minorHAnsi" w:hAnsiTheme="minorHAnsi" w:cstheme="minorHAnsi"/>
          <w:color w:val="000000" w:themeColor="text1"/>
        </w:rPr>
        <w:footnoteReference w:id="21"/>
      </w:r>
      <w:r w:rsidRPr="000105EE">
        <w:rPr>
          <w:rFonts w:asciiTheme="minorHAnsi" w:hAnsiTheme="minorHAnsi" w:cstheme="minorHAnsi"/>
          <w:color w:val="000000" w:themeColor="text1"/>
        </w:rPr>
        <w:t xml:space="preserve"> que implican incorporación en la empresa de tecnologías desarrolladas por terceros.</w:t>
      </w:r>
    </w:p>
    <w:p w:rsidR="008C6725" w:rsidRPr="000105EE" w:rsidRDefault="008C6725" w:rsidP="008C6725">
      <w:pPr>
        <w:tabs>
          <w:tab w:val="left" w:pos="935"/>
          <w:tab w:val="left" w:pos="1735"/>
          <w:tab w:val="left" w:pos="8015"/>
        </w:tabs>
        <w:spacing w:after="200" w:line="276" w:lineRule="auto"/>
        <w:ind w:left="55"/>
        <w:jc w:val="both"/>
        <w:rPr>
          <w:rFonts w:asciiTheme="minorHAnsi" w:hAnsiTheme="minorHAnsi" w:cstheme="minorHAnsi"/>
          <w:color w:val="000000" w:themeColor="text1"/>
          <w:lang w:val="es-AR"/>
        </w:rPr>
      </w:pPr>
      <w:r w:rsidRPr="000105EE">
        <w:rPr>
          <w:rFonts w:asciiTheme="minorHAnsi" w:hAnsiTheme="minorHAnsi" w:cstheme="minorHAnsi"/>
          <w:color w:val="000000" w:themeColor="text1"/>
          <w:lang w:val="es-AR"/>
        </w:rPr>
        <w:t>En la tabla siguiente, las empresas que realizan innovación con desarrollo creativo interno se catalogan como “innovadora desarrolladora”</w:t>
      </w:r>
      <w:r>
        <w:rPr>
          <w:rFonts w:asciiTheme="minorHAnsi" w:hAnsiTheme="minorHAnsi" w:cstheme="minorHAnsi"/>
          <w:color w:val="000000" w:themeColor="text1"/>
          <w:lang w:val="es-AR"/>
        </w:rPr>
        <w:t xml:space="preserve">. </w:t>
      </w:r>
      <w:r w:rsidRPr="000105EE">
        <w:rPr>
          <w:rFonts w:asciiTheme="minorHAnsi" w:hAnsiTheme="minorHAnsi" w:cstheme="minorHAnsi"/>
          <w:color w:val="000000" w:themeColor="text1"/>
          <w:lang w:val="es-AR"/>
        </w:rPr>
        <w:t>Las empresas que incorporan innovación cuyo desarrollo es externo, se catalogan como “innovadora adoptiva”, independientemente si dicho desarrollo fue contratado ad hoc para la empresa o si forma parte de un paquete tecnológico pre-existente.</w:t>
      </w:r>
    </w:p>
    <w:p w:rsidR="008C6725" w:rsidRPr="000105EE" w:rsidRDefault="006F1343" w:rsidP="008C6725">
      <w:pPr>
        <w:tabs>
          <w:tab w:val="left" w:pos="935"/>
          <w:tab w:val="left" w:pos="1735"/>
          <w:tab w:val="left" w:pos="8015"/>
        </w:tabs>
        <w:spacing w:after="200" w:line="276" w:lineRule="auto"/>
        <w:ind w:left="55"/>
        <w:jc w:val="center"/>
        <w:rPr>
          <w:rFonts w:asciiTheme="minorHAnsi" w:hAnsiTheme="minorHAnsi" w:cstheme="minorHAnsi"/>
          <w:b/>
          <w:color w:val="000000" w:themeColor="text1"/>
          <w:lang w:val="es-AR"/>
        </w:rPr>
      </w:pPr>
      <w:r>
        <w:rPr>
          <w:rFonts w:asciiTheme="minorHAnsi" w:hAnsiTheme="minorHAnsi" w:cstheme="minorHAnsi"/>
          <w:b/>
          <w:color w:val="000000" w:themeColor="text1"/>
          <w:lang w:val="es-AR"/>
        </w:rPr>
        <w:t>Tabla 5.9</w:t>
      </w:r>
      <w:r w:rsidR="008C6725">
        <w:rPr>
          <w:rFonts w:asciiTheme="minorHAnsi" w:hAnsiTheme="minorHAnsi" w:cstheme="minorHAnsi"/>
          <w:b/>
          <w:color w:val="000000" w:themeColor="text1"/>
          <w:lang w:val="es-AR"/>
        </w:rPr>
        <w:t>.</w:t>
      </w:r>
      <w:r w:rsidR="008C6725" w:rsidRPr="000105EE">
        <w:rPr>
          <w:rFonts w:asciiTheme="minorHAnsi" w:hAnsiTheme="minorHAnsi" w:cstheme="minorHAnsi"/>
          <w:b/>
          <w:color w:val="000000" w:themeColor="text1"/>
          <w:lang w:val="es-AR"/>
        </w:rPr>
        <w:t xml:space="preserve"> Apreciación del tipo de empresas innovadora</w:t>
      </w:r>
    </w:p>
    <w:tbl>
      <w:tblPr>
        <w:tblW w:w="7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0"/>
        <w:gridCol w:w="1860"/>
        <w:gridCol w:w="3440"/>
      </w:tblGrid>
      <w:tr w:rsidR="008C6725" w:rsidRPr="00AF0BE4" w:rsidTr="00802E2B">
        <w:trPr>
          <w:jc w:val="center"/>
        </w:trPr>
        <w:tc>
          <w:tcPr>
            <w:tcW w:w="2600" w:type="dxa"/>
            <w:shd w:val="clear" w:color="auto" w:fill="0F243E" w:themeFill="text2" w:themeFillShade="80"/>
            <w:hideMark/>
          </w:tcPr>
          <w:p w:rsidR="008C6725" w:rsidRPr="00AF0BE4" w:rsidRDefault="008C6725" w:rsidP="00802E2B">
            <w:pPr>
              <w:spacing w:line="276" w:lineRule="auto"/>
              <w:jc w:val="center"/>
              <w:rPr>
                <w:rFonts w:asciiTheme="minorHAnsi" w:eastAsia="Times New Roman" w:hAnsiTheme="minorHAnsi" w:cstheme="minorHAnsi"/>
                <w:b/>
                <w:color w:val="FFFFFF" w:themeColor="background1"/>
                <w:sz w:val="20"/>
                <w:szCs w:val="20"/>
              </w:rPr>
            </w:pPr>
            <w:r w:rsidRPr="00AF0BE4">
              <w:rPr>
                <w:rFonts w:asciiTheme="minorHAnsi" w:eastAsia="Times New Roman" w:hAnsiTheme="minorHAnsi" w:cstheme="minorHAnsi"/>
                <w:b/>
                <w:color w:val="FFFFFF" w:themeColor="background1"/>
                <w:sz w:val="20"/>
                <w:szCs w:val="20"/>
              </w:rPr>
              <w:t>Empresa</w:t>
            </w:r>
          </w:p>
        </w:tc>
        <w:tc>
          <w:tcPr>
            <w:tcW w:w="1860" w:type="dxa"/>
            <w:shd w:val="clear" w:color="auto" w:fill="0F243E" w:themeFill="text2" w:themeFillShade="80"/>
            <w:hideMark/>
          </w:tcPr>
          <w:p w:rsidR="008C6725" w:rsidRPr="00AF0BE4" w:rsidRDefault="008C6725" w:rsidP="00802E2B">
            <w:pPr>
              <w:spacing w:line="276" w:lineRule="auto"/>
              <w:jc w:val="center"/>
              <w:rPr>
                <w:rFonts w:asciiTheme="minorHAnsi" w:eastAsia="Times New Roman" w:hAnsiTheme="minorHAnsi" w:cstheme="minorHAnsi"/>
                <w:b/>
                <w:bCs/>
                <w:color w:val="FFFFFF" w:themeColor="background1"/>
                <w:sz w:val="20"/>
                <w:szCs w:val="20"/>
              </w:rPr>
            </w:pPr>
            <w:r w:rsidRPr="00AF0BE4">
              <w:rPr>
                <w:rFonts w:asciiTheme="minorHAnsi" w:eastAsia="Times New Roman" w:hAnsiTheme="minorHAnsi" w:cstheme="minorHAnsi"/>
                <w:b/>
                <w:bCs/>
                <w:color w:val="FFFFFF" w:themeColor="background1"/>
                <w:sz w:val="20"/>
                <w:szCs w:val="20"/>
              </w:rPr>
              <w:t>Código del Proyecto</w:t>
            </w:r>
          </w:p>
        </w:tc>
        <w:tc>
          <w:tcPr>
            <w:tcW w:w="3440" w:type="dxa"/>
            <w:shd w:val="clear" w:color="auto" w:fill="0F243E" w:themeFill="text2" w:themeFillShade="80"/>
            <w:hideMark/>
          </w:tcPr>
          <w:p w:rsidR="008C6725" w:rsidRPr="00AF0BE4" w:rsidRDefault="008C6725" w:rsidP="00802E2B">
            <w:pPr>
              <w:spacing w:line="276" w:lineRule="auto"/>
              <w:jc w:val="center"/>
              <w:rPr>
                <w:rFonts w:asciiTheme="minorHAnsi" w:eastAsia="Times New Roman" w:hAnsiTheme="minorHAnsi" w:cstheme="minorHAnsi"/>
                <w:b/>
                <w:bCs/>
                <w:color w:val="FFFFFF" w:themeColor="background1"/>
                <w:sz w:val="20"/>
                <w:szCs w:val="20"/>
              </w:rPr>
            </w:pPr>
            <w:r>
              <w:rPr>
                <w:rFonts w:asciiTheme="minorHAnsi" w:eastAsia="Times New Roman" w:hAnsiTheme="minorHAnsi" w:cstheme="minorHAnsi"/>
                <w:b/>
                <w:bCs/>
                <w:color w:val="FFFFFF" w:themeColor="background1"/>
                <w:sz w:val="20"/>
                <w:szCs w:val="20"/>
              </w:rPr>
              <w:t>T</w:t>
            </w:r>
            <w:r w:rsidRPr="00AF0BE4">
              <w:rPr>
                <w:rFonts w:asciiTheme="minorHAnsi" w:eastAsia="Times New Roman" w:hAnsiTheme="minorHAnsi" w:cstheme="minorHAnsi"/>
                <w:b/>
                <w:bCs/>
                <w:color w:val="FFFFFF" w:themeColor="background1"/>
                <w:sz w:val="20"/>
                <w:szCs w:val="20"/>
              </w:rPr>
              <w:t>ipo de empresa innovadora</w:t>
            </w:r>
          </w:p>
        </w:tc>
      </w:tr>
      <w:tr w:rsidR="008C6725" w:rsidRPr="00E847CE" w:rsidTr="00802E2B">
        <w:trPr>
          <w:jc w:val="center"/>
        </w:trPr>
        <w:tc>
          <w:tcPr>
            <w:tcW w:w="2600" w:type="dxa"/>
            <w:shd w:val="clear" w:color="auto" w:fill="auto"/>
            <w:noWrap/>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ACHON</w:t>
            </w:r>
          </w:p>
        </w:tc>
        <w:tc>
          <w:tcPr>
            <w:tcW w:w="1860" w:type="dxa"/>
            <w:shd w:val="clear" w:color="auto" w:fill="auto"/>
            <w:vAlign w:val="center"/>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PR-10-INN-34</w:t>
            </w:r>
          </w:p>
        </w:tc>
        <w:tc>
          <w:tcPr>
            <w:tcW w:w="3440"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innovadora adoptiva</w:t>
            </w:r>
          </w:p>
        </w:tc>
      </w:tr>
      <w:tr w:rsidR="008C6725" w:rsidRPr="00E847CE" w:rsidTr="005830C2">
        <w:trPr>
          <w:trHeight w:val="70"/>
          <w:jc w:val="center"/>
        </w:trPr>
        <w:tc>
          <w:tcPr>
            <w:tcW w:w="2600" w:type="dxa"/>
            <w:shd w:val="clear" w:color="auto" w:fill="auto"/>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AGROFUTURO</w:t>
            </w:r>
          </w:p>
        </w:tc>
        <w:tc>
          <w:tcPr>
            <w:tcW w:w="1860" w:type="dxa"/>
            <w:shd w:val="clear" w:color="auto" w:fill="auto"/>
            <w:vAlign w:val="center"/>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PR-09-INN-17</w:t>
            </w:r>
          </w:p>
        </w:tc>
        <w:tc>
          <w:tcPr>
            <w:tcW w:w="3440"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innovadora desarrolladora</w:t>
            </w:r>
          </w:p>
        </w:tc>
      </w:tr>
      <w:tr w:rsidR="008C6725" w:rsidRPr="00E847CE" w:rsidTr="00802E2B">
        <w:trPr>
          <w:jc w:val="center"/>
        </w:trPr>
        <w:tc>
          <w:tcPr>
            <w:tcW w:w="2600" w:type="dxa"/>
            <w:shd w:val="clear" w:color="auto" w:fill="auto"/>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 xml:space="preserve">CASA BOLLER </w:t>
            </w:r>
          </w:p>
        </w:tc>
        <w:tc>
          <w:tcPr>
            <w:tcW w:w="1860" w:type="dxa"/>
            <w:shd w:val="clear" w:color="auto" w:fill="auto"/>
            <w:vAlign w:val="center"/>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PR-09-INN-27</w:t>
            </w:r>
          </w:p>
        </w:tc>
        <w:tc>
          <w:tcPr>
            <w:tcW w:w="3440"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innovadora desarrolladora</w:t>
            </w:r>
          </w:p>
        </w:tc>
      </w:tr>
      <w:tr w:rsidR="008C6725" w:rsidRPr="00E847CE" w:rsidTr="00802E2B">
        <w:trPr>
          <w:jc w:val="center"/>
        </w:trPr>
        <w:tc>
          <w:tcPr>
            <w:tcW w:w="2600" w:type="dxa"/>
            <w:shd w:val="clear" w:color="auto" w:fill="auto"/>
            <w:noWrap/>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CEDIAL</w:t>
            </w:r>
          </w:p>
        </w:tc>
        <w:tc>
          <w:tcPr>
            <w:tcW w:w="1860" w:type="dxa"/>
            <w:shd w:val="clear" w:color="auto" w:fill="auto"/>
            <w:vAlign w:val="center"/>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PR-09-INN-21</w:t>
            </w:r>
          </w:p>
        </w:tc>
        <w:tc>
          <w:tcPr>
            <w:tcW w:w="3440"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innovadora adoptiva</w:t>
            </w:r>
          </w:p>
        </w:tc>
      </w:tr>
      <w:tr w:rsidR="008C6725" w:rsidRPr="00E847CE" w:rsidTr="00802E2B">
        <w:trPr>
          <w:jc w:val="center"/>
        </w:trPr>
        <w:tc>
          <w:tcPr>
            <w:tcW w:w="2600" w:type="dxa"/>
            <w:shd w:val="clear" w:color="auto" w:fill="auto"/>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CHEMTEC S.A.E</w:t>
            </w:r>
          </w:p>
        </w:tc>
        <w:tc>
          <w:tcPr>
            <w:tcW w:w="1860" w:type="dxa"/>
            <w:shd w:val="clear" w:color="auto" w:fill="auto"/>
            <w:vAlign w:val="center"/>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PR-09-INN-13</w:t>
            </w:r>
          </w:p>
        </w:tc>
        <w:tc>
          <w:tcPr>
            <w:tcW w:w="3440"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innovadora desarrolladora</w:t>
            </w:r>
          </w:p>
        </w:tc>
      </w:tr>
      <w:tr w:rsidR="008C6725" w:rsidRPr="00E847CE" w:rsidTr="00802E2B">
        <w:trPr>
          <w:jc w:val="center"/>
        </w:trPr>
        <w:tc>
          <w:tcPr>
            <w:tcW w:w="2600" w:type="dxa"/>
            <w:shd w:val="clear" w:color="auto" w:fill="auto"/>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 xml:space="preserve">COMPUTER PLUS </w:t>
            </w:r>
          </w:p>
        </w:tc>
        <w:tc>
          <w:tcPr>
            <w:tcW w:w="1860" w:type="dxa"/>
            <w:shd w:val="clear" w:color="auto" w:fill="auto"/>
            <w:vAlign w:val="center"/>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PR-10-INN-39</w:t>
            </w:r>
          </w:p>
        </w:tc>
        <w:tc>
          <w:tcPr>
            <w:tcW w:w="3440"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innovadora adoptiva</w:t>
            </w:r>
          </w:p>
        </w:tc>
      </w:tr>
      <w:tr w:rsidR="008C6725" w:rsidRPr="00E847CE" w:rsidTr="00802E2B">
        <w:trPr>
          <w:jc w:val="center"/>
        </w:trPr>
        <w:tc>
          <w:tcPr>
            <w:tcW w:w="2600" w:type="dxa"/>
            <w:shd w:val="clear" w:color="auto" w:fill="auto"/>
            <w:noWrap/>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DATA SYSTEMS</w:t>
            </w:r>
          </w:p>
        </w:tc>
        <w:tc>
          <w:tcPr>
            <w:tcW w:w="1860" w:type="dxa"/>
            <w:shd w:val="clear" w:color="auto" w:fill="auto"/>
            <w:vAlign w:val="center"/>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PR-09-INN-28</w:t>
            </w:r>
          </w:p>
        </w:tc>
        <w:tc>
          <w:tcPr>
            <w:tcW w:w="3440"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innovadora desarrolladora</w:t>
            </w:r>
          </w:p>
        </w:tc>
      </w:tr>
      <w:tr w:rsidR="008C6725" w:rsidRPr="00E847CE" w:rsidTr="00802E2B">
        <w:trPr>
          <w:jc w:val="center"/>
        </w:trPr>
        <w:tc>
          <w:tcPr>
            <w:tcW w:w="2600" w:type="dxa"/>
            <w:shd w:val="clear" w:color="auto" w:fill="auto"/>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DESTILERIA MUSSI</w:t>
            </w:r>
          </w:p>
        </w:tc>
        <w:tc>
          <w:tcPr>
            <w:tcW w:w="1860" w:type="dxa"/>
            <w:shd w:val="clear" w:color="auto" w:fill="auto"/>
            <w:vAlign w:val="center"/>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PR-10-INN-33</w:t>
            </w:r>
          </w:p>
        </w:tc>
        <w:tc>
          <w:tcPr>
            <w:tcW w:w="3440"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innovadora adoptiva</w:t>
            </w:r>
          </w:p>
        </w:tc>
      </w:tr>
      <w:tr w:rsidR="008C6725" w:rsidRPr="00E847CE" w:rsidTr="00802E2B">
        <w:trPr>
          <w:jc w:val="center"/>
        </w:trPr>
        <w:tc>
          <w:tcPr>
            <w:tcW w:w="2600" w:type="dxa"/>
            <w:shd w:val="clear" w:color="auto" w:fill="auto"/>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 xml:space="preserve">ENVING S.R.L </w:t>
            </w:r>
          </w:p>
        </w:tc>
        <w:tc>
          <w:tcPr>
            <w:tcW w:w="1860" w:type="dxa"/>
            <w:shd w:val="clear" w:color="auto" w:fill="auto"/>
            <w:vAlign w:val="center"/>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PR-11-INN-41</w:t>
            </w:r>
          </w:p>
        </w:tc>
        <w:tc>
          <w:tcPr>
            <w:tcW w:w="3440"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innovadora desarrolladora</w:t>
            </w:r>
          </w:p>
        </w:tc>
      </w:tr>
      <w:tr w:rsidR="008C6725" w:rsidRPr="00E847CE" w:rsidTr="00802E2B">
        <w:trPr>
          <w:jc w:val="center"/>
        </w:trPr>
        <w:tc>
          <w:tcPr>
            <w:tcW w:w="2600" w:type="dxa"/>
            <w:shd w:val="clear" w:color="auto" w:fill="auto"/>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 xml:space="preserve">FABRIPAR S.A </w:t>
            </w:r>
          </w:p>
        </w:tc>
        <w:tc>
          <w:tcPr>
            <w:tcW w:w="1860" w:type="dxa"/>
            <w:shd w:val="clear" w:color="auto" w:fill="auto"/>
            <w:vAlign w:val="center"/>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PR-10-INN-35</w:t>
            </w:r>
          </w:p>
        </w:tc>
        <w:tc>
          <w:tcPr>
            <w:tcW w:w="3440"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innovadora desarrolladora</w:t>
            </w:r>
          </w:p>
        </w:tc>
      </w:tr>
      <w:tr w:rsidR="008C6725" w:rsidRPr="00E847CE" w:rsidTr="00802E2B">
        <w:trPr>
          <w:jc w:val="center"/>
        </w:trPr>
        <w:tc>
          <w:tcPr>
            <w:tcW w:w="2600" w:type="dxa"/>
            <w:shd w:val="clear" w:color="auto" w:fill="auto"/>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 xml:space="preserve">FRIGORIFICO GUARANI </w:t>
            </w:r>
          </w:p>
        </w:tc>
        <w:tc>
          <w:tcPr>
            <w:tcW w:w="1860" w:type="dxa"/>
            <w:shd w:val="clear" w:color="auto" w:fill="auto"/>
            <w:vAlign w:val="center"/>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PR-09-INN-20</w:t>
            </w:r>
          </w:p>
        </w:tc>
        <w:tc>
          <w:tcPr>
            <w:tcW w:w="3440"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innovadora adoptiva</w:t>
            </w:r>
          </w:p>
        </w:tc>
      </w:tr>
      <w:tr w:rsidR="008C6725" w:rsidRPr="00E847CE" w:rsidTr="00802E2B">
        <w:trPr>
          <w:jc w:val="center"/>
        </w:trPr>
        <w:tc>
          <w:tcPr>
            <w:tcW w:w="2600"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MOTOPAR</w:t>
            </w:r>
          </w:p>
        </w:tc>
        <w:tc>
          <w:tcPr>
            <w:tcW w:w="1860" w:type="dxa"/>
            <w:shd w:val="clear" w:color="auto" w:fill="auto"/>
            <w:vAlign w:val="center"/>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PR-11-INN-51</w:t>
            </w:r>
          </w:p>
        </w:tc>
        <w:tc>
          <w:tcPr>
            <w:tcW w:w="3440"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innovadora desarrolladora</w:t>
            </w:r>
          </w:p>
        </w:tc>
      </w:tr>
      <w:tr w:rsidR="008C6725" w:rsidRPr="00E847CE" w:rsidTr="00802E2B">
        <w:trPr>
          <w:jc w:val="center"/>
        </w:trPr>
        <w:tc>
          <w:tcPr>
            <w:tcW w:w="2600" w:type="dxa"/>
            <w:shd w:val="clear" w:color="auto" w:fill="auto"/>
            <w:noWrap/>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MULTICONT S.A</w:t>
            </w:r>
          </w:p>
        </w:tc>
        <w:tc>
          <w:tcPr>
            <w:tcW w:w="1860" w:type="dxa"/>
            <w:shd w:val="clear" w:color="auto" w:fill="auto"/>
            <w:vAlign w:val="center"/>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PR-09-INN-25</w:t>
            </w:r>
          </w:p>
        </w:tc>
        <w:tc>
          <w:tcPr>
            <w:tcW w:w="3440"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innovadora desarrolladora</w:t>
            </w:r>
          </w:p>
        </w:tc>
      </w:tr>
      <w:tr w:rsidR="008C6725" w:rsidRPr="00E847CE" w:rsidTr="00802E2B">
        <w:trPr>
          <w:jc w:val="center"/>
        </w:trPr>
        <w:tc>
          <w:tcPr>
            <w:tcW w:w="2600" w:type="dxa"/>
            <w:shd w:val="clear" w:color="auto" w:fill="auto"/>
            <w:noWrap/>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PY TEAS SRL</w:t>
            </w:r>
          </w:p>
        </w:tc>
        <w:tc>
          <w:tcPr>
            <w:tcW w:w="1860" w:type="dxa"/>
            <w:shd w:val="clear" w:color="auto" w:fill="auto"/>
            <w:vAlign w:val="center"/>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PR-09-</w:t>
            </w:r>
            <w:r w:rsidRPr="00E847CE">
              <w:rPr>
                <w:rFonts w:asciiTheme="minorHAnsi" w:eastAsia="Times New Roman" w:hAnsiTheme="minorHAnsi" w:cstheme="minorHAnsi"/>
                <w:color w:val="000000"/>
                <w:sz w:val="20"/>
                <w:szCs w:val="20"/>
              </w:rPr>
              <w:t>INN-16</w:t>
            </w:r>
          </w:p>
        </w:tc>
        <w:tc>
          <w:tcPr>
            <w:tcW w:w="3440"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innovadora desarrolladora</w:t>
            </w:r>
          </w:p>
        </w:tc>
      </w:tr>
      <w:tr w:rsidR="008C6725" w:rsidRPr="00E847CE" w:rsidTr="00802E2B">
        <w:trPr>
          <w:jc w:val="center"/>
        </w:trPr>
        <w:tc>
          <w:tcPr>
            <w:tcW w:w="2600" w:type="dxa"/>
            <w:shd w:val="clear" w:color="auto" w:fill="auto"/>
            <w:noWrap/>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UNICOOP</w:t>
            </w:r>
          </w:p>
        </w:tc>
        <w:tc>
          <w:tcPr>
            <w:tcW w:w="1860" w:type="dxa"/>
            <w:shd w:val="clear" w:color="auto" w:fill="auto"/>
            <w:vAlign w:val="center"/>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PR-10-INN-42</w:t>
            </w:r>
          </w:p>
        </w:tc>
        <w:tc>
          <w:tcPr>
            <w:tcW w:w="3440"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innovadora adoptiva</w:t>
            </w:r>
          </w:p>
        </w:tc>
      </w:tr>
      <w:tr w:rsidR="008C6725" w:rsidRPr="00E847CE" w:rsidTr="00802E2B">
        <w:trPr>
          <w:jc w:val="center"/>
        </w:trPr>
        <w:tc>
          <w:tcPr>
            <w:tcW w:w="2600" w:type="dxa"/>
            <w:shd w:val="clear" w:color="auto" w:fill="auto"/>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Vicente Scavone &amp; Cía - Laboratorios Lasca</w:t>
            </w:r>
          </w:p>
        </w:tc>
        <w:tc>
          <w:tcPr>
            <w:tcW w:w="1860" w:type="dxa"/>
            <w:shd w:val="clear" w:color="auto" w:fill="auto"/>
            <w:vAlign w:val="center"/>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PR-09-</w:t>
            </w:r>
            <w:r w:rsidRPr="00E847CE">
              <w:rPr>
                <w:rFonts w:asciiTheme="minorHAnsi" w:eastAsia="Times New Roman" w:hAnsiTheme="minorHAnsi" w:cstheme="minorHAnsi"/>
                <w:color w:val="000000"/>
                <w:sz w:val="20"/>
                <w:szCs w:val="20"/>
              </w:rPr>
              <w:t>INN-23</w:t>
            </w:r>
          </w:p>
        </w:tc>
        <w:tc>
          <w:tcPr>
            <w:tcW w:w="3440" w:type="dxa"/>
            <w:shd w:val="clear" w:color="auto" w:fill="auto"/>
            <w:noWrap/>
            <w:vAlign w:val="bottom"/>
            <w:hideMark/>
          </w:tcPr>
          <w:p w:rsidR="008C6725" w:rsidRPr="00E847CE" w:rsidRDefault="008C6725" w:rsidP="00802E2B">
            <w:pPr>
              <w:spacing w:line="276" w:lineRule="auto"/>
              <w:jc w:val="both"/>
              <w:rPr>
                <w:rFonts w:asciiTheme="minorHAnsi" w:eastAsia="Times New Roman" w:hAnsiTheme="minorHAnsi" w:cstheme="minorHAnsi"/>
                <w:color w:val="000000"/>
                <w:sz w:val="20"/>
                <w:szCs w:val="20"/>
              </w:rPr>
            </w:pPr>
            <w:r w:rsidRPr="00E847CE">
              <w:rPr>
                <w:rFonts w:asciiTheme="minorHAnsi" w:eastAsia="Times New Roman" w:hAnsiTheme="minorHAnsi" w:cstheme="minorHAnsi"/>
                <w:color w:val="000000"/>
                <w:sz w:val="20"/>
                <w:szCs w:val="20"/>
              </w:rPr>
              <w:t>innovadora desarrolladora</w:t>
            </w:r>
          </w:p>
        </w:tc>
      </w:tr>
    </w:tbl>
    <w:p w:rsidR="008C6725" w:rsidRPr="00171404" w:rsidRDefault="008C6725" w:rsidP="008C6725">
      <w:pPr>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20"/>
          <w:szCs w:val="20"/>
        </w:rPr>
        <w:t xml:space="preserve">          </w:t>
      </w:r>
      <w:r w:rsidRPr="00171404">
        <w:rPr>
          <w:rFonts w:asciiTheme="minorHAnsi" w:hAnsiTheme="minorHAnsi" w:cstheme="minorHAnsi"/>
          <w:color w:val="000000" w:themeColor="text1"/>
          <w:sz w:val="18"/>
          <w:szCs w:val="18"/>
        </w:rPr>
        <w:t>Fuente: Innovos Group en base a datos provistos por CONACYT.</w:t>
      </w:r>
    </w:p>
    <w:p w:rsidR="008C6725" w:rsidRPr="00171404" w:rsidRDefault="008C6725" w:rsidP="008C6725">
      <w:pPr>
        <w:tabs>
          <w:tab w:val="left" w:pos="935"/>
          <w:tab w:val="left" w:pos="1735"/>
          <w:tab w:val="left" w:pos="8015"/>
        </w:tabs>
        <w:spacing w:after="200" w:line="276" w:lineRule="auto"/>
        <w:ind w:left="426"/>
        <w:jc w:val="both"/>
        <w:rPr>
          <w:rFonts w:asciiTheme="minorHAnsi" w:hAnsiTheme="minorHAnsi" w:cstheme="minorHAnsi"/>
          <w:color w:val="000000" w:themeColor="text1"/>
          <w:sz w:val="18"/>
          <w:szCs w:val="18"/>
        </w:rPr>
      </w:pPr>
      <w:r w:rsidRPr="00171404">
        <w:rPr>
          <w:rFonts w:asciiTheme="minorHAnsi" w:hAnsiTheme="minorHAnsi" w:cstheme="minorHAnsi"/>
          <w:color w:val="000000" w:themeColor="text1"/>
          <w:sz w:val="18"/>
          <w:szCs w:val="18"/>
        </w:rPr>
        <w:t xml:space="preserve">Nota: no se considera en esta tabla la empresa TEX S.R.L. asociada en el proyecto INN-08 “Sistema de Supervisión del Cobro de Pasaje y Localización de Flota” ya que dicho proyecto fue formulado y ejecutado por la Universidad Católica de Asunción. De acuerdo a los antecedentes recopilados, la participación de la empresa en </w:t>
      </w:r>
      <w:r>
        <w:rPr>
          <w:rFonts w:asciiTheme="minorHAnsi" w:hAnsiTheme="minorHAnsi" w:cstheme="minorHAnsi"/>
          <w:color w:val="000000" w:themeColor="text1"/>
          <w:sz w:val="18"/>
          <w:szCs w:val="18"/>
        </w:rPr>
        <w:t>el proyecto no ha sido efectiva</w:t>
      </w:r>
    </w:p>
    <w:p w:rsidR="008C6725" w:rsidRPr="000105EE" w:rsidRDefault="008C6725" w:rsidP="008C6725">
      <w:pPr>
        <w:tabs>
          <w:tab w:val="left" w:pos="935"/>
          <w:tab w:val="left" w:pos="1735"/>
          <w:tab w:val="left" w:pos="8015"/>
        </w:tabs>
        <w:spacing w:after="200" w:line="276" w:lineRule="auto"/>
        <w:ind w:left="55"/>
        <w:jc w:val="both"/>
        <w:rPr>
          <w:rFonts w:asciiTheme="minorHAnsi" w:hAnsiTheme="minorHAnsi" w:cstheme="minorHAnsi"/>
          <w:color w:val="000000" w:themeColor="text1"/>
        </w:rPr>
      </w:pPr>
      <w:r w:rsidRPr="000105EE">
        <w:rPr>
          <w:rFonts w:asciiTheme="minorHAnsi" w:hAnsiTheme="minorHAnsi" w:cstheme="minorHAnsi"/>
          <w:color w:val="000000" w:themeColor="text1"/>
        </w:rPr>
        <w:lastRenderedPageBreak/>
        <w:t>De acuerdo a esta apreciación, todas las empresas son innovadoras, lo cual resulta normal considerando su interés por ejecutar este tipo de proyectos.</w:t>
      </w:r>
      <w:r>
        <w:rPr>
          <w:rFonts w:asciiTheme="minorHAnsi" w:hAnsiTheme="minorHAnsi" w:cstheme="minorHAnsi"/>
          <w:color w:val="000000" w:themeColor="text1"/>
        </w:rPr>
        <w:t xml:space="preserve"> </w:t>
      </w:r>
      <w:r w:rsidRPr="000105EE">
        <w:rPr>
          <w:rFonts w:asciiTheme="minorHAnsi" w:hAnsiTheme="minorHAnsi" w:cstheme="minorHAnsi"/>
          <w:color w:val="000000" w:themeColor="text1"/>
        </w:rPr>
        <w:t>No obstante, esta calificación está basada en los resultados de las entrevistas personales con las empresas y, para aquellas empresas que no fueron entrevistadas, se utilizaron datos históricos contenidos en las carpetas del CONACYT así como complementos de información resultantes de la búsqueda en Internet.</w:t>
      </w:r>
    </w:p>
    <w:p w:rsidR="008C6725" w:rsidRPr="00DA4676" w:rsidRDefault="008C6725" w:rsidP="008C6725">
      <w:pPr>
        <w:tabs>
          <w:tab w:val="left" w:pos="935"/>
          <w:tab w:val="left" w:pos="1735"/>
          <w:tab w:val="left" w:pos="8015"/>
        </w:tabs>
        <w:spacing w:after="200" w:line="276" w:lineRule="auto"/>
        <w:ind w:left="55"/>
        <w:jc w:val="both"/>
        <w:rPr>
          <w:rFonts w:asciiTheme="minorHAnsi" w:hAnsiTheme="minorHAnsi" w:cstheme="minorHAnsi"/>
          <w:color w:val="000000" w:themeColor="text1"/>
        </w:rPr>
      </w:pPr>
      <w:r w:rsidRPr="000105EE">
        <w:rPr>
          <w:rFonts w:asciiTheme="minorHAnsi" w:hAnsiTheme="minorHAnsi" w:cstheme="minorHAnsi"/>
          <w:color w:val="000000" w:themeColor="text1"/>
        </w:rPr>
        <w:t>De las 17 empresas, 6 empresas son “innovadoras adoptivas”, es decir que han incorporado desarrollos realizados por universidades o han transferido tecnologías desde empresas extranjeras.</w:t>
      </w:r>
      <w:r>
        <w:rPr>
          <w:rFonts w:asciiTheme="minorHAnsi" w:hAnsiTheme="minorHAnsi" w:cstheme="minorHAnsi"/>
          <w:color w:val="000000" w:themeColor="text1"/>
        </w:rPr>
        <w:t xml:space="preserve"> </w:t>
      </w:r>
      <w:r w:rsidRPr="000105EE">
        <w:rPr>
          <w:rFonts w:asciiTheme="minorHAnsi" w:hAnsiTheme="minorHAnsi" w:cstheme="minorHAnsi"/>
          <w:color w:val="000000" w:themeColor="text1"/>
        </w:rPr>
        <w:t>Se destaca que 11 empresas, el 65% de las empresas ejecutoras, son “innovadoras desarrolladoras” y que estos desarrollos se ha llevado a cabo liderados por los propietarios o altos ejecutivos de las empresas ejecutoras.</w:t>
      </w:r>
      <w:r>
        <w:rPr>
          <w:rFonts w:asciiTheme="minorHAnsi" w:hAnsiTheme="minorHAnsi" w:cstheme="minorHAnsi"/>
          <w:color w:val="000000" w:themeColor="text1"/>
        </w:rPr>
        <w:t xml:space="preserve"> </w:t>
      </w:r>
      <w:r w:rsidRPr="000105EE">
        <w:rPr>
          <w:rFonts w:asciiTheme="minorHAnsi" w:hAnsiTheme="minorHAnsi" w:cstheme="minorHAnsi"/>
          <w:color w:val="000000" w:themeColor="text1"/>
        </w:rPr>
        <w:t>De los 18 proyectos, sólo 4 de ellos están asociados con instituciones académicas y uno de ellos ha sido completamente ejecutado por una universidad (</w:t>
      </w:r>
      <w:r w:rsidRPr="000105EE">
        <w:rPr>
          <w:rFonts w:asciiTheme="minorHAnsi" w:eastAsia="Times New Roman" w:hAnsiTheme="minorHAnsi" w:cstheme="minorHAnsi"/>
          <w:i/>
          <w:color w:val="000000"/>
        </w:rPr>
        <w:t>PR-09-INN-27)</w:t>
      </w:r>
      <w:r>
        <w:rPr>
          <w:rFonts w:asciiTheme="minorHAnsi" w:hAnsiTheme="minorHAnsi" w:cstheme="minorHAnsi"/>
          <w:color w:val="000000" w:themeColor="text1"/>
        </w:rPr>
        <w:t>.</w:t>
      </w:r>
    </w:p>
    <w:p w:rsidR="008C6725" w:rsidRPr="00DA4676" w:rsidRDefault="008C6725" w:rsidP="008C6725">
      <w:pPr>
        <w:pStyle w:val="Heading3"/>
        <w:numPr>
          <w:ilvl w:val="2"/>
          <w:numId w:val="4"/>
        </w:numPr>
        <w:rPr>
          <w:iCs/>
        </w:rPr>
      </w:pPr>
      <w:bookmarkStart w:id="182" w:name="_Toc375211979"/>
      <w:r>
        <w:rPr>
          <w:rStyle w:val="Emphasis"/>
          <w:rFonts w:cs="Calibri"/>
          <w:i/>
        </w:rPr>
        <w:t>Resultados</w:t>
      </w:r>
      <w:bookmarkEnd w:id="182"/>
    </w:p>
    <w:p w:rsidR="008C6725" w:rsidRPr="007571BE" w:rsidRDefault="008C6725" w:rsidP="008C6725">
      <w:pPr>
        <w:spacing w:after="200" w:line="276" w:lineRule="auto"/>
        <w:rPr>
          <w:rFonts w:asciiTheme="minorHAnsi" w:hAnsiTheme="minorHAnsi" w:cstheme="minorHAnsi"/>
          <w:b/>
        </w:rPr>
      </w:pPr>
      <w:r w:rsidRPr="007571BE">
        <w:rPr>
          <w:rFonts w:asciiTheme="minorHAnsi" w:hAnsiTheme="minorHAnsi" w:cstheme="minorHAnsi"/>
          <w:b/>
        </w:rPr>
        <w:t>Mejora y desarrollo de productos/procesos (tipo y riesgo de las innovaciones)</w:t>
      </w:r>
    </w:p>
    <w:p w:rsidR="008C6725" w:rsidRPr="007571BE" w:rsidRDefault="008C6725" w:rsidP="008C6725">
      <w:pPr>
        <w:spacing w:after="200" w:line="276" w:lineRule="auto"/>
        <w:jc w:val="both"/>
        <w:rPr>
          <w:rFonts w:asciiTheme="minorHAnsi" w:eastAsia="Times New Roman" w:hAnsiTheme="minorHAnsi" w:cstheme="minorHAnsi"/>
          <w:color w:val="000000" w:themeColor="text1"/>
          <w:lang w:eastAsia="es-AR"/>
        </w:rPr>
      </w:pPr>
      <w:r w:rsidRPr="007571BE">
        <w:rPr>
          <w:rFonts w:asciiTheme="minorHAnsi" w:eastAsia="Times New Roman" w:hAnsiTheme="minorHAnsi" w:cstheme="minorHAnsi"/>
          <w:color w:val="000000" w:themeColor="text1"/>
          <w:lang w:eastAsia="es-AR"/>
        </w:rPr>
        <w:t>En base a las visitas a empresas y al análisis de carpetas, se realizó una apreciación del grado de innovación de acuerdo a las categorías indicadas en el marco conceptual. Asimismo, se evaluó si la innovación tiene un nivel nacional o un nivel mundial.</w:t>
      </w:r>
      <w:r>
        <w:rPr>
          <w:rFonts w:asciiTheme="minorHAnsi" w:eastAsia="Times New Roman" w:hAnsiTheme="minorHAnsi" w:cstheme="minorHAnsi"/>
          <w:color w:val="000000" w:themeColor="text1"/>
          <w:lang w:eastAsia="es-AR"/>
        </w:rPr>
        <w:t xml:space="preserve"> </w:t>
      </w:r>
      <w:r w:rsidRPr="007571BE">
        <w:rPr>
          <w:rFonts w:asciiTheme="minorHAnsi" w:eastAsia="Times New Roman" w:hAnsiTheme="minorHAnsi" w:cstheme="minorHAnsi"/>
          <w:color w:val="000000" w:themeColor="text1"/>
          <w:lang w:eastAsia="es-AR"/>
        </w:rPr>
        <w:t>La tabla siguiente resume las apreciaciones.</w:t>
      </w:r>
    </w:p>
    <w:p w:rsidR="008C6725" w:rsidRPr="007571BE" w:rsidRDefault="006F1343" w:rsidP="008C6725">
      <w:pPr>
        <w:spacing w:line="276" w:lineRule="auto"/>
        <w:jc w:val="center"/>
        <w:rPr>
          <w:rFonts w:asciiTheme="minorHAnsi" w:eastAsia="Times New Roman" w:hAnsiTheme="minorHAnsi" w:cstheme="minorHAnsi"/>
          <w:b/>
          <w:color w:val="000000" w:themeColor="text1"/>
          <w:lang w:eastAsia="es-AR"/>
        </w:rPr>
      </w:pPr>
      <w:r>
        <w:rPr>
          <w:rFonts w:asciiTheme="minorHAnsi" w:eastAsia="Times New Roman" w:hAnsiTheme="minorHAnsi" w:cstheme="minorHAnsi"/>
          <w:b/>
          <w:color w:val="000000" w:themeColor="text1"/>
          <w:lang w:eastAsia="es-AR"/>
        </w:rPr>
        <w:t>Tabla 5.10</w:t>
      </w:r>
      <w:r w:rsidR="008C6725">
        <w:rPr>
          <w:rFonts w:asciiTheme="minorHAnsi" w:eastAsia="Times New Roman" w:hAnsiTheme="minorHAnsi" w:cstheme="minorHAnsi"/>
          <w:b/>
          <w:color w:val="000000" w:themeColor="text1"/>
          <w:lang w:eastAsia="es-AR"/>
        </w:rPr>
        <w:t xml:space="preserve">. </w:t>
      </w:r>
      <w:r w:rsidR="008C6725" w:rsidRPr="007571BE">
        <w:rPr>
          <w:rFonts w:asciiTheme="minorHAnsi" w:eastAsia="Times New Roman" w:hAnsiTheme="minorHAnsi" w:cstheme="minorHAnsi"/>
          <w:b/>
          <w:color w:val="000000" w:themeColor="text1"/>
          <w:lang w:eastAsia="es-AR"/>
        </w:rPr>
        <w:t>Apreciación del tipo de innovaciones</w:t>
      </w:r>
    </w:p>
    <w:tbl>
      <w:tblPr>
        <w:tblW w:w="7518" w:type="dxa"/>
        <w:jc w:val="center"/>
        <w:tblCellMar>
          <w:left w:w="70" w:type="dxa"/>
          <w:right w:w="70" w:type="dxa"/>
        </w:tblCellMar>
        <w:tblLook w:val="04A0" w:firstRow="1" w:lastRow="0" w:firstColumn="1" w:lastColumn="0" w:noHBand="0" w:noVBand="1"/>
      </w:tblPr>
      <w:tblGrid>
        <w:gridCol w:w="1998"/>
        <w:gridCol w:w="3420"/>
        <w:gridCol w:w="2100"/>
      </w:tblGrid>
      <w:tr w:rsidR="008C6725" w:rsidRPr="00AF0BE4" w:rsidTr="00802E2B">
        <w:trPr>
          <w:jc w:val="center"/>
        </w:trPr>
        <w:tc>
          <w:tcPr>
            <w:tcW w:w="1998" w:type="dxa"/>
            <w:tcBorders>
              <w:top w:val="single" w:sz="4" w:space="0" w:color="auto"/>
              <w:left w:val="single" w:sz="4" w:space="0" w:color="auto"/>
              <w:bottom w:val="single" w:sz="4" w:space="0" w:color="auto"/>
              <w:right w:val="single" w:sz="4" w:space="0" w:color="auto"/>
            </w:tcBorders>
            <w:shd w:val="clear" w:color="auto" w:fill="0F243E" w:themeFill="text2" w:themeFillShade="80"/>
            <w:hideMark/>
          </w:tcPr>
          <w:p w:rsidR="008C6725" w:rsidRPr="00AF0BE4" w:rsidRDefault="008C6725" w:rsidP="00802E2B">
            <w:pPr>
              <w:jc w:val="center"/>
              <w:rPr>
                <w:rFonts w:asciiTheme="minorHAnsi" w:eastAsia="Times New Roman" w:hAnsiTheme="minorHAnsi" w:cstheme="minorHAnsi"/>
                <w:b/>
                <w:bCs/>
                <w:color w:val="FFFFFF" w:themeColor="background1"/>
                <w:sz w:val="20"/>
                <w:szCs w:val="20"/>
              </w:rPr>
            </w:pPr>
            <w:r w:rsidRPr="00AF0BE4">
              <w:rPr>
                <w:rFonts w:asciiTheme="minorHAnsi" w:eastAsia="Times New Roman" w:hAnsiTheme="minorHAnsi" w:cstheme="minorHAnsi"/>
                <w:b/>
                <w:bCs/>
                <w:color w:val="FFFFFF" w:themeColor="background1"/>
                <w:sz w:val="20"/>
                <w:szCs w:val="20"/>
              </w:rPr>
              <w:t>Código del Proyecto</w:t>
            </w:r>
          </w:p>
        </w:tc>
        <w:tc>
          <w:tcPr>
            <w:tcW w:w="3420" w:type="dxa"/>
            <w:tcBorders>
              <w:top w:val="single" w:sz="4" w:space="0" w:color="auto"/>
              <w:left w:val="nil"/>
              <w:bottom w:val="single" w:sz="4" w:space="0" w:color="auto"/>
              <w:right w:val="single" w:sz="4" w:space="0" w:color="auto"/>
            </w:tcBorders>
            <w:shd w:val="clear" w:color="auto" w:fill="0F243E" w:themeFill="text2" w:themeFillShade="80"/>
            <w:hideMark/>
          </w:tcPr>
          <w:p w:rsidR="008C6725" w:rsidRPr="00AF0BE4" w:rsidRDefault="008C6725" w:rsidP="00802E2B">
            <w:pPr>
              <w:jc w:val="center"/>
              <w:rPr>
                <w:rFonts w:asciiTheme="minorHAnsi" w:eastAsia="Times New Roman" w:hAnsiTheme="minorHAnsi" w:cstheme="minorHAnsi"/>
                <w:b/>
                <w:bCs/>
                <w:color w:val="FFFFFF" w:themeColor="background1"/>
                <w:sz w:val="20"/>
                <w:szCs w:val="20"/>
              </w:rPr>
            </w:pPr>
            <w:r>
              <w:rPr>
                <w:rFonts w:asciiTheme="minorHAnsi" w:eastAsia="Times New Roman" w:hAnsiTheme="minorHAnsi" w:cstheme="minorHAnsi"/>
                <w:b/>
                <w:bCs/>
                <w:color w:val="FFFFFF" w:themeColor="background1"/>
                <w:sz w:val="20"/>
                <w:szCs w:val="20"/>
              </w:rPr>
              <w:t>Grado de Innovación</w:t>
            </w:r>
          </w:p>
        </w:tc>
        <w:tc>
          <w:tcPr>
            <w:tcW w:w="2100" w:type="dxa"/>
            <w:tcBorders>
              <w:top w:val="single" w:sz="4" w:space="0" w:color="auto"/>
              <w:left w:val="nil"/>
              <w:bottom w:val="single" w:sz="4" w:space="0" w:color="auto"/>
              <w:right w:val="single" w:sz="4" w:space="0" w:color="auto"/>
            </w:tcBorders>
            <w:shd w:val="clear" w:color="auto" w:fill="0F243E" w:themeFill="text2" w:themeFillShade="80"/>
            <w:hideMark/>
          </w:tcPr>
          <w:p w:rsidR="008C6725" w:rsidRPr="00AF0BE4" w:rsidRDefault="008C6725" w:rsidP="00802E2B">
            <w:pPr>
              <w:jc w:val="center"/>
              <w:rPr>
                <w:rFonts w:asciiTheme="minorHAnsi" w:eastAsia="Times New Roman" w:hAnsiTheme="minorHAnsi" w:cstheme="minorHAnsi"/>
                <w:b/>
                <w:bCs/>
                <w:color w:val="FFFFFF" w:themeColor="background1"/>
                <w:sz w:val="20"/>
                <w:szCs w:val="20"/>
              </w:rPr>
            </w:pPr>
            <w:r>
              <w:rPr>
                <w:rFonts w:asciiTheme="minorHAnsi" w:eastAsia="Times New Roman" w:hAnsiTheme="minorHAnsi" w:cstheme="minorHAnsi"/>
                <w:b/>
                <w:bCs/>
                <w:color w:val="FFFFFF" w:themeColor="background1"/>
                <w:sz w:val="20"/>
                <w:szCs w:val="20"/>
              </w:rPr>
              <w:t>Nivel</w:t>
            </w:r>
          </w:p>
        </w:tc>
      </w:tr>
      <w:tr w:rsidR="008C6725" w:rsidRPr="00E648E0" w:rsidTr="00802E2B">
        <w:trPr>
          <w:jc w:val="center"/>
        </w:trPr>
        <w:tc>
          <w:tcPr>
            <w:tcW w:w="1998" w:type="dxa"/>
            <w:tcBorders>
              <w:top w:val="nil"/>
              <w:left w:val="single" w:sz="4" w:space="0" w:color="auto"/>
              <w:bottom w:val="single" w:sz="4" w:space="0" w:color="auto"/>
              <w:right w:val="single" w:sz="4" w:space="0" w:color="auto"/>
            </w:tcBorders>
            <w:shd w:val="clear" w:color="000000" w:fill="FFFFFF"/>
            <w:vAlign w:val="center"/>
            <w:hideMark/>
          </w:tcPr>
          <w:p w:rsidR="008C6725" w:rsidRPr="00E648E0" w:rsidRDefault="008C6725" w:rsidP="00802E2B">
            <w:pPr>
              <w:jc w:val="cente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INN-23</w:t>
            </w:r>
          </w:p>
        </w:tc>
        <w:tc>
          <w:tcPr>
            <w:tcW w:w="342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Innovación de Producto y Proceso</w:t>
            </w:r>
          </w:p>
        </w:tc>
        <w:tc>
          <w:tcPr>
            <w:tcW w:w="210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Mundial</w:t>
            </w:r>
          </w:p>
        </w:tc>
      </w:tr>
      <w:tr w:rsidR="008C6725" w:rsidRPr="00E648E0" w:rsidTr="00802E2B">
        <w:trPr>
          <w:jc w:val="center"/>
        </w:trPr>
        <w:tc>
          <w:tcPr>
            <w:tcW w:w="1998" w:type="dxa"/>
            <w:tcBorders>
              <w:top w:val="nil"/>
              <w:left w:val="single" w:sz="4" w:space="0" w:color="auto"/>
              <w:bottom w:val="single" w:sz="4" w:space="0" w:color="auto"/>
              <w:right w:val="single" w:sz="4" w:space="0" w:color="auto"/>
            </w:tcBorders>
            <w:shd w:val="clear" w:color="B9CDE5" w:fill="FFFFFF"/>
            <w:vAlign w:val="center"/>
            <w:hideMark/>
          </w:tcPr>
          <w:p w:rsidR="008C6725" w:rsidRPr="00E648E0" w:rsidRDefault="008C6725" w:rsidP="00802E2B">
            <w:pPr>
              <w:jc w:val="cente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PR-09-INN-13</w:t>
            </w:r>
          </w:p>
        </w:tc>
        <w:tc>
          <w:tcPr>
            <w:tcW w:w="342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Innovación de Producto y Proceso</w:t>
            </w:r>
          </w:p>
        </w:tc>
        <w:tc>
          <w:tcPr>
            <w:tcW w:w="210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Mundial</w:t>
            </w:r>
          </w:p>
        </w:tc>
      </w:tr>
      <w:tr w:rsidR="008C6725" w:rsidRPr="00E648E0" w:rsidTr="00802E2B">
        <w:trPr>
          <w:jc w:val="center"/>
        </w:trPr>
        <w:tc>
          <w:tcPr>
            <w:tcW w:w="1998" w:type="dxa"/>
            <w:tcBorders>
              <w:top w:val="nil"/>
              <w:left w:val="single" w:sz="4" w:space="0" w:color="auto"/>
              <w:bottom w:val="single" w:sz="4" w:space="0" w:color="auto"/>
              <w:right w:val="single" w:sz="4" w:space="0" w:color="auto"/>
            </w:tcBorders>
            <w:shd w:val="clear" w:color="B9CDE5" w:fill="FFFFFF"/>
            <w:vAlign w:val="center"/>
            <w:hideMark/>
          </w:tcPr>
          <w:p w:rsidR="008C6725" w:rsidRPr="00E648E0" w:rsidRDefault="008C6725" w:rsidP="00802E2B">
            <w:pPr>
              <w:jc w:val="cente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PR-09-INN-17</w:t>
            </w:r>
          </w:p>
        </w:tc>
        <w:tc>
          <w:tcPr>
            <w:tcW w:w="342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Adaptación de proceso</w:t>
            </w:r>
          </w:p>
        </w:tc>
        <w:tc>
          <w:tcPr>
            <w:tcW w:w="210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Nacional</w:t>
            </w:r>
          </w:p>
        </w:tc>
      </w:tr>
      <w:tr w:rsidR="008C6725" w:rsidRPr="00E648E0" w:rsidTr="00802E2B">
        <w:trPr>
          <w:jc w:val="center"/>
        </w:trPr>
        <w:tc>
          <w:tcPr>
            <w:tcW w:w="1998" w:type="dxa"/>
            <w:tcBorders>
              <w:top w:val="nil"/>
              <w:left w:val="single" w:sz="4" w:space="0" w:color="auto"/>
              <w:bottom w:val="single" w:sz="4" w:space="0" w:color="auto"/>
              <w:right w:val="single" w:sz="4" w:space="0" w:color="auto"/>
            </w:tcBorders>
            <w:shd w:val="clear" w:color="000000" w:fill="FFFFFF"/>
            <w:vAlign w:val="center"/>
            <w:hideMark/>
          </w:tcPr>
          <w:p w:rsidR="008C6725" w:rsidRPr="00E648E0" w:rsidRDefault="008C6725" w:rsidP="00802E2B">
            <w:pPr>
              <w:jc w:val="cente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PR-09-INN-20</w:t>
            </w:r>
          </w:p>
        </w:tc>
        <w:tc>
          <w:tcPr>
            <w:tcW w:w="342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Transferencia de tecnología</w:t>
            </w:r>
          </w:p>
        </w:tc>
        <w:tc>
          <w:tcPr>
            <w:tcW w:w="210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Nacional</w:t>
            </w:r>
          </w:p>
        </w:tc>
      </w:tr>
      <w:tr w:rsidR="008C6725" w:rsidRPr="00E648E0" w:rsidTr="00802E2B">
        <w:trPr>
          <w:jc w:val="center"/>
        </w:trPr>
        <w:tc>
          <w:tcPr>
            <w:tcW w:w="1998" w:type="dxa"/>
            <w:tcBorders>
              <w:top w:val="nil"/>
              <w:left w:val="single" w:sz="4" w:space="0" w:color="auto"/>
              <w:bottom w:val="single" w:sz="4" w:space="0" w:color="auto"/>
              <w:right w:val="single" w:sz="4" w:space="0" w:color="auto"/>
            </w:tcBorders>
            <w:shd w:val="clear" w:color="000000" w:fill="FFFFFF"/>
            <w:vAlign w:val="center"/>
            <w:hideMark/>
          </w:tcPr>
          <w:p w:rsidR="008C6725" w:rsidRPr="00E648E0" w:rsidRDefault="008C6725" w:rsidP="00802E2B">
            <w:pPr>
              <w:jc w:val="cente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PR-09-INN-27</w:t>
            </w:r>
          </w:p>
        </w:tc>
        <w:tc>
          <w:tcPr>
            <w:tcW w:w="342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Mejora de producto</w:t>
            </w:r>
          </w:p>
        </w:tc>
        <w:tc>
          <w:tcPr>
            <w:tcW w:w="210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Nacional</w:t>
            </w:r>
          </w:p>
        </w:tc>
      </w:tr>
      <w:tr w:rsidR="008C6725" w:rsidRPr="00E648E0" w:rsidTr="00802E2B">
        <w:trPr>
          <w:jc w:val="center"/>
        </w:trPr>
        <w:tc>
          <w:tcPr>
            <w:tcW w:w="1998" w:type="dxa"/>
            <w:tcBorders>
              <w:top w:val="nil"/>
              <w:left w:val="single" w:sz="4" w:space="0" w:color="auto"/>
              <w:bottom w:val="single" w:sz="4" w:space="0" w:color="auto"/>
              <w:right w:val="single" w:sz="4" w:space="0" w:color="auto"/>
            </w:tcBorders>
            <w:shd w:val="clear" w:color="000000" w:fill="FFFFFF"/>
            <w:vAlign w:val="center"/>
            <w:hideMark/>
          </w:tcPr>
          <w:p w:rsidR="008C6725" w:rsidRPr="00E648E0" w:rsidRDefault="008C6725" w:rsidP="00802E2B">
            <w:pPr>
              <w:jc w:val="cente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PR-10-INN-33</w:t>
            </w:r>
          </w:p>
        </w:tc>
        <w:tc>
          <w:tcPr>
            <w:tcW w:w="342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Mejora de proceso</w:t>
            </w:r>
          </w:p>
        </w:tc>
        <w:tc>
          <w:tcPr>
            <w:tcW w:w="210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Nacional</w:t>
            </w:r>
          </w:p>
        </w:tc>
      </w:tr>
      <w:tr w:rsidR="008C6725" w:rsidRPr="00E648E0" w:rsidTr="00802E2B">
        <w:trPr>
          <w:jc w:val="center"/>
        </w:trPr>
        <w:tc>
          <w:tcPr>
            <w:tcW w:w="1998" w:type="dxa"/>
            <w:tcBorders>
              <w:top w:val="nil"/>
              <w:left w:val="single" w:sz="4" w:space="0" w:color="auto"/>
              <w:bottom w:val="single" w:sz="4" w:space="0" w:color="auto"/>
              <w:right w:val="single" w:sz="4" w:space="0" w:color="auto"/>
            </w:tcBorders>
            <w:shd w:val="clear" w:color="B9CDE5" w:fill="FFFFFF"/>
            <w:vAlign w:val="center"/>
            <w:hideMark/>
          </w:tcPr>
          <w:p w:rsidR="008C6725" w:rsidRPr="00E648E0" w:rsidRDefault="008C6725" w:rsidP="00802E2B">
            <w:pPr>
              <w:jc w:val="cente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PR-10-INN-35</w:t>
            </w:r>
          </w:p>
        </w:tc>
        <w:tc>
          <w:tcPr>
            <w:tcW w:w="342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Mejora de proceso</w:t>
            </w:r>
          </w:p>
        </w:tc>
        <w:tc>
          <w:tcPr>
            <w:tcW w:w="210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Nacional</w:t>
            </w:r>
          </w:p>
        </w:tc>
      </w:tr>
      <w:tr w:rsidR="008C6725" w:rsidRPr="00E648E0" w:rsidTr="00802E2B">
        <w:trPr>
          <w:jc w:val="center"/>
        </w:trPr>
        <w:tc>
          <w:tcPr>
            <w:tcW w:w="1998" w:type="dxa"/>
            <w:tcBorders>
              <w:top w:val="nil"/>
              <w:left w:val="single" w:sz="4" w:space="0" w:color="auto"/>
              <w:bottom w:val="single" w:sz="4" w:space="0" w:color="auto"/>
              <w:right w:val="single" w:sz="4" w:space="0" w:color="auto"/>
            </w:tcBorders>
            <w:shd w:val="clear" w:color="000000" w:fill="FFFFFF"/>
            <w:vAlign w:val="center"/>
            <w:hideMark/>
          </w:tcPr>
          <w:p w:rsidR="008C6725" w:rsidRPr="00E648E0" w:rsidRDefault="008C6725" w:rsidP="00802E2B">
            <w:pPr>
              <w:jc w:val="cente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PR-10-INN-39</w:t>
            </w:r>
          </w:p>
        </w:tc>
        <w:tc>
          <w:tcPr>
            <w:tcW w:w="342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Transferencia de proceso</w:t>
            </w:r>
          </w:p>
        </w:tc>
        <w:tc>
          <w:tcPr>
            <w:tcW w:w="210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Empresa</w:t>
            </w:r>
          </w:p>
        </w:tc>
      </w:tr>
      <w:tr w:rsidR="008C6725" w:rsidRPr="00E648E0" w:rsidTr="00802E2B">
        <w:trPr>
          <w:jc w:val="center"/>
        </w:trPr>
        <w:tc>
          <w:tcPr>
            <w:tcW w:w="1998" w:type="dxa"/>
            <w:tcBorders>
              <w:top w:val="nil"/>
              <w:left w:val="single" w:sz="4" w:space="0" w:color="auto"/>
              <w:bottom w:val="single" w:sz="4" w:space="0" w:color="auto"/>
              <w:right w:val="single" w:sz="4" w:space="0" w:color="auto"/>
            </w:tcBorders>
            <w:shd w:val="clear" w:color="000000" w:fill="FFFFFF"/>
            <w:vAlign w:val="center"/>
            <w:hideMark/>
          </w:tcPr>
          <w:p w:rsidR="008C6725" w:rsidRPr="00E648E0" w:rsidRDefault="008C6725" w:rsidP="00802E2B">
            <w:pPr>
              <w:jc w:val="cente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PR-11-INN-41</w:t>
            </w:r>
          </w:p>
        </w:tc>
        <w:tc>
          <w:tcPr>
            <w:tcW w:w="342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Mejora de producto</w:t>
            </w:r>
          </w:p>
        </w:tc>
        <w:tc>
          <w:tcPr>
            <w:tcW w:w="210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Nacional</w:t>
            </w:r>
          </w:p>
        </w:tc>
      </w:tr>
      <w:tr w:rsidR="008C6725" w:rsidRPr="00E648E0" w:rsidTr="00802E2B">
        <w:trPr>
          <w:jc w:val="center"/>
        </w:trPr>
        <w:tc>
          <w:tcPr>
            <w:tcW w:w="1998" w:type="dxa"/>
            <w:tcBorders>
              <w:top w:val="nil"/>
              <w:left w:val="single" w:sz="4" w:space="0" w:color="auto"/>
              <w:bottom w:val="single" w:sz="4" w:space="0" w:color="auto"/>
              <w:right w:val="single" w:sz="4" w:space="0" w:color="auto"/>
            </w:tcBorders>
            <w:shd w:val="clear" w:color="000000" w:fill="FFFFFF"/>
            <w:vAlign w:val="center"/>
            <w:hideMark/>
          </w:tcPr>
          <w:p w:rsidR="008C6725" w:rsidRPr="00E648E0" w:rsidRDefault="008C6725" w:rsidP="00802E2B">
            <w:pPr>
              <w:jc w:val="cente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INN-16</w:t>
            </w:r>
          </w:p>
        </w:tc>
        <w:tc>
          <w:tcPr>
            <w:tcW w:w="342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Innovación de Proceso</w:t>
            </w:r>
          </w:p>
        </w:tc>
        <w:tc>
          <w:tcPr>
            <w:tcW w:w="210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Nacional</w:t>
            </w:r>
          </w:p>
        </w:tc>
      </w:tr>
      <w:tr w:rsidR="008C6725" w:rsidRPr="00E648E0" w:rsidTr="00802E2B">
        <w:trPr>
          <w:jc w:val="center"/>
        </w:trPr>
        <w:tc>
          <w:tcPr>
            <w:tcW w:w="1998" w:type="dxa"/>
            <w:tcBorders>
              <w:top w:val="nil"/>
              <w:left w:val="single" w:sz="4" w:space="0" w:color="auto"/>
              <w:bottom w:val="single" w:sz="4" w:space="0" w:color="auto"/>
              <w:right w:val="single" w:sz="4" w:space="0" w:color="auto"/>
            </w:tcBorders>
            <w:shd w:val="clear" w:color="000000" w:fill="FFFFFF"/>
            <w:vAlign w:val="center"/>
            <w:hideMark/>
          </w:tcPr>
          <w:p w:rsidR="008C6725" w:rsidRPr="00E648E0" w:rsidRDefault="008C6725" w:rsidP="00802E2B">
            <w:pPr>
              <w:jc w:val="cente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INN-24</w:t>
            </w:r>
          </w:p>
        </w:tc>
        <w:tc>
          <w:tcPr>
            <w:tcW w:w="342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Innovación de Producto</w:t>
            </w:r>
          </w:p>
        </w:tc>
        <w:tc>
          <w:tcPr>
            <w:tcW w:w="2100" w:type="dxa"/>
            <w:tcBorders>
              <w:top w:val="nil"/>
              <w:left w:val="nil"/>
              <w:bottom w:val="single" w:sz="4" w:space="0" w:color="auto"/>
              <w:right w:val="single" w:sz="4" w:space="0" w:color="auto"/>
            </w:tcBorders>
            <w:shd w:val="clear" w:color="000000" w:fill="FFFFFF"/>
            <w:noWrap/>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Mundial</w:t>
            </w:r>
          </w:p>
        </w:tc>
      </w:tr>
      <w:tr w:rsidR="008C6725" w:rsidRPr="00E648E0" w:rsidTr="00802E2B">
        <w:trPr>
          <w:jc w:val="center"/>
        </w:trPr>
        <w:tc>
          <w:tcPr>
            <w:tcW w:w="1998" w:type="dxa"/>
            <w:tcBorders>
              <w:top w:val="nil"/>
              <w:left w:val="single" w:sz="4" w:space="0" w:color="auto"/>
              <w:bottom w:val="single" w:sz="4" w:space="0" w:color="auto"/>
              <w:right w:val="single" w:sz="4" w:space="0" w:color="auto"/>
            </w:tcBorders>
            <w:shd w:val="clear" w:color="000000" w:fill="FFFFFF"/>
            <w:vAlign w:val="center"/>
            <w:hideMark/>
          </w:tcPr>
          <w:p w:rsidR="008C6725" w:rsidRPr="00E648E0" w:rsidRDefault="008C6725" w:rsidP="00802E2B">
            <w:pPr>
              <w:jc w:val="cente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INN-08</w:t>
            </w:r>
          </w:p>
        </w:tc>
        <w:tc>
          <w:tcPr>
            <w:tcW w:w="3420" w:type="dxa"/>
            <w:tcBorders>
              <w:top w:val="nil"/>
              <w:left w:val="nil"/>
              <w:bottom w:val="single" w:sz="4" w:space="0" w:color="auto"/>
              <w:right w:val="single" w:sz="4" w:space="0" w:color="auto"/>
            </w:tcBorders>
            <w:shd w:val="clear" w:color="000000" w:fill="FFFFFF"/>
            <w:noWrap/>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No se realizaron mejoras</w:t>
            </w:r>
          </w:p>
        </w:tc>
        <w:tc>
          <w:tcPr>
            <w:tcW w:w="210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No innovativo</w:t>
            </w:r>
          </w:p>
        </w:tc>
      </w:tr>
      <w:tr w:rsidR="008C6725" w:rsidRPr="00E648E0" w:rsidTr="00802E2B">
        <w:trPr>
          <w:jc w:val="center"/>
        </w:trPr>
        <w:tc>
          <w:tcPr>
            <w:tcW w:w="1998" w:type="dxa"/>
            <w:tcBorders>
              <w:top w:val="nil"/>
              <w:left w:val="single" w:sz="4" w:space="0" w:color="auto"/>
              <w:bottom w:val="single" w:sz="4" w:space="0" w:color="auto"/>
              <w:right w:val="single" w:sz="4" w:space="0" w:color="auto"/>
            </w:tcBorders>
            <w:shd w:val="clear" w:color="B9CDE5" w:fill="FFFFFF"/>
            <w:vAlign w:val="center"/>
            <w:hideMark/>
          </w:tcPr>
          <w:p w:rsidR="008C6725" w:rsidRPr="00E648E0" w:rsidRDefault="008C6725" w:rsidP="00802E2B">
            <w:pPr>
              <w:jc w:val="cente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PR-09-INN-21</w:t>
            </w:r>
          </w:p>
        </w:tc>
        <w:tc>
          <w:tcPr>
            <w:tcW w:w="3420" w:type="dxa"/>
            <w:tcBorders>
              <w:top w:val="nil"/>
              <w:left w:val="nil"/>
              <w:bottom w:val="single" w:sz="4" w:space="0" w:color="auto"/>
              <w:right w:val="single" w:sz="4" w:space="0" w:color="auto"/>
            </w:tcBorders>
            <w:shd w:val="clear" w:color="000000" w:fill="FFFFFF"/>
            <w:noWrap/>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Mejora de producto</w:t>
            </w:r>
          </w:p>
        </w:tc>
        <w:tc>
          <w:tcPr>
            <w:tcW w:w="210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Nacional</w:t>
            </w:r>
          </w:p>
        </w:tc>
      </w:tr>
      <w:tr w:rsidR="008C6725" w:rsidRPr="00E648E0" w:rsidTr="00802E2B">
        <w:trPr>
          <w:jc w:val="center"/>
        </w:trPr>
        <w:tc>
          <w:tcPr>
            <w:tcW w:w="1998" w:type="dxa"/>
            <w:tcBorders>
              <w:top w:val="nil"/>
              <w:left w:val="single" w:sz="4" w:space="0" w:color="auto"/>
              <w:bottom w:val="single" w:sz="4" w:space="0" w:color="auto"/>
              <w:right w:val="single" w:sz="4" w:space="0" w:color="auto"/>
            </w:tcBorders>
            <w:shd w:val="clear" w:color="000000" w:fill="FFFFFF"/>
            <w:vAlign w:val="center"/>
            <w:hideMark/>
          </w:tcPr>
          <w:p w:rsidR="008C6725" w:rsidRPr="00E648E0" w:rsidRDefault="008C6725" w:rsidP="00802E2B">
            <w:pPr>
              <w:jc w:val="cente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PR-09-INN-25</w:t>
            </w:r>
          </w:p>
        </w:tc>
        <w:tc>
          <w:tcPr>
            <w:tcW w:w="3420" w:type="dxa"/>
            <w:tcBorders>
              <w:top w:val="nil"/>
              <w:left w:val="nil"/>
              <w:bottom w:val="single" w:sz="4" w:space="0" w:color="auto"/>
              <w:right w:val="single" w:sz="4" w:space="0" w:color="auto"/>
            </w:tcBorders>
            <w:shd w:val="clear" w:color="000000" w:fill="FFFFFF"/>
            <w:noWrap/>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Mejora de servicio</w:t>
            </w:r>
          </w:p>
        </w:tc>
        <w:tc>
          <w:tcPr>
            <w:tcW w:w="210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Nacional</w:t>
            </w:r>
          </w:p>
        </w:tc>
      </w:tr>
      <w:tr w:rsidR="008C6725" w:rsidRPr="00E648E0" w:rsidTr="00802E2B">
        <w:trPr>
          <w:jc w:val="center"/>
        </w:trPr>
        <w:tc>
          <w:tcPr>
            <w:tcW w:w="1998" w:type="dxa"/>
            <w:tcBorders>
              <w:top w:val="nil"/>
              <w:left w:val="single" w:sz="4" w:space="0" w:color="auto"/>
              <w:bottom w:val="single" w:sz="4" w:space="0" w:color="auto"/>
              <w:right w:val="single" w:sz="4" w:space="0" w:color="auto"/>
            </w:tcBorders>
            <w:shd w:val="clear" w:color="000000" w:fill="FFFFFF"/>
            <w:vAlign w:val="center"/>
            <w:hideMark/>
          </w:tcPr>
          <w:p w:rsidR="008C6725" w:rsidRPr="00E648E0" w:rsidRDefault="008C6725" w:rsidP="00802E2B">
            <w:pPr>
              <w:jc w:val="cente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PR-09-INN-28</w:t>
            </w:r>
          </w:p>
        </w:tc>
        <w:tc>
          <w:tcPr>
            <w:tcW w:w="3420" w:type="dxa"/>
            <w:tcBorders>
              <w:top w:val="nil"/>
              <w:left w:val="nil"/>
              <w:bottom w:val="single" w:sz="4" w:space="0" w:color="auto"/>
              <w:right w:val="single" w:sz="4" w:space="0" w:color="auto"/>
            </w:tcBorders>
            <w:shd w:val="clear" w:color="000000" w:fill="FFFFFF"/>
            <w:noWrap/>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Mejora de servicio</w:t>
            </w:r>
          </w:p>
        </w:tc>
        <w:tc>
          <w:tcPr>
            <w:tcW w:w="210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Nacional</w:t>
            </w:r>
          </w:p>
        </w:tc>
      </w:tr>
      <w:tr w:rsidR="008C6725" w:rsidRPr="00E648E0" w:rsidTr="00802E2B">
        <w:trPr>
          <w:jc w:val="center"/>
        </w:trPr>
        <w:tc>
          <w:tcPr>
            <w:tcW w:w="1998" w:type="dxa"/>
            <w:tcBorders>
              <w:top w:val="nil"/>
              <w:left w:val="single" w:sz="4" w:space="0" w:color="auto"/>
              <w:bottom w:val="single" w:sz="4" w:space="0" w:color="auto"/>
              <w:right w:val="single" w:sz="4" w:space="0" w:color="auto"/>
            </w:tcBorders>
            <w:shd w:val="clear" w:color="000000" w:fill="FFFFFF"/>
            <w:vAlign w:val="center"/>
            <w:hideMark/>
          </w:tcPr>
          <w:p w:rsidR="008C6725" w:rsidRPr="00E648E0" w:rsidRDefault="008C6725" w:rsidP="00802E2B">
            <w:pPr>
              <w:jc w:val="cente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PR-10-INN-34</w:t>
            </w:r>
          </w:p>
        </w:tc>
        <w:tc>
          <w:tcPr>
            <w:tcW w:w="3420" w:type="dxa"/>
            <w:tcBorders>
              <w:top w:val="nil"/>
              <w:left w:val="nil"/>
              <w:bottom w:val="single" w:sz="4" w:space="0" w:color="auto"/>
              <w:right w:val="single" w:sz="4" w:space="0" w:color="auto"/>
            </w:tcBorders>
            <w:shd w:val="clear" w:color="000000" w:fill="FFFFFF"/>
            <w:noWrap/>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Mejora de servicio</w:t>
            </w:r>
          </w:p>
        </w:tc>
        <w:tc>
          <w:tcPr>
            <w:tcW w:w="210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Nacional</w:t>
            </w:r>
          </w:p>
        </w:tc>
      </w:tr>
      <w:tr w:rsidR="008C6725" w:rsidRPr="00E648E0" w:rsidTr="00802E2B">
        <w:trPr>
          <w:jc w:val="center"/>
        </w:trPr>
        <w:tc>
          <w:tcPr>
            <w:tcW w:w="1998" w:type="dxa"/>
            <w:tcBorders>
              <w:top w:val="nil"/>
              <w:left w:val="single" w:sz="4" w:space="0" w:color="auto"/>
              <w:bottom w:val="single" w:sz="4" w:space="0" w:color="auto"/>
              <w:right w:val="single" w:sz="4" w:space="0" w:color="auto"/>
            </w:tcBorders>
            <w:shd w:val="clear" w:color="000000" w:fill="FFFFFF"/>
            <w:vAlign w:val="center"/>
            <w:hideMark/>
          </w:tcPr>
          <w:p w:rsidR="008C6725" w:rsidRPr="00E648E0" w:rsidRDefault="008C6725" w:rsidP="00802E2B">
            <w:pPr>
              <w:jc w:val="cente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PR-10-INN-42</w:t>
            </w:r>
          </w:p>
        </w:tc>
        <w:tc>
          <w:tcPr>
            <w:tcW w:w="342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Adaptación de Servicio</w:t>
            </w:r>
          </w:p>
        </w:tc>
        <w:tc>
          <w:tcPr>
            <w:tcW w:w="210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Nacional</w:t>
            </w:r>
          </w:p>
        </w:tc>
      </w:tr>
      <w:tr w:rsidR="008C6725" w:rsidRPr="00E648E0" w:rsidTr="00802E2B">
        <w:trPr>
          <w:jc w:val="center"/>
        </w:trPr>
        <w:tc>
          <w:tcPr>
            <w:tcW w:w="1998" w:type="dxa"/>
            <w:tcBorders>
              <w:top w:val="nil"/>
              <w:left w:val="single" w:sz="4" w:space="0" w:color="auto"/>
              <w:bottom w:val="single" w:sz="4" w:space="0" w:color="auto"/>
              <w:right w:val="single" w:sz="4" w:space="0" w:color="auto"/>
            </w:tcBorders>
            <w:shd w:val="clear" w:color="000000" w:fill="FFFFFF"/>
            <w:vAlign w:val="center"/>
            <w:hideMark/>
          </w:tcPr>
          <w:p w:rsidR="008C6725" w:rsidRPr="00E648E0" w:rsidRDefault="008C6725" w:rsidP="00802E2B">
            <w:pPr>
              <w:jc w:val="cente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PR-11-INN-51</w:t>
            </w:r>
          </w:p>
        </w:tc>
        <w:tc>
          <w:tcPr>
            <w:tcW w:w="3420" w:type="dxa"/>
            <w:tcBorders>
              <w:top w:val="nil"/>
              <w:left w:val="nil"/>
              <w:bottom w:val="single" w:sz="4" w:space="0" w:color="auto"/>
              <w:right w:val="single" w:sz="4" w:space="0" w:color="auto"/>
            </w:tcBorders>
            <w:shd w:val="clear" w:color="000000" w:fill="FFFFFF"/>
            <w:noWrap/>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Mejora de producto</w:t>
            </w:r>
          </w:p>
        </w:tc>
        <w:tc>
          <w:tcPr>
            <w:tcW w:w="2100" w:type="dxa"/>
            <w:tcBorders>
              <w:top w:val="nil"/>
              <w:left w:val="nil"/>
              <w:bottom w:val="single" w:sz="4" w:space="0" w:color="auto"/>
              <w:right w:val="single" w:sz="4" w:space="0" w:color="auto"/>
            </w:tcBorders>
            <w:shd w:val="clear" w:color="000000" w:fill="FFFFFF"/>
            <w:hideMark/>
          </w:tcPr>
          <w:p w:rsidR="008C6725" w:rsidRPr="00E648E0" w:rsidRDefault="008C6725" w:rsidP="00802E2B">
            <w:pPr>
              <w:rPr>
                <w:rFonts w:asciiTheme="minorHAnsi" w:eastAsia="Times New Roman" w:hAnsiTheme="minorHAnsi" w:cstheme="minorHAnsi"/>
                <w:color w:val="000000"/>
                <w:sz w:val="20"/>
                <w:szCs w:val="20"/>
              </w:rPr>
            </w:pPr>
            <w:r w:rsidRPr="00E648E0">
              <w:rPr>
                <w:rFonts w:asciiTheme="minorHAnsi" w:eastAsia="Times New Roman" w:hAnsiTheme="minorHAnsi" w:cstheme="minorHAnsi"/>
                <w:color w:val="000000"/>
                <w:sz w:val="20"/>
                <w:szCs w:val="20"/>
              </w:rPr>
              <w:t>Nacional</w:t>
            </w:r>
          </w:p>
        </w:tc>
      </w:tr>
    </w:tbl>
    <w:p w:rsidR="008C6725" w:rsidRPr="00171404" w:rsidRDefault="008C6725" w:rsidP="008C6725">
      <w:pPr>
        <w:rPr>
          <w:rFonts w:asciiTheme="minorHAnsi" w:eastAsia="Times New Roman" w:hAnsiTheme="minorHAnsi" w:cstheme="minorHAnsi"/>
          <w:color w:val="000000" w:themeColor="text1"/>
          <w:sz w:val="18"/>
          <w:szCs w:val="18"/>
          <w:lang w:eastAsia="es-AR"/>
        </w:rPr>
      </w:pPr>
      <w:r>
        <w:rPr>
          <w:rFonts w:asciiTheme="minorHAnsi" w:eastAsia="Times New Roman" w:hAnsiTheme="minorHAnsi" w:cstheme="minorHAnsi"/>
          <w:color w:val="000000" w:themeColor="text1"/>
          <w:sz w:val="20"/>
          <w:szCs w:val="20"/>
          <w:lang w:eastAsia="es-AR"/>
        </w:rPr>
        <w:tab/>
      </w:r>
      <w:r w:rsidRPr="00171404">
        <w:rPr>
          <w:rFonts w:asciiTheme="minorHAnsi" w:eastAsia="Times New Roman" w:hAnsiTheme="minorHAnsi" w:cstheme="minorHAnsi"/>
          <w:color w:val="000000" w:themeColor="text1"/>
          <w:sz w:val="18"/>
          <w:szCs w:val="18"/>
          <w:lang w:eastAsia="es-AR"/>
        </w:rPr>
        <w:t>Fuente: Innovos Group en base a las visitas a emp</w:t>
      </w:r>
      <w:r>
        <w:rPr>
          <w:rFonts w:asciiTheme="minorHAnsi" w:eastAsia="Times New Roman" w:hAnsiTheme="minorHAnsi" w:cstheme="minorHAnsi"/>
          <w:color w:val="000000" w:themeColor="text1"/>
          <w:sz w:val="18"/>
          <w:szCs w:val="18"/>
          <w:lang w:eastAsia="es-AR"/>
        </w:rPr>
        <w:t>resas y al análisis de carpetas</w:t>
      </w:r>
    </w:p>
    <w:p w:rsidR="008C6725" w:rsidRPr="009C5303" w:rsidRDefault="008C6725" w:rsidP="008C6725">
      <w:pPr>
        <w:rPr>
          <w:rFonts w:ascii="Arial" w:eastAsia="Times New Roman" w:hAnsi="Arial" w:cs="Arial"/>
          <w:color w:val="000000" w:themeColor="text1"/>
          <w:sz w:val="22"/>
          <w:szCs w:val="22"/>
          <w:lang w:eastAsia="es-AR"/>
        </w:rPr>
      </w:pPr>
    </w:p>
    <w:p w:rsidR="008C6725" w:rsidRPr="007571BE" w:rsidRDefault="008C6725" w:rsidP="008C6725">
      <w:pPr>
        <w:spacing w:after="200" w:line="276" w:lineRule="auto"/>
        <w:jc w:val="both"/>
        <w:rPr>
          <w:rFonts w:asciiTheme="minorHAnsi" w:eastAsia="Times New Roman" w:hAnsiTheme="minorHAnsi" w:cstheme="minorHAnsi"/>
          <w:color w:val="000000" w:themeColor="text1"/>
          <w:lang w:eastAsia="es-AR"/>
        </w:rPr>
      </w:pPr>
      <w:r w:rsidRPr="007571BE">
        <w:rPr>
          <w:rFonts w:asciiTheme="minorHAnsi" w:eastAsia="Times New Roman" w:hAnsiTheme="minorHAnsi" w:cstheme="minorHAnsi"/>
          <w:color w:val="000000" w:themeColor="text1"/>
          <w:lang w:eastAsia="es-AR"/>
        </w:rPr>
        <w:t>Cuatro proyectos desarrollan un nuevo producto o un nuevo proceso, claramente diferenciado respecto de otros productos o procesos del mismo tipo en Paraguay o en otros países.</w:t>
      </w:r>
      <w:r>
        <w:rPr>
          <w:rFonts w:asciiTheme="minorHAnsi" w:eastAsia="Times New Roman" w:hAnsiTheme="minorHAnsi" w:cstheme="minorHAnsi"/>
          <w:color w:val="000000" w:themeColor="text1"/>
          <w:lang w:eastAsia="es-AR"/>
        </w:rPr>
        <w:t xml:space="preserve"> </w:t>
      </w:r>
      <w:r w:rsidRPr="007571BE">
        <w:rPr>
          <w:rFonts w:asciiTheme="minorHAnsi" w:eastAsia="Times New Roman" w:hAnsiTheme="minorHAnsi" w:cstheme="minorHAnsi"/>
          <w:color w:val="000000" w:themeColor="text1"/>
          <w:lang w:eastAsia="es-AR"/>
        </w:rPr>
        <w:t>Nueve proyectos introducen mejoras a productos o a procesos que ya están en operación en Paraguay o en otros países.</w:t>
      </w:r>
      <w:r>
        <w:rPr>
          <w:rFonts w:asciiTheme="minorHAnsi" w:eastAsia="Times New Roman" w:hAnsiTheme="minorHAnsi" w:cstheme="minorHAnsi"/>
          <w:color w:val="000000" w:themeColor="text1"/>
          <w:lang w:eastAsia="es-AR"/>
        </w:rPr>
        <w:t xml:space="preserve"> </w:t>
      </w:r>
      <w:r w:rsidRPr="007571BE">
        <w:rPr>
          <w:rFonts w:asciiTheme="minorHAnsi" w:eastAsia="Times New Roman" w:hAnsiTheme="minorHAnsi" w:cstheme="minorHAnsi"/>
          <w:color w:val="000000" w:themeColor="text1"/>
          <w:lang w:eastAsia="es-AR"/>
        </w:rPr>
        <w:t>Dos proyectos son adaptaciones, a una realidad particular, de productos o procesos que ya existen y dos proyectos consisten en la adquisición de bienes de capital y transferencia de tecnología para implementar un nuevo proceso o servicio en Paraguay.</w:t>
      </w:r>
    </w:p>
    <w:p w:rsidR="008C6725" w:rsidRPr="007571BE" w:rsidRDefault="006F1343" w:rsidP="008C6725">
      <w:pPr>
        <w:spacing w:after="200" w:line="276" w:lineRule="auto"/>
        <w:jc w:val="center"/>
        <w:rPr>
          <w:rFonts w:asciiTheme="minorHAnsi" w:eastAsia="Times New Roman" w:hAnsiTheme="minorHAnsi" w:cstheme="minorHAnsi"/>
          <w:b/>
          <w:color w:val="000000" w:themeColor="text1"/>
          <w:lang w:eastAsia="es-AR"/>
        </w:rPr>
      </w:pPr>
      <w:r>
        <w:rPr>
          <w:rFonts w:asciiTheme="minorHAnsi" w:eastAsia="Times New Roman" w:hAnsiTheme="minorHAnsi" w:cstheme="minorHAnsi"/>
          <w:b/>
          <w:color w:val="000000" w:themeColor="text1"/>
          <w:lang w:eastAsia="es-AR"/>
        </w:rPr>
        <w:t>Tabla 5.11</w:t>
      </w:r>
      <w:r w:rsidR="008C6725" w:rsidRPr="007571BE">
        <w:rPr>
          <w:rFonts w:asciiTheme="minorHAnsi" w:eastAsia="Times New Roman" w:hAnsiTheme="minorHAnsi" w:cstheme="minorHAnsi"/>
          <w:b/>
          <w:color w:val="000000" w:themeColor="text1"/>
          <w:lang w:eastAsia="es-AR"/>
        </w:rPr>
        <w:t>. Resumen de apreciación del tipo de innovaciones</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0"/>
        <w:gridCol w:w="1971"/>
      </w:tblGrid>
      <w:tr w:rsidR="008C6725" w:rsidRPr="00AF0BE4" w:rsidTr="00802E2B">
        <w:trPr>
          <w:trHeight w:val="300"/>
          <w:jc w:val="center"/>
        </w:trPr>
        <w:tc>
          <w:tcPr>
            <w:tcW w:w="4120" w:type="dxa"/>
            <w:shd w:val="clear" w:color="auto" w:fill="0F243E" w:themeFill="text2" w:themeFillShade="80"/>
            <w:noWrap/>
            <w:vAlign w:val="bottom"/>
          </w:tcPr>
          <w:p w:rsidR="008C6725" w:rsidRPr="00AF0BE4" w:rsidRDefault="008C6725" w:rsidP="00802E2B">
            <w:pPr>
              <w:jc w:val="center"/>
              <w:rPr>
                <w:rFonts w:ascii="Calibri" w:eastAsia="Times New Roman" w:hAnsi="Calibri" w:cs="Calibri"/>
                <w:b/>
                <w:color w:val="FFFFFF" w:themeColor="background1"/>
                <w:sz w:val="20"/>
                <w:szCs w:val="20"/>
              </w:rPr>
            </w:pPr>
            <w:r w:rsidRPr="00AF0BE4">
              <w:rPr>
                <w:rFonts w:ascii="Calibri" w:eastAsia="Times New Roman" w:hAnsi="Calibri" w:cs="Calibri"/>
                <w:b/>
                <w:color w:val="FFFFFF" w:themeColor="background1"/>
                <w:sz w:val="20"/>
                <w:szCs w:val="20"/>
              </w:rPr>
              <w:t>Tipo de innovación</w:t>
            </w:r>
          </w:p>
        </w:tc>
        <w:tc>
          <w:tcPr>
            <w:tcW w:w="1971" w:type="dxa"/>
            <w:shd w:val="clear" w:color="auto" w:fill="0F243E" w:themeFill="text2" w:themeFillShade="80"/>
            <w:noWrap/>
            <w:vAlign w:val="bottom"/>
          </w:tcPr>
          <w:p w:rsidR="008C6725" w:rsidRPr="00AF0BE4" w:rsidRDefault="008C6725" w:rsidP="00802E2B">
            <w:pPr>
              <w:jc w:val="center"/>
              <w:rPr>
                <w:rFonts w:ascii="Calibri" w:eastAsia="Times New Roman" w:hAnsi="Calibri" w:cs="Calibri"/>
                <w:b/>
                <w:color w:val="FFFFFF" w:themeColor="background1"/>
                <w:sz w:val="20"/>
                <w:szCs w:val="20"/>
              </w:rPr>
            </w:pPr>
            <w:r w:rsidRPr="00AF0BE4">
              <w:rPr>
                <w:rFonts w:ascii="Calibri" w:eastAsia="Times New Roman" w:hAnsi="Calibri" w:cs="Calibri"/>
                <w:b/>
                <w:color w:val="FFFFFF" w:themeColor="background1"/>
                <w:sz w:val="20"/>
                <w:szCs w:val="20"/>
              </w:rPr>
              <w:t>Cantidad</w:t>
            </w:r>
          </w:p>
        </w:tc>
      </w:tr>
      <w:tr w:rsidR="008C6725" w:rsidRPr="007571BE" w:rsidTr="00802E2B">
        <w:trPr>
          <w:trHeight w:val="300"/>
          <w:jc w:val="center"/>
        </w:trPr>
        <w:tc>
          <w:tcPr>
            <w:tcW w:w="4120" w:type="dxa"/>
            <w:shd w:val="clear" w:color="auto" w:fill="auto"/>
            <w:noWrap/>
            <w:vAlign w:val="bottom"/>
            <w:hideMark/>
          </w:tcPr>
          <w:p w:rsidR="008C6725" w:rsidRPr="007571BE" w:rsidRDefault="008C6725" w:rsidP="00802E2B">
            <w:pPr>
              <w:rPr>
                <w:rFonts w:ascii="Calibri" w:eastAsia="Times New Roman" w:hAnsi="Calibri" w:cs="Calibri"/>
                <w:color w:val="000000"/>
                <w:sz w:val="20"/>
                <w:szCs w:val="20"/>
              </w:rPr>
            </w:pPr>
            <w:r w:rsidRPr="007571BE">
              <w:rPr>
                <w:rFonts w:ascii="Calibri" w:eastAsia="Times New Roman" w:hAnsi="Calibri" w:cs="Calibri"/>
                <w:color w:val="000000"/>
                <w:sz w:val="20"/>
                <w:szCs w:val="20"/>
              </w:rPr>
              <w:t>Adaptación</w:t>
            </w:r>
          </w:p>
        </w:tc>
        <w:tc>
          <w:tcPr>
            <w:tcW w:w="1971" w:type="dxa"/>
            <w:shd w:val="clear" w:color="auto" w:fill="auto"/>
            <w:noWrap/>
            <w:vAlign w:val="bottom"/>
            <w:hideMark/>
          </w:tcPr>
          <w:p w:rsidR="008C6725" w:rsidRPr="007571BE" w:rsidRDefault="008C6725" w:rsidP="00802E2B">
            <w:pPr>
              <w:jc w:val="center"/>
              <w:rPr>
                <w:rFonts w:ascii="Calibri" w:eastAsia="Times New Roman" w:hAnsi="Calibri" w:cs="Calibri"/>
                <w:color w:val="000000"/>
                <w:sz w:val="20"/>
                <w:szCs w:val="20"/>
              </w:rPr>
            </w:pPr>
            <w:r w:rsidRPr="007571BE">
              <w:rPr>
                <w:rFonts w:ascii="Calibri" w:eastAsia="Times New Roman" w:hAnsi="Calibri" w:cs="Calibri"/>
                <w:color w:val="000000"/>
                <w:sz w:val="20"/>
                <w:szCs w:val="20"/>
              </w:rPr>
              <w:t>2</w:t>
            </w:r>
          </w:p>
        </w:tc>
      </w:tr>
      <w:tr w:rsidR="008C6725" w:rsidRPr="007571BE" w:rsidTr="00802E2B">
        <w:trPr>
          <w:trHeight w:val="300"/>
          <w:jc w:val="center"/>
        </w:trPr>
        <w:tc>
          <w:tcPr>
            <w:tcW w:w="4120" w:type="dxa"/>
            <w:shd w:val="clear" w:color="auto" w:fill="auto"/>
            <w:noWrap/>
            <w:vAlign w:val="bottom"/>
            <w:hideMark/>
          </w:tcPr>
          <w:p w:rsidR="008C6725" w:rsidRPr="007571BE" w:rsidRDefault="008C6725" w:rsidP="00802E2B">
            <w:pPr>
              <w:rPr>
                <w:rFonts w:ascii="Calibri" w:eastAsia="Times New Roman" w:hAnsi="Calibri" w:cs="Calibri"/>
                <w:color w:val="000000"/>
                <w:sz w:val="20"/>
                <w:szCs w:val="20"/>
              </w:rPr>
            </w:pPr>
            <w:r w:rsidRPr="007571BE">
              <w:rPr>
                <w:rFonts w:asciiTheme="minorHAnsi" w:eastAsia="Times New Roman" w:hAnsiTheme="minorHAnsi" w:cstheme="minorHAnsi"/>
                <w:color w:val="000000"/>
                <w:sz w:val="20"/>
                <w:szCs w:val="20"/>
              </w:rPr>
              <w:t xml:space="preserve">Desarrollo </w:t>
            </w:r>
            <w:r w:rsidRPr="007571BE">
              <w:rPr>
                <w:rFonts w:ascii="Calibri" w:eastAsia="Times New Roman" w:hAnsi="Calibri" w:cs="Calibri"/>
                <w:color w:val="000000"/>
                <w:sz w:val="20"/>
                <w:szCs w:val="20"/>
              </w:rPr>
              <w:t>de Producto o de Proceso</w:t>
            </w:r>
          </w:p>
        </w:tc>
        <w:tc>
          <w:tcPr>
            <w:tcW w:w="1971" w:type="dxa"/>
            <w:shd w:val="clear" w:color="auto" w:fill="auto"/>
            <w:noWrap/>
            <w:vAlign w:val="bottom"/>
            <w:hideMark/>
          </w:tcPr>
          <w:p w:rsidR="008C6725" w:rsidRPr="007571BE" w:rsidRDefault="008C6725" w:rsidP="00802E2B">
            <w:pPr>
              <w:jc w:val="center"/>
              <w:rPr>
                <w:rFonts w:ascii="Calibri" w:eastAsia="Times New Roman" w:hAnsi="Calibri" w:cs="Calibri"/>
                <w:color w:val="000000"/>
                <w:sz w:val="20"/>
                <w:szCs w:val="20"/>
              </w:rPr>
            </w:pPr>
            <w:r w:rsidRPr="007571BE">
              <w:rPr>
                <w:rFonts w:ascii="Calibri" w:eastAsia="Times New Roman" w:hAnsi="Calibri" w:cs="Calibri"/>
                <w:color w:val="000000"/>
                <w:sz w:val="20"/>
                <w:szCs w:val="20"/>
              </w:rPr>
              <w:t>4</w:t>
            </w:r>
          </w:p>
        </w:tc>
      </w:tr>
      <w:tr w:rsidR="008C6725" w:rsidRPr="007571BE" w:rsidTr="00802E2B">
        <w:trPr>
          <w:trHeight w:val="300"/>
          <w:jc w:val="center"/>
        </w:trPr>
        <w:tc>
          <w:tcPr>
            <w:tcW w:w="4120" w:type="dxa"/>
            <w:shd w:val="clear" w:color="auto" w:fill="auto"/>
            <w:noWrap/>
            <w:vAlign w:val="bottom"/>
            <w:hideMark/>
          </w:tcPr>
          <w:p w:rsidR="008C6725" w:rsidRPr="007571BE" w:rsidRDefault="008C6725" w:rsidP="00802E2B">
            <w:pPr>
              <w:rPr>
                <w:rFonts w:ascii="Calibri" w:eastAsia="Times New Roman" w:hAnsi="Calibri" w:cs="Calibri"/>
                <w:color w:val="000000"/>
                <w:sz w:val="20"/>
                <w:szCs w:val="20"/>
              </w:rPr>
            </w:pPr>
            <w:r w:rsidRPr="007571BE">
              <w:rPr>
                <w:rFonts w:ascii="Calibri" w:eastAsia="Times New Roman" w:hAnsi="Calibri" w:cs="Calibri"/>
                <w:color w:val="000000"/>
                <w:sz w:val="20"/>
                <w:szCs w:val="20"/>
              </w:rPr>
              <w:t>Mejora de producto, proceso o servicio</w:t>
            </w:r>
          </w:p>
        </w:tc>
        <w:tc>
          <w:tcPr>
            <w:tcW w:w="1971" w:type="dxa"/>
            <w:shd w:val="clear" w:color="auto" w:fill="auto"/>
            <w:noWrap/>
            <w:vAlign w:val="bottom"/>
            <w:hideMark/>
          </w:tcPr>
          <w:p w:rsidR="008C6725" w:rsidRPr="007571BE" w:rsidRDefault="008C6725" w:rsidP="00802E2B">
            <w:pPr>
              <w:jc w:val="center"/>
              <w:rPr>
                <w:rFonts w:ascii="Calibri" w:eastAsia="Times New Roman" w:hAnsi="Calibri" w:cs="Calibri"/>
                <w:color w:val="000000"/>
                <w:sz w:val="20"/>
                <w:szCs w:val="20"/>
              </w:rPr>
            </w:pPr>
            <w:r w:rsidRPr="007571BE">
              <w:rPr>
                <w:rFonts w:ascii="Calibri" w:eastAsia="Times New Roman" w:hAnsi="Calibri" w:cs="Calibri"/>
                <w:color w:val="000000"/>
                <w:sz w:val="20"/>
                <w:szCs w:val="20"/>
              </w:rPr>
              <w:t>9</w:t>
            </w:r>
          </w:p>
        </w:tc>
      </w:tr>
      <w:tr w:rsidR="008C6725" w:rsidRPr="007571BE" w:rsidTr="00802E2B">
        <w:trPr>
          <w:trHeight w:val="300"/>
          <w:jc w:val="center"/>
        </w:trPr>
        <w:tc>
          <w:tcPr>
            <w:tcW w:w="4120" w:type="dxa"/>
            <w:shd w:val="clear" w:color="auto" w:fill="auto"/>
            <w:noWrap/>
            <w:vAlign w:val="bottom"/>
            <w:hideMark/>
          </w:tcPr>
          <w:p w:rsidR="008C6725" w:rsidRPr="007571BE" w:rsidRDefault="008C6725" w:rsidP="00802E2B">
            <w:pPr>
              <w:rPr>
                <w:rFonts w:ascii="Calibri" w:eastAsia="Times New Roman" w:hAnsi="Calibri" w:cs="Calibri"/>
                <w:color w:val="000000"/>
                <w:sz w:val="20"/>
                <w:szCs w:val="20"/>
              </w:rPr>
            </w:pPr>
            <w:r w:rsidRPr="007571BE">
              <w:rPr>
                <w:rFonts w:ascii="Calibri" w:eastAsia="Times New Roman" w:hAnsi="Calibri" w:cs="Calibri"/>
                <w:color w:val="000000"/>
                <w:sz w:val="20"/>
                <w:szCs w:val="20"/>
              </w:rPr>
              <w:t>Transferencia de tecnología</w:t>
            </w:r>
          </w:p>
        </w:tc>
        <w:tc>
          <w:tcPr>
            <w:tcW w:w="1971" w:type="dxa"/>
            <w:shd w:val="clear" w:color="auto" w:fill="auto"/>
            <w:noWrap/>
            <w:vAlign w:val="bottom"/>
            <w:hideMark/>
          </w:tcPr>
          <w:p w:rsidR="008C6725" w:rsidRPr="007571BE" w:rsidRDefault="008C6725" w:rsidP="00802E2B">
            <w:pPr>
              <w:jc w:val="center"/>
              <w:rPr>
                <w:rFonts w:ascii="Calibri" w:eastAsia="Times New Roman" w:hAnsi="Calibri" w:cs="Calibri"/>
                <w:color w:val="000000"/>
                <w:sz w:val="20"/>
                <w:szCs w:val="20"/>
              </w:rPr>
            </w:pPr>
            <w:r w:rsidRPr="007571BE">
              <w:rPr>
                <w:rFonts w:ascii="Calibri" w:eastAsia="Times New Roman" w:hAnsi="Calibri" w:cs="Calibri"/>
                <w:color w:val="000000"/>
                <w:sz w:val="20"/>
                <w:szCs w:val="20"/>
              </w:rPr>
              <w:t>2</w:t>
            </w:r>
          </w:p>
        </w:tc>
      </w:tr>
      <w:tr w:rsidR="008C6725" w:rsidRPr="007571BE" w:rsidTr="00802E2B">
        <w:trPr>
          <w:trHeight w:val="300"/>
          <w:jc w:val="center"/>
        </w:trPr>
        <w:tc>
          <w:tcPr>
            <w:tcW w:w="4120" w:type="dxa"/>
            <w:shd w:val="clear" w:color="auto" w:fill="auto"/>
            <w:noWrap/>
            <w:vAlign w:val="bottom"/>
            <w:hideMark/>
          </w:tcPr>
          <w:p w:rsidR="008C6725" w:rsidRPr="007571BE" w:rsidRDefault="008C6725" w:rsidP="00802E2B">
            <w:pPr>
              <w:rPr>
                <w:rFonts w:ascii="Calibri" w:eastAsia="Times New Roman" w:hAnsi="Calibri" w:cs="Calibri"/>
                <w:color w:val="000000"/>
                <w:sz w:val="20"/>
                <w:szCs w:val="20"/>
              </w:rPr>
            </w:pPr>
            <w:r w:rsidRPr="007571BE">
              <w:rPr>
                <w:rFonts w:ascii="Calibri" w:eastAsia="Times New Roman" w:hAnsi="Calibri" w:cs="Calibri"/>
                <w:color w:val="000000"/>
                <w:sz w:val="20"/>
                <w:szCs w:val="20"/>
              </w:rPr>
              <w:t>Sin innovación ni mejoras</w:t>
            </w:r>
          </w:p>
        </w:tc>
        <w:tc>
          <w:tcPr>
            <w:tcW w:w="1971" w:type="dxa"/>
            <w:shd w:val="clear" w:color="auto" w:fill="auto"/>
            <w:noWrap/>
            <w:vAlign w:val="bottom"/>
            <w:hideMark/>
          </w:tcPr>
          <w:p w:rsidR="008C6725" w:rsidRPr="007571BE" w:rsidRDefault="008C6725" w:rsidP="00802E2B">
            <w:pPr>
              <w:jc w:val="center"/>
              <w:rPr>
                <w:rFonts w:ascii="Calibri" w:eastAsia="Times New Roman" w:hAnsi="Calibri" w:cs="Calibri"/>
                <w:color w:val="000000"/>
                <w:sz w:val="20"/>
                <w:szCs w:val="20"/>
              </w:rPr>
            </w:pPr>
            <w:r w:rsidRPr="007571BE">
              <w:rPr>
                <w:rFonts w:ascii="Calibri" w:eastAsia="Times New Roman" w:hAnsi="Calibri" w:cs="Calibri"/>
                <w:color w:val="000000"/>
                <w:sz w:val="20"/>
                <w:szCs w:val="20"/>
              </w:rPr>
              <w:t>1</w:t>
            </w:r>
          </w:p>
        </w:tc>
      </w:tr>
      <w:tr w:rsidR="008C6725" w:rsidRPr="007571BE" w:rsidTr="00802E2B">
        <w:trPr>
          <w:trHeight w:val="300"/>
          <w:jc w:val="center"/>
        </w:trPr>
        <w:tc>
          <w:tcPr>
            <w:tcW w:w="4120" w:type="dxa"/>
            <w:shd w:val="clear" w:color="auto" w:fill="auto"/>
            <w:noWrap/>
            <w:vAlign w:val="bottom"/>
            <w:hideMark/>
          </w:tcPr>
          <w:p w:rsidR="008C6725" w:rsidRPr="007571BE" w:rsidRDefault="008C6725" w:rsidP="00802E2B">
            <w:pPr>
              <w:rPr>
                <w:rFonts w:ascii="Calibri" w:eastAsia="Times New Roman" w:hAnsi="Calibri" w:cs="Calibri"/>
                <w:color w:val="000000"/>
                <w:sz w:val="20"/>
                <w:szCs w:val="20"/>
              </w:rPr>
            </w:pPr>
            <w:r w:rsidRPr="007571BE">
              <w:rPr>
                <w:rFonts w:ascii="Calibri" w:eastAsia="Times New Roman" w:hAnsi="Calibri" w:cs="Calibri"/>
                <w:color w:val="000000"/>
                <w:sz w:val="20"/>
                <w:szCs w:val="20"/>
              </w:rPr>
              <w:t>Total</w:t>
            </w:r>
          </w:p>
        </w:tc>
        <w:tc>
          <w:tcPr>
            <w:tcW w:w="1971" w:type="dxa"/>
            <w:shd w:val="clear" w:color="auto" w:fill="auto"/>
            <w:noWrap/>
            <w:vAlign w:val="bottom"/>
            <w:hideMark/>
          </w:tcPr>
          <w:p w:rsidR="008C6725" w:rsidRPr="007571BE" w:rsidRDefault="008C6725" w:rsidP="00802E2B">
            <w:pPr>
              <w:jc w:val="center"/>
              <w:rPr>
                <w:rFonts w:ascii="Calibri" w:eastAsia="Times New Roman" w:hAnsi="Calibri" w:cs="Calibri"/>
                <w:color w:val="000000"/>
                <w:sz w:val="20"/>
                <w:szCs w:val="20"/>
              </w:rPr>
            </w:pPr>
            <w:r w:rsidRPr="007571BE">
              <w:rPr>
                <w:rFonts w:ascii="Calibri" w:eastAsia="Times New Roman" w:hAnsi="Calibri" w:cs="Calibri"/>
                <w:color w:val="000000"/>
                <w:sz w:val="20"/>
                <w:szCs w:val="20"/>
              </w:rPr>
              <w:t>18</w:t>
            </w:r>
          </w:p>
        </w:tc>
      </w:tr>
    </w:tbl>
    <w:p w:rsidR="008C6725" w:rsidRPr="00171404" w:rsidRDefault="008C6725" w:rsidP="008C6725">
      <w:pPr>
        <w:rPr>
          <w:rFonts w:asciiTheme="minorHAnsi" w:eastAsia="Times New Roman" w:hAnsiTheme="minorHAnsi" w:cstheme="minorHAnsi"/>
          <w:color w:val="000000" w:themeColor="text1"/>
          <w:sz w:val="18"/>
          <w:szCs w:val="18"/>
          <w:lang w:eastAsia="es-AR"/>
        </w:rPr>
      </w:pPr>
      <w:r>
        <w:rPr>
          <w:rFonts w:asciiTheme="minorHAnsi" w:eastAsia="Times New Roman" w:hAnsiTheme="minorHAnsi" w:cstheme="minorHAnsi"/>
          <w:color w:val="000000" w:themeColor="text1"/>
          <w:sz w:val="20"/>
          <w:szCs w:val="20"/>
          <w:lang w:eastAsia="es-AR"/>
        </w:rPr>
        <w:tab/>
      </w:r>
      <w:r>
        <w:rPr>
          <w:rFonts w:asciiTheme="minorHAnsi" w:eastAsia="Times New Roman" w:hAnsiTheme="minorHAnsi" w:cstheme="minorHAnsi"/>
          <w:color w:val="000000" w:themeColor="text1"/>
          <w:sz w:val="20"/>
          <w:szCs w:val="20"/>
          <w:lang w:eastAsia="es-AR"/>
        </w:rPr>
        <w:tab/>
      </w:r>
      <w:r w:rsidRPr="00171404">
        <w:rPr>
          <w:rFonts w:asciiTheme="minorHAnsi" w:eastAsia="Times New Roman" w:hAnsiTheme="minorHAnsi" w:cstheme="minorHAnsi"/>
          <w:color w:val="000000" w:themeColor="text1"/>
          <w:sz w:val="18"/>
          <w:szCs w:val="18"/>
          <w:lang w:eastAsia="es-AR"/>
        </w:rPr>
        <w:t>Fuente: Innovos Group en base a las visitas a empresas y al análisis de carpetas.</w:t>
      </w:r>
    </w:p>
    <w:p w:rsidR="008C6725" w:rsidRPr="00CE3D84" w:rsidRDefault="008C6725" w:rsidP="008C6725">
      <w:pPr>
        <w:ind w:left="2880"/>
        <w:rPr>
          <w:rFonts w:ascii="Arial" w:eastAsia="Times New Roman" w:hAnsi="Arial" w:cs="Arial"/>
          <w:color w:val="000000" w:themeColor="text1"/>
          <w:sz w:val="22"/>
          <w:szCs w:val="22"/>
          <w:lang w:eastAsia="es-AR"/>
        </w:rPr>
      </w:pPr>
    </w:p>
    <w:p w:rsidR="008C6725" w:rsidRPr="007571BE" w:rsidRDefault="008C6725" w:rsidP="008C6725">
      <w:pPr>
        <w:widowControl w:val="0"/>
        <w:suppressAutoHyphens/>
        <w:spacing w:before="120" w:after="120" w:line="288" w:lineRule="auto"/>
        <w:jc w:val="both"/>
        <w:rPr>
          <w:rFonts w:asciiTheme="minorHAnsi" w:hAnsiTheme="minorHAnsi" w:cstheme="minorHAnsi"/>
          <w:color w:val="000000" w:themeColor="text1"/>
        </w:rPr>
      </w:pPr>
      <w:r w:rsidRPr="007571BE">
        <w:rPr>
          <w:rFonts w:asciiTheme="minorHAnsi" w:eastAsia="Times New Roman" w:hAnsiTheme="minorHAnsi" w:cstheme="minorHAnsi"/>
          <w:color w:val="000000" w:themeColor="text1"/>
          <w:lang w:eastAsia="es-AR"/>
        </w:rPr>
        <w:t>En lo que respecta al grado de innovación, tres proyectos no tienen réplica a nivel mundial. Se trata de</w:t>
      </w:r>
      <w:r w:rsidRPr="007571BE">
        <w:rPr>
          <w:rFonts w:asciiTheme="minorHAnsi" w:hAnsiTheme="minorHAnsi" w:cstheme="minorHAnsi"/>
          <w:color w:val="000000" w:themeColor="text1"/>
        </w:rPr>
        <w:t xml:space="preserve"> proyectos que están relacionados con especies nativas de Paraguay.</w:t>
      </w:r>
      <w:r>
        <w:rPr>
          <w:rFonts w:asciiTheme="minorHAnsi" w:hAnsiTheme="minorHAnsi" w:cstheme="minorHAnsi"/>
          <w:color w:val="000000" w:themeColor="text1"/>
        </w:rPr>
        <w:t xml:space="preserve"> </w:t>
      </w:r>
      <w:r w:rsidRPr="007571BE">
        <w:rPr>
          <w:rFonts w:asciiTheme="minorHAnsi" w:hAnsiTheme="minorHAnsi" w:cstheme="minorHAnsi"/>
          <w:color w:val="000000" w:themeColor="text1"/>
        </w:rPr>
        <w:t>La mayor parte de los proyectos, 13 en total, se pueden clasificar como innovación a nivel nacional según las categorías del Manual de Oslo.</w:t>
      </w:r>
      <w:r>
        <w:rPr>
          <w:rFonts w:asciiTheme="minorHAnsi" w:hAnsiTheme="minorHAnsi" w:cstheme="minorHAnsi"/>
          <w:color w:val="000000" w:themeColor="text1"/>
        </w:rPr>
        <w:t xml:space="preserve"> </w:t>
      </w:r>
      <w:r w:rsidRPr="007571BE">
        <w:rPr>
          <w:rFonts w:asciiTheme="minorHAnsi" w:hAnsiTheme="minorHAnsi" w:cstheme="minorHAnsi"/>
          <w:color w:val="000000" w:themeColor="text1"/>
        </w:rPr>
        <w:t xml:space="preserve">Uno de los proyectos, titulado “Servicio de Compensación, control y archivo digitalizado de cheques” es una innovación a nivel de la empresa ya que dicho servicio ya existe en Paraguay. </w:t>
      </w:r>
    </w:p>
    <w:p w:rsidR="008C6725" w:rsidRPr="007571BE" w:rsidRDefault="006F1343" w:rsidP="008C6725">
      <w:pPr>
        <w:jc w:val="center"/>
        <w:rPr>
          <w:rFonts w:asciiTheme="minorHAnsi" w:eastAsia="Times New Roman" w:hAnsiTheme="minorHAnsi" w:cstheme="minorHAnsi"/>
          <w:b/>
          <w:color w:val="000000" w:themeColor="text1"/>
          <w:lang w:eastAsia="es-AR"/>
        </w:rPr>
      </w:pPr>
      <w:r>
        <w:rPr>
          <w:rFonts w:asciiTheme="minorHAnsi" w:eastAsia="Times New Roman" w:hAnsiTheme="minorHAnsi" w:cstheme="minorHAnsi"/>
          <w:b/>
          <w:color w:val="000000" w:themeColor="text1"/>
          <w:lang w:eastAsia="es-AR"/>
        </w:rPr>
        <w:t>Tabla 5.12.</w:t>
      </w:r>
      <w:r w:rsidR="008C6725" w:rsidRPr="007571BE">
        <w:rPr>
          <w:rFonts w:asciiTheme="minorHAnsi" w:eastAsia="Times New Roman" w:hAnsiTheme="minorHAnsi" w:cstheme="minorHAnsi"/>
          <w:b/>
          <w:color w:val="000000" w:themeColor="text1"/>
          <w:lang w:eastAsia="es-AR"/>
        </w:rPr>
        <w:t xml:space="preserve"> Resumen de apreciación del grado de innovación</w:t>
      </w:r>
    </w:p>
    <w:p w:rsidR="008C6725" w:rsidRDefault="008C6725" w:rsidP="008C6725">
      <w:pPr>
        <w:ind w:left="2880"/>
        <w:jc w:val="center"/>
        <w:rPr>
          <w:rFonts w:asciiTheme="minorHAnsi" w:eastAsia="Times New Roman" w:hAnsiTheme="minorHAnsi" w:cstheme="minorHAnsi"/>
          <w:color w:val="000000" w:themeColor="text1"/>
          <w:sz w:val="20"/>
          <w:szCs w:val="20"/>
          <w:lang w:eastAsia="es-AR"/>
        </w:rPr>
      </w:pPr>
    </w:p>
    <w:tbl>
      <w:tblPr>
        <w:tblW w:w="4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2"/>
        <w:gridCol w:w="1640"/>
      </w:tblGrid>
      <w:tr w:rsidR="008C6725" w:rsidRPr="00AF0BE4" w:rsidTr="00802E2B">
        <w:trPr>
          <w:trHeight w:val="300"/>
          <w:jc w:val="center"/>
        </w:trPr>
        <w:tc>
          <w:tcPr>
            <w:tcW w:w="3132" w:type="dxa"/>
            <w:shd w:val="clear" w:color="auto" w:fill="0F243E" w:themeFill="text2" w:themeFillShade="80"/>
            <w:noWrap/>
            <w:vAlign w:val="bottom"/>
          </w:tcPr>
          <w:p w:rsidR="008C6725" w:rsidRPr="00AF0BE4" w:rsidRDefault="008C6725" w:rsidP="00802E2B">
            <w:pPr>
              <w:jc w:val="center"/>
              <w:rPr>
                <w:rFonts w:ascii="Calibri" w:eastAsia="Times New Roman" w:hAnsi="Calibri" w:cs="Calibri"/>
                <w:b/>
                <w:color w:val="FFFFFF" w:themeColor="background1"/>
                <w:sz w:val="20"/>
                <w:szCs w:val="20"/>
              </w:rPr>
            </w:pPr>
            <w:r w:rsidRPr="00AF0BE4">
              <w:rPr>
                <w:rFonts w:ascii="Calibri" w:eastAsia="Times New Roman" w:hAnsi="Calibri" w:cs="Calibri"/>
                <w:b/>
                <w:color w:val="FFFFFF" w:themeColor="background1"/>
                <w:sz w:val="20"/>
                <w:szCs w:val="20"/>
              </w:rPr>
              <w:t>Grado de innovación</w:t>
            </w:r>
          </w:p>
        </w:tc>
        <w:tc>
          <w:tcPr>
            <w:tcW w:w="1640" w:type="dxa"/>
            <w:shd w:val="clear" w:color="auto" w:fill="0F243E" w:themeFill="text2" w:themeFillShade="80"/>
            <w:noWrap/>
            <w:vAlign w:val="bottom"/>
          </w:tcPr>
          <w:p w:rsidR="008C6725" w:rsidRPr="00AF0BE4" w:rsidRDefault="008C6725" w:rsidP="00802E2B">
            <w:pPr>
              <w:jc w:val="center"/>
              <w:rPr>
                <w:rFonts w:ascii="Calibri" w:eastAsia="Times New Roman" w:hAnsi="Calibri" w:cs="Calibri"/>
                <w:b/>
                <w:color w:val="FFFFFF" w:themeColor="background1"/>
                <w:sz w:val="20"/>
                <w:szCs w:val="20"/>
              </w:rPr>
            </w:pPr>
            <w:r w:rsidRPr="00AF0BE4">
              <w:rPr>
                <w:rFonts w:ascii="Calibri" w:eastAsia="Times New Roman" w:hAnsi="Calibri" w:cs="Calibri"/>
                <w:b/>
                <w:color w:val="FFFFFF" w:themeColor="background1"/>
                <w:sz w:val="20"/>
                <w:szCs w:val="20"/>
              </w:rPr>
              <w:t>Cantidad</w:t>
            </w:r>
          </w:p>
        </w:tc>
      </w:tr>
      <w:tr w:rsidR="008C6725" w:rsidRPr="00AF0BE4" w:rsidTr="00802E2B">
        <w:trPr>
          <w:trHeight w:val="300"/>
          <w:jc w:val="center"/>
        </w:trPr>
        <w:tc>
          <w:tcPr>
            <w:tcW w:w="3132" w:type="dxa"/>
            <w:shd w:val="clear" w:color="auto" w:fill="auto"/>
            <w:noWrap/>
            <w:vAlign w:val="bottom"/>
            <w:hideMark/>
          </w:tcPr>
          <w:p w:rsidR="008C6725" w:rsidRPr="00AF0BE4" w:rsidRDefault="008C6725" w:rsidP="00802E2B">
            <w:pPr>
              <w:rPr>
                <w:rFonts w:ascii="Calibri" w:eastAsia="Times New Roman" w:hAnsi="Calibri" w:cs="Calibri"/>
                <w:color w:val="000000"/>
                <w:sz w:val="20"/>
                <w:szCs w:val="20"/>
              </w:rPr>
            </w:pPr>
            <w:r w:rsidRPr="00AF0BE4">
              <w:rPr>
                <w:rFonts w:ascii="Calibri" w:eastAsia="Times New Roman" w:hAnsi="Calibri" w:cs="Calibri"/>
                <w:color w:val="000000"/>
                <w:sz w:val="20"/>
                <w:szCs w:val="20"/>
              </w:rPr>
              <w:t>No innovativo</w:t>
            </w:r>
          </w:p>
        </w:tc>
        <w:tc>
          <w:tcPr>
            <w:tcW w:w="1640" w:type="dxa"/>
            <w:shd w:val="clear" w:color="auto" w:fill="auto"/>
            <w:noWrap/>
            <w:vAlign w:val="bottom"/>
            <w:hideMark/>
          </w:tcPr>
          <w:p w:rsidR="008C6725" w:rsidRPr="00AF0BE4" w:rsidRDefault="008C6725" w:rsidP="00802E2B">
            <w:pPr>
              <w:jc w:val="center"/>
              <w:rPr>
                <w:rFonts w:ascii="Calibri" w:eastAsia="Times New Roman" w:hAnsi="Calibri" w:cs="Calibri"/>
                <w:color w:val="000000"/>
                <w:sz w:val="20"/>
                <w:szCs w:val="20"/>
              </w:rPr>
            </w:pPr>
            <w:r w:rsidRPr="00AF0BE4">
              <w:rPr>
                <w:rFonts w:ascii="Calibri" w:eastAsia="Times New Roman" w:hAnsi="Calibri" w:cs="Calibri"/>
                <w:color w:val="000000"/>
                <w:sz w:val="20"/>
                <w:szCs w:val="20"/>
              </w:rPr>
              <w:t>1</w:t>
            </w:r>
          </w:p>
        </w:tc>
      </w:tr>
      <w:tr w:rsidR="008C6725" w:rsidRPr="00AF0BE4" w:rsidTr="00802E2B">
        <w:trPr>
          <w:trHeight w:val="300"/>
          <w:jc w:val="center"/>
        </w:trPr>
        <w:tc>
          <w:tcPr>
            <w:tcW w:w="3132" w:type="dxa"/>
            <w:shd w:val="clear" w:color="auto" w:fill="auto"/>
            <w:noWrap/>
            <w:vAlign w:val="bottom"/>
            <w:hideMark/>
          </w:tcPr>
          <w:p w:rsidR="008C6725" w:rsidRPr="00AF0BE4" w:rsidRDefault="008C6725" w:rsidP="00802E2B">
            <w:pPr>
              <w:rPr>
                <w:rFonts w:ascii="Calibri" w:eastAsia="Times New Roman" w:hAnsi="Calibri" w:cs="Calibri"/>
                <w:color w:val="000000"/>
                <w:sz w:val="20"/>
                <w:szCs w:val="20"/>
              </w:rPr>
            </w:pPr>
            <w:r w:rsidRPr="00AF0BE4">
              <w:rPr>
                <w:rFonts w:ascii="Calibri" w:eastAsia="Times New Roman" w:hAnsi="Calibri" w:cs="Calibri"/>
                <w:color w:val="000000"/>
                <w:sz w:val="20"/>
                <w:szCs w:val="20"/>
              </w:rPr>
              <w:t>Innovación en la Empresa</w:t>
            </w:r>
          </w:p>
        </w:tc>
        <w:tc>
          <w:tcPr>
            <w:tcW w:w="1640" w:type="dxa"/>
            <w:shd w:val="clear" w:color="auto" w:fill="auto"/>
            <w:noWrap/>
            <w:vAlign w:val="bottom"/>
            <w:hideMark/>
          </w:tcPr>
          <w:p w:rsidR="008C6725" w:rsidRPr="00AF0BE4" w:rsidRDefault="008C6725" w:rsidP="00802E2B">
            <w:pPr>
              <w:jc w:val="center"/>
              <w:rPr>
                <w:rFonts w:ascii="Calibri" w:eastAsia="Times New Roman" w:hAnsi="Calibri" w:cs="Calibri"/>
                <w:color w:val="000000"/>
                <w:sz w:val="20"/>
                <w:szCs w:val="20"/>
              </w:rPr>
            </w:pPr>
            <w:r w:rsidRPr="00AF0BE4">
              <w:rPr>
                <w:rFonts w:ascii="Calibri" w:eastAsia="Times New Roman" w:hAnsi="Calibri" w:cs="Calibri"/>
                <w:color w:val="000000"/>
                <w:sz w:val="20"/>
                <w:szCs w:val="20"/>
              </w:rPr>
              <w:t>1</w:t>
            </w:r>
          </w:p>
        </w:tc>
      </w:tr>
      <w:tr w:rsidR="008C6725" w:rsidRPr="00AF0BE4" w:rsidTr="00802E2B">
        <w:trPr>
          <w:trHeight w:val="300"/>
          <w:jc w:val="center"/>
        </w:trPr>
        <w:tc>
          <w:tcPr>
            <w:tcW w:w="3132" w:type="dxa"/>
            <w:shd w:val="clear" w:color="auto" w:fill="auto"/>
            <w:noWrap/>
            <w:vAlign w:val="bottom"/>
            <w:hideMark/>
          </w:tcPr>
          <w:p w:rsidR="008C6725" w:rsidRPr="00AF0BE4" w:rsidRDefault="008C6725" w:rsidP="00802E2B">
            <w:pPr>
              <w:rPr>
                <w:rFonts w:ascii="Calibri" w:eastAsia="Times New Roman" w:hAnsi="Calibri" w:cs="Calibri"/>
                <w:color w:val="000000"/>
                <w:sz w:val="20"/>
                <w:szCs w:val="20"/>
              </w:rPr>
            </w:pPr>
            <w:r w:rsidRPr="00AF0BE4">
              <w:rPr>
                <w:rFonts w:ascii="Calibri" w:eastAsia="Times New Roman" w:hAnsi="Calibri" w:cs="Calibri"/>
                <w:color w:val="000000"/>
                <w:sz w:val="20"/>
                <w:szCs w:val="20"/>
              </w:rPr>
              <w:t>Innovación Nacional</w:t>
            </w:r>
          </w:p>
        </w:tc>
        <w:tc>
          <w:tcPr>
            <w:tcW w:w="1640" w:type="dxa"/>
            <w:shd w:val="clear" w:color="auto" w:fill="auto"/>
            <w:noWrap/>
            <w:vAlign w:val="bottom"/>
            <w:hideMark/>
          </w:tcPr>
          <w:p w:rsidR="008C6725" w:rsidRPr="00AF0BE4" w:rsidRDefault="008C6725" w:rsidP="00802E2B">
            <w:pPr>
              <w:jc w:val="center"/>
              <w:rPr>
                <w:rFonts w:ascii="Calibri" w:eastAsia="Times New Roman" w:hAnsi="Calibri" w:cs="Calibri"/>
                <w:color w:val="000000"/>
                <w:sz w:val="20"/>
                <w:szCs w:val="20"/>
              </w:rPr>
            </w:pPr>
            <w:r w:rsidRPr="00AF0BE4">
              <w:rPr>
                <w:rFonts w:ascii="Calibri" w:eastAsia="Times New Roman" w:hAnsi="Calibri" w:cs="Calibri"/>
                <w:color w:val="000000"/>
                <w:sz w:val="20"/>
                <w:szCs w:val="20"/>
              </w:rPr>
              <w:t>13</w:t>
            </w:r>
          </w:p>
        </w:tc>
      </w:tr>
      <w:tr w:rsidR="008C6725" w:rsidRPr="00AF0BE4" w:rsidTr="00802E2B">
        <w:trPr>
          <w:trHeight w:val="300"/>
          <w:jc w:val="center"/>
        </w:trPr>
        <w:tc>
          <w:tcPr>
            <w:tcW w:w="3132" w:type="dxa"/>
            <w:shd w:val="clear" w:color="auto" w:fill="auto"/>
            <w:noWrap/>
            <w:vAlign w:val="bottom"/>
            <w:hideMark/>
          </w:tcPr>
          <w:p w:rsidR="008C6725" w:rsidRPr="00AF0BE4" w:rsidRDefault="008C6725" w:rsidP="00802E2B">
            <w:pPr>
              <w:rPr>
                <w:rFonts w:ascii="Calibri" w:eastAsia="Times New Roman" w:hAnsi="Calibri" w:cs="Calibri"/>
                <w:color w:val="000000"/>
                <w:sz w:val="20"/>
                <w:szCs w:val="20"/>
              </w:rPr>
            </w:pPr>
            <w:r w:rsidRPr="00AF0BE4">
              <w:rPr>
                <w:rFonts w:ascii="Calibri" w:eastAsia="Times New Roman" w:hAnsi="Calibri" w:cs="Calibri"/>
                <w:color w:val="000000"/>
                <w:sz w:val="20"/>
                <w:szCs w:val="20"/>
              </w:rPr>
              <w:t>Innovación Mundial</w:t>
            </w:r>
          </w:p>
        </w:tc>
        <w:tc>
          <w:tcPr>
            <w:tcW w:w="1640" w:type="dxa"/>
            <w:shd w:val="clear" w:color="auto" w:fill="auto"/>
            <w:noWrap/>
            <w:vAlign w:val="bottom"/>
            <w:hideMark/>
          </w:tcPr>
          <w:p w:rsidR="008C6725" w:rsidRPr="00AF0BE4" w:rsidRDefault="008C6725" w:rsidP="00802E2B">
            <w:pPr>
              <w:jc w:val="center"/>
              <w:rPr>
                <w:rFonts w:ascii="Calibri" w:eastAsia="Times New Roman" w:hAnsi="Calibri" w:cs="Calibri"/>
                <w:color w:val="000000"/>
                <w:sz w:val="20"/>
                <w:szCs w:val="20"/>
              </w:rPr>
            </w:pPr>
            <w:r w:rsidRPr="00AF0BE4">
              <w:rPr>
                <w:rFonts w:ascii="Calibri" w:eastAsia="Times New Roman" w:hAnsi="Calibri" w:cs="Calibri"/>
                <w:color w:val="000000"/>
                <w:sz w:val="20"/>
                <w:szCs w:val="20"/>
              </w:rPr>
              <w:t>3</w:t>
            </w:r>
          </w:p>
        </w:tc>
      </w:tr>
      <w:tr w:rsidR="008C6725" w:rsidRPr="00AF0BE4" w:rsidTr="00802E2B">
        <w:trPr>
          <w:trHeight w:val="300"/>
          <w:jc w:val="center"/>
        </w:trPr>
        <w:tc>
          <w:tcPr>
            <w:tcW w:w="3132" w:type="dxa"/>
            <w:shd w:val="clear" w:color="auto" w:fill="auto"/>
            <w:noWrap/>
            <w:vAlign w:val="bottom"/>
            <w:hideMark/>
          </w:tcPr>
          <w:p w:rsidR="008C6725" w:rsidRPr="00AF0BE4" w:rsidRDefault="008C6725" w:rsidP="00802E2B">
            <w:pPr>
              <w:rPr>
                <w:rFonts w:ascii="Calibri" w:eastAsia="Times New Roman" w:hAnsi="Calibri" w:cs="Calibri"/>
                <w:bCs/>
                <w:color w:val="000000"/>
                <w:sz w:val="20"/>
                <w:szCs w:val="20"/>
              </w:rPr>
            </w:pPr>
            <w:r w:rsidRPr="00AF0BE4">
              <w:rPr>
                <w:rFonts w:ascii="Calibri" w:eastAsia="Times New Roman" w:hAnsi="Calibri" w:cs="Calibri"/>
                <w:bCs/>
                <w:color w:val="000000"/>
                <w:sz w:val="20"/>
                <w:szCs w:val="20"/>
              </w:rPr>
              <w:t>Total general</w:t>
            </w:r>
          </w:p>
        </w:tc>
        <w:tc>
          <w:tcPr>
            <w:tcW w:w="1640" w:type="dxa"/>
            <w:shd w:val="clear" w:color="auto" w:fill="auto"/>
            <w:noWrap/>
            <w:vAlign w:val="bottom"/>
            <w:hideMark/>
          </w:tcPr>
          <w:p w:rsidR="008C6725" w:rsidRPr="00AF0BE4" w:rsidRDefault="008C6725" w:rsidP="00802E2B">
            <w:pPr>
              <w:jc w:val="center"/>
              <w:rPr>
                <w:rFonts w:ascii="Calibri" w:eastAsia="Times New Roman" w:hAnsi="Calibri" w:cs="Calibri"/>
                <w:bCs/>
                <w:color w:val="000000"/>
                <w:sz w:val="20"/>
                <w:szCs w:val="20"/>
              </w:rPr>
            </w:pPr>
            <w:r w:rsidRPr="00AF0BE4">
              <w:rPr>
                <w:rFonts w:ascii="Calibri" w:eastAsia="Times New Roman" w:hAnsi="Calibri" w:cs="Calibri"/>
                <w:bCs/>
                <w:color w:val="000000"/>
                <w:sz w:val="20"/>
                <w:szCs w:val="20"/>
              </w:rPr>
              <w:t>18</w:t>
            </w:r>
          </w:p>
        </w:tc>
      </w:tr>
    </w:tbl>
    <w:p w:rsidR="008C6725" w:rsidRPr="00171404" w:rsidRDefault="008C6725" w:rsidP="008C6725">
      <w:pPr>
        <w:ind w:left="2127" w:right="2034"/>
        <w:rPr>
          <w:rFonts w:asciiTheme="minorHAnsi" w:eastAsia="Times New Roman" w:hAnsiTheme="minorHAnsi" w:cstheme="minorHAnsi"/>
          <w:color w:val="000000" w:themeColor="text1"/>
          <w:sz w:val="18"/>
          <w:szCs w:val="18"/>
          <w:lang w:eastAsia="es-AR"/>
        </w:rPr>
      </w:pPr>
      <w:r w:rsidRPr="00171404">
        <w:rPr>
          <w:rFonts w:asciiTheme="minorHAnsi" w:eastAsia="Times New Roman" w:hAnsiTheme="minorHAnsi" w:cstheme="minorHAnsi"/>
          <w:color w:val="000000" w:themeColor="text1"/>
          <w:sz w:val="18"/>
          <w:szCs w:val="18"/>
          <w:lang w:eastAsia="es-AR"/>
        </w:rPr>
        <w:t>Fuente: Innovos Group en base a las visitas a emp</w:t>
      </w:r>
      <w:r>
        <w:rPr>
          <w:rFonts w:asciiTheme="minorHAnsi" w:eastAsia="Times New Roman" w:hAnsiTheme="minorHAnsi" w:cstheme="minorHAnsi"/>
          <w:color w:val="000000" w:themeColor="text1"/>
          <w:sz w:val="18"/>
          <w:szCs w:val="18"/>
          <w:lang w:eastAsia="es-AR"/>
        </w:rPr>
        <w:t>resas y al análisis de carpetas</w:t>
      </w:r>
    </w:p>
    <w:p w:rsidR="008C6725" w:rsidRDefault="008C6725" w:rsidP="008C6725">
      <w:pPr>
        <w:ind w:left="2880"/>
        <w:rPr>
          <w:rFonts w:asciiTheme="minorHAnsi" w:eastAsia="Times New Roman" w:hAnsiTheme="minorHAnsi" w:cstheme="minorHAnsi"/>
          <w:color w:val="000000" w:themeColor="text1"/>
          <w:sz w:val="20"/>
          <w:szCs w:val="20"/>
          <w:lang w:eastAsia="es-AR"/>
        </w:rPr>
      </w:pPr>
    </w:p>
    <w:p w:rsidR="008C6725" w:rsidRPr="00F11274" w:rsidRDefault="008C6725" w:rsidP="008C6725">
      <w:pPr>
        <w:widowControl w:val="0"/>
        <w:suppressAutoHyphens/>
        <w:spacing w:before="120" w:after="120" w:line="288" w:lineRule="auto"/>
        <w:jc w:val="both"/>
        <w:rPr>
          <w:rFonts w:asciiTheme="minorHAnsi" w:hAnsiTheme="minorHAnsi" w:cstheme="minorHAnsi"/>
          <w:color w:val="000000" w:themeColor="text1"/>
        </w:rPr>
      </w:pPr>
      <w:r w:rsidRPr="00F11274">
        <w:rPr>
          <w:rFonts w:asciiTheme="minorHAnsi" w:hAnsiTheme="minorHAnsi" w:cstheme="minorHAnsi"/>
          <w:color w:val="000000" w:themeColor="text1"/>
        </w:rPr>
        <w:t>La apreciación del riesgo se ha diferenciado en riesgo tecnológico y riesgo de mercado, según se ha descrito en el marco conceptual. El riesgo tecnológico se relaciona con la factibilidad de l</w:t>
      </w:r>
      <w:r>
        <w:rPr>
          <w:rFonts w:asciiTheme="minorHAnsi" w:hAnsiTheme="minorHAnsi" w:cstheme="minorHAnsi"/>
          <w:color w:val="000000" w:themeColor="text1"/>
        </w:rPr>
        <w:t>ograr un producto o proceso “</w:t>
      </w:r>
      <w:r w:rsidRPr="00F11274">
        <w:rPr>
          <w:rFonts w:asciiTheme="minorHAnsi" w:hAnsiTheme="minorHAnsi" w:cstheme="minorHAnsi"/>
          <w:color w:val="000000" w:themeColor="text1"/>
        </w:rPr>
        <w:t xml:space="preserve">funcione” mientras que el riesgo de mercado se refiere a la factibilidad de que un proceso o producto que ha sido validado en su </w:t>
      </w:r>
      <w:r w:rsidRPr="00F11274">
        <w:rPr>
          <w:rFonts w:asciiTheme="minorHAnsi" w:hAnsiTheme="minorHAnsi" w:cstheme="minorHAnsi"/>
          <w:color w:val="000000" w:themeColor="text1"/>
        </w:rPr>
        <w:lastRenderedPageBreak/>
        <w:t>funcionamiento, tenga éxito comercial.</w:t>
      </w:r>
    </w:p>
    <w:p w:rsidR="008C6725" w:rsidRDefault="008C6725" w:rsidP="008C6725">
      <w:pPr>
        <w:ind w:left="2880"/>
        <w:rPr>
          <w:rFonts w:asciiTheme="minorHAnsi" w:eastAsia="Times New Roman" w:hAnsiTheme="minorHAnsi" w:cstheme="minorHAnsi"/>
          <w:b/>
          <w:color w:val="000000" w:themeColor="text1"/>
          <w:lang w:eastAsia="es-AR"/>
        </w:rPr>
      </w:pPr>
      <w:r w:rsidRPr="00F11274">
        <w:rPr>
          <w:rFonts w:asciiTheme="minorHAnsi" w:eastAsia="Times New Roman" w:hAnsiTheme="minorHAnsi" w:cstheme="minorHAnsi"/>
          <w:b/>
          <w:color w:val="000000" w:themeColor="text1"/>
          <w:lang w:eastAsia="es-AR"/>
        </w:rPr>
        <w:t>T</w:t>
      </w:r>
      <w:r w:rsidR="00802E2B">
        <w:rPr>
          <w:rFonts w:asciiTheme="minorHAnsi" w:eastAsia="Times New Roman" w:hAnsiTheme="minorHAnsi" w:cstheme="minorHAnsi"/>
          <w:b/>
          <w:color w:val="000000" w:themeColor="text1"/>
          <w:lang w:eastAsia="es-AR"/>
        </w:rPr>
        <w:t>abla 5.1</w:t>
      </w:r>
      <w:r w:rsidR="006F1343">
        <w:rPr>
          <w:rFonts w:asciiTheme="minorHAnsi" w:eastAsia="Times New Roman" w:hAnsiTheme="minorHAnsi" w:cstheme="minorHAnsi"/>
          <w:b/>
          <w:color w:val="000000" w:themeColor="text1"/>
          <w:lang w:eastAsia="es-AR"/>
        </w:rPr>
        <w:t>3</w:t>
      </w:r>
      <w:r>
        <w:rPr>
          <w:rFonts w:asciiTheme="minorHAnsi" w:eastAsia="Times New Roman" w:hAnsiTheme="minorHAnsi" w:cstheme="minorHAnsi"/>
          <w:b/>
          <w:color w:val="000000" w:themeColor="text1"/>
          <w:lang w:eastAsia="es-AR"/>
        </w:rPr>
        <w:t>.</w:t>
      </w:r>
      <w:r w:rsidRPr="00F11274">
        <w:rPr>
          <w:rFonts w:asciiTheme="minorHAnsi" w:eastAsia="Times New Roman" w:hAnsiTheme="minorHAnsi" w:cstheme="minorHAnsi"/>
          <w:b/>
          <w:color w:val="000000" w:themeColor="text1"/>
          <w:lang w:eastAsia="es-AR"/>
        </w:rPr>
        <w:t xml:space="preserve"> Apreciación del riesgo</w:t>
      </w:r>
    </w:p>
    <w:p w:rsidR="008C6725" w:rsidRPr="00F11274" w:rsidRDefault="008C6725" w:rsidP="008C6725">
      <w:pPr>
        <w:ind w:left="2880"/>
        <w:rPr>
          <w:rFonts w:asciiTheme="minorHAnsi" w:eastAsia="Times New Roman" w:hAnsiTheme="minorHAnsi" w:cstheme="minorHAnsi"/>
          <w:b/>
          <w:color w:val="000000" w:themeColor="text1"/>
          <w:lang w:eastAsia="es-AR"/>
        </w:rPr>
      </w:pPr>
    </w:p>
    <w:tbl>
      <w:tblPr>
        <w:tblW w:w="5683" w:type="dxa"/>
        <w:jc w:val="center"/>
        <w:tblCellMar>
          <w:left w:w="70" w:type="dxa"/>
          <w:right w:w="70" w:type="dxa"/>
        </w:tblCellMar>
        <w:tblLook w:val="04A0" w:firstRow="1" w:lastRow="0" w:firstColumn="1" w:lastColumn="0" w:noHBand="0" w:noVBand="1"/>
      </w:tblPr>
      <w:tblGrid>
        <w:gridCol w:w="1714"/>
        <w:gridCol w:w="2127"/>
        <w:gridCol w:w="1842"/>
      </w:tblGrid>
      <w:tr w:rsidR="008C6725" w:rsidRPr="00AF0BE4" w:rsidTr="00802E2B">
        <w:trPr>
          <w:jc w:val="center"/>
        </w:trPr>
        <w:tc>
          <w:tcPr>
            <w:tcW w:w="1714" w:type="dxa"/>
            <w:tcBorders>
              <w:top w:val="single" w:sz="4" w:space="0" w:color="auto"/>
              <w:left w:val="single" w:sz="4" w:space="0" w:color="auto"/>
              <w:bottom w:val="single" w:sz="4" w:space="0" w:color="auto"/>
              <w:right w:val="single" w:sz="4" w:space="0" w:color="auto"/>
            </w:tcBorders>
            <w:shd w:val="clear" w:color="auto" w:fill="0F243E" w:themeFill="text2" w:themeFillShade="80"/>
            <w:hideMark/>
          </w:tcPr>
          <w:p w:rsidR="008C6725" w:rsidRPr="00AF0BE4" w:rsidRDefault="008C6725" w:rsidP="00802E2B">
            <w:pPr>
              <w:jc w:val="center"/>
              <w:rPr>
                <w:rFonts w:asciiTheme="minorHAnsi" w:eastAsia="Times New Roman" w:hAnsiTheme="minorHAnsi" w:cstheme="minorHAnsi"/>
                <w:b/>
                <w:bCs/>
                <w:color w:val="FFFFFF" w:themeColor="background1"/>
                <w:sz w:val="20"/>
                <w:szCs w:val="20"/>
              </w:rPr>
            </w:pPr>
            <w:r w:rsidRPr="00AF0BE4">
              <w:rPr>
                <w:rFonts w:asciiTheme="minorHAnsi" w:eastAsia="Times New Roman" w:hAnsiTheme="minorHAnsi" w:cstheme="minorHAnsi"/>
                <w:b/>
                <w:bCs/>
                <w:color w:val="FFFFFF" w:themeColor="background1"/>
                <w:sz w:val="20"/>
                <w:szCs w:val="20"/>
              </w:rPr>
              <w:t>Código del Proyecto</w:t>
            </w:r>
          </w:p>
        </w:tc>
        <w:tc>
          <w:tcPr>
            <w:tcW w:w="2127" w:type="dxa"/>
            <w:tcBorders>
              <w:top w:val="single" w:sz="4" w:space="0" w:color="auto"/>
              <w:left w:val="nil"/>
              <w:bottom w:val="single" w:sz="4" w:space="0" w:color="auto"/>
              <w:right w:val="single" w:sz="4" w:space="0" w:color="auto"/>
            </w:tcBorders>
            <w:shd w:val="clear" w:color="auto" w:fill="0F243E" w:themeFill="text2" w:themeFillShade="80"/>
            <w:hideMark/>
          </w:tcPr>
          <w:p w:rsidR="008C6725" w:rsidRPr="00AF0BE4" w:rsidRDefault="008C6725" w:rsidP="00802E2B">
            <w:pPr>
              <w:jc w:val="center"/>
              <w:rPr>
                <w:rFonts w:asciiTheme="minorHAnsi" w:eastAsia="Times New Roman" w:hAnsiTheme="minorHAnsi" w:cstheme="minorHAnsi"/>
                <w:b/>
                <w:bCs/>
                <w:color w:val="FFFFFF" w:themeColor="background1"/>
                <w:sz w:val="20"/>
                <w:szCs w:val="20"/>
              </w:rPr>
            </w:pPr>
            <w:r w:rsidRPr="00AF0BE4">
              <w:rPr>
                <w:rFonts w:asciiTheme="minorHAnsi" w:eastAsia="Times New Roman" w:hAnsiTheme="minorHAnsi" w:cstheme="minorHAnsi"/>
                <w:b/>
                <w:bCs/>
                <w:color w:val="FFFFFF" w:themeColor="background1"/>
                <w:sz w:val="20"/>
                <w:szCs w:val="20"/>
              </w:rPr>
              <w:t>Riesgo tecnológico</w:t>
            </w:r>
          </w:p>
        </w:tc>
        <w:tc>
          <w:tcPr>
            <w:tcW w:w="1842" w:type="dxa"/>
            <w:tcBorders>
              <w:top w:val="single" w:sz="4" w:space="0" w:color="auto"/>
              <w:left w:val="nil"/>
              <w:bottom w:val="single" w:sz="4" w:space="0" w:color="auto"/>
              <w:right w:val="single" w:sz="4" w:space="0" w:color="auto"/>
            </w:tcBorders>
            <w:shd w:val="clear" w:color="auto" w:fill="0F243E" w:themeFill="text2" w:themeFillShade="80"/>
            <w:hideMark/>
          </w:tcPr>
          <w:p w:rsidR="008C6725" w:rsidRPr="00AF0BE4" w:rsidRDefault="008C6725" w:rsidP="00802E2B">
            <w:pPr>
              <w:jc w:val="center"/>
              <w:rPr>
                <w:rFonts w:asciiTheme="minorHAnsi" w:eastAsia="Times New Roman" w:hAnsiTheme="minorHAnsi" w:cstheme="minorHAnsi"/>
                <w:b/>
                <w:bCs/>
                <w:color w:val="FFFFFF" w:themeColor="background1"/>
                <w:sz w:val="20"/>
                <w:szCs w:val="20"/>
              </w:rPr>
            </w:pPr>
            <w:r w:rsidRPr="00AF0BE4">
              <w:rPr>
                <w:rFonts w:asciiTheme="minorHAnsi" w:eastAsia="Times New Roman" w:hAnsiTheme="minorHAnsi" w:cstheme="minorHAnsi"/>
                <w:b/>
                <w:bCs/>
                <w:color w:val="FFFFFF" w:themeColor="background1"/>
                <w:sz w:val="20"/>
                <w:szCs w:val="20"/>
              </w:rPr>
              <w:t>Riesgo de mercado</w:t>
            </w:r>
          </w:p>
        </w:tc>
      </w:tr>
      <w:tr w:rsidR="008C6725" w:rsidRPr="00AF0BE4" w:rsidTr="00802E2B">
        <w:trPr>
          <w:jc w:val="center"/>
        </w:trPr>
        <w:tc>
          <w:tcPr>
            <w:tcW w:w="1714" w:type="dxa"/>
            <w:tcBorders>
              <w:top w:val="nil"/>
              <w:left w:val="single" w:sz="4" w:space="0" w:color="auto"/>
              <w:bottom w:val="single" w:sz="4" w:space="0" w:color="auto"/>
              <w:right w:val="single" w:sz="4" w:space="0" w:color="auto"/>
            </w:tcBorders>
            <w:shd w:val="clear" w:color="000000" w:fill="FFFFFF"/>
            <w:vAlign w:val="center"/>
            <w:hideMark/>
          </w:tcPr>
          <w:p w:rsidR="008C6725" w:rsidRPr="00AF0BE4" w:rsidRDefault="008C6725" w:rsidP="00802E2B">
            <w:pPr>
              <w:jc w:val="cente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INN-23</w:t>
            </w:r>
          </w:p>
        </w:tc>
        <w:tc>
          <w:tcPr>
            <w:tcW w:w="2127" w:type="dxa"/>
            <w:tcBorders>
              <w:top w:val="nil"/>
              <w:left w:val="nil"/>
              <w:bottom w:val="single" w:sz="4" w:space="0" w:color="auto"/>
              <w:right w:val="single" w:sz="4" w:space="0" w:color="auto"/>
            </w:tcBorders>
            <w:shd w:val="clear" w:color="000000" w:fill="FFFFFF"/>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alto</w:t>
            </w:r>
          </w:p>
        </w:tc>
        <w:tc>
          <w:tcPr>
            <w:tcW w:w="1842" w:type="dxa"/>
            <w:tcBorders>
              <w:top w:val="nil"/>
              <w:left w:val="nil"/>
              <w:bottom w:val="single" w:sz="4" w:space="0" w:color="auto"/>
              <w:right w:val="single" w:sz="4" w:space="0" w:color="auto"/>
            </w:tcBorders>
            <w:shd w:val="clear" w:color="000000" w:fill="FFFFFF"/>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alto</w:t>
            </w:r>
          </w:p>
        </w:tc>
      </w:tr>
      <w:tr w:rsidR="008C6725" w:rsidRPr="00AF0BE4" w:rsidTr="00802E2B">
        <w:trPr>
          <w:jc w:val="center"/>
        </w:trPr>
        <w:tc>
          <w:tcPr>
            <w:tcW w:w="1714" w:type="dxa"/>
            <w:tcBorders>
              <w:top w:val="nil"/>
              <w:left w:val="single" w:sz="4" w:space="0" w:color="auto"/>
              <w:bottom w:val="single" w:sz="4" w:space="0" w:color="auto"/>
              <w:right w:val="single" w:sz="4" w:space="0" w:color="auto"/>
            </w:tcBorders>
            <w:shd w:val="clear" w:color="B9CDE5" w:fill="FFFFFF"/>
            <w:vAlign w:val="center"/>
            <w:hideMark/>
          </w:tcPr>
          <w:p w:rsidR="008C6725" w:rsidRPr="00AF0BE4" w:rsidRDefault="008C6725" w:rsidP="00802E2B">
            <w:pPr>
              <w:jc w:val="cente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PR-09-INN-13</w:t>
            </w:r>
          </w:p>
        </w:tc>
        <w:tc>
          <w:tcPr>
            <w:tcW w:w="2127" w:type="dxa"/>
            <w:tcBorders>
              <w:top w:val="nil"/>
              <w:left w:val="nil"/>
              <w:bottom w:val="single" w:sz="4" w:space="0" w:color="auto"/>
              <w:right w:val="single" w:sz="4" w:space="0" w:color="auto"/>
            </w:tcBorders>
            <w:shd w:val="clear" w:color="000000" w:fill="FFFFFF"/>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mediano</w:t>
            </w:r>
          </w:p>
        </w:tc>
        <w:tc>
          <w:tcPr>
            <w:tcW w:w="1842" w:type="dxa"/>
            <w:tcBorders>
              <w:top w:val="nil"/>
              <w:left w:val="nil"/>
              <w:bottom w:val="single" w:sz="4" w:space="0" w:color="auto"/>
              <w:right w:val="single" w:sz="4" w:space="0" w:color="auto"/>
            </w:tcBorders>
            <w:shd w:val="clear" w:color="000000" w:fill="FFFFFF"/>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mediano</w:t>
            </w:r>
          </w:p>
        </w:tc>
      </w:tr>
      <w:tr w:rsidR="008C6725" w:rsidRPr="00AF0BE4" w:rsidTr="00802E2B">
        <w:trPr>
          <w:jc w:val="center"/>
        </w:trPr>
        <w:tc>
          <w:tcPr>
            <w:tcW w:w="1714" w:type="dxa"/>
            <w:tcBorders>
              <w:top w:val="nil"/>
              <w:left w:val="single" w:sz="4" w:space="0" w:color="auto"/>
              <w:bottom w:val="single" w:sz="4" w:space="0" w:color="auto"/>
              <w:right w:val="single" w:sz="4" w:space="0" w:color="auto"/>
            </w:tcBorders>
            <w:shd w:val="clear" w:color="B9CDE5" w:fill="FFFFFF"/>
            <w:vAlign w:val="center"/>
            <w:hideMark/>
          </w:tcPr>
          <w:p w:rsidR="008C6725" w:rsidRPr="00AF0BE4" w:rsidRDefault="008C6725" w:rsidP="00802E2B">
            <w:pPr>
              <w:jc w:val="cente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PR-09-INN-17</w:t>
            </w:r>
          </w:p>
        </w:tc>
        <w:tc>
          <w:tcPr>
            <w:tcW w:w="2127" w:type="dxa"/>
            <w:tcBorders>
              <w:top w:val="nil"/>
              <w:left w:val="nil"/>
              <w:bottom w:val="single" w:sz="4" w:space="0" w:color="auto"/>
              <w:right w:val="single" w:sz="4" w:space="0" w:color="auto"/>
            </w:tcBorders>
            <w:shd w:val="clear" w:color="000000" w:fill="FFFFFF"/>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bajo</w:t>
            </w:r>
          </w:p>
        </w:tc>
        <w:tc>
          <w:tcPr>
            <w:tcW w:w="1842" w:type="dxa"/>
            <w:tcBorders>
              <w:top w:val="nil"/>
              <w:left w:val="nil"/>
              <w:bottom w:val="single" w:sz="4" w:space="0" w:color="auto"/>
              <w:right w:val="single" w:sz="4" w:space="0" w:color="auto"/>
            </w:tcBorders>
            <w:shd w:val="clear" w:color="000000" w:fill="FFFFFF"/>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mediano</w:t>
            </w:r>
          </w:p>
        </w:tc>
      </w:tr>
      <w:tr w:rsidR="008C6725" w:rsidRPr="00AF0BE4" w:rsidTr="00802E2B">
        <w:trPr>
          <w:jc w:val="center"/>
        </w:trPr>
        <w:tc>
          <w:tcPr>
            <w:tcW w:w="1714" w:type="dxa"/>
            <w:tcBorders>
              <w:top w:val="nil"/>
              <w:left w:val="single" w:sz="4" w:space="0" w:color="auto"/>
              <w:bottom w:val="single" w:sz="4" w:space="0" w:color="auto"/>
              <w:right w:val="single" w:sz="4" w:space="0" w:color="auto"/>
            </w:tcBorders>
            <w:shd w:val="clear" w:color="000000" w:fill="FFFFFF"/>
            <w:vAlign w:val="center"/>
            <w:hideMark/>
          </w:tcPr>
          <w:p w:rsidR="008C6725" w:rsidRPr="00AF0BE4" w:rsidRDefault="008C6725" w:rsidP="00802E2B">
            <w:pPr>
              <w:jc w:val="cente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PR-09-INN-20</w:t>
            </w:r>
          </w:p>
        </w:tc>
        <w:tc>
          <w:tcPr>
            <w:tcW w:w="2127" w:type="dxa"/>
            <w:tcBorders>
              <w:top w:val="nil"/>
              <w:left w:val="nil"/>
              <w:bottom w:val="single" w:sz="4" w:space="0" w:color="auto"/>
              <w:right w:val="single" w:sz="4" w:space="0" w:color="auto"/>
            </w:tcBorders>
            <w:shd w:val="clear" w:color="000000" w:fill="FFFFFF"/>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bajo</w:t>
            </w:r>
          </w:p>
        </w:tc>
        <w:tc>
          <w:tcPr>
            <w:tcW w:w="1842" w:type="dxa"/>
            <w:tcBorders>
              <w:top w:val="nil"/>
              <w:left w:val="nil"/>
              <w:bottom w:val="single" w:sz="4" w:space="0" w:color="auto"/>
              <w:right w:val="single" w:sz="4" w:space="0" w:color="auto"/>
            </w:tcBorders>
            <w:shd w:val="clear" w:color="000000" w:fill="FFFFFF"/>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bajo</w:t>
            </w:r>
          </w:p>
        </w:tc>
      </w:tr>
      <w:tr w:rsidR="008C6725" w:rsidRPr="00AF0BE4" w:rsidTr="00802E2B">
        <w:trPr>
          <w:jc w:val="center"/>
        </w:trPr>
        <w:tc>
          <w:tcPr>
            <w:tcW w:w="1714" w:type="dxa"/>
            <w:tcBorders>
              <w:top w:val="nil"/>
              <w:left w:val="single" w:sz="4" w:space="0" w:color="auto"/>
              <w:bottom w:val="single" w:sz="4" w:space="0" w:color="auto"/>
              <w:right w:val="single" w:sz="4" w:space="0" w:color="auto"/>
            </w:tcBorders>
            <w:shd w:val="clear" w:color="000000" w:fill="FFFFFF"/>
            <w:vAlign w:val="center"/>
            <w:hideMark/>
          </w:tcPr>
          <w:p w:rsidR="008C6725" w:rsidRPr="00AF0BE4" w:rsidRDefault="008C6725" w:rsidP="00802E2B">
            <w:pPr>
              <w:jc w:val="cente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PR-09-INN-27</w:t>
            </w:r>
          </w:p>
        </w:tc>
        <w:tc>
          <w:tcPr>
            <w:tcW w:w="2127" w:type="dxa"/>
            <w:tcBorders>
              <w:top w:val="nil"/>
              <w:left w:val="nil"/>
              <w:bottom w:val="single" w:sz="4" w:space="0" w:color="auto"/>
              <w:right w:val="single" w:sz="4" w:space="0" w:color="auto"/>
            </w:tcBorders>
            <w:shd w:val="clear" w:color="000000" w:fill="FFFFFF"/>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bajo</w:t>
            </w:r>
          </w:p>
        </w:tc>
        <w:tc>
          <w:tcPr>
            <w:tcW w:w="1842" w:type="dxa"/>
            <w:tcBorders>
              <w:top w:val="nil"/>
              <w:left w:val="nil"/>
              <w:bottom w:val="single" w:sz="4" w:space="0" w:color="auto"/>
              <w:right w:val="single" w:sz="4" w:space="0" w:color="auto"/>
            </w:tcBorders>
            <w:shd w:val="clear" w:color="000000" w:fill="FFFFFF"/>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alto</w:t>
            </w:r>
          </w:p>
        </w:tc>
      </w:tr>
      <w:tr w:rsidR="008C6725" w:rsidRPr="00AF0BE4" w:rsidTr="00802E2B">
        <w:trPr>
          <w:jc w:val="center"/>
        </w:trPr>
        <w:tc>
          <w:tcPr>
            <w:tcW w:w="1714" w:type="dxa"/>
            <w:tcBorders>
              <w:top w:val="nil"/>
              <w:left w:val="single" w:sz="4" w:space="0" w:color="auto"/>
              <w:bottom w:val="single" w:sz="4" w:space="0" w:color="auto"/>
              <w:right w:val="single" w:sz="4" w:space="0" w:color="auto"/>
            </w:tcBorders>
            <w:shd w:val="clear" w:color="000000" w:fill="FFFFFF"/>
            <w:vAlign w:val="center"/>
            <w:hideMark/>
          </w:tcPr>
          <w:p w:rsidR="008C6725" w:rsidRPr="00AF0BE4" w:rsidRDefault="008C6725" w:rsidP="00802E2B">
            <w:pPr>
              <w:jc w:val="cente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PR-10-INN-33</w:t>
            </w:r>
          </w:p>
        </w:tc>
        <w:tc>
          <w:tcPr>
            <w:tcW w:w="2127" w:type="dxa"/>
            <w:tcBorders>
              <w:top w:val="nil"/>
              <w:left w:val="nil"/>
              <w:bottom w:val="single" w:sz="4" w:space="0" w:color="auto"/>
              <w:right w:val="single" w:sz="4" w:space="0" w:color="auto"/>
            </w:tcBorders>
            <w:shd w:val="clear" w:color="000000" w:fill="FFFFFF"/>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mediano</w:t>
            </w:r>
          </w:p>
        </w:tc>
        <w:tc>
          <w:tcPr>
            <w:tcW w:w="1842" w:type="dxa"/>
            <w:tcBorders>
              <w:top w:val="nil"/>
              <w:left w:val="nil"/>
              <w:bottom w:val="single" w:sz="4" w:space="0" w:color="auto"/>
              <w:right w:val="single" w:sz="4" w:space="0" w:color="auto"/>
            </w:tcBorders>
            <w:shd w:val="clear" w:color="000000" w:fill="FFFFFF"/>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bajo</w:t>
            </w:r>
          </w:p>
        </w:tc>
      </w:tr>
      <w:tr w:rsidR="008C6725" w:rsidRPr="00AF0BE4" w:rsidTr="00802E2B">
        <w:trPr>
          <w:jc w:val="center"/>
        </w:trPr>
        <w:tc>
          <w:tcPr>
            <w:tcW w:w="1714" w:type="dxa"/>
            <w:tcBorders>
              <w:top w:val="nil"/>
              <w:left w:val="single" w:sz="4" w:space="0" w:color="auto"/>
              <w:bottom w:val="single" w:sz="4" w:space="0" w:color="auto"/>
              <w:right w:val="single" w:sz="4" w:space="0" w:color="auto"/>
            </w:tcBorders>
            <w:shd w:val="clear" w:color="B9CDE5" w:fill="FFFFFF"/>
            <w:vAlign w:val="center"/>
            <w:hideMark/>
          </w:tcPr>
          <w:p w:rsidR="008C6725" w:rsidRPr="00AF0BE4" w:rsidRDefault="008C6725" w:rsidP="00802E2B">
            <w:pPr>
              <w:jc w:val="cente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PR-10-INN-35</w:t>
            </w:r>
          </w:p>
        </w:tc>
        <w:tc>
          <w:tcPr>
            <w:tcW w:w="2127" w:type="dxa"/>
            <w:tcBorders>
              <w:top w:val="nil"/>
              <w:left w:val="nil"/>
              <w:bottom w:val="single" w:sz="4" w:space="0" w:color="auto"/>
              <w:right w:val="single" w:sz="4" w:space="0" w:color="auto"/>
            </w:tcBorders>
            <w:shd w:val="clear" w:color="000000" w:fill="FFFFFF"/>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bajo</w:t>
            </w:r>
          </w:p>
        </w:tc>
        <w:tc>
          <w:tcPr>
            <w:tcW w:w="1842" w:type="dxa"/>
            <w:tcBorders>
              <w:top w:val="nil"/>
              <w:left w:val="nil"/>
              <w:bottom w:val="single" w:sz="4" w:space="0" w:color="auto"/>
              <w:right w:val="single" w:sz="4" w:space="0" w:color="auto"/>
            </w:tcBorders>
            <w:shd w:val="clear" w:color="000000" w:fill="FFFFFF"/>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mediano</w:t>
            </w:r>
          </w:p>
        </w:tc>
      </w:tr>
      <w:tr w:rsidR="008C6725" w:rsidRPr="00AF0BE4" w:rsidTr="00802E2B">
        <w:trPr>
          <w:jc w:val="center"/>
        </w:trPr>
        <w:tc>
          <w:tcPr>
            <w:tcW w:w="1714" w:type="dxa"/>
            <w:tcBorders>
              <w:top w:val="nil"/>
              <w:left w:val="single" w:sz="4" w:space="0" w:color="auto"/>
              <w:bottom w:val="single" w:sz="4" w:space="0" w:color="auto"/>
              <w:right w:val="single" w:sz="4" w:space="0" w:color="auto"/>
            </w:tcBorders>
            <w:shd w:val="clear" w:color="000000" w:fill="FFFFFF"/>
            <w:vAlign w:val="center"/>
            <w:hideMark/>
          </w:tcPr>
          <w:p w:rsidR="008C6725" w:rsidRPr="00AF0BE4" w:rsidRDefault="008C6725" w:rsidP="00802E2B">
            <w:pPr>
              <w:jc w:val="cente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PR-10-INN-39</w:t>
            </w:r>
          </w:p>
        </w:tc>
        <w:tc>
          <w:tcPr>
            <w:tcW w:w="2127" w:type="dxa"/>
            <w:tcBorders>
              <w:top w:val="nil"/>
              <w:left w:val="nil"/>
              <w:bottom w:val="single" w:sz="4" w:space="0" w:color="auto"/>
              <w:right w:val="single" w:sz="4" w:space="0" w:color="auto"/>
            </w:tcBorders>
            <w:shd w:val="clear" w:color="000000" w:fill="FFFFFF"/>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bajo</w:t>
            </w:r>
          </w:p>
        </w:tc>
        <w:tc>
          <w:tcPr>
            <w:tcW w:w="1842" w:type="dxa"/>
            <w:tcBorders>
              <w:top w:val="nil"/>
              <w:left w:val="nil"/>
              <w:bottom w:val="single" w:sz="4" w:space="0" w:color="auto"/>
              <w:right w:val="single" w:sz="4" w:space="0" w:color="auto"/>
            </w:tcBorders>
            <w:shd w:val="clear" w:color="000000" w:fill="FFFFFF"/>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bajo</w:t>
            </w:r>
          </w:p>
        </w:tc>
      </w:tr>
      <w:tr w:rsidR="008C6725" w:rsidRPr="00AF0BE4" w:rsidTr="00802E2B">
        <w:trPr>
          <w:jc w:val="center"/>
        </w:trPr>
        <w:tc>
          <w:tcPr>
            <w:tcW w:w="1714" w:type="dxa"/>
            <w:tcBorders>
              <w:top w:val="nil"/>
              <w:left w:val="single" w:sz="4" w:space="0" w:color="auto"/>
              <w:bottom w:val="single" w:sz="4" w:space="0" w:color="auto"/>
              <w:right w:val="single" w:sz="4" w:space="0" w:color="auto"/>
            </w:tcBorders>
            <w:shd w:val="clear" w:color="000000" w:fill="FFFFFF"/>
            <w:vAlign w:val="center"/>
            <w:hideMark/>
          </w:tcPr>
          <w:p w:rsidR="008C6725" w:rsidRPr="00AF0BE4" w:rsidRDefault="008C6725" w:rsidP="00802E2B">
            <w:pPr>
              <w:jc w:val="cente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PR-11-INN-41</w:t>
            </w:r>
          </w:p>
        </w:tc>
        <w:tc>
          <w:tcPr>
            <w:tcW w:w="2127" w:type="dxa"/>
            <w:tcBorders>
              <w:top w:val="nil"/>
              <w:left w:val="nil"/>
              <w:bottom w:val="single" w:sz="4" w:space="0" w:color="auto"/>
              <w:right w:val="single" w:sz="4" w:space="0" w:color="auto"/>
            </w:tcBorders>
            <w:shd w:val="clear" w:color="000000" w:fill="FFFFFF"/>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bajo</w:t>
            </w:r>
          </w:p>
        </w:tc>
        <w:tc>
          <w:tcPr>
            <w:tcW w:w="1842" w:type="dxa"/>
            <w:tcBorders>
              <w:top w:val="nil"/>
              <w:left w:val="nil"/>
              <w:bottom w:val="single" w:sz="4" w:space="0" w:color="auto"/>
              <w:right w:val="single" w:sz="4" w:space="0" w:color="auto"/>
            </w:tcBorders>
            <w:shd w:val="clear" w:color="000000" w:fill="FFFFFF"/>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mediano</w:t>
            </w:r>
          </w:p>
        </w:tc>
      </w:tr>
      <w:tr w:rsidR="008C6725" w:rsidRPr="00AF0BE4" w:rsidTr="00802E2B">
        <w:trPr>
          <w:jc w:val="center"/>
        </w:trPr>
        <w:tc>
          <w:tcPr>
            <w:tcW w:w="1714" w:type="dxa"/>
            <w:tcBorders>
              <w:top w:val="nil"/>
              <w:left w:val="single" w:sz="4" w:space="0" w:color="auto"/>
              <w:bottom w:val="single" w:sz="4" w:space="0" w:color="auto"/>
              <w:right w:val="single" w:sz="4" w:space="0" w:color="auto"/>
            </w:tcBorders>
            <w:shd w:val="clear" w:color="000000" w:fill="FFFFFF"/>
            <w:vAlign w:val="center"/>
            <w:hideMark/>
          </w:tcPr>
          <w:p w:rsidR="008C6725" w:rsidRPr="00AF0BE4" w:rsidRDefault="008C6725" w:rsidP="00802E2B">
            <w:pPr>
              <w:jc w:val="cente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INN-16</w:t>
            </w:r>
          </w:p>
        </w:tc>
        <w:tc>
          <w:tcPr>
            <w:tcW w:w="2127" w:type="dxa"/>
            <w:tcBorders>
              <w:top w:val="nil"/>
              <w:left w:val="nil"/>
              <w:bottom w:val="single" w:sz="4" w:space="0" w:color="auto"/>
              <w:right w:val="single" w:sz="4" w:space="0" w:color="auto"/>
            </w:tcBorders>
            <w:shd w:val="clear" w:color="000000" w:fill="FFFFFF"/>
            <w:noWrap/>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mediano</w:t>
            </w:r>
          </w:p>
        </w:tc>
        <w:tc>
          <w:tcPr>
            <w:tcW w:w="1842" w:type="dxa"/>
            <w:tcBorders>
              <w:top w:val="nil"/>
              <w:left w:val="nil"/>
              <w:bottom w:val="single" w:sz="4" w:space="0" w:color="auto"/>
              <w:right w:val="single" w:sz="4" w:space="0" w:color="auto"/>
            </w:tcBorders>
            <w:shd w:val="clear" w:color="000000" w:fill="FFFFFF"/>
            <w:noWrap/>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bajo</w:t>
            </w:r>
          </w:p>
        </w:tc>
      </w:tr>
      <w:tr w:rsidR="008C6725" w:rsidRPr="00AF0BE4" w:rsidTr="00802E2B">
        <w:trPr>
          <w:jc w:val="center"/>
        </w:trPr>
        <w:tc>
          <w:tcPr>
            <w:tcW w:w="1714" w:type="dxa"/>
            <w:tcBorders>
              <w:top w:val="nil"/>
              <w:left w:val="single" w:sz="4" w:space="0" w:color="auto"/>
              <w:bottom w:val="single" w:sz="4" w:space="0" w:color="auto"/>
              <w:right w:val="single" w:sz="4" w:space="0" w:color="auto"/>
            </w:tcBorders>
            <w:shd w:val="clear" w:color="000000" w:fill="FFFFFF"/>
            <w:vAlign w:val="center"/>
            <w:hideMark/>
          </w:tcPr>
          <w:p w:rsidR="008C6725" w:rsidRPr="00AF0BE4" w:rsidRDefault="008C6725" w:rsidP="00802E2B">
            <w:pPr>
              <w:jc w:val="cente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INN-24</w:t>
            </w:r>
          </w:p>
        </w:tc>
        <w:tc>
          <w:tcPr>
            <w:tcW w:w="2127" w:type="dxa"/>
            <w:tcBorders>
              <w:top w:val="nil"/>
              <w:left w:val="nil"/>
              <w:bottom w:val="single" w:sz="4" w:space="0" w:color="auto"/>
              <w:right w:val="single" w:sz="4" w:space="0" w:color="auto"/>
            </w:tcBorders>
            <w:shd w:val="clear" w:color="000000" w:fill="FFFFFF"/>
            <w:noWrap/>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alto</w:t>
            </w:r>
          </w:p>
        </w:tc>
        <w:tc>
          <w:tcPr>
            <w:tcW w:w="1842" w:type="dxa"/>
            <w:tcBorders>
              <w:top w:val="nil"/>
              <w:left w:val="nil"/>
              <w:bottom w:val="single" w:sz="4" w:space="0" w:color="auto"/>
              <w:right w:val="single" w:sz="4" w:space="0" w:color="auto"/>
            </w:tcBorders>
            <w:shd w:val="clear" w:color="000000" w:fill="FFFFFF"/>
            <w:noWrap/>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mediano</w:t>
            </w:r>
          </w:p>
        </w:tc>
      </w:tr>
      <w:tr w:rsidR="008C6725" w:rsidRPr="00AF0BE4" w:rsidTr="00802E2B">
        <w:trPr>
          <w:jc w:val="center"/>
        </w:trPr>
        <w:tc>
          <w:tcPr>
            <w:tcW w:w="1714" w:type="dxa"/>
            <w:tcBorders>
              <w:top w:val="nil"/>
              <w:left w:val="single" w:sz="4" w:space="0" w:color="auto"/>
              <w:bottom w:val="single" w:sz="4" w:space="0" w:color="auto"/>
              <w:right w:val="single" w:sz="4" w:space="0" w:color="auto"/>
            </w:tcBorders>
            <w:shd w:val="clear" w:color="000000" w:fill="FFFFFF"/>
            <w:vAlign w:val="center"/>
            <w:hideMark/>
          </w:tcPr>
          <w:p w:rsidR="008C6725" w:rsidRPr="00AF0BE4" w:rsidRDefault="008C6725" w:rsidP="00802E2B">
            <w:pPr>
              <w:jc w:val="cente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INN-08</w:t>
            </w:r>
          </w:p>
        </w:tc>
        <w:tc>
          <w:tcPr>
            <w:tcW w:w="2127" w:type="dxa"/>
            <w:tcBorders>
              <w:top w:val="nil"/>
              <w:left w:val="nil"/>
              <w:bottom w:val="single" w:sz="4" w:space="0" w:color="auto"/>
              <w:right w:val="single" w:sz="4" w:space="0" w:color="auto"/>
            </w:tcBorders>
            <w:shd w:val="clear" w:color="000000" w:fill="FFFFFF"/>
            <w:noWrap/>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bajo</w:t>
            </w:r>
          </w:p>
        </w:tc>
        <w:tc>
          <w:tcPr>
            <w:tcW w:w="1842" w:type="dxa"/>
            <w:tcBorders>
              <w:top w:val="nil"/>
              <w:left w:val="nil"/>
              <w:bottom w:val="single" w:sz="4" w:space="0" w:color="auto"/>
              <w:right w:val="single" w:sz="4" w:space="0" w:color="auto"/>
            </w:tcBorders>
            <w:shd w:val="clear" w:color="000000" w:fill="FFFFFF"/>
            <w:noWrap/>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bajo</w:t>
            </w:r>
          </w:p>
        </w:tc>
      </w:tr>
      <w:tr w:rsidR="008C6725" w:rsidRPr="00AF0BE4" w:rsidTr="00802E2B">
        <w:trPr>
          <w:jc w:val="center"/>
        </w:trPr>
        <w:tc>
          <w:tcPr>
            <w:tcW w:w="1714" w:type="dxa"/>
            <w:tcBorders>
              <w:top w:val="nil"/>
              <w:left w:val="single" w:sz="4" w:space="0" w:color="auto"/>
              <w:bottom w:val="single" w:sz="4" w:space="0" w:color="auto"/>
              <w:right w:val="single" w:sz="4" w:space="0" w:color="auto"/>
            </w:tcBorders>
            <w:shd w:val="clear" w:color="B9CDE5" w:fill="FFFFFF"/>
            <w:vAlign w:val="center"/>
            <w:hideMark/>
          </w:tcPr>
          <w:p w:rsidR="008C6725" w:rsidRPr="00AF0BE4" w:rsidRDefault="008C6725" w:rsidP="00802E2B">
            <w:pPr>
              <w:jc w:val="cente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PR-09-INN-21</w:t>
            </w:r>
          </w:p>
        </w:tc>
        <w:tc>
          <w:tcPr>
            <w:tcW w:w="2127" w:type="dxa"/>
            <w:tcBorders>
              <w:top w:val="nil"/>
              <w:left w:val="nil"/>
              <w:bottom w:val="single" w:sz="4" w:space="0" w:color="auto"/>
              <w:right w:val="single" w:sz="4" w:space="0" w:color="auto"/>
            </w:tcBorders>
            <w:shd w:val="clear" w:color="000000" w:fill="FFFFFF"/>
            <w:noWrap/>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mediano</w:t>
            </w:r>
          </w:p>
        </w:tc>
        <w:tc>
          <w:tcPr>
            <w:tcW w:w="1842" w:type="dxa"/>
            <w:tcBorders>
              <w:top w:val="nil"/>
              <w:left w:val="nil"/>
              <w:bottom w:val="single" w:sz="4" w:space="0" w:color="auto"/>
              <w:right w:val="single" w:sz="4" w:space="0" w:color="auto"/>
            </w:tcBorders>
            <w:shd w:val="clear" w:color="000000" w:fill="FFFFFF"/>
            <w:noWrap/>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bajo</w:t>
            </w:r>
          </w:p>
        </w:tc>
      </w:tr>
      <w:tr w:rsidR="008C6725" w:rsidRPr="00AF0BE4" w:rsidTr="00802E2B">
        <w:trPr>
          <w:jc w:val="center"/>
        </w:trPr>
        <w:tc>
          <w:tcPr>
            <w:tcW w:w="1714" w:type="dxa"/>
            <w:tcBorders>
              <w:top w:val="nil"/>
              <w:left w:val="single" w:sz="4" w:space="0" w:color="auto"/>
              <w:bottom w:val="single" w:sz="4" w:space="0" w:color="auto"/>
              <w:right w:val="single" w:sz="4" w:space="0" w:color="auto"/>
            </w:tcBorders>
            <w:shd w:val="clear" w:color="000000" w:fill="FFFFFF"/>
            <w:vAlign w:val="center"/>
            <w:hideMark/>
          </w:tcPr>
          <w:p w:rsidR="008C6725" w:rsidRPr="00AF0BE4" w:rsidRDefault="008C6725" w:rsidP="00802E2B">
            <w:pPr>
              <w:jc w:val="cente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PR-09-INN-25</w:t>
            </w:r>
          </w:p>
        </w:tc>
        <w:tc>
          <w:tcPr>
            <w:tcW w:w="2127" w:type="dxa"/>
            <w:tcBorders>
              <w:top w:val="nil"/>
              <w:left w:val="nil"/>
              <w:bottom w:val="single" w:sz="4" w:space="0" w:color="auto"/>
              <w:right w:val="single" w:sz="4" w:space="0" w:color="auto"/>
            </w:tcBorders>
            <w:shd w:val="clear" w:color="000000" w:fill="FFFFFF"/>
            <w:noWrap/>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bajo</w:t>
            </w:r>
          </w:p>
        </w:tc>
        <w:tc>
          <w:tcPr>
            <w:tcW w:w="1842" w:type="dxa"/>
            <w:tcBorders>
              <w:top w:val="nil"/>
              <w:left w:val="nil"/>
              <w:bottom w:val="single" w:sz="4" w:space="0" w:color="auto"/>
              <w:right w:val="single" w:sz="4" w:space="0" w:color="auto"/>
            </w:tcBorders>
            <w:shd w:val="clear" w:color="000000" w:fill="FFFFFF"/>
            <w:noWrap/>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mediano</w:t>
            </w:r>
          </w:p>
        </w:tc>
      </w:tr>
      <w:tr w:rsidR="008C6725" w:rsidRPr="00AF0BE4" w:rsidTr="00802E2B">
        <w:trPr>
          <w:jc w:val="center"/>
        </w:trPr>
        <w:tc>
          <w:tcPr>
            <w:tcW w:w="1714" w:type="dxa"/>
            <w:tcBorders>
              <w:top w:val="nil"/>
              <w:left w:val="single" w:sz="4" w:space="0" w:color="auto"/>
              <w:bottom w:val="single" w:sz="4" w:space="0" w:color="auto"/>
              <w:right w:val="single" w:sz="4" w:space="0" w:color="auto"/>
            </w:tcBorders>
            <w:shd w:val="clear" w:color="000000" w:fill="FFFFFF"/>
            <w:vAlign w:val="center"/>
            <w:hideMark/>
          </w:tcPr>
          <w:p w:rsidR="008C6725" w:rsidRPr="00AF0BE4" w:rsidRDefault="008C6725" w:rsidP="00802E2B">
            <w:pPr>
              <w:jc w:val="cente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PR-09-INN-28</w:t>
            </w:r>
          </w:p>
        </w:tc>
        <w:tc>
          <w:tcPr>
            <w:tcW w:w="2127" w:type="dxa"/>
            <w:tcBorders>
              <w:top w:val="nil"/>
              <w:left w:val="nil"/>
              <w:bottom w:val="single" w:sz="4" w:space="0" w:color="auto"/>
              <w:right w:val="single" w:sz="4" w:space="0" w:color="auto"/>
            </w:tcBorders>
            <w:shd w:val="clear" w:color="000000" w:fill="FFFFFF"/>
            <w:noWrap/>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bajo</w:t>
            </w:r>
          </w:p>
        </w:tc>
        <w:tc>
          <w:tcPr>
            <w:tcW w:w="1842" w:type="dxa"/>
            <w:tcBorders>
              <w:top w:val="nil"/>
              <w:left w:val="nil"/>
              <w:bottom w:val="single" w:sz="4" w:space="0" w:color="auto"/>
              <w:right w:val="single" w:sz="4" w:space="0" w:color="auto"/>
            </w:tcBorders>
            <w:shd w:val="clear" w:color="000000" w:fill="FFFFFF"/>
            <w:noWrap/>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mediano</w:t>
            </w:r>
          </w:p>
        </w:tc>
      </w:tr>
      <w:tr w:rsidR="008C6725" w:rsidRPr="00AF0BE4" w:rsidTr="00802E2B">
        <w:trPr>
          <w:jc w:val="center"/>
        </w:trPr>
        <w:tc>
          <w:tcPr>
            <w:tcW w:w="1714" w:type="dxa"/>
            <w:tcBorders>
              <w:top w:val="nil"/>
              <w:left w:val="single" w:sz="4" w:space="0" w:color="auto"/>
              <w:bottom w:val="single" w:sz="4" w:space="0" w:color="auto"/>
              <w:right w:val="single" w:sz="4" w:space="0" w:color="auto"/>
            </w:tcBorders>
            <w:shd w:val="clear" w:color="000000" w:fill="FFFFFF"/>
            <w:vAlign w:val="center"/>
            <w:hideMark/>
          </w:tcPr>
          <w:p w:rsidR="008C6725" w:rsidRPr="00AF0BE4" w:rsidRDefault="008C6725" w:rsidP="00802E2B">
            <w:pPr>
              <w:jc w:val="cente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PR-10-INN-34</w:t>
            </w:r>
          </w:p>
        </w:tc>
        <w:tc>
          <w:tcPr>
            <w:tcW w:w="2127" w:type="dxa"/>
            <w:tcBorders>
              <w:top w:val="nil"/>
              <w:left w:val="nil"/>
              <w:bottom w:val="single" w:sz="4" w:space="0" w:color="auto"/>
              <w:right w:val="single" w:sz="4" w:space="0" w:color="auto"/>
            </w:tcBorders>
            <w:shd w:val="clear" w:color="000000" w:fill="FFFFFF"/>
            <w:noWrap/>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bajo</w:t>
            </w:r>
          </w:p>
        </w:tc>
        <w:tc>
          <w:tcPr>
            <w:tcW w:w="1842" w:type="dxa"/>
            <w:tcBorders>
              <w:top w:val="nil"/>
              <w:left w:val="nil"/>
              <w:bottom w:val="single" w:sz="4" w:space="0" w:color="auto"/>
              <w:right w:val="single" w:sz="4" w:space="0" w:color="auto"/>
            </w:tcBorders>
            <w:shd w:val="clear" w:color="000000" w:fill="FFFFFF"/>
            <w:noWrap/>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mediano</w:t>
            </w:r>
          </w:p>
        </w:tc>
      </w:tr>
      <w:tr w:rsidR="008C6725" w:rsidRPr="00AF0BE4" w:rsidTr="00802E2B">
        <w:trPr>
          <w:jc w:val="center"/>
        </w:trPr>
        <w:tc>
          <w:tcPr>
            <w:tcW w:w="1714" w:type="dxa"/>
            <w:tcBorders>
              <w:top w:val="nil"/>
              <w:left w:val="single" w:sz="4" w:space="0" w:color="auto"/>
              <w:bottom w:val="single" w:sz="4" w:space="0" w:color="auto"/>
              <w:right w:val="single" w:sz="4" w:space="0" w:color="auto"/>
            </w:tcBorders>
            <w:shd w:val="clear" w:color="000000" w:fill="FFFFFF"/>
            <w:vAlign w:val="center"/>
            <w:hideMark/>
          </w:tcPr>
          <w:p w:rsidR="008C6725" w:rsidRPr="00AF0BE4" w:rsidRDefault="008C6725" w:rsidP="00802E2B">
            <w:pPr>
              <w:jc w:val="cente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PR-10-INN-42</w:t>
            </w:r>
          </w:p>
        </w:tc>
        <w:tc>
          <w:tcPr>
            <w:tcW w:w="2127" w:type="dxa"/>
            <w:tcBorders>
              <w:top w:val="nil"/>
              <w:left w:val="nil"/>
              <w:bottom w:val="single" w:sz="4" w:space="0" w:color="auto"/>
              <w:right w:val="single" w:sz="4" w:space="0" w:color="auto"/>
            </w:tcBorders>
            <w:shd w:val="clear" w:color="000000" w:fill="FFFFFF"/>
            <w:noWrap/>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bajo</w:t>
            </w:r>
          </w:p>
        </w:tc>
        <w:tc>
          <w:tcPr>
            <w:tcW w:w="1842" w:type="dxa"/>
            <w:tcBorders>
              <w:top w:val="nil"/>
              <w:left w:val="nil"/>
              <w:bottom w:val="single" w:sz="4" w:space="0" w:color="auto"/>
              <w:right w:val="single" w:sz="4" w:space="0" w:color="auto"/>
            </w:tcBorders>
            <w:shd w:val="clear" w:color="000000" w:fill="FFFFFF"/>
            <w:noWrap/>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mediano</w:t>
            </w:r>
          </w:p>
        </w:tc>
      </w:tr>
      <w:tr w:rsidR="008C6725" w:rsidRPr="00AF0BE4" w:rsidTr="00802E2B">
        <w:trPr>
          <w:jc w:val="center"/>
        </w:trPr>
        <w:tc>
          <w:tcPr>
            <w:tcW w:w="1714" w:type="dxa"/>
            <w:tcBorders>
              <w:top w:val="nil"/>
              <w:left w:val="single" w:sz="4" w:space="0" w:color="auto"/>
              <w:bottom w:val="single" w:sz="4" w:space="0" w:color="auto"/>
              <w:right w:val="single" w:sz="4" w:space="0" w:color="auto"/>
            </w:tcBorders>
            <w:shd w:val="clear" w:color="000000" w:fill="FFFFFF"/>
            <w:vAlign w:val="center"/>
            <w:hideMark/>
          </w:tcPr>
          <w:p w:rsidR="008C6725" w:rsidRPr="00AF0BE4" w:rsidRDefault="008C6725" w:rsidP="00802E2B">
            <w:pPr>
              <w:jc w:val="cente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PR-11-INN-51</w:t>
            </w:r>
          </w:p>
        </w:tc>
        <w:tc>
          <w:tcPr>
            <w:tcW w:w="2127" w:type="dxa"/>
            <w:tcBorders>
              <w:top w:val="nil"/>
              <w:left w:val="nil"/>
              <w:bottom w:val="single" w:sz="4" w:space="0" w:color="auto"/>
              <w:right w:val="single" w:sz="4" w:space="0" w:color="auto"/>
            </w:tcBorders>
            <w:shd w:val="clear" w:color="000000" w:fill="FFFFFF"/>
            <w:noWrap/>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mediano</w:t>
            </w:r>
          </w:p>
        </w:tc>
        <w:tc>
          <w:tcPr>
            <w:tcW w:w="1842" w:type="dxa"/>
            <w:tcBorders>
              <w:top w:val="nil"/>
              <w:left w:val="nil"/>
              <w:bottom w:val="single" w:sz="4" w:space="0" w:color="auto"/>
              <w:right w:val="single" w:sz="4" w:space="0" w:color="auto"/>
            </w:tcBorders>
            <w:shd w:val="clear" w:color="000000" w:fill="FFFFFF"/>
            <w:noWrap/>
            <w:hideMark/>
          </w:tcPr>
          <w:p w:rsidR="008C6725" w:rsidRPr="00AF0BE4" w:rsidRDefault="008C6725" w:rsidP="00802E2B">
            <w:pPr>
              <w:rPr>
                <w:rFonts w:asciiTheme="minorHAnsi" w:eastAsia="Times New Roman" w:hAnsiTheme="minorHAnsi" w:cstheme="minorHAnsi"/>
                <w:color w:val="000000"/>
                <w:sz w:val="20"/>
                <w:szCs w:val="20"/>
              </w:rPr>
            </w:pPr>
            <w:r w:rsidRPr="00AF0BE4">
              <w:rPr>
                <w:rFonts w:asciiTheme="minorHAnsi" w:eastAsia="Times New Roman" w:hAnsiTheme="minorHAnsi" w:cstheme="minorHAnsi"/>
                <w:color w:val="000000"/>
                <w:sz w:val="20"/>
                <w:szCs w:val="20"/>
              </w:rPr>
              <w:t>mediano</w:t>
            </w:r>
          </w:p>
        </w:tc>
      </w:tr>
    </w:tbl>
    <w:p w:rsidR="008C6725" w:rsidRPr="00171404" w:rsidRDefault="008C6725" w:rsidP="008C6725">
      <w:pPr>
        <w:rPr>
          <w:rFonts w:asciiTheme="minorHAnsi" w:eastAsia="Times New Roman" w:hAnsiTheme="minorHAnsi" w:cstheme="minorHAnsi"/>
          <w:color w:val="000000" w:themeColor="text1"/>
          <w:sz w:val="18"/>
          <w:szCs w:val="18"/>
          <w:lang w:eastAsia="es-AR"/>
        </w:rPr>
      </w:pPr>
      <w:r>
        <w:rPr>
          <w:rFonts w:asciiTheme="minorHAnsi" w:eastAsia="Times New Roman" w:hAnsiTheme="minorHAnsi" w:cstheme="minorHAnsi"/>
          <w:color w:val="000000" w:themeColor="text1"/>
          <w:sz w:val="20"/>
          <w:szCs w:val="20"/>
          <w:lang w:eastAsia="es-AR"/>
        </w:rPr>
        <w:tab/>
      </w:r>
      <w:r>
        <w:rPr>
          <w:rFonts w:asciiTheme="minorHAnsi" w:eastAsia="Times New Roman" w:hAnsiTheme="minorHAnsi" w:cstheme="minorHAnsi"/>
          <w:color w:val="000000" w:themeColor="text1"/>
          <w:sz w:val="20"/>
          <w:szCs w:val="20"/>
          <w:lang w:eastAsia="es-AR"/>
        </w:rPr>
        <w:tab/>
        <w:t xml:space="preserve">   </w:t>
      </w:r>
      <w:r w:rsidRPr="00171404">
        <w:rPr>
          <w:rFonts w:asciiTheme="minorHAnsi" w:eastAsia="Times New Roman" w:hAnsiTheme="minorHAnsi" w:cstheme="minorHAnsi"/>
          <w:color w:val="000000" w:themeColor="text1"/>
          <w:sz w:val="18"/>
          <w:szCs w:val="18"/>
          <w:lang w:eastAsia="es-AR"/>
        </w:rPr>
        <w:t>Fuente: Innovos Group en base a las visitas a empresas y al análisis de carpetas</w:t>
      </w:r>
    </w:p>
    <w:p w:rsidR="008C6725" w:rsidRDefault="008C6725" w:rsidP="008C6725">
      <w:pPr>
        <w:widowControl w:val="0"/>
        <w:suppressAutoHyphens/>
        <w:spacing w:after="200" w:line="276" w:lineRule="auto"/>
        <w:jc w:val="both"/>
        <w:rPr>
          <w:rFonts w:asciiTheme="minorHAnsi" w:hAnsiTheme="minorHAnsi" w:cstheme="minorHAnsi"/>
          <w:color w:val="000000" w:themeColor="text1"/>
        </w:rPr>
      </w:pPr>
    </w:p>
    <w:p w:rsidR="008C6725" w:rsidRPr="00F11274" w:rsidRDefault="008C6725" w:rsidP="008C6725">
      <w:pPr>
        <w:widowControl w:val="0"/>
        <w:suppressAutoHyphens/>
        <w:spacing w:after="200" w:line="276" w:lineRule="auto"/>
        <w:jc w:val="both"/>
        <w:rPr>
          <w:rFonts w:asciiTheme="minorHAnsi" w:hAnsiTheme="minorHAnsi" w:cstheme="minorHAnsi"/>
          <w:color w:val="000000" w:themeColor="text1"/>
        </w:rPr>
      </w:pPr>
      <w:r w:rsidRPr="00F11274">
        <w:rPr>
          <w:rFonts w:asciiTheme="minorHAnsi" w:hAnsiTheme="minorHAnsi" w:cstheme="minorHAnsi"/>
          <w:color w:val="000000" w:themeColor="text1"/>
        </w:rPr>
        <w:t>En general, se trata de proyectos de moderado nivel tecnológico y moderado impacto económico, lo cual es esperable dados los bajos montos de los subsidios.</w:t>
      </w:r>
    </w:p>
    <w:p w:rsidR="008C6725" w:rsidRPr="00F11274" w:rsidRDefault="008C6725" w:rsidP="008C6725">
      <w:pPr>
        <w:widowControl w:val="0"/>
        <w:suppressAutoHyphens/>
        <w:spacing w:after="200" w:line="276" w:lineRule="auto"/>
        <w:jc w:val="both"/>
        <w:rPr>
          <w:rFonts w:asciiTheme="minorHAnsi" w:hAnsiTheme="minorHAnsi" w:cstheme="minorHAnsi"/>
          <w:color w:val="000000" w:themeColor="text1"/>
        </w:rPr>
      </w:pPr>
      <w:r w:rsidRPr="00F11274">
        <w:rPr>
          <w:rFonts w:asciiTheme="minorHAnsi" w:hAnsiTheme="minorHAnsi" w:cstheme="minorHAnsi"/>
          <w:color w:val="000000" w:themeColor="text1"/>
        </w:rPr>
        <w:t>Once proyectos tienen un riesgo tecnológico bajo, al tratarse de adaptaciones o mejoras de productos o procesos existentes.</w:t>
      </w:r>
      <w:r>
        <w:rPr>
          <w:rFonts w:asciiTheme="minorHAnsi" w:hAnsiTheme="minorHAnsi" w:cstheme="minorHAnsi"/>
          <w:color w:val="000000" w:themeColor="text1"/>
        </w:rPr>
        <w:t xml:space="preserve"> </w:t>
      </w:r>
      <w:r w:rsidRPr="00F11274">
        <w:rPr>
          <w:rFonts w:asciiTheme="minorHAnsi" w:hAnsiTheme="minorHAnsi" w:cstheme="minorHAnsi"/>
          <w:color w:val="000000" w:themeColor="text1"/>
        </w:rPr>
        <w:t>Dos proyectos, uno de ellos que consiste en el desarrollo de un fitofármaco y otros que consiste en el desarrollo de un inoculante para soja, se estiman de riesgo alto ya que consisten en tomar especies nativas para desarrollar un nuevo producto.</w:t>
      </w:r>
      <w:r>
        <w:rPr>
          <w:rFonts w:asciiTheme="minorHAnsi" w:hAnsiTheme="minorHAnsi" w:cstheme="minorHAnsi"/>
          <w:color w:val="000000" w:themeColor="text1"/>
        </w:rPr>
        <w:t xml:space="preserve"> </w:t>
      </w:r>
      <w:r w:rsidRPr="00F11274">
        <w:rPr>
          <w:rFonts w:asciiTheme="minorHAnsi" w:hAnsiTheme="minorHAnsi" w:cstheme="minorHAnsi"/>
          <w:color w:val="000000" w:themeColor="text1"/>
        </w:rPr>
        <w:t>Respecto del riesgo de mercado, la mayoría de los proyectos tiene un riesgo mediano o alto</w:t>
      </w:r>
      <w:r>
        <w:rPr>
          <w:rFonts w:asciiTheme="minorHAnsi" w:hAnsiTheme="minorHAnsi" w:cstheme="minorHAnsi"/>
          <w:color w:val="000000" w:themeColor="text1"/>
        </w:rPr>
        <w:t>.</w:t>
      </w:r>
    </w:p>
    <w:p w:rsidR="008C6725" w:rsidRPr="00F11274" w:rsidRDefault="006F1343" w:rsidP="008C6725">
      <w:pPr>
        <w:spacing w:after="200" w:line="276" w:lineRule="auto"/>
        <w:jc w:val="center"/>
        <w:rPr>
          <w:rFonts w:asciiTheme="minorHAnsi" w:eastAsia="Times New Roman" w:hAnsiTheme="minorHAnsi" w:cstheme="minorHAnsi"/>
          <w:b/>
          <w:color w:val="000000" w:themeColor="text1"/>
          <w:lang w:eastAsia="es-AR"/>
        </w:rPr>
      </w:pPr>
      <w:r>
        <w:rPr>
          <w:rFonts w:asciiTheme="minorHAnsi" w:eastAsia="Times New Roman" w:hAnsiTheme="minorHAnsi" w:cstheme="minorHAnsi"/>
          <w:b/>
          <w:color w:val="000000" w:themeColor="text1"/>
          <w:lang w:eastAsia="es-AR"/>
        </w:rPr>
        <w:t>Tabla 5.14</w:t>
      </w:r>
      <w:r w:rsidR="008C6725">
        <w:rPr>
          <w:rFonts w:asciiTheme="minorHAnsi" w:eastAsia="Times New Roman" w:hAnsiTheme="minorHAnsi" w:cstheme="minorHAnsi"/>
          <w:b/>
          <w:color w:val="000000" w:themeColor="text1"/>
          <w:lang w:eastAsia="es-AR"/>
        </w:rPr>
        <w:t>.</w:t>
      </w:r>
      <w:r w:rsidR="008C6725" w:rsidRPr="00F11274">
        <w:rPr>
          <w:rFonts w:asciiTheme="minorHAnsi" w:eastAsia="Times New Roman" w:hAnsiTheme="minorHAnsi" w:cstheme="minorHAnsi"/>
          <w:b/>
          <w:color w:val="000000" w:themeColor="text1"/>
          <w:lang w:eastAsia="es-AR"/>
        </w:rPr>
        <w:t xml:space="preserve"> Riesgo tecnológico y riesgo de mercado</w:t>
      </w:r>
    </w:p>
    <w:tbl>
      <w:tblPr>
        <w:tblW w:w="6852" w:type="dxa"/>
        <w:jc w:val="center"/>
        <w:tblCellMar>
          <w:left w:w="70" w:type="dxa"/>
          <w:right w:w="70" w:type="dxa"/>
        </w:tblCellMar>
        <w:tblLook w:val="04A0" w:firstRow="1" w:lastRow="0" w:firstColumn="1" w:lastColumn="0" w:noHBand="0" w:noVBand="1"/>
      </w:tblPr>
      <w:tblGrid>
        <w:gridCol w:w="2020"/>
        <w:gridCol w:w="1200"/>
        <w:gridCol w:w="1028"/>
        <w:gridCol w:w="1388"/>
        <w:gridCol w:w="1216"/>
      </w:tblGrid>
      <w:tr w:rsidR="008C6725" w:rsidRPr="00F11274" w:rsidTr="00802E2B">
        <w:trPr>
          <w:trHeight w:val="300"/>
          <w:jc w:val="center"/>
        </w:trPr>
        <w:tc>
          <w:tcPr>
            <w:tcW w:w="2020" w:type="dxa"/>
            <w:tcBorders>
              <w:top w:val="nil"/>
              <w:left w:val="nil"/>
              <w:bottom w:val="single" w:sz="4" w:space="0" w:color="auto"/>
              <w:right w:val="single" w:sz="4" w:space="0" w:color="auto"/>
            </w:tcBorders>
            <w:shd w:val="clear" w:color="auto" w:fill="auto"/>
            <w:noWrap/>
            <w:vAlign w:val="center"/>
            <w:hideMark/>
          </w:tcPr>
          <w:p w:rsidR="008C6725" w:rsidRPr="00F11274" w:rsidRDefault="008C6725" w:rsidP="00802E2B">
            <w:pPr>
              <w:rPr>
                <w:rFonts w:ascii="Calibri" w:eastAsia="Times New Roman" w:hAnsi="Calibri" w:cs="Calibri"/>
                <w:color w:val="000000"/>
                <w:sz w:val="20"/>
                <w:szCs w:val="20"/>
              </w:rPr>
            </w:pPr>
          </w:p>
        </w:tc>
        <w:tc>
          <w:tcPr>
            <w:tcW w:w="4832" w:type="dxa"/>
            <w:gridSpan w:val="4"/>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rsidR="008C6725" w:rsidRPr="00AF0BE4" w:rsidRDefault="008C6725" w:rsidP="00802E2B">
            <w:pPr>
              <w:jc w:val="center"/>
              <w:rPr>
                <w:rFonts w:ascii="Calibri" w:eastAsia="Times New Roman" w:hAnsi="Calibri" w:cs="Calibri"/>
                <w:b/>
                <w:color w:val="FFFFFF" w:themeColor="background1"/>
                <w:sz w:val="20"/>
                <w:szCs w:val="20"/>
              </w:rPr>
            </w:pPr>
            <w:r w:rsidRPr="00AF0BE4">
              <w:rPr>
                <w:rFonts w:ascii="Calibri" w:eastAsia="Times New Roman" w:hAnsi="Calibri" w:cs="Calibri"/>
                <w:b/>
                <w:color w:val="FFFFFF" w:themeColor="background1"/>
                <w:sz w:val="20"/>
                <w:szCs w:val="20"/>
              </w:rPr>
              <w:t>Riesgo de mercado</w:t>
            </w:r>
          </w:p>
        </w:tc>
      </w:tr>
      <w:tr w:rsidR="008C6725" w:rsidRPr="00F11274" w:rsidTr="00802E2B">
        <w:trPr>
          <w:trHeight w:val="300"/>
          <w:jc w:val="center"/>
        </w:trPr>
        <w:tc>
          <w:tcPr>
            <w:tcW w:w="2020" w:type="dxa"/>
            <w:vMerge w:val="restart"/>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rsidR="008C6725" w:rsidRPr="00AF0BE4" w:rsidRDefault="008C6725" w:rsidP="00802E2B">
            <w:pPr>
              <w:rPr>
                <w:rFonts w:ascii="Calibri" w:eastAsia="Times New Roman" w:hAnsi="Calibri" w:cs="Calibri"/>
                <w:b/>
                <w:color w:val="FFFFFF" w:themeColor="background1"/>
                <w:sz w:val="20"/>
                <w:szCs w:val="20"/>
              </w:rPr>
            </w:pPr>
            <w:r w:rsidRPr="00AF0BE4">
              <w:rPr>
                <w:rFonts w:ascii="Calibri" w:eastAsia="Times New Roman" w:hAnsi="Calibri" w:cs="Calibri"/>
                <w:b/>
                <w:color w:val="FFFFFF" w:themeColor="background1"/>
                <w:sz w:val="20"/>
                <w:szCs w:val="20"/>
              </w:rPr>
              <w:t>Riesgo tecnológico</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rPr>
                <w:rFonts w:ascii="Calibri" w:eastAsia="Times New Roman" w:hAnsi="Calibri" w:cs="Calibri"/>
                <w:color w:val="000000"/>
                <w:sz w:val="20"/>
                <w:szCs w:val="20"/>
              </w:rPr>
            </w:pP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B</w:t>
            </w:r>
            <w:r w:rsidRPr="00F11274">
              <w:rPr>
                <w:rFonts w:ascii="Calibri" w:eastAsia="Times New Roman" w:hAnsi="Calibri" w:cs="Calibri"/>
                <w:color w:val="000000"/>
                <w:sz w:val="20"/>
                <w:szCs w:val="20"/>
              </w:rPr>
              <w:t>ajo</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M</w:t>
            </w:r>
            <w:r w:rsidRPr="00F11274">
              <w:rPr>
                <w:rFonts w:ascii="Calibri" w:eastAsia="Times New Roman" w:hAnsi="Calibri" w:cs="Calibri"/>
                <w:color w:val="000000"/>
                <w:sz w:val="20"/>
                <w:szCs w:val="20"/>
              </w:rPr>
              <w:t>ediano</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A</w:t>
            </w:r>
            <w:r w:rsidRPr="00F11274">
              <w:rPr>
                <w:rFonts w:ascii="Calibri" w:eastAsia="Times New Roman" w:hAnsi="Calibri" w:cs="Calibri"/>
                <w:color w:val="000000"/>
                <w:sz w:val="20"/>
                <w:szCs w:val="20"/>
              </w:rPr>
              <w:t>lto</w:t>
            </w:r>
          </w:p>
        </w:tc>
      </w:tr>
      <w:tr w:rsidR="008C6725" w:rsidRPr="00F11274" w:rsidTr="00802E2B">
        <w:trPr>
          <w:trHeight w:val="300"/>
          <w:jc w:val="center"/>
        </w:trPr>
        <w:tc>
          <w:tcPr>
            <w:tcW w:w="2020" w:type="dxa"/>
            <w:vMerge/>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rsidR="008C6725" w:rsidRPr="00F11274" w:rsidRDefault="008C6725" w:rsidP="00802E2B">
            <w:pPr>
              <w:rPr>
                <w:rFonts w:ascii="Calibri" w:eastAsia="Times New Roman" w:hAnsi="Calibri" w:cs="Calibri"/>
                <w:color w:val="000000"/>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rPr>
                <w:rFonts w:ascii="Calibri" w:eastAsia="Times New Roman" w:hAnsi="Calibri" w:cs="Calibri"/>
                <w:color w:val="000000"/>
                <w:sz w:val="20"/>
                <w:szCs w:val="20"/>
              </w:rPr>
            </w:pPr>
            <w:r>
              <w:rPr>
                <w:rFonts w:ascii="Calibri" w:eastAsia="Times New Roman" w:hAnsi="Calibri" w:cs="Calibri"/>
                <w:color w:val="000000"/>
                <w:sz w:val="20"/>
                <w:szCs w:val="20"/>
              </w:rPr>
              <w:t>B</w:t>
            </w:r>
            <w:r w:rsidRPr="00F11274">
              <w:rPr>
                <w:rFonts w:ascii="Calibri" w:eastAsia="Times New Roman" w:hAnsi="Calibri" w:cs="Calibri"/>
                <w:color w:val="000000"/>
                <w:sz w:val="20"/>
                <w:szCs w:val="20"/>
              </w:rPr>
              <w:t xml:space="preserve">ajo </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jc w:val="center"/>
              <w:rPr>
                <w:rFonts w:ascii="Calibri" w:eastAsia="Times New Roman" w:hAnsi="Calibri" w:cs="Calibri"/>
                <w:color w:val="000000"/>
                <w:sz w:val="20"/>
                <w:szCs w:val="20"/>
              </w:rPr>
            </w:pPr>
            <w:r w:rsidRPr="00F11274">
              <w:rPr>
                <w:rFonts w:ascii="Calibri" w:eastAsia="Times New Roman" w:hAnsi="Calibri" w:cs="Calibri"/>
                <w:color w:val="000000"/>
                <w:sz w:val="20"/>
                <w:szCs w:val="20"/>
              </w:rPr>
              <w:t>3</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jc w:val="center"/>
              <w:rPr>
                <w:rFonts w:ascii="Calibri" w:eastAsia="Times New Roman" w:hAnsi="Calibri" w:cs="Calibri"/>
                <w:color w:val="000000"/>
                <w:sz w:val="20"/>
                <w:szCs w:val="20"/>
              </w:rPr>
            </w:pPr>
            <w:r w:rsidRPr="00F11274">
              <w:rPr>
                <w:rFonts w:ascii="Calibri" w:eastAsia="Times New Roman" w:hAnsi="Calibri" w:cs="Calibri"/>
                <w:color w:val="000000"/>
                <w:sz w:val="20"/>
                <w:szCs w:val="20"/>
              </w:rPr>
              <w:t>7</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jc w:val="center"/>
              <w:rPr>
                <w:rFonts w:ascii="Calibri" w:eastAsia="Times New Roman" w:hAnsi="Calibri" w:cs="Calibri"/>
                <w:color w:val="000000"/>
                <w:sz w:val="20"/>
                <w:szCs w:val="20"/>
              </w:rPr>
            </w:pPr>
            <w:r w:rsidRPr="00F11274">
              <w:rPr>
                <w:rFonts w:ascii="Calibri" w:eastAsia="Times New Roman" w:hAnsi="Calibri" w:cs="Calibri"/>
                <w:color w:val="000000"/>
                <w:sz w:val="20"/>
                <w:szCs w:val="20"/>
              </w:rPr>
              <w:t>1</w:t>
            </w:r>
          </w:p>
        </w:tc>
      </w:tr>
      <w:tr w:rsidR="008C6725" w:rsidRPr="00F11274" w:rsidTr="00802E2B">
        <w:trPr>
          <w:trHeight w:val="300"/>
          <w:jc w:val="center"/>
        </w:trPr>
        <w:tc>
          <w:tcPr>
            <w:tcW w:w="2020" w:type="dxa"/>
            <w:vMerge/>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rsidR="008C6725" w:rsidRPr="00F11274" w:rsidRDefault="008C6725" w:rsidP="00802E2B">
            <w:pPr>
              <w:rPr>
                <w:rFonts w:ascii="Calibri" w:eastAsia="Times New Roman" w:hAnsi="Calibri" w:cs="Calibri"/>
                <w:color w:val="000000"/>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rPr>
                <w:rFonts w:ascii="Calibri" w:eastAsia="Times New Roman" w:hAnsi="Calibri" w:cs="Calibri"/>
                <w:color w:val="000000"/>
                <w:sz w:val="20"/>
                <w:szCs w:val="20"/>
              </w:rPr>
            </w:pPr>
            <w:r>
              <w:rPr>
                <w:rFonts w:ascii="Calibri" w:eastAsia="Times New Roman" w:hAnsi="Calibri" w:cs="Calibri"/>
                <w:color w:val="000000"/>
                <w:sz w:val="20"/>
                <w:szCs w:val="20"/>
              </w:rPr>
              <w:t>M</w:t>
            </w:r>
            <w:r w:rsidRPr="00F11274">
              <w:rPr>
                <w:rFonts w:ascii="Calibri" w:eastAsia="Times New Roman" w:hAnsi="Calibri" w:cs="Calibri"/>
                <w:color w:val="000000"/>
                <w:sz w:val="20"/>
                <w:szCs w:val="20"/>
              </w:rPr>
              <w:t>ediano</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jc w:val="center"/>
              <w:rPr>
                <w:rFonts w:ascii="Calibri" w:eastAsia="Times New Roman" w:hAnsi="Calibri" w:cs="Calibri"/>
                <w:color w:val="000000"/>
                <w:sz w:val="20"/>
                <w:szCs w:val="20"/>
              </w:rPr>
            </w:pPr>
            <w:r w:rsidRPr="00F11274">
              <w:rPr>
                <w:rFonts w:ascii="Calibri" w:eastAsia="Times New Roman" w:hAnsi="Calibri" w:cs="Calibri"/>
                <w:color w:val="000000"/>
                <w:sz w:val="20"/>
                <w:szCs w:val="20"/>
              </w:rPr>
              <w:t>3</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jc w:val="center"/>
              <w:rPr>
                <w:rFonts w:ascii="Calibri" w:eastAsia="Times New Roman" w:hAnsi="Calibri" w:cs="Calibri"/>
                <w:color w:val="000000"/>
                <w:sz w:val="20"/>
                <w:szCs w:val="20"/>
              </w:rPr>
            </w:pPr>
            <w:r w:rsidRPr="00F11274">
              <w:rPr>
                <w:rFonts w:ascii="Calibri" w:eastAsia="Times New Roman" w:hAnsi="Calibri" w:cs="Calibri"/>
                <w:color w:val="000000"/>
                <w:sz w:val="20"/>
                <w:szCs w:val="20"/>
              </w:rPr>
              <w:t>2</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jc w:val="center"/>
              <w:rPr>
                <w:rFonts w:ascii="Calibri" w:eastAsia="Times New Roman" w:hAnsi="Calibri" w:cs="Calibri"/>
                <w:color w:val="000000"/>
                <w:sz w:val="20"/>
                <w:szCs w:val="20"/>
              </w:rPr>
            </w:pPr>
            <w:r w:rsidRPr="00F11274">
              <w:rPr>
                <w:rFonts w:ascii="Calibri" w:eastAsia="Times New Roman" w:hAnsi="Calibri" w:cs="Calibri"/>
                <w:color w:val="000000"/>
                <w:sz w:val="20"/>
                <w:szCs w:val="20"/>
              </w:rPr>
              <w:t>0</w:t>
            </w:r>
          </w:p>
        </w:tc>
      </w:tr>
      <w:tr w:rsidR="008C6725" w:rsidRPr="00F11274" w:rsidTr="00802E2B">
        <w:trPr>
          <w:trHeight w:val="300"/>
          <w:jc w:val="center"/>
        </w:trPr>
        <w:tc>
          <w:tcPr>
            <w:tcW w:w="2020" w:type="dxa"/>
            <w:vMerge/>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rsidR="008C6725" w:rsidRPr="00F11274" w:rsidRDefault="008C6725" w:rsidP="00802E2B">
            <w:pPr>
              <w:rPr>
                <w:rFonts w:ascii="Calibri" w:eastAsia="Times New Roman" w:hAnsi="Calibri" w:cs="Calibri"/>
                <w:color w:val="000000"/>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rPr>
                <w:rFonts w:ascii="Calibri" w:eastAsia="Times New Roman" w:hAnsi="Calibri" w:cs="Calibri"/>
                <w:color w:val="000000"/>
                <w:sz w:val="20"/>
                <w:szCs w:val="20"/>
              </w:rPr>
            </w:pPr>
            <w:r>
              <w:rPr>
                <w:rFonts w:ascii="Calibri" w:eastAsia="Times New Roman" w:hAnsi="Calibri" w:cs="Calibri"/>
                <w:color w:val="000000"/>
                <w:sz w:val="20"/>
                <w:szCs w:val="20"/>
              </w:rPr>
              <w:t>A</w:t>
            </w:r>
            <w:r w:rsidRPr="00F11274">
              <w:rPr>
                <w:rFonts w:ascii="Calibri" w:eastAsia="Times New Roman" w:hAnsi="Calibri" w:cs="Calibri"/>
                <w:color w:val="000000"/>
                <w:sz w:val="20"/>
                <w:szCs w:val="20"/>
              </w:rPr>
              <w:t>lto</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jc w:val="center"/>
              <w:rPr>
                <w:rFonts w:ascii="Calibri" w:eastAsia="Times New Roman" w:hAnsi="Calibri" w:cs="Calibri"/>
                <w:color w:val="000000"/>
                <w:sz w:val="20"/>
                <w:szCs w:val="20"/>
              </w:rPr>
            </w:pPr>
            <w:r w:rsidRPr="00F11274">
              <w:rPr>
                <w:rFonts w:ascii="Calibri" w:eastAsia="Times New Roman" w:hAnsi="Calibri" w:cs="Calibri"/>
                <w:color w:val="000000"/>
                <w:sz w:val="20"/>
                <w:szCs w:val="20"/>
              </w:rPr>
              <w:t>0</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jc w:val="center"/>
              <w:rPr>
                <w:rFonts w:ascii="Calibri" w:eastAsia="Times New Roman" w:hAnsi="Calibri" w:cs="Calibri"/>
                <w:color w:val="000000"/>
                <w:sz w:val="20"/>
                <w:szCs w:val="20"/>
              </w:rPr>
            </w:pPr>
            <w:r w:rsidRPr="00F11274">
              <w:rPr>
                <w:rFonts w:ascii="Calibri" w:eastAsia="Times New Roman" w:hAnsi="Calibri" w:cs="Calibri"/>
                <w:color w:val="000000"/>
                <w:sz w:val="20"/>
                <w:szCs w:val="20"/>
              </w:rPr>
              <w:t>1</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jc w:val="center"/>
              <w:rPr>
                <w:rFonts w:ascii="Calibri" w:eastAsia="Times New Roman" w:hAnsi="Calibri" w:cs="Calibri"/>
                <w:color w:val="000000"/>
                <w:sz w:val="20"/>
                <w:szCs w:val="20"/>
              </w:rPr>
            </w:pPr>
            <w:r w:rsidRPr="00F11274">
              <w:rPr>
                <w:rFonts w:ascii="Calibri" w:eastAsia="Times New Roman" w:hAnsi="Calibri" w:cs="Calibri"/>
                <w:color w:val="000000"/>
                <w:sz w:val="20"/>
                <w:szCs w:val="20"/>
              </w:rPr>
              <w:t>1</w:t>
            </w:r>
          </w:p>
        </w:tc>
      </w:tr>
      <w:tr w:rsidR="008C6725" w:rsidRPr="00F11274" w:rsidTr="00802E2B">
        <w:trPr>
          <w:trHeight w:val="300"/>
          <w:jc w:val="center"/>
        </w:trPr>
        <w:tc>
          <w:tcPr>
            <w:tcW w:w="2020" w:type="dxa"/>
            <w:vMerge/>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rsidR="008C6725" w:rsidRPr="00F11274" w:rsidRDefault="008C6725" w:rsidP="00802E2B">
            <w:pPr>
              <w:rPr>
                <w:rFonts w:ascii="Calibri" w:eastAsia="Times New Roman" w:hAnsi="Calibri" w:cs="Calibri"/>
                <w:color w:val="000000"/>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jc w:val="center"/>
              <w:rPr>
                <w:rFonts w:ascii="Calibri" w:eastAsia="Times New Roman" w:hAnsi="Calibri" w:cs="Calibri"/>
                <w:color w:val="000000"/>
                <w:sz w:val="20"/>
                <w:szCs w:val="20"/>
              </w:rPr>
            </w:pPr>
            <w:r w:rsidRPr="00F11274">
              <w:rPr>
                <w:rFonts w:ascii="Calibri" w:eastAsia="Times New Roman" w:hAnsi="Calibri" w:cs="Calibri"/>
                <w:color w:val="000000"/>
                <w:sz w:val="20"/>
                <w:szCs w:val="20"/>
              </w:rPr>
              <w:t>6</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jc w:val="center"/>
              <w:rPr>
                <w:rFonts w:ascii="Calibri" w:eastAsia="Times New Roman" w:hAnsi="Calibri" w:cs="Calibri"/>
                <w:color w:val="000000"/>
                <w:sz w:val="20"/>
                <w:szCs w:val="20"/>
              </w:rPr>
            </w:pPr>
            <w:r w:rsidRPr="00F11274">
              <w:rPr>
                <w:rFonts w:ascii="Calibri" w:eastAsia="Times New Roman" w:hAnsi="Calibri" w:cs="Calibri"/>
                <w:color w:val="000000"/>
                <w:sz w:val="20"/>
                <w:szCs w:val="20"/>
              </w:rPr>
              <w:t>10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25" w:rsidRPr="00F11274" w:rsidRDefault="008C6725" w:rsidP="00802E2B">
            <w:pPr>
              <w:jc w:val="center"/>
              <w:rPr>
                <w:rFonts w:ascii="Calibri" w:eastAsia="Times New Roman" w:hAnsi="Calibri" w:cs="Calibri"/>
                <w:color w:val="000000"/>
                <w:sz w:val="20"/>
                <w:szCs w:val="20"/>
              </w:rPr>
            </w:pPr>
            <w:r w:rsidRPr="00F11274">
              <w:rPr>
                <w:rFonts w:ascii="Calibri" w:eastAsia="Times New Roman" w:hAnsi="Calibri" w:cs="Calibri"/>
                <w:color w:val="000000"/>
                <w:sz w:val="20"/>
                <w:szCs w:val="20"/>
              </w:rPr>
              <w:t>2</w:t>
            </w:r>
          </w:p>
        </w:tc>
      </w:tr>
    </w:tbl>
    <w:p w:rsidR="008C6725" w:rsidRPr="00171404" w:rsidRDefault="008C6725" w:rsidP="008C6725">
      <w:pPr>
        <w:rPr>
          <w:rFonts w:asciiTheme="minorHAnsi" w:eastAsia="Times New Roman" w:hAnsiTheme="minorHAnsi" w:cstheme="minorHAnsi"/>
          <w:color w:val="000000" w:themeColor="text1"/>
          <w:sz w:val="18"/>
          <w:szCs w:val="18"/>
          <w:lang w:eastAsia="es-AR"/>
        </w:rPr>
      </w:pPr>
      <w:r>
        <w:rPr>
          <w:rFonts w:asciiTheme="minorHAnsi" w:eastAsia="Times New Roman" w:hAnsiTheme="minorHAnsi" w:cstheme="minorHAnsi"/>
          <w:color w:val="000000" w:themeColor="text1"/>
          <w:sz w:val="20"/>
          <w:szCs w:val="20"/>
          <w:lang w:eastAsia="es-AR"/>
        </w:rPr>
        <w:tab/>
        <w:t xml:space="preserve">      </w:t>
      </w:r>
      <w:r w:rsidRPr="00171404">
        <w:rPr>
          <w:rFonts w:asciiTheme="minorHAnsi" w:eastAsia="Times New Roman" w:hAnsiTheme="minorHAnsi" w:cstheme="minorHAnsi"/>
          <w:color w:val="000000" w:themeColor="text1"/>
          <w:sz w:val="18"/>
          <w:szCs w:val="18"/>
          <w:lang w:eastAsia="es-AR"/>
        </w:rPr>
        <w:t>Fuente: Innovos Group en base a las visitas a empresas y al análisis de carpetas</w:t>
      </w:r>
    </w:p>
    <w:p w:rsidR="008C6725" w:rsidRDefault="008C6725" w:rsidP="008C6725">
      <w:pPr>
        <w:ind w:left="2880"/>
        <w:rPr>
          <w:rFonts w:asciiTheme="minorHAnsi" w:eastAsia="Times New Roman" w:hAnsiTheme="minorHAnsi" w:cstheme="minorHAnsi"/>
          <w:color w:val="000000" w:themeColor="text1"/>
          <w:sz w:val="20"/>
          <w:szCs w:val="20"/>
          <w:lang w:eastAsia="es-AR"/>
        </w:rPr>
      </w:pPr>
    </w:p>
    <w:p w:rsidR="008C6725" w:rsidRDefault="008C6725" w:rsidP="008C6725">
      <w:pPr>
        <w:spacing w:after="200" w:line="276" w:lineRule="auto"/>
        <w:jc w:val="center"/>
        <w:rPr>
          <w:rFonts w:asciiTheme="minorHAnsi" w:eastAsia="Times New Roman" w:hAnsiTheme="minorHAnsi" w:cstheme="minorHAnsi"/>
          <w:color w:val="000000" w:themeColor="text1"/>
          <w:sz w:val="20"/>
          <w:szCs w:val="20"/>
          <w:lang w:eastAsia="es-AR"/>
        </w:rPr>
      </w:pPr>
      <w:r>
        <w:rPr>
          <w:rFonts w:asciiTheme="minorHAnsi" w:eastAsia="Times New Roman" w:hAnsiTheme="minorHAnsi" w:cstheme="minorHAnsi"/>
          <w:b/>
          <w:color w:val="000000" w:themeColor="text1"/>
          <w:lang w:eastAsia="es-AR"/>
        </w:rPr>
        <w:lastRenderedPageBreak/>
        <w:t xml:space="preserve">Gráfico </w:t>
      </w:r>
      <w:r w:rsidR="00802E2B">
        <w:rPr>
          <w:rFonts w:asciiTheme="minorHAnsi" w:eastAsia="Times New Roman" w:hAnsiTheme="minorHAnsi" w:cstheme="minorHAnsi"/>
          <w:b/>
          <w:color w:val="000000" w:themeColor="text1"/>
          <w:lang w:eastAsia="es-AR"/>
        </w:rPr>
        <w:t>5.17</w:t>
      </w:r>
      <w:r>
        <w:rPr>
          <w:rFonts w:asciiTheme="minorHAnsi" w:eastAsia="Times New Roman" w:hAnsiTheme="minorHAnsi" w:cstheme="minorHAnsi"/>
          <w:b/>
          <w:color w:val="000000" w:themeColor="text1"/>
          <w:lang w:eastAsia="es-AR"/>
        </w:rPr>
        <w:t>.</w:t>
      </w:r>
      <w:r w:rsidRPr="00F11274">
        <w:rPr>
          <w:rFonts w:asciiTheme="minorHAnsi" w:eastAsia="Times New Roman" w:hAnsiTheme="minorHAnsi" w:cstheme="minorHAnsi"/>
          <w:b/>
          <w:color w:val="000000" w:themeColor="text1"/>
          <w:lang w:eastAsia="es-AR"/>
        </w:rPr>
        <w:t xml:space="preserve"> Riesgo tecnológico y riesgo de mercado</w:t>
      </w:r>
    </w:p>
    <w:p w:rsidR="008C6725" w:rsidRDefault="008C6725" w:rsidP="008C6725">
      <w:pPr>
        <w:ind w:left="284"/>
        <w:jc w:val="center"/>
        <w:rPr>
          <w:rFonts w:asciiTheme="minorHAnsi" w:eastAsia="Times New Roman" w:hAnsiTheme="minorHAnsi" w:cstheme="minorHAnsi"/>
          <w:color w:val="000000" w:themeColor="text1"/>
          <w:sz w:val="20"/>
          <w:szCs w:val="20"/>
          <w:lang w:eastAsia="es-AR"/>
        </w:rPr>
      </w:pPr>
      <w:r w:rsidRPr="0092736E">
        <w:rPr>
          <w:rFonts w:asciiTheme="minorHAnsi" w:eastAsia="Times New Roman" w:hAnsiTheme="minorHAnsi" w:cstheme="minorHAnsi"/>
          <w:noProof/>
          <w:color w:val="000000" w:themeColor="text1"/>
          <w:sz w:val="20"/>
          <w:szCs w:val="20"/>
          <w:lang w:val="es-ES_tradnl" w:eastAsia="es-ES_tradnl"/>
        </w:rPr>
        <w:drawing>
          <wp:inline distT="0" distB="0" distL="0" distR="0" wp14:anchorId="4ADC2816" wp14:editId="7AFAB638">
            <wp:extent cx="5172075" cy="2743200"/>
            <wp:effectExtent l="0" t="0" r="9525" b="0"/>
            <wp:docPr id="2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C6725" w:rsidRPr="00171404" w:rsidRDefault="008C6725" w:rsidP="008C6725">
      <w:pPr>
        <w:rPr>
          <w:rFonts w:asciiTheme="minorHAnsi" w:eastAsia="Times New Roman" w:hAnsiTheme="minorHAnsi" w:cstheme="minorHAnsi"/>
          <w:color w:val="000000" w:themeColor="text1"/>
          <w:sz w:val="18"/>
          <w:szCs w:val="18"/>
          <w:lang w:eastAsia="es-AR"/>
        </w:rPr>
      </w:pPr>
      <w:r>
        <w:rPr>
          <w:rFonts w:asciiTheme="minorHAnsi" w:eastAsia="Times New Roman" w:hAnsiTheme="minorHAnsi" w:cstheme="minorHAnsi"/>
          <w:color w:val="000000" w:themeColor="text1"/>
          <w:sz w:val="20"/>
          <w:szCs w:val="20"/>
          <w:lang w:eastAsia="es-AR"/>
        </w:rPr>
        <w:t xml:space="preserve">            </w:t>
      </w:r>
      <w:r w:rsidRPr="00171404">
        <w:rPr>
          <w:rFonts w:asciiTheme="minorHAnsi" w:eastAsia="Times New Roman" w:hAnsiTheme="minorHAnsi" w:cstheme="minorHAnsi"/>
          <w:color w:val="000000" w:themeColor="text1"/>
          <w:sz w:val="18"/>
          <w:szCs w:val="18"/>
          <w:lang w:eastAsia="es-AR"/>
        </w:rPr>
        <w:t>Fuente: Innovos Group en base a las visitas a empresas y al análisis de carpetas</w:t>
      </w:r>
    </w:p>
    <w:p w:rsidR="008C6725" w:rsidRDefault="008C6725" w:rsidP="008C6725">
      <w:pPr>
        <w:ind w:left="2880"/>
        <w:rPr>
          <w:rFonts w:asciiTheme="minorHAnsi" w:eastAsia="Times New Roman" w:hAnsiTheme="minorHAnsi" w:cstheme="minorHAnsi"/>
          <w:color w:val="000000" w:themeColor="text1"/>
          <w:sz w:val="20"/>
          <w:szCs w:val="20"/>
          <w:lang w:eastAsia="es-AR"/>
        </w:rPr>
      </w:pPr>
    </w:p>
    <w:p w:rsidR="008C6725" w:rsidRPr="004E48C5" w:rsidRDefault="008C6725" w:rsidP="008C6725">
      <w:pPr>
        <w:ind w:left="2880"/>
        <w:rPr>
          <w:rFonts w:asciiTheme="minorHAnsi" w:eastAsia="Times New Roman" w:hAnsiTheme="minorHAnsi" w:cstheme="minorHAnsi"/>
          <w:color w:val="000000" w:themeColor="text1"/>
          <w:sz w:val="20"/>
          <w:szCs w:val="20"/>
          <w:lang w:eastAsia="es-AR"/>
        </w:rPr>
      </w:pPr>
    </w:p>
    <w:p w:rsidR="008C6725" w:rsidRPr="00AE082D" w:rsidRDefault="008C6725" w:rsidP="008C6725">
      <w:pPr>
        <w:spacing w:after="200" w:line="276" w:lineRule="auto"/>
        <w:rPr>
          <w:rFonts w:asciiTheme="minorHAnsi" w:hAnsiTheme="minorHAnsi" w:cstheme="minorHAnsi"/>
          <w:b/>
        </w:rPr>
      </w:pPr>
      <w:r w:rsidRPr="00AE082D">
        <w:rPr>
          <w:rFonts w:asciiTheme="minorHAnsi" w:hAnsiTheme="minorHAnsi" w:cstheme="minorHAnsi"/>
          <w:b/>
        </w:rPr>
        <w:t>Impactos organizacionales</w:t>
      </w:r>
    </w:p>
    <w:p w:rsidR="008C6725" w:rsidRPr="00F11274" w:rsidRDefault="008C6725" w:rsidP="008C6725">
      <w:pPr>
        <w:spacing w:after="200" w:line="276" w:lineRule="auto"/>
        <w:jc w:val="both"/>
        <w:rPr>
          <w:rFonts w:asciiTheme="minorHAnsi" w:hAnsiTheme="minorHAnsi" w:cstheme="minorHAnsi"/>
          <w:color w:val="000000" w:themeColor="text1"/>
        </w:rPr>
      </w:pPr>
      <w:r w:rsidRPr="00F11274">
        <w:rPr>
          <w:rFonts w:asciiTheme="minorHAnsi" w:hAnsiTheme="minorHAnsi" w:cstheme="minorHAnsi"/>
          <w:color w:val="000000" w:themeColor="text1"/>
        </w:rPr>
        <w:t xml:space="preserve">De la encuesta realizada, las respuestas a la pregunta sobre el impacto de la implementación del proyecto a nivel organizacional indican un impacto que en general es muy bajo. Dos empresas califican el impacto del proyecto como “alto” o “muy alto” (Tabla </w:t>
      </w:r>
      <w:r w:rsidR="006F1343">
        <w:rPr>
          <w:rFonts w:asciiTheme="minorHAnsi" w:hAnsiTheme="minorHAnsi" w:cstheme="minorHAnsi"/>
          <w:color w:val="000000" w:themeColor="text1"/>
        </w:rPr>
        <w:t>5.15</w:t>
      </w:r>
      <w:r w:rsidRPr="00F11274">
        <w:rPr>
          <w:rFonts w:asciiTheme="minorHAnsi" w:hAnsiTheme="minorHAnsi" w:cstheme="minorHAnsi"/>
          <w:color w:val="000000" w:themeColor="text1"/>
        </w:rPr>
        <w:t>). Solamente tres empresas declaran un impacto en el desarrollo de nuevos canales de comercialización mientras que respecto de los otros impactos organizacionales solamente dos empresas les otorgan una calificación “alta” o “muy alta”.</w:t>
      </w:r>
    </w:p>
    <w:p w:rsidR="008C6725" w:rsidRPr="00F11274" w:rsidRDefault="008C6725" w:rsidP="008C6725">
      <w:pPr>
        <w:spacing w:after="200" w:line="276" w:lineRule="auto"/>
        <w:jc w:val="center"/>
        <w:rPr>
          <w:rFonts w:asciiTheme="minorHAnsi" w:hAnsiTheme="minorHAnsi" w:cstheme="minorHAnsi"/>
          <w:b/>
          <w:bCs/>
          <w:color w:val="000000" w:themeColor="text1"/>
          <w:lang w:eastAsia="es-ES_tradnl"/>
        </w:rPr>
      </w:pPr>
      <w:r w:rsidRPr="00AE082D">
        <w:rPr>
          <w:rFonts w:asciiTheme="minorHAnsi" w:hAnsiTheme="minorHAnsi" w:cstheme="minorHAnsi"/>
          <w:b/>
          <w:bCs/>
          <w:color w:val="000000" w:themeColor="text1"/>
          <w:lang w:eastAsia="es-ES_tradnl"/>
        </w:rPr>
        <w:t xml:space="preserve">Tabla </w:t>
      </w:r>
      <w:r w:rsidR="006F1343">
        <w:rPr>
          <w:rFonts w:asciiTheme="minorHAnsi" w:hAnsiTheme="minorHAnsi" w:cstheme="minorHAnsi"/>
          <w:b/>
          <w:bCs/>
          <w:color w:val="000000" w:themeColor="text1"/>
          <w:lang w:eastAsia="es-ES_tradnl"/>
        </w:rPr>
        <w:t>5.15</w:t>
      </w:r>
      <w:r w:rsidRPr="00AE082D">
        <w:rPr>
          <w:rFonts w:asciiTheme="minorHAnsi" w:hAnsiTheme="minorHAnsi" w:cstheme="minorHAnsi"/>
          <w:b/>
          <w:bCs/>
          <w:color w:val="000000" w:themeColor="text1"/>
          <w:lang w:eastAsia="es-ES_tradnl"/>
        </w:rPr>
        <w:t>.</w:t>
      </w:r>
      <w:r w:rsidRPr="00F11274">
        <w:rPr>
          <w:rFonts w:asciiTheme="minorHAnsi" w:hAnsiTheme="minorHAnsi" w:cstheme="minorHAnsi"/>
          <w:b/>
          <w:bCs/>
          <w:color w:val="000000" w:themeColor="text1"/>
          <w:lang w:eastAsia="es-ES_tradnl"/>
        </w:rPr>
        <w:t xml:space="preserve"> Impacto de la implementación del proyecto a nivel organizacional</w:t>
      </w:r>
    </w:p>
    <w:tbl>
      <w:tblPr>
        <w:tblW w:w="8790" w:type="dxa"/>
        <w:tblInd w:w="-214" w:type="dxa"/>
        <w:tblLayout w:type="fixed"/>
        <w:tblCellMar>
          <w:left w:w="70" w:type="dxa"/>
          <w:right w:w="70" w:type="dxa"/>
        </w:tblCellMar>
        <w:tblLook w:val="0000" w:firstRow="0" w:lastRow="0" w:firstColumn="0" w:lastColumn="0" w:noHBand="0" w:noVBand="0"/>
      </w:tblPr>
      <w:tblGrid>
        <w:gridCol w:w="4253"/>
        <w:gridCol w:w="992"/>
        <w:gridCol w:w="709"/>
        <w:gridCol w:w="709"/>
        <w:gridCol w:w="1134"/>
        <w:gridCol w:w="993"/>
      </w:tblGrid>
      <w:tr w:rsidR="008C6725" w:rsidRPr="00AF0BE4" w:rsidTr="00802E2B">
        <w:trPr>
          <w:cantSplit/>
          <w:trHeight w:val="240"/>
          <w:tblHeader/>
        </w:trPr>
        <w:tc>
          <w:tcPr>
            <w:tcW w:w="4253"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AF0BE4"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AF0BE4">
              <w:rPr>
                <w:rFonts w:asciiTheme="minorHAnsi" w:hAnsiTheme="minorHAnsi" w:cstheme="minorHAnsi"/>
                <w:b/>
                <w:color w:val="FFFFFF" w:themeColor="background1"/>
                <w:sz w:val="20"/>
                <w:szCs w:val="20"/>
              </w:rPr>
              <w:t>Impacto</w:t>
            </w:r>
          </w:p>
        </w:tc>
        <w:tc>
          <w:tcPr>
            <w:tcW w:w="992"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AF0BE4"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AF0BE4">
              <w:rPr>
                <w:rFonts w:asciiTheme="minorHAnsi" w:hAnsiTheme="minorHAnsi" w:cstheme="minorHAnsi"/>
                <w:b/>
                <w:color w:val="FFFFFF" w:themeColor="background1"/>
                <w:sz w:val="20"/>
                <w:szCs w:val="20"/>
              </w:rPr>
              <w:t>Muy alto</w:t>
            </w:r>
          </w:p>
        </w:tc>
        <w:tc>
          <w:tcPr>
            <w:tcW w:w="709"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AF0BE4"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AF0BE4">
              <w:rPr>
                <w:rFonts w:asciiTheme="minorHAnsi" w:hAnsiTheme="minorHAnsi" w:cstheme="minorHAnsi"/>
                <w:b/>
                <w:color w:val="FFFFFF" w:themeColor="background1"/>
                <w:sz w:val="20"/>
                <w:szCs w:val="20"/>
              </w:rPr>
              <w:t>Alto</w:t>
            </w:r>
          </w:p>
        </w:tc>
        <w:tc>
          <w:tcPr>
            <w:tcW w:w="709"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AF0BE4"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AF0BE4">
              <w:rPr>
                <w:rFonts w:asciiTheme="minorHAnsi" w:hAnsiTheme="minorHAnsi" w:cstheme="minorHAnsi"/>
                <w:b/>
                <w:color w:val="FFFFFF" w:themeColor="background1"/>
                <w:sz w:val="20"/>
                <w:szCs w:val="20"/>
              </w:rPr>
              <w:t>Bajo</w:t>
            </w:r>
          </w:p>
        </w:tc>
        <w:tc>
          <w:tcPr>
            <w:tcW w:w="1134"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AF0BE4"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AF0BE4">
              <w:rPr>
                <w:rFonts w:asciiTheme="minorHAnsi" w:hAnsiTheme="minorHAnsi" w:cstheme="minorHAnsi"/>
                <w:b/>
                <w:color w:val="FFFFFF" w:themeColor="background1"/>
                <w:sz w:val="20"/>
                <w:szCs w:val="20"/>
              </w:rPr>
              <w:t>Muy Bajo</w:t>
            </w:r>
          </w:p>
        </w:tc>
        <w:tc>
          <w:tcPr>
            <w:tcW w:w="993"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AF0BE4"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AF0BE4">
              <w:rPr>
                <w:rFonts w:asciiTheme="minorHAnsi" w:hAnsiTheme="minorHAnsi" w:cstheme="minorHAnsi"/>
                <w:b/>
                <w:color w:val="FFFFFF" w:themeColor="background1"/>
                <w:sz w:val="20"/>
                <w:szCs w:val="20"/>
              </w:rPr>
              <w:t>No Aplica</w:t>
            </w:r>
          </w:p>
        </w:tc>
      </w:tr>
      <w:tr w:rsidR="008C6725" w:rsidRPr="004E48C5" w:rsidTr="00802E2B">
        <w:trPr>
          <w:trHeight w:val="240"/>
        </w:trPr>
        <w:tc>
          <w:tcPr>
            <w:tcW w:w="425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4E48C5">
              <w:rPr>
                <w:rFonts w:asciiTheme="minorHAnsi" w:hAnsiTheme="minorHAnsi" w:cstheme="minorHAnsi"/>
                <w:bCs/>
                <w:color w:val="000000" w:themeColor="text1"/>
                <w:sz w:val="20"/>
                <w:szCs w:val="20"/>
              </w:rPr>
              <w:t>Desarrollo de nuevos canales de comercialización</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r>
      <w:tr w:rsidR="008C6725" w:rsidRPr="004E48C5" w:rsidTr="00802E2B">
        <w:trPr>
          <w:trHeight w:val="240"/>
        </w:trPr>
        <w:tc>
          <w:tcPr>
            <w:tcW w:w="425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4E48C5">
              <w:rPr>
                <w:rFonts w:asciiTheme="minorHAnsi" w:hAnsiTheme="minorHAnsi" w:cstheme="minorHAnsi"/>
                <w:bCs/>
                <w:color w:val="000000" w:themeColor="text1"/>
                <w:sz w:val="20"/>
                <w:szCs w:val="20"/>
              </w:rPr>
              <w:t>Disminución de los costos administrativos y/o de comercialización</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4</w:t>
            </w:r>
          </w:p>
        </w:tc>
      </w:tr>
      <w:tr w:rsidR="008C6725" w:rsidRPr="004E48C5" w:rsidTr="00802E2B">
        <w:trPr>
          <w:trHeight w:val="240"/>
        </w:trPr>
        <w:tc>
          <w:tcPr>
            <w:tcW w:w="425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4E48C5">
              <w:rPr>
                <w:rFonts w:asciiTheme="minorHAnsi" w:hAnsiTheme="minorHAnsi" w:cstheme="minorHAnsi"/>
                <w:bCs/>
                <w:color w:val="000000" w:themeColor="text1"/>
                <w:sz w:val="20"/>
                <w:szCs w:val="20"/>
              </w:rPr>
              <w:t>Creación de nuevas unidades en la empresa o asociación</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r>
      <w:tr w:rsidR="008C6725" w:rsidRPr="004E48C5" w:rsidTr="00802E2B">
        <w:trPr>
          <w:trHeight w:val="240"/>
        </w:trPr>
        <w:tc>
          <w:tcPr>
            <w:tcW w:w="425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4E48C5">
              <w:rPr>
                <w:rFonts w:asciiTheme="minorHAnsi" w:hAnsiTheme="minorHAnsi" w:cstheme="minorHAnsi"/>
                <w:bCs/>
                <w:color w:val="000000" w:themeColor="text1"/>
                <w:sz w:val="20"/>
                <w:szCs w:val="20"/>
              </w:rPr>
              <w:t>Obtención de financiamiento para nuevos proyectos de innovación</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r>
      <w:tr w:rsidR="008C6725" w:rsidRPr="004E48C5" w:rsidTr="00802E2B">
        <w:trPr>
          <w:trHeight w:val="240"/>
        </w:trPr>
        <w:tc>
          <w:tcPr>
            <w:tcW w:w="425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4E48C5">
              <w:rPr>
                <w:rFonts w:asciiTheme="minorHAnsi" w:hAnsiTheme="minorHAnsi" w:cstheme="minorHAnsi"/>
                <w:bCs/>
                <w:color w:val="000000" w:themeColor="text1"/>
                <w:sz w:val="20"/>
                <w:szCs w:val="20"/>
              </w:rPr>
              <w:t>Obtención de regulaciones o estándares nacionales en materia de calidad</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4</w:t>
            </w:r>
          </w:p>
        </w:tc>
      </w:tr>
      <w:tr w:rsidR="008C6725" w:rsidRPr="004E48C5" w:rsidTr="00802E2B">
        <w:trPr>
          <w:trHeight w:val="240"/>
        </w:trPr>
        <w:tc>
          <w:tcPr>
            <w:tcW w:w="425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4E48C5">
              <w:rPr>
                <w:rFonts w:asciiTheme="minorHAnsi" w:hAnsiTheme="minorHAnsi" w:cstheme="minorHAnsi"/>
                <w:bCs/>
                <w:color w:val="000000" w:themeColor="text1"/>
                <w:sz w:val="20"/>
                <w:szCs w:val="20"/>
              </w:rPr>
              <w:t>Obtención de regulaciones o estándares internacionales en materia de calidad</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4</w:t>
            </w:r>
          </w:p>
        </w:tc>
      </w:tr>
      <w:tr w:rsidR="008C6725" w:rsidRPr="004E48C5" w:rsidTr="00802E2B">
        <w:trPr>
          <w:trHeight w:val="240"/>
        </w:trPr>
        <w:tc>
          <w:tcPr>
            <w:tcW w:w="425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4E48C5">
              <w:rPr>
                <w:rFonts w:asciiTheme="minorHAnsi" w:hAnsiTheme="minorHAnsi" w:cstheme="minorHAnsi"/>
                <w:bCs/>
                <w:color w:val="000000" w:themeColor="text1"/>
                <w:sz w:val="20"/>
                <w:szCs w:val="20"/>
              </w:rPr>
              <w:t>Otro</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r>
    </w:tbl>
    <w:p w:rsidR="008C6725" w:rsidRPr="00171404" w:rsidRDefault="008C6725" w:rsidP="008C6725">
      <w:pPr>
        <w:spacing w:line="288" w:lineRule="auto"/>
        <w:rPr>
          <w:rFonts w:asciiTheme="minorHAnsi" w:hAnsiTheme="minorHAnsi" w:cstheme="minorHAnsi"/>
          <w:color w:val="000000" w:themeColor="text1"/>
          <w:sz w:val="18"/>
          <w:szCs w:val="18"/>
        </w:rPr>
      </w:pPr>
      <w:r w:rsidRPr="00171404">
        <w:rPr>
          <w:rFonts w:asciiTheme="minorHAnsi" w:hAnsiTheme="minorHAnsi" w:cstheme="minorHAnsi"/>
          <w:color w:val="000000" w:themeColor="text1"/>
          <w:sz w:val="18"/>
          <w:szCs w:val="18"/>
        </w:rPr>
        <w:t>Fuente: Innovos Group en b</w:t>
      </w:r>
      <w:r>
        <w:rPr>
          <w:rFonts w:asciiTheme="minorHAnsi" w:hAnsiTheme="minorHAnsi" w:cstheme="minorHAnsi"/>
          <w:color w:val="000000" w:themeColor="text1"/>
          <w:sz w:val="18"/>
          <w:szCs w:val="18"/>
        </w:rPr>
        <w:t>ase a resultados de la encuesta</w:t>
      </w:r>
    </w:p>
    <w:p w:rsidR="008C6725" w:rsidRPr="004E48C5" w:rsidRDefault="008C6725" w:rsidP="008C6725">
      <w:pPr>
        <w:spacing w:line="288" w:lineRule="auto"/>
        <w:rPr>
          <w:rFonts w:asciiTheme="minorHAnsi" w:hAnsiTheme="minorHAnsi" w:cstheme="minorHAnsi"/>
          <w:color w:val="000000" w:themeColor="text1"/>
          <w:sz w:val="20"/>
          <w:szCs w:val="20"/>
        </w:rPr>
      </w:pPr>
    </w:p>
    <w:p w:rsidR="008C6725" w:rsidRPr="00AE082D" w:rsidRDefault="008C6725" w:rsidP="008C6725">
      <w:pPr>
        <w:spacing w:after="200" w:line="276" w:lineRule="auto"/>
        <w:jc w:val="both"/>
        <w:rPr>
          <w:rFonts w:asciiTheme="minorHAnsi" w:hAnsiTheme="minorHAnsi" w:cstheme="minorHAnsi"/>
          <w:color w:val="000000" w:themeColor="text1"/>
        </w:rPr>
      </w:pPr>
      <w:r w:rsidRPr="00AE082D">
        <w:rPr>
          <w:rFonts w:asciiTheme="minorHAnsi" w:hAnsiTheme="minorHAnsi" w:cstheme="minorHAnsi"/>
          <w:color w:val="000000" w:themeColor="text1"/>
        </w:rPr>
        <w:lastRenderedPageBreak/>
        <w:t>Estos datos de la encuesta han sido verificados cualitativamente en las entrevistas a las empresas ejecutoras visitadas.</w:t>
      </w:r>
      <w:r>
        <w:rPr>
          <w:rFonts w:asciiTheme="minorHAnsi" w:hAnsiTheme="minorHAnsi" w:cstheme="minorHAnsi"/>
          <w:color w:val="000000" w:themeColor="text1"/>
        </w:rPr>
        <w:t xml:space="preserve"> </w:t>
      </w:r>
      <w:r w:rsidRPr="00AE082D">
        <w:rPr>
          <w:rFonts w:asciiTheme="minorHAnsi" w:hAnsiTheme="minorHAnsi" w:cstheme="minorHAnsi"/>
          <w:color w:val="000000" w:themeColor="text1"/>
        </w:rPr>
        <w:t xml:space="preserve">En esas visitas a las empresas se identificaron varios casos en que el financiamiento del proyecto logró obtener solamente resultados parciales, faltando recursos para validaciones, escalamiento productivo y/o comercialización, lo que resulta coherente con las respuestas a la encuesta. </w:t>
      </w:r>
    </w:p>
    <w:p w:rsidR="008C6725" w:rsidRPr="00AE082D" w:rsidRDefault="008C6725" w:rsidP="008C6725">
      <w:pPr>
        <w:spacing w:after="200" w:line="276" w:lineRule="auto"/>
        <w:jc w:val="both"/>
        <w:rPr>
          <w:rFonts w:asciiTheme="minorHAnsi" w:hAnsiTheme="minorHAnsi" w:cstheme="minorHAnsi"/>
          <w:color w:val="000000" w:themeColor="text1"/>
        </w:rPr>
      </w:pPr>
      <w:r w:rsidRPr="00AE082D">
        <w:rPr>
          <w:rFonts w:asciiTheme="minorHAnsi" w:hAnsiTheme="minorHAnsi" w:cstheme="minorHAnsi"/>
          <w:color w:val="000000" w:themeColor="text1"/>
        </w:rPr>
        <w:t>Por consiguiente, una de las razones que puede explicar las pocas calificaciones altas son los reducidos montos del subsidio otorgado así como los reducidos tiempos de desarrollo.</w:t>
      </w:r>
    </w:p>
    <w:p w:rsidR="008C6725" w:rsidRPr="00AE082D" w:rsidRDefault="008C6725" w:rsidP="008C6725">
      <w:pPr>
        <w:spacing w:after="200" w:line="276" w:lineRule="auto"/>
        <w:rPr>
          <w:rFonts w:asciiTheme="minorHAnsi" w:hAnsiTheme="minorHAnsi" w:cstheme="minorHAnsi"/>
          <w:b/>
        </w:rPr>
      </w:pPr>
      <w:r w:rsidRPr="00AE082D">
        <w:rPr>
          <w:rFonts w:asciiTheme="minorHAnsi" w:hAnsiTheme="minorHAnsi" w:cstheme="minorHAnsi"/>
          <w:b/>
        </w:rPr>
        <w:t>Formación de recursos humanos</w:t>
      </w:r>
    </w:p>
    <w:p w:rsidR="008C6725" w:rsidRPr="00AE082D" w:rsidRDefault="008C6725" w:rsidP="008C6725">
      <w:pPr>
        <w:spacing w:after="200" w:line="276" w:lineRule="auto"/>
        <w:jc w:val="both"/>
        <w:rPr>
          <w:rFonts w:asciiTheme="minorHAnsi" w:hAnsiTheme="minorHAnsi" w:cstheme="minorHAnsi"/>
          <w:color w:val="000000" w:themeColor="text1"/>
        </w:rPr>
      </w:pPr>
      <w:r w:rsidRPr="00AE082D">
        <w:rPr>
          <w:rFonts w:asciiTheme="minorHAnsi" w:hAnsiTheme="minorHAnsi" w:cstheme="minorHAnsi"/>
          <w:color w:val="000000" w:themeColor="text1"/>
        </w:rPr>
        <w:t>El impacto del proyecto en la formación de recursos humanos es uno de los parámetros que mayor número de respuestas positivas recibe de los encuestados. Solamente 3 empresas no indican un impacto positivo. Se destaca la cantidad de personas que han realizado pasantías o que han participado en talleres o cursos de formación.</w:t>
      </w:r>
    </w:p>
    <w:p w:rsidR="008C6725" w:rsidRPr="007571BE" w:rsidRDefault="006F1343" w:rsidP="008C6725">
      <w:pPr>
        <w:jc w:val="center"/>
        <w:rPr>
          <w:rFonts w:asciiTheme="minorHAnsi" w:eastAsia="Times New Roman" w:hAnsiTheme="minorHAnsi" w:cstheme="minorHAnsi"/>
          <w:b/>
          <w:color w:val="000000" w:themeColor="text1"/>
          <w:lang w:eastAsia="es-AR"/>
        </w:rPr>
      </w:pPr>
      <w:r>
        <w:rPr>
          <w:rFonts w:asciiTheme="minorHAnsi" w:eastAsia="Times New Roman" w:hAnsiTheme="minorHAnsi" w:cstheme="minorHAnsi"/>
          <w:b/>
          <w:color w:val="000000" w:themeColor="text1"/>
          <w:lang w:eastAsia="es-AR"/>
        </w:rPr>
        <w:t>Tabla 5.16</w:t>
      </w:r>
      <w:r w:rsidR="008C6725">
        <w:rPr>
          <w:rFonts w:asciiTheme="minorHAnsi" w:eastAsia="Times New Roman" w:hAnsiTheme="minorHAnsi" w:cstheme="minorHAnsi"/>
          <w:b/>
          <w:color w:val="000000" w:themeColor="text1"/>
          <w:lang w:eastAsia="es-AR"/>
        </w:rPr>
        <w:t>.</w:t>
      </w:r>
      <w:r w:rsidR="008C6725" w:rsidRPr="007571BE">
        <w:rPr>
          <w:rFonts w:asciiTheme="minorHAnsi" w:eastAsia="Times New Roman" w:hAnsiTheme="minorHAnsi" w:cstheme="minorHAnsi"/>
          <w:b/>
          <w:color w:val="000000" w:themeColor="text1"/>
          <w:lang w:eastAsia="es-AR"/>
        </w:rPr>
        <w:t xml:space="preserve"> Resumen de apreciación del grado de innovación</w:t>
      </w:r>
    </w:p>
    <w:p w:rsidR="008C6725" w:rsidRDefault="008C6725" w:rsidP="008C6725">
      <w:pPr>
        <w:ind w:left="2880"/>
        <w:jc w:val="center"/>
        <w:rPr>
          <w:rFonts w:asciiTheme="minorHAnsi" w:eastAsia="Times New Roman" w:hAnsiTheme="minorHAnsi" w:cstheme="minorHAnsi"/>
          <w:color w:val="000000" w:themeColor="text1"/>
          <w:sz w:val="20"/>
          <w:szCs w:val="20"/>
          <w:lang w:eastAsia="es-AR"/>
        </w:rPr>
      </w:pPr>
    </w:p>
    <w:tbl>
      <w:tblPr>
        <w:tblW w:w="4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1516"/>
      </w:tblGrid>
      <w:tr w:rsidR="008C6725" w:rsidRPr="00AF0BE4" w:rsidTr="00802E2B">
        <w:trPr>
          <w:trHeight w:val="300"/>
          <w:jc w:val="center"/>
        </w:trPr>
        <w:tc>
          <w:tcPr>
            <w:tcW w:w="3256" w:type="dxa"/>
            <w:shd w:val="clear" w:color="auto" w:fill="0F243E" w:themeFill="text2" w:themeFillShade="80"/>
            <w:noWrap/>
            <w:vAlign w:val="bottom"/>
          </w:tcPr>
          <w:p w:rsidR="008C6725" w:rsidRPr="00AF0BE4" w:rsidRDefault="008C6725" w:rsidP="00802E2B">
            <w:pPr>
              <w:jc w:val="center"/>
              <w:rPr>
                <w:rFonts w:ascii="Calibri" w:eastAsia="Times New Roman" w:hAnsi="Calibri" w:cs="Calibri"/>
                <w:b/>
                <w:color w:val="FFFFFF" w:themeColor="background1"/>
                <w:sz w:val="20"/>
                <w:szCs w:val="20"/>
              </w:rPr>
            </w:pPr>
            <w:r>
              <w:rPr>
                <w:rFonts w:ascii="Calibri" w:eastAsia="Times New Roman" w:hAnsi="Calibri" w:cs="Calibri"/>
                <w:b/>
                <w:color w:val="FFFFFF" w:themeColor="background1"/>
                <w:sz w:val="20"/>
                <w:szCs w:val="20"/>
              </w:rPr>
              <w:t>Tipo de actividad</w:t>
            </w:r>
          </w:p>
        </w:tc>
        <w:tc>
          <w:tcPr>
            <w:tcW w:w="1516" w:type="dxa"/>
            <w:shd w:val="clear" w:color="auto" w:fill="0F243E" w:themeFill="text2" w:themeFillShade="80"/>
            <w:noWrap/>
            <w:vAlign w:val="bottom"/>
          </w:tcPr>
          <w:p w:rsidR="008C6725" w:rsidRPr="00AF0BE4" w:rsidRDefault="008C6725" w:rsidP="00802E2B">
            <w:pPr>
              <w:jc w:val="center"/>
              <w:rPr>
                <w:rFonts w:ascii="Calibri" w:eastAsia="Times New Roman" w:hAnsi="Calibri" w:cs="Calibri"/>
                <w:b/>
                <w:color w:val="FFFFFF" w:themeColor="background1"/>
                <w:sz w:val="20"/>
                <w:szCs w:val="20"/>
              </w:rPr>
            </w:pPr>
            <w:r w:rsidRPr="00AF0BE4">
              <w:rPr>
                <w:rFonts w:ascii="Calibri" w:eastAsia="Times New Roman" w:hAnsi="Calibri" w:cs="Calibri"/>
                <w:b/>
                <w:color w:val="FFFFFF" w:themeColor="background1"/>
                <w:sz w:val="20"/>
                <w:szCs w:val="20"/>
              </w:rPr>
              <w:t>Cantidad</w:t>
            </w:r>
          </w:p>
        </w:tc>
      </w:tr>
      <w:tr w:rsidR="008C6725" w:rsidRPr="00AF0BE4" w:rsidTr="00802E2B">
        <w:trPr>
          <w:trHeight w:val="300"/>
          <w:jc w:val="center"/>
        </w:trPr>
        <w:tc>
          <w:tcPr>
            <w:tcW w:w="3256" w:type="dxa"/>
            <w:shd w:val="clear" w:color="auto" w:fill="auto"/>
            <w:noWrap/>
            <w:vAlign w:val="bottom"/>
            <w:hideMark/>
          </w:tcPr>
          <w:p w:rsidR="008C6725" w:rsidRPr="00AF0BE4" w:rsidRDefault="008C6725" w:rsidP="00802E2B">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Pasantías </w:t>
            </w:r>
          </w:p>
        </w:tc>
        <w:tc>
          <w:tcPr>
            <w:tcW w:w="1516" w:type="dxa"/>
            <w:shd w:val="clear" w:color="auto" w:fill="auto"/>
            <w:noWrap/>
            <w:vAlign w:val="bottom"/>
            <w:hideMark/>
          </w:tcPr>
          <w:p w:rsidR="008C6725" w:rsidRPr="00AF0BE4" w:rsidRDefault="008C6725" w:rsidP="00802E2B">
            <w:pPr>
              <w:jc w:val="center"/>
              <w:rPr>
                <w:rFonts w:ascii="Calibri" w:eastAsia="Times New Roman" w:hAnsi="Calibri" w:cs="Calibri"/>
                <w:color w:val="000000"/>
                <w:sz w:val="20"/>
                <w:szCs w:val="20"/>
              </w:rPr>
            </w:pPr>
            <w:r w:rsidRPr="00AF0BE4">
              <w:rPr>
                <w:rFonts w:ascii="Calibri" w:eastAsia="Times New Roman" w:hAnsi="Calibri" w:cs="Calibri"/>
                <w:color w:val="000000"/>
                <w:sz w:val="20"/>
                <w:szCs w:val="20"/>
              </w:rPr>
              <w:t>1</w:t>
            </w:r>
            <w:r>
              <w:rPr>
                <w:rFonts w:ascii="Calibri" w:eastAsia="Times New Roman" w:hAnsi="Calibri" w:cs="Calibri"/>
                <w:color w:val="000000"/>
                <w:sz w:val="20"/>
                <w:szCs w:val="20"/>
              </w:rPr>
              <w:t>4</w:t>
            </w:r>
          </w:p>
        </w:tc>
      </w:tr>
      <w:tr w:rsidR="008C6725" w:rsidRPr="00AF0BE4" w:rsidTr="00802E2B">
        <w:trPr>
          <w:trHeight w:val="300"/>
          <w:jc w:val="center"/>
        </w:trPr>
        <w:tc>
          <w:tcPr>
            <w:tcW w:w="3256" w:type="dxa"/>
            <w:shd w:val="clear" w:color="auto" w:fill="auto"/>
            <w:noWrap/>
            <w:vAlign w:val="bottom"/>
            <w:hideMark/>
          </w:tcPr>
          <w:p w:rsidR="008C6725" w:rsidRPr="00AF0BE4" w:rsidRDefault="008C6725" w:rsidP="00802E2B">
            <w:pPr>
              <w:rPr>
                <w:rFonts w:ascii="Calibri" w:eastAsia="Times New Roman" w:hAnsi="Calibri" w:cs="Calibri"/>
                <w:color w:val="000000"/>
                <w:sz w:val="20"/>
                <w:szCs w:val="20"/>
              </w:rPr>
            </w:pPr>
            <w:r>
              <w:rPr>
                <w:rFonts w:ascii="Calibri" w:eastAsia="Times New Roman" w:hAnsi="Calibri" w:cs="Calibri"/>
                <w:color w:val="000000"/>
                <w:sz w:val="20"/>
                <w:szCs w:val="20"/>
              </w:rPr>
              <w:t>Talleres o cursos cortos de formación</w:t>
            </w:r>
          </w:p>
        </w:tc>
        <w:tc>
          <w:tcPr>
            <w:tcW w:w="1516" w:type="dxa"/>
            <w:shd w:val="clear" w:color="auto" w:fill="auto"/>
            <w:noWrap/>
            <w:vAlign w:val="bottom"/>
            <w:hideMark/>
          </w:tcPr>
          <w:p w:rsidR="008C6725" w:rsidRPr="00AF0BE4" w:rsidRDefault="008C6725" w:rsidP="00802E2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w:t>
            </w:r>
          </w:p>
        </w:tc>
      </w:tr>
    </w:tbl>
    <w:p w:rsidR="008C6725" w:rsidRPr="00171404" w:rsidRDefault="008C6725" w:rsidP="008C6725">
      <w:pPr>
        <w:spacing w:before="120" w:after="120" w:line="288" w:lineRule="auto"/>
        <w:ind w:left="1418" w:firstLine="567"/>
        <w:rPr>
          <w:rFonts w:asciiTheme="minorHAnsi" w:hAnsiTheme="minorHAnsi" w:cstheme="minorHAnsi"/>
          <w:color w:val="000000" w:themeColor="text1"/>
          <w:sz w:val="18"/>
          <w:szCs w:val="18"/>
        </w:rPr>
      </w:pPr>
      <w:r w:rsidRPr="00171404">
        <w:rPr>
          <w:rFonts w:asciiTheme="minorHAnsi" w:hAnsiTheme="minorHAnsi" w:cstheme="minorHAnsi"/>
          <w:color w:val="000000" w:themeColor="text1"/>
          <w:sz w:val="18"/>
          <w:szCs w:val="18"/>
        </w:rPr>
        <w:t>Fuente: Innovos Group en b</w:t>
      </w:r>
      <w:r>
        <w:rPr>
          <w:rFonts w:asciiTheme="minorHAnsi" w:hAnsiTheme="minorHAnsi" w:cstheme="minorHAnsi"/>
          <w:color w:val="000000" w:themeColor="text1"/>
          <w:sz w:val="18"/>
          <w:szCs w:val="18"/>
        </w:rPr>
        <w:t>ase a resultados de la encuesta</w:t>
      </w:r>
    </w:p>
    <w:p w:rsidR="008C6725" w:rsidRPr="00AE082D" w:rsidRDefault="008C6725" w:rsidP="008C6725">
      <w:pPr>
        <w:spacing w:after="200" w:line="276" w:lineRule="auto"/>
        <w:jc w:val="both"/>
        <w:rPr>
          <w:rFonts w:asciiTheme="minorHAnsi" w:hAnsiTheme="minorHAnsi" w:cstheme="minorHAnsi"/>
          <w:color w:val="000000" w:themeColor="text1"/>
        </w:rPr>
      </w:pPr>
      <w:r w:rsidRPr="00AE082D">
        <w:rPr>
          <w:rFonts w:asciiTheme="minorHAnsi" w:hAnsiTheme="minorHAnsi" w:cstheme="minorHAnsi"/>
          <w:color w:val="000000" w:themeColor="text1"/>
        </w:rPr>
        <w:t xml:space="preserve">Merece destacar que en varias de las empresas visitadas, se considera muy importante el financiamiento para pasantías breves en países extranjeros. Esto permitió adquirir conocimientos y minimizar la probabilidad de errores para el logro de los resultados del proyecto, así como aumentar el nivel de capacitación y formación de profesionales que trabajan en la empresa. </w:t>
      </w:r>
    </w:p>
    <w:p w:rsidR="008C6725" w:rsidRPr="00AE082D" w:rsidRDefault="008C6725" w:rsidP="008C6725">
      <w:pPr>
        <w:spacing w:after="200" w:line="276" w:lineRule="auto"/>
        <w:rPr>
          <w:rFonts w:asciiTheme="minorHAnsi" w:hAnsiTheme="minorHAnsi" w:cstheme="minorHAnsi"/>
          <w:b/>
        </w:rPr>
      </w:pPr>
      <w:r w:rsidRPr="00AE082D">
        <w:rPr>
          <w:rFonts w:asciiTheme="minorHAnsi" w:hAnsiTheme="minorHAnsi" w:cstheme="minorHAnsi"/>
          <w:b/>
        </w:rPr>
        <w:t>Vinculación con empresas e instituciones de conocimiento</w:t>
      </w:r>
    </w:p>
    <w:p w:rsidR="008C6725" w:rsidRPr="00AE082D" w:rsidRDefault="008C6725" w:rsidP="008C6725">
      <w:pPr>
        <w:tabs>
          <w:tab w:val="left" w:pos="935"/>
          <w:tab w:val="left" w:pos="1735"/>
          <w:tab w:val="left" w:pos="8015"/>
        </w:tabs>
        <w:spacing w:after="200" w:line="276" w:lineRule="auto"/>
        <w:ind w:left="55"/>
        <w:jc w:val="both"/>
        <w:rPr>
          <w:rFonts w:asciiTheme="minorHAnsi" w:hAnsiTheme="minorHAnsi" w:cstheme="minorHAnsi"/>
          <w:color w:val="000000" w:themeColor="text1"/>
        </w:rPr>
      </w:pPr>
      <w:r w:rsidRPr="00AE082D">
        <w:rPr>
          <w:rFonts w:asciiTheme="minorHAnsi" w:hAnsiTheme="minorHAnsi" w:cstheme="minorHAnsi"/>
          <w:color w:val="000000" w:themeColor="text1"/>
        </w:rPr>
        <w:t>De los 18 proyectos, sólo 4 de ellos están asociados con instituciones académicas y uno de ellos ha sido completamente ejecutado por una universidad (</w:t>
      </w:r>
      <w:r w:rsidRPr="00AE082D">
        <w:rPr>
          <w:rFonts w:asciiTheme="minorHAnsi" w:eastAsia="Times New Roman" w:hAnsiTheme="minorHAnsi" w:cstheme="minorHAnsi"/>
          <w:i/>
          <w:color w:val="000000"/>
        </w:rPr>
        <w:t>PR-09-INN-27)</w:t>
      </w:r>
      <w:r w:rsidRPr="00AE082D">
        <w:rPr>
          <w:rFonts w:asciiTheme="minorHAnsi" w:hAnsiTheme="minorHAnsi" w:cstheme="minorHAnsi"/>
          <w:color w:val="000000" w:themeColor="text1"/>
        </w:rPr>
        <w:t>.</w:t>
      </w:r>
    </w:p>
    <w:p w:rsidR="008C6725" w:rsidRPr="00AE082D" w:rsidRDefault="008C6725" w:rsidP="008C6725">
      <w:pPr>
        <w:spacing w:line="276" w:lineRule="auto"/>
        <w:jc w:val="center"/>
        <w:rPr>
          <w:rFonts w:asciiTheme="minorHAnsi" w:hAnsiTheme="minorHAnsi" w:cstheme="minorHAnsi"/>
          <w:b/>
          <w:color w:val="000000" w:themeColor="text1"/>
        </w:rPr>
      </w:pPr>
      <w:r w:rsidRPr="00AE082D">
        <w:rPr>
          <w:rFonts w:asciiTheme="minorHAnsi" w:hAnsiTheme="minorHAnsi" w:cstheme="minorHAnsi"/>
          <w:b/>
        </w:rPr>
        <w:t>Tabla</w:t>
      </w:r>
      <w:r w:rsidR="00802E2B">
        <w:rPr>
          <w:rFonts w:asciiTheme="minorHAnsi" w:hAnsiTheme="minorHAnsi" w:cstheme="minorHAnsi"/>
          <w:b/>
        </w:rPr>
        <w:t xml:space="preserve"> 5</w:t>
      </w:r>
      <w:r w:rsidR="006F1343">
        <w:rPr>
          <w:rFonts w:asciiTheme="minorHAnsi" w:hAnsiTheme="minorHAnsi" w:cstheme="minorHAnsi"/>
          <w:b/>
        </w:rPr>
        <w:t>.17</w:t>
      </w:r>
      <w:r>
        <w:rPr>
          <w:rFonts w:asciiTheme="minorHAnsi" w:hAnsiTheme="minorHAnsi" w:cstheme="minorHAnsi"/>
          <w:b/>
        </w:rPr>
        <w:t>.</w:t>
      </w:r>
      <w:r w:rsidRPr="00AE082D">
        <w:rPr>
          <w:rFonts w:asciiTheme="minorHAnsi" w:hAnsiTheme="minorHAnsi" w:cstheme="minorHAnsi"/>
          <w:b/>
        </w:rPr>
        <w:t xml:space="preserve"> Asociatividad de proyectos aprobados</w:t>
      </w:r>
    </w:p>
    <w:tbl>
      <w:tblPr>
        <w:tblW w:w="5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1200"/>
      </w:tblGrid>
      <w:tr w:rsidR="008C6725" w:rsidRPr="00AF0BE4" w:rsidTr="00802E2B">
        <w:trPr>
          <w:trHeight w:val="300"/>
          <w:jc w:val="center"/>
        </w:trPr>
        <w:tc>
          <w:tcPr>
            <w:tcW w:w="3828" w:type="dxa"/>
            <w:shd w:val="clear" w:color="auto" w:fill="0F243E" w:themeFill="text2" w:themeFillShade="80"/>
            <w:noWrap/>
            <w:vAlign w:val="bottom"/>
          </w:tcPr>
          <w:p w:rsidR="008C6725" w:rsidRPr="00AF0BE4" w:rsidRDefault="008C6725" w:rsidP="00802E2B">
            <w:pPr>
              <w:jc w:val="center"/>
              <w:rPr>
                <w:rFonts w:ascii="Calibri" w:eastAsia="Times New Roman" w:hAnsi="Calibri" w:cs="Calibri"/>
                <w:b/>
                <w:color w:val="FFFFFF" w:themeColor="background1"/>
                <w:sz w:val="20"/>
                <w:szCs w:val="20"/>
              </w:rPr>
            </w:pPr>
            <w:r w:rsidRPr="00AF0BE4">
              <w:rPr>
                <w:rFonts w:ascii="Calibri" w:eastAsia="Times New Roman" w:hAnsi="Calibri" w:cs="Calibri"/>
                <w:b/>
                <w:color w:val="FFFFFF" w:themeColor="background1"/>
                <w:sz w:val="20"/>
                <w:szCs w:val="20"/>
              </w:rPr>
              <w:t>Tipo de asociatividad</w:t>
            </w:r>
          </w:p>
        </w:tc>
        <w:tc>
          <w:tcPr>
            <w:tcW w:w="1200" w:type="dxa"/>
            <w:shd w:val="clear" w:color="auto" w:fill="0F243E" w:themeFill="text2" w:themeFillShade="80"/>
            <w:noWrap/>
            <w:vAlign w:val="bottom"/>
          </w:tcPr>
          <w:p w:rsidR="008C6725" w:rsidRPr="00AF0BE4" w:rsidRDefault="008C6725" w:rsidP="00802E2B">
            <w:pPr>
              <w:jc w:val="center"/>
              <w:rPr>
                <w:rFonts w:ascii="Calibri" w:eastAsia="Times New Roman" w:hAnsi="Calibri" w:cs="Calibri"/>
                <w:b/>
                <w:color w:val="FFFFFF" w:themeColor="background1"/>
                <w:sz w:val="20"/>
                <w:szCs w:val="20"/>
              </w:rPr>
            </w:pPr>
            <w:r w:rsidRPr="00AF0BE4">
              <w:rPr>
                <w:rFonts w:ascii="Calibri" w:eastAsia="Times New Roman" w:hAnsi="Calibri" w:cs="Calibri"/>
                <w:b/>
                <w:color w:val="FFFFFF" w:themeColor="background1"/>
                <w:sz w:val="20"/>
                <w:szCs w:val="20"/>
              </w:rPr>
              <w:t>Cantidad</w:t>
            </w:r>
          </w:p>
        </w:tc>
      </w:tr>
      <w:tr w:rsidR="008C6725" w:rsidRPr="00AE082D" w:rsidTr="00802E2B">
        <w:trPr>
          <w:trHeight w:val="300"/>
          <w:jc w:val="center"/>
        </w:trPr>
        <w:tc>
          <w:tcPr>
            <w:tcW w:w="3828" w:type="dxa"/>
            <w:shd w:val="clear" w:color="auto" w:fill="auto"/>
            <w:noWrap/>
            <w:vAlign w:val="bottom"/>
            <w:hideMark/>
          </w:tcPr>
          <w:p w:rsidR="008C6725" w:rsidRPr="00AE082D" w:rsidRDefault="008C6725" w:rsidP="00802E2B">
            <w:pPr>
              <w:rPr>
                <w:rFonts w:ascii="Calibri" w:eastAsia="Times New Roman" w:hAnsi="Calibri" w:cs="Calibri"/>
                <w:color w:val="000000"/>
                <w:sz w:val="20"/>
                <w:szCs w:val="20"/>
              </w:rPr>
            </w:pPr>
            <w:r w:rsidRPr="00AE082D">
              <w:rPr>
                <w:rFonts w:ascii="Calibri" w:eastAsia="Times New Roman" w:hAnsi="Calibri" w:cs="Calibri"/>
                <w:color w:val="000000"/>
                <w:sz w:val="20"/>
                <w:szCs w:val="20"/>
              </w:rPr>
              <w:t>No asociados</w:t>
            </w:r>
          </w:p>
        </w:tc>
        <w:tc>
          <w:tcPr>
            <w:tcW w:w="1200" w:type="dxa"/>
            <w:shd w:val="clear" w:color="auto" w:fill="auto"/>
            <w:noWrap/>
            <w:vAlign w:val="bottom"/>
            <w:hideMark/>
          </w:tcPr>
          <w:p w:rsidR="008C6725" w:rsidRPr="00AE082D" w:rsidRDefault="008C6725" w:rsidP="00802E2B">
            <w:pPr>
              <w:jc w:val="center"/>
              <w:rPr>
                <w:rFonts w:ascii="Calibri" w:eastAsia="Times New Roman" w:hAnsi="Calibri" w:cs="Calibri"/>
                <w:color w:val="000000"/>
                <w:sz w:val="20"/>
                <w:szCs w:val="20"/>
              </w:rPr>
            </w:pPr>
            <w:r w:rsidRPr="00AE082D">
              <w:rPr>
                <w:rFonts w:ascii="Calibri" w:eastAsia="Times New Roman" w:hAnsi="Calibri" w:cs="Calibri"/>
                <w:color w:val="000000"/>
                <w:sz w:val="20"/>
                <w:szCs w:val="20"/>
              </w:rPr>
              <w:t>10</w:t>
            </w:r>
          </w:p>
        </w:tc>
      </w:tr>
      <w:tr w:rsidR="008C6725" w:rsidRPr="00AE082D" w:rsidTr="00802E2B">
        <w:trPr>
          <w:trHeight w:val="300"/>
          <w:jc w:val="center"/>
        </w:trPr>
        <w:tc>
          <w:tcPr>
            <w:tcW w:w="3828" w:type="dxa"/>
            <w:shd w:val="clear" w:color="auto" w:fill="auto"/>
            <w:noWrap/>
            <w:vAlign w:val="bottom"/>
            <w:hideMark/>
          </w:tcPr>
          <w:p w:rsidR="008C6725" w:rsidRPr="00AE082D" w:rsidRDefault="008C6725" w:rsidP="00802E2B">
            <w:pPr>
              <w:rPr>
                <w:rFonts w:ascii="Calibri" w:eastAsia="Times New Roman" w:hAnsi="Calibri" w:cs="Calibri"/>
                <w:color w:val="000000"/>
                <w:sz w:val="20"/>
                <w:szCs w:val="20"/>
              </w:rPr>
            </w:pPr>
            <w:r w:rsidRPr="00AE082D">
              <w:rPr>
                <w:rFonts w:ascii="Calibri" w:eastAsia="Times New Roman" w:hAnsi="Calibri" w:cs="Calibri"/>
                <w:color w:val="000000"/>
                <w:sz w:val="20"/>
                <w:szCs w:val="20"/>
              </w:rPr>
              <w:t>Asociados con Instituciones Académicas</w:t>
            </w:r>
          </w:p>
        </w:tc>
        <w:tc>
          <w:tcPr>
            <w:tcW w:w="1200" w:type="dxa"/>
            <w:shd w:val="clear" w:color="auto" w:fill="auto"/>
            <w:noWrap/>
            <w:vAlign w:val="bottom"/>
            <w:hideMark/>
          </w:tcPr>
          <w:p w:rsidR="008C6725" w:rsidRPr="00AE082D" w:rsidRDefault="008C6725" w:rsidP="00802E2B">
            <w:pPr>
              <w:jc w:val="center"/>
              <w:rPr>
                <w:rFonts w:ascii="Calibri" w:eastAsia="Times New Roman" w:hAnsi="Calibri" w:cs="Calibri"/>
                <w:color w:val="000000"/>
                <w:sz w:val="20"/>
                <w:szCs w:val="20"/>
              </w:rPr>
            </w:pPr>
            <w:r w:rsidRPr="00AE082D">
              <w:rPr>
                <w:rFonts w:ascii="Calibri" w:eastAsia="Times New Roman" w:hAnsi="Calibri" w:cs="Calibri"/>
                <w:color w:val="000000"/>
                <w:sz w:val="20"/>
                <w:szCs w:val="20"/>
              </w:rPr>
              <w:t>4</w:t>
            </w:r>
          </w:p>
        </w:tc>
      </w:tr>
      <w:tr w:rsidR="008C6725" w:rsidRPr="00AE082D" w:rsidTr="00802E2B">
        <w:trPr>
          <w:trHeight w:val="300"/>
          <w:jc w:val="center"/>
        </w:trPr>
        <w:tc>
          <w:tcPr>
            <w:tcW w:w="3828" w:type="dxa"/>
            <w:shd w:val="clear" w:color="auto" w:fill="auto"/>
            <w:noWrap/>
            <w:vAlign w:val="bottom"/>
            <w:hideMark/>
          </w:tcPr>
          <w:p w:rsidR="008C6725" w:rsidRPr="00AE082D" w:rsidRDefault="008C6725" w:rsidP="00802E2B">
            <w:pPr>
              <w:rPr>
                <w:rFonts w:ascii="Calibri" w:eastAsia="Times New Roman" w:hAnsi="Calibri" w:cs="Calibri"/>
                <w:color w:val="000000"/>
                <w:sz w:val="20"/>
                <w:szCs w:val="20"/>
              </w:rPr>
            </w:pPr>
            <w:r w:rsidRPr="00AE082D">
              <w:rPr>
                <w:rFonts w:ascii="Calibri" w:eastAsia="Times New Roman" w:hAnsi="Calibri" w:cs="Calibri"/>
                <w:color w:val="000000"/>
                <w:sz w:val="20"/>
                <w:szCs w:val="20"/>
              </w:rPr>
              <w:t>Ejecutado completamente por una institución académica</w:t>
            </w:r>
          </w:p>
        </w:tc>
        <w:tc>
          <w:tcPr>
            <w:tcW w:w="1200" w:type="dxa"/>
            <w:shd w:val="clear" w:color="auto" w:fill="auto"/>
            <w:noWrap/>
            <w:vAlign w:val="bottom"/>
            <w:hideMark/>
          </w:tcPr>
          <w:p w:rsidR="008C6725" w:rsidRPr="00AE082D" w:rsidRDefault="008C6725" w:rsidP="00802E2B">
            <w:pPr>
              <w:jc w:val="center"/>
              <w:rPr>
                <w:rFonts w:ascii="Calibri" w:eastAsia="Times New Roman" w:hAnsi="Calibri" w:cs="Calibri"/>
                <w:color w:val="000000"/>
                <w:sz w:val="20"/>
                <w:szCs w:val="20"/>
              </w:rPr>
            </w:pPr>
            <w:r w:rsidRPr="00AE082D">
              <w:rPr>
                <w:rFonts w:ascii="Calibri" w:eastAsia="Times New Roman" w:hAnsi="Calibri" w:cs="Calibri"/>
                <w:color w:val="000000"/>
                <w:sz w:val="20"/>
                <w:szCs w:val="20"/>
              </w:rPr>
              <w:t>1</w:t>
            </w:r>
          </w:p>
        </w:tc>
      </w:tr>
      <w:tr w:rsidR="008C6725" w:rsidRPr="00AE082D" w:rsidTr="00802E2B">
        <w:trPr>
          <w:trHeight w:val="300"/>
          <w:jc w:val="center"/>
        </w:trPr>
        <w:tc>
          <w:tcPr>
            <w:tcW w:w="3828" w:type="dxa"/>
            <w:shd w:val="clear" w:color="auto" w:fill="auto"/>
            <w:noWrap/>
            <w:vAlign w:val="bottom"/>
            <w:hideMark/>
          </w:tcPr>
          <w:p w:rsidR="008C6725" w:rsidRPr="00AE082D" w:rsidRDefault="008C6725" w:rsidP="00802E2B">
            <w:pPr>
              <w:rPr>
                <w:rFonts w:ascii="Calibri" w:eastAsia="Times New Roman" w:hAnsi="Calibri" w:cs="Calibri"/>
                <w:color w:val="000000"/>
                <w:sz w:val="20"/>
                <w:szCs w:val="20"/>
              </w:rPr>
            </w:pPr>
            <w:r w:rsidRPr="00AE082D">
              <w:rPr>
                <w:rFonts w:ascii="Calibri" w:eastAsia="Times New Roman" w:hAnsi="Calibri" w:cs="Calibri"/>
                <w:color w:val="000000"/>
                <w:sz w:val="20"/>
                <w:szCs w:val="20"/>
              </w:rPr>
              <w:t>Asociados con Instituciones no  Académicas</w:t>
            </w:r>
          </w:p>
        </w:tc>
        <w:tc>
          <w:tcPr>
            <w:tcW w:w="1200" w:type="dxa"/>
            <w:shd w:val="clear" w:color="auto" w:fill="auto"/>
            <w:noWrap/>
            <w:vAlign w:val="bottom"/>
            <w:hideMark/>
          </w:tcPr>
          <w:p w:rsidR="008C6725" w:rsidRPr="00AE082D" w:rsidRDefault="008C6725" w:rsidP="00802E2B">
            <w:pPr>
              <w:jc w:val="center"/>
              <w:rPr>
                <w:rFonts w:ascii="Calibri" w:eastAsia="Times New Roman" w:hAnsi="Calibri" w:cs="Calibri"/>
                <w:color w:val="000000"/>
                <w:sz w:val="20"/>
                <w:szCs w:val="20"/>
              </w:rPr>
            </w:pPr>
            <w:r w:rsidRPr="00AE082D">
              <w:rPr>
                <w:rFonts w:ascii="Calibri" w:eastAsia="Times New Roman" w:hAnsi="Calibri" w:cs="Calibri"/>
                <w:color w:val="000000"/>
                <w:sz w:val="20"/>
                <w:szCs w:val="20"/>
              </w:rPr>
              <w:t>3</w:t>
            </w:r>
          </w:p>
        </w:tc>
      </w:tr>
      <w:tr w:rsidR="008C6725" w:rsidRPr="00AE082D" w:rsidTr="00802E2B">
        <w:trPr>
          <w:trHeight w:val="300"/>
          <w:jc w:val="center"/>
        </w:trPr>
        <w:tc>
          <w:tcPr>
            <w:tcW w:w="3828" w:type="dxa"/>
            <w:shd w:val="clear" w:color="auto" w:fill="auto"/>
            <w:noWrap/>
            <w:vAlign w:val="bottom"/>
            <w:hideMark/>
          </w:tcPr>
          <w:p w:rsidR="008C6725" w:rsidRPr="00AE082D" w:rsidRDefault="008C6725" w:rsidP="00802E2B">
            <w:pPr>
              <w:rPr>
                <w:rFonts w:ascii="Calibri" w:eastAsia="Times New Roman" w:hAnsi="Calibri" w:cs="Calibri"/>
                <w:color w:val="000000"/>
                <w:sz w:val="20"/>
                <w:szCs w:val="20"/>
              </w:rPr>
            </w:pPr>
            <w:r w:rsidRPr="00AE082D">
              <w:rPr>
                <w:rFonts w:ascii="Calibri" w:eastAsia="Times New Roman" w:hAnsi="Calibri" w:cs="Calibri"/>
                <w:color w:val="000000"/>
                <w:sz w:val="20"/>
                <w:szCs w:val="20"/>
              </w:rPr>
              <w:t>Total general</w:t>
            </w:r>
          </w:p>
        </w:tc>
        <w:tc>
          <w:tcPr>
            <w:tcW w:w="1200" w:type="dxa"/>
            <w:shd w:val="clear" w:color="auto" w:fill="auto"/>
            <w:noWrap/>
            <w:vAlign w:val="bottom"/>
            <w:hideMark/>
          </w:tcPr>
          <w:p w:rsidR="008C6725" w:rsidRPr="00AE082D" w:rsidRDefault="008C6725" w:rsidP="00802E2B">
            <w:pPr>
              <w:jc w:val="center"/>
              <w:rPr>
                <w:rFonts w:ascii="Calibri" w:eastAsia="Times New Roman" w:hAnsi="Calibri" w:cs="Calibri"/>
                <w:color w:val="000000"/>
                <w:sz w:val="20"/>
                <w:szCs w:val="20"/>
              </w:rPr>
            </w:pPr>
            <w:r w:rsidRPr="00AE082D">
              <w:rPr>
                <w:rFonts w:ascii="Calibri" w:eastAsia="Times New Roman" w:hAnsi="Calibri" w:cs="Calibri"/>
                <w:color w:val="000000"/>
                <w:sz w:val="20"/>
                <w:szCs w:val="20"/>
              </w:rPr>
              <w:t>18</w:t>
            </w:r>
          </w:p>
        </w:tc>
      </w:tr>
    </w:tbl>
    <w:p w:rsidR="008C6725" w:rsidRPr="00171404" w:rsidRDefault="008C6725" w:rsidP="008C6725">
      <w:pPr>
        <w:ind w:firstLine="1843"/>
        <w:rPr>
          <w:rFonts w:asciiTheme="minorHAnsi" w:hAnsiTheme="minorHAnsi" w:cstheme="minorHAnsi"/>
          <w:color w:val="000000" w:themeColor="text1"/>
          <w:sz w:val="18"/>
          <w:szCs w:val="18"/>
          <w:lang w:val="es-ES_tradnl" w:eastAsia="en-US"/>
        </w:rPr>
      </w:pPr>
      <w:r w:rsidRPr="00171404">
        <w:rPr>
          <w:rFonts w:asciiTheme="minorHAnsi" w:hAnsiTheme="minorHAnsi" w:cstheme="minorHAnsi"/>
          <w:color w:val="000000" w:themeColor="text1"/>
          <w:sz w:val="18"/>
          <w:szCs w:val="18"/>
        </w:rPr>
        <w:t>Fuente: Innovos Group en base a datos provistos por CONACYT</w:t>
      </w:r>
      <w:r w:rsidRPr="00171404">
        <w:rPr>
          <w:rFonts w:asciiTheme="minorHAnsi" w:hAnsiTheme="minorHAnsi" w:cstheme="minorHAnsi"/>
          <w:color w:val="000000" w:themeColor="text1"/>
          <w:sz w:val="18"/>
          <w:szCs w:val="18"/>
          <w:lang w:val="es-ES_tradnl" w:eastAsia="en-US"/>
        </w:rPr>
        <w:t xml:space="preserve"> </w:t>
      </w:r>
    </w:p>
    <w:p w:rsidR="008C6725" w:rsidRPr="00171404" w:rsidRDefault="008C6725" w:rsidP="008C6725">
      <w:pPr>
        <w:ind w:firstLine="1843"/>
        <w:rPr>
          <w:rFonts w:asciiTheme="minorHAnsi" w:hAnsiTheme="minorHAnsi" w:cstheme="minorHAnsi"/>
          <w:color w:val="000000" w:themeColor="text1"/>
          <w:sz w:val="18"/>
          <w:szCs w:val="18"/>
          <w:lang w:val="es-ES_tradnl" w:eastAsia="en-US"/>
        </w:rPr>
      </w:pPr>
      <w:r w:rsidRPr="00171404">
        <w:rPr>
          <w:rFonts w:asciiTheme="minorHAnsi" w:hAnsiTheme="minorHAnsi" w:cstheme="minorHAnsi"/>
          <w:color w:val="000000" w:themeColor="text1"/>
          <w:sz w:val="18"/>
          <w:szCs w:val="18"/>
          <w:lang w:val="es-ES_tradnl" w:eastAsia="en-US"/>
        </w:rPr>
        <w:t>(No incluye proyecto PR9-INN06, aprobado pero no ejecutado)</w:t>
      </w:r>
    </w:p>
    <w:p w:rsidR="008C6725" w:rsidRPr="00A81C76" w:rsidRDefault="008C6725" w:rsidP="008C6725">
      <w:pPr>
        <w:tabs>
          <w:tab w:val="left" w:pos="935"/>
          <w:tab w:val="left" w:pos="1735"/>
          <w:tab w:val="left" w:pos="8015"/>
        </w:tabs>
        <w:ind w:left="55"/>
        <w:rPr>
          <w:rFonts w:ascii="Arial" w:hAnsi="Arial" w:cs="Arial"/>
          <w:color w:val="000000" w:themeColor="text1"/>
          <w:sz w:val="22"/>
          <w:szCs w:val="22"/>
          <w:lang w:val="es-ES_tradnl"/>
        </w:rPr>
      </w:pPr>
    </w:p>
    <w:p w:rsidR="008C6725" w:rsidRPr="00AE082D" w:rsidRDefault="008C6725" w:rsidP="008C6725">
      <w:pPr>
        <w:tabs>
          <w:tab w:val="left" w:pos="935"/>
          <w:tab w:val="left" w:pos="1735"/>
          <w:tab w:val="left" w:pos="8015"/>
        </w:tabs>
        <w:spacing w:after="200" w:line="276" w:lineRule="auto"/>
        <w:ind w:left="55"/>
        <w:jc w:val="both"/>
        <w:rPr>
          <w:rFonts w:asciiTheme="minorHAnsi" w:hAnsiTheme="minorHAnsi" w:cstheme="minorHAnsi"/>
          <w:color w:val="000000" w:themeColor="text1"/>
        </w:rPr>
      </w:pPr>
      <w:r w:rsidRPr="00AE082D">
        <w:rPr>
          <w:rFonts w:asciiTheme="minorHAnsi" w:hAnsiTheme="minorHAnsi" w:cstheme="minorHAnsi"/>
          <w:color w:val="000000" w:themeColor="text1"/>
        </w:rPr>
        <w:t>Si bien los estímulos para presentar proyectos asociativos están presentes en las bases, en el universo de proyectos aprobados, 18 proyectos, sólo la mitad de ellos, es decir 9 proyectos son asociativos.</w:t>
      </w:r>
    </w:p>
    <w:p w:rsidR="008C6725" w:rsidRPr="00AE082D" w:rsidRDefault="008C6725" w:rsidP="008C6725">
      <w:pPr>
        <w:spacing w:after="200" w:line="276" w:lineRule="auto"/>
        <w:jc w:val="both"/>
        <w:rPr>
          <w:rFonts w:asciiTheme="minorHAnsi" w:hAnsiTheme="minorHAnsi" w:cstheme="minorHAnsi"/>
          <w:color w:val="000000" w:themeColor="text1"/>
        </w:rPr>
      </w:pPr>
      <w:r w:rsidRPr="00AE082D">
        <w:rPr>
          <w:rFonts w:asciiTheme="minorHAnsi" w:hAnsiTheme="minorHAnsi" w:cstheme="minorHAnsi"/>
          <w:color w:val="000000" w:themeColor="text1"/>
        </w:rPr>
        <w:t>En lo que respecta a las respuestas de la encuesta respecto de la vinculación con terceros, 6 empresas declaran haber establecido vinculaciones con otras empresas y 5 declaran vinculaciones con entidades académicas, gracias al proyecto.</w:t>
      </w:r>
    </w:p>
    <w:p w:rsidR="008C6725" w:rsidRPr="00AE082D" w:rsidRDefault="008C6725" w:rsidP="008C6725">
      <w:pPr>
        <w:spacing w:after="200" w:line="276" w:lineRule="auto"/>
        <w:jc w:val="center"/>
        <w:rPr>
          <w:rFonts w:asciiTheme="minorHAnsi" w:hAnsiTheme="minorHAnsi" w:cstheme="minorHAnsi"/>
          <w:b/>
          <w:bCs/>
          <w:color w:val="000000" w:themeColor="text1"/>
          <w:lang w:eastAsia="es-ES_tradnl"/>
        </w:rPr>
      </w:pPr>
      <w:r w:rsidRPr="00AE082D">
        <w:rPr>
          <w:rFonts w:asciiTheme="minorHAnsi" w:hAnsiTheme="minorHAnsi" w:cstheme="minorHAnsi"/>
          <w:b/>
          <w:bCs/>
          <w:color w:val="000000" w:themeColor="text1"/>
          <w:lang w:eastAsia="es-ES_tradnl"/>
        </w:rPr>
        <w:t xml:space="preserve">Tabla </w:t>
      </w:r>
      <w:r w:rsidR="006F1343">
        <w:rPr>
          <w:rFonts w:asciiTheme="minorHAnsi" w:hAnsiTheme="minorHAnsi" w:cstheme="minorHAnsi"/>
          <w:b/>
          <w:bCs/>
          <w:color w:val="000000" w:themeColor="text1"/>
          <w:lang w:eastAsia="es-ES_tradnl"/>
        </w:rPr>
        <w:t>5.18</w:t>
      </w:r>
      <w:r w:rsidRPr="00AE082D">
        <w:rPr>
          <w:rFonts w:asciiTheme="minorHAnsi" w:hAnsiTheme="minorHAnsi" w:cstheme="minorHAnsi"/>
          <w:b/>
          <w:bCs/>
          <w:color w:val="000000" w:themeColor="text1"/>
          <w:lang w:eastAsia="es-ES_tradnl"/>
        </w:rPr>
        <w:t>. Impacto de la implementación del proyecto a nivel de vinculación</w:t>
      </w:r>
    </w:p>
    <w:tbl>
      <w:tblPr>
        <w:tblW w:w="8794" w:type="dxa"/>
        <w:tblInd w:w="65" w:type="dxa"/>
        <w:shd w:val="clear" w:color="auto" w:fill="FFFFFF" w:themeFill="background1"/>
        <w:tblCellMar>
          <w:left w:w="70" w:type="dxa"/>
          <w:right w:w="70" w:type="dxa"/>
        </w:tblCellMar>
        <w:tblLook w:val="0000" w:firstRow="0" w:lastRow="0" w:firstColumn="0" w:lastColumn="0" w:noHBand="0" w:noVBand="0"/>
      </w:tblPr>
      <w:tblGrid>
        <w:gridCol w:w="3833"/>
        <w:gridCol w:w="992"/>
        <w:gridCol w:w="992"/>
        <w:gridCol w:w="992"/>
        <w:gridCol w:w="993"/>
        <w:gridCol w:w="992"/>
      </w:tblGrid>
      <w:tr w:rsidR="008C6725" w:rsidRPr="00AF0BE4" w:rsidTr="00802E2B">
        <w:trPr>
          <w:trHeight w:val="240"/>
        </w:trPr>
        <w:tc>
          <w:tcPr>
            <w:tcW w:w="3833"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rsidR="008C6725" w:rsidRPr="00AF0BE4" w:rsidRDefault="008C6725" w:rsidP="00802E2B">
            <w:pPr>
              <w:rPr>
                <w:rFonts w:asciiTheme="minorHAnsi" w:hAnsiTheme="minorHAnsi" w:cstheme="minorHAnsi"/>
                <w:b/>
                <w:color w:val="FFFFFF" w:themeColor="background1"/>
                <w:sz w:val="20"/>
                <w:szCs w:val="20"/>
                <w:lang w:eastAsia="es-ES_tradnl"/>
              </w:rPr>
            </w:pPr>
            <w:r w:rsidRPr="00AF0BE4">
              <w:rPr>
                <w:rFonts w:asciiTheme="minorHAnsi" w:hAnsiTheme="minorHAnsi" w:cstheme="minorHAnsi"/>
                <w:b/>
                <w:color w:val="FFFFFF" w:themeColor="background1"/>
                <w:sz w:val="20"/>
                <w:szCs w:val="20"/>
                <w:lang w:eastAsia="es-ES_tradnl"/>
              </w:rPr>
              <w:t> Impacto</w:t>
            </w:r>
          </w:p>
        </w:tc>
        <w:tc>
          <w:tcPr>
            <w:tcW w:w="992"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rsidR="008C6725" w:rsidRPr="00AF0BE4" w:rsidRDefault="008C6725" w:rsidP="00802E2B">
            <w:pPr>
              <w:rPr>
                <w:rFonts w:asciiTheme="minorHAnsi" w:hAnsiTheme="minorHAnsi" w:cstheme="minorHAnsi"/>
                <w:b/>
                <w:color w:val="FFFFFF" w:themeColor="background1"/>
                <w:sz w:val="20"/>
                <w:szCs w:val="20"/>
                <w:lang w:eastAsia="es-ES_tradnl"/>
              </w:rPr>
            </w:pPr>
            <w:r w:rsidRPr="00AF0BE4">
              <w:rPr>
                <w:rFonts w:asciiTheme="minorHAnsi" w:hAnsiTheme="minorHAnsi" w:cstheme="minorHAnsi"/>
                <w:b/>
                <w:color w:val="FFFFFF" w:themeColor="background1"/>
                <w:sz w:val="20"/>
                <w:szCs w:val="20"/>
                <w:lang w:eastAsia="es-ES_tradnl"/>
              </w:rPr>
              <w:t xml:space="preserve">Muy alto </w:t>
            </w:r>
          </w:p>
        </w:tc>
        <w:tc>
          <w:tcPr>
            <w:tcW w:w="992"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rsidR="008C6725" w:rsidRPr="00AF0BE4" w:rsidRDefault="008C6725" w:rsidP="00802E2B">
            <w:pPr>
              <w:rPr>
                <w:rFonts w:asciiTheme="minorHAnsi" w:hAnsiTheme="minorHAnsi" w:cstheme="minorHAnsi"/>
                <w:b/>
                <w:color w:val="FFFFFF" w:themeColor="background1"/>
                <w:sz w:val="20"/>
                <w:szCs w:val="20"/>
                <w:lang w:eastAsia="es-ES_tradnl"/>
              </w:rPr>
            </w:pPr>
            <w:r w:rsidRPr="00AF0BE4">
              <w:rPr>
                <w:rFonts w:asciiTheme="minorHAnsi" w:hAnsiTheme="minorHAnsi" w:cstheme="minorHAnsi"/>
                <w:b/>
                <w:color w:val="FFFFFF" w:themeColor="background1"/>
                <w:sz w:val="20"/>
                <w:szCs w:val="20"/>
                <w:lang w:eastAsia="es-ES_tradnl"/>
              </w:rPr>
              <w:t xml:space="preserve">Alto </w:t>
            </w:r>
          </w:p>
        </w:tc>
        <w:tc>
          <w:tcPr>
            <w:tcW w:w="992"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rsidR="008C6725" w:rsidRPr="00AF0BE4" w:rsidRDefault="008C6725" w:rsidP="00802E2B">
            <w:pPr>
              <w:rPr>
                <w:rFonts w:asciiTheme="minorHAnsi" w:hAnsiTheme="minorHAnsi" w:cstheme="minorHAnsi"/>
                <w:b/>
                <w:color w:val="FFFFFF" w:themeColor="background1"/>
                <w:sz w:val="20"/>
                <w:szCs w:val="20"/>
                <w:lang w:eastAsia="es-ES_tradnl"/>
              </w:rPr>
            </w:pPr>
            <w:r w:rsidRPr="00AF0BE4">
              <w:rPr>
                <w:rFonts w:asciiTheme="minorHAnsi" w:hAnsiTheme="minorHAnsi" w:cstheme="minorHAnsi"/>
                <w:b/>
                <w:color w:val="FFFFFF" w:themeColor="background1"/>
                <w:sz w:val="20"/>
                <w:szCs w:val="20"/>
                <w:lang w:eastAsia="es-ES_tradnl"/>
              </w:rPr>
              <w:t>Bajo</w:t>
            </w:r>
          </w:p>
        </w:tc>
        <w:tc>
          <w:tcPr>
            <w:tcW w:w="993"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rsidR="008C6725" w:rsidRPr="00AF0BE4" w:rsidRDefault="008C6725" w:rsidP="00802E2B">
            <w:pPr>
              <w:rPr>
                <w:rFonts w:asciiTheme="minorHAnsi" w:hAnsiTheme="minorHAnsi" w:cstheme="minorHAnsi"/>
                <w:b/>
                <w:color w:val="FFFFFF" w:themeColor="background1"/>
                <w:sz w:val="20"/>
                <w:szCs w:val="20"/>
                <w:lang w:eastAsia="es-ES_tradnl"/>
              </w:rPr>
            </w:pPr>
            <w:r w:rsidRPr="00AF0BE4">
              <w:rPr>
                <w:rFonts w:asciiTheme="minorHAnsi" w:hAnsiTheme="minorHAnsi" w:cstheme="minorHAnsi"/>
                <w:b/>
                <w:color w:val="FFFFFF" w:themeColor="background1"/>
                <w:sz w:val="20"/>
                <w:szCs w:val="20"/>
                <w:lang w:eastAsia="es-ES_tradnl"/>
              </w:rPr>
              <w:t xml:space="preserve">Muy Bajo </w:t>
            </w:r>
          </w:p>
        </w:tc>
        <w:tc>
          <w:tcPr>
            <w:tcW w:w="992"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rsidR="008C6725" w:rsidRPr="00AF0BE4" w:rsidRDefault="008C6725" w:rsidP="00802E2B">
            <w:pPr>
              <w:rPr>
                <w:rFonts w:asciiTheme="minorHAnsi" w:hAnsiTheme="minorHAnsi" w:cstheme="minorHAnsi"/>
                <w:b/>
                <w:color w:val="FFFFFF" w:themeColor="background1"/>
                <w:sz w:val="20"/>
                <w:szCs w:val="20"/>
                <w:lang w:eastAsia="es-ES_tradnl"/>
              </w:rPr>
            </w:pPr>
            <w:r w:rsidRPr="00AF0BE4">
              <w:rPr>
                <w:rFonts w:asciiTheme="minorHAnsi" w:hAnsiTheme="minorHAnsi" w:cstheme="minorHAnsi"/>
                <w:b/>
                <w:color w:val="FFFFFF" w:themeColor="background1"/>
                <w:sz w:val="20"/>
                <w:szCs w:val="20"/>
                <w:lang w:eastAsia="es-ES_tradnl"/>
              </w:rPr>
              <w:t xml:space="preserve">No Aplica </w:t>
            </w:r>
          </w:p>
        </w:tc>
      </w:tr>
      <w:tr w:rsidR="008C6725" w:rsidRPr="004E48C5" w:rsidTr="00802E2B">
        <w:trPr>
          <w:trHeight w:val="240"/>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AF0BE4" w:rsidRDefault="008C6725" w:rsidP="00802E2B">
            <w:pPr>
              <w:rPr>
                <w:rFonts w:asciiTheme="minorHAnsi" w:hAnsiTheme="minorHAnsi" w:cstheme="minorHAnsi"/>
                <w:bCs/>
                <w:color w:val="000000" w:themeColor="text1"/>
                <w:sz w:val="20"/>
                <w:szCs w:val="20"/>
                <w:lang w:eastAsia="es-ES_tradnl"/>
              </w:rPr>
            </w:pPr>
            <w:r w:rsidRPr="00AF0BE4">
              <w:rPr>
                <w:rFonts w:asciiTheme="minorHAnsi" w:hAnsiTheme="minorHAnsi" w:cstheme="minorHAnsi"/>
                <w:bCs/>
                <w:color w:val="000000" w:themeColor="text1"/>
                <w:sz w:val="20"/>
                <w:szCs w:val="20"/>
                <w:lang w:eastAsia="es-ES_tradnl"/>
              </w:rPr>
              <w:t>Vinculación con otras empresas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1</w:t>
            </w:r>
          </w:p>
        </w:tc>
      </w:tr>
      <w:tr w:rsidR="008C6725" w:rsidRPr="004E48C5" w:rsidTr="00802E2B">
        <w:trPr>
          <w:trHeight w:val="240"/>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AF0BE4" w:rsidRDefault="008C6725" w:rsidP="00802E2B">
            <w:pPr>
              <w:rPr>
                <w:rFonts w:asciiTheme="minorHAnsi" w:hAnsiTheme="minorHAnsi" w:cstheme="minorHAnsi"/>
                <w:bCs/>
                <w:color w:val="000000" w:themeColor="text1"/>
                <w:sz w:val="20"/>
                <w:szCs w:val="20"/>
                <w:lang w:eastAsia="es-ES_tradnl"/>
              </w:rPr>
            </w:pPr>
            <w:r w:rsidRPr="00AF0BE4">
              <w:rPr>
                <w:rFonts w:asciiTheme="minorHAnsi" w:hAnsiTheme="minorHAnsi" w:cstheme="minorHAnsi"/>
                <w:bCs/>
                <w:color w:val="000000" w:themeColor="text1"/>
                <w:sz w:val="20"/>
                <w:szCs w:val="20"/>
                <w:lang w:eastAsia="es-ES_tradnl"/>
              </w:rPr>
              <w:t>Vinculación con Universidades, Instituciones de Educación Superior o Centros de Investigación y Desarrollo</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0</w:t>
            </w:r>
          </w:p>
        </w:tc>
      </w:tr>
      <w:tr w:rsidR="008C6725" w:rsidRPr="004E48C5" w:rsidTr="00802E2B">
        <w:trPr>
          <w:trHeight w:val="240"/>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AF0BE4" w:rsidRDefault="008C6725" w:rsidP="00802E2B">
            <w:pPr>
              <w:rPr>
                <w:rFonts w:asciiTheme="minorHAnsi" w:hAnsiTheme="minorHAnsi" w:cstheme="minorHAnsi"/>
                <w:color w:val="000000" w:themeColor="text1"/>
                <w:sz w:val="20"/>
                <w:szCs w:val="20"/>
                <w:lang w:eastAsia="es-ES_tradnl"/>
              </w:rPr>
            </w:pPr>
            <w:r w:rsidRPr="00AF0BE4">
              <w:rPr>
                <w:rFonts w:asciiTheme="minorHAnsi" w:hAnsiTheme="minorHAnsi" w:cstheme="minorHAnsi"/>
                <w:color w:val="000000" w:themeColor="text1"/>
                <w:sz w:val="20"/>
                <w:szCs w:val="20"/>
                <w:lang w:eastAsia="es-ES_tradnl"/>
              </w:rPr>
              <w:t xml:space="preserve">Otro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2</w:t>
            </w:r>
          </w:p>
        </w:tc>
      </w:tr>
    </w:tbl>
    <w:p w:rsidR="008C6725" w:rsidRPr="004E48C5" w:rsidRDefault="008C6725" w:rsidP="008C6725">
      <w:pPr>
        <w:spacing w:before="120" w:after="120" w:line="288" w:lineRule="auto"/>
        <w:rPr>
          <w:rFonts w:asciiTheme="minorHAnsi" w:hAnsiTheme="minorHAnsi" w:cstheme="minorHAnsi"/>
          <w:color w:val="000000" w:themeColor="text1"/>
          <w:sz w:val="20"/>
          <w:szCs w:val="20"/>
        </w:rPr>
      </w:pPr>
      <w:r w:rsidRPr="00171404">
        <w:rPr>
          <w:rFonts w:asciiTheme="minorHAnsi" w:hAnsiTheme="minorHAnsi" w:cstheme="minorHAnsi"/>
          <w:color w:val="000000" w:themeColor="text1"/>
          <w:sz w:val="18"/>
          <w:szCs w:val="18"/>
        </w:rPr>
        <w:t>Fuente: Innovos Group en base a resultados de la encuesta</w:t>
      </w:r>
    </w:p>
    <w:p w:rsidR="008C6725" w:rsidRPr="00AE082D" w:rsidRDefault="008C6725" w:rsidP="008C6725">
      <w:pPr>
        <w:spacing w:after="200" w:line="276" w:lineRule="auto"/>
        <w:jc w:val="both"/>
        <w:rPr>
          <w:rFonts w:asciiTheme="minorHAnsi" w:hAnsiTheme="minorHAnsi" w:cstheme="minorHAnsi"/>
          <w:color w:val="000000" w:themeColor="text1"/>
        </w:rPr>
      </w:pPr>
      <w:r w:rsidRPr="00AE082D">
        <w:rPr>
          <w:rFonts w:asciiTheme="minorHAnsi" w:hAnsiTheme="minorHAnsi" w:cstheme="minorHAnsi"/>
          <w:color w:val="000000" w:themeColor="text1"/>
        </w:rPr>
        <w:t>Estas respuestas respecto de la vinculación con entidades académicas son coherentes con la apreciación de estas empresas respecto de la importancia de la vinculación, según lo</w:t>
      </w:r>
      <w:r>
        <w:rPr>
          <w:rFonts w:asciiTheme="minorHAnsi" w:hAnsiTheme="minorHAnsi" w:cstheme="minorHAnsi"/>
          <w:color w:val="000000" w:themeColor="text1"/>
        </w:rPr>
        <w:t xml:space="preserve"> </w:t>
      </w:r>
      <w:r w:rsidR="006F1343">
        <w:rPr>
          <w:rFonts w:asciiTheme="minorHAnsi" w:hAnsiTheme="minorHAnsi" w:cstheme="minorHAnsi"/>
          <w:color w:val="000000" w:themeColor="text1"/>
        </w:rPr>
        <w:t>que se presenta en la Tabla 5.19</w:t>
      </w:r>
      <w:r w:rsidRPr="00AE082D">
        <w:rPr>
          <w:rFonts w:asciiTheme="minorHAnsi" w:hAnsiTheme="minorHAnsi" w:cstheme="minorHAnsi"/>
          <w:color w:val="000000" w:themeColor="text1"/>
        </w:rPr>
        <w:t xml:space="preserve"> que resume la importancia le otorgan las empresas a la vinculación con agentes o instituciones para el desarrollo de actividades de innovación. Sin embargo, solamente un encuestado califica de importante la vinculación con otras empresas.</w:t>
      </w:r>
    </w:p>
    <w:p w:rsidR="008C6725" w:rsidRPr="00AE082D" w:rsidRDefault="008C6725" w:rsidP="008C6725">
      <w:pPr>
        <w:spacing w:after="200" w:line="276" w:lineRule="auto"/>
        <w:jc w:val="both"/>
        <w:rPr>
          <w:rFonts w:asciiTheme="minorHAnsi" w:hAnsiTheme="minorHAnsi" w:cstheme="minorHAnsi"/>
          <w:color w:val="000000" w:themeColor="text1"/>
        </w:rPr>
      </w:pPr>
      <w:r w:rsidRPr="00AE082D">
        <w:rPr>
          <w:rFonts w:asciiTheme="minorHAnsi" w:hAnsiTheme="minorHAnsi" w:cstheme="minorHAnsi"/>
          <w:color w:val="000000" w:themeColor="text1"/>
        </w:rPr>
        <w:t>La importancia de una vinculación con los clientes recibe calificación alta solamente en 4 empresas. Si bien en algunas empresas esto se explica porque el proyecto desarrolla procesos internos que no modifican sustancialmente los bienes o servicios que comercializa la empresa, sería importante una profundización de este aspecto en futuras evaluaciones.</w:t>
      </w:r>
    </w:p>
    <w:p w:rsidR="008C6725" w:rsidRDefault="008C6725" w:rsidP="008C6725">
      <w:pPr>
        <w:rPr>
          <w:rFonts w:asciiTheme="minorHAnsi" w:hAnsiTheme="minorHAnsi" w:cstheme="minorHAnsi"/>
          <w:b/>
          <w:bCs/>
          <w:color w:val="000000" w:themeColor="text1"/>
          <w:lang w:eastAsia="es-ES_tradnl"/>
        </w:rPr>
      </w:pPr>
      <w:r>
        <w:rPr>
          <w:rFonts w:asciiTheme="minorHAnsi" w:hAnsiTheme="minorHAnsi" w:cstheme="minorHAnsi"/>
          <w:b/>
          <w:bCs/>
          <w:color w:val="000000" w:themeColor="text1"/>
          <w:lang w:eastAsia="es-ES_tradnl"/>
        </w:rPr>
        <w:br w:type="page"/>
      </w:r>
    </w:p>
    <w:p w:rsidR="008C6725" w:rsidRPr="00AE082D" w:rsidRDefault="008C6725" w:rsidP="008C6725">
      <w:pPr>
        <w:spacing w:after="200" w:line="276" w:lineRule="auto"/>
        <w:jc w:val="center"/>
        <w:rPr>
          <w:rFonts w:asciiTheme="minorHAnsi" w:hAnsiTheme="minorHAnsi" w:cstheme="minorHAnsi"/>
          <w:color w:val="000000" w:themeColor="text1"/>
        </w:rPr>
      </w:pPr>
      <w:r w:rsidRPr="00AE082D">
        <w:rPr>
          <w:rFonts w:asciiTheme="minorHAnsi" w:hAnsiTheme="minorHAnsi" w:cstheme="minorHAnsi"/>
          <w:b/>
          <w:bCs/>
          <w:color w:val="000000" w:themeColor="text1"/>
          <w:lang w:eastAsia="es-ES_tradnl"/>
        </w:rPr>
        <w:lastRenderedPageBreak/>
        <w:t xml:space="preserve">Tabla </w:t>
      </w:r>
      <w:r w:rsidR="006F1343">
        <w:rPr>
          <w:rFonts w:asciiTheme="minorHAnsi" w:hAnsiTheme="minorHAnsi" w:cstheme="minorHAnsi"/>
          <w:b/>
          <w:bCs/>
          <w:color w:val="000000" w:themeColor="text1"/>
          <w:lang w:eastAsia="es-ES_tradnl"/>
        </w:rPr>
        <w:t>5.19</w:t>
      </w:r>
      <w:r>
        <w:rPr>
          <w:rFonts w:asciiTheme="minorHAnsi" w:hAnsiTheme="minorHAnsi" w:cstheme="minorHAnsi"/>
          <w:b/>
          <w:bCs/>
          <w:color w:val="000000" w:themeColor="text1"/>
          <w:lang w:eastAsia="es-ES_tradnl"/>
        </w:rPr>
        <w:t>.</w:t>
      </w:r>
      <w:r w:rsidRPr="00AE082D">
        <w:rPr>
          <w:rFonts w:asciiTheme="minorHAnsi" w:hAnsiTheme="minorHAnsi" w:cstheme="minorHAnsi"/>
          <w:b/>
          <w:bCs/>
          <w:color w:val="000000" w:themeColor="text1"/>
          <w:lang w:eastAsia="es-ES_tradnl"/>
        </w:rPr>
        <w:t xml:space="preserve"> Importancia de la vinculación con agentes o instituciones para el desarrollo de actividades de innovación</w:t>
      </w:r>
    </w:p>
    <w:tbl>
      <w:tblPr>
        <w:tblW w:w="8961" w:type="dxa"/>
        <w:tblInd w:w="40" w:type="dxa"/>
        <w:shd w:val="clear" w:color="auto" w:fill="FFFFFF" w:themeFill="background1"/>
        <w:tblLayout w:type="fixed"/>
        <w:tblCellMar>
          <w:left w:w="70" w:type="dxa"/>
          <w:right w:w="70" w:type="dxa"/>
        </w:tblCellMar>
        <w:tblLook w:val="0000" w:firstRow="0" w:lastRow="0" w:firstColumn="0" w:lastColumn="0" w:noHBand="0" w:noVBand="0"/>
      </w:tblPr>
      <w:tblGrid>
        <w:gridCol w:w="3574"/>
        <w:gridCol w:w="1134"/>
        <w:gridCol w:w="1134"/>
        <w:gridCol w:w="992"/>
        <w:gridCol w:w="1134"/>
        <w:gridCol w:w="993"/>
      </w:tblGrid>
      <w:tr w:rsidR="008C6725" w:rsidRPr="00753D6F" w:rsidTr="00802E2B">
        <w:trPr>
          <w:trHeight w:val="240"/>
        </w:trPr>
        <w:tc>
          <w:tcPr>
            <w:tcW w:w="3574"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Agente o Institución</w:t>
            </w:r>
          </w:p>
        </w:tc>
        <w:tc>
          <w:tcPr>
            <w:tcW w:w="1134"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Muy alto</w:t>
            </w:r>
          </w:p>
        </w:tc>
        <w:tc>
          <w:tcPr>
            <w:tcW w:w="1134"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Alto</w:t>
            </w:r>
          </w:p>
        </w:tc>
        <w:tc>
          <w:tcPr>
            <w:tcW w:w="992"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Bajo</w:t>
            </w:r>
          </w:p>
        </w:tc>
        <w:tc>
          <w:tcPr>
            <w:tcW w:w="1134"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Muy Bajo</w:t>
            </w:r>
          </w:p>
        </w:tc>
        <w:tc>
          <w:tcPr>
            <w:tcW w:w="993"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No Aplica</w:t>
            </w:r>
          </w:p>
        </w:tc>
      </w:tr>
      <w:tr w:rsidR="008C6725" w:rsidRPr="004E48C5" w:rsidTr="00802E2B">
        <w:trPr>
          <w:trHeight w:val="240"/>
        </w:trPr>
        <w:tc>
          <w:tcPr>
            <w:tcW w:w="35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Universidad</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r>
      <w:tr w:rsidR="008C6725" w:rsidRPr="004E48C5" w:rsidTr="00802E2B">
        <w:trPr>
          <w:trHeight w:val="240"/>
        </w:trPr>
        <w:tc>
          <w:tcPr>
            <w:tcW w:w="35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Centro tecnológico</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r>
      <w:tr w:rsidR="008C6725" w:rsidRPr="004E48C5" w:rsidTr="00802E2B">
        <w:trPr>
          <w:trHeight w:val="240"/>
        </w:trPr>
        <w:tc>
          <w:tcPr>
            <w:tcW w:w="35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Instituto de formación técnica</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r>
      <w:tr w:rsidR="008C6725" w:rsidRPr="004E48C5" w:rsidTr="00802E2B">
        <w:trPr>
          <w:trHeight w:val="240"/>
        </w:trPr>
        <w:tc>
          <w:tcPr>
            <w:tcW w:w="35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Laboratorios / empresas de I+D</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r>
      <w:tr w:rsidR="008C6725" w:rsidRPr="004E48C5" w:rsidTr="00802E2B">
        <w:trPr>
          <w:trHeight w:val="240"/>
        </w:trPr>
        <w:tc>
          <w:tcPr>
            <w:tcW w:w="35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Entidades de vinculación tecnológica</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r>
      <w:tr w:rsidR="008C6725" w:rsidRPr="004E48C5" w:rsidTr="00802E2B">
        <w:trPr>
          <w:trHeight w:val="240"/>
        </w:trPr>
        <w:tc>
          <w:tcPr>
            <w:tcW w:w="35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Proveedores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r>
      <w:tr w:rsidR="008C6725" w:rsidRPr="004E48C5" w:rsidTr="00802E2B">
        <w:trPr>
          <w:trHeight w:val="240"/>
        </w:trPr>
        <w:tc>
          <w:tcPr>
            <w:tcW w:w="35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Clientes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r>
      <w:tr w:rsidR="008C6725" w:rsidRPr="004E48C5" w:rsidTr="00802E2B">
        <w:trPr>
          <w:trHeight w:val="240"/>
        </w:trPr>
        <w:tc>
          <w:tcPr>
            <w:tcW w:w="35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Casa matriz</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4</w:t>
            </w:r>
          </w:p>
        </w:tc>
      </w:tr>
      <w:tr w:rsidR="008C6725" w:rsidRPr="004E48C5" w:rsidTr="00802E2B">
        <w:trPr>
          <w:trHeight w:val="240"/>
        </w:trPr>
        <w:tc>
          <w:tcPr>
            <w:tcW w:w="35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Empresas del mismo grupo</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4</w:t>
            </w:r>
          </w:p>
        </w:tc>
      </w:tr>
      <w:tr w:rsidR="008C6725" w:rsidRPr="004E48C5" w:rsidTr="00802E2B">
        <w:trPr>
          <w:trHeight w:val="240"/>
        </w:trPr>
        <w:tc>
          <w:tcPr>
            <w:tcW w:w="35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Otras empresas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4</w:t>
            </w:r>
          </w:p>
        </w:tc>
      </w:tr>
      <w:tr w:rsidR="008C6725" w:rsidRPr="004E48C5" w:rsidTr="00802E2B">
        <w:trPr>
          <w:trHeight w:val="240"/>
        </w:trPr>
        <w:tc>
          <w:tcPr>
            <w:tcW w:w="35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Consultores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3</w:t>
            </w:r>
          </w:p>
        </w:tc>
      </w:tr>
      <w:tr w:rsidR="008C6725" w:rsidRPr="004E48C5" w:rsidTr="00802E2B">
        <w:trPr>
          <w:trHeight w:val="240"/>
        </w:trPr>
        <w:tc>
          <w:tcPr>
            <w:tcW w:w="35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Agencias o programas gubernamentales de promoción de Ciencia y Tecnología</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r>
    </w:tbl>
    <w:p w:rsidR="008C6725" w:rsidRPr="00171404" w:rsidRDefault="008C6725" w:rsidP="008C6725">
      <w:pPr>
        <w:spacing w:before="120" w:after="120" w:line="288" w:lineRule="auto"/>
        <w:rPr>
          <w:rFonts w:asciiTheme="minorHAnsi" w:hAnsiTheme="minorHAnsi" w:cstheme="minorHAnsi"/>
          <w:color w:val="000000" w:themeColor="text1"/>
          <w:sz w:val="18"/>
          <w:szCs w:val="18"/>
        </w:rPr>
      </w:pPr>
      <w:r w:rsidRPr="00171404">
        <w:rPr>
          <w:rFonts w:asciiTheme="minorHAnsi" w:hAnsiTheme="minorHAnsi" w:cstheme="minorHAnsi"/>
          <w:color w:val="000000" w:themeColor="text1"/>
          <w:sz w:val="18"/>
          <w:szCs w:val="18"/>
        </w:rPr>
        <w:t>Fuente: Innovos Group en base a resultados de la encues</w:t>
      </w:r>
      <w:r>
        <w:rPr>
          <w:rFonts w:asciiTheme="minorHAnsi" w:hAnsiTheme="minorHAnsi" w:cstheme="minorHAnsi"/>
          <w:color w:val="000000" w:themeColor="text1"/>
          <w:sz w:val="18"/>
          <w:szCs w:val="18"/>
        </w:rPr>
        <w:t>ta</w:t>
      </w:r>
    </w:p>
    <w:p w:rsidR="008C6725" w:rsidRPr="00AE082D" w:rsidRDefault="008C6725" w:rsidP="008C6725">
      <w:pPr>
        <w:spacing w:after="200" w:line="276" w:lineRule="auto"/>
        <w:rPr>
          <w:rFonts w:asciiTheme="minorHAnsi" w:hAnsiTheme="minorHAnsi" w:cstheme="minorHAnsi"/>
          <w:b/>
        </w:rPr>
      </w:pPr>
      <w:r w:rsidRPr="00AE082D">
        <w:rPr>
          <w:rFonts w:asciiTheme="minorHAnsi" w:hAnsiTheme="minorHAnsi" w:cstheme="minorHAnsi"/>
          <w:b/>
        </w:rPr>
        <w:t>Obstáculos a la innovación</w:t>
      </w:r>
    </w:p>
    <w:p w:rsidR="008C6725" w:rsidRPr="00AE082D" w:rsidRDefault="008C6725" w:rsidP="008C6725">
      <w:pPr>
        <w:spacing w:after="200" w:line="276" w:lineRule="auto"/>
        <w:jc w:val="both"/>
        <w:rPr>
          <w:rFonts w:asciiTheme="minorHAnsi" w:hAnsiTheme="minorHAnsi" w:cstheme="minorHAnsi"/>
          <w:color w:val="000000" w:themeColor="text1"/>
        </w:rPr>
      </w:pPr>
      <w:r w:rsidRPr="00AE082D">
        <w:rPr>
          <w:rFonts w:asciiTheme="minorHAnsi" w:hAnsiTheme="minorHAnsi" w:cstheme="minorHAnsi"/>
          <w:color w:val="000000" w:themeColor="text1"/>
        </w:rPr>
        <w:t>Es importante mencionar también cuáles son, para las empresas, los principales factores obstaculizadores de la innovación. Los factores fueron agrupados en económicos, organizacionales y relativos a la vinculación.</w:t>
      </w:r>
    </w:p>
    <w:p w:rsidR="008C6725" w:rsidRPr="00AE082D" w:rsidRDefault="008C6725" w:rsidP="008C6725">
      <w:pPr>
        <w:spacing w:after="200" w:line="276" w:lineRule="auto"/>
        <w:jc w:val="both"/>
        <w:rPr>
          <w:rFonts w:asciiTheme="minorHAnsi" w:hAnsiTheme="minorHAnsi" w:cstheme="minorHAnsi"/>
          <w:color w:val="000000" w:themeColor="text1"/>
        </w:rPr>
      </w:pPr>
      <w:r w:rsidRPr="00AE082D">
        <w:rPr>
          <w:rFonts w:asciiTheme="minorHAnsi" w:hAnsiTheme="minorHAnsi" w:cstheme="minorHAnsi"/>
          <w:color w:val="000000" w:themeColor="text1"/>
        </w:rPr>
        <w:t>En lo que respecta a los factores económicos, la siguiente tabla entrega la síntesis de los resultados.</w:t>
      </w:r>
    </w:p>
    <w:p w:rsidR="008C6725" w:rsidRPr="00AE082D" w:rsidRDefault="008C6725" w:rsidP="008C6725">
      <w:pPr>
        <w:spacing w:after="200" w:line="276" w:lineRule="auto"/>
        <w:jc w:val="center"/>
        <w:rPr>
          <w:rFonts w:asciiTheme="minorHAnsi" w:hAnsiTheme="minorHAnsi" w:cstheme="minorHAnsi"/>
          <w:color w:val="000000" w:themeColor="text1"/>
        </w:rPr>
      </w:pPr>
      <w:r w:rsidRPr="00AE082D">
        <w:rPr>
          <w:rFonts w:asciiTheme="minorHAnsi" w:hAnsiTheme="minorHAnsi" w:cstheme="minorHAnsi"/>
          <w:b/>
          <w:bCs/>
          <w:color w:val="000000" w:themeColor="text1"/>
          <w:lang w:eastAsia="es-ES_tradnl"/>
        </w:rPr>
        <w:t xml:space="preserve">Tabla </w:t>
      </w:r>
      <w:r w:rsidR="00802E2B">
        <w:rPr>
          <w:rFonts w:asciiTheme="minorHAnsi" w:hAnsiTheme="minorHAnsi" w:cstheme="minorHAnsi"/>
          <w:b/>
          <w:bCs/>
          <w:color w:val="000000" w:themeColor="text1"/>
          <w:lang w:eastAsia="es-ES_tradnl"/>
        </w:rPr>
        <w:t>5.2</w:t>
      </w:r>
      <w:r w:rsidR="006F1343">
        <w:rPr>
          <w:rFonts w:asciiTheme="minorHAnsi" w:hAnsiTheme="minorHAnsi" w:cstheme="minorHAnsi"/>
          <w:b/>
          <w:bCs/>
          <w:color w:val="000000" w:themeColor="text1"/>
          <w:lang w:eastAsia="es-ES_tradnl"/>
        </w:rPr>
        <w:t>0</w:t>
      </w:r>
      <w:r w:rsidRPr="00AE082D">
        <w:rPr>
          <w:rFonts w:asciiTheme="minorHAnsi" w:hAnsiTheme="minorHAnsi" w:cstheme="minorHAnsi"/>
          <w:b/>
          <w:bCs/>
          <w:color w:val="000000" w:themeColor="text1"/>
          <w:lang w:eastAsia="es-ES_tradnl"/>
        </w:rPr>
        <w:t>. Factores económicos que han obstaculizado la innovación en las empresas</w:t>
      </w:r>
    </w:p>
    <w:tbl>
      <w:tblPr>
        <w:tblW w:w="8646" w:type="dxa"/>
        <w:tblInd w:w="70" w:type="dxa"/>
        <w:shd w:val="clear" w:color="auto" w:fill="FFFFFF" w:themeFill="background1"/>
        <w:tblCellMar>
          <w:left w:w="70" w:type="dxa"/>
          <w:right w:w="70" w:type="dxa"/>
        </w:tblCellMar>
        <w:tblLook w:val="0000" w:firstRow="0" w:lastRow="0" w:firstColumn="0" w:lastColumn="0" w:noHBand="0" w:noVBand="0"/>
      </w:tblPr>
      <w:tblGrid>
        <w:gridCol w:w="3969"/>
        <w:gridCol w:w="992"/>
        <w:gridCol w:w="850"/>
        <w:gridCol w:w="851"/>
        <w:gridCol w:w="992"/>
        <w:gridCol w:w="992"/>
      </w:tblGrid>
      <w:tr w:rsidR="008C6725" w:rsidRPr="00753D6F" w:rsidTr="00802E2B">
        <w:trPr>
          <w:trHeight w:val="240"/>
        </w:trPr>
        <w:tc>
          <w:tcPr>
            <w:tcW w:w="3969"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rsidR="008C6725" w:rsidRPr="00753D6F" w:rsidRDefault="008C6725" w:rsidP="00802E2B">
            <w:pPr>
              <w:rPr>
                <w:rFonts w:asciiTheme="minorHAnsi" w:hAnsiTheme="minorHAnsi" w:cstheme="minorHAnsi"/>
                <w:b/>
                <w:color w:val="FFFFFF" w:themeColor="background1"/>
                <w:sz w:val="20"/>
                <w:szCs w:val="20"/>
                <w:lang w:eastAsia="es-ES_tradnl"/>
              </w:rPr>
            </w:pPr>
            <w:r w:rsidRPr="00753D6F">
              <w:rPr>
                <w:rFonts w:asciiTheme="minorHAnsi" w:hAnsiTheme="minorHAnsi" w:cstheme="minorHAnsi"/>
                <w:b/>
                <w:color w:val="FFFFFF" w:themeColor="background1"/>
                <w:sz w:val="20"/>
                <w:szCs w:val="20"/>
                <w:lang w:eastAsia="es-ES_tradnl"/>
              </w:rPr>
              <w:t> Factores</w:t>
            </w:r>
          </w:p>
        </w:tc>
        <w:tc>
          <w:tcPr>
            <w:tcW w:w="992"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rsidR="008C6725" w:rsidRPr="00753D6F" w:rsidRDefault="008C6725" w:rsidP="00802E2B">
            <w:pPr>
              <w:jc w:val="center"/>
              <w:rPr>
                <w:rFonts w:asciiTheme="minorHAnsi" w:hAnsiTheme="minorHAnsi" w:cstheme="minorHAnsi"/>
                <w:b/>
                <w:color w:val="FFFFFF" w:themeColor="background1"/>
                <w:sz w:val="20"/>
                <w:szCs w:val="20"/>
                <w:lang w:eastAsia="es-ES_tradnl"/>
              </w:rPr>
            </w:pPr>
            <w:r w:rsidRPr="00753D6F">
              <w:rPr>
                <w:rFonts w:asciiTheme="minorHAnsi" w:hAnsiTheme="minorHAnsi" w:cstheme="minorHAnsi"/>
                <w:b/>
                <w:color w:val="FFFFFF" w:themeColor="background1"/>
                <w:sz w:val="20"/>
                <w:szCs w:val="20"/>
                <w:lang w:eastAsia="es-ES_tradnl"/>
              </w:rPr>
              <w:t>Muy alto</w:t>
            </w:r>
          </w:p>
        </w:tc>
        <w:tc>
          <w:tcPr>
            <w:tcW w:w="850"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rsidR="008C6725" w:rsidRPr="00753D6F" w:rsidRDefault="008C6725" w:rsidP="00802E2B">
            <w:pPr>
              <w:jc w:val="center"/>
              <w:rPr>
                <w:rFonts w:asciiTheme="minorHAnsi" w:hAnsiTheme="minorHAnsi" w:cstheme="minorHAnsi"/>
                <w:b/>
                <w:color w:val="FFFFFF" w:themeColor="background1"/>
                <w:sz w:val="20"/>
                <w:szCs w:val="20"/>
                <w:lang w:eastAsia="es-ES_tradnl"/>
              </w:rPr>
            </w:pPr>
            <w:r w:rsidRPr="00753D6F">
              <w:rPr>
                <w:rFonts w:asciiTheme="minorHAnsi" w:hAnsiTheme="minorHAnsi" w:cstheme="minorHAnsi"/>
                <w:b/>
                <w:color w:val="FFFFFF" w:themeColor="background1"/>
                <w:sz w:val="20"/>
                <w:szCs w:val="20"/>
                <w:lang w:eastAsia="es-ES_tradnl"/>
              </w:rPr>
              <w:t>Alto</w:t>
            </w:r>
          </w:p>
        </w:tc>
        <w:tc>
          <w:tcPr>
            <w:tcW w:w="851"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rsidR="008C6725" w:rsidRPr="00753D6F" w:rsidRDefault="008C6725" w:rsidP="00802E2B">
            <w:pPr>
              <w:jc w:val="center"/>
              <w:rPr>
                <w:rFonts w:asciiTheme="minorHAnsi" w:hAnsiTheme="minorHAnsi" w:cstheme="minorHAnsi"/>
                <w:b/>
                <w:color w:val="FFFFFF" w:themeColor="background1"/>
                <w:sz w:val="20"/>
                <w:szCs w:val="20"/>
                <w:lang w:eastAsia="es-ES_tradnl"/>
              </w:rPr>
            </w:pPr>
            <w:r w:rsidRPr="00753D6F">
              <w:rPr>
                <w:rFonts w:asciiTheme="minorHAnsi" w:hAnsiTheme="minorHAnsi" w:cstheme="minorHAnsi"/>
                <w:b/>
                <w:color w:val="FFFFFF" w:themeColor="background1"/>
                <w:sz w:val="20"/>
                <w:szCs w:val="20"/>
                <w:lang w:eastAsia="es-ES_tradnl"/>
              </w:rPr>
              <w:t>Bajo</w:t>
            </w:r>
          </w:p>
        </w:tc>
        <w:tc>
          <w:tcPr>
            <w:tcW w:w="992"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rsidR="008C6725" w:rsidRPr="00753D6F" w:rsidRDefault="008C6725" w:rsidP="00802E2B">
            <w:pPr>
              <w:jc w:val="center"/>
              <w:rPr>
                <w:rFonts w:asciiTheme="minorHAnsi" w:hAnsiTheme="minorHAnsi" w:cstheme="minorHAnsi"/>
                <w:b/>
                <w:color w:val="FFFFFF" w:themeColor="background1"/>
                <w:sz w:val="20"/>
                <w:szCs w:val="20"/>
                <w:lang w:eastAsia="es-ES_tradnl"/>
              </w:rPr>
            </w:pPr>
            <w:r w:rsidRPr="00753D6F">
              <w:rPr>
                <w:rFonts w:asciiTheme="minorHAnsi" w:hAnsiTheme="minorHAnsi" w:cstheme="minorHAnsi"/>
                <w:b/>
                <w:color w:val="FFFFFF" w:themeColor="background1"/>
                <w:sz w:val="20"/>
                <w:szCs w:val="20"/>
                <w:lang w:eastAsia="es-ES_tradnl"/>
              </w:rPr>
              <w:t>Muy Bajo</w:t>
            </w:r>
          </w:p>
        </w:tc>
        <w:tc>
          <w:tcPr>
            <w:tcW w:w="992"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rsidR="008C6725" w:rsidRPr="00753D6F" w:rsidRDefault="008C6725" w:rsidP="00802E2B">
            <w:pPr>
              <w:jc w:val="center"/>
              <w:rPr>
                <w:rFonts w:asciiTheme="minorHAnsi" w:hAnsiTheme="minorHAnsi" w:cstheme="minorHAnsi"/>
                <w:b/>
                <w:color w:val="FFFFFF" w:themeColor="background1"/>
                <w:sz w:val="20"/>
                <w:szCs w:val="20"/>
                <w:lang w:eastAsia="es-ES_tradnl"/>
              </w:rPr>
            </w:pPr>
            <w:r w:rsidRPr="00753D6F">
              <w:rPr>
                <w:rFonts w:asciiTheme="minorHAnsi" w:hAnsiTheme="minorHAnsi" w:cstheme="minorHAnsi"/>
                <w:b/>
                <w:color w:val="FFFFFF" w:themeColor="background1"/>
                <w:sz w:val="20"/>
                <w:szCs w:val="20"/>
                <w:lang w:eastAsia="es-ES_tradnl"/>
              </w:rPr>
              <w:t>No Aplica</w:t>
            </w:r>
          </w:p>
        </w:tc>
      </w:tr>
      <w:tr w:rsidR="008C6725" w:rsidRPr="004E48C5" w:rsidTr="00802E2B">
        <w:trPr>
          <w:trHeight w:val="240"/>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753D6F" w:rsidRDefault="008C6725" w:rsidP="00802E2B">
            <w:pPr>
              <w:rPr>
                <w:rFonts w:asciiTheme="minorHAnsi" w:hAnsiTheme="minorHAnsi" w:cstheme="minorHAnsi"/>
                <w:bCs/>
                <w:color w:val="000000" w:themeColor="text1"/>
                <w:sz w:val="20"/>
                <w:szCs w:val="20"/>
                <w:lang w:eastAsia="es-ES_tradnl"/>
              </w:rPr>
            </w:pPr>
            <w:r w:rsidRPr="00753D6F">
              <w:rPr>
                <w:rFonts w:asciiTheme="minorHAnsi" w:hAnsiTheme="minorHAnsi" w:cstheme="minorHAnsi"/>
                <w:bCs/>
                <w:color w:val="000000" w:themeColor="text1"/>
                <w:sz w:val="20"/>
                <w:szCs w:val="20"/>
                <w:lang w:eastAsia="es-ES_tradnl"/>
              </w:rPr>
              <w:t>Riesgo económico excesivo</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0</w:t>
            </w:r>
          </w:p>
        </w:tc>
      </w:tr>
      <w:tr w:rsidR="008C6725" w:rsidRPr="004E48C5" w:rsidTr="00802E2B">
        <w:trPr>
          <w:trHeight w:val="240"/>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753D6F" w:rsidRDefault="008C6725" w:rsidP="00802E2B">
            <w:pPr>
              <w:rPr>
                <w:rFonts w:asciiTheme="minorHAnsi" w:hAnsiTheme="minorHAnsi" w:cstheme="minorHAnsi"/>
                <w:bCs/>
                <w:color w:val="000000" w:themeColor="text1"/>
                <w:sz w:val="20"/>
                <w:szCs w:val="20"/>
                <w:lang w:eastAsia="es-ES_tradnl"/>
              </w:rPr>
            </w:pPr>
            <w:r w:rsidRPr="00753D6F">
              <w:rPr>
                <w:rFonts w:asciiTheme="minorHAnsi" w:hAnsiTheme="minorHAnsi" w:cstheme="minorHAnsi"/>
                <w:bCs/>
                <w:color w:val="000000" w:themeColor="text1"/>
                <w:sz w:val="20"/>
                <w:szCs w:val="20"/>
                <w:lang w:eastAsia="es-ES_tradnl"/>
              </w:rPr>
              <w:t>Tamaño de mercado al que apunta la innovación</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1</w:t>
            </w:r>
          </w:p>
        </w:tc>
      </w:tr>
      <w:tr w:rsidR="008C6725" w:rsidRPr="004E48C5" w:rsidTr="00802E2B">
        <w:trPr>
          <w:trHeight w:val="240"/>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753D6F" w:rsidRDefault="008C6725" w:rsidP="00802E2B">
            <w:pPr>
              <w:rPr>
                <w:rFonts w:asciiTheme="minorHAnsi" w:hAnsiTheme="minorHAnsi" w:cstheme="minorHAnsi"/>
                <w:bCs/>
                <w:color w:val="000000" w:themeColor="text1"/>
                <w:sz w:val="20"/>
                <w:szCs w:val="20"/>
                <w:lang w:eastAsia="es-ES_tradnl"/>
              </w:rPr>
            </w:pPr>
            <w:r w:rsidRPr="00753D6F">
              <w:rPr>
                <w:rFonts w:asciiTheme="minorHAnsi" w:hAnsiTheme="minorHAnsi" w:cstheme="minorHAnsi"/>
                <w:bCs/>
                <w:color w:val="000000" w:themeColor="text1"/>
                <w:sz w:val="20"/>
                <w:szCs w:val="20"/>
                <w:lang w:eastAsia="es-ES_tradnl"/>
              </w:rPr>
              <w:t>Dificultades de acceso al financiamiento privado</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0</w:t>
            </w:r>
          </w:p>
        </w:tc>
      </w:tr>
      <w:tr w:rsidR="008C6725" w:rsidRPr="004E48C5" w:rsidTr="00802E2B">
        <w:trPr>
          <w:trHeight w:val="240"/>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753D6F" w:rsidRDefault="008C6725" w:rsidP="00802E2B">
            <w:pPr>
              <w:rPr>
                <w:rFonts w:asciiTheme="minorHAnsi" w:hAnsiTheme="minorHAnsi" w:cstheme="minorHAnsi"/>
                <w:bCs/>
                <w:color w:val="000000" w:themeColor="text1"/>
                <w:sz w:val="20"/>
                <w:szCs w:val="20"/>
                <w:lang w:eastAsia="es-ES_tradnl"/>
              </w:rPr>
            </w:pPr>
            <w:r w:rsidRPr="00753D6F">
              <w:rPr>
                <w:rFonts w:asciiTheme="minorHAnsi" w:hAnsiTheme="minorHAnsi" w:cstheme="minorHAnsi"/>
                <w:bCs/>
                <w:color w:val="000000" w:themeColor="text1"/>
                <w:sz w:val="20"/>
                <w:szCs w:val="20"/>
                <w:lang w:eastAsia="es-ES_tradnl"/>
              </w:rPr>
              <w:t>Facilidad de imitación por terceros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0</w:t>
            </w:r>
          </w:p>
        </w:tc>
      </w:tr>
      <w:tr w:rsidR="008C6725" w:rsidRPr="004E48C5" w:rsidTr="00802E2B">
        <w:trPr>
          <w:trHeight w:val="240"/>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753D6F" w:rsidRDefault="008C6725" w:rsidP="00802E2B">
            <w:pPr>
              <w:rPr>
                <w:rFonts w:asciiTheme="minorHAnsi" w:hAnsiTheme="minorHAnsi" w:cstheme="minorHAnsi"/>
                <w:bCs/>
                <w:color w:val="000000" w:themeColor="text1"/>
                <w:sz w:val="20"/>
                <w:szCs w:val="20"/>
                <w:lang w:eastAsia="es-ES_tradnl"/>
              </w:rPr>
            </w:pPr>
            <w:r w:rsidRPr="00753D6F">
              <w:rPr>
                <w:rFonts w:asciiTheme="minorHAnsi" w:hAnsiTheme="minorHAnsi" w:cstheme="minorHAnsi"/>
                <w:bCs/>
                <w:color w:val="000000" w:themeColor="text1"/>
                <w:sz w:val="20"/>
                <w:szCs w:val="20"/>
                <w:lang w:eastAsia="es-ES_tradnl"/>
              </w:rPr>
              <w:t>Otro</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C6725" w:rsidRPr="004E48C5" w:rsidRDefault="008C6725" w:rsidP="00802E2B">
            <w:pPr>
              <w:jc w:val="center"/>
              <w:rPr>
                <w:rFonts w:asciiTheme="minorHAnsi" w:hAnsiTheme="minorHAnsi" w:cstheme="minorHAnsi"/>
                <w:color w:val="000000" w:themeColor="text1"/>
                <w:sz w:val="20"/>
                <w:szCs w:val="20"/>
                <w:lang w:eastAsia="es-ES_tradnl"/>
              </w:rPr>
            </w:pPr>
            <w:r w:rsidRPr="004E48C5">
              <w:rPr>
                <w:rFonts w:asciiTheme="minorHAnsi" w:hAnsiTheme="minorHAnsi" w:cstheme="minorHAnsi"/>
                <w:color w:val="000000" w:themeColor="text1"/>
                <w:sz w:val="20"/>
                <w:szCs w:val="20"/>
                <w:lang w:eastAsia="es-ES_tradnl"/>
              </w:rPr>
              <w:t>2</w:t>
            </w:r>
          </w:p>
        </w:tc>
      </w:tr>
    </w:tbl>
    <w:p w:rsidR="008C6725" w:rsidRPr="00171404" w:rsidRDefault="008C6725" w:rsidP="008C6725">
      <w:pPr>
        <w:spacing w:before="120" w:after="120" w:line="288" w:lineRule="auto"/>
        <w:rPr>
          <w:rFonts w:asciiTheme="minorHAnsi" w:hAnsiTheme="minorHAnsi" w:cstheme="minorHAnsi"/>
          <w:color w:val="000000" w:themeColor="text1"/>
          <w:sz w:val="18"/>
          <w:szCs w:val="18"/>
        </w:rPr>
      </w:pPr>
      <w:r w:rsidRPr="00171404">
        <w:rPr>
          <w:rFonts w:asciiTheme="minorHAnsi" w:hAnsiTheme="minorHAnsi" w:cstheme="minorHAnsi"/>
          <w:color w:val="000000" w:themeColor="text1"/>
          <w:sz w:val="18"/>
          <w:szCs w:val="18"/>
        </w:rPr>
        <w:t>Fuente: Innovos Group en b</w:t>
      </w:r>
      <w:r>
        <w:rPr>
          <w:rFonts w:asciiTheme="minorHAnsi" w:hAnsiTheme="minorHAnsi" w:cstheme="minorHAnsi"/>
          <w:color w:val="000000" w:themeColor="text1"/>
          <w:sz w:val="18"/>
          <w:szCs w:val="18"/>
        </w:rPr>
        <w:t>ase a resultados de la encuesta</w:t>
      </w:r>
    </w:p>
    <w:p w:rsidR="008C6725" w:rsidRPr="00AE082D" w:rsidRDefault="008C6725" w:rsidP="008C6725">
      <w:pPr>
        <w:spacing w:after="200" w:line="276" w:lineRule="auto"/>
        <w:jc w:val="both"/>
        <w:rPr>
          <w:rFonts w:asciiTheme="minorHAnsi" w:hAnsiTheme="minorHAnsi" w:cstheme="minorHAnsi"/>
          <w:color w:val="000000" w:themeColor="text1"/>
        </w:rPr>
      </w:pPr>
      <w:r w:rsidRPr="00AE082D">
        <w:rPr>
          <w:rFonts w:asciiTheme="minorHAnsi" w:hAnsiTheme="minorHAnsi" w:cstheme="minorHAnsi"/>
          <w:color w:val="000000" w:themeColor="text1"/>
        </w:rPr>
        <w:t>Las dificultades de acceso al financiamiento privado se identifican como importantes, seguidas por el riesgo económico y la facilidad de imitación por terceros. Estas respuestas coinciden con la experiencia mundial de fallas de mercado, que presentan como los principales obstáculos las asimetrías de información que limitan el acceso al financiamiento privado, el alto riesgo y la incierta apropiabilidad (facilidad de imitación por terceros). Solamente 4 respuestas indican el tamaño de mercado como un obstáculo.</w:t>
      </w:r>
    </w:p>
    <w:p w:rsidR="008C6725" w:rsidRPr="00AE082D" w:rsidRDefault="008C6725" w:rsidP="008C6725">
      <w:pPr>
        <w:spacing w:after="200" w:line="276" w:lineRule="auto"/>
        <w:jc w:val="both"/>
        <w:rPr>
          <w:rFonts w:asciiTheme="minorHAnsi" w:hAnsiTheme="minorHAnsi" w:cstheme="minorHAnsi"/>
          <w:color w:val="000000" w:themeColor="text1"/>
        </w:rPr>
      </w:pPr>
      <w:r w:rsidRPr="00AE082D">
        <w:rPr>
          <w:rFonts w:asciiTheme="minorHAnsi" w:hAnsiTheme="minorHAnsi" w:cstheme="minorHAnsi"/>
          <w:color w:val="000000" w:themeColor="text1"/>
        </w:rPr>
        <w:lastRenderedPageBreak/>
        <w:t>Respecto de los factores organizacionales obstaculizadores de la innovación, el único que aparece con un número suficiente de menciones es la escasez de personal capacitado, como se observa en la tabla a continuación.</w:t>
      </w:r>
    </w:p>
    <w:p w:rsidR="008C6725" w:rsidRPr="00AE082D" w:rsidRDefault="006F1343" w:rsidP="008C6725">
      <w:pPr>
        <w:spacing w:after="200" w:line="276" w:lineRule="auto"/>
        <w:jc w:val="center"/>
        <w:rPr>
          <w:rFonts w:asciiTheme="minorHAnsi" w:hAnsiTheme="minorHAnsi" w:cstheme="minorHAnsi"/>
          <w:color w:val="000000" w:themeColor="text1"/>
        </w:rPr>
      </w:pPr>
      <w:r>
        <w:rPr>
          <w:rFonts w:asciiTheme="minorHAnsi" w:hAnsiTheme="minorHAnsi" w:cstheme="minorHAnsi"/>
          <w:b/>
          <w:bCs/>
          <w:color w:val="000000" w:themeColor="text1"/>
          <w:lang w:eastAsia="es-ES_tradnl"/>
        </w:rPr>
        <w:t>Tabla 5.21</w:t>
      </w:r>
      <w:r w:rsidR="008C6725">
        <w:rPr>
          <w:rFonts w:asciiTheme="minorHAnsi" w:hAnsiTheme="minorHAnsi" w:cstheme="minorHAnsi"/>
          <w:b/>
          <w:bCs/>
          <w:color w:val="000000" w:themeColor="text1"/>
          <w:lang w:eastAsia="es-ES_tradnl"/>
        </w:rPr>
        <w:t>.</w:t>
      </w:r>
      <w:r w:rsidR="008C6725" w:rsidRPr="00AE082D">
        <w:rPr>
          <w:rFonts w:asciiTheme="minorHAnsi" w:hAnsiTheme="minorHAnsi" w:cstheme="minorHAnsi"/>
          <w:b/>
          <w:bCs/>
          <w:color w:val="000000" w:themeColor="text1"/>
          <w:lang w:eastAsia="es-ES_tradnl"/>
        </w:rPr>
        <w:t xml:space="preserve"> Factores organizacionales que han obstaculizado la innovación en las empresas</w:t>
      </w:r>
    </w:p>
    <w:tbl>
      <w:tblPr>
        <w:tblW w:w="8110" w:type="dxa"/>
        <w:jc w:val="center"/>
        <w:shd w:val="clear" w:color="auto" w:fill="FFFFFF" w:themeFill="background1"/>
        <w:tblLayout w:type="fixed"/>
        <w:tblCellMar>
          <w:left w:w="70" w:type="dxa"/>
          <w:right w:w="70" w:type="dxa"/>
        </w:tblCellMar>
        <w:tblLook w:val="0000" w:firstRow="0" w:lastRow="0" w:firstColumn="0" w:lastColumn="0" w:noHBand="0" w:noVBand="0"/>
      </w:tblPr>
      <w:tblGrid>
        <w:gridCol w:w="3149"/>
        <w:gridCol w:w="992"/>
        <w:gridCol w:w="992"/>
        <w:gridCol w:w="993"/>
        <w:gridCol w:w="992"/>
        <w:gridCol w:w="992"/>
      </w:tblGrid>
      <w:tr w:rsidR="008C6725" w:rsidRPr="00753D6F" w:rsidTr="00802E2B">
        <w:trPr>
          <w:trHeight w:val="240"/>
          <w:jc w:val="center"/>
        </w:trPr>
        <w:tc>
          <w:tcPr>
            <w:tcW w:w="3149"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Factores</w:t>
            </w:r>
          </w:p>
        </w:tc>
        <w:tc>
          <w:tcPr>
            <w:tcW w:w="992"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Muy alto</w:t>
            </w:r>
          </w:p>
        </w:tc>
        <w:tc>
          <w:tcPr>
            <w:tcW w:w="992"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Alto</w:t>
            </w:r>
          </w:p>
        </w:tc>
        <w:tc>
          <w:tcPr>
            <w:tcW w:w="993"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Bajo</w:t>
            </w:r>
          </w:p>
        </w:tc>
        <w:tc>
          <w:tcPr>
            <w:tcW w:w="992"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Muy Bajo</w:t>
            </w:r>
          </w:p>
        </w:tc>
        <w:tc>
          <w:tcPr>
            <w:tcW w:w="992"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No Aplica</w:t>
            </w:r>
          </w:p>
        </w:tc>
      </w:tr>
      <w:tr w:rsidR="008C6725" w:rsidRPr="004E48C5" w:rsidTr="00802E2B">
        <w:trPr>
          <w:trHeight w:val="240"/>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Escasez de personal capacitado</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4</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r>
      <w:tr w:rsidR="008C6725" w:rsidRPr="004E48C5" w:rsidTr="00802E2B">
        <w:trPr>
          <w:trHeight w:val="240"/>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Rigidez organizacional</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r>
      <w:tr w:rsidR="008C6725" w:rsidRPr="004E48C5" w:rsidTr="00802E2B">
        <w:trPr>
          <w:trHeight w:val="240"/>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Infraestructura física</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r>
      <w:tr w:rsidR="008C6725" w:rsidRPr="004E48C5" w:rsidTr="00802E2B">
        <w:trPr>
          <w:trHeight w:val="240"/>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Otro</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3</w:t>
            </w:r>
          </w:p>
        </w:tc>
      </w:tr>
    </w:tbl>
    <w:p w:rsidR="008C6725" w:rsidRPr="00171404" w:rsidRDefault="008C6725" w:rsidP="008C6725">
      <w:pPr>
        <w:spacing w:before="120" w:after="120" w:line="288" w:lineRule="auto"/>
        <w:ind w:left="426"/>
        <w:jc w:val="both"/>
        <w:rPr>
          <w:rFonts w:asciiTheme="minorHAnsi" w:hAnsiTheme="minorHAnsi" w:cstheme="minorHAnsi"/>
          <w:color w:val="000000" w:themeColor="text1"/>
          <w:sz w:val="18"/>
          <w:szCs w:val="18"/>
        </w:rPr>
      </w:pPr>
      <w:r w:rsidRPr="00171404">
        <w:rPr>
          <w:rFonts w:asciiTheme="minorHAnsi" w:hAnsiTheme="minorHAnsi" w:cstheme="minorHAnsi"/>
          <w:color w:val="000000" w:themeColor="text1"/>
          <w:sz w:val="18"/>
          <w:szCs w:val="18"/>
        </w:rPr>
        <w:t>Fuente: Innovos Group en base a resultados de la encuesta</w:t>
      </w:r>
    </w:p>
    <w:p w:rsidR="008C6725" w:rsidRPr="00165C67" w:rsidRDefault="008C6725" w:rsidP="008C6725">
      <w:pPr>
        <w:spacing w:after="200" w:line="276" w:lineRule="auto"/>
        <w:jc w:val="both"/>
        <w:rPr>
          <w:rFonts w:asciiTheme="minorHAnsi" w:hAnsiTheme="minorHAnsi" w:cstheme="minorHAnsi"/>
          <w:color w:val="000000" w:themeColor="text1"/>
        </w:rPr>
      </w:pPr>
      <w:r w:rsidRPr="00165C67">
        <w:rPr>
          <w:rFonts w:asciiTheme="minorHAnsi" w:hAnsiTheme="minorHAnsi" w:cstheme="minorHAnsi"/>
          <w:color w:val="000000" w:themeColor="text1"/>
        </w:rPr>
        <w:t>Los obstáculos a la innovación que identifican los encuestados relativos a la vinculación tienen una frecuencia de calificaciones “alta” y “muy alta” que no difiere significativamente entre las diferentes alternativas. Levemente menos frecuente son las respuestas que identifican al sistema de propiedad intelectual y a la legislación vigente como obstáculos. La insuficiente información sobre tecnologías aparece con un número de 6 menciones.</w:t>
      </w:r>
    </w:p>
    <w:p w:rsidR="008C6725" w:rsidRPr="00165C67" w:rsidRDefault="008C6725" w:rsidP="008C6725">
      <w:pPr>
        <w:spacing w:after="200" w:line="276" w:lineRule="auto"/>
        <w:jc w:val="center"/>
        <w:rPr>
          <w:rFonts w:asciiTheme="minorHAnsi" w:hAnsiTheme="minorHAnsi" w:cstheme="minorHAnsi"/>
          <w:color w:val="000000" w:themeColor="text1"/>
        </w:rPr>
      </w:pPr>
      <w:r w:rsidRPr="00165C67">
        <w:rPr>
          <w:rFonts w:asciiTheme="minorHAnsi" w:hAnsiTheme="minorHAnsi" w:cstheme="minorHAnsi"/>
          <w:b/>
          <w:bCs/>
          <w:color w:val="000000" w:themeColor="text1"/>
          <w:lang w:eastAsia="es-ES_tradnl"/>
        </w:rPr>
        <w:t xml:space="preserve">Tabla </w:t>
      </w:r>
      <w:r w:rsidR="00802E2B">
        <w:rPr>
          <w:rFonts w:asciiTheme="minorHAnsi" w:hAnsiTheme="minorHAnsi" w:cstheme="minorHAnsi"/>
          <w:b/>
          <w:bCs/>
          <w:color w:val="000000" w:themeColor="text1"/>
          <w:lang w:eastAsia="es-ES_tradnl"/>
        </w:rPr>
        <w:t>5.2</w:t>
      </w:r>
      <w:r w:rsidR="006F1343">
        <w:rPr>
          <w:rFonts w:asciiTheme="minorHAnsi" w:hAnsiTheme="minorHAnsi" w:cstheme="minorHAnsi"/>
          <w:b/>
          <w:bCs/>
          <w:color w:val="000000" w:themeColor="text1"/>
          <w:lang w:eastAsia="es-ES_tradnl"/>
        </w:rPr>
        <w:t>2</w:t>
      </w:r>
      <w:r>
        <w:rPr>
          <w:rFonts w:asciiTheme="minorHAnsi" w:hAnsiTheme="minorHAnsi" w:cstheme="minorHAnsi"/>
          <w:b/>
          <w:bCs/>
          <w:color w:val="000000" w:themeColor="text1"/>
          <w:lang w:eastAsia="es-ES_tradnl"/>
        </w:rPr>
        <w:t>.</w:t>
      </w:r>
      <w:r w:rsidRPr="00165C67">
        <w:rPr>
          <w:rFonts w:asciiTheme="minorHAnsi" w:hAnsiTheme="minorHAnsi" w:cstheme="minorHAnsi"/>
          <w:b/>
          <w:bCs/>
          <w:color w:val="000000" w:themeColor="text1"/>
          <w:lang w:eastAsia="es-ES_tradnl"/>
        </w:rPr>
        <w:t xml:space="preserve"> Factores organizacionales que han obstaculizado la innovación en las empresas</w:t>
      </w:r>
    </w:p>
    <w:tbl>
      <w:tblPr>
        <w:tblW w:w="9244" w:type="dxa"/>
        <w:tblInd w:w="40" w:type="dxa"/>
        <w:shd w:val="clear" w:color="auto" w:fill="FFFFFF" w:themeFill="background1"/>
        <w:tblLayout w:type="fixed"/>
        <w:tblCellMar>
          <w:left w:w="70" w:type="dxa"/>
          <w:right w:w="70" w:type="dxa"/>
        </w:tblCellMar>
        <w:tblLook w:val="0000" w:firstRow="0" w:lastRow="0" w:firstColumn="0" w:lastColumn="0" w:noHBand="0" w:noVBand="0"/>
      </w:tblPr>
      <w:tblGrid>
        <w:gridCol w:w="4283"/>
        <w:gridCol w:w="992"/>
        <w:gridCol w:w="992"/>
        <w:gridCol w:w="992"/>
        <w:gridCol w:w="993"/>
        <w:gridCol w:w="992"/>
      </w:tblGrid>
      <w:tr w:rsidR="008C6725" w:rsidRPr="00753D6F" w:rsidTr="00802E2B">
        <w:trPr>
          <w:trHeight w:val="240"/>
        </w:trPr>
        <w:tc>
          <w:tcPr>
            <w:tcW w:w="4283"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Factores</w:t>
            </w:r>
          </w:p>
        </w:tc>
        <w:tc>
          <w:tcPr>
            <w:tcW w:w="992"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Muy alto</w:t>
            </w:r>
          </w:p>
        </w:tc>
        <w:tc>
          <w:tcPr>
            <w:tcW w:w="992"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Alto</w:t>
            </w:r>
          </w:p>
        </w:tc>
        <w:tc>
          <w:tcPr>
            <w:tcW w:w="992"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Bajo</w:t>
            </w:r>
          </w:p>
        </w:tc>
        <w:tc>
          <w:tcPr>
            <w:tcW w:w="993"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Muy Bajo</w:t>
            </w:r>
          </w:p>
        </w:tc>
        <w:tc>
          <w:tcPr>
            <w:tcW w:w="992"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No Aplica</w:t>
            </w:r>
          </w:p>
        </w:tc>
      </w:tr>
      <w:tr w:rsidR="008C6725" w:rsidRPr="004E48C5" w:rsidTr="00802E2B">
        <w:trPr>
          <w:trHeight w:val="240"/>
        </w:trPr>
        <w:tc>
          <w:tcPr>
            <w:tcW w:w="428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Escaso dinamismo del cambio tecnológico del sector</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r>
      <w:tr w:rsidR="008C6725" w:rsidRPr="004E48C5" w:rsidTr="00802E2B">
        <w:trPr>
          <w:trHeight w:val="240"/>
        </w:trPr>
        <w:tc>
          <w:tcPr>
            <w:tcW w:w="428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Escasas posibilidades de cooperación con otras empresas/instituciones</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r>
      <w:tr w:rsidR="008C6725" w:rsidRPr="004E48C5" w:rsidTr="00802E2B">
        <w:trPr>
          <w:trHeight w:val="240"/>
        </w:trPr>
        <w:tc>
          <w:tcPr>
            <w:tcW w:w="428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Insuficiente información sobre tecnologías</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r>
      <w:tr w:rsidR="008C6725" w:rsidRPr="004E48C5" w:rsidTr="00802E2B">
        <w:trPr>
          <w:trHeight w:val="240"/>
        </w:trPr>
        <w:tc>
          <w:tcPr>
            <w:tcW w:w="428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Falencias en las políticas públicas de promoción de Ciencia y Tecnología</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r>
      <w:tr w:rsidR="008C6725" w:rsidRPr="004E48C5" w:rsidTr="00802E2B">
        <w:trPr>
          <w:trHeight w:val="240"/>
        </w:trPr>
        <w:tc>
          <w:tcPr>
            <w:tcW w:w="428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Escaso desarrollo de instituciones relacionadas con Ciencia y Tecnología</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r>
      <w:tr w:rsidR="008C6725" w:rsidRPr="004E48C5" w:rsidTr="00802E2B">
        <w:trPr>
          <w:trHeight w:val="240"/>
        </w:trPr>
        <w:tc>
          <w:tcPr>
            <w:tcW w:w="428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Sistema de propiedad intelectual</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r>
      <w:tr w:rsidR="008C6725" w:rsidRPr="004E48C5" w:rsidTr="00802E2B">
        <w:trPr>
          <w:trHeight w:val="240"/>
        </w:trPr>
        <w:tc>
          <w:tcPr>
            <w:tcW w:w="428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Obstáculos derivados de la legislación vigente (normas, reglamentos, estándares, impuestos)</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r>
      <w:tr w:rsidR="008C6725" w:rsidRPr="004E48C5" w:rsidTr="00802E2B">
        <w:trPr>
          <w:trHeight w:val="240"/>
        </w:trPr>
        <w:tc>
          <w:tcPr>
            <w:tcW w:w="428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Otro</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r>
    </w:tbl>
    <w:p w:rsidR="008C6725" w:rsidRPr="00171404" w:rsidRDefault="008C6725" w:rsidP="008C6725">
      <w:pPr>
        <w:spacing w:before="120" w:after="120" w:line="288" w:lineRule="auto"/>
        <w:rPr>
          <w:rFonts w:asciiTheme="minorHAnsi" w:hAnsiTheme="minorHAnsi" w:cstheme="minorHAnsi"/>
          <w:color w:val="000000" w:themeColor="text1"/>
          <w:sz w:val="18"/>
          <w:szCs w:val="18"/>
        </w:rPr>
      </w:pPr>
      <w:r w:rsidRPr="00171404">
        <w:rPr>
          <w:rFonts w:asciiTheme="minorHAnsi" w:hAnsiTheme="minorHAnsi" w:cstheme="minorHAnsi"/>
          <w:color w:val="000000" w:themeColor="text1"/>
          <w:sz w:val="18"/>
          <w:szCs w:val="18"/>
        </w:rPr>
        <w:t>Fuente: Innovos Group en base a resultados de la encuesta</w:t>
      </w:r>
    </w:p>
    <w:p w:rsidR="008C6725" w:rsidRPr="00165C67" w:rsidRDefault="008C6725" w:rsidP="008C6725">
      <w:pPr>
        <w:spacing w:after="200" w:line="276" w:lineRule="auto"/>
        <w:jc w:val="both"/>
        <w:rPr>
          <w:rFonts w:asciiTheme="minorHAnsi" w:hAnsiTheme="minorHAnsi" w:cstheme="minorHAnsi"/>
          <w:b/>
        </w:rPr>
      </w:pPr>
      <w:r w:rsidRPr="00165C67">
        <w:rPr>
          <w:rFonts w:asciiTheme="minorHAnsi" w:hAnsiTheme="minorHAnsi" w:cstheme="minorHAnsi"/>
          <w:b/>
        </w:rPr>
        <w:t>Impacto económico de los procesos</w:t>
      </w:r>
    </w:p>
    <w:p w:rsidR="008C6725" w:rsidRPr="00165C67" w:rsidRDefault="008C6725" w:rsidP="008C6725">
      <w:pPr>
        <w:spacing w:after="200" w:line="276" w:lineRule="auto"/>
        <w:jc w:val="both"/>
        <w:rPr>
          <w:rFonts w:asciiTheme="minorHAnsi" w:hAnsiTheme="minorHAnsi" w:cstheme="minorHAnsi"/>
          <w:color w:val="000000" w:themeColor="text1"/>
        </w:rPr>
      </w:pPr>
      <w:r w:rsidRPr="00165C67">
        <w:rPr>
          <w:rFonts w:asciiTheme="minorHAnsi" w:hAnsiTheme="minorHAnsi" w:cstheme="minorHAnsi"/>
          <w:color w:val="000000" w:themeColor="text1"/>
        </w:rPr>
        <w:t>En la Tabla 5.2</w:t>
      </w:r>
      <w:r w:rsidR="006F1343">
        <w:rPr>
          <w:rFonts w:asciiTheme="minorHAnsi" w:hAnsiTheme="minorHAnsi" w:cstheme="minorHAnsi"/>
          <w:color w:val="000000" w:themeColor="text1"/>
        </w:rPr>
        <w:t>3</w:t>
      </w:r>
      <w:r w:rsidRPr="00165C67">
        <w:rPr>
          <w:rFonts w:asciiTheme="minorHAnsi" w:hAnsiTheme="minorHAnsi" w:cstheme="minorHAnsi"/>
          <w:color w:val="000000" w:themeColor="text1"/>
        </w:rPr>
        <w:t xml:space="preserve"> se puede observar la valoración de las empresas respecto del impacto económico que ha tenido el proyecto de innovación.</w:t>
      </w:r>
    </w:p>
    <w:p w:rsidR="008C6725" w:rsidRPr="00165C67" w:rsidRDefault="008C6725" w:rsidP="008C6725">
      <w:pPr>
        <w:spacing w:after="200" w:line="276" w:lineRule="auto"/>
        <w:jc w:val="both"/>
        <w:rPr>
          <w:rFonts w:asciiTheme="minorHAnsi" w:hAnsiTheme="minorHAnsi" w:cstheme="minorHAnsi"/>
          <w:color w:val="000000" w:themeColor="text1"/>
        </w:rPr>
      </w:pPr>
      <w:r w:rsidRPr="00165C67">
        <w:rPr>
          <w:rFonts w:asciiTheme="minorHAnsi" w:hAnsiTheme="minorHAnsi" w:cstheme="minorHAnsi"/>
          <w:color w:val="000000" w:themeColor="text1"/>
        </w:rPr>
        <w:lastRenderedPageBreak/>
        <w:t xml:space="preserve">Las empresas declaran haber desarrollado nuevos productos o procesos así como haber aumentado su capacidad productiva. </w:t>
      </w:r>
      <w:r>
        <w:rPr>
          <w:rFonts w:asciiTheme="minorHAnsi" w:hAnsiTheme="minorHAnsi" w:cstheme="minorHAnsi"/>
          <w:color w:val="000000" w:themeColor="text1"/>
        </w:rPr>
        <w:t xml:space="preserve">Respecto </w:t>
      </w:r>
      <w:r w:rsidRPr="00165C67">
        <w:rPr>
          <w:rFonts w:asciiTheme="minorHAnsi" w:hAnsiTheme="minorHAnsi" w:cstheme="minorHAnsi"/>
          <w:color w:val="000000" w:themeColor="text1"/>
        </w:rPr>
        <w:t>del impacto del proyecto para conservar o ampliar el mercado, así como de la apertura de nuevos mercados, solamente 4 empresas han calificado este impacto como “alto” o “muy alto”. De igual manera, solamente 4 empresas han calificado el impacto en el empleo como “alto” o “muy alto”.</w:t>
      </w:r>
    </w:p>
    <w:p w:rsidR="008C6725" w:rsidRPr="00165C67" w:rsidRDefault="008C6725" w:rsidP="008C6725">
      <w:pPr>
        <w:spacing w:after="200" w:line="276" w:lineRule="auto"/>
        <w:jc w:val="center"/>
        <w:rPr>
          <w:rFonts w:asciiTheme="minorHAnsi" w:hAnsiTheme="minorHAnsi" w:cstheme="minorHAnsi"/>
          <w:b/>
          <w:bCs/>
          <w:color w:val="000000" w:themeColor="text1"/>
          <w:lang w:eastAsia="es-ES_tradnl"/>
        </w:rPr>
      </w:pPr>
      <w:r>
        <w:rPr>
          <w:rFonts w:asciiTheme="minorHAnsi" w:hAnsiTheme="minorHAnsi" w:cstheme="minorHAnsi"/>
          <w:b/>
          <w:bCs/>
          <w:color w:val="000000" w:themeColor="text1"/>
          <w:lang w:eastAsia="es-ES_tradnl"/>
        </w:rPr>
        <w:t>Tabla 5.2</w:t>
      </w:r>
      <w:r w:rsidR="006F1343">
        <w:rPr>
          <w:rFonts w:asciiTheme="minorHAnsi" w:hAnsiTheme="minorHAnsi" w:cstheme="minorHAnsi"/>
          <w:b/>
          <w:bCs/>
          <w:color w:val="000000" w:themeColor="text1"/>
          <w:lang w:eastAsia="es-ES_tradnl"/>
        </w:rPr>
        <w:t>3</w:t>
      </w:r>
      <w:r>
        <w:rPr>
          <w:rFonts w:asciiTheme="minorHAnsi" w:hAnsiTheme="minorHAnsi" w:cstheme="minorHAnsi"/>
          <w:b/>
          <w:bCs/>
          <w:color w:val="000000" w:themeColor="text1"/>
          <w:lang w:eastAsia="es-ES_tradnl"/>
        </w:rPr>
        <w:t>.</w:t>
      </w:r>
      <w:r w:rsidRPr="00165C67">
        <w:rPr>
          <w:rFonts w:asciiTheme="minorHAnsi" w:hAnsiTheme="minorHAnsi" w:cstheme="minorHAnsi"/>
          <w:b/>
          <w:bCs/>
          <w:color w:val="000000" w:themeColor="text1"/>
          <w:lang w:eastAsia="es-ES_tradnl"/>
        </w:rPr>
        <w:t xml:space="preserve"> Impacto económico de la implementación del proyecto</w:t>
      </w:r>
    </w:p>
    <w:tbl>
      <w:tblPr>
        <w:tblW w:w="8859" w:type="dxa"/>
        <w:shd w:val="clear" w:color="auto" w:fill="FFFFFF" w:themeFill="background1"/>
        <w:tblLayout w:type="fixed"/>
        <w:tblCellMar>
          <w:left w:w="70" w:type="dxa"/>
          <w:right w:w="70" w:type="dxa"/>
        </w:tblCellMar>
        <w:tblLook w:val="0000" w:firstRow="0" w:lastRow="0" w:firstColumn="0" w:lastColumn="0" w:noHBand="0" w:noVBand="0"/>
      </w:tblPr>
      <w:tblGrid>
        <w:gridCol w:w="3149"/>
        <w:gridCol w:w="1174"/>
        <w:gridCol w:w="1134"/>
        <w:gridCol w:w="1134"/>
        <w:gridCol w:w="1134"/>
        <w:gridCol w:w="1134"/>
      </w:tblGrid>
      <w:tr w:rsidR="008C6725" w:rsidRPr="00753D6F" w:rsidTr="00802E2B">
        <w:trPr>
          <w:trHeight w:val="240"/>
        </w:trPr>
        <w:tc>
          <w:tcPr>
            <w:tcW w:w="3149"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Impacto</w:t>
            </w:r>
          </w:p>
        </w:tc>
        <w:tc>
          <w:tcPr>
            <w:tcW w:w="1174"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Muy alto</w:t>
            </w:r>
          </w:p>
        </w:tc>
        <w:tc>
          <w:tcPr>
            <w:tcW w:w="1134"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Alto</w:t>
            </w:r>
          </w:p>
        </w:tc>
        <w:tc>
          <w:tcPr>
            <w:tcW w:w="1134"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Bajo</w:t>
            </w:r>
          </w:p>
        </w:tc>
        <w:tc>
          <w:tcPr>
            <w:tcW w:w="1134"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Muy Bajo</w:t>
            </w:r>
          </w:p>
        </w:tc>
        <w:tc>
          <w:tcPr>
            <w:tcW w:w="1134"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rsidR="008C6725" w:rsidRPr="00753D6F" w:rsidRDefault="008C6725" w:rsidP="00802E2B">
            <w:pPr>
              <w:widowControl w:val="0"/>
              <w:autoSpaceDE w:val="0"/>
              <w:autoSpaceDN w:val="0"/>
              <w:adjustRightInd w:val="0"/>
              <w:jc w:val="center"/>
              <w:rPr>
                <w:rFonts w:asciiTheme="minorHAnsi" w:hAnsiTheme="minorHAnsi" w:cstheme="minorHAnsi"/>
                <w:b/>
                <w:color w:val="FFFFFF" w:themeColor="background1"/>
                <w:sz w:val="20"/>
                <w:szCs w:val="20"/>
              </w:rPr>
            </w:pPr>
            <w:r w:rsidRPr="00753D6F">
              <w:rPr>
                <w:rFonts w:asciiTheme="minorHAnsi" w:hAnsiTheme="minorHAnsi" w:cstheme="minorHAnsi"/>
                <w:b/>
                <w:color w:val="FFFFFF" w:themeColor="background1"/>
                <w:sz w:val="20"/>
                <w:szCs w:val="20"/>
              </w:rPr>
              <w:t>No Aplica</w:t>
            </w:r>
          </w:p>
        </w:tc>
      </w:tr>
      <w:tr w:rsidR="008C6725" w:rsidRPr="004E48C5" w:rsidTr="00802E2B">
        <w:trPr>
          <w:trHeight w:val="240"/>
        </w:trPr>
        <w:tc>
          <w:tcPr>
            <w:tcW w:w="314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Desarrollo de nuevos productos o servicios</w:t>
            </w:r>
          </w:p>
        </w:tc>
        <w:tc>
          <w:tcPr>
            <w:tcW w:w="11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r>
      <w:tr w:rsidR="008C6725" w:rsidRPr="004E48C5" w:rsidTr="00802E2B">
        <w:trPr>
          <w:trHeight w:val="240"/>
        </w:trPr>
        <w:tc>
          <w:tcPr>
            <w:tcW w:w="314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Desarrollo de nuevos procesos productivos</w:t>
            </w:r>
          </w:p>
        </w:tc>
        <w:tc>
          <w:tcPr>
            <w:tcW w:w="11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r>
      <w:tr w:rsidR="008C6725" w:rsidRPr="004E48C5" w:rsidTr="00802E2B">
        <w:trPr>
          <w:trHeight w:val="240"/>
        </w:trPr>
        <w:tc>
          <w:tcPr>
            <w:tcW w:w="314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Aumento de la capacidad productiva</w:t>
            </w:r>
          </w:p>
        </w:tc>
        <w:tc>
          <w:tcPr>
            <w:tcW w:w="11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3</w:t>
            </w:r>
          </w:p>
        </w:tc>
      </w:tr>
      <w:tr w:rsidR="008C6725" w:rsidRPr="004E48C5" w:rsidTr="00802E2B">
        <w:trPr>
          <w:trHeight w:val="240"/>
        </w:trPr>
        <w:tc>
          <w:tcPr>
            <w:tcW w:w="314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Conservación de la participación en el mercado</w:t>
            </w:r>
          </w:p>
        </w:tc>
        <w:tc>
          <w:tcPr>
            <w:tcW w:w="11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r>
      <w:tr w:rsidR="008C6725" w:rsidRPr="004E48C5" w:rsidTr="00802E2B">
        <w:trPr>
          <w:trHeight w:val="240"/>
        </w:trPr>
        <w:tc>
          <w:tcPr>
            <w:tcW w:w="314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Ampliación de la participación en el mercado</w:t>
            </w:r>
          </w:p>
        </w:tc>
        <w:tc>
          <w:tcPr>
            <w:tcW w:w="11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r>
      <w:tr w:rsidR="008C6725" w:rsidRPr="004E48C5" w:rsidTr="00802E2B">
        <w:trPr>
          <w:trHeight w:val="240"/>
        </w:trPr>
        <w:tc>
          <w:tcPr>
            <w:tcW w:w="314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Apertura de nuevos mercados</w:t>
            </w:r>
          </w:p>
        </w:tc>
        <w:tc>
          <w:tcPr>
            <w:tcW w:w="11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r>
      <w:tr w:rsidR="008C6725" w:rsidRPr="004E48C5" w:rsidTr="00802E2B">
        <w:trPr>
          <w:trHeight w:val="240"/>
        </w:trPr>
        <w:tc>
          <w:tcPr>
            <w:tcW w:w="314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 xml:space="preserve">Otro </w:t>
            </w:r>
          </w:p>
        </w:tc>
        <w:tc>
          <w:tcPr>
            <w:tcW w:w="11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r>
      <w:tr w:rsidR="008C6725" w:rsidRPr="004E48C5" w:rsidTr="00802E2B">
        <w:trPr>
          <w:trHeight w:val="240"/>
        </w:trPr>
        <w:tc>
          <w:tcPr>
            <w:tcW w:w="314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Desarrollo de nuevos procesos productivos</w:t>
            </w:r>
          </w:p>
        </w:tc>
        <w:tc>
          <w:tcPr>
            <w:tcW w:w="11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3</w:t>
            </w:r>
          </w:p>
        </w:tc>
      </w:tr>
      <w:tr w:rsidR="008C6725" w:rsidRPr="004E48C5" w:rsidTr="00802E2B">
        <w:trPr>
          <w:trHeight w:val="240"/>
        </w:trPr>
        <w:tc>
          <w:tcPr>
            <w:tcW w:w="314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Incremento de la productividad de la empresa</w:t>
            </w:r>
          </w:p>
        </w:tc>
        <w:tc>
          <w:tcPr>
            <w:tcW w:w="11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r>
      <w:tr w:rsidR="008C6725" w:rsidRPr="004E48C5" w:rsidTr="00802E2B">
        <w:trPr>
          <w:trHeight w:val="240"/>
        </w:trPr>
        <w:tc>
          <w:tcPr>
            <w:tcW w:w="3149"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753D6F" w:rsidRDefault="008C6725" w:rsidP="00802E2B">
            <w:pPr>
              <w:widowControl w:val="0"/>
              <w:autoSpaceDE w:val="0"/>
              <w:autoSpaceDN w:val="0"/>
              <w:adjustRightInd w:val="0"/>
              <w:rPr>
                <w:rFonts w:asciiTheme="minorHAnsi" w:hAnsiTheme="minorHAnsi" w:cstheme="minorHAnsi"/>
                <w:bCs/>
                <w:color w:val="000000" w:themeColor="text1"/>
                <w:sz w:val="20"/>
                <w:szCs w:val="20"/>
              </w:rPr>
            </w:pPr>
            <w:r w:rsidRPr="00753D6F">
              <w:rPr>
                <w:rFonts w:asciiTheme="minorHAnsi" w:hAnsiTheme="minorHAnsi" w:cstheme="minorHAnsi"/>
                <w:bCs/>
                <w:color w:val="000000" w:themeColor="text1"/>
                <w:sz w:val="20"/>
                <w:szCs w:val="20"/>
              </w:rPr>
              <w:t>Creación de nuevos empleos</w:t>
            </w:r>
          </w:p>
        </w:tc>
        <w:tc>
          <w:tcPr>
            <w:tcW w:w="117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8C6725" w:rsidRPr="004E48C5" w:rsidRDefault="008C6725" w:rsidP="00802E2B">
            <w:pPr>
              <w:widowControl w:val="0"/>
              <w:autoSpaceDE w:val="0"/>
              <w:autoSpaceDN w:val="0"/>
              <w:adjustRightInd w:val="0"/>
              <w:jc w:val="center"/>
              <w:rPr>
                <w:rFonts w:asciiTheme="minorHAnsi" w:hAnsiTheme="minorHAnsi" w:cstheme="minorHAnsi"/>
                <w:color w:val="000000" w:themeColor="text1"/>
                <w:sz w:val="20"/>
                <w:szCs w:val="20"/>
              </w:rPr>
            </w:pPr>
            <w:r w:rsidRPr="004E48C5">
              <w:rPr>
                <w:rFonts w:asciiTheme="minorHAnsi" w:hAnsiTheme="minorHAnsi" w:cstheme="minorHAnsi"/>
                <w:color w:val="000000" w:themeColor="text1"/>
                <w:sz w:val="20"/>
                <w:szCs w:val="20"/>
              </w:rPr>
              <w:t>2</w:t>
            </w:r>
          </w:p>
        </w:tc>
      </w:tr>
    </w:tbl>
    <w:p w:rsidR="008C6725" w:rsidRPr="00171404" w:rsidRDefault="008C6725" w:rsidP="008C6725">
      <w:pPr>
        <w:spacing w:line="288" w:lineRule="auto"/>
        <w:rPr>
          <w:rFonts w:asciiTheme="minorHAnsi" w:hAnsiTheme="minorHAnsi" w:cstheme="minorHAnsi"/>
          <w:color w:val="000000" w:themeColor="text1"/>
          <w:sz w:val="18"/>
          <w:szCs w:val="18"/>
        </w:rPr>
      </w:pPr>
      <w:r w:rsidRPr="00171404">
        <w:rPr>
          <w:rFonts w:asciiTheme="minorHAnsi" w:hAnsiTheme="minorHAnsi" w:cstheme="minorHAnsi"/>
          <w:color w:val="000000" w:themeColor="text1"/>
          <w:sz w:val="18"/>
          <w:szCs w:val="18"/>
        </w:rPr>
        <w:t>Fuente: Innovos Group en b</w:t>
      </w:r>
      <w:r>
        <w:rPr>
          <w:rFonts w:asciiTheme="minorHAnsi" w:hAnsiTheme="minorHAnsi" w:cstheme="minorHAnsi"/>
          <w:color w:val="000000" w:themeColor="text1"/>
          <w:sz w:val="18"/>
          <w:szCs w:val="18"/>
        </w:rPr>
        <w:t>ase a resultados de la encuesta</w:t>
      </w:r>
    </w:p>
    <w:p w:rsidR="008C6725" w:rsidRPr="00165C67" w:rsidRDefault="008C6725" w:rsidP="008C6725">
      <w:pPr>
        <w:spacing w:after="200" w:line="276" w:lineRule="auto"/>
        <w:jc w:val="both"/>
        <w:rPr>
          <w:rFonts w:asciiTheme="minorHAnsi" w:hAnsiTheme="minorHAnsi" w:cstheme="minorHAnsi"/>
          <w:color w:val="000000" w:themeColor="text1"/>
        </w:rPr>
      </w:pPr>
      <w:r w:rsidRPr="00165C67">
        <w:rPr>
          <w:rFonts w:asciiTheme="minorHAnsi" w:hAnsiTheme="minorHAnsi" w:cstheme="minorHAnsi"/>
          <w:color w:val="000000" w:themeColor="text1"/>
        </w:rPr>
        <w:t xml:space="preserve">Aun teniendo en cuenta que las respuestas no tienen significación estadística, se advierte al menos que en este grupo de empresas los impactos económicos no se califican como importantes salvo en el desarrollo de nuevos productos que 6 de 9 empresas consideran importante. </w:t>
      </w:r>
    </w:p>
    <w:p w:rsidR="008C6725" w:rsidRPr="00165C67" w:rsidRDefault="008C6725" w:rsidP="008C6725">
      <w:pPr>
        <w:spacing w:after="200" w:line="276" w:lineRule="auto"/>
        <w:jc w:val="both"/>
        <w:rPr>
          <w:rFonts w:asciiTheme="minorHAnsi" w:hAnsiTheme="minorHAnsi" w:cstheme="minorHAnsi"/>
          <w:color w:val="000000" w:themeColor="text1"/>
        </w:rPr>
      </w:pPr>
      <w:r w:rsidRPr="00165C67">
        <w:rPr>
          <w:rFonts w:asciiTheme="minorHAnsi" w:hAnsiTheme="minorHAnsi" w:cstheme="minorHAnsi"/>
          <w:color w:val="000000" w:themeColor="text1"/>
        </w:rPr>
        <w:t>La cuantificación de los beneficios económicos para el Paraguay no es posible, ya que la información que las mismas empresas manejan es insuficiente e imprecisa.</w:t>
      </w:r>
    </w:p>
    <w:p w:rsidR="008C6725" w:rsidRPr="00165C67" w:rsidRDefault="008C6725" w:rsidP="008C6725">
      <w:pPr>
        <w:spacing w:after="200" w:line="276" w:lineRule="auto"/>
        <w:jc w:val="both"/>
        <w:rPr>
          <w:rFonts w:asciiTheme="minorHAnsi" w:hAnsiTheme="minorHAnsi" w:cstheme="minorHAnsi"/>
          <w:color w:val="000000" w:themeColor="text1"/>
        </w:rPr>
      </w:pPr>
      <w:r w:rsidRPr="00165C67">
        <w:rPr>
          <w:rFonts w:asciiTheme="minorHAnsi" w:hAnsiTheme="minorHAnsi" w:cstheme="minorHAnsi"/>
          <w:color w:val="000000" w:themeColor="text1"/>
        </w:rPr>
        <w:t>En las vis</w:t>
      </w:r>
      <w:r>
        <w:rPr>
          <w:rFonts w:asciiTheme="minorHAnsi" w:hAnsiTheme="minorHAnsi" w:cstheme="minorHAnsi"/>
          <w:color w:val="000000" w:themeColor="text1"/>
        </w:rPr>
        <w:t>i</w:t>
      </w:r>
      <w:r w:rsidRPr="00165C67">
        <w:rPr>
          <w:rFonts w:asciiTheme="minorHAnsi" w:hAnsiTheme="minorHAnsi" w:cstheme="minorHAnsi"/>
          <w:color w:val="000000" w:themeColor="text1"/>
        </w:rPr>
        <w:t xml:space="preserve">tas se contrastó el cálculo de indicadores económicos que habían sido incluidos en el proyecto detallado, con la opinión de los propietarios o altos ejecutivos de las empresas que estuvieron en las entrevistas. </w:t>
      </w:r>
    </w:p>
    <w:p w:rsidR="008C6725" w:rsidRPr="00165C67" w:rsidRDefault="008C6725" w:rsidP="008C6725">
      <w:pPr>
        <w:spacing w:after="200" w:line="276" w:lineRule="auto"/>
        <w:jc w:val="both"/>
        <w:rPr>
          <w:rFonts w:asciiTheme="minorHAnsi" w:hAnsiTheme="minorHAnsi" w:cstheme="minorHAnsi"/>
          <w:color w:val="000000" w:themeColor="text1"/>
        </w:rPr>
      </w:pPr>
      <w:r w:rsidRPr="00165C67">
        <w:rPr>
          <w:rFonts w:asciiTheme="minorHAnsi" w:hAnsiTheme="minorHAnsi" w:cstheme="minorHAnsi"/>
          <w:color w:val="000000" w:themeColor="text1"/>
        </w:rPr>
        <w:t>Solamente en una empresa, Chemtec S.A.E., se verificó una coherencia entre las proyecciones contenidas en el proyecto detallado y las proyecciones al momento de la visita. Este proyecto estima una facturación anual de 6 millones de dólares gracias al proyecto ejecutado.</w:t>
      </w:r>
    </w:p>
    <w:p w:rsidR="008C6725" w:rsidRPr="00165C67" w:rsidRDefault="008C6725" w:rsidP="008C6725">
      <w:pPr>
        <w:spacing w:after="200" w:line="276" w:lineRule="auto"/>
        <w:jc w:val="both"/>
        <w:rPr>
          <w:rFonts w:asciiTheme="minorHAnsi" w:hAnsiTheme="minorHAnsi" w:cstheme="minorHAnsi"/>
          <w:color w:val="000000" w:themeColor="text1"/>
        </w:rPr>
      </w:pPr>
      <w:r w:rsidRPr="00165C67">
        <w:rPr>
          <w:rFonts w:asciiTheme="minorHAnsi" w:hAnsiTheme="minorHAnsi" w:cstheme="minorHAnsi"/>
          <w:color w:val="000000" w:themeColor="text1"/>
        </w:rPr>
        <w:lastRenderedPageBreak/>
        <w:t>De acuerdo a los antecedentes recogidos tanto en las visitas como en la información en carpetas y archivos del CONACYT, se estima que al menos cuatro proyectos tendrán un impacto económico verificable, con alta probabilidad:</w:t>
      </w:r>
    </w:p>
    <w:p w:rsidR="008C6725" w:rsidRPr="00165C67" w:rsidRDefault="008C6725" w:rsidP="008C6725">
      <w:pPr>
        <w:pStyle w:val="ListParagraph"/>
        <w:numPr>
          <w:ilvl w:val="0"/>
          <w:numId w:val="18"/>
        </w:numPr>
        <w:spacing w:after="200" w:line="276" w:lineRule="auto"/>
        <w:contextualSpacing w:val="0"/>
        <w:jc w:val="both"/>
        <w:rPr>
          <w:rFonts w:asciiTheme="minorHAnsi" w:hAnsiTheme="minorHAnsi" w:cstheme="minorHAnsi"/>
          <w:color w:val="000000"/>
        </w:rPr>
      </w:pPr>
      <w:r w:rsidRPr="00165C67">
        <w:rPr>
          <w:rFonts w:asciiTheme="minorHAnsi" w:hAnsiTheme="minorHAnsi" w:cstheme="minorHAnsi"/>
          <w:color w:val="000000"/>
        </w:rPr>
        <w:t>“Planta Industrial de Biorreactores para la producción de inoculante nativo para soja en Paraguay”: el producto ha sido conseguido, el proceso es eficiente y el mercado está bien iden</w:t>
      </w:r>
      <w:r>
        <w:rPr>
          <w:rFonts w:asciiTheme="minorHAnsi" w:hAnsiTheme="minorHAnsi" w:cstheme="minorHAnsi"/>
          <w:color w:val="000000"/>
        </w:rPr>
        <w:t xml:space="preserve">tificado. La empresa tiene una </w:t>
      </w:r>
      <w:r w:rsidRPr="00165C67">
        <w:rPr>
          <w:rFonts w:asciiTheme="minorHAnsi" w:hAnsiTheme="minorHAnsi" w:cstheme="minorHAnsi"/>
          <w:color w:val="000000"/>
        </w:rPr>
        <w:t>imagen corporativa en el mercado de Paraguay.</w:t>
      </w:r>
    </w:p>
    <w:p w:rsidR="008C6725" w:rsidRPr="00165C67" w:rsidRDefault="008C6725" w:rsidP="008C6725">
      <w:pPr>
        <w:pStyle w:val="ListParagraph"/>
        <w:numPr>
          <w:ilvl w:val="0"/>
          <w:numId w:val="18"/>
        </w:numPr>
        <w:spacing w:after="200" w:line="276" w:lineRule="auto"/>
        <w:contextualSpacing w:val="0"/>
        <w:jc w:val="both"/>
        <w:rPr>
          <w:rFonts w:asciiTheme="minorHAnsi" w:hAnsiTheme="minorHAnsi" w:cstheme="minorHAnsi"/>
          <w:color w:val="000000"/>
        </w:rPr>
      </w:pPr>
      <w:r w:rsidRPr="00165C67">
        <w:rPr>
          <w:rFonts w:asciiTheme="minorHAnsi" w:hAnsiTheme="minorHAnsi" w:cstheme="minorHAnsi"/>
          <w:color w:val="000000"/>
        </w:rPr>
        <w:t>“Incorporación de tecnología avanzada para procesar carne de cerdo de músculo entero”: el proyecto fue la transferencia de una nueva línea de producción desde España, fue comprobado su funcionamiento. La empresa tiene una alta participación en el mercado de Paraguay y solidez financiera.</w:t>
      </w:r>
    </w:p>
    <w:p w:rsidR="008C6725" w:rsidRPr="00165C67" w:rsidRDefault="008C6725" w:rsidP="008C6725">
      <w:pPr>
        <w:pStyle w:val="ListParagraph"/>
        <w:numPr>
          <w:ilvl w:val="0"/>
          <w:numId w:val="18"/>
        </w:numPr>
        <w:spacing w:after="200" w:line="276" w:lineRule="auto"/>
        <w:contextualSpacing w:val="0"/>
        <w:jc w:val="both"/>
        <w:rPr>
          <w:rFonts w:asciiTheme="minorHAnsi" w:hAnsiTheme="minorHAnsi" w:cstheme="minorHAnsi"/>
          <w:color w:val="000000"/>
        </w:rPr>
      </w:pPr>
      <w:r w:rsidRPr="00165C67">
        <w:rPr>
          <w:rFonts w:asciiTheme="minorHAnsi" w:hAnsiTheme="minorHAnsi" w:cstheme="minorHAnsi"/>
          <w:color w:val="000000"/>
        </w:rPr>
        <w:t>“Proceso mejorado de producción de plantas ornamentales para exportación”: se mejoró un proceso que permite ahorrar costos. No existe riesgo de mercado.</w:t>
      </w:r>
    </w:p>
    <w:p w:rsidR="008C6725" w:rsidRPr="000C4ECB" w:rsidRDefault="008C6725" w:rsidP="008C6725">
      <w:pPr>
        <w:pStyle w:val="ListParagraph"/>
        <w:numPr>
          <w:ilvl w:val="0"/>
          <w:numId w:val="18"/>
        </w:numPr>
        <w:spacing w:after="200" w:line="276" w:lineRule="auto"/>
        <w:contextualSpacing w:val="0"/>
        <w:jc w:val="both"/>
        <w:rPr>
          <w:rFonts w:asciiTheme="minorHAnsi" w:hAnsiTheme="minorHAnsi" w:cstheme="minorHAnsi"/>
          <w:color w:val="000000"/>
        </w:rPr>
      </w:pPr>
      <w:r w:rsidRPr="00165C67">
        <w:rPr>
          <w:rFonts w:asciiTheme="minorHAnsi" w:hAnsiTheme="minorHAnsi" w:cstheme="minorHAnsi"/>
          <w:color w:val="000000"/>
        </w:rPr>
        <w:t>“Innov</w:t>
      </w:r>
      <w:r>
        <w:rPr>
          <w:rFonts w:asciiTheme="minorHAnsi" w:hAnsiTheme="minorHAnsi" w:cstheme="minorHAnsi"/>
          <w:color w:val="000000"/>
        </w:rPr>
        <w:t>ación en procesos de packaging”</w:t>
      </w:r>
      <w:r w:rsidRPr="00165C67">
        <w:rPr>
          <w:rFonts w:asciiTheme="minorHAnsi" w:hAnsiTheme="minorHAnsi" w:cstheme="minorHAnsi"/>
          <w:color w:val="000000"/>
        </w:rPr>
        <w:t>: se mejoró un proceso que permite ahorrar costos. No existe riesgo de mercado.</w:t>
      </w:r>
    </w:p>
    <w:p w:rsidR="008C6725" w:rsidRPr="00165C67" w:rsidRDefault="008C6725" w:rsidP="008C6725">
      <w:pPr>
        <w:spacing w:after="200" w:line="276" w:lineRule="auto"/>
        <w:jc w:val="both"/>
        <w:rPr>
          <w:rStyle w:val="Emphasis"/>
          <w:rFonts w:asciiTheme="minorHAnsi" w:hAnsiTheme="minorHAnsi" w:cstheme="minorHAnsi"/>
          <w:b/>
          <w:i w:val="0"/>
        </w:rPr>
      </w:pPr>
      <w:bookmarkStart w:id="183" w:name="_Toc370915137"/>
      <w:r w:rsidRPr="00165C67">
        <w:rPr>
          <w:rStyle w:val="Emphasis"/>
          <w:rFonts w:asciiTheme="minorHAnsi" w:hAnsiTheme="minorHAnsi" w:cstheme="minorHAnsi"/>
          <w:b/>
          <w:i w:val="0"/>
        </w:rPr>
        <w:t>Adicionalidad del subcomponente</w:t>
      </w:r>
      <w:bookmarkEnd w:id="183"/>
    </w:p>
    <w:p w:rsidR="008C6725" w:rsidRPr="00165C67" w:rsidRDefault="008C6725" w:rsidP="008C6725">
      <w:pPr>
        <w:spacing w:after="200" w:line="276" w:lineRule="auto"/>
        <w:jc w:val="both"/>
        <w:rPr>
          <w:rFonts w:asciiTheme="minorHAnsi" w:hAnsiTheme="minorHAnsi" w:cstheme="minorHAnsi"/>
        </w:rPr>
      </w:pPr>
      <w:r w:rsidRPr="00165C67">
        <w:rPr>
          <w:rFonts w:asciiTheme="minorHAnsi" w:hAnsiTheme="minorHAnsi" w:cstheme="minorHAnsi"/>
        </w:rPr>
        <w:t>El concepto de adicionalidad se ha establecido como una herramienta para la evaluación de la efectividad de las políticas públicas de apoyo a la innovación, investigación y desarrollo. La adicionalidad, en este contexto, es la pregunta acerca de si los subsidios públicos entregados a las empresas hacen una diferencia respecto de lo que habría ocurrido en ausencia del dicho subsidio.</w:t>
      </w:r>
    </w:p>
    <w:p w:rsidR="008C6725" w:rsidRPr="00165C67" w:rsidRDefault="008C6725" w:rsidP="008C6725">
      <w:pPr>
        <w:spacing w:after="200" w:line="276" w:lineRule="auto"/>
        <w:jc w:val="both"/>
        <w:rPr>
          <w:rFonts w:asciiTheme="minorHAnsi" w:hAnsiTheme="minorHAnsi" w:cstheme="minorHAnsi"/>
        </w:rPr>
      </w:pPr>
      <w:r w:rsidRPr="00165C67">
        <w:rPr>
          <w:rFonts w:asciiTheme="minorHAnsi" w:hAnsiTheme="minorHAnsi" w:cstheme="minorHAnsi"/>
        </w:rPr>
        <w:t>La adicionalidad se clasifica en tres categorías</w:t>
      </w:r>
      <w:r w:rsidRPr="00165C67">
        <w:rPr>
          <w:rStyle w:val="FootnoteReference"/>
          <w:rFonts w:asciiTheme="minorHAnsi" w:hAnsiTheme="minorHAnsi" w:cstheme="minorHAnsi"/>
        </w:rPr>
        <w:footnoteReference w:id="22"/>
      </w:r>
      <w:r w:rsidRPr="00165C67">
        <w:rPr>
          <w:rFonts w:asciiTheme="minorHAnsi" w:hAnsiTheme="minorHAnsi" w:cstheme="minorHAnsi"/>
        </w:rPr>
        <w:t>:</w:t>
      </w:r>
    </w:p>
    <w:p w:rsidR="008C6725" w:rsidRPr="00165C67" w:rsidRDefault="008C6725" w:rsidP="008C6725">
      <w:pPr>
        <w:spacing w:after="200" w:line="276" w:lineRule="auto"/>
        <w:jc w:val="both"/>
        <w:rPr>
          <w:rFonts w:asciiTheme="minorHAnsi" w:hAnsiTheme="minorHAnsi" w:cstheme="minorHAnsi"/>
        </w:rPr>
      </w:pPr>
      <w:r w:rsidRPr="00165C67">
        <w:rPr>
          <w:rFonts w:asciiTheme="minorHAnsi" w:hAnsiTheme="minorHAnsi" w:cstheme="minorHAnsi"/>
          <w:b/>
        </w:rPr>
        <w:t>Adicionalidad de insumos</w:t>
      </w:r>
      <w:r w:rsidRPr="00165C67">
        <w:rPr>
          <w:rFonts w:asciiTheme="minorHAnsi" w:hAnsiTheme="minorHAnsi" w:cstheme="minorHAnsi"/>
        </w:rPr>
        <w:t>: la proporción de insumos que no habrían sido asignados en ausencia del apoyo público. Estrictamente, se mide como el monto gastado por la empresa en I+D como respuesta al subsidio provisto.</w:t>
      </w:r>
    </w:p>
    <w:p w:rsidR="008C6725" w:rsidRPr="00165C67" w:rsidRDefault="008C6725" w:rsidP="008C6725">
      <w:pPr>
        <w:spacing w:after="200" w:line="276" w:lineRule="auto"/>
        <w:jc w:val="both"/>
        <w:rPr>
          <w:rFonts w:asciiTheme="minorHAnsi" w:hAnsiTheme="minorHAnsi" w:cstheme="minorHAnsi"/>
          <w:color w:val="000000" w:themeColor="text1"/>
        </w:rPr>
      </w:pPr>
      <w:r w:rsidRPr="00165C67">
        <w:rPr>
          <w:rFonts w:asciiTheme="minorHAnsi" w:hAnsiTheme="minorHAnsi" w:cstheme="minorHAnsi"/>
          <w:b/>
        </w:rPr>
        <w:t xml:space="preserve">Adicionalidad de resultados: </w:t>
      </w:r>
      <w:r w:rsidRPr="00165C67">
        <w:rPr>
          <w:rFonts w:asciiTheme="minorHAnsi" w:hAnsiTheme="minorHAnsi" w:cstheme="minorHAnsi"/>
        </w:rPr>
        <w:t xml:space="preserve">la proporción de resultados que no se hubieran obtenido en ausencia del apoyo público. </w:t>
      </w:r>
      <w:r w:rsidRPr="00165C67">
        <w:rPr>
          <w:rFonts w:asciiTheme="minorHAnsi" w:hAnsiTheme="minorHAnsi" w:cstheme="minorHAnsi"/>
          <w:color w:val="000000" w:themeColor="text1"/>
        </w:rPr>
        <w:t>Resultados en términos de papers y patentes, o efectos finales como ventas de nuevos productos o aplicaciones de procesos y servicios.</w:t>
      </w:r>
    </w:p>
    <w:p w:rsidR="008C6725" w:rsidRPr="00165C67" w:rsidRDefault="008C6725" w:rsidP="008C6725">
      <w:pPr>
        <w:spacing w:after="200" w:line="276" w:lineRule="auto"/>
        <w:jc w:val="both"/>
        <w:rPr>
          <w:rFonts w:asciiTheme="minorHAnsi" w:hAnsiTheme="minorHAnsi" w:cstheme="minorHAnsi"/>
          <w:color w:val="000000" w:themeColor="text1"/>
        </w:rPr>
      </w:pPr>
      <w:r w:rsidRPr="00165C67">
        <w:rPr>
          <w:rFonts w:asciiTheme="minorHAnsi" w:hAnsiTheme="minorHAnsi" w:cstheme="minorHAnsi"/>
          <w:b/>
        </w:rPr>
        <w:lastRenderedPageBreak/>
        <w:t xml:space="preserve">Adicionalidad de comportamiento: </w:t>
      </w:r>
      <w:r w:rsidRPr="00165C67">
        <w:rPr>
          <w:rFonts w:asciiTheme="minorHAnsi" w:hAnsiTheme="minorHAnsi" w:cstheme="minorHAnsi"/>
          <w:color w:val="000000" w:themeColor="text1"/>
        </w:rPr>
        <w:t xml:space="preserve">la diferencia </w:t>
      </w:r>
      <w:r>
        <w:rPr>
          <w:rFonts w:asciiTheme="minorHAnsi" w:hAnsiTheme="minorHAnsi" w:cstheme="minorHAnsi"/>
          <w:color w:val="000000" w:themeColor="text1"/>
        </w:rPr>
        <w:t xml:space="preserve">en el comportamiento que </w:t>
      </w:r>
      <w:r w:rsidRPr="00165C67">
        <w:rPr>
          <w:rFonts w:asciiTheme="minorHAnsi" w:hAnsiTheme="minorHAnsi" w:cstheme="minorHAnsi"/>
          <w:color w:val="000000" w:themeColor="text1"/>
        </w:rPr>
        <w:t>resulta de la intervención, que no se habría generado por recursos alternativos del mercado. Por ejemplo, alentando a las empresas para que tomen riesgos.</w:t>
      </w:r>
    </w:p>
    <w:p w:rsidR="008C6725" w:rsidRPr="00165C67" w:rsidRDefault="008C6725" w:rsidP="008C6725">
      <w:pPr>
        <w:spacing w:after="200" w:line="276" w:lineRule="auto"/>
        <w:jc w:val="both"/>
        <w:rPr>
          <w:rFonts w:asciiTheme="minorHAnsi" w:hAnsiTheme="minorHAnsi" w:cstheme="minorHAnsi"/>
        </w:rPr>
      </w:pPr>
      <w:r>
        <w:rPr>
          <w:rFonts w:asciiTheme="minorHAnsi" w:hAnsiTheme="minorHAnsi" w:cstheme="minorHAnsi"/>
        </w:rPr>
        <w:t>Estas categorías admiten nueve</w:t>
      </w:r>
      <w:r w:rsidRPr="00165C67">
        <w:rPr>
          <w:rFonts w:asciiTheme="minorHAnsi" w:hAnsiTheme="minorHAnsi" w:cstheme="minorHAnsi"/>
        </w:rPr>
        <w:t xml:space="preserve"> subcategorías, de acuerdo al siguiente esquema: </w:t>
      </w:r>
    </w:p>
    <w:p w:rsidR="008C6725" w:rsidRPr="00165C67" w:rsidRDefault="008C6725" w:rsidP="008C6725">
      <w:pPr>
        <w:spacing w:after="200" w:line="276" w:lineRule="auto"/>
        <w:jc w:val="both"/>
        <w:rPr>
          <w:rFonts w:asciiTheme="minorHAnsi" w:hAnsiTheme="minorHAnsi" w:cstheme="minorHAnsi"/>
        </w:rPr>
      </w:pPr>
      <w:r w:rsidRPr="00165C67">
        <w:rPr>
          <w:rFonts w:asciiTheme="minorHAnsi" w:hAnsiTheme="minorHAnsi" w:cstheme="minorHAnsi"/>
          <w:noProof/>
          <w:lang w:val="es-ES_tradnl" w:eastAsia="es-ES_tradnl"/>
        </w:rPr>
        <w:drawing>
          <wp:inline distT="0" distB="0" distL="0" distR="0" wp14:anchorId="7F2D8790" wp14:editId="10B69E05">
            <wp:extent cx="5081905" cy="2864485"/>
            <wp:effectExtent l="19050" t="0" r="4445" b="0"/>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5081905" cy="2864485"/>
                    </a:xfrm>
                    <a:prstGeom prst="rect">
                      <a:avLst/>
                    </a:prstGeom>
                    <a:noFill/>
                    <a:ln w="9525">
                      <a:noFill/>
                      <a:miter lim="800000"/>
                      <a:headEnd/>
                      <a:tailEnd/>
                    </a:ln>
                  </pic:spPr>
                </pic:pic>
              </a:graphicData>
            </a:graphic>
          </wp:inline>
        </w:drawing>
      </w:r>
    </w:p>
    <w:p w:rsidR="008C6725" w:rsidRPr="00171404" w:rsidRDefault="008C6725" w:rsidP="008C6725">
      <w:pPr>
        <w:spacing w:after="200" w:line="276" w:lineRule="auto"/>
        <w:ind w:left="567"/>
        <w:jc w:val="both"/>
        <w:rPr>
          <w:rFonts w:asciiTheme="minorHAnsi" w:hAnsiTheme="minorHAnsi" w:cstheme="minorHAnsi"/>
          <w:sz w:val="18"/>
          <w:szCs w:val="18"/>
        </w:rPr>
      </w:pPr>
      <w:r w:rsidRPr="00171404">
        <w:rPr>
          <w:rFonts w:asciiTheme="minorHAnsi" w:hAnsiTheme="minorHAnsi" w:cstheme="minorHAnsi"/>
          <w:sz w:val="18"/>
          <w:szCs w:val="18"/>
        </w:rPr>
        <w:t>Fuente: Carlos Aggio y Darío Milesi, Estudios de Caso de Empresas e Instituciones Apoyadas por Programa de Ciencia, Tecnología e Innovación Tecnológica  en Argentina y Uruguay, Borrador para comentarios, Marzo 2009.</w:t>
      </w:r>
    </w:p>
    <w:p w:rsidR="008C6725" w:rsidRPr="00165C67" w:rsidRDefault="008C6725" w:rsidP="008C6725">
      <w:pPr>
        <w:spacing w:after="200" w:line="276" w:lineRule="auto"/>
        <w:jc w:val="both"/>
        <w:rPr>
          <w:rFonts w:asciiTheme="minorHAnsi" w:hAnsiTheme="minorHAnsi" w:cstheme="minorHAnsi"/>
        </w:rPr>
      </w:pPr>
      <w:r>
        <w:rPr>
          <w:rFonts w:asciiTheme="minorHAnsi" w:hAnsiTheme="minorHAnsi" w:cstheme="minorHAnsi"/>
        </w:rPr>
        <w:t xml:space="preserve">El análisis que se presenta a continuación se </w:t>
      </w:r>
      <w:r w:rsidRPr="00165C67">
        <w:rPr>
          <w:rFonts w:asciiTheme="minorHAnsi" w:hAnsiTheme="minorHAnsi" w:cstheme="minorHAnsi"/>
        </w:rPr>
        <w:t xml:space="preserve">basa en las entrevistas realizadas a </w:t>
      </w:r>
      <w:r>
        <w:rPr>
          <w:rFonts w:asciiTheme="minorHAnsi" w:hAnsiTheme="minorHAnsi" w:cstheme="minorHAnsi"/>
        </w:rPr>
        <w:t>nueve</w:t>
      </w:r>
      <w:r w:rsidRPr="00165C67">
        <w:rPr>
          <w:rFonts w:asciiTheme="minorHAnsi" w:hAnsiTheme="minorHAnsi" w:cstheme="minorHAnsi"/>
        </w:rPr>
        <w:t xml:space="preserve"> empresas ejecutoras de proyectos.</w:t>
      </w:r>
      <w:r>
        <w:rPr>
          <w:rFonts w:asciiTheme="minorHAnsi" w:hAnsiTheme="minorHAnsi" w:cstheme="minorHAnsi"/>
        </w:rPr>
        <w:t xml:space="preserve"> </w:t>
      </w:r>
      <w:r w:rsidRPr="00165C67">
        <w:rPr>
          <w:rFonts w:asciiTheme="minorHAnsi" w:hAnsiTheme="minorHAnsi" w:cstheme="minorHAnsi"/>
        </w:rPr>
        <w:t>Para cada empresa, el resultado de la visita se sintetizó en una ficha que se entregan como anexo a este informe.</w:t>
      </w:r>
    </w:p>
    <w:p w:rsidR="008C6725" w:rsidRPr="00165C67" w:rsidRDefault="008C6725" w:rsidP="008C6725">
      <w:pPr>
        <w:spacing w:after="200" w:line="276" w:lineRule="auto"/>
        <w:ind w:firstLine="708"/>
        <w:jc w:val="both"/>
        <w:rPr>
          <w:rFonts w:asciiTheme="minorHAnsi" w:hAnsiTheme="minorHAnsi" w:cstheme="minorHAnsi"/>
        </w:rPr>
      </w:pPr>
      <w:r w:rsidRPr="00165C67">
        <w:rPr>
          <w:rFonts w:asciiTheme="minorHAnsi" w:hAnsiTheme="minorHAnsi" w:cstheme="minorHAnsi"/>
          <w:b/>
        </w:rPr>
        <w:t>Adicionalidad de insumos</w:t>
      </w:r>
    </w:p>
    <w:p w:rsidR="008C6725" w:rsidRPr="00165C67" w:rsidRDefault="008C6725" w:rsidP="008C6725">
      <w:pPr>
        <w:spacing w:after="200" w:line="276" w:lineRule="auto"/>
        <w:jc w:val="both"/>
        <w:rPr>
          <w:rFonts w:asciiTheme="minorHAnsi" w:hAnsiTheme="minorHAnsi" w:cstheme="minorHAnsi"/>
        </w:rPr>
      </w:pPr>
      <w:r>
        <w:rPr>
          <w:rFonts w:asciiTheme="minorHAnsi" w:hAnsiTheme="minorHAnsi" w:cstheme="minorHAnsi"/>
        </w:rPr>
        <w:t>Para ocho</w:t>
      </w:r>
      <w:r w:rsidRPr="00165C67">
        <w:rPr>
          <w:rFonts w:asciiTheme="minorHAnsi" w:hAnsiTheme="minorHAnsi" w:cstheme="minorHAnsi"/>
        </w:rPr>
        <w:t xml:space="preserve"> de las </w:t>
      </w:r>
      <w:r>
        <w:rPr>
          <w:rFonts w:asciiTheme="minorHAnsi" w:hAnsiTheme="minorHAnsi" w:cstheme="minorHAnsi"/>
        </w:rPr>
        <w:t>nueve</w:t>
      </w:r>
      <w:r w:rsidRPr="00165C67">
        <w:rPr>
          <w:rFonts w:asciiTheme="minorHAnsi" w:hAnsiTheme="minorHAnsi" w:cstheme="minorHAnsi"/>
        </w:rPr>
        <w:t xml:space="preserve"> empresas visitadas, el proyecto no se hubiera realizado sin el subsidio, por lo que se considera totalmente relevante esta adicionalidad.</w:t>
      </w:r>
    </w:p>
    <w:p w:rsidR="008C6725" w:rsidRPr="00165C67" w:rsidRDefault="008C6725" w:rsidP="008C6725">
      <w:pPr>
        <w:spacing w:after="200" w:line="276" w:lineRule="auto"/>
        <w:jc w:val="both"/>
        <w:rPr>
          <w:rFonts w:asciiTheme="minorHAnsi" w:hAnsiTheme="minorHAnsi" w:cstheme="minorHAnsi"/>
        </w:rPr>
      </w:pPr>
      <w:r w:rsidRPr="00165C67">
        <w:rPr>
          <w:rFonts w:asciiTheme="minorHAnsi" w:hAnsiTheme="minorHAnsi" w:cstheme="minorHAnsi"/>
        </w:rPr>
        <w:t>La excepción es el proyecto de la empresa Frigorífico Guaraní, para la cual el subsidio habría solamente adelantado en meses la decisión del directorio. Este proyecto consistió en la instalación de una línea de producción adquirida en España. El monto del subsidio en este caso fue de solamente un 7% del costo total del proyecto, por lo que resulta marginal para las decisiones de llevar a cabo la inversión.</w:t>
      </w:r>
    </w:p>
    <w:p w:rsidR="005830C2" w:rsidRPr="001860F3" w:rsidRDefault="008C6725" w:rsidP="001860F3">
      <w:pPr>
        <w:spacing w:after="200" w:line="276" w:lineRule="auto"/>
        <w:jc w:val="both"/>
        <w:rPr>
          <w:rFonts w:asciiTheme="minorHAnsi" w:hAnsiTheme="minorHAnsi" w:cstheme="minorHAnsi"/>
        </w:rPr>
      </w:pPr>
      <w:r w:rsidRPr="00165C67">
        <w:rPr>
          <w:rFonts w:asciiTheme="minorHAnsi" w:hAnsiTheme="minorHAnsi" w:cstheme="minorHAnsi"/>
        </w:rPr>
        <w:t xml:space="preserve">Dentro de la adicionalidad de insumo se considera la adicionalidad de aceleración, también denominada como efecto adelantamiento, que consiste en que el proyecto se realiza de manera más rápida gracias al subsidio, así como la adicionalidad de escala que </w:t>
      </w:r>
      <w:r w:rsidRPr="00165C67">
        <w:rPr>
          <w:rFonts w:asciiTheme="minorHAnsi" w:hAnsiTheme="minorHAnsi" w:cstheme="minorHAnsi"/>
        </w:rPr>
        <w:lastRenderedPageBreak/>
        <w:t>permite ingresar a mercados más amplios o a tecnologías más extendidas. En la muestra visitada no se identificó con claridad este efecto.</w:t>
      </w:r>
    </w:p>
    <w:p w:rsidR="008C6725" w:rsidRPr="00165C67" w:rsidRDefault="008C6725" w:rsidP="008C6725">
      <w:pPr>
        <w:spacing w:after="200" w:line="276" w:lineRule="auto"/>
        <w:ind w:firstLine="708"/>
        <w:jc w:val="both"/>
        <w:rPr>
          <w:rFonts w:asciiTheme="minorHAnsi" w:hAnsiTheme="minorHAnsi" w:cstheme="minorHAnsi"/>
          <w:b/>
        </w:rPr>
      </w:pPr>
      <w:r w:rsidRPr="00165C67">
        <w:rPr>
          <w:rFonts w:asciiTheme="minorHAnsi" w:hAnsiTheme="minorHAnsi" w:cstheme="minorHAnsi"/>
          <w:b/>
        </w:rPr>
        <w:t>Adicionalidad de resultados</w:t>
      </w:r>
    </w:p>
    <w:p w:rsidR="008C6725" w:rsidRPr="00165C67" w:rsidRDefault="008C6725" w:rsidP="008C6725">
      <w:pPr>
        <w:spacing w:after="200" w:line="276" w:lineRule="auto"/>
        <w:jc w:val="both"/>
        <w:rPr>
          <w:rFonts w:asciiTheme="minorHAnsi" w:hAnsiTheme="minorHAnsi" w:cstheme="minorHAnsi"/>
        </w:rPr>
      </w:pPr>
      <w:r w:rsidRPr="00165C67">
        <w:rPr>
          <w:rFonts w:asciiTheme="minorHAnsi" w:hAnsiTheme="minorHAnsi" w:cstheme="minorHAnsi"/>
        </w:rPr>
        <w:t>Dos proyectos de la muestra no tuvieron los resultados técnicos esperados:</w:t>
      </w:r>
    </w:p>
    <w:p w:rsidR="008C6725" w:rsidRPr="00165C67" w:rsidRDefault="008C6725" w:rsidP="008C6725">
      <w:pPr>
        <w:pStyle w:val="ListParagraph"/>
        <w:numPr>
          <w:ilvl w:val="0"/>
          <w:numId w:val="19"/>
        </w:numPr>
        <w:spacing w:after="200" w:line="276" w:lineRule="auto"/>
        <w:contextualSpacing w:val="0"/>
        <w:jc w:val="both"/>
        <w:rPr>
          <w:rFonts w:asciiTheme="minorHAnsi" w:hAnsiTheme="minorHAnsi" w:cstheme="minorHAnsi"/>
        </w:rPr>
      </w:pPr>
      <w:r w:rsidRPr="00165C67">
        <w:rPr>
          <w:rFonts w:asciiTheme="minorHAnsi" w:hAnsiTheme="minorHAnsi" w:cstheme="minorHAnsi"/>
        </w:rPr>
        <w:t>“Desarrollo de un protocolo estandarizado de producción sustentable de fitofármacos antidepresivos a partir de partes aéreas de burrito (Aloysia polystachya) cultivado en Paraguay”: el presupuesto no fue suficiente para hacer las pruebas clínicas.</w:t>
      </w:r>
    </w:p>
    <w:p w:rsidR="008C6725" w:rsidRPr="00165C67" w:rsidRDefault="008C6725" w:rsidP="008C6725">
      <w:pPr>
        <w:pStyle w:val="ListParagraph"/>
        <w:numPr>
          <w:ilvl w:val="0"/>
          <w:numId w:val="19"/>
        </w:numPr>
        <w:spacing w:after="200" w:line="276" w:lineRule="auto"/>
        <w:contextualSpacing w:val="0"/>
        <w:jc w:val="both"/>
        <w:rPr>
          <w:rFonts w:asciiTheme="minorHAnsi" w:hAnsiTheme="minorHAnsi" w:cstheme="minorHAnsi"/>
        </w:rPr>
      </w:pPr>
      <w:r w:rsidRPr="00165C67">
        <w:rPr>
          <w:rFonts w:asciiTheme="minorHAnsi" w:hAnsiTheme="minorHAnsi" w:cstheme="minorHAnsi"/>
        </w:rPr>
        <w:t>“Incorporación de tecnología para el desarrollo del negocio de fabricación de vehículos aéreos no tripulados VANT”: el prototipo desarrollado no cumplió con las esp</w:t>
      </w:r>
      <w:r>
        <w:rPr>
          <w:rFonts w:asciiTheme="minorHAnsi" w:hAnsiTheme="minorHAnsi" w:cstheme="minorHAnsi"/>
        </w:rPr>
        <w:t>ecificaciones, pero el proyecto</w:t>
      </w:r>
      <w:r w:rsidRPr="00165C67">
        <w:rPr>
          <w:rFonts w:asciiTheme="minorHAnsi" w:hAnsiTheme="minorHAnsi" w:cstheme="minorHAnsi"/>
        </w:rPr>
        <w:t xml:space="preserve"> fue el comienzo de otros desarrollos que, en lo técnico, sí respondieron a las expectativas de la empresa.</w:t>
      </w:r>
    </w:p>
    <w:p w:rsidR="008C6725" w:rsidRPr="00165C67" w:rsidRDefault="008C6725" w:rsidP="008C6725">
      <w:pPr>
        <w:spacing w:after="200" w:line="276" w:lineRule="auto"/>
        <w:jc w:val="both"/>
        <w:rPr>
          <w:rFonts w:asciiTheme="minorHAnsi" w:hAnsiTheme="minorHAnsi" w:cstheme="minorHAnsi"/>
        </w:rPr>
      </w:pPr>
      <w:r w:rsidRPr="00165C67">
        <w:rPr>
          <w:rFonts w:asciiTheme="minorHAnsi" w:hAnsiTheme="minorHAnsi" w:cstheme="minorHAnsi"/>
        </w:rPr>
        <w:t>Cuatro proyectos de la muestra tuvieron resultados técnicos satisfactorios, pero se estima que tienen grandes dificultades para obtener resultados comerciales</w:t>
      </w:r>
      <w:r>
        <w:rPr>
          <w:rFonts w:asciiTheme="minorHAnsi" w:hAnsiTheme="minorHAnsi" w:cstheme="minorHAnsi"/>
        </w:rPr>
        <w:t>:</w:t>
      </w:r>
    </w:p>
    <w:p w:rsidR="008C6725" w:rsidRPr="00165C67" w:rsidRDefault="008C6725" w:rsidP="008C6725">
      <w:pPr>
        <w:pStyle w:val="ListParagraph"/>
        <w:numPr>
          <w:ilvl w:val="0"/>
          <w:numId w:val="20"/>
        </w:numPr>
        <w:spacing w:after="200" w:line="276" w:lineRule="auto"/>
        <w:ind w:left="360"/>
        <w:contextualSpacing w:val="0"/>
        <w:jc w:val="both"/>
        <w:rPr>
          <w:rFonts w:asciiTheme="minorHAnsi" w:hAnsiTheme="minorHAnsi" w:cstheme="minorHAnsi"/>
        </w:rPr>
      </w:pPr>
      <w:r w:rsidRPr="00165C67">
        <w:rPr>
          <w:rFonts w:asciiTheme="minorHAnsi" w:hAnsiTheme="minorHAnsi" w:cstheme="minorHAnsi"/>
        </w:rPr>
        <w:t>“Refinación, recuperación de aceites usados de motor para coayudante agrícola”. El resultado es un aceite refinado, pero sin la calidad para ser reutilizado en vehículos. La aplicación es como coayudante para el mercado agrícola, pero aún no hay una validación en terreno de esta función.</w:t>
      </w:r>
    </w:p>
    <w:p w:rsidR="008C6725" w:rsidRPr="00165C67" w:rsidRDefault="008C6725" w:rsidP="008C6725">
      <w:pPr>
        <w:pStyle w:val="ListParagraph"/>
        <w:numPr>
          <w:ilvl w:val="0"/>
          <w:numId w:val="20"/>
        </w:numPr>
        <w:spacing w:after="200" w:line="276" w:lineRule="auto"/>
        <w:ind w:left="360"/>
        <w:contextualSpacing w:val="0"/>
        <w:jc w:val="both"/>
        <w:rPr>
          <w:rFonts w:asciiTheme="minorHAnsi" w:hAnsiTheme="minorHAnsi" w:cstheme="minorHAnsi"/>
        </w:rPr>
      </w:pPr>
      <w:r w:rsidRPr="00165C67">
        <w:rPr>
          <w:rFonts w:asciiTheme="minorHAnsi" w:hAnsiTheme="minorHAnsi" w:cstheme="minorHAnsi"/>
        </w:rPr>
        <w:t>“Generación de biogás por estabilización de contacto anaeróbica de la industria alcoholera”. Se cuenta con un prototipo, pero se requieren inversiones para el escalamiento productivo.</w:t>
      </w:r>
    </w:p>
    <w:p w:rsidR="008C6725" w:rsidRPr="00165C67" w:rsidRDefault="008C6725" w:rsidP="008C6725">
      <w:pPr>
        <w:pStyle w:val="ListParagraph"/>
        <w:numPr>
          <w:ilvl w:val="0"/>
          <w:numId w:val="20"/>
        </w:numPr>
        <w:spacing w:after="200" w:line="276" w:lineRule="auto"/>
        <w:ind w:left="360"/>
        <w:contextualSpacing w:val="0"/>
        <w:jc w:val="both"/>
        <w:rPr>
          <w:rFonts w:asciiTheme="minorHAnsi" w:hAnsiTheme="minorHAnsi" w:cstheme="minorHAnsi"/>
        </w:rPr>
      </w:pPr>
      <w:r w:rsidRPr="00165C67">
        <w:rPr>
          <w:rFonts w:asciiTheme="minorHAnsi" w:hAnsiTheme="minorHAnsi" w:cstheme="minorHAnsi"/>
        </w:rPr>
        <w:t>“Tratamiento térmico de aceros en atmósfera gaseosa”. Se cuenta con un prototipo, pero se requieren inversiones para el escalamiento productivo.</w:t>
      </w:r>
    </w:p>
    <w:p w:rsidR="008C6725" w:rsidRPr="00165C67" w:rsidRDefault="008C6725" w:rsidP="008C6725">
      <w:pPr>
        <w:pStyle w:val="ListParagraph"/>
        <w:numPr>
          <w:ilvl w:val="0"/>
          <w:numId w:val="20"/>
        </w:numPr>
        <w:spacing w:after="200" w:line="276" w:lineRule="auto"/>
        <w:ind w:left="360"/>
        <w:contextualSpacing w:val="0"/>
        <w:jc w:val="both"/>
        <w:rPr>
          <w:rFonts w:asciiTheme="minorHAnsi" w:hAnsiTheme="minorHAnsi" w:cstheme="minorHAnsi"/>
        </w:rPr>
      </w:pPr>
      <w:r w:rsidRPr="00165C67">
        <w:rPr>
          <w:rFonts w:asciiTheme="minorHAnsi" w:hAnsiTheme="minorHAnsi" w:cstheme="minorHAnsi"/>
        </w:rPr>
        <w:t>“Sistema de Adquisición y Gestión de datos meteorológicos”. El producto está técnicamente logrado, pero falta defi</w:t>
      </w:r>
      <w:r>
        <w:rPr>
          <w:rFonts w:asciiTheme="minorHAnsi" w:hAnsiTheme="minorHAnsi" w:cstheme="minorHAnsi"/>
        </w:rPr>
        <w:t>nir mercado y moldeo de negocio.</w:t>
      </w:r>
    </w:p>
    <w:p w:rsidR="008C6725" w:rsidRPr="00165C67" w:rsidRDefault="008C6725" w:rsidP="008C6725">
      <w:pPr>
        <w:spacing w:after="200" w:line="276" w:lineRule="auto"/>
        <w:jc w:val="both"/>
        <w:rPr>
          <w:rFonts w:asciiTheme="minorHAnsi" w:hAnsiTheme="minorHAnsi" w:cstheme="minorHAnsi"/>
        </w:rPr>
      </w:pPr>
      <w:r w:rsidRPr="00165C67">
        <w:rPr>
          <w:rFonts w:asciiTheme="minorHAnsi" w:hAnsiTheme="minorHAnsi" w:cstheme="minorHAnsi"/>
        </w:rPr>
        <w:t>Tres proyectos de la muestra no presentan problemas para la comercialización de los resultados:</w:t>
      </w:r>
    </w:p>
    <w:p w:rsidR="008C6725" w:rsidRPr="00165C67" w:rsidRDefault="008C6725" w:rsidP="008C6725">
      <w:pPr>
        <w:pStyle w:val="ListParagraph"/>
        <w:numPr>
          <w:ilvl w:val="0"/>
          <w:numId w:val="21"/>
        </w:numPr>
        <w:spacing w:after="200" w:line="276" w:lineRule="auto"/>
        <w:contextualSpacing w:val="0"/>
        <w:jc w:val="both"/>
        <w:rPr>
          <w:rFonts w:asciiTheme="minorHAnsi" w:hAnsiTheme="minorHAnsi" w:cstheme="minorHAnsi"/>
        </w:rPr>
      </w:pPr>
      <w:r w:rsidRPr="00165C67">
        <w:rPr>
          <w:rFonts w:asciiTheme="minorHAnsi" w:hAnsiTheme="minorHAnsi" w:cstheme="minorHAnsi"/>
        </w:rPr>
        <w:t>Incorporación de tecnología avanzada para procesar carne de cerdo de músculo entero</w:t>
      </w:r>
      <w:r>
        <w:rPr>
          <w:rFonts w:asciiTheme="minorHAnsi" w:hAnsiTheme="minorHAnsi" w:cstheme="minorHAnsi"/>
        </w:rPr>
        <w:t>.</w:t>
      </w:r>
    </w:p>
    <w:p w:rsidR="008C6725" w:rsidRPr="00165C67" w:rsidRDefault="008C6725" w:rsidP="008C6725">
      <w:pPr>
        <w:pStyle w:val="ListParagraph"/>
        <w:numPr>
          <w:ilvl w:val="0"/>
          <w:numId w:val="21"/>
        </w:numPr>
        <w:spacing w:after="200" w:line="276" w:lineRule="auto"/>
        <w:contextualSpacing w:val="0"/>
        <w:jc w:val="both"/>
        <w:rPr>
          <w:rFonts w:asciiTheme="minorHAnsi" w:hAnsiTheme="minorHAnsi" w:cstheme="minorHAnsi"/>
        </w:rPr>
      </w:pPr>
      <w:r w:rsidRPr="00165C67">
        <w:rPr>
          <w:rFonts w:asciiTheme="minorHAnsi" w:hAnsiTheme="minorHAnsi" w:cstheme="minorHAnsi"/>
        </w:rPr>
        <w:t>Servicio de Compensación, control y archivo digitalizado de cheques</w:t>
      </w:r>
      <w:r>
        <w:rPr>
          <w:rFonts w:asciiTheme="minorHAnsi" w:hAnsiTheme="minorHAnsi" w:cstheme="minorHAnsi"/>
        </w:rPr>
        <w:t>.</w:t>
      </w:r>
    </w:p>
    <w:p w:rsidR="008C6725" w:rsidRPr="00165C67" w:rsidRDefault="008C6725" w:rsidP="008C6725">
      <w:pPr>
        <w:pStyle w:val="ListParagraph"/>
        <w:numPr>
          <w:ilvl w:val="0"/>
          <w:numId w:val="21"/>
        </w:numPr>
        <w:spacing w:after="200" w:line="276" w:lineRule="auto"/>
        <w:contextualSpacing w:val="0"/>
        <w:jc w:val="both"/>
        <w:rPr>
          <w:rFonts w:asciiTheme="minorHAnsi" w:hAnsiTheme="minorHAnsi" w:cstheme="minorHAnsi"/>
        </w:rPr>
      </w:pPr>
      <w:r w:rsidRPr="00165C67">
        <w:rPr>
          <w:rFonts w:asciiTheme="minorHAnsi" w:hAnsiTheme="minorHAnsi" w:cstheme="minorHAnsi"/>
        </w:rPr>
        <w:t>Selección de cepas locales de Bradyrhizobium para nodulación de soja en Paraguay</w:t>
      </w:r>
      <w:r>
        <w:rPr>
          <w:rFonts w:asciiTheme="minorHAnsi" w:hAnsiTheme="minorHAnsi" w:cstheme="minorHAnsi"/>
        </w:rPr>
        <w:t>.</w:t>
      </w:r>
    </w:p>
    <w:p w:rsidR="008C6725" w:rsidRPr="00165C67" w:rsidRDefault="008C6725" w:rsidP="008C6725">
      <w:pPr>
        <w:pStyle w:val="BodyText"/>
        <w:spacing w:after="200" w:line="276" w:lineRule="auto"/>
        <w:ind w:firstLine="360"/>
        <w:jc w:val="both"/>
        <w:rPr>
          <w:rFonts w:asciiTheme="minorHAnsi" w:hAnsiTheme="minorHAnsi" w:cstheme="minorHAnsi"/>
          <w:b/>
          <w:sz w:val="24"/>
        </w:rPr>
      </w:pPr>
      <w:r w:rsidRPr="00165C67">
        <w:rPr>
          <w:rFonts w:asciiTheme="minorHAnsi" w:hAnsiTheme="minorHAnsi" w:cstheme="minorHAnsi"/>
          <w:b/>
          <w:sz w:val="24"/>
        </w:rPr>
        <w:lastRenderedPageBreak/>
        <w:t>Adicionalidad de comportamient</w:t>
      </w:r>
      <w:r>
        <w:rPr>
          <w:rFonts w:asciiTheme="minorHAnsi" w:hAnsiTheme="minorHAnsi" w:cstheme="minorHAnsi"/>
          <w:b/>
          <w:sz w:val="24"/>
        </w:rPr>
        <w:t>o</w:t>
      </w:r>
    </w:p>
    <w:p w:rsidR="008C6725" w:rsidRPr="00165C67" w:rsidRDefault="008C6725" w:rsidP="008C6725">
      <w:pPr>
        <w:spacing w:after="200" w:line="276" w:lineRule="auto"/>
        <w:jc w:val="both"/>
        <w:rPr>
          <w:rFonts w:asciiTheme="minorHAnsi" w:hAnsiTheme="minorHAnsi" w:cstheme="minorHAnsi"/>
        </w:rPr>
      </w:pPr>
      <w:r w:rsidRPr="00165C67">
        <w:rPr>
          <w:rFonts w:asciiTheme="minorHAnsi" w:hAnsiTheme="minorHAnsi" w:cstheme="minorHAnsi"/>
        </w:rPr>
        <w:t>En la adici</w:t>
      </w:r>
      <w:r>
        <w:rPr>
          <w:rFonts w:asciiTheme="minorHAnsi" w:hAnsiTheme="minorHAnsi" w:cstheme="minorHAnsi"/>
        </w:rPr>
        <w:t>o</w:t>
      </w:r>
      <w:r w:rsidRPr="00165C67">
        <w:rPr>
          <w:rFonts w:asciiTheme="minorHAnsi" w:hAnsiTheme="minorHAnsi" w:cstheme="minorHAnsi"/>
        </w:rPr>
        <w:t>nalidad de comportamiento, se incluyen tres conceptos</w:t>
      </w:r>
      <w:r w:rsidRPr="00165C67">
        <w:rPr>
          <w:rFonts w:asciiTheme="minorHAnsi" w:hAnsiTheme="minorHAnsi" w:cstheme="minorHAnsi"/>
          <w:vertAlign w:val="superscript"/>
        </w:rPr>
        <w:footnoteReference w:id="23"/>
      </w:r>
      <w:r w:rsidRPr="00165C67">
        <w:rPr>
          <w:rFonts w:asciiTheme="minorHAnsi" w:hAnsiTheme="minorHAnsi" w:cstheme="minorHAnsi"/>
        </w:rPr>
        <w:t>:</w:t>
      </w:r>
      <w:r>
        <w:rPr>
          <w:rFonts w:asciiTheme="minorHAnsi" w:hAnsiTheme="minorHAnsi" w:cstheme="minorHAnsi"/>
        </w:rPr>
        <w:t xml:space="preserve"> a</w:t>
      </w:r>
      <w:r w:rsidRPr="00165C67">
        <w:rPr>
          <w:rFonts w:asciiTheme="minorHAnsi" w:hAnsiTheme="minorHAnsi" w:cstheme="minorHAnsi"/>
        </w:rPr>
        <w:t xml:space="preserve">dicionalidad </w:t>
      </w:r>
      <w:r>
        <w:rPr>
          <w:rFonts w:asciiTheme="minorHAnsi" w:hAnsiTheme="minorHAnsi" w:cstheme="minorHAnsi"/>
        </w:rPr>
        <w:t xml:space="preserve">de red, </w:t>
      </w:r>
      <w:r w:rsidRPr="00165C67">
        <w:rPr>
          <w:rFonts w:asciiTheme="minorHAnsi" w:hAnsiTheme="minorHAnsi" w:cstheme="minorHAnsi"/>
        </w:rPr>
        <w:t>cuando el subsid</w:t>
      </w:r>
      <w:r>
        <w:rPr>
          <w:rFonts w:asciiTheme="minorHAnsi" w:hAnsiTheme="minorHAnsi" w:cstheme="minorHAnsi"/>
        </w:rPr>
        <w:t>io ayuda a la creación de redes; a</w:t>
      </w:r>
      <w:r w:rsidRPr="00165C67">
        <w:rPr>
          <w:rFonts w:asciiTheme="minorHAnsi" w:hAnsiTheme="minorHAnsi" w:cstheme="minorHAnsi"/>
        </w:rPr>
        <w:t>dicionalidad “de seguimiento” (Follow-up</w:t>
      </w:r>
      <w:r>
        <w:rPr>
          <w:rFonts w:asciiTheme="minorHAnsi" w:hAnsiTheme="minorHAnsi" w:cstheme="minorHAnsi"/>
        </w:rPr>
        <w:t>),</w:t>
      </w:r>
      <w:r w:rsidRPr="00165C67">
        <w:rPr>
          <w:rFonts w:asciiTheme="minorHAnsi" w:hAnsiTheme="minorHAnsi" w:cstheme="minorHAnsi"/>
        </w:rPr>
        <w:t xml:space="preserve"> cuando el subsidio ayuda a establecer la continuidad de proyectos</w:t>
      </w:r>
      <w:r>
        <w:rPr>
          <w:rFonts w:asciiTheme="minorHAnsi" w:hAnsiTheme="minorHAnsi" w:cstheme="minorHAnsi"/>
        </w:rPr>
        <w:t>; y a</w:t>
      </w:r>
      <w:r w:rsidRPr="00165C67">
        <w:rPr>
          <w:rFonts w:asciiTheme="minorHAnsi" w:hAnsiTheme="minorHAnsi" w:cstheme="minorHAnsi"/>
        </w:rPr>
        <w:t>dicionalidad de gestión</w:t>
      </w:r>
      <w:r>
        <w:rPr>
          <w:rFonts w:asciiTheme="minorHAnsi" w:hAnsiTheme="minorHAnsi" w:cstheme="minorHAnsi"/>
        </w:rPr>
        <w:t>,</w:t>
      </w:r>
      <w:r w:rsidRPr="00165C67">
        <w:rPr>
          <w:rFonts w:asciiTheme="minorHAnsi" w:hAnsiTheme="minorHAnsi" w:cstheme="minorHAnsi"/>
        </w:rPr>
        <w:t xml:space="preserve"> cuando el subsidio ayuda a mejorar las rutinas de gestión de la empresa.</w:t>
      </w:r>
    </w:p>
    <w:p w:rsidR="008C6725" w:rsidRPr="00165C67" w:rsidRDefault="008C6725" w:rsidP="008C6725">
      <w:pPr>
        <w:spacing w:after="200" w:line="276" w:lineRule="auto"/>
        <w:jc w:val="both"/>
        <w:rPr>
          <w:rFonts w:asciiTheme="minorHAnsi" w:hAnsiTheme="minorHAnsi" w:cstheme="minorHAnsi"/>
        </w:rPr>
      </w:pPr>
      <w:r w:rsidRPr="00165C67">
        <w:rPr>
          <w:rFonts w:asciiTheme="minorHAnsi" w:hAnsiTheme="minorHAnsi" w:cstheme="minorHAnsi"/>
        </w:rPr>
        <w:t>En las empresas visitadas, se aprecia que en la mitad de ellas se verifica la adicionalidad de red. En efecto, gracias al subsidio, empresas y profesionales de las empresas entraron en contactos con universidades nacionales o extranjeras.</w:t>
      </w:r>
      <w:r>
        <w:rPr>
          <w:rFonts w:asciiTheme="minorHAnsi" w:hAnsiTheme="minorHAnsi" w:cstheme="minorHAnsi"/>
        </w:rPr>
        <w:t xml:space="preserve"> </w:t>
      </w:r>
      <w:r w:rsidRPr="00165C67">
        <w:rPr>
          <w:rFonts w:asciiTheme="minorHAnsi" w:hAnsiTheme="minorHAnsi" w:cstheme="minorHAnsi"/>
        </w:rPr>
        <w:t>No obstante, el establecimiento de redes entre empresas es más bien bajo.</w:t>
      </w:r>
    </w:p>
    <w:p w:rsidR="008C6725" w:rsidRPr="00165C67" w:rsidRDefault="008C6725" w:rsidP="008C6725">
      <w:pPr>
        <w:spacing w:after="200" w:line="276" w:lineRule="auto"/>
        <w:jc w:val="both"/>
        <w:rPr>
          <w:rFonts w:asciiTheme="minorHAnsi" w:hAnsiTheme="minorHAnsi" w:cstheme="minorHAnsi"/>
        </w:rPr>
      </w:pPr>
      <w:r w:rsidRPr="00165C67">
        <w:rPr>
          <w:rFonts w:asciiTheme="minorHAnsi" w:hAnsiTheme="minorHAnsi" w:cstheme="minorHAnsi"/>
        </w:rPr>
        <w:t>No se identificaron casos de adicionalidad de gestión. Esto pude explicarse por la baja complejidad de los proyectos en general. El proyecto más complejo fue el de Frigorífico Guaraní, que ocupó capacidades de gestión que existían en la empresa previamente a recibir el subsidio.</w:t>
      </w:r>
    </w:p>
    <w:p w:rsidR="008C6725" w:rsidRDefault="008C6725" w:rsidP="008C6725">
      <w:pPr>
        <w:pStyle w:val="Heading3"/>
        <w:numPr>
          <w:ilvl w:val="2"/>
          <w:numId w:val="4"/>
        </w:numPr>
        <w:rPr>
          <w:rStyle w:val="Emphasis"/>
          <w:rFonts w:cs="Calibri"/>
          <w:i/>
        </w:rPr>
      </w:pPr>
      <w:bookmarkStart w:id="184" w:name="_Toc375211980"/>
      <w:r>
        <w:rPr>
          <w:rStyle w:val="Emphasis"/>
          <w:rFonts w:cs="Calibri"/>
          <w:i/>
        </w:rPr>
        <w:t>Conclusiones y recomendaciones</w:t>
      </w:r>
      <w:bookmarkEnd w:id="184"/>
    </w:p>
    <w:p w:rsidR="008C6725" w:rsidRPr="00B7006A" w:rsidRDefault="008C6725" w:rsidP="008C6725">
      <w:pPr>
        <w:spacing w:after="200" w:line="276" w:lineRule="auto"/>
        <w:jc w:val="both"/>
        <w:rPr>
          <w:rFonts w:asciiTheme="minorHAnsi" w:hAnsiTheme="minorHAnsi" w:cstheme="minorHAnsi"/>
          <w:lang w:val="es-AR"/>
        </w:rPr>
      </w:pPr>
      <w:r w:rsidRPr="00B7006A">
        <w:rPr>
          <w:rFonts w:asciiTheme="minorHAnsi" w:hAnsiTheme="minorHAnsi" w:cstheme="minorHAnsi"/>
          <w:lang w:val="es-AR"/>
        </w:rPr>
        <w:t>A partir del análisis realizado, se presentan una serie de conclusiones</w:t>
      </w:r>
      <w:r>
        <w:rPr>
          <w:rFonts w:asciiTheme="minorHAnsi" w:hAnsiTheme="minorHAnsi" w:cstheme="minorHAnsi"/>
          <w:lang w:val="es-AR"/>
        </w:rPr>
        <w:t xml:space="preserve"> que </w:t>
      </w:r>
      <w:r w:rsidRPr="00B7006A">
        <w:rPr>
          <w:rFonts w:asciiTheme="minorHAnsi" w:hAnsiTheme="minorHAnsi" w:cstheme="minorHAnsi"/>
          <w:lang w:val="es-AR"/>
        </w:rPr>
        <w:t>valoran</w:t>
      </w:r>
      <w:r>
        <w:rPr>
          <w:rFonts w:asciiTheme="minorHAnsi" w:hAnsiTheme="minorHAnsi" w:cstheme="minorHAnsi"/>
          <w:lang w:val="es-AR"/>
        </w:rPr>
        <w:t xml:space="preserve"> el subcomponente de proyectos de innovación a partir de</w:t>
      </w:r>
      <w:r w:rsidRPr="00B7006A">
        <w:rPr>
          <w:rFonts w:asciiTheme="minorHAnsi" w:hAnsiTheme="minorHAnsi" w:cstheme="minorHAnsi"/>
          <w:lang w:val="es-AR"/>
        </w:rPr>
        <w:t xml:space="preserve"> los cinco criterios guía descriptos en el marco conceptual.</w:t>
      </w:r>
    </w:p>
    <w:p w:rsidR="008C6725" w:rsidRPr="00F11274" w:rsidRDefault="008C6725" w:rsidP="008C6725">
      <w:pPr>
        <w:spacing w:after="200" w:line="276" w:lineRule="auto"/>
        <w:jc w:val="both"/>
        <w:rPr>
          <w:rFonts w:asciiTheme="minorHAnsi" w:hAnsiTheme="minorHAnsi" w:cstheme="minorHAnsi"/>
          <w:b/>
          <w:lang w:val="es-AR"/>
        </w:rPr>
      </w:pPr>
      <w:r w:rsidRPr="00F11274">
        <w:rPr>
          <w:rFonts w:asciiTheme="minorHAnsi" w:hAnsiTheme="minorHAnsi" w:cstheme="minorHAnsi"/>
          <w:b/>
          <w:lang w:val="es-AR"/>
        </w:rPr>
        <w:t>Relevancia</w:t>
      </w:r>
    </w:p>
    <w:p w:rsidR="008C6725" w:rsidRPr="00AE26A7" w:rsidRDefault="008C6725" w:rsidP="008C6725">
      <w:pPr>
        <w:spacing w:after="200" w:line="276" w:lineRule="auto"/>
        <w:jc w:val="both"/>
        <w:rPr>
          <w:rFonts w:asciiTheme="minorHAnsi" w:hAnsiTheme="minorHAnsi" w:cstheme="minorHAnsi"/>
          <w:lang w:val="es-AR"/>
        </w:rPr>
      </w:pPr>
      <w:r w:rsidRPr="00AE26A7">
        <w:rPr>
          <w:rFonts w:asciiTheme="minorHAnsi" w:hAnsiTheme="minorHAnsi" w:cstheme="minorHAnsi"/>
          <w:lang w:val="es-AR"/>
        </w:rPr>
        <w:t>El subcomponente de innovación subsidió proyectos de distintos contenidos innovativos, con preponderancia de innovaciones nacionales. Las innovaciones basadas en especias nativas de Paraguay tienen novedad mundial. Diez de las 19 empresas que recibieron subsidio son pequeñas empresas. Se concluye que de manera general las actividades responden a las prioridades y políticas. A excepción de un proyecto que se hubiera realizado de igual manera por las fuerzas del mercado, la adicionalidad de insumos se verifica en 17 de 18 proyectos.</w:t>
      </w:r>
    </w:p>
    <w:p w:rsidR="008C6725" w:rsidRPr="00AE26A7" w:rsidRDefault="008C6725" w:rsidP="008C6725">
      <w:pPr>
        <w:spacing w:after="200" w:line="276" w:lineRule="auto"/>
        <w:jc w:val="both"/>
        <w:rPr>
          <w:rFonts w:asciiTheme="minorHAnsi" w:hAnsiTheme="minorHAnsi" w:cstheme="minorHAnsi"/>
          <w:b/>
          <w:lang w:val="es-AR"/>
        </w:rPr>
      </w:pPr>
      <w:r w:rsidRPr="00AE26A7">
        <w:rPr>
          <w:rFonts w:asciiTheme="minorHAnsi" w:hAnsiTheme="minorHAnsi" w:cstheme="minorHAnsi"/>
          <w:b/>
          <w:lang w:val="es-AR"/>
        </w:rPr>
        <w:t>Eficacia</w:t>
      </w:r>
    </w:p>
    <w:p w:rsidR="008C6725" w:rsidRPr="00AE26A7" w:rsidRDefault="008C6725" w:rsidP="008C6725">
      <w:pPr>
        <w:spacing w:after="200" w:line="276" w:lineRule="auto"/>
        <w:jc w:val="both"/>
        <w:rPr>
          <w:rFonts w:asciiTheme="minorHAnsi" w:hAnsiTheme="minorHAnsi" w:cstheme="minorHAnsi"/>
          <w:lang w:val="es-AR"/>
        </w:rPr>
      </w:pPr>
      <w:r w:rsidRPr="00AE26A7">
        <w:rPr>
          <w:rFonts w:asciiTheme="minorHAnsi" w:hAnsiTheme="minorHAnsi" w:cstheme="minorHAnsi"/>
          <w:lang w:val="es-AR"/>
        </w:rPr>
        <w:t>Los montos máximos del subsidio son bajos y más aún, durante la ejecución del programa se redujeron a 40.000 dólares.</w:t>
      </w:r>
      <w:r>
        <w:rPr>
          <w:rFonts w:asciiTheme="minorHAnsi" w:hAnsiTheme="minorHAnsi" w:cstheme="minorHAnsi"/>
          <w:lang w:val="es-AR"/>
        </w:rPr>
        <w:t xml:space="preserve"> </w:t>
      </w:r>
      <w:r w:rsidRPr="00AE26A7">
        <w:rPr>
          <w:rFonts w:asciiTheme="minorHAnsi" w:hAnsiTheme="minorHAnsi" w:cstheme="minorHAnsi"/>
          <w:lang w:val="es-AR"/>
        </w:rPr>
        <w:t>Esto limita el tipo de proyectos que es posible subsidiar y reduce el alcance de éstos a etapas de prototipo de laboratorio.</w:t>
      </w:r>
    </w:p>
    <w:p w:rsidR="008C6725" w:rsidRPr="00AE26A7" w:rsidRDefault="008C6725" w:rsidP="008C6725">
      <w:pPr>
        <w:spacing w:after="200" w:line="276" w:lineRule="auto"/>
        <w:jc w:val="both"/>
        <w:rPr>
          <w:rFonts w:asciiTheme="minorHAnsi" w:hAnsiTheme="minorHAnsi" w:cstheme="minorHAnsi"/>
          <w:lang w:val="es-AR"/>
        </w:rPr>
      </w:pPr>
      <w:r w:rsidRPr="00AE26A7">
        <w:rPr>
          <w:rFonts w:asciiTheme="minorHAnsi" w:hAnsiTheme="minorHAnsi" w:cstheme="minorHAnsi"/>
          <w:lang w:val="es-AR"/>
        </w:rPr>
        <w:lastRenderedPageBreak/>
        <w:t>Adicionalmente, los trámites administrativos resultan lentos y en ocasiones injustificados, como por ejemplo las declaraciones ambientales de proyectos de software.</w:t>
      </w:r>
      <w:r>
        <w:rPr>
          <w:rFonts w:asciiTheme="minorHAnsi" w:hAnsiTheme="minorHAnsi" w:cstheme="minorHAnsi"/>
          <w:lang w:val="es-AR"/>
        </w:rPr>
        <w:t xml:space="preserve"> Se sugiere, en este caso, hacer un convenio con la SEAM.</w:t>
      </w:r>
    </w:p>
    <w:p w:rsidR="008C6725" w:rsidRPr="00AE26A7" w:rsidRDefault="008C6725" w:rsidP="008C6725">
      <w:pPr>
        <w:spacing w:after="200" w:line="276" w:lineRule="auto"/>
        <w:jc w:val="both"/>
        <w:rPr>
          <w:rFonts w:asciiTheme="minorHAnsi" w:hAnsiTheme="minorHAnsi" w:cstheme="minorHAnsi"/>
          <w:lang w:val="es-AR"/>
        </w:rPr>
      </w:pPr>
      <w:r w:rsidRPr="00AE26A7">
        <w:rPr>
          <w:rFonts w:asciiTheme="minorHAnsi" w:hAnsiTheme="minorHAnsi" w:cstheme="minorHAnsi"/>
          <w:lang w:val="es-AR"/>
        </w:rPr>
        <w:t>Se estima que la eficacia del programa se verifica en el hecho de estimular la formulación de proyectos y la asociación universidad – empresa.</w:t>
      </w:r>
      <w:r>
        <w:rPr>
          <w:rFonts w:asciiTheme="minorHAnsi" w:hAnsiTheme="minorHAnsi" w:cstheme="minorHAnsi"/>
          <w:lang w:val="es-AR"/>
        </w:rPr>
        <w:t xml:space="preserve"> </w:t>
      </w:r>
      <w:r w:rsidRPr="00AE26A7">
        <w:rPr>
          <w:rFonts w:asciiTheme="minorHAnsi" w:hAnsiTheme="minorHAnsi" w:cstheme="minorHAnsi"/>
          <w:lang w:val="es-AR"/>
        </w:rPr>
        <w:t>En esta etapa del sistema de innovación, el efecto demostrativo es el más importante.</w:t>
      </w:r>
    </w:p>
    <w:p w:rsidR="008C6725" w:rsidRPr="00F11274" w:rsidRDefault="008C6725" w:rsidP="008C6725">
      <w:pPr>
        <w:spacing w:after="200" w:line="276" w:lineRule="auto"/>
        <w:jc w:val="both"/>
        <w:rPr>
          <w:rFonts w:asciiTheme="minorHAnsi" w:hAnsiTheme="minorHAnsi" w:cstheme="minorHAnsi"/>
          <w:b/>
          <w:lang w:val="es-AR"/>
        </w:rPr>
      </w:pPr>
      <w:r w:rsidRPr="00F11274">
        <w:rPr>
          <w:rFonts w:asciiTheme="minorHAnsi" w:hAnsiTheme="minorHAnsi" w:cstheme="minorHAnsi"/>
          <w:b/>
          <w:lang w:val="es-AR"/>
        </w:rPr>
        <w:t>Eficiencia</w:t>
      </w:r>
    </w:p>
    <w:p w:rsidR="008C6725" w:rsidRPr="00AE26A7" w:rsidRDefault="008C6725" w:rsidP="008C6725">
      <w:pPr>
        <w:spacing w:after="200" w:line="276" w:lineRule="auto"/>
        <w:jc w:val="both"/>
        <w:rPr>
          <w:rFonts w:asciiTheme="minorHAnsi" w:hAnsiTheme="minorHAnsi" w:cstheme="minorHAnsi"/>
          <w:lang w:val="es-AR"/>
        </w:rPr>
      </w:pPr>
      <w:r w:rsidRPr="00AE26A7">
        <w:rPr>
          <w:rFonts w:asciiTheme="minorHAnsi" w:hAnsiTheme="minorHAnsi" w:cstheme="minorHAnsi"/>
          <w:lang w:val="es-AR"/>
        </w:rPr>
        <w:t>Existe mucho espacio para mejorar la eficiencia de los programas.</w:t>
      </w:r>
      <w:r>
        <w:rPr>
          <w:rFonts w:asciiTheme="minorHAnsi" w:hAnsiTheme="minorHAnsi" w:cstheme="minorHAnsi"/>
          <w:lang w:val="es-AR"/>
        </w:rPr>
        <w:t xml:space="preserve"> </w:t>
      </w:r>
      <w:r w:rsidRPr="00AE26A7">
        <w:rPr>
          <w:rFonts w:asciiTheme="minorHAnsi" w:hAnsiTheme="minorHAnsi" w:cstheme="minorHAnsi"/>
          <w:lang w:val="es-AR"/>
        </w:rPr>
        <w:t>Uno de los aspectos más importantes es la coordinación entre los distintos actores del proceso de evaluación y de selección de proyectos.</w:t>
      </w:r>
      <w:r>
        <w:rPr>
          <w:rFonts w:asciiTheme="minorHAnsi" w:hAnsiTheme="minorHAnsi" w:cstheme="minorHAnsi"/>
          <w:lang w:val="es-AR"/>
        </w:rPr>
        <w:t xml:space="preserve"> </w:t>
      </w:r>
      <w:r w:rsidRPr="00AE26A7">
        <w:rPr>
          <w:rFonts w:asciiTheme="minorHAnsi" w:hAnsiTheme="minorHAnsi" w:cstheme="minorHAnsi"/>
          <w:lang w:val="es-AR"/>
        </w:rPr>
        <w:t>En efecto, han existido casos de diferencias de apreciación entre evaluadores externos, profesionales del CONACYT y miembros del Consejo.</w:t>
      </w:r>
      <w:r>
        <w:rPr>
          <w:rFonts w:asciiTheme="minorHAnsi" w:hAnsiTheme="minorHAnsi" w:cstheme="minorHAnsi"/>
          <w:lang w:val="es-AR"/>
        </w:rPr>
        <w:t xml:space="preserve"> </w:t>
      </w:r>
      <w:r w:rsidRPr="00AE26A7">
        <w:rPr>
          <w:rFonts w:asciiTheme="minorHAnsi" w:hAnsiTheme="minorHAnsi" w:cstheme="minorHAnsi"/>
          <w:lang w:val="es-AR"/>
        </w:rPr>
        <w:t>Se aprecia la necesi</w:t>
      </w:r>
      <w:r>
        <w:rPr>
          <w:rFonts w:asciiTheme="minorHAnsi" w:hAnsiTheme="minorHAnsi" w:cstheme="minorHAnsi"/>
          <w:lang w:val="es-AR"/>
        </w:rPr>
        <w:t>dad de mejorar la coordinación.</w:t>
      </w:r>
    </w:p>
    <w:p w:rsidR="008C6725" w:rsidRPr="00F11274" w:rsidRDefault="008C6725" w:rsidP="008C6725">
      <w:pPr>
        <w:spacing w:after="200" w:line="276" w:lineRule="auto"/>
        <w:jc w:val="both"/>
        <w:rPr>
          <w:rFonts w:asciiTheme="minorHAnsi" w:hAnsiTheme="minorHAnsi" w:cstheme="minorHAnsi"/>
          <w:b/>
          <w:lang w:val="es-AR"/>
        </w:rPr>
      </w:pPr>
      <w:r>
        <w:rPr>
          <w:rFonts w:asciiTheme="minorHAnsi" w:hAnsiTheme="minorHAnsi" w:cstheme="minorHAnsi"/>
          <w:b/>
          <w:lang w:val="es-AR"/>
        </w:rPr>
        <w:t>Efectos e i</w:t>
      </w:r>
      <w:r w:rsidRPr="00F11274">
        <w:rPr>
          <w:rFonts w:asciiTheme="minorHAnsi" w:hAnsiTheme="minorHAnsi" w:cstheme="minorHAnsi"/>
          <w:b/>
          <w:lang w:val="es-AR"/>
        </w:rPr>
        <w:t>mpacto</w:t>
      </w:r>
    </w:p>
    <w:p w:rsidR="008C6725" w:rsidRPr="00AE26A7" w:rsidRDefault="008C6725" w:rsidP="008C6725">
      <w:pPr>
        <w:spacing w:after="200" w:line="276" w:lineRule="auto"/>
        <w:jc w:val="both"/>
        <w:rPr>
          <w:rFonts w:asciiTheme="minorHAnsi" w:hAnsiTheme="minorHAnsi" w:cstheme="minorHAnsi"/>
        </w:rPr>
      </w:pPr>
      <w:r w:rsidRPr="00AE26A7">
        <w:rPr>
          <w:rFonts w:asciiTheme="minorHAnsi" w:hAnsiTheme="minorHAnsi" w:cstheme="minorHAnsi"/>
        </w:rPr>
        <w:t>El impacto en la formación de recursos humanos aparece como el beneficio que ha conseguido alcanzar la mayor parte de las empresas que ejecutaron proyectos de innovación. La escasez de personal capacitado es frecuentemente mencionada por las empresas.</w:t>
      </w:r>
    </w:p>
    <w:p w:rsidR="008C6725" w:rsidRPr="00AE26A7" w:rsidRDefault="008C6725" w:rsidP="008C6725">
      <w:pPr>
        <w:spacing w:after="200" w:line="276" w:lineRule="auto"/>
        <w:jc w:val="both"/>
        <w:rPr>
          <w:rFonts w:asciiTheme="minorHAnsi" w:hAnsiTheme="minorHAnsi" w:cstheme="minorHAnsi"/>
        </w:rPr>
      </w:pPr>
      <w:r w:rsidRPr="00AE26A7">
        <w:rPr>
          <w:rFonts w:asciiTheme="minorHAnsi" w:hAnsiTheme="minorHAnsi" w:cstheme="minorHAnsi"/>
        </w:rPr>
        <w:t>Se observa que la importancia de los impactos económicos para las empresas es menor de lo que se espera en proyectos de innovación empresarial. Destaca que menos de la mitad de las empresas declaran impactos en conservar o ampliar el mercado como consecuencia del proyecto de innovación.</w:t>
      </w:r>
    </w:p>
    <w:p w:rsidR="008C6725" w:rsidRPr="00AE26A7" w:rsidRDefault="008C6725" w:rsidP="008C6725">
      <w:pPr>
        <w:spacing w:after="200" w:line="276" w:lineRule="auto"/>
        <w:jc w:val="both"/>
        <w:rPr>
          <w:rFonts w:asciiTheme="minorHAnsi" w:hAnsiTheme="minorHAnsi" w:cstheme="minorHAnsi"/>
        </w:rPr>
      </w:pPr>
      <w:r w:rsidRPr="00AE26A7">
        <w:rPr>
          <w:rFonts w:asciiTheme="minorHAnsi" w:hAnsiTheme="minorHAnsi" w:cstheme="minorHAnsi"/>
        </w:rPr>
        <w:t>Respecto de la vinculación con otras empresas para la innovación, solamente un encuestado la</w:t>
      </w:r>
      <w:r>
        <w:rPr>
          <w:rFonts w:asciiTheme="minorHAnsi" w:hAnsiTheme="minorHAnsi" w:cstheme="minorHAnsi"/>
        </w:rPr>
        <w:t xml:space="preserve"> considera importante, si bien seis</w:t>
      </w:r>
      <w:r w:rsidRPr="00AE26A7">
        <w:rPr>
          <w:rFonts w:asciiTheme="minorHAnsi" w:hAnsiTheme="minorHAnsi" w:cstheme="minorHAnsi"/>
        </w:rPr>
        <w:t xml:space="preserve"> de </w:t>
      </w:r>
      <w:r>
        <w:rPr>
          <w:rFonts w:asciiTheme="minorHAnsi" w:hAnsiTheme="minorHAnsi" w:cstheme="minorHAnsi"/>
        </w:rPr>
        <w:t>nueve</w:t>
      </w:r>
      <w:r w:rsidRPr="00AE26A7">
        <w:rPr>
          <w:rFonts w:asciiTheme="minorHAnsi" w:hAnsiTheme="minorHAnsi" w:cstheme="minorHAnsi"/>
        </w:rPr>
        <w:t xml:space="preserve"> empresas ha establecido vínculos con otras empresas como consecuencia del proyecto.</w:t>
      </w:r>
    </w:p>
    <w:p w:rsidR="008C6725" w:rsidRPr="00AE26A7" w:rsidRDefault="008C6725" w:rsidP="008C6725">
      <w:pPr>
        <w:widowControl w:val="0"/>
        <w:suppressAutoHyphens/>
        <w:spacing w:after="200" w:line="276" w:lineRule="auto"/>
        <w:jc w:val="both"/>
        <w:rPr>
          <w:rFonts w:asciiTheme="minorHAnsi" w:hAnsiTheme="minorHAnsi" w:cstheme="minorHAnsi"/>
        </w:rPr>
      </w:pPr>
      <w:r w:rsidRPr="00AE26A7">
        <w:rPr>
          <w:rFonts w:asciiTheme="minorHAnsi" w:hAnsiTheme="minorHAnsi" w:cstheme="minorHAnsi"/>
        </w:rPr>
        <w:t>Se advierte una baja coherencia entre las proyecciones económicas de las propuestas versus las proyecciones que se desprenden de las entrevistas y de los informes finales. En general, las empresas no tienen claridad respecto de las inversiones necesarias, las proyecciones de mercado, los planes de marketing, para comercializar los resultados de los proyectos.</w:t>
      </w:r>
    </w:p>
    <w:p w:rsidR="008C6725" w:rsidRPr="00AE26A7" w:rsidRDefault="008C6725" w:rsidP="008C6725">
      <w:pPr>
        <w:widowControl w:val="0"/>
        <w:suppressAutoHyphens/>
        <w:spacing w:after="200" w:line="276" w:lineRule="auto"/>
        <w:jc w:val="both"/>
        <w:rPr>
          <w:rFonts w:asciiTheme="minorHAnsi" w:hAnsiTheme="minorHAnsi" w:cstheme="minorHAnsi"/>
        </w:rPr>
      </w:pPr>
      <w:r w:rsidRPr="00AE26A7">
        <w:rPr>
          <w:rFonts w:asciiTheme="minorHAnsi" w:hAnsiTheme="minorHAnsi" w:cstheme="minorHAnsi"/>
        </w:rPr>
        <w:t>Las fallas de mercado que la mayor parte de los proyectos de innovación han tenido como barrera son la falta de financiamiento y el riesgo. En segundo lugar, el acceso a recursos y al conocimiento. Algunos de los proyectos financiados por el PROCIT responden a lógicas de mercado normales, sin que se adviertan fallas de mercado.</w:t>
      </w:r>
    </w:p>
    <w:p w:rsidR="008C6725" w:rsidRPr="00AE26A7" w:rsidRDefault="008C6725" w:rsidP="008C6725">
      <w:pPr>
        <w:spacing w:after="200" w:line="276" w:lineRule="auto"/>
        <w:jc w:val="both"/>
        <w:rPr>
          <w:rFonts w:asciiTheme="minorHAnsi" w:hAnsiTheme="minorHAnsi" w:cstheme="minorHAnsi"/>
        </w:rPr>
      </w:pPr>
      <w:r w:rsidRPr="00AE26A7">
        <w:rPr>
          <w:rFonts w:asciiTheme="minorHAnsi" w:hAnsiTheme="minorHAnsi" w:cstheme="minorHAnsi"/>
        </w:rPr>
        <w:lastRenderedPageBreak/>
        <w:t>Desde el punto de vista del impacto económico, la mayor parte de los proyectos tiene dificultades para la etapa de escalamiento y de diseminación, excepto aquellos proyectos que responden estrictamente a una lógica de mercado.</w:t>
      </w:r>
    </w:p>
    <w:p w:rsidR="008C6725" w:rsidRPr="00AE26A7" w:rsidRDefault="008C6725" w:rsidP="008C6725">
      <w:pPr>
        <w:widowControl w:val="0"/>
        <w:suppressAutoHyphens/>
        <w:spacing w:after="200" w:line="276" w:lineRule="auto"/>
        <w:jc w:val="both"/>
        <w:rPr>
          <w:rFonts w:asciiTheme="minorHAnsi" w:hAnsiTheme="minorHAnsi" w:cstheme="minorHAnsi"/>
        </w:rPr>
      </w:pPr>
      <w:r w:rsidRPr="00AE26A7">
        <w:rPr>
          <w:rFonts w:asciiTheme="minorHAnsi" w:hAnsiTheme="minorHAnsi" w:cstheme="minorHAnsi"/>
        </w:rPr>
        <w:t>Finalmente, es importante destacar que el beneficio básico del programa ha sido estimular la actividad de emprender proyectos e iniciar una cultura de innovación en el tejido industrial de Paraguay.</w:t>
      </w:r>
    </w:p>
    <w:p w:rsidR="008C6725" w:rsidRPr="00F11274" w:rsidRDefault="008C6725" w:rsidP="008C6725">
      <w:pPr>
        <w:widowControl w:val="0"/>
        <w:suppressAutoHyphens/>
        <w:spacing w:after="200" w:line="276" w:lineRule="auto"/>
        <w:jc w:val="both"/>
        <w:rPr>
          <w:rFonts w:asciiTheme="minorHAnsi" w:hAnsiTheme="minorHAnsi" w:cstheme="minorHAnsi"/>
          <w:b/>
        </w:rPr>
      </w:pPr>
      <w:r w:rsidRPr="00F11274">
        <w:rPr>
          <w:rFonts w:asciiTheme="minorHAnsi" w:hAnsiTheme="minorHAnsi" w:cstheme="minorHAnsi"/>
          <w:b/>
        </w:rPr>
        <w:t>Sostenibilidad</w:t>
      </w:r>
    </w:p>
    <w:p w:rsidR="008C6725" w:rsidRPr="00AE26A7" w:rsidRDefault="008C6725" w:rsidP="008C6725">
      <w:pPr>
        <w:widowControl w:val="0"/>
        <w:suppressAutoHyphens/>
        <w:spacing w:after="200" w:line="276" w:lineRule="auto"/>
        <w:jc w:val="both"/>
        <w:rPr>
          <w:rFonts w:asciiTheme="minorHAnsi" w:hAnsiTheme="minorHAnsi" w:cstheme="minorHAnsi"/>
        </w:rPr>
      </w:pPr>
      <w:r w:rsidRPr="00AE26A7">
        <w:rPr>
          <w:rFonts w:asciiTheme="minorHAnsi" w:hAnsiTheme="minorHAnsi" w:cstheme="minorHAnsi"/>
        </w:rPr>
        <w:t>Este es el aspecto de mayor debilidad que se aprecia en la ejecución del programa.</w:t>
      </w:r>
      <w:r>
        <w:rPr>
          <w:rFonts w:asciiTheme="minorHAnsi" w:hAnsiTheme="minorHAnsi" w:cstheme="minorHAnsi"/>
        </w:rPr>
        <w:t xml:space="preserve"> </w:t>
      </w:r>
      <w:r w:rsidRPr="00AE26A7">
        <w:rPr>
          <w:rFonts w:asciiTheme="minorHAnsi" w:hAnsiTheme="minorHAnsi" w:cstheme="minorHAnsi"/>
        </w:rPr>
        <w:t xml:space="preserve">Una cantidad </w:t>
      </w:r>
      <w:r>
        <w:rPr>
          <w:rFonts w:asciiTheme="minorHAnsi" w:hAnsiTheme="minorHAnsi" w:cstheme="minorHAnsi"/>
        </w:rPr>
        <w:t>no menor de los proyectos queda</w:t>
      </w:r>
      <w:r w:rsidRPr="00AE26A7">
        <w:rPr>
          <w:rFonts w:asciiTheme="minorHAnsi" w:hAnsiTheme="minorHAnsi" w:cstheme="minorHAnsi"/>
        </w:rPr>
        <w:t xml:space="preserve"> en etapas tempranas de desarrollo.</w:t>
      </w:r>
      <w:r>
        <w:rPr>
          <w:rFonts w:asciiTheme="minorHAnsi" w:hAnsiTheme="minorHAnsi" w:cstheme="minorHAnsi"/>
        </w:rPr>
        <w:t xml:space="preserve"> </w:t>
      </w:r>
      <w:r w:rsidRPr="00AE26A7">
        <w:rPr>
          <w:rFonts w:asciiTheme="minorHAnsi" w:hAnsiTheme="minorHAnsi" w:cstheme="minorHAnsi"/>
        </w:rPr>
        <w:t>Para conseguir que los proyectos que son técnicamente exitosos lleguen al mercado, se requiere un diseño de instrumentos complementarios tales como apoyo en empaquetamiento, patentes, estudios de mercado.</w:t>
      </w:r>
    </w:p>
    <w:p w:rsidR="008C6725" w:rsidRPr="00AE26A7" w:rsidRDefault="008C6725" w:rsidP="008C6725">
      <w:pPr>
        <w:widowControl w:val="0"/>
        <w:suppressAutoHyphens/>
        <w:spacing w:after="200" w:line="276" w:lineRule="auto"/>
        <w:jc w:val="both"/>
        <w:rPr>
          <w:rFonts w:asciiTheme="minorHAnsi" w:hAnsiTheme="minorHAnsi" w:cstheme="minorHAnsi"/>
        </w:rPr>
      </w:pPr>
      <w:r w:rsidRPr="00AE26A7">
        <w:rPr>
          <w:rFonts w:asciiTheme="minorHAnsi" w:hAnsiTheme="minorHAnsi" w:cstheme="minorHAnsi"/>
        </w:rPr>
        <w:t>Los montos del subsidio, como se ha señalado, son bajos para los desafíos que se quiere abordar.</w:t>
      </w:r>
    </w:p>
    <w:p w:rsidR="008C6725" w:rsidRPr="00F11274" w:rsidRDefault="008C6725" w:rsidP="008C6725">
      <w:pPr>
        <w:widowControl w:val="0"/>
        <w:suppressAutoHyphens/>
        <w:spacing w:after="200" w:line="276" w:lineRule="auto"/>
        <w:jc w:val="both"/>
        <w:rPr>
          <w:rFonts w:asciiTheme="minorHAnsi" w:hAnsiTheme="minorHAnsi" w:cstheme="minorHAnsi"/>
        </w:rPr>
      </w:pPr>
      <w:r>
        <w:rPr>
          <w:rFonts w:asciiTheme="minorHAnsi" w:hAnsiTheme="minorHAnsi" w:cstheme="minorHAnsi"/>
        </w:rPr>
        <w:t xml:space="preserve">Se presentan a continuación una serie de </w:t>
      </w:r>
      <w:r>
        <w:rPr>
          <w:rFonts w:asciiTheme="minorHAnsi" w:hAnsiTheme="minorHAnsi" w:cstheme="minorHAnsi"/>
          <w:b/>
        </w:rPr>
        <w:t>re</w:t>
      </w:r>
      <w:r w:rsidRPr="00AE26A7">
        <w:rPr>
          <w:rFonts w:asciiTheme="minorHAnsi" w:hAnsiTheme="minorHAnsi" w:cstheme="minorHAnsi"/>
          <w:b/>
        </w:rPr>
        <w:t>comendaciones</w:t>
      </w:r>
      <w:r>
        <w:rPr>
          <w:rFonts w:asciiTheme="minorHAnsi" w:hAnsiTheme="minorHAnsi" w:cstheme="minorHAnsi"/>
          <w:b/>
        </w:rPr>
        <w:t xml:space="preserve"> </w:t>
      </w:r>
      <w:r>
        <w:rPr>
          <w:rFonts w:asciiTheme="minorHAnsi" w:hAnsiTheme="minorHAnsi" w:cstheme="minorHAnsi"/>
        </w:rPr>
        <w:t>que podrán orientar futuras toma de decisiones sobre este tipo de políticas:</w:t>
      </w:r>
    </w:p>
    <w:p w:rsidR="008C6725" w:rsidRPr="00AE26A7" w:rsidRDefault="008C6725" w:rsidP="008C6725">
      <w:pPr>
        <w:spacing w:after="200" w:line="276" w:lineRule="auto"/>
        <w:jc w:val="both"/>
        <w:rPr>
          <w:rFonts w:asciiTheme="minorHAnsi" w:eastAsia="Times New Roman" w:hAnsiTheme="minorHAnsi" w:cstheme="minorHAnsi"/>
        </w:rPr>
      </w:pPr>
      <w:r w:rsidRPr="00AE26A7">
        <w:rPr>
          <w:rFonts w:asciiTheme="minorHAnsi" w:eastAsia="Times New Roman" w:hAnsiTheme="minorHAnsi" w:cstheme="minorHAnsi"/>
          <w:i/>
          <w:iCs/>
          <w:u w:val="single"/>
        </w:rPr>
        <w:t>Mantener las bases durante todo el proceso</w:t>
      </w:r>
      <w:r w:rsidRPr="00AE26A7">
        <w:rPr>
          <w:rFonts w:asciiTheme="minorHAnsi" w:eastAsia="Times New Roman" w:hAnsiTheme="minorHAnsi" w:cstheme="minorHAnsi"/>
          <w:u w:val="single"/>
        </w:rPr>
        <w:t>.</w:t>
      </w:r>
      <w:r w:rsidRPr="00AE26A7">
        <w:rPr>
          <w:rFonts w:asciiTheme="minorHAnsi" w:eastAsia="Times New Roman" w:hAnsiTheme="minorHAnsi" w:cstheme="minorHAnsi"/>
        </w:rPr>
        <w:t xml:space="preserve"> El PROCIT ha introducido cambios luego de la convocatoria y en particular ha reducido</w:t>
      </w:r>
      <w:r>
        <w:rPr>
          <w:rFonts w:asciiTheme="minorHAnsi" w:eastAsia="Times New Roman" w:hAnsiTheme="minorHAnsi" w:cstheme="minorHAnsi"/>
        </w:rPr>
        <w:t xml:space="preserve"> los montos máximos de subsidio.</w:t>
      </w:r>
      <w:r w:rsidRPr="00AE26A7">
        <w:rPr>
          <w:rFonts w:asciiTheme="minorHAnsi" w:eastAsia="Times New Roman" w:hAnsiTheme="minorHAnsi" w:cstheme="minorHAnsi"/>
        </w:rPr>
        <w:t xml:space="preserve"> Se recomienda establecer los criterios centrales de las bases tales como montos máximos, porcentajes de cofinanciamiento, duración, al comienzo de la convocatoria y mantener estos criterios.</w:t>
      </w:r>
    </w:p>
    <w:p w:rsidR="008C6725" w:rsidRPr="00AE26A7" w:rsidRDefault="008C6725" w:rsidP="008C6725">
      <w:pPr>
        <w:spacing w:after="200" w:line="276" w:lineRule="auto"/>
        <w:jc w:val="both"/>
        <w:rPr>
          <w:rFonts w:asciiTheme="minorHAnsi" w:eastAsia="Times New Roman" w:hAnsiTheme="minorHAnsi" w:cstheme="minorHAnsi"/>
        </w:rPr>
      </w:pPr>
      <w:r w:rsidRPr="00AE26A7">
        <w:rPr>
          <w:rFonts w:asciiTheme="minorHAnsi" w:eastAsia="Times New Roman" w:hAnsiTheme="minorHAnsi" w:cstheme="minorHAnsi"/>
          <w:i/>
          <w:iCs/>
          <w:u w:val="single"/>
        </w:rPr>
        <w:t>Involucrar a la instancia de decisión final (Consejo) en la aprobación de perfiles</w:t>
      </w:r>
      <w:r w:rsidRPr="00AE26A7">
        <w:rPr>
          <w:rFonts w:asciiTheme="minorHAnsi" w:eastAsia="Times New Roman" w:hAnsiTheme="minorHAnsi" w:cstheme="minorHAnsi"/>
        </w:rPr>
        <w:t>. En la etapa del PROCIT que fue evaluada, el proceso contemplaba primeramente la presentación de un perfil que fue evaluado y aprobado por una instancia ejecutiva para que luego el proponente preparara una propuesta detallada que sería aprobada o rechazada en última instancia por el Consejo. En las entrevistas se ha señalado que esta operatoria debe ser optimizada involucrando al Consejo en la aprobación de los perfiles. Ello permitiría rechazar a tiempo proyectos que a juicio del Consejo no son pertinentes y evita trabajos innecesarios.</w:t>
      </w:r>
    </w:p>
    <w:p w:rsidR="008C6725" w:rsidRPr="00AE26A7" w:rsidRDefault="008C6725" w:rsidP="008C6725">
      <w:pPr>
        <w:spacing w:after="200" w:line="276" w:lineRule="auto"/>
        <w:jc w:val="both"/>
        <w:rPr>
          <w:rFonts w:asciiTheme="minorHAnsi" w:eastAsia="Times New Roman" w:hAnsiTheme="minorHAnsi" w:cstheme="minorHAnsi"/>
        </w:rPr>
      </w:pPr>
      <w:r>
        <w:rPr>
          <w:rFonts w:asciiTheme="minorHAnsi" w:eastAsia="Times New Roman" w:hAnsiTheme="minorHAnsi" w:cstheme="minorHAnsi"/>
          <w:i/>
          <w:iCs/>
          <w:u w:val="single"/>
        </w:rPr>
        <w:t xml:space="preserve">Reasignar funciones de los Comités integrados por </w:t>
      </w:r>
      <w:r w:rsidRPr="00AE26A7">
        <w:rPr>
          <w:rFonts w:asciiTheme="minorHAnsi" w:eastAsia="Times New Roman" w:hAnsiTheme="minorHAnsi" w:cstheme="minorHAnsi"/>
          <w:i/>
          <w:iCs/>
          <w:u w:val="single"/>
        </w:rPr>
        <w:t>miembros del Consejo para la etapa final de adjudicación de fondos</w:t>
      </w:r>
      <w:r w:rsidRPr="00AE26A7">
        <w:rPr>
          <w:rFonts w:asciiTheme="minorHAnsi" w:eastAsia="Times New Roman" w:hAnsiTheme="minorHAnsi" w:cstheme="minorHAnsi"/>
        </w:rPr>
        <w:t xml:space="preserve">. Teniendo en cuenta que en el Consejo hay miembros con conocimiento y experiencia en distintas áreas, se propone </w:t>
      </w:r>
      <w:r>
        <w:rPr>
          <w:rFonts w:asciiTheme="minorHAnsi" w:eastAsia="Times New Roman" w:hAnsiTheme="minorHAnsi" w:cstheme="minorHAnsi"/>
        </w:rPr>
        <w:t>reasignar funciones a los Comités</w:t>
      </w:r>
      <w:r w:rsidRPr="00AE26A7">
        <w:rPr>
          <w:rFonts w:asciiTheme="minorHAnsi" w:eastAsia="Times New Roman" w:hAnsiTheme="minorHAnsi" w:cstheme="minorHAnsi"/>
        </w:rPr>
        <w:t xml:space="preserve"> por áreas temáticas, eventualmente incorporando especialistas externos, para la discusión de aprobación de los perfiles y de los proyectos.</w:t>
      </w:r>
    </w:p>
    <w:p w:rsidR="008C6725" w:rsidRPr="00AE26A7" w:rsidRDefault="008C6725" w:rsidP="008C6725">
      <w:pPr>
        <w:spacing w:after="200" w:line="276" w:lineRule="auto"/>
        <w:jc w:val="both"/>
        <w:rPr>
          <w:rFonts w:asciiTheme="minorHAnsi" w:eastAsia="Times New Roman" w:hAnsiTheme="minorHAnsi" w:cstheme="minorHAnsi"/>
        </w:rPr>
      </w:pPr>
      <w:r w:rsidRPr="00AE26A7">
        <w:rPr>
          <w:rFonts w:asciiTheme="minorHAnsi" w:eastAsia="Times New Roman" w:hAnsiTheme="minorHAnsi" w:cstheme="minorHAnsi"/>
          <w:i/>
          <w:iCs/>
          <w:u w:val="single"/>
        </w:rPr>
        <w:lastRenderedPageBreak/>
        <w:t>Agilizar los procesos de evaluación y aprobación de los proyectos.</w:t>
      </w:r>
      <w:r w:rsidRPr="00AE26A7">
        <w:rPr>
          <w:rFonts w:asciiTheme="minorHAnsi" w:eastAsia="Times New Roman" w:hAnsiTheme="minorHAnsi" w:cstheme="minorHAnsi"/>
        </w:rPr>
        <w:t xml:space="preserve"> Se sugiere revisar los principales cuellos de botella del proceso y diseñar formas de hacer más rápido el proceso. Por ejemplo, la aprobación ambiental se solicita de manera indiferenciada para proyectos del área TIC como para proyectos de las áreas químicas o metalúrgicas. Esto puede llevar a una demora innecesaria.</w:t>
      </w:r>
    </w:p>
    <w:p w:rsidR="008C6725" w:rsidRPr="00AE26A7" w:rsidRDefault="008C6725" w:rsidP="008C6725">
      <w:pPr>
        <w:spacing w:after="200" w:line="276" w:lineRule="auto"/>
        <w:jc w:val="both"/>
        <w:rPr>
          <w:rFonts w:asciiTheme="minorHAnsi" w:eastAsia="Times New Roman" w:hAnsiTheme="minorHAnsi" w:cstheme="minorHAnsi"/>
        </w:rPr>
      </w:pPr>
      <w:r w:rsidRPr="00AE26A7">
        <w:rPr>
          <w:rFonts w:asciiTheme="minorHAnsi" w:eastAsia="Times New Roman" w:hAnsiTheme="minorHAnsi" w:cstheme="minorHAnsi"/>
          <w:i/>
          <w:iCs/>
          <w:u w:val="single"/>
        </w:rPr>
        <w:t>Aumentar los montos de subsidios</w:t>
      </w:r>
      <w:r w:rsidRPr="00AE26A7">
        <w:rPr>
          <w:rFonts w:asciiTheme="minorHAnsi" w:eastAsia="Times New Roman" w:hAnsiTheme="minorHAnsi" w:cstheme="minorHAnsi"/>
        </w:rPr>
        <w:t xml:space="preserve">. Se aprecia que los montos asignados a los proyectos solamente en pocos casos permiten el desarrollo de proyectos de alto grado de innovación con al menos un prototipo a las puertas del mercado. En algunos casos, no se ha logrado la llegada al mercado no por falta de méritos técnicos del proyecto sino por la falta de fondos para ensayos, para asesorías externas, para empaquetamiento y/o para patentamiento. </w:t>
      </w:r>
    </w:p>
    <w:p w:rsidR="008C6725" w:rsidRPr="00AE26A7" w:rsidRDefault="008C6725" w:rsidP="008C6725">
      <w:pPr>
        <w:spacing w:after="200" w:line="276" w:lineRule="auto"/>
        <w:jc w:val="both"/>
        <w:rPr>
          <w:rFonts w:asciiTheme="minorHAnsi" w:eastAsia="Times New Roman" w:hAnsiTheme="minorHAnsi" w:cstheme="minorHAnsi"/>
        </w:rPr>
      </w:pPr>
      <w:r w:rsidRPr="00AE26A7">
        <w:rPr>
          <w:rFonts w:asciiTheme="minorHAnsi" w:eastAsia="Times New Roman" w:hAnsiTheme="minorHAnsi" w:cstheme="minorHAnsi"/>
          <w:i/>
          <w:iCs/>
          <w:u w:val="single"/>
        </w:rPr>
        <w:t>Crear espacios para empresas emergentes.</w:t>
      </w:r>
      <w:r w:rsidRPr="00AE26A7">
        <w:rPr>
          <w:rFonts w:asciiTheme="minorHAnsi" w:eastAsia="Times New Roman" w:hAnsiTheme="minorHAnsi" w:cstheme="minorHAnsi"/>
          <w:i/>
          <w:iCs/>
        </w:rPr>
        <w:t xml:space="preserve"> </w:t>
      </w:r>
      <w:r w:rsidRPr="00AE26A7">
        <w:rPr>
          <w:rFonts w:asciiTheme="minorHAnsi" w:eastAsia="Times New Roman" w:hAnsiTheme="minorHAnsi" w:cstheme="minorHAnsi"/>
        </w:rPr>
        <w:t>Los criterios de elegibilidad actuales no permiten que surjan emprendimiento innovadores (salvo que los emprendedores utilicen el paraguas de una empresa que lleva los años de existencia necesarios, lo cual distorsiona los fundamentos de la línea). Se sugiere crear una línea específica para profesionales o empresas sin historia que incentive el surgimiento de empresas jóvenes con proyectos innovadores.</w:t>
      </w:r>
    </w:p>
    <w:p w:rsidR="008C6725" w:rsidRDefault="008C6725" w:rsidP="008C6725">
      <w:pPr>
        <w:spacing w:after="200" w:line="276" w:lineRule="auto"/>
        <w:jc w:val="both"/>
        <w:rPr>
          <w:rFonts w:asciiTheme="minorHAnsi" w:eastAsia="Times New Roman" w:hAnsiTheme="minorHAnsi" w:cstheme="minorHAnsi"/>
        </w:rPr>
      </w:pPr>
      <w:r w:rsidRPr="00AE26A7">
        <w:rPr>
          <w:rFonts w:asciiTheme="minorHAnsi" w:eastAsia="Times New Roman" w:hAnsiTheme="minorHAnsi" w:cstheme="minorHAnsi"/>
          <w:i/>
          <w:iCs/>
          <w:u w:val="single"/>
        </w:rPr>
        <w:t>Dar mayor peso en la evaluación a la causalidad del subsidio</w:t>
      </w:r>
      <w:r w:rsidRPr="00AE26A7">
        <w:rPr>
          <w:rFonts w:asciiTheme="minorHAnsi" w:eastAsia="Times New Roman" w:hAnsiTheme="minorHAnsi" w:cstheme="minorHAnsi"/>
        </w:rPr>
        <w:t xml:space="preserve">. Se aprecia en algunos proyectos que el subsidio solamente ayuda </w:t>
      </w:r>
      <w:r>
        <w:rPr>
          <w:rFonts w:asciiTheme="minorHAnsi" w:eastAsia="Times New Roman" w:hAnsiTheme="minorHAnsi" w:cstheme="minorHAnsi"/>
        </w:rPr>
        <w:t xml:space="preserve">a </w:t>
      </w:r>
      <w:r w:rsidRPr="00AE26A7">
        <w:rPr>
          <w:rFonts w:asciiTheme="minorHAnsi" w:eastAsia="Times New Roman" w:hAnsiTheme="minorHAnsi" w:cstheme="minorHAnsi"/>
        </w:rPr>
        <w:t>que inversiones que se harían de todas maneras por la lógica del mercado, se adelanten algunos meses en su decisión. En un contexto de fondos escasos, el sistema de evaluación podría explicitar criterios que den mayor peso a la causalidad del subsidio, es decir que éste sea determinante para que un proyecto se lleve a cabo.</w:t>
      </w:r>
    </w:p>
    <w:p w:rsidR="008C6725" w:rsidRDefault="008C6725" w:rsidP="008C6725">
      <w:pPr>
        <w:rPr>
          <w:rFonts w:asciiTheme="minorHAnsi" w:eastAsia="Times New Roman" w:hAnsiTheme="minorHAnsi" w:cstheme="minorHAnsi"/>
        </w:rPr>
      </w:pPr>
      <w:r>
        <w:rPr>
          <w:rFonts w:asciiTheme="minorHAnsi" w:eastAsia="Times New Roman" w:hAnsiTheme="minorHAnsi" w:cstheme="minorHAnsi"/>
        </w:rPr>
        <w:br w:type="page"/>
      </w:r>
    </w:p>
    <w:p w:rsidR="008C6725" w:rsidRDefault="008C6725" w:rsidP="008C6725">
      <w:pPr>
        <w:spacing w:after="200" w:line="276" w:lineRule="auto"/>
        <w:jc w:val="both"/>
        <w:rPr>
          <w:rFonts w:asciiTheme="minorHAnsi" w:eastAsia="Times New Roman" w:hAnsiTheme="minorHAnsi" w:cstheme="minorHAnsi"/>
        </w:rPr>
      </w:pPr>
    </w:p>
    <w:p w:rsidR="008C6725" w:rsidRDefault="008C6725" w:rsidP="008C6725">
      <w:pPr>
        <w:pBdr>
          <w:top w:val="single" w:sz="18" w:space="1" w:color="365F91" w:themeColor="accent1" w:themeShade="BF"/>
          <w:left w:val="single" w:sz="18" w:space="4" w:color="365F91" w:themeColor="accent1" w:themeShade="BF"/>
          <w:bottom w:val="single" w:sz="18" w:space="1" w:color="365F91" w:themeColor="accent1" w:themeShade="BF"/>
          <w:right w:val="single" w:sz="18" w:space="4" w:color="365F91" w:themeColor="accent1" w:themeShade="BF"/>
        </w:pBdr>
        <w:shd w:val="clear" w:color="auto" w:fill="DBE5F1" w:themeFill="accent1" w:themeFillTint="33"/>
        <w:spacing w:before="120" w:after="120"/>
        <w:jc w:val="both"/>
        <w:rPr>
          <w:rFonts w:asciiTheme="minorHAnsi" w:eastAsia="Times New Roman" w:hAnsiTheme="minorHAnsi" w:cstheme="minorHAnsi"/>
          <w:b/>
          <w:bCs/>
          <w:color w:val="000000"/>
          <w:sz w:val="20"/>
          <w:szCs w:val="20"/>
        </w:rPr>
      </w:pPr>
    </w:p>
    <w:p w:rsidR="008C6725" w:rsidRPr="007D5A66" w:rsidRDefault="008C6725" w:rsidP="008C6725">
      <w:pPr>
        <w:pBdr>
          <w:top w:val="single" w:sz="18" w:space="1" w:color="365F91" w:themeColor="accent1" w:themeShade="BF"/>
          <w:left w:val="single" w:sz="18" w:space="4" w:color="365F91" w:themeColor="accent1" w:themeShade="BF"/>
          <w:bottom w:val="single" w:sz="18" w:space="1" w:color="365F91" w:themeColor="accent1" w:themeShade="BF"/>
          <w:right w:val="single" w:sz="18" w:space="4" w:color="365F91" w:themeColor="accent1" w:themeShade="BF"/>
        </w:pBdr>
        <w:shd w:val="clear" w:color="auto" w:fill="DBE5F1" w:themeFill="accent1" w:themeFillTint="33"/>
        <w:spacing w:before="120" w:after="120"/>
        <w:jc w:val="both"/>
        <w:rPr>
          <w:rFonts w:asciiTheme="minorHAnsi" w:eastAsia="Times New Roman" w:hAnsiTheme="minorHAnsi" w:cstheme="minorHAnsi"/>
          <w:sz w:val="20"/>
          <w:szCs w:val="20"/>
        </w:rPr>
      </w:pPr>
      <w:r w:rsidRPr="007D5A66">
        <w:rPr>
          <w:rFonts w:asciiTheme="minorHAnsi" w:eastAsia="Times New Roman" w:hAnsiTheme="minorHAnsi" w:cstheme="minorHAnsi"/>
          <w:b/>
          <w:bCs/>
          <w:color w:val="000000"/>
          <w:sz w:val="20"/>
          <w:szCs w:val="20"/>
        </w:rPr>
        <w:t>PROYECTO: Planta Industrial de Biorreactores para la producción de inoculante nativo para soja en Paraguay.</w:t>
      </w:r>
    </w:p>
    <w:p w:rsidR="008C6725" w:rsidRPr="007D5A66" w:rsidRDefault="008C6725" w:rsidP="008C6725">
      <w:pPr>
        <w:pBdr>
          <w:top w:val="single" w:sz="18" w:space="1" w:color="365F91" w:themeColor="accent1" w:themeShade="BF"/>
          <w:left w:val="single" w:sz="18" w:space="4" w:color="365F91" w:themeColor="accent1" w:themeShade="BF"/>
          <w:bottom w:val="single" w:sz="18" w:space="1" w:color="365F91" w:themeColor="accent1" w:themeShade="BF"/>
          <w:right w:val="single" w:sz="18" w:space="4" w:color="365F91" w:themeColor="accent1" w:themeShade="BF"/>
        </w:pBdr>
        <w:shd w:val="clear" w:color="auto" w:fill="DBE5F1" w:themeFill="accent1" w:themeFillTint="33"/>
        <w:spacing w:before="120" w:after="120"/>
        <w:jc w:val="both"/>
        <w:rPr>
          <w:rFonts w:asciiTheme="minorHAnsi" w:eastAsia="Times New Roman" w:hAnsiTheme="minorHAnsi" w:cstheme="minorHAnsi"/>
          <w:sz w:val="20"/>
          <w:szCs w:val="20"/>
        </w:rPr>
      </w:pPr>
      <w:r w:rsidRPr="007D5A66">
        <w:rPr>
          <w:rFonts w:asciiTheme="minorHAnsi" w:eastAsia="Times New Roman" w:hAnsiTheme="minorHAnsi" w:cstheme="minorHAnsi"/>
          <w:sz w:val="20"/>
          <w:szCs w:val="20"/>
        </w:rPr>
        <w:t xml:space="preserve">Empresa </w:t>
      </w:r>
      <w:r w:rsidRPr="007D5A66">
        <w:rPr>
          <w:rFonts w:asciiTheme="minorHAnsi" w:eastAsia="Times New Roman" w:hAnsiTheme="minorHAnsi" w:cstheme="minorHAnsi"/>
          <w:b/>
          <w:bCs/>
          <w:color w:val="000000"/>
          <w:sz w:val="20"/>
          <w:szCs w:val="20"/>
        </w:rPr>
        <w:t>CHEMTEC S.A.E</w:t>
      </w:r>
    </w:p>
    <w:p w:rsidR="008C6725" w:rsidRPr="00896EBF" w:rsidRDefault="008C6725" w:rsidP="008C6725">
      <w:pPr>
        <w:pBdr>
          <w:top w:val="single" w:sz="18" w:space="1" w:color="365F91" w:themeColor="accent1" w:themeShade="BF"/>
          <w:left w:val="single" w:sz="18" w:space="4" w:color="365F91" w:themeColor="accent1" w:themeShade="BF"/>
          <w:bottom w:val="single" w:sz="18" w:space="1" w:color="365F91" w:themeColor="accent1" w:themeShade="BF"/>
          <w:right w:val="single" w:sz="18" w:space="4" w:color="365F91" w:themeColor="accent1" w:themeShade="BF"/>
        </w:pBdr>
        <w:shd w:val="clear" w:color="auto" w:fill="DBE5F1" w:themeFill="accent1" w:themeFillTint="33"/>
        <w:spacing w:before="120" w:after="120"/>
        <w:jc w:val="both"/>
        <w:rPr>
          <w:rFonts w:asciiTheme="minorHAnsi" w:eastAsia="Times New Roman" w:hAnsiTheme="minorHAnsi" w:cstheme="minorHAnsi"/>
          <w:sz w:val="16"/>
          <w:szCs w:val="16"/>
        </w:rPr>
      </w:pPr>
      <w:r w:rsidRPr="00896EBF">
        <w:rPr>
          <w:rFonts w:asciiTheme="minorHAnsi" w:eastAsia="Times New Roman" w:hAnsiTheme="minorHAnsi" w:cstheme="minorHAnsi"/>
          <w:color w:val="000000"/>
          <w:sz w:val="16"/>
          <w:szCs w:val="16"/>
        </w:rPr>
        <w:t>Ventanilla 2009</w:t>
      </w:r>
    </w:p>
    <w:p w:rsidR="008C6725" w:rsidRPr="007D5A66" w:rsidRDefault="008C6725" w:rsidP="008C6725">
      <w:pPr>
        <w:pBdr>
          <w:top w:val="single" w:sz="18" w:space="1" w:color="365F91" w:themeColor="accent1" w:themeShade="BF"/>
          <w:left w:val="single" w:sz="18" w:space="4" w:color="365F91" w:themeColor="accent1" w:themeShade="BF"/>
          <w:bottom w:val="single" w:sz="18" w:space="1" w:color="365F91" w:themeColor="accent1" w:themeShade="BF"/>
          <w:right w:val="single" w:sz="18" w:space="4" w:color="365F91" w:themeColor="accent1" w:themeShade="BF"/>
        </w:pBdr>
        <w:shd w:val="clear" w:color="auto" w:fill="DBE5F1" w:themeFill="accent1" w:themeFillTint="33"/>
        <w:spacing w:before="60" w:after="60" w:line="288" w:lineRule="auto"/>
        <w:jc w:val="both"/>
        <w:rPr>
          <w:rFonts w:asciiTheme="minorHAnsi" w:hAnsiTheme="minorHAnsi" w:cstheme="minorHAnsi"/>
          <w:sz w:val="16"/>
          <w:szCs w:val="16"/>
        </w:rPr>
      </w:pPr>
      <w:r w:rsidRPr="007D5A66">
        <w:rPr>
          <w:rFonts w:asciiTheme="minorHAnsi" w:hAnsiTheme="minorHAnsi" w:cstheme="minorHAnsi"/>
          <w:sz w:val="16"/>
          <w:szCs w:val="16"/>
        </w:rPr>
        <w:t>La empresa Chemtec, con el apoyo del PROCIT, ha desarrollado un fertilizante biológico para las plantaciones de soja en Paraguay, producto que permite reducir la utilización de fertilizantes químicos.</w:t>
      </w:r>
    </w:p>
    <w:p w:rsidR="008C6725" w:rsidRPr="007D5A66" w:rsidRDefault="008C6725" w:rsidP="008C6725">
      <w:pPr>
        <w:pBdr>
          <w:top w:val="single" w:sz="18" w:space="1" w:color="365F91" w:themeColor="accent1" w:themeShade="BF"/>
          <w:left w:val="single" w:sz="18" w:space="4" w:color="365F91" w:themeColor="accent1" w:themeShade="BF"/>
          <w:bottom w:val="single" w:sz="18" w:space="1" w:color="365F91" w:themeColor="accent1" w:themeShade="BF"/>
          <w:right w:val="single" w:sz="18" w:space="4" w:color="365F91" w:themeColor="accent1" w:themeShade="BF"/>
        </w:pBdr>
        <w:shd w:val="clear" w:color="auto" w:fill="DBE5F1" w:themeFill="accent1" w:themeFillTint="33"/>
        <w:spacing w:before="60" w:after="60" w:line="288" w:lineRule="auto"/>
        <w:jc w:val="both"/>
        <w:rPr>
          <w:rFonts w:asciiTheme="minorHAnsi" w:hAnsiTheme="minorHAnsi" w:cstheme="minorHAnsi"/>
          <w:sz w:val="16"/>
          <w:szCs w:val="16"/>
        </w:rPr>
      </w:pPr>
      <w:r w:rsidRPr="007D5A66">
        <w:rPr>
          <w:rFonts w:asciiTheme="minorHAnsi" w:hAnsiTheme="minorHAnsi" w:cstheme="minorHAnsi"/>
          <w:sz w:val="16"/>
          <w:szCs w:val="16"/>
        </w:rPr>
        <w:t>El producto es un inoculante en base de cepas bacterianas locales. Estas bacterias fueron identificadas en un proyecto anterior, contrato N° 05/2007 del CONACYT. Este encadenamiento entre proyectos es un buen ejemplo de gestión del proceso de innovación que reduce el riesgo y optimiza los recursos.</w:t>
      </w:r>
    </w:p>
    <w:p w:rsidR="008C6725" w:rsidRPr="007D5A66" w:rsidRDefault="008C6725" w:rsidP="008C6725">
      <w:pPr>
        <w:pBdr>
          <w:top w:val="single" w:sz="18" w:space="1" w:color="365F91" w:themeColor="accent1" w:themeShade="BF"/>
          <w:left w:val="single" w:sz="18" w:space="4" w:color="365F91" w:themeColor="accent1" w:themeShade="BF"/>
          <w:bottom w:val="single" w:sz="18" w:space="1" w:color="365F91" w:themeColor="accent1" w:themeShade="BF"/>
          <w:right w:val="single" w:sz="18" w:space="4" w:color="365F91" w:themeColor="accent1" w:themeShade="BF"/>
        </w:pBdr>
        <w:shd w:val="clear" w:color="auto" w:fill="DBE5F1" w:themeFill="accent1" w:themeFillTint="33"/>
        <w:spacing w:before="60" w:after="60" w:line="288" w:lineRule="auto"/>
        <w:jc w:val="both"/>
        <w:rPr>
          <w:rFonts w:asciiTheme="minorHAnsi" w:hAnsiTheme="minorHAnsi" w:cstheme="minorHAnsi"/>
          <w:sz w:val="16"/>
          <w:szCs w:val="16"/>
        </w:rPr>
      </w:pPr>
      <w:r w:rsidRPr="007D5A66">
        <w:rPr>
          <w:rFonts w:asciiTheme="minorHAnsi" w:hAnsiTheme="minorHAnsi" w:cstheme="minorHAnsi"/>
          <w:sz w:val="16"/>
          <w:szCs w:val="16"/>
        </w:rPr>
        <w:t>Se trata de una innovación “basada en ciencia aplicada” que introduce una cepa endógena del Paraguay en un producto biofertilizante y que tiene un mercado claramente identificado con ventas esperadas del orden de los 6 millones de dólares anuales.</w:t>
      </w:r>
    </w:p>
    <w:p w:rsidR="008C6725" w:rsidRPr="007D5A66" w:rsidRDefault="008C6725" w:rsidP="008C6725">
      <w:pPr>
        <w:pBdr>
          <w:top w:val="single" w:sz="18" w:space="1" w:color="365F91" w:themeColor="accent1" w:themeShade="BF"/>
          <w:left w:val="single" w:sz="18" w:space="4" w:color="365F91" w:themeColor="accent1" w:themeShade="BF"/>
          <w:bottom w:val="single" w:sz="18" w:space="1" w:color="365F91" w:themeColor="accent1" w:themeShade="BF"/>
          <w:right w:val="single" w:sz="18" w:space="4" w:color="365F91" w:themeColor="accent1" w:themeShade="BF"/>
        </w:pBdr>
        <w:shd w:val="clear" w:color="auto" w:fill="DBE5F1" w:themeFill="accent1" w:themeFillTint="33"/>
        <w:spacing w:before="60" w:after="60" w:line="288" w:lineRule="auto"/>
        <w:jc w:val="both"/>
        <w:rPr>
          <w:rFonts w:asciiTheme="minorHAnsi" w:hAnsiTheme="minorHAnsi" w:cstheme="minorHAnsi"/>
          <w:sz w:val="16"/>
          <w:szCs w:val="16"/>
        </w:rPr>
      </w:pPr>
      <w:r w:rsidRPr="007D5A66">
        <w:rPr>
          <w:rFonts w:asciiTheme="minorHAnsi" w:hAnsiTheme="minorHAnsi" w:cstheme="minorHAnsi"/>
          <w:sz w:val="16"/>
          <w:szCs w:val="16"/>
        </w:rPr>
        <w:t>El producto se encuentra registrado en SEVAVE como NODUFIX soja. La propiedad intelectual alcanza al registro de la semia que significa identificar el ADN de esa bacteria por biotecnología molecular.</w:t>
      </w:r>
    </w:p>
    <w:p w:rsidR="008C6725" w:rsidRPr="007D5A66" w:rsidRDefault="008C6725" w:rsidP="008C6725">
      <w:pPr>
        <w:pBdr>
          <w:top w:val="single" w:sz="18" w:space="1" w:color="365F91" w:themeColor="accent1" w:themeShade="BF"/>
          <w:left w:val="single" w:sz="18" w:space="4" w:color="365F91" w:themeColor="accent1" w:themeShade="BF"/>
          <w:bottom w:val="single" w:sz="18" w:space="1" w:color="365F91" w:themeColor="accent1" w:themeShade="BF"/>
          <w:right w:val="single" w:sz="18" w:space="4" w:color="365F91" w:themeColor="accent1" w:themeShade="BF"/>
        </w:pBdr>
        <w:shd w:val="clear" w:color="auto" w:fill="DBE5F1" w:themeFill="accent1" w:themeFillTint="33"/>
        <w:spacing w:before="60" w:after="60" w:line="288" w:lineRule="auto"/>
        <w:jc w:val="both"/>
        <w:rPr>
          <w:rFonts w:asciiTheme="minorHAnsi" w:hAnsiTheme="minorHAnsi" w:cstheme="minorHAnsi"/>
          <w:sz w:val="16"/>
          <w:szCs w:val="16"/>
        </w:rPr>
      </w:pPr>
      <w:r w:rsidRPr="007D5A66">
        <w:rPr>
          <w:rFonts w:asciiTheme="minorHAnsi" w:hAnsiTheme="minorHAnsi" w:cstheme="minorHAnsi"/>
          <w:sz w:val="16"/>
          <w:szCs w:val="16"/>
        </w:rPr>
        <w:t>La empresa CHEMTEC S.A.E trabaja en equipo con el Laboratorio de Biotecnología de CEMIT</w:t>
      </w:r>
      <w:r>
        <w:rPr>
          <w:rFonts w:asciiTheme="minorHAnsi" w:hAnsiTheme="minorHAnsi" w:cstheme="minorHAnsi"/>
          <w:sz w:val="16"/>
          <w:szCs w:val="16"/>
        </w:rPr>
        <w:t xml:space="preserve"> </w:t>
      </w:r>
      <w:r w:rsidRPr="007D5A66">
        <w:rPr>
          <w:rFonts w:asciiTheme="minorHAnsi" w:hAnsiTheme="minorHAnsi" w:cstheme="minorHAnsi"/>
          <w:sz w:val="16"/>
          <w:szCs w:val="16"/>
        </w:rPr>
        <w:t>(UNA).</w:t>
      </w:r>
    </w:p>
    <w:p w:rsidR="008C6725" w:rsidRPr="007D5A66" w:rsidRDefault="008C6725" w:rsidP="008C6725">
      <w:pPr>
        <w:pBdr>
          <w:top w:val="single" w:sz="18" w:space="1" w:color="365F91" w:themeColor="accent1" w:themeShade="BF"/>
          <w:left w:val="single" w:sz="18" w:space="4" w:color="365F91" w:themeColor="accent1" w:themeShade="BF"/>
          <w:bottom w:val="single" w:sz="18" w:space="1" w:color="365F91" w:themeColor="accent1" w:themeShade="BF"/>
          <w:right w:val="single" w:sz="18" w:space="4" w:color="365F91" w:themeColor="accent1" w:themeShade="BF"/>
        </w:pBdr>
        <w:shd w:val="clear" w:color="auto" w:fill="DBE5F1" w:themeFill="accent1" w:themeFillTint="33"/>
        <w:spacing w:before="60" w:after="60" w:line="288" w:lineRule="auto"/>
        <w:jc w:val="both"/>
        <w:rPr>
          <w:rFonts w:asciiTheme="minorHAnsi" w:hAnsiTheme="minorHAnsi" w:cstheme="minorHAnsi"/>
          <w:sz w:val="16"/>
          <w:szCs w:val="16"/>
        </w:rPr>
      </w:pPr>
      <w:r w:rsidRPr="007D5A66">
        <w:rPr>
          <w:rFonts w:asciiTheme="minorHAnsi" w:hAnsiTheme="minorHAnsi" w:cstheme="minorHAnsi"/>
          <w:sz w:val="16"/>
          <w:szCs w:val="16"/>
        </w:rPr>
        <w:t xml:space="preserve">El proyecto tiene un nivel de riesgo moderado gracias a que la cepa más adecuada había sido identificada previamente también con el apoyo del PROCIT. </w:t>
      </w:r>
    </w:p>
    <w:p w:rsidR="008C6725" w:rsidRPr="007D5A66" w:rsidRDefault="008C6725" w:rsidP="008C6725">
      <w:pPr>
        <w:pBdr>
          <w:top w:val="single" w:sz="18" w:space="1" w:color="365F91" w:themeColor="accent1" w:themeShade="BF"/>
          <w:left w:val="single" w:sz="18" w:space="4" w:color="365F91" w:themeColor="accent1" w:themeShade="BF"/>
          <w:bottom w:val="single" w:sz="18" w:space="1" w:color="365F91" w:themeColor="accent1" w:themeShade="BF"/>
          <w:right w:val="single" w:sz="18" w:space="4" w:color="365F91" w:themeColor="accent1" w:themeShade="BF"/>
        </w:pBdr>
        <w:shd w:val="clear" w:color="auto" w:fill="DBE5F1" w:themeFill="accent1" w:themeFillTint="33"/>
        <w:spacing w:before="60" w:after="60" w:line="288" w:lineRule="auto"/>
        <w:jc w:val="both"/>
        <w:rPr>
          <w:rFonts w:asciiTheme="minorHAnsi" w:hAnsiTheme="minorHAnsi" w:cstheme="minorHAnsi"/>
          <w:sz w:val="16"/>
          <w:szCs w:val="16"/>
        </w:rPr>
      </w:pPr>
      <w:r w:rsidRPr="007D5A66">
        <w:rPr>
          <w:rFonts w:asciiTheme="minorHAnsi" w:hAnsiTheme="minorHAnsi" w:cstheme="minorHAnsi"/>
          <w:sz w:val="16"/>
          <w:szCs w:val="16"/>
        </w:rPr>
        <w:t>Este nivel de riesgo, si bien es mediano, junto al hecho de que la empresa no cuenta con la capacidad financiera para desarrollar el proyecto por sí sola, significa que el incentivo del PROCIT ha sido determinante para llevar a cabo el proyecto.</w:t>
      </w:r>
    </w:p>
    <w:p w:rsidR="008C6725" w:rsidRDefault="008C6725" w:rsidP="008C6725">
      <w:pPr>
        <w:pBdr>
          <w:top w:val="single" w:sz="18" w:space="1" w:color="365F91" w:themeColor="accent1" w:themeShade="BF"/>
          <w:left w:val="single" w:sz="18" w:space="4" w:color="365F91" w:themeColor="accent1" w:themeShade="BF"/>
          <w:bottom w:val="single" w:sz="18" w:space="1" w:color="365F91" w:themeColor="accent1" w:themeShade="BF"/>
          <w:right w:val="single" w:sz="18" w:space="4" w:color="365F91" w:themeColor="accent1" w:themeShade="BF"/>
        </w:pBdr>
        <w:shd w:val="clear" w:color="auto" w:fill="DBE5F1" w:themeFill="accent1" w:themeFillTint="33"/>
        <w:spacing w:before="60" w:after="60" w:line="288" w:lineRule="auto"/>
        <w:jc w:val="both"/>
        <w:rPr>
          <w:rFonts w:asciiTheme="minorHAnsi" w:hAnsiTheme="minorHAnsi" w:cstheme="minorHAnsi"/>
          <w:sz w:val="16"/>
          <w:szCs w:val="16"/>
        </w:rPr>
      </w:pPr>
      <w:r w:rsidRPr="007D5A66">
        <w:rPr>
          <w:rFonts w:asciiTheme="minorHAnsi" w:hAnsiTheme="minorHAnsi" w:cstheme="minorHAnsi"/>
          <w:sz w:val="16"/>
          <w:szCs w:val="16"/>
        </w:rPr>
        <w:t>Se destaca que este proyecto tiene externalidades positivas ya que permitiría reducir la utilización de fertilizantes químicos en las plantaciones de soja y se protegen las napas subterráneas.</w:t>
      </w:r>
    </w:p>
    <w:p w:rsidR="008C6725" w:rsidRPr="007D5A66" w:rsidRDefault="008C6725" w:rsidP="008C6725">
      <w:pPr>
        <w:pBdr>
          <w:top w:val="single" w:sz="18" w:space="1" w:color="365F91" w:themeColor="accent1" w:themeShade="BF"/>
          <w:left w:val="single" w:sz="18" w:space="4" w:color="365F91" w:themeColor="accent1" w:themeShade="BF"/>
          <w:bottom w:val="single" w:sz="18" w:space="1" w:color="365F91" w:themeColor="accent1" w:themeShade="BF"/>
          <w:right w:val="single" w:sz="18" w:space="4" w:color="365F91" w:themeColor="accent1" w:themeShade="BF"/>
        </w:pBdr>
        <w:shd w:val="clear" w:color="auto" w:fill="DBE5F1" w:themeFill="accent1" w:themeFillTint="33"/>
        <w:spacing w:before="60" w:after="60" w:line="288" w:lineRule="auto"/>
        <w:jc w:val="both"/>
        <w:rPr>
          <w:rFonts w:asciiTheme="minorHAnsi" w:hAnsiTheme="minorHAnsi" w:cstheme="minorHAnsi"/>
          <w:sz w:val="16"/>
          <w:szCs w:val="16"/>
        </w:rPr>
      </w:pPr>
    </w:p>
    <w:p w:rsidR="005830C2" w:rsidRDefault="005830C2">
      <w:pPr>
        <w:rPr>
          <w:rFonts w:asciiTheme="minorHAnsi" w:hAnsiTheme="minorHAnsi" w:cstheme="minorHAnsi"/>
        </w:rPr>
      </w:pPr>
      <w:r>
        <w:rPr>
          <w:rFonts w:asciiTheme="minorHAnsi" w:hAnsiTheme="minorHAnsi" w:cstheme="minorHAnsi"/>
        </w:rPr>
        <w:br w:type="page"/>
      </w:r>
    </w:p>
    <w:p w:rsidR="008C6725" w:rsidRPr="00AE26A7" w:rsidRDefault="008C6725" w:rsidP="008C6725">
      <w:pPr>
        <w:widowControl w:val="0"/>
        <w:suppressAutoHyphens/>
        <w:spacing w:after="200" w:line="276" w:lineRule="auto"/>
        <w:jc w:val="both"/>
        <w:rPr>
          <w:rFonts w:asciiTheme="minorHAnsi" w:hAnsiTheme="minorHAnsi" w:cstheme="minorHAnsi"/>
        </w:rPr>
      </w:pPr>
    </w:p>
    <w:p w:rsidR="00D4326F" w:rsidRPr="002F5E2A" w:rsidRDefault="00044C5B" w:rsidP="00097D6A">
      <w:pPr>
        <w:pStyle w:val="Heading2"/>
      </w:pPr>
      <w:bookmarkStart w:id="185" w:name="_Toc375211981"/>
      <w:r>
        <w:t xml:space="preserve">Logros en </w:t>
      </w:r>
      <w:r w:rsidR="00D4326F" w:rsidRPr="002F5E2A">
        <w:t>fortalecimiento de postgrados</w:t>
      </w:r>
      <w:bookmarkEnd w:id="185"/>
    </w:p>
    <w:p w:rsidR="00D4326F" w:rsidRPr="006C58AB" w:rsidRDefault="00D4326F" w:rsidP="002D7EE9">
      <w:pPr>
        <w:pStyle w:val="ListParagraph"/>
        <w:keepNext/>
        <w:widowControl w:val="0"/>
        <w:numPr>
          <w:ilvl w:val="1"/>
          <w:numId w:val="3"/>
        </w:numPr>
        <w:tabs>
          <w:tab w:val="left" w:pos="0"/>
        </w:tabs>
        <w:spacing w:after="240" w:line="276" w:lineRule="auto"/>
        <w:contextualSpacing w:val="0"/>
        <w:jc w:val="both"/>
        <w:outlineLvl w:val="2"/>
        <w:rPr>
          <w:rStyle w:val="Emphasis"/>
          <w:rFonts w:ascii="Calibri" w:hAnsi="Calibri" w:cs="Calibri"/>
          <w:b/>
          <w:vanish/>
          <w:lang w:val="es-ES_tradnl" w:eastAsia="en-US"/>
        </w:rPr>
      </w:pPr>
      <w:bookmarkStart w:id="186" w:name="_Toc367283353"/>
      <w:bookmarkStart w:id="187" w:name="_Toc367364305"/>
      <w:bookmarkStart w:id="188" w:name="_Toc367386209"/>
      <w:bookmarkStart w:id="189" w:name="_Toc367386266"/>
      <w:bookmarkStart w:id="190" w:name="_Toc367386422"/>
      <w:bookmarkStart w:id="191" w:name="_Toc367393005"/>
      <w:bookmarkStart w:id="192" w:name="_Toc367393289"/>
      <w:bookmarkStart w:id="193" w:name="_Toc367441068"/>
      <w:bookmarkStart w:id="194" w:name="_Toc367445802"/>
      <w:bookmarkStart w:id="195" w:name="_Toc370915120"/>
      <w:bookmarkStart w:id="196" w:name="_Toc372633763"/>
      <w:bookmarkStart w:id="197" w:name="_Toc372635378"/>
      <w:bookmarkStart w:id="198" w:name="_Toc372925346"/>
      <w:bookmarkStart w:id="199" w:name="_Toc372928083"/>
      <w:bookmarkStart w:id="200" w:name="_Toc372928390"/>
      <w:bookmarkStart w:id="201" w:name="_Toc372972637"/>
      <w:bookmarkStart w:id="202" w:name="_Toc373246231"/>
      <w:bookmarkStart w:id="203" w:name="_Toc373422236"/>
      <w:bookmarkStart w:id="204" w:name="_Toc373431272"/>
      <w:bookmarkStart w:id="205" w:name="_Toc373434408"/>
      <w:bookmarkStart w:id="206" w:name="_Toc373503983"/>
      <w:bookmarkStart w:id="207" w:name="_Toc373504430"/>
      <w:bookmarkStart w:id="208" w:name="_Toc375091202"/>
      <w:bookmarkStart w:id="209" w:name="_Toc375092782"/>
      <w:bookmarkStart w:id="210" w:name="_Toc375148599"/>
      <w:bookmarkStart w:id="211" w:name="_Toc375150271"/>
      <w:bookmarkStart w:id="212" w:name="_Toc375211982"/>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5734DE" w:rsidRDefault="005734DE" w:rsidP="002D7EE9">
      <w:pPr>
        <w:pStyle w:val="Heading3"/>
        <w:numPr>
          <w:ilvl w:val="2"/>
          <w:numId w:val="4"/>
        </w:numPr>
        <w:rPr>
          <w:rStyle w:val="Emphasis"/>
          <w:rFonts w:cs="Calibri"/>
          <w:i/>
        </w:rPr>
      </w:pPr>
      <w:bookmarkStart w:id="213" w:name="_Toc375211983"/>
      <w:r>
        <w:rPr>
          <w:rStyle w:val="Emphasis"/>
          <w:rFonts w:cs="Calibri"/>
          <w:i/>
        </w:rPr>
        <w:t>Características del subcomponente</w:t>
      </w:r>
      <w:bookmarkEnd w:id="213"/>
    </w:p>
    <w:p w:rsidR="0073428F" w:rsidRPr="007F2F3F" w:rsidRDefault="008A2B0C" w:rsidP="007F2F3F">
      <w:pPr>
        <w:spacing w:after="200" w:line="276" w:lineRule="auto"/>
        <w:jc w:val="both"/>
        <w:rPr>
          <w:rFonts w:asciiTheme="minorHAnsi" w:hAnsiTheme="minorHAnsi" w:cstheme="minorHAnsi"/>
          <w:lang w:val="es-AR" w:eastAsia="es-AR"/>
        </w:rPr>
      </w:pPr>
      <w:r w:rsidRPr="007F2F3F">
        <w:rPr>
          <w:rFonts w:asciiTheme="minorHAnsi" w:hAnsiTheme="minorHAnsi" w:cstheme="minorHAnsi"/>
          <w:lang w:val="es-ES_tradnl" w:eastAsia="en-US"/>
        </w:rPr>
        <w:t xml:space="preserve">Otro de los desafíos que abordó el PROCIT fue el fortalecimiento </w:t>
      </w:r>
      <w:r w:rsidR="0073428F" w:rsidRPr="007F2F3F">
        <w:rPr>
          <w:rFonts w:asciiTheme="minorHAnsi" w:hAnsiTheme="minorHAnsi" w:cstheme="minorHAnsi"/>
          <w:lang w:val="es-AR" w:eastAsia="es-AR"/>
        </w:rPr>
        <w:t xml:space="preserve">y </w:t>
      </w:r>
      <w:r w:rsidRPr="007F2F3F">
        <w:rPr>
          <w:rFonts w:asciiTheme="minorHAnsi" w:hAnsiTheme="minorHAnsi" w:cstheme="minorHAnsi"/>
          <w:lang w:val="es-AR" w:eastAsia="es-AR"/>
        </w:rPr>
        <w:t xml:space="preserve">el </w:t>
      </w:r>
      <w:r w:rsidR="0073428F" w:rsidRPr="007F2F3F">
        <w:rPr>
          <w:rFonts w:asciiTheme="minorHAnsi" w:hAnsiTheme="minorHAnsi" w:cstheme="minorHAnsi"/>
          <w:lang w:val="es-AR" w:eastAsia="es-AR"/>
        </w:rPr>
        <w:t>desarrollo de recursos humanos</w:t>
      </w:r>
      <w:r w:rsidRPr="007F2F3F">
        <w:rPr>
          <w:rFonts w:asciiTheme="minorHAnsi" w:hAnsiTheme="minorHAnsi" w:cstheme="minorHAnsi"/>
          <w:lang w:val="es-AR" w:eastAsia="es-AR"/>
        </w:rPr>
        <w:t xml:space="preserve">, a los fines de </w:t>
      </w:r>
      <w:r w:rsidR="0073428F" w:rsidRPr="007F2F3F">
        <w:rPr>
          <w:rFonts w:asciiTheme="minorHAnsi" w:hAnsiTheme="minorHAnsi" w:cstheme="minorHAnsi"/>
          <w:lang w:val="es-AR" w:eastAsia="es-AR"/>
        </w:rPr>
        <w:t xml:space="preserve">fortalecer las capacidades y aumentar la disponibilidad de </w:t>
      </w:r>
      <w:r w:rsidR="00BF19F9">
        <w:rPr>
          <w:rFonts w:asciiTheme="minorHAnsi" w:hAnsiTheme="minorHAnsi" w:cstheme="minorHAnsi"/>
          <w:lang w:val="es-AR" w:eastAsia="es-AR"/>
        </w:rPr>
        <w:t xml:space="preserve">profesionales </w:t>
      </w:r>
      <w:r w:rsidR="0073428F" w:rsidRPr="007F2F3F">
        <w:rPr>
          <w:rFonts w:asciiTheme="minorHAnsi" w:hAnsiTheme="minorHAnsi" w:cstheme="minorHAnsi"/>
          <w:lang w:val="es-AR" w:eastAsia="es-AR"/>
        </w:rPr>
        <w:t>dedicados a la generación de nuevos conocimientos y al desarrollo</w:t>
      </w:r>
      <w:r w:rsidR="001E2A3F" w:rsidRPr="007F2F3F">
        <w:rPr>
          <w:rFonts w:asciiTheme="minorHAnsi" w:hAnsiTheme="minorHAnsi" w:cstheme="minorHAnsi"/>
          <w:lang w:val="es-AR" w:eastAsia="es-AR"/>
        </w:rPr>
        <w:t xml:space="preserve"> </w:t>
      </w:r>
      <w:r w:rsidR="0073428F" w:rsidRPr="007F2F3F">
        <w:rPr>
          <w:rFonts w:asciiTheme="minorHAnsi" w:hAnsiTheme="minorHAnsi" w:cstheme="minorHAnsi"/>
          <w:lang w:val="es-AR" w:eastAsia="es-AR"/>
        </w:rPr>
        <w:t xml:space="preserve">tecnológico e innovación. </w:t>
      </w:r>
      <w:r w:rsidRPr="007F2F3F">
        <w:rPr>
          <w:rFonts w:asciiTheme="minorHAnsi" w:hAnsiTheme="minorHAnsi" w:cstheme="minorHAnsi"/>
          <w:lang w:val="es-AR" w:eastAsia="es-AR"/>
        </w:rPr>
        <w:t xml:space="preserve">Para ello, se financiaron </w:t>
      </w:r>
      <w:r w:rsidR="0073428F" w:rsidRPr="007F2F3F">
        <w:rPr>
          <w:rFonts w:asciiTheme="minorHAnsi" w:hAnsiTheme="minorHAnsi" w:cstheme="minorHAnsi"/>
          <w:lang w:val="es-AR" w:eastAsia="es-AR"/>
        </w:rPr>
        <w:t>planes de fortalecimiento de programas de</w:t>
      </w:r>
      <w:r w:rsidR="001E2A3F" w:rsidRPr="007F2F3F">
        <w:rPr>
          <w:rFonts w:asciiTheme="minorHAnsi" w:hAnsiTheme="minorHAnsi" w:cstheme="minorHAnsi"/>
          <w:lang w:val="es-AR" w:eastAsia="es-AR"/>
        </w:rPr>
        <w:t xml:space="preserve"> </w:t>
      </w:r>
      <w:r w:rsidR="0073428F" w:rsidRPr="007F2F3F">
        <w:rPr>
          <w:rFonts w:asciiTheme="minorHAnsi" w:hAnsiTheme="minorHAnsi" w:cstheme="minorHAnsi"/>
          <w:lang w:val="es-AR" w:eastAsia="es-AR"/>
        </w:rPr>
        <w:t>postgrado nacionales (doctorados y maestrías), becas para estudiantes de esos mismos</w:t>
      </w:r>
      <w:r w:rsidR="001E2A3F" w:rsidRPr="007F2F3F">
        <w:rPr>
          <w:rFonts w:asciiTheme="minorHAnsi" w:hAnsiTheme="minorHAnsi" w:cstheme="minorHAnsi"/>
          <w:lang w:val="es-AR" w:eastAsia="es-AR"/>
        </w:rPr>
        <w:t xml:space="preserve"> </w:t>
      </w:r>
      <w:r w:rsidR="0073428F" w:rsidRPr="007F2F3F">
        <w:rPr>
          <w:rFonts w:asciiTheme="minorHAnsi" w:hAnsiTheme="minorHAnsi" w:cstheme="minorHAnsi"/>
          <w:lang w:val="es-AR" w:eastAsia="es-AR"/>
        </w:rPr>
        <w:t xml:space="preserve">postgrados y para complementar otras becas de estudios de </w:t>
      </w:r>
      <w:r w:rsidR="00BF19F9">
        <w:rPr>
          <w:rFonts w:asciiTheme="minorHAnsi" w:hAnsiTheme="minorHAnsi" w:cstheme="minorHAnsi"/>
          <w:lang w:val="es-AR" w:eastAsia="es-AR"/>
        </w:rPr>
        <w:t>postgrado</w:t>
      </w:r>
      <w:r w:rsidR="0073428F" w:rsidRPr="007F2F3F">
        <w:rPr>
          <w:rFonts w:asciiTheme="minorHAnsi" w:hAnsiTheme="minorHAnsi" w:cstheme="minorHAnsi"/>
          <w:lang w:val="es-AR" w:eastAsia="es-AR"/>
        </w:rPr>
        <w:t xml:space="preserve"> en el extranjero, y se</w:t>
      </w:r>
      <w:r w:rsidR="001E2A3F" w:rsidRPr="007F2F3F">
        <w:rPr>
          <w:rFonts w:asciiTheme="minorHAnsi" w:hAnsiTheme="minorHAnsi" w:cstheme="minorHAnsi"/>
          <w:lang w:val="es-AR" w:eastAsia="es-AR"/>
        </w:rPr>
        <w:t xml:space="preserve"> </w:t>
      </w:r>
      <w:r w:rsidRPr="007F2F3F">
        <w:rPr>
          <w:rFonts w:asciiTheme="minorHAnsi" w:hAnsiTheme="minorHAnsi" w:cstheme="minorHAnsi"/>
          <w:lang w:val="es-AR" w:eastAsia="es-AR"/>
        </w:rPr>
        <w:t>incentivó</w:t>
      </w:r>
      <w:r w:rsidR="0073428F" w:rsidRPr="007F2F3F">
        <w:rPr>
          <w:rFonts w:asciiTheme="minorHAnsi" w:hAnsiTheme="minorHAnsi" w:cstheme="minorHAnsi"/>
          <w:lang w:val="es-AR" w:eastAsia="es-AR"/>
        </w:rPr>
        <w:t xml:space="preserve"> la atracción y vinculación de científicos e investigadores paraguayos que residen en el exterior.</w:t>
      </w:r>
    </w:p>
    <w:p w:rsidR="00444F80" w:rsidRPr="007F2F3F" w:rsidRDefault="008A2B0C" w:rsidP="007F2F3F">
      <w:pPr>
        <w:spacing w:after="200" w:line="276" w:lineRule="auto"/>
        <w:jc w:val="both"/>
        <w:rPr>
          <w:rFonts w:asciiTheme="minorHAnsi" w:hAnsiTheme="minorHAnsi" w:cstheme="minorHAnsi"/>
        </w:rPr>
      </w:pPr>
      <w:r w:rsidRPr="007F2F3F">
        <w:rPr>
          <w:rFonts w:asciiTheme="minorHAnsi" w:hAnsiTheme="minorHAnsi" w:cstheme="minorHAnsi"/>
          <w:lang w:val="es-AR" w:eastAsia="es-AR"/>
        </w:rPr>
        <w:t>En este apartado describiremos una de estas líneas de acción, el fortalecimiento de posgrados.</w:t>
      </w:r>
      <w:r w:rsidR="00444F80" w:rsidRPr="007F2F3F">
        <w:rPr>
          <w:rFonts w:asciiTheme="minorHAnsi" w:hAnsiTheme="minorHAnsi" w:cstheme="minorHAnsi"/>
          <w:lang w:val="es-AR" w:eastAsia="es-AR"/>
        </w:rPr>
        <w:t xml:space="preserve"> Este subcomponente tenía por objetivo f</w:t>
      </w:r>
      <w:r w:rsidR="006C3167" w:rsidRPr="007F2F3F">
        <w:rPr>
          <w:rFonts w:asciiTheme="minorHAnsi" w:hAnsiTheme="minorHAnsi" w:cstheme="minorHAnsi"/>
          <w:lang w:val="es-AR" w:eastAsia="es-AR"/>
        </w:rPr>
        <w:t>ortalecer</w:t>
      </w:r>
      <w:r w:rsidR="00444F80" w:rsidRPr="007F2F3F">
        <w:rPr>
          <w:rFonts w:asciiTheme="minorHAnsi" w:hAnsiTheme="minorHAnsi" w:cstheme="minorHAnsi"/>
          <w:spacing w:val="-2"/>
          <w:lang w:val="es-ES_tradnl"/>
        </w:rPr>
        <w:t xml:space="preserve"> mecanismos para la formación y atracción de recursos humanos dedicados a la generación de nuevos conocimientos, el desarrollo tecnológico</w:t>
      </w:r>
      <w:r w:rsidR="00444F80" w:rsidRPr="007F2F3F">
        <w:rPr>
          <w:rFonts w:asciiTheme="minorHAnsi" w:hAnsiTheme="minorHAnsi" w:cstheme="minorHAnsi"/>
        </w:rPr>
        <w:t xml:space="preserve"> y la innovación. En particular, fortalecer programas de postgrado que </w:t>
      </w:r>
      <w:r w:rsidR="006C3167" w:rsidRPr="007F2F3F">
        <w:rPr>
          <w:rFonts w:asciiTheme="minorHAnsi" w:hAnsiTheme="minorHAnsi" w:cstheme="minorHAnsi"/>
        </w:rPr>
        <w:t>condujeran</w:t>
      </w:r>
      <w:r w:rsidR="00444F80" w:rsidRPr="007F2F3F">
        <w:rPr>
          <w:rFonts w:asciiTheme="minorHAnsi" w:hAnsiTheme="minorHAnsi" w:cstheme="minorHAnsi"/>
        </w:rPr>
        <w:t xml:space="preserve"> a la formación de investigadores en disciplinas prioritarias de ciencia, tecnología, así como en gestión tecnológica.</w:t>
      </w:r>
    </w:p>
    <w:p w:rsidR="008A2B0C" w:rsidRPr="007F2F3F" w:rsidRDefault="00444F80" w:rsidP="007F2F3F">
      <w:pPr>
        <w:autoSpaceDE w:val="0"/>
        <w:autoSpaceDN w:val="0"/>
        <w:adjustRightInd w:val="0"/>
        <w:spacing w:after="200" w:line="276" w:lineRule="auto"/>
        <w:jc w:val="both"/>
        <w:rPr>
          <w:rFonts w:asciiTheme="minorHAnsi" w:hAnsiTheme="minorHAnsi" w:cstheme="minorHAnsi"/>
          <w:lang w:val="es-AR" w:eastAsia="es-AR"/>
        </w:rPr>
      </w:pPr>
      <w:r w:rsidRPr="007F2F3F">
        <w:rPr>
          <w:rFonts w:asciiTheme="minorHAnsi" w:hAnsiTheme="minorHAnsi" w:cstheme="minorHAnsi"/>
          <w:lang w:val="es-AR" w:eastAsia="es-AR"/>
        </w:rPr>
        <w:t>Para alcanzarlo, se asignó</w:t>
      </w:r>
      <w:r w:rsidR="00CE179D" w:rsidRPr="007F2F3F">
        <w:rPr>
          <w:rFonts w:asciiTheme="minorHAnsi" w:hAnsiTheme="minorHAnsi" w:cstheme="minorHAnsi"/>
          <w:lang w:val="es-AR" w:eastAsia="es-AR"/>
        </w:rPr>
        <w:t xml:space="preserve"> un monto de financiamiento de 6</w:t>
      </w:r>
      <w:r w:rsidRPr="007F2F3F">
        <w:rPr>
          <w:rFonts w:asciiTheme="minorHAnsi" w:hAnsiTheme="minorHAnsi" w:cstheme="minorHAnsi"/>
          <w:lang w:val="es-AR" w:eastAsia="es-AR"/>
        </w:rPr>
        <w:t xml:space="preserve">00.000 dólares estadounidenses, </w:t>
      </w:r>
      <w:r w:rsidR="00CE179D" w:rsidRPr="007F2F3F">
        <w:rPr>
          <w:rFonts w:asciiTheme="minorHAnsi" w:hAnsiTheme="minorHAnsi" w:cstheme="minorHAnsi"/>
          <w:lang w:val="es-AR" w:eastAsia="es-AR"/>
        </w:rPr>
        <w:t xml:space="preserve">con un máximo de 100.000 dólares estadounidenses por proyecto, </w:t>
      </w:r>
      <w:r w:rsidRPr="007F2F3F">
        <w:rPr>
          <w:rFonts w:asciiTheme="minorHAnsi" w:hAnsiTheme="minorHAnsi" w:cstheme="minorHAnsi"/>
          <w:lang w:val="es-AR" w:eastAsia="es-AR"/>
        </w:rPr>
        <w:t xml:space="preserve">aportando el </w:t>
      </w:r>
      <w:r w:rsidR="00CE179D" w:rsidRPr="007F2F3F">
        <w:rPr>
          <w:rFonts w:asciiTheme="minorHAnsi" w:hAnsiTheme="minorHAnsi" w:cstheme="minorHAnsi"/>
          <w:lang w:val="es-AR" w:eastAsia="es-AR"/>
        </w:rPr>
        <w:t>PROCIT</w:t>
      </w:r>
      <w:r w:rsidR="008A2B0C" w:rsidRPr="007F2F3F">
        <w:rPr>
          <w:rFonts w:asciiTheme="minorHAnsi" w:hAnsiTheme="minorHAnsi" w:cstheme="minorHAnsi"/>
          <w:lang w:val="es-AR" w:eastAsia="es-AR"/>
        </w:rPr>
        <w:t xml:space="preserve"> </w:t>
      </w:r>
      <w:r w:rsidRPr="007F2F3F">
        <w:rPr>
          <w:rFonts w:asciiTheme="minorHAnsi" w:hAnsiTheme="minorHAnsi" w:cstheme="minorHAnsi"/>
          <w:lang w:val="es-AR" w:eastAsia="es-AR"/>
        </w:rPr>
        <w:t xml:space="preserve">un 90% de estos recursos, y el 10% restante estaría a cargo de la institución beneficiaria. </w:t>
      </w:r>
    </w:p>
    <w:p w:rsidR="008A2B0C" w:rsidRPr="007F2F3F" w:rsidRDefault="008A2B0C" w:rsidP="007F2F3F">
      <w:pPr>
        <w:autoSpaceDE w:val="0"/>
        <w:autoSpaceDN w:val="0"/>
        <w:adjustRightInd w:val="0"/>
        <w:spacing w:after="200" w:line="276" w:lineRule="auto"/>
        <w:jc w:val="both"/>
        <w:rPr>
          <w:rFonts w:asciiTheme="minorHAnsi" w:hAnsiTheme="minorHAnsi" w:cstheme="minorHAnsi"/>
          <w:lang w:val="es-ES_tradnl" w:eastAsia="en-US"/>
        </w:rPr>
      </w:pPr>
      <w:r w:rsidRPr="007F2F3F">
        <w:rPr>
          <w:rFonts w:asciiTheme="minorHAnsi" w:hAnsiTheme="minorHAnsi" w:cstheme="minorHAnsi"/>
          <w:lang w:val="es-ES_tradnl" w:eastAsia="en-US"/>
        </w:rPr>
        <w:t xml:space="preserve">Según se expresa en el </w:t>
      </w:r>
      <w:r w:rsidR="00B225FC" w:rsidRPr="007F2F3F">
        <w:rPr>
          <w:rFonts w:asciiTheme="minorHAnsi" w:hAnsiTheme="minorHAnsi" w:cstheme="minorHAnsi"/>
          <w:lang w:val="es-ES_tradnl" w:eastAsia="en-US"/>
        </w:rPr>
        <w:t xml:space="preserve">Anexo A del Contrato de Préstamo Nro. 1698/0C-PR entre la república del Paraguay y el Banco Interamericano de Desarrollo, de fecha 10 de abril de 2006, </w:t>
      </w:r>
      <w:r w:rsidRPr="007F2F3F">
        <w:rPr>
          <w:rFonts w:asciiTheme="minorHAnsi" w:hAnsiTheme="minorHAnsi" w:cstheme="minorHAnsi"/>
          <w:lang w:val="es-ES_tradnl" w:eastAsia="en-US"/>
        </w:rPr>
        <w:t xml:space="preserve">CONACYT </w:t>
      </w:r>
      <w:r w:rsidR="00B225FC" w:rsidRPr="007F2F3F">
        <w:rPr>
          <w:rFonts w:asciiTheme="minorHAnsi" w:hAnsiTheme="minorHAnsi" w:cstheme="minorHAnsi"/>
          <w:lang w:val="es-ES_tradnl" w:eastAsia="en-US"/>
        </w:rPr>
        <w:t xml:space="preserve">sería el organismo encargado de evaluar </w:t>
      </w:r>
      <w:r w:rsidRPr="007F2F3F">
        <w:rPr>
          <w:rFonts w:asciiTheme="minorHAnsi" w:hAnsiTheme="minorHAnsi" w:cstheme="minorHAnsi"/>
          <w:lang w:val="es-ES_tradnl" w:eastAsia="en-US"/>
        </w:rPr>
        <w:t>la calidad de los postgrados orientados a la formación de investigadores y, en función de esa evaluación, podrá otorgar financiamiento a las propuestas que soliciten recursos para: equipamiento e insumos para la investigación y enseñanza a nivel de postgrado; contratación por períodos cortos de docentes-investigadores de alto nivel académico y probada experiencia, tanto nacionales como extranjeros; adquisición de libros especializados que permitan complementar los existentes; soporte técnico y de software para las redes de información; y gastos de laboratorio relacionados con la elaboración de tesis de postgrado. Los gastos relacionados con actividades que incorporen participación de académicos paraguayos residentes en el exterior se ponderarán positivamente en los procedimientos de evaluación.</w:t>
      </w:r>
    </w:p>
    <w:p w:rsidR="008A2B0C" w:rsidRPr="007F2F3F" w:rsidRDefault="008A2B0C" w:rsidP="007F2F3F">
      <w:pPr>
        <w:autoSpaceDE w:val="0"/>
        <w:autoSpaceDN w:val="0"/>
        <w:adjustRightInd w:val="0"/>
        <w:spacing w:after="200" w:line="276" w:lineRule="auto"/>
        <w:jc w:val="both"/>
        <w:rPr>
          <w:rFonts w:asciiTheme="minorHAnsi" w:hAnsiTheme="minorHAnsi" w:cstheme="minorHAnsi"/>
          <w:lang w:val="es-AR" w:eastAsia="es-AR"/>
        </w:rPr>
      </w:pPr>
      <w:r w:rsidRPr="007F2F3F">
        <w:rPr>
          <w:rFonts w:asciiTheme="minorHAnsi" w:hAnsiTheme="minorHAnsi" w:cstheme="minorHAnsi"/>
          <w:lang w:val="es-AR" w:eastAsia="es-AR"/>
        </w:rPr>
        <w:lastRenderedPageBreak/>
        <w:t xml:space="preserve">Estos </w:t>
      </w:r>
      <w:r w:rsidR="0073428F" w:rsidRPr="007F2F3F">
        <w:rPr>
          <w:rFonts w:asciiTheme="minorHAnsi" w:hAnsiTheme="minorHAnsi" w:cstheme="minorHAnsi"/>
          <w:lang w:val="es-AR" w:eastAsia="es-AR"/>
        </w:rPr>
        <w:t>recursos se otorgar</w:t>
      </w:r>
      <w:r w:rsidRPr="007F2F3F">
        <w:rPr>
          <w:rFonts w:asciiTheme="minorHAnsi" w:hAnsiTheme="minorHAnsi" w:cstheme="minorHAnsi"/>
          <w:lang w:val="es-AR" w:eastAsia="es-AR"/>
        </w:rPr>
        <w:t>ía</w:t>
      </w:r>
      <w:r w:rsidR="0073428F" w:rsidRPr="007F2F3F">
        <w:rPr>
          <w:rFonts w:asciiTheme="minorHAnsi" w:hAnsiTheme="minorHAnsi" w:cstheme="minorHAnsi"/>
          <w:lang w:val="es-AR" w:eastAsia="es-AR"/>
        </w:rPr>
        <w:t>n mediante procedimientos competitivos, a través de concursos</w:t>
      </w:r>
      <w:r w:rsidR="001E2A3F" w:rsidRPr="007F2F3F">
        <w:rPr>
          <w:rFonts w:asciiTheme="minorHAnsi" w:hAnsiTheme="minorHAnsi" w:cstheme="minorHAnsi"/>
          <w:lang w:val="es-AR" w:eastAsia="es-AR"/>
        </w:rPr>
        <w:t xml:space="preserve"> </w:t>
      </w:r>
      <w:r w:rsidR="0073428F" w:rsidRPr="007F2F3F">
        <w:rPr>
          <w:rFonts w:asciiTheme="minorHAnsi" w:hAnsiTheme="minorHAnsi" w:cstheme="minorHAnsi"/>
          <w:lang w:val="es-AR" w:eastAsia="es-AR"/>
        </w:rPr>
        <w:t xml:space="preserve">abiertos y con mecanismos de evaluación por parte de comités de expertos en cada área. </w:t>
      </w:r>
    </w:p>
    <w:p w:rsidR="008A2B0C" w:rsidRPr="007F2F3F" w:rsidRDefault="008A2B0C" w:rsidP="007F2F3F">
      <w:pPr>
        <w:autoSpaceDE w:val="0"/>
        <w:autoSpaceDN w:val="0"/>
        <w:adjustRightInd w:val="0"/>
        <w:spacing w:after="200" w:line="276" w:lineRule="auto"/>
        <w:jc w:val="both"/>
        <w:rPr>
          <w:rFonts w:asciiTheme="minorHAnsi" w:hAnsiTheme="minorHAnsi" w:cstheme="minorHAnsi"/>
          <w:lang w:val="es-AR" w:eastAsia="es-AR"/>
        </w:rPr>
      </w:pPr>
      <w:r w:rsidRPr="007F2F3F">
        <w:rPr>
          <w:rFonts w:asciiTheme="minorHAnsi" w:hAnsiTheme="minorHAnsi" w:cstheme="minorHAnsi"/>
          <w:lang w:val="es-AR" w:eastAsia="es-AR"/>
        </w:rPr>
        <w:t>A los fines de la evaluación de las propuestas, CONACYT establecería una Comisión de Precalificación de Postgrados (CPP) que evaluaría los programas de maestría y de doctorado en el país orientados a la formación de investigadores para decidir si son elegibles para el programa de becas. Esta comisión estaría integrada por profesores y académicos de reconocida experiencia en la formación de investigadores. Para definir los criterios y exigencias mínimas que deberán cumplir los programas elegibles, la comisión recurriría al asesoramiento de organismos similares de evaluación de postgrados en otros países de la región.</w:t>
      </w:r>
    </w:p>
    <w:p w:rsidR="0073428F" w:rsidRPr="007F2F3F" w:rsidRDefault="0073428F" w:rsidP="007F2F3F">
      <w:pPr>
        <w:autoSpaceDE w:val="0"/>
        <w:autoSpaceDN w:val="0"/>
        <w:adjustRightInd w:val="0"/>
        <w:spacing w:after="200" w:line="276" w:lineRule="auto"/>
        <w:jc w:val="both"/>
        <w:rPr>
          <w:rFonts w:asciiTheme="minorHAnsi" w:hAnsiTheme="minorHAnsi" w:cstheme="minorHAnsi"/>
          <w:lang w:val="es-AR" w:eastAsia="es-AR"/>
        </w:rPr>
      </w:pPr>
      <w:r w:rsidRPr="007F2F3F">
        <w:rPr>
          <w:rFonts w:asciiTheme="minorHAnsi" w:hAnsiTheme="minorHAnsi" w:cstheme="minorHAnsi"/>
          <w:lang w:val="es-AR" w:eastAsia="es-AR"/>
        </w:rPr>
        <w:t>Para los casos de crea</w:t>
      </w:r>
      <w:r w:rsidR="008A2B0C" w:rsidRPr="007F2F3F">
        <w:rPr>
          <w:rFonts w:asciiTheme="minorHAnsi" w:hAnsiTheme="minorHAnsi" w:cstheme="minorHAnsi"/>
          <w:lang w:val="es-AR" w:eastAsia="es-AR"/>
        </w:rPr>
        <w:t>ción de nuevos postgrados debía pr</w:t>
      </w:r>
      <w:r w:rsidRPr="007F2F3F">
        <w:rPr>
          <w:rFonts w:asciiTheme="minorHAnsi" w:hAnsiTheme="minorHAnsi" w:cstheme="minorHAnsi"/>
          <w:lang w:val="es-AR" w:eastAsia="es-AR"/>
        </w:rPr>
        <w:t>esentarse</w:t>
      </w:r>
      <w:r w:rsidR="008A2B0C" w:rsidRPr="007F2F3F">
        <w:rPr>
          <w:rFonts w:asciiTheme="minorHAnsi" w:hAnsiTheme="minorHAnsi" w:cstheme="minorHAnsi"/>
          <w:lang w:val="es-AR" w:eastAsia="es-AR"/>
        </w:rPr>
        <w:t xml:space="preserve"> un Plan Prospectivo (que debía</w:t>
      </w:r>
      <w:r w:rsidRPr="007F2F3F">
        <w:rPr>
          <w:rFonts w:asciiTheme="minorHAnsi" w:hAnsiTheme="minorHAnsi" w:cstheme="minorHAnsi"/>
          <w:lang w:val="es-AR" w:eastAsia="es-AR"/>
        </w:rPr>
        <w:t xml:space="preserve"> incluir, entre otros aspectos, un estudio de demanda que asegure un flujo mínimo de estudiantes y un plan de negocios a mediano -y largo plazo).</w:t>
      </w:r>
    </w:p>
    <w:p w:rsidR="0073428F" w:rsidRPr="007F2F3F" w:rsidRDefault="0073428F" w:rsidP="007F2F3F">
      <w:pPr>
        <w:autoSpaceDE w:val="0"/>
        <w:autoSpaceDN w:val="0"/>
        <w:adjustRightInd w:val="0"/>
        <w:spacing w:after="200" w:line="276" w:lineRule="auto"/>
        <w:jc w:val="both"/>
        <w:rPr>
          <w:rFonts w:asciiTheme="minorHAnsi" w:hAnsiTheme="minorHAnsi" w:cstheme="minorHAnsi"/>
          <w:lang w:val="es-AR" w:eastAsia="es-AR"/>
        </w:rPr>
      </w:pPr>
      <w:r w:rsidRPr="007F2F3F">
        <w:rPr>
          <w:rFonts w:asciiTheme="minorHAnsi" w:hAnsiTheme="minorHAnsi" w:cstheme="minorHAnsi"/>
          <w:lang w:val="es-AR" w:eastAsia="es-AR"/>
        </w:rPr>
        <w:t>Durante la ejecución</w:t>
      </w:r>
      <w:r w:rsidR="008A2B0C" w:rsidRPr="007F2F3F">
        <w:rPr>
          <w:rFonts w:asciiTheme="minorHAnsi" w:hAnsiTheme="minorHAnsi" w:cstheme="minorHAnsi"/>
          <w:lang w:val="es-AR" w:eastAsia="es-AR"/>
        </w:rPr>
        <w:t xml:space="preserve"> del Programa se realizaría</w:t>
      </w:r>
      <w:r w:rsidRPr="007F2F3F">
        <w:rPr>
          <w:rFonts w:asciiTheme="minorHAnsi" w:hAnsiTheme="minorHAnsi" w:cstheme="minorHAnsi"/>
          <w:lang w:val="es-AR" w:eastAsia="es-AR"/>
        </w:rPr>
        <w:t>n dos convocatorias para la presentación de</w:t>
      </w:r>
      <w:r w:rsidR="001E2A3F" w:rsidRPr="007F2F3F">
        <w:rPr>
          <w:rFonts w:asciiTheme="minorHAnsi" w:hAnsiTheme="minorHAnsi" w:cstheme="minorHAnsi"/>
          <w:lang w:val="es-AR" w:eastAsia="es-AR"/>
        </w:rPr>
        <w:t xml:space="preserve"> </w:t>
      </w:r>
      <w:r w:rsidRPr="007F2F3F">
        <w:rPr>
          <w:rFonts w:asciiTheme="minorHAnsi" w:hAnsiTheme="minorHAnsi" w:cstheme="minorHAnsi"/>
          <w:lang w:val="es-AR" w:eastAsia="es-AR"/>
        </w:rPr>
        <w:t>proyectos de dos años de duración para el fortalecimiento</w:t>
      </w:r>
      <w:r w:rsidR="008A2B0C" w:rsidRPr="007F2F3F">
        <w:rPr>
          <w:rFonts w:asciiTheme="minorHAnsi" w:hAnsiTheme="minorHAnsi" w:cstheme="minorHAnsi"/>
          <w:lang w:val="es-AR" w:eastAsia="es-AR"/>
        </w:rPr>
        <w:t xml:space="preserve"> de postgrados, las cuales podría</w:t>
      </w:r>
      <w:r w:rsidRPr="007F2F3F">
        <w:rPr>
          <w:rFonts w:asciiTheme="minorHAnsi" w:hAnsiTheme="minorHAnsi" w:cstheme="minorHAnsi"/>
          <w:lang w:val="es-AR" w:eastAsia="es-AR"/>
        </w:rPr>
        <w:t>n</w:t>
      </w:r>
      <w:r w:rsidR="001E2A3F" w:rsidRPr="007F2F3F">
        <w:rPr>
          <w:rFonts w:asciiTheme="minorHAnsi" w:hAnsiTheme="minorHAnsi" w:cstheme="minorHAnsi"/>
          <w:lang w:val="es-AR" w:eastAsia="es-AR"/>
        </w:rPr>
        <w:t xml:space="preserve"> </w:t>
      </w:r>
      <w:r w:rsidRPr="007F2F3F">
        <w:rPr>
          <w:rFonts w:asciiTheme="minorHAnsi" w:hAnsiTheme="minorHAnsi" w:cstheme="minorHAnsi"/>
          <w:lang w:val="es-AR" w:eastAsia="es-AR"/>
        </w:rPr>
        <w:t>ser renovables dependiendo de</w:t>
      </w:r>
      <w:r w:rsidR="00BF19F9">
        <w:rPr>
          <w:rFonts w:asciiTheme="minorHAnsi" w:hAnsiTheme="minorHAnsi" w:cstheme="minorHAnsi"/>
          <w:lang w:val="es-AR" w:eastAsia="es-AR"/>
        </w:rPr>
        <w:t xml:space="preserve"> la evaluación que realizara</w:t>
      </w:r>
      <w:r w:rsidRPr="007F2F3F">
        <w:rPr>
          <w:rFonts w:asciiTheme="minorHAnsi" w:hAnsiTheme="minorHAnsi" w:cstheme="minorHAnsi"/>
          <w:lang w:val="es-AR" w:eastAsia="es-AR"/>
        </w:rPr>
        <w:t xml:space="preserve"> el CONACYT, con base</w:t>
      </w:r>
      <w:r w:rsidR="001E2A3F" w:rsidRPr="007F2F3F">
        <w:rPr>
          <w:rFonts w:asciiTheme="minorHAnsi" w:hAnsiTheme="minorHAnsi" w:cstheme="minorHAnsi"/>
          <w:lang w:val="es-AR" w:eastAsia="es-AR"/>
        </w:rPr>
        <w:t xml:space="preserve"> </w:t>
      </w:r>
      <w:r w:rsidRPr="007F2F3F">
        <w:rPr>
          <w:rFonts w:asciiTheme="minorHAnsi" w:hAnsiTheme="minorHAnsi" w:cstheme="minorHAnsi"/>
          <w:lang w:val="es-AR" w:eastAsia="es-AR"/>
        </w:rPr>
        <w:t>en los info</w:t>
      </w:r>
      <w:r w:rsidR="001E2A3F" w:rsidRPr="007F2F3F">
        <w:rPr>
          <w:rFonts w:asciiTheme="minorHAnsi" w:hAnsiTheme="minorHAnsi" w:cstheme="minorHAnsi"/>
          <w:lang w:val="es-AR" w:eastAsia="es-AR"/>
        </w:rPr>
        <w:t>rm</w:t>
      </w:r>
      <w:r w:rsidRPr="007F2F3F">
        <w:rPr>
          <w:rFonts w:asciiTheme="minorHAnsi" w:hAnsiTheme="minorHAnsi" w:cstheme="minorHAnsi"/>
          <w:lang w:val="es-AR" w:eastAsia="es-AR"/>
        </w:rPr>
        <w:t>es inte</w:t>
      </w:r>
      <w:r w:rsidR="001E2A3F" w:rsidRPr="007F2F3F">
        <w:rPr>
          <w:rFonts w:asciiTheme="minorHAnsi" w:hAnsiTheme="minorHAnsi" w:cstheme="minorHAnsi"/>
          <w:lang w:val="es-AR" w:eastAsia="es-AR"/>
        </w:rPr>
        <w:t>rm</w:t>
      </w:r>
      <w:r w:rsidR="00BF19F9">
        <w:rPr>
          <w:rFonts w:asciiTheme="minorHAnsi" w:hAnsiTheme="minorHAnsi" w:cstheme="minorHAnsi"/>
          <w:lang w:val="es-AR" w:eastAsia="es-AR"/>
        </w:rPr>
        <w:t>edios y final que debería</w:t>
      </w:r>
      <w:r w:rsidRPr="007F2F3F">
        <w:rPr>
          <w:rFonts w:asciiTheme="minorHAnsi" w:hAnsiTheme="minorHAnsi" w:cstheme="minorHAnsi"/>
          <w:lang w:val="es-AR" w:eastAsia="es-AR"/>
        </w:rPr>
        <w:t xml:space="preserve">n </w:t>
      </w:r>
      <w:r w:rsidR="00BF19F9">
        <w:rPr>
          <w:rFonts w:asciiTheme="minorHAnsi" w:hAnsiTheme="minorHAnsi" w:cstheme="minorHAnsi"/>
          <w:lang w:val="es-AR" w:eastAsia="es-AR"/>
        </w:rPr>
        <w:t>presentarse</w:t>
      </w:r>
      <w:r w:rsidRPr="007F2F3F">
        <w:rPr>
          <w:rFonts w:asciiTheme="minorHAnsi" w:hAnsiTheme="minorHAnsi" w:cstheme="minorHAnsi"/>
          <w:lang w:val="es-AR" w:eastAsia="es-AR"/>
        </w:rPr>
        <w:t>.</w:t>
      </w:r>
    </w:p>
    <w:p w:rsidR="00B225FC" w:rsidRPr="007F2F3F" w:rsidRDefault="0073428F" w:rsidP="007F2F3F">
      <w:pPr>
        <w:autoSpaceDE w:val="0"/>
        <w:autoSpaceDN w:val="0"/>
        <w:adjustRightInd w:val="0"/>
        <w:spacing w:after="200" w:line="276" w:lineRule="auto"/>
        <w:jc w:val="both"/>
        <w:rPr>
          <w:rFonts w:asciiTheme="minorHAnsi" w:hAnsiTheme="minorHAnsi" w:cstheme="minorHAnsi"/>
          <w:lang w:val="es-AR" w:eastAsia="es-AR"/>
        </w:rPr>
      </w:pPr>
      <w:r w:rsidRPr="007F2F3F">
        <w:rPr>
          <w:rFonts w:asciiTheme="minorHAnsi" w:hAnsiTheme="minorHAnsi" w:cstheme="minorHAnsi"/>
          <w:lang w:val="es-AR" w:eastAsia="es-AR"/>
        </w:rPr>
        <w:t>Las instituciones interesadas en obtener apoyo ins</w:t>
      </w:r>
      <w:r w:rsidR="00B225FC" w:rsidRPr="007F2F3F">
        <w:rPr>
          <w:rFonts w:asciiTheme="minorHAnsi" w:hAnsiTheme="minorHAnsi" w:cstheme="minorHAnsi"/>
          <w:lang w:val="es-AR" w:eastAsia="es-AR"/>
        </w:rPr>
        <w:t>titucional de CONACYT presentarían</w:t>
      </w:r>
      <w:r w:rsidRPr="007F2F3F">
        <w:rPr>
          <w:rFonts w:asciiTheme="minorHAnsi" w:hAnsiTheme="minorHAnsi" w:cstheme="minorHAnsi"/>
          <w:lang w:val="es-AR" w:eastAsia="es-AR"/>
        </w:rPr>
        <w:t xml:space="preserve"> una</w:t>
      </w:r>
      <w:r w:rsidR="001E2A3F" w:rsidRPr="007F2F3F">
        <w:rPr>
          <w:rFonts w:asciiTheme="minorHAnsi" w:hAnsiTheme="minorHAnsi" w:cstheme="minorHAnsi"/>
          <w:lang w:val="es-AR" w:eastAsia="es-AR"/>
        </w:rPr>
        <w:t xml:space="preserve"> </w:t>
      </w:r>
      <w:r w:rsidRPr="007F2F3F">
        <w:rPr>
          <w:rFonts w:asciiTheme="minorHAnsi" w:hAnsiTheme="minorHAnsi" w:cstheme="minorHAnsi"/>
          <w:lang w:val="es-AR" w:eastAsia="es-AR"/>
        </w:rPr>
        <w:t>descripción de sus programas de confo</w:t>
      </w:r>
      <w:r w:rsidR="001E2A3F" w:rsidRPr="007F2F3F">
        <w:rPr>
          <w:rFonts w:asciiTheme="minorHAnsi" w:hAnsiTheme="minorHAnsi" w:cstheme="minorHAnsi"/>
          <w:lang w:val="es-AR" w:eastAsia="es-AR"/>
        </w:rPr>
        <w:t>rm</w:t>
      </w:r>
      <w:r w:rsidRPr="007F2F3F">
        <w:rPr>
          <w:rFonts w:asciiTheme="minorHAnsi" w:hAnsiTheme="minorHAnsi" w:cstheme="minorHAnsi"/>
          <w:lang w:val="es-AR" w:eastAsia="es-AR"/>
        </w:rPr>
        <w:t>idad con las instrucciones y los criterios incluidos</w:t>
      </w:r>
      <w:r w:rsidR="001E2A3F" w:rsidRPr="007F2F3F">
        <w:rPr>
          <w:rFonts w:asciiTheme="minorHAnsi" w:hAnsiTheme="minorHAnsi" w:cstheme="minorHAnsi"/>
          <w:lang w:val="es-AR" w:eastAsia="es-AR"/>
        </w:rPr>
        <w:t xml:space="preserve"> </w:t>
      </w:r>
      <w:r w:rsidRPr="007F2F3F">
        <w:rPr>
          <w:rFonts w:asciiTheme="minorHAnsi" w:hAnsiTheme="minorHAnsi" w:cstheme="minorHAnsi"/>
          <w:lang w:val="es-AR" w:eastAsia="es-AR"/>
        </w:rPr>
        <w:t>en el R</w:t>
      </w:r>
      <w:r w:rsidR="008A2B0C" w:rsidRPr="007F2F3F">
        <w:rPr>
          <w:rFonts w:asciiTheme="minorHAnsi" w:hAnsiTheme="minorHAnsi" w:cstheme="minorHAnsi"/>
          <w:lang w:val="es-AR" w:eastAsia="es-AR"/>
        </w:rPr>
        <w:t xml:space="preserve">eglamento </w:t>
      </w:r>
      <w:r w:rsidRPr="007F2F3F">
        <w:rPr>
          <w:rFonts w:asciiTheme="minorHAnsi" w:hAnsiTheme="minorHAnsi" w:cstheme="minorHAnsi"/>
          <w:lang w:val="es-AR" w:eastAsia="es-AR"/>
        </w:rPr>
        <w:t>O</w:t>
      </w:r>
      <w:r w:rsidR="008A2B0C" w:rsidRPr="007F2F3F">
        <w:rPr>
          <w:rFonts w:asciiTheme="minorHAnsi" w:hAnsiTheme="minorHAnsi" w:cstheme="minorHAnsi"/>
          <w:lang w:val="es-AR" w:eastAsia="es-AR"/>
        </w:rPr>
        <w:t xml:space="preserve">perativo del </w:t>
      </w:r>
      <w:r w:rsidRPr="007F2F3F">
        <w:rPr>
          <w:rFonts w:asciiTheme="minorHAnsi" w:hAnsiTheme="minorHAnsi" w:cstheme="minorHAnsi"/>
          <w:lang w:val="es-AR" w:eastAsia="es-AR"/>
        </w:rPr>
        <w:t>P</w:t>
      </w:r>
      <w:r w:rsidR="008A2B0C" w:rsidRPr="007F2F3F">
        <w:rPr>
          <w:rFonts w:asciiTheme="minorHAnsi" w:hAnsiTheme="minorHAnsi" w:cstheme="minorHAnsi"/>
          <w:lang w:val="es-AR" w:eastAsia="es-AR"/>
        </w:rPr>
        <w:t>rograma</w:t>
      </w:r>
      <w:r w:rsidR="00B225FC" w:rsidRPr="007F2F3F">
        <w:rPr>
          <w:rFonts w:asciiTheme="minorHAnsi" w:hAnsiTheme="minorHAnsi" w:cstheme="minorHAnsi"/>
          <w:lang w:val="es-AR" w:eastAsia="es-AR"/>
        </w:rPr>
        <w:t>. La CPP evaluaría</w:t>
      </w:r>
      <w:r w:rsidRPr="007F2F3F">
        <w:rPr>
          <w:rFonts w:asciiTheme="minorHAnsi" w:hAnsiTheme="minorHAnsi" w:cstheme="minorHAnsi"/>
          <w:lang w:val="es-AR" w:eastAsia="es-AR"/>
        </w:rPr>
        <w:t xml:space="preserve"> según estos criterios y para el dictamen final de evaluación de</w:t>
      </w:r>
      <w:r w:rsidR="001E2A3F" w:rsidRPr="007F2F3F">
        <w:rPr>
          <w:rFonts w:asciiTheme="minorHAnsi" w:hAnsiTheme="minorHAnsi" w:cstheme="minorHAnsi"/>
          <w:lang w:val="es-AR" w:eastAsia="es-AR"/>
        </w:rPr>
        <w:t xml:space="preserve"> </w:t>
      </w:r>
      <w:r w:rsidRPr="007F2F3F">
        <w:rPr>
          <w:rFonts w:asciiTheme="minorHAnsi" w:hAnsiTheme="minorHAnsi" w:cstheme="minorHAnsi"/>
          <w:lang w:val="es-AR" w:eastAsia="es-AR"/>
        </w:rPr>
        <w:t>los programas de doctorado y maestría que serán apoyados con el Programa, el CONACYT</w:t>
      </w:r>
      <w:r w:rsidR="001E2A3F" w:rsidRPr="007F2F3F">
        <w:rPr>
          <w:rFonts w:asciiTheme="minorHAnsi" w:hAnsiTheme="minorHAnsi" w:cstheme="minorHAnsi"/>
          <w:lang w:val="es-AR" w:eastAsia="es-AR"/>
        </w:rPr>
        <w:t xml:space="preserve"> </w:t>
      </w:r>
      <w:r w:rsidR="00B225FC" w:rsidRPr="007F2F3F">
        <w:rPr>
          <w:rFonts w:asciiTheme="minorHAnsi" w:hAnsiTheme="minorHAnsi" w:cstheme="minorHAnsi"/>
          <w:lang w:val="es-AR" w:eastAsia="es-AR"/>
        </w:rPr>
        <w:t>trabajaría</w:t>
      </w:r>
      <w:r w:rsidRPr="007F2F3F">
        <w:rPr>
          <w:rFonts w:asciiTheme="minorHAnsi" w:hAnsiTheme="minorHAnsi" w:cstheme="minorHAnsi"/>
          <w:lang w:val="es-AR" w:eastAsia="es-AR"/>
        </w:rPr>
        <w:t xml:space="preserve"> coordinadamente con la Agencia Nacional de Evaluación y Acreditación de la</w:t>
      </w:r>
      <w:r w:rsidR="001E2A3F" w:rsidRPr="007F2F3F">
        <w:rPr>
          <w:rFonts w:asciiTheme="minorHAnsi" w:hAnsiTheme="minorHAnsi" w:cstheme="minorHAnsi"/>
          <w:lang w:val="es-AR" w:eastAsia="es-AR"/>
        </w:rPr>
        <w:t xml:space="preserve"> </w:t>
      </w:r>
      <w:r w:rsidRPr="007F2F3F">
        <w:rPr>
          <w:rFonts w:asciiTheme="minorHAnsi" w:hAnsiTheme="minorHAnsi" w:cstheme="minorHAnsi"/>
          <w:lang w:val="es-AR" w:eastAsia="es-AR"/>
        </w:rPr>
        <w:t>Educación Superior, A</w:t>
      </w:r>
      <w:r w:rsidR="00B225FC" w:rsidRPr="007F2F3F">
        <w:rPr>
          <w:rFonts w:asciiTheme="minorHAnsi" w:hAnsiTheme="minorHAnsi" w:cstheme="minorHAnsi"/>
          <w:lang w:val="es-AR" w:eastAsia="es-AR"/>
        </w:rPr>
        <w:t>NEAES.</w:t>
      </w:r>
    </w:p>
    <w:p w:rsidR="00B225FC" w:rsidRPr="007F2F3F" w:rsidRDefault="00B225FC" w:rsidP="007F2F3F">
      <w:pPr>
        <w:autoSpaceDE w:val="0"/>
        <w:autoSpaceDN w:val="0"/>
        <w:adjustRightInd w:val="0"/>
        <w:spacing w:after="200" w:line="276" w:lineRule="auto"/>
        <w:jc w:val="both"/>
        <w:rPr>
          <w:rFonts w:asciiTheme="minorHAnsi" w:hAnsiTheme="minorHAnsi" w:cstheme="minorHAnsi"/>
          <w:lang w:val="es-AR" w:eastAsia="es-AR"/>
        </w:rPr>
      </w:pPr>
      <w:r w:rsidRPr="007F2F3F">
        <w:rPr>
          <w:rFonts w:asciiTheme="minorHAnsi" w:hAnsiTheme="minorHAnsi" w:cstheme="minorHAnsi"/>
          <w:lang w:val="es-AR" w:eastAsia="es-AR"/>
        </w:rPr>
        <w:t>Los programas que fueran</w:t>
      </w:r>
      <w:r w:rsidR="0073428F" w:rsidRPr="007F2F3F">
        <w:rPr>
          <w:rFonts w:asciiTheme="minorHAnsi" w:hAnsiTheme="minorHAnsi" w:cstheme="minorHAnsi"/>
          <w:lang w:val="es-AR" w:eastAsia="es-AR"/>
        </w:rPr>
        <w:t xml:space="preserve"> pre</w:t>
      </w:r>
      <w:r w:rsidRPr="007F2F3F">
        <w:rPr>
          <w:rFonts w:asciiTheme="minorHAnsi" w:hAnsiTheme="minorHAnsi" w:cstheme="minorHAnsi"/>
          <w:lang w:val="es-AR" w:eastAsia="es-AR"/>
        </w:rPr>
        <w:t>calificados favorablemente podría</w:t>
      </w:r>
      <w:r w:rsidR="0073428F" w:rsidRPr="007F2F3F">
        <w:rPr>
          <w:rFonts w:asciiTheme="minorHAnsi" w:hAnsiTheme="minorHAnsi" w:cstheme="minorHAnsi"/>
          <w:lang w:val="es-AR" w:eastAsia="es-AR"/>
        </w:rPr>
        <w:t>n presentar propuestas de</w:t>
      </w:r>
      <w:r w:rsidR="001E2A3F" w:rsidRPr="007F2F3F">
        <w:rPr>
          <w:rFonts w:asciiTheme="minorHAnsi" w:hAnsiTheme="minorHAnsi" w:cstheme="minorHAnsi"/>
          <w:lang w:val="es-AR" w:eastAsia="es-AR"/>
        </w:rPr>
        <w:t xml:space="preserve"> </w:t>
      </w:r>
      <w:r w:rsidR="0073428F" w:rsidRPr="007F2F3F">
        <w:rPr>
          <w:rFonts w:asciiTheme="minorHAnsi" w:hAnsiTheme="minorHAnsi" w:cstheme="minorHAnsi"/>
          <w:lang w:val="es-AR" w:eastAsia="es-AR"/>
        </w:rPr>
        <w:t>financiamient</w:t>
      </w:r>
      <w:r w:rsidRPr="007F2F3F">
        <w:rPr>
          <w:rFonts w:asciiTheme="minorHAnsi" w:hAnsiTheme="minorHAnsi" w:cstheme="minorHAnsi"/>
          <w:lang w:val="es-AR" w:eastAsia="es-AR"/>
        </w:rPr>
        <w:t>o institucional, las cuales sería</w:t>
      </w:r>
      <w:r w:rsidR="0073428F" w:rsidRPr="007F2F3F">
        <w:rPr>
          <w:rFonts w:asciiTheme="minorHAnsi" w:hAnsiTheme="minorHAnsi" w:cstheme="minorHAnsi"/>
          <w:lang w:val="es-AR" w:eastAsia="es-AR"/>
        </w:rPr>
        <w:t>n calificadas en función de los criterios expuestos</w:t>
      </w:r>
      <w:r w:rsidR="001E2A3F" w:rsidRPr="007F2F3F">
        <w:rPr>
          <w:rFonts w:asciiTheme="minorHAnsi" w:hAnsiTheme="minorHAnsi" w:cstheme="minorHAnsi"/>
          <w:lang w:val="es-AR" w:eastAsia="es-AR"/>
        </w:rPr>
        <w:t xml:space="preserve"> </w:t>
      </w:r>
      <w:r w:rsidR="0073428F" w:rsidRPr="007F2F3F">
        <w:rPr>
          <w:rFonts w:asciiTheme="minorHAnsi" w:hAnsiTheme="minorHAnsi" w:cstheme="minorHAnsi"/>
          <w:lang w:val="es-AR" w:eastAsia="es-AR"/>
        </w:rPr>
        <w:t>anterio</w:t>
      </w:r>
      <w:r w:rsidR="001E2A3F" w:rsidRPr="007F2F3F">
        <w:rPr>
          <w:rFonts w:asciiTheme="minorHAnsi" w:hAnsiTheme="minorHAnsi" w:cstheme="minorHAnsi"/>
          <w:lang w:val="es-AR" w:eastAsia="es-AR"/>
        </w:rPr>
        <w:t>rm</w:t>
      </w:r>
      <w:r w:rsidRPr="007F2F3F">
        <w:rPr>
          <w:rFonts w:asciiTheme="minorHAnsi" w:hAnsiTheme="minorHAnsi" w:cstheme="minorHAnsi"/>
          <w:lang w:val="es-AR" w:eastAsia="es-AR"/>
        </w:rPr>
        <w:t>ente (operaría</w:t>
      </w:r>
      <w:r w:rsidR="0073428F" w:rsidRPr="007F2F3F">
        <w:rPr>
          <w:rFonts w:asciiTheme="minorHAnsi" w:hAnsiTheme="minorHAnsi" w:cstheme="minorHAnsi"/>
          <w:lang w:val="es-AR" w:eastAsia="es-AR"/>
        </w:rPr>
        <w:t>n tanto como umbral de elegibilidad durante la pre-calificación como</w:t>
      </w:r>
      <w:r w:rsidR="001E2A3F" w:rsidRPr="007F2F3F">
        <w:rPr>
          <w:rFonts w:asciiTheme="minorHAnsi" w:hAnsiTheme="minorHAnsi" w:cstheme="minorHAnsi"/>
          <w:lang w:val="es-AR" w:eastAsia="es-AR"/>
        </w:rPr>
        <w:t xml:space="preserve"> </w:t>
      </w:r>
      <w:r w:rsidR="0073428F" w:rsidRPr="007F2F3F">
        <w:rPr>
          <w:rFonts w:asciiTheme="minorHAnsi" w:hAnsiTheme="minorHAnsi" w:cstheme="minorHAnsi"/>
          <w:lang w:val="es-AR" w:eastAsia="es-AR"/>
        </w:rPr>
        <w:t>sistema de puntaje para la calificación), así como también de acuerdo a la relevancia y</w:t>
      </w:r>
      <w:r w:rsidR="001E2A3F" w:rsidRPr="007F2F3F">
        <w:rPr>
          <w:rFonts w:asciiTheme="minorHAnsi" w:hAnsiTheme="minorHAnsi" w:cstheme="minorHAnsi"/>
          <w:lang w:val="es-AR" w:eastAsia="es-AR"/>
        </w:rPr>
        <w:t xml:space="preserve"> </w:t>
      </w:r>
      <w:r w:rsidR="0073428F" w:rsidRPr="007F2F3F">
        <w:rPr>
          <w:rFonts w:asciiTheme="minorHAnsi" w:hAnsiTheme="minorHAnsi" w:cstheme="minorHAnsi"/>
          <w:lang w:val="es-AR" w:eastAsia="es-AR"/>
        </w:rPr>
        <w:t>calidad del programa propuesto y debida justificación de la demanda según el Plan</w:t>
      </w:r>
      <w:r w:rsidR="001E2A3F" w:rsidRPr="007F2F3F">
        <w:rPr>
          <w:rFonts w:asciiTheme="minorHAnsi" w:hAnsiTheme="minorHAnsi" w:cstheme="minorHAnsi"/>
          <w:lang w:val="es-AR" w:eastAsia="es-AR"/>
        </w:rPr>
        <w:t xml:space="preserve"> </w:t>
      </w:r>
      <w:r w:rsidR="0073428F" w:rsidRPr="007F2F3F">
        <w:rPr>
          <w:rFonts w:asciiTheme="minorHAnsi" w:hAnsiTheme="minorHAnsi" w:cstheme="minorHAnsi"/>
          <w:lang w:val="es-AR" w:eastAsia="es-AR"/>
        </w:rPr>
        <w:t>Prospectivo. Se estima</w:t>
      </w:r>
      <w:r w:rsidRPr="007F2F3F">
        <w:rPr>
          <w:rFonts w:asciiTheme="minorHAnsi" w:hAnsiTheme="minorHAnsi" w:cstheme="minorHAnsi"/>
          <w:lang w:val="es-AR" w:eastAsia="es-AR"/>
        </w:rPr>
        <w:t>ba que se podría</w:t>
      </w:r>
      <w:r w:rsidR="0073428F" w:rsidRPr="007F2F3F">
        <w:rPr>
          <w:rFonts w:asciiTheme="minorHAnsi" w:hAnsiTheme="minorHAnsi" w:cstheme="minorHAnsi"/>
          <w:lang w:val="es-AR" w:eastAsia="es-AR"/>
        </w:rPr>
        <w:t xml:space="preserve"> financiar la mejora y/o creación de seis nuevos</w:t>
      </w:r>
      <w:r w:rsidR="001E2A3F" w:rsidRPr="007F2F3F">
        <w:rPr>
          <w:rFonts w:asciiTheme="minorHAnsi" w:hAnsiTheme="minorHAnsi" w:cstheme="minorHAnsi"/>
          <w:lang w:val="es-AR" w:eastAsia="es-AR"/>
        </w:rPr>
        <w:t xml:space="preserve"> </w:t>
      </w:r>
      <w:r w:rsidR="0073428F" w:rsidRPr="007F2F3F">
        <w:rPr>
          <w:rFonts w:asciiTheme="minorHAnsi" w:hAnsiTheme="minorHAnsi" w:cstheme="minorHAnsi"/>
          <w:lang w:val="es-AR" w:eastAsia="es-AR"/>
        </w:rPr>
        <w:t>programas de postgrado durante la ejecución del Programa.</w:t>
      </w:r>
      <w:r w:rsidRPr="007F2F3F">
        <w:rPr>
          <w:rFonts w:asciiTheme="minorHAnsi" w:hAnsiTheme="minorHAnsi" w:cstheme="minorHAnsi"/>
          <w:lang w:val="es-AR" w:eastAsia="es-AR"/>
        </w:rPr>
        <w:t xml:space="preserve"> Esta meta luego fue ajustada a ocho programas d</w:t>
      </w:r>
      <w:r w:rsidR="00BF19F9">
        <w:rPr>
          <w:rFonts w:asciiTheme="minorHAnsi" w:hAnsiTheme="minorHAnsi" w:cstheme="minorHAnsi"/>
          <w:lang w:val="es-AR" w:eastAsia="es-AR"/>
        </w:rPr>
        <w:t>e postgrado, en la Misión</w:t>
      </w:r>
      <w:r w:rsidRPr="007F2F3F">
        <w:rPr>
          <w:rFonts w:asciiTheme="minorHAnsi" w:hAnsiTheme="minorHAnsi" w:cstheme="minorHAnsi"/>
          <w:lang w:val="es-AR" w:eastAsia="es-AR"/>
        </w:rPr>
        <w:t xml:space="preserve"> de Supervisión, llevada a cabo en Asunción del 28/02/2011 al 03/03/2011, y constan en la Ayuda Memoria de la Misión.</w:t>
      </w:r>
    </w:p>
    <w:p w:rsidR="00D46085" w:rsidRPr="00DA4676" w:rsidRDefault="00580456" w:rsidP="007F2F3F">
      <w:pPr>
        <w:spacing w:after="200" w:line="276" w:lineRule="auto"/>
        <w:jc w:val="both"/>
        <w:rPr>
          <w:rFonts w:asciiTheme="minorHAnsi" w:hAnsiTheme="minorHAnsi" w:cstheme="minorHAnsi"/>
        </w:rPr>
      </w:pPr>
      <w:r w:rsidRPr="007F2F3F">
        <w:rPr>
          <w:rFonts w:asciiTheme="minorHAnsi" w:hAnsiTheme="minorHAnsi" w:cstheme="minorHAnsi"/>
          <w:lang w:val="es-AR" w:eastAsia="en-US"/>
        </w:rPr>
        <w:lastRenderedPageBreak/>
        <w:t>Los p</w:t>
      </w:r>
      <w:r w:rsidR="00444F80" w:rsidRPr="007F2F3F">
        <w:rPr>
          <w:rFonts w:asciiTheme="minorHAnsi" w:hAnsiTheme="minorHAnsi" w:cstheme="minorHAnsi"/>
          <w:lang w:val="es-AR" w:eastAsia="en-US"/>
        </w:rPr>
        <w:t>otenciales beneficiarios de este</w:t>
      </w:r>
      <w:r w:rsidRPr="007F2F3F">
        <w:rPr>
          <w:rFonts w:asciiTheme="minorHAnsi" w:hAnsiTheme="minorHAnsi" w:cstheme="minorHAnsi"/>
          <w:lang w:val="es-AR" w:eastAsia="en-US"/>
        </w:rPr>
        <w:t xml:space="preserve"> subcomponente del PROCIT </w:t>
      </w:r>
      <w:r w:rsidR="00444F80" w:rsidRPr="007F2F3F">
        <w:rPr>
          <w:rFonts w:asciiTheme="minorHAnsi" w:hAnsiTheme="minorHAnsi" w:cstheme="minorHAnsi"/>
          <w:lang w:val="es-AR" w:eastAsia="en-US"/>
        </w:rPr>
        <w:t xml:space="preserve">eran </w:t>
      </w:r>
      <w:r w:rsidR="00444F80" w:rsidRPr="007F2F3F">
        <w:rPr>
          <w:rFonts w:asciiTheme="minorHAnsi" w:hAnsiTheme="minorHAnsi" w:cstheme="minorHAnsi"/>
        </w:rPr>
        <w:t>Universidades e Instituciones de Enseñanza Superior, legalmente constituidas según el marco regulatorio de la E</w:t>
      </w:r>
      <w:r w:rsidR="00DA4676">
        <w:rPr>
          <w:rFonts w:asciiTheme="minorHAnsi" w:hAnsiTheme="minorHAnsi" w:cstheme="minorHAnsi"/>
        </w:rPr>
        <w:t>ducación Superior del Paraguay.</w:t>
      </w:r>
    </w:p>
    <w:p w:rsidR="005734DE" w:rsidRDefault="005734DE" w:rsidP="002D7EE9">
      <w:pPr>
        <w:pStyle w:val="Heading3"/>
        <w:numPr>
          <w:ilvl w:val="2"/>
          <w:numId w:val="4"/>
        </w:numPr>
        <w:rPr>
          <w:rStyle w:val="Emphasis"/>
          <w:rFonts w:cs="Calibri"/>
          <w:i/>
        </w:rPr>
      </w:pPr>
      <w:bookmarkStart w:id="214" w:name="_Toc375211984"/>
      <w:r>
        <w:rPr>
          <w:rStyle w:val="Emphasis"/>
          <w:rFonts w:cs="Calibri"/>
          <w:i/>
        </w:rPr>
        <w:t>Alcance</w:t>
      </w:r>
      <w:bookmarkEnd w:id="214"/>
    </w:p>
    <w:p w:rsidR="00D46085" w:rsidRPr="00B524B8" w:rsidRDefault="00D46085" w:rsidP="00D46085">
      <w:pPr>
        <w:spacing w:before="120" w:after="120" w:line="288" w:lineRule="auto"/>
        <w:jc w:val="both"/>
        <w:rPr>
          <w:rStyle w:val="Emphasis"/>
          <w:rFonts w:ascii="Calibri" w:hAnsi="Calibri" w:cs="Calibri"/>
          <w:i w:val="0"/>
        </w:rPr>
      </w:pPr>
      <w:r w:rsidRPr="00B524B8">
        <w:rPr>
          <w:rStyle w:val="Emphasis"/>
          <w:rFonts w:ascii="Calibri" w:hAnsi="Calibri" w:cs="Calibri"/>
          <w:i w:val="0"/>
        </w:rPr>
        <w:t>El fortalecimiento de carreras de postgrado constituyó uno de los ejes del PROCIT, tendiente a fomentar el desarrollo de la cultura de investigación científico-tecnológica en el ámbito de las universidades, fijándose una meta de ocho carreras fortalecidas.</w:t>
      </w:r>
    </w:p>
    <w:p w:rsidR="00D46085" w:rsidRPr="007F2F3F" w:rsidRDefault="00D46085" w:rsidP="00D46085">
      <w:pPr>
        <w:pStyle w:val="ListParagraph"/>
        <w:ind w:left="0"/>
        <w:jc w:val="center"/>
        <w:rPr>
          <w:rFonts w:ascii="Calibri" w:hAnsi="Calibri" w:cs="Calibri"/>
          <w:b/>
        </w:rPr>
      </w:pPr>
      <w:r w:rsidRPr="007F2F3F">
        <w:rPr>
          <w:rFonts w:ascii="Calibri" w:hAnsi="Calibri" w:cs="Calibri"/>
          <w:b/>
        </w:rPr>
        <w:t xml:space="preserve">Gráfico </w:t>
      </w:r>
      <w:r w:rsidR="00802E2B">
        <w:rPr>
          <w:rFonts w:ascii="Calibri" w:hAnsi="Calibri" w:cs="Calibri"/>
          <w:b/>
        </w:rPr>
        <w:t>5.18</w:t>
      </w:r>
      <w:r w:rsidR="007F2F3F">
        <w:rPr>
          <w:rFonts w:ascii="Calibri" w:hAnsi="Calibri" w:cs="Calibri"/>
          <w:b/>
        </w:rPr>
        <w:t>.</w:t>
      </w:r>
      <w:r w:rsidRPr="007F2F3F">
        <w:rPr>
          <w:rFonts w:ascii="Calibri" w:hAnsi="Calibri" w:cs="Calibri"/>
          <w:b/>
        </w:rPr>
        <w:t xml:space="preserve"> Análisis de metas del subcomponente de Fortalecimiento de Postgrados</w:t>
      </w:r>
    </w:p>
    <w:p w:rsidR="00D46085" w:rsidRPr="00B524B8" w:rsidRDefault="00D46085" w:rsidP="00D46085">
      <w:pPr>
        <w:pStyle w:val="ListParagraph"/>
        <w:ind w:left="360"/>
        <w:rPr>
          <w:rFonts w:ascii="Calibri" w:hAnsi="Calibri" w:cs="Calibri"/>
          <w:b/>
          <w:sz w:val="22"/>
          <w:szCs w:val="22"/>
        </w:rPr>
      </w:pPr>
    </w:p>
    <w:p w:rsidR="00D46085" w:rsidRPr="00B524B8" w:rsidRDefault="00D46085" w:rsidP="00D46085">
      <w:pPr>
        <w:pStyle w:val="ListParagraph"/>
        <w:ind w:left="360"/>
        <w:jc w:val="center"/>
        <w:rPr>
          <w:rFonts w:ascii="Calibri" w:hAnsi="Calibri" w:cs="Calibri"/>
        </w:rPr>
      </w:pPr>
      <w:r>
        <w:rPr>
          <w:rFonts w:ascii="Calibri" w:hAnsi="Calibri" w:cs="Calibri"/>
          <w:noProof/>
          <w:lang w:val="es-ES_tradnl" w:eastAsia="es-ES_tradnl"/>
        </w:rPr>
        <w:drawing>
          <wp:inline distT="0" distB="0" distL="0" distR="0" wp14:anchorId="1B0AB9CE" wp14:editId="0586CE6F">
            <wp:extent cx="3709359" cy="2035834"/>
            <wp:effectExtent l="0" t="0" r="5715" b="254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12253" cy="2037422"/>
                    </a:xfrm>
                    <a:prstGeom prst="rect">
                      <a:avLst/>
                    </a:prstGeom>
                    <a:noFill/>
                    <a:ln>
                      <a:noFill/>
                    </a:ln>
                  </pic:spPr>
                </pic:pic>
              </a:graphicData>
            </a:graphic>
          </wp:inline>
        </w:drawing>
      </w:r>
    </w:p>
    <w:p w:rsidR="00D46085" w:rsidRPr="00B524B8" w:rsidRDefault="00D46085" w:rsidP="00FC352D">
      <w:pPr>
        <w:pStyle w:val="ListParagraph"/>
        <w:ind w:left="1560" w:right="1183"/>
        <w:jc w:val="center"/>
        <w:rPr>
          <w:rFonts w:ascii="Calibri" w:hAnsi="Calibri" w:cs="Calibri"/>
          <w:sz w:val="18"/>
          <w:szCs w:val="18"/>
        </w:rPr>
      </w:pPr>
      <w:r w:rsidRPr="00B524B8">
        <w:rPr>
          <w:rFonts w:ascii="Calibri" w:hAnsi="Calibri" w:cs="Calibri"/>
          <w:sz w:val="18"/>
          <w:szCs w:val="18"/>
        </w:rPr>
        <w:t>Fuente: Innovos Group en base a datos provistos por CONACYT</w:t>
      </w:r>
    </w:p>
    <w:p w:rsidR="00D46085" w:rsidRPr="00B524B8" w:rsidRDefault="00D46085" w:rsidP="00FC352D">
      <w:pPr>
        <w:pStyle w:val="ListParagraph"/>
        <w:ind w:left="1560" w:right="1183"/>
        <w:jc w:val="center"/>
        <w:rPr>
          <w:rFonts w:ascii="Calibri" w:hAnsi="Calibri" w:cs="Calibri"/>
          <w:sz w:val="18"/>
          <w:szCs w:val="18"/>
        </w:rPr>
      </w:pPr>
      <w:r w:rsidRPr="00B524B8">
        <w:rPr>
          <w:rFonts w:ascii="Calibri" w:hAnsi="Calibri" w:cs="Calibri"/>
          <w:sz w:val="18"/>
          <w:szCs w:val="18"/>
        </w:rPr>
        <w:t>*Los indicadores fueron ajustados en la Misión de Supervisión, llevada a cabo en Asunción del 28/02/2011 al 03/03/2011, y constan e</w:t>
      </w:r>
      <w:r w:rsidR="00FC352D">
        <w:rPr>
          <w:rFonts w:ascii="Calibri" w:hAnsi="Calibri" w:cs="Calibri"/>
          <w:sz w:val="18"/>
          <w:szCs w:val="18"/>
        </w:rPr>
        <w:t>n la Ayuda Memoria de la Misión</w:t>
      </w:r>
    </w:p>
    <w:p w:rsidR="00D46085" w:rsidRPr="00B524B8" w:rsidRDefault="00D46085" w:rsidP="00D46085">
      <w:pPr>
        <w:spacing w:before="120" w:after="120" w:line="288" w:lineRule="auto"/>
        <w:jc w:val="both"/>
        <w:rPr>
          <w:rFonts w:ascii="Calibri" w:hAnsi="Calibri" w:cs="Calibri"/>
          <w:b/>
        </w:rPr>
      </w:pPr>
      <w:r w:rsidRPr="00B524B8">
        <w:rPr>
          <w:rStyle w:val="Emphasis"/>
          <w:rFonts w:ascii="Calibri" w:hAnsi="Calibri" w:cs="Calibri"/>
          <w:i w:val="0"/>
        </w:rPr>
        <w:t xml:space="preserve">Para alcanzar esta meta, se realizaron dos convocatorias (2009 y 2011), de las cuales fueron evaluadas positivamente once propuestas de fortalecimiento de carreras para recibir el apoyo institucional y económico, superando la meta fijada. Estas carreras debían conducir a la formación de investigadores en disciplinas prioritarias de ciencias, tecnologías, y/o gestión tecnológica. </w:t>
      </w:r>
    </w:p>
    <w:p w:rsidR="00D46085" w:rsidRPr="00B524B8" w:rsidRDefault="00D46085" w:rsidP="00D46085">
      <w:pPr>
        <w:spacing w:before="120" w:after="120" w:line="288" w:lineRule="auto"/>
        <w:jc w:val="both"/>
        <w:rPr>
          <w:rStyle w:val="Emphasis"/>
          <w:rFonts w:ascii="Calibri" w:hAnsi="Calibri" w:cs="Calibri"/>
          <w:i w:val="0"/>
        </w:rPr>
      </w:pPr>
      <w:r w:rsidRPr="00B524B8">
        <w:rPr>
          <w:rStyle w:val="Emphasis"/>
          <w:rFonts w:ascii="Calibri" w:hAnsi="Calibri" w:cs="Calibri"/>
          <w:i w:val="0"/>
        </w:rPr>
        <w:t xml:space="preserve">En ambas convocatorias, la demanda (postulaciones realizadas) superó ampliamente la meta fijada y también superó el resultado obtenido –en mayor medida en la primera convocatoria–, como </w:t>
      </w:r>
      <w:r>
        <w:rPr>
          <w:rStyle w:val="Emphasis"/>
          <w:rFonts w:ascii="Calibri" w:hAnsi="Calibri" w:cs="Calibri"/>
          <w:i w:val="0"/>
        </w:rPr>
        <w:t xml:space="preserve">se puede observar en el gráfico </w:t>
      </w:r>
      <w:r w:rsidR="00802E2B">
        <w:rPr>
          <w:rStyle w:val="Emphasis"/>
          <w:rFonts w:ascii="Calibri" w:hAnsi="Calibri" w:cs="Calibri"/>
          <w:i w:val="0"/>
        </w:rPr>
        <w:t>5.19</w:t>
      </w:r>
      <w:r w:rsidRPr="00B524B8">
        <w:rPr>
          <w:rStyle w:val="Emphasis"/>
          <w:rFonts w:ascii="Calibri" w:hAnsi="Calibri" w:cs="Calibri"/>
          <w:i w:val="0"/>
        </w:rPr>
        <w:t xml:space="preserve">. En el caso de la segunda convocatoria, se realizó exclusivamente para el interior del país, lo cual explica los valores más reducidos en cada indicador (meta, postulaciones y resultados). </w:t>
      </w:r>
    </w:p>
    <w:p w:rsidR="005830C2" w:rsidRDefault="005830C2" w:rsidP="00D46085">
      <w:pPr>
        <w:jc w:val="center"/>
        <w:rPr>
          <w:rFonts w:ascii="Calibri" w:hAnsi="Calibri" w:cs="Calibri"/>
          <w:b/>
        </w:rPr>
      </w:pPr>
    </w:p>
    <w:p w:rsidR="005830C2" w:rsidRDefault="005830C2" w:rsidP="00D46085">
      <w:pPr>
        <w:jc w:val="center"/>
        <w:rPr>
          <w:rFonts w:ascii="Calibri" w:hAnsi="Calibri" w:cs="Calibri"/>
          <w:b/>
        </w:rPr>
      </w:pPr>
    </w:p>
    <w:p w:rsidR="005830C2" w:rsidRDefault="005830C2" w:rsidP="00D46085">
      <w:pPr>
        <w:jc w:val="center"/>
        <w:rPr>
          <w:rFonts w:ascii="Calibri" w:hAnsi="Calibri" w:cs="Calibri"/>
          <w:b/>
        </w:rPr>
      </w:pPr>
    </w:p>
    <w:p w:rsidR="005830C2" w:rsidRDefault="005830C2" w:rsidP="00D46085">
      <w:pPr>
        <w:jc w:val="center"/>
        <w:rPr>
          <w:rFonts w:ascii="Calibri" w:hAnsi="Calibri" w:cs="Calibri"/>
          <w:b/>
        </w:rPr>
      </w:pPr>
    </w:p>
    <w:p w:rsidR="005830C2" w:rsidRDefault="005830C2" w:rsidP="001860F3">
      <w:pPr>
        <w:rPr>
          <w:rFonts w:ascii="Calibri" w:hAnsi="Calibri" w:cs="Calibri"/>
          <w:b/>
        </w:rPr>
      </w:pPr>
    </w:p>
    <w:p w:rsidR="005830C2" w:rsidRDefault="005830C2" w:rsidP="00D46085">
      <w:pPr>
        <w:jc w:val="center"/>
        <w:rPr>
          <w:rFonts w:ascii="Calibri" w:hAnsi="Calibri" w:cs="Calibri"/>
          <w:b/>
        </w:rPr>
      </w:pPr>
    </w:p>
    <w:p w:rsidR="00D46085" w:rsidRDefault="00D46085" w:rsidP="00D46085">
      <w:pPr>
        <w:jc w:val="center"/>
        <w:rPr>
          <w:rFonts w:ascii="Calibri" w:hAnsi="Calibri" w:cs="Calibri"/>
          <w:b/>
        </w:rPr>
      </w:pPr>
      <w:r w:rsidRPr="00B524B8">
        <w:rPr>
          <w:rFonts w:ascii="Calibri" w:hAnsi="Calibri" w:cs="Calibri"/>
          <w:b/>
        </w:rPr>
        <w:t xml:space="preserve">Gráfico </w:t>
      </w:r>
      <w:r w:rsidR="00802E2B">
        <w:rPr>
          <w:rFonts w:ascii="Calibri" w:hAnsi="Calibri" w:cs="Calibri"/>
          <w:b/>
        </w:rPr>
        <w:t>5.19</w:t>
      </w:r>
      <w:r w:rsidR="007F2F3F">
        <w:rPr>
          <w:rFonts w:ascii="Calibri" w:hAnsi="Calibri" w:cs="Calibri"/>
          <w:b/>
        </w:rPr>
        <w:t>.</w:t>
      </w:r>
      <w:r w:rsidRPr="00B524B8">
        <w:rPr>
          <w:rFonts w:ascii="Calibri" w:hAnsi="Calibri" w:cs="Calibri"/>
          <w:b/>
        </w:rPr>
        <w:t xml:space="preserve"> Análisis de demanda del subcomponente de Fortalecimiento de Postgrados</w:t>
      </w:r>
    </w:p>
    <w:p w:rsidR="00D46085" w:rsidRPr="00B524B8" w:rsidRDefault="00D46085" w:rsidP="00D46085">
      <w:pPr>
        <w:jc w:val="center"/>
        <w:rPr>
          <w:rFonts w:ascii="Calibri" w:hAnsi="Calibri" w:cs="Calibri"/>
          <w:b/>
        </w:rPr>
      </w:pPr>
      <w:r>
        <w:rPr>
          <w:rFonts w:ascii="Calibri" w:hAnsi="Calibri" w:cs="Calibri"/>
          <w:b/>
          <w:noProof/>
          <w:lang w:val="es-ES_tradnl" w:eastAsia="es-ES_tradnl"/>
        </w:rPr>
        <w:drawing>
          <wp:inline distT="0" distB="0" distL="0" distR="0" wp14:anchorId="1FAA2D73" wp14:editId="5E9E664C">
            <wp:extent cx="3709359" cy="2009955"/>
            <wp:effectExtent l="0" t="0" r="5715" b="9525"/>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2053" cy="2011415"/>
                    </a:xfrm>
                    <a:prstGeom prst="rect">
                      <a:avLst/>
                    </a:prstGeom>
                    <a:noFill/>
                    <a:ln>
                      <a:noFill/>
                    </a:ln>
                  </pic:spPr>
                </pic:pic>
              </a:graphicData>
            </a:graphic>
          </wp:inline>
        </w:drawing>
      </w:r>
    </w:p>
    <w:p w:rsidR="00D46085" w:rsidRPr="00B524B8" w:rsidRDefault="00D46085" w:rsidP="00FC352D">
      <w:pPr>
        <w:jc w:val="center"/>
        <w:rPr>
          <w:rFonts w:ascii="Calibri" w:hAnsi="Calibri" w:cs="Calibri"/>
          <w:sz w:val="18"/>
          <w:szCs w:val="18"/>
        </w:rPr>
      </w:pPr>
      <w:r w:rsidRPr="00B524B8">
        <w:rPr>
          <w:rFonts w:ascii="Calibri" w:hAnsi="Calibri" w:cs="Calibri"/>
          <w:sz w:val="18"/>
          <w:szCs w:val="18"/>
        </w:rPr>
        <w:t>Fuente: Innovos Group en base a datos provistos por CONACYT</w:t>
      </w:r>
    </w:p>
    <w:p w:rsidR="00D46085" w:rsidRDefault="00D46085" w:rsidP="00D46085">
      <w:pPr>
        <w:spacing w:before="120" w:after="120" w:line="288" w:lineRule="auto"/>
        <w:jc w:val="both"/>
        <w:rPr>
          <w:rStyle w:val="Emphasis"/>
          <w:rFonts w:ascii="Calibri" w:hAnsi="Calibri" w:cs="Calibri"/>
          <w:i w:val="0"/>
        </w:rPr>
      </w:pPr>
      <w:r w:rsidRPr="00B524B8">
        <w:rPr>
          <w:rStyle w:val="Emphasis"/>
          <w:rFonts w:ascii="Calibri" w:hAnsi="Calibri" w:cs="Calibri"/>
          <w:i w:val="0"/>
        </w:rPr>
        <w:t xml:space="preserve">Los resultados alcanzados en este subcomponente han sido muy satisfactorios respecto de la meta fijada. </w:t>
      </w:r>
    </w:p>
    <w:p w:rsidR="00D46085" w:rsidRDefault="00D46085" w:rsidP="00D46085">
      <w:pPr>
        <w:spacing w:after="120" w:line="276" w:lineRule="auto"/>
        <w:jc w:val="both"/>
        <w:rPr>
          <w:rStyle w:val="Emphasis"/>
          <w:rFonts w:ascii="Calibri" w:hAnsi="Calibri" w:cs="Calibri"/>
          <w:i w:val="0"/>
        </w:rPr>
      </w:pPr>
      <w:r w:rsidRPr="00B524B8">
        <w:rPr>
          <w:rStyle w:val="Emphasis"/>
          <w:rFonts w:ascii="Calibri" w:hAnsi="Calibri" w:cs="Calibri"/>
          <w:i w:val="0"/>
        </w:rPr>
        <w:t>Las carreras de postgrado fortalecidas</w:t>
      </w:r>
      <w:r w:rsidR="003D766B">
        <w:rPr>
          <w:rStyle w:val="Emphasis"/>
          <w:rFonts w:ascii="Calibri" w:hAnsi="Calibri" w:cs="Calibri"/>
          <w:i w:val="0"/>
        </w:rPr>
        <w:t>, incluyendo el monto del financiamiento,</w:t>
      </w:r>
      <w:r w:rsidR="00AE07B0">
        <w:rPr>
          <w:rStyle w:val="Emphasis"/>
          <w:rFonts w:ascii="Calibri" w:hAnsi="Calibri" w:cs="Calibri"/>
          <w:i w:val="0"/>
        </w:rPr>
        <w:t xml:space="preserve"> s</w:t>
      </w:r>
      <w:r w:rsidR="00BF19F9">
        <w:rPr>
          <w:rStyle w:val="Emphasis"/>
          <w:rFonts w:ascii="Calibri" w:hAnsi="Calibri" w:cs="Calibri"/>
          <w:i w:val="0"/>
        </w:rPr>
        <w:t>o</w:t>
      </w:r>
      <w:r w:rsidR="00802E2B">
        <w:rPr>
          <w:rStyle w:val="Emphasis"/>
          <w:rFonts w:ascii="Calibri" w:hAnsi="Calibri" w:cs="Calibri"/>
          <w:i w:val="0"/>
        </w:rPr>
        <w:t>n</w:t>
      </w:r>
      <w:r w:rsidR="006F1343">
        <w:rPr>
          <w:rStyle w:val="Emphasis"/>
          <w:rFonts w:ascii="Calibri" w:hAnsi="Calibri" w:cs="Calibri"/>
          <w:i w:val="0"/>
        </w:rPr>
        <w:t xml:space="preserve"> las detalladas en la Tabla 5.24</w:t>
      </w:r>
      <w:r w:rsidR="00BF19F9">
        <w:rPr>
          <w:rStyle w:val="Emphasis"/>
          <w:rFonts w:ascii="Calibri" w:hAnsi="Calibri" w:cs="Calibri"/>
          <w:i w:val="0"/>
        </w:rPr>
        <w:t>.</w:t>
      </w:r>
    </w:p>
    <w:p w:rsidR="00D46085" w:rsidRPr="00B8148E" w:rsidRDefault="00D46085" w:rsidP="00D46085">
      <w:pPr>
        <w:spacing w:after="200" w:line="276" w:lineRule="auto"/>
        <w:jc w:val="center"/>
        <w:rPr>
          <w:rStyle w:val="Emphasis"/>
          <w:rFonts w:ascii="Calibri" w:hAnsi="Calibri" w:cs="Calibri"/>
          <w:b/>
          <w:i w:val="0"/>
        </w:rPr>
      </w:pPr>
      <w:r>
        <w:rPr>
          <w:rStyle w:val="Emphasis"/>
          <w:rFonts w:ascii="Calibri" w:hAnsi="Calibri" w:cs="Calibri"/>
          <w:b/>
          <w:i w:val="0"/>
        </w:rPr>
        <w:t xml:space="preserve">Tabla </w:t>
      </w:r>
      <w:r w:rsidR="00802E2B">
        <w:rPr>
          <w:rStyle w:val="Emphasis"/>
          <w:rFonts w:ascii="Calibri" w:hAnsi="Calibri" w:cs="Calibri"/>
          <w:b/>
          <w:i w:val="0"/>
        </w:rPr>
        <w:t>5.2</w:t>
      </w:r>
      <w:r w:rsidR="006F1343">
        <w:rPr>
          <w:rStyle w:val="Emphasis"/>
          <w:rFonts w:ascii="Calibri" w:hAnsi="Calibri" w:cs="Calibri"/>
          <w:b/>
          <w:i w:val="0"/>
        </w:rPr>
        <w:t>4</w:t>
      </w:r>
      <w:r w:rsidR="007F2F3F">
        <w:rPr>
          <w:rStyle w:val="Emphasis"/>
          <w:rFonts w:ascii="Calibri" w:hAnsi="Calibri" w:cs="Calibri"/>
          <w:b/>
          <w:i w:val="0"/>
        </w:rPr>
        <w:t>.</w:t>
      </w:r>
      <w:r w:rsidRPr="00B8148E">
        <w:rPr>
          <w:rStyle w:val="Emphasis"/>
          <w:rFonts w:ascii="Calibri" w:hAnsi="Calibri" w:cs="Calibri"/>
          <w:b/>
          <w:i w:val="0"/>
        </w:rPr>
        <w:t xml:space="preserve"> Listado de carreras de postgrado fortalecidas por facultad y universidad</w:t>
      </w:r>
      <w:r w:rsidR="00F94D37">
        <w:rPr>
          <w:rStyle w:val="Emphasis"/>
          <w:rFonts w:ascii="Calibri" w:hAnsi="Calibri" w:cs="Calibri"/>
          <w:b/>
          <w:i w:val="0"/>
        </w:rPr>
        <w:t>, incluyendo monto aprobado</w:t>
      </w:r>
    </w:p>
    <w:tbl>
      <w:tblPr>
        <w:tblW w:w="10632" w:type="dxa"/>
        <w:jc w:val="center"/>
        <w:tblCellMar>
          <w:left w:w="70" w:type="dxa"/>
          <w:right w:w="70" w:type="dxa"/>
        </w:tblCellMar>
        <w:tblLook w:val="04A0" w:firstRow="1" w:lastRow="0" w:firstColumn="1" w:lastColumn="0" w:noHBand="0" w:noVBand="1"/>
      </w:tblPr>
      <w:tblGrid>
        <w:gridCol w:w="517"/>
        <w:gridCol w:w="1413"/>
        <w:gridCol w:w="3387"/>
        <w:gridCol w:w="3549"/>
        <w:gridCol w:w="1766"/>
      </w:tblGrid>
      <w:tr w:rsidR="0019181B" w:rsidRPr="00423D84" w:rsidTr="0028130F">
        <w:trPr>
          <w:cantSplit/>
          <w:trHeight w:val="719"/>
          <w:tblHeader/>
          <w:jc w:val="center"/>
        </w:trPr>
        <w:tc>
          <w:tcPr>
            <w:tcW w:w="517" w:type="dxa"/>
            <w:tcBorders>
              <w:top w:val="nil"/>
              <w:left w:val="nil"/>
              <w:bottom w:val="nil"/>
              <w:right w:val="nil"/>
            </w:tcBorders>
            <w:shd w:val="clear" w:color="auto" w:fill="FFFFFF"/>
            <w:vAlign w:val="center"/>
            <w:hideMark/>
          </w:tcPr>
          <w:p w:rsidR="0019181B" w:rsidRPr="00423D84" w:rsidRDefault="0019181B" w:rsidP="008A2B0C">
            <w:pPr>
              <w:jc w:val="center"/>
              <w:rPr>
                <w:rFonts w:ascii="Calibri" w:eastAsia="Times New Roman" w:hAnsi="Calibri" w:cs="Calibri"/>
                <w:color w:val="FFFFFF"/>
                <w:sz w:val="20"/>
                <w:szCs w:val="20"/>
                <w:lang w:eastAsia="es-AR"/>
              </w:rPr>
            </w:pPr>
          </w:p>
        </w:tc>
        <w:tc>
          <w:tcPr>
            <w:tcW w:w="1413" w:type="dxa"/>
            <w:tcBorders>
              <w:top w:val="single" w:sz="4" w:space="0" w:color="auto"/>
              <w:left w:val="single" w:sz="4" w:space="0" w:color="auto"/>
              <w:bottom w:val="single" w:sz="4" w:space="0" w:color="auto"/>
              <w:right w:val="single" w:sz="4" w:space="0" w:color="auto"/>
            </w:tcBorders>
            <w:shd w:val="clear" w:color="auto" w:fill="244061"/>
            <w:vAlign w:val="center"/>
            <w:hideMark/>
          </w:tcPr>
          <w:p w:rsidR="0019181B" w:rsidRPr="00423D84" w:rsidRDefault="0019181B" w:rsidP="008A2B0C">
            <w:pPr>
              <w:jc w:val="center"/>
              <w:rPr>
                <w:rFonts w:ascii="Calibri" w:eastAsia="Times New Roman" w:hAnsi="Calibri" w:cs="Calibri"/>
                <w:b/>
                <w:bCs/>
                <w:color w:val="FFFFFF"/>
                <w:sz w:val="20"/>
                <w:szCs w:val="20"/>
                <w:lang w:eastAsia="es-AR"/>
              </w:rPr>
            </w:pPr>
            <w:r w:rsidRPr="00423D84">
              <w:rPr>
                <w:rFonts w:ascii="Calibri" w:eastAsia="Times New Roman" w:hAnsi="Calibri" w:cs="Calibri"/>
                <w:b/>
                <w:bCs/>
                <w:color w:val="FFFFFF"/>
                <w:sz w:val="20"/>
                <w:szCs w:val="20"/>
                <w:lang w:eastAsia="es-AR"/>
              </w:rPr>
              <w:t>Universidad</w:t>
            </w:r>
          </w:p>
        </w:tc>
        <w:tc>
          <w:tcPr>
            <w:tcW w:w="3387" w:type="dxa"/>
            <w:tcBorders>
              <w:top w:val="single" w:sz="4" w:space="0" w:color="auto"/>
              <w:left w:val="single" w:sz="4" w:space="0" w:color="auto"/>
              <w:bottom w:val="single" w:sz="4" w:space="0" w:color="auto"/>
              <w:right w:val="single" w:sz="4" w:space="0" w:color="auto"/>
            </w:tcBorders>
            <w:shd w:val="clear" w:color="auto" w:fill="244061"/>
            <w:vAlign w:val="center"/>
            <w:hideMark/>
          </w:tcPr>
          <w:p w:rsidR="0019181B" w:rsidRPr="00423D84" w:rsidRDefault="0019181B" w:rsidP="008A2B0C">
            <w:pPr>
              <w:jc w:val="center"/>
              <w:rPr>
                <w:rFonts w:ascii="Calibri" w:eastAsia="Times New Roman" w:hAnsi="Calibri" w:cs="Calibri"/>
                <w:b/>
                <w:bCs/>
                <w:color w:val="FFFFFF"/>
                <w:sz w:val="20"/>
                <w:szCs w:val="20"/>
                <w:lang w:eastAsia="es-AR"/>
              </w:rPr>
            </w:pPr>
            <w:r w:rsidRPr="00423D84">
              <w:rPr>
                <w:rFonts w:ascii="Calibri" w:eastAsia="Times New Roman" w:hAnsi="Calibri" w:cs="Calibri"/>
                <w:b/>
                <w:bCs/>
                <w:color w:val="FFFFFF"/>
                <w:sz w:val="20"/>
                <w:szCs w:val="20"/>
                <w:lang w:eastAsia="es-AR"/>
              </w:rPr>
              <w:t>Facultad / Instituto</w:t>
            </w:r>
          </w:p>
        </w:tc>
        <w:tc>
          <w:tcPr>
            <w:tcW w:w="3549" w:type="dxa"/>
            <w:tcBorders>
              <w:top w:val="single" w:sz="4" w:space="0" w:color="auto"/>
              <w:left w:val="single" w:sz="4" w:space="0" w:color="auto"/>
              <w:bottom w:val="single" w:sz="4" w:space="0" w:color="auto"/>
              <w:right w:val="single" w:sz="4" w:space="0" w:color="auto"/>
            </w:tcBorders>
            <w:shd w:val="clear" w:color="auto" w:fill="244061"/>
            <w:vAlign w:val="center"/>
            <w:hideMark/>
          </w:tcPr>
          <w:p w:rsidR="0019181B" w:rsidRPr="00423D84" w:rsidRDefault="0019181B" w:rsidP="008A2B0C">
            <w:pPr>
              <w:jc w:val="center"/>
              <w:rPr>
                <w:rFonts w:ascii="Calibri" w:eastAsia="Times New Roman" w:hAnsi="Calibri" w:cs="Calibri"/>
                <w:b/>
                <w:bCs/>
                <w:color w:val="FFFFFF"/>
                <w:sz w:val="20"/>
                <w:szCs w:val="20"/>
                <w:lang w:eastAsia="es-AR"/>
              </w:rPr>
            </w:pPr>
            <w:r w:rsidRPr="00423D84">
              <w:rPr>
                <w:rFonts w:ascii="Calibri" w:eastAsia="Times New Roman" w:hAnsi="Calibri" w:cs="Calibri"/>
                <w:b/>
                <w:bCs/>
                <w:color w:val="FFFFFF"/>
                <w:sz w:val="20"/>
                <w:szCs w:val="20"/>
                <w:lang w:eastAsia="es-AR"/>
              </w:rPr>
              <w:t>Carrera</w:t>
            </w:r>
          </w:p>
        </w:tc>
        <w:tc>
          <w:tcPr>
            <w:tcW w:w="1766" w:type="dxa"/>
            <w:tcBorders>
              <w:top w:val="single" w:sz="4" w:space="0" w:color="auto"/>
              <w:left w:val="single" w:sz="4" w:space="0" w:color="auto"/>
              <w:right w:val="single" w:sz="4" w:space="0" w:color="auto"/>
            </w:tcBorders>
            <w:shd w:val="clear" w:color="auto" w:fill="244061"/>
          </w:tcPr>
          <w:p w:rsidR="0019181B" w:rsidRDefault="0019181B" w:rsidP="008A2B0C">
            <w:pPr>
              <w:jc w:val="center"/>
              <w:rPr>
                <w:rFonts w:ascii="Calibri" w:eastAsia="Times New Roman" w:hAnsi="Calibri" w:cs="Calibri"/>
                <w:b/>
                <w:bCs/>
                <w:color w:val="FFFFFF"/>
                <w:sz w:val="20"/>
                <w:szCs w:val="20"/>
                <w:lang w:eastAsia="es-AR"/>
              </w:rPr>
            </w:pPr>
          </w:p>
          <w:p w:rsidR="0019181B" w:rsidRDefault="00F94D37" w:rsidP="008A2B0C">
            <w:pPr>
              <w:jc w:val="center"/>
              <w:rPr>
                <w:rFonts w:ascii="Calibri" w:eastAsia="Times New Roman" w:hAnsi="Calibri" w:cs="Calibri"/>
                <w:b/>
                <w:bCs/>
                <w:color w:val="FFFFFF"/>
                <w:sz w:val="20"/>
                <w:szCs w:val="20"/>
                <w:lang w:eastAsia="es-AR"/>
              </w:rPr>
            </w:pPr>
            <w:r>
              <w:rPr>
                <w:rFonts w:ascii="Calibri" w:eastAsia="Times New Roman" w:hAnsi="Calibri" w:cs="Calibri"/>
                <w:b/>
                <w:bCs/>
                <w:color w:val="FFFFFF"/>
                <w:sz w:val="20"/>
                <w:szCs w:val="20"/>
                <w:lang w:eastAsia="es-AR"/>
              </w:rPr>
              <w:t>Monto aprobado</w:t>
            </w:r>
          </w:p>
          <w:p w:rsidR="0019181B" w:rsidRPr="00423D84" w:rsidRDefault="0019181B" w:rsidP="008A2B0C">
            <w:pPr>
              <w:jc w:val="center"/>
              <w:rPr>
                <w:rFonts w:ascii="Calibri" w:eastAsia="Times New Roman" w:hAnsi="Calibri" w:cs="Calibri"/>
                <w:b/>
                <w:bCs/>
                <w:color w:val="FFFFFF"/>
                <w:sz w:val="20"/>
                <w:szCs w:val="20"/>
                <w:lang w:eastAsia="es-AR"/>
              </w:rPr>
            </w:pPr>
            <w:r>
              <w:rPr>
                <w:rFonts w:ascii="Calibri" w:eastAsia="Times New Roman" w:hAnsi="Calibri" w:cs="Calibri"/>
                <w:b/>
                <w:bCs/>
                <w:color w:val="FFFFFF"/>
                <w:sz w:val="20"/>
                <w:szCs w:val="20"/>
                <w:lang w:eastAsia="es-AR"/>
              </w:rPr>
              <w:t>(en miles de USD)</w:t>
            </w:r>
          </w:p>
        </w:tc>
      </w:tr>
      <w:tr w:rsidR="0019181B" w:rsidRPr="00B524B8" w:rsidTr="0028130F">
        <w:trPr>
          <w:trHeight w:val="300"/>
          <w:jc w:val="center"/>
        </w:trPr>
        <w:tc>
          <w:tcPr>
            <w:tcW w:w="51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19181B" w:rsidRPr="009D6DD5" w:rsidRDefault="0019181B" w:rsidP="008A2B0C">
            <w:pPr>
              <w:jc w:val="cente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1ª convocatoria</w:t>
            </w:r>
          </w:p>
        </w:tc>
        <w:tc>
          <w:tcPr>
            <w:tcW w:w="1413"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UNA</w:t>
            </w:r>
          </w:p>
        </w:tc>
        <w:tc>
          <w:tcPr>
            <w:tcW w:w="3387"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Facultad de Ingeniería</w:t>
            </w:r>
          </w:p>
        </w:tc>
        <w:tc>
          <w:tcPr>
            <w:tcW w:w="3549"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Maestría en Ingeniería Civil</w:t>
            </w:r>
          </w:p>
        </w:tc>
        <w:tc>
          <w:tcPr>
            <w:tcW w:w="1766" w:type="dxa"/>
            <w:tcBorders>
              <w:top w:val="nil"/>
              <w:left w:val="nil"/>
              <w:bottom w:val="single" w:sz="4" w:space="0" w:color="auto"/>
              <w:right w:val="single" w:sz="4" w:space="0" w:color="auto"/>
            </w:tcBorders>
            <w:vAlign w:val="center"/>
          </w:tcPr>
          <w:p w:rsidR="0019181B" w:rsidRPr="009D6DD5" w:rsidRDefault="00E10FD1" w:rsidP="00E10FD1">
            <w:pPr>
              <w:jc w:val="center"/>
              <w:rPr>
                <w:rFonts w:ascii="Calibri" w:eastAsia="Times New Roman" w:hAnsi="Calibri" w:cs="Calibri"/>
                <w:color w:val="000000"/>
                <w:sz w:val="18"/>
                <w:szCs w:val="18"/>
                <w:lang w:eastAsia="es-AR"/>
              </w:rPr>
            </w:pPr>
            <w:r>
              <w:rPr>
                <w:rFonts w:ascii="Calibri" w:eastAsia="Times New Roman" w:hAnsi="Calibri" w:cs="Calibri"/>
                <w:color w:val="000000"/>
                <w:sz w:val="18"/>
                <w:szCs w:val="18"/>
                <w:lang w:eastAsia="es-AR"/>
              </w:rPr>
              <w:t>100.000</w:t>
            </w:r>
          </w:p>
        </w:tc>
      </w:tr>
      <w:tr w:rsidR="0019181B" w:rsidRPr="00B524B8" w:rsidTr="0028130F">
        <w:trPr>
          <w:trHeight w:val="300"/>
          <w:jc w:val="center"/>
        </w:trPr>
        <w:tc>
          <w:tcPr>
            <w:tcW w:w="517" w:type="dxa"/>
            <w:vMerge/>
            <w:tcBorders>
              <w:top w:val="single" w:sz="4" w:space="0" w:color="auto"/>
              <w:left w:val="single" w:sz="4" w:space="0" w:color="auto"/>
              <w:bottom w:val="single" w:sz="4" w:space="0" w:color="auto"/>
              <w:right w:val="single" w:sz="4" w:space="0" w:color="auto"/>
            </w:tcBorders>
            <w:vAlign w:val="center"/>
            <w:hideMark/>
          </w:tcPr>
          <w:p w:rsidR="0019181B" w:rsidRPr="009D6DD5" w:rsidRDefault="0019181B" w:rsidP="008A2B0C">
            <w:pPr>
              <w:rPr>
                <w:rFonts w:ascii="Calibri" w:eastAsia="Times New Roman" w:hAnsi="Calibri" w:cs="Calibri"/>
                <w:color w:val="000000"/>
                <w:sz w:val="18"/>
                <w:szCs w:val="18"/>
                <w:lang w:eastAsia="es-AR"/>
              </w:rPr>
            </w:pPr>
          </w:p>
        </w:tc>
        <w:tc>
          <w:tcPr>
            <w:tcW w:w="1413"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UNA</w:t>
            </w:r>
          </w:p>
        </w:tc>
        <w:tc>
          <w:tcPr>
            <w:tcW w:w="3387"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Facultad de Ciencias Químicas</w:t>
            </w:r>
          </w:p>
        </w:tc>
        <w:tc>
          <w:tcPr>
            <w:tcW w:w="3549"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Doctorado en Ciencias Farmacéuticas</w:t>
            </w:r>
          </w:p>
        </w:tc>
        <w:tc>
          <w:tcPr>
            <w:tcW w:w="1766" w:type="dxa"/>
            <w:tcBorders>
              <w:top w:val="nil"/>
              <w:left w:val="nil"/>
              <w:bottom w:val="single" w:sz="4" w:space="0" w:color="auto"/>
              <w:right w:val="single" w:sz="4" w:space="0" w:color="auto"/>
            </w:tcBorders>
            <w:vAlign w:val="center"/>
          </w:tcPr>
          <w:p w:rsidR="0019181B" w:rsidRPr="009D6DD5" w:rsidRDefault="005B4F1C" w:rsidP="00E10FD1">
            <w:pPr>
              <w:jc w:val="center"/>
              <w:rPr>
                <w:rFonts w:ascii="Calibri" w:eastAsia="Times New Roman" w:hAnsi="Calibri" w:cs="Calibri"/>
                <w:color w:val="000000"/>
                <w:sz w:val="18"/>
                <w:szCs w:val="18"/>
                <w:lang w:eastAsia="es-AR"/>
              </w:rPr>
            </w:pPr>
            <w:r>
              <w:rPr>
                <w:rFonts w:ascii="Calibri" w:eastAsia="Times New Roman" w:hAnsi="Calibri" w:cs="Calibri"/>
                <w:color w:val="000000"/>
                <w:sz w:val="18"/>
                <w:szCs w:val="18"/>
                <w:lang w:eastAsia="es-AR"/>
              </w:rPr>
              <w:t>18.496</w:t>
            </w:r>
          </w:p>
        </w:tc>
      </w:tr>
      <w:tr w:rsidR="0019181B" w:rsidRPr="00B524B8" w:rsidTr="0028130F">
        <w:trPr>
          <w:trHeight w:val="300"/>
          <w:jc w:val="center"/>
        </w:trPr>
        <w:tc>
          <w:tcPr>
            <w:tcW w:w="517" w:type="dxa"/>
            <w:vMerge/>
            <w:tcBorders>
              <w:top w:val="single" w:sz="4" w:space="0" w:color="auto"/>
              <w:left w:val="single" w:sz="4" w:space="0" w:color="auto"/>
              <w:bottom w:val="single" w:sz="4" w:space="0" w:color="auto"/>
              <w:right w:val="single" w:sz="4" w:space="0" w:color="auto"/>
            </w:tcBorders>
            <w:vAlign w:val="center"/>
            <w:hideMark/>
          </w:tcPr>
          <w:p w:rsidR="0019181B" w:rsidRPr="009D6DD5" w:rsidRDefault="0019181B" w:rsidP="008A2B0C">
            <w:pPr>
              <w:rPr>
                <w:rFonts w:ascii="Calibri" w:eastAsia="Times New Roman" w:hAnsi="Calibri" w:cs="Calibri"/>
                <w:color w:val="000000"/>
                <w:sz w:val="18"/>
                <w:szCs w:val="18"/>
                <w:lang w:eastAsia="es-AR"/>
              </w:rPr>
            </w:pPr>
          </w:p>
        </w:tc>
        <w:tc>
          <w:tcPr>
            <w:tcW w:w="1413"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UNA</w:t>
            </w:r>
          </w:p>
        </w:tc>
        <w:tc>
          <w:tcPr>
            <w:tcW w:w="3387"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Facultad de Ciencias Exactas y Naturales</w:t>
            </w:r>
          </w:p>
        </w:tc>
        <w:tc>
          <w:tcPr>
            <w:tcW w:w="3549"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Maestría en Fisicoquímica Ambiental</w:t>
            </w:r>
          </w:p>
        </w:tc>
        <w:tc>
          <w:tcPr>
            <w:tcW w:w="1766" w:type="dxa"/>
            <w:tcBorders>
              <w:top w:val="nil"/>
              <w:left w:val="nil"/>
              <w:bottom w:val="single" w:sz="4" w:space="0" w:color="auto"/>
              <w:right w:val="single" w:sz="4" w:space="0" w:color="auto"/>
            </w:tcBorders>
            <w:vAlign w:val="center"/>
          </w:tcPr>
          <w:p w:rsidR="0019181B" w:rsidRPr="009D6DD5" w:rsidRDefault="005B4F1C" w:rsidP="00E10FD1">
            <w:pPr>
              <w:jc w:val="center"/>
              <w:rPr>
                <w:rFonts w:ascii="Calibri" w:eastAsia="Times New Roman" w:hAnsi="Calibri" w:cs="Calibri"/>
                <w:color w:val="000000"/>
                <w:sz w:val="18"/>
                <w:szCs w:val="18"/>
                <w:lang w:eastAsia="es-AR"/>
              </w:rPr>
            </w:pPr>
            <w:r>
              <w:rPr>
                <w:rFonts w:ascii="Calibri" w:eastAsia="Times New Roman" w:hAnsi="Calibri" w:cs="Calibri"/>
                <w:color w:val="000000"/>
                <w:sz w:val="18"/>
                <w:szCs w:val="18"/>
                <w:lang w:eastAsia="es-AR"/>
              </w:rPr>
              <w:t>100.000</w:t>
            </w:r>
          </w:p>
        </w:tc>
      </w:tr>
      <w:tr w:rsidR="0019181B" w:rsidRPr="00B524B8" w:rsidTr="0028130F">
        <w:trPr>
          <w:trHeight w:val="300"/>
          <w:jc w:val="center"/>
        </w:trPr>
        <w:tc>
          <w:tcPr>
            <w:tcW w:w="517" w:type="dxa"/>
            <w:vMerge/>
            <w:tcBorders>
              <w:top w:val="single" w:sz="4" w:space="0" w:color="auto"/>
              <w:left w:val="single" w:sz="4" w:space="0" w:color="auto"/>
              <w:bottom w:val="single" w:sz="4" w:space="0" w:color="auto"/>
              <w:right w:val="single" w:sz="4" w:space="0" w:color="auto"/>
            </w:tcBorders>
            <w:vAlign w:val="center"/>
            <w:hideMark/>
          </w:tcPr>
          <w:p w:rsidR="0019181B" w:rsidRPr="009D6DD5" w:rsidRDefault="0019181B" w:rsidP="008A2B0C">
            <w:pPr>
              <w:rPr>
                <w:rFonts w:ascii="Calibri" w:eastAsia="Times New Roman" w:hAnsi="Calibri" w:cs="Calibri"/>
                <w:color w:val="000000"/>
                <w:sz w:val="18"/>
                <w:szCs w:val="18"/>
                <w:lang w:eastAsia="es-AR"/>
              </w:rPr>
            </w:pPr>
          </w:p>
        </w:tc>
        <w:tc>
          <w:tcPr>
            <w:tcW w:w="1413"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UNA</w:t>
            </w:r>
          </w:p>
        </w:tc>
        <w:tc>
          <w:tcPr>
            <w:tcW w:w="3387"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Facultad de Ciencias Agrarias</w:t>
            </w:r>
          </w:p>
        </w:tc>
        <w:tc>
          <w:tcPr>
            <w:tcW w:w="3549"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 xml:space="preserve">Maestría en Ciencias del Suelo y ordenamiento territorial </w:t>
            </w:r>
          </w:p>
        </w:tc>
        <w:tc>
          <w:tcPr>
            <w:tcW w:w="1766" w:type="dxa"/>
            <w:tcBorders>
              <w:top w:val="nil"/>
              <w:left w:val="nil"/>
              <w:bottom w:val="single" w:sz="4" w:space="0" w:color="auto"/>
              <w:right w:val="single" w:sz="4" w:space="0" w:color="auto"/>
            </w:tcBorders>
            <w:vAlign w:val="center"/>
          </w:tcPr>
          <w:p w:rsidR="0019181B" w:rsidRPr="009D6DD5" w:rsidRDefault="005B4F1C" w:rsidP="00E10FD1">
            <w:pPr>
              <w:jc w:val="center"/>
              <w:rPr>
                <w:rFonts w:ascii="Calibri" w:eastAsia="Times New Roman" w:hAnsi="Calibri" w:cs="Calibri"/>
                <w:color w:val="000000"/>
                <w:sz w:val="18"/>
                <w:szCs w:val="18"/>
                <w:lang w:eastAsia="es-AR"/>
              </w:rPr>
            </w:pPr>
            <w:r>
              <w:rPr>
                <w:rFonts w:ascii="Calibri" w:eastAsia="Times New Roman" w:hAnsi="Calibri" w:cs="Calibri"/>
                <w:color w:val="000000"/>
                <w:sz w:val="18"/>
                <w:szCs w:val="18"/>
                <w:lang w:eastAsia="es-AR"/>
              </w:rPr>
              <w:t>100.000</w:t>
            </w:r>
          </w:p>
        </w:tc>
      </w:tr>
      <w:tr w:rsidR="0019181B" w:rsidRPr="00B524B8" w:rsidTr="0028130F">
        <w:trPr>
          <w:trHeight w:val="300"/>
          <w:jc w:val="center"/>
        </w:trPr>
        <w:tc>
          <w:tcPr>
            <w:tcW w:w="517" w:type="dxa"/>
            <w:vMerge/>
            <w:tcBorders>
              <w:top w:val="single" w:sz="4" w:space="0" w:color="auto"/>
              <w:left w:val="single" w:sz="4" w:space="0" w:color="auto"/>
              <w:bottom w:val="single" w:sz="4" w:space="0" w:color="auto"/>
              <w:right w:val="single" w:sz="4" w:space="0" w:color="auto"/>
            </w:tcBorders>
            <w:vAlign w:val="center"/>
            <w:hideMark/>
          </w:tcPr>
          <w:p w:rsidR="0019181B" w:rsidRPr="009D6DD5" w:rsidRDefault="0019181B" w:rsidP="008A2B0C">
            <w:pPr>
              <w:rPr>
                <w:rFonts w:ascii="Calibri" w:eastAsia="Times New Roman" w:hAnsi="Calibri" w:cs="Calibri"/>
                <w:color w:val="000000"/>
                <w:sz w:val="18"/>
                <w:szCs w:val="18"/>
                <w:lang w:eastAsia="es-AR"/>
              </w:rPr>
            </w:pPr>
          </w:p>
        </w:tc>
        <w:tc>
          <w:tcPr>
            <w:tcW w:w="1413"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UNA</w:t>
            </w:r>
          </w:p>
        </w:tc>
        <w:tc>
          <w:tcPr>
            <w:tcW w:w="3387"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Facultad Politécnica</w:t>
            </w:r>
          </w:p>
        </w:tc>
        <w:tc>
          <w:tcPr>
            <w:tcW w:w="3549"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 xml:space="preserve">Maestría y Doctorado en Informática </w:t>
            </w:r>
          </w:p>
        </w:tc>
        <w:tc>
          <w:tcPr>
            <w:tcW w:w="1766" w:type="dxa"/>
            <w:tcBorders>
              <w:top w:val="nil"/>
              <w:left w:val="nil"/>
              <w:bottom w:val="single" w:sz="4" w:space="0" w:color="auto"/>
              <w:right w:val="single" w:sz="4" w:space="0" w:color="auto"/>
            </w:tcBorders>
            <w:vAlign w:val="center"/>
          </w:tcPr>
          <w:p w:rsidR="0019181B" w:rsidRPr="009D6DD5" w:rsidRDefault="005B4F1C" w:rsidP="00E10FD1">
            <w:pPr>
              <w:jc w:val="center"/>
              <w:rPr>
                <w:rFonts w:ascii="Calibri" w:eastAsia="Times New Roman" w:hAnsi="Calibri" w:cs="Calibri"/>
                <w:color w:val="000000"/>
                <w:sz w:val="18"/>
                <w:szCs w:val="18"/>
                <w:lang w:eastAsia="es-AR"/>
              </w:rPr>
            </w:pPr>
            <w:r>
              <w:rPr>
                <w:rFonts w:ascii="Calibri" w:eastAsia="Times New Roman" w:hAnsi="Calibri" w:cs="Calibri"/>
                <w:color w:val="000000"/>
                <w:sz w:val="18"/>
                <w:szCs w:val="18"/>
                <w:lang w:eastAsia="es-AR"/>
              </w:rPr>
              <w:t>100.000</w:t>
            </w:r>
          </w:p>
        </w:tc>
      </w:tr>
      <w:tr w:rsidR="0019181B" w:rsidRPr="00B524B8" w:rsidTr="0028130F">
        <w:trPr>
          <w:trHeight w:val="300"/>
          <w:jc w:val="center"/>
        </w:trPr>
        <w:tc>
          <w:tcPr>
            <w:tcW w:w="517" w:type="dxa"/>
            <w:vMerge/>
            <w:tcBorders>
              <w:top w:val="single" w:sz="4" w:space="0" w:color="auto"/>
              <w:left w:val="single" w:sz="4" w:space="0" w:color="auto"/>
              <w:bottom w:val="single" w:sz="4" w:space="0" w:color="auto"/>
              <w:right w:val="single" w:sz="4" w:space="0" w:color="auto"/>
            </w:tcBorders>
            <w:vAlign w:val="center"/>
            <w:hideMark/>
          </w:tcPr>
          <w:p w:rsidR="0019181B" w:rsidRPr="009D6DD5" w:rsidRDefault="0019181B" w:rsidP="008A2B0C">
            <w:pPr>
              <w:rPr>
                <w:rFonts w:ascii="Calibri" w:eastAsia="Times New Roman" w:hAnsi="Calibri" w:cs="Calibri"/>
                <w:color w:val="000000"/>
                <w:sz w:val="18"/>
                <w:szCs w:val="18"/>
                <w:lang w:eastAsia="es-AR"/>
              </w:rPr>
            </w:pPr>
          </w:p>
        </w:tc>
        <w:tc>
          <w:tcPr>
            <w:tcW w:w="1413"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UNA</w:t>
            </w:r>
          </w:p>
        </w:tc>
        <w:tc>
          <w:tcPr>
            <w:tcW w:w="3387"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Instituto de Investigaciones en Ciencias de la Salud</w:t>
            </w:r>
          </w:p>
        </w:tc>
        <w:tc>
          <w:tcPr>
            <w:tcW w:w="3549"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 xml:space="preserve">Maestría en Ciencias Biomédicas </w:t>
            </w:r>
          </w:p>
        </w:tc>
        <w:tc>
          <w:tcPr>
            <w:tcW w:w="1766" w:type="dxa"/>
            <w:tcBorders>
              <w:top w:val="nil"/>
              <w:left w:val="nil"/>
              <w:bottom w:val="single" w:sz="4" w:space="0" w:color="auto"/>
              <w:right w:val="single" w:sz="4" w:space="0" w:color="auto"/>
            </w:tcBorders>
            <w:vAlign w:val="center"/>
          </w:tcPr>
          <w:p w:rsidR="0019181B" w:rsidRPr="009D6DD5" w:rsidRDefault="005B4F1C" w:rsidP="00E10FD1">
            <w:pPr>
              <w:jc w:val="center"/>
              <w:rPr>
                <w:rFonts w:ascii="Calibri" w:eastAsia="Times New Roman" w:hAnsi="Calibri" w:cs="Calibri"/>
                <w:color w:val="000000"/>
                <w:sz w:val="18"/>
                <w:szCs w:val="18"/>
                <w:lang w:eastAsia="es-AR"/>
              </w:rPr>
            </w:pPr>
            <w:r>
              <w:rPr>
                <w:rFonts w:ascii="Calibri" w:eastAsia="Times New Roman" w:hAnsi="Calibri" w:cs="Calibri"/>
                <w:color w:val="000000"/>
                <w:sz w:val="18"/>
                <w:szCs w:val="18"/>
                <w:lang w:eastAsia="es-AR"/>
              </w:rPr>
              <w:t>100.000</w:t>
            </w:r>
          </w:p>
        </w:tc>
      </w:tr>
      <w:tr w:rsidR="0019181B" w:rsidRPr="00B524B8" w:rsidTr="0028130F">
        <w:trPr>
          <w:trHeight w:val="300"/>
          <w:jc w:val="center"/>
        </w:trPr>
        <w:tc>
          <w:tcPr>
            <w:tcW w:w="5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181B" w:rsidRPr="009D6DD5" w:rsidRDefault="0019181B" w:rsidP="008A2B0C">
            <w:pPr>
              <w:jc w:val="cente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2ª convocatoria</w:t>
            </w:r>
          </w:p>
        </w:tc>
        <w:tc>
          <w:tcPr>
            <w:tcW w:w="1413"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Universidad Nacional de Pedro Juan Caballero)</w:t>
            </w:r>
          </w:p>
        </w:tc>
        <w:tc>
          <w:tcPr>
            <w:tcW w:w="3387"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Facultad de Ciencias Agrarias</w:t>
            </w:r>
          </w:p>
        </w:tc>
        <w:tc>
          <w:tcPr>
            <w:tcW w:w="3549"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Maestría en Manejo de Recursos Naturales y Gestión Ambiental del Territorio</w:t>
            </w:r>
          </w:p>
        </w:tc>
        <w:tc>
          <w:tcPr>
            <w:tcW w:w="1766" w:type="dxa"/>
            <w:tcBorders>
              <w:top w:val="nil"/>
              <w:left w:val="nil"/>
              <w:bottom w:val="single" w:sz="4" w:space="0" w:color="auto"/>
              <w:right w:val="single" w:sz="4" w:space="0" w:color="auto"/>
            </w:tcBorders>
            <w:vAlign w:val="center"/>
          </w:tcPr>
          <w:p w:rsidR="009429B0" w:rsidRDefault="009429B0" w:rsidP="00C8168F">
            <w:pPr>
              <w:jc w:val="center"/>
              <w:rPr>
                <w:rFonts w:ascii="Calibri" w:eastAsia="Times New Roman" w:hAnsi="Calibri" w:cs="Calibri"/>
                <w:color w:val="000000"/>
                <w:sz w:val="18"/>
                <w:szCs w:val="18"/>
                <w:lang w:eastAsia="es-AR"/>
              </w:rPr>
            </w:pPr>
          </w:p>
          <w:p w:rsidR="0019181B" w:rsidRPr="009D6DD5" w:rsidRDefault="009429B0" w:rsidP="00E10FD1">
            <w:pPr>
              <w:jc w:val="center"/>
              <w:rPr>
                <w:rFonts w:ascii="Calibri" w:eastAsia="Times New Roman" w:hAnsi="Calibri" w:cs="Calibri"/>
                <w:color w:val="000000"/>
                <w:sz w:val="18"/>
                <w:szCs w:val="18"/>
                <w:lang w:eastAsia="es-AR"/>
              </w:rPr>
            </w:pPr>
            <w:r>
              <w:rPr>
                <w:rFonts w:ascii="Calibri" w:eastAsia="Times New Roman" w:hAnsi="Calibri" w:cs="Calibri"/>
                <w:color w:val="000000"/>
                <w:sz w:val="18"/>
                <w:szCs w:val="18"/>
                <w:lang w:eastAsia="es-AR"/>
              </w:rPr>
              <w:t>99.487,5</w:t>
            </w:r>
          </w:p>
        </w:tc>
      </w:tr>
      <w:tr w:rsidR="0019181B" w:rsidRPr="00B524B8" w:rsidTr="0028130F">
        <w:trPr>
          <w:trHeight w:val="300"/>
          <w:jc w:val="center"/>
        </w:trPr>
        <w:tc>
          <w:tcPr>
            <w:tcW w:w="5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181B" w:rsidRPr="009D6DD5" w:rsidRDefault="0019181B" w:rsidP="008A2B0C">
            <w:pPr>
              <w:rPr>
                <w:rFonts w:ascii="Calibri" w:eastAsia="Times New Roman" w:hAnsi="Calibri" w:cs="Calibri"/>
                <w:color w:val="000000"/>
                <w:sz w:val="18"/>
                <w:szCs w:val="18"/>
                <w:lang w:eastAsia="es-AR"/>
              </w:rPr>
            </w:pPr>
          </w:p>
        </w:tc>
        <w:tc>
          <w:tcPr>
            <w:tcW w:w="1413"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UNE</w:t>
            </w:r>
          </w:p>
        </w:tc>
        <w:tc>
          <w:tcPr>
            <w:tcW w:w="3387"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Facultad Politécnica</w:t>
            </w:r>
          </w:p>
        </w:tc>
        <w:tc>
          <w:tcPr>
            <w:tcW w:w="3549"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Maestría en Informática y Computación</w:t>
            </w:r>
          </w:p>
        </w:tc>
        <w:tc>
          <w:tcPr>
            <w:tcW w:w="1766" w:type="dxa"/>
            <w:tcBorders>
              <w:top w:val="nil"/>
              <w:left w:val="nil"/>
              <w:bottom w:val="single" w:sz="4" w:space="0" w:color="auto"/>
              <w:right w:val="single" w:sz="4" w:space="0" w:color="auto"/>
            </w:tcBorders>
            <w:vAlign w:val="center"/>
          </w:tcPr>
          <w:p w:rsidR="0019181B" w:rsidRPr="009D6DD5" w:rsidRDefault="005B4F1C" w:rsidP="00E10FD1">
            <w:pPr>
              <w:jc w:val="center"/>
              <w:rPr>
                <w:rFonts w:ascii="Calibri" w:eastAsia="Times New Roman" w:hAnsi="Calibri" w:cs="Calibri"/>
                <w:color w:val="000000"/>
                <w:sz w:val="18"/>
                <w:szCs w:val="18"/>
                <w:lang w:eastAsia="es-AR"/>
              </w:rPr>
            </w:pPr>
            <w:r>
              <w:rPr>
                <w:rFonts w:ascii="Calibri" w:eastAsia="Times New Roman" w:hAnsi="Calibri" w:cs="Calibri"/>
                <w:color w:val="000000"/>
                <w:sz w:val="18"/>
                <w:szCs w:val="18"/>
                <w:lang w:eastAsia="es-AR"/>
              </w:rPr>
              <w:t>100.000</w:t>
            </w:r>
          </w:p>
        </w:tc>
      </w:tr>
      <w:tr w:rsidR="0019181B" w:rsidRPr="00B524B8" w:rsidTr="0028130F">
        <w:trPr>
          <w:trHeight w:val="300"/>
          <w:jc w:val="center"/>
        </w:trPr>
        <w:tc>
          <w:tcPr>
            <w:tcW w:w="5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181B" w:rsidRPr="009D6DD5" w:rsidRDefault="0019181B" w:rsidP="008A2B0C">
            <w:pPr>
              <w:rPr>
                <w:rFonts w:ascii="Calibri" w:eastAsia="Times New Roman" w:hAnsi="Calibri" w:cs="Calibri"/>
                <w:color w:val="000000"/>
                <w:sz w:val="18"/>
                <w:szCs w:val="18"/>
                <w:lang w:eastAsia="es-AR"/>
              </w:rPr>
            </w:pPr>
          </w:p>
        </w:tc>
        <w:tc>
          <w:tcPr>
            <w:tcW w:w="1413"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UNI</w:t>
            </w:r>
          </w:p>
        </w:tc>
        <w:tc>
          <w:tcPr>
            <w:tcW w:w="3387"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 xml:space="preserve">Escuela de Postgrados, Filial Encarnación </w:t>
            </w:r>
          </w:p>
        </w:tc>
        <w:tc>
          <w:tcPr>
            <w:tcW w:w="3549"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Maestría en Gestión Ambiental</w:t>
            </w:r>
          </w:p>
        </w:tc>
        <w:tc>
          <w:tcPr>
            <w:tcW w:w="1766" w:type="dxa"/>
            <w:tcBorders>
              <w:top w:val="nil"/>
              <w:left w:val="nil"/>
              <w:bottom w:val="single" w:sz="4" w:space="0" w:color="auto"/>
              <w:right w:val="single" w:sz="4" w:space="0" w:color="auto"/>
            </w:tcBorders>
            <w:vAlign w:val="center"/>
          </w:tcPr>
          <w:p w:rsidR="0019181B" w:rsidRPr="009D6DD5" w:rsidRDefault="00316459" w:rsidP="00E10FD1">
            <w:pPr>
              <w:jc w:val="center"/>
              <w:rPr>
                <w:rFonts w:ascii="Calibri" w:eastAsia="Times New Roman" w:hAnsi="Calibri" w:cs="Calibri"/>
                <w:color w:val="000000"/>
                <w:sz w:val="18"/>
                <w:szCs w:val="18"/>
                <w:lang w:eastAsia="es-AR"/>
              </w:rPr>
            </w:pPr>
            <w:r>
              <w:rPr>
                <w:rFonts w:ascii="Calibri" w:eastAsia="Times New Roman" w:hAnsi="Calibri" w:cs="Calibri"/>
                <w:color w:val="000000"/>
                <w:sz w:val="18"/>
                <w:szCs w:val="18"/>
                <w:lang w:eastAsia="es-AR"/>
              </w:rPr>
              <w:t>69.105,1</w:t>
            </w:r>
          </w:p>
        </w:tc>
      </w:tr>
      <w:tr w:rsidR="0019181B" w:rsidRPr="00B524B8" w:rsidTr="0028130F">
        <w:trPr>
          <w:trHeight w:val="300"/>
          <w:jc w:val="center"/>
        </w:trPr>
        <w:tc>
          <w:tcPr>
            <w:tcW w:w="5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181B" w:rsidRPr="009D6DD5" w:rsidRDefault="0019181B" w:rsidP="008A2B0C">
            <w:pPr>
              <w:rPr>
                <w:rFonts w:ascii="Calibri" w:eastAsia="Times New Roman" w:hAnsi="Calibri" w:cs="Calibri"/>
                <w:color w:val="000000"/>
                <w:sz w:val="18"/>
                <w:szCs w:val="18"/>
                <w:lang w:eastAsia="es-AR"/>
              </w:rPr>
            </w:pPr>
          </w:p>
        </w:tc>
        <w:tc>
          <w:tcPr>
            <w:tcW w:w="1413"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UNE</w:t>
            </w:r>
          </w:p>
        </w:tc>
        <w:tc>
          <w:tcPr>
            <w:tcW w:w="3387"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 xml:space="preserve"> Facultad de Ciencias de la Salud</w:t>
            </w:r>
          </w:p>
        </w:tc>
        <w:tc>
          <w:tcPr>
            <w:tcW w:w="3549"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Maestría y Doctorado en Ciencias Médicas</w:t>
            </w:r>
          </w:p>
        </w:tc>
        <w:tc>
          <w:tcPr>
            <w:tcW w:w="1766" w:type="dxa"/>
            <w:tcBorders>
              <w:top w:val="nil"/>
              <w:left w:val="nil"/>
              <w:bottom w:val="single" w:sz="4" w:space="0" w:color="auto"/>
              <w:right w:val="single" w:sz="4" w:space="0" w:color="auto"/>
            </w:tcBorders>
            <w:vAlign w:val="center"/>
          </w:tcPr>
          <w:p w:rsidR="0019181B" w:rsidRPr="009D6DD5" w:rsidRDefault="005B4F1C" w:rsidP="00E10FD1">
            <w:pPr>
              <w:jc w:val="center"/>
              <w:rPr>
                <w:rFonts w:ascii="Calibri" w:eastAsia="Times New Roman" w:hAnsi="Calibri" w:cs="Calibri"/>
                <w:color w:val="000000"/>
                <w:sz w:val="18"/>
                <w:szCs w:val="18"/>
                <w:lang w:eastAsia="es-AR"/>
              </w:rPr>
            </w:pPr>
            <w:r>
              <w:rPr>
                <w:rFonts w:ascii="Calibri" w:eastAsia="Times New Roman" w:hAnsi="Calibri" w:cs="Calibri"/>
                <w:color w:val="000000"/>
                <w:sz w:val="18"/>
                <w:szCs w:val="18"/>
                <w:lang w:eastAsia="es-AR"/>
              </w:rPr>
              <w:t>100.000</w:t>
            </w:r>
          </w:p>
        </w:tc>
      </w:tr>
      <w:tr w:rsidR="0019181B" w:rsidRPr="00B524B8" w:rsidTr="0028130F">
        <w:trPr>
          <w:trHeight w:val="300"/>
          <w:jc w:val="center"/>
        </w:trPr>
        <w:tc>
          <w:tcPr>
            <w:tcW w:w="5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181B" w:rsidRPr="009D6DD5" w:rsidRDefault="0019181B" w:rsidP="008A2B0C">
            <w:pPr>
              <w:rPr>
                <w:rFonts w:ascii="Calibri" w:eastAsia="Times New Roman" w:hAnsi="Calibri" w:cs="Calibri"/>
                <w:color w:val="000000"/>
                <w:sz w:val="18"/>
                <w:szCs w:val="18"/>
                <w:lang w:eastAsia="es-AR"/>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Universidad Nacional de Asunción (Filial Villa Rica)</w:t>
            </w:r>
          </w:p>
        </w:tc>
        <w:tc>
          <w:tcPr>
            <w:tcW w:w="3387" w:type="dxa"/>
            <w:tcBorders>
              <w:top w:val="single" w:sz="4" w:space="0" w:color="auto"/>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Facultad de Ciencias Exactas y Naturales</w:t>
            </w:r>
          </w:p>
        </w:tc>
        <w:tc>
          <w:tcPr>
            <w:tcW w:w="3549" w:type="dxa"/>
            <w:tcBorders>
              <w:top w:val="nil"/>
              <w:left w:val="nil"/>
              <w:bottom w:val="single" w:sz="4" w:space="0" w:color="auto"/>
              <w:right w:val="single" w:sz="4" w:space="0" w:color="auto"/>
            </w:tcBorders>
            <w:shd w:val="clear" w:color="auto" w:fill="auto"/>
            <w:noWrap/>
            <w:vAlign w:val="center"/>
            <w:hideMark/>
          </w:tcPr>
          <w:p w:rsidR="0019181B" w:rsidRPr="009D6DD5" w:rsidRDefault="0019181B" w:rsidP="008A2B0C">
            <w:pPr>
              <w:rPr>
                <w:rFonts w:ascii="Calibri" w:eastAsia="Times New Roman" w:hAnsi="Calibri" w:cs="Calibri"/>
                <w:color w:val="000000"/>
                <w:sz w:val="18"/>
                <w:szCs w:val="18"/>
                <w:lang w:eastAsia="es-AR"/>
              </w:rPr>
            </w:pPr>
            <w:r w:rsidRPr="009D6DD5">
              <w:rPr>
                <w:rFonts w:ascii="Calibri" w:eastAsia="Times New Roman" w:hAnsi="Calibri" w:cs="Calibri"/>
                <w:color w:val="000000"/>
                <w:sz w:val="18"/>
                <w:szCs w:val="18"/>
                <w:lang w:eastAsia="es-AR"/>
              </w:rPr>
              <w:t>Maestría en Estadística y Metodología de la Investigación científica, básica y aplicada</w:t>
            </w:r>
          </w:p>
        </w:tc>
        <w:tc>
          <w:tcPr>
            <w:tcW w:w="1766" w:type="dxa"/>
            <w:tcBorders>
              <w:top w:val="nil"/>
              <w:left w:val="nil"/>
              <w:bottom w:val="single" w:sz="4" w:space="0" w:color="auto"/>
              <w:right w:val="single" w:sz="4" w:space="0" w:color="auto"/>
            </w:tcBorders>
            <w:vAlign w:val="center"/>
          </w:tcPr>
          <w:p w:rsidR="0019181B" w:rsidRPr="009D6DD5" w:rsidRDefault="005B4F1C" w:rsidP="00E10FD1">
            <w:pPr>
              <w:jc w:val="center"/>
              <w:rPr>
                <w:rFonts w:ascii="Calibri" w:eastAsia="Times New Roman" w:hAnsi="Calibri" w:cs="Calibri"/>
                <w:color w:val="000000"/>
                <w:sz w:val="18"/>
                <w:szCs w:val="18"/>
                <w:lang w:eastAsia="es-AR"/>
              </w:rPr>
            </w:pPr>
            <w:r>
              <w:rPr>
                <w:rFonts w:ascii="Calibri" w:eastAsia="Times New Roman" w:hAnsi="Calibri" w:cs="Calibri"/>
                <w:color w:val="000000"/>
                <w:sz w:val="18"/>
                <w:szCs w:val="18"/>
                <w:lang w:eastAsia="es-AR"/>
              </w:rPr>
              <w:t>100.000</w:t>
            </w:r>
          </w:p>
        </w:tc>
      </w:tr>
      <w:tr w:rsidR="0019181B" w:rsidRPr="00423D84" w:rsidTr="00316459">
        <w:trPr>
          <w:trHeight w:val="300"/>
          <w:jc w:val="center"/>
        </w:trPr>
        <w:tc>
          <w:tcPr>
            <w:tcW w:w="517" w:type="dxa"/>
            <w:tcBorders>
              <w:top w:val="single" w:sz="4" w:space="0" w:color="auto"/>
            </w:tcBorders>
            <w:shd w:val="clear" w:color="auto" w:fill="auto"/>
            <w:vAlign w:val="center"/>
            <w:hideMark/>
          </w:tcPr>
          <w:p w:rsidR="0019181B" w:rsidRPr="00423D84" w:rsidRDefault="0019181B" w:rsidP="00A63353">
            <w:pPr>
              <w:jc w:val="center"/>
              <w:rPr>
                <w:rFonts w:ascii="Calibri" w:eastAsia="Times New Roman" w:hAnsi="Calibri" w:cs="Calibri"/>
                <w:color w:val="FFFFFF"/>
                <w:sz w:val="20"/>
                <w:szCs w:val="20"/>
                <w:lang w:eastAsia="es-AR"/>
              </w:rPr>
            </w:pPr>
          </w:p>
        </w:tc>
        <w:tc>
          <w:tcPr>
            <w:tcW w:w="1413" w:type="dxa"/>
            <w:tcBorders>
              <w:top w:val="single" w:sz="4" w:space="0" w:color="auto"/>
            </w:tcBorders>
            <w:shd w:val="clear" w:color="auto" w:fill="auto"/>
            <w:noWrap/>
            <w:vAlign w:val="center"/>
          </w:tcPr>
          <w:p w:rsidR="0019181B" w:rsidRPr="0019181B" w:rsidRDefault="0019181B" w:rsidP="00A63353">
            <w:pPr>
              <w:jc w:val="center"/>
              <w:rPr>
                <w:rFonts w:ascii="Calibri" w:eastAsia="Times New Roman" w:hAnsi="Calibri" w:cs="Calibri"/>
                <w:color w:val="000000"/>
                <w:sz w:val="18"/>
                <w:szCs w:val="18"/>
                <w:lang w:eastAsia="es-AR"/>
              </w:rPr>
            </w:pPr>
          </w:p>
        </w:tc>
        <w:tc>
          <w:tcPr>
            <w:tcW w:w="3387" w:type="dxa"/>
            <w:tcBorders>
              <w:top w:val="single" w:sz="4" w:space="0" w:color="auto"/>
            </w:tcBorders>
            <w:shd w:val="clear" w:color="auto" w:fill="auto"/>
            <w:noWrap/>
            <w:vAlign w:val="center"/>
          </w:tcPr>
          <w:p w:rsidR="0019181B" w:rsidRPr="0019181B" w:rsidRDefault="0019181B" w:rsidP="0019181B">
            <w:pPr>
              <w:rPr>
                <w:rFonts w:ascii="Calibri" w:eastAsia="Times New Roman" w:hAnsi="Calibri" w:cs="Calibri"/>
                <w:color w:val="000000"/>
                <w:sz w:val="18"/>
                <w:szCs w:val="18"/>
                <w:lang w:eastAsia="es-AR"/>
              </w:rPr>
            </w:pPr>
          </w:p>
        </w:tc>
        <w:tc>
          <w:tcPr>
            <w:tcW w:w="3549" w:type="dxa"/>
            <w:tcBorders>
              <w:top w:val="nil"/>
              <w:left w:val="nil"/>
              <w:bottom w:val="single" w:sz="4" w:space="0" w:color="auto"/>
              <w:right w:val="single" w:sz="4" w:space="0" w:color="auto"/>
            </w:tcBorders>
            <w:shd w:val="clear" w:color="auto" w:fill="244061" w:themeFill="accent1" w:themeFillShade="80"/>
            <w:noWrap/>
            <w:vAlign w:val="center"/>
          </w:tcPr>
          <w:p w:rsidR="0019181B" w:rsidRPr="0019181B" w:rsidRDefault="0019181B" w:rsidP="0019181B">
            <w:pPr>
              <w:jc w:val="center"/>
              <w:rPr>
                <w:rFonts w:ascii="Calibri" w:eastAsia="Times New Roman" w:hAnsi="Calibri" w:cs="Calibri"/>
                <w:b/>
                <w:color w:val="FFFFFF" w:themeColor="background1"/>
                <w:sz w:val="18"/>
                <w:szCs w:val="18"/>
                <w:lang w:eastAsia="es-AR"/>
              </w:rPr>
            </w:pPr>
            <w:r w:rsidRPr="0019181B">
              <w:rPr>
                <w:rFonts w:ascii="Calibri" w:eastAsia="Times New Roman" w:hAnsi="Calibri" w:cs="Calibri"/>
                <w:b/>
                <w:color w:val="FFFFFF" w:themeColor="background1"/>
                <w:sz w:val="18"/>
                <w:szCs w:val="18"/>
                <w:lang w:eastAsia="es-AR"/>
              </w:rPr>
              <w:t>TOTAL</w:t>
            </w:r>
          </w:p>
        </w:tc>
        <w:tc>
          <w:tcPr>
            <w:tcW w:w="1766" w:type="dxa"/>
            <w:tcBorders>
              <w:top w:val="nil"/>
              <w:left w:val="nil"/>
              <w:bottom w:val="single" w:sz="4" w:space="0" w:color="auto"/>
              <w:right w:val="single" w:sz="4" w:space="0" w:color="auto"/>
            </w:tcBorders>
            <w:shd w:val="clear" w:color="auto" w:fill="244061"/>
            <w:vAlign w:val="center"/>
          </w:tcPr>
          <w:p w:rsidR="0019181B" w:rsidRPr="00316459" w:rsidRDefault="00316459" w:rsidP="0019181B">
            <w:pPr>
              <w:jc w:val="center"/>
              <w:rPr>
                <w:rFonts w:ascii="Calibri" w:eastAsia="Times New Roman" w:hAnsi="Calibri" w:cs="Calibri"/>
                <w:b/>
                <w:color w:val="FFFFFF" w:themeColor="background1"/>
                <w:sz w:val="18"/>
                <w:szCs w:val="18"/>
                <w:lang w:eastAsia="es-AR"/>
              </w:rPr>
            </w:pPr>
            <w:r w:rsidRPr="00316459">
              <w:rPr>
                <w:rFonts w:ascii="Calibri" w:eastAsia="Times New Roman" w:hAnsi="Calibri" w:cs="Calibri"/>
                <w:b/>
                <w:color w:val="FFFFFF" w:themeColor="background1"/>
                <w:sz w:val="18"/>
                <w:szCs w:val="18"/>
                <w:lang w:eastAsia="es-AR"/>
              </w:rPr>
              <w:t>987.088,6</w:t>
            </w:r>
          </w:p>
        </w:tc>
      </w:tr>
    </w:tbl>
    <w:p w:rsidR="00D46085" w:rsidRPr="00B524B8" w:rsidRDefault="00D46085" w:rsidP="00D46085">
      <w:pPr>
        <w:jc w:val="both"/>
        <w:rPr>
          <w:rFonts w:ascii="Calibri" w:hAnsi="Calibri" w:cs="Calibri"/>
          <w:sz w:val="18"/>
          <w:szCs w:val="18"/>
        </w:rPr>
      </w:pPr>
      <w:r w:rsidRPr="00B524B8">
        <w:rPr>
          <w:rFonts w:ascii="Calibri" w:hAnsi="Calibri" w:cs="Calibri"/>
          <w:sz w:val="18"/>
          <w:szCs w:val="18"/>
        </w:rPr>
        <w:t>Fuente: Innovos Group en base a datos provistos por CONACYT</w:t>
      </w:r>
    </w:p>
    <w:p w:rsidR="00444F80" w:rsidRDefault="005B4F1C" w:rsidP="00D46085">
      <w:pPr>
        <w:spacing w:before="120" w:after="120" w:line="288" w:lineRule="auto"/>
        <w:jc w:val="both"/>
        <w:rPr>
          <w:rStyle w:val="Emphasis"/>
          <w:rFonts w:ascii="Calibri" w:hAnsi="Calibri" w:cs="Calibri"/>
          <w:i w:val="0"/>
        </w:rPr>
      </w:pPr>
      <w:r>
        <w:rPr>
          <w:rStyle w:val="Emphasis"/>
          <w:rFonts w:ascii="Calibri" w:hAnsi="Calibri" w:cs="Calibri"/>
          <w:i w:val="0"/>
        </w:rPr>
        <w:lastRenderedPageBreak/>
        <w:t xml:space="preserve">El </w:t>
      </w:r>
      <w:r w:rsidR="00AA2D0D">
        <w:rPr>
          <w:rStyle w:val="Emphasis"/>
          <w:rFonts w:ascii="Calibri" w:hAnsi="Calibri" w:cs="Calibri"/>
          <w:i w:val="0"/>
        </w:rPr>
        <w:t xml:space="preserve">monto asignado al </w:t>
      </w:r>
      <w:r>
        <w:rPr>
          <w:rStyle w:val="Emphasis"/>
          <w:rFonts w:ascii="Calibri" w:hAnsi="Calibri" w:cs="Calibri"/>
          <w:i w:val="0"/>
        </w:rPr>
        <w:t>subcomponente d</w:t>
      </w:r>
      <w:r w:rsidR="00AA2D0D">
        <w:rPr>
          <w:rStyle w:val="Emphasis"/>
          <w:rFonts w:ascii="Calibri" w:hAnsi="Calibri" w:cs="Calibri"/>
          <w:i w:val="0"/>
        </w:rPr>
        <w:t>e fortalecimiento de postgrados</w:t>
      </w:r>
      <w:r w:rsidR="00444F80">
        <w:rPr>
          <w:rStyle w:val="Emphasis"/>
          <w:rFonts w:ascii="Calibri" w:hAnsi="Calibri" w:cs="Calibri"/>
          <w:i w:val="0"/>
        </w:rPr>
        <w:t xml:space="preserve"> </w:t>
      </w:r>
      <w:r w:rsidR="00D350A3">
        <w:rPr>
          <w:rStyle w:val="Emphasis"/>
          <w:rFonts w:ascii="Calibri" w:hAnsi="Calibri" w:cs="Calibri"/>
          <w:i w:val="0"/>
        </w:rPr>
        <w:t>se ejecutó en su totalidad</w:t>
      </w:r>
      <w:r>
        <w:rPr>
          <w:rStyle w:val="Emphasis"/>
          <w:rFonts w:ascii="Calibri" w:hAnsi="Calibri" w:cs="Calibri"/>
          <w:i w:val="0"/>
        </w:rPr>
        <w:t xml:space="preserve">, </w:t>
      </w:r>
      <w:r w:rsidR="00566BC2">
        <w:rPr>
          <w:rStyle w:val="Emphasis"/>
          <w:rFonts w:ascii="Calibri" w:hAnsi="Calibri" w:cs="Calibri"/>
          <w:i w:val="0"/>
        </w:rPr>
        <w:t>implicando</w:t>
      </w:r>
      <w:r w:rsidR="00AA2D0D">
        <w:rPr>
          <w:rStyle w:val="Emphasis"/>
          <w:rFonts w:ascii="Calibri" w:hAnsi="Calibri" w:cs="Calibri"/>
          <w:i w:val="0"/>
        </w:rPr>
        <w:t xml:space="preserve"> un desembolso de casi un millón de dólares estadounidenses, como se puede observar en la </w:t>
      </w:r>
      <w:r w:rsidR="006F1343">
        <w:rPr>
          <w:rStyle w:val="Emphasis"/>
          <w:rFonts w:ascii="Calibri" w:hAnsi="Calibri" w:cs="Calibri"/>
          <w:i w:val="0"/>
        </w:rPr>
        <w:t>Tabla 5.24</w:t>
      </w:r>
      <w:r w:rsidR="00AA2D0D" w:rsidRPr="007F2F3F">
        <w:rPr>
          <w:rStyle w:val="Emphasis"/>
          <w:rFonts w:ascii="Calibri" w:hAnsi="Calibri" w:cs="Calibri"/>
          <w:i w:val="0"/>
        </w:rPr>
        <w:t>.</w:t>
      </w:r>
    </w:p>
    <w:p w:rsidR="00566BC2" w:rsidRDefault="00566BC2" w:rsidP="00D46085">
      <w:pPr>
        <w:spacing w:before="120" w:after="120" w:line="288" w:lineRule="auto"/>
        <w:jc w:val="both"/>
        <w:rPr>
          <w:rStyle w:val="Emphasis"/>
          <w:rFonts w:ascii="Calibri" w:hAnsi="Calibri" w:cs="Calibri"/>
          <w:i w:val="0"/>
        </w:rPr>
      </w:pPr>
      <w:r>
        <w:rPr>
          <w:rStyle w:val="Emphasis"/>
          <w:rFonts w:ascii="Calibri" w:hAnsi="Calibri" w:cs="Calibri"/>
          <w:i w:val="0"/>
        </w:rPr>
        <w:t xml:space="preserve">Las carreras fortalecidas se desarrollaron, respecto del cursado, en el plazo de dos años estipulado en el Reglamento Operativo del PROCIT. Se evidencias demoras en la presentación de tesis y/o trabajos finales, que han excedido este plazo –como se observa en el Gráfico </w:t>
      </w:r>
      <w:r w:rsidR="00802E2B">
        <w:rPr>
          <w:rStyle w:val="Emphasis"/>
          <w:rFonts w:ascii="Calibri" w:hAnsi="Calibri" w:cs="Calibri"/>
          <w:i w:val="0"/>
        </w:rPr>
        <w:t>5.21</w:t>
      </w:r>
      <w:r>
        <w:rPr>
          <w:rStyle w:val="Emphasis"/>
          <w:rFonts w:ascii="Calibri" w:hAnsi="Calibri" w:cs="Calibri"/>
          <w:i w:val="0"/>
        </w:rPr>
        <w:t xml:space="preserve">, aún hay un 67% de </w:t>
      </w:r>
      <w:r w:rsidR="006D5D8F">
        <w:rPr>
          <w:rStyle w:val="Emphasis"/>
          <w:rFonts w:ascii="Calibri" w:hAnsi="Calibri" w:cs="Calibri"/>
          <w:i w:val="0"/>
        </w:rPr>
        <w:t>estudiante</w:t>
      </w:r>
      <w:r>
        <w:rPr>
          <w:rStyle w:val="Emphasis"/>
          <w:rFonts w:ascii="Calibri" w:hAnsi="Calibri" w:cs="Calibri"/>
          <w:i w:val="0"/>
        </w:rPr>
        <w:t xml:space="preserve">s de la primera convocatoria sin graduarse. Es importante destacar que frente a esta problemática, se han incorporado a las carreras mecanismos de apoyo y seguimiento de los </w:t>
      </w:r>
      <w:r w:rsidR="006D5D8F">
        <w:rPr>
          <w:rStyle w:val="Emphasis"/>
          <w:rFonts w:ascii="Calibri" w:hAnsi="Calibri" w:cs="Calibri"/>
          <w:i w:val="0"/>
        </w:rPr>
        <w:t>estudiante</w:t>
      </w:r>
      <w:r>
        <w:rPr>
          <w:rStyle w:val="Emphasis"/>
          <w:rFonts w:ascii="Calibri" w:hAnsi="Calibri" w:cs="Calibri"/>
          <w:i w:val="0"/>
        </w:rPr>
        <w:t>s para facilitar la finalización de la carrera.</w:t>
      </w:r>
    </w:p>
    <w:p w:rsidR="00D46085" w:rsidRPr="00B524B8" w:rsidRDefault="00D46085" w:rsidP="00D46085">
      <w:pPr>
        <w:spacing w:before="120" w:after="120" w:line="288" w:lineRule="auto"/>
        <w:jc w:val="both"/>
        <w:rPr>
          <w:rStyle w:val="Emphasis"/>
          <w:rFonts w:ascii="Calibri" w:hAnsi="Calibri" w:cs="Calibri"/>
          <w:i w:val="0"/>
        </w:rPr>
      </w:pPr>
      <w:r w:rsidRPr="00B524B8">
        <w:rPr>
          <w:rStyle w:val="Emphasis"/>
          <w:rFonts w:ascii="Calibri" w:hAnsi="Calibri" w:cs="Calibri"/>
          <w:i w:val="0"/>
        </w:rPr>
        <w:t xml:space="preserve">Otra característica importante de </w:t>
      </w:r>
      <w:r w:rsidR="00566BC2">
        <w:rPr>
          <w:rStyle w:val="Emphasis"/>
          <w:rFonts w:ascii="Calibri" w:hAnsi="Calibri" w:cs="Calibri"/>
          <w:i w:val="0"/>
        </w:rPr>
        <w:t>señal</w:t>
      </w:r>
      <w:r w:rsidRPr="00B524B8">
        <w:rPr>
          <w:rStyle w:val="Emphasis"/>
          <w:rFonts w:ascii="Calibri" w:hAnsi="Calibri" w:cs="Calibri"/>
          <w:i w:val="0"/>
        </w:rPr>
        <w:t>ar a los fines de la valoración de los res</w:t>
      </w:r>
      <w:r w:rsidR="0018492F">
        <w:rPr>
          <w:rStyle w:val="Emphasis"/>
          <w:rFonts w:ascii="Calibri" w:hAnsi="Calibri" w:cs="Calibri"/>
          <w:i w:val="0"/>
        </w:rPr>
        <w:t>ultados es la cantidad de estudiantes</w:t>
      </w:r>
      <w:r w:rsidRPr="00B524B8">
        <w:rPr>
          <w:rStyle w:val="Emphasis"/>
          <w:rFonts w:ascii="Calibri" w:hAnsi="Calibri" w:cs="Calibri"/>
          <w:i w:val="0"/>
        </w:rPr>
        <w:t xml:space="preserve"> que han cursado estas carreras de postgrado, </w:t>
      </w:r>
      <w:r w:rsidR="006C3167">
        <w:rPr>
          <w:rStyle w:val="Emphasis"/>
          <w:rFonts w:ascii="Calibri" w:hAnsi="Calibri" w:cs="Calibri"/>
          <w:i w:val="0"/>
        </w:rPr>
        <w:t xml:space="preserve">79 </w:t>
      </w:r>
      <w:r w:rsidR="006D5D8F">
        <w:rPr>
          <w:rStyle w:val="Emphasis"/>
          <w:rFonts w:ascii="Calibri" w:hAnsi="Calibri" w:cs="Calibri"/>
          <w:i w:val="0"/>
        </w:rPr>
        <w:t>estudiante</w:t>
      </w:r>
      <w:r w:rsidR="006C3167">
        <w:rPr>
          <w:rStyle w:val="Emphasis"/>
          <w:rFonts w:ascii="Calibri" w:hAnsi="Calibri" w:cs="Calibri"/>
          <w:i w:val="0"/>
        </w:rPr>
        <w:t xml:space="preserve">s en la primera convocatoria, y 149 </w:t>
      </w:r>
      <w:r w:rsidR="006D5D8F">
        <w:rPr>
          <w:rStyle w:val="Emphasis"/>
          <w:rFonts w:ascii="Calibri" w:hAnsi="Calibri" w:cs="Calibri"/>
          <w:i w:val="0"/>
        </w:rPr>
        <w:t>estudiante</w:t>
      </w:r>
      <w:r w:rsidR="006C3167">
        <w:rPr>
          <w:rStyle w:val="Emphasis"/>
          <w:rFonts w:ascii="Calibri" w:hAnsi="Calibri" w:cs="Calibri"/>
          <w:i w:val="0"/>
        </w:rPr>
        <w:t xml:space="preserve">s en la segunda, totalizando 228 </w:t>
      </w:r>
      <w:r w:rsidR="006D5D8F">
        <w:rPr>
          <w:rStyle w:val="Emphasis"/>
          <w:rFonts w:ascii="Calibri" w:hAnsi="Calibri" w:cs="Calibri"/>
          <w:i w:val="0"/>
        </w:rPr>
        <w:t>estudiante</w:t>
      </w:r>
      <w:r w:rsidR="006C3167">
        <w:rPr>
          <w:rStyle w:val="Emphasis"/>
          <w:rFonts w:ascii="Calibri" w:hAnsi="Calibri" w:cs="Calibri"/>
          <w:i w:val="0"/>
        </w:rPr>
        <w:t>s.</w:t>
      </w:r>
      <w:r w:rsidRPr="00B524B8">
        <w:rPr>
          <w:rStyle w:val="Emphasis"/>
          <w:rFonts w:ascii="Calibri" w:hAnsi="Calibri" w:cs="Calibri"/>
          <w:i w:val="0"/>
        </w:rPr>
        <w:t xml:space="preserve"> </w:t>
      </w:r>
    </w:p>
    <w:p w:rsidR="00D46085" w:rsidRDefault="00D46085" w:rsidP="00D46085">
      <w:pPr>
        <w:jc w:val="center"/>
        <w:rPr>
          <w:rFonts w:ascii="Calibri" w:hAnsi="Calibri" w:cs="Calibri"/>
          <w:b/>
        </w:rPr>
      </w:pPr>
      <w:r w:rsidRPr="00B524B8">
        <w:rPr>
          <w:rFonts w:ascii="Calibri" w:hAnsi="Calibri" w:cs="Calibri"/>
          <w:b/>
        </w:rPr>
        <w:t xml:space="preserve">Gráfico </w:t>
      </w:r>
      <w:r w:rsidR="00802E2B">
        <w:rPr>
          <w:rFonts w:ascii="Calibri" w:hAnsi="Calibri" w:cs="Calibri"/>
          <w:b/>
        </w:rPr>
        <w:t>5.20</w:t>
      </w:r>
      <w:r w:rsidR="007F2F3F">
        <w:rPr>
          <w:rFonts w:ascii="Calibri" w:hAnsi="Calibri" w:cs="Calibri"/>
          <w:b/>
        </w:rPr>
        <w:t>.</w:t>
      </w:r>
      <w:r w:rsidRPr="00B524B8">
        <w:rPr>
          <w:rFonts w:ascii="Calibri" w:hAnsi="Calibri" w:cs="Calibri"/>
          <w:b/>
        </w:rPr>
        <w:t xml:space="preserve"> Cantidad de </w:t>
      </w:r>
      <w:r w:rsidR="006D5D8F">
        <w:rPr>
          <w:rFonts w:ascii="Calibri" w:hAnsi="Calibri" w:cs="Calibri"/>
          <w:b/>
        </w:rPr>
        <w:t>estudiante</w:t>
      </w:r>
      <w:r w:rsidRPr="00B524B8">
        <w:rPr>
          <w:rFonts w:ascii="Calibri" w:hAnsi="Calibri" w:cs="Calibri"/>
          <w:b/>
        </w:rPr>
        <w:t>s de Postgrados fortalecidos por convocatoria.</w:t>
      </w:r>
    </w:p>
    <w:p w:rsidR="00D46085" w:rsidRPr="00B524B8" w:rsidRDefault="00D46085" w:rsidP="00D46085">
      <w:pPr>
        <w:jc w:val="center"/>
        <w:rPr>
          <w:rFonts w:ascii="Calibri" w:hAnsi="Calibri" w:cs="Calibri"/>
          <w:b/>
        </w:rPr>
      </w:pPr>
    </w:p>
    <w:p w:rsidR="00D46085" w:rsidRPr="00B524B8" w:rsidRDefault="00D46085" w:rsidP="00FC352D">
      <w:pPr>
        <w:spacing w:after="120" w:line="276" w:lineRule="auto"/>
        <w:jc w:val="center"/>
        <w:rPr>
          <w:rStyle w:val="Emphasis"/>
          <w:rFonts w:ascii="Calibri" w:hAnsi="Calibri" w:cs="Calibri"/>
          <w:i w:val="0"/>
        </w:rPr>
      </w:pPr>
      <w:r>
        <w:rPr>
          <w:rFonts w:ascii="Calibri" w:hAnsi="Calibri" w:cs="Calibri"/>
          <w:iCs/>
          <w:noProof/>
          <w:lang w:val="es-ES_tradnl" w:eastAsia="es-ES_tradnl"/>
        </w:rPr>
        <w:drawing>
          <wp:inline distT="0" distB="0" distL="0" distR="0" wp14:anchorId="7DC7636C" wp14:editId="653E2310">
            <wp:extent cx="3407434" cy="1966823"/>
            <wp:effectExtent l="0" t="0" r="2540" b="0"/>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09140" cy="1967808"/>
                    </a:xfrm>
                    <a:prstGeom prst="rect">
                      <a:avLst/>
                    </a:prstGeom>
                    <a:noFill/>
                    <a:ln>
                      <a:noFill/>
                    </a:ln>
                  </pic:spPr>
                </pic:pic>
              </a:graphicData>
            </a:graphic>
          </wp:inline>
        </w:drawing>
      </w:r>
    </w:p>
    <w:p w:rsidR="00D46085" w:rsidRPr="00B524B8" w:rsidRDefault="00D46085" w:rsidP="00FC352D">
      <w:pPr>
        <w:jc w:val="center"/>
        <w:rPr>
          <w:rFonts w:ascii="Calibri" w:hAnsi="Calibri" w:cs="Calibri"/>
          <w:sz w:val="18"/>
          <w:szCs w:val="18"/>
        </w:rPr>
      </w:pPr>
      <w:r w:rsidRPr="00B524B8">
        <w:rPr>
          <w:rFonts w:ascii="Calibri" w:hAnsi="Calibri" w:cs="Calibri"/>
          <w:sz w:val="18"/>
          <w:szCs w:val="18"/>
        </w:rPr>
        <w:t>Fuente: Innovos Group en base a datos provistos por CONACYT</w:t>
      </w:r>
    </w:p>
    <w:p w:rsidR="006C3167" w:rsidRDefault="006C3167" w:rsidP="00D46085">
      <w:pPr>
        <w:spacing w:after="200" w:line="276" w:lineRule="auto"/>
        <w:jc w:val="both"/>
        <w:rPr>
          <w:rStyle w:val="Emphasis"/>
          <w:rFonts w:ascii="Calibri" w:hAnsi="Calibri" w:cs="Calibri"/>
          <w:i w:val="0"/>
        </w:rPr>
      </w:pPr>
    </w:p>
    <w:p w:rsidR="00D46085" w:rsidRDefault="006C3167" w:rsidP="00D46085">
      <w:pPr>
        <w:spacing w:after="200" w:line="276" w:lineRule="auto"/>
        <w:jc w:val="both"/>
        <w:rPr>
          <w:rStyle w:val="Emphasis"/>
          <w:rFonts w:ascii="Calibri" w:hAnsi="Calibri" w:cs="Calibri"/>
          <w:i w:val="0"/>
        </w:rPr>
      </w:pPr>
      <w:r>
        <w:rPr>
          <w:rStyle w:val="Emphasis"/>
          <w:rFonts w:ascii="Calibri" w:hAnsi="Calibri" w:cs="Calibri"/>
          <w:i w:val="0"/>
        </w:rPr>
        <w:t>También es destacado el i</w:t>
      </w:r>
      <w:r w:rsidRPr="00B524B8">
        <w:rPr>
          <w:rStyle w:val="Emphasis"/>
          <w:rFonts w:ascii="Calibri" w:hAnsi="Calibri" w:cs="Calibri"/>
          <w:i w:val="0"/>
        </w:rPr>
        <w:t>ndicador de graduación de estas car</w:t>
      </w:r>
      <w:r w:rsidR="0018492F">
        <w:rPr>
          <w:rStyle w:val="Emphasis"/>
          <w:rFonts w:ascii="Calibri" w:hAnsi="Calibri" w:cs="Calibri"/>
          <w:i w:val="0"/>
        </w:rPr>
        <w:t>reras (estudiantes</w:t>
      </w:r>
      <w:r w:rsidRPr="00B524B8">
        <w:rPr>
          <w:rStyle w:val="Emphasis"/>
          <w:rFonts w:ascii="Calibri" w:hAnsi="Calibri" w:cs="Calibri"/>
          <w:i w:val="0"/>
        </w:rPr>
        <w:t xml:space="preserve"> que ya han finalizado y defendido su tesis). </w:t>
      </w:r>
      <w:r w:rsidR="00D46085" w:rsidRPr="00B524B8">
        <w:rPr>
          <w:rStyle w:val="Emphasis"/>
          <w:rFonts w:ascii="Calibri" w:hAnsi="Calibri" w:cs="Calibri"/>
          <w:i w:val="0"/>
        </w:rPr>
        <w:t>En el caso de la primera convocatoria (</w:t>
      </w:r>
      <w:r w:rsidR="006D5D8F">
        <w:rPr>
          <w:rStyle w:val="Emphasis"/>
          <w:rFonts w:ascii="Calibri" w:hAnsi="Calibri" w:cs="Calibri"/>
          <w:i w:val="0"/>
        </w:rPr>
        <w:t>ya que la segunda convocatoria aún se encuentra en ejecución a septiembre de 2013</w:t>
      </w:r>
      <w:r w:rsidR="00D46085" w:rsidRPr="00B524B8">
        <w:rPr>
          <w:rStyle w:val="Emphasis"/>
          <w:rFonts w:ascii="Calibri" w:hAnsi="Calibri" w:cs="Calibri"/>
          <w:i w:val="0"/>
        </w:rPr>
        <w:t>), l</w:t>
      </w:r>
      <w:r>
        <w:rPr>
          <w:rStyle w:val="Emphasis"/>
          <w:rFonts w:ascii="Calibri" w:hAnsi="Calibri" w:cs="Calibri"/>
          <w:i w:val="0"/>
        </w:rPr>
        <w:t>a tasa de graduación es del 43%, como se observa en el gráfico a continuación.</w:t>
      </w:r>
      <w:r w:rsidR="006F5EFA">
        <w:rPr>
          <w:rStyle w:val="Emphasis"/>
          <w:rFonts w:ascii="Calibri" w:hAnsi="Calibri" w:cs="Calibri"/>
          <w:i w:val="0"/>
        </w:rPr>
        <w:t xml:space="preserve"> </w:t>
      </w:r>
    </w:p>
    <w:p w:rsidR="005830C2" w:rsidRDefault="005830C2" w:rsidP="00D46085">
      <w:pPr>
        <w:jc w:val="center"/>
        <w:rPr>
          <w:rFonts w:ascii="Calibri" w:hAnsi="Calibri" w:cs="Calibri"/>
          <w:b/>
        </w:rPr>
      </w:pPr>
    </w:p>
    <w:p w:rsidR="005830C2" w:rsidRDefault="005830C2" w:rsidP="00D46085">
      <w:pPr>
        <w:jc w:val="center"/>
        <w:rPr>
          <w:rFonts w:ascii="Calibri" w:hAnsi="Calibri" w:cs="Calibri"/>
          <w:b/>
        </w:rPr>
      </w:pPr>
    </w:p>
    <w:p w:rsidR="005830C2" w:rsidRDefault="005830C2" w:rsidP="00D46085">
      <w:pPr>
        <w:jc w:val="center"/>
        <w:rPr>
          <w:rFonts w:ascii="Calibri" w:hAnsi="Calibri" w:cs="Calibri"/>
          <w:b/>
        </w:rPr>
      </w:pPr>
    </w:p>
    <w:p w:rsidR="005830C2" w:rsidRDefault="005830C2" w:rsidP="00D46085">
      <w:pPr>
        <w:jc w:val="center"/>
        <w:rPr>
          <w:rFonts w:ascii="Calibri" w:hAnsi="Calibri" w:cs="Calibri"/>
          <w:b/>
        </w:rPr>
      </w:pPr>
    </w:p>
    <w:p w:rsidR="005830C2" w:rsidRDefault="005830C2" w:rsidP="00D46085">
      <w:pPr>
        <w:jc w:val="center"/>
        <w:rPr>
          <w:rFonts w:ascii="Calibri" w:hAnsi="Calibri" w:cs="Calibri"/>
          <w:b/>
        </w:rPr>
      </w:pPr>
    </w:p>
    <w:p w:rsidR="00D46085" w:rsidRDefault="00D46085" w:rsidP="00D46085">
      <w:pPr>
        <w:jc w:val="center"/>
        <w:rPr>
          <w:rFonts w:ascii="Calibri" w:hAnsi="Calibri" w:cs="Calibri"/>
          <w:b/>
        </w:rPr>
      </w:pPr>
      <w:r>
        <w:rPr>
          <w:rFonts w:ascii="Calibri" w:hAnsi="Calibri" w:cs="Calibri"/>
          <w:b/>
        </w:rPr>
        <w:lastRenderedPageBreak/>
        <w:t xml:space="preserve">Gráfico </w:t>
      </w:r>
      <w:r w:rsidR="00802E2B">
        <w:rPr>
          <w:rFonts w:ascii="Calibri" w:hAnsi="Calibri" w:cs="Calibri"/>
          <w:b/>
        </w:rPr>
        <w:t>5.21</w:t>
      </w:r>
      <w:r w:rsidR="007F2F3F">
        <w:rPr>
          <w:rFonts w:ascii="Calibri" w:hAnsi="Calibri" w:cs="Calibri"/>
          <w:b/>
        </w:rPr>
        <w:t>.</w:t>
      </w:r>
      <w:r w:rsidRPr="00B524B8">
        <w:rPr>
          <w:rFonts w:ascii="Calibri" w:hAnsi="Calibri" w:cs="Calibri"/>
          <w:b/>
        </w:rPr>
        <w:t xml:space="preserve"> Cantidad de </w:t>
      </w:r>
      <w:r w:rsidR="0018492F">
        <w:rPr>
          <w:rFonts w:ascii="Calibri" w:hAnsi="Calibri" w:cs="Calibri"/>
          <w:b/>
        </w:rPr>
        <w:t>estudiante</w:t>
      </w:r>
      <w:r w:rsidRPr="00B524B8">
        <w:rPr>
          <w:rFonts w:ascii="Calibri" w:hAnsi="Calibri" w:cs="Calibri"/>
          <w:b/>
        </w:rPr>
        <w:t>s y graduados de Postgrados fortalecidos de la 1ª convocatoria y tasa de graduación</w:t>
      </w:r>
    </w:p>
    <w:p w:rsidR="00D46085" w:rsidRPr="00B524B8" w:rsidRDefault="00D46085" w:rsidP="00D46085">
      <w:pPr>
        <w:spacing w:after="120"/>
        <w:jc w:val="center"/>
        <w:rPr>
          <w:rFonts w:ascii="Calibri" w:hAnsi="Calibri" w:cs="Calibri"/>
          <w:b/>
        </w:rPr>
      </w:pPr>
      <w:r>
        <w:rPr>
          <w:rFonts w:ascii="Calibri" w:hAnsi="Calibri" w:cs="Calibri"/>
          <w:iCs/>
          <w:noProof/>
          <w:lang w:val="es-ES_tradnl" w:eastAsia="es-ES_tradnl"/>
        </w:rPr>
        <w:drawing>
          <wp:inline distT="0" distB="0" distL="0" distR="0" wp14:anchorId="1BD40E55" wp14:editId="31368D79">
            <wp:extent cx="3752490" cy="2096219"/>
            <wp:effectExtent l="0" t="0" r="635" b="0"/>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5216" cy="2097742"/>
                    </a:xfrm>
                    <a:prstGeom prst="rect">
                      <a:avLst/>
                    </a:prstGeom>
                    <a:noFill/>
                    <a:ln>
                      <a:noFill/>
                    </a:ln>
                  </pic:spPr>
                </pic:pic>
              </a:graphicData>
            </a:graphic>
          </wp:inline>
        </w:drawing>
      </w:r>
    </w:p>
    <w:p w:rsidR="00D46085" w:rsidRPr="00B524B8" w:rsidRDefault="00D46085" w:rsidP="00FC352D">
      <w:pPr>
        <w:spacing w:after="200" w:line="276" w:lineRule="auto"/>
        <w:jc w:val="center"/>
        <w:rPr>
          <w:rFonts w:ascii="Calibri" w:hAnsi="Calibri" w:cs="Calibri"/>
          <w:sz w:val="18"/>
          <w:szCs w:val="18"/>
        </w:rPr>
      </w:pPr>
      <w:r w:rsidRPr="00B524B8">
        <w:rPr>
          <w:rFonts w:ascii="Calibri" w:hAnsi="Calibri" w:cs="Calibri"/>
          <w:sz w:val="18"/>
          <w:szCs w:val="18"/>
        </w:rPr>
        <w:t>Fuente: Innovos Group en base a datos provistos por CONACYT</w:t>
      </w:r>
    </w:p>
    <w:p w:rsidR="00DF6CD7" w:rsidRPr="00853A8C" w:rsidRDefault="00582634" w:rsidP="00DF6CD7">
      <w:pPr>
        <w:pStyle w:val="ListParagraph"/>
        <w:spacing w:before="120" w:after="120" w:line="288" w:lineRule="auto"/>
        <w:ind w:left="0"/>
        <w:contextualSpacing w:val="0"/>
        <w:jc w:val="both"/>
        <w:rPr>
          <w:rStyle w:val="Emphasis"/>
          <w:rFonts w:ascii="Calibri" w:hAnsi="Calibri" w:cs="Calibri"/>
          <w:i w:val="0"/>
        </w:rPr>
      </w:pPr>
      <w:r>
        <w:rPr>
          <w:rStyle w:val="Emphasis"/>
          <w:rFonts w:ascii="Calibri" w:hAnsi="Calibri" w:cs="Calibri"/>
          <w:i w:val="0"/>
        </w:rPr>
        <w:t>Respecto de la estructura organizativa de las carreras, tanto el coordinador académico como el coordinador administrativo han tenido un papel muy importante en la consecución de los objetivos. En este sentido, el</w:t>
      </w:r>
      <w:r w:rsidR="00DF6CD7">
        <w:rPr>
          <w:rStyle w:val="Emphasis"/>
          <w:rFonts w:ascii="Calibri" w:hAnsi="Calibri" w:cs="Calibri"/>
          <w:i w:val="0"/>
        </w:rPr>
        <w:t xml:space="preserve"> </w:t>
      </w:r>
      <w:r w:rsidR="00DF6CD7" w:rsidRPr="00853A8C">
        <w:rPr>
          <w:rStyle w:val="Emphasis"/>
          <w:rFonts w:ascii="Calibri" w:hAnsi="Calibri" w:cs="Calibri"/>
          <w:i w:val="0"/>
        </w:rPr>
        <w:t>perfil del</w:t>
      </w:r>
      <w:r w:rsidR="00DF6CD7">
        <w:rPr>
          <w:rStyle w:val="Emphasis"/>
          <w:rFonts w:ascii="Calibri" w:hAnsi="Calibri" w:cs="Calibri"/>
          <w:i w:val="0"/>
        </w:rPr>
        <w:t xml:space="preserve"> coordinador</w:t>
      </w:r>
      <w:r w:rsidR="00DF6CD7" w:rsidRPr="00853A8C">
        <w:rPr>
          <w:rStyle w:val="Emphasis"/>
          <w:rFonts w:ascii="Calibri" w:hAnsi="Calibri" w:cs="Calibri"/>
          <w:i w:val="0"/>
        </w:rPr>
        <w:t xml:space="preserve"> significó un aporte fundamental para el desarrollo de las carreras de postgrado, tanto respecto de la faceta académica como de la administrativa. En el caso del perfil académico, obtuvieron mejores resultados aquellas carreras cuyo coordinador era una persona con una destacada formación académica, partícipe de redes internacionales, con experiencia en investigación y docencia, y con una alta proactividad. Respecto de la faz administrativa, pudieron alcanzar mayores niveles de eficiencia respecto de los recursos proporcionados por el PROCIT aquellas carreras cuyos coordinadores fueron creativos y flexibles a la hora de cumplir un procedimiento rígido y complejo, especialmente en lo que refiere a la ejecución presupuestaria.</w:t>
      </w:r>
    </w:p>
    <w:p w:rsidR="00D46085" w:rsidRPr="00D46085" w:rsidRDefault="00D46085" w:rsidP="005734DE">
      <w:pPr>
        <w:rPr>
          <w:lang w:eastAsia="en-US"/>
        </w:rPr>
      </w:pPr>
    </w:p>
    <w:p w:rsidR="005734DE" w:rsidRDefault="005734DE" w:rsidP="002D7EE9">
      <w:pPr>
        <w:pStyle w:val="Heading3"/>
        <w:numPr>
          <w:ilvl w:val="2"/>
          <w:numId w:val="4"/>
        </w:numPr>
        <w:rPr>
          <w:rStyle w:val="Emphasis"/>
          <w:rFonts w:cs="Calibri"/>
          <w:i/>
        </w:rPr>
      </w:pPr>
      <w:bookmarkStart w:id="215" w:name="_Toc375211985"/>
      <w:r>
        <w:rPr>
          <w:rStyle w:val="Emphasis"/>
          <w:rFonts w:cs="Calibri"/>
          <w:i/>
        </w:rPr>
        <w:t>Resultados</w:t>
      </w:r>
      <w:bookmarkEnd w:id="215"/>
    </w:p>
    <w:p w:rsidR="00AA5E37" w:rsidRPr="00B524B8" w:rsidRDefault="00AA5E37" w:rsidP="00AA5E37">
      <w:pPr>
        <w:pStyle w:val="ListParagraph"/>
        <w:spacing w:before="120" w:after="120" w:line="288" w:lineRule="auto"/>
        <w:ind w:left="0"/>
        <w:contextualSpacing w:val="0"/>
        <w:jc w:val="both"/>
        <w:rPr>
          <w:rStyle w:val="Emphasis"/>
          <w:rFonts w:ascii="Calibri" w:hAnsi="Calibri" w:cs="Calibri"/>
          <w:i w:val="0"/>
        </w:rPr>
      </w:pPr>
      <w:r>
        <w:rPr>
          <w:rStyle w:val="Emphasis"/>
          <w:rFonts w:ascii="Calibri" w:hAnsi="Calibri" w:cs="Calibri"/>
          <w:i w:val="0"/>
        </w:rPr>
        <w:t>El principal aspecto a destacar es que s</w:t>
      </w:r>
      <w:r w:rsidRPr="00B524B8">
        <w:rPr>
          <w:rStyle w:val="Emphasis"/>
          <w:rFonts w:ascii="Calibri" w:hAnsi="Calibri" w:cs="Calibri"/>
          <w:i w:val="0"/>
        </w:rPr>
        <w:t>e amplió la oferta de formación de postgrado orientada a la investigación y docencia en Paraguay.</w:t>
      </w:r>
    </w:p>
    <w:p w:rsidR="00AA5E37" w:rsidRPr="00590801" w:rsidRDefault="00AA5E37" w:rsidP="00590801">
      <w:pPr>
        <w:pStyle w:val="ListParagraph"/>
        <w:spacing w:before="120" w:after="120" w:line="288" w:lineRule="auto"/>
        <w:ind w:left="0"/>
        <w:contextualSpacing w:val="0"/>
        <w:jc w:val="both"/>
        <w:rPr>
          <w:rStyle w:val="Emphasis"/>
          <w:rFonts w:ascii="Calibri" w:hAnsi="Calibri" w:cs="Calibri"/>
          <w:i w:val="0"/>
        </w:rPr>
      </w:pPr>
      <w:r w:rsidRPr="00E86FC2">
        <w:rPr>
          <w:rStyle w:val="Emphasis"/>
          <w:rFonts w:ascii="Calibri" w:hAnsi="Calibri" w:cs="Calibri"/>
          <w:i w:val="0"/>
        </w:rPr>
        <w:t>Valoraremos a continuación los principales resultados del programa, teniendo en cuenta los cinco criterios guía definidas en el marco conceptual para la evaluación de políticas públicas: relevancia, eficacia, eficiencia, efectos e impacto, y sostenibilidad.</w:t>
      </w:r>
    </w:p>
    <w:p w:rsidR="00AA5E37" w:rsidRPr="007F2F3F" w:rsidRDefault="00AA5E37" w:rsidP="00590801">
      <w:pPr>
        <w:pStyle w:val="ListParagraph"/>
        <w:spacing w:before="120" w:after="120" w:line="288" w:lineRule="auto"/>
        <w:ind w:left="0"/>
        <w:contextualSpacing w:val="0"/>
        <w:jc w:val="both"/>
        <w:rPr>
          <w:rStyle w:val="Emphasis"/>
          <w:rFonts w:ascii="Calibri" w:hAnsi="Calibri" w:cs="Calibri"/>
          <w:b/>
          <w:i w:val="0"/>
        </w:rPr>
      </w:pPr>
      <w:r w:rsidRPr="007F2F3F">
        <w:rPr>
          <w:rStyle w:val="Emphasis"/>
          <w:rFonts w:ascii="Calibri" w:hAnsi="Calibri" w:cs="Calibri"/>
          <w:b/>
          <w:i w:val="0"/>
        </w:rPr>
        <w:t>Respecto de la relevancia</w:t>
      </w:r>
    </w:p>
    <w:p w:rsidR="00DF6CD7" w:rsidRPr="00B524B8" w:rsidRDefault="00DF6CD7" w:rsidP="00DF6CD7">
      <w:pPr>
        <w:spacing w:before="120" w:after="120" w:line="288" w:lineRule="auto"/>
        <w:jc w:val="both"/>
        <w:rPr>
          <w:rStyle w:val="Emphasis"/>
          <w:rFonts w:ascii="Calibri" w:hAnsi="Calibri" w:cs="Calibri"/>
          <w:i w:val="0"/>
        </w:rPr>
      </w:pPr>
      <w:r>
        <w:rPr>
          <w:rStyle w:val="Emphasis"/>
          <w:rFonts w:ascii="Calibri" w:hAnsi="Calibri" w:cs="Calibri"/>
          <w:i w:val="0"/>
        </w:rPr>
        <w:t xml:space="preserve">Los beneficiarios </w:t>
      </w:r>
      <w:r w:rsidRPr="00B524B8">
        <w:rPr>
          <w:rStyle w:val="Emphasis"/>
          <w:rFonts w:ascii="Calibri" w:hAnsi="Calibri" w:cs="Calibri"/>
          <w:i w:val="0"/>
        </w:rPr>
        <w:t>valora</w:t>
      </w:r>
      <w:r>
        <w:rPr>
          <w:rStyle w:val="Emphasis"/>
          <w:rFonts w:ascii="Calibri" w:hAnsi="Calibri" w:cs="Calibri"/>
          <w:i w:val="0"/>
        </w:rPr>
        <w:t>n</w:t>
      </w:r>
      <w:r w:rsidRPr="00B524B8">
        <w:rPr>
          <w:rStyle w:val="Emphasis"/>
          <w:rFonts w:ascii="Calibri" w:hAnsi="Calibri" w:cs="Calibri"/>
          <w:i w:val="0"/>
        </w:rPr>
        <w:t xml:space="preserve"> como muy positivo el apoyo institucional y económico del PROCIT, como se observa en el gráfico a continuación. En todos los casos se indicó que los </w:t>
      </w:r>
      <w:r w:rsidRPr="00B524B8">
        <w:rPr>
          <w:rStyle w:val="Emphasis"/>
          <w:rFonts w:ascii="Calibri" w:hAnsi="Calibri" w:cs="Calibri"/>
          <w:i w:val="0"/>
        </w:rPr>
        <w:lastRenderedPageBreak/>
        <w:t>proyectos no se podrían haber llevado a cabo con el mismo alcance si no se hubiera contado con este fortalecimiento. En este sentido, el 78% señaló que el proyecto sólo se podría haber llevado a cabo con un alcance más reducido, ya sea en el mismo tiempo o en un tiempo más prolongado. Finalmente, un 22% opinó que el proyecto no podría haberse llevado a cabo sin el apoyo del PROCIT.</w:t>
      </w:r>
    </w:p>
    <w:p w:rsidR="00DF6CD7" w:rsidRPr="00B524B8" w:rsidRDefault="00DF6CD7" w:rsidP="00DF6CD7">
      <w:pPr>
        <w:spacing w:after="200" w:line="276" w:lineRule="auto"/>
        <w:jc w:val="center"/>
        <w:rPr>
          <w:rFonts w:ascii="Calibri" w:hAnsi="Calibri" w:cs="Calibri"/>
          <w:b/>
          <w:iCs/>
        </w:rPr>
      </w:pPr>
      <w:r w:rsidRPr="00B524B8">
        <w:rPr>
          <w:rFonts w:ascii="Calibri" w:hAnsi="Calibri" w:cs="Calibri"/>
          <w:b/>
          <w:iCs/>
        </w:rPr>
        <w:t xml:space="preserve">Gráfico </w:t>
      </w:r>
      <w:r w:rsidR="00802E2B">
        <w:rPr>
          <w:rFonts w:ascii="Calibri" w:hAnsi="Calibri" w:cs="Calibri"/>
          <w:b/>
          <w:iCs/>
        </w:rPr>
        <w:t>5.22</w:t>
      </w:r>
      <w:r w:rsidR="007F2F3F">
        <w:rPr>
          <w:rFonts w:ascii="Calibri" w:hAnsi="Calibri" w:cs="Calibri"/>
          <w:b/>
          <w:iCs/>
        </w:rPr>
        <w:t>.</w:t>
      </w:r>
      <w:r w:rsidRPr="00B524B8">
        <w:rPr>
          <w:rFonts w:ascii="Calibri" w:hAnsi="Calibri" w:cs="Calibri"/>
          <w:b/>
          <w:iCs/>
        </w:rPr>
        <w:t xml:space="preserve"> Opinión sobre la viabilidad del proyecto de postgrado si no se hubiera contado con el financiamiento del PROCIT</w:t>
      </w:r>
    </w:p>
    <w:p w:rsidR="00DF6CD7" w:rsidRPr="00B524B8" w:rsidRDefault="00DF6CD7" w:rsidP="00DF6CD7">
      <w:pPr>
        <w:spacing w:before="120" w:after="120" w:line="288" w:lineRule="auto"/>
        <w:jc w:val="center"/>
        <w:rPr>
          <w:rStyle w:val="Emphasis"/>
          <w:rFonts w:ascii="Calibri" w:hAnsi="Calibri" w:cs="Calibri"/>
          <w:i w:val="0"/>
        </w:rPr>
      </w:pPr>
      <w:r>
        <w:rPr>
          <w:rFonts w:ascii="Calibri" w:hAnsi="Calibri" w:cs="Calibri"/>
          <w:noProof/>
          <w:lang w:val="es-ES_tradnl" w:eastAsia="es-ES_tradnl"/>
        </w:rPr>
        <w:drawing>
          <wp:inline distT="0" distB="0" distL="0" distR="0" wp14:anchorId="14DE3673" wp14:editId="2BDB84F0">
            <wp:extent cx="4386805" cy="3485072"/>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7377" cy="3485526"/>
                    </a:xfrm>
                    <a:prstGeom prst="rect">
                      <a:avLst/>
                    </a:prstGeom>
                    <a:noFill/>
                    <a:ln>
                      <a:noFill/>
                    </a:ln>
                  </pic:spPr>
                </pic:pic>
              </a:graphicData>
            </a:graphic>
          </wp:inline>
        </w:drawing>
      </w:r>
    </w:p>
    <w:p w:rsidR="00DF6CD7" w:rsidRDefault="00DF6CD7" w:rsidP="00FC352D">
      <w:pPr>
        <w:spacing w:before="120" w:after="120" w:line="288" w:lineRule="auto"/>
        <w:jc w:val="center"/>
        <w:rPr>
          <w:rFonts w:ascii="Calibri" w:hAnsi="Calibri" w:cs="Calibri"/>
          <w:sz w:val="18"/>
          <w:szCs w:val="18"/>
        </w:rPr>
      </w:pPr>
      <w:r w:rsidRPr="00B524B8">
        <w:rPr>
          <w:rFonts w:ascii="Calibri" w:hAnsi="Calibri" w:cs="Calibri"/>
          <w:sz w:val="18"/>
          <w:szCs w:val="18"/>
        </w:rPr>
        <w:t>Fuente: Elaboración propia en base a resultados de la encu</w:t>
      </w:r>
      <w:r w:rsidR="00FC352D">
        <w:rPr>
          <w:rFonts w:ascii="Calibri" w:hAnsi="Calibri" w:cs="Calibri"/>
          <w:sz w:val="18"/>
          <w:szCs w:val="18"/>
        </w:rPr>
        <w:t>esta</w:t>
      </w:r>
    </w:p>
    <w:p w:rsidR="00DF6CD7" w:rsidRPr="00B524B8" w:rsidRDefault="00DF6CD7" w:rsidP="00DF6CD7">
      <w:pPr>
        <w:spacing w:before="120" w:after="120" w:line="288" w:lineRule="auto"/>
        <w:ind w:left="1701"/>
        <w:jc w:val="both"/>
        <w:rPr>
          <w:rStyle w:val="Emphasis"/>
          <w:rFonts w:ascii="Calibri" w:hAnsi="Calibri" w:cs="Calibri"/>
          <w:i w:val="0"/>
        </w:rPr>
      </w:pPr>
    </w:p>
    <w:p w:rsidR="00DF6CD7" w:rsidRPr="00B524B8" w:rsidRDefault="00DF6CD7" w:rsidP="00DF6CD7">
      <w:pPr>
        <w:ind w:left="3402"/>
        <w:jc w:val="right"/>
        <w:rPr>
          <w:rFonts w:ascii="Calibri" w:hAnsi="Calibri" w:cs="Calibri"/>
          <w:i/>
          <w:sz w:val="20"/>
          <w:szCs w:val="20"/>
        </w:rPr>
      </w:pPr>
      <w:r w:rsidRPr="00B524B8">
        <w:rPr>
          <w:rFonts w:ascii="Calibri" w:hAnsi="Calibri" w:cs="Calibri"/>
          <w:i/>
          <w:sz w:val="20"/>
          <w:szCs w:val="20"/>
        </w:rPr>
        <w:t>“El PROCIT posibilitó cambiar el esquema de funcionamiento del postgrado mejorando la admisión, los planes de estudio, introduciendo asignaturas y seminarios orientados a la investigación a lo largo de toda la carrera.”</w:t>
      </w:r>
    </w:p>
    <w:p w:rsidR="00DF6CD7" w:rsidRPr="00B524B8" w:rsidRDefault="00DF6CD7" w:rsidP="00DF6CD7">
      <w:pPr>
        <w:ind w:left="2832"/>
        <w:jc w:val="right"/>
        <w:rPr>
          <w:rFonts w:ascii="Calibri" w:hAnsi="Calibri" w:cs="Calibri"/>
          <w:sz w:val="20"/>
          <w:szCs w:val="20"/>
        </w:rPr>
      </w:pPr>
      <w:r w:rsidRPr="00B524B8">
        <w:rPr>
          <w:rFonts w:ascii="Calibri" w:hAnsi="Calibri" w:cs="Calibri"/>
          <w:sz w:val="20"/>
          <w:szCs w:val="20"/>
        </w:rPr>
        <w:t>(Coordinador de carrera de postgrado fortalecida)</w:t>
      </w:r>
    </w:p>
    <w:p w:rsidR="0048300D" w:rsidRDefault="0048300D" w:rsidP="009D45B5">
      <w:pPr>
        <w:pStyle w:val="ListParagraph"/>
        <w:spacing w:before="120" w:after="120" w:line="288" w:lineRule="auto"/>
        <w:ind w:left="0"/>
        <w:contextualSpacing w:val="0"/>
        <w:jc w:val="both"/>
        <w:rPr>
          <w:rStyle w:val="Emphasis"/>
          <w:rFonts w:ascii="Calibri" w:hAnsi="Calibri" w:cs="Calibri"/>
          <w:u w:val="single"/>
        </w:rPr>
      </w:pPr>
    </w:p>
    <w:p w:rsidR="00AA5E37" w:rsidRPr="007F2F3F" w:rsidRDefault="00AA5E37" w:rsidP="005734DE">
      <w:pPr>
        <w:shd w:val="clear" w:color="auto" w:fill="FFFFFF"/>
        <w:spacing w:before="100" w:beforeAutospacing="1" w:after="100" w:afterAutospacing="1"/>
        <w:rPr>
          <w:rFonts w:ascii="Calibri" w:eastAsia="Times New Roman" w:hAnsi="Calibri" w:cs="Arial"/>
          <w:b/>
          <w:lang w:eastAsia="es-AR"/>
        </w:rPr>
      </w:pPr>
      <w:r w:rsidRPr="007F2F3F">
        <w:rPr>
          <w:rFonts w:ascii="Calibri" w:eastAsia="Times New Roman" w:hAnsi="Calibri" w:cs="Arial"/>
          <w:b/>
          <w:lang w:eastAsia="es-AR"/>
        </w:rPr>
        <w:t>Respecto de la eficacia</w:t>
      </w:r>
    </w:p>
    <w:p w:rsidR="00DF6CD7" w:rsidRPr="00B524B8" w:rsidRDefault="00DF6CD7" w:rsidP="00DF6CD7">
      <w:pPr>
        <w:pStyle w:val="ListParagraph"/>
        <w:spacing w:before="120" w:after="120" w:line="288" w:lineRule="auto"/>
        <w:ind w:left="0"/>
        <w:contextualSpacing w:val="0"/>
        <w:jc w:val="both"/>
        <w:rPr>
          <w:rStyle w:val="Emphasis"/>
          <w:rFonts w:ascii="Calibri" w:hAnsi="Calibri" w:cs="Calibri"/>
          <w:i w:val="0"/>
        </w:rPr>
      </w:pPr>
      <w:r w:rsidRPr="00B524B8">
        <w:rPr>
          <w:rStyle w:val="Emphasis"/>
          <w:rFonts w:ascii="Calibri" w:hAnsi="Calibri" w:cs="Calibri"/>
          <w:i w:val="0"/>
        </w:rPr>
        <w:t xml:space="preserve">Por primera vez en Paraguay se pudo contar con programas de postgrado con </w:t>
      </w:r>
      <w:r w:rsidR="006D5D8F">
        <w:rPr>
          <w:rStyle w:val="Emphasis"/>
          <w:rFonts w:ascii="Calibri" w:hAnsi="Calibri" w:cs="Calibri"/>
          <w:i w:val="0"/>
        </w:rPr>
        <w:t>estudiante</w:t>
      </w:r>
      <w:r w:rsidRPr="00B524B8">
        <w:rPr>
          <w:rStyle w:val="Emphasis"/>
          <w:rFonts w:ascii="Calibri" w:hAnsi="Calibri" w:cs="Calibri"/>
          <w:i w:val="0"/>
        </w:rPr>
        <w:t>s con dedicación a tiempo completo, lo cual es fundamental para las carreras con orientación en investigación y docencia.</w:t>
      </w:r>
      <w:r>
        <w:rPr>
          <w:rStyle w:val="Emphasis"/>
          <w:rFonts w:ascii="Calibri" w:hAnsi="Calibri" w:cs="Calibri"/>
          <w:i w:val="0"/>
        </w:rPr>
        <w:t xml:space="preserve"> </w:t>
      </w:r>
      <w:r w:rsidRPr="00B524B8">
        <w:rPr>
          <w:rStyle w:val="Emphasis"/>
          <w:rFonts w:ascii="Calibri" w:hAnsi="Calibri" w:cs="Calibri"/>
          <w:i w:val="0"/>
        </w:rPr>
        <w:t xml:space="preserve">En general, el perfil de los </w:t>
      </w:r>
      <w:r w:rsidR="006D5D8F">
        <w:rPr>
          <w:rStyle w:val="Emphasis"/>
          <w:rFonts w:ascii="Calibri" w:hAnsi="Calibri" w:cs="Calibri"/>
          <w:i w:val="0"/>
        </w:rPr>
        <w:t>estudiante</w:t>
      </w:r>
      <w:r w:rsidRPr="00B524B8">
        <w:rPr>
          <w:rStyle w:val="Emphasis"/>
          <w:rFonts w:ascii="Calibri" w:hAnsi="Calibri" w:cs="Calibri"/>
          <w:i w:val="0"/>
        </w:rPr>
        <w:t xml:space="preserve">s de las </w:t>
      </w:r>
      <w:r w:rsidRPr="00B524B8">
        <w:rPr>
          <w:rStyle w:val="Emphasis"/>
          <w:rFonts w:ascii="Calibri" w:hAnsi="Calibri" w:cs="Calibri"/>
          <w:i w:val="0"/>
        </w:rPr>
        <w:lastRenderedPageBreak/>
        <w:t xml:space="preserve">carreras fortalecidas que ya tenían cohortes anteriores era a tiempo parcial, y la mayoría combinaba la actividad laboral –principalmente en el sector privado- con el cursado de la carrera de postgrado. </w:t>
      </w:r>
    </w:p>
    <w:p w:rsidR="00DF6CD7" w:rsidRPr="00B524B8" w:rsidRDefault="00DF6CD7" w:rsidP="00DF6CD7">
      <w:pPr>
        <w:pStyle w:val="ListParagraph"/>
        <w:spacing w:before="120" w:after="120" w:line="288" w:lineRule="auto"/>
        <w:ind w:left="0"/>
        <w:contextualSpacing w:val="0"/>
        <w:jc w:val="both"/>
        <w:rPr>
          <w:rStyle w:val="Emphasis"/>
          <w:rFonts w:ascii="Calibri" w:hAnsi="Calibri" w:cs="Calibri"/>
          <w:i w:val="0"/>
        </w:rPr>
      </w:pPr>
      <w:r>
        <w:rPr>
          <w:rStyle w:val="Emphasis"/>
          <w:rFonts w:ascii="Calibri" w:hAnsi="Calibri" w:cs="Calibri"/>
          <w:i w:val="0"/>
        </w:rPr>
        <w:t>Además, s</w:t>
      </w:r>
      <w:r w:rsidRPr="00B524B8">
        <w:rPr>
          <w:rStyle w:val="Emphasis"/>
          <w:rFonts w:ascii="Calibri" w:hAnsi="Calibri" w:cs="Calibri"/>
          <w:i w:val="0"/>
        </w:rPr>
        <w:t>e mejoraron paulatinamente los cuerpos docentes (elevando la formación de los docentes ya incorporados a las universidades y se incorporaron nuevos docentes y orientadores/tutores). El 100% de los encuestados valora alto y muy alto el impacto del fortalecimiento de carreras de postgrado en la formación de recursos humanos, como se puede observar en el gráfico a continuación.</w:t>
      </w:r>
    </w:p>
    <w:p w:rsidR="00DF6CD7" w:rsidRPr="00B524B8" w:rsidRDefault="00DF6CD7" w:rsidP="00DF6CD7">
      <w:pPr>
        <w:spacing w:after="200" w:line="276" w:lineRule="auto"/>
        <w:jc w:val="center"/>
        <w:rPr>
          <w:rStyle w:val="Emphasis"/>
          <w:rFonts w:ascii="Calibri" w:hAnsi="Calibri" w:cs="Calibri"/>
          <w:i w:val="0"/>
          <w:color w:val="FF0000"/>
        </w:rPr>
      </w:pPr>
      <w:r w:rsidRPr="00B524B8">
        <w:rPr>
          <w:rFonts w:ascii="Calibri" w:hAnsi="Calibri" w:cs="Calibri"/>
          <w:b/>
          <w:iCs/>
        </w:rPr>
        <w:t xml:space="preserve">Gráfico </w:t>
      </w:r>
      <w:r w:rsidR="00802E2B">
        <w:rPr>
          <w:rFonts w:ascii="Calibri" w:hAnsi="Calibri" w:cs="Calibri"/>
          <w:b/>
          <w:iCs/>
        </w:rPr>
        <w:t>5.23</w:t>
      </w:r>
      <w:r w:rsidR="007F2F3F">
        <w:rPr>
          <w:rFonts w:ascii="Calibri" w:hAnsi="Calibri" w:cs="Calibri"/>
          <w:b/>
          <w:iCs/>
        </w:rPr>
        <w:t>.</w:t>
      </w:r>
      <w:r w:rsidRPr="00B524B8">
        <w:rPr>
          <w:rFonts w:ascii="Calibri" w:hAnsi="Calibri" w:cs="Calibri"/>
          <w:b/>
          <w:iCs/>
        </w:rPr>
        <w:t xml:space="preserve"> Impacto del fortalecimiento de la carrera de postgrado en la formación de recursos humanos</w:t>
      </w:r>
    </w:p>
    <w:p w:rsidR="00DF6CD7" w:rsidRPr="00B524B8" w:rsidRDefault="00DF6CD7" w:rsidP="00FC352D">
      <w:pPr>
        <w:spacing w:line="276" w:lineRule="auto"/>
        <w:jc w:val="center"/>
        <w:rPr>
          <w:rStyle w:val="Emphasis"/>
          <w:rFonts w:ascii="Calibri" w:hAnsi="Calibri" w:cs="Calibri"/>
          <w:i w:val="0"/>
          <w:color w:val="FF0000"/>
        </w:rPr>
      </w:pPr>
      <w:r>
        <w:rPr>
          <w:rFonts w:ascii="Calibri" w:hAnsi="Calibri" w:cs="Calibri"/>
          <w:iCs/>
          <w:noProof/>
          <w:color w:val="FF0000"/>
          <w:lang w:val="es-ES_tradnl" w:eastAsia="es-ES_tradnl"/>
        </w:rPr>
        <w:drawing>
          <wp:inline distT="0" distB="0" distL="0" distR="0" wp14:anchorId="1F87B6A5" wp14:editId="3476880C">
            <wp:extent cx="3873261" cy="2208363"/>
            <wp:effectExtent l="0" t="0" r="0" b="1905"/>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6073" cy="2209966"/>
                    </a:xfrm>
                    <a:prstGeom prst="rect">
                      <a:avLst/>
                    </a:prstGeom>
                    <a:noFill/>
                    <a:ln>
                      <a:noFill/>
                    </a:ln>
                  </pic:spPr>
                </pic:pic>
              </a:graphicData>
            </a:graphic>
          </wp:inline>
        </w:drawing>
      </w:r>
    </w:p>
    <w:p w:rsidR="00DF6CD7" w:rsidRPr="00B524B8" w:rsidRDefault="00DF6CD7" w:rsidP="00FC352D">
      <w:pPr>
        <w:spacing w:line="276" w:lineRule="auto"/>
        <w:jc w:val="center"/>
        <w:rPr>
          <w:rStyle w:val="Emphasis"/>
          <w:rFonts w:ascii="Calibri" w:hAnsi="Calibri" w:cs="Calibri"/>
          <w:i w:val="0"/>
          <w:color w:val="FF0000"/>
        </w:rPr>
      </w:pPr>
      <w:r w:rsidRPr="00B524B8">
        <w:rPr>
          <w:rFonts w:ascii="Calibri" w:hAnsi="Calibri" w:cs="Calibri"/>
          <w:sz w:val="18"/>
          <w:szCs w:val="18"/>
        </w:rPr>
        <w:t>Fuente: Elaboración propia en b</w:t>
      </w:r>
      <w:r w:rsidR="00FC352D">
        <w:rPr>
          <w:rFonts w:ascii="Calibri" w:hAnsi="Calibri" w:cs="Calibri"/>
          <w:sz w:val="18"/>
          <w:szCs w:val="18"/>
        </w:rPr>
        <w:t>ase a resultados de la encuesta</w:t>
      </w:r>
    </w:p>
    <w:p w:rsidR="00DF6CD7" w:rsidRPr="00B524B8" w:rsidRDefault="00DF6CD7" w:rsidP="00DF6CD7">
      <w:pPr>
        <w:spacing w:before="120" w:after="120" w:line="288" w:lineRule="auto"/>
        <w:jc w:val="both"/>
        <w:rPr>
          <w:rStyle w:val="Emphasis"/>
          <w:rFonts w:ascii="Calibri" w:hAnsi="Calibri" w:cs="Calibri"/>
          <w:i w:val="0"/>
        </w:rPr>
      </w:pPr>
      <w:r>
        <w:rPr>
          <w:rStyle w:val="Emphasis"/>
          <w:rFonts w:ascii="Calibri" w:hAnsi="Calibri" w:cs="Calibri"/>
          <w:i w:val="0"/>
        </w:rPr>
        <w:t>Asimismo, l</w:t>
      </w:r>
      <w:r w:rsidRPr="00B524B8">
        <w:rPr>
          <w:rStyle w:val="Emphasis"/>
          <w:rFonts w:ascii="Calibri" w:hAnsi="Calibri" w:cs="Calibri"/>
          <w:i w:val="0"/>
        </w:rPr>
        <w:t xml:space="preserve">a incorporación de estas actividades en el </w:t>
      </w:r>
      <w:r w:rsidRPr="00B524B8">
        <w:rPr>
          <w:rStyle w:val="Emphasis"/>
          <w:rFonts w:ascii="Calibri" w:hAnsi="Calibri" w:cs="Calibri"/>
        </w:rPr>
        <w:t>curriculum vitae</w:t>
      </w:r>
      <w:r w:rsidRPr="00B524B8">
        <w:rPr>
          <w:rStyle w:val="Emphasis"/>
          <w:rFonts w:ascii="Calibri" w:hAnsi="Calibri" w:cs="Calibri"/>
          <w:i w:val="0"/>
        </w:rPr>
        <w:t xml:space="preserve"> de los docentes mejora sus perfiles para el PRONII.</w:t>
      </w:r>
    </w:p>
    <w:p w:rsidR="00AA5E37" w:rsidRPr="007F2F3F" w:rsidRDefault="00AA5E37" w:rsidP="005734DE">
      <w:pPr>
        <w:shd w:val="clear" w:color="auto" w:fill="FFFFFF"/>
        <w:spacing w:before="100" w:beforeAutospacing="1" w:after="100" w:afterAutospacing="1"/>
        <w:rPr>
          <w:rFonts w:ascii="Calibri" w:eastAsia="Times New Roman" w:hAnsi="Calibri" w:cs="Arial"/>
          <w:b/>
          <w:lang w:eastAsia="es-AR"/>
        </w:rPr>
      </w:pPr>
      <w:r w:rsidRPr="007F2F3F">
        <w:rPr>
          <w:rFonts w:ascii="Calibri" w:eastAsia="Times New Roman" w:hAnsi="Calibri" w:cs="Arial"/>
          <w:b/>
          <w:lang w:eastAsia="es-AR"/>
        </w:rPr>
        <w:t>Respecto de la eficiencia</w:t>
      </w:r>
    </w:p>
    <w:p w:rsidR="00610538" w:rsidRDefault="007F2F3F" w:rsidP="00610538">
      <w:pPr>
        <w:pStyle w:val="ListParagraph"/>
        <w:spacing w:before="120" w:after="120" w:line="288" w:lineRule="auto"/>
        <w:ind w:left="0"/>
        <w:contextualSpacing w:val="0"/>
        <w:jc w:val="both"/>
        <w:rPr>
          <w:rFonts w:asciiTheme="minorHAnsi" w:hAnsiTheme="minorHAnsi" w:cstheme="minorHAnsi"/>
          <w:lang w:val="es-ES_tradnl" w:eastAsia="en-US"/>
        </w:rPr>
      </w:pPr>
      <w:r>
        <w:rPr>
          <w:rStyle w:val="Emphasis"/>
          <w:rFonts w:ascii="Calibri" w:hAnsi="Calibri" w:cs="Calibri"/>
          <w:i w:val="0"/>
        </w:rPr>
        <w:t>El 100% de los beneficiarios de las carreras de postgrado fortalecidas consideraron que el monto recibido efectivamente contribuyó al fortalecimiento del postgrado, lo cual indicaría que los recursos asignados estuvieron orientados a los objetivos propuestos.</w:t>
      </w:r>
      <w:r w:rsidR="00C65732">
        <w:rPr>
          <w:rStyle w:val="Emphasis"/>
          <w:rFonts w:ascii="Calibri" w:hAnsi="Calibri" w:cs="Calibri"/>
          <w:i w:val="0"/>
        </w:rPr>
        <w:t xml:space="preserve"> Estos rec</w:t>
      </w:r>
      <w:r w:rsidR="00610538">
        <w:rPr>
          <w:rStyle w:val="Emphasis"/>
          <w:rFonts w:ascii="Calibri" w:hAnsi="Calibri" w:cs="Calibri"/>
          <w:i w:val="0"/>
        </w:rPr>
        <w:t xml:space="preserve">ursos se destinaron a compra de </w:t>
      </w:r>
      <w:r w:rsidR="00B30D3B" w:rsidRPr="00B225FC">
        <w:rPr>
          <w:rFonts w:asciiTheme="minorHAnsi" w:hAnsiTheme="minorHAnsi" w:cstheme="minorHAnsi"/>
          <w:lang w:val="es-ES_tradnl" w:eastAsia="en-US"/>
        </w:rPr>
        <w:t>equipamiento e insumos para la investigación y enseñanza a niv</w:t>
      </w:r>
      <w:r w:rsidR="00610538">
        <w:rPr>
          <w:rFonts w:asciiTheme="minorHAnsi" w:hAnsiTheme="minorHAnsi" w:cstheme="minorHAnsi"/>
          <w:lang w:val="es-ES_tradnl" w:eastAsia="en-US"/>
        </w:rPr>
        <w:t>el de postgrado,</w:t>
      </w:r>
      <w:r w:rsidR="00B30D3B" w:rsidRPr="00B225FC">
        <w:rPr>
          <w:rFonts w:asciiTheme="minorHAnsi" w:hAnsiTheme="minorHAnsi" w:cstheme="minorHAnsi"/>
          <w:lang w:val="es-ES_tradnl" w:eastAsia="en-US"/>
        </w:rPr>
        <w:t xml:space="preserve"> contratación por períodos cortos de docentes-investigadores de alto nivel académico y probada experiencia, ta</w:t>
      </w:r>
      <w:r w:rsidR="00610538">
        <w:rPr>
          <w:rFonts w:asciiTheme="minorHAnsi" w:hAnsiTheme="minorHAnsi" w:cstheme="minorHAnsi"/>
          <w:lang w:val="es-ES_tradnl" w:eastAsia="en-US"/>
        </w:rPr>
        <w:t>nto nacionales como extranjeros,</w:t>
      </w:r>
      <w:r w:rsidR="00B30D3B" w:rsidRPr="00B225FC">
        <w:rPr>
          <w:rFonts w:asciiTheme="minorHAnsi" w:hAnsiTheme="minorHAnsi" w:cstheme="minorHAnsi"/>
          <w:lang w:val="es-ES_tradnl" w:eastAsia="en-US"/>
        </w:rPr>
        <w:t xml:space="preserve"> adquisición de libros especializados que permitan complementar los existentes</w:t>
      </w:r>
      <w:r w:rsidR="00610538">
        <w:rPr>
          <w:rFonts w:asciiTheme="minorHAnsi" w:hAnsiTheme="minorHAnsi" w:cstheme="minorHAnsi"/>
          <w:lang w:val="es-ES_tradnl" w:eastAsia="en-US"/>
        </w:rPr>
        <w:t>,</w:t>
      </w:r>
      <w:r w:rsidR="00B30D3B" w:rsidRPr="00B225FC">
        <w:rPr>
          <w:rFonts w:asciiTheme="minorHAnsi" w:hAnsiTheme="minorHAnsi" w:cstheme="minorHAnsi"/>
          <w:lang w:val="es-ES_tradnl" w:eastAsia="en-US"/>
        </w:rPr>
        <w:t xml:space="preserve"> soporte técnico y de software para las redes de información</w:t>
      </w:r>
      <w:r w:rsidR="00610538">
        <w:rPr>
          <w:rFonts w:asciiTheme="minorHAnsi" w:hAnsiTheme="minorHAnsi" w:cstheme="minorHAnsi"/>
          <w:lang w:val="es-ES_tradnl" w:eastAsia="en-US"/>
        </w:rPr>
        <w:t xml:space="preserve">, </w:t>
      </w:r>
      <w:r w:rsidR="00B30D3B" w:rsidRPr="00B225FC">
        <w:rPr>
          <w:rFonts w:asciiTheme="minorHAnsi" w:hAnsiTheme="minorHAnsi" w:cstheme="minorHAnsi"/>
          <w:lang w:val="es-ES_tradnl" w:eastAsia="en-US"/>
        </w:rPr>
        <w:t xml:space="preserve">y gastos de laboratorio relacionados con la elaboración de tesis de postgrado. </w:t>
      </w:r>
    </w:p>
    <w:p w:rsidR="00912D3A" w:rsidRDefault="00610538" w:rsidP="00610538">
      <w:pPr>
        <w:pStyle w:val="ListParagraph"/>
        <w:spacing w:before="120" w:after="120" w:line="288" w:lineRule="auto"/>
        <w:ind w:left="0"/>
        <w:contextualSpacing w:val="0"/>
        <w:jc w:val="both"/>
        <w:rPr>
          <w:rStyle w:val="Emphasis"/>
          <w:rFonts w:ascii="Calibri" w:hAnsi="Calibri" w:cs="Calibri"/>
          <w:i w:val="0"/>
        </w:rPr>
      </w:pPr>
      <w:r>
        <w:rPr>
          <w:rFonts w:asciiTheme="minorHAnsi" w:hAnsiTheme="minorHAnsi" w:cstheme="minorHAnsi"/>
          <w:lang w:val="es-ES_tradnl" w:eastAsia="en-US"/>
        </w:rPr>
        <w:lastRenderedPageBreak/>
        <w:t>Además, las convocatorias indicaban que l</w:t>
      </w:r>
      <w:r w:rsidR="00B30D3B" w:rsidRPr="00B225FC">
        <w:rPr>
          <w:rFonts w:asciiTheme="minorHAnsi" w:hAnsiTheme="minorHAnsi" w:cstheme="minorHAnsi"/>
          <w:lang w:val="es-ES_tradnl" w:eastAsia="en-US"/>
        </w:rPr>
        <w:t>os gastos relacionado</w:t>
      </w:r>
      <w:r>
        <w:rPr>
          <w:rFonts w:asciiTheme="minorHAnsi" w:hAnsiTheme="minorHAnsi" w:cstheme="minorHAnsi"/>
          <w:lang w:val="es-ES_tradnl" w:eastAsia="en-US"/>
        </w:rPr>
        <w:t xml:space="preserve">s </w:t>
      </w:r>
      <w:r w:rsidR="00AE07B0">
        <w:rPr>
          <w:rFonts w:asciiTheme="minorHAnsi" w:hAnsiTheme="minorHAnsi" w:cstheme="minorHAnsi"/>
          <w:lang w:val="es-ES_tradnl" w:eastAsia="en-US"/>
        </w:rPr>
        <w:t>con actividades que incluyeran</w:t>
      </w:r>
      <w:r w:rsidR="00B30D3B" w:rsidRPr="00B225FC">
        <w:rPr>
          <w:rFonts w:asciiTheme="minorHAnsi" w:hAnsiTheme="minorHAnsi" w:cstheme="minorHAnsi"/>
          <w:lang w:val="es-ES_tradnl" w:eastAsia="en-US"/>
        </w:rPr>
        <w:t xml:space="preserve"> participación de académicos paraguayos reside</w:t>
      </w:r>
      <w:r>
        <w:rPr>
          <w:rFonts w:asciiTheme="minorHAnsi" w:hAnsiTheme="minorHAnsi" w:cstheme="minorHAnsi"/>
          <w:lang w:val="es-ES_tradnl" w:eastAsia="en-US"/>
        </w:rPr>
        <w:t>ntes en el exterior se ponderaría</w:t>
      </w:r>
      <w:r w:rsidR="00B30D3B" w:rsidRPr="00B225FC">
        <w:rPr>
          <w:rFonts w:asciiTheme="minorHAnsi" w:hAnsiTheme="minorHAnsi" w:cstheme="minorHAnsi"/>
          <w:lang w:val="es-ES_tradnl" w:eastAsia="en-US"/>
        </w:rPr>
        <w:t>n positivamente en los procedimientos de evaluación.</w:t>
      </w:r>
      <w:r w:rsidR="00B30D3B">
        <w:rPr>
          <w:rFonts w:asciiTheme="minorHAnsi" w:hAnsiTheme="minorHAnsi" w:cstheme="minorHAnsi"/>
          <w:lang w:val="es-ES_tradnl" w:eastAsia="en-US"/>
        </w:rPr>
        <w:t xml:space="preserve"> </w:t>
      </w:r>
      <w:r>
        <w:rPr>
          <w:rFonts w:asciiTheme="minorHAnsi" w:hAnsiTheme="minorHAnsi" w:cstheme="minorHAnsi"/>
          <w:lang w:val="es-ES_tradnl" w:eastAsia="en-US"/>
        </w:rPr>
        <w:t>En este sentido, t</w:t>
      </w:r>
      <w:r w:rsidR="00B30D3B">
        <w:rPr>
          <w:rFonts w:asciiTheme="minorHAnsi" w:hAnsiTheme="minorHAnsi" w:cstheme="minorHAnsi"/>
          <w:lang w:val="es-ES_tradnl" w:eastAsia="en-US"/>
        </w:rPr>
        <w:t>odos los postgrados incorporaron a su planta docente profesores del extranjero, y en algunos casos llegando al 100% de la planta docente.</w:t>
      </w:r>
    </w:p>
    <w:p w:rsidR="00DF6CD7" w:rsidRPr="00B524B8" w:rsidRDefault="00610538" w:rsidP="00DF6CD7">
      <w:pPr>
        <w:pStyle w:val="ListParagraph"/>
        <w:spacing w:before="120" w:after="120" w:line="288" w:lineRule="auto"/>
        <w:ind w:left="0"/>
        <w:contextualSpacing w:val="0"/>
        <w:jc w:val="both"/>
        <w:rPr>
          <w:rStyle w:val="Emphasis"/>
          <w:rFonts w:ascii="Calibri" w:hAnsi="Calibri" w:cs="Calibri"/>
          <w:i w:val="0"/>
        </w:rPr>
      </w:pPr>
      <w:r>
        <w:rPr>
          <w:rStyle w:val="Emphasis"/>
          <w:rFonts w:ascii="Calibri" w:hAnsi="Calibri" w:cs="Calibri"/>
          <w:i w:val="0"/>
        </w:rPr>
        <w:t>Es importante destacar que s</w:t>
      </w:r>
      <w:r w:rsidR="00DF6CD7" w:rsidRPr="00B524B8">
        <w:rPr>
          <w:rStyle w:val="Emphasis"/>
          <w:rFonts w:ascii="Calibri" w:hAnsi="Calibri" w:cs="Calibri"/>
          <w:i w:val="0"/>
        </w:rPr>
        <w:t xml:space="preserve">e crearon y/o equiparon laboratorios en los cuales los </w:t>
      </w:r>
      <w:r w:rsidR="006D5D8F">
        <w:rPr>
          <w:rStyle w:val="Emphasis"/>
          <w:rFonts w:ascii="Calibri" w:hAnsi="Calibri" w:cs="Calibri"/>
          <w:i w:val="0"/>
        </w:rPr>
        <w:t>estudiante</w:t>
      </w:r>
      <w:r w:rsidR="00DF6CD7" w:rsidRPr="00B524B8">
        <w:rPr>
          <w:rStyle w:val="Emphasis"/>
          <w:rFonts w:ascii="Calibri" w:hAnsi="Calibri" w:cs="Calibri"/>
          <w:i w:val="0"/>
        </w:rPr>
        <w:t>s pudieron desarrollar sus trabajos de campo a los fines del desarrollo de sus tesis de maestría y/o doctorado. También se mejoraron algunas instalaciones edilicias y equipamiento áulico.</w:t>
      </w:r>
    </w:p>
    <w:p w:rsidR="001A0762" w:rsidRPr="00B524B8" w:rsidRDefault="00610538" w:rsidP="001A0762">
      <w:pPr>
        <w:pStyle w:val="ListParagraph"/>
        <w:spacing w:before="120" w:after="120" w:line="288" w:lineRule="auto"/>
        <w:ind w:left="0"/>
        <w:contextualSpacing w:val="0"/>
        <w:jc w:val="both"/>
        <w:rPr>
          <w:rStyle w:val="Emphasis"/>
          <w:rFonts w:ascii="Calibri" w:hAnsi="Calibri" w:cs="Calibri"/>
          <w:i w:val="0"/>
        </w:rPr>
      </w:pPr>
      <w:r w:rsidRPr="00610538">
        <w:rPr>
          <w:rStyle w:val="Emphasis"/>
          <w:rFonts w:ascii="Calibri" w:hAnsi="Calibri" w:cs="Calibri"/>
          <w:i w:val="0"/>
        </w:rPr>
        <w:t xml:space="preserve">A los fines de una óptima utilización de los recursos, los coordinadores de postgrados visitados señalaron que los diferentes, complejos y rígidos procedimientos administrativos para llamados a licitaciones y para autorizaciones y rendiciones de gastos, tanto los propios de la universidad (específicamente de la UNA), como así también del Ministerio de Hacienda, dificultaron bastante la mejor utilización de los recursos. </w:t>
      </w:r>
    </w:p>
    <w:p w:rsidR="00AA5E37" w:rsidRPr="00610538" w:rsidRDefault="00AA5E37" w:rsidP="005734DE">
      <w:pPr>
        <w:shd w:val="clear" w:color="auto" w:fill="FFFFFF"/>
        <w:spacing w:before="100" w:beforeAutospacing="1" w:after="100" w:afterAutospacing="1"/>
        <w:rPr>
          <w:rFonts w:ascii="Calibri" w:eastAsia="Times New Roman" w:hAnsi="Calibri" w:cs="Arial"/>
          <w:b/>
          <w:lang w:eastAsia="es-AR"/>
        </w:rPr>
      </w:pPr>
      <w:r w:rsidRPr="00610538">
        <w:rPr>
          <w:rFonts w:ascii="Calibri" w:eastAsia="Times New Roman" w:hAnsi="Calibri" w:cs="Arial"/>
          <w:b/>
          <w:lang w:eastAsia="es-AR"/>
        </w:rPr>
        <w:t>Respecto de los efectos e impacto</w:t>
      </w:r>
    </w:p>
    <w:p w:rsidR="00DF6CD7" w:rsidRPr="00C65732" w:rsidRDefault="00DF6CD7" w:rsidP="00DF6CD7">
      <w:pPr>
        <w:autoSpaceDE w:val="0"/>
        <w:autoSpaceDN w:val="0"/>
        <w:adjustRightInd w:val="0"/>
        <w:spacing w:before="60" w:after="60" w:line="288" w:lineRule="auto"/>
        <w:jc w:val="both"/>
        <w:rPr>
          <w:rFonts w:ascii="Calibri" w:eastAsiaTheme="minorHAnsi" w:hAnsi="Calibri" w:cs="BookmanOldStyle"/>
          <w:lang w:val="es-AR" w:eastAsia="en-US"/>
        </w:rPr>
      </w:pPr>
      <w:r w:rsidRPr="00C65732">
        <w:rPr>
          <w:rStyle w:val="Emphasis"/>
          <w:rFonts w:ascii="Calibri" w:hAnsi="Calibri" w:cs="Calibri"/>
          <w:i w:val="0"/>
        </w:rPr>
        <w:t xml:space="preserve">El fortalecimiento de los postgrados constituyó un disparador de una serie de efectos, es decir, </w:t>
      </w:r>
      <w:r w:rsidRPr="00C65732">
        <w:rPr>
          <w:rFonts w:ascii="Calibri" w:eastAsiaTheme="minorHAnsi" w:hAnsi="Calibri" w:cs="BookmanOldStyle"/>
          <w:lang w:val="es-AR" w:eastAsia="en-US"/>
        </w:rPr>
        <w:t xml:space="preserve">nuevos estados o condiciones en las personas, en las cosas o en las instituciones que son producto de la intervención del programa, ya sea que respondan o no a los objetivos planteados. </w:t>
      </w:r>
    </w:p>
    <w:p w:rsidR="00DF6CD7" w:rsidRPr="00B524B8" w:rsidRDefault="00DF6CD7" w:rsidP="00DF6CD7">
      <w:pPr>
        <w:pStyle w:val="ListParagraph"/>
        <w:spacing w:before="120" w:after="120" w:line="288" w:lineRule="auto"/>
        <w:ind w:left="0"/>
        <w:contextualSpacing w:val="0"/>
        <w:jc w:val="both"/>
        <w:rPr>
          <w:rStyle w:val="Emphasis"/>
          <w:rFonts w:ascii="Calibri" w:hAnsi="Calibri" w:cs="Calibri"/>
          <w:i w:val="0"/>
        </w:rPr>
      </w:pPr>
      <w:r>
        <w:rPr>
          <w:rStyle w:val="Emphasis"/>
          <w:rFonts w:ascii="Calibri" w:hAnsi="Calibri" w:cs="Calibri"/>
          <w:i w:val="0"/>
          <w:lang w:val="es-AR"/>
        </w:rPr>
        <w:t xml:space="preserve">En este sentido, la creación y/o desarrollo de carreras de postgrado posibilitó el </w:t>
      </w:r>
      <w:r w:rsidRPr="00B524B8">
        <w:rPr>
          <w:rStyle w:val="Emphasis"/>
          <w:rFonts w:ascii="Calibri" w:hAnsi="Calibri" w:cs="Calibri"/>
          <w:i w:val="0"/>
        </w:rPr>
        <w:t>desarroll</w:t>
      </w:r>
      <w:r>
        <w:rPr>
          <w:rStyle w:val="Emphasis"/>
          <w:rFonts w:ascii="Calibri" w:hAnsi="Calibri" w:cs="Calibri"/>
          <w:i w:val="0"/>
        </w:rPr>
        <w:t xml:space="preserve">o de </w:t>
      </w:r>
      <w:r w:rsidRPr="00B524B8">
        <w:rPr>
          <w:rStyle w:val="Emphasis"/>
          <w:rFonts w:ascii="Calibri" w:hAnsi="Calibri" w:cs="Calibri"/>
          <w:i w:val="0"/>
        </w:rPr>
        <w:t>nuevos equipos de investigación y se fortalecieron los ya existentes. En menor medida, se abrieron nuevas líneas de investigación.</w:t>
      </w:r>
    </w:p>
    <w:p w:rsidR="005A2072" w:rsidRDefault="005A2072" w:rsidP="00610538">
      <w:pPr>
        <w:spacing w:after="200" w:line="276" w:lineRule="auto"/>
        <w:jc w:val="center"/>
        <w:rPr>
          <w:rFonts w:ascii="Calibri" w:hAnsi="Calibri" w:cs="Calibri"/>
          <w:b/>
          <w:iCs/>
        </w:rPr>
      </w:pPr>
    </w:p>
    <w:p w:rsidR="005A2072" w:rsidRDefault="005A2072" w:rsidP="00610538">
      <w:pPr>
        <w:spacing w:after="200" w:line="276" w:lineRule="auto"/>
        <w:jc w:val="center"/>
        <w:rPr>
          <w:rFonts w:ascii="Calibri" w:hAnsi="Calibri" w:cs="Calibri"/>
          <w:b/>
          <w:iCs/>
        </w:rPr>
      </w:pPr>
    </w:p>
    <w:p w:rsidR="005A2072" w:rsidRDefault="005A2072" w:rsidP="00610538">
      <w:pPr>
        <w:spacing w:after="200" w:line="276" w:lineRule="auto"/>
        <w:jc w:val="center"/>
        <w:rPr>
          <w:rFonts w:ascii="Calibri" w:hAnsi="Calibri" w:cs="Calibri"/>
          <w:b/>
          <w:iCs/>
        </w:rPr>
      </w:pPr>
    </w:p>
    <w:p w:rsidR="005A2072" w:rsidRDefault="005A2072" w:rsidP="00610538">
      <w:pPr>
        <w:spacing w:after="200" w:line="276" w:lineRule="auto"/>
        <w:jc w:val="center"/>
        <w:rPr>
          <w:rFonts w:ascii="Calibri" w:hAnsi="Calibri" w:cs="Calibri"/>
          <w:b/>
          <w:iCs/>
        </w:rPr>
      </w:pPr>
    </w:p>
    <w:p w:rsidR="005A2072" w:rsidRDefault="005A2072" w:rsidP="00610538">
      <w:pPr>
        <w:spacing w:after="200" w:line="276" w:lineRule="auto"/>
        <w:jc w:val="center"/>
        <w:rPr>
          <w:rFonts w:ascii="Calibri" w:hAnsi="Calibri" w:cs="Calibri"/>
          <w:b/>
          <w:iCs/>
        </w:rPr>
      </w:pPr>
    </w:p>
    <w:p w:rsidR="005A2072" w:rsidRDefault="005A2072" w:rsidP="00610538">
      <w:pPr>
        <w:spacing w:after="200" w:line="276" w:lineRule="auto"/>
        <w:jc w:val="center"/>
        <w:rPr>
          <w:rFonts w:ascii="Calibri" w:hAnsi="Calibri" w:cs="Calibri"/>
          <w:b/>
          <w:iCs/>
        </w:rPr>
      </w:pPr>
    </w:p>
    <w:p w:rsidR="005A2072" w:rsidRDefault="005A2072" w:rsidP="00610538">
      <w:pPr>
        <w:spacing w:after="200" w:line="276" w:lineRule="auto"/>
        <w:jc w:val="center"/>
        <w:rPr>
          <w:rFonts w:ascii="Calibri" w:hAnsi="Calibri" w:cs="Calibri"/>
          <w:b/>
          <w:iCs/>
        </w:rPr>
      </w:pPr>
    </w:p>
    <w:p w:rsidR="005A2072" w:rsidRDefault="005A2072" w:rsidP="00610538">
      <w:pPr>
        <w:spacing w:after="200" w:line="276" w:lineRule="auto"/>
        <w:jc w:val="center"/>
        <w:rPr>
          <w:rFonts w:ascii="Calibri" w:hAnsi="Calibri" w:cs="Calibri"/>
          <w:b/>
          <w:iCs/>
        </w:rPr>
      </w:pPr>
    </w:p>
    <w:p w:rsidR="00DF6CD7" w:rsidRPr="00B524B8" w:rsidRDefault="00DF6CD7" w:rsidP="00610538">
      <w:pPr>
        <w:spacing w:after="200" w:line="276" w:lineRule="auto"/>
        <w:jc w:val="center"/>
        <w:rPr>
          <w:rStyle w:val="Emphasis"/>
          <w:rFonts w:ascii="Calibri" w:hAnsi="Calibri" w:cs="Calibri"/>
          <w:i w:val="0"/>
        </w:rPr>
      </w:pPr>
      <w:r>
        <w:rPr>
          <w:rFonts w:ascii="Calibri" w:hAnsi="Calibri" w:cs="Calibri"/>
          <w:b/>
          <w:iCs/>
        </w:rPr>
        <w:lastRenderedPageBreak/>
        <w:t xml:space="preserve">Gráfico </w:t>
      </w:r>
      <w:r w:rsidR="00802E2B">
        <w:rPr>
          <w:rFonts w:ascii="Calibri" w:hAnsi="Calibri" w:cs="Calibri"/>
          <w:b/>
          <w:iCs/>
        </w:rPr>
        <w:t>5.24</w:t>
      </w:r>
      <w:r w:rsidR="00610538">
        <w:rPr>
          <w:rFonts w:ascii="Calibri" w:hAnsi="Calibri" w:cs="Calibri"/>
          <w:b/>
          <w:iCs/>
        </w:rPr>
        <w:t>.</w:t>
      </w:r>
      <w:r w:rsidRPr="00B524B8">
        <w:rPr>
          <w:rFonts w:ascii="Calibri" w:hAnsi="Calibri" w:cs="Calibri"/>
          <w:b/>
          <w:iCs/>
        </w:rPr>
        <w:t xml:space="preserve"> Impacto del fortalecimiento de la carrera de postgrado en el desarrollo de la investigación</w:t>
      </w:r>
    </w:p>
    <w:p w:rsidR="00DF6CD7" w:rsidRPr="00B524B8" w:rsidRDefault="00DF6CD7" w:rsidP="00FC352D">
      <w:pPr>
        <w:spacing w:line="276" w:lineRule="auto"/>
        <w:ind w:left="709"/>
        <w:jc w:val="center"/>
        <w:rPr>
          <w:rStyle w:val="Emphasis"/>
          <w:rFonts w:ascii="Calibri" w:hAnsi="Calibri" w:cs="Calibri"/>
          <w:i w:val="0"/>
        </w:rPr>
      </w:pPr>
      <w:r w:rsidRPr="009D6DD5">
        <w:rPr>
          <w:noProof/>
          <w:lang w:val="es-ES_tradnl" w:eastAsia="es-ES_tradnl"/>
        </w:rPr>
        <w:drawing>
          <wp:inline distT="0" distB="0" distL="0" distR="0" wp14:anchorId="424DFF5D" wp14:editId="0B365BC1">
            <wp:extent cx="4045788" cy="2780852"/>
            <wp:effectExtent l="0" t="0" r="0" b="635"/>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45788" cy="2780852"/>
                    </a:xfrm>
                    <a:prstGeom prst="rect">
                      <a:avLst/>
                    </a:prstGeom>
                    <a:noFill/>
                    <a:ln>
                      <a:noFill/>
                    </a:ln>
                  </pic:spPr>
                </pic:pic>
              </a:graphicData>
            </a:graphic>
          </wp:inline>
        </w:drawing>
      </w:r>
    </w:p>
    <w:p w:rsidR="00DF6CD7" w:rsidRPr="00B524B8" w:rsidRDefault="00DF6CD7" w:rsidP="00FC352D">
      <w:pPr>
        <w:spacing w:line="276" w:lineRule="auto"/>
        <w:jc w:val="center"/>
        <w:rPr>
          <w:rStyle w:val="Emphasis"/>
          <w:rFonts w:ascii="Calibri" w:hAnsi="Calibri" w:cs="Calibri"/>
          <w:i w:val="0"/>
          <w:color w:val="FF0000"/>
        </w:rPr>
      </w:pPr>
      <w:r w:rsidRPr="00B524B8">
        <w:rPr>
          <w:rFonts w:ascii="Calibri" w:hAnsi="Calibri" w:cs="Calibri"/>
          <w:sz w:val="18"/>
          <w:szCs w:val="18"/>
        </w:rPr>
        <w:t>Fuente: Elaboración propia en b</w:t>
      </w:r>
      <w:r w:rsidR="00FC352D">
        <w:rPr>
          <w:rFonts w:ascii="Calibri" w:hAnsi="Calibri" w:cs="Calibri"/>
          <w:sz w:val="18"/>
          <w:szCs w:val="18"/>
        </w:rPr>
        <w:t>ase a resultados de la encuesta</w:t>
      </w:r>
    </w:p>
    <w:p w:rsidR="00DF6CD7" w:rsidRPr="00B524B8" w:rsidRDefault="00DF6CD7" w:rsidP="00DF6CD7">
      <w:pPr>
        <w:pStyle w:val="ListParagraph"/>
        <w:spacing w:before="120" w:after="120" w:line="288" w:lineRule="auto"/>
        <w:ind w:left="0"/>
        <w:contextualSpacing w:val="0"/>
        <w:jc w:val="both"/>
        <w:rPr>
          <w:rStyle w:val="Emphasis"/>
          <w:rFonts w:ascii="Calibri" w:hAnsi="Calibri" w:cs="Calibri"/>
          <w:i w:val="0"/>
        </w:rPr>
      </w:pPr>
      <w:r w:rsidRPr="00B524B8">
        <w:rPr>
          <w:rStyle w:val="Emphasis"/>
          <w:rFonts w:ascii="Calibri" w:hAnsi="Calibri" w:cs="Calibri"/>
          <w:i w:val="0"/>
        </w:rPr>
        <w:t>Como se observa en el gráfico</w:t>
      </w:r>
      <w:r w:rsidR="00802E2B">
        <w:rPr>
          <w:rStyle w:val="Emphasis"/>
          <w:rFonts w:ascii="Calibri" w:hAnsi="Calibri" w:cs="Calibri"/>
          <w:i w:val="0"/>
        </w:rPr>
        <w:t xml:space="preserve"> 5.24</w:t>
      </w:r>
      <w:r w:rsidRPr="00B524B8">
        <w:rPr>
          <w:rStyle w:val="Emphasis"/>
          <w:rFonts w:ascii="Calibri" w:hAnsi="Calibri" w:cs="Calibri"/>
          <w:i w:val="0"/>
        </w:rPr>
        <w:t xml:space="preserve">, el 100% de los encuestados valora alto y muy alto el impacto del fortalecimiento de postgrados, tanto en la mejora de la calidad de los proyectos de investigación existentes, como en el desarrollo de nuevos proyectos de investigación. En el caso del desarrollo de nuevas líneas de investigación, la valoración del impacto también es positiva, sin bien en un porcentaje menor (67%). </w:t>
      </w:r>
    </w:p>
    <w:p w:rsidR="009D45B5" w:rsidRPr="00B524B8" w:rsidRDefault="00610538" w:rsidP="009D45B5">
      <w:pPr>
        <w:pStyle w:val="ListParagraph"/>
        <w:spacing w:before="120" w:after="120" w:line="288" w:lineRule="auto"/>
        <w:ind w:left="0"/>
        <w:contextualSpacing w:val="0"/>
        <w:jc w:val="both"/>
        <w:rPr>
          <w:rStyle w:val="Emphasis"/>
          <w:rFonts w:ascii="Calibri" w:hAnsi="Calibri" w:cs="Calibri"/>
          <w:i w:val="0"/>
        </w:rPr>
      </w:pPr>
      <w:r w:rsidRPr="00610538">
        <w:rPr>
          <w:rStyle w:val="Emphasis"/>
          <w:rFonts w:ascii="Calibri" w:hAnsi="Calibri" w:cs="Calibri"/>
          <w:i w:val="0"/>
        </w:rPr>
        <w:t xml:space="preserve">Sin embargo, y a pesar de la ser la </w:t>
      </w:r>
      <w:r w:rsidR="009D45B5">
        <w:rPr>
          <w:rStyle w:val="Emphasis"/>
          <w:rFonts w:ascii="Calibri" w:hAnsi="Calibri" w:cs="Calibri"/>
          <w:i w:val="0"/>
        </w:rPr>
        <w:t xml:space="preserve">orientación de las carreras de postgrado fortalecidas la investigación y la docencia, </w:t>
      </w:r>
      <w:r>
        <w:rPr>
          <w:rStyle w:val="Emphasis"/>
          <w:rFonts w:ascii="Calibri" w:hAnsi="Calibri" w:cs="Calibri"/>
          <w:i w:val="0"/>
        </w:rPr>
        <w:t xml:space="preserve">aún no se logró una articulación fluida de </w:t>
      </w:r>
      <w:r w:rsidR="009D45B5">
        <w:rPr>
          <w:rStyle w:val="Emphasis"/>
          <w:rFonts w:ascii="Calibri" w:hAnsi="Calibri" w:cs="Calibri"/>
          <w:i w:val="0"/>
        </w:rPr>
        <w:t>estas carreras con proyectos y equipos de investigación</w:t>
      </w:r>
      <w:r>
        <w:rPr>
          <w:rStyle w:val="Emphasis"/>
          <w:rFonts w:ascii="Calibri" w:hAnsi="Calibri" w:cs="Calibri"/>
          <w:i w:val="0"/>
        </w:rPr>
        <w:t xml:space="preserve"> de los mismos centros/unidades académicas, en los cuales podrían</w:t>
      </w:r>
      <w:r w:rsidR="009D45B5">
        <w:rPr>
          <w:rStyle w:val="Emphasis"/>
          <w:rFonts w:ascii="Calibri" w:hAnsi="Calibri" w:cs="Calibri"/>
          <w:i w:val="0"/>
        </w:rPr>
        <w:t xml:space="preserve"> participan docentes y </w:t>
      </w:r>
      <w:r w:rsidR="006D5D8F">
        <w:rPr>
          <w:rStyle w:val="Emphasis"/>
          <w:rFonts w:ascii="Calibri" w:hAnsi="Calibri" w:cs="Calibri"/>
          <w:i w:val="0"/>
        </w:rPr>
        <w:t>estudiante</w:t>
      </w:r>
      <w:r w:rsidR="009D45B5">
        <w:rPr>
          <w:rStyle w:val="Emphasis"/>
          <w:rFonts w:ascii="Calibri" w:hAnsi="Calibri" w:cs="Calibri"/>
          <w:i w:val="0"/>
        </w:rPr>
        <w:t>s.</w:t>
      </w:r>
    </w:p>
    <w:p w:rsidR="009D45B5" w:rsidRDefault="009D45B5" w:rsidP="009D45B5">
      <w:pPr>
        <w:pStyle w:val="ListParagraph"/>
        <w:spacing w:before="120" w:after="120" w:line="288" w:lineRule="auto"/>
        <w:ind w:left="0"/>
        <w:contextualSpacing w:val="0"/>
        <w:jc w:val="both"/>
        <w:rPr>
          <w:rStyle w:val="Emphasis"/>
          <w:rFonts w:ascii="Calibri" w:hAnsi="Calibri" w:cs="Calibri"/>
          <w:i w:val="0"/>
        </w:rPr>
      </w:pPr>
      <w:r w:rsidRPr="00B524B8">
        <w:rPr>
          <w:rStyle w:val="Emphasis"/>
          <w:rFonts w:ascii="Calibri" w:hAnsi="Calibri" w:cs="Calibri"/>
          <w:i w:val="0"/>
        </w:rPr>
        <w:t xml:space="preserve">Se amplió el intercambio de docentes y </w:t>
      </w:r>
      <w:r w:rsidR="006D5D8F">
        <w:rPr>
          <w:rStyle w:val="Emphasis"/>
          <w:rFonts w:ascii="Calibri" w:hAnsi="Calibri" w:cs="Calibri"/>
          <w:i w:val="0"/>
        </w:rPr>
        <w:t>estudiante</w:t>
      </w:r>
      <w:r w:rsidRPr="00B524B8">
        <w:rPr>
          <w:rStyle w:val="Emphasis"/>
          <w:rFonts w:ascii="Calibri" w:hAnsi="Calibri" w:cs="Calibri"/>
          <w:i w:val="0"/>
        </w:rPr>
        <w:t xml:space="preserve">s con instituciones del extranjero, facilitando, en muchos casos, el desarrollo y culminación de las tesis de los </w:t>
      </w:r>
      <w:r w:rsidR="006D5D8F">
        <w:rPr>
          <w:rStyle w:val="Emphasis"/>
          <w:rFonts w:ascii="Calibri" w:hAnsi="Calibri" w:cs="Calibri"/>
          <w:i w:val="0"/>
        </w:rPr>
        <w:t>estudiante</w:t>
      </w:r>
      <w:r w:rsidRPr="00B524B8">
        <w:rPr>
          <w:rStyle w:val="Emphasis"/>
          <w:rFonts w:ascii="Calibri" w:hAnsi="Calibri" w:cs="Calibri"/>
          <w:i w:val="0"/>
        </w:rPr>
        <w:t>s.</w:t>
      </w:r>
    </w:p>
    <w:p w:rsidR="00DF6CD7" w:rsidRPr="00B524B8" w:rsidRDefault="00DF6CD7" w:rsidP="00DF6CD7">
      <w:pPr>
        <w:pStyle w:val="ListParagraph"/>
        <w:spacing w:before="120" w:after="120" w:line="288" w:lineRule="auto"/>
        <w:ind w:left="0"/>
        <w:contextualSpacing w:val="0"/>
        <w:jc w:val="both"/>
        <w:rPr>
          <w:rStyle w:val="Emphasis"/>
          <w:rFonts w:ascii="Calibri" w:hAnsi="Calibri" w:cs="Calibri"/>
          <w:i w:val="0"/>
        </w:rPr>
      </w:pPr>
      <w:r w:rsidRPr="00B524B8">
        <w:rPr>
          <w:rStyle w:val="Emphasis"/>
          <w:rFonts w:ascii="Calibri" w:hAnsi="Calibri" w:cs="Calibri"/>
          <w:i w:val="0"/>
        </w:rPr>
        <w:t>Se incrementó el reconocimiento de investigadores y graduados de universidades paraguayas en el extranjero y a nivel local –especialmente en la participación en congresos y eventos científicos y en las actividades de redes de temáticas específicas.</w:t>
      </w:r>
    </w:p>
    <w:p w:rsidR="00DF6CD7" w:rsidRPr="00B524B8" w:rsidRDefault="00DF6CD7" w:rsidP="00DF6CD7">
      <w:pPr>
        <w:ind w:left="3402"/>
        <w:jc w:val="right"/>
        <w:rPr>
          <w:rFonts w:ascii="Calibri" w:hAnsi="Calibri" w:cs="Calibri"/>
          <w:i/>
          <w:sz w:val="20"/>
          <w:szCs w:val="20"/>
        </w:rPr>
      </w:pPr>
      <w:r w:rsidRPr="00B524B8">
        <w:rPr>
          <w:rFonts w:ascii="Calibri" w:hAnsi="Calibri" w:cs="Calibri"/>
          <w:i/>
          <w:sz w:val="20"/>
          <w:szCs w:val="20"/>
        </w:rPr>
        <w:t>“Todo lo que se hizo (…) genera un resultado que en principio no es cuantificable a nivel económico, pero sí en lo que refiere al marketing país (…). Por ejemplo, en términos de publicaciones –en informática- en el 2008 había una sola publicación y ahora son varias las que podemos encontrar (…)”</w:t>
      </w:r>
    </w:p>
    <w:p w:rsidR="00DF6CD7" w:rsidRPr="00B524B8" w:rsidRDefault="00DF6CD7" w:rsidP="00DF6CD7">
      <w:pPr>
        <w:jc w:val="right"/>
        <w:rPr>
          <w:rFonts w:ascii="Calibri" w:hAnsi="Calibri" w:cs="Calibri"/>
          <w:sz w:val="20"/>
          <w:szCs w:val="20"/>
        </w:rPr>
      </w:pPr>
      <w:r w:rsidRPr="00B524B8">
        <w:rPr>
          <w:rFonts w:ascii="Calibri" w:hAnsi="Calibri" w:cs="Calibri"/>
          <w:sz w:val="20"/>
          <w:szCs w:val="20"/>
        </w:rPr>
        <w:t>(Coordinador de carrera de postgrado fortalecida)</w:t>
      </w:r>
    </w:p>
    <w:p w:rsidR="00DF6CD7" w:rsidRPr="00B524B8" w:rsidRDefault="00DF6CD7" w:rsidP="00DF6CD7">
      <w:pPr>
        <w:pStyle w:val="ListParagraph"/>
        <w:spacing w:after="200" w:line="276" w:lineRule="auto"/>
        <w:jc w:val="both"/>
        <w:rPr>
          <w:rStyle w:val="Emphasis"/>
          <w:rFonts w:ascii="Calibri" w:hAnsi="Calibri" w:cs="Calibri"/>
          <w:i w:val="0"/>
        </w:rPr>
      </w:pPr>
    </w:p>
    <w:p w:rsidR="00DF6CD7" w:rsidRPr="00B524B8" w:rsidRDefault="00DF6CD7" w:rsidP="00DF6CD7">
      <w:pPr>
        <w:spacing w:line="276" w:lineRule="auto"/>
        <w:jc w:val="center"/>
        <w:rPr>
          <w:rStyle w:val="Emphasis"/>
          <w:rFonts w:ascii="Calibri" w:hAnsi="Calibri" w:cs="Calibri"/>
          <w:i w:val="0"/>
        </w:rPr>
      </w:pPr>
      <w:r>
        <w:rPr>
          <w:rFonts w:ascii="Calibri" w:hAnsi="Calibri" w:cs="Calibri"/>
          <w:b/>
          <w:iCs/>
        </w:rPr>
        <w:lastRenderedPageBreak/>
        <w:t xml:space="preserve">Gráfico </w:t>
      </w:r>
      <w:r w:rsidR="00802E2B">
        <w:rPr>
          <w:rFonts w:ascii="Calibri" w:hAnsi="Calibri" w:cs="Calibri"/>
          <w:b/>
          <w:iCs/>
        </w:rPr>
        <w:t>5.25</w:t>
      </w:r>
      <w:r w:rsidR="00610538">
        <w:rPr>
          <w:rFonts w:ascii="Calibri" w:hAnsi="Calibri" w:cs="Calibri"/>
          <w:b/>
          <w:iCs/>
        </w:rPr>
        <w:t>.</w:t>
      </w:r>
      <w:r w:rsidRPr="00B524B8">
        <w:rPr>
          <w:rFonts w:ascii="Calibri" w:hAnsi="Calibri" w:cs="Calibri"/>
          <w:b/>
          <w:iCs/>
        </w:rPr>
        <w:t xml:space="preserve"> Impacto del fortalecimiento de la carrera de postgrado en la vinculación con el extranjero</w:t>
      </w:r>
    </w:p>
    <w:p w:rsidR="00DF6CD7" w:rsidRPr="00B524B8" w:rsidRDefault="00DF6CD7" w:rsidP="00DF6CD7">
      <w:pPr>
        <w:pStyle w:val="ListParagraph"/>
        <w:spacing w:line="276" w:lineRule="auto"/>
        <w:jc w:val="both"/>
        <w:rPr>
          <w:rStyle w:val="Emphasis"/>
          <w:rFonts w:ascii="Calibri" w:hAnsi="Calibri" w:cs="Calibri"/>
          <w:i w:val="0"/>
        </w:rPr>
      </w:pPr>
      <w:r w:rsidRPr="00D440A5">
        <w:rPr>
          <w:noProof/>
          <w:lang w:val="es-ES_tradnl" w:eastAsia="es-ES_tradnl"/>
        </w:rPr>
        <w:drawing>
          <wp:inline distT="0" distB="0" distL="0" distR="0" wp14:anchorId="52307391" wp14:editId="27CE5273">
            <wp:extent cx="4572000" cy="3176450"/>
            <wp:effectExtent l="0" t="0" r="0" b="508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86" cy="3176510"/>
                    </a:xfrm>
                    <a:prstGeom prst="rect">
                      <a:avLst/>
                    </a:prstGeom>
                    <a:noFill/>
                    <a:ln>
                      <a:noFill/>
                    </a:ln>
                  </pic:spPr>
                </pic:pic>
              </a:graphicData>
            </a:graphic>
          </wp:inline>
        </w:drawing>
      </w:r>
    </w:p>
    <w:p w:rsidR="00DF6CD7" w:rsidRPr="001E2A3F" w:rsidRDefault="00DF6CD7" w:rsidP="00FC352D">
      <w:pPr>
        <w:spacing w:line="276" w:lineRule="auto"/>
        <w:jc w:val="center"/>
        <w:rPr>
          <w:rStyle w:val="Emphasis"/>
          <w:rFonts w:ascii="Calibri" w:hAnsi="Calibri" w:cs="Calibri"/>
          <w:i w:val="0"/>
        </w:rPr>
      </w:pPr>
      <w:r w:rsidRPr="00B524B8">
        <w:rPr>
          <w:rFonts w:ascii="Calibri" w:hAnsi="Calibri" w:cs="Calibri"/>
          <w:sz w:val="18"/>
          <w:szCs w:val="18"/>
        </w:rPr>
        <w:t>Fuente: Elaboración propia en b</w:t>
      </w:r>
      <w:r>
        <w:rPr>
          <w:rFonts w:ascii="Calibri" w:hAnsi="Calibri" w:cs="Calibri"/>
          <w:sz w:val="18"/>
          <w:szCs w:val="18"/>
        </w:rPr>
        <w:t>ase a resultados de la encuesta</w:t>
      </w:r>
    </w:p>
    <w:p w:rsidR="00DF6CD7" w:rsidRPr="00B524B8" w:rsidRDefault="00DF6CD7" w:rsidP="00DF6CD7">
      <w:pPr>
        <w:pStyle w:val="ListParagraph"/>
        <w:spacing w:before="120" w:after="120" w:line="288" w:lineRule="auto"/>
        <w:ind w:left="0"/>
        <w:contextualSpacing w:val="0"/>
        <w:jc w:val="both"/>
        <w:rPr>
          <w:rStyle w:val="Emphasis"/>
          <w:rFonts w:ascii="Calibri" w:hAnsi="Calibri" w:cs="Calibri"/>
          <w:i w:val="0"/>
          <w:lang w:val="es-AR"/>
        </w:rPr>
      </w:pPr>
      <w:r w:rsidRPr="00B524B8">
        <w:rPr>
          <w:rStyle w:val="Emphasis"/>
          <w:rFonts w:ascii="Calibri" w:hAnsi="Calibri" w:cs="Calibri"/>
          <w:i w:val="0"/>
          <w:lang w:val="es-AR"/>
        </w:rPr>
        <w:t>El 100% de los encuestados valora como alto y muy alto este impacto en el incremento de los vínculos con docentes en el extranjero. También esta valoración es muy positiva respecto de la generación de redes de investigación con instituciones del extranjero (78%) y respecto de la generación de redes de postgrados con instituciones del extranjero (89%).</w:t>
      </w:r>
    </w:p>
    <w:p w:rsidR="00C65732" w:rsidRPr="00610538" w:rsidRDefault="00C65732" w:rsidP="00C65732">
      <w:pPr>
        <w:pStyle w:val="ListParagraph"/>
        <w:spacing w:before="120" w:after="120" w:line="288" w:lineRule="auto"/>
        <w:ind w:left="0"/>
        <w:contextualSpacing w:val="0"/>
        <w:jc w:val="both"/>
        <w:rPr>
          <w:rStyle w:val="Emphasis"/>
          <w:rFonts w:ascii="Calibri" w:hAnsi="Calibri" w:cs="Calibri"/>
          <w:i w:val="0"/>
        </w:rPr>
      </w:pPr>
      <w:r w:rsidRPr="00610538">
        <w:rPr>
          <w:rStyle w:val="Emphasis"/>
          <w:rFonts w:ascii="Calibri" w:hAnsi="Calibri" w:cs="Calibri"/>
          <w:i w:val="0"/>
        </w:rPr>
        <w:t>Si bien se han realizado algunas acciones de difusión, se considera aún insuficiente la difusión de las actividades y resultados en ciencia y tecnología, no sólo desde la perspectiva de la generación de redes y de transferencia tecnológica, sino también en relación a la sociedad en su conjunto, aumentando la visibilid</w:t>
      </w:r>
      <w:r>
        <w:rPr>
          <w:rStyle w:val="Emphasis"/>
          <w:rFonts w:ascii="Calibri" w:hAnsi="Calibri" w:cs="Calibri"/>
          <w:i w:val="0"/>
        </w:rPr>
        <w:t>ad del uso de recursos públicos, mejorando así también la eficiencia del programa.</w:t>
      </w:r>
    </w:p>
    <w:p w:rsidR="00DF6CD7" w:rsidRPr="00B524B8" w:rsidRDefault="00DF6CD7" w:rsidP="00DF6CD7">
      <w:pPr>
        <w:pStyle w:val="ListParagraph"/>
        <w:spacing w:before="120" w:after="120" w:line="288" w:lineRule="auto"/>
        <w:ind w:left="0"/>
        <w:contextualSpacing w:val="0"/>
        <w:jc w:val="both"/>
        <w:rPr>
          <w:rStyle w:val="Emphasis"/>
          <w:rFonts w:ascii="Calibri" w:hAnsi="Calibri" w:cs="Calibri"/>
          <w:i w:val="0"/>
        </w:rPr>
      </w:pPr>
      <w:r w:rsidRPr="00B524B8">
        <w:rPr>
          <w:rStyle w:val="Emphasis"/>
          <w:rFonts w:ascii="Calibri" w:hAnsi="Calibri" w:cs="Calibri"/>
          <w:i w:val="0"/>
        </w:rPr>
        <w:t>Para algunas carreras que ya se encontraban en funcionamiento antes de recibir el fortalecimiento del PROCIT, la participación en esta convocatoria implicó la realización de mejoras en los programas de las carreras de postgrado en cuanto a su currículo y sistema de admisión, por ejemplo.</w:t>
      </w:r>
    </w:p>
    <w:p w:rsidR="009D45B5" w:rsidRPr="00B524B8" w:rsidRDefault="009A322E" w:rsidP="009D45B5">
      <w:pPr>
        <w:pStyle w:val="ListParagraph"/>
        <w:spacing w:before="120" w:after="120" w:line="288" w:lineRule="auto"/>
        <w:ind w:left="0"/>
        <w:contextualSpacing w:val="0"/>
        <w:jc w:val="both"/>
        <w:rPr>
          <w:rStyle w:val="Emphasis"/>
          <w:rFonts w:ascii="Calibri" w:hAnsi="Calibri" w:cs="Calibri"/>
          <w:i w:val="0"/>
        </w:rPr>
      </w:pPr>
      <w:r w:rsidRPr="009A322E">
        <w:rPr>
          <w:rStyle w:val="Emphasis"/>
          <w:rFonts w:ascii="Calibri" w:hAnsi="Calibri" w:cs="Calibri"/>
          <w:i w:val="0"/>
        </w:rPr>
        <w:t>La información relevada señala también algunos efectos del subcomponente que podrían derivarse de una adecuada implementación del mismo, y que aún son insuficientes o muy incipientes. Uno de ellos es el impacto en el número de las</w:t>
      </w:r>
      <w:r w:rsidR="009D45B5" w:rsidRPr="009A322E">
        <w:rPr>
          <w:rStyle w:val="Emphasis"/>
          <w:rFonts w:ascii="Calibri" w:hAnsi="Calibri" w:cs="Calibri"/>
          <w:i w:val="0"/>
        </w:rPr>
        <w:t xml:space="preserve"> dedicaciones a tiempo completo</w:t>
      </w:r>
      <w:r w:rsidRPr="009A322E">
        <w:rPr>
          <w:rStyle w:val="Emphasis"/>
          <w:rFonts w:ascii="Calibri" w:hAnsi="Calibri" w:cs="Calibri"/>
          <w:i w:val="0"/>
        </w:rPr>
        <w:t>, que aún no se percibe</w:t>
      </w:r>
      <w:r w:rsidR="009D45B5">
        <w:rPr>
          <w:rStyle w:val="Emphasis"/>
          <w:rFonts w:ascii="Calibri" w:hAnsi="Calibri" w:cs="Calibri"/>
          <w:i w:val="0"/>
        </w:rPr>
        <w:t xml:space="preserve">. </w:t>
      </w:r>
      <w:r>
        <w:rPr>
          <w:rStyle w:val="Emphasis"/>
          <w:rFonts w:ascii="Calibri" w:hAnsi="Calibri" w:cs="Calibri"/>
          <w:i w:val="0"/>
        </w:rPr>
        <w:t>Se plantea la necesidad, también de reforzar</w:t>
      </w:r>
      <w:r w:rsidR="009D45B5" w:rsidRPr="00B524B8">
        <w:rPr>
          <w:rStyle w:val="Emphasis"/>
          <w:rFonts w:ascii="Calibri" w:hAnsi="Calibri" w:cs="Calibri"/>
          <w:i w:val="0"/>
        </w:rPr>
        <w:t xml:space="preserve">, dentro del </w:t>
      </w:r>
      <w:r w:rsidR="009D45B5" w:rsidRPr="00B524B8">
        <w:rPr>
          <w:rStyle w:val="Emphasis"/>
          <w:rFonts w:ascii="Calibri" w:hAnsi="Calibri" w:cs="Calibri"/>
          <w:i w:val="0"/>
        </w:rPr>
        <w:lastRenderedPageBreak/>
        <w:t>rol docente, la función de orientadores y tutores de tesis, ya que en muchas carreras son insuficientes.</w:t>
      </w:r>
    </w:p>
    <w:p w:rsidR="009D45B5" w:rsidRPr="00B524B8" w:rsidRDefault="009A322E" w:rsidP="009D45B5">
      <w:pPr>
        <w:pStyle w:val="ListParagraph"/>
        <w:spacing w:before="120" w:after="120" w:line="288" w:lineRule="auto"/>
        <w:ind w:left="0"/>
        <w:contextualSpacing w:val="0"/>
        <w:jc w:val="both"/>
        <w:rPr>
          <w:rStyle w:val="Emphasis"/>
          <w:rFonts w:ascii="Calibri" w:hAnsi="Calibri" w:cs="Calibri"/>
          <w:i w:val="0"/>
        </w:rPr>
      </w:pPr>
      <w:r w:rsidRPr="009A322E">
        <w:rPr>
          <w:rStyle w:val="Emphasis"/>
          <w:rFonts w:ascii="Calibri" w:hAnsi="Calibri" w:cs="Calibri"/>
          <w:i w:val="0"/>
        </w:rPr>
        <w:t>Si bien estas carreras forman profesionales con orientación a la investigación y a la docencia, aún se presentan dificultades a la hora de lograr la retención de los graduados de estas carreras.</w:t>
      </w:r>
    </w:p>
    <w:p w:rsidR="009D45B5" w:rsidRPr="00157C3B" w:rsidRDefault="009D45B5" w:rsidP="009D45B5">
      <w:pPr>
        <w:ind w:left="3540"/>
        <w:jc w:val="right"/>
        <w:rPr>
          <w:rFonts w:ascii="Calibri" w:hAnsi="Calibri" w:cs="Calibri"/>
          <w:i/>
          <w:sz w:val="20"/>
          <w:szCs w:val="20"/>
        </w:rPr>
      </w:pPr>
      <w:r w:rsidRPr="00157C3B">
        <w:rPr>
          <w:rFonts w:ascii="Calibri" w:hAnsi="Calibri" w:cs="Calibri"/>
          <w:i/>
          <w:sz w:val="20"/>
          <w:szCs w:val="20"/>
        </w:rPr>
        <w:t xml:space="preserve">“Nuestros </w:t>
      </w:r>
      <w:r w:rsidR="006D5D8F">
        <w:rPr>
          <w:rFonts w:ascii="Calibri" w:hAnsi="Calibri" w:cs="Calibri"/>
          <w:i/>
          <w:sz w:val="20"/>
          <w:szCs w:val="20"/>
        </w:rPr>
        <w:t>estudiante</w:t>
      </w:r>
      <w:r w:rsidRPr="00157C3B">
        <w:rPr>
          <w:rFonts w:ascii="Calibri" w:hAnsi="Calibri" w:cs="Calibri"/>
          <w:i/>
          <w:sz w:val="20"/>
          <w:szCs w:val="20"/>
        </w:rPr>
        <w:t>s que terminaron van a ser docentes, y eso hay que fortalecerlo… Hay que generar mecanismo de retención…”</w:t>
      </w:r>
    </w:p>
    <w:p w:rsidR="009D45B5" w:rsidRPr="00157C3B" w:rsidRDefault="009D45B5" w:rsidP="009D45B5">
      <w:pPr>
        <w:jc w:val="right"/>
        <w:rPr>
          <w:rFonts w:ascii="Calibri" w:hAnsi="Calibri" w:cs="Calibri"/>
          <w:sz w:val="20"/>
          <w:szCs w:val="20"/>
        </w:rPr>
      </w:pPr>
      <w:r w:rsidRPr="00157C3B">
        <w:rPr>
          <w:rFonts w:ascii="Calibri" w:hAnsi="Calibri" w:cs="Calibri"/>
          <w:sz w:val="20"/>
          <w:szCs w:val="20"/>
        </w:rPr>
        <w:t>(Coordinador de carrera de postgrado fortalecida)</w:t>
      </w:r>
    </w:p>
    <w:p w:rsidR="00C65732" w:rsidRDefault="00C65732" w:rsidP="00016D70">
      <w:pPr>
        <w:pStyle w:val="ListParagraph"/>
        <w:spacing w:before="120" w:after="120" w:line="288" w:lineRule="auto"/>
        <w:ind w:left="0"/>
        <w:contextualSpacing w:val="0"/>
        <w:jc w:val="both"/>
        <w:rPr>
          <w:rStyle w:val="Emphasis"/>
          <w:rFonts w:ascii="Calibri" w:hAnsi="Calibri" w:cs="Calibri"/>
          <w:u w:val="single"/>
        </w:rPr>
      </w:pPr>
    </w:p>
    <w:p w:rsidR="00016D70" w:rsidRPr="00B524B8" w:rsidRDefault="00C65732" w:rsidP="00016D70">
      <w:pPr>
        <w:pStyle w:val="ListParagraph"/>
        <w:spacing w:before="120" w:after="120" w:line="288" w:lineRule="auto"/>
        <w:ind w:left="0"/>
        <w:contextualSpacing w:val="0"/>
        <w:jc w:val="both"/>
        <w:rPr>
          <w:rStyle w:val="Emphasis"/>
          <w:rFonts w:ascii="Calibri" w:hAnsi="Calibri" w:cs="Calibri"/>
          <w:i w:val="0"/>
        </w:rPr>
      </w:pPr>
      <w:r>
        <w:rPr>
          <w:rStyle w:val="Emphasis"/>
          <w:rFonts w:ascii="Calibri" w:hAnsi="Calibri" w:cs="Calibri"/>
          <w:i w:val="0"/>
        </w:rPr>
        <w:t>Además, aún es incipiente la política de propiedad intelectual en Paraguay, tanto en lo que refiere a la relevancia de este tema, como respecto de una normativa específica –la UNA recién está dando sus primeros pasos en este sentido.</w:t>
      </w:r>
    </w:p>
    <w:p w:rsidR="00016D70" w:rsidRDefault="00C65732" w:rsidP="00016D70">
      <w:pPr>
        <w:pStyle w:val="ListParagraph"/>
        <w:spacing w:before="120" w:after="120" w:line="288" w:lineRule="auto"/>
        <w:ind w:left="0"/>
        <w:contextualSpacing w:val="0"/>
        <w:jc w:val="both"/>
        <w:rPr>
          <w:rStyle w:val="Emphasis"/>
          <w:rFonts w:ascii="Calibri" w:hAnsi="Calibri" w:cs="Calibri"/>
          <w:i w:val="0"/>
        </w:rPr>
      </w:pPr>
      <w:r w:rsidRPr="00C65732">
        <w:rPr>
          <w:rStyle w:val="Emphasis"/>
          <w:rFonts w:ascii="Calibri" w:hAnsi="Calibri" w:cs="Calibri"/>
          <w:i w:val="0"/>
        </w:rPr>
        <w:t xml:space="preserve">También se observa, a partir de la información relavada, que aún queda un camino por recorrer respecto de la </w:t>
      </w:r>
      <w:r w:rsidR="00016D70" w:rsidRPr="00C65732">
        <w:rPr>
          <w:rStyle w:val="Emphasis"/>
          <w:rFonts w:ascii="Calibri" w:hAnsi="Calibri" w:cs="Calibri"/>
          <w:i w:val="0"/>
        </w:rPr>
        <w:t xml:space="preserve">articulación </w:t>
      </w:r>
      <w:r w:rsidRPr="00C65732">
        <w:rPr>
          <w:rStyle w:val="Emphasis"/>
          <w:rFonts w:ascii="Calibri" w:hAnsi="Calibri" w:cs="Calibri"/>
          <w:i w:val="0"/>
        </w:rPr>
        <w:t>de las carreras de postgra</w:t>
      </w:r>
      <w:r>
        <w:rPr>
          <w:rStyle w:val="Emphasis"/>
          <w:rFonts w:ascii="Calibri" w:hAnsi="Calibri" w:cs="Calibri"/>
          <w:i w:val="0"/>
        </w:rPr>
        <w:t>do con</w:t>
      </w:r>
      <w:r w:rsidR="00016D70" w:rsidRPr="00C65732">
        <w:rPr>
          <w:rStyle w:val="Emphasis"/>
          <w:rFonts w:ascii="Calibri" w:hAnsi="Calibri" w:cs="Calibri"/>
          <w:i w:val="0"/>
        </w:rPr>
        <w:t xml:space="preserve"> el sector privado, organizaciones de la sociedad civil, gobiernos, etc.</w:t>
      </w:r>
      <w:r>
        <w:rPr>
          <w:rStyle w:val="Emphasis"/>
          <w:rFonts w:ascii="Calibri" w:hAnsi="Calibri" w:cs="Calibri"/>
          <w:i w:val="0"/>
        </w:rPr>
        <w:t>, a los fines de posibilitar un mayor impacto de este subcomponente.</w:t>
      </w:r>
    </w:p>
    <w:p w:rsidR="00AA5E37" w:rsidRPr="002F14AC" w:rsidRDefault="00AA5E37" w:rsidP="005734DE">
      <w:pPr>
        <w:shd w:val="clear" w:color="auto" w:fill="FFFFFF"/>
        <w:spacing w:before="100" w:beforeAutospacing="1" w:after="100" w:afterAutospacing="1"/>
        <w:rPr>
          <w:rFonts w:ascii="Calibri" w:eastAsia="Times New Roman" w:hAnsi="Calibri" w:cs="Arial"/>
          <w:b/>
          <w:lang w:eastAsia="es-AR"/>
        </w:rPr>
      </w:pPr>
      <w:r w:rsidRPr="002F14AC">
        <w:rPr>
          <w:rFonts w:ascii="Calibri" w:eastAsia="Times New Roman" w:hAnsi="Calibri" w:cs="Arial"/>
          <w:b/>
          <w:lang w:eastAsia="es-AR"/>
        </w:rPr>
        <w:t>Respecto de la sostenibilidad</w:t>
      </w:r>
    </w:p>
    <w:p w:rsidR="00AA5E37" w:rsidRPr="00853A8C" w:rsidRDefault="00AA5E37" w:rsidP="00AA5E37">
      <w:pPr>
        <w:pStyle w:val="ListParagraph"/>
        <w:spacing w:before="120" w:after="120" w:line="288" w:lineRule="auto"/>
        <w:ind w:left="0"/>
        <w:contextualSpacing w:val="0"/>
        <w:jc w:val="both"/>
        <w:rPr>
          <w:rStyle w:val="Emphasis"/>
          <w:rFonts w:ascii="Calibri" w:hAnsi="Calibri" w:cs="Calibri"/>
          <w:i w:val="0"/>
        </w:rPr>
      </w:pPr>
      <w:r w:rsidRPr="00853A8C">
        <w:rPr>
          <w:rStyle w:val="Emphasis"/>
          <w:rFonts w:ascii="Calibri" w:hAnsi="Calibri" w:cs="Calibri"/>
          <w:i w:val="0"/>
        </w:rPr>
        <w:t xml:space="preserve">Existe </w:t>
      </w:r>
      <w:r w:rsidR="00C65732">
        <w:rPr>
          <w:rStyle w:val="Emphasis"/>
          <w:rFonts w:ascii="Calibri" w:hAnsi="Calibri" w:cs="Calibri"/>
          <w:i w:val="0"/>
        </w:rPr>
        <w:t xml:space="preserve">aún, </w:t>
      </w:r>
      <w:r w:rsidRPr="00853A8C">
        <w:rPr>
          <w:rStyle w:val="Emphasis"/>
          <w:rFonts w:ascii="Calibri" w:hAnsi="Calibri" w:cs="Calibri"/>
          <w:i w:val="0"/>
        </w:rPr>
        <w:t>en general</w:t>
      </w:r>
      <w:r w:rsidR="00C65732">
        <w:rPr>
          <w:rStyle w:val="Emphasis"/>
          <w:rFonts w:ascii="Calibri" w:hAnsi="Calibri" w:cs="Calibri"/>
          <w:i w:val="0"/>
        </w:rPr>
        <w:t>,</w:t>
      </w:r>
      <w:r w:rsidRPr="00853A8C">
        <w:rPr>
          <w:rStyle w:val="Emphasis"/>
          <w:rFonts w:ascii="Calibri" w:hAnsi="Calibri" w:cs="Calibri"/>
          <w:i w:val="0"/>
          <w:color w:val="FF0000"/>
        </w:rPr>
        <w:t xml:space="preserve"> </w:t>
      </w:r>
      <w:r w:rsidRPr="00853A8C">
        <w:rPr>
          <w:rStyle w:val="Emphasis"/>
          <w:rFonts w:ascii="Calibri" w:hAnsi="Calibri" w:cs="Calibri"/>
          <w:i w:val="0"/>
        </w:rPr>
        <w:t xml:space="preserve">una baja institucionalización de varios aspectos de las carreras: cuerpo docente, perfiles de </w:t>
      </w:r>
      <w:r w:rsidR="006D5D8F">
        <w:rPr>
          <w:rStyle w:val="Emphasis"/>
          <w:rFonts w:ascii="Calibri" w:hAnsi="Calibri" w:cs="Calibri"/>
          <w:i w:val="0"/>
        </w:rPr>
        <w:t>estudiante</w:t>
      </w:r>
      <w:r w:rsidRPr="00853A8C">
        <w:rPr>
          <w:rStyle w:val="Emphasis"/>
          <w:rFonts w:ascii="Calibri" w:hAnsi="Calibri" w:cs="Calibri"/>
          <w:i w:val="0"/>
        </w:rPr>
        <w:t xml:space="preserve">s de dedicación a tiempo completo, articulación con proyectos de investigación e innovación, demanda de la formación ofrecida, recursos propios, entre otros. Esto implicaría que frente a la ausencia del apoyo institucional y económico del PROCIT, así como también de coordinadores con trayectoria y de docentes e investigadores fuertemente comprometidos, estas carreras no podrían ser sostenibles en el tiempo. </w:t>
      </w:r>
      <w:r>
        <w:rPr>
          <w:rStyle w:val="Emphasis"/>
          <w:rFonts w:ascii="Calibri" w:hAnsi="Calibri" w:cs="Calibri"/>
          <w:i w:val="0"/>
        </w:rPr>
        <w:t>Como ejemplo, v</w:t>
      </w:r>
      <w:r w:rsidRPr="00853A8C">
        <w:rPr>
          <w:rStyle w:val="Emphasis"/>
          <w:rFonts w:ascii="Calibri" w:hAnsi="Calibri" w:cs="Calibri"/>
          <w:i w:val="0"/>
        </w:rPr>
        <w:t>arias facultades han demorado sus convocatorias a nuevas cohortes hasta tanto no tengan certeza de un nuevo apoyo institucional y económico del CONACYT.</w:t>
      </w:r>
    </w:p>
    <w:p w:rsidR="00AA5E37" w:rsidRPr="00853A8C" w:rsidRDefault="00AA5E37" w:rsidP="00AA5E37">
      <w:pPr>
        <w:pStyle w:val="ListParagraph"/>
        <w:spacing w:before="120" w:after="120" w:line="288" w:lineRule="auto"/>
        <w:ind w:left="0"/>
        <w:contextualSpacing w:val="0"/>
        <w:jc w:val="both"/>
        <w:rPr>
          <w:rStyle w:val="Emphasis"/>
          <w:rFonts w:ascii="Calibri" w:hAnsi="Calibri" w:cs="Calibri"/>
          <w:i w:val="0"/>
        </w:rPr>
      </w:pPr>
      <w:r w:rsidRPr="00853A8C">
        <w:rPr>
          <w:rStyle w:val="Emphasis"/>
          <w:rFonts w:ascii="Calibri" w:hAnsi="Calibri" w:cs="Calibri"/>
          <w:i w:val="0"/>
        </w:rPr>
        <w:t xml:space="preserve">Esta baja sostenibilidad en el tiempo de las carreras de postgrado (sólo se dictan dos o tres cohortes y pierden regularidad y/o continuidad) impactaría negativamente en la generación de carreras prestigiosas y de calidad con alta demanda. Esto también implicaría una cierta imagen negativa de las universidades/facultades que dictan estas carreras. </w:t>
      </w:r>
    </w:p>
    <w:p w:rsidR="00AA5E37" w:rsidRDefault="00AA5E37" w:rsidP="00AA5E37">
      <w:pPr>
        <w:pStyle w:val="ListParagraph"/>
        <w:spacing w:before="120" w:after="120" w:line="288" w:lineRule="auto"/>
        <w:ind w:left="0"/>
        <w:contextualSpacing w:val="0"/>
        <w:jc w:val="both"/>
        <w:rPr>
          <w:rStyle w:val="Emphasis"/>
          <w:rFonts w:ascii="Calibri" w:hAnsi="Calibri" w:cs="Calibri"/>
          <w:i w:val="0"/>
        </w:rPr>
      </w:pPr>
      <w:r w:rsidRPr="00853A8C">
        <w:rPr>
          <w:rStyle w:val="Emphasis"/>
          <w:rFonts w:ascii="Calibri" w:hAnsi="Calibri" w:cs="Calibri"/>
          <w:i w:val="0"/>
        </w:rPr>
        <w:t xml:space="preserve">En los casos de algunas universidades/facultades más jóvenes, y que han iniciado su funcionamiento y gestión con claras líneas estratégicas </w:t>
      </w:r>
      <w:r w:rsidR="00CE055F">
        <w:rPr>
          <w:rStyle w:val="Emphasis"/>
          <w:rFonts w:ascii="Calibri" w:hAnsi="Calibri" w:cs="Calibri"/>
          <w:i w:val="0"/>
        </w:rPr>
        <w:t xml:space="preserve">de investigación </w:t>
      </w:r>
      <w:r w:rsidRPr="00853A8C">
        <w:rPr>
          <w:rStyle w:val="Emphasis"/>
          <w:rFonts w:ascii="Calibri" w:hAnsi="Calibri" w:cs="Calibri"/>
          <w:i w:val="0"/>
        </w:rPr>
        <w:t xml:space="preserve">y sólidos equipos </w:t>
      </w:r>
      <w:r w:rsidRPr="00853A8C">
        <w:rPr>
          <w:rStyle w:val="Emphasis"/>
          <w:rFonts w:ascii="Calibri" w:hAnsi="Calibri" w:cs="Calibri"/>
          <w:i w:val="0"/>
        </w:rPr>
        <w:lastRenderedPageBreak/>
        <w:t>de gestión administrativa y económico-financiera, el PROCIT ha facilitado alcanzar más rápidamente los objetivos y una mayor eficiencia en el uso de los recursos propios.</w:t>
      </w:r>
    </w:p>
    <w:p w:rsidR="0048300D" w:rsidRPr="00B524B8" w:rsidRDefault="00440872" w:rsidP="0048300D">
      <w:pPr>
        <w:pStyle w:val="ListParagraph"/>
        <w:spacing w:before="120" w:after="120" w:line="288" w:lineRule="auto"/>
        <w:ind w:left="0"/>
        <w:contextualSpacing w:val="0"/>
        <w:jc w:val="both"/>
        <w:rPr>
          <w:rStyle w:val="Emphasis"/>
          <w:rFonts w:ascii="Calibri" w:hAnsi="Calibri" w:cs="Calibri"/>
          <w:i w:val="0"/>
        </w:rPr>
      </w:pPr>
      <w:r w:rsidRPr="00440872">
        <w:rPr>
          <w:rStyle w:val="Emphasis"/>
          <w:rFonts w:ascii="Calibri" w:hAnsi="Calibri" w:cs="Calibri"/>
          <w:i w:val="0"/>
        </w:rPr>
        <w:t xml:space="preserve">Finalmente, algunos beneficiarios sugieren que en próximas convocatorias se incluya una valoración de resultados y </w:t>
      </w:r>
      <w:r w:rsidR="004C5DE3">
        <w:rPr>
          <w:rStyle w:val="Emphasis"/>
          <w:rFonts w:ascii="Calibri" w:hAnsi="Calibri" w:cs="Calibri"/>
          <w:i w:val="0"/>
        </w:rPr>
        <w:t xml:space="preserve">de la </w:t>
      </w:r>
      <w:r w:rsidRPr="00440872">
        <w:rPr>
          <w:rStyle w:val="Emphasis"/>
          <w:rFonts w:ascii="Calibri" w:hAnsi="Calibri" w:cs="Calibri"/>
          <w:i w:val="0"/>
        </w:rPr>
        <w:t>situación de acreditación de las carreras, además de otros ítems ya evaluados en estas convocatorias, y asociar el fina</w:t>
      </w:r>
      <w:r w:rsidR="004C5DE3">
        <w:rPr>
          <w:rStyle w:val="Emphasis"/>
          <w:rFonts w:ascii="Calibri" w:hAnsi="Calibri" w:cs="Calibri"/>
          <w:i w:val="0"/>
        </w:rPr>
        <w:t>nciamiento a estas valoraciones, a los fines de ir mejorando la calidad de la oferta de postgrado en Paraguay.</w:t>
      </w:r>
    </w:p>
    <w:p w:rsidR="006C3167" w:rsidRDefault="006C3167" w:rsidP="006C3167">
      <w:pPr>
        <w:pStyle w:val="ListParagraph"/>
        <w:spacing w:before="120" w:after="120" w:line="288" w:lineRule="auto"/>
        <w:ind w:left="0"/>
        <w:contextualSpacing w:val="0"/>
        <w:jc w:val="both"/>
        <w:rPr>
          <w:rStyle w:val="Emphasis"/>
          <w:rFonts w:ascii="Calibri" w:hAnsi="Calibri" w:cs="Calibri"/>
          <w:i w:val="0"/>
        </w:rPr>
      </w:pPr>
    </w:p>
    <w:p w:rsidR="005734DE" w:rsidRDefault="005734DE" w:rsidP="002D7EE9">
      <w:pPr>
        <w:pStyle w:val="Heading3"/>
        <w:numPr>
          <w:ilvl w:val="2"/>
          <w:numId w:val="4"/>
        </w:numPr>
        <w:rPr>
          <w:rStyle w:val="Emphasis"/>
          <w:rFonts w:cs="Calibri"/>
          <w:i/>
        </w:rPr>
      </w:pPr>
      <w:bookmarkStart w:id="216" w:name="_Toc375211986"/>
      <w:r>
        <w:rPr>
          <w:rStyle w:val="Emphasis"/>
          <w:rFonts w:cs="Calibri"/>
          <w:i/>
        </w:rPr>
        <w:t>Conclusiones y recomendaciones</w:t>
      </w:r>
      <w:bookmarkEnd w:id="216"/>
    </w:p>
    <w:p w:rsidR="00A75578" w:rsidRDefault="00A75578" w:rsidP="00A75578">
      <w:pPr>
        <w:pStyle w:val="ListParagraph"/>
        <w:spacing w:before="120" w:after="120" w:line="288" w:lineRule="auto"/>
        <w:ind w:left="0"/>
        <w:contextualSpacing w:val="0"/>
        <w:jc w:val="both"/>
        <w:rPr>
          <w:rStyle w:val="Emphasis"/>
          <w:rFonts w:ascii="Calibri" w:hAnsi="Calibri" w:cs="Calibri"/>
          <w:i w:val="0"/>
        </w:rPr>
      </w:pPr>
      <w:r>
        <w:rPr>
          <w:rStyle w:val="Emphasis"/>
          <w:rFonts w:ascii="Calibri" w:hAnsi="Calibri" w:cs="Calibri"/>
          <w:i w:val="0"/>
          <w:lang w:val="es-ES_tradnl"/>
        </w:rPr>
        <w:t xml:space="preserve">El PROCIT contribuyó fuertemente a ampliar </w:t>
      </w:r>
      <w:r w:rsidRPr="00B524B8">
        <w:rPr>
          <w:rStyle w:val="Emphasis"/>
          <w:rFonts w:ascii="Calibri" w:hAnsi="Calibri" w:cs="Calibri"/>
          <w:i w:val="0"/>
        </w:rPr>
        <w:t>la oferta de formación de postgrado orientada a la inves</w:t>
      </w:r>
      <w:r>
        <w:rPr>
          <w:rStyle w:val="Emphasis"/>
          <w:rFonts w:ascii="Calibri" w:hAnsi="Calibri" w:cs="Calibri"/>
          <w:i w:val="0"/>
        </w:rPr>
        <w:t>tigación y docencia en Paraguay, posibilitando que diferentes universidades pudieran desarrollar carreras de postgrado que sin el financiamiento del PROCIT no podrían haber llevado a cabo.</w:t>
      </w:r>
    </w:p>
    <w:p w:rsidR="00A75578" w:rsidRPr="00853A8C" w:rsidRDefault="00A75578" w:rsidP="00A75578">
      <w:pPr>
        <w:pStyle w:val="ListParagraph"/>
        <w:spacing w:before="120" w:after="120" w:line="288" w:lineRule="auto"/>
        <w:ind w:left="0"/>
        <w:contextualSpacing w:val="0"/>
        <w:jc w:val="both"/>
        <w:rPr>
          <w:rStyle w:val="Emphasis"/>
          <w:rFonts w:ascii="Calibri" w:hAnsi="Calibri" w:cs="Calibri"/>
          <w:i w:val="0"/>
        </w:rPr>
      </w:pPr>
      <w:r w:rsidRPr="00B40818">
        <w:rPr>
          <w:rStyle w:val="Emphasis"/>
          <w:rFonts w:ascii="Calibri" w:hAnsi="Calibri" w:cs="Calibri"/>
          <w:i w:val="0"/>
        </w:rPr>
        <w:t>Como síntesis, y l</w:t>
      </w:r>
      <w:r w:rsidRPr="00853A8C">
        <w:rPr>
          <w:rStyle w:val="Emphasis"/>
          <w:rFonts w:ascii="Calibri" w:hAnsi="Calibri" w:cs="Calibri"/>
          <w:i w:val="0"/>
        </w:rPr>
        <w:t>uego de analizar las once carreras de postgrado fortalecidas, se observa que el mejor aprovechamiento del financiamiento, y los mejores resultados (en calidad y cantidad)</w:t>
      </w:r>
      <w:r w:rsidRPr="00AB234F">
        <w:rPr>
          <w:rStyle w:val="Emphasis"/>
          <w:rFonts w:asciiTheme="minorHAnsi" w:hAnsiTheme="minorHAnsi" w:cstheme="minorHAnsi"/>
          <w:i w:val="0"/>
          <w:iCs w:val="0"/>
          <w:vertAlign w:val="superscript"/>
        </w:rPr>
        <w:footnoteReference w:id="24"/>
      </w:r>
      <w:r w:rsidRPr="00853A8C">
        <w:rPr>
          <w:rStyle w:val="Emphasis"/>
          <w:rFonts w:ascii="Calibri" w:hAnsi="Calibri" w:cs="Calibri"/>
          <w:i w:val="0"/>
        </w:rPr>
        <w:t xml:space="preserve"> se obtuvieron en aquellas carreras de postgrado en las cuales ya había previamente un desarrollo de ciertas capacidades, tales como la participación en redes nacionales y/o internacionales, equipos de docentes-investigadores con trayectoria y equipos de investigación con un cierto grado de desarrollo.</w:t>
      </w:r>
      <w:r>
        <w:rPr>
          <w:rStyle w:val="Emphasis"/>
          <w:rFonts w:ascii="Calibri" w:hAnsi="Calibri" w:cs="Calibri"/>
          <w:i w:val="0"/>
        </w:rPr>
        <w:t xml:space="preserve"> </w:t>
      </w:r>
    </w:p>
    <w:p w:rsidR="00A75578" w:rsidRDefault="00A75578" w:rsidP="00A75578">
      <w:pPr>
        <w:pStyle w:val="ListParagraph"/>
        <w:spacing w:before="120" w:after="120" w:line="288" w:lineRule="auto"/>
        <w:ind w:left="0"/>
        <w:contextualSpacing w:val="0"/>
        <w:jc w:val="both"/>
        <w:rPr>
          <w:rStyle w:val="Emphasis"/>
          <w:rFonts w:ascii="Calibri" w:hAnsi="Calibri" w:cs="Calibri"/>
          <w:i w:val="0"/>
        </w:rPr>
      </w:pPr>
      <w:r>
        <w:rPr>
          <w:rStyle w:val="Emphasis"/>
          <w:rFonts w:ascii="Calibri" w:hAnsi="Calibri" w:cs="Calibri"/>
          <w:i w:val="0"/>
        </w:rPr>
        <w:t>Por lo tanto, habiendo contribuido el PROCIT a desarrollar estas capacidades a través de sus diferentes componentes, es de esperar una continuidad del apoyo económico a los fines de que estas carreras puedan consolidarse en el tiempo.</w:t>
      </w:r>
    </w:p>
    <w:p w:rsidR="00A75578" w:rsidRPr="00B524B8" w:rsidRDefault="00A75578" w:rsidP="00A75578">
      <w:pPr>
        <w:pStyle w:val="ListParagraph"/>
        <w:spacing w:before="120" w:after="120" w:line="288" w:lineRule="auto"/>
        <w:ind w:left="0"/>
        <w:contextualSpacing w:val="0"/>
        <w:jc w:val="both"/>
        <w:rPr>
          <w:rStyle w:val="Emphasis"/>
          <w:rFonts w:ascii="Calibri" w:hAnsi="Calibri" w:cs="Calibri"/>
          <w:i w:val="0"/>
        </w:rPr>
      </w:pPr>
      <w:r>
        <w:rPr>
          <w:rStyle w:val="Emphasis"/>
          <w:rFonts w:ascii="Calibri" w:hAnsi="Calibri" w:cs="Calibri"/>
          <w:i w:val="0"/>
        </w:rPr>
        <w:t>Para ello, es fundamental valorar en profundidad el perfil de los graduados de cada carrera, poniendo énfasis en aquellas que tendrían una demanda constante, y en menor medida en aquellas carreras que responden únicamente a una demanda puntual, específica y acotada en el tiempo.</w:t>
      </w:r>
    </w:p>
    <w:p w:rsidR="00D4326F" w:rsidRDefault="00D4326F" w:rsidP="00D4326F">
      <w:pPr>
        <w:pStyle w:val="ListParagraph"/>
        <w:spacing w:before="120" w:after="120" w:line="288" w:lineRule="auto"/>
        <w:ind w:left="0"/>
        <w:contextualSpacing w:val="0"/>
        <w:jc w:val="both"/>
        <w:rPr>
          <w:rStyle w:val="Emphasis"/>
          <w:rFonts w:ascii="Calibri" w:hAnsi="Calibri" w:cs="Calibri"/>
          <w:i w:val="0"/>
        </w:rPr>
      </w:pPr>
      <w:r>
        <w:rPr>
          <w:rStyle w:val="Emphasis"/>
          <w:rFonts w:ascii="Calibri" w:hAnsi="Calibri" w:cs="Calibri"/>
          <w:i w:val="0"/>
        </w:rPr>
        <w:t>A partir de la caracterización de este componente, y de los logros y resultados alcanzados, se plantean a continuación una serie de sugerencias de mejora:</w:t>
      </w:r>
    </w:p>
    <w:p w:rsidR="00440872" w:rsidRPr="00440872" w:rsidRDefault="00440872" w:rsidP="00D4326F">
      <w:pPr>
        <w:pStyle w:val="ListParagraph"/>
        <w:spacing w:before="120" w:after="120" w:line="288" w:lineRule="auto"/>
        <w:ind w:left="0"/>
        <w:contextualSpacing w:val="0"/>
        <w:jc w:val="both"/>
        <w:rPr>
          <w:rStyle w:val="Emphasis"/>
          <w:rFonts w:ascii="Calibri" w:hAnsi="Calibri" w:cs="Calibri"/>
          <w:b/>
          <w:i w:val="0"/>
        </w:rPr>
      </w:pPr>
      <w:r w:rsidRPr="00440872">
        <w:rPr>
          <w:rStyle w:val="Emphasis"/>
          <w:rFonts w:ascii="Calibri" w:hAnsi="Calibri" w:cs="Calibri"/>
          <w:b/>
          <w:i w:val="0"/>
        </w:rPr>
        <w:t>Relevancia y Eficacia</w:t>
      </w:r>
    </w:p>
    <w:p w:rsidR="00D4326F" w:rsidRPr="00B524B8" w:rsidRDefault="00D4326F" w:rsidP="00D4326F">
      <w:pPr>
        <w:pStyle w:val="ListParagraph"/>
        <w:spacing w:before="120" w:after="120" w:line="288" w:lineRule="auto"/>
        <w:ind w:left="0"/>
        <w:contextualSpacing w:val="0"/>
        <w:jc w:val="both"/>
        <w:rPr>
          <w:rStyle w:val="Emphasis"/>
          <w:rFonts w:ascii="Calibri" w:hAnsi="Calibri" w:cs="Calibri"/>
          <w:i w:val="0"/>
        </w:rPr>
      </w:pPr>
      <w:r w:rsidRPr="004B0978">
        <w:rPr>
          <w:rStyle w:val="Emphasis"/>
          <w:rFonts w:ascii="Calibri" w:hAnsi="Calibri" w:cs="Calibri"/>
          <w:u w:val="single"/>
        </w:rPr>
        <w:lastRenderedPageBreak/>
        <w:t>Regularidad y continuidad de las convocatorias</w:t>
      </w:r>
      <w:r w:rsidRPr="00B524B8">
        <w:rPr>
          <w:rStyle w:val="Emphasis"/>
          <w:rFonts w:ascii="Calibri" w:hAnsi="Calibri" w:cs="Calibri"/>
          <w:i w:val="0"/>
        </w:rPr>
        <w:t>.</w:t>
      </w:r>
      <w:r>
        <w:rPr>
          <w:rStyle w:val="Emphasis"/>
          <w:rFonts w:ascii="Calibri" w:hAnsi="Calibri" w:cs="Calibri"/>
          <w:i w:val="0"/>
        </w:rPr>
        <w:t xml:space="preserve"> Esto permite consolidar los programas de postgrado, generando un mejor posicionamiento y reconocimiento de los mismos.</w:t>
      </w:r>
    </w:p>
    <w:p w:rsidR="00D4326F" w:rsidRPr="00157C3B" w:rsidRDefault="00D4326F" w:rsidP="00D4326F">
      <w:pPr>
        <w:ind w:left="3402"/>
        <w:jc w:val="right"/>
        <w:rPr>
          <w:rFonts w:ascii="Calibri" w:hAnsi="Calibri" w:cs="Calibri"/>
          <w:i/>
          <w:sz w:val="20"/>
          <w:szCs w:val="20"/>
        </w:rPr>
      </w:pPr>
      <w:r w:rsidRPr="00157C3B">
        <w:rPr>
          <w:rFonts w:ascii="Calibri" w:hAnsi="Calibri" w:cs="Calibri"/>
          <w:i/>
          <w:sz w:val="20"/>
          <w:szCs w:val="20"/>
        </w:rPr>
        <w:t>“Hay que fomentar nuevos postgrados pero no en detrimento de los que están funcionando muy bien (…) Hay que mantener la continuidad…”</w:t>
      </w:r>
    </w:p>
    <w:p w:rsidR="00D4326F" w:rsidRPr="00DA4676" w:rsidRDefault="00D4326F" w:rsidP="00DA4676">
      <w:pPr>
        <w:ind w:left="2832"/>
        <w:jc w:val="right"/>
        <w:rPr>
          <w:rStyle w:val="Emphasis"/>
          <w:rFonts w:ascii="Calibri" w:hAnsi="Calibri" w:cs="Calibri"/>
          <w:i w:val="0"/>
          <w:iCs w:val="0"/>
          <w:sz w:val="20"/>
          <w:szCs w:val="20"/>
        </w:rPr>
      </w:pPr>
      <w:r w:rsidRPr="00157C3B">
        <w:rPr>
          <w:rFonts w:ascii="Calibri" w:hAnsi="Calibri" w:cs="Calibri"/>
          <w:sz w:val="20"/>
          <w:szCs w:val="20"/>
        </w:rPr>
        <w:t xml:space="preserve"> (Coordinador de ca</w:t>
      </w:r>
      <w:r w:rsidR="00DA4676">
        <w:rPr>
          <w:rFonts w:ascii="Calibri" w:hAnsi="Calibri" w:cs="Calibri"/>
          <w:sz w:val="20"/>
          <w:szCs w:val="20"/>
        </w:rPr>
        <w:t>rrera de postgrado fortalecida)</w:t>
      </w:r>
    </w:p>
    <w:p w:rsidR="00440872" w:rsidRPr="00440872" w:rsidRDefault="00440872" w:rsidP="00D4326F">
      <w:pPr>
        <w:pStyle w:val="ListParagraph"/>
        <w:spacing w:before="120" w:after="120" w:line="288" w:lineRule="auto"/>
        <w:ind w:left="0"/>
        <w:contextualSpacing w:val="0"/>
        <w:jc w:val="both"/>
        <w:rPr>
          <w:rStyle w:val="Emphasis"/>
          <w:rFonts w:ascii="Calibri" w:hAnsi="Calibri" w:cs="Calibri"/>
          <w:b/>
          <w:i w:val="0"/>
        </w:rPr>
      </w:pPr>
      <w:r w:rsidRPr="00440872">
        <w:rPr>
          <w:rStyle w:val="Emphasis"/>
          <w:rFonts w:ascii="Calibri" w:hAnsi="Calibri" w:cs="Calibri"/>
          <w:b/>
          <w:i w:val="0"/>
        </w:rPr>
        <w:t>Eficiencia</w:t>
      </w:r>
    </w:p>
    <w:p w:rsidR="00D4326F" w:rsidRPr="00B524B8" w:rsidRDefault="00D4326F" w:rsidP="00D4326F">
      <w:pPr>
        <w:pStyle w:val="ListParagraph"/>
        <w:spacing w:before="120" w:after="120" w:line="288" w:lineRule="auto"/>
        <w:ind w:left="0"/>
        <w:contextualSpacing w:val="0"/>
        <w:jc w:val="both"/>
        <w:rPr>
          <w:rStyle w:val="Emphasis"/>
          <w:rFonts w:ascii="Calibri" w:hAnsi="Calibri" w:cs="Calibri"/>
          <w:i w:val="0"/>
        </w:rPr>
      </w:pPr>
      <w:r w:rsidRPr="006E600B">
        <w:rPr>
          <w:rStyle w:val="Emphasis"/>
          <w:rFonts w:ascii="Calibri" w:hAnsi="Calibri" w:cs="Calibri"/>
          <w:u w:val="single"/>
        </w:rPr>
        <w:t>Facilitar los procesos administrativos</w:t>
      </w:r>
      <w:r>
        <w:rPr>
          <w:rStyle w:val="Emphasis"/>
          <w:rFonts w:ascii="Calibri" w:hAnsi="Calibri" w:cs="Calibri"/>
          <w:i w:val="0"/>
        </w:rPr>
        <w:t xml:space="preserve">. </w:t>
      </w:r>
      <w:r w:rsidRPr="00B524B8">
        <w:rPr>
          <w:rStyle w:val="Emphasis"/>
          <w:rFonts w:ascii="Calibri" w:hAnsi="Calibri" w:cs="Calibri"/>
          <w:i w:val="0"/>
        </w:rPr>
        <w:t>Mejorar el aspecto administrativo de las convocatorias y su implementación</w:t>
      </w:r>
      <w:r>
        <w:rPr>
          <w:rStyle w:val="Emphasis"/>
          <w:rFonts w:ascii="Calibri" w:hAnsi="Calibri" w:cs="Calibri"/>
          <w:i w:val="0"/>
        </w:rPr>
        <w:t xml:space="preserve">, especialmente en lo que refiere a la </w:t>
      </w:r>
      <w:r w:rsidRPr="00B524B8">
        <w:rPr>
          <w:rStyle w:val="Emphasis"/>
          <w:rFonts w:ascii="Calibri" w:hAnsi="Calibri" w:cs="Calibri"/>
          <w:i w:val="0"/>
        </w:rPr>
        <w:t xml:space="preserve">articulación entre normas presupuestarias del Ministerio de Hacienda y de </w:t>
      </w:r>
      <w:r>
        <w:rPr>
          <w:rStyle w:val="Emphasis"/>
          <w:rFonts w:ascii="Calibri" w:hAnsi="Calibri" w:cs="Calibri"/>
          <w:i w:val="0"/>
        </w:rPr>
        <w:t>las universidades –especialmente en el caso de la UNA</w:t>
      </w:r>
      <w:r w:rsidRPr="00B524B8">
        <w:rPr>
          <w:rStyle w:val="Emphasis"/>
          <w:rFonts w:ascii="Calibri" w:hAnsi="Calibri" w:cs="Calibri"/>
          <w:i w:val="0"/>
        </w:rPr>
        <w:t>.</w:t>
      </w:r>
    </w:p>
    <w:p w:rsidR="00440872" w:rsidRPr="00440872" w:rsidRDefault="00440872" w:rsidP="00D4326F">
      <w:pPr>
        <w:pStyle w:val="ListParagraph"/>
        <w:spacing w:before="120" w:after="120" w:line="288" w:lineRule="auto"/>
        <w:ind w:left="0"/>
        <w:contextualSpacing w:val="0"/>
        <w:jc w:val="both"/>
        <w:rPr>
          <w:rStyle w:val="Emphasis"/>
          <w:rFonts w:ascii="Calibri" w:hAnsi="Calibri" w:cs="Calibri"/>
          <w:b/>
          <w:i w:val="0"/>
        </w:rPr>
      </w:pPr>
      <w:r w:rsidRPr="00440872">
        <w:rPr>
          <w:rStyle w:val="Emphasis"/>
          <w:rFonts w:ascii="Calibri" w:hAnsi="Calibri" w:cs="Calibri"/>
          <w:b/>
          <w:i w:val="0"/>
        </w:rPr>
        <w:t>Efectos e impacto</w:t>
      </w:r>
    </w:p>
    <w:p w:rsidR="00D4326F" w:rsidRPr="00B524B8" w:rsidRDefault="00D4326F" w:rsidP="00D4326F">
      <w:pPr>
        <w:pStyle w:val="ListParagraph"/>
        <w:spacing w:before="120" w:after="120" w:line="288" w:lineRule="auto"/>
        <w:ind w:left="0"/>
        <w:contextualSpacing w:val="0"/>
        <w:jc w:val="both"/>
        <w:rPr>
          <w:rStyle w:val="Emphasis"/>
          <w:rFonts w:ascii="Calibri" w:hAnsi="Calibri" w:cs="Calibri"/>
          <w:i w:val="0"/>
        </w:rPr>
      </w:pPr>
      <w:r w:rsidRPr="006E600B">
        <w:rPr>
          <w:rStyle w:val="Emphasis"/>
          <w:rFonts w:ascii="Calibri" w:hAnsi="Calibri" w:cs="Calibri"/>
          <w:u w:val="single"/>
        </w:rPr>
        <w:t>Aumentar las dedicaciones a tiempo completo</w:t>
      </w:r>
      <w:r>
        <w:rPr>
          <w:rStyle w:val="Emphasis"/>
          <w:rFonts w:ascii="Calibri" w:hAnsi="Calibri" w:cs="Calibri"/>
          <w:i w:val="0"/>
        </w:rPr>
        <w:t xml:space="preserve">. </w:t>
      </w:r>
      <w:r w:rsidRPr="00B524B8">
        <w:rPr>
          <w:rStyle w:val="Emphasis"/>
          <w:rFonts w:ascii="Calibri" w:hAnsi="Calibri" w:cs="Calibri"/>
          <w:i w:val="0"/>
        </w:rPr>
        <w:t xml:space="preserve">Ampliar la dedicación a tiempo completo de docentes y </w:t>
      </w:r>
      <w:r w:rsidR="006D5D8F">
        <w:rPr>
          <w:rStyle w:val="Emphasis"/>
          <w:rFonts w:ascii="Calibri" w:hAnsi="Calibri" w:cs="Calibri"/>
          <w:i w:val="0"/>
        </w:rPr>
        <w:t>estudiante</w:t>
      </w:r>
      <w:r w:rsidRPr="00B524B8">
        <w:rPr>
          <w:rStyle w:val="Emphasis"/>
          <w:rFonts w:ascii="Calibri" w:hAnsi="Calibri" w:cs="Calibri"/>
          <w:i w:val="0"/>
        </w:rPr>
        <w:t xml:space="preserve">s de postgrado, mejorando el acceso a becas por parte de los </w:t>
      </w:r>
      <w:r w:rsidR="004E32B2">
        <w:rPr>
          <w:rStyle w:val="Emphasis"/>
          <w:rFonts w:ascii="Calibri" w:hAnsi="Calibri" w:cs="Calibri"/>
          <w:i w:val="0"/>
        </w:rPr>
        <w:t xml:space="preserve">estudiantes. </w:t>
      </w:r>
      <w:r w:rsidRPr="00B524B8">
        <w:rPr>
          <w:rStyle w:val="Emphasis"/>
          <w:rFonts w:ascii="Calibri" w:hAnsi="Calibri" w:cs="Calibri"/>
          <w:i w:val="0"/>
        </w:rPr>
        <w:t>En este sentido, la incorporación de investigadores al PRONII puede realizar un aporte importante desde la perspectiva</w:t>
      </w:r>
      <w:r w:rsidR="004E32B2">
        <w:rPr>
          <w:rStyle w:val="Emphasis"/>
          <w:rFonts w:ascii="Calibri" w:hAnsi="Calibri" w:cs="Calibri"/>
          <w:i w:val="0"/>
        </w:rPr>
        <w:t xml:space="preserve"> </w:t>
      </w:r>
      <w:r w:rsidRPr="00B524B8">
        <w:rPr>
          <w:rStyle w:val="Emphasis"/>
          <w:rFonts w:ascii="Calibri" w:hAnsi="Calibri" w:cs="Calibri"/>
          <w:i w:val="0"/>
        </w:rPr>
        <w:t>de los incentivos, pero no suple co</w:t>
      </w:r>
      <w:r w:rsidR="004E32B2">
        <w:rPr>
          <w:rStyle w:val="Emphasis"/>
          <w:rFonts w:ascii="Calibri" w:hAnsi="Calibri" w:cs="Calibri"/>
          <w:i w:val="0"/>
        </w:rPr>
        <w:t>mpletamente esta recomendación.</w:t>
      </w:r>
    </w:p>
    <w:p w:rsidR="00D4326F" w:rsidRPr="004C5DE3" w:rsidRDefault="00D4326F" w:rsidP="004C5DE3">
      <w:pPr>
        <w:pStyle w:val="ListParagraph"/>
        <w:spacing w:before="120" w:after="120" w:line="288" w:lineRule="auto"/>
        <w:ind w:left="0"/>
        <w:contextualSpacing w:val="0"/>
        <w:jc w:val="both"/>
        <w:rPr>
          <w:rStyle w:val="Emphasis"/>
          <w:rFonts w:ascii="Calibri" w:hAnsi="Calibri" w:cs="Calibri"/>
          <w:i w:val="0"/>
        </w:rPr>
      </w:pPr>
      <w:r w:rsidRPr="004B0978">
        <w:rPr>
          <w:rStyle w:val="Emphasis"/>
          <w:rFonts w:ascii="Calibri" w:hAnsi="Calibri" w:cs="Calibri"/>
          <w:u w:val="single"/>
        </w:rPr>
        <w:t>Generar incentivos para retener a los graduados</w:t>
      </w:r>
      <w:r>
        <w:rPr>
          <w:rStyle w:val="Emphasis"/>
          <w:rFonts w:ascii="Calibri" w:hAnsi="Calibri" w:cs="Calibri"/>
          <w:i w:val="0"/>
        </w:rPr>
        <w:t xml:space="preserve">. </w:t>
      </w:r>
      <w:r w:rsidRPr="00B524B8">
        <w:rPr>
          <w:rStyle w:val="Emphasis"/>
          <w:rFonts w:ascii="Calibri" w:hAnsi="Calibri" w:cs="Calibri"/>
          <w:i w:val="0"/>
        </w:rPr>
        <w:t>Mejorar posibilidades de retención de graduados, especialmente referido a líneas de financiamiento para investigadores junior o en formación.</w:t>
      </w:r>
    </w:p>
    <w:p w:rsidR="00D4326F" w:rsidRPr="00B524B8" w:rsidRDefault="00D4326F" w:rsidP="00D4326F">
      <w:pPr>
        <w:pStyle w:val="ListParagraph"/>
        <w:spacing w:before="120" w:after="120" w:line="288" w:lineRule="auto"/>
        <w:ind w:left="0"/>
        <w:contextualSpacing w:val="0"/>
        <w:jc w:val="both"/>
        <w:rPr>
          <w:rStyle w:val="Emphasis"/>
          <w:rFonts w:ascii="Calibri" w:hAnsi="Calibri" w:cs="Calibri"/>
          <w:i w:val="0"/>
        </w:rPr>
      </w:pPr>
      <w:r w:rsidRPr="00D25E08">
        <w:rPr>
          <w:rStyle w:val="Emphasis"/>
          <w:rFonts w:ascii="Calibri" w:hAnsi="Calibri" w:cs="Calibri"/>
          <w:u w:val="single"/>
        </w:rPr>
        <w:t>Mayor vinculación con actividades de investigación</w:t>
      </w:r>
      <w:r w:rsidRPr="00B524B8">
        <w:rPr>
          <w:rStyle w:val="Emphasis"/>
          <w:rFonts w:ascii="Calibri" w:hAnsi="Calibri" w:cs="Calibri"/>
          <w:i w:val="0"/>
        </w:rPr>
        <w:t>.</w:t>
      </w:r>
      <w:r>
        <w:rPr>
          <w:rStyle w:val="Emphasis"/>
          <w:rFonts w:ascii="Calibri" w:hAnsi="Calibri" w:cs="Calibri"/>
          <w:i w:val="0"/>
        </w:rPr>
        <w:t xml:space="preserve"> Siendo la orientación de las carreras de postgrado fortalecidas la investigación y la docencia, es fundamental que estas carreras interactúen y se vinculen de manera fluida con proyectos y equipos de investigación, en los cuales puedan participan docentes y </w:t>
      </w:r>
      <w:r w:rsidR="006D5D8F">
        <w:rPr>
          <w:rStyle w:val="Emphasis"/>
          <w:rFonts w:ascii="Calibri" w:hAnsi="Calibri" w:cs="Calibri"/>
          <w:i w:val="0"/>
        </w:rPr>
        <w:t>estudiante</w:t>
      </w:r>
      <w:r>
        <w:rPr>
          <w:rStyle w:val="Emphasis"/>
          <w:rFonts w:ascii="Calibri" w:hAnsi="Calibri" w:cs="Calibri"/>
          <w:i w:val="0"/>
        </w:rPr>
        <w:t>s.</w:t>
      </w:r>
    </w:p>
    <w:p w:rsidR="00D4326F" w:rsidRPr="00B524B8" w:rsidRDefault="00D4326F" w:rsidP="00D4326F">
      <w:pPr>
        <w:pStyle w:val="ListParagraph"/>
        <w:spacing w:before="120" w:after="120" w:line="288" w:lineRule="auto"/>
        <w:ind w:left="0"/>
        <w:contextualSpacing w:val="0"/>
        <w:jc w:val="both"/>
        <w:rPr>
          <w:rStyle w:val="Emphasis"/>
          <w:rFonts w:ascii="Calibri" w:hAnsi="Calibri" w:cs="Calibri"/>
          <w:i w:val="0"/>
        </w:rPr>
      </w:pPr>
      <w:r w:rsidRPr="00552DB6">
        <w:rPr>
          <w:rStyle w:val="Emphasis"/>
          <w:rFonts w:ascii="Calibri" w:hAnsi="Calibri" w:cs="Calibri"/>
          <w:u w:val="single"/>
        </w:rPr>
        <w:t>Ampliar la difusión de las actividades y resultados en ciencia y tecnología</w:t>
      </w:r>
      <w:r w:rsidRPr="00B524B8">
        <w:rPr>
          <w:rStyle w:val="Emphasis"/>
          <w:rFonts w:ascii="Calibri" w:hAnsi="Calibri" w:cs="Calibri"/>
          <w:i w:val="0"/>
        </w:rPr>
        <w:t>.</w:t>
      </w:r>
      <w:r>
        <w:rPr>
          <w:rStyle w:val="Emphasis"/>
          <w:rFonts w:ascii="Calibri" w:hAnsi="Calibri" w:cs="Calibri"/>
          <w:i w:val="0"/>
        </w:rPr>
        <w:t xml:space="preserve"> No sólo desde la perspectiva de la generación de redes y de transferencia tecnológica, sino también en relación a la sociedad en su conjunto, aumentando la visibilidad del uso de recursos públicos.</w:t>
      </w:r>
    </w:p>
    <w:p w:rsidR="00D4326F" w:rsidRPr="00B524B8" w:rsidRDefault="002212C5" w:rsidP="00D4326F">
      <w:pPr>
        <w:pStyle w:val="ListParagraph"/>
        <w:spacing w:before="120" w:after="120" w:line="288" w:lineRule="auto"/>
        <w:ind w:left="0"/>
        <w:contextualSpacing w:val="0"/>
        <w:jc w:val="both"/>
        <w:rPr>
          <w:rStyle w:val="Emphasis"/>
          <w:rFonts w:ascii="Calibri" w:hAnsi="Calibri" w:cs="Calibri"/>
          <w:i w:val="0"/>
        </w:rPr>
      </w:pPr>
      <w:r>
        <w:rPr>
          <w:rStyle w:val="Emphasis"/>
          <w:rFonts w:ascii="Calibri" w:hAnsi="Calibri" w:cs="Calibri"/>
          <w:u w:val="single"/>
        </w:rPr>
        <w:t xml:space="preserve">Contribuir a </w:t>
      </w:r>
      <w:r w:rsidR="004E32B2">
        <w:rPr>
          <w:rStyle w:val="Emphasis"/>
          <w:rFonts w:ascii="Calibri" w:hAnsi="Calibri" w:cs="Calibri"/>
          <w:u w:val="single"/>
        </w:rPr>
        <w:t>mejorar</w:t>
      </w:r>
      <w:r w:rsidR="00D4326F" w:rsidRPr="006E600B">
        <w:rPr>
          <w:rStyle w:val="Emphasis"/>
          <w:rFonts w:ascii="Calibri" w:hAnsi="Calibri" w:cs="Calibri"/>
          <w:u w:val="single"/>
        </w:rPr>
        <w:t xml:space="preserve"> la política de propiedad intelectual en Paraguay</w:t>
      </w:r>
      <w:r w:rsidR="00D4326F">
        <w:rPr>
          <w:rStyle w:val="Emphasis"/>
          <w:rFonts w:ascii="Calibri" w:hAnsi="Calibri" w:cs="Calibri"/>
          <w:i w:val="0"/>
        </w:rPr>
        <w:t xml:space="preserve">. A los fines de proteger el conocimiento que se produce en el marco de las carreras de postgrado, es necesario sensibilizar y capacitar respecto de este aspecto. Además, desarrollar una normativa específica –recién se cuenta con una </w:t>
      </w:r>
      <w:r w:rsidR="00D4326F" w:rsidRPr="00B524B8">
        <w:rPr>
          <w:rStyle w:val="Emphasis"/>
          <w:rFonts w:ascii="Calibri" w:hAnsi="Calibri" w:cs="Calibri"/>
          <w:i w:val="0"/>
        </w:rPr>
        <w:t>l</w:t>
      </w:r>
      <w:r w:rsidR="00D4326F">
        <w:rPr>
          <w:rStyle w:val="Emphasis"/>
          <w:rFonts w:ascii="Calibri" w:hAnsi="Calibri" w:cs="Calibri"/>
          <w:i w:val="0"/>
        </w:rPr>
        <w:t>egislación incipiente en la UNA</w:t>
      </w:r>
      <w:r w:rsidR="00D4326F" w:rsidRPr="00B524B8">
        <w:rPr>
          <w:rStyle w:val="Emphasis"/>
          <w:rFonts w:ascii="Calibri" w:hAnsi="Calibri" w:cs="Calibri"/>
          <w:i w:val="0"/>
        </w:rPr>
        <w:t>.</w:t>
      </w:r>
    </w:p>
    <w:p w:rsidR="00D4326F" w:rsidRDefault="00D4326F" w:rsidP="00D4326F">
      <w:pPr>
        <w:pStyle w:val="ListParagraph"/>
        <w:spacing w:before="120" w:after="120" w:line="288" w:lineRule="auto"/>
        <w:ind w:left="0"/>
        <w:contextualSpacing w:val="0"/>
        <w:jc w:val="both"/>
        <w:rPr>
          <w:rStyle w:val="Emphasis"/>
          <w:rFonts w:ascii="Calibri" w:hAnsi="Calibri" w:cs="Calibri"/>
          <w:i w:val="0"/>
        </w:rPr>
      </w:pPr>
      <w:r w:rsidRPr="006E600B">
        <w:rPr>
          <w:rStyle w:val="Emphasis"/>
          <w:rFonts w:ascii="Calibri" w:hAnsi="Calibri" w:cs="Calibri"/>
          <w:u w:val="single"/>
        </w:rPr>
        <w:t>Promover una mayor articulación con el sector privado, organizaciones de la sociedad civil, gobiernos, etc.</w:t>
      </w:r>
      <w:r>
        <w:rPr>
          <w:rStyle w:val="Emphasis"/>
          <w:rFonts w:ascii="Calibri" w:hAnsi="Calibri" w:cs="Calibri"/>
          <w:i w:val="0"/>
        </w:rPr>
        <w:t xml:space="preserve"> </w:t>
      </w:r>
      <w:r w:rsidR="004E32B2">
        <w:rPr>
          <w:rStyle w:val="Emphasis"/>
          <w:rFonts w:ascii="Calibri" w:hAnsi="Calibri" w:cs="Calibri"/>
          <w:i w:val="0"/>
        </w:rPr>
        <w:t xml:space="preserve">Para la realización de actividades conjuntas que revaloricen el rol de las </w:t>
      </w:r>
      <w:r w:rsidR="004E32B2">
        <w:rPr>
          <w:rStyle w:val="Emphasis"/>
          <w:rFonts w:ascii="Calibri" w:hAnsi="Calibri" w:cs="Calibri"/>
          <w:i w:val="0"/>
        </w:rPr>
        <w:lastRenderedPageBreak/>
        <w:t xml:space="preserve">universidades como productoras de conocimiento y como prestadoras de servicios. Además, es importante </w:t>
      </w:r>
      <w:r w:rsidRPr="00B524B8">
        <w:rPr>
          <w:rStyle w:val="Emphasis"/>
          <w:rFonts w:ascii="Calibri" w:hAnsi="Calibri" w:cs="Calibri"/>
          <w:i w:val="0"/>
        </w:rPr>
        <w:t>propiciar un mayor reconocimiento y valoración de los títulos de postgrado en los ámbitos mencionados</w:t>
      </w:r>
      <w:r w:rsidR="004C5DE3">
        <w:rPr>
          <w:rStyle w:val="Emphasis"/>
          <w:rFonts w:ascii="Calibri" w:hAnsi="Calibri" w:cs="Calibri"/>
          <w:i w:val="0"/>
        </w:rPr>
        <w:t xml:space="preserve">. Esto incidiría en una mejor inserción laboral de los graduados de </w:t>
      </w:r>
      <w:r w:rsidRPr="00B524B8">
        <w:rPr>
          <w:rStyle w:val="Emphasis"/>
          <w:rFonts w:ascii="Calibri" w:hAnsi="Calibri" w:cs="Calibri"/>
          <w:i w:val="0"/>
        </w:rPr>
        <w:t>carreras fortalecidas</w:t>
      </w:r>
      <w:r w:rsidR="004C5DE3">
        <w:rPr>
          <w:rStyle w:val="Emphasis"/>
          <w:rFonts w:ascii="Calibri" w:hAnsi="Calibri" w:cs="Calibri"/>
          <w:i w:val="0"/>
        </w:rPr>
        <w:t xml:space="preserve">, en </w:t>
      </w:r>
      <w:r w:rsidRPr="00B524B8">
        <w:rPr>
          <w:rStyle w:val="Emphasis"/>
          <w:rFonts w:ascii="Calibri" w:hAnsi="Calibri" w:cs="Calibri"/>
          <w:i w:val="0"/>
        </w:rPr>
        <w:t>diversos ámbitos laborales (tanto en lo que refiere a tipo de puestos de trabajo como de la remuneración asignada a los mismos).</w:t>
      </w:r>
    </w:p>
    <w:p w:rsidR="00440872" w:rsidRPr="00440872" w:rsidRDefault="00440872" w:rsidP="00440872">
      <w:pPr>
        <w:pStyle w:val="ListParagraph"/>
        <w:spacing w:before="120" w:after="120" w:line="288" w:lineRule="auto"/>
        <w:ind w:left="0"/>
        <w:contextualSpacing w:val="0"/>
        <w:jc w:val="both"/>
        <w:rPr>
          <w:rStyle w:val="Emphasis"/>
          <w:rFonts w:ascii="Calibri" w:hAnsi="Calibri" w:cs="Calibri"/>
          <w:b/>
          <w:i w:val="0"/>
        </w:rPr>
      </w:pPr>
      <w:r w:rsidRPr="00440872">
        <w:rPr>
          <w:rStyle w:val="Emphasis"/>
          <w:rFonts w:ascii="Calibri" w:hAnsi="Calibri" w:cs="Calibri"/>
          <w:b/>
          <w:i w:val="0"/>
        </w:rPr>
        <w:t>Sostenibilidad</w:t>
      </w:r>
    </w:p>
    <w:p w:rsidR="00440872" w:rsidRPr="00B524B8" w:rsidRDefault="004222A3" w:rsidP="00440872">
      <w:pPr>
        <w:pStyle w:val="ListParagraph"/>
        <w:spacing w:before="120" w:after="120" w:line="288" w:lineRule="auto"/>
        <w:ind w:left="0"/>
        <w:contextualSpacing w:val="0"/>
        <w:jc w:val="both"/>
        <w:rPr>
          <w:rStyle w:val="Emphasis"/>
          <w:rFonts w:ascii="Calibri" w:hAnsi="Calibri" w:cs="Calibri"/>
          <w:i w:val="0"/>
        </w:rPr>
      </w:pPr>
      <w:r>
        <w:rPr>
          <w:rStyle w:val="Emphasis"/>
          <w:rFonts w:ascii="Calibri" w:hAnsi="Calibri" w:cs="Calibri"/>
          <w:u w:val="single"/>
        </w:rPr>
        <w:t xml:space="preserve">Articular </w:t>
      </w:r>
      <w:r w:rsidR="00440872" w:rsidRPr="00552DB6">
        <w:rPr>
          <w:rStyle w:val="Emphasis"/>
          <w:rFonts w:ascii="Calibri" w:hAnsi="Calibri" w:cs="Calibri"/>
          <w:u w:val="single"/>
        </w:rPr>
        <w:t>el financiamiento a valoración de resultados y acreditación de carreras</w:t>
      </w:r>
      <w:r>
        <w:rPr>
          <w:rStyle w:val="Emphasis"/>
          <w:rFonts w:ascii="Calibri" w:hAnsi="Calibri" w:cs="Calibri"/>
          <w:u w:val="single"/>
        </w:rPr>
        <w:t xml:space="preserve">, de manera articulada con la </w:t>
      </w:r>
      <w:r w:rsidRPr="004222A3">
        <w:rPr>
          <w:rStyle w:val="Emphasis"/>
          <w:rFonts w:ascii="Calibri" w:hAnsi="Calibri" w:cs="Calibri"/>
          <w:u w:val="single"/>
        </w:rPr>
        <w:t>ANAEAS (Agencia Nacional de Evaluación y Acreditación de la Educación Superior</w:t>
      </w:r>
      <w:r>
        <w:rPr>
          <w:rStyle w:val="Emphasis"/>
          <w:rFonts w:ascii="Calibri" w:hAnsi="Calibri" w:cs="Calibri"/>
          <w:u w:val="single"/>
        </w:rPr>
        <w:t>)</w:t>
      </w:r>
      <w:r w:rsidR="00440872" w:rsidRPr="00B524B8">
        <w:rPr>
          <w:rStyle w:val="Emphasis"/>
          <w:rFonts w:ascii="Calibri" w:hAnsi="Calibri" w:cs="Calibri"/>
          <w:i w:val="0"/>
        </w:rPr>
        <w:t>.</w:t>
      </w:r>
      <w:r w:rsidR="00440872">
        <w:rPr>
          <w:rStyle w:val="Emphasis"/>
          <w:rFonts w:ascii="Calibri" w:hAnsi="Calibri" w:cs="Calibri"/>
          <w:i w:val="0"/>
        </w:rPr>
        <w:t xml:space="preserve"> En este sentido, la creación de un órgano evaluador y acreditador de la calidad de las carreras de postgrado resulta fundamental.</w:t>
      </w:r>
    </w:p>
    <w:p w:rsidR="005734DE" w:rsidRPr="006E600B" w:rsidRDefault="005734DE" w:rsidP="00D4326F">
      <w:pPr>
        <w:pStyle w:val="ListParagraph"/>
        <w:spacing w:before="120" w:after="120" w:line="288" w:lineRule="auto"/>
        <w:ind w:left="0"/>
        <w:contextualSpacing w:val="0"/>
        <w:jc w:val="both"/>
        <w:rPr>
          <w:rStyle w:val="Emphasis"/>
          <w:rFonts w:ascii="Calibri" w:hAnsi="Calibri" w:cs="Calibri"/>
          <w:i w:val="0"/>
        </w:rPr>
      </w:pPr>
    </w:p>
    <w:p w:rsidR="00D4326F" w:rsidRDefault="00EC60C0" w:rsidP="00097D6A">
      <w:pPr>
        <w:pStyle w:val="Heading2"/>
      </w:pPr>
      <w:bookmarkStart w:id="217" w:name="_Toc375211987"/>
      <w:r>
        <w:t>Logros en formación de capital humano</w:t>
      </w:r>
      <w:bookmarkEnd w:id="217"/>
    </w:p>
    <w:p w:rsidR="005734DE" w:rsidRDefault="005734DE" w:rsidP="002D7EE9">
      <w:pPr>
        <w:pStyle w:val="Heading3"/>
        <w:numPr>
          <w:ilvl w:val="2"/>
          <w:numId w:val="4"/>
        </w:numPr>
        <w:rPr>
          <w:rStyle w:val="Emphasis"/>
          <w:rFonts w:cs="Calibri"/>
          <w:i/>
        </w:rPr>
      </w:pPr>
      <w:bookmarkStart w:id="218" w:name="_Toc375211988"/>
      <w:r>
        <w:rPr>
          <w:rStyle w:val="Emphasis"/>
          <w:rFonts w:cs="Calibri"/>
          <w:i/>
        </w:rPr>
        <w:t>Características del subcomponente</w:t>
      </w:r>
      <w:bookmarkEnd w:id="218"/>
    </w:p>
    <w:p w:rsidR="00BC1777" w:rsidRPr="003F055C" w:rsidRDefault="00BC1777" w:rsidP="003F055C">
      <w:pPr>
        <w:spacing w:after="200" w:line="276" w:lineRule="auto"/>
        <w:jc w:val="both"/>
        <w:rPr>
          <w:rFonts w:asciiTheme="minorHAnsi" w:hAnsiTheme="minorHAnsi" w:cstheme="minorHAnsi"/>
          <w:lang w:val="es-ES_tradnl" w:eastAsia="en-US"/>
        </w:rPr>
      </w:pPr>
      <w:r w:rsidRPr="003F055C">
        <w:rPr>
          <w:rFonts w:asciiTheme="minorHAnsi" w:hAnsiTheme="minorHAnsi" w:cstheme="minorHAnsi"/>
          <w:lang w:val="es-ES_tradnl" w:eastAsia="en-US"/>
        </w:rPr>
        <w:t xml:space="preserve">Las becas en todas sus modalidades forman parte del </w:t>
      </w:r>
      <w:r w:rsidR="00B21197" w:rsidRPr="003F055C">
        <w:rPr>
          <w:rFonts w:asciiTheme="minorHAnsi" w:hAnsiTheme="minorHAnsi" w:cstheme="minorHAnsi"/>
          <w:lang w:val="es-ES_tradnl" w:eastAsia="en-US"/>
        </w:rPr>
        <w:t xml:space="preserve">componente de fortalecimiento </w:t>
      </w:r>
      <w:r w:rsidR="00B21197" w:rsidRPr="003F055C">
        <w:rPr>
          <w:rFonts w:asciiTheme="minorHAnsi" w:hAnsiTheme="minorHAnsi" w:cstheme="minorHAnsi"/>
          <w:lang w:val="es-AR" w:eastAsia="es-AR"/>
        </w:rPr>
        <w:t>y desarrollo de recursos humanos, cuya finalidad era fortalecer las capacidades y aumentar la disponibilidad de recursos humanos dedicados a la generación de nuevos conocimientos y al desarrollo tecnológico e innovación.</w:t>
      </w:r>
    </w:p>
    <w:p w:rsidR="0073428F" w:rsidRPr="003F055C" w:rsidRDefault="009F150D" w:rsidP="003F055C">
      <w:pPr>
        <w:spacing w:after="200" w:line="276" w:lineRule="auto"/>
        <w:jc w:val="both"/>
        <w:rPr>
          <w:rFonts w:asciiTheme="minorHAnsi" w:hAnsiTheme="minorHAnsi" w:cstheme="minorHAnsi"/>
          <w:bCs/>
          <w:lang w:val="es-AR" w:eastAsia="es-AR"/>
        </w:rPr>
      </w:pPr>
      <w:r w:rsidRPr="003F055C">
        <w:rPr>
          <w:rFonts w:asciiTheme="minorHAnsi" w:hAnsiTheme="minorHAnsi" w:cstheme="minorHAnsi"/>
          <w:lang w:val="es-ES_tradnl" w:eastAsia="en-US"/>
        </w:rPr>
        <w:t xml:space="preserve">Incluía dos modalidades de becas: </w:t>
      </w:r>
      <w:r w:rsidRPr="003F055C">
        <w:rPr>
          <w:rFonts w:asciiTheme="minorHAnsi" w:hAnsiTheme="minorHAnsi" w:cstheme="minorHAnsi"/>
          <w:lang w:val="es-AR" w:eastAsia="es-AR"/>
        </w:rPr>
        <w:t>b</w:t>
      </w:r>
      <w:r w:rsidR="0073428F" w:rsidRPr="003F055C">
        <w:rPr>
          <w:rFonts w:asciiTheme="minorHAnsi" w:hAnsiTheme="minorHAnsi" w:cstheme="minorHAnsi"/>
          <w:lang w:val="es-AR" w:eastAsia="es-AR"/>
        </w:rPr>
        <w:t>ecas para estudios de postgrado (maestría y doctorado) en el país</w:t>
      </w:r>
      <w:r w:rsidRPr="003F055C">
        <w:rPr>
          <w:rFonts w:asciiTheme="minorHAnsi" w:hAnsiTheme="minorHAnsi" w:cstheme="minorHAnsi"/>
          <w:lang w:val="es-AR" w:eastAsia="es-AR"/>
        </w:rPr>
        <w:t xml:space="preserve"> y </w:t>
      </w:r>
      <w:r w:rsidRPr="003F055C">
        <w:rPr>
          <w:rFonts w:asciiTheme="minorHAnsi" w:hAnsiTheme="minorHAnsi" w:cstheme="minorHAnsi"/>
          <w:bCs/>
          <w:lang w:val="es-AR" w:eastAsia="es-AR"/>
        </w:rPr>
        <w:t>becas de corta duración para formación no conducente a títulos y apoyos complementarios para becarios en el extranjero.</w:t>
      </w:r>
    </w:p>
    <w:p w:rsidR="0073428F" w:rsidRPr="003F055C" w:rsidRDefault="009F150D" w:rsidP="003F055C">
      <w:pPr>
        <w:autoSpaceDE w:val="0"/>
        <w:autoSpaceDN w:val="0"/>
        <w:adjustRightInd w:val="0"/>
        <w:spacing w:after="200" w:line="276" w:lineRule="auto"/>
        <w:jc w:val="both"/>
        <w:rPr>
          <w:rFonts w:asciiTheme="minorHAnsi" w:hAnsiTheme="minorHAnsi" w:cstheme="minorHAnsi"/>
          <w:lang w:val="es-AR" w:eastAsia="es-AR"/>
        </w:rPr>
      </w:pPr>
      <w:r w:rsidRPr="003F055C">
        <w:rPr>
          <w:rFonts w:asciiTheme="minorHAnsi" w:hAnsiTheme="minorHAnsi" w:cstheme="minorHAnsi"/>
          <w:lang w:val="es-AR" w:eastAsia="es-AR"/>
        </w:rPr>
        <w:t xml:space="preserve">El objetivo de las </w:t>
      </w:r>
      <w:r w:rsidRPr="00386209">
        <w:rPr>
          <w:rFonts w:asciiTheme="minorHAnsi" w:hAnsiTheme="minorHAnsi" w:cstheme="minorHAnsi"/>
          <w:b/>
          <w:lang w:val="es-AR" w:eastAsia="es-AR"/>
        </w:rPr>
        <w:t>becas para postgrados nacionales</w:t>
      </w:r>
      <w:r w:rsidRPr="003F055C">
        <w:rPr>
          <w:rFonts w:asciiTheme="minorHAnsi" w:hAnsiTheme="minorHAnsi" w:cstheme="minorHAnsi"/>
          <w:lang w:val="es-AR" w:eastAsia="es-AR"/>
        </w:rPr>
        <w:t xml:space="preserve"> era promover </w:t>
      </w:r>
      <w:r w:rsidR="0073428F" w:rsidRPr="003F055C">
        <w:rPr>
          <w:rFonts w:asciiTheme="minorHAnsi" w:hAnsiTheme="minorHAnsi" w:cstheme="minorHAnsi"/>
          <w:lang w:val="es-AR" w:eastAsia="es-AR"/>
        </w:rPr>
        <w:t>estudios de postgrado de ciudadanos paraguayos</w:t>
      </w:r>
      <w:r w:rsidR="002212C5">
        <w:rPr>
          <w:rFonts w:asciiTheme="minorHAnsi" w:hAnsiTheme="minorHAnsi" w:cstheme="minorHAnsi"/>
          <w:lang w:val="es-AR" w:eastAsia="es-AR"/>
        </w:rPr>
        <w:t xml:space="preserve"> o extranjeros residentes en el país</w:t>
      </w:r>
      <w:r w:rsidR="0073428F" w:rsidRPr="003F055C">
        <w:rPr>
          <w:rFonts w:asciiTheme="minorHAnsi" w:hAnsiTheme="minorHAnsi" w:cstheme="minorHAnsi"/>
          <w:lang w:val="es-AR" w:eastAsia="es-AR"/>
        </w:rPr>
        <w:t xml:space="preserve"> que posean un título de grado en una disciplina afín al postgrado que desean cursar, que estén iniciando sus estudios de postgrado o realizando su tesis de postgraduación.</w:t>
      </w:r>
      <w:r w:rsidRPr="003F055C">
        <w:rPr>
          <w:rFonts w:asciiTheme="minorHAnsi" w:hAnsiTheme="minorHAnsi" w:cstheme="minorHAnsi"/>
          <w:lang w:val="es-AR" w:eastAsia="es-AR"/>
        </w:rPr>
        <w:t xml:space="preserve"> Las becas de maestría tendrían una duración máxima de dos años y en el caso de doctorado serían renovables por dos años más, totalizando cuatro años.</w:t>
      </w:r>
    </w:p>
    <w:p w:rsidR="009F150D" w:rsidRPr="003F055C" w:rsidRDefault="0073428F" w:rsidP="003F055C">
      <w:pPr>
        <w:autoSpaceDE w:val="0"/>
        <w:autoSpaceDN w:val="0"/>
        <w:adjustRightInd w:val="0"/>
        <w:spacing w:after="200" w:line="276" w:lineRule="auto"/>
        <w:jc w:val="both"/>
        <w:rPr>
          <w:rFonts w:asciiTheme="minorHAnsi" w:hAnsiTheme="minorHAnsi" w:cstheme="minorHAnsi"/>
          <w:lang w:val="es-AR" w:eastAsia="es-AR"/>
        </w:rPr>
      </w:pPr>
      <w:r w:rsidRPr="003F055C">
        <w:rPr>
          <w:rFonts w:asciiTheme="minorHAnsi" w:hAnsiTheme="minorHAnsi" w:cstheme="minorHAnsi"/>
          <w:lang w:val="es-AR" w:eastAsia="es-AR"/>
        </w:rPr>
        <w:t>Para la as</w:t>
      </w:r>
      <w:r w:rsidR="009F150D" w:rsidRPr="003F055C">
        <w:rPr>
          <w:rFonts w:asciiTheme="minorHAnsi" w:hAnsiTheme="minorHAnsi" w:cstheme="minorHAnsi"/>
          <w:lang w:val="es-AR" w:eastAsia="es-AR"/>
        </w:rPr>
        <w:t>ignación y administración de estas becas se contaría</w:t>
      </w:r>
      <w:r w:rsidRPr="003F055C">
        <w:rPr>
          <w:rFonts w:asciiTheme="minorHAnsi" w:hAnsiTheme="minorHAnsi" w:cstheme="minorHAnsi"/>
          <w:lang w:val="es-AR" w:eastAsia="es-AR"/>
        </w:rPr>
        <w:t xml:space="preserve"> con el apoyo del Consejo Nacional de Becas (CONABE).</w:t>
      </w:r>
      <w:r w:rsidR="009F150D" w:rsidRPr="003F055C">
        <w:rPr>
          <w:rFonts w:asciiTheme="minorHAnsi" w:hAnsiTheme="minorHAnsi" w:cstheme="minorHAnsi"/>
          <w:lang w:val="es-AR" w:eastAsia="es-AR"/>
        </w:rPr>
        <w:t xml:space="preserve"> Se estimaba realizar tr</w:t>
      </w:r>
      <w:r w:rsidRPr="003F055C">
        <w:rPr>
          <w:rFonts w:asciiTheme="minorHAnsi" w:hAnsiTheme="minorHAnsi" w:cstheme="minorHAnsi"/>
          <w:lang w:val="es-AR" w:eastAsia="es-AR"/>
        </w:rPr>
        <w:t>es convocatorias de becas</w:t>
      </w:r>
      <w:r w:rsidR="009F150D" w:rsidRPr="003F055C">
        <w:rPr>
          <w:rFonts w:asciiTheme="minorHAnsi" w:hAnsiTheme="minorHAnsi" w:cstheme="minorHAnsi"/>
          <w:lang w:val="es-AR" w:eastAsia="es-AR"/>
        </w:rPr>
        <w:t xml:space="preserve">, siendo evaluadas las </w:t>
      </w:r>
      <w:r w:rsidRPr="003F055C">
        <w:rPr>
          <w:rFonts w:asciiTheme="minorHAnsi" w:hAnsiTheme="minorHAnsi" w:cstheme="minorHAnsi"/>
          <w:lang w:val="es-AR" w:eastAsia="es-AR"/>
        </w:rPr>
        <w:t xml:space="preserve">presentaciones </w:t>
      </w:r>
      <w:r w:rsidR="009F150D" w:rsidRPr="003F055C">
        <w:rPr>
          <w:rFonts w:asciiTheme="minorHAnsi" w:hAnsiTheme="minorHAnsi" w:cstheme="minorHAnsi"/>
          <w:lang w:val="es-AR" w:eastAsia="es-AR"/>
        </w:rPr>
        <w:t xml:space="preserve">por un </w:t>
      </w:r>
      <w:r w:rsidRPr="003F055C">
        <w:rPr>
          <w:rFonts w:asciiTheme="minorHAnsi" w:hAnsiTheme="minorHAnsi" w:cstheme="minorHAnsi"/>
          <w:lang w:val="es-AR" w:eastAsia="es-AR"/>
        </w:rPr>
        <w:t xml:space="preserve">Comité Asesor de Becas de Postgrado creado en el marco del convenio con el CONABE. </w:t>
      </w:r>
    </w:p>
    <w:p w:rsidR="009F150D" w:rsidRPr="003F055C" w:rsidRDefault="0073428F" w:rsidP="003F055C">
      <w:pPr>
        <w:autoSpaceDE w:val="0"/>
        <w:autoSpaceDN w:val="0"/>
        <w:adjustRightInd w:val="0"/>
        <w:spacing w:after="200" w:line="276" w:lineRule="auto"/>
        <w:jc w:val="both"/>
        <w:rPr>
          <w:rFonts w:asciiTheme="minorHAnsi" w:hAnsiTheme="minorHAnsi" w:cstheme="minorHAnsi"/>
          <w:lang w:val="es-AR" w:eastAsia="es-AR"/>
        </w:rPr>
      </w:pPr>
      <w:r w:rsidRPr="003F055C">
        <w:rPr>
          <w:rFonts w:asciiTheme="minorHAnsi" w:hAnsiTheme="minorHAnsi" w:cstheme="minorHAnsi"/>
          <w:lang w:val="es-AR" w:eastAsia="es-AR"/>
        </w:rPr>
        <w:t>Las becas sólo pod</w:t>
      </w:r>
      <w:r w:rsidR="009F150D" w:rsidRPr="003F055C">
        <w:rPr>
          <w:rFonts w:asciiTheme="minorHAnsi" w:hAnsiTheme="minorHAnsi" w:cstheme="minorHAnsi"/>
          <w:lang w:val="es-AR" w:eastAsia="es-AR"/>
        </w:rPr>
        <w:t>ría</w:t>
      </w:r>
      <w:r w:rsidRPr="003F055C">
        <w:rPr>
          <w:rFonts w:asciiTheme="minorHAnsi" w:hAnsiTheme="minorHAnsi" w:cstheme="minorHAnsi"/>
          <w:lang w:val="es-AR" w:eastAsia="es-AR"/>
        </w:rPr>
        <w:t xml:space="preserve">n ser otorgadas a estudiantes de programas previamente acreditados por CONACYT. </w:t>
      </w:r>
    </w:p>
    <w:p w:rsidR="009F150D" w:rsidRPr="003F055C" w:rsidRDefault="0073428F" w:rsidP="003F055C">
      <w:pPr>
        <w:autoSpaceDE w:val="0"/>
        <w:autoSpaceDN w:val="0"/>
        <w:adjustRightInd w:val="0"/>
        <w:spacing w:after="200" w:line="276" w:lineRule="auto"/>
        <w:jc w:val="both"/>
        <w:rPr>
          <w:rFonts w:asciiTheme="minorHAnsi" w:hAnsiTheme="minorHAnsi" w:cstheme="minorHAnsi"/>
          <w:lang w:val="es-AR" w:eastAsia="es-AR"/>
        </w:rPr>
      </w:pPr>
      <w:r w:rsidRPr="003F055C">
        <w:rPr>
          <w:rFonts w:asciiTheme="minorHAnsi" w:hAnsiTheme="minorHAnsi" w:cstheme="minorHAnsi"/>
          <w:lang w:val="es-AR" w:eastAsia="es-AR"/>
        </w:rPr>
        <w:lastRenderedPageBreak/>
        <w:t xml:space="preserve">El </w:t>
      </w:r>
      <w:r w:rsidR="009F150D" w:rsidRPr="003F055C">
        <w:rPr>
          <w:rFonts w:asciiTheme="minorHAnsi" w:hAnsiTheme="minorHAnsi" w:cstheme="minorHAnsi"/>
          <w:lang w:val="es-AR" w:eastAsia="es-AR"/>
        </w:rPr>
        <w:t xml:space="preserve">Reglamento </w:t>
      </w:r>
      <w:r w:rsidRPr="003F055C">
        <w:rPr>
          <w:rFonts w:asciiTheme="minorHAnsi" w:hAnsiTheme="minorHAnsi" w:cstheme="minorHAnsi"/>
          <w:lang w:val="es-AR" w:eastAsia="es-AR"/>
        </w:rPr>
        <w:t>O</w:t>
      </w:r>
      <w:r w:rsidR="009F150D" w:rsidRPr="003F055C">
        <w:rPr>
          <w:rFonts w:asciiTheme="minorHAnsi" w:hAnsiTheme="minorHAnsi" w:cstheme="minorHAnsi"/>
          <w:lang w:val="es-AR" w:eastAsia="es-AR"/>
        </w:rPr>
        <w:t xml:space="preserve">perativo del </w:t>
      </w:r>
      <w:r w:rsidRPr="003F055C">
        <w:rPr>
          <w:rFonts w:asciiTheme="minorHAnsi" w:hAnsiTheme="minorHAnsi" w:cstheme="minorHAnsi"/>
          <w:lang w:val="es-AR" w:eastAsia="es-AR"/>
        </w:rPr>
        <w:t>P</w:t>
      </w:r>
      <w:r w:rsidR="009F150D" w:rsidRPr="003F055C">
        <w:rPr>
          <w:rFonts w:asciiTheme="minorHAnsi" w:hAnsiTheme="minorHAnsi" w:cstheme="minorHAnsi"/>
          <w:lang w:val="es-AR" w:eastAsia="es-AR"/>
        </w:rPr>
        <w:t>ROCIT</w:t>
      </w:r>
      <w:r w:rsidRPr="003F055C">
        <w:rPr>
          <w:rFonts w:asciiTheme="minorHAnsi" w:hAnsiTheme="minorHAnsi" w:cstheme="minorHAnsi"/>
          <w:lang w:val="es-AR" w:eastAsia="es-AR"/>
        </w:rPr>
        <w:t xml:space="preserve"> define los criterios </w:t>
      </w:r>
      <w:r w:rsidR="009F150D" w:rsidRPr="003F055C">
        <w:rPr>
          <w:rFonts w:asciiTheme="minorHAnsi" w:hAnsiTheme="minorHAnsi" w:cstheme="minorHAnsi"/>
          <w:lang w:val="es-AR" w:eastAsia="es-AR"/>
        </w:rPr>
        <w:t xml:space="preserve">que se debían </w:t>
      </w:r>
      <w:r w:rsidRPr="003F055C">
        <w:rPr>
          <w:rFonts w:asciiTheme="minorHAnsi" w:hAnsiTheme="minorHAnsi" w:cstheme="minorHAnsi"/>
          <w:lang w:val="es-AR" w:eastAsia="es-AR"/>
        </w:rPr>
        <w:t>seguir en el proceso de selección, así como los rubros financiables y no financiables de los proyectos.</w:t>
      </w:r>
      <w:r w:rsidR="009F150D" w:rsidRPr="003F055C">
        <w:rPr>
          <w:rFonts w:asciiTheme="minorHAnsi" w:hAnsiTheme="minorHAnsi" w:cstheme="minorHAnsi"/>
          <w:lang w:val="es-AR" w:eastAsia="es-AR"/>
        </w:rPr>
        <w:t xml:space="preserve"> Respecto de este </w:t>
      </w:r>
      <w:r w:rsidR="00386209">
        <w:rPr>
          <w:rFonts w:asciiTheme="minorHAnsi" w:hAnsiTheme="minorHAnsi" w:cstheme="minorHAnsi"/>
          <w:lang w:val="es-AR" w:eastAsia="es-AR"/>
        </w:rPr>
        <w:t xml:space="preserve">último punto, se preveían los siguientes rubros: </w:t>
      </w:r>
      <w:r w:rsidR="00386209" w:rsidRPr="00386209">
        <w:rPr>
          <w:rFonts w:asciiTheme="minorHAnsi" w:hAnsiTheme="minorHAnsi" w:cstheme="minorHAnsi"/>
        </w:rPr>
        <w:t>(i) costos de matrícula y de derechos académicos; (ii) estipendio mensual de mantenimiento; (iii) gastos involucrados en la realización de las tesis; y (iv) gastos de viaje para el desarrollo de trabajos de campo.</w:t>
      </w:r>
      <w:r w:rsidR="00386209" w:rsidRPr="00386209">
        <w:rPr>
          <w:rFonts w:asciiTheme="minorHAnsi" w:hAnsiTheme="minorHAnsi" w:cstheme="minorHAnsi"/>
          <w:spacing w:val="-2"/>
          <w:lang w:val="es-ES_tradnl"/>
        </w:rPr>
        <w:t xml:space="preserve"> Las becas para estudio de postgrado en instituciones de educación superior de Paraguay cubrirán los costos de matrícula </w:t>
      </w:r>
      <w:r w:rsidR="00386209" w:rsidRPr="00386209">
        <w:rPr>
          <w:rFonts w:asciiTheme="minorHAnsi" w:hAnsiTheme="minorHAnsi" w:cstheme="minorHAnsi"/>
        </w:rPr>
        <w:t>y de derechos académicos</w:t>
      </w:r>
      <w:r w:rsidR="00386209" w:rsidRPr="00386209">
        <w:rPr>
          <w:rFonts w:asciiTheme="minorHAnsi" w:hAnsiTheme="minorHAnsi" w:cstheme="minorHAnsi"/>
          <w:spacing w:val="-2"/>
          <w:lang w:val="es-ES_tradnl"/>
        </w:rPr>
        <w:t xml:space="preserve"> y un estipendio mensual de hasta el equivalente de US$ 600 para Maestría y de US$ 800 para Doctorado</w:t>
      </w:r>
      <w:r w:rsidR="00386209" w:rsidRPr="00386209">
        <w:rPr>
          <w:rFonts w:asciiTheme="minorHAnsi" w:hAnsiTheme="minorHAnsi" w:cstheme="minorHAnsi"/>
          <w:color w:val="FF0000"/>
          <w:spacing w:val="-2"/>
          <w:lang w:val="es-ES_tradnl"/>
        </w:rPr>
        <w:t>.</w:t>
      </w:r>
    </w:p>
    <w:p w:rsidR="009F150D" w:rsidRPr="003F055C" w:rsidRDefault="009F150D" w:rsidP="003F055C">
      <w:pPr>
        <w:autoSpaceDE w:val="0"/>
        <w:autoSpaceDN w:val="0"/>
        <w:adjustRightInd w:val="0"/>
        <w:spacing w:after="200" w:line="276" w:lineRule="auto"/>
        <w:jc w:val="both"/>
        <w:rPr>
          <w:rFonts w:asciiTheme="minorHAnsi" w:hAnsiTheme="minorHAnsi" w:cstheme="minorHAnsi"/>
          <w:lang w:val="es-AR" w:eastAsia="es-AR"/>
        </w:rPr>
      </w:pPr>
      <w:r w:rsidRPr="003F055C">
        <w:rPr>
          <w:rFonts w:asciiTheme="minorHAnsi" w:hAnsiTheme="minorHAnsi" w:cstheme="minorHAnsi"/>
          <w:bCs/>
          <w:lang w:val="es-AR" w:eastAsia="es-AR"/>
        </w:rPr>
        <w:t xml:space="preserve">En el caso de las </w:t>
      </w:r>
      <w:r w:rsidRPr="00386209">
        <w:rPr>
          <w:rFonts w:asciiTheme="minorHAnsi" w:hAnsiTheme="minorHAnsi" w:cstheme="minorHAnsi"/>
          <w:b/>
          <w:bCs/>
          <w:lang w:val="es-AR" w:eastAsia="es-AR"/>
        </w:rPr>
        <w:t>b</w:t>
      </w:r>
      <w:r w:rsidR="0073428F" w:rsidRPr="00386209">
        <w:rPr>
          <w:rFonts w:asciiTheme="minorHAnsi" w:hAnsiTheme="minorHAnsi" w:cstheme="minorHAnsi"/>
          <w:b/>
          <w:bCs/>
          <w:lang w:val="es-AR" w:eastAsia="es-AR"/>
        </w:rPr>
        <w:t>ecas de corta duración para formación no conducente a títulos y apoyos complementarios para becarios en el extranjero</w:t>
      </w:r>
      <w:r w:rsidRPr="003F055C">
        <w:rPr>
          <w:rFonts w:asciiTheme="minorHAnsi" w:hAnsiTheme="minorHAnsi" w:cstheme="minorHAnsi"/>
          <w:bCs/>
          <w:lang w:val="es-AR" w:eastAsia="es-AR"/>
        </w:rPr>
        <w:t xml:space="preserve">, su objetivo era el de </w:t>
      </w:r>
      <w:r w:rsidR="0073428F" w:rsidRPr="003F055C">
        <w:rPr>
          <w:rFonts w:asciiTheme="minorHAnsi" w:hAnsiTheme="minorHAnsi" w:cstheme="minorHAnsi"/>
          <w:lang w:val="es-AR" w:eastAsia="es-AR"/>
        </w:rPr>
        <w:t>facilitar la interacción de los investigadores con las instituciones paraguayas y sus pares en la región y el mundo</w:t>
      </w:r>
      <w:r w:rsidRPr="003F055C">
        <w:rPr>
          <w:rFonts w:asciiTheme="minorHAnsi" w:hAnsiTheme="minorHAnsi" w:cstheme="minorHAnsi"/>
          <w:lang w:val="es-AR" w:eastAsia="es-AR"/>
        </w:rPr>
        <w:t xml:space="preserve">. Se preveía financiar un </w:t>
      </w:r>
      <w:r w:rsidR="0073428F" w:rsidRPr="003F055C">
        <w:rPr>
          <w:rFonts w:asciiTheme="minorHAnsi" w:hAnsiTheme="minorHAnsi" w:cstheme="minorHAnsi"/>
          <w:lang w:val="es-AR" w:eastAsia="es-AR"/>
        </w:rPr>
        <w:t>total de aproximadamente treinta (30) becas, con una duración media de cuatro meses</w:t>
      </w:r>
      <w:r w:rsidRPr="003F055C">
        <w:rPr>
          <w:rFonts w:asciiTheme="minorHAnsi" w:hAnsiTheme="minorHAnsi" w:cstheme="minorHAnsi"/>
          <w:lang w:val="es-AR" w:eastAsia="es-AR"/>
        </w:rPr>
        <w:t>.</w:t>
      </w:r>
    </w:p>
    <w:p w:rsidR="009F150D" w:rsidRPr="003F055C" w:rsidRDefault="009F150D" w:rsidP="003F055C">
      <w:pPr>
        <w:autoSpaceDE w:val="0"/>
        <w:autoSpaceDN w:val="0"/>
        <w:adjustRightInd w:val="0"/>
        <w:spacing w:after="200" w:line="276" w:lineRule="auto"/>
        <w:jc w:val="both"/>
        <w:rPr>
          <w:rFonts w:asciiTheme="minorHAnsi" w:hAnsiTheme="minorHAnsi" w:cstheme="minorHAnsi"/>
          <w:lang w:val="es-AR" w:eastAsia="es-AR"/>
        </w:rPr>
      </w:pPr>
      <w:r w:rsidRPr="003F055C">
        <w:rPr>
          <w:rFonts w:asciiTheme="minorHAnsi" w:hAnsiTheme="minorHAnsi" w:cstheme="minorHAnsi"/>
          <w:lang w:val="es-AR" w:eastAsia="es-AR"/>
        </w:rPr>
        <w:t xml:space="preserve">Los destinatarios de estas convocatorias eran </w:t>
      </w:r>
      <w:r w:rsidR="0073428F" w:rsidRPr="003F055C">
        <w:rPr>
          <w:rFonts w:asciiTheme="minorHAnsi" w:hAnsiTheme="minorHAnsi" w:cstheme="minorHAnsi"/>
          <w:lang w:val="es-AR" w:eastAsia="es-AR"/>
        </w:rPr>
        <w:t>investigadores con nivel de postgrado para actividades en el extranjero no conducentes a título, tales como: pasantías cortas de investigación; asistencia a cursos de entrenamiento; y seminarios y talleres de postgrado, con una duración mínima de cuarenta (40) horas</w:t>
      </w:r>
      <w:r w:rsidRPr="003F055C">
        <w:rPr>
          <w:rFonts w:asciiTheme="minorHAnsi" w:hAnsiTheme="minorHAnsi" w:cstheme="minorHAnsi"/>
          <w:lang w:val="es-AR" w:eastAsia="es-AR"/>
        </w:rPr>
        <w:t>, y en disciplinas prioritarias de ciencia y t</w:t>
      </w:r>
      <w:r w:rsidR="0073428F" w:rsidRPr="003F055C">
        <w:rPr>
          <w:rFonts w:asciiTheme="minorHAnsi" w:hAnsiTheme="minorHAnsi" w:cstheme="minorHAnsi"/>
          <w:lang w:val="es-AR" w:eastAsia="es-AR"/>
        </w:rPr>
        <w:t xml:space="preserve">ecnología, </w:t>
      </w:r>
      <w:r w:rsidRPr="003F055C">
        <w:rPr>
          <w:rFonts w:asciiTheme="minorHAnsi" w:hAnsiTheme="minorHAnsi" w:cstheme="minorHAnsi"/>
          <w:lang w:val="es-AR" w:eastAsia="es-AR"/>
        </w:rPr>
        <w:t xml:space="preserve">incluyendo la </w:t>
      </w:r>
      <w:r w:rsidR="0073428F" w:rsidRPr="003F055C">
        <w:rPr>
          <w:rFonts w:asciiTheme="minorHAnsi" w:hAnsiTheme="minorHAnsi" w:cstheme="minorHAnsi"/>
          <w:lang w:val="es-AR" w:eastAsia="es-AR"/>
        </w:rPr>
        <w:t xml:space="preserve">gestión tecnológica. </w:t>
      </w:r>
    </w:p>
    <w:p w:rsidR="0073428F" w:rsidRPr="003F055C" w:rsidRDefault="0073428F" w:rsidP="003F055C">
      <w:pPr>
        <w:autoSpaceDE w:val="0"/>
        <w:autoSpaceDN w:val="0"/>
        <w:adjustRightInd w:val="0"/>
        <w:spacing w:after="200" w:line="276" w:lineRule="auto"/>
        <w:jc w:val="both"/>
        <w:rPr>
          <w:rFonts w:asciiTheme="minorHAnsi" w:hAnsiTheme="minorHAnsi" w:cstheme="minorHAnsi"/>
          <w:lang w:val="es-AR" w:eastAsia="es-AR"/>
        </w:rPr>
      </w:pPr>
      <w:r w:rsidRPr="003F055C">
        <w:rPr>
          <w:rFonts w:asciiTheme="minorHAnsi" w:hAnsiTheme="minorHAnsi" w:cstheme="minorHAnsi"/>
          <w:lang w:val="es-AR" w:eastAsia="es-AR"/>
        </w:rPr>
        <w:t xml:space="preserve">Los candidatos </w:t>
      </w:r>
      <w:r w:rsidR="009F150D" w:rsidRPr="003F055C">
        <w:rPr>
          <w:rFonts w:asciiTheme="minorHAnsi" w:hAnsiTheme="minorHAnsi" w:cstheme="minorHAnsi"/>
          <w:lang w:val="es-AR" w:eastAsia="es-AR"/>
        </w:rPr>
        <w:t xml:space="preserve">debían ser </w:t>
      </w:r>
      <w:r w:rsidRPr="003F055C">
        <w:rPr>
          <w:rFonts w:asciiTheme="minorHAnsi" w:hAnsiTheme="minorHAnsi" w:cstheme="minorHAnsi"/>
          <w:lang w:val="es-AR" w:eastAsia="es-AR"/>
        </w:rPr>
        <w:t>presentados por instituciones para apoyar sus programas de formación de personal de investigación.</w:t>
      </w:r>
    </w:p>
    <w:p w:rsidR="0073428F" w:rsidRPr="003F055C" w:rsidRDefault="0073428F" w:rsidP="003F055C">
      <w:pPr>
        <w:autoSpaceDE w:val="0"/>
        <w:autoSpaceDN w:val="0"/>
        <w:adjustRightInd w:val="0"/>
        <w:spacing w:after="200" w:line="276" w:lineRule="auto"/>
        <w:jc w:val="both"/>
        <w:rPr>
          <w:rFonts w:asciiTheme="minorHAnsi" w:hAnsiTheme="minorHAnsi" w:cstheme="minorHAnsi"/>
          <w:lang w:val="es-ES_tradnl" w:eastAsia="en-US"/>
        </w:rPr>
      </w:pPr>
      <w:r w:rsidRPr="003F055C">
        <w:rPr>
          <w:rFonts w:asciiTheme="minorHAnsi" w:hAnsiTheme="minorHAnsi" w:cstheme="minorHAnsi"/>
          <w:lang w:val="es-AR" w:eastAsia="es-AR"/>
        </w:rPr>
        <w:t>En casos es</w:t>
      </w:r>
      <w:r w:rsidR="009F150D" w:rsidRPr="003F055C">
        <w:rPr>
          <w:rFonts w:asciiTheme="minorHAnsi" w:hAnsiTheme="minorHAnsi" w:cstheme="minorHAnsi"/>
          <w:lang w:val="es-AR" w:eastAsia="es-AR"/>
        </w:rPr>
        <w:t>peciales de candidatos que hubieran</w:t>
      </w:r>
      <w:r w:rsidRPr="003F055C">
        <w:rPr>
          <w:rFonts w:asciiTheme="minorHAnsi" w:hAnsiTheme="minorHAnsi" w:cstheme="minorHAnsi"/>
          <w:lang w:val="es-AR" w:eastAsia="es-AR"/>
        </w:rPr>
        <w:t xml:space="preserve"> obtenido becas con financiamiento externo para realizar estudios de post grado en el extranjero en áreas</w:t>
      </w:r>
      <w:r w:rsidR="009F150D" w:rsidRPr="003F055C">
        <w:rPr>
          <w:rFonts w:asciiTheme="minorHAnsi" w:hAnsiTheme="minorHAnsi" w:cstheme="minorHAnsi"/>
          <w:lang w:val="es-AR" w:eastAsia="es-AR"/>
        </w:rPr>
        <w:t xml:space="preserve"> prioritarias, el Programa podría</w:t>
      </w:r>
      <w:r w:rsidRPr="003F055C">
        <w:rPr>
          <w:rFonts w:asciiTheme="minorHAnsi" w:hAnsiTheme="minorHAnsi" w:cstheme="minorHAnsi"/>
          <w:lang w:val="es-AR" w:eastAsia="es-AR"/>
        </w:rPr>
        <w:t xml:space="preserve"> financiar apoyos complementarios necesarios para la realización d</w:t>
      </w:r>
      <w:r w:rsidR="009F150D" w:rsidRPr="003F055C">
        <w:rPr>
          <w:rFonts w:asciiTheme="minorHAnsi" w:hAnsiTheme="minorHAnsi" w:cstheme="minorHAnsi"/>
          <w:lang w:val="es-AR" w:eastAsia="es-AR"/>
        </w:rPr>
        <w:t>e esos estudios, cuando éstos fuer</w:t>
      </w:r>
      <w:r w:rsidRPr="003F055C">
        <w:rPr>
          <w:rFonts w:asciiTheme="minorHAnsi" w:hAnsiTheme="minorHAnsi" w:cstheme="minorHAnsi"/>
          <w:lang w:val="es-AR" w:eastAsia="es-AR"/>
        </w:rPr>
        <w:t>an exigencias de los financiadores externos.</w:t>
      </w:r>
    </w:p>
    <w:p w:rsidR="00CD6B97" w:rsidRPr="003F055C" w:rsidRDefault="006B4691" w:rsidP="003F055C">
      <w:pPr>
        <w:autoSpaceDE w:val="0"/>
        <w:autoSpaceDN w:val="0"/>
        <w:adjustRightInd w:val="0"/>
        <w:spacing w:after="200" w:line="276" w:lineRule="auto"/>
        <w:jc w:val="both"/>
        <w:rPr>
          <w:rFonts w:asciiTheme="minorHAnsi" w:hAnsiTheme="minorHAnsi" w:cstheme="minorHAnsi"/>
          <w:lang w:val="es-AR" w:eastAsia="es-AR"/>
        </w:rPr>
      </w:pPr>
      <w:r w:rsidRPr="003F055C">
        <w:rPr>
          <w:rFonts w:asciiTheme="minorHAnsi" w:hAnsiTheme="minorHAnsi" w:cstheme="minorHAnsi"/>
          <w:lang w:val="es-AR" w:eastAsia="es-AR"/>
        </w:rPr>
        <w:t>Para alcanzarlo, se asignó un monto de financiamiento de 6</w:t>
      </w:r>
      <w:r w:rsidR="00CD6B97" w:rsidRPr="003F055C">
        <w:rPr>
          <w:rFonts w:asciiTheme="minorHAnsi" w:hAnsiTheme="minorHAnsi" w:cstheme="minorHAnsi"/>
          <w:lang w:val="es-AR" w:eastAsia="es-AR"/>
        </w:rPr>
        <w:t>00.000 dólares estadounidenses para las becas para postgrados nacionales, y 250.000 dólares estadounidenses para las becas cortas y complementarias en el extranjero.</w:t>
      </w:r>
    </w:p>
    <w:p w:rsidR="00CD6B97" w:rsidRPr="003F055C" w:rsidRDefault="00CD6B97" w:rsidP="003F055C">
      <w:pPr>
        <w:autoSpaceDE w:val="0"/>
        <w:autoSpaceDN w:val="0"/>
        <w:adjustRightInd w:val="0"/>
        <w:spacing w:after="200" w:line="276" w:lineRule="auto"/>
        <w:jc w:val="both"/>
        <w:rPr>
          <w:rFonts w:asciiTheme="minorHAnsi" w:hAnsiTheme="minorHAnsi" w:cstheme="minorHAnsi"/>
          <w:lang w:val="es-AR" w:eastAsia="es-AR"/>
        </w:rPr>
      </w:pPr>
      <w:r w:rsidRPr="003F055C">
        <w:rPr>
          <w:rFonts w:asciiTheme="minorHAnsi" w:hAnsiTheme="minorHAnsi" w:cstheme="minorHAnsi"/>
          <w:lang w:val="es-AR" w:eastAsia="es-AR"/>
        </w:rPr>
        <w:t>Se preveía financiar el 100% del monto solicitado por el postulante, con un máximo de finan</w:t>
      </w:r>
      <w:r w:rsidR="003F055C">
        <w:rPr>
          <w:rFonts w:asciiTheme="minorHAnsi" w:hAnsiTheme="minorHAnsi" w:cstheme="minorHAnsi"/>
          <w:lang w:val="es-AR" w:eastAsia="es-AR"/>
        </w:rPr>
        <w:t>ciamiento según se observa en la</w:t>
      </w:r>
      <w:r w:rsidRPr="003F055C">
        <w:rPr>
          <w:rFonts w:asciiTheme="minorHAnsi" w:hAnsiTheme="minorHAnsi" w:cstheme="minorHAnsi"/>
          <w:lang w:val="es-AR" w:eastAsia="es-AR"/>
        </w:rPr>
        <w:t xml:space="preserve"> tabla a continuación.</w:t>
      </w:r>
    </w:p>
    <w:p w:rsidR="005A2072" w:rsidRDefault="005A2072" w:rsidP="003F055C">
      <w:pPr>
        <w:autoSpaceDE w:val="0"/>
        <w:autoSpaceDN w:val="0"/>
        <w:adjustRightInd w:val="0"/>
        <w:spacing w:after="200" w:line="276" w:lineRule="auto"/>
        <w:jc w:val="center"/>
        <w:rPr>
          <w:rFonts w:asciiTheme="minorHAnsi" w:hAnsiTheme="minorHAnsi" w:cstheme="minorHAnsi"/>
          <w:b/>
          <w:lang w:val="es-AR" w:eastAsia="es-AR"/>
        </w:rPr>
      </w:pPr>
    </w:p>
    <w:p w:rsidR="005A2072" w:rsidRDefault="005A2072" w:rsidP="003F055C">
      <w:pPr>
        <w:autoSpaceDE w:val="0"/>
        <w:autoSpaceDN w:val="0"/>
        <w:adjustRightInd w:val="0"/>
        <w:spacing w:after="200" w:line="276" w:lineRule="auto"/>
        <w:jc w:val="center"/>
        <w:rPr>
          <w:rFonts w:asciiTheme="minorHAnsi" w:hAnsiTheme="minorHAnsi" w:cstheme="minorHAnsi"/>
          <w:b/>
          <w:lang w:val="es-AR" w:eastAsia="es-AR"/>
        </w:rPr>
      </w:pPr>
    </w:p>
    <w:p w:rsidR="005A2072" w:rsidRDefault="005A2072" w:rsidP="003F055C">
      <w:pPr>
        <w:autoSpaceDE w:val="0"/>
        <w:autoSpaceDN w:val="0"/>
        <w:adjustRightInd w:val="0"/>
        <w:spacing w:after="200" w:line="276" w:lineRule="auto"/>
        <w:jc w:val="center"/>
        <w:rPr>
          <w:rFonts w:asciiTheme="minorHAnsi" w:hAnsiTheme="minorHAnsi" w:cstheme="minorHAnsi"/>
          <w:b/>
          <w:lang w:val="es-AR" w:eastAsia="es-AR"/>
        </w:rPr>
      </w:pPr>
    </w:p>
    <w:p w:rsidR="005A2072" w:rsidRDefault="005A2072" w:rsidP="003F055C">
      <w:pPr>
        <w:autoSpaceDE w:val="0"/>
        <w:autoSpaceDN w:val="0"/>
        <w:adjustRightInd w:val="0"/>
        <w:spacing w:after="200" w:line="276" w:lineRule="auto"/>
        <w:jc w:val="center"/>
        <w:rPr>
          <w:rFonts w:asciiTheme="minorHAnsi" w:hAnsiTheme="minorHAnsi" w:cstheme="minorHAnsi"/>
          <w:b/>
          <w:lang w:val="es-AR" w:eastAsia="es-AR"/>
        </w:rPr>
      </w:pPr>
    </w:p>
    <w:p w:rsidR="005A2072" w:rsidRDefault="005A2072" w:rsidP="003F055C">
      <w:pPr>
        <w:autoSpaceDE w:val="0"/>
        <w:autoSpaceDN w:val="0"/>
        <w:adjustRightInd w:val="0"/>
        <w:spacing w:after="200" w:line="276" w:lineRule="auto"/>
        <w:jc w:val="center"/>
        <w:rPr>
          <w:rFonts w:asciiTheme="minorHAnsi" w:hAnsiTheme="minorHAnsi" w:cstheme="minorHAnsi"/>
          <w:b/>
          <w:lang w:val="es-AR" w:eastAsia="es-AR"/>
        </w:rPr>
      </w:pPr>
    </w:p>
    <w:p w:rsidR="00CD6B97" w:rsidRPr="003F055C" w:rsidRDefault="00CD6B97" w:rsidP="003F055C">
      <w:pPr>
        <w:autoSpaceDE w:val="0"/>
        <w:autoSpaceDN w:val="0"/>
        <w:adjustRightInd w:val="0"/>
        <w:spacing w:after="200" w:line="276" w:lineRule="auto"/>
        <w:jc w:val="center"/>
        <w:rPr>
          <w:rFonts w:asciiTheme="minorHAnsi" w:hAnsiTheme="minorHAnsi" w:cstheme="minorHAnsi"/>
          <w:b/>
          <w:lang w:val="es-AR" w:eastAsia="es-AR"/>
        </w:rPr>
      </w:pPr>
      <w:r w:rsidRPr="003F055C">
        <w:rPr>
          <w:rFonts w:asciiTheme="minorHAnsi" w:hAnsiTheme="minorHAnsi" w:cstheme="minorHAnsi"/>
          <w:b/>
          <w:lang w:val="es-AR" w:eastAsia="es-AR"/>
        </w:rPr>
        <w:t xml:space="preserve">Tabla </w:t>
      </w:r>
      <w:r w:rsidR="006F1343">
        <w:rPr>
          <w:rFonts w:asciiTheme="minorHAnsi" w:hAnsiTheme="minorHAnsi" w:cstheme="minorHAnsi"/>
          <w:b/>
          <w:lang w:val="es-AR" w:eastAsia="es-AR"/>
        </w:rPr>
        <w:t>5.25</w:t>
      </w:r>
      <w:r w:rsidR="003F055C">
        <w:rPr>
          <w:rFonts w:asciiTheme="minorHAnsi" w:hAnsiTheme="minorHAnsi" w:cstheme="minorHAnsi"/>
          <w:b/>
          <w:lang w:val="es-AR" w:eastAsia="es-AR"/>
        </w:rPr>
        <w:t>.</w:t>
      </w:r>
      <w:r w:rsidR="00D2273D">
        <w:rPr>
          <w:rFonts w:asciiTheme="minorHAnsi" w:hAnsiTheme="minorHAnsi" w:cstheme="minorHAnsi"/>
          <w:b/>
          <w:lang w:val="es-AR" w:eastAsia="es-AR"/>
        </w:rPr>
        <w:t xml:space="preserve"> </w:t>
      </w:r>
      <w:r w:rsidRPr="003F055C">
        <w:rPr>
          <w:rFonts w:asciiTheme="minorHAnsi" w:hAnsiTheme="minorHAnsi" w:cstheme="minorHAnsi"/>
          <w:b/>
          <w:lang w:val="es-AR" w:eastAsia="es-AR"/>
        </w:rPr>
        <w:t>Montos máximos financiados por el PROCIT</w:t>
      </w:r>
      <w:r w:rsidR="003F055C">
        <w:rPr>
          <w:rFonts w:asciiTheme="minorHAnsi" w:hAnsiTheme="minorHAnsi" w:cstheme="minorHAnsi"/>
          <w:b/>
          <w:lang w:val="es-AR" w:eastAsia="es-AR"/>
        </w:rPr>
        <w:t xml:space="preserve"> para el subcomponente de Becas</w:t>
      </w:r>
    </w:p>
    <w:tbl>
      <w:tblPr>
        <w:tblW w:w="8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6"/>
        <w:gridCol w:w="3475"/>
        <w:gridCol w:w="2289"/>
      </w:tblGrid>
      <w:tr w:rsidR="00E10FD1" w:rsidRPr="00E10FD1" w:rsidTr="00E10FD1">
        <w:trPr>
          <w:jc w:val="center"/>
        </w:trPr>
        <w:tc>
          <w:tcPr>
            <w:tcW w:w="3126" w:type="dxa"/>
            <w:shd w:val="clear" w:color="auto" w:fill="0F243E" w:themeFill="text2" w:themeFillShade="80"/>
          </w:tcPr>
          <w:p w:rsidR="00CD6B97" w:rsidRPr="00E10FD1" w:rsidRDefault="00CD6B97" w:rsidP="001E6BCC">
            <w:pPr>
              <w:rPr>
                <w:rFonts w:asciiTheme="minorHAnsi" w:hAnsiTheme="minorHAnsi" w:cstheme="minorHAnsi"/>
                <w:b/>
                <w:color w:val="FFFFFF" w:themeColor="background1"/>
                <w:sz w:val="20"/>
                <w:szCs w:val="20"/>
              </w:rPr>
            </w:pPr>
          </w:p>
        </w:tc>
        <w:tc>
          <w:tcPr>
            <w:tcW w:w="3475" w:type="dxa"/>
            <w:shd w:val="clear" w:color="auto" w:fill="0F243E" w:themeFill="text2" w:themeFillShade="80"/>
          </w:tcPr>
          <w:p w:rsidR="00CD6B97" w:rsidRPr="00E10FD1" w:rsidRDefault="00CD6B97" w:rsidP="001E6BCC">
            <w:pPr>
              <w:rPr>
                <w:rFonts w:asciiTheme="minorHAnsi" w:hAnsiTheme="minorHAnsi" w:cstheme="minorHAnsi"/>
                <w:b/>
                <w:color w:val="FFFFFF" w:themeColor="background1"/>
                <w:sz w:val="20"/>
                <w:szCs w:val="20"/>
              </w:rPr>
            </w:pPr>
            <w:r w:rsidRPr="00E10FD1">
              <w:rPr>
                <w:rFonts w:asciiTheme="minorHAnsi" w:hAnsiTheme="minorHAnsi" w:cstheme="minorHAnsi"/>
                <w:b/>
                <w:color w:val="FFFFFF" w:themeColor="background1"/>
                <w:sz w:val="20"/>
                <w:szCs w:val="20"/>
              </w:rPr>
              <w:t xml:space="preserve">Montos Máximos de </w:t>
            </w:r>
            <w:r w:rsidR="00CD7294">
              <w:rPr>
                <w:rFonts w:asciiTheme="minorHAnsi" w:hAnsiTheme="minorHAnsi" w:cstheme="minorHAnsi"/>
                <w:b/>
                <w:color w:val="FFFFFF" w:themeColor="background1"/>
                <w:sz w:val="20"/>
                <w:szCs w:val="20"/>
              </w:rPr>
              <w:t>Financiamiento del Programa (U$S</w:t>
            </w:r>
            <w:r w:rsidRPr="00E10FD1">
              <w:rPr>
                <w:rFonts w:asciiTheme="minorHAnsi" w:hAnsiTheme="minorHAnsi" w:cstheme="minorHAnsi"/>
                <w:b/>
                <w:color w:val="FFFFFF" w:themeColor="background1"/>
                <w:sz w:val="20"/>
                <w:szCs w:val="20"/>
              </w:rPr>
              <w:t>)</w:t>
            </w:r>
          </w:p>
        </w:tc>
        <w:tc>
          <w:tcPr>
            <w:tcW w:w="2289" w:type="dxa"/>
            <w:shd w:val="clear" w:color="auto" w:fill="0F243E" w:themeFill="text2" w:themeFillShade="80"/>
          </w:tcPr>
          <w:p w:rsidR="00CD6B97" w:rsidRPr="00E10FD1" w:rsidRDefault="00CD6B97" w:rsidP="001E6BCC">
            <w:pPr>
              <w:rPr>
                <w:rFonts w:asciiTheme="minorHAnsi" w:hAnsiTheme="minorHAnsi" w:cstheme="minorHAnsi"/>
                <w:b/>
                <w:color w:val="FFFFFF" w:themeColor="background1"/>
                <w:sz w:val="20"/>
                <w:szCs w:val="20"/>
              </w:rPr>
            </w:pPr>
            <w:r w:rsidRPr="00E10FD1">
              <w:rPr>
                <w:rFonts w:asciiTheme="minorHAnsi" w:hAnsiTheme="minorHAnsi" w:cstheme="minorHAnsi"/>
                <w:b/>
                <w:color w:val="FFFFFF" w:themeColor="background1"/>
                <w:sz w:val="20"/>
                <w:szCs w:val="20"/>
              </w:rPr>
              <w:t>Relación de Aporte del Programa / Aporte de Contrapartida (%)</w:t>
            </w:r>
          </w:p>
        </w:tc>
      </w:tr>
      <w:tr w:rsidR="00CD6B97" w:rsidRPr="003F055C" w:rsidTr="001E6BCC">
        <w:trPr>
          <w:jc w:val="center"/>
        </w:trPr>
        <w:tc>
          <w:tcPr>
            <w:tcW w:w="3126" w:type="dxa"/>
          </w:tcPr>
          <w:p w:rsidR="00CD6B97" w:rsidRPr="003F055C" w:rsidRDefault="00CD6B97" w:rsidP="001E6BCC">
            <w:pPr>
              <w:rPr>
                <w:rFonts w:asciiTheme="minorHAnsi" w:hAnsiTheme="minorHAnsi" w:cstheme="minorHAnsi"/>
                <w:sz w:val="20"/>
                <w:szCs w:val="20"/>
              </w:rPr>
            </w:pPr>
            <w:r w:rsidRPr="003F055C">
              <w:rPr>
                <w:rFonts w:asciiTheme="minorHAnsi" w:hAnsiTheme="minorHAnsi" w:cstheme="minorHAnsi"/>
                <w:sz w:val="20"/>
                <w:szCs w:val="20"/>
              </w:rPr>
              <w:t>Becas de Estudio – Postgrado</w:t>
            </w:r>
          </w:p>
        </w:tc>
        <w:tc>
          <w:tcPr>
            <w:tcW w:w="3475" w:type="dxa"/>
          </w:tcPr>
          <w:p w:rsidR="00CD6B97" w:rsidRPr="003F055C" w:rsidRDefault="00CD6B97" w:rsidP="001E6BCC">
            <w:pPr>
              <w:rPr>
                <w:rFonts w:asciiTheme="minorHAnsi" w:hAnsiTheme="minorHAnsi" w:cstheme="minorHAnsi"/>
                <w:sz w:val="20"/>
                <w:szCs w:val="20"/>
              </w:rPr>
            </w:pPr>
            <w:r w:rsidRPr="003F055C">
              <w:rPr>
                <w:rFonts w:asciiTheme="minorHAnsi" w:hAnsiTheme="minorHAnsi" w:cstheme="minorHAnsi"/>
                <w:sz w:val="20"/>
                <w:szCs w:val="20"/>
              </w:rPr>
              <w:t>400 (estipendio mensual)</w:t>
            </w:r>
          </w:p>
          <w:p w:rsidR="00CD6B97" w:rsidRPr="003F055C" w:rsidRDefault="00CD6B97" w:rsidP="001E6BCC">
            <w:pPr>
              <w:rPr>
                <w:rFonts w:asciiTheme="minorHAnsi" w:hAnsiTheme="minorHAnsi" w:cstheme="minorHAnsi"/>
                <w:sz w:val="20"/>
                <w:szCs w:val="20"/>
              </w:rPr>
            </w:pPr>
            <w:r w:rsidRPr="003F055C">
              <w:rPr>
                <w:rFonts w:asciiTheme="minorHAnsi" w:hAnsiTheme="minorHAnsi" w:cstheme="minorHAnsi"/>
                <w:sz w:val="20"/>
                <w:szCs w:val="20"/>
              </w:rPr>
              <w:t>(Además, se cubrirán costos de matrícula y de derechos académicos)</w:t>
            </w:r>
          </w:p>
        </w:tc>
        <w:tc>
          <w:tcPr>
            <w:tcW w:w="2289" w:type="dxa"/>
          </w:tcPr>
          <w:p w:rsidR="00CD6B97" w:rsidRPr="003F055C" w:rsidRDefault="00CD6B97" w:rsidP="001E6BCC">
            <w:pPr>
              <w:rPr>
                <w:rFonts w:asciiTheme="minorHAnsi" w:hAnsiTheme="minorHAnsi" w:cstheme="minorHAnsi"/>
                <w:sz w:val="20"/>
                <w:szCs w:val="20"/>
              </w:rPr>
            </w:pPr>
            <w:r w:rsidRPr="003F055C">
              <w:rPr>
                <w:rFonts w:asciiTheme="minorHAnsi" w:hAnsiTheme="minorHAnsi" w:cstheme="minorHAnsi"/>
                <w:sz w:val="20"/>
                <w:szCs w:val="20"/>
              </w:rPr>
              <w:t>Hasta el 100%</w:t>
            </w:r>
          </w:p>
        </w:tc>
      </w:tr>
      <w:tr w:rsidR="00CD6B97" w:rsidRPr="003F055C" w:rsidTr="001E6BCC">
        <w:trPr>
          <w:jc w:val="center"/>
        </w:trPr>
        <w:tc>
          <w:tcPr>
            <w:tcW w:w="3126" w:type="dxa"/>
          </w:tcPr>
          <w:p w:rsidR="00CD6B97" w:rsidRPr="003F055C" w:rsidRDefault="00CD6B97" w:rsidP="001E6BCC">
            <w:pPr>
              <w:rPr>
                <w:rFonts w:asciiTheme="minorHAnsi" w:hAnsiTheme="minorHAnsi" w:cstheme="minorHAnsi"/>
                <w:sz w:val="20"/>
                <w:szCs w:val="20"/>
              </w:rPr>
            </w:pPr>
            <w:r w:rsidRPr="003F055C">
              <w:rPr>
                <w:rFonts w:asciiTheme="minorHAnsi" w:hAnsiTheme="minorHAnsi" w:cstheme="minorHAnsi"/>
                <w:sz w:val="20"/>
                <w:szCs w:val="20"/>
              </w:rPr>
              <w:t>Becas de Corta Duración en el país - no conducentes a títulos</w:t>
            </w:r>
          </w:p>
        </w:tc>
        <w:tc>
          <w:tcPr>
            <w:tcW w:w="3475" w:type="dxa"/>
          </w:tcPr>
          <w:p w:rsidR="00CD6B97" w:rsidRPr="003F055C" w:rsidRDefault="00CD6B97" w:rsidP="001E6BCC">
            <w:pPr>
              <w:rPr>
                <w:rFonts w:asciiTheme="minorHAnsi" w:hAnsiTheme="minorHAnsi" w:cstheme="minorHAnsi"/>
                <w:sz w:val="20"/>
                <w:szCs w:val="20"/>
              </w:rPr>
            </w:pPr>
            <w:r w:rsidRPr="003F055C">
              <w:rPr>
                <w:rFonts w:asciiTheme="minorHAnsi" w:hAnsiTheme="minorHAnsi" w:cstheme="minorHAnsi"/>
                <w:sz w:val="20"/>
                <w:szCs w:val="20"/>
              </w:rPr>
              <w:t xml:space="preserve">7.000 </w:t>
            </w:r>
          </w:p>
        </w:tc>
        <w:tc>
          <w:tcPr>
            <w:tcW w:w="2289" w:type="dxa"/>
          </w:tcPr>
          <w:p w:rsidR="00CD6B97" w:rsidRPr="003F055C" w:rsidRDefault="00CD6B97" w:rsidP="001E6BCC">
            <w:pPr>
              <w:rPr>
                <w:rFonts w:asciiTheme="minorHAnsi" w:hAnsiTheme="minorHAnsi" w:cstheme="minorHAnsi"/>
                <w:sz w:val="20"/>
                <w:szCs w:val="20"/>
              </w:rPr>
            </w:pPr>
            <w:r w:rsidRPr="003F055C">
              <w:rPr>
                <w:rFonts w:asciiTheme="minorHAnsi" w:hAnsiTheme="minorHAnsi" w:cstheme="minorHAnsi"/>
                <w:sz w:val="20"/>
                <w:szCs w:val="20"/>
              </w:rPr>
              <w:t>Hasta el 100%</w:t>
            </w:r>
          </w:p>
        </w:tc>
      </w:tr>
      <w:tr w:rsidR="00CD6B97" w:rsidRPr="003F055C" w:rsidTr="001E6BCC">
        <w:trPr>
          <w:jc w:val="center"/>
        </w:trPr>
        <w:tc>
          <w:tcPr>
            <w:tcW w:w="3126" w:type="dxa"/>
          </w:tcPr>
          <w:p w:rsidR="00CD6B97" w:rsidRPr="003F055C" w:rsidRDefault="00CD6B97" w:rsidP="001E6BCC">
            <w:pPr>
              <w:rPr>
                <w:rFonts w:asciiTheme="minorHAnsi" w:hAnsiTheme="minorHAnsi" w:cstheme="minorHAnsi"/>
                <w:sz w:val="20"/>
                <w:szCs w:val="20"/>
              </w:rPr>
            </w:pPr>
            <w:r w:rsidRPr="003F055C">
              <w:rPr>
                <w:rFonts w:asciiTheme="minorHAnsi" w:hAnsiTheme="minorHAnsi" w:cstheme="minorHAnsi"/>
                <w:sz w:val="20"/>
                <w:szCs w:val="20"/>
              </w:rPr>
              <w:t>Apoyos complementarios para becas de postgrado en el extranjero</w:t>
            </w:r>
          </w:p>
        </w:tc>
        <w:tc>
          <w:tcPr>
            <w:tcW w:w="3475" w:type="dxa"/>
          </w:tcPr>
          <w:p w:rsidR="00CD6B97" w:rsidRPr="003F055C" w:rsidRDefault="00CD6B97" w:rsidP="001E6BCC">
            <w:pPr>
              <w:rPr>
                <w:rFonts w:asciiTheme="minorHAnsi" w:hAnsiTheme="minorHAnsi" w:cstheme="minorHAnsi"/>
                <w:sz w:val="20"/>
                <w:szCs w:val="20"/>
              </w:rPr>
            </w:pPr>
            <w:r w:rsidRPr="003F055C">
              <w:rPr>
                <w:rFonts w:asciiTheme="minorHAnsi" w:hAnsiTheme="minorHAnsi" w:cstheme="minorHAnsi"/>
                <w:sz w:val="20"/>
                <w:szCs w:val="20"/>
              </w:rPr>
              <w:t>4.000</w:t>
            </w:r>
          </w:p>
        </w:tc>
        <w:tc>
          <w:tcPr>
            <w:tcW w:w="2289" w:type="dxa"/>
          </w:tcPr>
          <w:p w:rsidR="00CD6B97" w:rsidRPr="003F055C" w:rsidRDefault="00CD6B97" w:rsidP="001E6BCC">
            <w:pPr>
              <w:rPr>
                <w:rFonts w:asciiTheme="minorHAnsi" w:hAnsiTheme="minorHAnsi" w:cstheme="minorHAnsi"/>
                <w:sz w:val="20"/>
                <w:szCs w:val="20"/>
              </w:rPr>
            </w:pPr>
            <w:r w:rsidRPr="003F055C">
              <w:rPr>
                <w:rFonts w:asciiTheme="minorHAnsi" w:hAnsiTheme="minorHAnsi" w:cstheme="minorHAnsi"/>
                <w:sz w:val="20"/>
                <w:szCs w:val="20"/>
              </w:rPr>
              <w:t>--</w:t>
            </w:r>
          </w:p>
        </w:tc>
      </w:tr>
    </w:tbl>
    <w:p w:rsidR="009F150D" w:rsidRPr="00FC352D" w:rsidRDefault="00CD6B97" w:rsidP="005734DE">
      <w:pPr>
        <w:rPr>
          <w:rFonts w:asciiTheme="minorHAnsi" w:hAnsiTheme="minorHAnsi" w:cstheme="minorHAnsi"/>
          <w:sz w:val="18"/>
          <w:szCs w:val="18"/>
          <w:lang w:val="es-AR" w:eastAsia="en-US"/>
        </w:rPr>
      </w:pPr>
      <w:r w:rsidRPr="00FC352D">
        <w:rPr>
          <w:rFonts w:asciiTheme="minorHAnsi" w:hAnsiTheme="minorHAnsi" w:cstheme="minorHAnsi"/>
          <w:sz w:val="18"/>
          <w:szCs w:val="18"/>
          <w:lang w:val="es-AR" w:eastAsia="en-US"/>
        </w:rPr>
        <w:t xml:space="preserve">Fuente: </w:t>
      </w:r>
      <w:r w:rsidR="00FC352D" w:rsidRPr="00FC352D">
        <w:rPr>
          <w:rFonts w:asciiTheme="minorHAnsi" w:hAnsiTheme="minorHAnsi" w:cstheme="minorHAnsi"/>
          <w:sz w:val="18"/>
          <w:szCs w:val="18"/>
          <w:lang w:val="es-AR" w:eastAsia="en-US"/>
        </w:rPr>
        <w:t>Reglamento Operativo del PROCIT</w:t>
      </w:r>
    </w:p>
    <w:p w:rsidR="009F150D" w:rsidRPr="00D4326F" w:rsidRDefault="009F150D" w:rsidP="005734DE">
      <w:pPr>
        <w:rPr>
          <w:rFonts w:asciiTheme="minorHAnsi" w:hAnsiTheme="minorHAnsi" w:cstheme="minorHAnsi"/>
          <w:lang w:val="es-ES_tradnl" w:eastAsia="en-US"/>
        </w:rPr>
      </w:pPr>
    </w:p>
    <w:p w:rsidR="005734DE" w:rsidRDefault="005734DE" w:rsidP="002D7EE9">
      <w:pPr>
        <w:pStyle w:val="Heading3"/>
        <w:numPr>
          <w:ilvl w:val="2"/>
          <w:numId w:val="4"/>
        </w:numPr>
        <w:rPr>
          <w:rStyle w:val="Emphasis"/>
          <w:rFonts w:cs="Calibri"/>
          <w:i/>
        </w:rPr>
      </w:pPr>
      <w:bookmarkStart w:id="219" w:name="_Toc375211989"/>
      <w:r>
        <w:rPr>
          <w:rStyle w:val="Emphasis"/>
          <w:rFonts w:cs="Calibri"/>
          <w:i/>
        </w:rPr>
        <w:t>Alcance</w:t>
      </w:r>
      <w:bookmarkEnd w:id="219"/>
    </w:p>
    <w:p w:rsidR="007C2F1E" w:rsidRPr="00B524B8" w:rsidRDefault="007C2F1E" w:rsidP="007C2F1E">
      <w:pPr>
        <w:pStyle w:val="ListParagraph"/>
        <w:spacing w:before="120" w:after="120" w:line="288" w:lineRule="auto"/>
        <w:ind w:left="0"/>
        <w:contextualSpacing w:val="0"/>
        <w:jc w:val="both"/>
        <w:rPr>
          <w:rStyle w:val="Emphasis"/>
          <w:rFonts w:ascii="Calibri" w:hAnsi="Calibri" w:cs="Calibri"/>
          <w:i w:val="0"/>
        </w:rPr>
      </w:pPr>
      <w:r w:rsidRPr="00B524B8">
        <w:rPr>
          <w:rStyle w:val="Emphasis"/>
          <w:rFonts w:ascii="Calibri" w:hAnsi="Calibri" w:cs="Calibri"/>
          <w:i w:val="0"/>
        </w:rPr>
        <w:t xml:space="preserve">Como se puede observar en </w:t>
      </w:r>
      <w:r w:rsidR="00E73E5F">
        <w:rPr>
          <w:rStyle w:val="Emphasis"/>
          <w:rFonts w:ascii="Calibri" w:hAnsi="Calibri" w:cs="Calibri"/>
          <w:i w:val="0"/>
        </w:rPr>
        <w:t>los gráficos</w:t>
      </w:r>
      <w:r w:rsidRPr="00B524B8">
        <w:rPr>
          <w:rStyle w:val="Emphasis"/>
          <w:rFonts w:ascii="Calibri" w:hAnsi="Calibri" w:cs="Calibri"/>
          <w:i w:val="0"/>
        </w:rPr>
        <w:t xml:space="preserve"> a continuación, la meta (ajustada) fijada pa</w:t>
      </w:r>
      <w:r w:rsidR="00E73E5F">
        <w:rPr>
          <w:rStyle w:val="Emphasis"/>
          <w:rFonts w:ascii="Calibri" w:hAnsi="Calibri" w:cs="Calibri"/>
          <w:i w:val="0"/>
        </w:rPr>
        <w:t>ra este subcomponente</w:t>
      </w:r>
      <w:r w:rsidRPr="00B524B8">
        <w:rPr>
          <w:rStyle w:val="Emphasis"/>
          <w:rFonts w:ascii="Calibri" w:hAnsi="Calibri" w:cs="Calibri"/>
          <w:i w:val="0"/>
        </w:rPr>
        <w:t xml:space="preserve"> fue ampliamente </w:t>
      </w:r>
      <w:r w:rsidR="00E73E5F">
        <w:rPr>
          <w:rStyle w:val="Emphasis"/>
          <w:rFonts w:ascii="Calibri" w:hAnsi="Calibri" w:cs="Calibri"/>
          <w:i w:val="0"/>
        </w:rPr>
        <w:t>superada</w:t>
      </w:r>
      <w:r w:rsidRPr="00B524B8">
        <w:rPr>
          <w:rStyle w:val="Emphasis"/>
          <w:rFonts w:ascii="Calibri" w:hAnsi="Calibri" w:cs="Calibri"/>
          <w:i w:val="0"/>
        </w:rPr>
        <w:t>.</w:t>
      </w:r>
      <w:r w:rsidR="00E73E5F">
        <w:rPr>
          <w:rStyle w:val="Emphasis"/>
          <w:rFonts w:ascii="Calibri" w:hAnsi="Calibri" w:cs="Calibri"/>
          <w:i w:val="0"/>
        </w:rPr>
        <w:t xml:space="preserve"> La meta para becas nacionales fue de 30 becas, habiéndose otorgado 51 becas</w:t>
      </w:r>
      <w:r w:rsidR="00D02FFC">
        <w:rPr>
          <w:rStyle w:val="Emphasis"/>
          <w:rFonts w:ascii="Calibri" w:hAnsi="Calibri" w:cs="Calibri"/>
          <w:i w:val="0"/>
        </w:rPr>
        <w:t xml:space="preserve"> (45 para carreras de maestría y 6 para carreras de doctorado)</w:t>
      </w:r>
      <w:r w:rsidR="00E73E5F">
        <w:rPr>
          <w:rStyle w:val="Emphasis"/>
          <w:rFonts w:ascii="Calibri" w:hAnsi="Calibri" w:cs="Calibri"/>
          <w:i w:val="0"/>
        </w:rPr>
        <w:t>. Para el caso de las becas de corta duración y complementarias, la meta fue de 55 becas, y se otorgaron a lo largo del programa 171 becas.</w:t>
      </w:r>
    </w:p>
    <w:p w:rsidR="007C2F1E" w:rsidRPr="00E93698" w:rsidRDefault="007C2F1E" w:rsidP="007C2F1E">
      <w:pPr>
        <w:pStyle w:val="ListParagraph"/>
        <w:ind w:left="360"/>
        <w:jc w:val="center"/>
        <w:rPr>
          <w:rFonts w:ascii="Calibri" w:hAnsi="Calibri" w:cs="Calibri"/>
          <w:b/>
        </w:rPr>
      </w:pPr>
      <w:r w:rsidRPr="00E93698">
        <w:rPr>
          <w:rFonts w:ascii="Calibri" w:hAnsi="Calibri" w:cs="Calibri"/>
          <w:b/>
        </w:rPr>
        <w:t xml:space="preserve">Gráfico </w:t>
      </w:r>
      <w:r w:rsidR="00D2273D">
        <w:rPr>
          <w:rFonts w:ascii="Calibri" w:hAnsi="Calibri" w:cs="Calibri"/>
          <w:b/>
        </w:rPr>
        <w:t>5.26</w:t>
      </w:r>
      <w:r w:rsidR="00E73E5F">
        <w:rPr>
          <w:rFonts w:ascii="Calibri" w:hAnsi="Calibri" w:cs="Calibri"/>
          <w:b/>
        </w:rPr>
        <w:t>.</w:t>
      </w:r>
      <w:r w:rsidRPr="00E93698">
        <w:rPr>
          <w:rFonts w:ascii="Calibri" w:hAnsi="Calibri" w:cs="Calibri"/>
          <w:b/>
        </w:rPr>
        <w:t xml:space="preserve"> Análisis de metas del subcomponente de Becas</w:t>
      </w:r>
      <w:r w:rsidR="00E73E5F">
        <w:rPr>
          <w:rFonts w:ascii="Calibri" w:hAnsi="Calibri" w:cs="Calibri"/>
          <w:b/>
        </w:rPr>
        <w:t xml:space="preserve"> Nacionales</w:t>
      </w:r>
    </w:p>
    <w:p w:rsidR="007C2F1E" w:rsidRPr="00157C3B" w:rsidRDefault="007C2F1E" w:rsidP="007C2F1E">
      <w:pPr>
        <w:pStyle w:val="ListParagraph"/>
        <w:ind w:left="360"/>
        <w:jc w:val="center"/>
        <w:rPr>
          <w:rFonts w:ascii="Calibri" w:hAnsi="Calibri" w:cs="Calibri"/>
          <w:b/>
          <w:sz w:val="22"/>
          <w:szCs w:val="22"/>
        </w:rPr>
      </w:pPr>
    </w:p>
    <w:p w:rsidR="007C2F1E" w:rsidRPr="00E73E5F" w:rsidRDefault="00E73E5F" w:rsidP="007C2F1E">
      <w:pPr>
        <w:pStyle w:val="ListParagraph"/>
        <w:spacing w:after="200" w:line="276" w:lineRule="auto"/>
        <w:ind w:left="360"/>
        <w:jc w:val="center"/>
        <w:rPr>
          <w:rStyle w:val="Emphasis"/>
          <w:rFonts w:ascii="Calibri" w:hAnsi="Calibri" w:cs="Calibri"/>
          <w:i w:val="0"/>
          <w:color w:val="FF0000"/>
        </w:rPr>
      </w:pPr>
      <w:r>
        <w:rPr>
          <w:rStyle w:val="Emphasis"/>
          <w:rFonts w:ascii="Calibri" w:hAnsi="Calibri" w:cs="Calibri"/>
          <w:i w:val="0"/>
          <w:noProof/>
          <w:color w:val="FF0000"/>
          <w:lang w:val="es-ES_tradnl" w:eastAsia="es-ES_tradnl"/>
        </w:rPr>
        <w:drawing>
          <wp:inline distT="0" distB="0" distL="0" distR="0" wp14:anchorId="313DD846" wp14:editId="2C9ECEBF">
            <wp:extent cx="4584700" cy="2755900"/>
            <wp:effectExtent l="0" t="0" r="635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C2F1E" w:rsidRPr="00B524B8" w:rsidRDefault="007C2F1E" w:rsidP="00FC352D">
      <w:pPr>
        <w:pStyle w:val="ListParagraph"/>
        <w:ind w:left="1560" w:right="1183"/>
        <w:jc w:val="center"/>
        <w:rPr>
          <w:rFonts w:ascii="Calibri" w:hAnsi="Calibri" w:cs="Calibri"/>
          <w:sz w:val="18"/>
          <w:szCs w:val="18"/>
        </w:rPr>
      </w:pPr>
      <w:r w:rsidRPr="00B524B8">
        <w:rPr>
          <w:rFonts w:ascii="Calibri" w:hAnsi="Calibri" w:cs="Calibri"/>
          <w:sz w:val="18"/>
          <w:szCs w:val="18"/>
        </w:rPr>
        <w:t>Fuente: Innovos Group en base a datos provistos por CONACYT</w:t>
      </w:r>
    </w:p>
    <w:p w:rsidR="007C2F1E" w:rsidRPr="00B524B8" w:rsidRDefault="007C2F1E" w:rsidP="00FC352D">
      <w:pPr>
        <w:pStyle w:val="ListParagraph"/>
        <w:ind w:left="1560" w:right="1183"/>
        <w:jc w:val="center"/>
        <w:rPr>
          <w:rFonts w:ascii="Calibri" w:hAnsi="Calibri" w:cs="Calibri"/>
          <w:sz w:val="18"/>
          <w:szCs w:val="18"/>
        </w:rPr>
      </w:pPr>
      <w:r w:rsidRPr="00B524B8">
        <w:rPr>
          <w:rFonts w:ascii="Calibri" w:hAnsi="Calibri" w:cs="Calibri"/>
          <w:sz w:val="18"/>
          <w:szCs w:val="18"/>
        </w:rPr>
        <w:lastRenderedPageBreak/>
        <w:t>*Los indicadores fueron ajustados en la Misión de Supervisión, llevada a cabo en Asunción del 28/02/2011 al 03/03/2011, y constan e</w:t>
      </w:r>
      <w:r w:rsidR="00FC352D">
        <w:rPr>
          <w:rFonts w:ascii="Calibri" w:hAnsi="Calibri" w:cs="Calibri"/>
          <w:sz w:val="18"/>
          <w:szCs w:val="18"/>
        </w:rPr>
        <w:t>n la Ayuda Memoria de la Misión</w:t>
      </w:r>
    </w:p>
    <w:p w:rsidR="00E73E5F" w:rsidRDefault="00E73E5F" w:rsidP="00E73E5F">
      <w:pPr>
        <w:pStyle w:val="ListParagraph"/>
        <w:ind w:left="360"/>
        <w:jc w:val="center"/>
        <w:rPr>
          <w:rFonts w:ascii="Calibri" w:hAnsi="Calibri" w:cs="Calibri"/>
          <w:b/>
        </w:rPr>
      </w:pPr>
    </w:p>
    <w:p w:rsidR="005A2072" w:rsidRDefault="005A2072" w:rsidP="00E73E5F">
      <w:pPr>
        <w:pStyle w:val="ListParagraph"/>
        <w:ind w:left="360"/>
        <w:jc w:val="center"/>
        <w:rPr>
          <w:rFonts w:ascii="Calibri" w:hAnsi="Calibri" w:cs="Calibri"/>
          <w:b/>
        </w:rPr>
      </w:pPr>
    </w:p>
    <w:p w:rsidR="00E73E5F" w:rsidRDefault="00E73E5F" w:rsidP="00E73E5F">
      <w:pPr>
        <w:pStyle w:val="ListParagraph"/>
        <w:ind w:left="360"/>
        <w:jc w:val="center"/>
        <w:rPr>
          <w:rFonts w:ascii="Calibri" w:hAnsi="Calibri" w:cs="Calibri"/>
          <w:b/>
        </w:rPr>
      </w:pPr>
      <w:r w:rsidRPr="00E93698">
        <w:rPr>
          <w:rFonts w:ascii="Calibri" w:hAnsi="Calibri" w:cs="Calibri"/>
          <w:b/>
        </w:rPr>
        <w:t xml:space="preserve">Gráfico </w:t>
      </w:r>
      <w:r w:rsidR="00D2273D">
        <w:rPr>
          <w:rFonts w:ascii="Calibri" w:hAnsi="Calibri" w:cs="Calibri"/>
          <w:b/>
        </w:rPr>
        <w:t>5.27</w:t>
      </w:r>
      <w:r>
        <w:rPr>
          <w:rFonts w:ascii="Calibri" w:hAnsi="Calibri" w:cs="Calibri"/>
          <w:b/>
        </w:rPr>
        <w:t>.</w:t>
      </w:r>
      <w:r w:rsidRPr="00E93698">
        <w:rPr>
          <w:rFonts w:ascii="Calibri" w:hAnsi="Calibri" w:cs="Calibri"/>
          <w:b/>
        </w:rPr>
        <w:t xml:space="preserve"> Análisis de metas del subcomponente de Becas</w:t>
      </w:r>
      <w:r>
        <w:rPr>
          <w:rFonts w:ascii="Calibri" w:hAnsi="Calibri" w:cs="Calibri"/>
          <w:b/>
        </w:rPr>
        <w:t xml:space="preserve"> de corta duración y complementarias en el extranjero</w:t>
      </w:r>
    </w:p>
    <w:p w:rsidR="00E73E5F" w:rsidRDefault="00E73E5F" w:rsidP="00E73E5F">
      <w:pPr>
        <w:pStyle w:val="ListParagraph"/>
        <w:ind w:left="360"/>
        <w:jc w:val="center"/>
        <w:rPr>
          <w:rFonts w:ascii="Calibri" w:hAnsi="Calibri" w:cs="Calibri"/>
          <w:b/>
        </w:rPr>
      </w:pPr>
      <w:r>
        <w:rPr>
          <w:rFonts w:ascii="Calibri" w:hAnsi="Calibri" w:cs="Calibri"/>
          <w:b/>
          <w:noProof/>
          <w:lang w:val="es-ES_tradnl" w:eastAsia="es-ES_tradnl"/>
        </w:rPr>
        <w:drawing>
          <wp:inline distT="0" distB="0" distL="0" distR="0" wp14:anchorId="636E3CA4" wp14:editId="171955D1">
            <wp:extent cx="4584700" cy="2755900"/>
            <wp:effectExtent l="0" t="0" r="635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E73E5F" w:rsidRPr="00B524B8" w:rsidRDefault="00E73E5F" w:rsidP="00FC352D">
      <w:pPr>
        <w:pStyle w:val="ListParagraph"/>
        <w:ind w:left="1560" w:right="1183"/>
        <w:jc w:val="center"/>
        <w:rPr>
          <w:rFonts w:ascii="Calibri" w:hAnsi="Calibri" w:cs="Calibri"/>
          <w:sz w:val="18"/>
          <w:szCs w:val="18"/>
        </w:rPr>
      </w:pPr>
      <w:r w:rsidRPr="00B524B8">
        <w:rPr>
          <w:rFonts w:ascii="Calibri" w:hAnsi="Calibri" w:cs="Calibri"/>
          <w:sz w:val="18"/>
          <w:szCs w:val="18"/>
        </w:rPr>
        <w:t>Fuente: Innovos Group en base a datos provistos por CONACYT</w:t>
      </w:r>
    </w:p>
    <w:p w:rsidR="00E73E5F" w:rsidRPr="00B524B8" w:rsidRDefault="00E73E5F" w:rsidP="00FC352D">
      <w:pPr>
        <w:pStyle w:val="ListParagraph"/>
        <w:ind w:left="1560" w:right="1183"/>
        <w:jc w:val="center"/>
        <w:rPr>
          <w:rFonts w:ascii="Calibri" w:hAnsi="Calibri" w:cs="Calibri"/>
          <w:sz w:val="18"/>
          <w:szCs w:val="18"/>
        </w:rPr>
      </w:pPr>
      <w:r w:rsidRPr="00B524B8">
        <w:rPr>
          <w:rFonts w:ascii="Calibri" w:hAnsi="Calibri" w:cs="Calibri"/>
          <w:sz w:val="18"/>
          <w:szCs w:val="18"/>
        </w:rPr>
        <w:t>*Los indicadores fueron ajustados en la Misión de Supervisión, llevada a cabo en Asunción del 28/02/2011 al 03/03/2011, y constan e</w:t>
      </w:r>
      <w:r w:rsidR="00FC352D">
        <w:rPr>
          <w:rFonts w:ascii="Calibri" w:hAnsi="Calibri" w:cs="Calibri"/>
          <w:sz w:val="18"/>
          <w:szCs w:val="18"/>
        </w:rPr>
        <w:t>n la Ayuda Memoria de la Misión</w:t>
      </w:r>
    </w:p>
    <w:p w:rsidR="00E73E5F" w:rsidRPr="00E93698" w:rsidRDefault="00E73E5F" w:rsidP="00E73E5F">
      <w:pPr>
        <w:pStyle w:val="ListParagraph"/>
        <w:ind w:left="360"/>
        <w:jc w:val="center"/>
        <w:rPr>
          <w:rFonts w:ascii="Calibri" w:hAnsi="Calibri" w:cs="Calibri"/>
          <w:b/>
        </w:rPr>
      </w:pPr>
    </w:p>
    <w:p w:rsidR="007C2F1E" w:rsidRPr="00B524B8" w:rsidRDefault="007C2F1E" w:rsidP="007C2F1E">
      <w:pPr>
        <w:pStyle w:val="ListParagraph"/>
        <w:spacing w:before="120" w:after="120" w:line="288" w:lineRule="auto"/>
        <w:ind w:left="357"/>
        <w:contextualSpacing w:val="0"/>
        <w:jc w:val="both"/>
        <w:rPr>
          <w:rStyle w:val="Emphasis"/>
          <w:rFonts w:ascii="Calibri" w:hAnsi="Calibri" w:cs="Calibri"/>
          <w:i w:val="0"/>
        </w:rPr>
      </w:pPr>
      <w:r w:rsidRPr="00B524B8">
        <w:rPr>
          <w:rStyle w:val="Emphasis"/>
          <w:rFonts w:ascii="Calibri" w:hAnsi="Calibri" w:cs="Calibri"/>
          <w:i w:val="0"/>
        </w:rPr>
        <w:t>Siendo la primera vez que se otorgaba este tipo de beca</w:t>
      </w:r>
      <w:r w:rsidR="00CD7294">
        <w:rPr>
          <w:rStyle w:val="Emphasis"/>
          <w:rFonts w:ascii="Calibri" w:hAnsi="Calibri" w:cs="Calibri"/>
          <w:i w:val="0"/>
        </w:rPr>
        <w:t>s desde CONACYT, tuvo una gran</w:t>
      </w:r>
      <w:r w:rsidRPr="00B524B8">
        <w:rPr>
          <w:rStyle w:val="Emphasis"/>
          <w:rFonts w:ascii="Calibri" w:hAnsi="Calibri" w:cs="Calibri"/>
          <w:i w:val="0"/>
        </w:rPr>
        <w:t xml:space="preserve"> demanda, </w:t>
      </w:r>
      <w:r w:rsidR="00E73E5F">
        <w:rPr>
          <w:rStyle w:val="Emphasis"/>
          <w:rFonts w:ascii="Calibri" w:hAnsi="Calibri" w:cs="Calibri"/>
          <w:i w:val="0"/>
        </w:rPr>
        <w:t xml:space="preserve">especialmente para las becas de corta duración y complementarias en el extranjero, </w:t>
      </w:r>
      <w:r w:rsidRPr="00B524B8">
        <w:rPr>
          <w:rStyle w:val="Emphasis"/>
          <w:rFonts w:ascii="Calibri" w:hAnsi="Calibri" w:cs="Calibri"/>
          <w:i w:val="0"/>
        </w:rPr>
        <w:t>la cual se trató de satisfacer ampliando la cantidad de convocatorias anuales</w:t>
      </w:r>
      <w:r w:rsidR="00CE055F">
        <w:rPr>
          <w:rStyle w:val="Emphasis"/>
          <w:rFonts w:ascii="Calibri" w:hAnsi="Calibri" w:cs="Calibri"/>
          <w:i w:val="0"/>
        </w:rPr>
        <w:t xml:space="preserve"> y de acuerdo con la disponibilidad presupuestaria</w:t>
      </w:r>
      <w:r w:rsidRPr="00B524B8">
        <w:rPr>
          <w:rStyle w:val="Emphasis"/>
          <w:rFonts w:ascii="Calibri" w:hAnsi="Calibri" w:cs="Calibri"/>
          <w:i w:val="0"/>
        </w:rPr>
        <w:t xml:space="preserve">. </w:t>
      </w:r>
      <w:r w:rsidR="0001455F">
        <w:rPr>
          <w:rStyle w:val="Emphasis"/>
          <w:rFonts w:ascii="Calibri" w:hAnsi="Calibri" w:cs="Calibri"/>
          <w:i w:val="0"/>
        </w:rPr>
        <w:t xml:space="preserve">Para las </w:t>
      </w:r>
      <w:r w:rsidR="00CD7294">
        <w:rPr>
          <w:rStyle w:val="Emphasis"/>
          <w:rFonts w:ascii="Calibri" w:hAnsi="Calibri" w:cs="Calibri"/>
          <w:i w:val="0"/>
        </w:rPr>
        <w:t>becas nacionales se realizaron tres</w:t>
      </w:r>
      <w:r w:rsidR="0001455F">
        <w:rPr>
          <w:rStyle w:val="Emphasis"/>
          <w:rFonts w:ascii="Calibri" w:hAnsi="Calibri" w:cs="Calibri"/>
          <w:i w:val="0"/>
        </w:rPr>
        <w:t xml:space="preserve"> convocatorias, y para las becas cortas y com</w:t>
      </w:r>
      <w:r w:rsidR="00CD7294">
        <w:rPr>
          <w:rStyle w:val="Emphasis"/>
          <w:rFonts w:ascii="Calibri" w:hAnsi="Calibri" w:cs="Calibri"/>
          <w:i w:val="0"/>
        </w:rPr>
        <w:t>plementarias en el extranjero</w:t>
      </w:r>
      <w:r w:rsidR="00B80BCF">
        <w:rPr>
          <w:rStyle w:val="Emphasis"/>
          <w:rFonts w:ascii="Calibri" w:hAnsi="Calibri" w:cs="Calibri"/>
          <w:i w:val="0"/>
        </w:rPr>
        <w:t>, siete</w:t>
      </w:r>
      <w:r w:rsidR="00CD7294">
        <w:rPr>
          <w:rStyle w:val="Emphasis"/>
          <w:rFonts w:ascii="Calibri" w:hAnsi="Calibri" w:cs="Calibri"/>
          <w:i w:val="0"/>
        </w:rPr>
        <w:t xml:space="preserve"> </w:t>
      </w:r>
      <w:r w:rsidR="0001455F">
        <w:rPr>
          <w:rStyle w:val="Emphasis"/>
          <w:rFonts w:ascii="Calibri" w:hAnsi="Calibri" w:cs="Calibri"/>
          <w:i w:val="0"/>
        </w:rPr>
        <w:t>convocatorias</w:t>
      </w:r>
      <w:r w:rsidRPr="00B524B8">
        <w:rPr>
          <w:rStyle w:val="Emphasis"/>
          <w:rFonts w:ascii="Calibri" w:hAnsi="Calibri" w:cs="Calibri"/>
          <w:i w:val="0"/>
        </w:rPr>
        <w:t>.</w:t>
      </w:r>
    </w:p>
    <w:p w:rsidR="007C2F1E" w:rsidRDefault="006F1343" w:rsidP="007C2F1E">
      <w:pPr>
        <w:pStyle w:val="ListParagraph"/>
        <w:spacing w:after="200" w:line="276" w:lineRule="auto"/>
        <w:ind w:left="360"/>
        <w:jc w:val="center"/>
        <w:rPr>
          <w:rFonts w:ascii="Calibri" w:hAnsi="Calibri" w:cs="Calibri"/>
          <w:b/>
        </w:rPr>
      </w:pPr>
      <w:r>
        <w:rPr>
          <w:rFonts w:ascii="Calibri" w:hAnsi="Calibri" w:cs="Calibri"/>
          <w:b/>
        </w:rPr>
        <w:t>Gráfico 5.28</w:t>
      </w:r>
      <w:r w:rsidR="00E73E5F">
        <w:rPr>
          <w:rFonts w:ascii="Calibri" w:hAnsi="Calibri" w:cs="Calibri"/>
          <w:b/>
        </w:rPr>
        <w:t>.</w:t>
      </w:r>
      <w:r w:rsidR="007C2F1E" w:rsidRPr="00E93698">
        <w:rPr>
          <w:rFonts w:ascii="Calibri" w:hAnsi="Calibri" w:cs="Calibri"/>
          <w:b/>
        </w:rPr>
        <w:t xml:space="preserve"> Análisis de demanda del subcomponente de Becas</w:t>
      </w:r>
      <w:r w:rsidR="00E73E5F">
        <w:rPr>
          <w:rFonts w:ascii="Calibri" w:hAnsi="Calibri" w:cs="Calibri"/>
          <w:b/>
        </w:rPr>
        <w:t xml:space="preserve"> nacionales</w:t>
      </w:r>
    </w:p>
    <w:p w:rsidR="00E73E5F" w:rsidRDefault="00E73E5F" w:rsidP="007C2F1E">
      <w:pPr>
        <w:pStyle w:val="ListParagraph"/>
        <w:spacing w:after="200" w:line="276" w:lineRule="auto"/>
        <w:ind w:left="360"/>
        <w:jc w:val="center"/>
        <w:rPr>
          <w:rFonts w:ascii="Calibri" w:hAnsi="Calibri" w:cs="Calibri"/>
          <w:noProof/>
          <w:color w:val="FF0000"/>
          <w:lang w:val="es-AR" w:eastAsia="es-AR"/>
        </w:rPr>
      </w:pPr>
      <w:r>
        <w:rPr>
          <w:rFonts w:ascii="Calibri" w:hAnsi="Calibri" w:cs="Calibri"/>
          <w:noProof/>
          <w:color w:val="FF0000"/>
          <w:lang w:val="es-ES_tradnl" w:eastAsia="es-ES_tradnl"/>
        </w:rPr>
        <w:lastRenderedPageBreak/>
        <w:drawing>
          <wp:inline distT="0" distB="0" distL="0" distR="0" wp14:anchorId="41FDFE87" wp14:editId="0464490A">
            <wp:extent cx="4126003" cy="2480173"/>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7278" cy="2498973"/>
                    </a:xfrm>
                    <a:prstGeom prst="rect">
                      <a:avLst/>
                    </a:prstGeom>
                    <a:noFill/>
                  </pic:spPr>
                </pic:pic>
              </a:graphicData>
            </a:graphic>
          </wp:inline>
        </w:drawing>
      </w:r>
    </w:p>
    <w:p w:rsidR="007C2F1E" w:rsidRPr="00B524B8" w:rsidRDefault="007C2F1E" w:rsidP="00FC352D">
      <w:pPr>
        <w:pStyle w:val="ListParagraph"/>
        <w:spacing w:after="200" w:line="276" w:lineRule="auto"/>
        <w:ind w:left="360"/>
        <w:jc w:val="center"/>
        <w:rPr>
          <w:rFonts w:ascii="Calibri" w:hAnsi="Calibri" w:cs="Calibri"/>
          <w:iCs/>
          <w:color w:val="FF0000"/>
        </w:rPr>
      </w:pPr>
      <w:r w:rsidRPr="00B524B8">
        <w:rPr>
          <w:rFonts w:ascii="Calibri" w:hAnsi="Calibri" w:cs="Calibri"/>
          <w:sz w:val="18"/>
          <w:szCs w:val="18"/>
        </w:rPr>
        <w:t>Fuente: Innovos Group en bas</w:t>
      </w:r>
      <w:r w:rsidR="00FC352D">
        <w:rPr>
          <w:rFonts w:ascii="Calibri" w:hAnsi="Calibri" w:cs="Calibri"/>
          <w:sz w:val="18"/>
          <w:szCs w:val="18"/>
        </w:rPr>
        <w:t>e a datos provistos por CONACYT</w:t>
      </w:r>
    </w:p>
    <w:p w:rsidR="007C2F1E" w:rsidRDefault="007C2F1E" w:rsidP="007C2F1E">
      <w:pPr>
        <w:pStyle w:val="ListParagraph"/>
        <w:spacing w:after="200" w:line="276" w:lineRule="auto"/>
        <w:ind w:left="360"/>
        <w:jc w:val="both"/>
        <w:rPr>
          <w:rStyle w:val="Emphasis"/>
          <w:rFonts w:ascii="Calibri" w:hAnsi="Calibri" w:cs="Calibri"/>
          <w:i w:val="0"/>
          <w:color w:val="FF0000"/>
          <w:lang w:val="es-AR"/>
        </w:rPr>
      </w:pPr>
    </w:p>
    <w:p w:rsidR="00E73E5F" w:rsidRDefault="006F1343" w:rsidP="00E73E5F">
      <w:pPr>
        <w:pStyle w:val="ListParagraph"/>
        <w:spacing w:after="200" w:line="276" w:lineRule="auto"/>
        <w:ind w:left="360"/>
        <w:jc w:val="center"/>
        <w:rPr>
          <w:rFonts w:ascii="Calibri" w:hAnsi="Calibri" w:cs="Calibri"/>
          <w:b/>
        </w:rPr>
      </w:pPr>
      <w:r>
        <w:rPr>
          <w:rFonts w:ascii="Calibri" w:hAnsi="Calibri" w:cs="Calibri"/>
          <w:b/>
        </w:rPr>
        <w:t>Gráfico 5.29</w:t>
      </w:r>
      <w:r w:rsidR="00E73E5F">
        <w:rPr>
          <w:rFonts w:ascii="Calibri" w:hAnsi="Calibri" w:cs="Calibri"/>
          <w:b/>
        </w:rPr>
        <w:t>.</w:t>
      </w:r>
      <w:r w:rsidR="00E73E5F" w:rsidRPr="00E93698">
        <w:rPr>
          <w:rFonts w:ascii="Calibri" w:hAnsi="Calibri" w:cs="Calibri"/>
          <w:b/>
        </w:rPr>
        <w:t xml:space="preserve"> Análisis de demanda del subcomponente de Becas</w:t>
      </w:r>
      <w:r w:rsidR="00E73E5F">
        <w:rPr>
          <w:rFonts w:ascii="Calibri" w:hAnsi="Calibri" w:cs="Calibri"/>
          <w:b/>
        </w:rPr>
        <w:t xml:space="preserve"> de corta duración y complementarias en el extranjero</w:t>
      </w:r>
    </w:p>
    <w:p w:rsidR="00E73E5F" w:rsidRPr="00E73E5F" w:rsidRDefault="00E73E5F" w:rsidP="00FC352D">
      <w:pPr>
        <w:pStyle w:val="ListParagraph"/>
        <w:spacing w:line="276" w:lineRule="auto"/>
        <w:ind w:left="360"/>
        <w:jc w:val="center"/>
        <w:rPr>
          <w:rStyle w:val="Emphasis"/>
          <w:rFonts w:ascii="Calibri" w:hAnsi="Calibri" w:cs="Calibri"/>
          <w:i w:val="0"/>
          <w:color w:val="FF0000"/>
        </w:rPr>
      </w:pPr>
      <w:r>
        <w:rPr>
          <w:rStyle w:val="Emphasis"/>
          <w:rFonts w:ascii="Calibri" w:hAnsi="Calibri" w:cs="Calibri"/>
          <w:i w:val="0"/>
          <w:noProof/>
          <w:color w:val="FF0000"/>
          <w:lang w:val="es-ES_tradnl" w:eastAsia="es-ES_tradnl"/>
        </w:rPr>
        <w:drawing>
          <wp:inline distT="0" distB="0" distL="0" distR="0" wp14:anchorId="37B2AF8A" wp14:editId="5D0514E7">
            <wp:extent cx="4584700" cy="2755900"/>
            <wp:effectExtent l="0" t="0" r="635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5734DE" w:rsidRPr="007C2F1E" w:rsidRDefault="00E73E5F" w:rsidP="00FC352D">
      <w:pPr>
        <w:jc w:val="center"/>
        <w:rPr>
          <w:lang w:val="es-AR" w:eastAsia="en-US"/>
        </w:rPr>
      </w:pPr>
      <w:r w:rsidRPr="00B524B8">
        <w:rPr>
          <w:rFonts w:ascii="Calibri" w:hAnsi="Calibri" w:cs="Calibri"/>
          <w:sz w:val="18"/>
          <w:szCs w:val="18"/>
        </w:rPr>
        <w:t>Fuente: Innovos Group en base a datos provistos por CONACYT</w:t>
      </w:r>
    </w:p>
    <w:p w:rsidR="007C2F1E" w:rsidRDefault="007C2F1E" w:rsidP="005734DE">
      <w:pPr>
        <w:rPr>
          <w:lang w:val="es-ES_tradnl" w:eastAsia="en-US"/>
        </w:rPr>
      </w:pPr>
    </w:p>
    <w:p w:rsidR="00E73E5F" w:rsidRPr="0001455F" w:rsidRDefault="00D02FFC" w:rsidP="0001455F">
      <w:pPr>
        <w:spacing w:after="200" w:line="276" w:lineRule="auto"/>
        <w:jc w:val="both"/>
        <w:rPr>
          <w:rFonts w:asciiTheme="minorHAnsi" w:hAnsiTheme="minorHAnsi" w:cstheme="minorHAnsi"/>
          <w:lang w:val="es-ES_tradnl" w:eastAsia="en-US"/>
        </w:rPr>
      </w:pPr>
      <w:r w:rsidRPr="0001455F">
        <w:rPr>
          <w:rFonts w:asciiTheme="minorHAnsi" w:hAnsiTheme="minorHAnsi" w:cstheme="minorHAnsi"/>
          <w:lang w:val="es-ES_tradnl" w:eastAsia="en-US"/>
        </w:rPr>
        <w:t>Podemos analizar también las becas otorgadas por área de conocimiento, lo cual presenta una distribución como se observa en los gráficos a continuación.</w:t>
      </w:r>
    </w:p>
    <w:p w:rsidR="001860F3" w:rsidRDefault="001860F3" w:rsidP="005A2072">
      <w:pPr>
        <w:jc w:val="center"/>
        <w:rPr>
          <w:rFonts w:ascii="Calibri" w:hAnsi="Calibri" w:cs="Calibri"/>
          <w:b/>
        </w:rPr>
      </w:pPr>
    </w:p>
    <w:p w:rsidR="001860F3" w:rsidRDefault="001860F3" w:rsidP="005A2072">
      <w:pPr>
        <w:jc w:val="center"/>
        <w:rPr>
          <w:rFonts w:ascii="Calibri" w:hAnsi="Calibri" w:cs="Calibri"/>
          <w:b/>
        </w:rPr>
      </w:pPr>
    </w:p>
    <w:p w:rsidR="001860F3" w:rsidRDefault="001860F3" w:rsidP="005A2072">
      <w:pPr>
        <w:jc w:val="center"/>
        <w:rPr>
          <w:rFonts w:ascii="Calibri" w:hAnsi="Calibri" w:cs="Calibri"/>
          <w:b/>
        </w:rPr>
      </w:pPr>
    </w:p>
    <w:p w:rsidR="001860F3" w:rsidRDefault="001860F3" w:rsidP="005A2072">
      <w:pPr>
        <w:jc w:val="center"/>
        <w:rPr>
          <w:rFonts w:ascii="Calibri" w:hAnsi="Calibri" w:cs="Calibri"/>
          <w:b/>
        </w:rPr>
      </w:pPr>
    </w:p>
    <w:p w:rsidR="001860F3" w:rsidRDefault="001860F3" w:rsidP="005A2072">
      <w:pPr>
        <w:jc w:val="center"/>
        <w:rPr>
          <w:rFonts w:ascii="Calibri" w:hAnsi="Calibri" w:cs="Calibri"/>
          <w:b/>
        </w:rPr>
      </w:pPr>
    </w:p>
    <w:p w:rsidR="0024344C" w:rsidRDefault="001860F3" w:rsidP="005A2072">
      <w:pPr>
        <w:jc w:val="center"/>
        <w:rPr>
          <w:rFonts w:ascii="Calibri" w:hAnsi="Calibri" w:cs="Calibri"/>
          <w:b/>
        </w:rPr>
      </w:pPr>
      <w:r>
        <w:rPr>
          <w:rFonts w:ascii="Calibri" w:hAnsi="Calibri" w:cs="Calibri"/>
          <w:b/>
        </w:rPr>
        <w:lastRenderedPageBreak/>
        <w:br/>
      </w:r>
      <w:r w:rsidR="006F1343">
        <w:rPr>
          <w:rFonts w:ascii="Calibri" w:hAnsi="Calibri" w:cs="Calibri"/>
          <w:b/>
        </w:rPr>
        <w:t>Gráfico 5.30</w:t>
      </w:r>
      <w:r w:rsidR="0024344C">
        <w:rPr>
          <w:rFonts w:ascii="Calibri" w:hAnsi="Calibri" w:cs="Calibri"/>
          <w:b/>
        </w:rPr>
        <w:t>.</w:t>
      </w:r>
      <w:r w:rsidR="0024344C" w:rsidRPr="00E93698">
        <w:rPr>
          <w:rFonts w:ascii="Calibri" w:hAnsi="Calibri" w:cs="Calibri"/>
          <w:b/>
        </w:rPr>
        <w:t xml:space="preserve"> Becas</w:t>
      </w:r>
      <w:r w:rsidR="0024344C">
        <w:rPr>
          <w:rFonts w:ascii="Calibri" w:hAnsi="Calibri" w:cs="Calibri"/>
          <w:b/>
        </w:rPr>
        <w:t xml:space="preserve"> nacionales según área de conocimiento</w:t>
      </w:r>
    </w:p>
    <w:p w:rsidR="00980C10" w:rsidRDefault="00980C10" w:rsidP="00FC352D">
      <w:pPr>
        <w:pStyle w:val="ListParagraph"/>
        <w:spacing w:line="276" w:lineRule="auto"/>
        <w:ind w:left="0"/>
        <w:jc w:val="center"/>
        <w:rPr>
          <w:rFonts w:ascii="Calibri" w:hAnsi="Calibri" w:cs="Calibri"/>
          <w:sz w:val="18"/>
          <w:szCs w:val="18"/>
        </w:rPr>
      </w:pPr>
      <w:r>
        <w:rPr>
          <w:rFonts w:ascii="Calibri" w:hAnsi="Calibri" w:cs="Calibri"/>
          <w:b/>
          <w:noProof/>
          <w:lang w:val="es-ES_tradnl" w:eastAsia="es-ES_tradnl"/>
        </w:rPr>
        <w:drawing>
          <wp:inline distT="0" distB="0" distL="0" distR="0" wp14:anchorId="26FFBE9B" wp14:editId="3C400E3C">
            <wp:extent cx="4010025" cy="2410458"/>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28273" cy="2421427"/>
                    </a:xfrm>
                    <a:prstGeom prst="rect">
                      <a:avLst/>
                    </a:prstGeom>
                    <a:noFill/>
                  </pic:spPr>
                </pic:pic>
              </a:graphicData>
            </a:graphic>
          </wp:inline>
        </w:drawing>
      </w:r>
    </w:p>
    <w:p w:rsidR="00D02FFC" w:rsidRPr="00FC352D" w:rsidRDefault="0024344C" w:rsidP="00FC352D">
      <w:pPr>
        <w:spacing w:line="276" w:lineRule="auto"/>
        <w:jc w:val="center"/>
        <w:rPr>
          <w:rFonts w:ascii="Calibri" w:hAnsi="Calibri" w:cs="Calibri"/>
          <w:b/>
        </w:rPr>
      </w:pPr>
      <w:r w:rsidRPr="00FC352D">
        <w:rPr>
          <w:rFonts w:ascii="Calibri" w:hAnsi="Calibri" w:cs="Calibri"/>
          <w:sz w:val="18"/>
          <w:szCs w:val="18"/>
        </w:rPr>
        <w:t>Fuente: Innovos Group en base a datos provistos por CONACYT</w:t>
      </w:r>
    </w:p>
    <w:p w:rsidR="00980C10" w:rsidRDefault="00980C10" w:rsidP="0024344C">
      <w:pPr>
        <w:pStyle w:val="ListParagraph"/>
        <w:spacing w:after="200" w:line="276" w:lineRule="auto"/>
        <w:ind w:left="360"/>
        <w:jc w:val="center"/>
        <w:rPr>
          <w:rFonts w:ascii="Calibri" w:hAnsi="Calibri" w:cs="Calibri"/>
          <w:b/>
        </w:rPr>
      </w:pPr>
    </w:p>
    <w:p w:rsidR="005A2072" w:rsidRDefault="005A2072" w:rsidP="0024344C">
      <w:pPr>
        <w:pStyle w:val="ListParagraph"/>
        <w:spacing w:after="200" w:line="276" w:lineRule="auto"/>
        <w:ind w:left="360"/>
        <w:jc w:val="center"/>
        <w:rPr>
          <w:rFonts w:ascii="Calibri" w:hAnsi="Calibri" w:cs="Calibri"/>
          <w:b/>
        </w:rPr>
      </w:pPr>
    </w:p>
    <w:p w:rsidR="005A2072" w:rsidRDefault="005A2072" w:rsidP="0024344C">
      <w:pPr>
        <w:pStyle w:val="ListParagraph"/>
        <w:spacing w:after="200" w:line="276" w:lineRule="auto"/>
        <w:ind w:left="360"/>
        <w:jc w:val="center"/>
        <w:rPr>
          <w:rFonts w:ascii="Calibri" w:hAnsi="Calibri" w:cs="Calibri"/>
          <w:b/>
        </w:rPr>
      </w:pPr>
    </w:p>
    <w:p w:rsidR="005A2072" w:rsidRDefault="005A2072" w:rsidP="0024344C">
      <w:pPr>
        <w:pStyle w:val="ListParagraph"/>
        <w:spacing w:after="200" w:line="276" w:lineRule="auto"/>
        <w:ind w:left="360"/>
        <w:jc w:val="center"/>
        <w:rPr>
          <w:rFonts w:ascii="Calibri" w:hAnsi="Calibri" w:cs="Calibri"/>
          <w:b/>
        </w:rPr>
      </w:pPr>
    </w:p>
    <w:p w:rsidR="0024344C" w:rsidRDefault="006F1343" w:rsidP="0024344C">
      <w:pPr>
        <w:pStyle w:val="ListParagraph"/>
        <w:spacing w:after="200" w:line="276" w:lineRule="auto"/>
        <w:ind w:left="360"/>
        <w:jc w:val="center"/>
        <w:rPr>
          <w:rFonts w:ascii="Calibri" w:hAnsi="Calibri" w:cs="Calibri"/>
          <w:b/>
        </w:rPr>
      </w:pPr>
      <w:r>
        <w:rPr>
          <w:rFonts w:ascii="Calibri" w:hAnsi="Calibri" w:cs="Calibri"/>
          <w:b/>
        </w:rPr>
        <w:t>Gráfico 5.31</w:t>
      </w:r>
      <w:r w:rsidR="0024344C">
        <w:rPr>
          <w:rFonts w:ascii="Calibri" w:hAnsi="Calibri" w:cs="Calibri"/>
          <w:b/>
        </w:rPr>
        <w:t>.</w:t>
      </w:r>
      <w:r w:rsidR="0024344C" w:rsidRPr="00E93698">
        <w:rPr>
          <w:rFonts w:ascii="Calibri" w:hAnsi="Calibri" w:cs="Calibri"/>
          <w:b/>
        </w:rPr>
        <w:t xml:space="preserve"> Becas</w:t>
      </w:r>
      <w:r w:rsidR="0024344C">
        <w:rPr>
          <w:rFonts w:ascii="Calibri" w:hAnsi="Calibri" w:cs="Calibri"/>
          <w:b/>
        </w:rPr>
        <w:t xml:space="preserve"> cortas y complementarias en el extranjero según área de conocimiento</w:t>
      </w:r>
    </w:p>
    <w:p w:rsidR="00980C10" w:rsidRDefault="00980C10" w:rsidP="00FC352D">
      <w:pPr>
        <w:spacing w:line="276" w:lineRule="auto"/>
        <w:jc w:val="center"/>
        <w:rPr>
          <w:rFonts w:asciiTheme="minorHAnsi" w:hAnsiTheme="minorHAnsi" w:cstheme="minorHAnsi"/>
          <w:lang w:eastAsia="en-US"/>
        </w:rPr>
      </w:pPr>
      <w:r>
        <w:rPr>
          <w:rFonts w:asciiTheme="minorHAnsi" w:hAnsiTheme="minorHAnsi" w:cstheme="minorHAnsi"/>
          <w:noProof/>
          <w:lang w:val="es-ES_tradnl" w:eastAsia="es-ES_tradnl"/>
        </w:rPr>
        <w:drawing>
          <wp:inline distT="0" distB="0" distL="0" distR="0" wp14:anchorId="006EEA0B" wp14:editId="3A155E18">
            <wp:extent cx="3965575" cy="2383739"/>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69825" cy="2386294"/>
                    </a:xfrm>
                    <a:prstGeom prst="rect">
                      <a:avLst/>
                    </a:prstGeom>
                    <a:noFill/>
                  </pic:spPr>
                </pic:pic>
              </a:graphicData>
            </a:graphic>
          </wp:inline>
        </w:drawing>
      </w:r>
    </w:p>
    <w:p w:rsidR="0024344C" w:rsidRPr="0024344C" w:rsidRDefault="0024344C" w:rsidP="00FC352D">
      <w:pPr>
        <w:spacing w:line="276" w:lineRule="auto"/>
        <w:jc w:val="center"/>
        <w:rPr>
          <w:rFonts w:asciiTheme="minorHAnsi" w:hAnsiTheme="minorHAnsi" w:cstheme="minorHAnsi"/>
          <w:lang w:eastAsia="en-US"/>
        </w:rPr>
      </w:pPr>
      <w:r w:rsidRPr="00B524B8">
        <w:rPr>
          <w:rFonts w:ascii="Calibri" w:hAnsi="Calibri" w:cs="Calibri"/>
          <w:sz w:val="18"/>
          <w:szCs w:val="18"/>
        </w:rPr>
        <w:t>Fuente: Innovos Group en base a datos provistos por CONACYT</w:t>
      </w:r>
    </w:p>
    <w:p w:rsidR="00D02FFC" w:rsidRPr="0001455F" w:rsidRDefault="00D339A6" w:rsidP="0001455F">
      <w:pPr>
        <w:spacing w:after="200" w:line="276" w:lineRule="auto"/>
        <w:jc w:val="both"/>
        <w:rPr>
          <w:rFonts w:asciiTheme="minorHAnsi" w:hAnsiTheme="minorHAnsi" w:cstheme="minorHAnsi"/>
          <w:lang w:val="es-ES_tradnl" w:eastAsia="en-US"/>
        </w:rPr>
      </w:pPr>
      <w:r>
        <w:rPr>
          <w:rFonts w:asciiTheme="minorHAnsi" w:hAnsiTheme="minorHAnsi" w:cstheme="minorHAnsi"/>
          <w:lang w:val="es-ES_tradnl" w:eastAsia="en-US"/>
        </w:rPr>
        <w:t xml:space="preserve">Como se observa en el </w:t>
      </w:r>
      <w:r w:rsidR="006F1343">
        <w:rPr>
          <w:rFonts w:asciiTheme="minorHAnsi" w:hAnsiTheme="minorHAnsi" w:cstheme="minorHAnsi"/>
          <w:lang w:val="es-ES_tradnl" w:eastAsia="en-US"/>
        </w:rPr>
        <w:t>Gráfico 5.30</w:t>
      </w:r>
      <w:r>
        <w:rPr>
          <w:rFonts w:asciiTheme="minorHAnsi" w:hAnsiTheme="minorHAnsi" w:cstheme="minorHAnsi"/>
          <w:lang w:val="es-ES_tradnl" w:eastAsia="en-US"/>
        </w:rPr>
        <w:t xml:space="preserve"> p</w:t>
      </w:r>
      <w:r w:rsidR="00D02FFC" w:rsidRPr="0001455F">
        <w:rPr>
          <w:rFonts w:asciiTheme="minorHAnsi" w:hAnsiTheme="minorHAnsi" w:cstheme="minorHAnsi"/>
          <w:lang w:val="es-ES_tradnl" w:eastAsia="en-US"/>
        </w:rPr>
        <w:t>ara el caso de las be</w:t>
      </w:r>
      <w:r>
        <w:rPr>
          <w:rFonts w:asciiTheme="minorHAnsi" w:hAnsiTheme="minorHAnsi" w:cstheme="minorHAnsi"/>
          <w:lang w:val="es-ES_tradnl" w:eastAsia="en-US"/>
        </w:rPr>
        <w:t xml:space="preserve">cas nacionales, </w:t>
      </w:r>
      <w:r w:rsidR="006A6F11">
        <w:rPr>
          <w:rFonts w:asciiTheme="minorHAnsi" w:hAnsiTheme="minorHAnsi" w:cstheme="minorHAnsi"/>
          <w:lang w:val="es-ES_tradnl" w:eastAsia="en-US"/>
        </w:rPr>
        <w:t>las áreas de Ciencias Médicas y de la Salud, e Ingeniería y Tecnología concentran el mayor número de becarios (65%), siguiendo luego Ciencias Naturales con un 26%. Finalmente, Ciencias Agrícolas con un 9%; no habiendo becarios en el área de Ciencias Sociales y Humanidades.</w:t>
      </w:r>
    </w:p>
    <w:p w:rsidR="006A6F11" w:rsidRPr="0001455F" w:rsidRDefault="00D339A6" w:rsidP="006A6F11">
      <w:pPr>
        <w:spacing w:after="200" w:line="276" w:lineRule="auto"/>
        <w:jc w:val="both"/>
        <w:rPr>
          <w:rFonts w:asciiTheme="minorHAnsi" w:hAnsiTheme="minorHAnsi" w:cstheme="minorHAnsi"/>
          <w:lang w:val="es-ES_tradnl" w:eastAsia="en-US"/>
        </w:rPr>
      </w:pPr>
      <w:r>
        <w:rPr>
          <w:rFonts w:asciiTheme="minorHAnsi" w:hAnsiTheme="minorHAnsi" w:cstheme="minorHAnsi"/>
          <w:lang w:val="es-ES_tradnl" w:eastAsia="en-US"/>
        </w:rPr>
        <w:lastRenderedPageBreak/>
        <w:t>En el caso de las becas cortas y complementarias en el extranjero, la distribución de las mismas por área de conocimiento</w:t>
      </w:r>
      <w:r w:rsidR="006A6F11">
        <w:rPr>
          <w:rFonts w:asciiTheme="minorHAnsi" w:hAnsiTheme="minorHAnsi" w:cstheme="minorHAnsi"/>
          <w:lang w:val="es-ES_tradnl" w:eastAsia="en-US"/>
        </w:rPr>
        <w:t xml:space="preserve"> es algo diferente:</w:t>
      </w:r>
      <w:r>
        <w:rPr>
          <w:rFonts w:asciiTheme="minorHAnsi" w:hAnsiTheme="minorHAnsi" w:cstheme="minorHAnsi"/>
          <w:lang w:val="es-ES_tradnl" w:eastAsia="en-US"/>
        </w:rPr>
        <w:t xml:space="preserve"> </w:t>
      </w:r>
      <w:r w:rsidR="006A6F11">
        <w:rPr>
          <w:rFonts w:asciiTheme="minorHAnsi" w:hAnsiTheme="minorHAnsi" w:cstheme="minorHAnsi"/>
          <w:lang w:val="es-ES_tradnl" w:eastAsia="en-US"/>
        </w:rPr>
        <w:t>Ciencias Médicas y de la Salud, y Ciencias Naturales son las áreas del conocimiento que más becarios han tenido (62%), mientras que Ingeniería y Tecnología se ubica en tercer lugar con el 17% de los becarios. Luego le sigue Ciencias Agrícolas con el 13%, y finalmente Ciencias Sociales y Humanidades co</w:t>
      </w:r>
      <w:r w:rsidR="005F7966">
        <w:rPr>
          <w:rFonts w:asciiTheme="minorHAnsi" w:hAnsiTheme="minorHAnsi" w:cstheme="minorHAnsi"/>
          <w:lang w:val="es-ES_tradnl" w:eastAsia="en-US"/>
        </w:rPr>
        <w:t>n el 8% (Gráfico 5.31</w:t>
      </w:r>
      <w:r w:rsidR="006A6F11">
        <w:rPr>
          <w:rFonts w:asciiTheme="minorHAnsi" w:hAnsiTheme="minorHAnsi" w:cstheme="minorHAnsi"/>
          <w:lang w:val="es-ES_tradnl" w:eastAsia="en-US"/>
        </w:rPr>
        <w:t>).</w:t>
      </w:r>
    </w:p>
    <w:p w:rsidR="00E73E5F" w:rsidRPr="0001455F" w:rsidRDefault="00E73E5F" w:rsidP="0001455F">
      <w:pPr>
        <w:spacing w:after="200" w:line="276" w:lineRule="auto"/>
        <w:jc w:val="both"/>
        <w:rPr>
          <w:rFonts w:asciiTheme="minorHAnsi" w:hAnsiTheme="minorHAnsi" w:cstheme="minorHAnsi"/>
          <w:lang w:val="es-ES_tradnl" w:eastAsia="en-US"/>
        </w:rPr>
      </w:pPr>
      <w:r w:rsidRPr="0001455F">
        <w:rPr>
          <w:rFonts w:asciiTheme="minorHAnsi" w:hAnsiTheme="minorHAnsi" w:cstheme="minorHAnsi"/>
          <w:lang w:val="es-ES_tradnl" w:eastAsia="en-US"/>
        </w:rPr>
        <w:t xml:space="preserve">Respecto de los montos financiados, </w:t>
      </w:r>
      <w:r w:rsidR="00D02FFC" w:rsidRPr="0001455F">
        <w:rPr>
          <w:rFonts w:asciiTheme="minorHAnsi" w:hAnsiTheme="minorHAnsi" w:cstheme="minorHAnsi"/>
          <w:lang w:val="es-ES_tradnl" w:eastAsia="en-US"/>
        </w:rPr>
        <w:t xml:space="preserve">el monto total aprobado para becas nacionales fue de 878.400 dólares estadounidenses, mientras que para las becas cortas y complementarias, este monto asciende a </w:t>
      </w:r>
      <w:r w:rsidR="00794216">
        <w:rPr>
          <w:rFonts w:asciiTheme="minorHAnsi" w:hAnsiTheme="minorHAnsi" w:cstheme="minorHAnsi"/>
          <w:lang w:val="es-ES_tradnl" w:eastAsia="en-US"/>
        </w:rPr>
        <w:t>597.222 dólares estadounidenses.</w:t>
      </w:r>
    </w:p>
    <w:p w:rsidR="005D233E" w:rsidRPr="00B524B8" w:rsidRDefault="005D233E" w:rsidP="005D233E">
      <w:pPr>
        <w:spacing w:before="120" w:after="120" w:line="288" w:lineRule="auto"/>
        <w:jc w:val="both"/>
        <w:rPr>
          <w:rStyle w:val="Emphasis"/>
          <w:rFonts w:ascii="Calibri" w:hAnsi="Calibri" w:cs="Calibri"/>
          <w:i w:val="0"/>
        </w:rPr>
      </w:pPr>
      <w:r w:rsidRPr="00B524B8">
        <w:rPr>
          <w:rStyle w:val="Emphasis"/>
          <w:rFonts w:ascii="Calibri" w:hAnsi="Calibri" w:cs="Calibri"/>
          <w:i w:val="0"/>
        </w:rPr>
        <w:t>En general, se trató de satisfacer la alta demanda que tuvo este subcomponente. Al tratarse de una iniciativa que se desarrollaba por primera vez en Paraguay, se postularon desde los docentes e investigadores con una larga trayectoria, hasta los jóvenes recientemente graduados que estaban iniciando su carrera académica.</w:t>
      </w:r>
    </w:p>
    <w:p w:rsidR="00E73E5F" w:rsidRPr="00DA4676" w:rsidRDefault="005D233E" w:rsidP="00DA4676">
      <w:pPr>
        <w:spacing w:before="120" w:after="120" w:line="288" w:lineRule="auto"/>
        <w:jc w:val="both"/>
        <w:rPr>
          <w:rFonts w:ascii="Calibri" w:hAnsi="Calibri" w:cs="Calibri"/>
          <w:iCs/>
        </w:rPr>
      </w:pPr>
      <w:r w:rsidRPr="00B524B8">
        <w:rPr>
          <w:rStyle w:val="Emphasis"/>
          <w:rFonts w:ascii="Calibri" w:hAnsi="Calibri" w:cs="Calibri"/>
          <w:i w:val="0"/>
        </w:rPr>
        <w:t xml:space="preserve">Esta situación implicó que los jóvenes graduados fueran los menos favorecidos en el caso de las becas cortas y de apoyo complementario en el extranjero, mientras que por el requisito de edad máxima, los beneficiarios de las becas para postgrados nacionales fueran en su mayoría </w:t>
      </w:r>
      <w:r w:rsidR="00DA4676">
        <w:rPr>
          <w:rStyle w:val="Emphasis"/>
          <w:rFonts w:ascii="Calibri" w:hAnsi="Calibri" w:cs="Calibri"/>
          <w:i w:val="0"/>
        </w:rPr>
        <w:t>jóvenes de reciente graduación.</w:t>
      </w:r>
    </w:p>
    <w:p w:rsidR="005734DE" w:rsidRDefault="005734DE" w:rsidP="002D7EE9">
      <w:pPr>
        <w:pStyle w:val="Heading3"/>
        <w:numPr>
          <w:ilvl w:val="2"/>
          <w:numId w:val="4"/>
        </w:numPr>
        <w:rPr>
          <w:rStyle w:val="Emphasis"/>
          <w:rFonts w:cs="Calibri"/>
          <w:i/>
        </w:rPr>
      </w:pPr>
      <w:bookmarkStart w:id="220" w:name="_Toc375211990"/>
      <w:r>
        <w:rPr>
          <w:rStyle w:val="Emphasis"/>
          <w:rFonts w:cs="Calibri"/>
          <w:i/>
        </w:rPr>
        <w:t>Resultados</w:t>
      </w:r>
      <w:bookmarkEnd w:id="220"/>
    </w:p>
    <w:p w:rsidR="006B4691" w:rsidRPr="00590801" w:rsidRDefault="006B4691" w:rsidP="006B4691">
      <w:pPr>
        <w:pStyle w:val="ListParagraph"/>
        <w:spacing w:before="120" w:after="120" w:line="288" w:lineRule="auto"/>
        <w:ind w:left="0"/>
        <w:contextualSpacing w:val="0"/>
        <w:jc w:val="both"/>
        <w:rPr>
          <w:rStyle w:val="Emphasis"/>
          <w:rFonts w:ascii="Calibri" w:hAnsi="Calibri" w:cs="Calibri"/>
          <w:i w:val="0"/>
        </w:rPr>
      </w:pPr>
      <w:r w:rsidRPr="005D233E">
        <w:rPr>
          <w:rStyle w:val="Emphasis"/>
          <w:rFonts w:ascii="Calibri" w:hAnsi="Calibri" w:cs="Calibri"/>
          <w:i w:val="0"/>
        </w:rPr>
        <w:t>Valoraremos a continuación los principales resultados del programa, teniendo en cuenta los cinco criterios guía definidas en el marco conceptual para la evaluación de políticas públicas: relevancia, eficacia, eficiencia, efectos e impacto, y sostenibilidad.</w:t>
      </w:r>
    </w:p>
    <w:p w:rsidR="006B4691" w:rsidRPr="005D233E" w:rsidRDefault="005D233E" w:rsidP="005D233E">
      <w:pPr>
        <w:pStyle w:val="ListParagraph"/>
        <w:spacing w:before="120" w:after="120" w:line="288" w:lineRule="auto"/>
        <w:ind w:left="0"/>
        <w:contextualSpacing w:val="0"/>
        <w:jc w:val="both"/>
        <w:rPr>
          <w:rStyle w:val="Emphasis"/>
          <w:rFonts w:ascii="Calibri" w:hAnsi="Calibri" w:cs="Calibri"/>
          <w:b/>
          <w:i w:val="0"/>
        </w:rPr>
      </w:pPr>
      <w:r w:rsidRPr="005D233E">
        <w:rPr>
          <w:rStyle w:val="Emphasis"/>
          <w:rFonts w:ascii="Calibri" w:hAnsi="Calibri" w:cs="Calibri"/>
          <w:b/>
          <w:i w:val="0"/>
        </w:rPr>
        <w:t>Respecto de la relevancia</w:t>
      </w:r>
    </w:p>
    <w:p w:rsidR="005D233E" w:rsidRPr="00B524B8" w:rsidRDefault="005D233E" w:rsidP="005D233E">
      <w:pPr>
        <w:spacing w:before="120" w:after="120" w:line="288" w:lineRule="auto"/>
        <w:jc w:val="both"/>
        <w:rPr>
          <w:rStyle w:val="Emphasis"/>
          <w:rFonts w:ascii="Calibri" w:hAnsi="Calibri" w:cs="Calibri"/>
          <w:i w:val="0"/>
        </w:rPr>
      </w:pPr>
      <w:r w:rsidRPr="00B524B8">
        <w:rPr>
          <w:rStyle w:val="Emphasis"/>
          <w:rFonts w:ascii="Calibri" w:hAnsi="Calibri" w:cs="Calibri"/>
          <w:i w:val="0"/>
        </w:rPr>
        <w:t>En general hay un alto grado de satisfacción con la formación recibida y una valoración positiva del aporte del financiamiento recibido al desarrollo académico y profesional. Específicamente en las becas para postgrados nacionales se valora positivamente la posibilidad de estudiar con dedicación a tiempo completo.</w:t>
      </w:r>
    </w:p>
    <w:p w:rsidR="001860F3" w:rsidRDefault="001860F3">
      <w:pPr>
        <w:rPr>
          <w:rFonts w:ascii="Calibri" w:hAnsi="Calibri" w:cs="Calibri"/>
          <w:b/>
        </w:rPr>
      </w:pPr>
      <w:r>
        <w:rPr>
          <w:rFonts w:ascii="Calibri" w:hAnsi="Calibri" w:cs="Calibri"/>
          <w:b/>
        </w:rPr>
        <w:br w:type="page"/>
      </w:r>
    </w:p>
    <w:p w:rsidR="005D233E" w:rsidRPr="00B75ACA" w:rsidRDefault="005F7966" w:rsidP="005D233E">
      <w:pPr>
        <w:spacing w:line="276" w:lineRule="auto"/>
        <w:jc w:val="center"/>
        <w:rPr>
          <w:rFonts w:ascii="Calibri" w:hAnsi="Calibri" w:cs="Calibri"/>
          <w:b/>
        </w:rPr>
      </w:pPr>
      <w:r>
        <w:rPr>
          <w:rFonts w:ascii="Calibri" w:hAnsi="Calibri" w:cs="Calibri"/>
          <w:b/>
        </w:rPr>
        <w:lastRenderedPageBreak/>
        <w:t>Gráfico 5.32</w:t>
      </w:r>
      <w:r w:rsidR="00BB3607">
        <w:rPr>
          <w:rFonts w:ascii="Calibri" w:hAnsi="Calibri" w:cs="Calibri"/>
          <w:b/>
        </w:rPr>
        <w:t>.</w:t>
      </w:r>
      <w:r w:rsidR="005D233E" w:rsidRPr="00B75ACA">
        <w:rPr>
          <w:rFonts w:ascii="Calibri" w:hAnsi="Calibri" w:cs="Calibri"/>
          <w:b/>
        </w:rPr>
        <w:t xml:space="preserve"> Opinión sobre la viabilidad de la realización del postgrado/curso/pasantía si no se hubiera contado con el financiamiento del PROCIT</w:t>
      </w:r>
    </w:p>
    <w:p w:rsidR="005D233E" w:rsidRPr="00B524B8" w:rsidRDefault="005D233E" w:rsidP="005D233E">
      <w:pPr>
        <w:spacing w:line="276" w:lineRule="auto"/>
        <w:jc w:val="center"/>
        <w:rPr>
          <w:rStyle w:val="Emphasis"/>
          <w:rFonts w:ascii="Calibri" w:hAnsi="Calibri" w:cs="Calibri"/>
          <w:i w:val="0"/>
          <w:color w:val="FF0000"/>
        </w:rPr>
      </w:pPr>
      <w:r w:rsidRPr="00D440A5">
        <w:rPr>
          <w:noProof/>
          <w:lang w:val="es-ES_tradnl" w:eastAsia="es-ES_tradnl"/>
        </w:rPr>
        <w:drawing>
          <wp:inline distT="0" distB="0" distL="0" distR="0" wp14:anchorId="60C79E1A" wp14:editId="65093983">
            <wp:extent cx="5072332" cy="2285303"/>
            <wp:effectExtent l="0" t="0" r="0" b="127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75937" cy="2286927"/>
                    </a:xfrm>
                    <a:prstGeom prst="rect">
                      <a:avLst/>
                    </a:prstGeom>
                    <a:noFill/>
                    <a:ln>
                      <a:noFill/>
                    </a:ln>
                  </pic:spPr>
                </pic:pic>
              </a:graphicData>
            </a:graphic>
          </wp:inline>
        </w:drawing>
      </w:r>
    </w:p>
    <w:p w:rsidR="005D233E" w:rsidRPr="00B524B8" w:rsidRDefault="005D233E" w:rsidP="00FC352D">
      <w:pPr>
        <w:spacing w:line="276" w:lineRule="auto"/>
        <w:jc w:val="center"/>
        <w:rPr>
          <w:rStyle w:val="Emphasis"/>
          <w:rFonts w:ascii="Calibri" w:hAnsi="Calibri" w:cs="Calibri"/>
          <w:i w:val="0"/>
        </w:rPr>
      </w:pPr>
      <w:r w:rsidRPr="00B524B8">
        <w:rPr>
          <w:rFonts w:ascii="Calibri" w:hAnsi="Calibri" w:cs="Calibri"/>
          <w:sz w:val="18"/>
          <w:szCs w:val="18"/>
        </w:rPr>
        <w:t xml:space="preserve">Fuente: </w:t>
      </w:r>
      <w:r>
        <w:rPr>
          <w:rFonts w:ascii="Calibri" w:hAnsi="Calibri" w:cs="Calibri"/>
          <w:sz w:val="18"/>
          <w:szCs w:val="18"/>
        </w:rPr>
        <w:t xml:space="preserve">Innovos Group </w:t>
      </w:r>
      <w:r w:rsidRPr="00B524B8">
        <w:rPr>
          <w:rFonts w:ascii="Calibri" w:hAnsi="Calibri" w:cs="Calibri"/>
          <w:sz w:val="18"/>
          <w:szCs w:val="18"/>
        </w:rPr>
        <w:t>en b</w:t>
      </w:r>
      <w:r w:rsidR="00FC352D">
        <w:rPr>
          <w:rFonts w:ascii="Calibri" w:hAnsi="Calibri" w:cs="Calibri"/>
          <w:sz w:val="18"/>
          <w:szCs w:val="18"/>
        </w:rPr>
        <w:t>ase a resultados de la encuesta</w:t>
      </w:r>
    </w:p>
    <w:p w:rsidR="005D233E" w:rsidRDefault="005D233E" w:rsidP="005D233E">
      <w:pPr>
        <w:spacing w:before="120" w:after="120" w:line="288" w:lineRule="auto"/>
        <w:jc w:val="both"/>
        <w:rPr>
          <w:rStyle w:val="Emphasis"/>
          <w:rFonts w:ascii="Calibri" w:hAnsi="Calibri" w:cs="Calibri"/>
          <w:i w:val="0"/>
        </w:rPr>
      </w:pPr>
      <w:r w:rsidRPr="00B524B8">
        <w:rPr>
          <w:rStyle w:val="Emphasis"/>
          <w:rFonts w:ascii="Calibri" w:hAnsi="Calibri" w:cs="Calibri"/>
          <w:i w:val="0"/>
        </w:rPr>
        <w:t>Un 64</w:t>
      </w:r>
      <w:r w:rsidR="009A1701">
        <w:rPr>
          <w:rStyle w:val="Emphasis"/>
          <w:rFonts w:ascii="Calibri" w:hAnsi="Calibri" w:cs="Calibri"/>
          <w:i w:val="0"/>
        </w:rPr>
        <w:t>,58</w:t>
      </w:r>
      <w:r w:rsidRPr="00B524B8">
        <w:rPr>
          <w:rStyle w:val="Emphasis"/>
          <w:rFonts w:ascii="Calibri" w:hAnsi="Calibri" w:cs="Calibri"/>
          <w:i w:val="0"/>
        </w:rPr>
        <w:t xml:space="preserve">% de los becarios encuestados manifestó que no podría haber podido cursar el postgrado, curso o pasantía, de no haber contado con el financiamiento del PROCIT. Sólo un 12,5% respondió que habría podido cursar estos estudios sin el aporte de la beca. </w:t>
      </w:r>
    </w:p>
    <w:p w:rsidR="005D233E" w:rsidRPr="005D233E" w:rsidRDefault="005D233E" w:rsidP="005D233E">
      <w:pPr>
        <w:pStyle w:val="ListParagraph"/>
        <w:spacing w:before="120" w:after="120" w:line="288" w:lineRule="auto"/>
        <w:ind w:left="0"/>
        <w:contextualSpacing w:val="0"/>
        <w:jc w:val="both"/>
        <w:rPr>
          <w:rStyle w:val="Emphasis"/>
          <w:rFonts w:ascii="Calibri" w:hAnsi="Calibri" w:cs="Calibri"/>
          <w:b/>
          <w:i w:val="0"/>
        </w:rPr>
      </w:pPr>
      <w:r w:rsidRPr="005D233E">
        <w:rPr>
          <w:rStyle w:val="Emphasis"/>
          <w:rFonts w:ascii="Calibri" w:hAnsi="Calibri" w:cs="Calibri"/>
          <w:b/>
          <w:i w:val="0"/>
        </w:rPr>
        <w:t>Respecto de la eficacia</w:t>
      </w:r>
    </w:p>
    <w:p w:rsidR="005D233E" w:rsidRPr="00B524B8" w:rsidRDefault="005D233E" w:rsidP="005D233E">
      <w:pPr>
        <w:spacing w:before="120" w:after="120" w:line="288" w:lineRule="auto"/>
        <w:jc w:val="both"/>
        <w:rPr>
          <w:rStyle w:val="Emphasis"/>
          <w:rFonts w:ascii="Calibri" w:hAnsi="Calibri" w:cs="Calibri"/>
          <w:i w:val="0"/>
        </w:rPr>
      </w:pPr>
      <w:r>
        <w:rPr>
          <w:rStyle w:val="Emphasis"/>
          <w:rFonts w:ascii="Calibri" w:hAnsi="Calibri" w:cs="Calibri"/>
          <w:i w:val="0"/>
        </w:rPr>
        <w:t>U</w:t>
      </w:r>
      <w:r w:rsidRPr="00B524B8">
        <w:rPr>
          <w:rStyle w:val="Emphasis"/>
          <w:rFonts w:ascii="Calibri" w:hAnsi="Calibri" w:cs="Calibri"/>
          <w:i w:val="0"/>
        </w:rPr>
        <w:t xml:space="preserve">n 97% de los encuestados indicó estar totalmente de acuerdo con la afirmación </w:t>
      </w:r>
      <w:r w:rsidRPr="00B524B8">
        <w:rPr>
          <w:rStyle w:val="Emphasis"/>
          <w:rFonts w:ascii="Calibri" w:hAnsi="Calibri" w:cs="Calibri"/>
        </w:rPr>
        <w:t>“Mi paso por el postgrado/curso/pasantía contribuyó de manera importante a mi desarrollo profesional y académico”,</w:t>
      </w:r>
      <w:r w:rsidRPr="00B524B8">
        <w:rPr>
          <w:rStyle w:val="Emphasis"/>
          <w:rFonts w:ascii="Calibri" w:hAnsi="Calibri" w:cs="Calibri"/>
          <w:i w:val="0"/>
        </w:rPr>
        <w:t xml:space="preserve"> como se observa en el gráfico a continuación.</w:t>
      </w:r>
    </w:p>
    <w:p w:rsidR="005A2072" w:rsidRDefault="005A2072" w:rsidP="005D233E">
      <w:pPr>
        <w:pStyle w:val="ListParagraph"/>
        <w:ind w:left="0"/>
        <w:jc w:val="center"/>
        <w:rPr>
          <w:rFonts w:ascii="Calibri" w:hAnsi="Calibri" w:cs="Calibri"/>
          <w:b/>
        </w:rPr>
      </w:pPr>
    </w:p>
    <w:p w:rsidR="005D233E" w:rsidRDefault="005D233E" w:rsidP="005D233E">
      <w:pPr>
        <w:pStyle w:val="ListParagraph"/>
        <w:ind w:left="0"/>
        <w:jc w:val="center"/>
        <w:rPr>
          <w:rFonts w:ascii="Calibri" w:hAnsi="Calibri" w:cs="Calibri"/>
          <w:b/>
        </w:rPr>
      </w:pPr>
      <w:r>
        <w:rPr>
          <w:rFonts w:ascii="Calibri" w:hAnsi="Calibri" w:cs="Calibri"/>
          <w:b/>
        </w:rPr>
        <w:t xml:space="preserve">Gráfico </w:t>
      </w:r>
      <w:r w:rsidR="005F7966">
        <w:rPr>
          <w:rFonts w:ascii="Calibri" w:hAnsi="Calibri" w:cs="Calibri"/>
          <w:b/>
        </w:rPr>
        <w:t>5.33</w:t>
      </w:r>
      <w:r w:rsidR="00BB3607">
        <w:rPr>
          <w:rFonts w:ascii="Calibri" w:hAnsi="Calibri" w:cs="Calibri"/>
          <w:b/>
        </w:rPr>
        <w:t>.</w:t>
      </w:r>
      <w:r w:rsidRPr="00B75ACA">
        <w:rPr>
          <w:rFonts w:ascii="Calibri" w:hAnsi="Calibri" w:cs="Calibri"/>
          <w:b/>
        </w:rPr>
        <w:t xml:space="preserve"> Grado de acuerdo/desacuerdo con la afirmación </w:t>
      </w:r>
    </w:p>
    <w:p w:rsidR="005D233E" w:rsidRPr="00B75ACA" w:rsidRDefault="005D233E" w:rsidP="005D233E">
      <w:pPr>
        <w:pStyle w:val="ListParagraph"/>
        <w:ind w:left="0"/>
        <w:jc w:val="center"/>
        <w:rPr>
          <w:rStyle w:val="Emphasis"/>
          <w:rFonts w:ascii="Calibri" w:hAnsi="Calibri" w:cs="Calibri"/>
          <w:i w:val="0"/>
        </w:rPr>
      </w:pPr>
      <w:r w:rsidRPr="00B75ACA">
        <w:rPr>
          <w:rFonts w:ascii="Calibri" w:hAnsi="Calibri" w:cs="Calibri"/>
          <w:b/>
          <w:i/>
        </w:rPr>
        <w:t>“Mi paso por el postgrado/curso/pasantía contribuyó de manera importante a mi desarrollo profesional y académico”</w:t>
      </w:r>
    </w:p>
    <w:p w:rsidR="005D233E" w:rsidRPr="00B524B8" w:rsidRDefault="005D233E" w:rsidP="005D233E">
      <w:pPr>
        <w:spacing w:line="276" w:lineRule="auto"/>
        <w:jc w:val="center"/>
        <w:rPr>
          <w:rStyle w:val="Emphasis"/>
          <w:rFonts w:ascii="Calibri" w:hAnsi="Calibri" w:cs="Calibri"/>
          <w:i w:val="0"/>
        </w:rPr>
      </w:pPr>
      <w:r w:rsidRPr="00D440A5">
        <w:rPr>
          <w:noProof/>
          <w:lang w:val="es-ES_tradnl" w:eastAsia="es-ES_tradnl"/>
        </w:rPr>
        <w:drawing>
          <wp:inline distT="0" distB="0" distL="0" distR="0" wp14:anchorId="2DF05046" wp14:editId="774466AB">
            <wp:extent cx="4304581" cy="2366555"/>
            <wp:effectExtent l="0" t="0" r="1270"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04570" cy="2366549"/>
                    </a:xfrm>
                    <a:prstGeom prst="rect">
                      <a:avLst/>
                    </a:prstGeom>
                    <a:noFill/>
                    <a:ln>
                      <a:noFill/>
                    </a:ln>
                  </pic:spPr>
                </pic:pic>
              </a:graphicData>
            </a:graphic>
          </wp:inline>
        </w:drawing>
      </w:r>
    </w:p>
    <w:p w:rsidR="005D233E" w:rsidRDefault="005D233E" w:rsidP="00FC352D">
      <w:pPr>
        <w:spacing w:line="288" w:lineRule="auto"/>
        <w:jc w:val="center"/>
        <w:rPr>
          <w:rFonts w:ascii="Calibri" w:hAnsi="Calibri" w:cs="Calibri"/>
          <w:sz w:val="18"/>
          <w:szCs w:val="18"/>
        </w:rPr>
      </w:pPr>
      <w:r w:rsidRPr="00B524B8">
        <w:rPr>
          <w:rFonts w:ascii="Calibri" w:hAnsi="Calibri" w:cs="Calibri"/>
          <w:sz w:val="18"/>
          <w:szCs w:val="18"/>
        </w:rPr>
        <w:t xml:space="preserve">Fuente: </w:t>
      </w:r>
      <w:r>
        <w:rPr>
          <w:rFonts w:ascii="Calibri" w:hAnsi="Calibri" w:cs="Calibri"/>
          <w:sz w:val="18"/>
          <w:szCs w:val="18"/>
        </w:rPr>
        <w:t xml:space="preserve">Innovos Group </w:t>
      </w:r>
      <w:r w:rsidRPr="00B524B8">
        <w:rPr>
          <w:rFonts w:ascii="Calibri" w:hAnsi="Calibri" w:cs="Calibri"/>
          <w:sz w:val="18"/>
          <w:szCs w:val="18"/>
        </w:rPr>
        <w:t>en b</w:t>
      </w:r>
      <w:r w:rsidR="006C6743">
        <w:rPr>
          <w:rFonts w:ascii="Calibri" w:hAnsi="Calibri" w:cs="Calibri"/>
          <w:sz w:val="18"/>
          <w:szCs w:val="18"/>
        </w:rPr>
        <w:t>ase a resultados de la encuesta</w:t>
      </w:r>
    </w:p>
    <w:p w:rsidR="005D233E" w:rsidRPr="005D233E" w:rsidRDefault="005D233E" w:rsidP="005D233E">
      <w:pPr>
        <w:pStyle w:val="ListParagraph"/>
        <w:spacing w:before="120" w:after="120" w:line="288" w:lineRule="auto"/>
        <w:ind w:left="0"/>
        <w:contextualSpacing w:val="0"/>
        <w:jc w:val="both"/>
        <w:rPr>
          <w:rStyle w:val="Emphasis"/>
          <w:rFonts w:ascii="Calibri" w:hAnsi="Calibri" w:cs="Calibri"/>
          <w:b/>
          <w:i w:val="0"/>
        </w:rPr>
      </w:pPr>
      <w:r w:rsidRPr="005D233E">
        <w:rPr>
          <w:rStyle w:val="Emphasis"/>
          <w:rFonts w:ascii="Calibri" w:hAnsi="Calibri" w:cs="Calibri"/>
          <w:b/>
          <w:i w:val="0"/>
        </w:rPr>
        <w:lastRenderedPageBreak/>
        <w:t>Respecto de la eficiencia</w:t>
      </w:r>
    </w:p>
    <w:p w:rsidR="005D233E" w:rsidRPr="00B524B8" w:rsidRDefault="005D233E" w:rsidP="005D233E">
      <w:pPr>
        <w:spacing w:before="120" w:after="120" w:line="288" w:lineRule="auto"/>
        <w:jc w:val="both"/>
        <w:rPr>
          <w:rStyle w:val="Emphasis"/>
          <w:rFonts w:ascii="Calibri" w:hAnsi="Calibri" w:cs="Calibri"/>
          <w:i w:val="0"/>
        </w:rPr>
      </w:pPr>
      <w:r w:rsidRPr="00B524B8">
        <w:rPr>
          <w:rStyle w:val="Emphasis"/>
          <w:rFonts w:ascii="Calibri" w:hAnsi="Calibri" w:cs="Calibri"/>
          <w:i w:val="0"/>
        </w:rPr>
        <w:t>Respecto del monto de la beca, se valora como adecuado en términos generales para las becas cortas y de apoyo complementario en el extranjero. Sin embargo, hay opiniones diferentes respecto de su valor en el caso de las becas para postgrados nacionales. Comparativamente con sueldos en el sector privado, algunos becarios consideran que se trató de un monto adecuado (Ciencias Agrarias, FACEN) mientras que otros lo consideran insuficiente (Politécnica). Pero sí se coincide en general en que no permite alcanzar una mínima independencia económica del becario.</w:t>
      </w:r>
    </w:p>
    <w:p w:rsidR="005D233E" w:rsidRPr="005D233E" w:rsidRDefault="005D233E" w:rsidP="005D233E">
      <w:pPr>
        <w:pStyle w:val="ListParagraph"/>
        <w:spacing w:before="120" w:after="120" w:line="288" w:lineRule="auto"/>
        <w:ind w:left="0"/>
        <w:contextualSpacing w:val="0"/>
        <w:jc w:val="both"/>
        <w:rPr>
          <w:rStyle w:val="Emphasis"/>
          <w:rFonts w:ascii="Calibri" w:hAnsi="Calibri" w:cs="Calibri"/>
          <w:b/>
          <w:i w:val="0"/>
        </w:rPr>
      </w:pPr>
      <w:r w:rsidRPr="005D233E">
        <w:rPr>
          <w:rStyle w:val="Emphasis"/>
          <w:rFonts w:ascii="Calibri" w:hAnsi="Calibri" w:cs="Calibri"/>
          <w:b/>
          <w:i w:val="0"/>
        </w:rPr>
        <w:t>Respecto de los efectos e impacto</w:t>
      </w:r>
    </w:p>
    <w:p w:rsidR="005D233E" w:rsidRPr="00B524B8" w:rsidRDefault="005D233E" w:rsidP="005D233E">
      <w:pPr>
        <w:spacing w:before="120" w:after="120" w:line="288" w:lineRule="auto"/>
        <w:jc w:val="both"/>
        <w:rPr>
          <w:rStyle w:val="Emphasis"/>
          <w:rFonts w:ascii="Calibri" w:hAnsi="Calibri" w:cs="Calibri"/>
          <w:i w:val="0"/>
        </w:rPr>
      </w:pPr>
      <w:r>
        <w:rPr>
          <w:rStyle w:val="Emphasis"/>
          <w:rFonts w:ascii="Calibri" w:hAnsi="Calibri" w:cs="Calibri"/>
          <w:i w:val="0"/>
        </w:rPr>
        <w:t xml:space="preserve">El otorgamiento de becas en todas sus modalidades </w:t>
      </w:r>
      <w:r w:rsidRPr="00B524B8">
        <w:rPr>
          <w:rStyle w:val="Emphasis"/>
          <w:rFonts w:ascii="Calibri" w:hAnsi="Calibri" w:cs="Calibri"/>
          <w:i w:val="0"/>
        </w:rPr>
        <w:t>facilitó el intercambio y la difusión de las investigaciones y actividades científicas que se desarrollan en Paraguay, ya sea integrando equipos de investigación o presentando ponencias en congresos internacionales, incluso representando oficialmente a Paraguay (en un caso). Los becarios encuestados manifestaron haber realizado más de 60 presentaciones en eventos científicos nacionales, y más de 70 presentaciones en eventos científicos internacionales.</w:t>
      </w:r>
    </w:p>
    <w:p w:rsidR="005D233E" w:rsidRPr="00B524B8" w:rsidRDefault="005D233E" w:rsidP="005D233E">
      <w:pPr>
        <w:pStyle w:val="ListParagraph"/>
        <w:spacing w:after="200" w:line="276" w:lineRule="auto"/>
        <w:ind w:left="3544"/>
        <w:jc w:val="right"/>
        <w:rPr>
          <w:rFonts w:ascii="Calibri" w:eastAsia="Calibri" w:hAnsi="Calibri" w:cs="Calibri"/>
          <w:i/>
          <w:iCs/>
          <w:sz w:val="20"/>
          <w:szCs w:val="20"/>
          <w:lang w:eastAsia="en-US"/>
        </w:rPr>
      </w:pPr>
      <w:r w:rsidRPr="00B524B8">
        <w:rPr>
          <w:rFonts w:ascii="Calibri" w:eastAsia="Calibri" w:hAnsi="Calibri" w:cs="Calibri"/>
          <w:i/>
          <w:iCs/>
          <w:sz w:val="20"/>
          <w:szCs w:val="20"/>
          <w:lang w:eastAsia="en-US"/>
        </w:rPr>
        <w:t>“CONACYT ha dado un salto cuali-cuantitativo impresionante… en términos del programa que ofrece es muy valorado por la solidez, la trasparencia, y las posibilidades de difusión del conocimiento, en términos de producción y de formación de recursos humanos…”</w:t>
      </w:r>
    </w:p>
    <w:p w:rsidR="005D233E" w:rsidRPr="00B524B8" w:rsidRDefault="005D233E" w:rsidP="005D233E">
      <w:pPr>
        <w:pStyle w:val="ListParagraph"/>
        <w:spacing w:after="200" w:line="276" w:lineRule="auto"/>
        <w:ind w:left="4395"/>
        <w:jc w:val="right"/>
        <w:rPr>
          <w:rFonts w:ascii="Calibri" w:eastAsia="Calibri" w:hAnsi="Calibri" w:cs="Calibri"/>
          <w:iCs/>
          <w:sz w:val="20"/>
          <w:szCs w:val="20"/>
          <w:lang w:eastAsia="en-US"/>
        </w:rPr>
      </w:pPr>
      <w:r w:rsidRPr="00B524B8">
        <w:rPr>
          <w:rFonts w:ascii="Calibri" w:eastAsia="Calibri" w:hAnsi="Calibri" w:cs="Calibri"/>
          <w:iCs/>
          <w:sz w:val="20"/>
          <w:szCs w:val="20"/>
          <w:lang w:eastAsia="en-US"/>
        </w:rPr>
        <w:t>(Beneficiaria de beca corta)</w:t>
      </w:r>
    </w:p>
    <w:p w:rsidR="005D233E" w:rsidRPr="00B524B8" w:rsidRDefault="005D233E" w:rsidP="005D233E">
      <w:pPr>
        <w:pStyle w:val="ListParagraph"/>
        <w:spacing w:before="120" w:after="120" w:line="288" w:lineRule="auto"/>
        <w:ind w:left="0"/>
        <w:contextualSpacing w:val="0"/>
        <w:jc w:val="both"/>
        <w:rPr>
          <w:rStyle w:val="Emphasis"/>
          <w:rFonts w:ascii="Calibri" w:hAnsi="Calibri" w:cs="Calibri"/>
          <w:i w:val="0"/>
        </w:rPr>
      </w:pPr>
      <w:r>
        <w:rPr>
          <w:rStyle w:val="Emphasis"/>
          <w:rFonts w:ascii="Calibri" w:hAnsi="Calibri" w:cs="Calibri"/>
          <w:i w:val="0"/>
        </w:rPr>
        <w:t>Además, s</w:t>
      </w:r>
      <w:r w:rsidRPr="00B524B8">
        <w:rPr>
          <w:rStyle w:val="Emphasis"/>
          <w:rFonts w:ascii="Calibri" w:hAnsi="Calibri" w:cs="Calibri"/>
          <w:i w:val="0"/>
        </w:rPr>
        <w:t>e posibilitó la realización y/o finalización del trabajo de campo de tesis, acortando los tiempos de su presentación y defensa (incremento de la tasa de graduación). Esto se debió a la disponibilidad de laboratorios y reactivos para trabajar, así como también la posibilidad de interactuar con investigadores referentes en la temática.</w:t>
      </w:r>
    </w:p>
    <w:p w:rsidR="005D233E" w:rsidRPr="00B524B8" w:rsidRDefault="005D233E" w:rsidP="005D233E">
      <w:pPr>
        <w:pStyle w:val="ListParagraph"/>
        <w:spacing w:before="120" w:after="120" w:line="288" w:lineRule="auto"/>
        <w:ind w:left="0"/>
        <w:contextualSpacing w:val="0"/>
        <w:jc w:val="both"/>
        <w:rPr>
          <w:rStyle w:val="Emphasis"/>
          <w:rFonts w:ascii="Calibri" w:hAnsi="Calibri" w:cs="Calibri"/>
          <w:i w:val="0"/>
        </w:rPr>
      </w:pPr>
      <w:r w:rsidRPr="00B524B8">
        <w:rPr>
          <w:rStyle w:val="Emphasis"/>
          <w:rFonts w:ascii="Calibri" w:hAnsi="Calibri" w:cs="Calibri"/>
          <w:i w:val="0"/>
        </w:rPr>
        <w:t xml:space="preserve">Se incrementaron </w:t>
      </w:r>
      <w:r>
        <w:rPr>
          <w:rStyle w:val="Emphasis"/>
          <w:rFonts w:ascii="Calibri" w:hAnsi="Calibri" w:cs="Calibri"/>
          <w:i w:val="0"/>
        </w:rPr>
        <w:t xml:space="preserve">también </w:t>
      </w:r>
      <w:r w:rsidRPr="00B524B8">
        <w:rPr>
          <w:rStyle w:val="Emphasis"/>
          <w:rFonts w:ascii="Calibri" w:hAnsi="Calibri" w:cs="Calibri"/>
          <w:i w:val="0"/>
        </w:rPr>
        <w:t>las publicaciones en revistas científicas. A partir de las respuestas de los becarios encuestados, la formación/actividad académica para la cual se recibió la beca posibilitó la realización de más de 30 publicaciones en revistas con arbitraje, más de 20 publicaciones en revistas sin arbitraje, más de 5 libros, más de 10 capítulos de libros y más de 130 documentos de trabajo</w:t>
      </w:r>
      <w:r w:rsidR="00A96FC8">
        <w:rPr>
          <w:rStyle w:val="FootnoteReference"/>
          <w:rFonts w:ascii="Calibri" w:hAnsi="Calibri"/>
          <w:iCs/>
        </w:rPr>
        <w:footnoteReference w:id="25"/>
      </w:r>
      <w:r w:rsidRPr="00B524B8">
        <w:rPr>
          <w:rStyle w:val="Emphasis"/>
          <w:rFonts w:ascii="Calibri" w:hAnsi="Calibri" w:cs="Calibri"/>
          <w:i w:val="0"/>
        </w:rPr>
        <w:t>.</w:t>
      </w:r>
    </w:p>
    <w:p w:rsidR="005D233E" w:rsidRPr="00B524B8" w:rsidRDefault="005D233E" w:rsidP="005D233E">
      <w:pPr>
        <w:pStyle w:val="ListParagraph"/>
        <w:spacing w:before="120" w:after="120" w:line="288" w:lineRule="auto"/>
        <w:ind w:left="0"/>
        <w:contextualSpacing w:val="0"/>
        <w:jc w:val="both"/>
        <w:rPr>
          <w:rStyle w:val="Emphasis"/>
          <w:rFonts w:ascii="Calibri" w:hAnsi="Calibri" w:cs="Calibri"/>
          <w:i w:val="0"/>
        </w:rPr>
      </w:pPr>
      <w:r w:rsidRPr="00B524B8">
        <w:rPr>
          <w:rStyle w:val="Emphasis"/>
          <w:rFonts w:ascii="Calibri" w:hAnsi="Calibri" w:cs="Calibri"/>
          <w:i w:val="0"/>
        </w:rPr>
        <w:t xml:space="preserve">Se desarrollaron redes (para proyectos de investigación, para intercambio de otros </w:t>
      </w:r>
      <w:r>
        <w:rPr>
          <w:rStyle w:val="Emphasis"/>
          <w:rFonts w:ascii="Calibri" w:hAnsi="Calibri" w:cs="Calibri"/>
          <w:i w:val="0"/>
        </w:rPr>
        <w:t>estudiante</w:t>
      </w:r>
      <w:r w:rsidRPr="00B524B8">
        <w:rPr>
          <w:rStyle w:val="Emphasis"/>
          <w:rFonts w:ascii="Calibri" w:hAnsi="Calibri" w:cs="Calibri"/>
          <w:i w:val="0"/>
        </w:rPr>
        <w:t>s), no sólo regionales e internacionales, sino también entre paraguayos (frente a un sistema de trabajo más bien solitario del investigador paraguayo).</w:t>
      </w:r>
    </w:p>
    <w:p w:rsidR="005D233E" w:rsidRPr="00B524B8" w:rsidRDefault="005D233E" w:rsidP="005D233E">
      <w:pPr>
        <w:pStyle w:val="ListParagraph"/>
        <w:spacing w:before="120" w:after="120" w:line="288" w:lineRule="auto"/>
        <w:ind w:left="0"/>
        <w:contextualSpacing w:val="0"/>
        <w:jc w:val="both"/>
        <w:rPr>
          <w:rStyle w:val="Emphasis"/>
          <w:rFonts w:ascii="Calibri" w:hAnsi="Calibri" w:cs="Calibri"/>
          <w:i w:val="0"/>
        </w:rPr>
      </w:pPr>
      <w:r w:rsidRPr="00B524B8">
        <w:rPr>
          <w:rStyle w:val="Emphasis"/>
          <w:rFonts w:ascii="Calibri" w:hAnsi="Calibri" w:cs="Calibri"/>
          <w:i w:val="0"/>
        </w:rPr>
        <w:lastRenderedPageBreak/>
        <w:t>Se obtuvo formación respecto de teorías, metodologías, procedimientos, construcción y manejo de bases de datos.</w:t>
      </w:r>
      <w:r>
        <w:rPr>
          <w:rStyle w:val="Emphasis"/>
          <w:rFonts w:ascii="Calibri" w:hAnsi="Calibri" w:cs="Calibri"/>
          <w:i w:val="0"/>
        </w:rPr>
        <w:t xml:space="preserve"> A partir de estos aprendizajes, s</w:t>
      </w:r>
      <w:r w:rsidRPr="00B524B8">
        <w:rPr>
          <w:rStyle w:val="Emphasis"/>
          <w:rFonts w:ascii="Calibri" w:hAnsi="Calibri" w:cs="Calibri"/>
          <w:i w:val="0"/>
        </w:rPr>
        <w:t>e incorporaron nuevas áreas de trabajo/investigación en las instituciones donde se encontraba radicado el becario.</w:t>
      </w:r>
    </w:p>
    <w:p w:rsidR="005D233E" w:rsidRPr="00B524B8" w:rsidRDefault="005D233E" w:rsidP="005D233E">
      <w:pPr>
        <w:pStyle w:val="ListParagraph"/>
        <w:spacing w:before="120" w:after="120" w:line="288" w:lineRule="auto"/>
        <w:ind w:left="0"/>
        <w:contextualSpacing w:val="0"/>
        <w:jc w:val="both"/>
        <w:rPr>
          <w:rStyle w:val="Emphasis"/>
          <w:rFonts w:ascii="Calibri" w:hAnsi="Calibri" w:cs="Calibri"/>
          <w:i w:val="0"/>
        </w:rPr>
      </w:pPr>
      <w:r>
        <w:rPr>
          <w:rStyle w:val="Emphasis"/>
          <w:rFonts w:ascii="Calibri" w:hAnsi="Calibri" w:cs="Calibri"/>
          <w:i w:val="0"/>
        </w:rPr>
        <w:t>Asimismo, s</w:t>
      </w:r>
      <w:r w:rsidRPr="00B524B8">
        <w:rPr>
          <w:rStyle w:val="Emphasis"/>
          <w:rFonts w:ascii="Calibri" w:hAnsi="Calibri" w:cs="Calibri"/>
          <w:i w:val="0"/>
        </w:rPr>
        <w:t>e mejoraron los perfiles de docentes, incrementando su desarrollo académico y posibilidades de postular al PRONII. Un 84% de los becarios encuestados manifiesta su intención de postular al PRONII.</w:t>
      </w:r>
    </w:p>
    <w:p w:rsidR="005D233E" w:rsidRDefault="005D233E" w:rsidP="005D233E">
      <w:pPr>
        <w:pStyle w:val="ListParagraph"/>
        <w:spacing w:after="200" w:line="276" w:lineRule="auto"/>
        <w:jc w:val="center"/>
        <w:rPr>
          <w:rFonts w:ascii="Calibri" w:hAnsi="Calibri" w:cs="Calibri"/>
          <w:b/>
        </w:rPr>
      </w:pPr>
      <w:r w:rsidRPr="000F712C">
        <w:rPr>
          <w:rFonts w:ascii="Calibri" w:hAnsi="Calibri" w:cs="Calibri"/>
          <w:b/>
        </w:rPr>
        <w:t>Gráfico</w:t>
      </w:r>
      <w:r>
        <w:rPr>
          <w:rFonts w:ascii="Calibri" w:hAnsi="Calibri" w:cs="Calibri"/>
          <w:b/>
        </w:rPr>
        <w:t xml:space="preserve"> </w:t>
      </w:r>
      <w:r w:rsidR="005F7966">
        <w:rPr>
          <w:rFonts w:ascii="Calibri" w:hAnsi="Calibri" w:cs="Calibri"/>
          <w:b/>
        </w:rPr>
        <w:t>5.34</w:t>
      </w:r>
      <w:r w:rsidR="00BB3607">
        <w:rPr>
          <w:rFonts w:ascii="Calibri" w:hAnsi="Calibri" w:cs="Calibri"/>
          <w:b/>
        </w:rPr>
        <w:t>.</w:t>
      </w:r>
      <w:r>
        <w:rPr>
          <w:rFonts w:ascii="Calibri" w:hAnsi="Calibri" w:cs="Calibri"/>
          <w:b/>
        </w:rPr>
        <w:t xml:space="preserve"> </w:t>
      </w:r>
      <w:r w:rsidRPr="000F712C">
        <w:rPr>
          <w:rFonts w:ascii="Calibri" w:hAnsi="Calibri" w:cs="Calibri"/>
          <w:b/>
        </w:rPr>
        <w:t>Porcentaje de becarios con intención de postularse al PRONII</w:t>
      </w:r>
    </w:p>
    <w:p w:rsidR="005D233E" w:rsidRDefault="005D233E" w:rsidP="00FC352D">
      <w:pPr>
        <w:pStyle w:val="ListParagraph"/>
        <w:spacing w:line="276" w:lineRule="auto"/>
        <w:ind w:left="0"/>
        <w:jc w:val="center"/>
        <w:rPr>
          <w:rStyle w:val="Emphasis"/>
          <w:rFonts w:ascii="Calibri" w:hAnsi="Calibri" w:cs="Calibri"/>
          <w:b/>
          <w:i w:val="0"/>
          <w:iCs w:val="0"/>
          <w:lang w:val="es-MX"/>
        </w:rPr>
      </w:pPr>
      <w:r>
        <w:rPr>
          <w:rFonts w:ascii="Calibri" w:hAnsi="Calibri" w:cs="Calibri"/>
          <w:b/>
          <w:noProof/>
          <w:lang w:val="es-ES_tradnl" w:eastAsia="es-ES_tradnl"/>
        </w:rPr>
        <w:drawing>
          <wp:inline distT="0" distB="0" distL="0" distR="0" wp14:anchorId="162394C7" wp14:editId="6E0F4412">
            <wp:extent cx="2717321" cy="1906438"/>
            <wp:effectExtent l="0" t="0" r="6985" b="0"/>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17731" cy="1906726"/>
                    </a:xfrm>
                    <a:prstGeom prst="rect">
                      <a:avLst/>
                    </a:prstGeom>
                    <a:noFill/>
                    <a:ln>
                      <a:noFill/>
                    </a:ln>
                  </pic:spPr>
                </pic:pic>
              </a:graphicData>
            </a:graphic>
          </wp:inline>
        </w:drawing>
      </w:r>
    </w:p>
    <w:p w:rsidR="000A7860" w:rsidRPr="001860F3" w:rsidRDefault="005D233E" w:rsidP="001860F3">
      <w:pPr>
        <w:spacing w:line="276" w:lineRule="auto"/>
        <w:jc w:val="center"/>
        <w:rPr>
          <w:rStyle w:val="Emphasis"/>
          <w:rFonts w:ascii="Calibri" w:hAnsi="Calibri" w:cs="Calibri"/>
          <w:b/>
          <w:i w:val="0"/>
          <w:iCs w:val="0"/>
          <w:lang w:val="es-MX"/>
        </w:rPr>
      </w:pPr>
      <w:r w:rsidRPr="00FC352D">
        <w:rPr>
          <w:rFonts w:ascii="Calibri" w:hAnsi="Calibri" w:cs="Calibri"/>
          <w:sz w:val="18"/>
          <w:szCs w:val="18"/>
        </w:rPr>
        <w:t>Fuente: Innovos Group en b</w:t>
      </w:r>
      <w:r w:rsidR="00FC352D">
        <w:rPr>
          <w:rFonts w:ascii="Calibri" w:hAnsi="Calibri" w:cs="Calibri"/>
          <w:sz w:val="18"/>
          <w:szCs w:val="18"/>
        </w:rPr>
        <w:t>ase a resultados de la encuesta</w:t>
      </w:r>
    </w:p>
    <w:p w:rsidR="005D233E" w:rsidRDefault="000A7860" w:rsidP="005D233E">
      <w:pPr>
        <w:pStyle w:val="ListParagraph"/>
        <w:spacing w:before="120" w:after="120" w:line="288" w:lineRule="auto"/>
        <w:ind w:left="0"/>
        <w:contextualSpacing w:val="0"/>
        <w:jc w:val="both"/>
        <w:rPr>
          <w:rStyle w:val="Emphasis"/>
          <w:rFonts w:ascii="Calibri" w:hAnsi="Calibri" w:cs="Calibri"/>
          <w:i w:val="0"/>
        </w:rPr>
      </w:pPr>
      <w:r>
        <w:rPr>
          <w:rStyle w:val="Emphasis"/>
          <w:rFonts w:ascii="Calibri" w:hAnsi="Calibri" w:cs="Calibri"/>
          <w:i w:val="0"/>
        </w:rPr>
        <w:t>Sin embargo, y según manifiestan los becarios, aún son muchos los aprendizajes y experiencias de los becarios –en todas sus modalidades– que aún no han tenido el suficiente aprovechamiento y difusión.</w:t>
      </w:r>
    </w:p>
    <w:p w:rsidR="00BB3607" w:rsidRPr="00B524B8" w:rsidRDefault="00BB3607" w:rsidP="00BB3607">
      <w:pPr>
        <w:spacing w:before="120" w:after="120" w:line="288" w:lineRule="auto"/>
        <w:jc w:val="both"/>
        <w:rPr>
          <w:rStyle w:val="Emphasis"/>
          <w:rFonts w:ascii="Calibri" w:hAnsi="Calibri" w:cs="Calibri"/>
          <w:i w:val="0"/>
        </w:rPr>
      </w:pPr>
      <w:r>
        <w:rPr>
          <w:rStyle w:val="Emphasis"/>
          <w:rFonts w:ascii="Calibri" w:hAnsi="Calibri" w:cs="Calibri"/>
          <w:i w:val="0"/>
        </w:rPr>
        <w:t>En relación con la articulación del subcomponente de becas con otros componentes del PROCIT, si bien en el</w:t>
      </w:r>
      <w:r w:rsidRPr="00B524B8">
        <w:rPr>
          <w:rStyle w:val="Emphasis"/>
          <w:rFonts w:ascii="Calibri" w:hAnsi="Calibri" w:cs="Calibri"/>
          <w:i w:val="0"/>
        </w:rPr>
        <w:t xml:space="preserve"> gráfico </w:t>
      </w:r>
      <w:r>
        <w:rPr>
          <w:rStyle w:val="Emphasis"/>
          <w:rFonts w:ascii="Calibri" w:hAnsi="Calibri" w:cs="Calibri"/>
          <w:i w:val="0"/>
        </w:rPr>
        <w:t>5.3</w:t>
      </w:r>
      <w:r w:rsidR="005F7966">
        <w:rPr>
          <w:rStyle w:val="Emphasis"/>
          <w:rFonts w:ascii="Calibri" w:hAnsi="Calibri" w:cs="Calibri"/>
          <w:i w:val="0"/>
        </w:rPr>
        <w:t>5</w:t>
      </w:r>
      <w:r>
        <w:rPr>
          <w:rStyle w:val="Emphasis"/>
          <w:rFonts w:ascii="Calibri" w:hAnsi="Calibri" w:cs="Calibri"/>
          <w:i w:val="0"/>
        </w:rPr>
        <w:t xml:space="preserve"> </w:t>
      </w:r>
      <w:r w:rsidRPr="00B524B8">
        <w:rPr>
          <w:rStyle w:val="Emphasis"/>
          <w:rFonts w:ascii="Calibri" w:hAnsi="Calibri" w:cs="Calibri"/>
          <w:i w:val="0"/>
        </w:rPr>
        <w:t>un 78</w:t>
      </w:r>
      <w:r w:rsidR="00A96FC8">
        <w:rPr>
          <w:rStyle w:val="Emphasis"/>
          <w:rFonts w:ascii="Calibri" w:hAnsi="Calibri" w:cs="Calibri"/>
          <w:i w:val="0"/>
        </w:rPr>
        <w:t>,5</w:t>
      </w:r>
      <w:r w:rsidRPr="00B524B8">
        <w:rPr>
          <w:rStyle w:val="Emphasis"/>
          <w:rFonts w:ascii="Calibri" w:hAnsi="Calibri" w:cs="Calibri"/>
          <w:i w:val="0"/>
        </w:rPr>
        <w:t>% de los becarios encuestados manifestó haber participado en un proyecto de investigación, un 56% en alguna actividad docente y, en menor medida, un 15</w:t>
      </w:r>
      <w:r w:rsidR="00A96FC8">
        <w:rPr>
          <w:rStyle w:val="Emphasis"/>
          <w:rFonts w:ascii="Calibri" w:hAnsi="Calibri" w:cs="Calibri"/>
          <w:i w:val="0"/>
        </w:rPr>
        <w:t>,5</w:t>
      </w:r>
      <w:r w:rsidRPr="00B524B8">
        <w:rPr>
          <w:rStyle w:val="Emphasis"/>
          <w:rFonts w:ascii="Calibri" w:hAnsi="Calibri" w:cs="Calibri"/>
          <w:i w:val="0"/>
        </w:rPr>
        <w:t>% en un proyecto de innovación tecnológica, así mismo la mayoría de los encuestados recomienda una mayor articulación entre todos los actores involucrados: universidades y facultades, sector privado, centros de investigación, ONG’s, organismos gubernamentales,</w:t>
      </w:r>
      <w:r>
        <w:rPr>
          <w:rStyle w:val="Emphasis"/>
          <w:rFonts w:ascii="Calibri" w:hAnsi="Calibri" w:cs="Calibri"/>
          <w:i w:val="0"/>
        </w:rPr>
        <w:t xml:space="preserve"> </w:t>
      </w:r>
      <w:r w:rsidRPr="00B524B8">
        <w:rPr>
          <w:rStyle w:val="Emphasis"/>
          <w:rFonts w:ascii="Calibri" w:hAnsi="Calibri" w:cs="Calibri"/>
          <w:i w:val="0"/>
        </w:rPr>
        <w:t>etc., para un mayor aprovechamiento de estos programas y mejores resultados en términos del desarrollo de la ciencia, la tecnología y la innovación en Paraguay.</w:t>
      </w:r>
    </w:p>
    <w:p w:rsidR="001860F3" w:rsidRDefault="001860F3" w:rsidP="00BB3607">
      <w:pPr>
        <w:pStyle w:val="ListParagraph"/>
        <w:spacing w:after="200" w:line="276" w:lineRule="auto"/>
        <w:ind w:left="360"/>
        <w:jc w:val="center"/>
        <w:rPr>
          <w:rFonts w:ascii="Calibri" w:hAnsi="Calibri" w:cs="Calibri"/>
          <w:b/>
        </w:rPr>
      </w:pPr>
    </w:p>
    <w:p w:rsidR="001860F3" w:rsidRDefault="001860F3" w:rsidP="00BB3607">
      <w:pPr>
        <w:pStyle w:val="ListParagraph"/>
        <w:spacing w:after="200" w:line="276" w:lineRule="auto"/>
        <w:ind w:left="360"/>
        <w:jc w:val="center"/>
        <w:rPr>
          <w:rFonts w:ascii="Calibri" w:hAnsi="Calibri" w:cs="Calibri"/>
          <w:b/>
        </w:rPr>
      </w:pPr>
    </w:p>
    <w:p w:rsidR="001860F3" w:rsidRDefault="001860F3" w:rsidP="00BB3607">
      <w:pPr>
        <w:pStyle w:val="ListParagraph"/>
        <w:spacing w:after="200" w:line="276" w:lineRule="auto"/>
        <w:ind w:left="360"/>
        <w:jc w:val="center"/>
        <w:rPr>
          <w:rFonts w:ascii="Calibri" w:hAnsi="Calibri" w:cs="Calibri"/>
          <w:b/>
        </w:rPr>
      </w:pPr>
    </w:p>
    <w:p w:rsidR="001860F3" w:rsidRDefault="001860F3" w:rsidP="00BB3607">
      <w:pPr>
        <w:pStyle w:val="ListParagraph"/>
        <w:spacing w:after="200" w:line="276" w:lineRule="auto"/>
        <w:ind w:left="360"/>
        <w:jc w:val="center"/>
        <w:rPr>
          <w:rFonts w:ascii="Calibri" w:hAnsi="Calibri" w:cs="Calibri"/>
          <w:b/>
        </w:rPr>
      </w:pPr>
    </w:p>
    <w:p w:rsidR="001860F3" w:rsidRDefault="001860F3" w:rsidP="00BB3607">
      <w:pPr>
        <w:pStyle w:val="ListParagraph"/>
        <w:spacing w:after="200" w:line="276" w:lineRule="auto"/>
        <w:ind w:left="360"/>
        <w:jc w:val="center"/>
        <w:rPr>
          <w:rFonts w:ascii="Calibri" w:hAnsi="Calibri" w:cs="Calibri"/>
          <w:b/>
        </w:rPr>
      </w:pPr>
    </w:p>
    <w:p w:rsidR="001860F3" w:rsidRDefault="001860F3" w:rsidP="00BB3607">
      <w:pPr>
        <w:pStyle w:val="ListParagraph"/>
        <w:spacing w:after="200" w:line="276" w:lineRule="auto"/>
        <w:ind w:left="360"/>
        <w:jc w:val="center"/>
        <w:rPr>
          <w:rFonts w:ascii="Calibri" w:hAnsi="Calibri" w:cs="Calibri"/>
          <w:b/>
        </w:rPr>
      </w:pPr>
    </w:p>
    <w:p w:rsidR="00BB3607" w:rsidRPr="00EC2AB3" w:rsidRDefault="00BB3607" w:rsidP="00BB3607">
      <w:pPr>
        <w:pStyle w:val="ListParagraph"/>
        <w:spacing w:after="200" w:line="276" w:lineRule="auto"/>
        <w:ind w:left="360"/>
        <w:jc w:val="center"/>
        <w:rPr>
          <w:rFonts w:ascii="Calibri" w:hAnsi="Calibri" w:cs="Calibri"/>
          <w:b/>
        </w:rPr>
      </w:pPr>
      <w:r w:rsidRPr="00EC2AB3">
        <w:rPr>
          <w:rFonts w:ascii="Calibri" w:hAnsi="Calibri" w:cs="Calibri"/>
          <w:b/>
        </w:rPr>
        <w:lastRenderedPageBreak/>
        <w:t>Gráfico</w:t>
      </w:r>
      <w:r w:rsidR="005F7966">
        <w:rPr>
          <w:rFonts w:ascii="Calibri" w:hAnsi="Calibri" w:cs="Calibri"/>
          <w:b/>
        </w:rPr>
        <w:t xml:space="preserve"> 5.35</w:t>
      </w:r>
      <w:r>
        <w:rPr>
          <w:rFonts w:ascii="Calibri" w:hAnsi="Calibri" w:cs="Calibri"/>
          <w:b/>
        </w:rPr>
        <w:t>.</w:t>
      </w:r>
      <w:r w:rsidRPr="00EC2AB3">
        <w:rPr>
          <w:rFonts w:ascii="Calibri" w:hAnsi="Calibri" w:cs="Calibri"/>
          <w:b/>
        </w:rPr>
        <w:t xml:space="preserve"> Posibilidades de participación en otras actividades académicas, científicas y de innovación a partir de la obtención de la beca</w:t>
      </w:r>
    </w:p>
    <w:p w:rsidR="00BB3607" w:rsidRDefault="00BB3607" w:rsidP="00FC352D">
      <w:pPr>
        <w:spacing w:line="276" w:lineRule="auto"/>
        <w:jc w:val="center"/>
        <w:rPr>
          <w:rFonts w:ascii="Calibri" w:hAnsi="Calibri" w:cs="Calibri"/>
          <w:sz w:val="18"/>
          <w:szCs w:val="18"/>
        </w:rPr>
      </w:pPr>
      <w:r w:rsidRPr="00D440A5">
        <w:rPr>
          <w:noProof/>
          <w:lang w:val="es-ES_tradnl" w:eastAsia="es-ES_tradnl"/>
        </w:rPr>
        <w:drawing>
          <wp:inline distT="0" distB="0" distL="0" distR="0" wp14:anchorId="5AB36611" wp14:editId="2F5F7A03">
            <wp:extent cx="4295954" cy="2090411"/>
            <wp:effectExtent l="0" t="0" r="0" b="5715"/>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96366" cy="2090612"/>
                    </a:xfrm>
                    <a:prstGeom prst="rect">
                      <a:avLst/>
                    </a:prstGeom>
                    <a:noFill/>
                    <a:ln>
                      <a:noFill/>
                    </a:ln>
                  </pic:spPr>
                </pic:pic>
              </a:graphicData>
            </a:graphic>
          </wp:inline>
        </w:drawing>
      </w:r>
    </w:p>
    <w:p w:rsidR="00BB3607" w:rsidRPr="00B524B8" w:rsidRDefault="00BB3607" w:rsidP="00171404">
      <w:pPr>
        <w:spacing w:line="276" w:lineRule="auto"/>
        <w:jc w:val="center"/>
        <w:rPr>
          <w:rStyle w:val="Emphasis"/>
          <w:rFonts w:ascii="Calibri" w:hAnsi="Calibri" w:cs="Calibri"/>
          <w:i w:val="0"/>
        </w:rPr>
      </w:pPr>
      <w:r w:rsidRPr="00B524B8">
        <w:rPr>
          <w:rFonts w:ascii="Calibri" w:hAnsi="Calibri" w:cs="Calibri"/>
          <w:sz w:val="18"/>
          <w:szCs w:val="18"/>
        </w:rPr>
        <w:t xml:space="preserve">Fuente: </w:t>
      </w:r>
      <w:r>
        <w:rPr>
          <w:rFonts w:ascii="Calibri" w:hAnsi="Calibri" w:cs="Calibri"/>
          <w:sz w:val="18"/>
          <w:szCs w:val="18"/>
        </w:rPr>
        <w:t xml:space="preserve">Innovos Group </w:t>
      </w:r>
      <w:r w:rsidRPr="00B524B8">
        <w:rPr>
          <w:rFonts w:ascii="Calibri" w:hAnsi="Calibri" w:cs="Calibri"/>
          <w:sz w:val="18"/>
          <w:szCs w:val="18"/>
        </w:rPr>
        <w:t>en b</w:t>
      </w:r>
      <w:r w:rsidR="00FC352D">
        <w:rPr>
          <w:rFonts w:ascii="Calibri" w:hAnsi="Calibri" w:cs="Calibri"/>
          <w:sz w:val="18"/>
          <w:szCs w:val="18"/>
        </w:rPr>
        <w:t>ase a resultados de la encuesta</w:t>
      </w:r>
    </w:p>
    <w:p w:rsidR="005D233E" w:rsidRPr="000A7860" w:rsidRDefault="005D233E" w:rsidP="005D233E">
      <w:pPr>
        <w:pStyle w:val="ListParagraph"/>
        <w:spacing w:before="120" w:after="120" w:line="288" w:lineRule="auto"/>
        <w:ind w:left="0"/>
        <w:contextualSpacing w:val="0"/>
        <w:jc w:val="both"/>
        <w:rPr>
          <w:rStyle w:val="Emphasis"/>
          <w:rFonts w:ascii="Calibri" w:hAnsi="Calibri" w:cs="Calibri"/>
          <w:b/>
          <w:i w:val="0"/>
        </w:rPr>
      </w:pPr>
      <w:r w:rsidRPr="000A7860">
        <w:rPr>
          <w:rStyle w:val="Emphasis"/>
          <w:rFonts w:ascii="Calibri" w:hAnsi="Calibri" w:cs="Calibri"/>
          <w:b/>
          <w:i w:val="0"/>
        </w:rPr>
        <w:t>Respecto de la sostenibilidad</w:t>
      </w:r>
    </w:p>
    <w:p w:rsidR="009A1701" w:rsidRDefault="000A7860" w:rsidP="000A7860">
      <w:pPr>
        <w:spacing w:before="120" w:after="120" w:line="288" w:lineRule="auto"/>
        <w:jc w:val="both"/>
        <w:rPr>
          <w:rStyle w:val="Emphasis"/>
          <w:rFonts w:ascii="Calibri" w:hAnsi="Calibri" w:cs="Calibri"/>
          <w:i w:val="0"/>
        </w:rPr>
      </w:pPr>
      <w:r w:rsidRPr="00B524B8">
        <w:rPr>
          <w:rStyle w:val="Emphasis"/>
          <w:rFonts w:ascii="Calibri" w:hAnsi="Calibri" w:cs="Calibri"/>
          <w:i w:val="0"/>
        </w:rPr>
        <w:t xml:space="preserve">Los </w:t>
      </w:r>
      <w:r>
        <w:rPr>
          <w:rStyle w:val="Emphasis"/>
          <w:rFonts w:ascii="Calibri" w:hAnsi="Calibri" w:cs="Calibri"/>
          <w:i w:val="0"/>
        </w:rPr>
        <w:t>estudiante</w:t>
      </w:r>
      <w:r w:rsidRPr="00B524B8">
        <w:rPr>
          <w:rStyle w:val="Emphasis"/>
          <w:rFonts w:ascii="Calibri" w:hAnsi="Calibri" w:cs="Calibri"/>
          <w:i w:val="0"/>
        </w:rPr>
        <w:t xml:space="preserve">s en general esperaban mejorar sus posibilidades de inserción laboral en el medio académico luego de completar su formación de postgrado. </w:t>
      </w:r>
    </w:p>
    <w:p w:rsidR="000A7860" w:rsidRPr="00B524B8" w:rsidRDefault="000A7860" w:rsidP="000A7860">
      <w:pPr>
        <w:spacing w:before="120" w:after="120" w:line="288" w:lineRule="auto"/>
        <w:jc w:val="both"/>
        <w:rPr>
          <w:rStyle w:val="Emphasis"/>
          <w:rFonts w:ascii="Calibri" w:hAnsi="Calibri" w:cs="Calibri"/>
          <w:i w:val="0"/>
        </w:rPr>
      </w:pPr>
      <w:r w:rsidRPr="00B524B8">
        <w:rPr>
          <w:rStyle w:val="Emphasis"/>
          <w:rFonts w:ascii="Calibri" w:hAnsi="Calibri" w:cs="Calibri"/>
          <w:i w:val="0"/>
        </w:rPr>
        <w:t>En este sentido, los becarios presentan diferente tipo de situaciones</w:t>
      </w:r>
      <w:r>
        <w:rPr>
          <w:rStyle w:val="FootnoteReference"/>
          <w:rFonts w:ascii="Calibri" w:hAnsi="Calibri"/>
          <w:iCs/>
        </w:rPr>
        <w:footnoteReference w:id="26"/>
      </w:r>
      <w:r w:rsidRPr="00B524B8">
        <w:rPr>
          <w:rStyle w:val="Emphasis"/>
          <w:rFonts w:ascii="Calibri" w:hAnsi="Calibri" w:cs="Calibri"/>
          <w:i w:val="0"/>
        </w:rPr>
        <w:t>:</w:t>
      </w:r>
    </w:p>
    <w:p w:rsidR="000A7860" w:rsidRPr="00B524B8" w:rsidRDefault="000A7860" w:rsidP="002D7EE9">
      <w:pPr>
        <w:pStyle w:val="ListParagraph"/>
        <w:numPr>
          <w:ilvl w:val="0"/>
          <w:numId w:val="1"/>
        </w:numPr>
        <w:spacing w:before="120" w:after="120" w:line="288" w:lineRule="auto"/>
        <w:contextualSpacing w:val="0"/>
        <w:jc w:val="both"/>
        <w:rPr>
          <w:rStyle w:val="Emphasis"/>
          <w:rFonts w:ascii="Calibri" w:eastAsia="Calibri" w:hAnsi="Calibri" w:cs="Calibri"/>
          <w:i w:val="0"/>
          <w:lang w:val="es-AR" w:eastAsia="en-US"/>
        </w:rPr>
      </w:pPr>
      <w:r w:rsidRPr="00B524B8">
        <w:rPr>
          <w:rStyle w:val="Emphasis"/>
          <w:rFonts w:ascii="Calibri" w:eastAsia="Calibri" w:hAnsi="Calibri" w:cs="Calibri"/>
          <w:i w:val="0"/>
          <w:lang w:val="es-AR" w:eastAsia="en-US"/>
        </w:rPr>
        <w:t>Algunos de ellos han conseguido insertarse de manera incipiente en el medio académico en Paraguay –realizando actividades docentes y</w:t>
      </w:r>
      <w:r w:rsidR="00A21539">
        <w:rPr>
          <w:rStyle w:val="Emphasis"/>
          <w:rFonts w:ascii="Calibri" w:eastAsia="Calibri" w:hAnsi="Calibri" w:cs="Calibri"/>
          <w:i w:val="0"/>
          <w:lang w:val="es-AR" w:eastAsia="en-US"/>
        </w:rPr>
        <w:t xml:space="preserve"> como orientadores de tesis </w:t>
      </w:r>
      <w:r w:rsidRPr="00B524B8">
        <w:rPr>
          <w:rStyle w:val="Emphasis"/>
          <w:rFonts w:ascii="Calibri" w:eastAsia="Calibri" w:hAnsi="Calibri" w:cs="Calibri"/>
          <w:i w:val="0"/>
          <w:lang w:val="es-AR" w:eastAsia="en-US"/>
        </w:rPr>
        <w:t>y</w:t>
      </w:r>
      <w:r w:rsidR="00A21539">
        <w:rPr>
          <w:rStyle w:val="Emphasis"/>
          <w:rFonts w:ascii="Calibri" w:eastAsia="Calibri" w:hAnsi="Calibri" w:cs="Calibri"/>
          <w:i w:val="0"/>
          <w:lang w:val="es-AR" w:eastAsia="en-US"/>
        </w:rPr>
        <w:t>,</w:t>
      </w:r>
      <w:r w:rsidRPr="00B524B8">
        <w:rPr>
          <w:rStyle w:val="Emphasis"/>
          <w:rFonts w:ascii="Calibri" w:eastAsia="Calibri" w:hAnsi="Calibri" w:cs="Calibri"/>
          <w:i w:val="0"/>
          <w:lang w:val="es-AR" w:eastAsia="en-US"/>
        </w:rPr>
        <w:t xml:space="preserve"> en menor medida</w:t>
      </w:r>
      <w:r w:rsidR="00A21539">
        <w:rPr>
          <w:rStyle w:val="Emphasis"/>
          <w:rFonts w:ascii="Calibri" w:eastAsia="Calibri" w:hAnsi="Calibri" w:cs="Calibri"/>
          <w:i w:val="0"/>
          <w:lang w:val="es-AR" w:eastAsia="en-US"/>
        </w:rPr>
        <w:t>,</w:t>
      </w:r>
      <w:r w:rsidRPr="00B524B8">
        <w:rPr>
          <w:rStyle w:val="Emphasis"/>
          <w:rFonts w:ascii="Calibri" w:eastAsia="Calibri" w:hAnsi="Calibri" w:cs="Calibri"/>
          <w:i w:val="0"/>
          <w:lang w:val="es-AR" w:eastAsia="en-US"/>
        </w:rPr>
        <w:t xml:space="preserve"> en equipos de investigación (principalmente en el IICS-UNA).</w:t>
      </w:r>
    </w:p>
    <w:p w:rsidR="000A7860" w:rsidRPr="00B524B8" w:rsidRDefault="000A7860" w:rsidP="002D7EE9">
      <w:pPr>
        <w:pStyle w:val="ListParagraph"/>
        <w:numPr>
          <w:ilvl w:val="0"/>
          <w:numId w:val="1"/>
        </w:numPr>
        <w:spacing w:before="120" w:after="120" w:line="288" w:lineRule="auto"/>
        <w:contextualSpacing w:val="0"/>
        <w:jc w:val="both"/>
        <w:rPr>
          <w:rStyle w:val="Emphasis"/>
          <w:rFonts w:ascii="Calibri" w:eastAsia="Calibri" w:hAnsi="Calibri" w:cs="Calibri"/>
          <w:i w:val="0"/>
          <w:lang w:val="es-AR" w:eastAsia="en-US"/>
        </w:rPr>
      </w:pPr>
      <w:r w:rsidRPr="00B524B8">
        <w:rPr>
          <w:rStyle w:val="Emphasis"/>
          <w:rFonts w:ascii="Calibri" w:eastAsia="Calibri" w:hAnsi="Calibri" w:cs="Calibri"/>
          <w:i w:val="0"/>
          <w:lang w:val="es-AR" w:eastAsia="en-US"/>
        </w:rPr>
        <w:t>Otros becarios han logrado insertarse en el medio académico en universidades del extranjero, con mejores condiciones en algunos casos –por ejemplo, becarios de programas de doctorado en CONICET (Argentina), en equipos de investigación de la Universidad Nacional de La Plata (Argentina), en universidades en Uruguay, entre otras.</w:t>
      </w:r>
    </w:p>
    <w:p w:rsidR="000A7860" w:rsidRPr="00B524B8" w:rsidRDefault="000A7860" w:rsidP="002D7EE9">
      <w:pPr>
        <w:pStyle w:val="ListParagraph"/>
        <w:numPr>
          <w:ilvl w:val="0"/>
          <w:numId w:val="1"/>
        </w:numPr>
        <w:spacing w:before="120" w:after="120" w:line="288" w:lineRule="auto"/>
        <w:contextualSpacing w:val="0"/>
        <w:jc w:val="both"/>
        <w:rPr>
          <w:rStyle w:val="Emphasis"/>
          <w:rFonts w:ascii="Calibri" w:eastAsia="Calibri" w:hAnsi="Calibri" w:cs="Calibri"/>
          <w:i w:val="0"/>
          <w:lang w:val="es-AR" w:eastAsia="en-US"/>
        </w:rPr>
      </w:pPr>
      <w:r w:rsidRPr="00B524B8">
        <w:rPr>
          <w:rStyle w:val="Emphasis"/>
          <w:rFonts w:ascii="Calibri" w:eastAsia="Calibri" w:hAnsi="Calibri" w:cs="Calibri"/>
          <w:i w:val="0"/>
          <w:lang w:val="es-AR" w:eastAsia="en-US"/>
        </w:rPr>
        <w:t>Otro grupo de becarios han retornado al sector privado u organismos gubernamentales (Laboratorio de Productos Eticos C.E.I.S.A., Secretaría de Medio Ambiente de la Municipalidad de Obligado, Sección de Informática de la Corte Suprema de Justicia, Laboratorio Central de Salud Pública, Instituto Paraguayo de Tecnología Agraria, entre otros);</w:t>
      </w:r>
    </w:p>
    <w:p w:rsidR="000A7860" w:rsidRPr="00B524B8" w:rsidRDefault="000A7860" w:rsidP="002D7EE9">
      <w:pPr>
        <w:pStyle w:val="ListParagraph"/>
        <w:numPr>
          <w:ilvl w:val="0"/>
          <w:numId w:val="1"/>
        </w:numPr>
        <w:spacing w:before="120" w:after="120" w:line="288" w:lineRule="auto"/>
        <w:contextualSpacing w:val="0"/>
        <w:jc w:val="both"/>
        <w:rPr>
          <w:rStyle w:val="Emphasis"/>
          <w:rFonts w:ascii="Calibri" w:eastAsia="Calibri" w:hAnsi="Calibri" w:cs="Calibri"/>
          <w:i w:val="0"/>
          <w:lang w:val="es-AR" w:eastAsia="en-US"/>
        </w:rPr>
      </w:pPr>
      <w:r w:rsidRPr="00B524B8">
        <w:rPr>
          <w:rStyle w:val="Emphasis"/>
          <w:rFonts w:ascii="Calibri" w:eastAsia="Calibri" w:hAnsi="Calibri" w:cs="Calibri"/>
          <w:i w:val="0"/>
          <w:lang w:val="es-AR" w:eastAsia="en-US"/>
        </w:rPr>
        <w:t>Finalmente, un 16% de los becarios encuestados manifestó que actualmente se encuentran sin trabajo.</w:t>
      </w:r>
    </w:p>
    <w:p w:rsidR="000A7860" w:rsidRDefault="000A7860" w:rsidP="000A7860">
      <w:pPr>
        <w:spacing w:before="120" w:after="120" w:line="288" w:lineRule="auto"/>
        <w:jc w:val="both"/>
        <w:rPr>
          <w:rStyle w:val="Emphasis"/>
          <w:rFonts w:ascii="Calibri" w:hAnsi="Calibri" w:cs="Calibri"/>
          <w:i w:val="0"/>
          <w:lang w:val="es-AR"/>
        </w:rPr>
      </w:pPr>
      <w:r w:rsidRPr="00B524B8">
        <w:rPr>
          <w:rStyle w:val="Emphasis"/>
          <w:rFonts w:ascii="Calibri" w:hAnsi="Calibri" w:cs="Calibri"/>
          <w:i w:val="0"/>
          <w:lang w:val="es-AR"/>
        </w:rPr>
        <w:lastRenderedPageBreak/>
        <w:t>No se perciben, por parte de los becarios, políticas claras y efectivas en cuanto a la retención e inserción laboral de los becarios (</w:t>
      </w:r>
      <w:r>
        <w:rPr>
          <w:rStyle w:val="Emphasis"/>
          <w:rFonts w:ascii="Calibri" w:hAnsi="Calibri" w:cs="Calibri"/>
          <w:i w:val="0"/>
          <w:lang w:val="es-AR"/>
        </w:rPr>
        <w:t xml:space="preserve">según la </w:t>
      </w:r>
      <w:r w:rsidRPr="00B524B8">
        <w:rPr>
          <w:rStyle w:val="Emphasis"/>
          <w:rFonts w:ascii="Calibri" w:hAnsi="Calibri" w:cs="Calibri"/>
          <w:i w:val="0"/>
          <w:lang w:val="es-AR"/>
        </w:rPr>
        <w:t>encuesta</w:t>
      </w:r>
      <w:r>
        <w:rPr>
          <w:rStyle w:val="Emphasis"/>
          <w:rFonts w:ascii="Calibri" w:hAnsi="Calibri" w:cs="Calibri"/>
          <w:i w:val="0"/>
          <w:lang w:val="es-AR"/>
        </w:rPr>
        <w:t>, el</w:t>
      </w:r>
      <w:r w:rsidRPr="00B524B8">
        <w:rPr>
          <w:rStyle w:val="Emphasis"/>
          <w:rFonts w:ascii="Calibri" w:hAnsi="Calibri" w:cs="Calibri"/>
          <w:i w:val="0"/>
          <w:lang w:val="es-AR"/>
        </w:rPr>
        <w:t xml:space="preserve"> 16% no está trabajando), lo cual repercute en una subutilización de la formación recibida o bien en la inserción académica y profesional en el extranjero, debilitando el fortalecimiento del desarrollo científico-tecnológico en Paraguay. Esta percepción se incrementa en el caso de los becarios de postgrados nacionales.</w:t>
      </w:r>
    </w:p>
    <w:p w:rsidR="005A2072" w:rsidRPr="00B524B8" w:rsidRDefault="005A2072" w:rsidP="000A7860">
      <w:pPr>
        <w:spacing w:before="120" w:after="120" w:line="288" w:lineRule="auto"/>
        <w:jc w:val="both"/>
        <w:rPr>
          <w:rStyle w:val="Emphasis"/>
          <w:rFonts w:ascii="Calibri" w:hAnsi="Calibri" w:cs="Calibri"/>
          <w:i w:val="0"/>
          <w:lang w:val="es-AR"/>
        </w:rPr>
      </w:pPr>
    </w:p>
    <w:p w:rsidR="005734DE" w:rsidRDefault="005734DE" w:rsidP="002D7EE9">
      <w:pPr>
        <w:pStyle w:val="Heading3"/>
        <w:numPr>
          <w:ilvl w:val="2"/>
          <w:numId w:val="4"/>
        </w:numPr>
        <w:rPr>
          <w:rStyle w:val="Emphasis"/>
          <w:rFonts w:cs="Calibri"/>
          <w:i/>
        </w:rPr>
      </w:pPr>
      <w:bookmarkStart w:id="221" w:name="_Toc375211991"/>
      <w:r>
        <w:rPr>
          <w:rStyle w:val="Emphasis"/>
          <w:rFonts w:cs="Calibri"/>
          <w:i/>
        </w:rPr>
        <w:t>Conclusiones y recomendaciones</w:t>
      </w:r>
      <w:bookmarkEnd w:id="221"/>
    </w:p>
    <w:p w:rsidR="00D4326F" w:rsidRPr="006C58AB" w:rsidRDefault="00D4326F" w:rsidP="002D7EE9">
      <w:pPr>
        <w:pStyle w:val="ListParagraph"/>
        <w:keepNext/>
        <w:widowControl w:val="0"/>
        <w:numPr>
          <w:ilvl w:val="1"/>
          <w:numId w:val="3"/>
        </w:numPr>
        <w:tabs>
          <w:tab w:val="left" w:pos="0"/>
        </w:tabs>
        <w:spacing w:after="240" w:line="276" w:lineRule="auto"/>
        <w:contextualSpacing w:val="0"/>
        <w:jc w:val="both"/>
        <w:outlineLvl w:val="2"/>
        <w:rPr>
          <w:rStyle w:val="Emphasis"/>
          <w:rFonts w:ascii="Calibri" w:hAnsi="Calibri" w:cs="Calibri"/>
          <w:b/>
          <w:vanish/>
          <w:lang w:val="es-ES_tradnl" w:eastAsia="en-US"/>
        </w:rPr>
      </w:pPr>
      <w:bookmarkStart w:id="222" w:name="_Toc367283359"/>
      <w:bookmarkStart w:id="223" w:name="_Toc367364311"/>
      <w:bookmarkStart w:id="224" w:name="_Toc367386215"/>
      <w:bookmarkStart w:id="225" w:name="_Toc367386272"/>
      <w:bookmarkStart w:id="226" w:name="_Toc367386428"/>
      <w:bookmarkStart w:id="227" w:name="_Toc367393011"/>
      <w:bookmarkStart w:id="228" w:name="_Toc367393295"/>
      <w:bookmarkStart w:id="229" w:name="_Toc367441074"/>
      <w:bookmarkStart w:id="230" w:name="_Toc367445808"/>
      <w:bookmarkStart w:id="231" w:name="_Toc370915132"/>
      <w:bookmarkStart w:id="232" w:name="_Toc372633775"/>
      <w:bookmarkStart w:id="233" w:name="_Toc372635390"/>
      <w:bookmarkStart w:id="234" w:name="_Toc372925356"/>
      <w:bookmarkStart w:id="235" w:name="_Toc372928093"/>
      <w:bookmarkStart w:id="236" w:name="_Toc372928400"/>
      <w:bookmarkStart w:id="237" w:name="_Toc372972647"/>
      <w:bookmarkStart w:id="238" w:name="_Toc373246241"/>
      <w:bookmarkStart w:id="239" w:name="_Toc373422246"/>
      <w:bookmarkStart w:id="240" w:name="_Toc373431282"/>
      <w:bookmarkStart w:id="241" w:name="_Toc373434418"/>
      <w:bookmarkStart w:id="242" w:name="_Toc373503993"/>
      <w:bookmarkStart w:id="243" w:name="_Toc373504440"/>
      <w:bookmarkStart w:id="244" w:name="_Toc375091212"/>
      <w:bookmarkStart w:id="245" w:name="_Toc375092792"/>
      <w:bookmarkStart w:id="246" w:name="_Toc375148609"/>
      <w:bookmarkStart w:id="247" w:name="_Toc375150281"/>
      <w:bookmarkStart w:id="248" w:name="_Toc375211992"/>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6A6F11" w:rsidRPr="006A6F11" w:rsidRDefault="006A6F11" w:rsidP="006A6F11">
      <w:pPr>
        <w:spacing w:before="120" w:after="120" w:line="288" w:lineRule="auto"/>
        <w:jc w:val="both"/>
        <w:rPr>
          <w:rStyle w:val="Emphasis"/>
          <w:rFonts w:ascii="Calibri" w:hAnsi="Calibri" w:cs="Calibri"/>
          <w:i w:val="0"/>
        </w:rPr>
      </w:pPr>
      <w:r w:rsidRPr="006A6F11">
        <w:rPr>
          <w:rStyle w:val="Emphasis"/>
          <w:rFonts w:ascii="Calibri" w:hAnsi="Calibri" w:cs="Calibri"/>
          <w:i w:val="0"/>
        </w:rPr>
        <w:t xml:space="preserve">Las </w:t>
      </w:r>
      <w:r w:rsidRPr="006A6F11">
        <w:rPr>
          <w:rStyle w:val="Emphasis"/>
          <w:rFonts w:ascii="Calibri" w:hAnsi="Calibri" w:cs="Calibri"/>
          <w:b/>
        </w:rPr>
        <w:t>becas para postgrados nacionales</w:t>
      </w:r>
      <w:r w:rsidRPr="006A6F11">
        <w:rPr>
          <w:rStyle w:val="Emphasis"/>
          <w:rFonts w:ascii="Calibri" w:hAnsi="Calibri" w:cs="Calibri"/>
          <w:i w:val="0"/>
        </w:rPr>
        <w:t xml:space="preserve"> principalmente permitieron la dedicación exclusiva de los estudiantes a la formación de postgrado con orientación a investigación y docencia.</w:t>
      </w:r>
    </w:p>
    <w:p w:rsidR="006A6F11" w:rsidRPr="006A6F11" w:rsidRDefault="006A6F11" w:rsidP="006A6F11">
      <w:pPr>
        <w:spacing w:before="120" w:after="120" w:line="288" w:lineRule="auto"/>
        <w:jc w:val="both"/>
        <w:rPr>
          <w:rStyle w:val="Emphasis"/>
          <w:rFonts w:ascii="Calibri" w:hAnsi="Calibri" w:cs="Calibri"/>
          <w:i w:val="0"/>
        </w:rPr>
      </w:pPr>
      <w:r w:rsidRPr="006A6F11">
        <w:rPr>
          <w:rStyle w:val="Emphasis"/>
          <w:rFonts w:ascii="Calibri" w:hAnsi="Calibri" w:cs="Calibri"/>
          <w:i w:val="0"/>
        </w:rPr>
        <w:t xml:space="preserve">Para el caso de </w:t>
      </w:r>
      <w:r w:rsidRPr="006A6F11">
        <w:rPr>
          <w:rStyle w:val="Emphasis"/>
          <w:rFonts w:ascii="Calibri" w:hAnsi="Calibri" w:cs="Calibri"/>
          <w:b/>
        </w:rPr>
        <w:t>becas cortas</w:t>
      </w:r>
      <w:r w:rsidRPr="006A6F11">
        <w:rPr>
          <w:rStyle w:val="Emphasis"/>
          <w:rFonts w:ascii="Calibri" w:hAnsi="Calibri" w:cs="Calibri"/>
          <w:i w:val="0"/>
        </w:rPr>
        <w:t xml:space="preserve"> no conducentes a título en el extranjero, la beca recibida contribuyó principalmente a fortalecer un área específica de su formación y/o actividad profesional. En general, se trató de aprovechar la beca para fortalecer el perfil de docente, investigador o profesional, tanto en universidades como en empresas. Se buscaba principalmente formación y práctica en diferentes temáticas, así como también la posibilidad de generar redes y/o producción científica (escritura y publicación de tesis, artículos, etc.)</w:t>
      </w:r>
    </w:p>
    <w:p w:rsidR="006A6F11" w:rsidRPr="006A6F11" w:rsidRDefault="006A6F11" w:rsidP="006A6F11">
      <w:pPr>
        <w:spacing w:before="120" w:after="120" w:line="288" w:lineRule="auto"/>
        <w:jc w:val="both"/>
        <w:rPr>
          <w:rStyle w:val="Emphasis"/>
          <w:rFonts w:ascii="Calibri" w:hAnsi="Calibri" w:cs="Calibri"/>
          <w:i w:val="0"/>
        </w:rPr>
      </w:pPr>
      <w:r w:rsidRPr="006A6F11">
        <w:rPr>
          <w:rStyle w:val="Emphasis"/>
          <w:rFonts w:ascii="Calibri" w:hAnsi="Calibri" w:cs="Calibri"/>
          <w:i w:val="0"/>
        </w:rPr>
        <w:t xml:space="preserve">Respecto de las </w:t>
      </w:r>
      <w:r w:rsidRPr="006A6F11">
        <w:rPr>
          <w:rStyle w:val="Emphasis"/>
          <w:rFonts w:ascii="Calibri" w:hAnsi="Calibri" w:cs="Calibri"/>
          <w:b/>
        </w:rPr>
        <w:t>becas de apoyo complementario</w:t>
      </w:r>
      <w:r w:rsidRPr="006A6F11">
        <w:rPr>
          <w:rStyle w:val="Emphasis"/>
          <w:rFonts w:ascii="Calibri" w:hAnsi="Calibri" w:cs="Calibri"/>
          <w:i w:val="0"/>
        </w:rPr>
        <w:t xml:space="preserve"> para formación de postgrado en el extranjero, en general la postulación se realizó para conseguir financiamiento parcial o bien un apoyo a otro financiamiento ya obtenido para la realización de carreras de postgrado en el extranjero. Este financiamiento parcial complementó el financiamiento con recursos propios de algunos de los becarios. En otros casos ya se contaba con alguna beca de otra institución y el financiamiento se solicitó para finalizar tesis, compra de bibliografía y compra de pasajes aéreos.</w:t>
      </w:r>
    </w:p>
    <w:p w:rsidR="00D4326F" w:rsidRPr="000A7860" w:rsidRDefault="00D4326F" w:rsidP="000A7860">
      <w:pPr>
        <w:spacing w:before="120" w:after="120" w:line="288" w:lineRule="auto"/>
        <w:jc w:val="both"/>
        <w:rPr>
          <w:rStyle w:val="Emphasis"/>
          <w:rFonts w:ascii="Calibri" w:hAnsi="Calibri" w:cs="Calibri"/>
          <w:i w:val="0"/>
          <w:lang w:val="es-AR"/>
        </w:rPr>
      </w:pPr>
      <w:r w:rsidRPr="000A7860">
        <w:rPr>
          <w:rStyle w:val="Emphasis"/>
          <w:rFonts w:ascii="Calibri" w:hAnsi="Calibri" w:cs="Calibri"/>
          <w:i w:val="0"/>
          <w:lang w:val="es-AR"/>
        </w:rPr>
        <w:t>A partir del análisis realizado, se presentan a continuación una serie de recomendaciones para acciones a futuro vinculadas a la política de beca</w:t>
      </w:r>
      <w:r w:rsidR="006A6F11">
        <w:rPr>
          <w:rStyle w:val="Emphasis"/>
          <w:rFonts w:ascii="Calibri" w:hAnsi="Calibri" w:cs="Calibri"/>
          <w:i w:val="0"/>
          <w:lang w:val="es-AR"/>
        </w:rPr>
        <w:t xml:space="preserve">s para la formación de recursos </w:t>
      </w:r>
      <w:r w:rsidRPr="000A7860">
        <w:rPr>
          <w:rStyle w:val="Emphasis"/>
          <w:rFonts w:ascii="Calibri" w:hAnsi="Calibri" w:cs="Calibri"/>
          <w:i w:val="0"/>
          <w:lang w:val="es-AR"/>
        </w:rPr>
        <w:t>humanos en ciencia, tecnología e innovación.</w:t>
      </w:r>
    </w:p>
    <w:p w:rsidR="001C38AA" w:rsidRPr="001C38AA" w:rsidRDefault="001C38AA" w:rsidP="000A7860">
      <w:pPr>
        <w:spacing w:before="120" w:after="120" w:line="288" w:lineRule="auto"/>
        <w:jc w:val="both"/>
        <w:rPr>
          <w:rStyle w:val="Emphasis"/>
          <w:rFonts w:ascii="Calibri" w:hAnsi="Calibri" w:cs="Calibri"/>
          <w:b/>
          <w:i w:val="0"/>
          <w:lang w:val="es-AR"/>
        </w:rPr>
      </w:pPr>
      <w:r w:rsidRPr="001C38AA">
        <w:rPr>
          <w:rStyle w:val="Emphasis"/>
          <w:rFonts w:ascii="Calibri" w:hAnsi="Calibri" w:cs="Calibri"/>
          <w:b/>
          <w:i w:val="0"/>
          <w:lang w:val="es-AR"/>
        </w:rPr>
        <w:t>Relevancia y eficacia</w:t>
      </w:r>
    </w:p>
    <w:p w:rsidR="00B43238" w:rsidRDefault="00B43238" w:rsidP="00B43238">
      <w:pPr>
        <w:pStyle w:val="ListParagraph"/>
        <w:spacing w:before="120" w:after="120" w:line="288" w:lineRule="auto"/>
        <w:ind w:left="0"/>
        <w:contextualSpacing w:val="0"/>
        <w:jc w:val="both"/>
        <w:rPr>
          <w:rStyle w:val="Emphasis"/>
          <w:rFonts w:ascii="Calibri" w:hAnsi="Calibri" w:cs="Calibri"/>
          <w:i w:val="0"/>
        </w:rPr>
      </w:pPr>
      <w:r w:rsidRPr="006B3598">
        <w:rPr>
          <w:rStyle w:val="Emphasis"/>
          <w:rFonts w:ascii="Calibri" w:hAnsi="Calibri" w:cs="Calibri"/>
          <w:u w:val="single"/>
        </w:rPr>
        <w:t>Revisión de requisitos</w:t>
      </w:r>
      <w:r>
        <w:rPr>
          <w:rStyle w:val="Emphasis"/>
          <w:rFonts w:ascii="Calibri" w:hAnsi="Calibri" w:cs="Calibri"/>
          <w:u w:val="single"/>
        </w:rPr>
        <w:t xml:space="preserve"> y </w:t>
      </w:r>
      <w:r w:rsidRPr="006B3598">
        <w:rPr>
          <w:rStyle w:val="Emphasis"/>
          <w:rFonts w:ascii="Calibri" w:hAnsi="Calibri" w:cs="Calibri"/>
          <w:u w:val="single"/>
        </w:rPr>
        <w:t>criterios de evaluación</w:t>
      </w:r>
      <w:r>
        <w:rPr>
          <w:rStyle w:val="Emphasis"/>
          <w:rFonts w:ascii="Calibri" w:hAnsi="Calibri" w:cs="Calibri"/>
          <w:i w:val="0"/>
        </w:rPr>
        <w:t xml:space="preserve">. Esta sugerencia propiciaría una mayor inclusión en el subcomponente de becas de </w:t>
      </w:r>
      <w:r w:rsidRPr="00B524B8">
        <w:rPr>
          <w:rStyle w:val="Emphasis"/>
          <w:rFonts w:ascii="Calibri" w:hAnsi="Calibri" w:cs="Calibri"/>
          <w:i w:val="0"/>
        </w:rPr>
        <w:t xml:space="preserve">personas más jóvenes. </w:t>
      </w:r>
      <w:r>
        <w:rPr>
          <w:rStyle w:val="Emphasis"/>
          <w:rFonts w:ascii="Calibri" w:hAnsi="Calibri" w:cs="Calibri"/>
          <w:i w:val="0"/>
        </w:rPr>
        <w:t xml:space="preserve">Otra alternativa sería </w:t>
      </w:r>
      <w:r w:rsidRPr="00B524B8">
        <w:rPr>
          <w:rStyle w:val="Emphasis"/>
          <w:rFonts w:ascii="Calibri" w:hAnsi="Calibri" w:cs="Calibri"/>
          <w:i w:val="0"/>
        </w:rPr>
        <w:t>des</w:t>
      </w:r>
      <w:r>
        <w:rPr>
          <w:rStyle w:val="Emphasis"/>
          <w:rFonts w:ascii="Calibri" w:hAnsi="Calibri" w:cs="Calibri"/>
          <w:i w:val="0"/>
        </w:rPr>
        <w:t>tinar específicamente recursos y/o</w:t>
      </w:r>
      <w:r w:rsidRPr="00B524B8">
        <w:rPr>
          <w:rStyle w:val="Emphasis"/>
          <w:rFonts w:ascii="Calibri" w:hAnsi="Calibri" w:cs="Calibri"/>
          <w:i w:val="0"/>
        </w:rPr>
        <w:t xml:space="preserve"> oferta de convocatorias para jóvenes en formación/recién graduados.</w:t>
      </w:r>
    </w:p>
    <w:p w:rsidR="00B43238" w:rsidRPr="00B43238" w:rsidRDefault="006A6F11" w:rsidP="001C38AA">
      <w:pPr>
        <w:pStyle w:val="ListParagraph"/>
        <w:spacing w:before="120" w:after="120" w:line="288" w:lineRule="auto"/>
        <w:ind w:left="0"/>
        <w:contextualSpacing w:val="0"/>
        <w:jc w:val="both"/>
        <w:rPr>
          <w:rStyle w:val="Emphasis"/>
          <w:rFonts w:ascii="Calibri" w:hAnsi="Calibri" w:cs="Calibri"/>
          <w:b/>
          <w:i w:val="0"/>
        </w:rPr>
      </w:pPr>
      <w:r>
        <w:rPr>
          <w:rStyle w:val="Emphasis"/>
          <w:rFonts w:ascii="Calibri" w:hAnsi="Calibri" w:cs="Calibri"/>
          <w:b/>
          <w:i w:val="0"/>
        </w:rPr>
        <w:t>Eficiencia</w:t>
      </w:r>
    </w:p>
    <w:p w:rsidR="00606F25" w:rsidRDefault="00606F25" w:rsidP="00606F25">
      <w:pPr>
        <w:pStyle w:val="ListParagraph"/>
        <w:spacing w:before="120" w:after="120" w:line="288" w:lineRule="auto"/>
        <w:ind w:left="0"/>
        <w:contextualSpacing w:val="0"/>
        <w:jc w:val="both"/>
        <w:rPr>
          <w:rStyle w:val="Emphasis"/>
          <w:rFonts w:ascii="Calibri" w:hAnsi="Calibri" w:cs="Calibri"/>
          <w:i w:val="0"/>
        </w:rPr>
      </w:pPr>
      <w:r w:rsidRPr="00EC2AB3">
        <w:rPr>
          <w:rStyle w:val="Emphasis"/>
          <w:rFonts w:ascii="Calibri" w:hAnsi="Calibri" w:cs="Calibri"/>
          <w:u w:val="single"/>
        </w:rPr>
        <w:lastRenderedPageBreak/>
        <w:t>Incrementar el número de becas</w:t>
      </w:r>
      <w:r>
        <w:rPr>
          <w:rStyle w:val="Emphasis"/>
          <w:rFonts w:ascii="Calibri" w:hAnsi="Calibri" w:cs="Calibri"/>
          <w:i w:val="0"/>
        </w:rPr>
        <w:t xml:space="preserve">. Para ello, sería importante tener </w:t>
      </w:r>
      <w:r w:rsidRPr="00B524B8">
        <w:rPr>
          <w:rStyle w:val="Emphasis"/>
          <w:rFonts w:ascii="Calibri" w:hAnsi="Calibri" w:cs="Calibri"/>
          <w:i w:val="0"/>
        </w:rPr>
        <w:t>en cuenta alguna segmentación de la demanda por grado de desarrollo de la ca</w:t>
      </w:r>
      <w:r>
        <w:rPr>
          <w:rStyle w:val="Emphasis"/>
          <w:rFonts w:ascii="Calibri" w:hAnsi="Calibri" w:cs="Calibri"/>
          <w:i w:val="0"/>
        </w:rPr>
        <w:t xml:space="preserve">rrera académica y/o profesional. Además, sería recomendable incrementar </w:t>
      </w:r>
      <w:r w:rsidRPr="00B524B8">
        <w:rPr>
          <w:rStyle w:val="Emphasis"/>
          <w:rFonts w:ascii="Calibri" w:hAnsi="Calibri" w:cs="Calibri"/>
          <w:i w:val="0"/>
        </w:rPr>
        <w:t>el monto de las becas</w:t>
      </w:r>
      <w:r>
        <w:rPr>
          <w:rStyle w:val="Emphasis"/>
          <w:rFonts w:ascii="Calibri" w:hAnsi="Calibri" w:cs="Calibri"/>
          <w:i w:val="0"/>
        </w:rPr>
        <w:t xml:space="preserve">, </w:t>
      </w:r>
      <w:r w:rsidRPr="00B524B8">
        <w:rPr>
          <w:rStyle w:val="Emphasis"/>
          <w:rFonts w:ascii="Calibri" w:hAnsi="Calibri" w:cs="Calibri"/>
          <w:i w:val="0"/>
        </w:rPr>
        <w:t>para el caso de las becas para postgrados nacionales.</w:t>
      </w:r>
    </w:p>
    <w:p w:rsidR="00B43238" w:rsidRPr="00B43238" w:rsidRDefault="00B43238" w:rsidP="000A7860">
      <w:pPr>
        <w:spacing w:before="120" w:after="120" w:line="288" w:lineRule="auto"/>
        <w:jc w:val="both"/>
        <w:rPr>
          <w:rStyle w:val="Emphasis"/>
          <w:rFonts w:ascii="Calibri" w:hAnsi="Calibri" w:cs="Calibri"/>
          <w:b/>
          <w:i w:val="0"/>
        </w:rPr>
      </w:pPr>
      <w:r w:rsidRPr="00B43238">
        <w:rPr>
          <w:rStyle w:val="Emphasis"/>
          <w:rFonts w:ascii="Calibri" w:hAnsi="Calibri" w:cs="Calibri"/>
          <w:b/>
          <w:i w:val="0"/>
        </w:rPr>
        <w:t>Efectos e impacto</w:t>
      </w:r>
    </w:p>
    <w:p w:rsidR="00D4326F" w:rsidRPr="00B524B8" w:rsidRDefault="00D4326F" w:rsidP="00D4326F">
      <w:pPr>
        <w:pStyle w:val="ListParagraph"/>
        <w:spacing w:before="120" w:after="120" w:line="288" w:lineRule="auto"/>
        <w:ind w:left="0"/>
        <w:contextualSpacing w:val="0"/>
        <w:jc w:val="both"/>
        <w:rPr>
          <w:rStyle w:val="Emphasis"/>
          <w:rFonts w:ascii="Calibri" w:hAnsi="Calibri" w:cs="Calibri"/>
          <w:i w:val="0"/>
        </w:rPr>
      </w:pPr>
      <w:r w:rsidRPr="00EC2AB3">
        <w:rPr>
          <w:rStyle w:val="Emphasis"/>
          <w:rFonts w:ascii="Calibri" w:hAnsi="Calibri" w:cs="Calibri"/>
          <w:u w:val="single"/>
        </w:rPr>
        <w:t>Mayor difusión de información respecto de convocatorias, actividades, etc. y también de los logros alcanzados</w:t>
      </w:r>
      <w:r w:rsidRPr="00B524B8">
        <w:rPr>
          <w:rStyle w:val="Emphasis"/>
          <w:rFonts w:ascii="Calibri" w:hAnsi="Calibri" w:cs="Calibri"/>
          <w:i w:val="0"/>
        </w:rPr>
        <w:t xml:space="preserve">. </w:t>
      </w:r>
      <w:r>
        <w:rPr>
          <w:rStyle w:val="Emphasis"/>
          <w:rFonts w:ascii="Calibri" w:hAnsi="Calibri" w:cs="Calibri"/>
          <w:i w:val="0"/>
        </w:rPr>
        <w:t xml:space="preserve">Son muchos los aprendizajes y experiencias de los becarios que aún no han tenido el suficiente aprovechamiento y la difusión. </w:t>
      </w:r>
    </w:p>
    <w:p w:rsidR="00D4326F" w:rsidRPr="00B524B8" w:rsidRDefault="00D4326F" w:rsidP="00D4326F">
      <w:pPr>
        <w:pStyle w:val="ListParagraph"/>
        <w:spacing w:before="120" w:after="120" w:line="288" w:lineRule="auto"/>
        <w:ind w:left="0"/>
        <w:contextualSpacing w:val="0"/>
        <w:jc w:val="both"/>
        <w:rPr>
          <w:rStyle w:val="Emphasis"/>
          <w:rFonts w:ascii="Calibri" w:hAnsi="Calibri" w:cs="Calibri"/>
          <w:i w:val="0"/>
        </w:rPr>
      </w:pPr>
      <w:r w:rsidRPr="00EC2AB3">
        <w:rPr>
          <w:rStyle w:val="Emphasis"/>
          <w:rFonts w:ascii="Calibri" w:hAnsi="Calibri" w:cs="Calibri"/>
          <w:u w:val="single"/>
        </w:rPr>
        <w:t>Propiciar la conf</w:t>
      </w:r>
      <w:r>
        <w:rPr>
          <w:rStyle w:val="Emphasis"/>
          <w:rFonts w:ascii="Calibri" w:hAnsi="Calibri" w:cs="Calibri"/>
          <w:u w:val="single"/>
        </w:rPr>
        <w:t>ormación de redes de ex becarios</w:t>
      </w:r>
      <w:r>
        <w:rPr>
          <w:rStyle w:val="Emphasis"/>
          <w:rFonts w:ascii="Calibri" w:hAnsi="Calibri" w:cs="Calibri"/>
          <w:i w:val="0"/>
        </w:rPr>
        <w:t xml:space="preserve">. Esto posibilitaría </w:t>
      </w:r>
      <w:r w:rsidRPr="00B524B8">
        <w:rPr>
          <w:rStyle w:val="Emphasis"/>
          <w:rFonts w:ascii="Calibri" w:hAnsi="Calibri" w:cs="Calibri"/>
          <w:i w:val="0"/>
        </w:rPr>
        <w:t>mayore</w:t>
      </w:r>
      <w:r>
        <w:rPr>
          <w:rStyle w:val="Emphasis"/>
          <w:rFonts w:ascii="Calibri" w:hAnsi="Calibri" w:cs="Calibri"/>
          <w:i w:val="0"/>
        </w:rPr>
        <w:t>s y mejores intercambios y la posibilidad de generar nuevas fuentes de recursos para formación e investigación</w:t>
      </w:r>
      <w:r w:rsidRPr="00B524B8">
        <w:rPr>
          <w:rStyle w:val="Emphasis"/>
          <w:rFonts w:ascii="Calibri" w:hAnsi="Calibri" w:cs="Calibri"/>
          <w:i w:val="0"/>
        </w:rPr>
        <w:t>.</w:t>
      </w:r>
    </w:p>
    <w:p w:rsidR="00D4326F" w:rsidRPr="00B524B8" w:rsidRDefault="00D4326F" w:rsidP="00D4326F">
      <w:pPr>
        <w:pStyle w:val="ListParagraph"/>
        <w:spacing w:after="200" w:line="276" w:lineRule="auto"/>
        <w:ind w:left="4111"/>
        <w:jc w:val="right"/>
        <w:rPr>
          <w:rStyle w:val="Emphasis"/>
          <w:rFonts w:ascii="Calibri" w:hAnsi="Calibri" w:cs="Calibri"/>
          <w:sz w:val="20"/>
          <w:szCs w:val="20"/>
        </w:rPr>
      </w:pPr>
      <w:r w:rsidRPr="00B524B8">
        <w:rPr>
          <w:rStyle w:val="Emphasis"/>
          <w:rFonts w:ascii="Calibri" w:hAnsi="Calibri" w:cs="Calibri"/>
          <w:sz w:val="20"/>
          <w:szCs w:val="20"/>
        </w:rPr>
        <w:t>“…es importante para generar sinergias entre los becarios y así conseguir más fondos de diferentes fuentes para las becas de apoyo complementario…”</w:t>
      </w:r>
    </w:p>
    <w:p w:rsidR="00D4326F" w:rsidRPr="00B524B8" w:rsidRDefault="00D4326F" w:rsidP="00D4326F">
      <w:pPr>
        <w:pStyle w:val="ListParagraph"/>
        <w:spacing w:after="200" w:line="276" w:lineRule="auto"/>
        <w:ind w:left="4111"/>
        <w:jc w:val="right"/>
        <w:rPr>
          <w:rStyle w:val="Emphasis"/>
          <w:rFonts w:ascii="Calibri" w:hAnsi="Calibri" w:cs="Calibri"/>
          <w:i w:val="0"/>
          <w:sz w:val="20"/>
          <w:szCs w:val="20"/>
        </w:rPr>
      </w:pPr>
      <w:r w:rsidRPr="00B524B8">
        <w:rPr>
          <w:rStyle w:val="Emphasis"/>
          <w:rFonts w:ascii="Calibri" w:hAnsi="Calibri" w:cs="Calibri"/>
          <w:i w:val="0"/>
          <w:sz w:val="20"/>
          <w:szCs w:val="20"/>
        </w:rPr>
        <w:t>(Beneficiario de beca de apoyo complementario)</w:t>
      </w:r>
    </w:p>
    <w:p w:rsidR="00D4326F" w:rsidRPr="00B524B8" w:rsidRDefault="00D4326F" w:rsidP="00D4326F">
      <w:pPr>
        <w:pStyle w:val="ListParagraph"/>
        <w:spacing w:after="200" w:line="276" w:lineRule="auto"/>
        <w:jc w:val="both"/>
        <w:rPr>
          <w:rStyle w:val="Emphasis"/>
          <w:rFonts w:ascii="Calibri" w:hAnsi="Calibri" w:cs="Calibri"/>
          <w:i w:val="0"/>
        </w:rPr>
      </w:pPr>
    </w:p>
    <w:p w:rsidR="00D4326F" w:rsidRPr="006B3598" w:rsidRDefault="00D4326F" w:rsidP="00D4326F">
      <w:pPr>
        <w:pStyle w:val="ListParagraph"/>
        <w:spacing w:before="120" w:after="120" w:line="288" w:lineRule="auto"/>
        <w:ind w:left="0"/>
        <w:contextualSpacing w:val="0"/>
        <w:jc w:val="both"/>
        <w:rPr>
          <w:rStyle w:val="Emphasis"/>
          <w:rFonts w:ascii="Calibri" w:hAnsi="Calibri" w:cs="Calibri"/>
          <w:i w:val="0"/>
        </w:rPr>
      </w:pPr>
      <w:r w:rsidRPr="00EC2AB3">
        <w:rPr>
          <w:rStyle w:val="Emphasis"/>
          <w:rFonts w:ascii="Calibri" w:hAnsi="Calibri" w:cs="Calibri"/>
          <w:u w:val="single"/>
        </w:rPr>
        <w:t>Propiciar una mayor articulación para el trabajo en red</w:t>
      </w:r>
      <w:r>
        <w:rPr>
          <w:rStyle w:val="Emphasis"/>
          <w:rFonts w:ascii="Calibri" w:hAnsi="Calibri" w:cs="Calibri"/>
          <w:i w:val="0"/>
        </w:rPr>
        <w:t xml:space="preserve">. Vinculando a </w:t>
      </w:r>
      <w:r w:rsidRPr="006B3598">
        <w:rPr>
          <w:rStyle w:val="Emphasis"/>
          <w:rFonts w:ascii="Calibri" w:hAnsi="Calibri" w:cs="Calibri"/>
          <w:i w:val="0"/>
        </w:rPr>
        <w:t>becarios con equipos de investigación, actividades docentes y proyectos de innovación.</w:t>
      </w:r>
      <w:r>
        <w:rPr>
          <w:rStyle w:val="Emphasis"/>
          <w:rFonts w:ascii="Calibri" w:hAnsi="Calibri" w:cs="Calibri"/>
          <w:i w:val="0"/>
        </w:rPr>
        <w:t xml:space="preserve"> </w:t>
      </w:r>
      <w:r w:rsidRPr="006B3598">
        <w:rPr>
          <w:rStyle w:val="Emphasis"/>
          <w:rFonts w:ascii="Calibri" w:hAnsi="Calibri" w:cs="Calibri"/>
          <w:i w:val="0"/>
        </w:rPr>
        <w:t>En el caso de articulación con equipos de investigación</w:t>
      </w:r>
      <w:r>
        <w:rPr>
          <w:rStyle w:val="Emphasis"/>
          <w:rFonts w:ascii="Calibri" w:hAnsi="Calibri" w:cs="Calibri"/>
          <w:i w:val="0"/>
        </w:rPr>
        <w:t>,</w:t>
      </w:r>
      <w:r w:rsidRPr="006B3598">
        <w:rPr>
          <w:rStyle w:val="Emphasis"/>
          <w:rFonts w:ascii="Calibri" w:hAnsi="Calibri" w:cs="Calibri"/>
          <w:i w:val="0"/>
        </w:rPr>
        <w:t xml:space="preserve"> se realizó principalmente para la realización de la tesis, pero con escaso mantenimiento de la vinculación con posterioridad a la finalización de los estudios de postgrado.</w:t>
      </w:r>
    </w:p>
    <w:p w:rsidR="00D4326F" w:rsidRPr="00B524B8" w:rsidRDefault="00BB3607" w:rsidP="00D4326F">
      <w:pPr>
        <w:ind w:left="3402"/>
        <w:jc w:val="right"/>
        <w:rPr>
          <w:rFonts w:ascii="Calibri" w:hAnsi="Calibri" w:cs="Calibri"/>
          <w:i/>
          <w:sz w:val="20"/>
          <w:szCs w:val="20"/>
        </w:rPr>
      </w:pPr>
      <w:r w:rsidRPr="00B524B8">
        <w:rPr>
          <w:rFonts w:ascii="Calibri" w:hAnsi="Calibri" w:cs="Calibri"/>
          <w:i/>
          <w:sz w:val="20"/>
          <w:szCs w:val="20"/>
        </w:rPr>
        <w:t xml:space="preserve"> </w:t>
      </w:r>
      <w:r w:rsidR="00D4326F" w:rsidRPr="00B524B8">
        <w:rPr>
          <w:rFonts w:ascii="Calibri" w:hAnsi="Calibri" w:cs="Calibri"/>
          <w:i/>
          <w:sz w:val="20"/>
          <w:szCs w:val="20"/>
        </w:rPr>
        <w:t>“Podría haber una mayor difusión de lo que se produce a partir de las becas, de manera institucional y regular desde CONACYT, para fortalecer los programas, no sólo entre los becarios sino hacia toda la sociedad, a través de los medios de comunicación…”</w:t>
      </w:r>
    </w:p>
    <w:p w:rsidR="00D4326F" w:rsidRPr="00B524B8" w:rsidRDefault="00D4326F" w:rsidP="00D4326F">
      <w:pPr>
        <w:ind w:left="3828"/>
        <w:jc w:val="right"/>
        <w:rPr>
          <w:rFonts w:ascii="Calibri" w:hAnsi="Calibri" w:cs="Calibri"/>
          <w:sz w:val="20"/>
          <w:szCs w:val="20"/>
        </w:rPr>
      </w:pPr>
      <w:r w:rsidRPr="00B524B8">
        <w:rPr>
          <w:rFonts w:ascii="Calibri" w:hAnsi="Calibri" w:cs="Calibri"/>
          <w:sz w:val="20"/>
          <w:szCs w:val="20"/>
        </w:rPr>
        <w:t>(Beneficiaria becas de apoyo complementario)</w:t>
      </w:r>
    </w:p>
    <w:p w:rsidR="005A2072" w:rsidRDefault="005A2072" w:rsidP="00D4326F">
      <w:pPr>
        <w:tabs>
          <w:tab w:val="left" w:pos="3840"/>
        </w:tabs>
        <w:rPr>
          <w:rFonts w:ascii="Calibri" w:hAnsi="Calibri" w:cs="Calibri"/>
          <w:b/>
          <w:lang w:val="es-AR"/>
        </w:rPr>
      </w:pPr>
    </w:p>
    <w:p w:rsidR="00D4326F" w:rsidRPr="00B43238" w:rsidRDefault="00B43238" w:rsidP="00D4326F">
      <w:pPr>
        <w:tabs>
          <w:tab w:val="left" w:pos="3840"/>
        </w:tabs>
        <w:rPr>
          <w:rFonts w:ascii="Calibri" w:hAnsi="Calibri" w:cs="Calibri"/>
          <w:b/>
          <w:lang w:val="es-AR"/>
        </w:rPr>
      </w:pPr>
      <w:r w:rsidRPr="00B43238">
        <w:rPr>
          <w:rFonts w:ascii="Calibri" w:hAnsi="Calibri" w:cs="Calibri"/>
          <w:b/>
          <w:lang w:val="es-AR"/>
        </w:rPr>
        <w:t>Sostenibilidad</w:t>
      </w:r>
    </w:p>
    <w:p w:rsidR="00B43238" w:rsidRDefault="00B43238" w:rsidP="00B43238">
      <w:pPr>
        <w:spacing w:before="120" w:after="120" w:line="288" w:lineRule="auto"/>
        <w:jc w:val="both"/>
        <w:rPr>
          <w:rStyle w:val="Emphasis"/>
          <w:rFonts w:ascii="Calibri" w:hAnsi="Calibri" w:cs="Calibri"/>
          <w:i w:val="0"/>
        </w:rPr>
      </w:pPr>
      <w:r w:rsidRPr="001C38AA">
        <w:rPr>
          <w:rStyle w:val="Emphasis"/>
          <w:rFonts w:ascii="Calibri" w:hAnsi="Calibri" w:cs="Calibri"/>
          <w:u w:val="single"/>
          <w:lang w:val="es-AR"/>
        </w:rPr>
        <w:t>Propiciar acciones para la retención de los becarios</w:t>
      </w:r>
      <w:r>
        <w:rPr>
          <w:rStyle w:val="Emphasis"/>
          <w:rFonts w:ascii="Calibri" w:hAnsi="Calibri" w:cs="Calibri"/>
          <w:i w:val="0"/>
        </w:rPr>
        <w:t xml:space="preserve">. No sólo respecto de incentivos económicos, sino </w:t>
      </w:r>
      <w:r w:rsidRPr="00B524B8">
        <w:rPr>
          <w:rStyle w:val="Emphasis"/>
          <w:rFonts w:ascii="Calibri" w:hAnsi="Calibri" w:cs="Calibri"/>
          <w:i w:val="0"/>
        </w:rPr>
        <w:t xml:space="preserve">también </w:t>
      </w:r>
      <w:r>
        <w:rPr>
          <w:rStyle w:val="Emphasis"/>
          <w:rFonts w:ascii="Calibri" w:hAnsi="Calibri" w:cs="Calibri"/>
          <w:i w:val="0"/>
        </w:rPr>
        <w:t xml:space="preserve">respecto de </w:t>
      </w:r>
      <w:r w:rsidRPr="00B524B8">
        <w:rPr>
          <w:rStyle w:val="Emphasis"/>
          <w:rFonts w:ascii="Calibri" w:hAnsi="Calibri" w:cs="Calibri"/>
          <w:i w:val="0"/>
        </w:rPr>
        <w:t>la generación de espacios donde aplicar lo aprendido.</w:t>
      </w:r>
    </w:p>
    <w:p w:rsidR="008C6725" w:rsidRPr="00B524B8" w:rsidRDefault="008C6725" w:rsidP="00B43238">
      <w:pPr>
        <w:spacing w:before="120" w:after="120" w:line="288" w:lineRule="auto"/>
        <w:jc w:val="both"/>
        <w:rPr>
          <w:rStyle w:val="Emphasis"/>
          <w:rFonts w:ascii="Calibri" w:hAnsi="Calibri" w:cs="Calibri"/>
          <w:i w:val="0"/>
        </w:rPr>
      </w:pPr>
    </w:p>
    <w:p w:rsidR="00D4326F" w:rsidRPr="006C58AB" w:rsidRDefault="00D4326F" w:rsidP="00097D6A">
      <w:pPr>
        <w:pStyle w:val="Heading2"/>
      </w:pPr>
      <w:bookmarkStart w:id="249" w:name="_Toc375211993"/>
      <w:r>
        <w:lastRenderedPageBreak/>
        <w:t>F</w:t>
      </w:r>
      <w:r w:rsidRPr="00007D6C">
        <w:t>ortalecimiento y articulación del Sistema Nacional de Innovación (SNI)</w:t>
      </w:r>
      <w:bookmarkEnd w:id="249"/>
    </w:p>
    <w:p w:rsidR="002915D7" w:rsidRDefault="002915D7" w:rsidP="002D7EE9">
      <w:pPr>
        <w:pStyle w:val="Heading3"/>
        <w:numPr>
          <w:ilvl w:val="2"/>
          <w:numId w:val="4"/>
        </w:numPr>
        <w:rPr>
          <w:rStyle w:val="Emphasis"/>
          <w:rFonts w:cs="Calibri"/>
          <w:i/>
        </w:rPr>
      </w:pPr>
      <w:bookmarkStart w:id="250" w:name="_Toc375211994"/>
      <w:r>
        <w:rPr>
          <w:rStyle w:val="Emphasis"/>
          <w:rFonts w:cs="Calibri"/>
          <w:i/>
        </w:rPr>
        <w:t>Características del subcomponente</w:t>
      </w:r>
      <w:bookmarkEnd w:id="250"/>
    </w:p>
    <w:p w:rsidR="00E74037" w:rsidRPr="003B631D" w:rsidRDefault="00E74037" w:rsidP="00F12069">
      <w:pPr>
        <w:spacing w:after="200" w:line="276" w:lineRule="auto"/>
        <w:jc w:val="both"/>
        <w:rPr>
          <w:rFonts w:ascii="Calibri" w:hAnsi="Calibri" w:cs="Calibri"/>
        </w:rPr>
      </w:pPr>
      <w:r w:rsidRPr="003B631D">
        <w:rPr>
          <w:rFonts w:ascii="Calibri" w:hAnsi="Calibri" w:cs="Calibri"/>
        </w:rPr>
        <w:t xml:space="preserve">El Componente III </w:t>
      </w:r>
      <w:r w:rsidR="001D500E">
        <w:rPr>
          <w:rFonts w:ascii="Calibri" w:hAnsi="Calibri" w:cs="Calibri"/>
        </w:rPr>
        <w:t xml:space="preserve">se focaliza en </w:t>
      </w:r>
      <w:r w:rsidRPr="003B631D">
        <w:rPr>
          <w:rFonts w:ascii="Calibri" w:hAnsi="Calibri" w:cs="Calibri"/>
        </w:rPr>
        <w:t xml:space="preserve">el SNIP y sus integrantes, con el fin de incrementar sus relaciones, orientándolas a relacionar la generación con el uso de conocimientos. En este sentido, mientras los restantes componentes </w:t>
      </w:r>
      <w:r w:rsidR="001D500E">
        <w:rPr>
          <w:rFonts w:ascii="Calibri" w:hAnsi="Calibri" w:cs="Calibri"/>
        </w:rPr>
        <w:t xml:space="preserve">se organizan </w:t>
      </w:r>
      <w:r w:rsidRPr="003B631D">
        <w:rPr>
          <w:rFonts w:ascii="Calibri" w:hAnsi="Calibri" w:cs="Calibri"/>
        </w:rPr>
        <w:t>a nivel de las unidades de diferente</w:t>
      </w:r>
      <w:r>
        <w:rPr>
          <w:rFonts w:ascii="Calibri" w:hAnsi="Calibri" w:cs="Calibri"/>
        </w:rPr>
        <w:t>s subgrupos vinculados a la CyT, el Componente III</w:t>
      </w:r>
      <w:r w:rsidRPr="003B631D">
        <w:rPr>
          <w:rFonts w:ascii="Calibri" w:hAnsi="Calibri" w:cs="Calibri"/>
        </w:rPr>
        <w:t xml:space="preserve"> se orienta a construir viabilidad social para el SNIP, fortaleciendo la presencia y visibilidad </w:t>
      </w:r>
      <w:r>
        <w:rPr>
          <w:rFonts w:ascii="Calibri" w:hAnsi="Calibri" w:cs="Calibri"/>
        </w:rPr>
        <w:t>de la CyT</w:t>
      </w:r>
      <w:r w:rsidRPr="003B631D">
        <w:rPr>
          <w:rFonts w:ascii="Calibri" w:hAnsi="Calibri" w:cs="Calibri"/>
        </w:rPr>
        <w:t xml:space="preserve"> y las relaciones entre diferentes grupos entre sí y entre ellos y la sociedad.  </w:t>
      </w:r>
    </w:p>
    <w:p w:rsidR="00E74037" w:rsidRPr="003B631D" w:rsidRDefault="00E74037" w:rsidP="00F12069">
      <w:pPr>
        <w:spacing w:after="200" w:line="276" w:lineRule="auto"/>
        <w:jc w:val="both"/>
        <w:rPr>
          <w:rFonts w:ascii="Calibri" w:hAnsi="Calibri" w:cs="Calibri"/>
        </w:rPr>
      </w:pPr>
      <w:r w:rsidRPr="003B631D">
        <w:rPr>
          <w:rFonts w:ascii="Calibri" w:hAnsi="Calibri" w:cs="Calibri"/>
        </w:rPr>
        <w:t xml:space="preserve">En </w:t>
      </w:r>
      <w:r>
        <w:rPr>
          <w:rFonts w:ascii="Calibri" w:hAnsi="Calibri" w:cs="Calibri"/>
        </w:rPr>
        <w:t>ese sentido, los esfuerzos del c</w:t>
      </w:r>
      <w:r w:rsidRPr="003B631D">
        <w:rPr>
          <w:rFonts w:ascii="Calibri" w:hAnsi="Calibri" w:cs="Calibri"/>
        </w:rPr>
        <w:t>omponente han estado concentrados en la realización de eventos de vinculación académica, la</w:t>
      </w:r>
      <w:r>
        <w:rPr>
          <w:rFonts w:ascii="Calibri" w:hAnsi="Calibri" w:cs="Calibri"/>
        </w:rPr>
        <w:t xml:space="preserve"> difusión del programa y la CyT,</w:t>
      </w:r>
      <w:r w:rsidRPr="003B631D">
        <w:rPr>
          <w:rFonts w:ascii="Calibri" w:hAnsi="Calibri" w:cs="Calibri"/>
        </w:rPr>
        <w:t xml:space="preserve"> y la inversión en generar información y vínculos entre investigadores med</w:t>
      </w:r>
      <w:r w:rsidR="00113B62">
        <w:rPr>
          <w:rFonts w:ascii="Calibri" w:hAnsi="Calibri" w:cs="Calibri"/>
        </w:rPr>
        <w:t>iante el diseño de la Red ARANDÚ</w:t>
      </w:r>
      <w:r w:rsidRPr="003B631D">
        <w:rPr>
          <w:rFonts w:ascii="Calibri" w:hAnsi="Calibri" w:cs="Calibri"/>
        </w:rPr>
        <w:t>.</w:t>
      </w:r>
    </w:p>
    <w:p w:rsidR="00E74037" w:rsidRPr="003B631D" w:rsidRDefault="00E74037" w:rsidP="000C4ECB">
      <w:pPr>
        <w:spacing w:after="200" w:line="276" w:lineRule="auto"/>
        <w:jc w:val="both"/>
        <w:rPr>
          <w:rFonts w:ascii="Calibri" w:hAnsi="Calibri" w:cs="Calibri"/>
        </w:rPr>
      </w:pPr>
      <w:r w:rsidRPr="003B631D">
        <w:rPr>
          <w:rFonts w:ascii="Calibri" w:hAnsi="Calibri" w:cs="Calibri"/>
        </w:rPr>
        <w:t xml:space="preserve">Los destinatarios de las actividades han sido la sociedad civil paraguaya, miembros </w:t>
      </w:r>
      <w:r>
        <w:rPr>
          <w:rFonts w:ascii="Calibri" w:hAnsi="Calibri" w:cs="Calibri"/>
        </w:rPr>
        <w:t xml:space="preserve">(empresarios, investigadores y docentes) </w:t>
      </w:r>
      <w:r w:rsidRPr="003B631D">
        <w:rPr>
          <w:rFonts w:ascii="Calibri" w:hAnsi="Calibri" w:cs="Calibri"/>
        </w:rPr>
        <w:t>y decisores de organizaciones del sector pú</w:t>
      </w:r>
      <w:r w:rsidR="000C4ECB">
        <w:rPr>
          <w:rFonts w:ascii="Calibri" w:hAnsi="Calibri" w:cs="Calibri"/>
        </w:rPr>
        <w:t>blico, académico y empresarial.</w:t>
      </w:r>
    </w:p>
    <w:p w:rsidR="002915D7" w:rsidRDefault="002915D7" w:rsidP="002D7EE9">
      <w:pPr>
        <w:pStyle w:val="Heading3"/>
        <w:numPr>
          <w:ilvl w:val="2"/>
          <w:numId w:val="4"/>
        </w:numPr>
        <w:rPr>
          <w:rStyle w:val="Emphasis"/>
          <w:rFonts w:cs="Calibri"/>
          <w:i/>
        </w:rPr>
      </w:pPr>
      <w:bookmarkStart w:id="251" w:name="_Toc375211995"/>
      <w:r>
        <w:rPr>
          <w:rStyle w:val="Emphasis"/>
          <w:rFonts w:cs="Calibri"/>
          <w:i/>
        </w:rPr>
        <w:t>Alcance</w:t>
      </w:r>
      <w:bookmarkEnd w:id="251"/>
    </w:p>
    <w:p w:rsidR="00F12069" w:rsidRPr="00F12069" w:rsidRDefault="00E74037" w:rsidP="00F12069">
      <w:pPr>
        <w:spacing w:after="200" w:line="276" w:lineRule="auto"/>
        <w:jc w:val="both"/>
        <w:rPr>
          <w:rFonts w:ascii="Calibri" w:hAnsi="Calibri" w:cs="Calibri"/>
        </w:rPr>
      </w:pPr>
      <w:r>
        <w:rPr>
          <w:rFonts w:ascii="Calibri" w:hAnsi="Calibri" w:cs="Calibri"/>
          <w:lang w:val="es-ES_tradnl"/>
        </w:rPr>
        <w:t>Se analiza el componente desde la perspectiva de la conectividad e infraestructura para universidades y acceso a información científica, esto es la Red ARANDÚ, y desde la perspectiva de la</w:t>
      </w:r>
      <w:r w:rsidRPr="00F12069">
        <w:rPr>
          <w:rFonts w:ascii="Calibri" w:hAnsi="Calibri" w:cs="Calibri"/>
          <w:lang w:val="es-ES_tradnl"/>
        </w:rPr>
        <w:t xml:space="preserve"> </w:t>
      </w:r>
      <w:r w:rsidR="00F12069">
        <w:rPr>
          <w:rFonts w:ascii="Calibri" w:hAnsi="Calibri" w:cs="Calibri"/>
        </w:rPr>
        <w:t>d</w:t>
      </w:r>
      <w:r w:rsidR="00F12069" w:rsidRPr="00F12069">
        <w:rPr>
          <w:rFonts w:ascii="Calibri" w:hAnsi="Calibri" w:cs="Calibri"/>
        </w:rPr>
        <w:t>ifusión de las actividades de ciencia, tecnología e innovación.</w:t>
      </w:r>
    </w:p>
    <w:p w:rsidR="00E74037" w:rsidRPr="00F12069" w:rsidRDefault="00E74037" w:rsidP="00F12069">
      <w:pPr>
        <w:spacing w:after="200" w:line="276" w:lineRule="auto"/>
        <w:jc w:val="both"/>
        <w:rPr>
          <w:rFonts w:ascii="Calibri" w:hAnsi="Calibri" w:cs="Calibri"/>
          <w:b/>
        </w:rPr>
      </w:pPr>
      <w:r w:rsidRPr="00F12069">
        <w:rPr>
          <w:rFonts w:ascii="Calibri" w:hAnsi="Calibri" w:cs="Calibri"/>
          <w:b/>
        </w:rPr>
        <w:t>Conectividad e infraestructura de TICs para universidades y acceso a información científica</w:t>
      </w:r>
      <w:r w:rsidR="00F12069">
        <w:rPr>
          <w:rFonts w:ascii="Calibri" w:hAnsi="Calibri" w:cs="Calibri"/>
          <w:b/>
        </w:rPr>
        <w:t>: Red ARANDÚ</w:t>
      </w:r>
    </w:p>
    <w:p w:rsidR="00E74037" w:rsidRDefault="00F12069" w:rsidP="00F12069">
      <w:pPr>
        <w:spacing w:after="200" w:line="276" w:lineRule="auto"/>
        <w:jc w:val="both"/>
        <w:rPr>
          <w:rFonts w:ascii="Calibri" w:hAnsi="Calibri" w:cs="Calibri"/>
        </w:rPr>
      </w:pPr>
      <w:r>
        <w:rPr>
          <w:rFonts w:ascii="Calibri" w:hAnsi="Calibri" w:cs="Calibri"/>
        </w:rPr>
        <w:t>La Red ARANDÚ</w:t>
      </w:r>
      <w:r w:rsidR="00E74037">
        <w:rPr>
          <w:rFonts w:ascii="Calibri" w:hAnsi="Calibri" w:cs="Calibri"/>
        </w:rPr>
        <w:t xml:space="preserve"> fue el instrumento propuesto para facilitar el contacto de investigadores locales con colegas internacionales, así como la conexión con redes extranjeras de conocimiento. A través de una consultoría se realizó una propuesta de estatuto para la Red, que </w:t>
      </w:r>
      <w:r>
        <w:rPr>
          <w:rFonts w:ascii="Calibri" w:hAnsi="Calibri" w:cs="Calibri"/>
        </w:rPr>
        <w:t>incluía un diseño del “negocio”.</w:t>
      </w:r>
      <w:r w:rsidR="00E74037">
        <w:rPr>
          <w:rFonts w:ascii="Calibri" w:hAnsi="Calibri" w:cs="Calibri"/>
        </w:rPr>
        <w:t xml:space="preserve"> </w:t>
      </w:r>
      <w:r>
        <w:rPr>
          <w:rFonts w:ascii="Calibri" w:hAnsi="Calibri" w:cs="Calibri"/>
        </w:rPr>
        <w:t>E</w:t>
      </w:r>
      <w:r w:rsidR="00E74037">
        <w:rPr>
          <w:rFonts w:ascii="Calibri" w:hAnsi="Calibri" w:cs="Calibri"/>
        </w:rPr>
        <w:t>l equipo evaluador tuvo acceso a la propuesta original de estatuto y a los comentarios realizados por algunos actores clave del sist</w:t>
      </w:r>
      <w:r>
        <w:rPr>
          <w:rFonts w:ascii="Calibri" w:hAnsi="Calibri" w:cs="Calibri"/>
        </w:rPr>
        <w:t>ema nacional de CyT</w:t>
      </w:r>
      <w:r w:rsidR="00E74037">
        <w:rPr>
          <w:rFonts w:ascii="Calibri" w:hAnsi="Calibri" w:cs="Calibri"/>
        </w:rPr>
        <w:t>.</w:t>
      </w:r>
    </w:p>
    <w:p w:rsidR="00E74037" w:rsidRDefault="00E74037" w:rsidP="00F12069">
      <w:pPr>
        <w:spacing w:after="200" w:line="276" w:lineRule="auto"/>
        <w:jc w:val="both"/>
        <w:rPr>
          <w:rFonts w:ascii="Calibri" w:hAnsi="Calibri" w:cs="Calibri"/>
        </w:rPr>
      </w:pPr>
      <w:r>
        <w:rPr>
          <w:rFonts w:ascii="Calibri" w:hAnsi="Calibri" w:cs="Calibri"/>
        </w:rPr>
        <w:t>Los hechos salientes del estatuto son:</w:t>
      </w:r>
    </w:p>
    <w:p w:rsidR="00E74037" w:rsidRPr="008D487F" w:rsidRDefault="00E74037" w:rsidP="00F12069">
      <w:pPr>
        <w:pStyle w:val="ListParagraph"/>
        <w:numPr>
          <w:ilvl w:val="0"/>
          <w:numId w:val="23"/>
        </w:numPr>
        <w:spacing w:after="200" w:line="276" w:lineRule="auto"/>
        <w:contextualSpacing w:val="0"/>
        <w:jc w:val="both"/>
        <w:rPr>
          <w:rFonts w:ascii="Calibri" w:hAnsi="Calibri" w:cs="Calibri"/>
        </w:rPr>
      </w:pPr>
      <w:r w:rsidRPr="008D487F">
        <w:rPr>
          <w:rFonts w:ascii="Calibri" w:hAnsi="Calibri" w:cs="Calibri"/>
        </w:rPr>
        <w:t xml:space="preserve">Se establece el carácter de asociación civil </w:t>
      </w:r>
      <w:r w:rsidR="00F12069">
        <w:rPr>
          <w:rFonts w:ascii="Calibri" w:hAnsi="Calibri" w:cs="Calibri"/>
        </w:rPr>
        <w:t xml:space="preserve">sin fines de lucro para la Red Académica Nacional para la Ciencia, </w:t>
      </w:r>
      <w:r w:rsidRPr="008D487F">
        <w:rPr>
          <w:rFonts w:ascii="Calibri" w:hAnsi="Calibri" w:cs="Calibri"/>
        </w:rPr>
        <w:t xml:space="preserve">la </w:t>
      </w:r>
      <w:r w:rsidR="00F12069">
        <w:rPr>
          <w:rFonts w:ascii="Calibri" w:hAnsi="Calibri" w:cs="Calibri"/>
        </w:rPr>
        <w:t>Educación y la Tecnología.</w:t>
      </w:r>
    </w:p>
    <w:p w:rsidR="00E74037" w:rsidRPr="008D487F" w:rsidRDefault="00E74037" w:rsidP="00F12069">
      <w:pPr>
        <w:pStyle w:val="ListParagraph"/>
        <w:numPr>
          <w:ilvl w:val="0"/>
          <w:numId w:val="23"/>
        </w:numPr>
        <w:spacing w:after="200" w:line="276" w:lineRule="auto"/>
        <w:contextualSpacing w:val="0"/>
        <w:jc w:val="both"/>
        <w:rPr>
          <w:rFonts w:ascii="Calibri" w:hAnsi="Calibri" w:cs="Calibri"/>
        </w:rPr>
      </w:pPr>
      <w:r w:rsidRPr="008D487F">
        <w:rPr>
          <w:rFonts w:ascii="Calibri" w:hAnsi="Calibri" w:cs="Calibri"/>
        </w:rPr>
        <w:lastRenderedPageBreak/>
        <w:t>Se fijan los objetos y las facultades de la Red y se identifican las fuente</w:t>
      </w:r>
      <w:r w:rsidR="00F12069">
        <w:rPr>
          <w:rFonts w:ascii="Calibri" w:hAnsi="Calibri" w:cs="Calibri"/>
        </w:rPr>
        <w:t>s para constituir su patrimonio.</w:t>
      </w:r>
    </w:p>
    <w:p w:rsidR="00E74037" w:rsidRPr="008D487F" w:rsidRDefault="00E74037" w:rsidP="00F12069">
      <w:pPr>
        <w:pStyle w:val="ListParagraph"/>
        <w:numPr>
          <w:ilvl w:val="0"/>
          <w:numId w:val="23"/>
        </w:numPr>
        <w:spacing w:after="200" w:line="276" w:lineRule="auto"/>
        <w:contextualSpacing w:val="0"/>
        <w:jc w:val="both"/>
        <w:rPr>
          <w:rFonts w:ascii="Calibri" w:hAnsi="Calibri" w:cs="Calibri"/>
        </w:rPr>
      </w:pPr>
      <w:r w:rsidRPr="008D487F">
        <w:rPr>
          <w:rFonts w:ascii="Calibri" w:hAnsi="Calibri" w:cs="Calibri"/>
        </w:rPr>
        <w:t xml:space="preserve">Se identifican los organismos de gobierno y control de la asociación y se establecen sus funciones y mecanismos </w:t>
      </w:r>
      <w:r w:rsidR="00F12069">
        <w:rPr>
          <w:rFonts w:ascii="Calibri" w:hAnsi="Calibri" w:cs="Calibri"/>
        </w:rPr>
        <w:t>de integración y funcionamiento.</w:t>
      </w:r>
    </w:p>
    <w:p w:rsidR="00E74037" w:rsidRDefault="00E74037" w:rsidP="00F12069">
      <w:pPr>
        <w:spacing w:after="200" w:line="276" w:lineRule="auto"/>
        <w:jc w:val="both"/>
        <w:rPr>
          <w:rFonts w:ascii="Calibri" w:hAnsi="Calibri" w:cs="Calibri"/>
        </w:rPr>
      </w:pPr>
      <w:r>
        <w:rPr>
          <w:rFonts w:ascii="Calibri" w:hAnsi="Calibri" w:cs="Calibri"/>
        </w:rPr>
        <w:t>Los comentarios a la propuesta de estatuto tienden a realizar recomendaciones en los siguientes sentidos:</w:t>
      </w:r>
    </w:p>
    <w:p w:rsidR="00E74037" w:rsidRPr="00485B0D" w:rsidRDefault="00E74037" w:rsidP="00F12069">
      <w:pPr>
        <w:pStyle w:val="ListParagraph"/>
        <w:numPr>
          <w:ilvl w:val="0"/>
          <w:numId w:val="24"/>
        </w:numPr>
        <w:spacing w:after="200" w:line="276" w:lineRule="auto"/>
        <w:contextualSpacing w:val="0"/>
        <w:jc w:val="both"/>
        <w:rPr>
          <w:rFonts w:ascii="Calibri" w:hAnsi="Calibri" w:cs="Calibri"/>
        </w:rPr>
      </w:pPr>
      <w:r w:rsidRPr="00485B0D">
        <w:rPr>
          <w:rFonts w:ascii="Calibri" w:hAnsi="Calibri" w:cs="Calibri"/>
        </w:rPr>
        <w:t xml:space="preserve">Ampliar el alcance de la Red, para que </w:t>
      </w:r>
      <w:r>
        <w:rPr>
          <w:rFonts w:ascii="Calibri" w:hAnsi="Calibri" w:cs="Calibri"/>
        </w:rPr>
        <w:t xml:space="preserve">no </w:t>
      </w:r>
      <w:r w:rsidRPr="00485B0D">
        <w:rPr>
          <w:rFonts w:ascii="Calibri" w:hAnsi="Calibri" w:cs="Calibri"/>
        </w:rPr>
        <w:t>se enfoque exclusivamente en universidades, docentes o investigadores o en activ</w:t>
      </w:r>
      <w:r w:rsidR="00F12069">
        <w:rPr>
          <w:rFonts w:ascii="Calibri" w:hAnsi="Calibri" w:cs="Calibri"/>
        </w:rPr>
        <w:t>idades académicas y científicas.</w:t>
      </w:r>
    </w:p>
    <w:p w:rsidR="00E74037" w:rsidRPr="00485B0D" w:rsidRDefault="00E74037" w:rsidP="00F12069">
      <w:pPr>
        <w:pStyle w:val="ListParagraph"/>
        <w:numPr>
          <w:ilvl w:val="0"/>
          <w:numId w:val="24"/>
        </w:numPr>
        <w:spacing w:after="200" w:line="276" w:lineRule="auto"/>
        <w:contextualSpacing w:val="0"/>
        <w:jc w:val="both"/>
        <w:rPr>
          <w:rFonts w:ascii="Calibri" w:hAnsi="Calibri" w:cs="Calibri"/>
        </w:rPr>
      </w:pPr>
      <w:r w:rsidRPr="00485B0D">
        <w:rPr>
          <w:rFonts w:ascii="Calibri" w:hAnsi="Calibri" w:cs="Calibri"/>
        </w:rPr>
        <w:t>Propone la instrucción de la figura de un director general, como un medio de lograr mayor ejecutivid</w:t>
      </w:r>
      <w:r w:rsidR="00F12069">
        <w:rPr>
          <w:rFonts w:ascii="Calibri" w:hAnsi="Calibri" w:cs="Calibri"/>
        </w:rPr>
        <w:t>ad en las actividades de la Red.</w:t>
      </w:r>
    </w:p>
    <w:p w:rsidR="00E74037" w:rsidRPr="00485B0D" w:rsidRDefault="00E74037" w:rsidP="00F12069">
      <w:pPr>
        <w:pStyle w:val="ListParagraph"/>
        <w:numPr>
          <w:ilvl w:val="0"/>
          <w:numId w:val="24"/>
        </w:numPr>
        <w:spacing w:after="200" w:line="276" w:lineRule="auto"/>
        <w:contextualSpacing w:val="0"/>
        <w:jc w:val="both"/>
        <w:rPr>
          <w:rFonts w:ascii="Calibri" w:hAnsi="Calibri" w:cs="Calibri"/>
        </w:rPr>
      </w:pPr>
      <w:r w:rsidRPr="00485B0D">
        <w:rPr>
          <w:rFonts w:ascii="Calibri" w:hAnsi="Calibri" w:cs="Calibri"/>
        </w:rPr>
        <w:t>Ajustar las funciones y facultades de los o</w:t>
      </w:r>
      <w:r w:rsidR="00F12069">
        <w:rPr>
          <w:rFonts w:ascii="Calibri" w:hAnsi="Calibri" w:cs="Calibri"/>
        </w:rPr>
        <w:t>rganismos de gobierno de la Red.</w:t>
      </w:r>
    </w:p>
    <w:p w:rsidR="00E74037" w:rsidRDefault="00E74037" w:rsidP="00F12069">
      <w:pPr>
        <w:spacing w:after="200" w:line="276" w:lineRule="auto"/>
        <w:jc w:val="both"/>
        <w:rPr>
          <w:rFonts w:ascii="Calibri" w:hAnsi="Calibri" w:cs="Calibri"/>
        </w:rPr>
      </w:pPr>
      <w:r>
        <w:rPr>
          <w:rFonts w:ascii="Calibri" w:hAnsi="Calibri" w:cs="Calibri"/>
        </w:rPr>
        <w:t>Un elemento importante que surge de los comentarios a la propuesta de estatuto es el rol de CONACYT en la Red. Se señala que de acuerdo con la versión original del estatuto, CONACYT no puede ser parte de A</w:t>
      </w:r>
      <w:r w:rsidR="00F12069">
        <w:rPr>
          <w:rFonts w:ascii="Calibri" w:hAnsi="Calibri" w:cs="Calibri"/>
        </w:rPr>
        <w:t>RANDÚ</w:t>
      </w:r>
      <w:r>
        <w:rPr>
          <w:rFonts w:ascii="Calibri" w:hAnsi="Calibri" w:cs="Calibri"/>
        </w:rPr>
        <w:t>; la propuesta que se real</w:t>
      </w:r>
      <w:r w:rsidR="00F12069">
        <w:rPr>
          <w:rFonts w:ascii="Calibri" w:hAnsi="Calibri" w:cs="Calibri"/>
        </w:rPr>
        <w:t>i</w:t>
      </w:r>
      <w:r>
        <w:rPr>
          <w:rFonts w:ascii="Calibri" w:hAnsi="Calibri" w:cs="Calibri"/>
        </w:rPr>
        <w:t xml:space="preserve">za es no restringir la participación a universidades (la ampliación debería incluir también institutos de investigación, entre otros). </w:t>
      </w:r>
    </w:p>
    <w:p w:rsidR="00E74037" w:rsidRDefault="00E74037" w:rsidP="00F12069">
      <w:pPr>
        <w:spacing w:after="200" w:line="276" w:lineRule="auto"/>
        <w:jc w:val="both"/>
        <w:rPr>
          <w:rFonts w:ascii="Calibri" w:hAnsi="Calibri" w:cs="Calibri"/>
        </w:rPr>
      </w:pPr>
      <w:r>
        <w:rPr>
          <w:rFonts w:ascii="Calibri" w:hAnsi="Calibri" w:cs="Calibri"/>
        </w:rPr>
        <w:t>El diseño de la Red nunca se implementó. Entre otros aspectos debería considerarse que en este tipo de iniciativas, donde los beneficios del compromiso y las inversiones quizás no son plenamente percibidos por las partes, tienden a requerir un impulso inicial proveniente del sector público. La realización de las inversiones iniciales (equipamiento y recursos humanos para administrar los sistemas on line) quizás debió requerir el aporte del sector público, así como el liderazgo durante al menos los dos años de constitución y funcionamiento.</w:t>
      </w:r>
    </w:p>
    <w:p w:rsidR="00E74037" w:rsidRDefault="00E74037" w:rsidP="00F12069">
      <w:pPr>
        <w:spacing w:after="200" w:line="276" w:lineRule="auto"/>
        <w:jc w:val="both"/>
        <w:rPr>
          <w:rFonts w:ascii="Calibri" w:hAnsi="Calibri" w:cs="Calibri"/>
        </w:rPr>
      </w:pPr>
      <w:r>
        <w:rPr>
          <w:rFonts w:ascii="Calibri" w:hAnsi="Calibri" w:cs="Calibri"/>
        </w:rPr>
        <w:t>Sin embargo no puede ignorarse que iniciativas como el fondo para el financiamiento de la carrera de investigador recibió un activo respaldo desde las universidades, en tanto un proyecto para el fomento de un intangible como la información y el desarrollo de redes (nacionales e internacionales) no logró romper la etapa de diseño. Al respecto, quizás es razonable que existan incentivos a la creación de una renta desde el sector de los investigadores (aunque el programa demostró que el mundo científico paraguayo responde a esquemas de fondos competitivos), pero el desarrollo de mediano y largo plazo del sector (y su capacidad para apoyar la transformación de la sociedad paraguaya) requerirán la creación de grupos de investigación que integren partes locales e internacionales (una tend</w:t>
      </w:r>
      <w:r w:rsidR="00F12069">
        <w:rPr>
          <w:rFonts w:ascii="Calibri" w:hAnsi="Calibri" w:cs="Calibri"/>
        </w:rPr>
        <w:t>encia para la cual la Red ARANDÚ</w:t>
      </w:r>
      <w:r>
        <w:rPr>
          <w:rFonts w:ascii="Calibri" w:hAnsi="Calibri" w:cs="Calibri"/>
        </w:rPr>
        <w:t xml:space="preserve"> era funcional). </w:t>
      </w:r>
    </w:p>
    <w:p w:rsidR="00E74037" w:rsidRPr="00F12069" w:rsidRDefault="00F12069" w:rsidP="00F12069">
      <w:pPr>
        <w:spacing w:after="200" w:line="276" w:lineRule="auto"/>
        <w:jc w:val="both"/>
        <w:rPr>
          <w:rFonts w:ascii="Calibri" w:hAnsi="Calibri" w:cs="Calibri"/>
          <w:b/>
        </w:rPr>
      </w:pPr>
      <w:r w:rsidRPr="00F12069">
        <w:rPr>
          <w:rFonts w:ascii="Calibri" w:hAnsi="Calibri" w:cs="Calibri"/>
          <w:b/>
        </w:rPr>
        <w:lastRenderedPageBreak/>
        <w:t>Difusión de</w:t>
      </w:r>
      <w:r w:rsidR="00E74037" w:rsidRPr="00F12069">
        <w:rPr>
          <w:rFonts w:ascii="Calibri" w:hAnsi="Calibri" w:cs="Calibri"/>
          <w:b/>
        </w:rPr>
        <w:t xml:space="preserve"> las actividades de ciencia, tecnología e innovación</w:t>
      </w:r>
    </w:p>
    <w:p w:rsidR="00E74037" w:rsidRPr="007073B6" w:rsidRDefault="00E74037" w:rsidP="00F12069">
      <w:pPr>
        <w:spacing w:after="200" w:line="276" w:lineRule="auto"/>
        <w:jc w:val="both"/>
        <w:rPr>
          <w:rFonts w:ascii="Calibri" w:hAnsi="Calibri" w:cs="Calibri"/>
        </w:rPr>
      </w:pPr>
      <w:r w:rsidRPr="007073B6">
        <w:rPr>
          <w:rFonts w:ascii="Calibri" w:hAnsi="Calibri" w:cs="Calibri"/>
        </w:rPr>
        <w:t>El diseño del programa incluyó actividades y fondos para la realización de actividades de difusión en dos frentes: i) actividades del progr</w:t>
      </w:r>
      <w:r w:rsidR="00F12069">
        <w:rPr>
          <w:rFonts w:ascii="Calibri" w:hAnsi="Calibri" w:cs="Calibri"/>
        </w:rPr>
        <w:t>ama; y ii) desarrollo de la CyT</w:t>
      </w:r>
      <w:r w:rsidRPr="007073B6">
        <w:rPr>
          <w:rFonts w:ascii="Calibri" w:hAnsi="Calibri" w:cs="Calibri"/>
        </w:rPr>
        <w:t xml:space="preserve"> en Paraguay. Se trata de dos tipos de iniciativas complementarias que responden a una lógica de intervención tradicional en ini</w:t>
      </w:r>
      <w:r w:rsidR="00F12069">
        <w:rPr>
          <w:rFonts w:ascii="Calibri" w:hAnsi="Calibri" w:cs="Calibri"/>
        </w:rPr>
        <w:t>ciativas de fomento de la CyT</w:t>
      </w:r>
      <w:r w:rsidRPr="007073B6">
        <w:rPr>
          <w:rFonts w:ascii="Calibri" w:hAnsi="Calibri" w:cs="Calibri"/>
        </w:rPr>
        <w:t xml:space="preserve"> en países con escasa tradición en estos temas. </w:t>
      </w:r>
    </w:p>
    <w:p w:rsidR="00E74037" w:rsidRPr="007073B6" w:rsidRDefault="00E74037" w:rsidP="00F12069">
      <w:pPr>
        <w:spacing w:after="200" w:line="276" w:lineRule="auto"/>
        <w:jc w:val="both"/>
        <w:rPr>
          <w:rFonts w:ascii="Calibri" w:hAnsi="Calibri" w:cs="Calibri"/>
        </w:rPr>
      </w:pPr>
      <w:r w:rsidRPr="007073B6">
        <w:rPr>
          <w:rFonts w:ascii="Calibri" w:hAnsi="Calibri" w:cs="Calibri"/>
        </w:rPr>
        <w:t>En primer lugar,</w:t>
      </w:r>
      <w:r w:rsidR="00F12069">
        <w:rPr>
          <w:rFonts w:ascii="Calibri" w:hAnsi="Calibri" w:cs="Calibri"/>
        </w:rPr>
        <w:t xml:space="preserve"> </w:t>
      </w:r>
      <w:r w:rsidR="00464163">
        <w:rPr>
          <w:rFonts w:ascii="Calibri" w:hAnsi="Calibri" w:cs="Calibri"/>
        </w:rPr>
        <w:t>fue</w:t>
      </w:r>
      <w:r w:rsidR="00F12069">
        <w:rPr>
          <w:rFonts w:ascii="Calibri" w:hAnsi="Calibri" w:cs="Calibri"/>
        </w:rPr>
        <w:t xml:space="preserve"> necesario “instalar” la CyT</w:t>
      </w:r>
      <w:r w:rsidRPr="007073B6">
        <w:rPr>
          <w:rFonts w:ascii="Calibri" w:hAnsi="Calibri" w:cs="Calibri"/>
        </w:rPr>
        <w:t xml:space="preserve"> como un factor importante de desarrollo en la actual economía, sensibilizando e involucrando tanto “jugadores” claves (del gobierno y el sector privado) como a la sociedad civil. En este sent</w:t>
      </w:r>
      <w:r w:rsidR="00F12069">
        <w:rPr>
          <w:rFonts w:ascii="Calibri" w:hAnsi="Calibri" w:cs="Calibri"/>
        </w:rPr>
        <w:t>ido, se busca introducir la CyT</w:t>
      </w:r>
      <w:r w:rsidRPr="007073B6">
        <w:rPr>
          <w:rFonts w:ascii="Calibri" w:hAnsi="Calibri" w:cs="Calibri"/>
        </w:rPr>
        <w:t xml:space="preserve"> en la agenda social y asegurar la continuidad de los esfuerzos.</w:t>
      </w:r>
    </w:p>
    <w:p w:rsidR="00E74037" w:rsidRPr="007073B6" w:rsidRDefault="00E74037" w:rsidP="00F12069">
      <w:pPr>
        <w:spacing w:after="200" w:line="276" w:lineRule="auto"/>
        <w:jc w:val="both"/>
        <w:rPr>
          <w:rFonts w:ascii="Calibri" w:hAnsi="Calibri" w:cs="Calibri"/>
        </w:rPr>
      </w:pPr>
      <w:r w:rsidRPr="007073B6">
        <w:rPr>
          <w:rFonts w:ascii="Calibri" w:hAnsi="Calibri" w:cs="Calibri"/>
        </w:rPr>
        <w:t xml:space="preserve">En segundo lugar, </w:t>
      </w:r>
      <w:r w:rsidR="00464163">
        <w:rPr>
          <w:rFonts w:ascii="Calibri" w:hAnsi="Calibri" w:cs="Calibri"/>
        </w:rPr>
        <w:t>fue</w:t>
      </w:r>
      <w:r w:rsidRPr="007073B6">
        <w:rPr>
          <w:rFonts w:ascii="Calibri" w:hAnsi="Calibri" w:cs="Calibri"/>
        </w:rPr>
        <w:t xml:space="preserve"> necesario difundir la existencia del programa y sus actividades, como un instrument</w:t>
      </w:r>
      <w:r w:rsidR="00F12069">
        <w:rPr>
          <w:rFonts w:ascii="Calibri" w:hAnsi="Calibri" w:cs="Calibri"/>
        </w:rPr>
        <w:t>o destinado a fortalecer la CyT</w:t>
      </w:r>
      <w:r w:rsidRPr="007073B6">
        <w:rPr>
          <w:rFonts w:ascii="Calibri" w:hAnsi="Calibri" w:cs="Calibri"/>
        </w:rPr>
        <w:t xml:space="preserve"> en el país. Este hecho es importante por diferentes razones: i) busca brindar igualdad de oportunidades a cualquier miembro de los grupos objetivos para participar en los beneficios del programa; ii) busca asegurar una demanda amplia y variada a los diferentes instrumentos del programa, todos ellos relacionados con áreas cla</w:t>
      </w:r>
      <w:r w:rsidR="00F12069">
        <w:rPr>
          <w:rFonts w:ascii="Calibri" w:hAnsi="Calibri" w:cs="Calibri"/>
        </w:rPr>
        <w:t>ve para el desarrollo de la CyT</w:t>
      </w:r>
      <w:r w:rsidRPr="007073B6">
        <w:rPr>
          <w:rFonts w:ascii="Calibri" w:hAnsi="Calibri" w:cs="Calibri"/>
        </w:rPr>
        <w:t xml:space="preserve"> (recursos humanos calificados, innovación empresarial, instituciones de investigación fortalecidas, posgrados mejorados).</w:t>
      </w:r>
    </w:p>
    <w:p w:rsidR="00E74037" w:rsidRPr="007073B6" w:rsidRDefault="00E74037" w:rsidP="00F12069">
      <w:pPr>
        <w:spacing w:after="200" w:line="276" w:lineRule="auto"/>
        <w:jc w:val="both"/>
        <w:rPr>
          <w:rFonts w:ascii="Calibri" w:hAnsi="Calibri" w:cs="Calibri"/>
        </w:rPr>
      </w:pPr>
      <w:r w:rsidRPr="007073B6">
        <w:rPr>
          <w:rFonts w:ascii="Calibri" w:hAnsi="Calibri" w:cs="Calibri"/>
        </w:rPr>
        <w:t xml:space="preserve">Se realizaron 30 eventos durante la ejecución del programa (ver </w:t>
      </w:r>
      <w:r w:rsidR="00174021">
        <w:rPr>
          <w:rFonts w:ascii="Calibri" w:hAnsi="Calibri" w:cs="Calibri"/>
        </w:rPr>
        <w:t>Tabla 5.26</w:t>
      </w:r>
      <w:r w:rsidRPr="007073B6">
        <w:rPr>
          <w:rFonts w:ascii="Calibri" w:hAnsi="Calibri" w:cs="Calibri"/>
        </w:rPr>
        <w:t>). El marco de referencia de estas actividades lo dio un plan de comunicación cuya preparación fue financiada con fondos de PROCIT. Las actividades se concentraron fundamentalmente en el lanzamiento y rendición de cuentas de los diferentes instrumentos del programa; en segundo lugar se desta</w:t>
      </w:r>
      <w:r w:rsidR="00F12069">
        <w:rPr>
          <w:rFonts w:ascii="Calibri" w:hAnsi="Calibri" w:cs="Calibri"/>
        </w:rPr>
        <w:t>can eventos de promoción de CyT</w:t>
      </w:r>
      <w:r w:rsidRPr="007073B6">
        <w:rPr>
          <w:rFonts w:ascii="Calibri" w:hAnsi="Calibri" w:cs="Calibri"/>
        </w:rPr>
        <w:t xml:space="preserve"> (en particular mediante premios y participación en ferias y eventos).</w:t>
      </w:r>
    </w:p>
    <w:p w:rsidR="00E74037" w:rsidRPr="007073B6" w:rsidRDefault="00E74037" w:rsidP="00F12069">
      <w:pPr>
        <w:spacing w:after="200" w:line="276" w:lineRule="auto"/>
        <w:jc w:val="both"/>
        <w:rPr>
          <w:rFonts w:ascii="Calibri" w:hAnsi="Calibri" w:cs="Calibri"/>
        </w:rPr>
      </w:pPr>
      <w:r w:rsidRPr="007073B6">
        <w:rPr>
          <w:rFonts w:ascii="Calibri" w:hAnsi="Calibri" w:cs="Calibri"/>
        </w:rPr>
        <w:t>La difusión de los principales hitos de los diferentes instrumentos del programa constituyen actividades previsibles que es necesario realizar, tanto para convocar a la participación abierta de los diferentes grupos objetivos, como para informar de los avances y resultados de las inversiones realizadas.</w:t>
      </w:r>
    </w:p>
    <w:p w:rsidR="00E74037" w:rsidRPr="007073B6" w:rsidRDefault="00E74037" w:rsidP="00F12069">
      <w:pPr>
        <w:spacing w:after="200" w:line="276" w:lineRule="auto"/>
        <w:jc w:val="both"/>
        <w:rPr>
          <w:rFonts w:ascii="Calibri" w:hAnsi="Calibri" w:cs="Calibri"/>
        </w:rPr>
      </w:pPr>
      <w:r w:rsidRPr="007073B6">
        <w:rPr>
          <w:rFonts w:ascii="Calibri" w:hAnsi="Calibri" w:cs="Calibri"/>
        </w:rPr>
        <w:t>La participación en eventos y los concursos de premiación se orientan a fortalecer la</w:t>
      </w:r>
      <w:r w:rsidR="00F12069">
        <w:rPr>
          <w:rFonts w:ascii="Calibri" w:hAnsi="Calibri" w:cs="Calibri"/>
        </w:rPr>
        <w:t xml:space="preserve"> presencia del CONACYT y la CyT</w:t>
      </w:r>
      <w:r w:rsidRPr="007073B6">
        <w:rPr>
          <w:rFonts w:ascii="Calibri" w:hAnsi="Calibri" w:cs="Calibri"/>
        </w:rPr>
        <w:t xml:space="preserve"> en la sociedad, así como a promover y recompensar el desarrollo de temas considerados estratégicos por la política naci</w:t>
      </w:r>
      <w:r w:rsidR="00F12069">
        <w:rPr>
          <w:rFonts w:ascii="Calibri" w:hAnsi="Calibri" w:cs="Calibri"/>
        </w:rPr>
        <w:t>onal de CyT</w:t>
      </w:r>
      <w:r w:rsidRPr="007073B6">
        <w:rPr>
          <w:rFonts w:ascii="Calibri" w:hAnsi="Calibri" w:cs="Calibri"/>
        </w:rPr>
        <w:t>.</w:t>
      </w:r>
    </w:p>
    <w:p w:rsidR="00E74037" w:rsidRPr="007073B6" w:rsidRDefault="00E74037" w:rsidP="00F12069">
      <w:pPr>
        <w:spacing w:after="200" w:line="276" w:lineRule="auto"/>
        <w:jc w:val="both"/>
        <w:rPr>
          <w:rFonts w:ascii="Calibri" w:hAnsi="Calibri" w:cs="Calibri"/>
        </w:rPr>
      </w:pPr>
      <w:r w:rsidRPr="007073B6">
        <w:rPr>
          <w:rFonts w:ascii="Calibri" w:hAnsi="Calibri" w:cs="Calibri"/>
        </w:rPr>
        <w:t>La revisión de la lista, asimismo, permite identificar un eve</w:t>
      </w:r>
      <w:r w:rsidR="00F12069">
        <w:rPr>
          <w:rFonts w:ascii="Calibri" w:hAnsi="Calibri" w:cs="Calibri"/>
        </w:rPr>
        <w:t>nto destinado a promover la CyT</w:t>
      </w:r>
      <w:r w:rsidRPr="007073B6">
        <w:rPr>
          <w:rFonts w:ascii="Calibri" w:hAnsi="Calibri" w:cs="Calibri"/>
        </w:rPr>
        <w:t xml:space="preserve"> (y la política para fomentarla) entre decisores clave de l</w:t>
      </w:r>
      <w:r w:rsidR="00F12069">
        <w:rPr>
          <w:rFonts w:ascii="Calibri" w:hAnsi="Calibri" w:cs="Calibri"/>
        </w:rPr>
        <w:t>os sectores público y privado (T</w:t>
      </w:r>
      <w:r w:rsidRPr="007073B6">
        <w:rPr>
          <w:rFonts w:ascii="Calibri" w:hAnsi="Calibri" w:cs="Calibri"/>
        </w:rPr>
        <w:t xml:space="preserve">aller de “Ciencia y Tecnología para el Desarrollo Social y Económico”; evento 4 en </w:t>
      </w:r>
      <w:r w:rsidR="00F12069">
        <w:rPr>
          <w:rFonts w:ascii="Calibri" w:hAnsi="Calibri" w:cs="Calibri"/>
        </w:rPr>
        <w:t xml:space="preserve">la </w:t>
      </w:r>
      <w:r w:rsidR="00F12069">
        <w:rPr>
          <w:rFonts w:ascii="Calibri" w:hAnsi="Calibri" w:cs="Calibri"/>
        </w:rPr>
        <w:lastRenderedPageBreak/>
        <w:t>Tabla</w:t>
      </w:r>
      <w:r w:rsidR="007C65C5">
        <w:rPr>
          <w:rFonts w:ascii="Calibri" w:hAnsi="Calibri" w:cs="Calibri"/>
        </w:rPr>
        <w:t xml:space="preserve"> 5.26 </w:t>
      </w:r>
      <w:r w:rsidRPr="007073B6">
        <w:rPr>
          <w:rFonts w:ascii="Calibri" w:hAnsi="Calibri" w:cs="Calibri"/>
        </w:rPr>
        <w:t>del año 2009). Es pos</w:t>
      </w:r>
      <w:r w:rsidR="00F12069">
        <w:rPr>
          <w:rFonts w:ascii="Calibri" w:hAnsi="Calibri" w:cs="Calibri"/>
        </w:rPr>
        <w:t>ible que la situación de la CyT</w:t>
      </w:r>
      <w:r w:rsidRPr="007073B6">
        <w:rPr>
          <w:rFonts w:ascii="Calibri" w:hAnsi="Calibri" w:cs="Calibri"/>
        </w:rPr>
        <w:t xml:space="preserve"> en el país haya demandado una mayor inversión en este sentido.</w:t>
      </w:r>
    </w:p>
    <w:p w:rsidR="00E74037" w:rsidRPr="00E63E36" w:rsidRDefault="00F12069" w:rsidP="00E63E36">
      <w:pPr>
        <w:spacing w:after="200" w:line="276" w:lineRule="auto"/>
        <w:jc w:val="center"/>
        <w:rPr>
          <w:rFonts w:ascii="Calibri" w:hAnsi="Calibri" w:cs="Calibri"/>
          <w:b/>
        </w:rPr>
      </w:pPr>
      <w:r w:rsidRPr="00E63E36">
        <w:rPr>
          <w:rFonts w:ascii="Calibri" w:hAnsi="Calibri" w:cs="Calibri"/>
          <w:b/>
        </w:rPr>
        <w:t>Tabla</w:t>
      </w:r>
      <w:r w:rsidR="007C65C5">
        <w:rPr>
          <w:rFonts w:ascii="Calibri" w:hAnsi="Calibri" w:cs="Calibri"/>
          <w:b/>
        </w:rPr>
        <w:t xml:space="preserve"> 5.26</w:t>
      </w:r>
      <w:r w:rsidR="00E63E36">
        <w:rPr>
          <w:rFonts w:ascii="Calibri" w:hAnsi="Calibri" w:cs="Calibri"/>
          <w:b/>
        </w:rPr>
        <w:t>.</w:t>
      </w:r>
      <w:r w:rsidR="00E63E36" w:rsidRPr="00E63E36">
        <w:rPr>
          <w:rFonts w:ascii="Calibri" w:hAnsi="Calibri" w:cs="Calibri"/>
          <w:b/>
        </w:rPr>
        <w:t xml:space="preserve"> E</w:t>
      </w:r>
      <w:r w:rsidR="00E74037" w:rsidRPr="00E63E36">
        <w:rPr>
          <w:rFonts w:ascii="Calibri" w:hAnsi="Calibri" w:cs="Calibri"/>
          <w:b/>
        </w:rPr>
        <w:t>ventos de difusión</w:t>
      </w:r>
    </w:p>
    <w:tbl>
      <w:tblPr>
        <w:tblStyle w:val="TableGrid"/>
        <w:tblW w:w="8931" w:type="dxa"/>
        <w:tblInd w:w="-5" w:type="dxa"/>
        <w:tblLayout w:type="fixed"/>
        <w:tblLook w:val="04A0" w:firstRow="1" w:lastRow="0" w:firstColumn="1" w:lastColumn="0" w:noHBand="0" w:noVBand="1"/>
      </w:tblPr>
      <w:tblGrid>
        <w:gridCol w:w="567"/>
        <w:gridCol w:w="8364"/>
      </w:tblGrid>
      <w:tr w:rsidR="00777092" w:rsidRPr="00777092" w:rsidTr="00777092">
        <w:tc>
          <w:tcPr>
            <w:tcW w:w="567" w:type="dxa"/>
            <w:shd w:val="clear" w:color="auto" w:fill="0F243E" w:themeFill="text2" w:themeFillShade="80"/>
            <w:vAlign w:val="center"/>
          </w:tcPr>
          <w:p w:rsidR="00777092" w:rsidRPr="00777092" w:rsidRDefault="00777092" w:rsidP="00777092">
            <w:pPr>
              <w:jc w:val="center"/>
              <w:rPr>
                <w:rFonts w:asciiTheme="minorHAnsi" w:hAnsiTheme="minorHAnsi" w:cstheme="minorHAnsi"/>
                <w:b/>
                <w:color w:val="FFFFFF" w:themeColor="background1"/>
                <w:sz w:val="20"/>
                <w:szCs w:val="20"/>
              </w:rPr>
            </w:pPr>
            <w:r w:rsidRPr="00777092">
              <w:rPr>
                <w:rFonts w:asciiTheme="minorHAnsi" w:hAnsiTheme="minorHAnsi" w:cstheme="minorHAnsi"/>
                <w:b/>
                <w:color w:val="FFFFFF" w:themeColor="background1"/>
                <w:sz w:val="20"/>
                <w:szCs w:val="20"/>
              </w:rPr>
              <w:t>Nº</w:t>
            </w:r>
          </w:p>
        </w:tc>
        <w:tc>
          <w:tcPr>
            <w:tcW w:w="8364" w:type="dxa"/>
            <w:shd w:val="clear" w:color="auto" w:fill="0F243E" w:themeFill="text2" w:themeFillShade="80"/>
          </w:tcPr>
          <w:p w:rsidR="00777092" w:rsidRPr="00777092" w:rsidRDefault="00777092" w:rsidP="00777092">
            <w:pPr>
              <w:jc w:val="center"/>
              <w:rPr>
                <w:rFonts w:asciiTheme="minorHAnsi" w:hAnsiTheme="minorHAnsi" w:cstheme="minorHAnsi"/>
                <w:b/>
                <w:color w:val="FFFFFF" w:themeColor="background1"/>
                <w:sz w:val="20"/>
                <w:szCs w:val="20"/>
              </w:rPr>
            </w:pPr>
            <w:r w:rsidRPr="00777092">
              <w:rPr>
                <w:rFonts w:asciiTheme="minorHAnsi" w:hAnsiTheme="minorHAnsi" w:cstheme="minorHAnsi"/>
                <w:b/>
                <w:color w:val="FFFFFF" w:themeColor="background1"/>
                <w:sz w:val="20"/>
                <w:szCs w:val="20"/>
              </w:rPr>
              <w:t>Tipo de evento</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1</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Evento de Lanzamiento de la Convocatoria 2008 “Ciencia y Tecnología para un Desarrollo con Inclusión Social” – 10/12/2008</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2</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Muestra de posters de proyectos de investigación científica Fase Piloto – Sede Sociedad Científica – Julio de 2009</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3</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Lanzamiento de 2ª Convocatoria de I+D – 3/12/2009</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4</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Seminario Internacional “Ciencia y Tecnología para el Desarrollo Social y Económico” – 3/12/2009</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5</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 xml:space="preserve">Inauguración de la nueva sede del </w:t>
            </w:r>
            <w:r w:rsidR="00D30CEF">
              <w:rPr>
                <w:rFonts w:asciiTheme="minorHAnsi" w:hAnsiTheme="minorHAnsi" w:cstheme="minorHAnsi"/>
                <w:sz w:val="20"/>
                <w:szCs w:val="20"/>
              </w:rPr>
              <w:t>CONACYT</w:t>
            </w:r>
            <w:r w:rsidRPr="00E63E36">
              <w:rPr>
                <w:rFonts w:asciiTheme="minorHAnsi" w:hAnsiTheme="minorHAnsi" w:cstheme="minorHAnsi"/>
                <w:sz w:val="20"/>
                <w:szCs w:val="20"/>
              </w:rPr>
              <w:t xml:space="preserve"> – 12/05/2010</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6</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Presentación de Avances del Programa Procit y Lanzamiento de Convocatoria de Becas y Postgrados – 19/07/2010</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7</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Stand del Procit/</w:t>
            </w:r>
            <w:r w:rsidR="00D30CEF">
              <w:rPr>
                <w:rFonts w:asciiTheme="minorHAnsi" w:hAnsiTheme="minorHAnsi" w:cstheme="minorHAnsi"/>
                <w:sz w:val="20"/>
                <w:szCs w:val="20"/>
              </w:rPr>
              <w:t>CONACYT</w:t>
            </w:r>
            <w:r w:rsidRPr="00E63E36">
              <w:rPr>
                <w:rFonts w:asciiTheme="minorHAnsi" w:hAnsiTheme="minorHAnsi" w:cstheme="minorHAnsi"/>
                <w:sz w:val="20"/>
                <w:szCs w:val="20"/>
              </w:rPr>
              <w:t xml:space="preserve"> en el Congreso Paraguayo de Medio Ambiente – 30/07/2010</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8</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Presentación de la Ventanilla de Innovación en la EXPO 2010 – 23/07/2010</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9</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Conferencia sobre Innovación Tecnológica en Empresas con Diego Vallarino – 17/08/2010</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10</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Curso de proyectos de innovación para jóvenes universitarios – 2/09/2010</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11</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Stand del Procit/</w:t>
            </w:r>
            <w:r w:rsidR="00D30CEF">
              <w:rPr>
                <w:rFonts w:asciiTheme="minorHAnsi" w:hAnsiTheme="minorHAnsi" w:cstheme="minorHAnsi"/>
                <w:sz w:val="20"/>
                <w:szCs w:val="20"/>
              </w:rPr>
              <w:t>CONACYT</w:t>
            </w:r>
            <w:r w:rsidRPr="00E63E36">
              <w:rPr>
                <w:rFonts w:asciiTheme="minorHAnsi" w:hAnsiTheme="minorHAnsi" w:cstheme="minorHAnsi"/>
                <w:sz w:val="20"/>
                <w:szCs w:val="20"/>
              </w:rPr>
              <w:t xml:space="preserve"> en la Expoferia ETYC 2010 de la Facultad Politécnica de la Universidad Nacional de Asunción – 21 al 25 de setiembre de 2010</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12</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Lanzamiento del Libro Indicadores de CT+i – 2/10/2010</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13</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Premiación del Concurso de Periodismo Científico 2010 – 8/10/2010</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14</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 xml:space="preserve">Taller con Ganadores de Proyectos de Investigación – Sede </w:t>
            </w:r>
            <w:r w:rsidR="00D30CEF">
              <w:rPr>
                <w:rFonts w:asciiTheme="minorHAnsi" w:hAnsiTheme="minorHAnsi" w:cstheme="minorHAnsi"/>
                <w:sz w:val="20"/>
                <w:szCs w:val="20"/>
              </w:rPr>
              <w:t>CONACYT</w:t>
            </w:r>
            <w:r w:rsidRPr="00E63E36">
              <w:rPr>
                <w:rFonts w:asciiTheme="minorHAnsi" w:hAnsiTheme="minorHAnsi" w:cstheme="minorHAnsi"/>
                <w:sz w:val="20"/>
                <w:szCs w:val="20"/>
              </w:rPr>
              <w:t xml:space="preserve"> – 22/10/2010</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15</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Acto de Adjudicación de Proyectos de Investigación 2010 – Sede del BID – 28/10/2010</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16</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Seminario “Nuevas Oportunidades de Desarrollo en Ciencia, Tecnología e Innovación” – 20/12/2010</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17</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Reunión de Capacitación Postgrados Fortalecidos 1ºConvocatoria – 17/03/2011</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18</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Primer Seminario de Periodismo Científico y Divulgación  - 5/05/2011</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19</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Lanzamiento de Becas Cortas y Complementarias en Coronel Oviedo – 3/06/2011</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20</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 xml:space="preserve">Acto de Adjudicación de 3 Proyectos de Innovación – Sede </w:t>
            </w:r>
            <w:r w:rsidR="00D30CEF">
              <w:rPr>
                <w:rFonts w:asciiTheme="minorHAnsi" w:hAnsiTheme="minorHAnsi" w:cstheme="minorHAnsi"/>
                <w:sz w:val="20"/>
                <w:szCs w:val="20"/>
              </w:rPr>
              <w:t>CONACYT</w:t>
            </w:r>
            <w:r w:rsidRPr="00E63E36">
              <w:rPr>
                <w:rFonts w:asciiTheme="minorHAnsi" w:hAnsiTheme="minorHAnsi" w:cstheme="minorHAnsi"/>
                <w:sz w:val="20"/>
                <w:szCs w:val="20"/>
              </w:rPr>
              <w:t xml:space="preserve"> – 30/06/2011</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21</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Taller sobre Riesgos para Postgrados Fortalecidos – 14/07/2011</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22</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Lanzamiento de Becas Cortas y Complementarias den Ciudad del Este – 2/09/2011</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23</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Stand del Procit/</w:t>
            </w:r>
            <w:r w:rsidR="00D30CEF">
              <w:rPr>
                <w:rFonts w:asciiTheme="minorHAnsi" w:hAnsiTheme="minorHAnsi" w:cstheme="minorHAnsi"/>
                <w:sz w:val="20"/>
                <w:szCs w:val="20"/>
              </w:rPr>
              <w:t>CONACYT</w:t>
            </w:r>
            <w:r w:rsidRPr="00E63E36">
              <w:rPr>
                <w:rFonts w:asciiTheme="minorHAnsi" w:hAnsiTheme="minorHAnsi" w:cstheme="minorHAnsi"/>
                <w:sz w:val="20"/>
                <w:szCs w:val="20"/>
              </w:rPr>
              <w:t xml:space="preserve"> en la Expoferia ETYC de la Facultad Politécnica de la Universidad Nacional de Asunción – 19 al 23 de setiembre de 2011</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24</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 xml:space="preserve">Taller de Capacitación Postgrados Fortalecidos Convocatoria Interior – Sede </w:t>
            </w:r>
            <w:r w:rsidR="00D30CEF">
              <w:rPr>
                <w:rFonts w:asciiTheme="minorHAnsi" w:hAnsiTheme="minorHAnsi" w:cstheme="minorHAnsi"/>
                <w:sz w:val="20"/>
                <w:szCs w:val="20"/>
              </w:rPr>
              <w:t>CONACYT</w:t>
            </w:r>
            <w:r w:rsidRPr="00E63E36">
              <w:rPr>
                <w:rFonts w:asciiTheme="minorHAnsi" w:hAnsiTheme="minorHAnsi" w:cstheme="minorHAnsi"/>
                <w:sz w:val="20"/>
                <w:szCs w:val="20"/>
              </w:rPr>
              <w:t xml:space="preserve"> – 03/10/2011</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25</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 xml:space="preserve">Charla de Divulgación de Experiencias- 3 Becarios </w:t>
            </w:r>
            <w:r w:rsidR="00D30CEF">
              <w:rPr>
                <w:rFonts w:asciiTheme="minorHAnsi" w:hAnsiTheme="minorHAnsi" w:cstheme="minorHAnsi"/>
                <w:sz w:val="20"/>
                <w:szCs w:val="20"/>
              </w:rPr>
              <w:t>CONACYT</w:t>
            </w:r>
            <w:r w:rsidRPr="00E63E36">
              <w:rPr>
                <w:rFonts w:asciiTheme="minorHAnsi" w:hAnsiTheme="minorHAnsi" w:cstheme="minorHAnsi"/>
                <w:sz w:val="20"/>
                <w:szCs w:val="20"/>
              </w:rPr>
              <w:t>/Procit Sede UNA – 17/10/2011</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26</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 xml:space="preserve">Charla de Divulgación de Experiencias- 4 Becarios </w:t>
            </w:r>
            <w:r w:rsidR="00D30CEF">
              <w:rPr>
                <w:rFonts w:asciiTheme="minorHAnsi" w:hAnsiTheme="minorHAnsi" w:cstheme="minorHAnsi"/>
                <w:sz w:val="20"/>
                <w:szCs w:val="20"/>
              </w:rPr>
              <w:t>CONACYT</w:t>
            </w:r>
            <w:r w:rsidRPr="00E63E36">
              <w:rPr>
                <w:rFonts w:asciiTheme="minorHAnsi" w:hAnsiTheme="minorHAnsi" w:cstheme="minorHAnsi"/>
                <w:sz w:val="20"/>
                <w:szCs w:val="20"/>
              </w:rPr>
              <w:t>/Procit – Sede UNA 18/10/2011</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27</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Taller sobre Divulgación de CTI, para Postgrados Fortalecidos – Sede UNA – 24/10/2011</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28</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Premiación de Concurso de Periodismo Científico y Fotografía 2011 – 31/10/2011</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29</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 xml:space="preserve"> Expo-Seminario “Hacia Una Cultura Científica. Arte, debate y música para divulgar la ciencia” – 31/10/2011</w:t>
            </w:r>
          </w:p>
        </w:tc>
      </w:tr>
      <w:tr w:rsidR="00E74037" w:rsidRPr="00E63E36" w:rsidTr="00E748F5">
        <w:tc>
          <w:tcPr>
            <w:tcW w:w="567" w:type="dxa"/>
            <w:vAlign w:val="center"/>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30</w:t>
            </w:r>
          </w:p>
        </w:tc>
        <w:tc>
          <w:tcPr>
            <w:tcW w:w="8364" w:type="dxa"/>
          </w:tcPr>
          <w:p w:rsidR="00E74037" w:rsidRPr="00E63E36" w:rsidRDefault="00E74037" w:rsidP="00E74037">
            <w:pPr>
              <w:jc w:val="both"/>
              <w:rPr>
                <w:rFonts w:asciiTheme="minorHAnsi" w:hAnsiTheme="minorHAnsi" w:cstheme="minorHAnsi"/>
                <w:sz w:val="20"/>
                <w:szCs w:val="20"/>
              </w:rPr>
            </w:pPr>
            <w:r w:rsidRPr="00E63E36">
              <w:rPr>
                <w:rFonts w:asciiTheme="minorHAnsi" w:hAnsiTheme="minorHAnsi" w:cstheme="minorHAnsi"/>
                <w:sz w:val="20"/>
                <w:szCs w:val="20"/>
              </w:rPr>
              <w:t>Acto de Adjudicación de Proyectos de Investigación 2011 – 09/11/2011</w:t>
            </w:r>
          </w:p>
        </w:tc>
      </w:tr>
    </w:tbl>
    <w:p w:rsidR="00E63E36" w:rsidRPr="00171404" w:rsidRDefault="00E63E36" w:rsidP="00E74037">
      <w:pPr>
        <w:jc w:val="both"/>
        <w:rPr>
          <w:rFonts w:ascii="Calibri" w:hAnsi="Calibri" w:cs="Calibri"/>
          <w:sz w:val="18"/>
          <w:szCs w:val="18"/>
        </w:rPr>
      </w:pPr>
      <w:r w:rsidRPr="00171404">
        <w:rPr>
          <w:rFonts w:asciiTheme="minorHAnsi" w:hAnsiTheme="minorHAnsi" w:cstheme="minorHAnsi"/>
          <w:color w:val="000000" w:themeColor="text1"/>
          <w:sz w:val="18"/>
          <w:szCs w:val="18"/>
        </w:rPr>
        <w:t>Fuente: Innovos Group en base a datos provistos por CONACYT</w:t>
      </w:r>
    </w:p>
    <w:p w:rsidR="00E63E36" w:rsidRDefault="00E63E36" w:rsidP="00E74037">
      <w:pPr>
        <w:jc w:val="both"/>
        <w:rPr>
          <w:rFonts w:ascii="Calibri" w:hAnsi="Calibri" w:cs="Calibri"/>
        </w:rPr>
      </w:pPr>
    </w:p>
    <w:p w:rsidR="00E74037" w:rsidRPr="00D337DD" w:rsidRDefault="00E74037" w:rsidP="00E63E36">
      <w:pPr>
        <w:spacing w:after="200" w:line="276" w:lineRule="auto"/>
        <w:jc w:val="both"/>
        <w:rPr>
          <w:rFonts w:ascii="Calibri" w:hAnsi="Calibri" w:cs="Calibri"/>
        </w:rPr>
      </w:pPr>
      <w:r w:rsidRPr="00D337DD">
        <w:rPr>
          <w:rFonts w:ascii="Calibri" w:hAnsi="Calibri" w:cs="Calibri"/>
        </w:rPr>
        <w:t>Para construir viabilidad y sostenibilida</w:t>
      </w:r>
      <w:r w:rsidR="00E63E36">
        <w:rPr>
          <w:rFonts w:ascii="Calibri" w:hAnsi="Calibri" w:cs="Calibri"/>
        </w:rPr>
        <w:t>d a la naciente política de CyT</w:t>
      </w:r>
      <w:r w:rsidRPr="00D337DD">
        <w:rPr>
          <w:rFonts w:ascii="Calibri" w:hAnsi="Calibri" w:cs="Calibri"/>
        </w:rPr>
        <w:t xml:space="preserve"> hubiera debido considerarse captar y desarrollar un conjunto de figuras públicas y privadas relacionadas con la ciencia, la tecnología o la innovación. En ese sentido, la realización de una serie de eventos encabezados por figuras internacionales y regionales de referencia, así como visitas a instituciones de países vecinos o de otros continentes, hubiera sido aconsejable.</w:t>
      </w:r>
    </w:p>
    <w:p w:rsidR="00E74037" w:rsidRPr="000C4ECB" w:rsidRDefault="00E74037" w:rsidP="000C4ECB">
      <w:pPr>
        <w:spacing w:after="200" w:line="276" w:lineRule="auto"/>
        <w:jc w:val="both"/>
        <w:rPr>
          <w:rFonts w:ascii="Calibri" w:hAnsi="Calibri" w:cs="Calibri"/>
        </w:rPr>
      </w:pPr>
      <w:r w:rsidRPr="00D337DD">
        <w:rPr>
          <w:rFonts w:ascii="Calibri" w:hAnsi="Calibri" w:cs="Calibri"/>
        </w:rPr>
        <w:lastRenderedPageBreak/>
        <w:t xml:space="preserve">El objetivo subyacente de tales actividades es construir una red que tienda </w:t>
      </w:r>
      <w:r w:rsidR="00E63E36">
        <w:rPr>
          <w:rFonts w:ascii="Calibri" w:hAnsi="Calibri" w:cs="Calibri"/>
        </w:rPr>
        <w:t>a proteger a la política de CyT</w:t>
      </w:r>
      <w:r w:rsidRPr="00D337DD">
        <w:rPr>
          <w:rFonts w:ascii="Calibri" w:hAnsi="Calibri" w:cs="Calibri"/>
        </w:rPr>
        <w:t xml:space="preserve"> de los altibajos institucionales que afecten al sector público, fortaleciendo su presencia en la agenda de los </w:t>
      </w:r>
      <w:r w:rsidR="000C4ECB">
        <w:rPr>
          <w:rFonts w:ascii="Calibri" w:hAnsi="Calibri" w:cs="Calibri"/>
        </w:rPr>
        <w:t>gobiernos (actual y por venir).</w:t>
      </w:r>
    </w:p>
    <w:p w:rsidR="002915D7" w:rsidRDefault="002915D7" w:rsidP="002D7EE9">
      <w:pPr>
        <w:pStyle w:val="Heading3"/>
        <w:numPr>
          <w:ilvl w:val="2"/>
          <w:numId w:val="4"/>
        </w:numPr>
        <w:rPr>
          <w:rStyle w:val="Emphasis"/>
          <w:rFonts w:cs="Calibri"/>
        </w:rPr>
      </w:pPr>
      <w:bookmarkStart w:id="252" w:name="_Toc375211996"/>
      <w:r w:rsidRPr="00C902A5">
        <w:rPr>
          <w:rStyle w:val="Emphasis"/>
          <w:rFonts w:cs="Calibri"/>
        </w:rPr>
        <w:t>Resultados</w:t>
      </w:r>
      <w:bookmarkEnd w:id="252"/>
    </w:p>
    <w:p w:rsidR="00785131" w:rsidRPr="00D51AC3" w:rsidRDefault="00785131" w:rsidP="005A5C2F">
      <w:pPr>
        <w:autoSpaceDE w:val="0"/>
        <w:autoSpaceDN w:val="0"/>
        <w:adjustRightInd w:val="0"/>
        <w:spacing w:after="200" w:line="276" w:lineRule="auto"/>
        <w:jc w:val="both"/>
        <w:rPr>
          <w:rFonts w:ascii="Calibri" w:hAnsi="Calibri" w:cs="Calibri"/>
        </w:rPr>
      </w:pPr>
      <w:r w:rsidRPr="00D51AC3">
        <w:rPr>
          <w:rFonts w:ascii="Calibri" w:hAnsi="Calibri" w:cs="Calibri"/>
        </w:rPr>
        <w:t>El 78,4% de los beneficiarios y no beneficiarios de los diferentes instrumentos consultados durante el trabajo de campo del equipo evaluador, señalaron que la difusión de los objetivos y actividades de CONACYT es adecuada y muy adecuada, tal como</w:t>
      </w:r>
      <w:r w:rsidR="005A5C2F">
        <w:rPr>
          <w:rFonts w:ascii="Calibri" w:hAnsi="Calibri" w:cs="Calibri"/>
        </w:rPr>
        <w:t xml:space="preserve"> se menciona</w:t>
      </w:r>
      <w:r w:rsidRPr="00D51AC3">
        <w:rPr>
          <w:rFonts w:ascii="Calibri" w:hAnsi="Calibri" w:cs="Calibri"/>
        </w:rPr>
        <w:t xml:space="preserve"> en el apartado </w:t>
      </w:r>
      <w:r w:rsidR="005A5C2F">
        <w:rPr>
          <w:rFonts w:ascii="Calibri" w:hAnsi="Calibri" w:cs="Calibri"/>
        </w:rPr>
        <w:t>6.1</w:t>
      </w:r>
      <w:r w:rsidRPr="00D51AC3">
        <w:rPr>
          <w:rFonts w:ascii="Calibri" w:hAnsi="Calibri" w:cs="Calibri"/>
        </w:rPr>
        <w:t>.</w:t>
      </w:r>
      <w:r w:rsidR="005A5C2F">
        <w:rPr>
          <w:rFonts w:ascii="Calibri" w:hAnsi="Calibri" w:cs="Calibri"/>
        </w:rPr>
        <w:t xml:space="preserve"> </w:t>
      </w:r>
      <w:r w:rsidRPr="00D51AC3">
        <w:rPr>
          <w:rFonts w:ascii="Calibri" w:hAnsi="Calibri" w:cs="Calibri"/>
        </w:rPr>
        <w:t>Gestión de los Procesos.</w:t>
      </w:r>
    </w:p>
    <w:p w:rsidR="00785131" w:rsidRPr="00D51AC3" w:rsidRDefault="00785131" w:rsidP="005A5C2F">
      <w:pPr>
        <w:spacing w:after="200" w:line="276" w:lineRule="auto"/>
        <w:jc w:val="both"/>
        <w:rPr>
          <w:rFonts w:ascii="Calibri" w:hAnsi="Calibri" w:cs="Calibri"/>
        </w:rPr>
      </w:pPr>
      <w:r w:rsidRPr="00D51AC3">
        <w:rPr>
          <w:rFonts w:ascii="Calibri" w:hAnsi="Calibri" w:cs="Calibri"/>
        </w:rPr>
        <w:t>La situación es similar cuando la pregunta se refiere al PROCIT: tres cuartos de los consultados califican como adecuada o muy adecuada la difusión. Es posible que las diferencias respecto a los valores de CONACYT deban a que el Programa tiene una presencia institucional con menor historia y alcance.</w:t>
      </w:r>
    </w:p>
    <w:p w:rsidR="00785131" w:rsidRPr="00D51AC3" w:rsidRDefault="00785131" w:rsidP="005A5C2F">
      <w:pPr>
        <w:spacing w:after="200" w:line="276" w:lineRule="auto"/>
        <w:jc w:val="both"/>
        <w:rPr>
          <w:rFonts w:ascii="Calibri" w:hAnsi="Calibri" w:cs="Calibri"/>
        </w:rPr>
      </w:pPr>
      <w:r w:rsidRPr="00D51AC3">
        <w:rPr>
          <w:rFonts w:ascii="Calibri" w:hAnsi="Calibri" w:cs="Calibri"/>
        </w:rPr>
        <w:t>Respecto al alcance de las actividades de difusión, la búsqueda de menciones al PROCIT en Internet indica 33 casos en el período 2009-2012, con un máximo de</w:t>
      </w:r>
      <w:r w:rsidR="000113CB">
        <w:rPr>
          <w:rFonts w:ascii="Calibri" w:hAnsi="Calibri" w:cs="Calibri"/>
        </w:rPr>
        <w:t xml:space="preserve"> 15 en el año 2011 (Gráfico 5.36</w:t>
      </w:r>
      <w:r w:rsidRPr="00D51AC3">
        <w:rPr>
          <w:rFonts w:ascii="Calibri" w:hAnsi="Calibri" w:cs="Calibri"/>
        </w:rPr>
        <w:t>). Se trata en su mayoría de artículos publicados por diarios, universidades y ONG nacionales, así como por organismos y sitios internacionales, que reproducen gacetillas de prensa de CONACYT. Es una señal sobre el interés que existe a nivel del país y en el exterior respecto a la oferta, resultados y evolución de la política de apoyo a la ciencia y la tecnología en Paraguay.</w:t>
      </w:r>
    </w:p>
    <w:p w:rsidR="00785131" w:rsidRPr="00D51AC3" w:rsidRDefault="000113CB" w:rsidP="00785131">
      <w:pPr>
        <w:spacing w:before="120" w:after="120" w:line="288" w:lineRule="auto"/>
        <w:jc w:val="center"/>
        <w:rPr>
          <w:rFonts w:ascii="Calibri" w:hAnsi="Calibri" w:cs="Calibri"/>
          <w:b/>
        </w:rPr>
      </w:pPr>
      <w:r>
        <w:rPr>
          <w:rFonts w:ascii="Calibri" w:hAnsi="Calibri" w:cs="Calibri"/>
          <w:b/>
        </w:rPr>
        <w:t>Gráfico 5.36</w:t>
      </w:r>
      <w:r w:rsidR="005A5C2F">
        <w:rPr>
          <w:rFonts w:ascii="Calibri" w:hAnsi="Calibri" w:cs="Calibri"/>
          <w:b/>
        </w:rPr>
        <w:t>.</w:t>
      </w:r>
      <w:r w:rsidR="00785131" w:rsidRPr="00D51AC3">
        <w:rPr>
          <w:rFonts w:ascii="Calibri" w:hAnsi="Calibri" w:cs="Calibri"/>
          <w:b/>
        </w:rPr>
        <w:t xml:space="preserve"> Menciones al PROCIT en Internet (2009-2012)</w:t>
      </w:r>
    </w:p>
    <w:p w:rsidR="00785131" w:rsidRPr="00D51AC3" w:rsidRDefault="00785131" w:rsidP="00785131">
      <w:pPr>
        <w:spacing w:before="120" w:after="120" w:line="288" w:lineRule="auto"/>
        <w:jc w:val="center"/>
        <w:rPr>
          <w:rFonts w:ascii="Calibri" w:hAnsi="Calibri" w:cs="Calibri"/>
        </w:rPr>
      </w:pPr>
      <w:r w:rsidRPr="00406782">
        <w:rPr>
          <w:noProof/>
          <w:lang w:val="es-ES_tradnl" w:eastAsia="es-ES_tradnl"/>
        </w:rPr>
        <w:drawing>
          <wp:inline distT="0" distB="0" distL="0" distR="0" wp14:anchorId="5707D2FA" wp14:editId="6235B063">
            <wp:extent cx="3467819" cy="2211000"/>
            <wp:effectExtent l="0" t="0" r="0" b="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68887" cy="2211681"/>
                    </a:xfrm>
                    <a:prstGeom prst="rect">
                      <a:avLst/>
                    </a:prstGeom>
                    <a:noFill/>
                    <a:ln>
                      <a:noFill/>
                    </a:ln>
                  </pic:spPr>
                </pic:pic>
              </a:graphicData>
            </a:graphic>
          </wp:inline>
        </w:drawing>
      </w:r>
    </w:p>
    <w:p w:rsidR="00785131" w:rsidRPr="00D51AC3" w:rsidRDefault="00777092" w:rsidP="00777092">
      <w:pPr>
        <w:spacing w:before="120" w:after="120" w:line="288" w:lineRule="auto"/>
        <w:ind w:left="1416"/>
        <w:rPr>
          <w:rFonts w:ascii="Calibri" w:hAnsi="Calibri" w:cs="Calibri"/>
        </w:rPr>
      </w:pPr>
      <w:r>
        <w:rPr>
          <w:rFonts w:ascii="Calibri" w:hAnsi="Calibri" w:cs="Calibri"/>
          <w:sz w:val="18"/>
          <w:szCs w:val="18"/>
        </w:rPr>
        <w:t xml:space="preserve">        </w:t>
      </w:r>
      <w:r w:rsidR="00785131" w:rsidRPr="00B524B8">
        <w:rPr>
          <w:rFonts w:ascii="Calibri" w:hAnsi="Calibri" w:cs="Calibri"/>
          <w:sz w:val="18"/>
          <w:szCs w:val="18"/>
        </w:rPr>
        <w:t>Fuente: Innovos Group en ba</w:t>
      </w:r>
      <w:r w:rsidR="00785131">
        <w:rPr>
          <w:rFonts w:ascii="Calibri" w:hAnsi="Calibri" w:cs="Calibri"/>
          <w:sz w:val="18"/>
          <w:szCs w:val="18"/>
        </w:rPr>
        <w:t>se a búsq</w:t>
      </w:r>
      <w:r w:rsidR="00171404">
        <w:rPr>
          <w:rFonts w:ascii="Calibri" w:hAnsi="Calibri" w:cs="Calibri"/>
          <w:sz w:val="18"/>
          <w:szCs w:val="18"/>
        </w:rPr>
        <w:t>ueda de información en Internet</w:t>
      </w:r>
    </w:p>
    <w:p w:rsidR="00785131" w:rsidRPr="00D51AC3" w:rsidRDefault="00785131" w:rsidP="005A5C2F">
      <w:pPr>
        <w:spacing w:after="200" w:line="276" w:lineRule="auto"/>
        <w:jc w:val="both"/>
        <w:rPr>
          <w:rFonts w:ascii="Calibri" w:hAnsi="Calibri" w:cs="Calibri"/>
        </w:rPr>
      </w:pPr>
      <w:r w:rsidRPr="00D51AC3">
        <w:rPr>
          <w:rFonts w:ascii="Calibri" w:hAnsi="Calibri" w:cs="Calibri"/>
        </w:rPr>
        <w:t xml:space="preserve">Para la muestra de beneficiarios y no beneficiarios consultada, el conocimiento de las oportunidades de apoyo llegó a través de diversos medios: el sitio en internet de CONACYT tuvo el mayor alcance (26,5% de las respuestas) para difundir las convocatorias, </w:t>
      </w:r>
      <w:r w:rsidRPr="00D51AC3">
        <w:rPr>
          <w:rFonts w:ascii="Calibri" w:hAnsi="Calibri" w:cs="Calibri"/>
        </w:rPr>
        <w:lastRenderedPageBreak/>
        <w:t>seguido por las universidades y otras instituciones de educación superior, los eventos organizados por el propio CONACYT, los boletines por correo electrónico y el medio laboral (jefes, supervisores y compañeros de trabajo). Se destaca la escasa incidencia de los medios masivos de comunicación. Estos</w:t>
      </w:r>
      <w:r w:rsidR="007C65C5">
        <w:rPr>
          <w:rFonts w:ascii="Calibri" w:hAnsi="Calibri" w:cs="Calibri"/>
        </w:rPr>
        <w:t xml:space="preserve"> datos pueden observarse en la T</w:t>
      </w:r>
      <w:r w:rsidRPr="00D51AC3">
        <w:rPr>
          <w:rFonts w:ascii="Calibri" w:hAnsi="Calibri" w:cs="Calibri"/>
        </w:rPr>
        <w:t>abla a continuación.</w:t>
      </w:r>
    </w:p>
    <w:p w:rsidR="00785131" w:rsidRPr="00D51AC3" w:rsidRDefault="007C65C5" w:rsidP="00785131">
      <w:pPr>
        <w:spacing w:before="120" w:after="120" w:line="288" w:lineRule="auto"/>
        <w:jc w:val="center"/>
        <w:rPr>
          <w:rFonts w:ascii="Calibri" w:hAnsi="Calibri" w:cs="Calibri"/>
          <w:b/>
        </w:rPr>
      </w:pPr>
      <w:r>
        <w:rPr>
          <w:rFonts w:ascii="Calibri" w:hAnsi="Calibri" w:cs="Calibri"/>
          <w:b/>
        </w:rPr>
        <w:t>Tabla 5.27</w:t>
      </w:r>
      <w:r w:rsidR="005A5C2F">
        <w:rPr>
          <w:rFonts w:ascii="Calibri" w:hAnsi="Calibri" w:cs="Calibri"/>
          <w:b/>
        </w:rPr>
        <w:t>.</w:t>
      </w:r>
      <w:r w:rsidR="00785131" w:rsidRPr="00D51AC3">
        <w:rPr>
          <w:rFonts w:ascii="Calibri" w:hAnsi="Calibri" w:cs="Calibri"/>
          <w:b/>
        </w:rPr>
        <w:t xml:space="preserve"> Acceso a información sobre las convocatorias de PROCIT según tipo de medio de difusión</w:t>
      </w:r>
    </w:p>
    <w:tbl>
      <w:tblPr>
        <w:tblW w:w="9211" w:type="dxa"/>
        <w:tblCellMar>
          <w:left w:w="70" w:type="dxa"/>
          <w:right w:w="70" w:type="dxa"/>
        </w:tblCellMar>
        <w:tblLook w:val="04A0" w:firstRow="1" w:lastRow="0" w:firstColumn="1" w:lastColumn="0" w:noHBand="0" w:noVBand="1"/>
      </w:tblPr>
      <w:tblGrid>
        <w:gridCol w:w="4248"/>
        <w:gridCol w:w="850"/>
        <w:gridCol w:w="1276"/>
        <w:gridCol w:w="1134"/>
        <w:gridCol w:w="709"/>
        <w:gridCol w:w="994"/>
      </w:tblGrid>
      <w:tr w:rsidR="00785131" w:rsidRPr="00D51AC3" w:rsidTr="00777092">
        <w:trPr>
          <w:trHeight w:val="255"/>
        </w:trPr>
        <w:tc>
          <w:tcPr>
            <w:tcW w:w="4248"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hideMark/>
          </w:tcPr>
          <w:p w:rsidR="00785131" w:rsidRPr="00D51AC3" w:rsidRDefault="00777092" w:rsidP="00777092">
            <w:pPr>
              <w:jc w:val="center"/>
              <w:rPr>
                <w:rFonts w:ascii="Calibri" w:hAnsi="Calibri" w:cs="Calibri"/>
                <w:b/>
                <w:color w:val="FFFFFF"/>
                <w:sz w:val="20"/>
                <w:lang w:val="es-MX" w:eastAsia="es-MX"/>
              </w:rPr>
            </w:pPr>
            <w:r>
              <w:rPr>
                <w:rFonts w:ascii="Calibri" w:hAnsi="Calibri" w:cs="Calibri"/>
                <w:b/>
                <w:color w:val="FFFFFF"/>
                <w:sz w:val="20"/>
                <w:lang w:val="es-MX" w:eastAsia="es-MX"/>
              </w:rPr>
              <w:t>Medio</w:t>
            </w:r>
          </w:p>
        </w:tc>
        <w:tc>
          <w:tcPr>
            <w:tcW w:w="850"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rsidR="00785131" w:rsidRPr="00D51AC3" w:rsidRDefault="00785131" w:rsidP="00777092">
            <w:pPr>
              <w:jc w:val="center"/>
              <w:rPr>
                <w:rFonts w:ascii="Calibri" w:hAnsi="Calibri" w:cs="Calibri"/>
                <w:b/>
                <w:color w:val="FFFFFF"/>
                <w:sz w:val="20"/>
                <w:lang w:val="es-MX" w:eastAsia="es-MX"/>
              </w:rPr>
            </w:pPr>
            <w:r w:rsidRPr="00D51AC3">
              <w:rPr>
                <w:rFonts w:ascii="Calibri" w:hAnsi="Calibri" w:cs="Calibri"/>
                <w:b/>
                <w:color w:val="FFFFFF"/>
                <w:sz w:val="20"/>
                <w:lang w:val="es-MX" w:eastAsia="es-MX"/>
              </w:rPr>
              <w:t>Total</w:t>
            </w:r>
          </w:p>
        </w:tc>
        <w:tc>
          <w:tcPr>
            <w:tcW w:w="1276" w:type="dxa"/>
            <w:tcBorders>
              <w:top w:val="single" w:sz="4" w:space="0" w:color="auto"/>
              <w:left w:val="nil"/>
              <w:bottom w:val="single" w:sz="4" w:space="0" w:color="auto"/>
              <w:right w:val="single" w:sz="4" w:space="0" w:color="auto"/>
            </w:tcBorders>
            <w:shd w:val="clear" w:color="auto" w:fill="0F243E" w:themeFill="text2" w:themeFillShade="80"/>
          </w:tcPr>
          <w:p w:rsidR="00785131" w:rsidRPr="00D51AC3" w:rsidRDefault="00785131" w:rsidP="00777092">
            <w:pPr>
              <w:jc w:val="center"/>
              <w:rPr>
                <w:rFonts w:ascii="Calibri" w:hAnsi="Calibri" w:cs="Calibri"/>
                <w:b/>
                <w:color w:val="FFFFFF"/>
                <w:sz w:val="20"/>
                <w:lang w:val="es-MX" w:eastAsia="es-MX"/>
              </w:rPr>
            </w:pPr>
            <w:r w:rsidRPr="00D51AC3">
              <w:rPr>
                <w:rFonts w:ascii="Calibri" w:hAnsi="Calibri" w:cs="Calibri"/>
                <w:b/>
                <w:color w:val="FFFFFF"/>
                <w:sz w:val="20"/>
                <w:lang w:val="es-MX" w:eastAsia="es-MX"/>
              </w:rPr>
              <w:t>Investigación</w:t>
            </w:r>
          </w:p>
        </w:tc>
        <w:tc>
          <w:tcPr>
            <w:tcW w:w="1134" w:type="dxa"/>
            <w:tcBorders>
              <w:top w:val="single" w:sz="4" w:space="0" w:color="auto"/>
              <w:left w:val="nil"/>
              <w:bottom w:val="single" w:sz="4" w:space="0" w:color="auto"/>
              <w:right w:val="single" w:sz="4" w:space="0" w:color="auto"/>
            </w:tcBorders>
            <w:shd w:val="clear" w:color="auto" w:fill="0F243E" w:themeFill="text2" w:themeFillShade="80"/>
          </w:tcPr>
          <w:p w:rsidR="00785131" w:rsidRPr="00D51AC3" w:rsidRDefault="00785131" w:rsidP="00777092">
            <w:pPr>
              <w:jc w:val="center"/>
              <w:rPr>
                <w:rFonts w:ascii="Calibri" w:hAnsi="Calibri" w:cs="Calibri"/>
                <w:b/>
                <w:color w:val="FFFFFF"/>
                <w:sz w:val="20"/>
                <w:lang w:val="es-MX" w:eastAsia="es-MX"/>
              </w:rPr>
            </w:pPr>
            <w:r w:rsidRPr="00D51AC3">
              <w:rPr>
                <w:rFonts w:ascii="Calibri" w:hAnsi="Calibri" w:cs="Calibri"/>
                <w:b/>
                <w:color w:val="FFFFFF"/>
                <w:sz w:val="20"/>
                <w:lang w:val="es-MX" w:eastAsia="es-MX"/>
              </w:rPr>
              <w:t>Innovación</w:t>
            </w:r>
          </w:p>
        </w:tc>
        <w:tc>
          <w:tcPr>
            <w:tcW w:w="709"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rsidR="00785131" w:rsidRPr="00D51AC3" w:rsidRDefault="00785131" w:rsidP="00777092">
            <w:pPr>
              <w:jc w:val="center"/>
              <w:rPr>
                <w:rFonts w:ascii="Calibri" w:hAnsi="Calibri" w:cs="Calibri"/>
                <w:b/>
                <w:color w:val="FFFFFF"/>
                <w:sz w:val="20"/>
                <w:lang w:val="es-MX" w:eastAsia="es-MX"/>
              </w:rPr>
            </w:pPr>
            <w:r w:rsidRPr="00D51AC3">
              <w:rPr>
                <w:rFonts w:ascii="Calibri" w:hAnsi="Calibri" w:cs="Calibri"/>
                <w:b/>
                <w:color w:val="FFFFFF"/>
                <w:sz w:val="20"/>
                <w:lang w:val="es-MX" w:eastAsia="es-MX"/>
              </w:rPr>
              <w:t>Becas</w:t>
            </w:r>
          </w:p>
        </w:tc>
        <w:tc>
          <w:tcPr>
            <w:tcW w:w="994"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rsidR="00785131" w:rsidRPr="00D51AC3" w:rsidRDefault="00785131" w:rsidP="00777092">
            <w:pPr>
              <w:jc w:val="center"/>
              <w:rPr>
                <w:rFonts w:ascii="Calibri" w:hAnsi="Calibri" w:cs="Calibri"/>
                <w:b/>
                <w:color w:val="FFFFFF"/>
                <w:sz w:val="20"/>
                <w:lang w:val="es-MX" w:eastAsia="es-MX"/>
              </w:rPr>
            </w:pPr>
            <w:r w:rsidRPr="00D51AC3">
              <w:rPr>
                <w:rFonts w:ascii="Calibri" w:hAnsi="Calibri" w:cs="Calibri"/>
                <w:b/>
                <w:color w:val="FFFFFF"/>
                <w:sz w:val="20"/>
                <w:lang w:val="es-MX" w:eastAsia="es-MX"/>
              </w:rPr>
              <w:t>Posgrados</w:t>
            </w:r>
          </w:p>
        </w:tc>
      </w:tr>
      <w:tr w:rsidR="00785131" w:rsidRPr="00D51AC3" w:rsidTr="00777092">
        <w:trPr>
          <w:trHeight w:val="255"/>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785131" w:rsidRPr="00D51AC3" w:rsidRDefault="00785131" w:rsidP="00B73685">
            <w:pPr>
              <w:rPr>
                <w:rFonts w:ascii="Calibri" w:hAnsi="Calibri" w:cs="Calibri"/>
                <w:sz w:val="20"/>
                <w:lang w:val="es-MX" w:eastAsia="es-MX"/>
              </w:rPr>
            </w:pPr>
            <w:r w:rsidRPr="00D51AC3">
              <w:rPr>
                <w:rFonts w:ascii="Calibri" w:hAnsi="Calibri" w:cs="Calibri"/>
                <w:sz w:val="20"/>
                <w:lang w:val="es-MX" w:eastAsia="es-MX"/>
              </w:rPr>
              <w:t xml:space="preserve">Otro (especifique) </w:t>
            </w:r>
          </w:p>
        </w:tc>
        <w:tc>
          <w:tcPr>
            <w:tcW w:w="850" w:type="dxa"/>
            <w:tcBorders>
              <w:top w:val="nil"/>
              <w:left w:val="nil"/>
              <w:bottom w:val="single" w:sz="4" w:space="0" w:color="auto"/>
              <w:right w:val="single" w:sz="4" w:space="0" w:color="auto"/>
            </w:tcBorders>
            <w:shd w:val="clear" w:color="auto" w:fill="auto"/>
            <w:noWrap/>
            <w:vAlign w:val="bottom"/>
            <w:hideMark/>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1.5</w:t>
            </w:r>
          </w:p>
        </w:tc>
        <w:tc>
          <w:tcPr>
            <w:tcW w:w="1276" w:type="dxa"/>
            <w:tcBorders>
              <w:top w:val="nil"/>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2.0</w:t>
            </w:r>
          </w:p>
        </w:tc>
        <w:tc>
          <w:tcPr>
            <w:tcW w:w="1134" w:type="dxa"/>
            <w:tcBorders>
              <w:top w:val="single" w:sz="4" w:space="0" w:color="auto"/>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9.5</w:t>
            </w:r>
          </w:p>
        </w:tc>
        <w:tc>
          <w:tcPr>
            <w:tcW w:w="709"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0.9</w:t>
            </w:r>
          </w:p>
        </w:tc>
        <w:tc>
          <w:tcPr>
            <w:tcW w:w="994"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0.0</w:t>
            </w:r>
          </w:p>
        </w:tc>
      </w:tr>
      <w:tr w:rsidR="00785131" w:rsidRPr="00D51AC3" w:rsidTr="00777092">
        <w:trPr>
          <w:trHeight w:val="255"/>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785131" w:rsidRPr="00D51AC3" w:rsidRDefault="00785131" w:rsidP="00B73685">
            <w:pPr>
              <w:rPr>
                <w:rFonts w:ascii="Calibri" w:hAnsi="Calibri" w:cs="Calibri"/>
                <w:sz w:val="20"/>
                <w:lang w:val="es-MX" w:eastAsia="es-MX"/>
              </w:rPr>
            </w:pPr>
            <w:r w:rsidRPr="00D51AC3">
              <w:rPr>
                <w:rFonts w:ascii="Calibri" w:hAnsi="Calibri" w:cs="Calibri"/>
                <w:sz w:val="20"/>
                <w:lang w:val="es-MX" w:eastAsia="es-MX"/>
              </w:rPr>
              <w:t xml:space="preserve">Radio y/o televisión </w:t>
            </w:r>
          </w:p>
        </w:tc>
        <w:tc>
          <w:tcPr>
            <w:tcW w:w="850" w:type="dxa"/>
            <w:tcBorders>
              <w:top w:val="nil"/>
              <w:left w:val="nil"/>
              <w:bottom w:val="single" w:sz="4" w:space="0" w:color="auto"/>
              <w:right w:val="single" w:sz="4" w:space="0" w:color="auto"/>
            </w:tcBorders>
            <w:shd w:val="clear" w:color="auto" w:fill="auto"/>
            <w:noWrap/>
            <w:vAlign w:val="bottom"/>
            <w:hideMark/>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1.0</w:t>
            </w:r>
          </w:p>
        </w:tc>
        <w:tc>
          <w:tcPr>
            <w:tcW w:w="1276" w:type="dxa"/>
            <w:tcBorders>
              <w:top w:val="nil"/>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2.0</w:t>
            </w:r>
          </w:p>
        </w:tc>
        <w:tc>
          <w:tcPr>
            <w:tcW w:w="1134" w:type="dxa"/>
            <w:tcBorders>
              <w:top w:val="single" w:sz="4" w:space="0" w:color="auto"/>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4.8</w:t>
            </w:r>
          </w:p>
        </w:tc>
        <w:tc>
          <w:tcPr>
            <w:tcW w:w="709"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0.4</w:t>
            </w:r>
          </w:p>
        </w:tc>
        <w:tc>
          <w:tcPr>
            <w:tcW w:w="994"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0.0</w:t>
            </w:r>
          </w:p>
        </w:tc>
      </w:tr>
      <w:tr w:rsidR="00785131" w:rsidRPr="00D51AC3" w:rsidTr="00777092">
        <w:trPr>
          <w:trHeight w:val="255"/>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785131" w:rsidRPr="00D51AC3" w:rsidRDefault="00785131" w:rsidP="00B73685">
            <w:pPr>
              <w:rPr>
                <w:rFonts w:ascii="Calibri" w:hAnsi="Calibri" w:cs="Calibri"/>
                <w:sz w:val="20"/>
                <w:lang w:val="es-MX" w:eastAsia="es-MX"/>
              </w:rPr>
            </w:pPr>
            <w:r w:rsidRPr="00D51AC3">
              <w:rPr>
                <w:rFonts w:ascii="Calibri" w:hAnsi="Calibri" w:cs="Calibri"/>
                <w:sz w:val="20"/>
                <w:lang w:val="es-MX" w:eastAsia="es-MX"/>
              </w:rPr>
              <w:t>Periódicos, semanarios, revistas</w:t>
            </w:r>
          </w:p>
        </w:tc>
        <w:tc>
          <w:tcPr>
            <w:tcW w:w="850" w:type="dxa"/>
            <w:tcBorders>
              <w:top w:val="nil"/>
              <w:left w:val="nil"/>
              <w:bottom w:val="single" w:sz="4" w:space="0" w:color="auto"/>
              <w:right w:val="single" w:sz="4" w:space="0" w:color="auto"/>
            </w:tcBorders>
            <w:shd w:val="clear" w:color="auto" w:fill="auto"/>
            <w:noWrap/>
            <w:vAlign w:val="bottom"/>
            <w:hideMark/>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2.3</w:t>
            </w:r>
          </w:p>
        </w:tc>
        <w:tc>
          <w:tcPr>
            <w:tcW w:w="1276" w:type="dxa"/>
            <w:tcBorders>
              <w:top w:val="nil"/>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2.9</w:t>
            </w:r>
          </w:p>
        </w:tc>
        <w:tc>
          <w:tcPr>
            <w:tcW w:w="1134" w:type="dxa"/>
            <w:tcBorders>
              <w:top w:val="single" w:sz="4" w:space="0" w:color="auto"/>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4.8</w:t>
            </w:r>
          </w:p>
        </w:tc>
        <w:tc>
          <w:tcPr>
            <w:tcW w:w="709"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1.7</w:t>
            </w:r>
          </w:p>
        </w:tc>
        <w:tc>
          <w:tcPr>
            <w:tcW w:w="994"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2.8</w:t>
            </w:r>
          </w:p>
        </w:tc>
      </w:tr>
      <w:tr w:rsidR="00785131" w:rsidRPr="00D51AC3" w:rsidTr="00777092">
        <w:trPr>
          <w:trHeight w:val="255"/>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785131" w:rsidRPr="00D51AC3" w:rsidRDefault="00785131" w:rsidP="00B73685">
            <w:pPr>
              <w:rPr>
                <w:rFonts w:ascii="Calibri" w:hAnsi="Calibri" w:cs="Calibri"/>
                <w:sz w:val="20"/>
                <w:lang w:val="es-MX" w:eastAsia="es-MX"/>
              </w:rPr>
            </w:pPr>
            <w:r w:rsidRPr="00D51AC3">
              <w:rPr>
                <w:rFonts w:ascii="Calibri" w:hAnsi="Calibri" w:cs="Calibri"/>
                <w:sz w:val="20"/>
                <w:lang w:val="es-MX" w:eastAsia="es-MX"/>
              </w:rPr>
              <w:t>Sitio web de la institución en la que trabaja</w:t>
            </w:r>
          </w:p>
        </w:tc>
        <w:tc>
          <w:tcPr>
            <w:tcW w:w="850" w:type="dxa"/>
            <w:tcBorders>
              <w:top w:val="nil"/>
              <w:left w:val="nil"/>
              <w:bottom w:val="single" w:sz="4" w:space="0" w:color="auto"/>
              <w:right w:val="single" w:sz="4" w:space="0" w:color="auto"/>
            </w:tcBorders>
            <w:shd w:val="clear" w:color="auto" w:fill="auto"/>
            <w:noWrap/>
            <w:vAlign w:val="bottom"/>
            <w:hideMark/>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3.9</w:t>
            </w:r>
          </w:p>
        </w:tc>
        <w:tc>
          <w:tcPr>
            <w:tcW w:w="1276" w:type="dxa"/>
            <w:tcBorders>
              <w:top w:val="nil"/>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2.0</w:t>
            </w:r>
          </w:p>
        </w:tc>
        <w:tc>
          <w:tcPr>
            <w:tcW w:w="1134" w:type="dxa"/>
            <w:tcBorders>
              <w:top w:val="single" w:sz="4" w:space="0" w:color="auto"/>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0.0</w:t>
            </w:r>
          </w:p>
        </w:tc>
        <w:tc>
          <w:tcPr>
            <w:tcW w:w="709"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4.4</w:t>
            </w:r>
          </w:p>
        </w:tc>
        <w:tc>
          <w:tcPr>
            <w:tcW w:w="994"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8.3</w:t>
            </w:r>
          </w:p>
        </w:tc>
      </w:tr>
      <w:tr w:rsidR="00785131" w:rsidRPr="00D51AC3" w:rsidTr="00777092">
        <w:trPr>
          <w:trHeight w:val="255"/>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785131" w:rsidRPr="00D51AC3" w:rsidRDefault="00785131" w:rsidP="00B73685">
            <w:pPr>
              <w:rPr>
                <w:rFonts w:ascii="Calibri" w:hAnsi="Calibri" w:cs="Calibri"/>
                <w:sz w:val="20"/>
                <w:lang w:val="es-MX" w:eastAsia="es-MX"/>
              </w:rPr>
            </w:pPr>
            <w:r w:rsidRPr="00D51AC3">
              <w:rPr>
                <w:rFonts w:ascii="Calibri" w:hAnsi="Calibri" w:cs="Calibri"/>
                <w:sz w:val="20"/>
                <w:lang w:val="es-MX" w:eastAsia="es-MX"/>
              </w:rPr>
              <w:t>Sitio web del CONACYT</w:t>
            </w:r>
          </w:p>
        </w:tc>
        <w:tc>
          <w:tcPr>
            <w:tcW w:w="850" w:type="dxa"/>
            <w:tcBorders>
              <w:top w:val="nil"/>
              <w:left w:val="nil"/>
              <w:bottom w:val="single" w:sz="4" w:space="0" w:color="auto"/>
              <w:right w:val="single" w:sz="4" w:space="0" w:color="auto"/>
            </w:tcBorders>
            <w:shd w:val="clear" w:color="auto" w:fill="auto"/>
            <w:noWrap/>
            <w:vAlign w:val="bottom"/>
            <w:hideMark/>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26.5</w:t>
            </w:r>
          </w:p>
        </w:tc>
        <w:tc>
          <w:tcPr>
            <w:tcW w:w="1276" w:type="dxa"/>
            <w:tcBorders>
              <w:top w:val="nil"/>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26.5</w:t>
            </w:r>
          </w:p>
        </w:tc>
        <w:tc>
          <w:tcPr>
            <w:tcW w:w="1134" w:type="dxa"/>
            <w:tcBorders>
              <w:top w:val="single" w:sz="4" w:space="0" w:color="auto"/>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23.8</w:t>
            </w:r>
          </w:p>
        </w:tc>
        <w:tc>
          <w:tcPr>
            <w:tcW w:w="709"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26.2</w:t>
            </w:r>
          </w:p>
        </w:tc>
        <w:tc>
          <w:tcPr>
            <w:tcW w:w="994"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30.6</w:t>
            </w:r>
          </w:p>
        </w:tc>
      </w:tr>
      <w:tr w:rsidR="00785131" w:rsidRPr="00D51AC3" w:rsidTr="00777092">
        <w:trPr>
          <w:trHeight w:val="255"/>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785131" w:rsidRPr="00D51AC3" w:rsidRDefault="00785131" w:rsidP="00B73685">
            <w:pPr>
              <w:rPr>
                <w:rFonts w:ascii="Calibri" w:hAnsi="Calibri" w:cs="Calibri"/>
                <w:sz w:val="20"/>
                <w:lang w:val="es-MX" w:eastAsia="es-MX"/>
              </w:rPr>
            </w:pPr>
            <w:r w:rsidRPr="00D51AC3">
              <w:rPr>
                <w:rFonts w:ascii="Calibri" w:hAnsi="Calibri" w:cs="Calibri"/>
                <w:sz w:val="20"/>
                <w:lang w:val="es-MX" w:eastAsia="es-MX"/>
              </w:rPr>
              <w:t>Boletín electrónico a su correo</w:t>
            </w:r>
          </w:p>
        </w:tc>
        <w:tc>
          <w:tcPr>
            <w:tcW w:w="850" w:type="dxa"/>
            <w:tcBorders>
              <w:top w:val="nil"/>
              <w:left w:val="nil"/>
              <w:bottom w:val="single" w:sz="4" w:space="0" w:color="auto"/>
              <w:right w:val="single" w:sz="4" w:space="0" w:color="auto"/>
            </w:tcBorders>
            <w:shd w:val="clear" w:color="auto" w:fill="auto"/>
            <w:noWrap/>
            <w:vAlign w:val="bottom"/>
            <w:hideMark/>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12.9</w:t>
            </w:r>
          </w:p>
        </w:tc>
        <w:tc>
          <w:tcPr>
            <w:tcW w:w="1276" w:type="dxa"/>
            <w:tcBorders>
              <w:top w:val="nil"/>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18.6</w:t>
            </w:r>
          </w:p>
        </w:tc>
        <w:tc>
          <w:tcPr>
            <w:tcW w:w="1134" w:type="dxa"/>
            <w:tcBorders>
              <w:top w:val="single" w:sz="4" w:space="0" w:color="auto"/>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0.0</w:t>
            </w:r>
          </w:p>
        </w:tc>
        <w:tc>
          <w:tcPr>
            <w:tcW w:w="709"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10.0</w:t>
            </w:r>
          </w:p>
        </w:tc>
        <w:tc>
          <w:tcPr>
            <w:tcW w:w="994"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22.2</w:t>
            </w:r>
          </w:p>
        </w:tc>
      </w:tr>
      <w:tr w:rsidR="00785131" w:rsidRPr="00D51AC3" w:rsidTr="00777092">
        <w:trPr>
          <w:trHeight w:val="255"/>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785131" w:rsidRPr="00D51AC3" w:rsidRDefault="00785131" w:rsidP="00B73685">
            <w:pPr>
              <w:rPr>
                <w:rFonts w:ascii="Calibri" w:hAnsi="Calibri" w:cs="Calibri"/>
                <w:sz w:val="20"/>
                <w:lang w:val="es-MX" w:eastAsia="es-MX"/>
              </w:rPr>
            </w:pPr>
            <w:r w:rsidRPr="00D51AC3">
              <w:rPr>
                <w:rFonts w:ascii="Calibri" w:hAnsi="Calibri" w:cs="Calibri"/>
                <w:sz w:val="20"/>
                <w:lang w:val="es-MX" w:eastAsia="es-MX"/>
              </w:rPr>
              <w:t>Supervisor, jefe, coordinador, compañero trabajo</w:t>
            </w:r>
          </w:p>
        </w:tc>
        <w:tc>
          <w:tcPr>
            <w:tcW w:w="850" w:type="dxa"/>
            <w:tcBorders>
              <w:top w:val="nil"/>
              <w:left w:val="nil"/>
              <w:bottom w:val="single" w:sz="4" w:space="0" w:color="auto"/>
              <w:right w:val="single" w:sz="4" w:space="0" w:color="auto"/>
            </w:tcBorders>
            <w:shd w:val="clear" w:color="auto" w:fill="auto"/>
            <w:noWrap/>
            <w:vAlign w:val="bottom"/>
            <w:hideMark/>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11.6</w:t>
            </w:r>
          </w:p>
        </w:tc>
        <w:tc>
          <w:tcPr>
            <w:tcW w:w="1276" w:type="dxa"/>
            <w:tcBorders>
              <w:top w:val="nil"/>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6.9</w:t>
            </w:r>
          </w:p>
        </w:tc>
        <w:tc>
          <w:tcPr>
            <w:tcW w:w="1134" w:type="dxa"/>
            <w:tcBorders>
              <w:top w:val="single" w:sz="4" w:space="0" w:color="auto"/>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0.0</w:t>
            </w:r>
          </w:p>
        </w:tc>
        <w:tc>
          <w:tcPr>
            <w:tcW w:w="709"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15.7</w:t>
            </w:r>
          </w:p>
        </w:tc>
        <w:tc>
          <w:tcPr>
            <w:tcW w:w="994"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5.6</w:t>
            </w:r>
          </w:p>
        </w:tc>
      </w:tr>
      <w:tr w:rsidR="00785131" w:rsidRPr="00D51AC3" w:rsidTr="00777092">
        <w:trPr>
          <w:trHeight w:val="255"/>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785131" w:rsidRPr="00D51AC3" w:rsidRDefault="00785131" w:rsidP="00B73685">
            <w:pPr>
              <w:rPr>
                <w:rFonts w:ascii="Calibri" w:hAnsi="Calibri" w:cs="Calibri"/>
                <w:sz w:val="20"/>
                <w:lang w:val="es-MX" w:eastAsia="es-MX"/>
              </w:rPr>
            </w:pPr>
            <w:r w:rsidRPr="00D51AC3">
              <w:rPr>
                <w:rFonts w:ascii="Calibri" w:hAnsi="Calibri" w:cs="Calibri"/>
                <w:sz w:val="20"/>
                <w:lang w:val="es-MX" w:eastAsia="es-MX"/>
              </w:rPr>
              <w:t xml:space="preserve">Persona ajena a su lugar de trabajo </w:t>
            </w:r>
          </w:p>
        </w:tc>
        <w:tc>
          <w:tcPr>
            <w:tcW w:w="850" w:type="dxa"/>
            <w:tcBorders>
              <w:top w:val="nil"/>
              <w:left w:val="nil"/>
              <w:bottom w:val="single" w:sz="4" w:space="0" w:color="auto"/>
              <w:right w:val="single" w:sz="4" w:space="0" w:color="auto"/>
            </w:tcBorders>
            <w:shd w:val="clear" w:color="auto" w:fill="auto"/>
            <w:noWrap/>
            <w:vAlign w:val="bottom"/>
            <w:hideMark/>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6.2</w:t>
            </w:r>
          </w:p>
        </w:tc>
        <w:tc>
          <w:tcPr>
            <w:tcW w:w="1276" w:type="dxa"/>
            <w:tcBorders>
              <w:top w:val="nil"/>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4.9</w:t>
            </w:r>
          </w:p>
        </w:tc>
        <w:tc>
          <w:tcPr>
            <w:tcW w:w="1134" w:type="dxa"/>
            <w:tcBorders>
              <w:top w:val="single" w:sz="4" w:space="0" w:color="auto"/>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0.0</w:t>
            </w:r>
          </w:p>
        </w:tc>
        <w:tc>
          <w:tcPr>
            <w:tcW w:w="709"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8.3</w:t>
            </w:r>
          </w:p>
        </w:tc>
        <w:tc>
          <w:tcPr>
            <w:tcW w:w="994"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0.0</w:t>
            </w:r>
          </w:p>
        </w:tc>
      </w:tr>
      <w:tr w:rsidR="00785131" w:rsidRPr="00D51AC3" w:rsidTr="00777092">
        <w:trPr>
          <w:trHeight w:val="255"/>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785131" w:rsidRPr="00D51AC3" w:rsidRDefault="00785131" w:rsidP="00B73685">
            <w:pPr>
              <w:rPr>
                <w:rFonts w:ascii="Calibri" w:hAnsi="Calibri" w:cs="Calibri"/>
                <w:sz w:val="20"/>
                <w:lang w:val="es-MX" w:eastAsia="es-MX"/>
              </w:rPr>
            </w:pPr>
            <w:r w:rsidRPr="00D51AC3">
              <w:rPr>
                <w:rFonts w:ascii="Calibri" w:hAnsi="Calibri" w:cs="Calibri"/>
                <w:sz w:val="20"/>
                <w:lang w:val="es-MX" w:eastAsia="es-MX"/>
              </w:rPr>
              <w:t>Evento de organización diferente del CONACYT</w:t>
            </w:r>
          </w:p>
        </w:tc>
        <w:tc>
          <w:tcPr>
            <w:tcW w:w="850" w:type="dxa"/>
            <w:tcBorders>
              <w:top w:val="nil"/>
              <w:left w:val="nil"/>
              <w:bottom w:val="single" w:sz="4" w:space="0" w:color="auto"/>
              <w:right w:val="single" w:sz="4" w:space="0" w:color="auto"/>
            </w:tcBorders>
            <w:shd w:val="clear" w:color="auto" w:fill="auto"/>
            <w:noWrap/>
            <w:vAlign w:val="bottom"/>
            <w:hideMark/>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2.6</w:t>
            </w:r>
          </w:p>
        </w:tc>
        <w:tc>
          <w:tcPr>
            <w:tcW w:w="1276" w:type="dxa"/>
            <w:tcBorders>
              <w:top w:val="nil"/>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1.0</w:t>
            </w:r>
          </w:p>
        </w:tc>
        <w:tc>
          <w:tcPr>
            <w:tcW w:w="1134" w:type="dxa"/>
            <w:tcBorders>
              <w:top w:val="single" w:sz="4" w:space="0" w:color="auto"/>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4.8</w:t>
            </w:r>
          </w:p>
        </w:tc>
        <w:tc>
          <w:tcPr>
            <w:tcW w:w="709"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2.6</w:t>
            </w:r>
          </w:p>
        </w:tc>
        <w:tc>
          <w:tcPr>
            <w:tcW w:w="994"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5.6</w:t>
            </w:r>
          </w:p>
        </w:tc>
      </w:tr>
      <w:tr w:rsidR="00785131" w:rsidRPr="00D51AC3" w:rsidTr="00777092">
        <w:trPr>
          <w:trHeight w:val="255"/>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785131" w:rsidRPr="00D51AC3" w:rsidRDefault="00785131" w:rsidP="00B73685">
            <w:pPr>
              <w:rPr>
                <w:rFonts w:ascii="Calibri" w:hAnsi="Calibri" w:cs="Calibri"/>
                <w:sz w:val="20"/>
                <w:lang w:val="es-MX" w:eastAsia="es-MX"/>
              </w:rPr>
            </w:pPr>
            <w:r w:rsidRPr="00D51AC3">
              <w:rPr>
                <w:rFonts w:ascii="Calibri" w:hAnsi="Calibri" w:cs="Calibri"/>
                <w:sz w:val="20"/>
                <w:lang w:val="es-MX" w:eastAsia="es-MX"/>
              </w:rPr>
              <w:t>Evento organizado por el CONACYT</w:t>
            </w:r>
          </w:p>
        </w:tc>
        <w:tc>
          <w:tcPr>
            <w:tcW w:w="850" w:type="dxa"/>
            <w:tcBorders>
              <w:top w:val="nil"/>
              <w:left w:val="nil"/>
              <w:bottom w:val="single" w:sz="4" w:space="0" w:color="auto"/>
              <w:right w:val="single" w:sz="4" w:space="0" w:color="auto"/>
            </w:tcBorders>
            <w:shd w:val="clear" w:color="auto" w:fill="auto"/>
            <w:noWrap/>
            <w:vAlign w:val="bottom"/>
            <w:hideMark/>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13.7</w:t>
            </w:r>
          </w:p>
        </w:tc>
        <w:tc>
          <w:tcPr>
            <w:tcW w:w="1276" w:type="dxa"/>
            <w:tcBorders>
              <w:top w:val="nil"/>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19.6</w:t>
            </w:r>
          </w:p>
        </w:tc>
        <w:tc>
          <w:tcPr>
            <w:tcW w:w="1134" w:type="dxa"/>
            <w:tcBorders>
              <w:top w:val="single" w:sz="4" w:space="0" w:color="auto"/>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47.6</w:t>
            </w:r>
          </w:p>
        </w:tc>
        <w:tc>
          <w:tcPr>
            <w:tcW w:w="709"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7.4</w:t>
            </w:r>
          </w:p>
        </w:tc>
        <w:tc>
          <w:tcPr>
            <w:tcW w:w="994"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16.7</w:t>
            </w:r>
          </w:p>
        </w:tc>
      </w:tr>
      <w:tr w:rsidR="00785131" w:rsidRPr="00D51AC3" w:rsidTr="00777092">
        <w:trPr>
          <w:trHeight w:val="255"/>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785131" w:rsidRPr="00D51AC3" w:rsidRDefault="00777092" w:rsidP="00777092">
            <w:pPr>
              <w:rPr>
                <w:rFonts w:ascii="Calibri" w:hAnsi="Calibri" w:cs="Calibri"/>
                <w:sz w:val="20"/>
                <w:lang w:val="es-MX" w:eastAsia="es-MX"/>
              </w:rPr>
            </w:pPr>
            <w:r>
              <w:rPr>
                <w:rFonts w:ascii="Calibri" w:hAnsi="Calibri" w:cs="Calibri"/>
                <w:sz w:val="20"/>
                <w:lang w:val="es-MX" w:eastAsia="es-MX"/>
              </w:rPr>
              <w:t>Universidad, I</w:t>
            </w:r>
            <w:r w:rsidR="00785131" w:rsidRPr="00D51AC3">
              <w:rPr>
                <w:rFonts w:ascii="Calibri" w:hAnsi="Calibri" w:cs="Calibri"/>
                <w:sz w:val="20"/>
                <w:lang w:val="es-MX" w:eastAsia="es-MX"/>
              </w:rPr>
              <w:t>nst</w:t>
            </w:r>
            <w:r>
              <w:rPr>
                <w:rFonts w:ascii="Calibri" w:hAnsi="Calibri" w:cs="Calibri"/>
                <w:sz w:val="20"/>
                <w:lang w:val="es-MX" w:eastAsia="es-MX"/>
              </w:rPr>
              <w:t>. educación superior, C</w:t>
            </w:r>
            <w:r w:rsidR="00785131" w:rsidRPr="00D51AC3">
              <w:rPr>
                <w:rFonts w:ascii="Calibri" w:hAnsi="Calibri" w:cs="Calibri"/>
                <w:sz w:val="20"/>
                <w:lang w:val="es-MX" w:eastAsia="es-MX"/>
              </w:rPr>
              <w:t>entro I+D</w:t>
            </w:r>
          </w:p>
        </w:tc>
        <w:tc>
          <w:tcPr>
            <w:tcW w:w="850" w:type="dxa"/>
            <w:tcBorders>
              <w:top w:val="nil"/>
              <w:left w:val="nil"/>
              <w:bottom w:val="single" w:sz="4" w:space="0" w:color="auto"/>
              <w:right w:val="single" w:sz="4" w:space="0" w:color="auto"/>
            </w:tcBorders>
            <w:shd w:val="clear" w:color="auto" w:fill="auto"/>
            <w:noWrap/>
            <w:vAlign w:val="bottom"/>
            <w:hideMark/>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17.8</w:t>
            </w:r>
          </w:p>
        </w:tc>
        <w:tc>
          <w:tcPr>
            <w:tcW w:w="1276" w:type="dxa"/>
            <w:tcBorders>
              <w:top w:val="nil"/>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13.7</w:t>
            </w:r>
          </w:p>
        </w:tc>
        <w:tc>
          <w:tcPr>
            <w:tcW w:w="1134" w:type="dxa"/>
            <w:tcBorders>
              <w:top w:val="single" w:sz="4" w:space="0" w:color="auto"/>
              <w:left w:val="nil"/>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4.8</w:t>
            </w:r>
          </w:p>
        </w:tc>
        <w:tc>
          <w:tcPr>
            <w:tcW w:w="709"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22.3</w:t>
            </w:r>
          </w:p>
        </w:tc>
        <w:tc>
          <w:tcPr>
            <w:tcW w:w="994" w:type="dxa"/>
            <w:tcBorders>
              <w:top w:val="nil"/>
              <w:left w:val="single" w:sz="4" w:space="0" w:color="auto"/>
              <w:bottom w:val="single" w:sz="4" w:space="0" w:color="auto"/>
              <w:right w:val="single" w:sz="4" w:space="0" w:color="auto"/>
            </w:tcBorders>
            <w:vAlign w:val="bottom"/>
          </w:tcPr>
          <w:p w:rsidR="00785131" w:rsidRPr="00D51AC3" w:rsidRDefault="00785131" w:rsidP="00B73685">
            <w:pPr>
              <w:jc w:val="center"/>
              <w:rPr>
                <w:rFonts w:ascii="Calibri" w:hAnsi="Calibri" w:cs="Calibri"/>
                <w:sz w:val="20"/>
                <w:lang w:val="es-MX" w:eastAsia="es-MX"/>
              </w:rPr>
            </w:pPr>
            <w:r w:rsidRPr="00D51AC3">
              <w:rPr>
                <w:rFonts w:ascii="Calibri" w:hAnsi="Calibri" w:cs="Calibri"/>
                <w:sz w:val="20"/>
                <w:lang w:val="es-MX" w:eastAsia="es-MX"/>
              </w:rPr>
              <w:t>8.3</w:t>
            </w:r>
          </w:p>
        </w:tc>
      </w:tr>
      <w:tr w:rsidR="00785131" w:rsidRPr="00777092" w:rsidTr="00777092">
        <w:trPr>
          <w:trHeight w:val="255"/>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785131" w:rsidRPr="00777092" w:rsidRDefault="00785131" w:rsidP="00B73685">
            <w:pPr>
              <w:rPr>
                <w:rFonts w:ascii="Calibri" w:hAnsi="Calibri" w:cs="Calibri"/>
                <w:sz w:val="20"/>
                <w:lang w:val="es-MX" w:eastAsia="es-MX"/>
              </w:rPr>
            </w:pPr>
            <w:r w:rsidRPr="00777092">
              <w:rPr>
                <w:rFonts w:ascii="Calibri" w:hAnsi="Calibri" w:cs="Calibri"/>
                <w:sz w:val="20"/>
                <w:lang w:val="es-MX" w:eastAsia="es-MX"/>
              </w:rPr>
              <w:t>Total</w:t>
            </w:r>
          </w:p>
        </w:tc>
        <w:tc>
          <w:tcPr>
            <w:tcW w:w="850" w:type="dxa"/>
            <w:tcBorders>
              <w:top w:val="nil"/>
              <w:left w:val="nil"/>
              <w:bottom w:val="single" w:sz="4" w:space="0" w:color="auto"/>
              <w:right w:val="single" w:sz="4" w:space="0" w:color="auto"/>
            </w:tcBorders>
            <w:shd w:val="clear" w:color="auto" w:fill="auto"/>
            <w:noWrap/>
            <w:vAlign w:val="bottom"/>
            <w:hideMark/>
          </w:tcPr>
          <w:p w:rsidR="00785131" w:rsidRPr="00777092" w:rsidRDefault="00785131" w:rsidP="00B73685">
            <w:pPr>
              <w:jc w:val="center"/>
              <w:rPr>
                <w:rFonts w:ascii="Calibri" w:hAnsi="Calibri" w:cs="Calibri"/>
                <w:sz w:val="20"/>
                <w:lang w:val="es-MX" w:eastAsia="es-MX"/>
              </w:rPr>
            </w:pPr>
            <w:r w:rsidRPr="00777092">
              <w:rPr>
                <w:rFonts w:ascii="Calibri" w:hAnsi="Calibri" w:cs="Calibri"/>
                <w:sz w:val="20"/>
                <w:lang w:val="es-MX" w:eastAsia="es-MX"/>
              </w:rPr>
              <w:t>100.0</w:t>
            </w:r>
          </w:p>
        </w:tc>
        <w:tc>
          <w:tcPr>
            <w:tcW w:w="1276" w:type="dxa"/>
            <w:tcBorders>
              <w:top w:val="nil"/>
              <w:left w:val="nil"/>
              <w:bottom w:val="single" w:sz="4" w:space="0" w:color="auto"/>
              <w:right w:val="single" w:sz="4" w:space="0" w:color="auto"/>
            </w:tcBorders>
            <w:vAlign w:val="bottom"/>
          </w:tcPr>
          <w:p w:rsidR="00785131" w:rsidRPr="00777092" w:rsidRDefault="00785131" w:rsidP="00B73685">
            <w:pPr>
              <w:jc w:val="center"/>
              <w:rPr>
                <w:rFonts w:ascii="Calibri" w:hAnsi="Calibri" w:cs="Calibri"/>
                <w:sz w:val="20"/>
                <w:lang w:val="es-MX" w:eastAsia="es-MX"/>
              </w:rPr>
            </w:pPr>
            <w:r w:rsidRPr="00777092">
              <w:rPr>
                <w:rFonts w:ascii="Calibri" w:hAnsi="Calibri" w:cs="Calibri"/>
                <w:sz w:val="20"/>
                <w:lang w:val="es-MX" w:eastAsia="es-MX"/>
              </w:rPr>
              <w:t>100.0</w:t>
            </w:r>
          </w:p>
        </w:tc>
        <w:tc>
          <w:tcPr>
            <w:tcW w:w="1134" w:type="dxa"/>
            <w:tcBorders>
              <w:top w:val="single" w:sz="4" w:space="0" w:color="auto"/>
              <w:left w:val="nil"/>
              <w:bottom w:val="single" w:sz="4" w:space="0" w:color="auto"/>
              <w:right w:val="single" w:sz="4" w:space="0" w:color="auto"/>
            </w:tcBorders>
            <w:vAlign w:val="bottom"/>
          </w:tcPr>
          <w:p w:rsidR="00785131" w:rsidRPr="00777092" w:rsidRDefault="00785131" w:rsidP="00B73685">
            <w:pPr>
              <w:jc w:val="center"/>
              <w:rPr>
                <w:rFonts w:ascii="Calibri" w:hAnsi="Calibri" w:cs="Calibri"/>
                <w:sz w:val="20"/>
                <w:lang w:val="es-MX" w:eastAsia="es-MX"/>
              </w:rPr>
            </w:pPr>
            <w:r w:rsidRPr="00777092">
              <w:rPr>
                <w:rFonts w:ascii="Calibri" w:hAnsi="Calibri" w:cs="Calibri"/>
                <w:sz w:val="20"/>
                <w:lang w:val="es-MX" w:eastAsia="es-MX"/>
              </w:rPr>
              <w:t>100.0</w:t>
            </w:r>
          </w:p>
        </w:tc>
        <w:tc>
          <w:tcPr>
            <w:tcW w:w="709" w:type="dxa"/>
            <w:tcBorders>
              <w:top w:val="nil"/>
              <w:left w:val="single" w:sz="4" w:space="0" w:color="auto"/>
              <w:bottom w:val="single" w:sz="4" w:space="0" w:color="auto"/>
              <w:right w:val="single" w:sz="4" w:space="0" w:color="auto"/>
            </w:tcBorders>
            <w:vAlign w:val="bottom"/>
          </w:tcPr>
          <w:p w:rsidR="00785131" w:rsidRPr="00777092" w:rsidRDefault="00785131" w:rsidP="00B73685">
            <w:pPr>
              <w:jc w:val="center"/>
              <w:rPr>
                <w:rFonts w:ascii="Calibri" w:hAnsi="Calibri" w:cs="Calibri"/>
                <w:sz w:val="20"/>
                <w:lang w:val="es-MX" w:eastAsia="es-MX"/>
              </w:rPr>
            </w:pPr>
            <w:r w:rsidRPr="00777092">
              <w:rPr>
                <w:rFonts w:ascii="Calibri" w:hAnsi="Calibri" w:cs="Calibri"/>
                <w:sz w:val="20"/>
                <w:lang w:val="es-MX" w:eastAsia="es-MX"/>
              </w:rPr>
              <w:t>100.0</w:t>
            </w:r>
          </w:p>
        </w:tc>
        <w:tc>
          <w:tcPr>
            <w:tcW w:w="994" w:type="dxa"/>
            <w:tcBorders>
              <w:top w:val="nil"/>
              <w:left w:val="single" w:sz="4" w:space="0" w:color="auto"/>
              <w:bottom w:val="single" w:sz="4" w:space="0" w:color="auto"/>
              <w:right w:val="single" w:sz="4" w:space="0" w:color="auto"/>
            </w:tcBorders>
            <w:vAlign w:val="bottom"/>
          </w:tcPr>
          <w:p w:rsidR="00785131" w:rsidRPr="00777092" w:rsidRDefault="00785131" w:rsidP="00B73685">
            <w:pPr>
              <w:jc w:val="center"/>
              <w:rPr>
                <w:rFonts w:ascii="Calibri" w:hAnsi="Calibri" w:cs="Calibri"/>
                <w:sz w:val="20"/>
                <w:lang w:val="es-MX" w:eastAsia="es-MX"/>
              </w:rPr>
            </w:pPr>
            <w:r w:rsidRPr="00777092">
              <w:rPr>
                <w:rFonts w:ascii="Calibri" w:hAnsi="Calibri" w:cs="Calibri"/>
                <w:sz w:val="20"/>
                <w:lang w:val="es-MX" w:eastAsia="es-MX"/>
              </w:rPr>
              <w:t>100.0</w:t>
            </w:r>
          </w:p>
        </w:tc>
      </w:tr>
    </w:tbl>
    <w:p w:rsidR="00785131" w:rsidRPr="00E2332C" w:rsidRDefault="00785131" w:rsidP="00785131">
      <w:pPr>
        <w:spacing w:before="120" w:after="120" w:line="288" w:lineRule="auto"/>
        <w:rPr>
          <w:rFonts w:ascii="Calibri" w:hAnsi="Calibri" w:cs="Calibri"/>
        </w:rPr>
      </w:pPr>
      <w:r w:rsidRPr="00B524B8">
        <w:rPr>
          <w:rFonts w:ascii="Calibri" w:hAnsi="Calibri" w:cs="Calibri"/>
          <w:sz w:val="18"/>
          <w:szCs w:val="18"/>
        </w:rPr>
        <w:t xml:space="preserve">Fuente: Innovos Group en base a datos </w:t>
      </w:r>
      <w:r>
        <w:rPr>
          <w:rFonts w:ascii="Calibri" w:hAnsi="Calibri" w:cs="Calibri"/>
          <w:sz w:val="18"/>
          <w:szCs w:val="18"/>
        </w:rPr>
        <w:t>de las encuestas a b</w:t>
      </w:r>
      <w:r w:rsidR="00171404">
        <w:rPr>
          <w:rFonts w:ascii="Calibri" w:hAnsi="Calibri" w:cs="Calibri"/>
          <w:sz w:val="18"/>
          <w:szCs w:val="18"/>
        </w:rPr>
        <w:t>eneficiarios y no beneficiarios</w:t>
      </w:r>
    </w:p>
    <w:p w:rsidR="00E74037" w:rsidRPr="000C4ECB" w:rsidRDefault="00785131" w:rsidP="000C4ECB">
      <w:pPr>
        <w:spacing w:before="120" w:after="120" w:line="288" w:lineRule="auto"/>
        <w:jc w:val="both"/>
        <w:rPr>
          <w:rFonts w:ascii="Calibri" w:hAnsi="Calibri" w:cs="Calibri"/>
        </w:rPr>
      </w:pPr>
      <w:r w:rsidRPr="00D51AC3">
        <w:rPr>
          <w:rFonts w:ascii="Calibri" w:hAnsi="Calibri" w:cs="Calibri"/>
        </w:rPr>
        <w:t>Al observar el impacto de los diferentes medios de difusión por instrumento, el sitio en internet de CONACYT continúa siendo el principal canal de información en todos los casos. Sin embargo, mientras las redes internas de comunicación en universidades resultan adecuadas para investigación, becas y posgrados (un hecho previsible dado que todas estas actividades ocurren en el mundo académico o muy vinculado a él), no tienen impacto sobre las empresas que buscan innovar. Para estas últimas, el medio de mayor llegada son los eventos organizados por CONACYT. Una posible hipótesis para explicar este hecho es que la innovación representa un área nueva de la política pública y de la economía en general; para las empresas puede ser importante presenciar eventos para lograr mayor familiaridad con el tema y con l</w:t>
      </w:r>
      <w:r w:rsidR="000C4ECB">
        <w:rPr>
          <w:rFonts w:ascii="Calibri" w:hAnsi="Calibri" w:cs="Calibri"/>
        </w:rPr>
        <w:t>os responsables de la política.</w:t>
      </w:r>
    </w:p>
    <w:p w:rsidR="00E74037" w:rsidRPr="00C902A5" w:rsidRDefault="00E74037" w:rsidP="00C902A5">
      <w:pPr>
        <w:rPr>
          <w:lang w:val="es-ES_tradnl" w:eastAsia="en-US"/>
        </w:rPr>
      </w:pPr>
    </w:p>
    <w:p w:rsidR="002915D7" w:rsidRDefault="002915D7" w:rsidP="002D7EE9">
      <w:pPr>
        <w:pStyle w:val="Heading3"/>
        <w:numPr>
          <w:ilvl w:val="2"/>
          <w:numId w:val="4"/>
        </w:numPr>
        <w:rPr>
          <w:rStyle w:val="Emphasis"/>
          <w:rFonts w:cs="Calibri"/>
          <w:i/>
        </w:rPr>
      </w:pPr>
      <w:bookmarkStart w:id="253" w:name="_Toc375211997"/>
      <w:r>
        <w:rPr>
          <w:rStyle w:val="Emphasis"/>
          <w:rFonts w:cs="Calibri"/>
          <w:i/>
        </w:rPr>
        <w:t>Conclusiones y recomendaciones</w:t>
      </w:r>
      <w:bookmarkEnd w:id="253"/>
    </w:p>
    <w:p w:rsidR="00785131" w:rsidRPr="00D51AC3" w:rsidRDefault="005A5C2F" w:rsidP="005A5C2F">
      <w:pPr>
        <w:spacing w:after="200" w:line="276" w:lineRule="auto"/>
        <w:jc w:val="both"/>
        <w:rPr>
          <w:rFonts w:ascii="Calibri" w:hAnsi="Calibri" w:cs="Calibri"/>
        </w:rPr>
      </w:pPr>
      <w:r>
        <w:rPr>
          <w:rFonts w:ascii="Calibri" w:hAnsi="Calibri" w:cs="Calibri"/>
        </w:rPr>
        <w:t>A manera de síntesis de la valoración del Componente III</w:t>
      </w:r>
      <w:r w:rsidR="00785131" w:rsidRPr="00D51AC3">
        <w:rPr>
          <w:rFonts w:ascii="Calibri" w:hAnsi="Calibri" w:cs="Calibri"/>
        </w:rPr>
        <w:t xml:space="preserve"> se puede inferir que la estrategia de difusión realizada por el PROCIT ha permitido transmitir novedades e información tanto sobre CONACYT, como sobre la política de ciencia, tecnología e innovación y sobre s</w:t>
      </w:r>
      <w:r w:rsidR="00870C65">
        <w:rPr>
          <w:rFonts w:ascii="Calibri" w:hAnsi="Calibri" w:cs="Calibri"/>
        </w:rPr>
        <w:t>us convocatorias. Alrededor de tres</w:t>
      </w:r>
      <w:r w:rsidR="00785131" w:rsidRPr="00D51AC3">
        <w:rPr>
          <w:rFonts w:ascii="Calibri" w:hAnsi="Calibri" w:cs="Calibri"/>
        </w:rPr>
        <w:t xml:space="preserve"> de cada </w:t>
      </w:r>
      <w:r w:rsidR="00870C65">
        <w:rPr>
          <w:rFonts w:ascii="Calibri" w:hAnsi="Calibri" w:cs="Calibri"/>
        </w:rPr>
        <w:t>cuatro</w:t>
      </w:r>
      <w:r w:rsidR="00785131" w:rsidRPr="00D51AC3">
        <w:rPr>
          <w:rFonts w:ascii="Calibri" w:hAnsi="Calibri" w:cs="Calibri"/>
        </w:rPr>
        <w:t xml:space="preserve"> beneficiarios y no beneficiarios de los distintos grupos tienen una opinión favorable sobre la difusión realizada desde el </w:t>
      </w:r>
      <w:r w:rsidR="00785131" w:rsidRPr="00D51AC3">
        <w:rPr>
          <w:rFonts w:ascii="Calibri" w:hAnsi="Calibri" w:cs="Calibri"/>
        </w:rPr>
        <w:lastRenderedPageBreak/>
        <w:t xml:space="preserve">Programa; esta valoración se relaciona con la difusión de aspectos generales (rol y funciones de CONACYT, la importancia de una política nacional de apoyo a la CTI), así como elementos más específicos (como la existencia de PROCIT, sus componentes y características). El tipo de medio que se utiliza para difundir información y novedades tiene relevancia al formular la estrategia de comunicación: el sitio en Internet de CONACYT, las redes de comunicación internas de las universidades y otras instituciones de educación superior y los eventos organizados por el propio CONACYT son las vías más importantes para alcanzar a los interesados. Asimismo, surgen algunas evidencias de que la estrategia de comunicación debe realizar algunos ajustes según el grupo objetivo; en el caso de las empresas innovadoras, los eventos organizados por CONACYT son de gran importancia. </w:t>
      </w:r>
    </w:p>
    <w:p w:rsidR="00785131" w:rsidRDefault="00785131" w:rsidP="005A5C2F">
      <w:pPr>
        <w:spacing w:after="200" w:line="276" w:lineRule="auto"/>
        <w:jc w:val="both"/>
        <w:rPr>
          <w:rFonts w:ascii="Tahoma" w:hAnsi="Tahoma" w:cs="Tahoma"/>
        </w:rPr>
      </w:pPr>
      <w:r w:rsidRPr="00D51AC3">
        <w:rPr>
          <w:rFonts w:ascii="Calibri" w:hAnsi="Calibri" w:cs="Calibri"/>
        </w:rPr>
        <w:t>Finalmente, se debe destacar que, para un organismo que no posee una plataforma territorial de contacto con los interesados distribuida en centros importantes del país (hay concentración en Asunción), la política de difusión es un elemento clave para ampliar el alcance de la acción de CONACYT y establecer contacto con interesados y beneficiarios.</w:t>
      </w:r>
      <w:r>
        <w:rPr>
          <w:rFonts w:ascii="Tahoma" w:hAnsi="Tahoma" w:cs="Tahoma"/>
        </w:rPr>
        <w:t xml:space="preserve"> </w:t>
      </w:r>
    </w:p>
    <w:p w:rsidR="005A5C2F" w:rsidRPr="00D51AC3" w:rsidRDefault="005A5C2F" w:rsidP="005A5C2F">
      <w:pPr>
        <w:spacing w:after="200" w:line="276" w:lineRule="auto"/>
        <w:jc w:val="both"/>
        <w:rPr>
          <w:rFonts w:ascii="Calibri" w:hAnsi="Calibri" w:cs="Calibri"/>
        </w:rPr>
      </w:pPr>
      <w:r w:rsidRPr="00D51AC3">
        <w:rPr>
          <w:rFonts w:ascii="Calibri" w:hAnsi="Calibri" w:cs="Calibri"/>
        </w:rPr>
        <w:t>A partir de los resultados valorados en este componente, se pueden plantear algunas recomendaciones tendientes a fortalecer y articular el Sistema Nacional de Innovación (SIN).</w:t>
      </w:r>
    </w:p>
    <w:p w:rsidR="005A5C2F" w:rsidRPr="00D51AC3" w:rsidRDefault="005A5C2F" w:rsidP="005A5C2F">
      <w:pPr>
        <w:spacing w:after="200" w:line="276" w:lineRule="auto"/>
        <w:jc w:val="both"/>
        <w:rPr>
          <w:rFonts w:ascii="Calibri" w:hAnsi="Calibri" w:cs="Calibri"/>
        </w:rPr>
      </w:pPr>
      <w:r w:rsidRPr="00D51AC3">
        <w:rPr>
          <w:rFonts w:ascii="Calibri" w:hAnsi="Calibri" w:cs="Calibri"/>
          <w:i/>
          <w:u w:val="single"/>
        </w:rPr>
        <w:t>Fortalecer el rol de la comunicación a lo largo del ciclo de trabajo de los diferentes instrumentos de apoyo</w:t>
      </w:r>
      <w:r w:rsidRPr="00D51AC3">
        <w:rPr>
          <w:rFonts w:ascii="Calibri" w:hAnsi="Calibri" w:cs="Calibri"/>
        </w:rPr>
        <w:t xml:space="preserve">. En general ese ciclo está constituido por las etapas: i) prospección; ii) preparación de una solicitud de apoyo; iii) evaluación; iv) entrega de beneficios; y v) supervisión. La comunicación asociada a prospección debería orientarse a ampliar la base de potenciales interesados en participar de la política de </w:t>
      </w:r>
      <w:r w:rsidR="00870C65">
        <w:rPr>
          <w:rFonts w:ascii="Calibri" w:hAnsi="Calibri" w:cs="Calibri"/>
        </w:rPr>
        <w:t>ciencia, tecnología e innovación.</w:t>
      </w:r>
      <w:r w:rsidRPr="00D51AC3">
        <w:rPr>
          <w:rFonts w:ascii="Calibri" w:hAnsi="Calibri" w:cs="Calibri"/>
        </w:rPr>
        <w:t xml:space="preserve"> En este sentido, las evidencias de esta evaluación final indican que mientras algunos medios (sitio web) impactan sobre todos los grupos objetivo, algunos sectores requieren actividades focalizadas. La comunicación en las fases de preparación, evaluación, firma convenio, entrega de beneficios y supervisión se beneficiarían si la institución contara con un sistema de gestión accesible por Internet que permita el tipo de interacción con el interesado/beneficiario.</w:t>
      </w:r>
    </w:p>
    <w:p w:rsidR="00E74037" w:rsidRDefault="005A5C2F" w:rsidP="000C4ECB">
      <w:pPr>
        <w:spacing w:after="200" w:line="276" w:lineRule="auto"/>
        <w:jc w:val="both"/>
        <w:rPr>
          <w:rFonts w:ascii="Calibri" w:hAnsi="Calibri" w:cs="Calibri"/>
        </w:rPr>
      </w:pPr>
      <w:r w:rsidRPr="00D51AC3">
        <w:rPr>
          <w:rFonts w:ascii="Calibri" w:hAnsi="Calibri" w:cs="Calibri"/>
          <w:i/>
          <w:u w:val="single"/>
        </w:rPr>
        <w:t>Combinar acciones de difusión generales</w:t>
      </w:r>
      <w:r w:rsidRPr="00D51AC3">
        <w:rPr>
          <w:rFonts w:ascii="Calibri" w:hAnsi="Calibri" w:cs="Calibri"/>
        </w:rPr>
        <w:t xml:space="preserve"> (relacionadas con el rol de CONACYT y la política de CTI) </w:t>
      </w:r>
      <w:r w:rsidRPr="00D51AC3">
        <w:rPr>
          <w:rFonts w:ascii="Calibri" w:hAnsi="Calibri" w:cs="Calibri"/>
          <w:i/>
          <w:u w:val="single"/>
        </w:rPr>
        <w:t>con actividades focalizadas en grupos objetivos específicos</w:t>
      </w:r>
      <w:r w:rsidRPr="00D51AC3">
        <w:rPr>
          <w:rFonts w:ascii="Calibri" w:hAnsi="Calibri" w:cs="Calibri"/>
        </w:rPr>
        <w:t xml:space="preserve"> (investigadores, empresas, instituciones de investigación). Las primeras pueden basar su difusión en medios masivos tradicionales, pero las acciones específicas deben considerar que los diferentes grupos llegan a las convocatorias mediante las nuevas tecnologías (sitios en Internet, Intranets o correo electrónico) y/o eventos </w:t>
      </w:r>
      <w:r w:rsidR="000C4ECB">
        <w:rPr>
          <w:rFonts w:ascii="Calibri" w:hAnsi="Calibri" w:cs="Calibri"/>
        </w:rPr>
        <w:t xml:space="preserve">de lanzamiento o explicativos. </w:t>
      </w:r>
    </w:p>
    <w:p w:rsidR="00E66944" w:rsidRDefault="00B91147" w:rsidP="00F1655F">
      <w:pPr>
        <w:pStyle w:val="Heading1"/>
      </w:pPr>
      <w:bookmarkStart w:id="254" w:name="_Toc375211998"/>
      <w:r>
        <w:lastRenderedPageBreak/>
        <w:t>La</w:t>
      </w:r>
      <w:r w:rsidR="007C1CBC">
        <w:t xml:space="preserve"> </w:t>
      </w:r>
      <w:r w:rsidR="00E66944" w:rsidRPr="00B524B8">
        <w:t>gestión</w:t>
      </w:r>
      <w:r w:rsidR="007C1CBC">
        <w:t xml:space="preserve"> del PROCIT</w:t>
      </w:r>
      <w:bookmarkEnd w:id="254"/>
    </w:p>
    <w:p w:rsidR="00E745E6" w:rsidRPr="00E74037" w:rsidRDefault="00E74037" w:rsidP="00E32680">
      <w:pPr>
        <w:pStyle w:val="ListParagraph"/>
        <w:spacing w:before="120" w:after="120" w:line="288" w:lineRule="auto"/>
        <w:ind w:left="0"/>
        <w:jc w:val="both"/>
        <w:rPr>
          <w:rFonts w:ascii="Calibri" w:hAnsi="Calibri" w:cs="Calibri"/>
        </w:rPr>
      </w:pPr>
      <w:r w:rsidRPr="00E74037">
        <w:rPr>
          <w:rFonts w:ascii="Calibri" w:hAnsi="Calibri" w:cs="Calibri"/>
          <w:lang w:val="es-AR"/>
        </w:rPr>
        <w:t>El análisis de l</w:t>
      </w:r>
      <w:r w:rsidRPr="00E74037">
        <w:rPr>
          <w:rFonts w:ascii="Calibri" w:hAnsi="Calibri" w:cs="Calibri"/>
        </w:rPr>
        <w:t>a gestión de los procesos vinculados a la puesta en funcionamiento de todos los componentes y subcomponentes del PROCIT, así como también del diseño organizacional de la Unidad Ejecutora del Programa, que se desarrollan a continuación, son aspectos muy relevantes para comprender y valorar este Programa desde una perspectiva integral.</w:t>
      </w:r>
    </w:p>
    <w:p w:rsidR="00E32680" w:rsidRPr="00B524B8" w:rsidRDefault="00E32680" w:rsidP="00E745E6">
      <w:pPr>
        <w:pStyle w:val="ListParagraph"/>
        <w:spacing w:after="200" w:line="276" w:lineRule="auto"/>
        <w:ind w:left="1069"/>
        <w:rPr>
          <w:rFonts w:ascii="Calibri" w:hAnsi="Calibri" w:cs="Calibri"/>
          <w:b/>
          <w:sz w:val="20"/>
          <w:szCs w:val="20"/>
          <w:u w:val="single"/>
        </w:rPr>
      </w:pPr>
    </w:p>
    <w:p w:rsidR="00E745E6" w:rsidRPr="00E745E6" w:rsidRDefault="00E745E6" w:rsidP="002D7EE9">
      <w:pPr>
        <w:pStyle w:val="ListParagraph"/>
        <w:keepNext/>
        <w:numPr>
          <w:ilvl w:val="0"/>
          <w:numId w:val="3"/>
        </w:numPr>
        <w:spacing w:before="240" w:after="240" w:line="276" w:lineRule="auto"/>
        <w:contextualSpacing w:val="0"/>
        <w:jc w:val="both"/>
        <w:outlineLvl w:val="1"/>
        <w:rPr>
          <w:rFonts w:ascii="Arial" w:hAnsi="Arial" w:cs="Arial"/>
          <w:b/>
          <w:bCs/>
          <w:i/>
          <w:iCs/>
          <w:vanish/>
          <w:color w:val="31849B"/>
          <w:sz w:val="20"/>
          <w:szCs w:val="20"/>
          <w:lang w:val="es-ES_tradnl"/>
        </w:rPr>
      </w:pPr>
      <w:bookmarkStart w:id="255" w:name="_Toc367280409"/>
      <w:bookmarkStart w:id="256" w:name="_Toc367281574"/>
      <w:bookmarkStart w:id="257" w:name="_Toc367283335"/>
      <w:bookmarkStart w:id="258" w:name="_Toc367364287"/>
      <w:bookmarkStart w:id="259" w:name="_Toc367386191"/>
      <w:bookmarkStart w:id="260" w:name="_Toc367386248"/>
      <w:bookmarkStart w:id="261" w:name="_Toc367386402"/>
      <w:bookmarkStart w:id="262" w:name="_Toc367392985"/>
      <w:bookmarkStart w:id="263" w:name="_Toc367393269"/>
      <w:bookmarkStart w:id="264" w:name="_Toc367441048"/>
      <w:bookmarkStart w:id="265" w:name="_Toc367445782"/>
      <w:bookmarkStart w:id="266" w:name="_Toc370915147"/>
      <w:bookmarkStart w:id="267" w:name="_Toc372633789"/>
      <w:bookmarkStart w:id="268" w:name="_Toc372635404"/>
      <w:bookmarkStart w:id="269" w:name="_Toc372925370"/>
      <w:bookmarkStart w:id="270" w:name="_Toc372928105"/>
      <w:bookmarkStart w:id="271" w:name="_Toc372928412"/>
      <w:bookmarkStart w:id="272" w:name="_Toc372972659"/>
      <w:bookmarkStart w:id="273" w:name="_Toc373246253"/>
      <w:bookmarkStart w:id="274" w:name="_Toc373422258"/>
      <w:bookmarkStart w:id="275" w:name="_Toc373431294"/>
      <w:bookmarkStart w:id="276" w:name="_Toc373434430"/>
      <w:bookmarkStart w:id="277" w:name="_Toc373504005"/>
      <w:bookmarkStart w:id="278" w:name="_Toc373504452"/>
      <w:bookmarkStart w:id="279" w:name="_Toc375091219"/>
      <w:bookmarkStart w:id="280" w:name="_Toc375092799"/>
      <w:bookmarkStart w:id="281" w:name="_Toc375148616"/>
      <w:bookmarkStart w:id="282" w:name="_Toc375150288"/>
      <w:bookmarkStart w:id="283" w:name="_Toc375211999"/>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E745E6" w:rsidRPr="00E745E6" w:rsidRDefault="00E745E6" w:rsidP="002D7EE9">
      <w:pPr>
        <w:pStyle w:val="ListParagraph"/>
        <w:keepNext/>
        <w:numPr>
          <w:ilvl w:val="0"/>
          <w:numId w:val="3"/>
        </w:numPr>
        <w:spacing w:before="240" w:after="240" w:line="276" w:lineRule="auto"/>
        <w:contextualSpacing w:val="0"/>
        <w:jc w:val="both"/>
        <w:outlineLvl w:val="1"/>
        <w:rPr>
          <w:rFonts w:ascii="Arial" w:hAnsi="Arial" w:cs="Arial"/>
          <w:b/>
          <w:bCs/>
          <w:i/>
          <w:iCs/>
          <w:vanish/>
          <w:color w:val="31849B"/>
          <w:sz w:val="20"/>
          <w:szCs w:val="20"/>
          <w:lang w:val="es-ES_tradnl"/>
        </w:rPr>
      </w:pPr>
      <w:bookmarkStart w:id="284" w:name="_Toc367280410"/>
      <w:bookmarkStart w:id="285" w:name="_Toc367281575"/>
      <w:bookmarkStart w:id="286" w:name="_Toc367283336"/>
      <w:bookmarkStart w:id="287" w:name="_Toc367364288"/>
      <w:bookmarkStart w:id="288" w:name="_Toc367386192"/>
      <w:bookmarkStart w:id="289" w:name="_Toc367386249"/>
      <w:bookmarkStart w:id="290" w:name="_Toc367386403"/>
      <w:bookmarkStart w:id="291" w:name="_Toc367392986"/>
      <w:bookmarkStart w:id="292" w:name="_Toc367393270"/>
      <w:bookmarkStart w:id="293" w:name="_Toc367441049"/>
      <w:bookmarkStart w:id="294" w:name="_Toc367445783"/>
      <w:bookmarkStart w:id="295" w:name="_Toc370915148"/>
      <w:bookmarkStart w:id="296" w:name="_Toc372633790"/>
      <w:bookmarkStart w:id="297" w:name="_Toc372635405"/>
      <w:bookmarkStart w:id="298" w:name="_Toc372925371"/>
      <w:bookmarkStart w:id="299" w:name="_Toc372928106"/>
      <w:bookmarkStart w:id="300" w:name="_Toc372928413"/>
      <w:bookmarkStart w:id="301" w:name="_Toc372972660"/>
      <w:bookmarkStart w:id="302" w:name="_Toc373246254"/>
      <w:bookmarkStart w:id="303" w:name="_Toc373422259"/>
      <w:bookmarkStart w:id="304" w:name="_Toc373431295"/>
      <w:bookmarkStart w:id="305" w:name="_Toc373434431"/>
      <w:bookmarkStart w:id="306" w:name="_Toc373504006"/>
      <w:bookmarkStart w:id="307" w:name="_Toc373504453"/>
      <w:bookmarkStart w:id="308" w:name="_Toc375091220"/>
      <w:bookmarkStart w:id="309" w:name="_Toc375092800"/>
      <w:bookmarkStart w:id="310" w:name="_Toc375148617"/>
      <w:bookmarkStart w:id="311" w:name="_Toc375150289"/>
      <w:bookmarkStart w:id="312" w:name="_Toc375212000"/>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E745E6" w:rsidRPr="00E745E6" w:rsidRDefault="00E745E6" w:rsidP="002D7EE9">
      <w:pPr>
        <w:pStyle w:val="ListParagraph"/>
        <w:keepNext/>
        <w:numPr>
          <w:ilvl w:val="0"/>
          <w:numId w:val="3"/>
        </w:numPr>
        <w:spacing w:before="240" w:after="240" w:line="276" w:lineRule="auto"/>
        <w:contextualSpacing w:val="0"/>
        <w:jc w:val="both"/>
        <w:outlineLvl w:val="1"/>
        <w:rPr>
          <w:rFonts w:ascii="Arial" w:hAnsi="Arial" w:cs="Arial"/>
          <w:b/>
          <w:bCs/>
          <w:i/>
          <w:iCs/>
          <w:vanish/>
          <w:color w:val="31849B"/>
          <w:sz w:val="20"/>
          <w:szCs w:val="20"/>
          <w:lang w:val="es-ES_tradnl"/>
        </w:rPr>
      </w:pPr>
      <w:bookmarkStart w:id="313" w:name="_Toc367280411"/>
      <w:bookmarkStart w:id="314" w:name="_Toc367281576"/>
      <w:bookmarkStart w:id="315" w:name="_Toc367283337"/>
      <w:bookmarkStart w:id="316" w:name="_Toc367364289"/>
      <w:bookmarkStart w:id="317" w:name="_Toc367386193"/>
      <w:bookmarkStart w:id="318" w:name="_Toc367386250"/>
      <w:bookmarkStart w:id="319" w:name="_Toc367386404"/>
      <w:bookmarkStart w:id="320" w:name="_Toc367392987"/>
      <w:bookmarkStart w:id="321" w:name="_Toc367393271"/>
      <w:bookmarkStart w:id="322" w:name="_Toc367441050"/>
      <w:bookmarkStart w:id="323" w:name="_Toc367445784"/>
      <w:bookmarkStart w:id="324" w:name="_Toc370915149"/>
      <w:bookmarkStart w:id="325" w:name="_Toc372633791"/>
      <w:bookmarkStart w:id="326" w:name="_Toc372635406"/>
      <w:bookmarkStart w:id="327" w:name="_Toc372925372"/>
      <w:bookmarkStart w:id="328" w:name="_Toc372928107"/>
      <w:bookmarkStart w:id="329" w:name="_Toc372928414"/>
      <w:bookmarkStart w:id="330" w:name="_Toc372972661"/>
      <w:bookmarkStart w:id="331" w:name="_Toc373246255"/>
      <w:bookmarkStart w:id="332" w:name="_Toc373422260"/>
      <w:bookmarkStart w:id="333" w:name="_Toc373431296"/>
      <w:bookmarkStart w:id="334" w:name="_Toc373434432"/>
      <w:bookmarkStart w:id="335" w:name="_Toc373504007"/>
      <w:bookmarkStart w:id="336" w:name="_Toc373504454"/>
      <w:bookmarkStart w:id="337" w:name="_Toc375091221"/>
      <w:bookmarkStart w:id="338" w:name="_Toc375092801"/>
      <w:bookmarkStart w:id="339" w:name="_Toc375148618"/>
      <w:bookmarkStart w:id="340" w:name="_Toc375150290"/>
      <w:bookmarkStart w:id="341" w:name="_Toc375212001"/>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rsidR="00E745E6" w:rsidRPr="00E745E6" w:rsidRDefault="00E745E6" w:rsidP="002D7EE9">
      <w:pPr>
        <w:pStyle w:val="ListParagraph"/>
        <w:keepNext/>
        <w:numPr>
          <w:ilvl w:val="0"/>
          <w:numId w:val="3"/>
        </w:numPr>
        <w:spacing w:before="240" w:after="240" w:line="276" w:lineRule="auto"/>
        <w:contextualSpacing w:val="0"/>
        <w:jc w:val="both"/>
        <w:outlineLvl w:val="1"/>
        <w:rPr>
          <w:rFonts w:ascii="Arial" w:hAnsi="Arial" w:cs="Arial"/>
          <w:b/>
          <w:bCs/>
          <w:i/>
          <w:iCs/>
          <w:vanish/>
          <w:color w:val="31849B"/>
          <w:sz w:val="20"/>
          <w:szCs w:val="20"/>
          <w:lang w:val="es-ES_tradnl"/>
        </w:rPr>
      </w:pPr>
      <w:bookmarkStart w:id="342" w:name="_Toc367280412"/>
      <w:bookmarkStart w:id="343" w:name="_Toc367281577"/>
      <w:bookmarkStart w:id="344" w:name="_Toc367283338"/>
      <w:bookmarkStart w:id="345" w:name="_Toc367364290"/>
      <w:bookmarkStart w:id="346" w:name="_Toc367386194"/>
      <w:bookmarkStart w:id="347" w:name="_Toc367386251"/>
      <w:bookmarkStart w:id="348" w:name="_Toc367386405"/>
      <w:bookmarkStart w:id="349" w:name="_Toc367392988"/>
      <w:bookmarkStart w:id="350" w:name="_Toc367393272"/>
      <w:bookmarkStart w:id="351" w:name="_Toc367441051"/>
      <w:bookmarkStart w:id="352" w:name="_Toc367445785"/>
      <w:bookmarkStart w:id="353" w:name="_Toc370915150"/>
      <w:bookmarkStart w:id="354" w:name="_Toc372633792"/>
      <w:bookmarkStart w:id="355" w:name="_Toc372635407"/>
      <w:bookmarkStart w:id="356" w:name="_Toc372925373"/>
      <w:bookmarkStart w:id="357" w:name="_Toc372928108"/>
      <w:bookmarkStart w:id="358" w:name="_Toc372928415"/>
      <w:bookmarkStart w:id="359" w:name="_Toc372972662"/>
      <w:bookmarkStart w:id="360" w:name="_Toc373246256"/>
      <w:bookmarkStart w:id="361" w:name="_Toc373422261"/>
      <w:bookmarkStart w:id="362" w:name="_Toc373431297"/>
      <w:bookmarkStart w:id="363" w:name="_Toc373434433"/>
      <w:bookmarkStart w:id="364" w:name="_Toc373504008"/>
      <w:bookmarkStart w:id="365" w:name="_Toc373504455"/>
      <w:bookmarkStart w:id="366" w:name="_Toc375091222"/>
      <w:bookmarkStart w:id="367" w:name="_Toc375092802"/>
      <w:bookmarkStart w:id="368" w:name="_Toc375148619"/>
      <w:bookmarkStart w:id="369" w:name="_Toc375150291"/>
      <w:bookmarkStart w:id="370" w:name="_Toc375212002"/>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rsidR="00E745E6" w:rsidRPr="00E745E6" w:rsidRDefault="00E745E6" w:rsidP="002D7EE9">
      <w:pPr>
        <w:pStyle w:val="ListParagraph"/>
        <w:keepNext/>
        <w:numPr>
          <w:ilvl w:val="0"/>
          <w:numId w:val="3"/>
        </w:numPr>
        <w:spacing w:before="240" w:after="240" w:line="276" w:lineRule="auto"/>
        <w:contextualSpacing w:val="0"/>
        <w:jc w:val="both"/>
        <w:outlineLvl w:val="1"/>
        <w:rPr>
          <w:rFonts w:ascii="Arial" w:hAnsi="Arial" w:cs="Arial"/>
          <w:b/>
          <w:bCs/>
          <w:i/>
          <w:iCs/>
          <w:vanish/>
          <w:color w:val="31849B"/>
          <w:sz w:val="20"/>
          <w:szCs w:val="20"/>
          <w:lang w:val="es-ES_tradnl"/>
        </w:rPr>
      </w:pPr>
      <w:bookmarkStart w:id="371" w:name="_Toc367280413"/>
      <w:bookmarkStart w:id="372" w:name="_Toc367281578"/>
      <w:bookmarkStart w:id="373" w:name="_Toc367283339"/>
      <w:bookmarkStart w:id="374" w:name="_Toc367364291"/>
      <w:bookmarkStart w:id="375" w:name="_Toc367386195"/>
      <w:bookmarkStart w:id="376" w:name="_Toc367386252"/>
      <w:bookmarkStart w:id="377" w:name="_Toc367386406"/>
      <w:bookmarkStart w:id="378" w:name="_Toc367392989"/>
      <w:bookmarkStart w:id="379" w:name="_Toc367393273"/>
      <w:bookmarkStart w:id="380" w:name="_Toc367441052"/>
      <w:bookmarkStart w:id="381" w:name="_Toc367445786"/>
      <w:bookmarkStart w:id="382" w:name="_Toc370915151"/>
      <w:bookmarkStart w:id="383" w:name="_Toc372633793"/>
      <w:bookmarkStart w:id="384" w:name="_Toc372635408"/>
      <w:bookmarkStart w:id="385" w:name="_Toc372925374"/>
      <w:bookmarkStart w:id="386" w:name="_Toc372928109"/>
      <w:bookmarkStart w:id="387" w:name="_Toc372928416"/>
      <w:bookmarkStart w:id="388" w:name="_Toc372972663"/>
      <w:bookmarkStart w:id="389" w:name="_Toc373246257"/>
      <w:bookmarkStart w:id="390" w:name="_Toc373422262"/>
      <w:bookmarkStart w:id="391" w:name="_Toc373431298"/>
      <w:bookmarkStart w:id="392" w:name="_Toc373434434"/>
      <w:bookmarkStart w:id="393" w:name="_Toc373504009"/>
      <w:bookmarkStart w:id="394" w:name="_Toc373504456"/>
      <w:bookmarkStart w:id="395" w:name="_Toc375091223"/>
      <w:bookmarkStart w:id="396" w:name="_Toc375092803"/>
      <w:bookmarkStart w:id="397" w:name="_Toc375148620"/>
      <w:bookmarkStart w:id="398" w:name="_Toc375150292"/>
      <w:bookmarkStart w:id="399" w:name="_Toc375212003"/>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rsidR="00E745E6" w:rsidRPr="00E745E6" w:rsidRDefault="00E745E6" w:rsidP="002D7EE9">
      <w:pPr>
        <w:pStyle w:val="ListParagraph"/>
        <w:keepNext/>
        <w:numPr>
          <w:ilvl w:val="1"/>
          <w:numId w:val="3"/>
        </w:numPr>
        <w:spacing w:before="240" w:after="240" w:line="276" w:lineRule="auto"/>
        <w:contextualSpacing w:val="0"/>
        <w:jc w:val="both"/>
        <w:outlineLvl w:val="1"/>
        <w:rPr>
          <w:rFonts w:ascii="Arial" w:hAnsi="Arial" w:cs="Arial"/>
          <w:b/>
          <w:bCs/>
          <w:i/>
          <w:iCs/>
          <w:vanish/>
          <w:color w:val="31849B"/>
          <w:sz w:val="20"/>
          <w:szCs w:val="20"/>
          <w:lang w:val="es-ES_tradnl"/>
        </w:rPr>
      </w:pPr>
      <w:bookmarkStart w:id="400" w:name="_Toc367280414"/>
      <w:bookmarkStart w:id="401" w:name="_Toc367281579"/>
      <w:bookmarkStart w:id="402" w:name="_Toc367283340"/>
      <w:bookmarkStart w:id="403" w:name="_Toc367364292"/>
      <w:bookmarkStart w:id="404" w:name="_Toc367386196"/>
      <w:bookmarkStart w:id="405" w:name="_Toc367386253"/>
      <w:bookmarkStart w:id="406" w:name="_Toc367386407"/>
      <w:bookmarkStart w:id="407" w:name="_Toc367392990"/>
      <w:bookmarkStart w:id="408" w:name="_Toc367393274"/>
      <w:bookmarkStart w:id="409" w:name="_Toc367441053"/>
      <w:bookmarkStart w:id="410" w:name="_Toc367445787"/>
      <w:bookmarkStart w:id="411" w:name="_Toc370915152"/>
      <w:bookmarkStart w:id="412" w:name="_Toc372633794"/>
      <w:bookmarkStart w:id="413" w:name="_Toc372635409"/>
      <w:bookmarkStart w:id="414" w:name="_Toc372925375"/>
      <w:bookmarkStart w:id="415" w:name="_Toc372928110"/>
      <w:bookmarkStart w:id="416" w:name="_Toc372928417"/>
      <w:bookmarkStart w:id="417" w:name="_Toc372972664"/>
      <w:bookmarkStart w:id="418" w:name="_Toc373246258"/>
      <w:bookmarkStart w:id="419" w:name="_Toc373422263"/>
      <w:bookmarkStart w:id="420" w:name="_Toc373431299"/>
      <w:bookmarkStart w:id="421" w:name="_Toc373434435"/>
      <w:bookmarkStart w:id="422" w:name="_Toc373504010"/>
      <w:bookmarkStart w:id="423" w:name="_Toc373504457"/>
      <w:bookmarkStart w:id="424" w:name="_Toc375091224"/>
      <w:bookmarkStart w:id="425" w:name="_Toc375092804"/>
      <w:bookmarkStart w:id="426" w:name="_Toc375148621"/>
      <w:bookmarkStart w:id="427" w:name="_Toc375150293"/>
      <w:bookmarkStart w:id="428" w:name="_Toc375212004"/>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rsidR="00B91147" w:rsidRPr="00B91147" w:rsidRDefault="00B91147" w:rsidP="002D7EE9">
      <w:pPr>
        <w:pStyle w:val="ListParagraph"/>
        <w:keepNext/>
        <w:widowControl w:val="0"/>
        <w:numPr>
          <w:ilvl w:val="0"/>
          <w:numId w:val="4"/>
        </w:numPr>
        <w:tabs>
          <w:tab w:val="left" w:pos="0"/>
        </w:tabs>
        <w:spacing w:after="240" w:line="276" w:lineRule="auto"/>
        <w:contextualSpacing w:val="0"/>
        <w:jc w:val="both"/>
        <w:outlineLvl w:val="2"/>
        <w:rPr>
          <w:rFonts w:ascii="Calibri" w:hAnsi="Calibri" w:cs="Calibri"/>
          <w:b/>
          <w:i/>
          <w:vanish/>
          <w:lang w:val="es-ES_tradnl" w:eastAsia="en-US"/>
        </w:rPr>
      </w:pPr>
      <w:bookmarkStart w:id="429" w:name="_Toc367386408"/>
      <w:bookmarkStart w:id="430" w:name="_Toc367392991"/>
      <w:bookmarkStart w:id="431" w:name="_Toc367393275"/>
      <w:bookmarkStart w:id="432" w:name="_Toc367441054"/>
      <w:bookmarkStart w:id="433" w:name="_Toc367445788"/>
      <w:bookmarkStart w:id="434" w:name="_Toc370915153"/>
      <w:bookmarkStart w:id="435" w:name="_Toc372633795"/>
      <w:bookmarkStart w:id="436" w:name="_Toc372635410"/>
      <w:bookmarkStart w:id="437" w:name="_Toc372925376"/>
      <w:bookmarkStart w:id="438" w:name="_Toc372928111"/>
      <w:bookmarkStart w:id="439" w:name="_Toc372928418"/>
      <w:bookmarkStart w:id="440" w:name="_Toc372972665"/>
      <w:bookmarkStart w:id="441" w:name="_Toc373246259"/>
      <w:bookmarkStart w:id="442" w:name="_Toc373422264"/>
      <w:bookmarkStart w:id="443" w:name="_Toc373431300"/>
      <w:bookmarkStart w:id="444" w:name="_Toc373434436"/>
      <w:bookmarkStart w:id="445" w:name="_Toc373504011"/>
      <w:bookmarkStart w:id="446" w:name="_Toc373504458"/>
      <w:bookmarkStart w:id="447" w:name="_Toc375091225"/>
      <w:bookmarkStart w:id="448" w:name="_Toc375092805"/>
      <w:bookmarkStart w:id="449" w:name="_Toc375148622"/>
      <w:bookmarkStart w:id="450" w:name="_Toc375150294"/>
      <w:bookmarkStart w:id="451" w:name="_Toc375212005"/>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E66944" w:rsidRPr="00624526" w:rsidRDefault="00B91147" w:rsidP="00097D6A">
      <w:pPr>
        <w:pStyle w:val="Heading2"/>
      </w:pPr>
      <w:bookmarkStart w:id="452" w:name="_Toc375212006"/>
      <w:r>
        <w:t>Análisis de procesos</w:t>
      </w:r>
      <w:bookmarkEnd w:id="452"/>
    </w:p>
    <w:p w:rsidR="00FE0CEC" w:rsidRPr="00D51AC3" w:rsidRDefault="00FE0CEC" w:rsidP="004F0862">
      <w:pPr>
        <w:spacing w:after="200" w:line="276" w:lineRule="auto"/>
        <w:jc w:val="both"/>
        <w:rPr>
          <w:rFonts w:ascii="Calibri" w:hAnsi="Calibri" w:cs="Calibri"/>
        </w:rPr>
      </w:pPr>
      <w:r w:rsidRPr="00E9312C">
        <w:rPr>
          <w:rFonts w:ascii="Calibri" w:hAnsi="Calibri" w:cs="Calibri"/>
        </w:rPr>
        <w:t>En esta sección se realizará el</w:t>
      </w:r>
      <w:r w:rsidRPr="00E9312C">
        <w:rPr>
          <w:rFonts w:ascii="Calibri" w:hAnsi="Calibri" w:cs="Calibri"/>
          <w:i/>
        </w:rPr>
        <w:t xml:space="preserve"> Análisis de los Procesos</w:t>
      </w:r>
      <w:r w:rsidRPr="00E9312C">
        <w:rPr>
          <w:rFonts w:ascii="Calibri" w:hAnsi="Calibri" w:cs="Calibri"/>
        </w:rPr>
        <w:t>, donde se registran las actividades y etapas que componen el proceso en forma consolidada y agregada. El objetivo es tener una visión general, e identificar posibles cuellos de botella, logros</w:t>
      </w:r>
      <w:r w:rsidRPr="00D51AC3">
        <w:rPr>
          <w:rFonts w:ascii="Calibri" w:hAnsi="Calibri" w:cs="Calibri"/>
        </w:rPr>
        <w:t xml:space="preserve"> y actividades que agregan valor al proceso, así como tiempos muertos o de espera, supervisiones y verificac</w:t>
      </w:r>
      <w:r>
        <w:rPr>
          <w:rFonts w:ascii="Calibri" w:hAnsi="Calibri" w:cs="Calibri"/>
        </w:rPr>
        <w:t>iones, entre otros. El esquema 6</w:t>
      </w:r>
      <w:r w:rsidRPr="00D51AC3">
        <w:rPr>
          <w:rFonts w:ascii="Calibri" w:hAnsi="Calibri" w:cs="Calibri"/>
        </w:rPr>
        <w:t xml:space="preserve">.1 a continuación, contiene los principales procesos estipulados por el reglamento operativo del CONACYT. </w:t>
      </w:r>
    </w:p>
    <w:p w:rsidR="00FE0CEC" w:rsidRPr="00D51AC3" w:rsidRDefault="00FE0CEC" w:rsidP="00FE0CEC">
      <w:pPr>
        <w:spacing w:before="120" w:after="120" w:line="288" w:lineRule="auto"/>
        <w:jc w:val="center"/>
        <w:rPr>
          <w:rFonts w:ascii="Calibri" w:hAnsi="Calibri" w:cs="Calibri"/>
          <w:b/>
        </w:rPr>
      </w:pPr>
      <w:r>
        <w:rPr>
          <w:rFonts w:ascii="Calibri" w:hAnsi="Calibri" w:cs="Calibri"/>
          <w:b/>
        </w:rPr>
        <w:t>Esquema 6</w:t>
      </w:r>
      <w:r w:rsidRPr="00D51AC3">
        <w:rPr>
          <w:rFonts w:ascii="Calibri" w:hAnsi="Calibri" w:cs="Calibri"/>
          <w:b/>
        </w:rPr>
        <w:t>.1: Flujograma de los procesos del PROCIT</w:t>
      </w:r>
    </w:p>
    <w:p w:rsidR="00FE0CEC" w:rsidRDefault="00FE0CEC" w:rsidP="00FE0CEC">
      <w:r>
        <w:rPr>
          <w:noProof/>
          <w:lang w:val="es-ES_tradnl" w:eastAsia="es-ES_tradnl"/>
        </w:rPr>
        <w:drawing>
          <wp:inline distT="0" distB="0" distL="0" distR="0" wp14:anchorId="40BCB190" wp14:editId="21F4B4DC">
            <wp:extent cx="5610225" cy="4029075"/>
            <wp:effectExtent l="0" t="0" r="9525" b="9525"/>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0225" cy="4029075"/>
                    </a:xfrm>
                    <a:prstGeom prst="rect">
                      <a:avLst/>
                    </a:prstGeom>
                    <a:noFill/>
                    <a:ln>
                      <a:noFill/>
                    </a:ln>
                  </pic:spPr>
                </pic:pic>
              </a:graphicData>
            </a:graphic>
          </wp:inline>
        </w:drawing>
      </w:r>
    </w:p>
    <w:p w:rsidR="00FE0CEC" w:rsidRPr="00171404" w:rsidRDefault="004F0862" w:rsidP="00FE0CEC">
      <w:pPr>
        <w:spacing w:line="288" w:lineRule="auto"/>
        <w:jc w:val="both"/>
        <w:rPr>
          <w:rFonts w:ascii="Calibri" w:hAnsi="Calibri"/>
          <w:sz w:val="18"/>
          <w:szCs w:val="18"/>
        </w:rPr>
      </w:pPr>
      <w:r w:rsidRPr="00171404">
        <w:rPr>
          <w:rFonts w:ascii="Calibri" w:hAnsi="Calibri"/>
          <w:sz w:val="18"/>
          <w:szCs w:val="18"/>
        </w:rPr>
        <w:t xml:space="preserve">Fuente: Innovos Group en base al </w:t>
      </w:r>
      <w:r w:rsidR="00171404" w:rsidRPr="00171404">
        <w:rPr>
          <w:rFonts w:ascii="Calibri" w:hAnsi="Calibri"/>
          <w:sz w:val="18"/>
          <w:szCs w:val="18"/>
        </w:rPr>
        <w:t>Reglamento Operativo del PROCIT</w:t>
      </w:r>
    </w:p>
    <w:p w:rsidR="005A2072" w:rsidRDefault="005A2072" w:rsidP="004F0862">
      <w:pPr>
        <w:spacing w:before="200" w:line="276" w:lineRule="auto"/>
        <w:jc w:val="both"/>
        <w:rPr>
          <w:rFonts w:ascii="Calibri" w:hAnsi="Calibri"/>
          <w:b/>
        </w:rPr>
      </w:pPr>
    </w:p>
    <w:p w:rsidR="00777092" w:rsidRPr="00777092" w:rsidRDefault="00FE0CEC" w:rsidP="004F0862">
      <w:pPr>
        <w:spacing w:before="200" w:line="276" w:lineRule="auto"/>
        <w:jc w:val="both"/>
        <w:rPr>
          <w:rFonts w:ascii="Calibri" w:hAnsi="Calibri"/>
          <w:b/>
        </w:rPr>
      </w:pPr>
      <w:r w:rsidRPr="00777092">
        <w:rPr>
          <w:rFonts w:ascii="Calibri" w:hAnsi="Calibri"/>
          <w:b/>
        </w:rPr>
        <w:lastRenderedPageBreak/>
        <w:t>Difusión del pro</w:t>
      </w:r>
      <w:r w:rsidR="00777092" w:rsidRPr="00777092">
        <w:rPr>
          <w:rFonts w:ascii="Calibri" w:hAnsi="Calibri"/>
          <w:b/>
        </w:rPr>
        <w:t>grama</w:t>
      </w:r>
    </w:p>
    <w:p w:rsidR="00FE0CEC" w:rsidRDefault="00FE0CEC" w:rsidP="004F0862">
      <w:pPr>
        <w:spacing w:before="200" w:line="276" w:lineRule="auto"/>
        <w:jc w:val="both"/>
        <w:rPr>
          <w:rFonts w:ascii="Calibri" w:hAnsi="Calibri"/>
        </w:rPr>
      </w:pPr>
      <w:r>
        <w:rPr>
          <w:rFonts w:ascii="Calibri" w:hAnsi="Calibri"/>
        </w:rPr>
        <w:t>E</w:t>
      </w:r>
      <w:r w:rsidRPr="00F8359D">
        <w:rPr>
          <w:rFonts w:ascii="Calibri" w:hAnsi="Calibri"/>
        </w:rPr>
        <w:t>l objetivo de esta etapa es la promoción del programa. Sin embargo, el equipo consultor considera relevante evaluar la difusión de las actividades y objetivos del CONACYT como complemento al análisis de la difusión del PROCIT. Esto refiere a las actividades y los medios de difusión más efectivos</w:t>
      </w:r>
      <w:r>
        <w:rPr>
          <w:rFonts w:ascii="Calibri" w:hAnsi="Calibri"/>
        </w:rPr>
        <w:t>.</w:t>
      </w:r>
    </w:p>
    <w:p w:rsidR="00FE0CEC" w:rsidRPr="00F8359D" w:rsidRDefault="00FE0CEC" w:rsidP="004F0862">
      <w:pPr>
        <w:spacing w:before="200" w:line="276" w:lineRule="auto"/>
        <w:jc w:val="both"/>
        <w:rPr>
          <w:rFonts w:ascii="Calibri" w:hAnsi="Calibri"/>
        </w:rPr>
      </w:pPr>
      <w:r w:rsidRPr="00F8359D">
        <w:rPr>
          <w:rFonts w:ascii="Calibri" w:hAnsi="Calibri"/>
        </w:rPr>
        <w:t>Respecto a los medios por los cuales, tanto beneficiarios como no beneficiarios, se enteraron de las convocatorias se consideró relevante realizar el análisis específico por subcomponente. En el caso de investigación, los beneficiarios respondieron que los tres medios de difusión</w:t>
      </w:r>
      <w:r>
        <w:rPr>
          <w:rStyle w:val="FootnoteReference"/>
          <w:rFonts w:ascii="Calibri" w:hAnsi="Calibri"/>
        </w:rPr>
        <w:footnoteReference w:id="27"/>
      </w:r>
      <w:r w:rsidRPr="00F8359D">
        <w:rPr>
          <w:rFonts w:ascii="Calibri" w:hAnsi="Calibri"/>
        </w:rPr>
        <w:t xml:space="preserve"> más efectivos fueron el sitio web del CONACYT (58%), un evento organizado por la institución (53%) y la universidad o instituto (42%). Los no beneficiarios, valoraron como efectivos el sitio web del CONACYT, los eventos realizados con el CONACYT y el boletín ofi</w:t>
      </w:r>
      <w:r>
        <w:rPr>
          <w:rFonts w:ascii="Calibri" w:hAnsi="Calibri"/>
        </w:rPr>
        <w:t xml:space="preserve">cial que llegó a sus correos.  </w:t>
      </w:r>
      <w:r w:rsidRPr="00F8359D">
        <w:rPr>
          <w:rFonts w:ascii="Calibri" w:hAnsi="Calibri"/>
        </w:rPr>
        <w:t xml:space="preserve">Respecto a innovación, los dos </w:t>
      </w:r>
      <w:r w:rsidRPr="008E126A">
        <w:rPr>
          <w:rFonts w:ascii="Calibri" w:hAnsi="Calibri"/>
        </w:rPr>
        <w:t>medios de mayor difusión, tanto para beneficiarios como no beneficiarios, fueron la página web del CONACYT y los eventos realizados. En becas y posgrados las respuestas fueron similares a las de investigación predominando los medios como el sitio web, los boletines oficiales, los eventos organizados, y las universidades o centros de investigación y formación. En todos los componentes la difusión entre pares ha sido relativamente baja (entre 0% y 27%).</w:t>
      </w:r>
      <w:r w:rsidRPr="00F8359D">
        <w:rPr>
          <w:rFonts w:ascii="Calibri" w:hAnsi="Calibri"/>
        </w:rPr>
        <w:t xml:space="preserve"> </w:t>
      </w:r>
    </w:p>
    <w:p w:rsidR="00FE0CEC" w:rsidRPr="00F8359D" w:rsidRDefault="00FE0CEC" w:rsidP="004F0862">
      <w:pPr>
        <w:spacing w:before="200" w:line="276" w:lineRule="auto"/>
        <w:jc w:val="both"/>
        <w:rPr>
          <w:rFonts w:ascii="Calibri" w:hAnsi="Calibri"/>
        </w:rPr>
      </w:pPr>
      <w:r w:rsidRPr="00F8359D">
        <w:rPr>
          <w:rFonts w:ascii="Calibri" w:hAnsi="Calibri"/>
        </w:rPr>
        <w:t>Respecto a la difusión de los objetivos y características de cada subcomponente, en general los beneficiarios</w:t>
      </w:r>
      <w:r>
        <w:rPr>
          <w:rFonts w:ascii="Calibri" w:hAnsi="Calibri"/>
        </w:rPr>
        <w:t xml:space="preserve"> </w:t>
      </w:r>
      <w:r w:rsidRPr="00F8359D">
        <w:rPr>
          <w:rFonts w:ascii="Calibri" w:hAnsi="Calibri"/>
        </w:rPr>
        <w:t>considera</w:t>
      </w:r>
      <w:r>
        <w:rPr>
          <w:rFonts w:ascii="Calibri" w:hAnsi="Calibri"/>
        </w:rPr>
        <w:t>n</w:t>
      </w:r>
      <w:r w:rsidRPr="00F8359D">
        <w:rPr>
          <w:rFonts w:ascii="Calibri" w:hAnsi="Calibri"/>
        </w:rPr>
        <w:t xml:space="preserve"> que fue adecuada o muy adecuada.</w:t>
      </w:r>
      <w:r>
        <w:rPr>
          <w:rFonts w:ascii="Calibri" w:hAnsi="Calibri"/>
        </w:rPr>
        <w:t xml:space="preserve"> Para el caso de investigación el 100% de los encuestados manifestó esto, mientras que para innovación lo hicieron el 78%, y los becarios y postgrado un 84% y un 85% respectivamente.</w:t>
      </w:r>
      <w:r w:rsidRPr="00F8359D">
        <w:rPr>
          <w:rFonts w:ascii="Calibri" w:hAnsi="Calibri"/>
        </w:rPr>
        <w:t xml:space="preserve">  En el caso de los no beneficiarios, llaman la atención los casos de innovación y becas en los que el 50% (en ambos casos) valoraron esta difusión como escasa o muy escasa. En los demás co</w:t>
      </w:r>
      <w:r>
        <w:rPr>
          <w:rFonts w:ascii="Calibri" w:hAnsi="Calibri"/>
        </w:rPr>
        <w:t xml:space="preserve">mponentes, los no beneficiarios </w:t>
      </w:r>
      <w:r w:rsidRPr="00F8359D">
        <w:rPr>
          <w:rFonts w:ascii="Calibri" w:hAnsi="Calibri"/>
        </w:rPr>
        <w:t xml:space="preserve">respondieron que la difusión fue adecuada y muy adecuada. </w:t>
      </w:r>
    </w:p>
    <w:p w:rsidR="00FE0CEC" w:rsidRPr="00F8359D" w:rsidRDefault="00FE0CEC" w:rsidP="004F0862">
      <w:pPr>
        <w:spacing w:before="200" w:line="276" w:lineRule="auto"/>
        <w:jc w:val="both"/>
        <w:rPr>
          <w:rFonts w:ascii="Calibri" w:hAnsi="Calibri"/>
        </w:rPr>
      </w:pPr>
      <w:r w:rsidRPr="00F8359D">
        <w:rPr>
          <w:rFonts w:ascii="Calibri" w:hAnsi="Calibri"/>
        </w:rPr>
        <w:t xml:space="preserve">Respecto a la difusión de los objetivos y actividades tanto del CONACYT como del PROCIT el 60% de los encuestados calificó a la misma como adecuada y </w:t>
      </w:r>
      <w:r w:rsidRPr="00D7453D">
        <w:rPr>
          <w:rFonts w:ascii="Calibri" w:hAnsi="Calibri"/>
        </w:rPr>
        <w:t>un 19% y 16 %</w:t>
      </w:r>
      <w:r w:rsidRPr="00F8359D">
        <w:rPr>
          <w:rFonts w:ascii="Calibri" w:hAnsi="Calibri"/>
        </w:rPr>
        <w:t xml:space="preserve"> respectivamente la consideró muy adecuada. Estos resultados se presentan en el gráfico a continuación.</w:t>
      </w:r>
    </w:p>
    <w:p w:rsidR="000C4ECB" w:rsidRDefault="000C4ECB">
      <w:pPr>
        <w:rPr>
          <w:rFonts w:ascii="Calibri" w:hAnsi="Calibri"/>
          <w:b/>
        </w:rPr>
      </w:pPr>
      <w:r>
        <w:rPr>
          <w:rFonts w:ascii="Calibri" w:hAnsi="Calibri"/>
          <w:b/>
        </w:rPr>
        <w:br w:type="page"/>
      </w:r>
    </w:p>
    <w:p w:rsidR="00FE0CEC" w:rsidRPr="00F8359D" w:rsidRDefault="00FE0CEC" w:rsidP="00FE0CEC">
      <w:pPr>
        <w:spacing w:line="288" w:lineRule="auto"/>
        <w:jc w:val="center"/>
        <w:rPr>
          <w:rFonts w:ascii="Calibri" w:hAnsi="Calibri"/>
          <w:b/>
        </w:rPr>
      </w:pPr>
      <w:r>
        <w:rPr>
          <w:rFonts w:ascii="Calibri" w:hAnsi="Calibri"/>
          <w:b/>
        </w:rPr>
        <w:lastRenderedPageBreak/>
        <w:t>Gráfico 6</w:t>
      </w:r>
      <w:r w:rsidRPr="00F8359D">
        <w:rPr>
          <w:rFonts w:ascii="Calibri" w:hAnsi="Calibri"/>
          <w:b/>
        </w:rPr>
        <w:t>.1: Calificación de la difusión de objetivos y características del PROCIT y del CONACYT</w:t>
      </w:r>
    </w:p>
    <w:p w:rsidR="00FE0CEC" w:rsidRDefault="00FE0CEC" w:rsidP="00FE0CEC">
      <w:pPr>
        <w:pStyle w:val="ListParagraph"/>
        <w:numPr>
          <w:ilvl w:val="0"/>
          <w:numId w:val="26"/>
        </w:numPr>
        <w:spacing w:line="288" w:lineRule="auto"/>
        <w:jc w:val="both"/>
        <w:rPr>
          <w:rFonts w:ascii="Calibri" w:hAnsi="Calibri"/>
          <w:b/>
          <w:sz w:val="20"/>
          <w:szCs w:val="20"/>
        </w:rPr>
      </w:pPr>
      <w:r w:rsidRPr="00FB25AB">
        <w:rPr>
          <w:rFonts w:ascii="Calibri" w:hAnsi="Calibri"/>
          <w:b/>
          <w:sz w:val="20"/>
          <w:szCs w:val="20"/>
        </w:rPr>
        <w:t xml:space="preserve">Difusión de objetivos  del CONACYT       </w:t>
      </w:r>
      <w:r>
        <w:rPr>
          <w:rFonts w:ascii="Calibri" w:hAnsi="Calibri"/>
          <w:b/>
          <w:sz w:val="20"/>
          <w:szCs w:val="20"/>
        </w:rPr>
        <w:t xml:space="preserve">             </w:t>
      </w:r>
      <w:r w:rsidRPr="00FB25AB">
        <w:rPr>
          <w:rFonts w:ascii="Calibri" w:hAnsi="Calibri"/>
          <w:b/>
          <w:sz w:val="20"/>
          <w:szCs w:val="20"/>
        </w:rPr>
        <w:t>B) Difusión de objetivos del PROCIT</w:t>
      </w:r>
    </w:p>
    <w:p w:rsidR="00FE0CEC" w:rsidRDefault="00FE0CEC" w:rsidP="00FE0CEC">
      <w:pPr>
        <w:pStyle w:val="ListParagraph"/>
        <w:spacing w:line="288" w:lineRule="auto"/>
        <w:ind w:right="191"/>
        <w:jc w:val="center"/>
        <w:rPr>
          <w:rFonts w:ascii="Calibri" w:hAnsi="Calibri"/>
          <w:sz w:val="18"/>
          <w:szCs w:val="18"/>
        </w:rPr>
      </w:pPr>
      <w:r w:rsidRPr="00FB25AB">
        <w:rPr>
          <w:noProof/>
          <w:lang w:val="es-ES_tradnl" w:eastAsia="es-ES_tradnl"/>
        </w:rPr>
        <w:drawing>
          <wp:inline distT="0" distB="0" distL="0" distR="0" wp14:anchorId="43CB23B4" wp14:editId="63258AAD">
            <wp:extent cx="5514975" cy="2359548"/>
            <wp:effectExtent l="0" t="0" r="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15194" cy="2359641"/>
                    </a:xfrm>
                    <a:prstGeom prst="rect">
                      <a:avLst/>
                    </a:prstGeom>
                    <a:noFill/>
                    <a:ln>
                      <a:noFill/>
                    </a:ln>
                  </pic:spPr>
                </pic:pic>
              </a:graphicData>
            </a:graphic>
          </wp:inline>
        </w:drawing>
      </w:r>
    </w:p>
    <w:p w:rsidR="00FE0CEC" w:rsidRDefault="00FE0CEC" w:rsidP="00171404">
      <w:pPr>
        <w:pStyle w:val="ListParagraph"/>
        <w:spacing w:line="288" w:lineRule="auto"/>
        <w:ind w:right="191"/>
        <w:jc w:val="center"/>
        <w:rPr>
          <w:rFonts w:ascii="Calibri" w:hAnsi="Calibri"/>
          <w:sz w:val="18"/>
          <w:szCs w:val="18"/>
        </w:rPr>
      </w:pPr>
      <w:r w:rsidRPr="00D17AE5">
        <w:rPr>
          <w:rFonts w:ascii="Calibri" w:hAnsi="Calibri"/>
          <w:sz w:val="18"/>
          <w:szCs w:val="18"/>
        </w:rPr>
        <w:t xml:space="preserve">Fuente: Innovos Group. Elaboración propia en base a los datos de las encuestas realizadas </w:t>
      </w:r>
      <w:r>
        <w:rPr>
          <w:rFonts w:ascii="Calibri" w:hAnsi="Calibri"/>
          <w:sz w:val="18"/>
          <w:szCs w:val="18"/>
        </w:rPr>
        <w:t>a beneficiarios y no beneficiarios del programa.</w:t>
      </w:r>
    </w:p>
    <w:p w:rsidR="00FE0CEC" w:rsidRDefault="00FE0CEC" w:rsidP="00171404">
      <w:pPr>
        <w:pStyle w:val="ListParagraph"/>
        <w:spacing w:line="288" w:lineRule="auto"/>
        <w:jc w:val="center"/>
        <w:rPr>
          <w:rFonts w:ascii="Calibri" w:hAnsi="Calibri"/>
          <w:sz w:val="18"/>
          <w:szCs w:val="18"/>
        </w:rPr>
      </w:pPr>
      <w:r>
        <w:rPr>
          <w:rFonts w:ascii="Calibri" w:hAnsi="Calibri"/>
          <w:sz w:val="18"/>
          <w:szCs w:val="18"/>
        </w:rPr>
        <w:t>Nota: el primer gráfico corresponde a la difusión del CONACYT y el s</w:t>
      </w:r>
      <w:r w:rsidR="00171404">
        <w:rPr>
          <w:rFonts w:ascii="Calibri" w:hAnsi="Calibri"/>
          <w:sz w:val="18"/>
          <w:szCs w:val="18"/>
        </w:rPr>
        <w:t>egundo a la difusión del PROCIT</w:t>
      </w:r>
    </w:p>
    <w:p w:rsidR="00FE0CEC" w:rsidRPr="00964054" w:rsidRDefault="004F0862" w:rsidP="004F0862">
      <w:pPr>
        <w:pStyle w:val="ListParagraph"/>
        <w:tabs>
          <w:tab w:val="left" w:pos="4200"/>
        </w:tabs>
        <w:spacing w:line="288" w:lineRule="auto"/>
        <w:jc w:val="both"/>
        <w:rPr>
          <w:rFonts w:ascii="Calibri" w:hAnsi="Calibri"/>
          <w:sz w:val="18"/>
          <w:szCs w:val="18"/>
        </w:rPr>
      </w:pPr>
      <w:r>
        <w:rPr>
          <w:rFonts w:ascii="Calibri" w:hAnsi="Calibri"/>
          <w:sz w:val="18"/>
          <w:szCs w:val="18"/>
        </w:rPr>
        <w:tab/>
      </w:r>
    </w:p>
    <w:p w:rsidR="00777092" w:rsidRPr="00777092" w:rsidRDefault="00777092" w:rsidP="004F0862">
      <w:pPr>
        <w:spacing w:before="200" w:line="276" w:lineRule="auto"/>
        <w:jc w:val="both"/>
        <w:rPr>
          <w:rFonts w:ascii="Calibri" w:hAnsi="Calibri"/>
        </w:rPr>
      </w:pPr>
      <w:r w:rsidRPr="00777092">
        <w:rPr>
          <w:rFonts w:ascii="Calibri" w:hAnsi="Calibri"/>
          <w:b/>
        </w:rPr>
        <w:t>Recepción</w:t>
      </w:r>
    </w:p>
    <w:p w:rsidR="00FE0CEC" w:rsidRPr="00F8359D" w:rsidRDefault="00FE0CEC" w:rsidP="004F0862">
      <w:pPr>
        <w:spacing w:before="200" w:line="276" w:lineRule="auto"/>
        <w:jc w:val="both"/>
        <w:rPr>
          <w:rFonts w:ascii="Calibri" w:hAnsi="Calibri"/>
        </w:rPr>
      </w:pPr>
      <w:r>
        <w:rPr>
          <w:rFonts w:ascii="Calibri" w:hAnsi="Calibri"/>
        </w:rPr>
        <w:t>El CONACYT</w:t>
      </w:r>
      <w:r w:rsidRPr="00F8359D">
        <w:rPr>
          <w:rFonts w:ascii="Calibri" w:hAnsi="Calibri"/>
        </w:rPr>
        <w:t xml:space="preserve"> recibió las propuestas que fueron presentadas. Posteriormente, se realizó una </w:t>
      </w:r>
      <w:r w:rsidRPr="00F8359D">
        <w:rPr>
          <w:rFonts w:ascii="Calibri" w:hAnsi="Calibri"/>
          <w:u w:val="single"/>
        </w:rPr>
        <w:t>evaluación preliminar</w:t>
      </w:r>
      <w:r w:rsidRPr="00F8359D">
        <w:rPr>
          <w:rFonts w:ascii="Calibri" w:hAnsi="Calibri"/>
        </w:rPr>
        <w:t xml:space="preserve">, consistente en la verificación, por parte del equipo técnico del CONACYT, del cumplimento de requisitos mínimos establecidos en las guías de cada componente del Programa. Por último se realizó la </w:t>
      </w:r>
      <w:r w:rsidRPr="00F8359D">
        <w:rPr>
          <w:rFonts w:ascii="Calibri" w:hAnsi="Calibri"/>
          <w:u w:val="single"/>
        </w:rPr>
        <w:t>evaluación final</w:t>
      </w:r>
      <w:r w:rsidRPr="00F8359D">
        <w:rPr>
          <w:rFonts w:ascii="Calibri" w:hAnsi="Calibri"/>
        </w:rPr>
        <w:t xml:space="preserve"> de la solicitud a través de Evaluadores Individuales y/o Comités Técnicos ad hoc (expertos y asesores seleccionados de acuerdo a cada componente) propuestos por el Equipo Técnico del CONACYT y aprobados por el Comité Ejecutivo del Programa (CEP). Antes de terminar con la etapa de Evaluación de proyectos el equipo técnico del CONACYT p</w:t>
      </w:r>
      <w:r>
        <w:rPr>
          <w:rFonts w:ascii="Calibri" w:hAnsi="Calibri"/>
        </w:rPr>
        <w:t>odía</w:t>
      </w:r>
      <w:r w:rsidRPr="00F8359D">
        <w:rPr>
          <w:rFonts w:ascii="Calibri" w:hAnsi="Calibri"/>
        </w:rPr>
        <w:t xml:space="preserve"> pedir a los responsables de cada solicitud cualquier </w:t>
      </w:r>
      <w:r w:rsidRPr="00F8359D">
        <w:rPr>
          <w:rFonts w:ascii="Calibri" w:hAnsi="Calibri"/>
          <w:u w:val="single"/>
        </w:rPr>
        <w:t>aclaración</w:t>
      </w:r>
      <w:r w:rsidRPr="00F8359D">
        <w:rPr>
          <w:rFonts w:ascii="Calibri" w:hAnsi="Calibri"/>
        </w:rPr>
        <w:t xml:space="preserve"> que sea </w:t>
      </w:r>
      <w:r>
        <w:rPr>
          <w:rFonts w:ascii="Calibri" w:hAnsi="Calibri"/>
        </w:rPr>
        <w:t>requerida por los evaluadores. A este respecto, u</w:t>
      </w:r>
      <w:r w:rsidRPr="00F8359D">
        <w:rPr>
          <w:rFonts w:ascii="Calibri" w:hAnsi="Calibri"/>
        </w:rPr>
        <w:t>n 91% de los beneficiarios d</w:t>
      </w:r>
      <w:r>
        <w:rPr>
          <w:rFonts w:ascii="Calibri" w:hAnsi="Calibri"/>
        </w:rPr>
        <w:t xml:space="preserve">e los programas considera que </w:t>
      </w:r>
      <w:r w:rsidRPr="00F8359D">
        <w:rPr>
          <w:rFonts w:ascii="Calibri" w:hAnsi="Calibri"/>
        </w:rPr>
        <w:t xml:space="preserve">el formulario de postulación fue entre claro y muy claro. Un 25% de los no beneficiarios de los programas indicó que estos formularios eran confusos. Un 89% de los encuestados consideró que las guías de bases y condiciones eran claras, sin embargo, durante la etapa de entrevistas y </w:t>
      </w:r>
      <w:r>
        <w:rPr>
          <w:rFonts w:ascii="Calibri" w:hAnsi="Calibri"/>
        </w:rPr>
        <w:t xml:space="preserve">grupos focales </w:t>
      </w:r>
      <w:r w:rsidRPr="00F8359D">
        <w:rPr>
          <w:rFonts w:ascii="Calibri" w:hAnsi="Calibri"/>
        </w:rPr>
        <w:t>se valoró como negativos y confusos algunos criterios de las bases. Es decir, en algunos casos, se tuvieron en cuenta determinados aspectos para la adjudicación de los proyectos que no fueron solicitados en las bases y en otros, existieron incoherencias entre el objetivo del componente, el monto del financiamiento y los requisitos presupuestarios (</w:t>
      </w:r>
      <w:r>
        <w:rPr>
          <w:rFonts w:ascii="Calibri" w:hAnsi="Calibri"/>
        </w:rPr>
        <w:t xml:space="preserve">por ejemplo, los tres </w:t>
      </w:r>
      <w:r w:rsidRPr="00F8359D">
        <w:rPr>
          <w:rFonts w:ascii="Calibri" w:hAnsi="Calibri"/>
        </w:rPr>
        <w:t>últimos balances</w:t>
      </w:r>
      <w:r w:rsidRPr="00957732">
        <w:rPr>
          <w:rFonts w:ascii="Calibri" w:hAnsi="Calibri"/>
        </w:rPr>
        <w:t>). En este sentido, con un tipo de financiamiento relativamente bajo para proyectos de ciencia y tecnología</w:t>
      </w:r>
      <w:r>
        <w:rPr>
          <w:rFonts w:ascii="Calibri" w:hAnsi="Calibri"/>
        </w:rPr>
        <w:t>,</w:t>
      </w:r>
      <w:r w:rsidRPr="00957732">
        <w:rPr>
          <w:rFonts w:ascii="Calibri" w:hAnsi="Calibri"/>
        </w:rPr>
        <w:t xml:space="preserve"> o se </w:t>
      </w:r>
      <w:r w:rsidRPr="00957732">
        <w:rPr>
          <w:rFonts w:ascii="Calibri" w:hAnsi="Calibri"/>
        </w:rPr>
        <w:lastRenderedPageBreak/>
        <w:t xml:space="preserve">apunta a nuevos emprendimientos </w:t>
      </w:r>
      <w:r>
        <w:rPr>
          <w:rFonts w:ascii="Calibri" w:hAnsi="Calibri"/>
        </w:rPr>
        <w:t>o el efecto</w:t>
      </w:r>
      <w:r w:rsidRPr="00957732">
        <w:rPr>
          <w:rFonts w:ascii="Calibri" w:hAnsi="Calibri"/>
        </w:rPr>
        <w:t xml:space="preserve"> que tendrá este subsidio en empresas o instituciones mayores será</w:t>
      </w:r>
      <w:r>
        <w:rPr>
          <w:rFonts w:ascii="Calibri" w:hAnsi="Calibri"/>
        </w:rPr>
        <w:t xml:space="preserve"> de adelantamiento de inversión</w:t>
      </w:r>
      <w:r w:rsidRPr="00957732">
        <w:rPr>
          <w:rFonts w:ascii="Calibri" w:hAnsi="Calibri"/>
        </w:rPr>
        <w:t>.</w:t>
      </w:r>
      <w:r w:rsidRPr="00F8359D">
        <w:rPr>
          <w:rFonts w:ascii="Calibri" w:hAnsi="Calibri"/>
        </w:rPr>
        <w:t xml:space="preserve"> </w:t>
      </w:r>
    </w:p>
    <w:p w:rsidR="00FE0CEC" w:rsidRDefault="00FE0CEC" w:rsidP="004F0862">
      <w:pPr>
        <w:spacing w:before="200" w:line="276" w:lineRule="auto"/>
        <w:jc w:val="both"/>
        <w:rPr>
          <w:rFonts w:ascii="Calibri" w:hAnsi="Calibri"/>
          <w:iCs/>
        </w:rPr>
      </w:pPr>
      <w:r>
        <w:rPr>
          <w:rFonts w:ascii="Calibri" w:hAnsi="Calibri"/>
          <w:iCs/>
        </w:rPr>
        <w:t xml:space="preserve">Otro ejemplo de criterios que podrían ser excluidos de algunos componentes es el impacto ambiental que, a pesar de ser un cumplimiento legal, muchos de los proyectos valoraron como poco útil y un gasto innecesario para la presentación de propuestas.  Se recomienda discriminar los proyectos en los que la evaluación de este impacto es estrictamente necesaria. </w:t>
      </w:r>
    </w:p>
    <w:p w:rsidR="00FE0CEC" w:rsidRPr="008B4980" w:rsidRDefault="00FE0CEC" w:rsidP="004F0862">
      <w:pPr>
        <w:spacing w:before="200" w:line="276" w:lineRule="auto"/>
        <w:jc w:val="both"/>
        <w:rPr>
          <w:rFonts w:ascii="Calibri" w:hAnsi="Calibri"/>
          <w:iCs/>
        </w:rPr>
      </w:pPr>
      <w:r w:rsidRPr="00F8359D">
        <w:rPr>
          <w:rFonts w:ascii="Calibri" w:hAnsi="Calibri"/>
          <w:iCs/>
        </w:rPr>
        <w:t xml:space="preserve">Ahora bien, en la etapa de preparación del proyecto, </w:t>
      </w:r>
      <w:r>
        <w:rPr>
          <w:rFonts w:ascii="Calibri" w:hAnsi="Calibri"/>
          <w:iCs/>
        </w:rPr>
        <w:t xml:space="preserve">el 80% de </w:t>
      </w:r>
      <w:r w:rsidRPr="00F8359D">
        <w:rPr>
          <w:rFonts w:ascii="Calibri" w:hAnsi="Calibri"/>
          <w:iCs/>
        </w:rPr>
        <w:t xml:space="preserve">los beneficiarios </w:t>
      </w:r>
      <w:r>
        <w:rPr>
          <w:rFonts w:ascii="Calibri" w:hAnsi="Calibri"/>
          <w:iCs/>
        </w:rPr>
        <w:t xml:space="preserve">manifiestan que </w:t>
      </w:r>
      <w:r w:rsidRPr="00F8359D">
        <w:rPr>
          <w:rFonts w:ascii="Calibri" w:hAnsi="Calibri"/>
          <w:iCs/>
        </w:rPr>
        <w:t>tuv</w:t>
      </w:r>
      <w:r>
        <w:rPr>
          <w:rFonts w:ascii="Calibri" w:hAnsi="Calibri"/>
          <w:iCs/>
        </w:rPr>
        <w:t>ieron</w:t>
      </w:r>
      <w:r w:rsidRPr="00F8359D">
        <w:rPr>
          <w:rFonts w:ascii="Calibri" w:hAnsi="Calibri"/>
          <w:iCs/>
        </w:rPr>
        <w:t xml:space="preserve"> la posibilidad de recibir consultas y asesoramiento en la etapa de preparación por parte del PROCIT. En el caso de los no beneficiarios (exceptuando innovación) </w:t>
      </w:r>
      <w:r w:rsidR="00BF1A3C">
        <w:rPr>
          <w:rFonts w:ascii="Calibri" w:hAnsi="Calibri"/>
          <w:iCs/>
        </w:rPr>
        <w:t xml:space="preserve">un 60% </w:t>
      </w:r>
      <w:r w:rsidRPr="00F8359D">
        <w:rPr>
          <w:rFonts w:ascii="Calibri" w:hAnsi="Calibri"/>
          <w:iCs/>
        </w:rPr>
        <w:t>manifestó no haber tenido acceso a este asesoramiento</w:t>
      </w:r>
      <w:r>
        <w:rPr>
          <w:rFonts w:ascii="Calibri" w:hAnsi="Calibri"/>
          <w:iCs/>
        </w:rPr>
        <w:t xml:space="preserve">. En el gráfico a continuación </w:t>
      </w:r>
      <w:r w:rsidRPr="00F8359D">
        <w:rPr>
          <w:rFonts w:ascii="Calibri" w:hAnsi="Calibri"/>
          <w:iCs/>
        </w:rPr>
        <w:t>se presentan estos datos.</w:t>
      </w:r>
    </w:p>
    <w:p w:rsidR="00FE0CEC" w:rsidRPr="00F8359D" w:rsidRDefault="00FE0CEC" w:rsidP="00FE0CEC">
      <w:pPr>
        <w:spacing w:line="288" w:lineRule="auto"/>
        <w:jc w:val="center"/>
        <w:rPr>
          <w:rFonts w:ascii="Calibri" w:hAnsi="Calibri"/>
          <w:b/>
        </w:rPr>
      </w:pPr>
      <w:r>
        <w:rPr>
          <w:rFonts w:ascii="Calibri" w:hAnsi="Calibri"/>
          <w:b/>
        </w:rPr>
        <w:t>Gráfico 6.2: P</w:t>
      </w:r>
      <w:r w:rsidRPr="00F8359D">
        <w:rPr>
          <w:rFonts w:ascii="Calibri" w:hAnsi="Calibri"/>
          <w:b/>
        </w:rPr>
        <w:t>osibilidad de realizar consultas y recibir asesoramiento por parte del PROCIT en la etapa de preparación de los proyectos</w:t>
      </w:r>
    </w:p>
    <w:p w:rsidR="00FE0CEC" w:rsidRDefault="00132D5A" w:rsidP="00132D5A">
      <w:pPr>
        <w:pStyle w:val="ListParagraph"/>
        <w:spacing w:line="288" w:lineRule="auto"/>
        <w:rPr>
          <w:rStyle w:val="Emphasis"/>
          <w:rFonts w:cs="Calibri"/>
          <w:i w:val="0"/>
          <w:sz w:val="20"/>
          <w:szCs w:val="20"/>
        </w:rPr>
      </w:pPr>
      <w:r>
        <w:rPr>
          <w:rFonts w:cs="Calibri"/>
          <w:iCs/>
          <w:noProof/>
          <w:sz w:val="20"/>
          <w:szCs w:val="20"/>
          <w:lang w:val="es-ES_tradnl" w:eastAsia="es-ES_tradnl"/>
        </w:rPr>
        <w:drawing>
          <wp:inline distT="0" distB="0" distL="0" distR="0" wp14:anchorId="32460A55" wp14:editId="44071F8B">
            <wp:extent cx="4648200" cy="368617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áfico.png"/>
                    <pic:cNvPicPr/>
                  </pic:nvPicPr>
                  <pic:blipFill>
                    <a:blip r:embed="rId67">
                      <a:extLst>
                        <a:ext uri="{28A0092B-C50C-407E-A947-70E740481C1C}">
                          <a14:useLocalDpi xmlns:a14="http://schemas.microsoft.com/office/drawing/2010/main" val="0"/>
                        </a:ext>
                      </a:extLst>
                    </a:blip>
                    <a:stretch>
                      <a:fillRect/>
                    </a:stretch>
                  </pic:blipFill>
                  <pic:spPr>
                    <a:xfrm>
                      <a:off x="0" y="0"/>
                      <a:ext cx="4648200" cy="3686175"/>
                    </a:xfrm>
                    <a:prstGeom prst="rect">
                      <a:avLst/>
                    </a:prstGeom>
                  </pic:spPr>
                </pic:pic>
              </a:graphicData>
            </a:graphic>
          </wp:inline>
        </w:drawing>
      </w:r>
    </w:p>
    <w:p w:rsidR="00FE0CEC" w:rsidRPr="004F0862" w:rsidRDefault="00FE0CEC" w:rsidP="00171404">
      <w:pPr>
        <w:spacing w:line="288" w:lineRule="auto"/>
        <w:ind w:left="1134" w:right="1325"/>
        <w:jc w:val="center"/>
        <w:rPr>
          <w:rFonts w:ascii="Calibri" w:hAnsi="Calibri" w:cs="Calibri"/>
          <w:iCs/>
          <w:sz w:val="18"/>
          <w:szCs w:val="18"/>
        </w:rPr>
      </w:pPr>
      <w:r w:rsidRPr="004F0862">
        <w:rPr>
          <w:rStyle w:val="Emphasis"/>
          <w:rFonts w:ascii="Calibri" w:hAnsi="Calibri" w:cs="Calibri"/>
          <w:i w:val="0"/>
          <w:sz w:val="18"/>
          <w:szCs w:val="18"/>
        </w:rPr>
        <w:t>Fuente: Innovos Group en base a datos obtenidos de las encuestas a beneficiario</w:t>
      </w:r>
      <w:r w:rsidR="00171404">
        <w:rPr>
          <w:rStyle w:val="Emphasis"/>
          <w:rFonts w:ascii="Calibri" w:hAnsi="Calibri" w:cs="Calibri"/>
          <w:i w:val="0"/>
          <w:sz w:val="18"/>
          <w:szCs w:val="18"/>
        </w:rPr>
        <w:t>s y no beneficiarios del PROCIT</w:t>
      </w:r>
    </w:p>
    <w:p w:rsidR="00FE0CEC" w:rsidRDefault="00FE0CEC" w:rsidP="004F0862">
      <w:pPr>
        <w:spacing w:before="200" w:line="276" w:lineRule="auto"/>
        <w:jc w:val="both"/>
        <w:rPr>
          <w:rFonts w:ascii="Calibri" w:hAnsi="Calibri"/>
          <w:b/>
        </w:rPr>
      </w:pPr>
      <w:r w:rsidRPr="00F8359D">
        <w:rPr>
          <w:rFonts w:ascii="Calibri" w:hAnsi="Calibri"/>
          <w:iCs/>
        </w:rPr>
        <w:t>Desde el punto de vista cua</w:t>
      </w:r>
      <w:r>
        <w:rPr>
          <w:rFonts w:ascii="Calibri" w:hAnsi="Calibri"/>
          <w:iCs/>
        </w:rPr>
        <w:t>nt</w:t>
      </w:r>
      <w:r w:rsidRPr="00F8359D">
        <w:rPr>
          <w:rFonts w:ascii="Calibri" w:hAnsi="Calibri"/>
          <w:iCs/>
        </w:rPr>
        <w:t xml:space="preserve">itativo, las evidencias indican que el ciclo de trabajo </w:t>
      </w:r>
      <w:r w:rsidRPr="00512011">
        <w:rPr>
          <w:rFonts w:ascii="Calibri" w:hAnsi="Calibri"/>
          <w:iCs/>
        </w:rPr>
        <w:t xml:space="preserve">promedio ronda el año de duración. El 59% de los beneficiarios consultados calificó como apropiado el plazo transcurrido desde la presentación de su solicitud hasta la respuesta </w:t>
      </w:r>
      <w:r w:rsidRPr="00512011">
        <w:rPr>
          <w:rFonts w:ascii="Calibri" w:hAnsi="Calibri"/>
          <w:iCs/>
        </w:rPr>
        <w:lastRenderedPageBreak/>
        <w:t>oficial como muy extensa y extensa. Estos plazos resultaron extensos o muy extensos para el 38% de los consultados. Ambos indicadores son levemente superiores para el grupo de no beneficiarios.</w:t>
      </w:r>
    </w:p>
    <w:p w:rsidR="00FE0CEC" w:rsidRPr="008B4980" w:rsidRDefault="00FE0CEC" w:rsidP="005F23B6">
      <w:pPr>
        <w:spacing w:before="120" w:after="120" w:line="288" w:lineRule="auto"/>
        <w:jc w:val="center"/>
        <w:rPr>
          <w:rFonts w:ascii="Calibri" w:hAnsi="Calibri"/>
          <w:iCs/>
        </w:rPr>
      </w:pPr>
      <w:r>
        <w:rPr>
          <w:rFonts w:ascii="Calibri" w:hAnsi="Calibri"/>
          <w:b/>
        </w:rPr>
        <w:t>Gráfico 6</w:t>
      </w:r>
      <w:r w:rsidRPr="00F8359D">
        <w:rPr>
          <w:rFonts w:ascii="Calibri" w:hAnsi="Calibri"/>
          <w:b/>
        </w:rPr>
        <w:t xml:space="preserve">.3: </w:t>
      </w:r>
      <w:r>
        <w:rPr>
          <w:rFonts w:ascii="Calibri" w:hAnsi="Calibri"/>
          <w:b/>
        </w:rPr>
        <w:t>P</w:t>
      </w:r>
      <w:r w:rsidRPr="00F8359D">
        <w:rPr>
          <w:rFonts w:ascii="Calibri" w:hAnsi="Calibri"/>
          <w:b/>
        </w:rPr>
        <w:t>lazos transcurridos entre las p</w:t>
      </w:r>
      <w:r>
        <w:rPr>
          <w:rFonts w:ascii="Calibri" w:hAnsi="Calibri"/>
          <w:b/>
        </w:rPr>
        <w:t xml:space="preserve">resentaciones de los proyectos </w:t>
      </w:r>
      <w:r w:rsidRPr="00F8359D">
        <w:rPr>
          <w:rFonts w:ascii="Calibri" w:hAnsi="Calibri"/>
          <w:b/>
        </w:rPr>
        <w:t>y las comunicaciones oficiales sobre los resultados</w:t>
      </w:r>
    </w:p>
    <w:p w:rsidR="00FE0CEC" w:rsidRDefault="00FE0CEC" w:rsidP="00FE0CEC">
      <w:pPr>
        <w:jc w:val="center"/>
        <w:rPr>
          <w:rFonts w:ascii="Verdana" w:hAnsi="Verdana"/>
        </w:rPr>
      </w:pPr>
      <w:r>
        <w:rPr>
          <w:noProof/>
          <w:lang w:val="es-ES_tradnl" w:eastAsia="es-ES_tradnl"/>
        </w:rPr>
        <w:drawing>
          <wp:inline distT="0" distB="0" distL="0" distR="0" wp14:anchorId="6051E7F8" wp14:editId="413CF214">
            <wp:extent cx="3543300" cy="2847975"/>
            <wp:effectExtent l="0" t="0" r="0" b="9525"/>
            <wp:docPr id="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43300" cy="2847975"/>
                    </a:xfrm>
                    <a:prstGeom prst="rect">
                      <a:avLst/>
                    </a:prstGeom>
                    <a:noFill/>
                    <a:ln>
                      <a:noFill/>
                    </a:ln>
                  </pic:spPr>
                </pic:pic>
              </a:graphicData>
            </a:graphic>
          </wp:inline>
        </w:drawing>
      </w:r>
    </w:p>
    <w:p w:rsidR="00FE0CEC" w:rsidRPr="00D51AC3" w:rsidRDefault="00FE0CEC" w:rsidP="00171404">
      <w:pPr>
        <w:pStyle w:val="ListParagraph"/>
        <w:spacing w:line="288" w:lineRule="auto"/>
        <w:ind w:left="1701" w:right="1467"/>
        <w:jc w:val="center"/>
        <w:rPr>
          <w:rStyle w:val="Emphasis"/>
          <w:rFonts w:ascii="Calibri" w:hAnsi="Calibri" w:cs="Calibri"/>
          <w:i w:val="0"/>
          <w:sz w:val="18"/>
          <w:szCs w:val="18"/>
        </w:rPr>
      </w:pPr>
      <w:r w:rsidRPr="00D51AC3">
        <w:rPr>
          <w:rStyle w:val="Emphasis"/>
          <w:rFonts w:ascii="Calibri" w:hAnsi="Calibri" w:cs="Calibri"/>
          <w:i w:val="0"/>
          <w:sz w:val="18"/>
          <w:szCs w:val="18"/>
        </w:rPr>
        <w:t>Fuente: Innovos Group en base a datos obtenidos de las encuestas a beneficiarios y no beneficiarios del PRO</w:t>
      </w:r>
      <w:r w:rsidR="00171404">
        <w:rPr>
          <w:rStyle w:val="Emphasis"/>
          <w:rFonts w:ascii="Calibri" w:hAnsi="Calibri" w:cs="Calibri"/>
          <w:i w:val="0"/>
          <w:sz w:val="18"/>
          <w:szCs w:val="18"/>
        </w:rPr>
        <w:t>CIT</w:t>
      </w:r>
    </w:p>
    <w:p w:rsidR="00FE0CEC" w:rsidRDefault="00FE0CEC" w:rsidP="00FE0CEC">
      <w:pPr>
        <w:jc w:val="both"/>
        <w:rPr>
          <w:rFonts w:ascii="Calibri" w:hAnsi="Calibri"/>
        </w:rPr>
      </w:pPr>
    </w:p>
    <w:p w:rsidR="00FE0CEC" w:rsidRDefault="00FE0CEC" w:rsidP="004F0862">
      <w:pPr>
        <w:spacing w:before="200" w:line="276" w:lineRule="auto"/>
        <w:jc w:val="both"/>
        <w:rPr>
          <w:rFonts w:ascii="Calibri" w:hAnsi="Calibri"/>
        </w:rPr>
      </w:pPr>
      <w:r w:rsidRPr="00606A42">
        <w:rPr>
          <w:rFonts w:ascii="Calibri" w:hAnsi="Calibri"/>
        </w:rPr>
        <w:t xml:space="preserve">Aunque la responsabilidad primaria sobre </w:t>
      </w:r>
      <w:r w:rsidR="000A266A">
        <w:rPr>
          <w:rFonts w:ascii="Calibri" w:hAnsi="Calibri"/>
        </w:rPr>
        <w:t>los procesos</w:t>
      </w:r>
      <w:r w:rsidRPr="00606A42">
        <w:rPr>
          <w:rFonts w:ascii="Calibri" w:hAnsi="Calibri"/>
        </w:rPr>
        <w:t xml:space="preserve"> es de CONACYT, algunas actividades de procesos centrales como la firma de convenios y la entrega de beneficios responden a normativa administrativa nacional o requieren participación de otras instituciones, lo que constituyen condiciones que CONACYT debe asumir con bajas posibilidades de cambio o incidencia. La alternativa para la organización es trabajar en la mejora continua de las actividades de los procesos que ocurren internamente, fortaleciendo </w:t>
      </w:r>
      <w:r w:rsidR="000A266A">
        <w:rPr>
          <w:rFonts w:ascii="Calibri" w:hAnsi="Calibri"/>
        </w:rPr>
        <w:t>el uso de TIC para gestionar, y tratar de incidir en la reforma de normativas más generales.</w:t>
      </w:r>
    </w:p>
    <w:p w:rsidR="00777092" w:rsidRPr="00777092" w:rsidRDefault="00FE0CEC" w:rsidP="004F0862">
      <w:pPr>
        <w:spacing w:before="200" w:line="276" w:lineRule="auto"/>
        <w:jc w:val="both"/>
        <w:rPr>
          <w:rFonts w:ascii="Calibri" w:hAnsi="Calibri"/>
          <w:b/>
        </w:rPr>
      </w:pPr>
      <w:r w:rsidRPr="00777092">
        <w:rPr>
          <w:rFonts w:ascii="Calibri" w:hAnsi="Calibri"/>
          <w:b/>
        </w:rPr>
        <w:t>Selección de propuesta</w:t>
      </w:r>
      <w:r w:rsidR="00777092" w:rsidRPr="00777092">
        <w:rPr>
          <w:rFonts w:ascii="Calibri" w:hAnsi="Calibri"/>
          <w:b/>
        </w:rPr>
        <w:t>s</w:t>
      </w:r>
    </w:p>
    <w:p w:rsidR="00FE0CEC" w:rsidRDefault="00FE0CEC" w:rsidP="004F0862">
      <w:pPr>
        <w:spacing w:before="200" w:line="276" w:lineRule="auto"/>
        <w:jc w:val="both"/>
        <w:rPr>
          <w:rFonts w:ascii="Calibri" w:hAnsi="Calibri"/>
        </w:rPr>
      </w:pPr>
      <w:r>
        <w:rPr>
          <w:rFonts w:ascii="Calibri" w:hAnsi="Calibri"/>
        </w:rPr>
        <w:t xml:space="preserve">En esta etapa se seleccionaron los proyectos </w:t>
      </w:r>
      <w:r w:rsidRPr="00B1765A">
        <w:rPr>
          <w:rFonts w:ascii="Calibri" w:hAnsi="Calibri"/>
        </w:rPr>
        <w:t xml:space="preserve">a financiar por parte del CEP o CPP según componente, en base a las recomendaciones surgidas en la fase de evaluación </w:t>
      </w:r>
      <w:r>
        <w:rPr>
          <w:rFonts w:ascii="Calibri" w:hAnsi="Calibri"/>
        </w:rPr>
        <w:t xml:space="preserve">de las solicitudes. Una vez </w:t>
      </w:r>
      <w:r w:rsidRPr="007C4A92">
        <w:rPr>
          <w:rFonts w:ascii="Calibri" w:hAnsi="Calibri"/>
        </w:rPr>
        <w:t>apr</w:t>
      </w:r>
      <w:r>
        <w:rPr>
          <w:rFonts w:ascii="Calibri" w:hAnsi="Calibri"/>
        </w:rPr>
        <w:t>obada la propuesta, se procedió</w:t>
      </w:r>
      <w:r w:rsidRPr="007C4A92">
        <w:rPr>
          <w:rFonts w:ascii="Calibri" w:hAnsi="Calibri"/>
        </w:rPr>
        <w:t xml:space="preserve"> a la comunicación de resultados a los solicitantes, para luego </w:t>
      </w:r>
      <w:r w:rsidRPr="0066017A">
        <w:rPr>
          <w:rFonts w:ascii="Calibri" w:hAnsi="Calibri"/>
          <w:u w:val="single"/>
        </w:rPr>
        <w:t>formalizar el contrato</w:t>
      </w:r>
      <w:r w:rsidRPr="007C4A92">
        <w:rPr>
          <w:rFonts w:ascii="Calibri" w:hAnsi="Calibri"/>
        </w:rPr>
        <w:t xml:space="preserve"> entre el CONACYT, el ejecutor y el</w:t>
      </w:r>
      <w:r>
        <w:rPr>
          <w:rFonts w:ascii="Calibri" w:hAnsi="Calibri"/>
        </w:rPr>
        <w:t xml:space="preserve"> (los) (demás) beneficiario(s). </w:t>
      </w:r>
    </w:p>
    <w:p w:rsidR="00FE0CEC" w:rsidRPr="00473912" w:rsidRDefault="00FE0CEC" w:rsidP="004F0862">
      <w:pPr>
        <w:spacing w:before="200" w:line="276" w:lineRule="auto"/>
        <w:jc w:val="both"/>
        <w:rPr>
          <w:rFonts w:ascii="Calibri" w:eastAsia="Times New Roman" w:hAnsi="Calibri" w:cs="Calibri"/>
          <w:i/>
          <w:iCs/>
          <w:sz w:val="20"/>
          <w:szCs w:val="20"/>
        </w:rPr>
      </w:pPr>
      <w:r>
        <w:rPr>
          <w:rFonts w:ascii="Calibri" w:hAnsi="Calibri"/>
        </w:rPr>
        <w:lastRenderedPageBreak/>
        <w:t xml:space="preserve">Respecto a la </w:t>
      </w:r>
      <w:r w:rsidRPr="007D6641">
        <w:rPr>
          <w:rFonts w:ascii="Calibri" w:hAnsi="Calibri"/>
        </w:rPr>
        <w:t xml:space="preserve">comunicación de los resultados, </w:t>
      </w:r>
      <w:r>
        <w:rPr>
          <w:rFonts w:ascii="Calibri" w:hAnsi="Calibri"/>
        </w:rPr>
        <w:t xml:space="preserve">durante las visitas los beneficiarios entrevistados en grupos focales o entrevistas en profundidad, indicaron que fue difícil realizar el seguimiento de la convocatoria, y que hubiese resultado de utilidad poder hacer un seguimiento on-line. De los no beneficiarios de investigación, es necesario distinguir entre la primera convocatoria, en la que además de publicar los resultados, se les envió las evaluaciones de sus proyectos. No sucedió lo mismo en las demás convocatorias y componentes en las que los no beneficiarios debían solicitar ir a buscar su evaluación y en muchos casos no se logró hacerlo, lo que generó desconfianza sobre la imparcialidad y transparencia del proceso como se observa en los datos de las encuestas explicados a continuación. </w:t>
      </w:r>
    </w:p>
    <w:p w:rsidR="00FE0CEC" w:rsidRPr="00512011" w:rsidRDefault="00FE0CEC" w:rsidP="004F0862">
      <w:pPr>
        <w:spacing w:before="200" w:line="276" w:lineRule="auto"/>
        <w:jc w:val="both"/>
        <w:rPr>
          <w:rStyle w:val="Emphasis"/>
          <w:rFonts w:ascii="Calibri" w:hAnsi="Calibri"/>
          <w:i w:val="0"/>
          <w:iCs w:val="0"/>
        </w:rPr>
      </w:pPr>
      <w:r>
        <w:rPr>
          <w:rFonts w:ascii="Calibri" w:hAnsi="Calibri"/>
        </w:rPr>
        <w:t>El 80% de los encuestados estuvo de acuerdo en que el proceso de evaluación fue transparente, para el caso de los beneficiarios el 92% respondió positivamente respecto a esto. Para el caso de los no beneficiarios de innovación el 57% manifestó estar en desacuerdo, para el componente de posgrados</w:t>
      </w:r>
      <w:r w:rsidR="00DC05B4">
        <w:rPr>
          <w:rFonts w:ascii="Calibri" w:hAnsi="Calibri"/>
        </w:rPr>
        <w:t xml:space="preserve"> el 50% mostró</w:t>
      </w:r>
      <w:r>
        <w:rPr>
          <w:rFonts w:ascii="Calibri" w:hAnsi="Calibri"/>
        </w:rPr>
        <w:t xml:space="preserve"> desacuerdo, mientras que para becas el porcentaje de desacuerdo alcanzó el 48%</w:t>
      </w:r>
      <w:r w:rsidRPr="00A03B97">
        <w:rPr>
          <w:rFonts w:ascii="Calibri" w:hAnsi="Calibri"/>
        </w:rPr>
        <w:t>. Como es de esperar, el</w:t>
      </w:r>
      <w:r>
        <w:rPr>
          <w:rFonts w:ascii="Calibri" w:hAnsi="Calibri"/>
        </w:rPr>
        <w:t xml:space="preserve"> 94% de </w:t>
      </w:r>
      <w:r w:rsidRPr="00E256CB">
        <w:rPr>
          <w:rFonts w:ascii="Calibri" w:hAnsi="Calibri"/>
        </w:rPr>
        <w:t>los beneficiarios encuestados indicó que consideraba el proceso de evaluación como imparcial y objetivo. De los no beneficiarios un 42% estuvo en desacuerdo con esa afirmación. Un ejemplo de esta valoración negativa se manifestó en los grupos focales de no beneficiarios de becas (nacionales y cortas). En este subcomponente (becas nacionales y cortas), se consideró que el proceso no fue transparente, ya que en los requisitos para postular no se especificaba que el postulante tuviera que tener experiencia en investigación y publicaciones, pero luego se solicitaba esa información en el formulario y se restaba en el puntaje final si no se contaba con estos antecedentes. Este requisito va en detrimento del otorgamiento de becas a jóvenes en reciente formación. En este sentido, los criterios establecidos en las bases eran poco específicos, a saber</w:t>
      </w:r>
      <w:r>
        <w:rPr>
          <w:rFonts w:ascii="Calibri" w:hAnsi="Calibri"/>
        </w:rPr>
        <w:t>, se establecía como criterio para abarcar la cantidad de publicaciones las competencias (académica; e</w:t>
      </w:r>
      <w:r w:rsidRPr="00512011">
        <w:rPr>
          <w:rFonts w:ascii="Calibri" w:hAnsi="Calibri"/>
        </w:rPr>
        <w:t>xperiencia profesional</w:t>
      </w:r>
      <w:r>
        <w:rPr>
          <w:rFonts w:ascii="Calibri" w:hAnsi="Calibri"/>
        </w:rPr>
        <w:t>; experiencia en a</w:t>
      </w:r>
      <w:r w:rsidRPr="00512011">
        <w:rPr>
          <w:rFonts w:ascii="Calibri" w:hAnsi="Calibri"/>
        </w:rPr>
        <w:t>ctividades de</w:t>
      </w:r>
      <w:r>
        <w:rPr>
          <w:rFonts w:ascii="Calibri" w:hAnsi="Calibri"/>
        </w:rPr>
        <w:t xml:space="preserve"> </w:t>
      </w:r>
      <w:r w:rsidRPr="00512011">
        <w:rPr>
          <w:rFonts w:ascii="Calibri" w:hAnsi="Calibri"/>
        </w:rPr>
        <w:t>Innovación</w:t>
      </w:r>
      <w:r>
        <w:rPr>
          <w:rFonts w:ascii="Calibri" w:hAnsi="Calibri"/>
        </w:rPr>
        <w:t>; c</w:t>
      </w:r>
      <w:r w:rsidRPr="00512011">
        <w:rPr>
          <w:rFonts w:ascii="Calibri" w:hAnsi="Calibri"/>
        </w:rPr>
        <w:t>apacitación y actualización</w:t>
      </w:r>
      <w:r>
        <w:rPr>
          <w:rFonts w:ascii="Calibri" w:hAnsi="Calibri"/>
        </w:rPr>
        <w:t>).</w:t>
      </w:r>
      <w:r w:rsidRPr="00473912">
        <w:rPr>
          <w:rFonts w:ascii="Calibri" w:hAnsi="Calibri"/>
        </w:rPr>
        <w:t xml:space="preserve"> También se cuestiona la valoración del promedio (tomar un promedio general y no fijar una media en relación a la carrera de la cual se trate). </w:t>
      </w:r>
    </w:p>
    <w:p w:rsidR="00FE0CEC" w:rsidRDefault="00FE0CEC" w:rsidP="004F0862">
      <w:pPr>
        <w:spacing w:before="200" w:line="276" w:lineRule="auto"/>
        <w:jc w:val="both"/>
        <w:rPr>
          <w:rFonts w:ascii="Calibri" w:hAnsi="Calibri"/>
        </w:rPr>
      </w:pPr>
      <w:r>
        <w:rPr>
          <w:rFonts w:ascii="Calibri" w:hAnsi="Calibri"/>
        </w:rPr>
        <w:t xml:space="preserve">Esta información se encuentra desagregada en el gráfico 6.4 a continuación. </w:t>
      </w:r>
    </w:p>
    <w:p w:rsidR="00FE0CEC" w:rsidRPr="0007148A" w:rsidRDefault="00FE0CEC" w:rsidP="00FE0CEC">
      <w:pPr>
        <w:spacing w:line="288" w:lineRule="auto"/>
        <w:jc w:val="center"/>
        <w:rPr>
          <w:rFonts w:ascii="Calibri" w:hAnsi="Calibri"/>
          <w:b/>
        </w:rPr>
      </w:pPr>
      <w:r>
        <w:rPr>
          <w:rFonts w:ascii="Calibri" w:hAnsi="Calibri"/>
          <w:b/>
        </w:rPr>
        <w:br w:type="page"/>
      </w:r>
      <w:r>
        <w:rPr>
          <w:rFonts w:ascii="Calibri" w:hAnsi="Calibri"/>
          <w:b/>
        </w:rPr>
        <w:lastRenderedPageBreak/>
        <w:t>Gráfico 6</w:t>
      </w:r>
      <w:r w:rsidRPr="00F8359D">
        <w:rPr>
          <w:rFonts w:ascii="Calibri" w:hAnsi="Calibri"/>
          <w:b/>
        </w:rPr>
        <w:t>.</w:t>
      </w:r>
      <w:r>
        <w:rPr>
          <w:rFonts w:ascii="Calibri" w:hAnsi="Calibri"/>
          <w:b/>
        </w:rPr>
        <w:t>4</w:t>
      </w:r>
      <w:r w:rsidRPr="00F8359D">
        <w:rPr>
          <w:rFonts w:ascii="Calibri" w:hAnsi="Calibri"/>
          <w:b/>
        </w:rPr>
        <w:t xml:space="preserve">: </w:t>
      </w:r>
      <w:r>
        <w:rPr>
          <w:rFonts w:ascii="Calibri" w:hAnsi="Calibri"/>
          <w:b/>
        </w:rPr>
        <w:t>Opinión sobre la imparcialidad y objetividad del proceso de evaluación</w:t>
      </w:r>
    </w:p>
    <w:p w:rsidR="00FE0CEC" w:rsidRPr="00F8359D" w:rsidRDefault="00FE0CEC" w:rsidP="00FE0CEC">
      <w:pPr>
        <w:spacing w:line="288" w:lineRule="auto"/>
        <w:jc w:val="center"/>
        <w:rPr>
          <w:rFonts w:ascii="Calibri" w:hAnsi="Calibri"/>
        </w:rPr>
      </w:pPr>
      <w:r>
        <w:rPr>
          <w:noProof/>
          <w:lang w:val="es-ES_tradnl" w:eastAsia="es-ES_tradnl"/>
        </w:rPr>
        <w:drawing>
          <wp:inline distT="0" distB="0" distL="0" distR="0" wp14:anchorId="5A1FD310" wp14:editId="11F0F8F0">
            <wp:extent cx="3629025" cy="2867025"/>
            <wp:effectExtent l="0" t="0" r="9525" b="9525"/>
            <wp:docPr id="3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29025" cy="2867025"/>
                    </a:xfrm>
                    <a:prstGeom prst="rect">
                      <a:avLst/>
                    </a:prstGeom>
                    <a:noFill/>
                    <a:ln>
                      <a:noFill/>
                    </a:ln>
                  </pic:spPr>
                </pic:pic>
              </a:graphicData>
            </a:graphic>
          </wp:inline>
        </w:drawing>
      </w:r>
    </w:p>
    <w:p w:rsidR="00FE0CEC" w:rsidRPr="00D51AC3" w:rsidRDefault="00FE0CEC" w:rsidP="00171404">
      <w:pPr>
        <w:pStyle w:val="ListParagraph"/>
        <w:spacing w:line="288" w:lineRule="auto"/>
        <w:ind w:left="1560" w:right="1467"/>
        <w:jc w:val="center"/>
        <w:rPr>
          <w:rStyle w:val="Emphasis"/>
          <w:rFonts w:ascii="Calibri" w:hAnsi="Calibri" w:cs="Calibri"/>
          <w:i w:val="0"/>
          <w:sz w:val="18"/>
          <w:szCs w:val="18"/>
        </w:rPr>
      </w:pPr>
      <w:r w:rsidRPr="00D51AC3">
        <w:rPr>
          <w:rStyle w:val="Emphasis"/>
          <w:rFonts w:ascii="Calibri" w:hAnsi="Calibri" w:cs="Calibri"/>
          <w:i w:val="0"/>
          <w:sz w:val="18"/>
          <w:szCs w:val="18"/>
        </w:rPr>
        <w:t>Fuente: Innovos Group en base a datos obtenidos de las encuestas a beneficiario</w:t>
      </w:r>
      <w:r w:rsidR="00171404">
        <w:rPr>
          <w:rStyle w:val="Emphasis"/>
          <w:rFonts w:ascii="Calibri" w:hAnsi="Calibri" w:cs="Calibri"/>
          <w:i w:val="0"/>
          <w:sz w:val="18"/>
          <w:szCs w:val="18"/>
        </w:rPr>
        <w:t>s y no beneficiarios del PROCIT</w:t>
      </w:r>
    </w:p>
    <w:p w:rsidR="00FE0CEC" w:rsidRPr="007C4A92" w:rsidRDefault="00FE0CEC" w:rsidP="00FE0CEC">
      <w:pPr>
        <w:pStyle w:val="ListParagraph"/>
        <w:spacing w:line="288" w:lineRule="auto"/>
        <w:jc w:val="both"/>
        <w:rPr>
          <w:rFonts w:cs="Calibri"/>
          <w:iCs/>
          <w:sz w:val="18"/>
          <w:szCs w:val="18"/>
        </w:rPr>
      </w:pPr>
    </w:p>
    <w:p w:rsidR="00FE0CEC" w:rsidRDefault="00FE0CEC" w:rsidP="004F0862">
      <w:pPr>
        <w:spacing w:before="200" w:line="276" w:lineRule="auto"/>
        <w:jc w:val="both"/>
        <w:rPr>
          <w:rFonts w:ascii="Calibri" w:hAnsi="Calibri"/>
        </w:rPr>
      </w:pPr>
      <w:r>
        <w:rPr>
          <w:rFonts w:ascii="Calibri" w:hAnsi="Calibri"/>
        </w:rPr>
        <w:t xml:space="preserve">Respecto al proceso de evaluación en general, durante las visitas, entrevistas y grupos focales, se manifestó la importancia de realizar procesos de evaluación a través de Internet, desde la difusión de la convocatoria, hasta la presentación de documentos y comunicación de resultados. Esta herramienta, como puede ser la creación de una plataforma on line (con un número de usuario y contraseña personal) y redes sociales (Facebook, twitter, foros, entre otros) permitirán no sólo mejorar el alcance de la convocatoria sino además facilitar el proceso administrativo y técnico que será más complejo a medida que se avance en la incorporación de beneficiarios a partir de otros fondos. </w:t>
      </w:r>
    </w:p>
    <w:p w:rsidR="00777092" w:rsidRPr="00777092" w:rsidRDefault="00FE0CEC" w:rsidP="004F0862">
      <w:pPr>
        <w:spacing w:before="200" w:line="276" w:lineRule="auto"/>
        <w:jc w:val="both"/>
        <w:rPr>
          <w:rFonts w:ascii="Calibri" w:hAnsi="Calibri"/>
          <w:b/>
        </w:rPr>
      </w:pPr>
      <w:r w:rsidRPr="00777092">
        <w:rPr>
          <w:rFonts w:ascii="Calibri" w:hAnsi="Calibri"/>
          <w:b/>
        </w:rPr>
        <w:t>Desembolsos</w:t>
      </w:r>
    </w:p>
    <w:p w:rsidR="00FE0CEC" w:rsidRPr="005F1E1F" w:rsidRDefault="00FE0CEC" w:rsidP="004F0862">
      <w:pPr>
        <w:spacing w:before="200" w:line="276" w:lineRule="auto"/>
        <w:jc w:val="both"/>
        <w:rPr>
          <w:rFonts w:ascii="Calibri" w:hAnsi="Calibri"/>
        </w:rPr>
      </w:pPr>
      <w:r w:rsidRPr="007C4A92">
        <w:rPr>
          <w:rFonts w:ascii="Calibri" w:hAnsi="Calibri"/>
        </w:rPr>
        <w:t xml:space="preserve">Los desembolsos se </w:t>
      </w:r>
      <w:r>
        <w:rPr>
          <w:rFonts w:ascii="Calibri" w:hAnsi="Calibri"/>
        </w:rPr>
        <w:t>debían realizar una vez aprobados</w:t>
      </w:r>
      <w:r w:rsidRPr="007C4A92">
        <w:rPr>
          <w:rFonts w:ascii="Calibri" w:hAnsi="Calibri"/>
        </w:rPr>
        <w:t xml:space="preserve"> (i) los informes de avance por parte del Equipo </w:t>
      </w:r>
      <w:r w:rsidRPr="000E524F">
        <w:rPr>
          <w:rFonts w:ascii="Calibri" w:hAnsi="Calibri"/>
        </w:rPr>
        <w:t>Técnico del Programa y (ii) las rendiciones de gastos por parte de</w:t>
      </w:r>
      <w:r>
        <w:rPr>
          <w:rFonts w:ascii="Calibri" w:hAnsi="Calibri"/>
        </w:rPr>
        <w:t xml:space="preserve"> la Administración del Programa. De acuerdo a la guía de bases y condiciones el adjudicado </w:t>
      </w:r>
      <w:r w:rsidRPr="005F1E1F">
        <w:rPr>
          <w:rFonts w:ascii="Calibri" w:hAnsi="Calibri"/>
        </w:rPr>
        <w:t>y el CONACYT firmarían contratos para la ejecución de los proyectos a ser cofinanciados, formalizando todas las garantías y documentación de respaldo jurídico de la institución y del proyecto. En el contrato, se establecerían las obligaciones y condiciones para la ejecución del proyecto, el cual debía ser ajustado de acuerdo a posibles recomendaciones del Comité Ejecutivo del Programa (CEP) y en función a la necesidad de implementación del seguimiento y control de la ejecución de los mismos.</w:t>
      </w:r>
    </w:p>
    <w:p w:rsidR="00FE0CEC" w:rsidRPr="005F1E1F" w:rsidRDefault="00FE0CEC" w:rsidP="004F0862">
      <w:pPr>
        <w:spacing w:before="200" w:line="276" w:lineRule="auto"/>
        <w:jc w:val="both"/>
        <w:rPr>
          <w:rFonts w:ascii="Calibri" w:hAnsi="Calibri"/>
        </w:rPr>
      </w:pPr>
      <w:r w:rsidRPr="005F1E1F">
        <w:rPr>
          <w:rFonts w:ascii="Calibri" w:hAnsi="Calibri"/>
        </w:rPr>
        <w:lastRenderedPageBreak/>
        <w:t>Los desembolsos, preferentemente no más de 3 (tres) además de un anticipo que entregaría CONACYT, ocurrirían en forma parcelada y previa evaluación favorable del Informe de Avance (técnico y administrativo-financiero) remitido por el ejecutor. En este sentido, antes de la realización de los siguientes desembolsos, el ejecutor debía presentar un informe técnico de las tareas realizadas, junto con un informe financiero que actualizaba al CONACYT sobre la rendición de gastos de los fondos anticipados en desembolsos previos</w:t>
      </w:r>
      <w:r>
        <w:rPr>
          <w:rFonts w:ascii="Calibri" w:hAnsi="Calibri"/>
        </w:rPr>
        <w:t>.</w:t>
      </w:r>
    </w:p>
    <w:p w:rsidR="00FE0CEC" w:rsidRPr="005F1E1F" w:rsidRDefault="00FE0CEC" w:rsidP="004F0862">
      <w:pPr>
        <w:spacing w:before="200" w:line="276" w:lineRule="auto"/>
        <w:jc w:val="both"/>
        <w:rPr>
          <w:rFonts w:ascii="Calibri" w:hAnsi="Calibri"/>
          <w:color w:val="FF0000"/>
        </w:rPr>
      </w:pPr>
      <w:r>
        <w:rPr>
          <w:rFonts w:ascii="Calibri" w:hAnsi="Calibri"/>
        </w:rPr>
        <w:t xml:space="preserve">Los desembolsos </w:t>
      </w:r>
      <w:r w:rsidRPr="000E524F">
        <w:rPr>
          <w:rFonts w:ascii="Calibri" w:hAnsi="Calibri"/>
        </w:rPr>
        <w:t>se retrasaron en algunos casos</w:t>
      </w:r>
      <w:r>
        <w:rPr>
          <w:rFonts w:ascii="Calibri" w:hAnsi="Calibri"/>
        </w:rPr>
        <w:t>, por un lado debido al retraso o incumplimiento de los informes por parte de los proyectos y por el otro,</w:t>
      </w:r>
      <w:r w:rsidRPr="000E524F">
        <w:rPr>
          <w:rFonts w:ascii="Calibri" w:hAnsi="Calibri"/>
        </w:rPr>
        <w:t xml:space="preserve"> debido a factores exógenos al CONACYT. En este sentido, es importante destacar que el CONACYT actúa solamente como </w:t>
      </w:r>
      <w:r>
        <w:rPr>
          <w:rFonts w:ascii="Calibri" w:hAnsi="Calibri"/>
        </w:rPr>
        <w:t xml:space="preserve">ordenador de gastos, es decir, </w:t>
      </w:r>
      <w:r w:rsidRPr="000E524F">
        <w:rPr>
          <w:rFonts w:ascii="Calibri" w:hAnsi="Calibri"/>
        </w:rPr>
        <w:t xml:space="preserve">además de presupuestar anualmente la aplicación de los fondos provenientes de organismos financieros internacionales, debe generar una Solicitud de Transferencia de Recursos (STR) con cargo a las mencionadas partidas presupuestarias. Este proceso, al estar sujeto a los tiempos del Tesoro Nacional, </w:t>
      </w:r>
      <w:r w:rsidRPr="005F1E1F">
        <w:rPr>
          <w:rFonts w:ascii="Calibri" w:hAnsi="Calibri"/>
        </w:rPr>
        <w:t xml:space="preserve">puede ocasionar demoras. Las mismas, deberían ser contrarrestadas con la mejora de los procesos internos. Sin embargo, el nivel interno está sujeto a los informes de avance y a las rendiciones de cuentas que debían ser presentados por los beneficiarios. Los </w:t>
      </w:r>
      <w:r w:rsidRPr="005F1E1F">
        <w:rPr>
          <w:rFonts w:ascii="Calibri" w:hAnsi="Calibri"/>
          <w:u w:val="single"/>
        </w:rPr>
        <w:t>Informes de Avance</w:t>
      </w:r>
      <w:r w:rsidRPr="005F1E1F">
        <w:rPr>
          <w:rFonts w:ascii="Calibri" w:hAnsi="Calibri"/>
          <w:b/>
        </w:rPr>
        <w:t xml:space="preserve"> </w:t>
      </w:r>
      <w:r w:rsidRPr="005F1E1F">
        <w:rPr>
          <w:rFonts w:ascii="Calibri" w:hAnsi="Calibri"/>
        </w:rPr>
        <w:t xml:space="preserve">debían exponer el progreso de las actividades establecidas en el contrato. </w:t>
      </w:r>
    </w:p>
    <w:p w:rsidR="00FE0CEC" w:rsidRPr="00BF7116" w:rsidRDefault="00FE0CEC" w:rsidP="004F0862">
      <w:pPr>
        <w:spacing w:before="200" w:line="276" w:lineRule="auto"/>
        <w:jc w:val="both"/>
        <w:rPr>
          <w:rStyle w:val="Emphasis"/>
          <w:rFonts w:ascii="Calibri" w:hAnsi="Calibri" w:cs="Calibri"/>
          <w:i w:val="0"/>
          <w:sz w:val="20"/>
          <w:szCs w:val="20"/>
        </w:rPr>
      </w:pPr>
      <w:r w:rsidRPr="005F1E1F">
        <w:rPr>
          <w:rFonts w:ascii="Calibri" w:hAnsi="Calibri"/>
        </w:rPr>
        <w:t>Uno de los problemas o cuellos de botella que dificulta la puesta en marcha de las actividades de los proyectos tiene que ver con la rigidez de los presupuestos y la compra de equipamiento a través de licitaciones.</w:t>
      </w:r>
      <w:r>
        <w:rPr>
          <w:rFonts w:ascii="Calibri" w:hAnsi="Calibri"/>
        </w:rPr>
        <w:t xml:space="preserve"> </w:t>
      </w:r>
    </w:p>
    <w:p w:rsidR="00777092" w:rsidRPr="00777092" w:rsidRDefault="00FE0CEC" w:rsidP="004F0862">
      <w:pPr>
        <w:spacing w:before="200" w:line="276" w:lineRule="auto"/>
        <w:jc w:val="both"/>
        <w:rPr>
          <w:rFonts w:ascii="Calibri" w:hAnsi="Calibri"/>
          <w:b/>
        </w:rPr>
      </w:pPr>
      <w:r w:rsidRPr="00777092">
        <w:rPr>
          <w:rFonts w:ascii="Calibri" w:hAnsi="Calibri"/>
          <w:b/>
        </w:rPr>
        <w:t>Informe Final</w:t>
      </w:r>
    </w:p>
    <w:p w:rsidR="00FE0CEC" w:rsidRPr="00AF7591" w:rsidRDefault="00FE0CEC" w:rsidP="004F0862">
      <w:pPr>
        <w:spacing w:before="200" w:line="276" w:lineRule="auto"/>
        <w:jc w:val="both"/>
        <w:rPr>
          <w:rFonts w:ascii="Calibri" w:hAnsi="Calibri"/>
        </w:rPr>
      </w:pPr>
      <w:r>
        <w:rPr>
          <w:rFonts w:ascii="Calibri" w:hAnsi="Calibri"/>
        </w:rPr>
        <w:t xml:space="preserve">Cada proyecto presentó el informe final </w:t>
      </w:r>
      <w:r w:rsidRPr="007C4A92">
        <w:rPr>
          <w:rFonts w:ascii="Calibri" w:hAnsi="Calibri"/>
        </w:rPr>
        <w:t xml:space="preserve">una vez concluido el lapso estipulado para cada proyecto o actividad. </w:t>
      </w:r>
      <w:r w:rsidRPr="00AF7591">
        <w:rPr>
          <w:rFonts w:ascii="Calibri" w:hAnsi="Calibri"/>
        </w:rPr>
        <w:t>El</w:t>
      </w:r>
      <w:r>
        <w:rPr>
          <w:rFonts w:ascii="Calibri" w:hAnsi="Calibri"/>
        </w:rPr>
        <w:t xml:space="preserve"> o los</w:t>
      </w:r>
      <w:r w:rsidRPr="00AF7591">
        <w:rPr>
          <w:rFonts w:ascii="Calibri" w:hAnsi="Calibri"/>
        </w:rPr>
        <w:t xml:space="preserve"> </w:t>
      </w:r>
      <w:r>
        <w:rPr>
          <w:rFonts w:ascii="Calibri" w:hAnsi="Calibri"/>
        </w:rPr>
        <w:t>informe/s</w:t>
      </w:r>
      <w:r w:rsidRPr="00AF7591">
        <w:rPr>
          <w:rFonts w:ascii="Calibri" w:hAnsi="Calibri"/>
        </w:rPr>
        <w:t xml:space="preserve"> de avance e informe final de los proyectos de investigación cofinanciados debían ser presentados dentro del lapso establecido en los contratos respectivos y utilizando las guías y el formato elaborados para el efecto por el CONACYT, a través de las unidades organizacionales asignadas y de las coordinaciones técnica y de monitoreo del Programa.</w:t>
      </w:r>
    </w:p>
    <w:p w:rsidR="00FE0CEC" w:rsidRDefault="00FE0CEC" w:rsidP="004F0862">
      <w:pPr>
        <w:spacing w:before="200" w:line="276" w:lineRule="auto"/>
        <w:jc w:val="both"/>
        <w:rPr>
          <w:rFonts w:ascii="Calibri" w:hAnsi="Calibri"/>
        </w:rPr>
      </w:pPr>
      <w:r w:rsidRPr="00AF7591">
        <w:rPr>
          <w:rFonts w:ascii="Calibri" w:hAnsi="Calibri"/>
        </w:rPr>
        <w:t xml:space="preserve">Versiones preliminares de estos informes serían presentadas y consideradas previamente a los vencimientos correspondientes, con la finalidad de garantizar la continuidad en el flujo de los fondos y de las actividades. </w:t>
      </w:r>
      <w:r>
        <w:rPr>
          <w:rFonts w:ascii="Calibri" w:hAnsi="Calibri"/>
        </w:rPr>
        <w:t>De esta manera, e</w:t>
      </w:r>
      <w:r w:rsidRPr="007C4A92">
        <w:rPr>
          <w:rFonts w:ascii="Calibri" w:hAnsi="Calibri"/>
        </w:rPr>
        <w:t xml:space="preserve">l CONACYT </w:t>
      </w:r>
      <w:r>
        <w:rPr>
          <w:rFonts w:ascii="Calibri" w:hAnsi="Calibri"/>
        </w:rPr>
        <w:t>podría verificar</w:t>
      </w:r>
      <w:r w:rsidRPr="007C4A92">
        <w:rPr>
          <w:rFonts w:ascii="Calibri" w:hAnsi="Calibri"/>
        </w:rPr>
        <w:t xml:space="preserve"> el cumplimiento de los compromisos asumidos por el ejecutor y el (los) beneficiario(s) para su aprobación final</w:t>
      </w:r>
      <w:r>
        <w:rPr>
          <w:rFonts w:ascii="Calibri" w:hAnsi="Calibri"/>
        </w:rPr>
        <w:t xml:space="preserve"> y el banco</w:t>
      </w:r>
      <w:r w:rsidRPr="007C4A92">
        <w:rPr>
          <w:rFonts w:ascii="Calibri" w:hAnsi="Calibri"/>
        </w:rPr>
        <w:t xml:space="preserve"> realizar revisiones ex post para el control de los informes técnicos y rendiciones de gastos. </w:t>
      </w:r>
    </w:p>
    <w:p w:rsidR="00FE0CEC" w:rsidRPr="007C4A92" w:rsidRDefault="00FE0CEC" w:rsidP="004F0862">
      <w:pPr>
        <w:spacing w:before="200" w:line="276" w:lineRule="auto"/>
        <w:jc w:val="both"/>
        <w:rPr>
          <w:rFonts w:ascii="Calibri" w:hAnsi="Calibri"/>
        </w:rPr>
      </w:pPr>
      <w:r>
        <w:rPr>
          <w:rFonts w:ascii="Calibri" w:hAnsi="Calibri"/>
        </w:rPr>
        <w:lastRenderedPageBreak/>
        <w:t xml:space="preserve">Durante las visitas se observó que en muchos casos, si bien los informes finales ya se habían enviado, el CONACYT se demoró en el cierre de los proyectos. </w:t>
      </w:r>
    </w:p>
    <w:p w:rsidR="00777092" w:rsidRPr="00777092" w:rsidRDefault="00FE0CEC" w:rsidP="004F0862">
      <w:pPr>
        <w:spacing w:before="200" w:line="276" w:lineRule="auto"/>
        <w:jc w:val="both"/>
        <w:rPr>
          <w:rFonts w:ascii="Calibri" w:hAnsi="Calibri"/>
          <w:b/>
        </w:rPr>
      </w:pPr>
      <w:r w:rsidRPr="00777092">
        <w:rPr>
          <w:rFonts w:ascii="Calibri" w:hAnsi="Calibri"/>
          <w:b/>
        </w:rPr>
        <w:t>Incumplimientos Contractuales</w:t>
      </w:r>
    </w:p>
    <w:p w:rsidR="00FE0CEC" w:rsidRPr="00E01B35" w:rsidRDefault="00FE0CEC" w:rsidP="004F0862">
      <w:pPr>
        <w:spacing w:before="200" w:line="276" w:lineRule="auto"/>
        <w:jc w:val="both"/>
        <w:rPr>
          <w:rFonts w:ascii="Calibri" w:hAnsi="Calibri"/>
        </w:rPr>
      </w:pPr>
      <w:r>
        <w:rPr>
          <w:rFonts w:ascii="Calibri" w:hAnsi="Calibri"/>
        </w:rPr>
        <w:t>En</w:t>
      </w:r>
      <w:r w:rsidRPr="00E01B35">
        <w:rPr>
          <w:rFonts w:ascii="Calibri" w:hAnsi="Calibri"/>
        </w:rPr>
        <w:t xml:space="preserve"> el caso de no cumplirse debidamente los compromisos asumidos,</w:t>
      </w:r>
      <w:r>
        <w:rPr>
          <w:rFonts w:ascii="Calibri" w:hAnsi="Calibri"/>
        </w:rPr>
        <w:t xml:space="preserve"> el CONACYT podía realizar </w:t>
      </w:r>
      <w:r w:rsidRPr="00E01B35">
        <w:rPr>
          <w:rFonts w:ascii="Calibri" w:hAnsi="Calibri"/>
        </w:rPr>
        <w:t xml:space="preserve">acciones para </w:t>
      </w:r>
      <w:r>
        <w:rPr>
          <w:rFonts w:ascii="Calibri" w:hAnsi="Calibri"/>
        </w:rPr>
        <w:t xml:space="preserve">la </w:t>
      </w:r>
      <w:r w:rsidRPr="00E01B35">
        <w:rPr>
          <w:rFonts w:ascii="Calibri" w:hAnsi="Calibri"/>
        </w:rPr>
        <w:t xml:space="preserve">corrección, intervención o cancelación </w:t>
      </w:r>
      <w:r>
        <w:rPr>
          <w:rFonts w:ascii="Calibri" w:hAnsi="Calibri"/>
        </w:rPr>
        <w:t xml:space="preserve">del proyecto </w:t>
      </w:r>
      <w:r w:rsidRPr="00E01B35">
        <w:rPr>
          <w:rFonts w:ascii="Calibri" w:hAnsi="Calibri"/>
        </w:rPr>
        <w:t>antes del plazo estipulado en el contrato. De no entregarse o ser aplazado</w:t>
      </w:r>
      <w:r>
        <w:rPr>
          <w:rFonts w:ascii="Calibri" w:hAnsi="Calibri"/>
        </w:rPr>
        <w:t>s</w:t>
      </w:r>
      <w:r w:rsidRPr="00E01B35">
        <w:rPr>
          <w:rFonts w:ascii="Calibri" w:hAnsi="Calibri"/>
        </w:rPr>
        <w:t xml:space="preserve"> el Informe final, y com</w:t>
      </w:r>
      <w:r>
        <w:rPr>
          <w:rFonts w:ascii="Calibri" w:hAnsi="Calibri"/>
        </w:rPr>
        <w:t>probada las faltas, el CONACYT podía sancionar a los proyectos beneficiarios</w:t>
      </w:r>
      <w:r w:rsidRPr="00E01B35">
        <w:rPr>
          <w:rFonts w:ascii="Calibri" w:hAnsi="Calibri"/>
        </w:rPr>
        <w:t>.</w:t>
      </w:r>
    </w:p>
    <w:p w:rsidR="00FE0CEC" w:rsidRPr="00D51AC3" w:rsidRDefault="00FE0CEC" w:rsidP="004F0862">
      <w:pPr>
        <w:spacing w:before="200" w:line="276" w:lineRule="auto"/>
        <w:jc w:val="both"/>
        <w:rPr>
          <w:rFonts w:ascii="Calibri" w:hAnsi="Calibri" w:cs="Calibri"/>
          <w:b/>
          <w:lang w:val="es-ES_tradnl"/>
        </w:rPr>
      </w:pPr>
      <w:r w:rsidRPr="00D51AC3">
        <w:rPr>
          <w:rFonts w:ascii="Calibri" w:hAnsi="Calibri" w:cs="Calibri"/>
          <w:b/>
          <w:lang w:val="es-ES_tradnl"/>
        </w:rPr>
        <w:t>Principales conclusiones y aspectos a mejorar</w:t>
      </w:r>
    </w:p>
    <w:p w:rsidR="00FE0CEC" w:rsidRDefault="00FE0CEC" w:rsidP="004F0862">
      <w:pPr>
        <w:spacing w:before="200" w:line="276" w:lineRule="auto"/>
        <w:jc w:val="both"/>
        <w:rPr>
          <w:rFonts w:ascii="Calibri" w:hAnsi="Calibri"/>
        </w:rPr>
      </w:pPr>
      <w:r w:rsidRPr="00E3700C">
        <w:rPr>
          <w:rFonts w:ascii="Calibri" w:hAnsi="Calibri"/>
        </w:rPr>
        <w:t xml:space="preserve">El Programa estructuró sus actividades en procesos de trabajo que son los habituales para este tipo de iniciativas. </w:t>
      </w:r>
    </w:p>
    <w:p w:rsidR="00FE0CEC" w:rsidRPr="00E3700C" w:rsidRDefault="00FE0CEC" w:rsidP="004F0862">
      <w:pPr>
        <w:spacing w:before="200" w:line="276" w:lineRule="auto"/>
        <w:jc w:val="both"/>
        <w:rPr>
          <w:rFonts w:ascii="Calibri" w:hAnsi="Calibri"/>
        </w:rPr>
      </w:pPr>
      <w:r w:rsidRPr="00AF7591">
        <w:rPr>
          <w:rFonts w:ascii="Calibri" w:hAnsi="Calibri"/>
        </w:rPr>
        <w:t>En general, puede decirse que la valoración de los procesos ha sido muy positiva.</w:t>
      </w:r>
      <w:r>
        <w:rPr>
          <w:rFonts w:ascii="Calibri" w:hAnsi="Calibri"/>
        </w:rPr>
        <w:t xml:space="preserve"> La percepción de los beneficiarios, en la mayoría de los componentes y de acuerdo a la información recogida durante el trabajo de campo, ha sido positiva en lo que refiere a transparencia, difusión, posibilidad de hacer consultas y apoyo del CONACYT. Los aspectos a mejorar tienen que ver con cuestiones de tipo administrativo que podrían resolverse con la incorporación de mayor personal y con algunos factores </w:t>
      </w:r>
      <w:r w:rsidR="00DC05B4">
        <w:rPr>
          <w:rFonts w:ascii="Calibri" w:hAnsi="Calibri"/>
        </w:rPr>
        <w:t xml:space="preserve">que exceden a las funciones (al </w:t>
      </w:r>
      <w:r>
        <w:rPr>
          <w:rFonts w:ascii="Calibri" w:hAnsi="Calibri"/>
        </w:rPr>
        <w:t>menos aquellas que</w:t>
      </w:r>
      <w:r w:rsidR="00DC05B4">
        <w:rPr>
          <w:rFonts w:ascii="Calibri" w:hAnsi="Calibri"/>
        </w:rPr>
        <w:t xml:space="preserve"> se designan hasta el momento) de</w:t>
      </w:r>
      <w:r>
        <w:rPr>
          <w:rFonts w:ascii="Calibri" w:hAnsi="Calibri"/>
        </w:rPr>
        <w:t>l CONACYT. Es necesario destacar, que el PROCIT fue una de las primeras experiencias de este tipo de financiamiento, y por lo tanto, es importante mantener y destacar los aspectos positivos de los procesos implementados e incorporar conocimiento</w:t>
      </w:r>
      <w:r w:rsidR="00DC05B4">
        <w:rPr>
          <w:rFonts w:ascii="Calibri" w:hAnsi="Calibri"/>
        </w:rPr>
        <w:t>s</w:t>
      </w:r>
      <w:r>
        <w:rPr>
          <w:rFonts w:ascii="Calibri" w:hAnsi="Calibri"/>
        </w:rPr>
        <w:t xml:space="preserve"> para mejorar los aspectos menos sobresalientes. De acuerdo a la experiencia del equipo consultor en otros procesos similares en otros países de la región se puede decir que los resultados concretos y mejoras en los procesos comienzan a verse tras un proceso continuo de aprendizaje que debería ser fomentado a través de nuevos fondos.  </w:t>
      </w:r>
    </w:p>
    <w:p w:rsidR="00FE0CEC" w:rsidRPr="00E9312C" w:rsidRDefault="00FE0CEC" w:rsidP="004F0862">
      <w:pPr>
        <w:spacing w:before="200" w:line="276" w:lineRule="auto"/>
        <w:jc w:val="both"/>
        <w:rPr>
          <w:rFonts w:ascii="Calibri" w:hAnsi="Calibri"/>
        </w:rPr>
      </w:pPr>
      <w:r w:rsidRPr="00E3700C">
        <w:rPr>
          <w:rFonts w:ascii="Calibri" w:hAnsi="Calibri"/>
        </w:rPr>
        <w:t xml:space="preserve">Desde el punto de vista cuantitativo, los procesos tendieron a entregar, para cada </w:t>
      </w:r>
      <w:r w:rsidRPr="00E9312C">
        <w:rPr>
          <w:rFonts w:ascii="Calibri" w:hAnsi="Calibri"/>
        </w:rPr>
        <w:t xml:space="preserve">instrumento del Programa, la cantidad de productos esperados. Las características propias de algunos grupos objetivos como investigadores, becarios y facultades facilitaron el trabajo del Programa. Los principales desafíos se asociaron con el subcomponente de apoyo a la innovación. En particular, se registraron inconvenientes para identificar la cantidad suficiente de empresas interesadas que asegurara disponer de un lote amplio y diversificado de proyectos de innovación. Mientras en buena parte de América Latina el trabajo con empresas innovadoras es el nicho más dinámico de la política de desarrollo productivo, lo ocurrido en el Programa indica que se requiere ajustar los procesos iniciales del ciclo (difusión y preparación/formulación de proyectos). Asimismo, es posible que </w:t>
      </w:r>
      <w:r w:rsidRPr="00E9312C">
        <w:rPr>
          <w:rFonts w:ascii="Calibri" w:hAnsi="Calibri"/>
        </w:rPr>
        <w:lastRenderedPageBreak/>
        <w:t>exista la necesidad de fortalecer el gerenciamiento de los procesos de trabajo vinculados a innovación (un área de trabajo novedosa para el país).</w:t>
      </w:r>
    </w:p>
    <w:p w:rsidR="00FE0CEC" w:rsidRPr="00E9312C" w:rsidRDefault="00FE0CEC" w:rsidP="004F0862">
      <w:pPr>
        <w:spacing w:before="200" w:line="276" w:lineRule="auto"/>
        <w:jc w:val="both"/>
        <w:rPr>
          <w:rFonts w:ascii="Calibri" w:hAnsi="Calibri"/>
        </w:rPr>
      </w:pPr>
      <w:r w:rsidRPr="00E9312C">
        <w:rPr>
          <w:rFonts w:ascii="Calibri" w:hAnsi="Calibri"/>
        </w:rPr>
        <w:t>Luego de una etapa en que los procesos de trabajo se han mostrado adecuados para entregar los niveles de productos requeridos por el Programa; es posible plantear algunas alternativas de mejora que permitan lograr una mayor escala con plazos menores de entrega.</w:t>
      </w:r>
    </w:p>
    <w:p w:rsidR="00FE0CEC" w:rsidRPr="00E9312C" w:rsidRDefault="00FE0CEC" w:rsidP="004F0862">
      <w:pPr>
        <w:spacing w:before="200" w:line="276" w:lineRule="auto"/>
        <w:jc w:val="both"/>
        <w:rPr>
          <w:rFonts w:ascii="Calibri" w:hAnsi="Calibri"/>
        </w:rPr>
      </w:pPr>
      <w:r w:rsidRPr="00E9312C">
        <w:rPr>
          <w:rFonts w:ascii="Calibri" w:hAnsi="Calibri"/>
        </w:rPr>
        <w:t xml:space="preserve">Existen evidencias del tipo de medio de difusión que logra mayor impacto en cada grupo objetivo; por lo tanto, la estrategia de difusión debería desarrollar instrumentos específicos para becarios, empresas innovadoras, estudiantes de posgrado, investigadores y entidades de educación superior. Aunque las nuevas tecnologías funcionan para todos los grupos, las empresas innovadoras manifiestan que los eventos de CONACYT son el medio de mayor impacto. </w:t>
      </w:r>
    </w:p>
    <w:p w:rsidR="00FE0CEC" w:rsidRPr="00E9312C" w:rsidRDefault="00FE0CEC" w:rsidP="004F0862">
      <w:pPr>
        <w:spacing w:before="200" w:line="276" w:lineRule="auto"/>
        <w:jc w:val="both"/>
        <w:rPr>
          <w:rFonts w:ascii="Calibri" w:hAnsi="Calibri"/>
        </w:rPr>
      </w:pPr>
      <w:r w:rsidRPr="00E9312C">
        <w:rPr>
          <w:rFonts w:ascii="Calibri" w:hAnsi="Calibri"/>
        </w:rPr>
        <w:t>La evaluación de proyectos por medio de expertos internacionales ha sido un desafío importante para el Programa. Corresponde evaluar si mayores niveles de actividad (más planes para evaluar) y un sistema de ventanilla abierta permanente demandarían ajustes a este mecanismo.</w:t>
      </w:r>
    </w:p>
    <w:p w:rsidR="00FE0CEC" w:rsidRPr="00E9312C" w:rsidRDefault="00FE0CEC" w:rsidP="004F0862">
      <w:pPr>
        <w:spacing w:before="200" w:line="276" w:lineRule="auto"/>
        <w:jc w:val="both"/>
        <w:rPr>
          <w:rFonts w:ascii="Calibri" w:hAnsi="Calibri"/>
        </w:rPr>
      </w:pPr>
      <w:r w:rsidRPr="00E9312C">
        <w:rPr>
          <w:rFonts w:ascii="Calibri" w:hAnsi="Calibri"/>
        </w:rPr>
        <w:t xml:space="preserve">Asimismo, para contrarrestar el impacto de las normativas y participación de entidades nacionales en el proceso de entrega de beneficios, se podría analizar si es posible simplificar y mejorar las actividades internas de CONACYT.  </w:t>
      </w:r>
    </w:p>
    <w:p w:rsidR="00FE0CEC" w:rsidRPr="00E3700C" w:rsidRDefault="00FE0CEC" w:rsidP="004F0862">
      <w:pPr>
        <w:spacing w:before="200" w:line="276" w:lineRule="auto"/>
        <w:jc w:val="both"/>
        <w:rPr>
          <w:rFonts w:ascii="Calibri" w:hAnsi="Calibri"/>
        </w:rPr>
      </w:pPr>
      <w:r w:rsidRPr="00E9312C">
        <w:rPr>
          <w:rFonts w:ascii="Calibri" w:hAnsi="Calibri"/>
        </w:rPr>
        <w:t>De manera transversal a todos los procesos, una alternativa que debe considerarse es introducir un sistema integrado de gestión que permita administrar convocatorias y sistemas de ventanilla permanente. Esta herramienta debe ser concebida como un medio interno para facilitar la gestión, pero también como un canal de comunicación y trabajo on line con los diferentes beneficiarios e interesados. En particular, un sistema de este tipo debería permitir:</w:t>
      </w:r>
    </w:p>
    <w:p w:rsidR="00FE0CEC" w:rsidRPr="00E3700C" w:rsidRDefault="00FE0CEC" w:rsidP="004F0862">
      <w:pPr>
        <w:pStyle w:val="ListParagraph"/>
        <w:numPr>
          <w:ilvl w:val="0"/>
          <w:numId w:val="27"/>
        </w:numPr>
        <w:spacing w:before="200" w:line="276" w:lineRule="auto"/>
        <w:ind w:left="720"/>
        <w:contextualSpacing w:val="0"/>
        <w:jc w:val="both"/>
        <w:rPr>
          <w:rFonts w:ascii="Calibri" w:hAnsi="Calibri"/>
        </w:rPr>
      </w:pPr>
      <w:r w:rsidRPr="00E3700C">
        <w:rPr>
          <w:rFonts w:ascii="Calibri" w:hAnsi="Calibri"/>
        </w:rPr>
        <w:t>La presentación de propuestas de proyectos y solicitudes vía formularios on line (las evalu</w:t>
      </w:r>
      <w:r w:rsidR="00DC05B4">
        <w:rPr>
          <w:rFonts w:ascii="Calibri" w:hAnsi="Calibri"/>
        </w:rPr>
        <w:t xml:space="preserve">aciones preliminares y finales </w:t>
      </w:r>
      <w:r w:rsidRPr="00E3700C">
        <w:rPr>
          <w:rFonts w:ascii="Calibri" w:hAnsi="Calibri"/>
        </w:rPr>
        <w:t>constituyen actividades que consumen más cantidad de tiempo en todo el proceso)</w:t>
      </w:r>
      <w:r>
        <w:rPr>
          <w:rFonts w:ascii="Calibri" w:hAnsi="Calibri"/>
        </w:rPr>
        <w:t>. Dado que la legislación exige documentos firmados se podría incorporar la opción de firma digital.</w:t>
      </w:r>
    </w:p>
    <w:p w:rsidR="00FE0CEC" w:rsidRPr="00E3700C" w:rsidRDefault="00FE0CEC" w:rsidP="004F0862">
      <w:pPr>
        <w:pStyle w:val="ListParagraph"/>
        <w:numPr>
          <w:ilvl w:val="0"/>
          <w:numId w:val="27"/>
        </w:numPr>
        <w:spacing w:before="200" w:line="276" w:lineRule="auto"/>
        <w:ind w:left="720"/>
        <w:contextualSpacing w:val="0"/>
        <w:jc w:val="both"/>
        <w:rPr>
          <w:rFonts w:ascii="Calibri" w:hAnsi="Calibri"/>
        </w:rPr>
      </w:pPr>
      <w:r w:rsidRPr="00E3700C">
        <w:rPr>
          <w:rFonts w:ascii="Calibri" w:hAnsi="Calibri"/>
        </w:rPr>
        <w:t xml:space="preserve">El </w:t>
      </w:r>
      <w:r>
        <w:rPr>
          <w:rFonts w:ascii="Calibri" w:hAnsi="Calibri"/>
        </w:rPr>
        <w:t>registro de interesados para</w:t>
      </w:r>
      <w:r w:rsidRPr="00E3700C">
        <w:rPr>
          <w:rFonts w:ascii="Calibri" w:hAnsi="Calibri"/>
        </w:rPr>
        <w:t xml:space="preserve"> simplificar o reemplazar la necesidad actual de recibir documentos impresos y firmados por los aplicantes (procesos de registro</w:t>
      </w:r>
      <w:r>
        <w:rPr>
          <w:rFonts w:ascii="Calibri" w:hAnsi="Calibri"/>
        </w:rPr>
        <w:t xml:space="preserve"> electrónico) y validación de</w:t>
      </w:r>
      <w:r w:rsidRPr="00E3700C">
        <w:rPr>
          <w:rFonts w:ascii="Calibri" w:hAnsi="Calibri"/>
        </w:rPr>
        <w:t xml:space="preserve"> toda la información introducida.</w:t>
      </w:r>
    </w:p>
    <w:p w:rsidR="00FE0CEC" w:rsidRPr="00E3700C" w:rsidRDefault="00FE0CEC" w:rsidP="004F0862">
      <w:pPr>
        <w:pStyle w:val="ListParagraph"/>
        <w:numPr>
          <w:ilvl w:val="0"/>
          <w:numId w:val="27"/>
        </w:numPr>
        <w:spacing w:before="200" w:line="276" w:lineRule="auto"/>
        <w:ind w:left="720"/>
        <w:contextualSpacing w:val="0"/>
        <w:jc w:val="both"/>
        <w:rPr>
          <w:rFonts w:ascii="Calibri" w:hAnsi="Calibri"/>
        </w:rPr>
      </w:pPr>
      <w:r w:rsidRPr="00E3700C">
        <w:rPr>
          <w:rFonts w:ascii="Calibri" w:hAnsi="Calibri"/>
        </w:rPr>
        <w:lastRenderedPageBreak/>
        <w:t>Informes de Avance y Rendición de Cuentas, necesarios para justificar el financiamiento concedido</w:t>
      </w:r>
      <w:r>
        <w:rPr>
          <w:rFonts w:ascii="Calibri" w:hAnsi="Calibri"/>
        </w:rPr>
        <w:t>. E</w:t>
      </w:r>
      <w:r w:rsidRPr="00E3700C">
        <w:rPr>
          <w:rFonts w:ascii="Calibri" w:hAnsi="Calibri"/>
        </w:rPr>
        <w:t>stas rendiciones pueden ser introducidas de manera individual (becarios) o mediante un formulario prediseñado de carga masiva que puede contener la justificación de gastos de todos los proyectos de un mismo organismo beneficiario (universidades, empresas)</w:t>
      </w:r>
      <w:r>
        <w:rPr>
          <w:rFonts w:ascii="Calibri" w:hAnsi="Calibri"/>
        </w:rPr>
        <w:t>.</w:t>
      </w:r>
    </w:p>
    <w:p w:rsidR="00FE0CEC" w:rsidRDefault="00FE0CEC" w:rsidP="004F0862">
      <w:pPr>
        <w:pStyle w:val="ListParagraph"/>
        <w:numPr>
          <w:ilvl w:val="0"/>
          <w:numId w:val="27"/>
        </w:numPr>
        <w:spacing w:before="200" w:line="276" w:lineRule="auto"/>
        <w:ind w:left="720"/>
        <w:contextualSpacing w:val="0"/>
        <w:jc w:val="both"/>
        <w:rPr>
          <w:rFonts w:ascii="Calibri" w:hAnsi="Calibri"/>
        </w:rPr>
      </w:pPr>
      <w:r w:rsidRPr="00E3700C">
        <w:rPr>
          <w:rFonts w:ascii="Calibri" w:hAnsi="Calibri"/>
        </w:rPr>
        <w:t>Informes de ejecución y seguim</w:t>
      </w:r>
      <w:r>
        <w:rPr>
          <w:rFonts w:ascii="Calibri" w:hAnsi="Calibri"/>
        </w:rPr>
        <w:t xml:space="preserve">iento de cada proyecto, lo que </w:t>
      </w:r>
      <w:r w:rsidRPr="00E3700C">
        <w:rPr>
          <w:rFonts w:ascii="Calibri" w:hAnsi="Calibri"/>
        </w:rPr>
        <w:t>facilitaría notablemente los procesos de desembolsos, la administración encontrará unificación y estandarización en la recepción de informes, eliminando la recepción individual y en forma impresa.</w:t>
      </w:r>
    </w:p>
    <w:p w:rsidR="00FE0CEC" w:rsidRDefault="00FE0CEC" w:rsidP="004F0862">
      <w:pPr>
        <w:pStyle w:val="ListParagraph"/>
        <w:numPr>
          <w:ilvl w:val="0"/>
          <w:numId w:val="27"/>
        </w:numPr>
        <w:spacing w:before="200" w:line="276" w:lineRule="auto"/>
        <w:ind w:left="720"/>
        <w:contextualSpacing w:val="0"/>
        <w:jc w:val="both"/>
        <w:rPr>
          <w:rFonts w:ascii="Calibri" w:hAnsi="Calibri"/>
        </w:rPr>
      </w:pPr>
      <w:r>
        <w:rPr>
          <w:rFonts w:ascii="Calibri" w:hAnsi="Calibri"/>
        </w:rPr>
        <w:t>La presentación de resultados de las convocatorias y las evaluaciones correspondientes. Si se realizaran a través de la creación de una cuenta con nombre de usuario y contraseña se acortarían los tiempos y se generaría confidencialidad en el proceso. Asimismo</w:t>
      </w:r>
      <w:r w:rsidRPr="00A162AD">
        <w:rPr>
          <w:rFonts w:ascii="Calibri" w:hAnsi="Calibri"/>
        </w:rPr>
        <w:t>, se debería considerar la creación de un área interna de control: una unidad de apoyo que promueva el proceso de evaluación y seguimiento institucional.</w:t>
      </w:r>
    </w:p>
    <w:p w:rsidR="00FE0CEC" w:rsidRDefault="00DC05B4" w:rsidP="004F0862">
      <w:pPr>
        <w:spacing w:before="200" w:line="276" w:lineRule="auto"/>
        <w:jc w:val="both"/>
        <w:rPr>
          <w:rFonts w:ascii="Calibri" w:hAnsi="Calibri"/>
        </w:rPr>
      </w:pPr>
      <w:r>
        <w:rPr>
          <w:rFonts w:ascii="Calibri" w:hAnsi="Calibri"/>
        </w:rPr>
        <w:t>Se recomienda re-</w:t>
      </w:r>
      <w:r w:rsidR="00FE0CEC">
        <w:rPr>
          <w:rFonts w:ascii="Calibri" w:hAnsi="Calibri"/>
        </w:rPr>
        <w:t>evaluar los criterios de las bases para que sean claros y específicos de cada componente. En este sentido, las evaluaciones deberían coincidir con los criterios establecidos en las bases y las mismas deben establecer indicadores claros dentro de cada criterio. Además pueden considerarse requisitos “excluyentes” y “no excluyentes” para cada componente en particular.</w:t>
      </w:r>
    </w:p>
    <w:p w:rsidR="00FE0CEC" w:rsidRDefault="00FE0CEC" w:rsidP="004F0862">
      <w:pPr>
        <w:spacing w:before="200" w:line="276" w:lineRule="auto"/>
        <w:jc w:val="both"/>
        <w:rPr>
          <w:rFonts w:ascii="Calibri" w:hAnsi="Calibri"/>
        </w:rPr>
      </w:pPr>
      <w:r>
        <w:rPr>
          <w:rFonts w:ascii="Calibri" w:hAnsi="Calibri"/>
        </w:rPr>
        <w:t xml:space="preserve">Por último, deberían establecerse y registrarse por escrito en el reglamento operativo los tiempos estipulados para cada etapa del proceso para poder generar una planificación adecuada y ajustarse a los plazos establecidos. Si bien, como se mencionó anteriormente, los fondos del programa se ejecutaron casi en su totalidad y no hubo mayores demoras en los procesos es importante que estos períodos se establezcan previamente y se registren para poder obtener datos objetivos de los tiempos de ejecución. </w:t>
      </w:r>
    </w:p>
    <w:p w:rsidR="00FE0CEC" w:rsidRDefault="004F0862" w:rsidP="004F0862">
      <w:pPr>
        <w:spacing w:before="200" w:line="276" w:lineRule="auto"/>
        <w:jc w:val="both"/>
        <w:rPr>
          <w:rFonts w:ascii="Calibri" w:hAnsi="Calibri" w:cs="Calibri"/>
        </w:rPr>
      </w:pPr>
      <w:r>
        <w:rPr>
          <w:rFonts w:ascii="Calibri" w:hAnsi="Calibri"/>
        </w:rPr>
        <w:t xml:space="preserve">A continuación </w:t>
      </w:r>
      <w:r w:rsidR="00FE0CEC">
        <w:rPr>
          <w:rFonts w:ascii="Calibri" w:hAnsi="Calibri"/>
        </w:rPr>
        <w:t>se presenta una línea que indica gráficamente las instancias o etapas de los procesos de cada componente mostrando algunas de sus particularidades.</w:t>
      </w:r>
    </w:p>
    <w:p w:rsidR="002A3669" w:rsidRDefault="002A3669" w:rsidP="004E1B77">
      <w:pPr>
        <w:spacing w:before="120" w:after="120" w:line="288" w:lineRule="auto"/>
        <w:jc w:val="both"/>
        <w:rPr>
          <w:rFonts w:ascii="Calibri" w:hAnsi="Calibri" w:cs="Calibri"/>
        </w:rPr>
        <w:sectPr w:rsidR="002A3669" w:rsidSect="00E95ABE">
          <w:headerReference w:type="default" r:id="rId70"/>
          <w:type w:val="continuous"/>
          <w:pgSz w:w="12240" w:h="15840"/>
          <w:pgMar w:top="1417" w:right="1701" w:bottom="1417" w:left="1701" w:header="708" w:footer="708" w:gutter="0"/>
          <w:cols w:space="708"/>
          <w:titlePg/>
          <w:docGrid w:linePitch="360"/>
        </w:sectPr>
      </w:pPr>
    </w:p>
    <w:p w:rsidR="00FE0CEC" w:rsidRPr="008066D2" w:rsidRDefault="008066D2" w:rsidP="008066D2">
      <w:pPr>
        <w:spacing w:before="120" w:after="120" w:line="288" w:lineRule="auto"/>
        <w:jc w:val="center"/>
        <w:rPr>
          <w:rFonts w:ascii="Calibri" w:hAnsi="Calibri" w:cs="Calibri"/>
          <w:b/>
        </w:rPr>
      </w:pPr>
      <w:r>
        <w:rPr>
          <w:rFonts w:ascii="Calibri" w:hAnsi="Calibri" w:cs="Calibri"/>
          <w:noProof/>
          <w:lang w:val="es-ES_tradnl" w:eastAsia="es-ES_tradnl"/>
        </w:rPr>
        <w:lastRenderedPageBreak/>
        <w:drawing>
          <wp:anchor distT="0" distB="0" distL="114300" distR="114300" simplePos="0" relativeHeight="251660288" behindDoc="0" locked="0" layoutInCell="1" allowOverlap="1" wp14:anchorId="648AC6C8" wp14:editId="3AF8DE51">
            <wp:simplePos x="0" y="0"/>
            <wp:positionH relativeFrom="column">
              <wp:posOffset>-285428</wp:posOffset>
            </wp:positionH>
            <wp:positionV relativeFrom="paragraph">
              <wp:posOffset>304638</wp:posOffset>
            </wp:positionV>
            <wp:extent cx="8731250" cy="5022215"/>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procesos.png"/>
                    <pic:cNvPicPr/>
                  </pic:nvPicPr>
                  <pic:blipFill>
                    <a:blip r:embed="rId71">
                      <a:extLst>
                        <a:ext uri="{28A0092B-C50C-407E-A947-70E740481C1C}">
                          <a14:useLocalDpi xmlns:a14="http://schemas.microsoft.com/office/drawing/2010/main" val="0"/>
                        </a:ext>
                      </a:extLst>
                    </a:blip>
                    <a:stretch>
                      <a:fillRect/>
                    </a:stretch>
                  </pic:blipFill>
                  <pic:spPr>
                    <a:xfrm>
                      <a:off x="0" y="0"/>
                      <a:ext cx="8731250" cy="5022215"/>
                    </a:xfrm>
                    <a:prstGeom prst="rect">
                      <a:avLst/>
                    </a:prstGeom>
                  </pic:spPr>
                </pic:pic>
              </a:graphicData>
            </a:graphic>
            <wp14:sizeRelH relativeFrom="page">
              <wp14:pctWidth>0</wp14:pctWidth>
            </wp14:sizeRelH>
            <wp14:sizeRelV relativeFrom="page">
              <wp14:pctHeight>0</wp14:pctHeight>
            </wp14:sizeRelV>
          </wp:anchor>
        </w:drawing>
      </w:r>
      <w:r w:rsidRPr="008066D2">
        <w:rPr>
          <w:rFonts w:ascii="Calibri" w:hAnsi="Calibri" w:cs="Calibri"/>
          <w:b/>
        </w:rPr>
        <w:t>Esquema 6.2. Descripción gráfica de procesos por subcomponente.</w:t>
      </w:r>
    </w:p>
    <w:p w:rsidR="00292BB7" w:rsidRDefault="00292BB7" w:rsidP="004E1B77">
      <w:pPr>
        <w:spacing w:before="120" w:after="120" w:line="288" w:lineRule="auto"/>
        <w:jc w:val="both"/>
        <w:rPr>
          <w:rFonts w:ascii="Calibri" w:hAnsi="Calibri" w:cs="Calibri"/>
        </w:rPr>
      </w:pPr>
    </w:p>
    <w:p w:rsidR="002A3669" w:rsidRDefault="002A3669" w:rsidP="004E1B77">
      <w:pPr>
        <w:spacing w:before="120" w:after="120" w:line="288" w:lineRule="auto"/>
        <w:jc w:val="both"/>
        <w:rPr>
          <w:rFonts w:ascii="Calibri" w:hAnsi="Calibri" w:cs="Calibri"/>
        </w:rPr>
      </w:pPr>
    </w:p>
    <w:p w:rsidR="00292BB7" w:rsidRDefault="00292BB7" w:rsidP="00292BB7">
      <w:pPr>
        <w:spacing w:before="120" w:after="120" w:line="288" w:lineRule="auto"/>
        <w:ind w:left="-426"/>
        <w:jc w:val="both"/>
        <w:rPr>
          <w:rFonts w:ascii="Calibri" w:hAnsi="Calibri" w:cs="Calibri"/>
        </w:rPr>
      </w:pPr>
    </w:p>
    <w:p w:rsidR="00292BB7" w:rsidRDefault="00292BB7" w:rsidP="00292BB7">
      <w:pPr>
        <w:spacing w:before="120" w:after="120" w:line="288" w:lineRule="auto"/>
        <w:ind w:left="-426"/>
        <w:jc w:val="both"/>
        <w:rPr>
          <w:rFonts w:ascii="Calibri" w:hAnsi="Calibri" w:cs="Calibri"/>
        </w:rPr>
      </w:pPr>
    </w:p>
    <w:p w:rsidR="008066D2" w:rsidRDefault="008066D2" w:rsidP="00292BB7">
      <w:pPr>
        <w:spacing w:before="120" w:after="120" w:line="288" w:lineRule="auto"/>
        <w:ind w:left="-426"/>
        <w:jc w:val="both"/>
        <w:rPr>
          <w:rFonts w:ascii="Calibri" w:hAnsi="Calibri" w:cs="Calibri"/>
        </w:rPr>
      </w:pPr>
    </w:p>
    <w:p w:rsidR="008066D2" w:rsidRDefault="008066D2" w:rsidP="00292BB7">
      <w:pPr>
        <w:spacing w:before="120" w:after="120" w:line="288" w:lineRule="auto"/>
        <w:ind w:left="-426"/>
        <w:jc w:val="both"/>
        <w:rPr>
          <w:rFonts w:ascii="Calibri" w:hAnsi="Calibri" w:cs="Calibri"/>
        </w:rPr>
      </w:pPr>
    </w:p>
    <w:p w:rsidR="008066D2" w:rsidRDefault="008066D2" w:rsidP="00292BB7">
      <w:pPr>
        <w:spacing w:before="120" w:after="120" w:line="288" w:lineRule="auto"/>
        <w:ind w:left="-426"/>
        <w:jc w:val="both"/>
        <w:rPr>
          <w:rFonts w:ascii="Calibri" w:hAnsi="Calibri" w:cs="Calibri"/>
        </w:rPr>
      </w:pPr>
    </w:p>
    <w:p w:rsidR="008066D2" w:rsidRDefault="008066D2" w:rsidP="00292BB7">
      <w:pPr>
        <w:spacing w:before="120" w:after="120" w:line="288" w:lineRule="auto"/>
        <w:ind w:left="-426"/>
        <w:jc w:val="both"/>
        <w:rPr>
          <w:rFonts w:ascii="Calibri" w:hAnsi="Calibri" w:cs="Calibri"/>
        </w:rPr>
      </w:pPr>
    </w:p>
    <w:p w:rsidR="008066D2" w:rsidRDefault="008066D2" w:rsidP="00292BB7">
      <w:pPr>
        <w:spacing w:before="120" w:after="120" w:line="288" w:lineRule="auto"/>
        <w:ind w:left="-426"/>
        <w:jc w:val="both"/>
        <w:rPr>
          <w:rFonts w:ascii="Calibri" w:hAnsi="Calibri" w:cs="Calibri"/>
        </w:rPr>
      </w:pPr>
    </w:p>
    <w:p w:rsidR="008066D2" w:rsidRDefault="008066D2" w:rsidP="00292BB7">
      <w:pPr>
        <w:spacing w:before="120" w:after="120" w:line="288" w:lineRule="auto"/>
        <w:ind w:left="-426"/>
        <w:jc w:val="both"/>
        <w:rPr>
          <w:rFonts w:ascii="Calibri" w:hAnsi="Calibri" w:cs="Calibri"/>
        </w:rPr>
      </w:pPr>
    </w:p>
    <w:p w:rsidR="008066D2" w:rsidRDefault="008066D2" w:rsidP="00292BB7">
      <w:pPr>
        <w:spacing w:before="120" w:after="120" w:line="288" w:lineRule="auto"/>
        <w:ind w:left="-426"/>
        <w:jc w:val="both"/>
        <w:rPr>
          <w:rFonts w:ascii="Calibri" w:hAnsi="Calibri" w:cs="Calibri"/>
        </w:rPr>
      </w:pPr>
    </w:p>
    <w:p w:rsidR="008066D2" w:rsidRDefault="008066D2" w:rsidP="00292BB7">
      <w:pPr>
        <w:spacing w:before="120" w:after="120" w:line="288" w:lineRule="auto"/>
        <w:ind w:left="-426"/>
        <w:jc w:val="both"/>
        <w:rPr>
          <w:rFonts w:ascii="Calibri" w:hAnsi="Calibri" w:cs="Calibri"/>
        </w:rPr>
      </w:pPr>
    </w:p>
    <w:p w:rsidR="008066D2" w:rsidRDefault="008066D2" w:rsidP="00292BB7">
      <w:pPr>
        <w:spacing w:before="120" w:after="120" w:line="288" w:lineRule="auto"/>
        <w:ind w:left="-426"/>
        <w:jc w:val="both"/>
        <w:rPr>
          <w:rFonts w:ascii="Calibri" w:hAnsi="Calibri" w:cs="Calibri"/>
        </w:rPr>
      </w:pPr>
    </w:p>
    <w:p w:rsidR="008066D2" w:rsidRDefault="008066D2" w:rsidP="00292BB7">
      <w:pPr>
        <w:spacing w:before="120" w:after="120" w:line="288" w:lineRule="auto"/>
        <w:ind w:left="-426"/>
        <w:jc w:val="both"/>
        <w:rPr>
          <w:rFonts w:ascii="Calibri" w:hAnsi="Calibri" w:cs="Calibri"/>
        </w:rPr>
      </w:pPr>
    </w:p>
    <w:p w:rsidR="008066D2" w:rsidRDefault="008066D2" w:rsidP="00292BB7">
      <w:pPr>
        <w:spacing w:before="120" w:after="120" w:line="288" w:lineRule="auto"/>
        <w:ind w:left="-426"/>
        <w:jc w:val="both"/>
        <w:rPr>
          <w:rFonts w:ascii="Calibri" w:hAnsi="Calibri" w:cs="Calibri"/>
        </w:rPr>
      </w:pPr>
    </w:p>
    <w:p w:rsidR="008066D2" w:rsidRDefault="008066D2" w:rsidP="00292BB7">
      <w:pPr>
        <w:spacing w:before="120" w:after="120" w:line="288" w:lineRule="auto"/>
        <w:ind w:left="-426"/>
        <w:jc w:val="both"/>
        <w:rPr>
          <w:rFonts w:ascii="Calibri" w:hAnsi="Calibri" w:cs="Calibri"/>
        </w:rPr>
      </w:pPr>
    </w:p>
    <w:p w:rsidR="008066D2" w:rsidRDefault="008066D2" w:rsidP="00292BB7">
      <w:pPr>
        <w:spacing w:before="120" w:after="120" w:line="288" w:lineRule="auto"/>
        <w:ind w:left="-426"/>
        <w:jc w:val="both"/>
        <w:rPr>
          <w:rFonts w:ascii="Calibri" w:hAnsi="Calibri" w:cs="Calibri"/>
        </w:rPr>
      </w:pPr>
    </w:p>
    <w:p w:rsidR="002A3669" w:rsidRPr="00171404" w:rsidRDefault="008066D2" w:rsidP="00171404">
      <w:pPr>
        <w:spacing w:before="120" w:after="120" w:line="288" w:lineRule="auto"/>
        <w:ind w:left="-426"/>
        <w:rPr>
          <w:rFonts w:ascii="Calibri" w:hAnsi="Calibri" w:cs="Calibri"/>
          <w:sz w:val="18"/>
          <w:szCs w:val="18"/>
        </w:rPr>
        <w:sectPr w:rsidR="002A3669" w:rsidRPr="00171404" w:rsidSect="002A3669">
          <w:pgSz w:w="15840" w:h="12240" w:orient="landscape"/>
          <w:pgMar w:top="1701" w:right="1417" w:bottom="1701" w:left="1417" w:header="708" w:footer="708" w:gutter="0"/>
          <w:cols w:space="708"/>
          <w:titlePg/>
          <w:docGrid w:linePitch="360"/>
        </w:sectPr>
      </w:pPr>
      <w:r w:rsidRPr="00171404">
        <w:rPr>
          <w:rFonts w:ascii="Calibri" w:hAnsi="Calibri" w:cs="Calibri"/>
          <w:sz w:val="18"/>
          <w:szCs w:val="18"/>
        </w:rPr>
        <w:t xml:space="preserve">   Fuente: Innovos Group en base a documentos p</w:t>
      </w:r>
      <w:r w:rsidR="00171404">
        <w:rPr>
          <w:rFonts w:ascii="Calibri" w:hAnsi="Calibri" w:cs="Calibri"/>
          <w:sz w:val="18"/>
          <w:szCs w:val="18"/>
        </w:rPr>
        <w:t>roporcionados por CONACYT</w:t>
      </w:r>
    </w:p>
    <w:p w:rsidR="00194918" w:rsidRPr="00194918" w:rsidRDefault="00194918" w:rsidP="002D7EE9">
      <w:pPr>
        <w:pStyle w:val="ListParagraph"/>
        <w:keepNext/>
        <w:numPr>
          <w:ilvl w:val="1"/>
          <w:numId w:val="7"/>
        </w:numPr>
        <w:spacing w:before="240" w:after="240" w:line="276" w:lineRule="auto"/>
        <w:contextualSpacing w:val="0"/>
        <w:jc w:val="both"/>
        <w:outlineLvl w:val="1"/>
        <w:rPr>
          <w:rFonts w:ascii="Arial" w:hAnsi="Arial" w:cs="Arial"/>
          <w:b/>
          <w:bCs/>
          <w:i/>
          <w:iCs/>
          <w:vanish/>
          <w:color w:val="31849B"/>
          <w:sz w:val="22"/>
          <w:szCs w:val="22"/>
          <w:lang w:val="es-ES_tradnl"/>
        </w:rPr>
      </w:pPr>
      <w:bookmarkStart w:id="453" w:name="_Toc370915155"/>
      <w:bookmarkStart w:id="454" w:name="_Toc372633797"/>
      <w:bookmarkStart w:id="455" w:name="_Toc372635412"/>
      <w:bookmarkStart w:id="456" w:name="_Toc372925378"/>
      <w:bookmarkStart w:id="457" w:name="_Toc372928113"/>
      <w:bookmarkStart w:id="458" w:name="_Toc372928420"/>
      <w:bookmarkStart w:id="459" w:name="_Toc372972667"/>
      <w:bookmarkStart w:id="460" w:name="_Toc373246261"/>
      <w:bookmarkStart w:id="461" w:name="_Toc373422266"/>
      <w:bookmarkStart w:id="462" w:name="_Toc373431302"/>
      <w:bookmarkStart w:id="463" w:name="_Toc373434438"/>
      <w:bookmarkStart w:id="464" w:name="_Toc373504013"/>
      <w:bookmarkStart w:id="465" w:name="_Toc373504460"/>
      <w:bookmarkStart w:id="466" w:name="_Toc375091227"/>
      <w:bookmarkStart w:id="467" w:name="_Toc375092807"/>
      <w:bookmarkStart w:id="468" w:name="_Toc375148624"/>
      <w:bookmarkStart w:id="469" w:name="_Toc375150296"/>
      <w:bookmarkStart w:id="470" w:name="_Toc375212007"/>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rsidR="00DF3780" w:rsidRPr="00624526" w:rsidRDefault="00DF3780" w:rsidP="002D7EE9">
      <w:pPr>
        <w:pStyle w:val="Heading2"/>
        <w:numPr>
          <w:ilvl w:val="1"/>
          <w:numId w:val="7"/>
        </w:numPr>
      </w:pPr>
      <w:bookmarkStart w:id="471" w:name="_Toc375212008"/>
      <w:r>
        <w:t>Análisis organizacional</w:t>
      </w:r>
      <w:bookmarkEnd w:id="471"/>
    </w:p>
    <w:p w:rsidR="00D85727" w:rsidRPr="007C3D1E" w:rsidRDefault="007C3D1E" w:rsidP="007C3D1E">
      <w:pPr>
        <w:spacing w:after="200" w:line="276" w:lineRule="auto"/>
        <w:jc w:val="both"/>
        <w:rPr>
          <w:rFonts w:asciiTheme="minorHAnsi" w:hAnsiTheme="minorHAnsi" w:cstheme="minorHAnsi"/>
        </w:rPr>
      </w:pPr>
      <w:r w:rsidRPr="007C3D1E">
        <w:rPr>
          <w:rFonts w:asciiTheme="minorHAnsi" w:hAnsiTheme="minorHAnsi" w:cstheme="minorHAnsi"/>
          <w:bCs/>
        </w:rPr>
        <w:t xml:space="preserve">El </w:t>
      </w:r>
      <w:r>
        <w:rPr>
          <w:rFonts w:asciiTheme="minorHAnsi" w:hAnsiTheme="minorHAnsi" w:cstheme="minorHAnsi"/>
          <w:bCs/>
        </w:rPr>
        <w:t>capítulo III</w:t>
      </w:r>
      <w:r w:rsidRPr="007C3D1E">
        <w:rPr>
          <w:rFonts w:asciiTheme="minorHAnsi" w:hAnsiTheme="minorHAnsi" w:cstheme="minorHAnsi"/>
          <w:bCs/>
        </w:rPr>
        <w:t xml:space="preserve"> del Reglamento Operativo del PROCIT (2010)</w:t>
      </w:r>
      <w:r>
        <w:rPr>
          <w:rFonts w:asciiTheme="minorHAnsi" w:hAnsiTheme="minorHAnsi" w:cstheme="minorHAnsi"/>
          <w:bCs/>
        </w:rPr>
        <w:t>, referido a la organización para la ejecución del Programa</w:t>
      </w:r>
      <w:r w:rsidRPr="007C3D1E">
        <w:rPr>
          <w:rFonts w:asciiTheme="minorHAnsi" w:hAnsiTheme="minorHAnsi" w:cstheme="minorHAnsi"/>
          <w:bCs/>
        </w:rPr>
        <w:t>, en su artículo 6, señala que “e</w:t>
      </w:r>
      <w:r w:rsidR="00D85727" w:rsidRPr="007C3D1E">
        <w:rPr>
          <w:rFonts w:asciiTheme="minorHAnsi" w:hAnsiTheme="minorHAnsi" w:cstheme="minorHAnsi"/>
        </w:rPr>
        <w:t>l programa será ejecutado por CONACYT a través de una estructura organizativa que incluye personal de planta de CONACYT, consulto</w:t>
      </w:r>
      <w:r>
        <w:rPr>
          <w:rFonts w:asciiTheme="minorHAnsi" w:hAnsiTheme="minorHAnsi" w:cstheme="minorHAnsi"/>
        </w:rPr>
        <w:t xml:space="preserve">res contratados, </w:t>
      </w:r>
      <w:r w:rsidR="00D85727" w:rsidRPr="007C3D1E">
        <w:rPr>
          <w:rFonts w:asciiTheme="minorHAnsi" w:hAnsiTheme="minorHAnsi" w:cstheme="minorHAnsi"/>
        </w:rPr>
        <w:t>comités y comisiones conformados por expertos.</w:t>
      </w:r>
      <w:r>
        <w:rPr>
          <w:rFonts w:asciiTheme="minorHAnsi" w:hAnsiTheme="minorHAnsi" w:cstheme="minorHAnsi"/>
        </w:rPr>
        <w:t>”</w:t>
      </w:r>
      <w:r w:rsidR="00D85727" w:rsidRPr="007C3D1E">
        <w:rPr>
          <w:rFonts w:asciiTheme="minorHAnsi" w:hAnsiTheme="minorHAnsi" w:cstheme="minorHAnsi"/>
        </w:rPr>
        <w:t xml:space="preserve"> </w:t>
      </w:r>
      <w:r>
        <w:rPr>
          <w:rFonts w:asciiTheme="minorHAnsi" w:hAnsiTheme="minorHAnsi" w:cstheme="minorHAnsi"/>
        </w:rPr>
        <w:t xml:space="preserve"> Asimismo, asignaba roles y funciones a cada uno de los actores de la estructura organizativa.</w:t>
      </w:r>
    </w:p>
    <w:p w:rsidR="00D85727" w:rsidRPr="007C3D1E" w:rsidRDefault="007C3D1E" w:rsidP="007C3D1E">
      <w:pPr>
        <w:spacing w:after="200" w:line="276" w:lineRule="auto"/>
        <w:jc w:val="both"/>
        <w:rPr>
          <w:rFonts w:asciiTheme="minorHAnsi" w:hAnsiTheme="minorHAnsi" w:cstheme="minorHAnsi"/>
        </w:rPr>
      </w:pPr>
      <w:r w:rsidRPr="007C3D1E">
        <w:rPr>
          <w:rFonts w:asciiTheme="minorHAnsi" w:hAnsiTheme="minorHAnsi" w:cstheme="minorHAnsi"/>
          <w:spacing w:val="-2"/>
        </w:rPr>
        <w:t xml:space="preserve">En primer lugar, el PROCIT estuvo a cargo de un </w:t>
      </w:r>
      <w:r w:rsidR="00D85727" w:rsidRPr="007C3D1E">
        <w:rPr>
          <w:rFonts w:asciiTheme="minorHAnsi" w:hAnsiTheme="minorHAnsi" w:cstheme="minorHAnsi"/>
        </w:rPr>
        <w:t>Director Nacional del Programa</w:t>
      </w:r>
      <w:r w:rsidRPr="007C3D1E">
        <w:rPr>
          <w:rFonts w:asciiTheme="minorHAnsi" w:hAnsiTheme="minorHAnsi" w:cstheme="minorHAnsi"/>
        </w:rPr>
        <w:t xml:space="preserve">, quien tuvo la </w:t>
      </w:r>
      <w:r w:rsidR="00D85727" w:rsidRPr="007C3D1E">
        <w:rPr>
          <w:rFonts w:asciiTheme="minorHAnsi" w:hAnsiTheme="minorHAnsi" w:cstheme="minorHAnsi"/>
        </w:rPr>
        <w:t>vinculación directa con el Banco Interamericano de Desarrollo (BID), la Presidencia de la República (PE) y el Ministerio de Hacienda (MH), así como el relacionamiento permanente con la Gerencia de Proyectos.</w:t>
      </w:r>
    </w:p>
    <w:p w:rsidR="00D85727" w:rsidRPr="007C3D1E" w:rsidRDefault="007C3D1E" w:rsidP="007C3D1E">
      <w:pPr>
        <w:spacing w:after="200" w:line="276" w:lineRule="auto"/>
        <w:jc w:val="both"/>
        <w:rPr>
          <w:rFonts w:asciiTheme="minorHAnsi" w:hAnsiTheme="minorHAnsi" w:cstheme="minorHAnsi"/>
        </w:rPr>
      </w:pPr>
      <w:r w:rsidRPr="007C3D1E">
        <w:rPr>
          <w:rFonts w:asciiTheme="minorHAnsi" w:hAnsiTheme="minorHAnsi" w:cstheme="minorHAnsi"/>
        </w:rPr>
        <w:t>En segunda línea, la G</w:t>
      </w:r>
      <w:r w:rsidR="00D85727" w:rsidRPr="007C3D1E">
        <w:rPr>
          <w:rFonts w:asciiTheme="minorHAnsi" w:hAnsiTheme="minorHAnsi" w:cstheme="minorHAnsi"/>
        </w:rPr>
        <w:t>erencia de Proyectos</w:t>
      </w:r>
      <w:r w:rsidR="00964BAE">
        <w:rPr>
          <w:rFonts w:asciiTheme="minorHAnsi" w:hAnsiTheme="minorHAnsi" w:cstheme="minorHAnsi"/>
        </w:rPr>
        <w:t>, dependiend</w:t>
      </w:r>
      <w:r w:rsidRPr="007C3D1E">
        <w:rPr>
          <w:rFonts w:asciiTheme="minorHAnsi" w:hAnsiTheme="minorHAnsi" w:cstheme="minorHAnsi"/>
        </w:rPr>
        <w:t xml:space="preserve">o del </w:t>
      </w:r>
      <w:r w:rsidR="00D85727" w:rsidRPr="007C3D1E">
        <w:rPr>
          <w:rFonts w:asciiTheme="minorHAnsi" w:hAnsiTheme="minorHAnsi" w:cstheme="minorHAnsi"/>
        </w:rPr>
        <w:t>Director  Nacional</w:t>
      </w:r>
      <w:r w:rsidRPr="007C3D1E">
        <w:rPr>
          <w:rFonts w:asciiTheme="minorHAnsi" w:hAnsiTheme="minorHAnsi" w:cstheme="minorHAnsi"/>
        </w:rPr>
        <w:t>,</w:t>
      </w:r>
      <w:r w:rsidR="00D85727" w:rsidRPr="007C3D1E">
        <w:rPr>
          <w:rFonts w:asciiTheme="minorHAnsi" w:hAnsiTheme="minorHAnsi" w:cstheme="minorHAnsi"/>
        </w:rPr>
        <w:t xml:space="preserve">  es  la responsable  de:  (</w:t>
      </w:r>
      <w:r w:rsidRPr="007C3D1E">
        <w:rPr>
          <w:rFonts w:asciiTheme="minorHAnsi" w:hAnsiTheme="minorHAnsi" w:cstheme="minorHAnsi"/>
        </w:rPr>
        <w:t>i) s</w:t>
      </w:r>
      <w:r w:rsidR="00D85727" w:rsidRPr="007C3D1E">
        <w:rPr>
          <w:rFonts w:asciiTheme="minorHAnsi" w:hAnsiTheme="minorHAnsi" w:cstheme="minorHAnsi"/>
        </w:rPr>
        <w:t>upervisar la marcha general del Programa, manteniendo las relaciones de alto nivel con la Presidencia, el Consejo del CONACYT, Comité Ejecutivo del Programa, Equipo Técnico del Programa y el BID; (ii) gerenciar la interfase entre la estructura permanente del CONACYT y los consultores externos de acuerdo a un esquema matricial de ejecución;(iii) asegurar el adecuado cumplimiento de los procedimientos del BID aplicables para la ejecución de los respectivos componentes, en materia de adquisiciones, contrataciones de consultores y desembolsos; (iv)  gestionar la elaboración, aprobación y difusión de los planes operativos, informes de avance y estados contables y financieros; (v) gestionar las solicitudes de desembolsos; (vi) dirigir y coordinar las tareas del personal asignado a la UEP; (vii) administrar los riesgos del Programa y proponer alternativas de solución cuando estos se presenten; y (viii) impulsar el cumplimiento de la ejecución de las actividades previstas en los informes de seguimiento del Programa.</w:t>
      </w:r>
    </w:p>
    <w:p w:rsidR="00D85727" w:rsidRPr="007C3D1E" w:rsidRDefault="007C3D1E" w:rsidP="007C3D1E">
      <w:pPr>
        <w:spacing w:after="200" w:line="276" w:lineRule="auto"/>
        <w:jc w:val="both"/>
        <w:rPr>
          <w:rFonts w:asciiTheme="minorHAnsi" w:hAnsiTheme="minorHAnsi" w:cstheme="minorHAnsi"/>
        </w:rPr>
      </w:pPr>
      <w:r w:rsidRPr="007C3D1E">
        <w:rPr>
          <w:rFonts w:asciiTheme="minorHAnsi" w:hAnsiTheme="minorHAnsi" w:cstheme="minorHAnsi"/>
        </w:rPr>
        <w:t xml:space="preserve">A su vez, el Director Nacional del programa designó el </w:t>
      </w:r>
      <w:r w:rsidR="00D85727" w:rsidRPr="007C3D1E">
        <w:rPr>
          <w:rFonts w:asciiTheme="minorHAnsi" w:hAnsiTheme="minorHAnsi" w:cstheme="minorHAnsi"/>
        </w:rPr>
        <w:t>Equipo Té</w:t>
      </w:r>
      <w:r w:rsidRPr="007C3D1E">
        <w:rPr>
          <w:rFonts w:asciiTheme="minorHAnsi" w:hAnsiTheme="minorHAnsi" w:cstheme="minorHAnsi"/>
        </w:rPr>
        <w:t>cnico del Programa</w:t>
      </w:r>
      <w:r w:rsidR="00D85727" w:rsidRPr="007C3D1E">
        <w:rPr>
          <w:rFonts w:asciiTheme="minorHAnsi" w:hAnsiTheme="minorHAnsi" w:cstheme="minorHAnsi"/>
        </w:rPr>
        <w:t>, responsable de la coordinación y ejecución de los componentes del Programa. Incluye a los consultores externos (Coordinador</w:t>
      </w:r>
      <w:r w:rsidRPr="007C3D1E">
        <w:rPr>
          <w:rFonts w:asciiTheme="minorHAnsi" w:hAnsiTheme="minorHAnsi" w:cstheme="minorHAnsi"/>
        </w:rPr>
        <w:t>/</w:t>
      </w:r>
      <w:r w:rsidR="00D85727" w:rsidRPr="007C3D1E">
        <w:rPr>
          <w:rFonts w:asciiTheme="minorHAnsi" w:hAnsiTheme="minorHAnsi" w:cstheme="minorHAnsi"/>
        </w:rPr>
        <w:t>a Técnico</w:t>
      </w:r>
      <w:r w:rsidRPr="007C3D1E">
        <w:rPr>
          <w:rFonts w:asciiTheme="minorHAnsi" w:hAnsiTheme="minorHAnsi" w:cstheme="minorHAnsi"/>
        </w:rPr>
        <w:t>/</w:t>
      </w:r>
      <w:r w:rsidR="00D85727" w:rsidRPr="007C3D1E">
        <w:rPr>
          <w:rFonts w:asciiTheme="minorHAnsi" w:hAnsiTheme="minorHAnsi" w:cstheme="minorHAnsi"/>
        </w:rPr>
        <w:t>a</w:t>
      </w:r>
      <w:r w:rsidRPr="007C3D1E">
        <w:rPr>
          <w:rFonts w:asciiTheme="minorHAnsi" w:hAnsiTheme="minorHAnsi" w:cstheme="minorHAnsi"/>
        </w:rPr>
        <w:t xml:space="preserve"> de Proyectos, Coordinador/</w:t>
      </w:r>
      <w:r w:rsidR="00D85727" w:rsidRPr="007C3D1E">
        <w:rPr>
          <w:rFonts w:asciiTheme="minorHAnsi" w:hAnsiTheme="minorHAnsi" w:cstheme="minorHAnsi"/>
        </w:rPr>
        <w:t>a de Relaciones Interinstitucionales y Oficiales de Proyectos) y al personal d</w:t>
      </w:r>
      <w:r w:rsidRPr="007C3D1E">
        <w:rPr>
          <w:rFonts w:asciiTheme="minorHAnsi" w:hAnsiTheme="minorHAnsi" w:cstheme="minorHAnsi"/>
        </w:rPr>
        <w:t>e planta de CONACYT (Secretario/</w:t>
      </w:r>
      <w:r w:rsidR="00D85727" w:rsidRPr="007C3D1E">
        <w:rPr>
          <w:rFonts w:asciiTheme="minorHAnsi" w:hAnsiTheme="minorHAnsi" w:cstheme="minorHAnsi"/>
        </w:rPr>
        <w:t>a</w:t>
      </w:r>
      <w:r w:rsidRPr="007C3D1E">
        <w:rPr>
          <w:rFonts w:asciiTheme="minorHAnsi" w:hAnsiTheme="minorHAnsi" w:cstheme="minorHAnsi"/>
        </w:rPr>
        <w:t xml:space="preserve"> Ejecutivo/</w:t>
      </w:r>
      <w:r w:rsidR="00D85727" w:rsidRPr="007C3D1E">
        <w:rPr>
          <w:rFonts w:asciiTheme="minorHAnsi" w:hAnsiTheme="minorHAnsi" w:cstheme="minorHAnsi"/>
        </w:rPr>
        <w:t>a Ciencia y Tecnología, Director</w:t>
      </w:r>
      <w:r w:rsidRPr="007C3D1E">
        <w:rPr>
          <w:rFonts w:asciiTheme="minorHAnsi" w:hAnsiTheme="minorHAnsi" w:cstheme="minorHAnsi"/>
        </w:rPr>
        <w:t>/a</w:t>
      </w:r>
      <w:r w:rsidR="00D85727" w:rsidRPr="007C3D1E">
        <w:rPr>
          <w:rFonts w:asciiTheme="minorHAnsi" w:hAnsiTheme="minorHAnsi" w:cstheme="minorHAnsi"/>
        </w:rPr>
        <w:t xml:space="preserve"> de Gestión Tecnológica e Innovación y Director</w:t>
      </w:r>
      <w:r w:rsidRPr="007C3D1E">
        <w:rPr>
          <w:rFonts w:asciiTheme="minorHAnsi" w:hAnsiTheme="minorHAnsi" w:cstheme="minorHAnsi"/>
        </w:rPr>
        <w:t>/a</w:t>
      </w:r>
      <w:r w:rsidR="00D85727" w:rsidRPr="007C3D1E">
        <w:rPr>
          <w:rFonts w:asciiTheme="minorHAnsi" w:hAnsiTheme="minorHAnsi" w:cstheme="minorHAnsi"/>
        </w:rPr>
        <w:t xml:space="preserve"> de Desarrollo Científico y de Formación de RRHH).</w:t>
      </w:r>
    </w:p>
    <w:p w:rsidR="00D85727" w:rsidRPr="000B4373" w:rsidRDefault="00D642A5" w:rsidP="000B4373">
      <w:pPr>
        <w:spacing w:after="200" w:line="276" w:lineRule="auto"/>
        <w:jc w:val="both"/>
        <w:rPr>
          <w:rFonts w:asciiTheme="minorHAnsi" w:hAnsiTheme="minorHAnsi" w:cstheme="minorHAnsi"/>
        </w:rPr>
      </w:pPr>
      <w:r w:rsidRPr="000B4373">
        <w:rPr>
          <w:rFonts w:asciiTheme="minorHAnsi" w:hAnsiTheme="minorHAnsi" w:cstheme="minorHAnsi"/>
        </w:rPr>
        <w:t xml:space="preserve">Se estableció además un Coordinador/a </w:t>
      </w:r>
      <w:r w:rsidR="0021400F">
        <w:rPr>
          <w:rFonts w:asciiTheme="minorHAnsi" w:hAnsiTheme="minorHAnsi" w:cstheme="minorHAnsi"/>
        </w:rPr>
        <w:t xml:space="preserve">de </w:t>
      </w:r>
      <w:r w:rsidR="00D85727" w:rsidRPr="000B4373">
        <w:rPr>
          <w:rFonts w:asciiTheme="minorHAnsi" w:hAnsiTheme="minorHAnsi" w:cstheme="minorHAnsi"/>
        </w:rPr>
        <w:t>Monitoreo y Evaluación</w:t>
      </w:r>
      <w:r w:rsidRPr="000B4373">
        <w:rPr>
          <w:rFonts w:asciiTheme="minorHAnsi" w:hAnsiTheme="minorHAnsi" w:cstheme="minorHAnsi"/>
        </w:rPr>
        <w:t>, r</w:t>
      </w:r>
      <w:r w:rsidR="00D85727" w:rsidRPr="000B4373">
        <w:rPr>
          <w:rFonts w:asciiTheme="minorHAnsi" w:hAnsiTheme="minorHAnsi" w:cstheme="minorHAnsi"/>
        </w:rPr>
        <w:t>esponsable de evaluar la calidad, ejecución, emitir alertas y recomendaciones sobre la ejecución del programa de acuerdo con la legislación paraguaya y las normas del Banco, a través del monitoreo y seguimiento. Será el enlace del Programa con los especialistas contratados para realizar las evaluaciones intermedias y de cierre del Programa.</w:t>
      </w:r>
    </w:p>
    <w:p w:rsidR="00D85727" w:rsidRPr="000B4373" w:rsidRDefault="00D642A5" w:rsidP="005463DB">
      <w:pPr>
        <w:spacing w:after="200" w:line="276" w:lineRule="auto"/>
        <w:jc w:val="both"/>
        <w:rPr>
          <w:rFonts w:asciiTheme="minorHAnsi" w:hAnsiTheme="minorHAnsi" w:cstheme="minorHAnsi"/>
        </w:rPr>
      </w:pPr>
      <w:r w:rsidRPr="000B4373">
        <w:rPr>
          <w:rFonts w:asciiTheme="minorHAnsi" w:hAnsiTheme="minorHAnsi" w:cstheme="minorHAnsi"/>
        </w:rPr>
        <w:lastRenderedPageBreak/>
        <w:t>Todos los aspectos concernientes a la evaluación los proyectos y propuestas postuladas en los diferentes componentes del PROCIT estuvo a cargo de los Evaluadores de Proyectos, e</w:t>
      </w:r>
      <w:r w:rsidR="00D85727" w:rsidRPr="000B4373">
        <w:rPr>
          <w:rFonts w:asciiTheme="minorHAnsi" w:hAnsiTheme="minorHAnsi" w:cstheme="minorHAnsi"/>
        </w:rPr>
        <w:t>specialistas nacionales y/o internacionales sugeridos a instancias del Equipo Técnico y aprobado por el Comité Ejecutivo del Programa, para el juzgamiento y evaluación de los proyectos y actividades, realizadas en el marco</w:t>
      </w:r>
      <w:r w:rsidRPr="000B4373">
        <w:rPr>
          <w:rFonts w:asciiTheme="minorHAnsi" w:hAnsiTheme="minorHAnsi" w:cstheme="minorHAnsi"/>
        </w:rPr>
        <w:t xml:space="preserve"> del Programa 1698/OC-PR. Podían</w:t>
      </w:r>
      <w:r w:rsidR="00D85727" w:rsidRPr="000B4373">
        <w:rPr>
          <w:rFonts w:asciiTheme="minorHAnsi" w:hAnsiTheme="minorHAnsi" w:cstheme="minorHAnsi"/>
        </w:rPr>
        <w:t xml:space="preserve"> actuar de manera individual o conformando comités ad hoc.</w:t>
      </w:r>
    </w:p>
    <w:p w:rsidR="00D642A5" w:rsidRPr="000B4373" w:rsidRDefault="00D642A5" w:rsidP="000B4373">
      <w:pPr>
        <w:spacing w:after="200" w:line="276" w:lineRule="auto"/>
        <w:jc w:val="both"/>
        <w:rPr>
          <w:rFonts w:asciiTheme="minorHAnsi" w:hAnsiTheme="minorHAnsi" w:cstheme="minorHAnsi"/>
        </w:rPr>
      </w:pPr>
      <w:r w:rsidRPr="000B4373">
        <w:rPr>
          <w:rFonts w:asciiTheme="minorHAnsi" w:hAnsiTheme="minorHAnsi" w:cstheme="minorHAnsi"/>
        </w:rPr>
        <w:t>Específicamente para el subcomponente de fortalecimiento de postgrados, se asignaron Expertos Evaluadores de Postgrados, quienes se encargaron de evaluar los programas de Postgrado que le fueron asignados por el CONACYT, aplicando los estándares y criterios preestablecidos por la Comisión de Precalificación de Postgrados. Sus integrantes provenían de un registro de expertos.</w:t>
      </w:r>
    </w:p>
    <w:p w:rsidR="000B4373" w:rsidRPr="000B4373" w:rsidRDefault="000B4373" w:rsidP="000B4373">
      <w:pPr>
        <w:spacing w:after="200" w:line="276" w:lineRule="auto"/>
        <w:jc w:val="both"/>
        <w:rPr>
          <w:rFonts w:asciiTheme="minorHAnsi" w:hAnsiTheme="minorHAnsi" w:cstheme="minorHAnsi"/>
        </w:rPr>
      </w:pPr>
      <w:r w:rsidRPr="000B4373">
        <w:rPr>
          <w:rFonts w:asciiTheme="minorHAnsi" w:hAnsiTheme="minorHAnsi" w:cstheme="minorHAnsi"/>
        </w:rPr>
        <w:t>Una Comisión de Precalificación de Postgrados, designada y nombrada por Resolución de Consejo del CONACYT, tuvo por función aprobar: (i) Bases y Condiciones de participación de beneficiarios para el fortalecimiento de postgrados, (ii) Proceso de designación de evaluadores de postgrados, (iii) Procesos de selección de los programas de Maestría y Doctorados para fortalecimiento.</w:t>
      </w:r>
    </w:p>
    <w:p w:rsidR="000B4373" w:rsidRPr="000B4373" w:rsidRDefault="000B4373" w:rsidP="000B4373">
      <w:pPr>
        <w:spacing w:after="200" w:line="276" w:lineRule="auto"/>
        <w:jc w:val="both"/>
        <w:rPr>
          <w:rFonts w:asciiTheme="minorHAnsi" w:hAnsiTheme="minorHAnsi" w:cstheme="minorHAnsi"/>
        </w:rPr>
      </w:pPr>
      <w:r w:rsidRPr="000B4373">
        <w:rPr>
          <w:rFonts w:asciiTheme="minorHAnsi" w:hAnsiTheme="minorHAnsi" w:cstheme="minorHAnsi"/>
        </w:rPr>
        <w:t>Asimismo, la Comisión de Adjudicación verificó la correcta aplicación de procedimientos utilizados para la selección de postulantes a Becas en los Postgrados Nacionales fortalecidos por el CONACYT y aprobó el orden de mérito.</w:t>
      </w:r>
    </w:p>
    <w:p w:rsidR="001C0A39" w:rsidRPr="001C0A39" w:rsidRDefault="001C0A39" w:rsidP="001C0A39">
      <w:pPr>
        <w:spacing w:after="200" w:line="276" w:lineRule="auto"/>
        <w:jc w:val="both"/>
        <w:rPr>
          <w:rFonts w:asciiTheme="minorHAnsi" w:hAnsiTheme="minorHAnsi" w:cstheme="minorHAnsi"/>
        </w:rPr>
      </w:pPr>
      <w:r>
        <w:rPr>
          <w:rFonts w:asciiTheme="minorHAnsi" w:hAnsiTheme="minorHAnsi" w:cstheme="minorHAnsi"/>
        </w:rPr>
        <w:t xml:space="preserve">En el marco de las convocatorias de los diferentes componentes del PROCIT se realizó un </w:t>
      </w:r>
      <w:r w:rsidRPr="001C0A39">
        <w:rPr>
          <w:rFonts w:asciiTheme="minorHAnsi" w:hAnsiTheme="minorHAnsi" w:cstheme="minorHAnsi"/>
        </w:rPr>
        <w:t>llamado a inscripción de “evaluadores”</w:t>
      </w:r>
      <w:r>
        <w:rPr>
          <w:rFonts w:asciiTheme="minorHAnsi" w:hAnsiTheme="minorHAnsi" w:cstheme="minorHAnsi"/>
        </w:rPr>
        <w:t>, con el</w:t>
      </w:r>
      <w:r w:rsidRPr="001C0A39">
        <w:rPr>
          <w:rFonts w:asciiTheme="minorHAnsi" w:hAnsiTheme="minorHAnsi" w:cstheme="minorHAnsi"/>
        </w:rPr>
        <w:t xml:space="preserve"> objetivo principal la conformación d</w:t>
      </w:r>
      <w:r>
        <w:rPr>
          <w:rFonts w:asciiTheme="minorHAnsi" w:hAnsiTheme="minorHAnsi" w:cstheme="minorHAnsi"/>
        </w:rPr>
        <w:t>e una base de datos que permitiera</w:t>
      </w:r>
      <w:r w:rsidRPr="001C0A39">
        <w:rPr>
          <w:rFonts w:asciiTheme="minorHAnsi" w:hAnsiTheme="minorHAnsi" w:cstheme="minorHAnsi"/>
        </w:rPr>
        <w:t xml:space="preserve"> disponer de información actualizada sobre profesionales locales, y de esta manera poder “mapear la oferta de evaluadores” nacionales y extranjeros</w:t>
      </w:r>
      <w:r>
        <w:rPr>
          <w:rFonts w:asciiTheme="minorHAnsi" w:hAnsiTheme="minorHAnsi" w:cstheme="minorHAnsi"/>
        </w:rPr>
        <w:t xml:space="preserve">, radicados en Paraguay, </w:t>
      </w:r>
      <w:r w:rsidRPr="001C0A39">
        <w:rPr>
          <w:rFonts w:asciiTheme="minorHAnsi" w:hAnsiTheme="minorHAnsi" w:cstheme="minorHAnsi"/>
        </w:rPr>
        <w:t>para las distintas disciplinas técnico-científicas con miras a la evaluación de proyectos</w:t>
      </w:r>
      <w:r>
        <w:rPr>
          <w:rFonts w:asciiTheme="minorHAnsi" w:hAnsiTheme="minorHAnsi" w:cstheme="minorHAnsi"/>
        </w:rPr>
        <w:t>. Se estableció también un proceso de selección de evaluadores.</w:t>
      </w:r>
    </w:p>
    <w:p w:rsidR="001C0A39" w:rsidRPr="001C0A39" w:rsidRDefault="001C0A39" w:rsidP="001C0A39">
      <w:pPr>
        <w:spacing w:after="200" w:line="276" w:lineRule="auto"/>
        <w:jc w:val="both"/>
        <w:rPr>
          <w:rFonts w:asciiTheme="minorHAnsi" w:hAnsiTheme="minorHAnsi" w:cstheme="minorHAnsi"/>
        </w:rPr>
      </w:pPr>
      <w:r w:rsidRPr="001C0A39">
        <w:rPr>
          <w:rFonts w:asciiTheme="minorHAnsi" w:hAnsiTheme="minorHAnsi" w:cstheme="minorHAnsi"/>
        </w:rPr>
        <w:t>El rol de los Evaluador</w:t>
      </w:r>
      <w:r>
        <w:rPr>
          <w:rFonts w:asciiTheme="minorHAnsi" w:hAnsiTheme="minorHAnsi" w:cstheme="minorHAnsi"/>
        </w:rPr>
        <w:t>es consistió</w:t>
      </w:r>
      <w:r w:rsidRPr="001C0A39">
        <w:rPr>
          <w:rFonts w:asciiTheme="minorHAnsi" w:hAnsiTheme="minorHAnsi" w:cstheme="minorHAnsi"/>
        </w:rPr>
        <w:t xml:space="preserve"> en revisar y calificar proyectos presentados al CONACYT en el marco de los concursos, utilizando las pautas de evaluación oficialmente aprobadas por el Comité Ejecutivo del Programa.</w:t>
      </w:r>
      <w:r>
        <w:rPr>
          <w:rFonts w:asciiTheme="minorHAnsi" w:hAnsiTheme="minorHAnsi" w:cstheme="minorHAnsi"/>
        </w:rPr>
        <w:t xml:space="preserve"> </w:t>
      </w:r>
      <w:r w:rsidRPr="001C0A39">
        <w:rPr>
          <w:rFonts w:asciiTheme="minorHAnsi" w:hAnsiTheme="minorHAnsi" w:cstheme="minorHAnsi"/>
        </w:rPr>
        <w:t xml:space="preserve">El Equipo Técnico </w:t>
      </w:r>
      <w:r>
        <w:rPr>
          <w:rFonts w:asciiTheme="minorHAnsi" w:hAnsiTheme="minorHAnsi" w:cstheme="minorHAnsi"/>
        </w:rPr>
        <w:t>se encargó de direccionar los perfiles de proyectos a los e</w:t>
      </w:r>
      <w:r w:rsidRPr="001C0A39">
        <w:rPr>
          <w:rFonts w:asciiTheme="minorHAnsi" w:hAnsiTheme="minorHAnsi" w:cstheme="minorHAnsi"/>
        </w:rPr>
        <w:t>valuadores cuyos perfiles técnico-científicos sean los más apropiados, acordes a las disciplinas correspondientes.</w:t>
      </w:r>
    </w:p>
    <w:p w:rsidR="00D85727" w:rsidRPr="000B4373" w:rsidRDefault="000577BD" w:rsidP="000B4373">
      <w:pPr>
        <w:spacing w:after="200" w:line="276" w:lineRule="auto"/>
        <w:jc w:val="both"/>
        <w:rPr>
          <w:rFonts w:asciiTheme="minorHAnsi" w:hAnsiTheme="minorHAnsi" w:cstheme="minorHAnsi"/>
        </w:rPr>
      </w:pPr>
      <w:r w:rsidRPr="000B4373">
        <w:rPr>
          <w:rFonts w:asciiTheme="minorHAnsi" w:hAnsiTheme="minorHAnsi" w:cstheme="minorHAnsi"/>
        </w:rPr>
        <w:t>Un equipo Administrador</w:t>
      </w:r>
      <w:r w:rsidR="00D85727" w:rsidRPr="000B4373">
        <w:rPr>
          <w:rFonts w:asciiTheme="minorHAnsi" w:hAnsiTheme="minorHAnsi" w:cstheme="minorHAnsi"/>
        </w:rPr>
        <w:t xml:space="preserve"> del Programa</w:t>
      </w:r>
      <w:r w:rsidRPr="000B4373">
        <w:rPr>
          <w:rFonts w:asciiTheme="minorHAnsi" w:hAnsiTheme="minorHAnsi" w:cstheme="minorHAnsi"/>
        </w:rPr>
        <w:t xml:space="preserve"> fue r</w:t>
      </w:r>
      <w:r w:rsidR="00D85727" w:rsidRPr="000B4373">
        <w:rPr>
          <w:rFonts w:asciiTheme="minorHAnsi" w:hAnsiTheme="minorHAnsi" w:cstheme="minorHAnsi"/>
        </w:rPr>
        <w:t xml:space="preserve">esponsable de la coordinación y supervisión de la ejecución de las actividades administrativas/financieras-contables del programa, de acuerdo con la legislación paraguaya y </w:t>
      </w:r>
      <w:r w:rsidRPr="000B4373">
        <w:rPr>
          <w:rFonts w:asciiTheme="minorHAnsi" w:hAnsiTheme="minorHAnsi" w:cstheme="minorHAnsi"/>
        </w:rPr>
        <w:t>las normas del Banco, conformado</w:t>
      </w:r>
      <w:r w:rsidR="00D85727" w:rsidRPr="000B4373">
        <w:rPr>
          <w:rFonts w:asciiTheme="minorHAnsi" w:hAnsiTheme="minorHAnsi" w:cstheme="minorHAnsi"/>
        </w:rPr>
        <w:t xml:space="preserve"> por consultores externos (Coordinador(a) Administrativo(a) Financiero(a), Especialista en Contrataciones y </w:t>
      </w:r>
      <w:r w:rsidR="00D85727" w:rsidRPr="000B4373">
        <w:rPr>
          <w:rFonts w:asciiTheme="minorHAnsi" w:hAnsiTheme="minorHAnsi" w:cstheme="minorHAnsi"/>
        </w:rPr>
        <w:lastRenderedPageBreak/>
        <w:t>Adquisiciones y Auxiliares Administrativos/Financieros) y personal de planta de CONACYT (Director Administrativo/Financiero, Responsable del área de Presupuesto y Contabilidad-Finanzas y Responsable Unidad Operativa de Contrataciones o UOC)</w:t>
      </w:r>
      <w:r w:rsidR="00423B34">
        <w:rPr>
          <w:rFonts w:asciiTheme="minorHAnsi" w:hAnsiTheme="minorHAnsi" w:cstheme="minorHAnsi"/>
        </w:rPr>
        <w:t>.</w:t>
      </w:r>
    </w:p>
    <w:p w:rsidR="00D85727" w:rsidRPr="000B4373" w:rsidRDefault="000577BD" w:rsidP="000B4373">
      <w:pPr>
        <w:spacing w:after="200" w:line="276" w:lineRule="auto"/>
        <w:jc w:val="both"/>
        <w:rPr>
          <w:rFonts w:asciiTheme="minorHAnsi" w:hAnsiTheme="minorHAnsi" w:cstheme="minorHAnsi"/>
        </w:rPr>
      </w:pPr>
      <w:r w:rsidRPr="000B4373">
        <w:rPr>
          <w:rFonts w:asciiTheme="minorHAnsi" w:hAnsiTheme="minorHAnsi" w:cstheme="minorHAnsi"/>
        </w:rPr>
        <w:t xml:space="preserve">El órgano colegiado más relevante desde la perspectiva del programa en su totalidad fue el </w:t>
      </w:r>
      <w:r w:rsidR="00D85727" w:rsidRPr="000B4373">
        <w:rPr>
          <w:rFonts w:asciiTheme="minorHAnsi" w:hAnsiTheme="minorHAnsi" w:cstheme="minorHAnsi"/>
        </w:rPr>
        <w:t>Comité Ejecutivo del Programa</w:t>
      </w:r>
      <w:r w:rsidRPr="000B4373">
        <w:rPr>
          <w:rFonts w:asciiTheme="minorHAnsi" w:hAnsiTheme="minorHAnsi" w:cstheme="minorHAnsi"/>
        </w:rPr>
        <w:t>, i</w:t>
      </w:r>
      <w:r w:rsidR="00D85727" w:rsidRPr="000B4373">
        <w:rPr>
          <w:rFonts w:asciiTheme="minorHAnsi" w:hAnsiTheme="minorHAnsi" w:cstheme="minorHAnsi"/>
        </w:rPr>
        <w:t xml:space="preserve">nstancia designada y nombrada por Resolución del Consejo del CONACYT, cuya función </w:t>
      </w:r>
      <w:r w:rsidRPr="000B4373">
        <w:rPr>
          <w:rFonts w:asciiTheme="minorHAnsi" w:hAnsiTheme="minorHAnsi" w:cstheme="minorHAnsi"/>
        </w:rPr>
        <w:t>fue</w:t>
      </w:r>
      <w:r w:rsidR="00D85727" w:rsidRPr="000B4373">
        <w:rPr>
          <w:rFonts w:asciiTheme="minorHAnsi" w:hAnsiTheme="minorHAnsi" w:cstheme="minorHAnsi"/>
        </w:rPr>
        <w:t xml:space="preserve"> la de aprobar: (i) Bases y Condiciones de participación de beneficiarios, (ii) Proceso de designación de Evaluadores de Proyectos, (iii) Procesos de Selección de Pro</w:t>
      </w:r>
      <w:r w:rsidRPr="000B4373">
        <w:rPr>
          <w:rFonts w:asciiTheme="minorHAnsi" w:hAnsiTheme="minorHAnsi" w:cstheme="minorHAnsi"/>
        </w:rPr>
        <w:t>yectos a ser financiados, (iv) o</w:t>
      </w:r>
      <w:r w:rsidR="00D85727" w:rsidRPr="000B4373">
        <w:rPr>
          <w:rFonts w:asciiTheme="minorHAnsi" w:hAnsiTheme="minorHAnsi" w:cstheme="minorHAnsi"/>
        </w:rPr>
        <w:t>tras decisiones requeridas por el Programa, e (v) informes de los avance</w:t>
      </w:r>
      <w:r w:rsidRPr="000B4373">
        <w:rPr>
          <w:rFonts w:asciiTheme="minorHAnsi" w:hAnsiTheme="minorHAnsi" w:cstheme="minorHAnsi"/>
        </w:rPr>
        <w:t>s del Programa. El comité estuvo</w:t>
      </w:r>
      <w:r w:rsidR="00D85727" w:rsidRPr="000B4373">
        <w:rPr>
          <w:rFonts w:asciiTheme="minorHAnsi" w:hAnsiTheme="minorHAnsi" w:cstheme="minorHAnsi"/>
        </w:rPr>
        <w:t xml:space="preserve"> compuesto por 5 miembros: el Presidente del CONACYT en su carácter del Director Nacional del Programa, un representante del Ministerio de Hacienda y tres miembros del Consejo del CONACYT.</w:t>
      </w:r>
    </w:p>
    <w:p w:rsidR="008E002C" w:rsidRDefault="00964BAE" w:rsidP="00113B62">
      <w:pPr>
        <w:spacing w:after="200" w:line="276" w:lineRule="auto"/>
        <w:jc w:val="both"/>
        <w:rPr>
          <w:rFonts w:asciiTheme="minorHAnsi" w:hAnsiTheme="minorHAnsi" w:cstheme="minorHAnsi"/>
        </w:rPr>
      </w:pPr>
      <w:r w:rsidRPr="000B4373">
        <w:rPr>
          <w:rFonts w:asciiTheme="minorHAnsi" w:hAnsiTheme="minorHAnsi" w:cstheme="minorHAnsi"/>
        </w:rPr>
        <w:t xml:space="preserve">Desde la perspectiva de los beneficiarios, y habiendo sido consultados en la encuesta –y manteniéndose esta </w:t>
      </w:r>
      <w:r w:rsidR="000577BD" w:rsidRPr="000B4373">
        <w:rPr>
          <w:rFonts w:asciiTheme="minorHAnsi" w:hAnsiTheme="minorHAnsi" w:cstheme="minorHAnsi"/>
        </w:rPr>
        <w:t xml:space="preserve">tendencia de </w:t>
      </w:r>
      <w:r w:rsidRPr="000B4373">
        <w:rPr>
          <w:rFonts w:asciiTheme="minorHAnsi" w:hAnsiTheme="minorHAnsi" w:cstheme="minorHAnsi"/>
        </w:rPr>
        <w:t>opinión en las visitas y e</w:t>
      </w:r>
      <w:r w:rsidR="00113B62">
        <w:rPr>
          <w:rFonts w:asciiTheme="minorHAnsi" w:hAnsiTheme="minorHAnsi" w:cstheme="minorHAnsi"/>
        </w:rPr>
        <w:t>n los grupos focales-, la valoración de la organización de la Unidad Ejecutora y su funcionamiento es muy positiva.</w:t>
      </w:r>
    </w:p>
    <w:p w:rsidR="00113B62" w:rsidRDefault="00113B62" w:rsidP="00113B62">
      <w:pPr>
        <w:spacing w:after="200" w:line="276" w:lineRule="auto"/>
        <w:jc w:val="both"/>
        <w:rPr>
          <w:rFonts w:asciiTheme="minorHAnsi" w:hAnsiTheme="minorHAnsi" w:cstheme="minorHAnsi"/>
        </w:rPr>
      </w:pPr>
      <w:r>
        <w:rPr>
          <w:rFonts w:asciiTheme="minorHAnsi" w:hAnsiTheme="minorHAnsi" w:cstheme="minorHAnsi"/>
        </w:rPr>
        <w:t>Respecto del rol de los Oficiales de Proyecto, quienes tuvieron el principal contacto directo con los beneficiar</w:t>
      </w:r>
      <w:r w:rsidR="00AD4C47">
        <w:rPr>
          <w:rFonts w:asciiTheme="minorHAnsi" w:hAnsiTheme="minorHAnsi" w:cstheme="minorHAnsi"/>
        </w:rPr>
        <w:t xml:space="preserve">ios, un 75% de los </w:t>
      </w:r>
      <w:r w:rsidR="00B97702">
        <w:rPr>
          <w:rFonts w:asciiTheme="minorHAnsi" w:hAnsiTheme="minorHAnsi" w:cstheme="minorHAnsi"/>
        </w:rPr>
        <w:t>beneficiarios estuvo totalmente de acuerdo</w:t>
      </w:r>
      <w:r w:rsidR="00AD4C47">
        <w:rPr>
          <w:rFonts w:asciiTheme="minorHAnsi" w:hAnsiTheme="minorHAnsi" w:cstheme="minorHAnsi"/>
        </w:rPr>
        <w:t xml:space="preserve"> con la afirmación “La interacción con el Oficial del PROCIT asignado fue </w:t>
      </w:r>
      <w:r w:rsidR="00B97702">
        <w:rPr>
          <w:rFonts w:asciiTheme="minorHAnsi" w:hAnsiTheme="minorHAnsi" w:cstheme="minorHAnsi"/>
        </w:rPr>
        <w:t>fluida</w:t>
      </w:r>
      <w:r w:rsidR="00AD4C47">
        <w:rPr>
          <w:rFonts w:asciiTheme="minorHAnsi" w:hAnsiTheme="minorHAnsi" w:cstheme="minorHAnsi"/>
        </w:rPr>
        <w:t>”, y un 73% estuvo totalmente de acuerdo con la afirmación “</w:t>
      </w:r>
      <w:r w:rsidR="00B97702">
        <w:rPr>
          <w:rFonts w:asciiTheme="minorHAnsi" w:hAnsiTheme="minorHAnsi" w:cstheme="minorHAnsi"/>
        </w:rPr>
        <w:t>El tiempo dedicado por el Oficial del PROCIT a su proyecto fue suficiente”</w:t>
      </w:r>
      <w:r w:rsidR="00F8473B">
        <w:rPr>
          <w:rFonts w:asciiTheme="minorHAnsi" w:hAnsiTheme="minorHAnsi" w:cstheme="minorHAnsi"/>
        </w:rPr>
        <w:t>, como se observa en el gráfico a continuación.</w:t>
      </w:r>
    </w:p>
    <w:p w:rsidR="00AD4C47" w:rsidRPr="00AD4C47" w:rsidRDefault="00AD4C47" w:rsidP="00AD4C47">
      <w:pPr>
        <w:spacing w:after="200" w:line="276" w:lineRule="auto"/>
        <w:jc w:val="center"/>
        <w:rPr>
          <w:rFonts w:asciiTheme="minorHAnsi" w:hAnsiTheme="minorHAnsi" w:cstheme="minorHAnsi"/>
          <w:b/>
        </w:rPr>
      </w:pPr>
      <w:r w:rsidRPr="00AD4C47">
        <w:rPr>
          <w:rFonts w:asciiTheme="minorHAnsi" w:hAnsiTheme="minorHAnsi" w:cstheme="minorHAnsi"/>
          <w:b/>
        </w:rPr>
        <w:t>Gráfico 6.5. Porcentaje de beneficiarios que estuvieron “totalmente de acuerdo” con las afirmaciones sobre la vinculación con el Oficial del PROCIT</w:t>
      </w:r>
    </w:p>
    <w:p w:rsidR="00AD4C47" w:rsidRDefault="00AD4C47" w:rsidP="00AD4C47">
      <w:pPr>
        <w:spacing w:after="200" w:line="276" w:lineRule="auto"/>
        <w:jc w:val="center"/>
        <w:rPr>
          <w:rFonts w:asciiTheme="minorHAnsi" w:hAnsiTheme="minorHAnsi" w:cstheme="minorHAnsi"/>
        </w:rPr>
      </w:pPr>
      <w:r>
        <w:rPr>
          <w:noProof/>
          <w:lang w:val="es-ES_tradnl" w:eastAsia="es-ES_tradnl"/>
        </w:rPr>
        <w:drawing>
          <wp:inline distT="0" distB="0" distL="0" distR="0" wp14:anchorId="7875A655" wp14:editId="547B1412">
            <wp:extent cx="4343400" cy="2428875"/>
            <wp:effectExtent l="0" t="0" r="19050" b="952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97702" w:rsidRDefault="00B97702" w:rsidP="00171404">
      <w:pPr>
        <w:spacing w:line="288" w:lineRule="auto"/>
        <w:ind w:right="758" w:firstLine="708"/>
        <w:jc w:val="center"/>
        <w:rPr>
          <w:rStyle w:val="Emphasis"/>
          <w:rFonts w:ascii="Calibri" w:hAnsi="Calibri" w:cs="Calibri"/>
          <w:i w:val="0"/>
          <w:sz w:val="18"/>
          <w:szCs w:val="18"/>
        </w:rPr>
      </w:pPr>
      <w:r w:rsidRPr="00B97702">
        <w:rPr>
          <w:rStyle w:val="Emphasis"/>
          <w:rFonts w:ascii="Calibri" w:hAnsi="Calibri" w:cs="Calibri"/>
          <w:i w:val="0"/>
          <w:sz w:val="18"/>
          <w:szCs w:val="18"/>
        </w:rPr>
        <w:t>Fuente: Innovos Group en base a datos obtenidos de las encuestas a beneficiarios del PROCIT.</w:t>
      </w:r>
    </w:p>
    <w:p w:rsidR="00B97702" w:rsidRPr="00B97702" w:rsidRDefault="00B97702" w:rsidP="00171404">
      <w:pPr>
        <w:spacing w:line="288" w:lineRule="auto"/>
        <w:ind w:right="758" w:firstLine="708"/>
        <w:jc w:val="center"/>
        <w:rPr>
          <w:rStyle w:val="Emphasis"/>
          <w:rFonts w:ascii="Calibri" w:hAnsi="Calibri" w:cs="Calibri"/>
          <w:i w:val="0"/>
          <w:sz w:val="18"/>
          <w:szCs w:val="18"/>
        </w:rPr>
      </w:pPr>
      <w:r>
        <w:rPr>
          <w:rStyle w:val="Emphasis"/>
          <w:rFonts w:ascii="Calibri" w:hAnsi="Calibri" w:cs="Calibri"/>
          <w:i w:val="0"/>
          <w:sz w:val="18"/>
          <w:szCs w:val="18"/>
        </w:rPr>
        <w:t>Nota: Los becarios beneficiarios no res</w:t>
      </w:r>
      <w:r w:rsidR="00171404">
        <w:rPr>
          <w:rStyle w:val="Emphasis"/>
          <w:rFonts w:ascii="Calibri" w:hAnsi="Calibri" w:cs="Calibri"/>
          <w:i w:val="0"/>
          <w:sz w:val="18"/>
          <w:szCs w:val="18"/>
        </w:rPr>
        <w:t>pondieron la segunda afirmación</w:t>
      </w:r>
    </w:p>
    <w:p w:rsidR="00113B62" w:rsidRDefault="00113B62" w:rsidP="00113B62">
      <w:pPr>
        <w:spacing w:after="200" w:line="276" w:lineRule="auto"/>
        <w:jc w:val="both"/>
        <w:rPr>
          <w:rFonts w:asciiTheme="minorHAnsi" w:hAnsiTheme="minorHAnsi" w:cstheme="minorHAnsi"/>
        </w:rPr>
      </w:pPr>
      <w:r>
        <w:rPr>
          <w:rFonts w:asciiTheme="minorHAnsi" w:hAnsiTheme="minorHAnsi" w:cstheme="minorHAnsi"/>
        </w:rPr>
        <w:lastRenderedPageBreak/>
        <w:t>También se valora muy positivo el rol de los evaluadores</w:t>
      </w:r>
      <w:r w:rsidR="00F8473B">
        <w:rPr>
          <w:rFonts w:asciiTheme="minorHAnsi" w:hAnsiTheme="minorHAnsi" w:cstheme="minorHAnsi"/>
        </w:rPr>
        <w:t>, como se observa en el Gráfico 6.6. Un 70</w:t>
      </w:r>
      <w:r>
        <w:rPr>
          <w:rFonts w:asciiTheme="minorHAnsi" w:hAnsiTheme="minorHAnsi" w:cstheme="minorHAnsi"/>
        </w:rPr>
        <w:t xml:space="preserve">% </w:t>
      </w:r>
      <w:r w:rsidR="00F8473B">
        <w:rPr>
          <w:rFonts w:asciiTheme="minorHAnsi" w:hAnsiTheme="minorHAnsi" w:cstheme="minorHAnsi"/>
        </w:rPr>
        <w:t>de los beneficiarios está totalmente de acuerdo con la afirmación “El proceso de evaluación fue imparcial y objetivo”, y un 67% está totalmente de acuerdo con la afirmación “El proceso de evaluación fue transparente, con reglas claras, y adecuada difusión”.</w:t>
      </w:r>
    </w:p>
    <w:p w:rsidR="00F8473B" w:rsidRPr="00AD4C47" w:rsidRDefault="00113B62" w:rsidP="00F8473B">
      <w:pPr>
        <w:spacing w:after="200" w:line="276" w:lineRule="auto"/>
        <w:jc w:val="center"/>
        <w:rPr>
          <w:rFonts w:asciiTheme="minorHAnsi" w:hAnsiTheme="minorHAnsi" w:cstheme="minorHAnsi"/>
          <w:b/>
        </w:rPr>
      </w:pPr>
      <w:r>
        <w:rPr>
          <w:rFonts w:asciiTheme="minorHAnsi" w:hAnsiTheme="minorHAnsi" w:cstheme="minorHAnsi"/>
        </w:rPr>
        <w:t xml:space="preserve">  </w:t>
      </w:r>
      <w:r w:rsidR="00F8473B">
        <w:rPr>
          <w:rFonts w:asciiTheme="minorHAnsi" w:hAnsiTheme="minorHAnsi" w:cstheme="minorHAnsi"/>
          <w:b/>
        </w:rPr>
        <w:t>Gráfico 6.6</w:t>
      </w:r>
      <w:r w:rsidR="00F8473B" w:rsidRPr="00AD4C47">
        <w:rPr>
          <w:rFonts w:asciiTheme="minorHAnsi" w:hAnsiTheme="minorHAnsi" w:cstheme="minorHAnsi"/>
          <w:b/>
        </w:rPr>
        <w:t>. Porcentaje de beneficiarios que estuvieron “totalmente de acuerdo” con las afirmaciones sobre la vinculación con el Oficial del PROCIT</w:t>
      </w:r>
    </w:p>
    <w:p w:rsidR="00113B62" w:rsidRDefault="00F8473B" w:rsidP="006C6743">
      <w:pPr>
        <w:spacing w:line="276" w:lineRule="auto"/>
        <w:jc w:val="center"/>
        <w:rPr>
          <w:rFonts w:asciiTheme="minorHAnsi" w:hAnsiTheme="minorHAnsi" w:cstheme="minorHAnsi"/>
        </w:rPr>
      </w:pPr>
      <w:r>
        <w:rPr>
          <w:rFonts w:asciiTheme="minorHAnsi" w:hAnsiTheme="minorHAnsi" w:cstheme="minorHAnsi"/>
          <w:noProof/>
          <w:lang w:val="es-ES_tradnl" w:eastAsia="es-ES_tradnl"/>
        </w:rPr>
        <w:drawing>
          <wp:inline distT="0" distB="0" distL="0" distR="0" wp14:anchorId="10BDE6DC" wp14:editId="604E441C">
            <wp:extent cx="4584700" cy="2755900"/>
            <wp:effectExtent l="0" t="0" r="635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8473B" w:rsidRDefault="00F8473B" w:rsidP="006C6743">
      <w:pPr>
        <w:spacing w:line="288" w:lineRule="auto"/>
        <w:ind w:right="758" w:firstLine="708"/>
        <w:jc w:val="both"/>
        <w:rPr>
          <w:rStyle w:val="Emphasis"/>
          <w:rFonts w:ascii="Calibri" w:hAnsi="Calibri" w:cs="Calibri"/>
          <w:i w:val="0"/>
          <w:sz w:val="18"/>
          <w:szCs w:val="18"/>
        </w:rPr>
      </w:pPr>
      <w:r>
        <w:rPr>
          <w:rStyle w:val="Emphasis"/>
          <w:rFonts w:ascii="Calibri" w:hAnsi="Calibri" w:cs="Calibri"/>
          <w:i w:val="0"/>
          <w:sz w:val="18"/>
          <w:szCs w:val="18"/>
        </w:rPr>
        <w:t xml:space="preserve">   </w:t>
      </w:r>
      <w:r w:rsidRPr="00B97702">
        <w:rPr>
          <w:rStyle w:val="Emphasis"/>
          <w:rFonts w:ascii="Calibri" w:hAnsi="Calibri" w:cs="Calibri"/>
          <w:i w:val="0"/>
          <w:sz w:val="18"/>
          <w:szCs w:val="18"/>
        </w:rPr>
        <w:t>Fuente: Innovos Group en base a datos obtenidos de las encue</w:t>
      </w:r>
      <w:r w:rsidR="00171404">
        <w:rPr>
          <w:rStyle w:val="Emphasis"/>
          <w:rFonts w:ascii="Calibri" w:hAnsi="Calibri" w:cs="Calibri"/>
          <w:i w:val="0"/>
          <w:sz w:val="18"/>
          <w:szCs w:val="18"/>
        </w:rPr>
        <w:t>stas a beneficiarios del PROCIT</w:t>
      </w:r>
    </w:p>
    <w:p w:rsidR="000577BD" w:rsidRPr="00964BAE" w:rsidRDefault="000577BD" w:rsidP="00964BAE">
      <w:pPr>
        <w:spacing w:after="200" w:line="276" w:lineRule="auto"/>
        <w:rPr>
          <w:rFonts w:ascii="Calibri" w:hAnsi="Calibri" w:cs="Calibri"/>
          <w:b/>
          <w:sz w:val="20"/>
          <w:szCs w:val="20"/>
          <w:u w:val="single"/>
        </w:rPr>
      </w:pPr>
    </w:p>
    <w:p w:rsidR="00E66944" w:rsidRDefault="00C10DAE" w:rsidP="00F1655F">
      <w:pPr>
        <w:pStyle w:val="Heading1"/>
        <w:rPr>
          <w:rFonts w:ascii="Calibri" w:hAnsi="Calibri"/>
        </w:rPr>
      </w:pPr>
      <w:bookmarkStart w:id="472" w:name="_Toc375212009"/>
      <w:r>
        <w:t>Conclusiones</w:t>
      </w:r>
      <w:r w:rsidR="0007242C">
        <w:t xml:space="preserve"> </w:t>
      </w:r>
      <w:r w:rsidR="00194918">
        <w:t>y recomendaciones</w:t>
      </w:r>
      <w:bookmarkEnd w:id="472"/>
    </w:p>
    <w:p w:rsidR="00DC05B4" w:rsidRPr="005E350E" w:rsidRDefault="00DC05B4" w:rsidP="00DC05B4">
      <w:pPr>
        <w:spacing w:after="200" w:line="276" w:lineRule="auto"/>
        <w:jc w:val="both"/>
        <w:rPr>
          <w:rFonts w:asciiTheme="minorHAnsi" w:hAnsiTheme="minorHAnsi" w:cstheme="minorHAnsi"/>
        </w:rPr>
      </w:pPr>
      <w:r w:rsidRPr="005E350E">
        <w:rPr>
          <w:rFonts w:asciiTheme="minorHAnsi" w:hAnsiTheme="minorHAnsi" w:cstheme="minorHAnsi"/>
        </w:rPr>
        <w:t xml:space="preserve">Si bien CONACYT fue creado en el año 1997, y en el año 2002 se estableció la Política Nacional de Ciencia y Tecnología de Paraguay, no fue sino hasta la puesta en marcha del PROCIT cuando se comenzaron a desarrollar acciones de mayor envergadura, articuladas entre sí y con recursos económicos propios, </w:t>
      </w:r>
      <w:r>
        <w:rPr>
          <w:rFonts w:asciiTheme="minorHAnsi" w:hAnsiTheme="minorHAnsi" w:cstheme="minorHAnsi"/>
        </w:rPr>
        <w:t xml:space="preserve">y </w:t>
      </w:r>
      <w:r w:rsidRPr="005E350E">
        <w:rPr>
          <w:rFonts w:asciiTheme="minorHAnsi" w:hAnsiTheme="minorHAnsi" w:cstheme="minorHAnsi"/>
        </w:rPr>
        <w:t>cuando realmente comenzó a tomar forma el Sistema Nacional de Ciencia, Tecnología, Innovación y Calidad.</w:t>
      </w:r>
    </w:p>
    <w:p w:rsidR="00DC05B4" w:rsidRPr="005E350E" w:rsidRDefault="00DC05B4" w:rsidP="00DC05B4">
      <w:pPr>
        <w:spacing w:after="200" w:line="276" w:lineRule="auto"/>
        <w:jc w:val="both"/>
        <w:rPr>
          <w:rFonts w:asciiTheme="minorHAnsi" w:hAnsiTheme="minorHAnsi" w:cstheme="minorHAnsi"/>
        </w:rPr>
      </w:pPr>
      <w:r w:rsidRPr="005E350E">
        <w:rPr>
          <w:rFonts w:asciiTheme="minorHAnsi" w:hAnsiTheme="minorHAnsi" w:cstheme="minorHAnsi"/>
        </w:rPr>
        <w:t>El principal aporte del PROCIT fue dotar a CONACYT de recursos económicos propios para llevar a cabo actividades de investigación, formación de recursos humanos e innovación, dando un salto cuantitativo y cualita</w:t>
      </w:r>
      <w:r>
        <w:rPr>
          <w:rFonts w:asciiTheme="minorHAnsi" w:hAnsiTheme="minorHAnsi" w:cstheme="minorHAnsi"/>
        </w:rPr>
        <w:t>tivo de envergadura en los</w:t>
      </w:r>
      <w:r w:rsidRPr="005E350E">
        <w:rPr>
          <w:rFonts w:asciiTheme="minorHAnsi" w:hAnsiTheme="minorHAnsi" w:cstheme="minorHAnsi"/>
        </w:rPr>
        <w:t xml:space="preserve"> años de duración del programa.</w:t>
      </w:r>
    </w:p>
    <w:p w:rsidR="00845F5E" w:rsidRPr="006020B4" w:rsidRDefault="00845F5E" w:rsidP="00845F5E">
      <w:pPr>
        <w:spacing w:after="200" w:line="276" w:lineRule="auto"/>
        <w:jc w:val="both"/>
        <w:rPr>
          <w:rFonts w:asciiTheme="minorHAnsi" w:hAnsiTheme="minorHAnsi" w:cstheme="minorHAnsi"/>
          <w:color w:val="000000"/>
          <w:lang w:val="es-AR" w:eastAsia="es-AR"/>
        </w:rPr>
      </w:pPr>
      <w:r>
        <w:rPr>
          <w:rFonts w:asciiTheme="minorHAnsi" w:hAnsiTheme="minorHAnsi" w:cstheme="minorHAnsi"/>
        </w:rPr>
        <w:t xml:space="preserve">Desde la perspectiva del diseño del Programa, su formulación claramente se ubica en la lógica del desarrollo de Sistemas Nacionales de Innovación que plantea como eje central </w:t>
      </w:r>
      <w:r w:rsidRPr="006020B4">
        <w:rPr>
          <w:rFonts w:asciiTheme="minorHAnsi" w:hAnsiTheme="minorHAnsi" w:cstheme="minorHAnsi"/>
          <w:color w:val="000000"/>
          <w:lang w:val="es-AR" w:eastAsia="es-AR"/>
        </w:rPr>
        <w:t xml:space="preserve">la interacción de actores (de diferentes sectores y con diversos niveles de agregación) </w:t>
      </w:r>
      <w:r w:rsidRPr="006020B4">
        <w:rPr>
          <w:rFonts w:asciiTheme="minorHAnsi" w:hAnsiTheme="minorHAnsi" w:cstheme="minorHAnsi"/>
          <w:color w:val="000000"/>
          <w:lang w:val="es-AR" w:eastAsia="es-AR"/>
        </w:rPr>
        <w:lastRenderedPageBreak/>
        <w:t xml:space="preserve">como ser universidades, empresas, centros tecnológicos, incubadoras de empresas, centros de investigación, investigadores, doctores, becarios, entre otros.  </w:t>
      </w:r>
      <w:r>
        <w:rPr>
          <w:rFonts w:asciiTheme="minorHAnsi" w:hAnsiTheme="minorHAnsi" w:cstheme="minorHAnsi"/>
          <w:color w:val="000000"/>
          <w:lang w:val="es-AR" w:eastAsia="es-AR"/>
        </w:rPr>
        <w:t>Esta perspectiva es superadora de modelos anteriores lineales y deterministas basados en enfoques de demanda y/o de oferta.</w:t>
      </w:r>
    </w:p>
    <w:p w:rsidR="00845F5E" w:rsidRPr="006020B4" w:rsidRDefault="00845F5E" w:rsidP="00845F5E">
      <w:pPr>
        <w:spacing w:after="200" w:line="276" w:lineRule="auto"/>
        <w:jc w:val="both"/>
        <w:rPr>
          <w:rFonts w:asciiTheme="minorHAnsi" w:hAnsiTheme="minorHAnsi" w:cstheme="minorHAnsi"/>
          <w:color w:val="000000"/>
          <w:lang w:val="es-AR" w:eastAsia="es-AR"/>
        </w:rPr>
      </w:pPr>
      <w:r>
        <w:rPr>
          <w:rFonts w:asciiTheme="minorHAnsi" w:hAnsiTheme="minorHAnsi" w:cstheme="minorHAnsi"/>
          <w:color w:val="000000"/>
          <w:lang w:val="es-AR" w:eastAsia="es-AR"/>
        </w:rPr>
        <w:t xml:space="preserve">Asimismo, el PROCIT ha incorporado el concepto de Sistema Nacional de Innovación, ya reflejado en la Política Nacional de Ciencia y Tecnología de Paraguay, el cual </w:t>
      </w:r>
      <w:r w:rsidRPr="006020B4">
        <w:rPr>
          <w:rFonts w:asciiTheme="minorHAnsi" w:hAnsiTheme="minorHAnsi" w:cstheme="minorHAnsi"/>
          <w:color w:val="000000"/>
          <w:lang w:val="es-AR" w:eastAsia="es-AR"/>
        </w:rPr>
        <w:t>ha servido como un marco referencial para el desarrollo e implementación de políticas públicas de ciencia y tecnología</w:t>
      </w:r>
      <w:r>
        <w:rPr>
          <w:rFonts w:asciiTheme="minorHAnsi" w:hAnsiTheme="minorHAnsi" w:cstheme="minorHAnsi"/>
          <w:color w:val="000000"/>
          <w:lang w:val="es-AR" w:eastAsia="es-AR"/>
        </w:rPr>
        <w:t xml:space="preserve">, </w:t>
      </w:r>
      <w:r w:rsidRPr="006020B4">
        <w:rPr>
          <w:rFonts w:asciiTheme="minorHAnsi" w:hAnsiTheme="minorHAnsi" w:cstheme="minorHAnsi"/>
          <w:color w:val="000000"/>
          <w:lang w:val="es-AR" w:eastAsia="es-AR"/>
        </w:rPr>
        <w:t>genera</w:t>
      </w:r>
      <w:r>
        <w:rPr>
          <w:rFonts w:asciiTheme="minorHAnsi" w:hAnsiTheme="minorHAnsi" w:cstheme="minorHAnsi"/>
          <w:color w:val="000000"/>
          <w:lang w:val="es-AR" w:eastAsia="es-AR"/>
        </w:rPr>
        <w:t>n</w:t>
      </w:r>
      <w:r w:rsidRPr="006020B4">
        <w:rPr>
          <w:rFonts w:asciiTheme="minorHAnsi" w:hAnsiTheme="minorHAnsi" w:cstheme="minorHAnsi"/>
          <w:color w:val="000000"/>
          <w:lang w:val="es-AR" w:eastAsia="es-AR"/>
        </w:rPr>
        <w:t xml:space="preserve">do un esquema de interacción o trabajo en redes de actores de diferente naturaleza. </w:t>
      </w:r>
    </w:p>
    <w:p w:rsidR="00845F5E" w:rsidRPr="005E350E" w:rsidRDefault="00845F5E" w:rsidP="00845F5E">
      <w:pPr>
        <w:spacing w:after="200" w:line="276" w:lineRule="auto"/>
        <w:jc w:val="both"/>
        <w:rPr>
          <w:rFonts w:asciiTheme="minorHAnsi" w:hAnsiTheme="minorHAnsi" w:cstheme="minorHAnsi"/>
        </w:rPr>
      </w:pPr>
      <w:r w:rsidRPr="005E350E">
        <w:rPr>
          <w:rFonts w:asciiTheme="minorHAnsi" w:hAnsiTheme="minorHAnsi" w:cstheme="minorHAnsi"/>
        </w:rPr>
        <w:t>Estos avances se visualizan tanto desde la perspectiva de desarrollo de la demanda</w:t>
      </w:r>
      <w:r>
        <w:rPr>
          <w:rFonts w:asciiTheme="minorHAnsi" w:hAnsiTheme="minorHAnsi" w:cstheme="minorHAnsi"/>
        </w:rPr>
        <w:t xml:space="preserve"> y la generación de redes</w:t>
      </w:r>
      <w:r w:rsidRPr="005E350E">
        <w:rPr>
          <w:rFonts w:asciiTheme="minorHAnsi" w:hAnsiTheme="minorHAnsi" w:cstheme="minorHAnsi"/>
        </w:rPr>
        <w:t xml:space="preserve">, con una alta valoración por parte de los beneficiarios de todos los componentes del Programa, como así también desde la perspectiva de los resultados, aunque con algunas diferencias respecto de efectos e impacto. </w:t>
      </w:r>
    </w:p>
    <w:p w:rsidR="00DC05B4" w:rsidRPr="005E350E" w:rsidRDefault="00845F5E" w:rsidP="00DC05B4">
      <w:pPr>
        <w:spacing w:after="200" w:line="276" w:lineRule="auto"/>
        <w:jc w:val="both"/>
        <w:rPr>
          <w:rFonts w:asciiTheme="minorHAnsi" w:hAnsiTheme="minorHAnsi" w:cstheme="minorHAnsi"/>
        </w:rPr>
      </w:pPr>
      <w:r>
        <w:rPr>
          <w:rFonts w:asciiTheme="minorHAnsi" w:hAnsiTheme="minorHAnsi" w:cstheme="minorHAnsi"/>
        </w:rPr>
        <w:t>D</w:t>
      </w:r>
      <w:r w:rsidR="00DC05B4" w:rsidRPr="005E350E">
        <w:rPr>
          <w:rFonts w:asciiTheme="minorHAnsi" w:hAnsiTheme="minorHAnsi" w:cstheme="minorHAnsi"/>
        </w:rPr>
        <w:t xml:space="preserve">esde la perspectiva de la </w:t>
      </w:r>
      <w:r w:rsidR="00DC05B4" w:rsidRPr="00A5669B">
        <w:rPr>
          <w:rFonts w:asciiTheme="minorHAnsi" w:hAnsiTheme="minorHAnsi" w:cstheme="minorHAnsi"/>
          <w:b/>
          <w:i/>
        </w:rPr>
        <w:t>relevancia</w:t>
      </w:r>
      <w:r w:rsidR="00DC05B4" w:rsidRPr="005E350E">
        <w:rPr>
          <w:rFonts w:asciiTheme="minorHAnsi" w:hAnsiTheme="minorHAnsi" w:cstheme="minorHAnsi"/>
        </w:rPr>
        <w:t xml:space="preserve">, el PROCIT fue muy </w:t>
      </w:r>
      <w:r w:rsidR="00613D2E" w:rsidRPr="00613D2E">
        <w:rPr>
          <w:rFonts w:asciiTheme="minorHAnsi" w:hAnsiTheme="minorHAnsi" w:cstheme="minorHAnsi"/>
        </w:rPr>
        <w:t>importante</w:t>
      </w:r>
      <w:r w:rsidR="00DC05B4" w:rsidRPr="005E350E">
        <w:rPr>
          <w:rFonts w:asciiTheme="minorHAnsi" w:hAnsiTheme="minorHAnsi" w:cstheme="minorHAnsi"/>
        </w:rPr>
        <w:t xml:space="preserve"> a los fines de satisfacer una demanda en ciencia, tecnología e innovación, que se encontraba fragmentada, desarticulada y con escasos recursos para su funcionamiento y, por ende, para alcanzar sus objetivos.</w:t>
      </w:r>
      <w:r w:rsidR="00613D2E">
        <w:rPr>
          <w:rFonts w:asciiTheme="minorHAnsi" w:hAnsiTheme="minorHAnsi" w:cstheme="minorHAnsi"/>
        </w:rPr>
        <w:t xml:space="preserve"> En términos generales, </w:t>
      </w:r>
      <w:r w:rsidR="00613D2E" w:rsidRPr="00AE26A7">
        <w:rPr>
          <w:rFonts w:asciiTheme="minorHAnsi" w:hAnsiTheme="minorHAnsi" w:cstheme="minorHAnsi"/>
          <w:lang w:val="es-AR"/>
        </w:rPr>
        <w:t xml:space="preserve">las actividades </w:t>
      </w:r>
      <w:r w:rsidR="00613D2E">
        <w:rPr>
          <w:rFonts w:asciiTheme="minorHAnsi" w:hAnsiTheme="minorHAnsi" w:cstheme="minorHAnsi"/>
          <w:lang w:val="es-AR"/>
        </w:rPr>
        <w:t xml:space="preserve">del Programa han respondido </w:t>
      </w:r>
      <w:r w:rsidR="00613D2E" w:rsidRPr="00AE26A7">
        <w:rPr>
          <w:rFonts w:asciiTheme="minorHAnsi" w:hAnsiTheme="minorHAnsi" w:cstheme="minorHAnsi"/>
          <w:lang w:val="es-AR"/>
        </w:rPr>
        <w:t>a las prioridades y políticas</w:t>
      </w:r>
      <w:r w:rsidR="00613D2E">
        <w:rPr>
          <w:rFonts w:asciiTheme="minorHAnsi" w:hAnsiTheme="minorHAnsi" w:cstheme="minorHAnsi"/>
          <w:lang w:val="es-AR"/>
        </w:rPr>
        <w:t xml:space="preserve"> definidas en Paraguay para este sector. Asimismo, todos los actores involucrados en el Programa coinciden en señalar el gran aporte que ha significado el PROCIT en el desarrollo de la ciencia, tecnología e innovación en el país.  </w:t>
      </w:r>
    </w:p>
    <w:p w:rsidR="00DC05B4" w:rsidRDefault="00DC05B4" w:rsidP="00DC05B4">
      <w:pPr>
        <w:spacing w:after="200" w:line="276" w:lineRule="auto"/>
        <w:jc w:val="both"/>
        <w:rPr>
          <w:rStyle w:val="Emphasis"/>
          <w:rFonts w:ascii="Calibri" w:hAnsi="Calibri" w:cs="Calibri"/>
          <w:i w:val="0"/>
        </w:rPr>
      </w:pPr>
      <w:r w:rsidRPr="005E350E">
        <w:rPr>
          <w:rFonts w:asciiTheme="minorHAnsi" w:hAnsiTheme="minorHAnsi" w:cstheme="minorHAnsi"/>
        </w:rPr>
        <w:t xml:space="preserve">Desde la perspectiva de la </w:t>
      </w:r>
      <w:r w:rsidRPr="00A5669B">
        <w:rPr>
          <w:rFonts w:asciiTheme="minorHAnsi" w:hAnsiTheme="minorHAnsi" w:cstheme="minorHAnsi"/>
          <w:b/>
          <w:i/>
        </w:rPr>
        <w:t>eficacia</w:t>
      </w:r>
      <w:r w:rsidRPr="005E350E">
        <w:rPr>
          <w:rFonts w:asciiTheme="minorHAnsi" w:hAnsiTheme="minorHAnsi" w:cstheme="minorHAnsi"/>
        </w:rPr>
        <w:t>, y teniendo en cuenta las metas establecidas en el programa, fueron alcanzadas plenamente, excepto en el subcomponente de innovación, donde el número de proyectos ejecutados fue inferior a la meta.</w:t>
      </w:r>
      <w:r w:rsidR="00613D2E">
        <w:rPr>
          <w:rFonts w:asciiTheme="minorHAnsi" w:hAnsiTheme="minorHAnsi" w:cstheme="minorHAnsi"/>
        </w:rPr>
        <w:t xml:space="preserve"> Podemos decir que los objetivos planteados en el Programa fueron alcanzados en todos sus componentes y subcomponentes, teniendo en cuenta </w:t>
      </w:r>
      <w:r w:rsidR="00BD211E">
        <w:rPr>
          <w:rFonts w:asciiTheme="minorHAnsi" w:hAnsiTheme="minorHAnsi" w:cstheme="minorHAnsi"/>
        </w:rPr>
        <w:t xml:space="preserve">si bien existía un </w:t>
      </w:r>
      <w:r w:rsidR="00613D2E">
        <w:rPr>
          <w:rFonts w:asciiTheme="minorHAnsi" w:hAnsiTheme="minorHAnsi" w:cstheme="minorHAnsi"/>
        </w:rPr>
        <w:t xml:space="preserve">contexto </w:t>
      </w:r>
      <w:r w:rsidR="00BD211E">
        <w:rPr>
          <w:rFonts w:asciiTheme="minorHAnsi" w:hAnsiTheme="minorHAnsi" w:cstheme="minorHAnsi"/>
        </w:rPr>
        <w:t>macro</w:t>
      </w:r>
      <w:r w:rsidR="00613D2E">
        <w:rPr>
          <w:rFonts w:asciiTheme="minorHAnsi" w:hAnsiTheme="minorHAnsi" w:cstheme="minorHAnsi"/>
        </w:rPr>
        <w:t>económico</w:t>
      </w:r>
      <w:r w:rsidR="00BD211E">
        <w:rPr>
          <w:rFonts w:asciiTheme="minorHAnsi" w:hAnsiTheme="minorHAnsi" w:cstheme="minorHAnsi"/>
        </w:rPr>
        <w:t xml:space="preserve"> favorable para el desarrollo del Programa, el contexto </w:t>
      </w:r>
      <w:r w:rsidR="00613D2E">
        <w:rPr>
          <w:rFonts w:asciiTheme="minorHAnsi" w:hAnsiTheme="minorHAnsi" w:cstheme="minorHAnsi"/>
        </w:rPr>
        <w:t xml:space="preserve">político-institucional </w:t>
      </w:r>
      <w:r w:rsidR="00BD211E">
        <w:rPr>
          <w:rFonts w:asciiTheme="minorHAnsi" w:hAnsiTheme="minorHAnsi" w:cstheme="minorHAnsi"/>
        </w:rPr>
        <w:t xml:space="preserve">sufrió momentos de inestabilidad, a pesar de los cuales el Programa continuó su desarrollo. Siendo </w:t>
      </w:r>
      <w:r w:rsidR="00613D2E">
        <w:rPr>
          <w:rFonts w:asciiTheme="minorHAnsi" w:hAnsiTheme="minorHAnsi" w:cstheme="minorHAnsi"/>
        </w:rPr>
        <w:t>la primera experiencia de este tipo en Paraguay</w:t>
      </w:r>
      <w:r w:rsidR="00BD211E">
        <w:rPr>
          <w:rFonts w:asciiTheme="minorHAnsi" w:hAnsiTheme="minorHAnsi" w:cstheme="minorHAnsi"/>
        </w:rPr>
        <w:t>, e</w:t>
      </w:r>
      <w:r w:rsidR="00671EBD">
        <w:rPr>
          <w:rFonts w:asciiTheme="minorHAnsi" w:hAnsiTheme="minorHAnsi" w:cstheme="minorHAnsi"/>
        </w:rPr>
        <w:t>l PROCIT permitió el e</w:t>
      </w:r>
      <w:r w:rsidR="00671EBD" w:rsidRPr="00A05A7F">
        <w:rPr>
          <w:rStyle w:val="Emphasis"/>
          <w:rFonts w:ascii="Calibri" w:hAnsi="Calibri" w:cs="Calibri"/>
          <w:i w:val="0"/>
        </w:rPr>
        <w:t>stablecimiento de condiciones adecuadas para la realización de actividades cient</w:t>
      </w:r>
      <w:r w:rsidR="00BD211E">
        <w:rPr>
          <w:rStyle w:val="Emphasis"/>
          <w:rFonts w:ascii="Calibri" w:hAnsi="Calibri" w:cs="Calibri"/>
          <w:i w:val="0"/>
        </w:rPr>
        <w:t>ífico-tecnológicas en el país</w:t>
      </w:r>
      <w:r w:rsidR="00671EBD" w:rsidRPr="00A05A7F">
        <w:rPr>
          <w:rStyle w:val="Emphasis"/>
          <w:rFonts w:ascii="Calibri" w:hAnsi="Calibri" w:cs="Calibri"/>
          <w:i w:val="0"/>
        </w:rPr>
        <w:t>.</w:t>
      </w:r>
    </w:p>
    <w:p w:rsidR="00BD211E" w:rsidRDefault="00BD211E" w:rsidP="00DC05B4">
      <w:pPr>
        <w:spacing w:after="200" w:line="276" w:lineRule="auto"/>
        <w:jc w:val="both"/>
        <w:rPr>
          <w:rStyle w:val="Emphasis"/>
          <w:rFonts w:ascii="Calibri" w:hAnsi="Calibri" w:cs="Calibri"/>
          <w:i w:val="0"/>
        </w:rPr>
      </w:pPr>
      <w:r>
        <w:rPr>
          <w:rStyle w:val="Emphasis"/>
          <w:rFonts w:ascii="Calibri" w:hAnsi="Calibri" w:cs="Calibri"/>
          <w:i w:val="0"/>
        </w:rPr>
        <w:t xml:space="preserve">El Programa se desarrolló en el tiempo previsto, y alcanzando una completa ejecución presupuestaria a diciembre de 2013, fecha de finalización del Programa. La disponibilidad de recursos, el establecimiento de pautas claras de funcionamiento para el Programa, una alta demanda de sus líneas de apoyo y/o fortalecimiento, la difusión de sus actividades y </w:t>
      </w:r>
      <w:r>
        <w:rPr>
          <w:rStyle w:val="Emphasis"/>
          <w:rFonts w:ascii="Calibri" w:hAnsi="Calibri" w:cs="Calibri"/>
          <w:i w:val="0"/>
        </w:rPr>
        <w:lastRenderedPageBreak/>
        <w:t>algunas redes de articulación con universidades, investigadores, empresas, centros de investigación, etc., facilitaron el poder alcanzar los objetivos.</w:t>
      </w:r>
    </w:p>
    <w:p w:rsidR="00BD211E" w:rsidRPr="005E350E" w:rsidRDefault="00BD211E" w:rsidP="00DC05B4">
      <w:pPr>
        <w:spacing w:after="200" w:line="276" w:lineRule="auto"/>
        <w:jc w:val="both"/>
        <w:rPr>
          <w:rFonts w:asciiTheme="minorHAnsi" w:hAnsiTheme="minorHAnsi" w:cstheme="minorHAnsi"/>
        </w:rPr>
      </w:pPr>
      <w:r>
        <w:rPr>
          <w:rStyle w:val="Emphasis"/>
          <w:rFonts w:ascii="Calibri" w:hAnsi="Calibri" w:cs="Calibri"/>
          <w:i w:val="0"/>
        </w:rPr>
        <w:t>Por otro lado, algunas demoras en los desembolsos, procedimientos rígidos y complejos (que en algunos casos excedían a CONACYT), la escasa articulación entre los componentes (excepto en algunos casos entre becas y postgrados, y entre investigación e innovación), la falta de una mayor difusión y transferencia del conocimiento generado a partir de estas convocatorias, son algunos de los factores que de alguna manera han incidido en la manera en la cual se han alcanzado estos objetivos.</w:t>
      </w:r>
    </w:p>
    <w:p w:rsidR="00DC05B4" w:rsidRPr="005E350E" w:rsidRDefault="00DC05B4" w:rsidP="00DC05B4">
      <w:pPr>
        <w:spacing w:after="200" w:line="276" w:lineRule="auto"/>
        <w:jc w:val="both"/>
        <w:rPr>
          <w:rFonts w:asciiTheme="minorHAnsi" w:hAnsiTheme="minorHAnsi" w:cstheme="minorHAnsi"/>
          <w:lang w:val="es-AR" w:eastAsia="es-AR"/>
        </w:rPr>
      </w:pPr>
      <w:r w:rsidRPr="00A5669B">
        <w:rPr>
          <w:rFonts w:asciiTheme="minorHAnsi" w:hAnsiTheme="minorHAnsi" w:cstheme="minorHAnsi"/>
        </w:rPr>
        <w:t xml:space="preserve">En cuanto a la valoración a partir del criterio de </w:t>
      </w:r>
      <w:r w:rsidRPr="00A5669B">
        <w:rPr>
          <w:rFonts w:asciiTheme="minorHAnsi" w:hAnsiTheme="minorHAnsi" w:cstheme="minorHAnsi"/>
          <w:b/>
          <w:i/>
        </w:rPr>
        <w:t>eficiencia</w:t>
      </w:r>
      <w:r w:rsidRPr="00A5669B">
        <w:rPr>
          <w:rFonts w:asciiTheme="minorHAnsi" w:hAnsiTheme="minorHAnsi" w:cstheme="minorHAnsi"/>
        </w:rPr>
        <w:t>, po</w:t>
      </w:r>
      <w:r w:rsidRPr="005E350E">
        <w:rPr>
          <w:rFonts w:asciiTheme="minorHAnsi" w:hAnsiTheme="minorHAnsi" w:cstheme="minorHAnsi"/>
        </w:rPr>
        <w:t>de</w:t>
      </w:r>
      <w:r>
        <w:rPr>
          <w:rFonts w:asciiTheme="minorHAnsi" w:hAnsiTheme="minorHAnsi" w:cstheme="minorHAnsi"/>
        </w:rPr>
        <w:t>m</w:t>
      </w:r>
      <w:r w:rsidRPr="005E350E">
        <w:rPr>
          <w:rFonts w:asciiTheme="minorHAnsi" w:hAnsiTheme="minorHAnsi" w:cstheme="minorHAnsi"/>
        </w:rPr>
        <w:t>os decir que e</w:t>
      </w:r>
      <w:r w:rsidRPr="005E350E">
        <w:rPr>
          <w:rFonts w:asciiTheme="minorHAnsi" w:hAnsiTheme="minorHAnsi" w:cstheme="minorHAnsi"/>
          <w:lang w:val="es-AR" w:eastAsia="es-AR"/>
        </w:rPr>
        <w:t xml:space="preserve">l sector de CyT en Paraguay es marcadamente dependiente del apoyo público, por lo que un incremento del gasto en ese sector contribuiría a mejorar las redes entre sector público y privado necesarias para el crecimiento en el ámbito de la CyT. </w:t>
      </w:r>
    </w:p>
    <w:p w:rsidR="00DC05B4" w:rsidRPr="005E350E" w:rsidRDefault="00DC05B4" w:rsidP="00DC05B4">
      <w:pPr>
        <w:spacing w:after="200" w:line="276" w:lineRule="auto"/>
        <w:jc w:val="both"/>
        <w:rPr>
          <w:rFonts w:asciiTheme="minorHAnsi" w:hAnsiTheme="minorHAnsi" w:cstheme="minorHAnsi"/>
          <w:lang w:val="es-AR" w:eastAsia="es-AR"/>
        </w:rPr>
      </w:pPr>
      <w:r w:rsidRPr="005E350E">
        <w:rPr>
          <w:rFonts w:asciiTheme="minorHAnsi" w:hAnsiTheme="minorHAnsi" w:cstheme="minorHAnsi"/>
          <w:lang w:val="es-AR" w:eastAsia="es-AR"/>
        </w:rPr>
        <w:t>Si bien los beneficiarios de todos los componentes y subcomponentes han manifestado, en términos generales, un acuerdo respecto del monto del financiamiento en relación a los objetivos propuestos, la posibilidad de tomar en cuenta las recomendaciones que se realizan a cada uno de ello</w:t>
      </w:r>
      <w:r>
        <w:rPr>
          <w:rFonts w:asciiTheme="minorHAnsi" w:hAnsiTheme="minorHAnsi" w:cstheme="minorHAnsi"/>
          <w:lang w:val="es-AR" w:eastAsia="es-AR"/>
        </w:rPr>
        <w:t>s</w:t>
      </w:r>
      <w:r w:rsidRPr="005E350E">
        <w:rPr>
          <w:rFonts w:asciiTheme="minorHAnsi" w:hAnsiTheme="minorHAnsi" w:cstheme="minorHAnsi"/>
          <w:lang w:val="es-AR" w:eastAsia="es-AR"/>
        </w:rPr>
        <w:t xml:space="preserve"> y al programa de manera integral, podría hacer un uso más eficiente de los rec</w:t>
      </w:r>
      <w:r w:rsidR="00A5669B">
        <w:rPr>
          <w:rFonts w:asciiTheme="minorHAnsi" w:hAnsiTheme="minorHAnsi" w:cstheme="minorHAnsi"/>
          <w:lang w:val="es-AR" w:eastAsia="es-AR"/>
        </w:rPr>
        <w:t>ursos públicos destinados a CyT, respecto de futuros programas.</w:t>
      </w:r>
    </w:p>
    <w:p w:rsidR="00DC05B4" w:rsidRPr="005E350E" w:rsidRDefault="00DC05B4" w:rsidP="00DC05B4">
      <w:pPr>
        <w:spacing w:after="200" w:line="276" w:lineRule="auto"/>
        <w:jc w:val="both"/>
        <w:rPr>
          <w:rFonts w:asciiTheme="minorHAnsi" w:hAnsiTheme="minorHAnsi" w:cstheme="minorHAnsi"/>
          <w:lang w:val="es-AR" w:eastAsia="es-AR"/>
        </w:rPr>
      </w:pPr>
      <w:r w:rsidRPr="005E350E">
        <w:rPr>
          <w:rFonts w:asciiTheme="minorHAnsi" w:hAnsiTheme="minorHAnsi" w:cstheme="minorHAnsi"/>
          <w:lang w:val="es-AR" w:eastAsia="es-AR"/>
        </w:rPr>
        <w:t>Esto repercutiría de manera positiva en el producto nacional, generando de esta manera un círculo virtuoso, al crear los incentivos adecuados para la inversión en el sector por parte de las empresas y para la investigación en el país por parte de los recursos humanos altamente calificados.</w:t>
      </w:r>
    </w:p>
    <w:p w:rsidR="00DC05B4" w:rsidRDefault="00A5669B" w:rsidP="00DC05B4">
      <w:pPr>
        <w:spacing w:after="200" w:line="276" w:lineRule="auto"/>
        <w:jc w:val="both"/>
        <w:rPr>
          <w:rFonts w:asciiTheme="minorHAnsi" w:hAnsiTheme="minorHAnsi" w:cstheme="minorHAnsi"/>
          <w:lang w:val="es-AR"/>
        </w:rPr>
      </w:pPr>
      <w:r w:rsidRPr="00A5669B">
        <w:rPr>
          <w:rFonts w:asciiTheme="minorHAnsi" w:hAnsiTheme="minorHAnsi" w:cstheme="minorHAnsi"/>
          <w:lang w:val="es-AR"/>
        </w:rPr>
        <w:t xml:space="preserve">Si bien aún es muy pronto para valorar el </w:t>
      </w:r>
      <w:r w:rsidRPr="00A5669B">
        <w:rPr>
          <w:rFonts w:asciiTheme="minorHAnsi" w:hAnsiTheme="minorHAnsi" w:cstheme="minorHAnsi"/>
          <w:b/>
          <w:i/>
          <w:lang w:val="es-AR"/>
        </w:rPr>
        <w:t>impacto</w:t>
      </w:r>
      <w:r w:rsidRPr="00A5669B">
        <w:rPr>
          <w:rFonts w:asciiTheme="minorHAnsi" w:hAnsiTheme="minorHAnsi" w:cstheme="minorHAnsi"/>
          <w:lang w:val="es-AR"/>
        </w:rPr>
        <w:t xml:space="preserve"> del PROCIT, ciertamente podemos concluir que de no haberse llevado a cabo el PROCIT Paraguay no habría logrado mejorar ninguno de sus indicadores de CyT, continuando quizás con la emigración de investigadores y docentes al extranjero. </w:t>
      </w:r>
      <w:r>
        <w:rPr>
          <w:rFonts w:asciiTheme="minorHAnsi" w:hAnsiTheme="minorHAnsi" w:cstheme="minorHAnsi"/>
          <w:lang w:val="es-AR"/>
        </w:rPr>
        <w:t xml:space="preserve">Sí se pueden valorar algunos de sus </w:t>
      </w:r>
      <w:r w:rsidRPr="00A5669B">
        <w:rPr>
          <w:rFonts w:asciiTheme="minorHAnsi" w:hAnsiTheme="minorHAnsi" w:cstheme="minorHAnsi"/>
          <w:b/>
          <w:i/>
          <w:lang w:val="es-AR"/>
        </w:rPr>
        <w:t>efectos</w:t>
      </w:r>
      <w:r>
        <w:rPr>
          <w:rFonts w:asciiTheme="minorHAnsi" w:hAnsiTheme="minorHAnsi" w:cstheme="minorHAnsi"/>
          <w:lang w:val="es-AR"/>
        </w:rPr>
        <w:t xml:space="preserve">, a partir de los resultados obtenidos. </w:t>
      </w:r>
      <w:r w:rsidRPr="00A5669B">
        <w:rPr>
          <w:rFonts w:asciiTheme="minorHAnsi" w:hAnsiTheme="minorHAnsi" w:cstheme="minorHAnsi"/>
          <w:lang w:val="es-AR"/>
        </w:rPr>
        <w:t>Sin duda alguna que el pr</w:t>
      </w:r>
      <w:r>
        <w:rPr>
          <w:rFonts w:asciiTheme="minorHAnsi" w:hAnsiTheme="minorHAnsi" w:cstheme="minorHAnsi"/>
          <w:lang w:val="es-AR"/>
        </w:rPr>
        <w:t xml:space="preserve">incipal efecto del Programa fue </w:t>
      </w:r>
      <w:r w:rsidRPr="00A5669B">
        <w:rPr>
          <w:rFonts w:asciiTheme="minorHAnsi" w:hAnsiTheme="minorHAnsi" w:cstheme="minorHAnsi"/>
          <w:lang w:val="es-AR"/>
        </w:rPr>
        <w:t>de motivación y estímulo para t</w:t>
      </w:r>
      <w:r>
        <w:rPr>
          <w:rFonts w:asciiTheme="minorHAnsi" w:hAnsiTheme="minorHAnsi" w:cstheme="minorHAnsi"/>
          <w:lang w:val="es-AR"/>
        </w:rPr>
        <w:t>odos los actores de este sector, colocando en el sistema recursos económicos para desarrollar y fortalecer estas actividades. Asimismo, el Programa ha facilitado avanzar en una incipiente institucionalización de los instrumentos del PROCIT, que han repercutido no sólo en las actividades de investigación, formación, innovación, de las instituciones y personas beneficiarias, sino además en términos de mejoras en la gestión de dichas instituciones.</w:t>
      </w:r>
    </w:p>
    <w:p w:rsidR="00A5669B" w:rsidRPr="00A5669B" w:rsidRDefault="00A5669B" w:rsidP="00DC05B4">
      <w:pPr>
        <w:spacing w:after="200" w:line="276" w:lineRule="auto"/>
        <w:jc w:val="both"/>
        <w:rPr>
          <w:rFonts w:asciiTheme="minorHAnsi" w:hAnsiTheme="minorHAnsi" w:cstheme="minorHAnsi"/>
          <w:lang w:val="es-AR"/>
        </w:rPr>
      </w:pPr>
      <w:r>
        <w:rPr>
          <w:rFonts w:asciiTheme="minorHAnsi" w:hAnsiTheme="minorHAnsi" w:cstheme="minorHAnsi"/>
          <w:lang w:val="es-AR"/>
        </w:rPr>
        <w:t>El desarrollo y consolidación de redes</w:t>
      </w:r>
      <w:r w:rsidR="00666944">
        <w:rPr>
          <w:rFonts w:asciiTheme="minorHAnsi" w:hAnsiTheme="minorHAnsi" w:cstheme="minorHAnsi"/>
          <w:lang w:val="es-AR"/>
        </w:rPr>
        <w:t xml:space="preserve"> nacionales e</w:t>
      </w:r>
      <w:r>
        <w:rPr>
          <w:rFonts w:asciiTheme="minorHAnsi" w:hAnsiTheme="minorHAnsi" w:cstheme="minorHAnsi"/>
          <w:lang w:val="es-AR"/>
        </w:rPr>
        <w:t xml:space="preserve"> internacionales –no sólo desde el extranjero hacia Paraguay, sino también de Paraguay hacia la región y el mundo–, la generación y publicación de nuevos conocimientos, </w:t>
      </w:r>
      <w:r w:rsidR="00666944">
        <w:rPr>
          <w:rFonts w:asciiTheme="minorHAnsi" w:hAnsiTheme="minorHAnsi" w:cstheme="minorHAnsi"/>
          <w:lang w:val="es-AR"/>
        </w:rPr>
        <w:t xml:space="preserve">cierta transferencia de tecnología de </w:t>
      </w:r>
      <w:r w:rsidR="00666944">
        <w:rPr>
          <w:rFonts w:asciiTheme="minorHAnsi" w:hAnsiTheme="minorHAnsi" w:cstheme="minorHAnsi"/>
          <w:lang w:val="es-AR"/>
        </w:rPr>
        <w:lastRenderedPageBreak/>
        <w:t>universidades a empresas, el desarrollo de nuevos equipos y líneas de investigación, la mejora de los perfiles de los docentes paraguayos, son algunos de los principales efectos del Programa.</w:t>
      </w:r>
    </w:p>
    <w:p w:rsidR="00666944" w:rsidRDefault="00666944" w:rsidP="00DC05B4">
      <w:pPr>
        <w:spacing w:after="200" w:line="276" w:lineRule="auto"/>
        <w:jc w:val="both"/>
        <w:rPr>
          <w:rFonts w:asciiTheme="minorHAnsi" w:hAnsiTheme="minorHAnsi" w:cstheme="minorHAnsi"/>
          <w:highlight w:val="yellow"/>
        </w:rPr>
      </w:pPr>
      <w:r w:rsidRPr="00666944">
        <w:rPr>
          <w:rFonts w:asciiTheme="minorHAnsi" w:hAnsiTheme="minorHAnsi" w:cstheme="minorHAnsi"/>
          <w:lang w:val="es-AR"/>
        </w:rPr>
        <w:t xml:space="preserve">Específicamente respecto del componente de innovación, </w:t>
      </w:r>
      <w:r w:rsidRPr="00666944">
        <w:rPr>
          <w:rFonts w:asciiTheme="minorHAnsi" w:hAnsiTheme="minorHAnsi" w:cstheme="minorHAnsi"/>
        </w:rPr>
        <w:t>el beneficio básico del programa ha sido estimular la actividad de emprender proyectos</w:t>
      </w:r>
      <w:r w:rsidRPr="00AE26A7">
        <w:rPr>
          <w:rFonts w:asciiTheme="minorHAnsi" w:hAnsiTheme="minorHAnsi" w:cstheme="minorHAnsi"/>
        </w:rPr>
        <w:t xml:space="preserve"> e iniciar una cultura de innovación en el tejido industrial de Paraguay.</w:t>
      </w:r>
      <w:r>
        <w:rPr>
          <w:rFonts w:asciiTheme="minorHAnsi" w:hAnsiTheme="minorHAnsi" w:cstheme="minorHAnsi"/>
        </w:rPr>
        <w:t xml:space="preserve"> Sin embargo, </w:t>
      </w:r>
      <w:r w:rsidR="00561E3C">
        <w:rPr>
          <w:rFonts w:asciiTheme="minorHAnsi" w:hAnsiTheme="minorHAnsi" w:cstheme="minorHAnsi"/>
        </w:rPr>
        <w:t>s</w:t>
      </w:r>
      <w:r w:rsidR="00561E3C" w:rsidRPr="00AE26A7">
        <w:rPr>
          <w:rFonts w:asciiTheme="minorHAnsi" w:hAnsiTheme="minorHAnsi" w:cstheme="minorHAnsi"/>
        </w:rPr>
        <w:t>e observa que la importancia de los impactos económicos para las empresas es menor de lo que se espera en proyectos de innovación empresarial.</w:t>
      </w:r>
    </w:p>
    <w:p w:rsidR="00666944" w:rsidRPr="00561E3C" w:rsidRDefault="00666944" w:rsidP="00DC05B4">
      <w:pPr>
        <w:spacing w:after="200" w:line="276" w:lineRule="auto"/>
        <w:jc w:val="both"/>
        <w:rPr>
          <w:rFonts w:asciiTheme="minorHAnsi" w:hAnsiTheme="minorHAnsi" w:cstheme="minorHAnsi"/>
        </w:rPr>
      </w:pPr>
      <w:r w:rsidRPr="00561E3C">
        <w:rPr>
          <w:rFonts w:asciiTheme="minorHAnsi" w:hAnsiTheme="minorHAnsi" w:cstheme="minorHAnsi"/>
        </w:rPr>
        <w:t xml:space="preserve">Respecto del quinto criterio valorado, el de </w:t>
      </w:r>
      <w:r w:rsidRPr="00561E3C">
        <w:rPr>
          <w:rFonts w:asciiTheme="minorHAnsi" w:hAnsiTheme="minorHAnsi" w:cstheme="minorHAnsi"/>
          <w:b/>
          <w:i/>
        </w:rPr>
        <w:t>sostenibilidad</w:t>
      </w:r>
      <w:r w:rsidRPr="00561E3C">
        <w:rPr>
          <w:rFonts w:asciiTheme="minorHAnsi" w:hAnsiTheme="minorHAnsi" w:cstheme="minorHAnsi"/>
        </w:rPr>
        <w:t>, se puede concluir que es uno de los factores más críticos del PROCIT. Si evaluamos la posibilidad de que todas las actividades realizadas puedan continuar si se retira el financiamiento del CONACYT, esta valoración será muy baja, debido a la escasa institucionalización de los resultados de estas actividades. Como ya se mencionó el PROCIT inició un camino, con muy buenos resultados, pero que aún no han logrado consolidarse de manera autónoma. Por lo tanto, aún se requiere tanto de una continuidad respecto de la asignación de re</w:t>
      </w:r>
      <w:r w:rsidR="00561E3C">
        <w:rPr>
          <w:rFonts w:asciiTheme="minorHAnsi" w:hAnsiTheme="minorHAnsi" w:cstheme="minorHAnsi"/>
        </w:rPr>
        <w:t>c</w:t>
      </w:r>
      <w:r w:rsidRPr="00561E3C">
        <w:rPr>
          <w:rFonts w:asciiTheme="minorHAnsi" w:hAnsiTheme="minorHAnsi" w:cstheme="minorHAnsi"/>
        </w:rPr>
        <w:t>ursos económicos, como así también respecto de acciones que permitan interconectar actores, de manera interdisciplinaria, y así generar redes que puedan dar soporte al Sistema de Ciencia, Tecnología, Innovación y Calidad de Paraguay, eje de las funciones asignadas a</w:t>
      </w:r>
      <w:r w:rsidR="002A067A" w:rsidRPr="00561E3C">
        <w:rPr>
          <w:rFonts w:asciiTheme="minorHAnsi" w:hAnsiTheme="minorHAnsi" w:cstheme="minorHAnsi"/>
        </w:rPr>
        <w:t>l</w:t>
      </w:r>
      <w:r w:rsidRPr="00561E3C">
        <w:rPr>
          <w:rFonts w:asciiTheme="minorHAnsi" w:hAnsiTheme="minorHAnsi" w:cstheme="minorHAnsi"/>
        </w:rPr>
        <w:t xml:space="preserve"> CONACYT.</w:t>
      </w:r>
    </w:p>
    <w:p w:rsidR="00DC05B4" w:rsidRPr="001F69FF" w:rsidRDefault="00DC05B4" w:rsidP="00DC05B4">
      <w:pPr>
        <w:spacing w:before="200" w:line="276" w:lineRule="auto"/>
        <w:jc w:val="both"/>
        <w:rPr>
          <w:rFonts w:asciiTheme="minorHAnsi" w:hAnsiTheme="minorHAnsi" w:cstheme="minorHAnsi"/>
        </w:rPr>
      </w:pPr>
      <w:r w:rsidRPr="001F69FF">
        <w:rPr>
          <w:rFonts w:asciiTheme="minorHAnsi" w:hAnsiTheme="minorHAnsi" w:cstheme="minorHAnsi"/>
        </w:rPr>
        <w:t>El programa demostró que los diferentes grupos que integ</w:t>
      </w:r>
      <w:r>
        <w:rPr>
          <w:rFonts w:asciiTheme="minorHAnsi" w:hAnsiTheme="minorHAnsi" w:cstheme="minorHAnsi"/>
        </w:rPr>
        <w:t xml:space="preserve">ran el sistema nacional de CyT </w:t>
      </w:r>
      <w:r w:rsidRPr="001F69FF">
        <w:rPr>
          <w:rFonts w:asciiTheme="minorHAnsi" w:hAnsiTheme="minorHAnsi" w:cstheme="minorHAnsi"/>
        </w:rPr>
        <w:t>responden positivamente a instrumentos de fomento basados en mecanismos competitivos tales como convocatorias y ventanilla única. Se trata de un hecho importante que coloca a la política de CONACYT en sintonía con prácticas ya establecidas en América Latina y el Mundo, donde el uso de mecanismos “rentistas” (que remuneran a los agentes por participar de un determinado grupo y no por la relevancia de sus proyectos/actividades) ha tendido a desaparecer frente a iniciativas que aseguran la competencia entre ellos.</w:t>
      </w:r>
    </w:p>
    <w:p w:rsidR="00DC05B4" w:rsidRPr="001F69FF" w:rsidRDefault="00DC05B4" w:rsidP="00DC05B4">
      <w:pPr>
        <w:spacing w:before="200" w:line="276" w:lineRule="auto"/>
        <w:jc w:val="both"/>
        <w:rPr>
          <w:rFonts w:asciiTheme="minorHAnsi" w:hAnsiTheme="minorHAnsi" w:cstheme="minorHAnsi"/>
        </w:rPr>
      </w:pPr>
      <w:r w:rsidRPr="001F69FF">
        <w:rPr>
          <w:rFonts w:asciiTheme="minorHAnsi" w:hAnsiTheme="minorHAnsi" w:cstheme="minorHAnsi"/>
        </w:rPr>
        <w:t>El apoyo a la innovación constituye el nicho más dinámico de la polí</w:t>
      </w:r>
      <w:r>
        <w:rPr>
          <w:rFonts w:asciiTheme="minorHAnsi" w:hAnsiTheme="minorHAnsi" w:cstheme="minorHAnsi"/>
        </w:rPr>
        <w:t xml:space="preserve">tica CyT </w:t>
      </w:r>
      <w:r w:rsidRPr="001F69FF">
        <w:rPr>
          <w:rFonts w:asciiTheme="minorHAnsi" w:hAnsiTheme="minorHAnsi" w:cstheme="minorHAnsi"/>
        </w:rPr>
        <w:t xml:space="preserve">en América Latina; el crecimiento de la cantidad de empresas innovadoras y los recursos que a ellas se destinan son un fenómeno relativamente nuevo en la agenda pública. En el caso de Paraguay, el Programa encontró dificultades para que se manifieste el mismo dinamismo en el sector productivo. Aunque no resulta sencillo identificar los factores detrás de este comportamiento, debe mencionarse que el uso de aportes no reembolsables a través de una ventanilla abierta permanente ha resultado un instrumento eficaz en la región para promover la innovación en empresas. Asimismo, el país cuenta con una base de empresas en sectores que han reaccionado positivamente a la política de apoyo en países vecinos. </w:t>
      </w:r>
      <w:r w:rsidRPr="001F69FF">
        <w:rPr>
          <w:rFonts w:asciiTheme="minorHAnsi" w:hAnsiTheme="minorHAnsi" w:cstheme="minorHAnsi"/>
        </w:rPr>
        <w:lastRenderedPageBreak/>
        <w:t>Por lo tanto, es posible que existan restricciones en los recursos humanos adecuados para promover y desarrollar una cartera de proyectos de innovación. En el futuro debería favorecerse la conformación y desarrollo de una plataforma de fomento a la innovación con oficiales cuya preparación complemente una formación académica con prácticas (mediante pasantías, entre otros instrumentos) en plataformas de países regionales.</w:t>
      </w:r>
    </w:p>
    <w:p w:rsidR="00DC05B4" w:rsidRPr="005E350E" w:rsidRDefault="00DC05B4" w:rsidP="00DC05B4">
      <w:pPr>
        <w:spacing w:before="200" w:line="276" w:lineRule="auto"/>
        <w:jc w:val="both"/>
        <w:rPr>
          <w:rFonts w:asciiTheme="minorHAnsi" w:hAnsiTheme="minorHAnsi" w:cstheme="minorHAnsi"/>
        </w:rPr>
      </w:pPr>
      <w:r>
        <w:rPr>
          <w:rFonts w:asciiTheme="minorHAnsi" w:hAnsiTheme="minorHAnsi" w:cstheme="minorHAnsi"/>
        </w:rPr>
        <w:t>L</w:t>
      </w:r>
      <w:r w:rsidRPr="005E350E">
        <w:rPr>
          <w:rFonts w:asciiTheme="minorHAnsi" w:hAnsiTheme="minorHAnsi" w:cstheme="minorHAnsi"/>
        </w:rPr>
        <w:t xml:space="preserve">a valoración integral del PROCIT nos permite afirmar que la Política Nacional de Ciencia, Tecnología, Innovación y Calidad de Paraguay se ha puesto en marcha, conducida por su órgano rector, el CONACYT. Se ha empezado a recorrer un camino, y esto implica que la brecha para llegar a los objetivos formulados se está achicando, pero aún </w:t>
      </w:r>
      <w:r w:rsidR="00195CEC">
        <w:rPr>
          <w:rFonts w:asciiTheme="minorHAnsi" w:hAnsiTheme="minorHAnsi" w:cstheme="minorHAnsi"/>
        </w:rPr>
        <w:t xml:space="preserve">queda </w:t>
      </w:r>
      <w:r w:rsidRPr="005E350E">
        <w:rPr>
          <w:rFonts w:asciiTheme="minorHAnsi" w:hAnsiTheme="minorHAnsi" w:cstheme="minorHAnsi"/>
        </w:rPr>
        <w:t>por hacer.</w:t>
      </w:r>
    </w:p>
    <w:p w:rsidR="00DC05B4" w:rsidRDefault="00DC05B4" w:rsidP="001D500E">
      <w:pPr>
        <w:spacing w:after="200" w:line="276" w:lineRule="auto"/>
        <w:jc w:val="both"/>
        <w:rPr>
          <w:rFonts w:asciiTheme="minorHAnsi" w:hAnsiTheme="minorHAnsi" w:cstheme="minorHAnsi"/>
        </w:rPr>
      </w:pPr>
      <w:r w:rsidRPr="005E350E">
        <w:rPr>
          <w:rFonts w:asciiTheme="minorHAnsi" w:hAnsiTheme="minorHAnsi" w:cstheme="minorHAnsi"/>
        </w:rPr>
        <w:t xml:space="preserve">En este sentido, la principal recomendación es la continuidad de las acciones emprendidas desde el sector gubernamental, no sólo en cuanto a diseño de programas y proyectos, sino manteniendo una partida presupuestaria acorde a las necesidades de inversión que esta planificación requiere. </w:t>
      </w:r>
    </w:p>
    <w:p w:rsidR="00DC05B4" w:rsidRDefault="00DC05B4" w:rsidP="001D500E">
      <w:pPr>
        <w:spacing w:after="200" w:line="276" w:lineRule="auto"/>
        <w:jc w:val="both"/>
        <w:rPr>
          <w:rFonts w:asciiTheme="minorHAnsi" w:hAnsiTheme="minorHAnsi" w:cstheme="minorHAnsi"/>
        </w:rPr>
      </w:pPr>
      <w:r w:rsidRPr="005E350E">
        <w:rPr>
          <w:rFonts w:asciiTheme="minorHAnsi" w:hAnsiTheme="minorHAnsi" w:cstheme="minorHAnsi"/>
        </w:rPr>
        <w:t>Y, además, que las lecciones aprendidas puedan ser fuentes de información para una mejor toma de decisiones respecto de las políticas públicas de ciencia, tecnología, innovación y calidad en Paraguay.</w:t>
      </w:r>
    </w:p>
    <w:p w:rsidR="00DC05B4" w:rsidRDefault="00DC05B4" w:rsidP="001D500E">
      <w:pPr>
        <w:spacing w:after="200" w:line="276" w:lineRule="auto"/>
        <w:jc w:val="both"/>
        <w:rPr>
          <w:rFonts w:asciiTheme="minorHAnsi" w:hAnsiTheme="minorHAnsi" w:cstheme="minorHAnsi"/>
        </w:rPr>
      </w:pPr>
      <w:r w:rsidRPr="005E350E">
        <w:rPr>
          <w:rFonts w:asciiTheme="minorHAnsi" w:hAnsiTheme="minorHAnsi" w:cstheme="minorHAnsi"/>
        </w:rPr>
        <w:t xml:space="preserve">Contribuyendo en este sentido, presentamos a continuación, y como cierre de este informe, un </w:t>
      </w:r>
      <w:r w:rsidRPr="0017519B">
        <w:rPr>
          <w:rFonts w:asciiTheme="minorHAnsi" w:hAnsiTheme="minorHAnsi" w:cstheme="minorHAnsi"/>
          <w:b/>
          <w:i/>
        </w:rPr>
        <w:t>decálogo de recomendaciones</w:t>
      </w:r>
      <w:r w:rsidRPr="005E350E">
        <w:rPr>
          <w:rFonts w:asciiTheme="minorHAnsi" w:hAnsiTheme="minorHAnsi" w:cstheme="minorHAnsi"/>
        </w:rPr>
        <w:t xml:space="preserve"> para el camino que deberá recorrer de ahora en adelante Paraguay:</w:t>
      </w:r>
    </w:p>
    <w:p w:rsidR="00DC05B4" w:rsidRPr="001F69FF" w:rsidRDefault="00DC05B4" w:rsidP="001D500E">
      <w:pPr>
        <w:pStyle w:val="ListParagraph"/>
        <w:numPr>
          <w:ilvl w:val="0"/>
          <w:numId w:val="25"/>
        </w:numPr>
        <w:spacing w:after="200" w:line="276" w:lineRule="auto"/>
        <w:ind w:left="714" w:hanging="357"/>
        <w:contextualSpacing w:val="0"/>
        <w:jc w:val="both"/>
        <w:rPr>
          <w:rFonts w:asciiTheme="minorHAnsi" w:hAnsiTheme="minorHAnsi" w:cstheme="minorHAnsi"/>
        </w:rPr>
      </w:pPr>
      <w:r>
        <w:rPr>
          <w:rFonts w:asciiTheme="minorHAnsi" w:hAnsiTheme="minorHAnsi" w:cstheme="minorHAnsi"/>
          <w:color w:val="222222"/>
          <w:shd w:val="clear" w:color="auto" w:fill="FFFFFF"/>
        </w:rPr>
        <w:t>I</w:t>
      </w:r>
      <w:r w:rsidR="001D500E">
        <w:rPr>
          <w:rFonts w:asciiTheme="minorHAnsi" w:hAnsiTheme="minorHAnsi" w:cstheme="minorHAnsi"/>
          <w:color w:val="222222"/>
          <w:shd w:val="clear" w:color="auto" w:fill="FFFFFF"/>
        </w:rPr>
        <w:t>nstitucionalización de</w:t>
      </w:r>
      <w:r w:rsidRPr="001F69FF">
        <w:rPr>
          <w:rFonts w:asciiTheme="minorHAnsi" w:hAnsiTheme="minorHAnsi" w:cstheme="minorHAnsi"/>
          <w:color w:val="222222"/>
          <w:shd w:val="clear" w:color="auto" w:fill="FFFFFF"/>
        </w:rPr>
        <w:t xml:space="preserve"> los instrumentos probados por PROCIT, de manera que CONACYT tenga áreas de política en innovación, formación de recursos humanos y fortalecimiento de instituciones de investigación y formación</w:t>
      </w:r>
      <w:r>
        <w:rPr>
          <w:rFonts w:asciiTheme="minorHAnsi" w:hAnsiTheme="minorHAnsi" w:cstheme="minorHAnsi"/>
          <w:color w:val="222222"/>
          <w:shd w:val="clear" w:color="auto" w:fill="FFFFFF"/>
        </w:rPr>
        <w:t xml:space="preserve">. En ese sentido, la </w:t>
      </w:r>
      <w:r w:rsidRPr="001F69FF">
        <w:rPr>
          <w:rFonts w:asciiTheme="minorHAnsi" w:hAnsiTheme="minorHAnsi" w:cstheme="minorHAnsi"/>
          <w:color w:val="222222"/>
          <w:shd w:val="clear" w:color="auto" w:fill="FFFFFF"/>
        </w:rPr>
        <w:t>c</w:t>
      </w:r>
      <w:r>
        <w:rPr>
          <w:rFonts w:asciiTheme="minorHAnsi" w:hAnsiTheme="minorHAnsi" w:cstheme="minorHAnsi"/>
          <w:color w:val="222222"/>
          <w:shd w:val="clear" w:color="auto" w:fill="FFFFFF"/>
        </w:rPr>
        <w:t>o</w:t>
      </w:r>
      <w:r w:rsidRPr="001F69FF">
        <w:rPr>
          <w:rFonts w:asciiTheme="minorHAnsi" w:hAnsiTheme="minorHAnsi" w:cstheme="minorHAnsi"/>
          <w:color w:val="222222"/>
          <w:shd w:val="clear" w:color="auto" w:fill="FFFFFF"/>
        </w:rPr>
        <w:t>ntinuidad del equipo de trabajo formado a través de PROCIT es un elemento de enorme importancia para que la política se mantenga en el país. </w:t>
      </w:r>
    </w:p>
    <w:p w:rsidR="00DC05B4" w:rsidRPr="001F69FF" w:rsidRDefault="001D500E" w:rsidP="001D500E">
      <w:pPr>
        <w:pStyle w:val="ListParagraph"/>
        <w:numPr>
          <w:ilvl w:val="0"/>
          <w:numId w:val="25"/>
        </w:numPr>
        <w:spacing w:after="200" w:line="276" w:lineRule="auto"/>
        <w:ind w:left="714" w:hanging="357"/>
        <w:contextualSpacing w:val="0"/>
        <w:jc w:val="both"/>
        <w:rPr>
          <w:rFonts w:asciiTheme="minorHAnsi" w:hAnsiTheme="minorHAnsi" w:cstheme="minorHAnsi"/>
        </w:rPr>
      </w:pPr>
      <w:r>
        <w:rPr>
          <w:rFonts w:asciiTheme="minorHAnsi" w:hAnsiTheme="minorHAnsi" w:cstheme="minorHAnsi"/>
          <w:color w:val="222222"/>
          <w:shd w:val="clear" w:color="auto" w:fill="FFFFFF"/>
        </w:rPr>
        <w:t>Fortalecimiento</w:t>
      </w:r>
      <w:r w:rsidR="00DC05B4" w:rsidRPr="001F69FF">
        <w:rPr>
          <w:rFonts w:asciiTheme="minorHAnsi" w:hAnsiTheme="minorHAnsi" w:cstheme="minorHAnsi"/>
          <w:color w:val="222222"/>
          <w:shd w:val="clear" w:color="auto" w:fill="FFFFFF"/>
        </w:rPr>
        <w:t xml:space="preserve"> </w:t>
      </w:r>
      <w:r>
        <w:rPr>
          <w:rFonts w:asciiTheme="minorHAnsi" w:hAnsiTheme="minorHAnsi" w:cstheme="minorHAnsi"/>
          <w:color w:val="222222"/>
          <w:shd w:val="clear" w:color="auto" w:fill="FFFFFF"/>
        </w:rPr>
        <w:t>d</w:t>
      </w:r>
      <w:r w:rsidR="00DC05B4" w:rsidRPr="001F69FF">
        <w:rPr>
          <w:rFonts w:asciiTheme="minorHAnsi" w:hAnsiTheme="minorHAnsi" w:cstheme="minorHAnsi"/>
          <w:color w:val="222222"/>
          <w:shd w:val="clear" w:color="auto" w:fill="FFFFFF"/>
        </w:rPr>
        <w:t>el uso de instrumentos que aseguren la competencia p</w:t>
      </w:r>
      <w:r w:rsidR="00DC05B4">
        <w:rPr>
          <w:rFonts w:asciiTheme="minorHAnsi" w:hAnsiTheme="minorHAnsi" w:cstheme="minorHAnsi"/>
          <w:color w:val="222222"/>
          <w:shd w:val="clear" w:color="auto" w:fill="FFFFFF"/>
        </w:rPr>
        <w:t>or los fondos de CONACYT entre </w:t>
      </w:r>
      <w:r w:rsidR="00DC05B4" w:rsidRPr="001F69FF">
        <w:rPr>
          <w:rFonts w:asciiTheme="minorHAnsi" w:hAnsiTheme="minorHAnsi" w:cstheme="minorHAnsi"/>
          <w:color w:val="222222"/>
          <w:shd w:val="clear" w:color="auto" w:fill="FFFFFF"/>
        </w:rPr>
        <w:t>empresas, investigadores e instituciones. El uso de proyectos y propuestas, y los p</w:t>
      </w:r>
      <w:r w:rsidR="00DC05B4">
        <w:rPr>
          <w:rFonts w:asciiTheme="minorHAnsi" w:hAnsiTheme="minorHAnsi" w:cstheme="minorHAnsi"/>
          <w:color w:val="222222"/>
          <w:shd w:val="clear" w:color="auto" w:fill="FFFFFF"/>
        </w:rPr>
        <w:t>rocesos de identificación, prep</w:t>
      </w:r>
      <w:r w:rsidR="00DC05B4" w:rsidRPr="001F69FF">
        <w:rPr>
          <w:rFonts w:asciiTheme="minorHAnsi" w:hAnsiTheme="minorHAnsi" w:cstheme="minorHAnsi"/>
          <w:color w:val="222222"/>
          <w:shd w:val="clear" w:color="auto" w:fill="FFFFFF"/>
        </w:rPr>
        <w:t>aración, evaluación, entrega de beneficios y supervisión se han demostrado como herramientas pertinentes y aceptadas por los diferentes gru</w:t>
      </w:r>
      <w:r w:rsidR="00DC05B4">
        <w:rPr>
          <w:rFonts w:asciiTheme="minorHAnsi" w:hAnsiTheme="minorHAnsi" w:cstheme="minorHAnsi"/>
          <w:color w:val="222222"/>
          <w:shd w:val="clear" w:color="auto" w:fill="FFFFFF"/>
        </w:rPr>
        <w:t>p</w:t>
      </w:r>
      <w:r w:rsidR="00DC05B4" w:rsidRPr="001F69FF">
        <w:rPr>
          <w:rFonts w:asciiTheme="minorHAnsi" w:hAnsiTheme="minorHAnsi" w:cstheme="minorHAnsi"/>
          <w:color w:val="222222"/>
          <w:shd w:val="clear" w:color="auto" w:fill="FFFFFF"/>
        </w:rPr>
        <w:t>os de beneficiarios.</w:t>
      </w:r>
    </w:p>
    <w:p w:rsidR="00DC05B4" w:rsidRPr="001F69FF" w:rsidRDefault="00DC05B4" w:rsidP="00DC05B4">
      <w:pPr>
        <w:pStyle w:val="ListParagraph"/>
        <w:numPr>
          <w:ilvl w:val="0"/>
          <w:numId w:val="25"/>
        </w:numPr>
        <w:spacing w:after="200" w:line="276" w:lineRule="auto"/>
        <w:ind w:left="714" w:hanging="357"/>
        <w:contextualSpacing w:val="0"/>
        <w:jc w:val="both"/>
        <w:rPr>
          <w:rFonts w:asciiTheme="minorHAnsi" w:hAnsiTheme="minorHAnsi" w:cstheme="minorHAnsi"/>
        </w:rPr>
      </w:pPr>
      <w:r w:rsidRPr="001F69FF">
        <w:rPr>
          <w:rFonts w:asciiTheme="minorHAnsi" w:hAnsiTheme="minorHAnsi" w:cstheme="minorHAnsi"/>
        </w:rPr>
        <w:t>Articulación de todos los actores del sistema</w:t>
      </w:r>
      <w:r w:rsidR="00561E3C">
        <w:rPr>
          <w:rFonts w:asciiTheme="minorHAnsi" w:hAnsiTheme="minorHAnsi" w:cstheme="minorHAnsi"/>
        </w:rPr>
        <w:t>, a los fines de generar sinergias que puedan facilitar la consecución de los objetivos y generar recursos económicos que permitan ir financiando el sistema.</w:t>
      </w:r>
    </w:p>
    <w:p w:rsidR="00DC05B4" w:rsidRPr="001F69FF" w:rsidRDefault="00DC05B4" w:rsidP="00DC05B4">
      <w:pPr>
        <w:pStyle w:val="ListParagraph"/>
        <w:numPr>
          <w:ilvl w:val="0"/>
          <w:numId w:val="25"/>
        </w:numPr>
        <w:spacing w:after="200" w:line="276" w:lineRule="auto"/>
        <w:ind w:left="714" w:hanging="357"/>
        <w:contextualSpacing w:val="0"/>
        <w:jc w:val="both"/>
        <w:rPr>
          <w:rFonts w:asciiTheme="minorHAnsi" w:hAnsiTheme="minorHAnsi" w:cstheme="minorHAnsi"/>
        </w:rPr>
      </w:pPr>
      <w:r w:rsidRPr="001F69FF">
        <w:rPr>
          <w:rFonts w:asciiTheme="minorHAnsi" w:hAnsiTheme="minorHAnsi" w:cstheme="minorHAnsi"/>
        </w:rPr>
        <w:lastRenderedPageBreak/>
        <w:t>Generación de recursos para el sostenimiento de los programas</w:t>
      </w:r>
      <w:r w:rsidR="00561E3C">
        <w:rPr>
          <w:rFonts w:asciiTheme="minorHAnsi" w:hAnsiTheme="minorHAnsi" w:cstheme="minorHAnsi"/>
        </w:rPr>
        <w:t xml:space="preserve"> de manera autónoma, propiciando la comercialización de los resultados y/o prestación de servicios para todos los sectores de la sociedad paraguaya.</w:t>
      </w:r>
    </w:p>
    <w:p w:rsidR="00DC05B4" w:rsidRPr="005E350E" w:rsidRDefault="00DC05B4" w:rsidP="00DC05B4">
      <w:pPr>
        <w:pStyle w:val="ListParagraph"/>
        <w:numPr>
          <w:ilvl w:val="0"/>
          <w:numId w:val="25"/>
        </w:numPr>
        <w:spacing w:after="200" w:line="276" w:lineRule="auto"/>
        <w:contextualSpacing w:val="0"/>
        <w:jc w:val="both"/>
        <w:rPr>
          <w:rFonts w:asciiTheme="minorHAnsi" w:hAnsiTheme="minorHAnsi" w:cstheme="minorHAnsi"/>
        </w:rPr>
      </w:pPr>
      <w:r w:rsidRPr="005E350E">
        <w:rPr>
          <w:rFonts w:asciiTheme="minorHAnsi" w:hAnsiTheme="minorHAnsi" w:cstheme="minorHAnsi"/>
        </w:rPr>
        <w:t>Desarrollo de programas y proyectos multidisciplinarios</w:t>
      </w:r>
      <w:r w:rsidR="00561E3C">
        <w:rPr>
          <w:rFonts w:asciiTheme="minorHAnsi" w:hAnsiTheme="minorHAnsi" w:cstheme="minorHAnsi"/>
        </w:rPr>
        <w:t xml:space="preserve"> que permitan abordar problemáticas actuales y necesidades de la sociedad paraguaya con el grado de complejidad que requieren, y que sólo desde un área del conocimiento no se pueden alcanzar.</w:t>
      </w:r>
    </w:p>
    <w:p w:rsidR="00DC05B4" w:rsidRPr="005E350E" w:rsidRDefault="00DC05B4" w:rsidP="00DC05B4">
      <w:pPr>
        <w:pStyle w:val="ListParagraph"/>
        <w:numPr>
          <w:ilvl w:val="0"/>
          <w:numId w:val="25"/>
        </w:numPr>
        <w:spacing w:after="200" w:line="276" w:lineRule="auto"/>
        <w:contextualSpacing w:val="0"/>
        <w:jc w:val="both"/>
        <w:rPr>
          <w:rFonts w:asciiTheme="minorHAnsi" w:hAnsiTheme="minorHAnsi" w:cstheme="minorHAnsi"/>
        </w:rPr>
      </w:pPr>
      <w:r w:rsidRPr="005E350E">
        <w:rPr>
          <w:rFonts w:asciiTheme="minorHAnsi" w:hAnsiTheme="minorHAnsi" w:cstheme="minorHAnsi"/>
        </w:rPr>
        <w:t>Simplificación y digitalización de procesos</w:t>
      </w:r>
      <w:r w:rsidR="00561E3C">
        <w:rPr>
          <w:rFonts w:asciiTheme="minorHAnsi" w:hAnsiTheme="minorHAnsi" w:cstheme="minorHAnsi"/>
        </w:rPr>
        <w:t>, a los fines de facilitar la accesibilidad al sistema por parte de todos los actores, y que además se pueda disminuir la proporción de recursos económicos destinados a procesos y gestión administrativa, en beneficio de mejores resultados.</w:t>
      </w:r>
    </w:p>
    <w:p w:rsidR="00DC05B4" w:rsidRPr="005E350E" w:rsidRDefault="00DC05B4" w:rsidP="00DC05B4">
      <w:pPr>
        <w:pStyle w:val="ListParagraph"/>
        <w:numPr>
          <w:ilvl w:val="0"/>
          <w:numId w:val="25"/>
        </w:numPr>
        <w:spacing w:after="200" w:line="276" w:lineRule="auto"/>
        <w:contextualSpacing w:val="0"/>
        <w:jc w:val="both"/>
        <w:rPr>
          <w:rFonts w:asciiTheme="minorHAnsi" w:hAnsiTheme="minorHAnsi" w:cstheme="minorHAnsi"/>
        </w:rPr>
      </w:pPr>
      <w:r w:rsidRPr="005E350E">
        <w:rPr>
          <w:rFonts w:asciiTheme="minorHAnsi" w:hAnsiTheme="minorHAnsi" w:cstheme="minorHAnsi"/>
        </w:rPr>
        <w:t>Orientación de un mayor número de actividades tendientes a abordar problemáticas de interés para los paraguayos: sustentabilidad del medio ambiente, enferme</w:t>
      </w:r>
      <w:r w:rsidR="00561E3C">
        <w:rPr>
          <w:rFonts w:asciiTheme="minorHAnsi" w:hAnsiTheme="minorHAnsi" w:cstheme="minorHAnsi"/>
        </w:rPr>
        <w:t>dades endémicas, desempleo, entre otras que se puedan valorar desde los diferentes organismos que definen las políticas públicas del país.</w:t>
      </w:r>
    </w:p>
    <w:p w:rsidR="00DC05B4" w:rsidRPr="005E350E" w:rsidRDefault="00DC05B4" w:rsidP="00DC05B4">
      <w:pPr>
        <w:pStyle w:val="ListParagraph"/>
        <w:numPr>
          <w:ilvl w:val="0"/>
          <w:numId w:val="25"/>
        </w:numPr>
        <w:spacing w:after="200" w:line="276" w:lineRule="auto"/>
        <w:contextualSpacing w:val="0"/>
        <w:jc w:val="both"/>
        <w:rPr>
          <w:rFonts w:asciiTheme="minorHAnsi" w:hAnsiTheme="minorHAnsi" w:cstheme="minorHAnsi"/>
        </w:rPr>
      </w:pPr>
      <w:r w:rsidRPr="005E350E">
        <w:rPr>
          <w:rFonts w:asciiTheme="minorHAnsi" w:hAnsiTheme="minorHAnsi" w:cstheme="minorHAnsi"/>
        </w:rPr>
        <w:t>Desarrollo y fortalecimiento de la vinculación investigación – innovación</w:t>
      </w:r>
      <w:r w:rsidR="00561E3C">
        <w:rPr>
          <w:rFonts w:asciiTheme="minorHAnsi" w:hAnsiTheme="minorHAnsi" w:cstheme="minorHAnsi"/>
        </w:rPr>
        <w:t>, tendiendo a que la generación de conocimiento tenga una clara orientación a la resolución de los problemas de la sociedad paraguaya.</w:t>
      </w:r>
    </w:p>
    <w:p w:rsidR="00DC05B4" w:rsidRPr="005E350E" w:rsidRDefault="00DC05B4" w:rsidP="00DC05B4">
      <w:pPr>
        <w:pStyle w:val="ListParagraph"/>
        <w:numPr>
          <w:ilvl w:val="0"/>
          <w:numId w:val="25"/>
        </w:numPr>
        <w:spacing w:after="200" w:line="276" w:lineRule="auto"/>
        <w:contextualSpacing w:val="0"/>
        <w:jc w:val="both"/>
        <w:rPr>
          <w:rFonts w:asciiTheme="minorHAnsi" w:hAnsiTheme="minorHAnsi" w:cstheme="minorHAnsi"/>
        </w:rPr>
      </w:pPr>
      <w:r w:rsidRPr="005E350E">
        <w:rPr>
          <w:rFonts w:asciiTheme="minorHAnsi" w:hAnsiTheme="minorHAnsi" w:cstheme="minorHAnsi"/>
        </w:rPr>
        <w:t>Generación de acciones que faciliten y potencien la divulgación de resultados, tanto para los actores del sistema c</w:t>
      </w:r>
      <w:r w:rsidR="00561E3C">
        <w:rPr>
          <w:rFonts w:asciiTheme="minorHAnsi" w:hAnsiTheme="minorHAnsi" w:cstheme="minorHAnsi"/>
        </w:rPr>
        <w:t>omo para la sociedad en general, de tal manera que se pueda valorar mejor el uso de los recursos públicos.</w:t>
      </w:r>
    </w:p>
    <w:p w:rsidR="00DC05B4" w:rsidRPr="001860F3" w:rsidRDefault="00DC05B4" w:rsidP="00DC05B4">
      <w:pPr>
        <w:pStyle w:val="ListParagraph"/>
        <w:numPr>
          <w:ilvl w:val="0"/>
          <w:numId w:val="25"/>
        </w:numPr>
        <w:spacing w:after="200" w:line="276" w:lineRule="auto"/>
        <w:contextualSpacing w:val="0"/>
        <w:jc w:val="both"/>
        <w:rPr>
          <w:rFonts w:asciiTheme="minorHAnsi" w:hAnsiTheme="minorHAnsi" w:cstheme="minorHAnsi"/>
        </w:rPr>
      </w:pPr>
      <w:r w:rsidRPr="005E350E">
        <w:rPr>
          <w:rFonts w:asciiTheme="minorHAnsi" w:hAnsiTheme="minorHAnsi" w:cstheme="minorHAnsi"/>
        </w:rPr>
        <w:t>Fortalecimiento de redes internacionales</w:t>
      </w:r>
      <w:r w:rsidR="00561E3C">
        <w:rPr>
          <w:rFonts w:asciiTheme="minorHAnsi" w:hAnsiTheme="minorHAnsi" w:cstheme="minorHAnsi"/>
        </w:rPr>
        <w:t xml:space="preserve">, en un contexto globalizado, para </w:t>
      </w:r>
      <w:r w:rsidR="0017519B">
        <w:rPr>
          <w:rFonts w:asciiTheme="minorHAnsi" w:hAnsiTheme="minorHAnsi" w:cstheme="minorHAnsi"/>
        </w:rPr>
        <w:t>potenciar la imagen de Paraguay en el sector de la CyT, y además conseguir recursos económicos, tecnológicos, humanos, etc. que permitan fortalecer el sistema.</w:t>
      </w:r>
      <w:r w:rsidR="00561E3C">
        <w:rPr>
          <w:rFonts w:asciiTheme="minorHAnsi" w:hAnsiTheme="minorHAnsi" w:cstheme="minorHAnsi"/>
        </w:rPr>
        <w:t xml:space="preserve"> </w:t>
      </w:r>
      <w:r w:rsidRPr="005E350E">
        <w:rPr>
          <w:rFonts w:asciiTheme="minorHAnsi" w:hAnsiTheme="minorHAnsi" w:cstheme="minorHAnsi"/>
        </w:rPr>
        <w:t xml:space="preserve"> </w:t>
      </w:r>
    </w:p>
    <w:p w:rsidR="00F1655F" w:rsidRDefault="00F1655F" w:rsidP="00F1655F">
      <w:pPr>
        <w:pStyle w:val="Heading1"/>
      </w:pPr>
      <w:bookmarkStart w:id="473" w:name="_Toc375212010"/>
      <w:r>
        <w:t>Bibliografía</w:t>
      </w:r>
      <w:bookmarkEnd w:id="473"/>
    </w:p>
    <w:p w:rsidR="006A62C0" w:rsidRPr="00D85976" w:rsidRDefault="006A62C0" w:rsidP="00D85976">
      <w:pPr>
        <w:spacing w:after="200" w:line="276" w:lineRule="auto"/>
        <w:jc w:val="both"/>
        <w:rPr>
          <w:rFonts w:asciiTheme="minorHAnsi" w:eastAsiaTheme="minorHAnsi" w:hAnsiTheme="minorHAnsi" w:cstheme="minorHAnsi"/>
          <w:lang w:val="es-AR" w:eastAsia="en-US"/>
        </w:rPr>
      </w:pPr>
      <w:r w:rsidRPr="00D85976">
        <w:rPr>
          <w:rFonts w:asciiTheme="minorHAnsi" w:eastAsiaTheme="minorHAnsi" w:hAnsiTheme="minorHAnsi" w:cstheme="minorHAnsi"/>
          <w:lang w:val="es-AR" w:eastAsia="en-US"/>
        </w:rPr>
        <w:t xml:space="preserve">Aguilar, M. J. y Ander-Egg, E. (1992). </w:t>
      </w:r>
      <w:r w:rsidRPr="00830384">
        <w:rPr>
          <w:rFonts w:asciiTheme="minorHAnsi" w:eastAsiaTheme="minorHAnsi" w:hAnsiTheme="minorHAnsi" w:cstheme="minorHAnsi"/>
          <w:lang w:val="es-AR" w:eastAsia="en-US"/>
        </w:rPr>
        <w:t>Evaluación de servicios y programas sociales.</w:t>
      </w:r>
      <w:r w:rsidRPr="00D85976">
        <w:rPr>
          <w:rFonts w:asciiTheme="minorHAnsi" w:eastAsiaTheme="minorHAnsi" w:hAnsiTheme="minorHAnsi" w:cstheme="minorHAnsi"/>
          <w:lang w:val="es-AR" w:eastAsia="en-US"/>
        </w:rPr>
        <w:t xml:space="preserve"> Madrid: Siglo XXI.</w:t>
      </w:r>
    </w:p>
    <w:p w:rsidR="006A62C0" w:rsidRPr="00830384" w:rsidRDefault="009E1505" w:rsidP="00D85976">
      <w:pPr>
        <w:spacing w:after="200" w:line="276" w:lineRule="auto"/>
        <w:jc w:val="both"/>
        <w:rPr>
          <w:rFonts w:asciiTheme="minorHAnsi" w:eastAsiaTheme="minorHAnsi" w:hAnsiTheme="minorHAnsi" w:cstheme="minorHAnsi"/>
          <w:lang w:val="es-AR" w:eastAsia="en-US"/>
        </w:rPr>
      </w:pPr>
      <w:r w:rsidRPr="00830384">
        <w:rPr>
          <w:rFonts w:asciiTheme="minorHAnsi" w:eastAsiaTheme="minorHAnsi" w:hAnsiTheme="minorHAnsi" w:cstheme="minorHAnsi"/>
          <w:lang w:val="es-AR" w:eastAsia="en-US"/>
        </w:rPr>
        <w:t>CEPAL (2004). Desarrollo Productivo en economías abiertas, CEPAL, Santiago, Chile.</w:t>
      </w:r>
    </w:p>
    <w:p w:rsidR="009E1505" w:rsidRPr="00F24454" w:rsidRDefault="006A62C0" w:rsidP="00830384">
      <w:pPr>
        <w:spacing w:after="200" w:line="276" w:lineRule="auto"/>
        <w:jc w:val="both"/>
        <w:rPr>
          <w:rFonts w:asciiTheme="minorHAnsi" w:eastAsiaTheme="minorHAnsi" w:hAnsiTheme="minorHAnsi" w:cstheme="minorHAnsi"/>
          <w:lang w:val="en-US" w:eastAsia="en-US"/>
        </w:rPr>
      </w:pPr>
      <w:r w:rsidRPr="00F24454">
        <w:rPr>
          <w:rFonts w:asciiTheme="minorHAnsi" w:eastAsiaTheme="minorHAnsi" w:hAnsiTheme="minorHAnsi" w:cstheme="minorHAnsi"/>
          <w:lang w:val="en-US" w:eastAsia="en-US"/>
        </w:rPr>
        <w:t>Cimol</w:t>
      </w:r>
      <w:r w:rsidR="009E1505" w:rsidRPr="00F24454">
        <w:rPr>
          <w:rFonts w:asciiTheme="minorHAnsi" w:eastAsiaTheme="minorHAnsi" w:hAnsiTheme="minorHAnsi" w:cstheme="minorHAnsi"/>
          <w:lang w:val="en-US" w:eastAsia="en-US"/>
        </w:rPr>
        <w:t xml:space="preserve">i, M.; Ferraz J.C. y Primi, A. (2009).Science and technology policies in global open economies, reflections from Latin America and the Caribbean, Globalization, </w:t>
      </w:r>
      <w:r w:rsidR="009E1505" w:rsidRPr="00F24454">
        <w:rPr>
          <w:rFonts w:asciiTheme="minorHAnsi" w:eastAsiaTheme="minorHAnsi" w:hAnsiTheme="minorHAnsi" w:cstheme="minorHAnsi"/>
          <w:lang w:val="en-US" w:eastAsia="en-US"/>
        </w:rPr>
        <w:lastRenderedPageBreak/>
        <w:t>Competitiveness and Governability Journal, Georgetown University, Universia, 2009 vol. 3 num. 1, 32-60.</w:t>
      </w:r>
    </w:p>
    <w:p w:rsidR="006A62C0" w:rsidRPr="00830384" w:rsidRDefault="006A62C0" w:rsidP="00D85976">
      <w:pPr>
        <w:spacing w:after="200" w:line="276" w:lineRule="auto"/>
        <w:jc w:val="both"/>
        <w:rPr>
          <w:rFonts w:asciiTheme="minorHAnsi" w:eastAsiaTheme="minorHAnsi" w:hAnsiTheme="minorHAnsi" w:cstheme="minorHAnsi"/>
          <w:lang w:val="es-AR" w:eastAsia="en-US"/>
        </w:rPr>
      </w:pPr>
      <w:r w:rsidRPr="00830384">
        <w:rPr>
          <w:rFonts w:asciiTheme="minorHAnsi" w:eastAsiaTheme="minorHAnsi" w:hAnsiTheme="minorHAnsi" w:cstheme="minorHAnsi"/>
          <w:lang w:val="es-AR" w:eastAsia="en-US"/>
        </w:rPr>
        <w:t>CONACYT (2002). Política Nacional de Ciencia y Tecnología.</w:t>
      </w:r>
      <w:r w:rsidR="00D50BF4">
        <w:rPr>
          <w:rFonts w:asciiTheme="minorHAnsi" w:eastAsiaTheme="minorHAnsi" w:hAnsiTheme="minorHAnsi" w:cstheme="minorHAnsi"/>
          <w:lang w:val="es-AR" w:eastAsia="en-US"/>
        </w:rPr>
        <w:t xml:space="preserve"> Asunción, Paraguay.</w:t>
      </w:r>
    </w:p>
    <w:p w:rsidR="006A62C0" w:rsidRPr="00F24454" w:rsidRDefault="006A62C0" w:rsidP="00D85976">
      <w:pPr>
        <w:spacing w:after="200" w:line="276" w:lineRule="auto"/>
        <w:jc w:val="both"/>
        <w:rPr>
          <w:rFonts w:asciiTheme="minorHAnsi" w:eastAsiaTheme="minorHAnsi" w:hAnsiTheme="minorHAnsi" w:cstheme="minorHAnsi"/>
          <w:lang w:val="en-US" w:eastAsia="en-US"/>
        </w:rPr>
      </w:pPr>
      <w:r w:rsidRPr="00830384">
        <w:rPr>
          <w:rFonts w:asciiTheme="minorHAnsi" w:eastAsiaTheme="minorHAnsi" w:hAnsiTheme="minorHAnsi" w:cstheme="minorHAnsi"/>
          <w:lang w:val="es-AR" w:eastAsia="en-US"/>
        </w:rPr>
        <w:t>CONACYT (2005). Informe de Estadísticas e Indicadores de Ciencia y Tecnología de Paraguay.</w:t>
      </w:r>
      <w:r w:rsidR="006A07CA" w:rsidRPr="00830384">
        <w:rPr>
          <w:rFonts w:asciiTheme="minorHAnsi" w:eastAsiaTheme="minorHAnsi" w:hAnsiTheme="minorHAnsi" w:cstheme="minorHAnsi"/>
          <w:lang w:val="es-AR" w:eastAsia="en-US"/>
        </w:rPr>
        <w:t xml:space="preserve"> </w:t>
      </w:r>
      <w:r w:rsidR="006A07CA" w:rsidRPr="00F24454">
        <w:rPr>
          <w:rFonts w:asciiTheme="minorHAnsi" w:eastAsiaTheme="minorHAnsi" w:hAnsiTheme="minorHAnsi" w:cstheme="minorHAnsi"/>
          <w:lang w:val="en-US" w:eastAsia="en-US"/>
        </w:rPr>
        <w:t>Asunción, Paraguay.</w:t>
      </w:r>
    </w:p>
    <w:p w:rsidR="006A62C0" w:rsidRPr="00F24454" w:rsidRDefault="006A62C0" w:rsidP="00D85976">
      <w:pPr>
        <w:pStyle w:val="FootnoteText"/>
        <w:spacing w:after="200" w:line="276" w:lineRule="auto"/>
        <w:jc w:val="both"/>
        <w:rPr>
          <w:rFonts w:asciiTheme="minorHAnsi" w:hAnsiTheme="minorHAnsi" w:cstheme="minorHAnsi"/>
          <w:sz w:val="24"/>
          <w:szCs w:val="24"/>
          <w:lang w:val="en-US"/>
        </w:rPr>
      </w:pPr>
      <w:r w:rsidRPr="00F24454">
        <w:rPr>
          <w:rFonts w:asciiTheme="minorHAnsi" w:hAnsiTheme="minorHAnsi" w:cstheme="minorHAnsi"/>
          <w:sz w:val="24"/>
          <w:szCs w:val="24"/>
          <w:lang w:val="en-US"/>
        </w:rPr>
        <w:t>Foro Mundial Económico (2011). Global Competitiveness Report 2011-2012.</w:t>
      </w:r>
    </w:p>
    <w:p w:rsidR="006A62C0" w:rsidRPr="00D50BF4" w:rsidRDefault="006A62C0" w:rsidP="00D85976">
      <w:pPr>
        <w:spacing w:after="200" w:line="276" w:lineRule="auto"/>
        <w:jc w:val="both"/>
        <w:rPr>
          <w:rFonts w:asciiTheme="minorHAnsi" w:hAnsiTheme="minorHAnsi" w:cstheme="minorHAnsi"/>
          <w:color w:val="000000" w:themeColor="text1"/>
          <w:lang w:val="en-US"/>
        </w:rPr>
      </w:pPr>
      <w:r w:rsidRPr="00D85976">
        <w:rPr>
          <w:rFonts w:asciiTheme="minorHAnsi" w:hAnsiTheme="minorHAnsi" w:cstheme="minorHAnsi"/>
          <w:color w:val="000000" w:themeColor="text1"/>
          <w:lang w:val="en-US"/>
        </w:rPr>
        <w:t>Georghiou, Clarysse, Steurs, Bilsen y</w:t>
      </w:r>
      <w:r w:rsidR="00830384">
        <w:rPr>
          <w:rFonts w:asciiTheme="minorHAnsi" w:hAnsiTheme="minorHAnsi" w:cstheme="minorHAnsi"/>
          <w:color w:val="000000" w:themeColor="text1"/>
          <w:lang w:val="en-US"/>
        </w:rPr>
        <w:t xml:space="preserve"> </w:t>
      </w:r>
      <w:r w:rsidRPr="00D85976">
        <w:rPr>
          <w:rFonts w:asciiTheme="minorHAnsi" w:hAnsiTheme="minorHAnsi" w:cstheme="minorHAnsi"/>
          <w:color w:val="000000" w:themeColor="text1"/>
          <w:lang w:val="en-US"/>
        </w:rPr>
        <w:t xml:space="preserve">Larosse (2004). </w:t>
      </w:r>
      <w:r w:rsidRPr="00830384">
        <w:rPr>
          <w:rFonts w:asciiTheme="minorHAnsi" w:hAnsiTheme="minorHAnsi" w:cstheme="minorHAnsi"/>
          <w:i/>
          <w:color w:val="000000" w:themeColor="text1"/>
          <w:lang w:val="en-US"/>
        </w:rPr>
        <w:t>’</w:t>
      </w:r>
      <w:r w:rsidRPr="00830384">
        <w:rPr>
          <w:rStyle w:val="Emphasis"/>
          <w:rFonts w:asciiTheme="minorHAnsi" w:hAnsiTheme="minorHAnsi" w:cstheme="minorHAnsi"/>
          <w:i w:val="0"/>
          <w:color w:val="000000" w:themeColor="text1"/>
          <w:lang w:val="en-US"/>
        </w:rPr>
        <w:t xml:space="preserve">Making the Difference'. The Evaluation of 'Behavioural Additionality' of R&amp;D Subsidies. En: </w:t>
      </w:r>
      <w:r w:rsidRPr="00D50BF4">
        <w:rPr>
          <w:rFonts w:asciiTheme="minorHAnsi" w:hAnsiTheme="minorHAnsi" w:cstheme="minorHAnsi"/>
          <w:color w:val="000000" w:themeColor="text1"/>
          <w:lang w:val="en-US"/>
        </w:rPr>
        <w:t>IWT-STUDIES 48, June 2004.</w:t>
      </w:r>
    </w:p>
    <w:p w:rsidR="006A62C0" w:rsidRPr="00F24454" w:rsidRDefault="00FF12D5" w:rsidP="00D85976">
      <w:pPr>
        <w:spacing w:after="200" w:line="276" w:lineRule="auto"/>
        <w:jc w:val="both"/>
        <w:rPr>
          <w:rFonts w:asciiTheme="minorHAnsi" w:hAnsiTheme="minorHAnsi" w:cstheme="minorHAnsi"/>
          <w:lang w:val="es-AR"/>
        </w:rPr>
      </w:pPr>
      <w:r w:rsidRPr="00F24454">
        <w:rPr>
          <w:rFonts w:asciiTheme="minorHAnsi" w:hAnsiTheme="minorHAnsi" w:cstheme="minorHAnsi"/>
          <w:lang w:val="es-AR"/>
        </w:rPr>
        <w:t>Gertler et al (2011).  La evaluación de impacto en la práctica. Banco Mundial.</w:t>
      </w:r>
    </w:p>
    <w:p w:rsidR="006A62C0" w:rsidRPr="00F24454" w:rsidRDefault="006A62C0" w:rsidP="00D85976">
      <w:pPr>
        <w:spacing w:after="200" w:line="276" w:lineRule="auto"/>
        <w:jc w:val="both"/>
        <w:rPr>
          <w:rFonts w:asciiTheme="minorHAnsi" w:hAnsiTheme="minorHAnsi" w:cstheme="minorHAnsi"/>
          <w:lang w:val="es-AR"/>
        </w:rPr>
      </w:pPr>
      <w:r w:rsidRPr="00F24454">
        <w:rPr>
          <w:rFonts w:asciiTheme="minorHAnsi" w:hAnsiTheme="minorHAnsi" w:cstheme="minorHAnsi"/>
          <w:lang w:val="es-AR"/>
        </w:rPr>
        <w:t>IWT, IDEA Consult</w:t>
      </w:r>
      <w:r w:rsidRPr="00F24454">
        <w:rPr>
          <w:rFonts w:asciiTheme="minorHAnsi" w:hAnsiTheme="minorHAnsi" w:cstheme="minorHAnsi"/>
          <w:bCs/>
          <w:lang w:val="es-AR"/>
        </w:rPr>
        <w:t xml:space="preserve"> (2006). </w:t>
      </w:r>
      <w:r w:rsidRPr="00D85976">
        <w:rPr>
          <w:rFonts w:asciiTheme="minorHAnsi" w:hAnsiTheme="minorHAnsi" w:cstheme="minorHAnsi"/>
          <w:bCs/>
          <w:lang w:val="en-US"/>
        </w:rPr>
        <w:t>Study and Evaluation of the Behavioural Additionality of R&amp;D subsidies, Final report.</w:t>
      </w:r>
      <w:r w:rsidRPr="00D85976">
        <w:rPr>
          <w:rFonts w:asciiTheme="minorHAnsi" w:hAnsiTheme="minorHAnsi" w:cstheme="minorHAnsi"/>
          <w:lang w:val="en-US"/>
        </w:rPr>
        <w:t xml:space="preserve"> </w:t>
      </w:r>
      <w:r w:rsidRPr="00F24454">
        <w:rPr>
          <w:rFonts w:asciiTheme="minorHAnsi" w:hAnsiTheme="minorHAnsi" w:cstheme="minorHAnsi"/>
          <w:lang w:val="es-AR"/>
        </w:rPr>
        <w:t>Brussels.</w:t>
      </w:r>
    </w:p>
    <w:p w:rsidR="006A62C0" w:rsidRPr="00D50BF4" w:rsidRDefault="006A62C0" w:rsidP="00D85976">
      <w:pPr>
        <w:spacing w:after="200" w:line="276" w:lineRule="auto"/>
        <w:jc w:val="both"/>
        <w:rPr>
          <w:rFonts w:asciiTheme="minorHAnsi" w:hAnsiTheme="minorHAnsi" w:cstheme="minorHAnsi"/>
          <w:color w:val="000000"/>
          <w:lang w:val="es-AR" w:eastAsia="es-AR"/>
        </w:rPr>
      </w:pPr>
      <w:r w:rsidRPr="00D50BF4">
        <w:rPr>
          <w:rFonts w:asciiTheme="minorHAnsi" w:hAnsiTheme="minorHAnsi" w:cstheme="minorHAnsi"/>
          <w:color w:val="000000"/>
          <w:lang w:val="es-AR" w:eastAsia="es-AR"/>
        </w:rPr>
        <w:t>López</w:t>
      </w:r>
      <w:r w:rsidR="00D50BF4" w:rsidRPr="00D50BF4">
        <w:rPr>
          <w:rFonts w:asciiTheme="minorHAnsi" w:hAnsiTheme="minorHAnsi" w:cstheme="minorHAnsi"/>
          <w:color w:val="000000"/>
          <w:lang w:val="es-AR" w:eastAsia="es-AR"/>
        </w:rPr>
        <w:t>, A.</w:t>
      </w:r>
      <w:r w:rsidR="00D50BF4">
        <w:rPr>
          <w:rFonts w:asciiTheme="minorHAnsi" w:hAnsiTheme="minorHAnsi" w:cstheme="minorHAnsi"/>
          <w:color w:val="000000"/>
          <w:lang w:val="es-AR" w:eastAsia="es-AR"/>
        </w:rPr>
        <w:t xml:space="preserve"> (2009). La evaluación de programas públicos de apoyo al fomento y desarrollo de la tecnología y la innovación en el sector productivo en América Latina. Una revisión crítica. Diálogo Regional de Política Red de Innovación, Ciencia y Tecnología. Washington: BID. </w:t>
      </w:r>
    </w:p>
    <w:p w:rsidR="006A62C0" w:rsidRPr="00F24454" w:rsidRDefault="006A62C0" w:rsidP="00F24454">
      <w:pPr>
        <w:spacing w:after="200" w:line="276" w:lineRule="auto"/>
        <w:jc w:val="both"/>
        <w:rPr>
          <w:rFonts w:asciiTheme="minorHAnsi" w:hAnsiTheme="minorHAnsi" w:cstheme="minorHAnsi"/>
          <w:color w:val="000000"/>
          <w:lang w:val="es-AR" w:eastAsia="es-AR"/>
        </w:rPr>
      </w:pPr>
      <w:r w:rsidRPr="00F24454">
        <w:rPr>
          <w:rFonts w:asciiTheme="minorHAnsi" w:hAnsiTheme="minorHAnsi" w:cstheme="minorHAnsi"/>
          <w:color w:val="000000"/>
          <w:lang w:val="es-AR" w:eastAsia="es-AR"/>
        </w:rPr>
        <w:t xml:space="preserve">Neirotti (2007). </w:t>
      </w:r>
      <w:r w:rsidR="00F24454" w:rsidRPr="00F24454">
        <w:rPr>
          <w:rFonts w:asciiTheme="minorHAnsi" w:hAnsiTheme="minorHAnsi" w:cstheme="minorHAnsi"/>
          <w:color w:val="000000"/>
          <w:lang w:val="es-AR" w:eastAsia="es-AR"/>
        </w:rPr>
        <w:t>Elementos conceptuales y metodológicos para la evaluación de políticas y programas sociales. IIPE – Buenos Aires Sede Regional del Instituto Internacional de Planeamiento de la Educación</w:t>
      </w:r>
      <w:r w:rsidR="00F24454">
        <w:rPr>
          <w:rFonts w:asciiTheme="minorHAnsi" w:hAnsiTheme="minorHAnsi" w:cstheme="minorHAnsi"/>
          <w:color w:val="000000"/>
          <w:lang w:val="es-AR" w:eastAsia="es-AR"/>
        </w:rPr>
        <w:t xml:space="preserve">. </w:t>
      </w:r>
      <w:r w:rsidR="00F24454" w:rsidRPr="00F24454">
        <w:rPr>
          <w:rFonts w:asciiTheme="minorHAnsi" w:hAnsiTheme="minorHAnsi" w:cstheme="minorHAnsi"/>
          <w:color w:val="000000"/>
          <w:lang w:val="es-AR" w:eastAsia="es-AR"/>
        </w:rPr>
        <w:t>10º Curso Regional sobre “Planificación y Formulación de Políticas Educativas”</w:t>
      </w:r>
    </w:p>
    <w:p w:rsidR="006A62C0" w:rsidRPr="00F24454" w:rsidRDefault="00FF6950" w:rsidP="00F24454">
      <w:pPr>
        <w:spacing w:after="200" w:line="276" w:lineRule="auto"/>
        <w:jc w:val="both"/>
        <w:rPr>
          <w:rFonts w:asciiTheme="minorHAnsi" w:hAnsiTheme="minorHAnsi" w:cstheme="minorHAnsi"/>
          <w:color w:val="000000"/>
          <w:lang w:val="es-AR" w:eastAsia="es-AR"/>
        </w:rPr>
      </w:pPr>
      <w:r w:rsidRPr="00F24454">
        <w:rPr>
          <w:rFonts w:asciiTheme="minorHAnsi" w:hAnsiTheme="minorHAnsi" w:cstheme="minorHAnsi"/>
          <w:color w:val="000000"/>
          <w:lang w:val="es-AR" w:eastAsia="es-AR"/>
        </w:rPr>
        <w:t>OCDE (2011). Hacia un mecanismo para el diálogo de políticas de innovación: Oportunidades y desafíos para América Latina y el Caribe.</w:t>
      </w:r>
      <w:r w:rsidR="009E1505" w:rsidRPr="00F24454">
        <w:rPr>
          <w:rFonts w:asciiTheme="minorHAnsi" w:hAnsiTheme="minorHAnsi" w:cstheme="minorHAnsi"/>
          <w:color w:val="000000"/>
          <w:lang w:val="es-AR" w:eastAsia="es-AR"/>
        </w:rPr>
        <w:t xml:space="preserve"> París, Francia.</w:t>
      </w:r>
    </w:p>
    <w:p w:rsidR="006A62C0" w:rsidRPr="00D85976" w:rsidRDefault="006A62C0" w:rsidP="00D85976">
      <w:pPr>
        <w:autoSpaceDE w:val="0"/>
        <w:autoSpaceDN w:val="0"/>
        <w:adjustRightInd w:val="0"/>
        <w:spacing w:after="200" w:line="276" w:lineRule="auto"/>
        <w:jc w:val="both"/>
        <w:rPr>
          <w:rFonts w:asciiTheme="minorHAnsi" w:hAnsiTheme="minorHAnsi" w:cstheme="minorHAnsi"/>
          <w:lang w:val="es-AR" w:eastAsia="es-AR"/>
        </w:rPr>
      </w:pPr>
      <w:r w:rsidRPr="00FF6950">
        <w:rPr>
          <w:rFonts w:asciiTheme="minorHAnsi" w:eastAsiaTheme="minorHAnsi" w:hAnsiTheme="minorHAnsi" w:cstheme="minorHAnsi"/>
          <w:iCs/>
          <w:lang w:val="en-US" w:eastAsia="en-US"/>
        </w:rPr>
        <w:t xml:space="preserve">OECD/Eurostat (2005). </w:t>
      </w:r>
      <w:r w:rsidRPr="00D85976">
        <w:rPr>
          <w:rFonts w:asciiTheme="minorHAnsi" w:eastAsiaTheme="minorHAnsi" w:hAnsiTheme="minorHAnsi" w:cstheme="minorHAnsi"/>
          <w:iCs/>
          <w:lang w:val="en-US" w:eastAsia="en-US"/>
        </w:rPr>
        <w:t>Oslo Manual: Guidelines for Collecting and Interpreting Innovation Data.</w:t>
      </w:r>
      <w:r w:rsidRPr="00D85976">
        <w:rPr>
          <w:rFonts w:asciiTheme="minorHAnsi" w:eastAsiaTheme="minorHAnsi" w:hAnsiTheme="minorHAnsi" w:cstheme="minorHAnsi"/>
          <w:lang w:val="en-US" w:eastAsia="en-US"/>
        </w:rPr>
        <w:t xml:space="preserve"> </w:t>
      </w:r>
      <w:r w:rsidRPr="00D85976">
        <w:rPr>
          <w:rFonts w:asciiTheme="minorHAnsi" w:eastAsiaTheme="minorHAnsi" w:hAnsiTheme="minorHAnsi" w:cstheme="minorHAnsi"/>
          <w:lang w:val="es-AR" w:eastAsia="en-US"/>
        </w:rPr>
        <w:t xml:space="preserve">OECD: Paris. En: </w:t>
      </w:r>
      <w:r w:rsidRPr="00D85976">
        <w:rPr>
          <w:rFonts w:asciiTheme="minorHAnsi" w:eastAsiaTheme="minorHAnsi" w:hAnsiTheme="minorHAnsi" w:cstheme="minorHAnsi"/>
          <w:iCs/>
          <w:lang w:val="es-AR" w:eastAsia="en-US"/>
        </w:rPr>
        <w:t>http://dx.doi.org/10.1787/9789264013100-en.</w:t>
      </w:r>
    </w:p>
    <w:p w:rsidR="006A62C0" w:rsidRPr="00D85976" w:rsidRDefault="006A62C0" w:rsidP="00D85976">
      <w:pPr>
        <w:spacing w:after="200" w:line="276" w:lineRule="auto"/>
        <w:jc w:val="both"/>
        <w:rPr>
          <w:rFonts w:asciiTheme="minorHAnsi" w:hAnsiTheme="minorHAnsi" w:cstheme="minorHAnsi"/>
          <w:lang w:val="en-US"/>
        </w:rPr>
      </w:pPr>
      <w:r w:rsidRPr="00D85976">
        <w:rPr>
          <w:rFonts w:asciiTheme="minorHAnsi" w:eastAsiaTheme="minorHAnsi" w:hAnsiTheme="minorHAnsi" w:cstheme="minorHAnsi"/>
          <w:bCs/>
          <w:lang w:eastAsia="en-US"/>
        </w:rPr>
        <w:t>RIC</w:t>
      </w:r>
      <w:r w:rsidR="00D50BF4">
        <w:rPr>
          <w:rFonts w:asciiTheme="minorHAnsi" w:eastAsiaTheme="minorHAnsi" w:hAnsiTheme="minorHAnsi" w:cstheme="minorHAnsi"/>
          <w:bCs/>
          <w:lang w:eastAsia="en-US"/>
        </w:rPr>
        <w:t xml:space="preserve">YT </w:t>
      </w:r>
      <w:r w:rsidRPr="00D85976">
        <w:rPr>
          <w:rFonts w:asciiTheme="minorHAnsi" w:eastAsiaTheme="minorHAnsi" w:hAnsiTheme="minorHAnsi" w:cstheme="minorHAnsi"/>
          <w:bCs/>
          <w:lang w:eastAsia="en-US"/>
        </w:rPr>
        <w:t>/ OEA / CYTED, COLCIENCIAS/OCYT (</w:t>
      </w:r>
      <w:r w:rsidRPr="00D85976">
        <w:rPr>
          <w:rFonts w:asciiTheme="minorHAnsi" w:eastAsiaTheme="minorHAnsi" w:hAnsiTheme="minorHAnsi" w:cstheme="minorHAnsi"/>
          <w:lang w:eastAsia="en-US"/>
        </w:rPr>
        <w:t xml:space="preserve">2001). </w:t>
      </w:r>
      <w:r w:rsidRPr="00D85976">
        <w:rPr>
          <w:rFonts w:asciiTheme="minorHAnsi" w:eastAsiaTheme="minorHAnsi" w:hAnsiTheme="minorHAnsi" w:cstheme="minorHAnsi"/>
          <w:bCs/>
          <w:lang w:eastAsia="en-US"/>
        </w:rPr>
        <w:t xml:space="preserve">Normalización de Indicadores de Innovación Tecnológica en América Latina y el Caribe. </w:t>
      </w:r>
      <w:r w:rsidRPr="00D85976">
        <w:rPr>
          <w:rFonts w:asciiTheme="minorHAnsi" w:eastAsiaTheme="minorHAnsi" w:hAnsiTheme="minorHAnsi" w:cstheme="minorHAnsi"/>
          <w:bCs/>
          <w:lang w:val="en-US" w:eastAsia="en-US"/>
        </w:rPr>
        <w:t>MANUAL DE BOGOTÁ.</w:t>
      </w:r>
    </w:p>
    <w:p w:rsidR="006A62C0" w:rsidRDefault="006A62C0" w:rsidP="00D85976">
      <w:pPr>
        <w:spacing w:after="200" w:line="276" w:lineRule="auto"/>
        <w:jc w:val="both"/>
        <w:rPr>
          <w:rFonts w:asciiTheme="minorHAnsi" w:eastAsiaTheme="minorHAnsi" w:hAnsiTheme="minorHAnsi" w:cstheme="minorHAnsi"/>
          <w:lang w:val="en-US" w:eastAsia="en-US"/>
        </w:rPr>
      </w:pPr>
      <w:r w:rsidRPr="00D85976">
        <w:rPr>
          <w:rFonts w:asciiTheme="minorHAnsi" w:eastAsiaTheme="minorHAnsi" w:hAnsiTheme="minorHAnsi" w:cstheme="minorHAnsi"/>
          <w:lang w:val="en-US" w:eastAsia="en-US"/>
        </w:rPr>
        <w:t>Stephen Martin, John y T. Scott (1999). The Nature of Innovation Market Failure and the Design of Public Support for Private Innovation. Denmark: Centre for Industrial Economics, University of Copenhagen.</w:t>
      </w:r>
    </w:p>
    <w:p w:rsidR="006A62C0" w:rsidRPr="00D85976" w:rsidRDefault="006A62C0" w:rsidP="00D85976">
      <w:pPr>
        <w:spacing w:after="200" w:line="276" w:lineRule="auto"/>
        <w:jc w:val="both"/>
        <w:rPr>
          <w:rFonts w:asciiTheme="minorHAnsi" w:eastAsiaTheme="minorHAnsi" w:hAnsiTheme="minorHAnsi" w:cstheme="minorHAnsi"/>
          <w:lang w:val="en-US" w:eastAsia="en-US"/>
        </w:rPr>
      </w:pPr>
    </w:p>
    <w:p w:rsidR="00E66944" w:rsidRDefault="00C10DAE" w:rsidP="00F1655F">
      <w:pPr>
        <w:pStyle w:val="Heading1"/>
      </w:pPr>
      <w:bookmarkStart w:id="474" w:name="_Toc375212011"/>
      <w:r w:rsidRPr="00C10DAE">
        <w:lastRenderedPageBreak/>
        <w:t>Anexos</w:t>
      </w:r>
      <w:bookmarkEnd w:id="474"/>
    </w:p>
    <w:p w:rsidR="00E4370A" w:rsidRDefault="009227DC" w:rsidP="00DC05B4">
      <w:pPr>
        <w:spacing w:before="120" w:after="120" w:line="288" w:lineRule="auto"/>
        <w:jc w:val="both"/>
        <w:rPr>
          <w:rFonts w:ascii="Calibri" w:hAnsi="Calibri" w:cs="Calibri"/>
          <w:lang w:val="es-AR" w:eastAsia="es-AR"/>
        </w:rPr>
      </w:pPr>
      <w:r w:rsidRPr="00D51AC3">
        <w:rPr>
          <w:rFonts w:ascii="Calibri" w:hAnsi="Calibri" w:cs="Calibri"/>
          <w:lang w:val="es-AR" w:eastAsia="es-AR"/>
        </w:rPr>
        <w:t>S</w:t>
      </w:r>
      <w:r w:rsidR="00DC05B4">
        <w:rPr>
          <w:rFonts w:ascii="Calibri" w:hAnsi="Calibri" w:cs="Calibri"/>
          <w:lang w:val="es-AR" w:eastAsia="es-AR"/>
        </w:rPr>
        <w:t>e adjunta al presente informe el Anexo</w:t>
      </w:r>
      <w:r w:rsidR="005C631A">
        <w:rPr>
          <w:rFonts w:ascii="Calibri" w:hAnsi="Calibri" w:cs="Calibri"/>
          <w:lang w:val="es-AR" w:eastAsia="es-AR"/>
        </w:rPr>
        <w:t xml:space="preserve"> 8.1, correspondiente al Análisis Econométrico del Subcomponente de Investigación (1.1).</w:t>
      </w:r>
    </w:p>
    <w:p w:rsidR="00DC05B4" w:rsidRPr="00DC05B4" w:rsidRDefault="00DC05B4" w:rsidP="00DC05B4">
      <w:pPr>
        <w:spacing w:before="120" w:after="120" w:line="288" w:lineRule="auto"/>
        <w:jc w:val="both"/>
        <w:rPr>
          <w:rFonts w:ascii="Calibri" w:hAnsi="Calibri" w:cs="Calibri"/>
          <w:lang w:val="es-AR" w:eastAsia="es-AR"/>
        </w:rPr>
      </w:pPr>
      <w:r>
        <w:rPr>
          <w:rFonts w:ascii="Calibri" w:hAnsi="Calibri" w:cs="Calibri"/>
          <w:lang w:val="es-AR" w:eastAsia="es-AR"/>
        </w:rPr>
        <w:t>El resto de los anexos que se detallan a continuación fueron ya entregados en formato digital con el Segundo Informe:</w:t>
      </w:r>
    </w:p>
    <w:p w:rsidR="009227DC" w:rsidRPr="00DC05B4" w:rsidRDefault="009227DC" w:rsidP="00DC05B4">
      <w:pPr>
        <w:pStyle w:val="ListParagraph"/>
        <w:numPr>
          <w:ilvl w:val="0"/>
          <w:numId w:val="38"/>
        </w:numPr>
        <w:spacing w:before="200" w:line="276" w:lineRule="auto"/>
        <w:ind w:left="360"/>
        <w:jc w:val="both"/>
        <w:rPr>
          <w:rFonts w:asciiTheme="minorHAnsi" w:hAnsiTheme="minorHAnsi" w:cstheme="minorHAnsi"/>
          <w:lang w:val="es-AR" w:eastAsia="es-AR"/>
        </w:rPr>
      </w:pPr>
      <w:r w:rsidRPr="00DC05B4">
        <w:rPr>
          <w:rFonts w:asciiTheme="minorHAnsi" w:hAnsiTheme="minorHAnsi" w:cstheme="minorHAnsi"/>
          <w:lang w:val="es-AR" w:eastAsia="es-AR"/>
        </w:rPr>
        <w:t>Base de datos de la demanda</w:t>
      </w:r>
      <w:r w:rsidR="009968AA" w:rsidRPr="00DC05B4">
        <w:rPr>
          <w:rFonts w:asciiTheme="minorHAnsi" w:hAnsiTheme="minorHAnsi" w:cstheme="minorHAnsi"/>
          <w:lang w:val="es-AR" w:eastAsia="es-AR"/>
        </w:rPr>
        <w:t>.</w:t>
      </w:r>
    </w:p>
    <w:p w:rsidR="00A026F0" w:rsidRPr="00DC05B4" w:rsidRDefault="00560F24" w:rsidP="00DC05B4">
      <w:pPr>
        <w:pStyle w:val="ListParagraph"/>
        <w:numPr>
          <w:ilvl w:val="0"/>
          <w:numId w:val="38"/>
        </w:numPr>
        <w:spacing w:before="200" w:line="276" w:lineRule="auto"/>
        <w:ind w:left="360"/>
        <w:jc w:val="both"/>
        <w:rPr>
          <w:rFonts w:asciiTheme="minorHAnsi" w:hAnsiTheme="minorHAnsi" w:cstheme="minorHAnsi"/>
          <w:lang w:val="es-AR" w:eastAsia="es-AR"/>
        </w:rPr>
      </w:pPr>
      <w:r w:rsidRPr="00DC05B4">
        <w:rPr>
          <w:rFonts w:asciiTheme="minorHAnsi" w:hAnsiTheme="minorHAnsi" w:cstheme="minorHAnsi"/>
          <w:lang w:val="es-AR" w:eastAsia="es-AR"/>
        </w:rPr>
        <w:t>Base de datos de las encuestas</w:t>
      </w:r>
      <w:r w:rsidR="009227DC" w:rsidRPr="00DC05B4">
        <w:rPr>
          <w:rFonts w:asciiTheme="minorHAnsi" w:hAnsiTheme="minorHAnsi" w:cstheme="minorHAnsi"/>
          <w:lang w:val="es-AR" w:eastAsia="es-AR"/>
        </w:rPr>
        <w:t>: respuestas de las encuestas clasificadas por tipo encuestado (beneficiarios y no beneficiarios de cada subcomponente), gráficos y tablas elaboradas para el análisis de la información, y datos de s</w:t>
      </w:r>
      <w:r w:rsidR="00A026F0" w:rsidRPr="00DC05B4">
        <w:rPr>
          <w:rFonts w:asciiTheme="minorHAnsi" w:hAnsiTheme="minorHAnsi" w:cstheme="minorHAnsi"/>
          <w:lang w:val="es-AR" w:eastAsia="es-AR"/>
        </w:rPr>
        <w:t>eguimiento de las encu</w:t>
      </w:r>
      <w:r w:rsidR="009227DC" w:rsidRPr="00DC05B4">
        <w:rPr>
          <w:rFonts w:asciiTheme="minorHAnsi" w:hAnsiTheme="minorHAnsi" w:cstheme="minorHAnsi"/>
          <w:lang w:val="es-AR" w:eastAsia="es-AR"/>
        </w:rPr>
        <w:t>estas.</w:t>
      </w:r>
    </w:p>
    <w:p w:rsidR="00560F24" w:rsidRPr="00DC05B4" w:rsidRDefault="00560F24" w:rsidP="00DC05B4">
      <w:pPr>
        <w:pStyle w:val="ListParagraph"/>
        <w:numPr>
          <w:ilvl w:val="0"/>
          <w:numId w:val="38"/>
        </w:numPr>
        <w:spacing w:before="200" w:line="276" w:lineRule="auto"/>
        <w:ind w:left="360"/>
        <w:jc w:val="both"/>
        <w:rPr>
          <w:rFonts w:asciiTheme="minorHAnsi" w:hAnsiTheme="minorHAnsi" w:cstheme="minorHAnsi"/>
          <w:lang w:val="es-AR" w:eastAsia="es-AR"/>
        </w:rPr>
      </w:pPr>
      <w:r w:rsidRPr="00DC05B4">
        <w:rPr>
          <w:rFonts w:asciiTheme="minorHAnsi" w:hAnsiTheme="minorHAnsi" w:cstheme="minorHAnsi"/>
          <w:lang w:val="es-AR" w:eastAsia="es-AR"/>
        </w:rPr>
        <w:t xml:space="preserve">Agendas </w:t>
      </w:r>
      <w:r w:rsidR="009227DC" w:rsidRPr="00DC05B4">
        <w:rPr>
          <w:rFonts w:asciiTheme="minorHAnsi" w:hAnsiTheme="minorHAnsi" w:cstheme="minorHAnsi"/>
          <w:lang w:val="es-AR" w:eastAsia="es-AR"/>
        </w:rPr>
        <w:t>de actividades y visitas efectivamente realizadas en Paraguay en la semana del 5 al 9 de agosto de 2013.</w:t>
      </w:r>
    </w:p>
    <w:p w:rsidR="00560F24" w:rsidRPr="00DC05B4" w:rsidRDefault="00560F24" w:rsidP="00DC05B4">
      <w:pPr>
        <w:pStyle w:val="ListParagraph"/>
        <w:numPr>
          <w:ilvl w:val="0"/>
          <w:numId w:val="38"/>
        </w:numPr>
        <w:spacing w:before="200" w:line="276" w:lineRule="auto"/>
        <w:ind w:left="360"/>
        <w:jc w:val="both"/>
        <w:rPr>
          <w:rFonts w:asciiTheme="minorHAnsi" w:hAnsiTheme="minorHAnsi" w:cstheme="minorHAnsi"/>
          <w:lang w:val="es-AR" w:eastAsia="es-AR"/>
        </w:rPr>
      </w:pPr>
      <w:r w:rsidRPr="00DC05B4">
        <w:rPr>
          <w:rFonts w:asciiTheme="minorHAnsi" w:hAnsiTheme="minorHAnsi" w:cstheme="minorHAnsi"/>
          <w:lang w:val="es-AR" w:eastAsia="es-AR"/>
        </w:rPr>
        <w:t>Grabaciones</w:t>
      </w:r>
      <w:r w:rsidR="009227DC" w:rsidRPr="00DC05B4">
        <w:rPr>
          <w:rFonts w:asciiTheme="minorHAnsi" w:hAnsiTheme="minorHAnsi" w:cstheme="minorHAnsi"/>
          <w:lang w:val="es-AR" w:eastAsia="es-AR"/>
        </w:rPr>
        <w:t xml:space="preserve"> de entrevistas, grupos focales y visitas a universidades, empresas y centros de investigación.</w:t>
      </w:r>
    </w:p>
    <w:p w:rsidR="00560F24" w:rsidRPr="00DC05B4" w:rsidRDefault="00DC53E3" w:rsidP="00DC05B4">
      <w:pPr>
        <w:pStyle w:val="ListParagraph"/>
        <w:numPr>
          <w:ilvl w:val="0"/>
          <w:numId w:val="38"/>
        </w:numPr>
        <w:spacing w:before="200" w:line="276" w:lineRule="auto"/>
        <w:ind w:left="360"/>
        <w:jc w:val="both"/>
        <w:rPr>
          <w:rFonts w:asciiTheme="minorHAnsi" w:hAnsiTheme="minorHAnsi" w:cstheme="minorHAnsi"/>
          <w:lang w:val="es-AR" w:eastAsia="es-AR"/>
        </w:rPr>
      </w:pPr>
      <w:r w:rsidRPr="00DC05B4">
        <w:rPr>
          <w:rFonts w:asciiTheme="minorHAnsi" w:hAnsiTheme="minorHAnsi" w:cstheme="minorHAnsi"/>
          <w:lang w:val="es-AR" w:eastAsia="es-AR"/>
        </w:rPr>
        <w:t>Desgrabaciones</w:t>
      </w:r>
      <w:r w:rsidR="009227DC" w:rsidRPr="00DC05B4">
        <w:rPr>
          <w:rFonts w:asciiTheme="minorHAnsi" w:hAnsiTheme="minorHAnsi" w:cstheme="minorHAnsi"/>
          <w:lang w:val="es-AR" w:eastAsia="es-AR"/>
        </w:rPr>
        <w:t xml:space="preserve"> de algunas de las actividades mencionadas a los fines de realizar un análisis cualitativo.</w:t>
      </w:r>
    </w:p>
    <w:p w:rsidR="00392867" w:rsidRPr="00DC05B4" w:rsidRDefault="00560F24" w:rsidP="00DC05B4">
      <w:pPr>
        <w:pStyle w:val="ListParagraph"/>
        <w:numPr>
          <w:ilvl w:val="0"/>
          <w:numId w:val="38"/>
        </w:numPr>
        <w:spacing w:before="200" w:line="276" w:lineRule="auto"/>
        <w:ind w:left="360"/>
        <w:jc w:val="both"/>
        <w:rPr>
          <w:rFonts w:asciiTheme="minorHAnsi" w:hAnsiTheme="minorHAnsi" w:cstheme="minorHAnsi"/>
          <w:lang w:val="es-AR" w:eastAsia="es-AR"/>
        </w:rPr>
      </w:pPr>
      <w:r w:rsidRPr="00DC05B4">
        <w:rPr>
          <w:rFonts w:asciiTheme="minorHAnsi" w:hAnsiTheme="minorHAnsi" w:cstheme="minorHAnsi"/>
          <w:lang w:val="es-AR" w:eastAsia="es-AR"/>
        </w:rPr>
        <w:t>Toma de notas</w:t>
      </w:r>
      <w:r w:rsidR="00392867" w:rsidRPr="00DC05B4">
        <w:rPr>
          <w:rFonts w:asciiTheme="minorHAnsi" w:hAnsiTheme="minorHAnsi" w:cstheme="minorHAnsi"/>
          <w:lang w:val="es-AR" w:eastAsia="es-AR"/>
        </w:rPr>
        <w:t xml:space="preserve"> de grupos focales.</w:t>
      </w:r>
    </w:p>
    <w:p w:rsidR="00560F24" w:rsidRPr="00DC05B4" w:rsidRDefault="00392867" w:rsidP="00DC05B4">
      <w:pPr>
        <w:pStyle w:val="ListParagraph"/>
        <w:numPr>
          <w:ilvl w:val="0"/>
          <w:numId w:val="38"/>
        </w:numPr>
        <w:spacing w:before="200" w:line="276" w:lineRule="auto"/>
        <w:ind w:left="360"/>
        <w:jc w:val="both"/>
        <w:rPr>
          <w:rFonts w:asciiTheme="minorHAnsi" w:hAnsiTheme="minorHAnsi" w:cstheme="minorHAnsi"/>
          <w:lang w:val="es-AR" w:eastAsia="es-AR"/>
        </w:rPr>
      </w:pPr>
      <w:r w:rsidRPr="00DC05B4">
        <w:rPr>
          <w:rFonts w:asciiTheme="minorHAnsi" w:hAnsiTheme="minorHAnsi" w:cstheme="minorHAnsi"/>
          <w:lang w:val="es-AR" w:eastAsia="es-AR"/>
        </w:rPr>
        <w:t>F</w:t>
      </w:r>
      <w:r w:rsidR="00560F24" w:rsidRPr="00DC05B4">
        <w:rPr>
          <w:rFonts w:asciiTheme="minorHAnsi" w:hAnsiTheme="minorHAnsi" w:cstheme="minorHAnsi"/>
          <w:lang w:val="es-AR" w:eastAsia="es-AR"/>
        </w:rPr>
        <w:t>ichas</w:t>
      </w:r>
      <w:r w:rsidR="009227DC" w:rsidRPr="00DC05B4">
        <w:rPr>
          <w:rFonts w:asciiTheme="minorHAnsi" w:hAnsiTheme="minorHAnsi" w:cstheme="minorHAnsi"/>
          <w:lang w:val="es-AR" w:eastAsia="es-AR"/>
        </w:rPr>
        <w:t xml:space="preserve"> descriptivo-analíticas de una muestra de empresas.</w:t>
      </w:r>
    </w:p>
    <w:p w:rsidR="00392867" w:rsidRPr="00DC05B4" w:rsidRDefault="00392867" w:rsidP="00DC05B4">
      <w:pPr>
        <w:pStyle w:val="ListParagraph"/>
        <w:numPr>
          <w:ilvl w:val="0"/>
          <w:numId w:val="38"/>
        </w:numPr>
        <w:spacing w:before="200" w:line="276" w:lineRule="auto"/>
        <w:ind w:left="360"/>
        <w:jc w:val="both"/>
        <w:rPr>
          <w:rFonts w:asciiTheme="minorHAnsi" w:hAnsiTheme="minorHAnsi" w:cstheme="minorHAnsi"/>
          <w:lang w:val="es-AR" w:eastAsia="es-AR"/>
        </w:rPr>
      </w:pPr>
      <w:r w:rsidRPr="00DC05B4">
        <w:rPr>
          <w:rFonts w:asciiTheme="minorHAnsi" w:hAnsiTheme="minorHAnsi" w:cstheme="minorHAnsi"/>
          <w:lang w:val="es-AR" w:eastAsia="es-AR"/>
        </w:rPr>
        <w:t xml:space="preserve">Fotos de las visitas. </w:t>
      </w:r>
    </w:p>
    <w:p w:rsidR="00560F24" w:rsidRPr="00DC05B4" w:rsidRDefault="00560F24" w:rsidP="00DC05B4">
      <w:pPr>
        <w:spacing w:before="200" w:line="276" w:lineRule="auto"/>
        <w:jc w:val="both"/>
        <w:rPr>
          <w:rFonts w:asciiTheme="minorHAnsi" w:hAnsiTheme="minorHAnsi" w:cstheme="minorHAnsi"/>
          <w:lang w:val="es-AR" w:eastAsia="es-AR"/>
        </w:rPr>
      </w:pPr>
    </w:p>
    <w:p w:rsidR="00560F24" w:rsidRPr="00DC05B4" w:rsidRDefault="00560F24" w:rsidP="00DC05B4">
      <w:pPr>
        <w:spacing w:before="200" w:line="276" w:lineRule="auto"/>
        <w:ind w:left="-360" w:firstLine="60"/>
        <w:rPr>
          <w:rFonts w:asciiTheme="minorHAnsi" w:hAnsiTheme="minorHAnsi" w:cstheme="minorHAnsi"/>
          <w:lang w:val="es-AR" w:eastAsia="es-AR"/>
        </w:rPr>
      </w:pPr>
    </w:p>
    <w:sectPr w:rsidR="00560F24" w:rsidRPr="00DC05B4" w:rsidSect="002A366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C69" w:rsidRDefault="00B60C69" w:rsidP="004F01AB">
      <w:r>
        <w:separator/>
      </w:r>
    </w:p>
  </w:endnote>
  <w:endnote w:type="continuationSeparator" w:id="0">
    <w:p w:rsidR="00B60C69" w:rsidRDefault="00B60C69" w:rsidP="004F0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panose1 w:val="00000000000000000000"/>
    <w:charset w:val="00"/>
    <w:family w:val="roman"/>
    <w:notTrueType/>
    <w:pitch w:val="default"/>
  </w:font>
  <w:font w:name="Lohit Hindi">
    <w:altName w:val="MS Mincho"/>
    <w:charset w:val="80"/>
    <w:family w:val="auto"/>
    <w:pitch w:val="variable"/>
  </w:font>
  <w:font w:name="Times">
    <w:panose1 w:val="02020603050405020304"/>
    <w:charset w:val="00"/>
    <w:family w:val="roman"/>
    <w:notTrueType/>
    <w:pitch w:val="variable"/>
    <w:sig w:usb0="00000003" w:usb1="00000000" w:usb2="00000000" w:usb3="00000000" w:csb0="00000001" w:csb1="00000000"/>
  </w:font>
  <w:font w:name="Liberation Serif">
    <w:altName w:val="MS PMincho"/>
    <w:charset w:val="80"/>
    <w:family w:val="roman"/>
    <w:pitch w:val="variable"/>
  </w:font>
  <w:font w:name="WenQuanYi Micro Hei">
    <w:panose1 w:val="00000000000000000000"/>
    <w:charset w:val="00"/>
    <w:family w:val="roman"/>
    <w:notTrueType/>
    <w:pitch w:val="default"/>
  </w:font>
  <w:font w:name="Microsoft Sans Serif">
    <w:panose1 w:val="020B0604020202020204"/>
    <w:charset w:val="00"/>
    <w:family w:val="swiss"/>
    <w:pitch w:val="variable"/>
    <w:sig w:usb0="E1002AFF" w:usb1="C0000002" w:usb2="00000008" w:usb3="00000000" w:csb0="000101FF" w:csb1="00000000"/>
  </w:font>
  <w:font w:name="BookmanOldStyle">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77529"/>
      <w:docPartObj>
        <w:docPartGallery w:val="Page Numbers (Bottom of Page)"/>
        <w:docPartUnique/>
      </w:docPartObj>
    </w:sdtPr>
    <w:sdtEndPr>
      <w:rPr>
        <w:rFonts w:asciiTheme="minorHAnsi" w:hAnsiTheme="minorHAnsi" w:cstheme="minorHAnsi"/>
      </w:rPr>
    </w:sdtEndPr>
    <w:sdtContent>
      <w:p w:rsidR="007A62FA" w:rsidRPr="007F3607" w:rsidRDefault="007A62FA">
        <w:pPr>
          <w:pStyle w:val="Footer"/>
          <w:jc w:val="right"/>
          <w:rPr>
            <w:rFonts w:asciiTheme="minorHAnsi" w:hAnsiTheme="minorHAnsi" w:cstheme="minorHAnsi"/>
          </w:rPr>
        </w:pPr>
        <w:r w:rsidRPr="007F3607">
          <w:rPr>
            <w:rFonts w:asciiTheme="minorHAnsi" w:hAnsiTheme="minorHAnsi" w:cstheme="minorHAnsi"/>
          </w:rPr>
          <w:fldChar w:fldCharType="begin"/>
        </w:r>
        <w:r w:rsidRPr="007F3607">
          <w:rPr>
            <w:rFonts w:asciiTheme="minorHAnsi" w:hAnsiTheme="minorHAnsi" w:cstheme="minorHAnsi"/>
          </w:rPr>
          <w:instrText>PAGE   \* MERGEFORMAT</w:instrText>
        </w:r>
        <w:r w:rsidRPr="007F3607">
          <w:rPr>
            <w:rFonts w:asciiTheme="minorHAnsi" w:hAnsiTheme="minorHAnsi" w:cstheme="minorHAnsi"/>
          </w:rPr>
          <w:fldChar w:fldCharType="separate"/>
        </w:r>
        <w:r w:rsidR="00CD535C">
          <w:rPr>
            <w:rFonts w:asciiTheme="minorHAnsi" w:hAnsiTheme="minorHAnsi" w:cstheme="minorHAnsi"/>
            <w:noProof/>
          </w:rPr>
          <w:t>6</w:t>
        </w:r>
        <w:r w:rsidRPr="007F3607">
          <w:rPr>
            <w:rFonts w:asciiTheme="minorHAnsi" w:hAnsiTheme="minorHAnsi" w:cstheme="minorHAnsi"/>
          </w:rPr>
          <w:fldChar w:fldCharType="end"/>
        </w:r>
      </w:p>
    </w:sdtContent>
  </w:sdt>
  <w:p w:rsidR="007A62FA" w:rsidRDefault="007A62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C69" w:rsidRDefault="00B60C69" w:rsidP="004F01AB">
      <w:r>
        <w:separator/>
      </w:r>
    </w:p>
  </w:footnote>
  <w:footnote w:type="continuationSeparator" w:id="0">
    <w:p w:rsidR="00B60C69" w:rsidRDefault="00B60C69" w:rsidP="004F01AB">
      <w:r>
        <w:continuationSeparator/>
      </w:r>
    </w:p>
  </w:footnote>
  <w:footnote w:id="1">
    <w:p w:rsidR="007A62FA" w:rsidRPr="009C5D92" w:rsidRDefault="007A62FA" w:rsidP="009C5D92">
      <w:pPr>
        <w:pStyle w:val="FootnoteText"/>
        <w:jc w:val="both"/>
        <w:rPr>
          <w:rFonts w:asciiTheme="minorHAnsi" w:hAnsiTheme="minorHAnsi" w:cstheme="minorHAnsi"/>
        </w:rPr>
      </w:pPr>
      <w:r w:rsidRPr="009C5D92">
        <w:rPr>
          <w:rStyle w:val="FootnoteReference"/>
          <w:rFonts w:asciiTheme="minorHAnsi" w:hAnsiTheme="minorHAnsi" w:cstheme="minorHAnsi"/>
        </w:rPr>
        <w:footnoteRef/>
      </w:r>
      <w:r w:rsidRPr="009C5D92">
        <w:rPr>
          <w:rFonts w:asciiTheme="minorHAnsi" w:hAnsiTheme="minorHAnsi" w:cstheme="minorHAnsi"/>
        </w:rPr>
        <w:t xml:space="preserve"> El “Índice Global de Competitividad” es un índice elaborado por el Foro Mundial Económico desde 2005 como una herramienta para medir de manera global los fundamentos de macro y micro económicos de la competitividad nacional. En dicho índice, la competitividad se define como “el conjunto de instituciones, políticas y factores que determinan el nivel de productividad de un país”</w:t>
      </w:r>
      <w:r>
        <w:rPr>
          <w:rFonts w:asciiTheme="minorHAnsi" w:hAnsiTheme="minorHAnsi" w:cstheme="minorHAnsi"/>
        </w:rPr>
        <w:t>.</w:t>
      </w:r>
      <w:r w:rsidRPr="009C5D92">
        <w:rPr>
          <w:rFonts w:asciiTheme="minorHAnsi" w:hAnsiTheme="minorHAnsi" w:cstheme="minorHAnsi"/>
        </w:rPr>
        <w:t xml:space="preserve"> Foro Mundial Económico. </w:t>
      </w:r>
      <w:r w:rsidRPr="009C5D92">
        <w:rPr>
          <w:rFonts w:asciiTheme="minorHAnsi" w:hAnsiTheme="minorHAnsi" w:cstheme="minorHAnsi"/>
          <w:i/>
        </w:rPr>
        <w:t>Global Competitiveness Report</w:t>
      </w:r>
      <w:r w:rsidRPr="009C5D92">
        <w:rPr>
          <w:rFonts w:asciiTheme="minorHAnsi" w:hAnsiTheme="minorHAnsi" w:cstheme="minorHAnsi"/>
        </w:rPr>
        <w:t xml:space="preserve"> 2011-2012 (2011).</w:t>
      </w:r>
    </w:p>
  </w:footnote>
  <w:footnote w:id="2">
    <w:p w:rsidR="007A62FA" w:rsidRPr="009C5D92" w:rsidRDefault="007A62FA" w:rsidP="009C5D92">
      <w:pPr>
        <w:pStyle w:val="FootnoteText"/>
        <w:jc w:val="both"/>
        <w:rPr>
          <w:rFonts w:asciiTheme="minorHAnsi" w:hAnsiTheme="minorHAnsi" w:cstheme="minorHAnsi"/>
        </w:rPr>
      </w:pPr>
      <w:r w:rsidRPr="009C5D92">
        <w:rPr>
          <w:rStyle w:val="FootnoteReference"/>
          <w:rFonts w:asciiTheme="minorHAnsi" w:hAnsiTheme="minorHAnsi" w:cstheme="minorHAnsi"/>
        </w:rPr>
        <w:footnoteRef/>
      </w:r>
      <w:r w:rsidRPr="009C5D92">
        <w:rPr>
          <w:rFonts w:asciiTheme="minorHAnsi" w:hAnsiTheme="minorHAnsi" w:cstheme="minorHAnsi"/>
        </w:rPr>
        <w:t xml:space="preserve"> </w:t>
      </w:r>
      <w:r w:rsidRPr="009C5D92">
        <w:rPr>
          <w:rFonts w:asciiTheme="minorHAnsi" w:hAnsiTheme="minorHAnsi" w:cstheme="minorHAnsi"/>
          <w:color w:val="222222"/>
          <w:shd w:val="clear" w:color="auto" w:fill="FFFFFF"/>
        </w:rPr>
        <w:t>El motivo de elección de estos países radica fundamentalmente en el tamaño de sus economías, ingresos per cápita similares para algunos casos y cantidad de habitantes. A su vez, se seleccionó a Panamá y Perú por encontrarse en etapas similares a Paraguay en el desarrollo científico y tecnológico, y a Uruguay y Chile, como países más adelantados en este sentido. Estos últimos podrían servir de parámetro a mediano plazo.</w:t>
      </w:r>
    </w:p>
  </w:footnote>
  <w:footnote w:id="3">
    <w:p w:rsidR="007A62FA" w:rsidRPr="009C5D92" w:rsidRDefault="007A62FA" w:rsidP="009C5D92">
      <w:pPr>
        <w:pStyle w:val="FootnoteText"/>
        <w:jc w:val="both"/>
        <w:rPr>
          <w:rFonts w:asciiTheme="minorHAnsi" w:hAnsiTheme="minorHAnsi" w:cstheme="minorHAnsi"/>
        </w:rPr>
      </w:pPr>
      <w:r w:rsidRPr="009C5D92">
        <w:rPr>
          <w:rStyle w:val="FootnoteReference"/>
          <w:rFonts w:asciiTheme="minorHAnsi" w:hAnsiTheme="minorHAnsi" w:cstheme="minorHAnsi"/>
        </w:rPr>
        <w:footnoteRef/>
      </w:r>
      <w:r w:rsidRPr="009C5D92">
        <w:rPr>
          <w:rFonts w:asciiTheme="minorHAnsi" w:hAnsiTheme="minorHAnsi" w:cstheme="minorHAnsi"/>
        </w:rPr>
        <w:t xml:space="preserve"> Se tomaron los años 2002, 2005 y 2008 debido a la disponibilidad existente de datos.</w:t>
      </w:r>
    </w:p>
  </w:footnote>
  <w:footnote w:id="4">
    <w:p w:rsidR="007A62FA" w:rsidRPr="009C5D92" w:rsidRDefault="007A62FA" w:rsidP="0037314C">
      <w:pPr>
        <w:pStyle w:val="FootnoteText"/>
        <w:rPr>
          <w:rFonts w:asciiTheme="minorHAnsi" w:hAnsiTheme="minorHAnsi" w:cstheme="minorHAnsi"/>
        </w:rPr>
      </w:pPr>
      <w:r w:rsidRPr="009C5D92">
        <w:rPr>
          <w:rStyle w:val="FootnoteReference"/>
          <w:rFonts w:asciiTheme="minorHAnsi" w:hAnsiTheme="minorHAnsi" w:cstheme="minorHAnsi"/>
        </w:rPr>
        <w:footnoteRef/>
      </w:r>
      <w:r w:rsidRPr="009C5D92">
        <w:rPr>
          <w:rFonts w:asciiTheme="minorHAnsi" w:hAnsiTheme="minorHAnsi" w:cstheme="minorHAnsi"/>
        </w:rPr>
        <w:t xml:space="preserve"> Extraídos de </w:t>
      </w:r>
      <w:hyperlink r:id="rId1" w:history="1">
        <w:r w:rsidRPr="009C5D92">
          <w:rPr>
            <w:rStyle w:val="Hyperlink"/>
            <w:rFonts w:asciiTheme="minorHAnsi" w:hAnsiTheme="minorHAnsi" w:cstheme="minorHAnsi"/>
          </w:rPr>
          <w:t>http://secit.conacyt.gov.py/mejora-de-las-capacidades-de-investigaci%C3%B3n-e-innovaci%C3%B3n-procit/resultados-esperados</w:t>
        </w:r>
      </w:hyperlink>
    </w:p>
  </w:footnote>
  <w:footnote w:id="5">
    <w:p w:rsidR="007A62FA" w:rsidRPr="009C5D92" w:rsidRDefault="007A62FA" w:rsidP="009C5D92">
      <w:pPr>
        <w:pStyle w:val="FootnoteText"/>
        <w:jc w:val="both"/>
        <w:rPr>
          <w:rFonts w:asciiTheme="minorHAnsi" w:hAnsiTheme="minorHAnsi" w:cstheme="minorHAnsi"/>
          <w:lang w:val="es-AR"/>
        </w:rPr>
      </w:pPr>
      <w:r w:rsidRPr="009C5D92">
        <w:rPr>
          <w:rStyle w:val="FootnoteReference"/>
          <w:rFonts w:asciiTheme="minorHAnsi" w:hAnsiTheme="minorHAnsi" w:cstheme="minorHAnsi"/>
        </w:rPr>
        <w:footnoteRef/>
      </w:r>
      <w:r w:rsidRPr="009C5D92">
        <w:rPr>
          <w:rFonts w:asciiTheme="minorHAnsi" w:hAnsiTheme="minorHAnsi" w:cstheme="minorHAnsi"/>
        </w:rPr>
        <w:t xml:space="preserve"> Con una duración media de cuatro meses cada una.</w:t>
      </w:r>
    </w:p>
  </w:footnote>
  <w:footnote w:id="6">
    <w:p w:rsidR="007A62FA" w:rsidRPr="009C5D92" w:rsidRDefault="007A62FA" w:rsidP="009C5D92">
      <w:pPr>
        <w:pStyle w:val="FootnoteText"/>
        <w:jc w:val="both"/>
        <w:rPr>
          <w:rFonts w:asciiTheme="minorHAnsi" w:hAnsiTheme="minorHAnsi" w:cstheme="minorHAnsi"/>
        </w:rPr>
      </w:pPr>
      <w:r w:rsidRPr="009C5D92">
        <w:rPr>
          <w:rStyle w:val="FootnoteReference"/>
          <w:rFonts w:asciiTheme="minorHAnsi" w:hAnsiTheme="minorHAnsi" w:cstheme="minorHAnsi"/>
        </w:rPr>
        <w:footnoteRef/>
      </w:r>
      <w:r w:rsidRPr="009C5D92">
        <w:rPr>
          <w:rFonts w:asciiTheme="minorHAnsi" w:hAnsiTheme="minorHAnsi" w:cstheme="minorHAnsi"/>
        </w:rPr>
        <w:t xml:space="preserve"> </w:t>
      </w:r>
      <w:r w:rsidRPr="009C5D92">
        <w:rPr>
          <w:rFonts w:asciiTheme="minorHAnsi" w:eastAsiaTheme="minorHAnsi" w:hAnsiTheme="minorHAnsi" w:cstheme="minorHAnsi"/>
          <w:lang w:val="es-AR" w:eastAsia="en-US"/>
        </w:rPr>
        <w:t xml:space="preserve">Aguilar, M. J. y Ander-Egg, E., </w:t>
      </w:r>
      <w:r w:rsidRPr="009C5D92">
        <w:rPr>
          <w:rFonts w:asciiTheme="minorHAnsi" w:eastAsiaTheme="minorHAnsi" w:hAnsiTheme="minorHAnsi" w:cstheme="minorHAnsi"/>
          <w:bCs/>
          <w:i/>
          <w:iCs/>
          <w:lang w:val="es-AR" w:eastAsia="en-US"/>
        </w:rPr>
        <w:t>Evaluación de servicios y programas sociales</w:t>
      </w:r>
      <w:r w:rsidRPr="009C5D92">
        <w:rPr>
          <w:rFonts w:asciiTheme="minorHAnsi" w:eastAsiaTheme="minorHAnsi" w:hAnsiTheme="minorHAnsi" w:cstheme="minorHAnsi"/>
          <w:lang w:val="es-AR" w:eastAsia="en-US"/>
        </w:rPr>
        <w:t>, Madrid, Siglo XXI, 1992, p. 18.</w:t>
      </w:r>
    </w:p>
  </w:footnote>
  <w:footnote w:id="7">
    <w:p w:rsidR="007A62FA" w:rsidRPr="009C5D92" w:rsidRDefault="007A62FA" w:rsidP="009C5D92">
      <w:pPr>
        <w:autoSpaceDE w:val="0"/>
        <w:autoSpaceDN w:val="0"/>
        <w:adjustRightInd w:val="0"/>
        <w:jc w:val="both"/>
        <w:rPr>
          <w:rFonts w:asciiTheme="minorHAnsi" w:hAnsiTheme="minorHAnsi" w:cstheme="minorHAnsi"/>
          <w:sz w:val="20"/>
          <w:szCs w:val="20"/>
          <w:lang w:val="es-AR" w:eastAsia="es-AR"/>
        </w:rPr>
      </w:pPr>
      <w:r w:rsidRPr="009C5D92">
        <w:rPr>
          <w:rStyle w:val="FootnoteReference"/>
          <w:rFonts w:asciiTheme="minorHAnsi" w:hAnsiTheme="minorHAnsi" w:cstheme="minorHAnsi"/>
          <w:sz w:val="20"/>
          <w:szCs w:val="20"/>
        </w:rPr>
        <w:footnoteRef/>
      </w:r>
      <w:r w:rsidRPr="009C5D92">
        <w:rPr>
          <w:rFonts w:asciiTheme="minorHAnsi" w:hAnsiTheme="minorHAnsi" w:cstheme="minorHAnsi"/>
          <w:sz w:val="20"/>
          <w:szCs w:val="20"/>
          <w:lang w:val="en-US"/>
        </w:rPr>
        <w:t xml:space="preserve"> </w:t>
      </w:r>
      <w:r w:rsidRPr="009C5D92">
        <w:rPr>
          <w:rFonts w:asciiTheme="minorHAnsi" w:eastAsiaTheme="minorHAnsi" w:hAnsiTheme="minorHAnsi" w:cstheme="minorHAnsi"/>
          <w:sz w:val="20"/>
          <w:szCs w:val="20"/>
          <w:lang w:val="en-US" w:eastAsia="en-US"/>
        </w:rPr>
        <w:t xml:space="preserve">OECD/Eurostat (2005), </w:t>
      </w:r>
      <w:r w:rsidRPr="009C5D92">
        <w:rPr>
          <w:rFonts w:asciiTheme="minorHAnsi" w:eastAsiaTheme="minorHAnsi" w:hAnsiTheme="minorHAnsi" w:cstheme="minorHAnsi"/>
          <w:i/>
          <w:iCs/>
          <w:sz w:val="20"/>
          <w:szCs w:val="20"/>
          <w:lang w:val="en-US" w:eastAsia="en-US"/>
        </w:rPr>
        <w:t>Oslo Manual: Guidelines for Collecting and Interpreting Innovation Data</w:t>
      </w:r>
      <w:r w:rsidRPr="009C5D92">
        <w:rPr>
          <w:rFonts w:asciiTheme="minorHAnsi" w:eastAsiaTheme="minorHAnsi" w:hAnsiTheme="minorHAnsi" w:cstheme="minorHAnsi"/>
          <w:sz w:val="20"/>
          <w:szCs w:val="20"/>
          <w:lang w:val="en-US" w:eastAsia="en-US"/>
        </w:rPr>
        <w:t xml:space="preserve">, OECD, Paris. </w:t>
      </w:r>
      <w:r w:rsidRPr="009C5D92">
        <w:rPr>
          <w:rFonts w:asciiTheme="minorHAnsi" w:eastAsiaTheme="minorHAnsi" w:hAnsiTheme="minorHAnsi" w:cstheme="minorHAnsi"/>
          <w:sz w:val="20"/>
          <w:szCs w:val="20"/>
          <w:lang w:val="es-AR" w:eastAsia="en-US"/>
        </w:rPr>
        <w:t xml:space="preserve">DOI: </w:t>
      </w:r>
      <w:r w:rsidRPr="009C5D92">
        <w:rPr>
          <w:rFonts w:asciiTheme="minorHAnsi" w:eastAsiaTheme="minorHAnsi" w:hAnsiTheme="minorHAnsi" w:cstheme="minorHAnsi"/>
          <w:i/>
          <w:iCs/>
          <w:sz w:val="20"/>
          <w:szCs w:val="20"/>
          <w:lang w:val="es-AR" w:eastAsia="en-US"/>
        </w:rPr>
        <w:t>http://dx.doi.org/10.1787/9789264013100-en.</w:t>
      </w:r>
    </w:p>
    <w:p w:rsidR="007A62FA" w:rsidRPr="009C5D92" w:rsidRDefault="007A62FA" w:rsidP="009C5D92">
      <w:pPr>
        <w:pStyle w:val="FootnoteText"/>
        <w:jc w:val="both"/>
        <w:rPr>
          <w:rFonts w:asciiTheme="minorHAnsi" w:hAnsiTheme="minorHAnsi" w:cstheme="minorHAnsi"/>
          <w:lang w:val="es-AR"/>
        </w:rPr>
      </w:pPr>
    </w:p>
  </w:footnote>
  <w:footnote w:id="8">
    <w:p w:rsidR="007A62FA" w:rsidRPr="00AE7CDF" w:rsidRDefault="007A62FA" w:rsidP="00AE7CDF">
      <w:pPr>
        <w:autoSpaceDE w:val="0"/>
        <w:autoSpaceDN w:val="0"/>
        <w:adjustRightInd w:val="0"/>
        <w:jc w:val="both"/>
        <w:rPr>
          <w:rFonts w:asciiTheme="minorHAnsi" w:hAnsiTheme="minorHAnsi" w:cstheme="minorHAnsi"/>
          <w:sz w:val="20"/>
          <w:szCs w:val="20"/>
          <w:lang w:val="es-AR" w:eastAsia="es-AR"/>
        </w:rPr>
      </w:pPr>
      <w:r w:rsidRPr="009C5D92">
        <w:rPr>
          <w:rStyle w:val="FootnoteReference"/>
          <w:rFonts w:asciiTheme="minorHAnsi" w:hAnsiTheme="minorHAnsi" w:cstheme="minorHAnsi"/>
          <w:sz w:val="20"/>
          <w:szCs w:val="20"/>
        </w:rPr>
        <w:footnoteRef/>
      </w:r>
      <w:r w:rsidRPr="009C5D92">
        <w:rPr>
          <w:rFonts w:asciiTheme="minorHAnsi" w:hAnsiTheme="minorHAnsi" w:cstheme="minorHAnsi"/>
          <w:sz w:val="20"/>
          <w:szCs w:val="20"/>
        </w:rPr>
        <w:t xml:space="preserve"> </w:t>
      </w:r>
      <w:r w:rsidRPr="009C5D92">
        <w:rPr>
          <w:rFonts w:asciiTheme="minorHAnsi" w:eastAsiaTheme="minorHAnsi" w:hAnsiTheme="minorHAnsi" w:cstheme="minorHAnsi"/>
          <w:bCs/>
          <w:sz w:val="20"/>
          <w:szCs w:val="20"/>
          <w:lang w:eastAsia="en-US"/>
        </w:rPr>
        <w:t xml:space="preserve">Normalización de Indicadores de Innovación Tecnológica en América Latina y el Caribe. MANUAL DE BOGOTÁ, RICYT / OEA / CYTED, COLCIENCIAS/OCYT, </w:t>
      </w:r>
      <w:r w:rsidRPr="009C5D92">
        <w:rPr>
          <w:rFonts w:asciiTheme="minorHAnsi" w:eastAsiaTheme="minorHAnsi" w:hAnsiTheme="minorHAnsi" w:cstheme="minorHAnsi"/>
          <w:sz w:val="20"/>
          <w:szCs w:val="20"/>
          <w:lang w:eastAsia="en-US"/>
        </w:rPr>
        <w:t>Marzo 2001, pág. 37.</w:t>
      </w:r>
    </w:p>
  </w:footnote>
  <w:footnote w:id="9">
    <w:p w:rsidR="007A62FA" w:rsidRPr="009C5D92" w:rsidRDefault="007A62FA" w:rsidP="009C5D92">
      <w:pPr>
        <w:pStyle w:val="FootnoteText"/>
        <w:jc w:val="both"/>
        <w:rPr>
          <w:rFonts w:asciiTheme="minorHAnsi" w:hAnsiTheme="minorHAnsi" w:cstheme="minorHAnsi"/>
          <w:lang w:val="en-US"/>
        </w:rPr>
      </w:pPr>
      <w:r w:rsidRPr="009C5D92">
        <w:rPr>
          <w:rStyle w:val="FootnoteReference"/>
          <w:rFonts w:asciiTheme="minorHAnsi" w:hAnsiTheme="minorHAnsi" w:cstheme="minorHAnsi"/>
        </w:rPr>
        <w:footnoteRef/>
      </w:r>
      <w:r w:rsidRPr="009C5D92">
        <w:rPr>
          <w:rFonts w:asciiTheme="minorHAnsi" w:hAnsiTheme="minorHAnsi" w:cstheme="minorHAnsi"/>
          <w:lang w:val="en-US"/>
        </w:rPr>
        <w:t xml:space="preserve"> Ibid.</w:t>
      </w:r>
    </w:p>
  </w:footnote>
  <w:footnote w:id="10">
    <w:p w:rsidR="007A62FA" w:rsidRPr="009C5D92" w:rsidRDefault="007A62FA" w:rsidP="009C5D92">
      <w:pPr>
        <w:autoSpaceDE w:val="0"/>
        <w:autoSpaceDN w:val="0"/>
        <w:adjustRightInd w:val="0"/>
        <w:jc w:val="both"/>
        <w:rPr>
          <w:rFonts w:asciiTheme="minorHAnsi" w:eastAsiaTheme="minorHAnsi" w:hAnsiTheme="minorHAnsi" w:cstheme="minorHAnsi"/>
          <w:sz w:val="20"/>
          <w:szCs w:val="20"/>
          <w:lang w:val="en-US" w:eastAsia="en-US"/>
        </w:rPr>
      </w:pPr>
      <w:r w:rsidRPr="009C5D92">
        <w:rPr>
          <w:rStyle w:val="FootnoteReference"/>
          <w:rFonts w:asciiTheme="minorHAnsi" w:hAnsiTheme="minorHAnsi" w:cstheme="minorHAnsi"/>
          <w:sz w:val="20"/>
          <w:szCs w:val="20"/>
        </w:rPr>
        <w:footnoteRef/>
      </w:r>
      <w:r w:rsidRPr="009C5D92">
        <w:rPr>
          <w:rFonts w:asciiTheme="minorHAnsi" w:hAnsiTheme="minorHAnsi" w:cstheme="minorHAnsi"/>
          <w:sz w:val="20"/>
          <w:szCs w:val="20"/>
          <w:lang w:val="en-US"/>
        </w:rPr>
        <w:t xml:space="preserve"> </w:t>
      </w:r>
      <w:r w:rsidRPr="009C5D92">
        <w:rPr>
          <w:rFonts w:asciiTheme="minorHAnsi" w:eastAsiaTheme="minorHAnsi" w:hAnsiTheme="minorHAnsi" w:cstheme="minorHAnsi"/>
          <w:sz w:val="20"/>
          <w:szCs w:val="20"/>
          <w:lang w:val="en-US" w:eastAsia="en-US"/>
        </w:rPr>
        <w:t>Stephen Martin, John T. Scott, The Nature of Innovation Market Failure and the Design of Public Support for Private Innovation, Centre for Industrial Economics, University of Copenhagen, Denmark, 1999.</w:t>
      </w:r>
    </w:p>
    <w:p w:rsidR="007A62FA" w:rsidRPr="009C5D92" w:rsidRDefault="007A62FA" w:rsidP="009C5D92">
      <w:pPr>
        <w:pStyle w:val="FootnoteText"/>
        <w:jc w:val="both"/>
        <w:rPr>
          <w:rFonts w:asciiTheme="minorHAnsi" w:hAnsiTheme="minorHAnsi" w:cstheme="minorHAnsi"/>
          <w:lang w:val="en-US"/>
        </w:rPr>
      </w:pPr>
    </w:p>
  </w:footnote>
  <w:footnote w:id="11">
    <w:p w:rsidR="007A62FA" w:rsidRPr="0037314C" w:rsidRDefault="007A62FA" w:rsidP="00AE7040">
      <w:pPr>
        <w:pStyle w:val="NormalWeb"/>
        <w:spacing w:before="120" w:beforeAutospacing="0" w:after="120" w:afterAutospacing="0" w:line="288" w:lineRule="auto"/>
        <w:jc w:val="both"/>
        <w:textAlignment w:val="baseline"/>
        <w:rPr>
          <w:rFonts w:ascii="Calibri" w:hAnsi="Calibri" w:cs="Calibri"/>
          <w:sz w:val="20"/>
          <w:szCs w:val="20"/>
          <w:lang w:val="es-ES"/>
        </w:rPr>
      </w:pPr>
      <w:r w:rsidRPr="00171404">
        <w:rPr>
          <w:rStyle w:val="FootnoteReference"/>
          <w:rFonts w:asciiTheme="minorHAnsi" w:hAnsiTheme="minorHAnsi"/>
          <w:sz w:val="20"/>
          <w:szCs w:val="20"/>
        </w:rPr>
        <w:footnoteRef/>
      </w:r>
      <w:r>
        <w:rPr>
          <w:rFonts w:asciiTheme="minorHAnsi" w:hAnsiTheme="minorHAnsi"/>
          <w:sz w:val="20"/>
          <w:szCs w:val="20"/>
        </w:rPr>
        <w:t xml:space="preserve"> </w:t>
      </w:r>
      <w:r w:rsidRPr="0037314C">
        <w:rPr>
          <w:rFonts w:ascii="Calibri" w:hAnsi="Calibri" w:cs="Calibri"/>
          <w:sz w:val="20"/>
          <w:szCs w:val="20"/>
          <w:lang w:val="es-ES"/>
        </w:rPr>
        <w:t xml:space="preserve">La división por disciplinas se realizó de acuerdo a las bases de las convocatorias como sigue a continuación: </w:t>
      </w:r>
      <w:r w:rsidRPr="0037314C">
        <w:rPr>
          <w:rFonts w:ascii="Calibri" w:hAnsi="Calibri" w:cs="Calibri"/>
          <w:b/>
          <w:sz w:val="20"/>
          <w:szCs w:val="20"/>
          <w:lang w:val="es-ES"/>
        </w:rPr>
        <w:t>A) Ciencias naturales y exactas</w:t>
      </w:r>
      <w:r w:rsidRPr="0037314C">
        <w:rPr>
          <w:rFonts w:ascii="Calibri" w:hAnsi="Calibri" w:cs="Calibri"/>
          <w:sz w:val="20"/>
          <w:szCs w:val="20"/>
          <w:lang w:val="es-ES"/>
        </w:rPr>
        <w:t xml:space="preserve">: Matemáticas y ciencias de la computación, ciencias físicas, ciencias químicas, ciencias de la tierra y relacionadas con el medio ambiente, biología; </w:t>
      </w:r>
      <w:r w:rsidRPr="0037314C">
        <w:rPr>
          <w:rFonts w:ascii="Calibri" w:hAnsi="Calibri" w:cs="Calibri"/>
          <w:b/>
          <w:sz w:val="20"/>
          <w:szCs w:val="20"/>
          <w:lang w:val="es-ES"/>
        </w:rPr>
        <w:t xml:space="preserve">B) Ciencias Médicas y de la Salud: </w:t>
      </w:r>
      <w:r w:rsidRPr="0037314C">
        <w:rPr>
          <w:rFonts w:ascii="Calibri" w:hAnsi="Calibri" w:cs="Calibri"/>
          <w:sz w:val="20"/>
          <w:szCs w:val="20"/>
          <w:lang w:val="es-ES"/>
        </w:rPr>
        <w:t xml:space="preserve">Medicina fundamental (anatomía, citología, fisiología, genética, farmacia, farmacología, toxicología, inmunología e inmunohematología, química clínica, microbiología clínica, patología); Medicina clínica (anestesiología, pediatría, obstetricia y ginecología, medicina interna, cirugía, estomatología, neurología, psiquiatría, radiología, terapéutica, otorrinolaringología, oftalmología); Ciencias de la salud (salud pública, higiene del trabajo, higiene del medio ambiente); </w:t>
      </w:r>
      <w:r w:rsidRPr="0037314C">
        <w:rPr>
          <w:rFonts w:ascii="Calibri" w:hAnsi="Calibri" w:cs="Calibri"/>
          <w:b/>
          <w:sz w:val="20"/>
          <w:szCs w:val="20"/>
          <w:lang w:val="es-ES"/>
        </w:rPr>
        <w:t>C)</w:t>
      </w:r>
      <w:r w:rsidRPr="0037314C">
        <w:rPr>
          <w:rFonts w:ascii="Calibri" w:hAnsi="Calibri" w:cs="Calibri"/>
          <w:sz w:val="20"/>
          <w:szCs w:val="20"/>
          <w:lang w:val="es-ES"/>
        </w:rPr>
        <w:t xml:space="preserve"> </w:t>
      </w:r>
      <w:r w:rsidRPr="0037314C">
        <w:rPr>
          <w:rFonts w:ascii="Calibri" w:hAnsi="Calibri" w:cs="Calibri"/>
          <w:b/>
          <w:sz w:val="20"/>
          <w:szCs w:val="20"/>
          <w:lang w:val="es-ES"/>
        </w:rPr>
        <w:t>Ciencias agropecuarias:</w:t>
      </w:r>
      <w:r w:rsidRPr="0037314C">
        <w:rPr>
          <w:rFonts w:ascii="Calibri" w:hAnsi="Calibri" w:cs="Calibri"/>
          <w:sz w:val="20"/>
          <w:szCs w:val="20"/>
          <w:lang w:val="es-ES"/>
        </w:rPr>
        <w:t xml:space="preserve"> Agricultura, silvicultura, pesca, veterinaria y ciencias afines (agronomía, zootecnia, pesca, horticultura, otras disciplinas afines). </w:t>
      </w:r>
      <w:r w:rsidRPr="0037314C">
        <w:rPr>
          <w:rFonts w:ascii="Calibri" w:hAnsi="Calibri" w:cs="Calibri"/>
          <w:b/>
          <w:sz w:val="20"/>
          <w:szCs w:val="20"/>
          <w:lang w:val="es-ES"/>
        </w:rPr>
        <w:t>D) Ingenierías y tecnologías:</w:t>
      </w:r>
      <w:r w:rsidRPr="0037314C">
        <w:rPr>
          <w:rFonts w:ascii="Calibri" w:hAnsi="Calibri" w:cs="Calibri"/>
          <w:sz w:val="20"/>
          <w:szCs w:val="20"/>
          <w:lang w:val="es-ES"/>
        </w:rPr>
        <w:t xml:space="preserve"> Ingeniería civil, electricidad, electrónica, mecánica, arquitectura, ciencia e ingeniería de los edificios, ingeniería de la construcción, ingeniería municipal, ingeniería estructural y otras disciplinas afines. </w:t>
      </w:r>
      <w:r w:rsidRPr="0037314C">
        <w:rPr>
          <w:rFonts w:ascii="Calibri" w:hAnsi="Calibri" w:cs="Calibri"/>
          <w:b/>
          <w:sz w:val="20"/>
          <w:szCs w:val="20"/>
          <w:lang w:val="es-ES"/>
        </w:rPr>
        <w:t>E)</w:t>
      </w:r>
      <w:r w:rsidRPr="0037314C">
        <w:rPr>
          <w:rFonts w:ascii="Calibri" w:hAnsi="Calibri" w:cs="Calibri"/>
          <w:sz w:val="20"/>
          <w:szCs w:val="20"/>
          <w:lang w:val="es-ES"/>
        </w:rPr>
        <w:t xml:space="preserve"> </w:t>
      </w:r>
      <w:r w:rsidRPr="0037314C">
        <w:rPr>
          <w:rFonts w:ascii="Calibri" w:hAnsi="Calibri" w:cs="Calibri"/>
          <w:b/>
          <w:sz w:val="20"/>
          <w:szCs w:val="20"/>
          <w:lang w:val="es-ES"/>
        </w:rPr>
        <w:t>Ciencias sociales</w:t>
      </w:r>
      <w:r w:rsidRPr="0037314C">
        <w:rPr>
          <w:rFonts w:ascii="Calibri" w:hAnsi="Calibri" w:cs="Calibri"/>
          <w:sz w:val="20"/>
          <w:szCs w:val="20"/>
          <w:lang w:val="es-ES"/>
        </w:rPr>
        <w:t xml:space="preserve"> (psicología, economía, educación, antropología, geografía, derecho, sociología, otras) y </w:t>
      </w:r>
      <w:r w:rsidRPr="0037314C">
        <w:rPr>
          <w:rFonts w:ascii="Calibri" w:hAnsi="Calibri" w:cs="Calibri"/>
          <w:b/>
          <w:sz w:val="20"/>
          <w:szCs w:val="20"/>
          <w:lang w:val="es-ES"/>
        </w:rPr>
        <w:t>F)</w:t>
      </w:r>
      <w:r w:rsidRPr="0037314C">
        <w:rPr>
          <w:rFonts w:ascii="Calibri" w:hAnsi="Calibri" w:cs="Calibri"/>
          <w:sz w:val="20"/>
          <w:szCs w:val="20"/>
          <w:lang w:val="es-ES"/>
        </w:rPr>
        <w:t xml:space="preserve"> </w:t>
      </w:r>
      <w:r w:rsidRPr="0037314C">
        <w:rPr>
          <w:rFonts w:ascii="Calibri" w:hAnsi="Calibri" w:cs="Calibri"/>
          <w:b/>
          <w:sz w:val="20"/>
          <w:szCs w:val="20"/>
          <w:lang w:val="es-ES"/>
        </w:rPr>
        <w:t>humanidades</w:t>
      </w:r>
      <w:r w:rsidRPr="0037314C">
        <w:rPr>
          <w:rFonts w:ascii="Calibri" w:hAnsi="Calibri" w:cs="Calibri"/>
          <w:sz w:val="20"/>
          <w:szCs w:val="20"/>
          <w:lang w:val="es-ES"/>
        </w:rPr>
        <w:t xml:space="preserve"> (historia, lengua y literatura, otras como filosofía, arte) se incluyeron pero siempre y cuando actuaran en forma complementaria a las áreas A. a D.</w:t>
      </w:r>
    </w:p>
    <w:p w:rsidR="007A62FA" w:rsidRDefault="007A62FA" w:rsidP="00AE7040">
      <w:pPr>
        <w:pStyle w:val="FootnoteText"/>
      </w:pPr>
    </w:p>
  </w:footnote>
  <w:footnote w:id="12">
    <w:p w:rsidR="007A62FA" w:rsidRDefault="007A62FA" w:rsidP="00235AAE">
      <w:pPr>
        <w:pStyle w:val="FootnoteText"/>
        <w:jc w:val="both"/>
      </w:pPr>
      <w:r w:rsidRPr="00171404">
        <w:rPr>
          <w:rStyle w:val="FootnoteReference"/>
          <w:rFonts w:asciiTheme="minorHAnsi" w:hAnsiTheme="minorHAnsi"/>
        </w:rPr>
        <w:footnoteRef/>
      </w:r>
      <w:r w:rsidRPr="00171404">
        <w:rPr>
          <w:rFonts w:asciiTheme="minorHAnsi" w:hAnsiTheme="minorHAnsi"/>
        </w:rPr>
        <w:t xml:space="preserve"> </w:t>
      </w:r>
      <w:r w:rsidRPr="00171404">
        <w:rPr>
          <w:rFonts w:asciiTheme="minorHAnsi" w:hAnsiTheme="minorHAnsi" w:cs="Calibri"/>
        </w:rPr>
        <w:t>Estos</w:t>
      </w:r>
      <w:r w:rsidRPr="0037314C">
        <w:rPr>
          <w:rFonts w:ascii="Calibri" w:hAnsi="Calibri" w:cs="Calibri"/>
        </w:rPr>
        <w:t xml:space="preserve"> fondos tienen por objetivo brindar apoyo financiero a la investigación individual en todas las áreas del conocimiento y en distintos períodos de la carrera de un investigador. Trabaja con tres instrumentos: proyectos regulares, proyectos de iniciación a la investigación y proyectos de postdoctorado.</w:t>
      </w:r>
    </w:p>
  </w:footnote>
  <w:footnote w:id="13">
    <w:p w:rsidR="007A62FA" w:rsidRPr="00171404" w:rsidRDefault="007A62FA" w:rsidP="00235AAE">
      <w:pPr>
        <w:pStyle w:val="FootnoteText"/>
        <w:jc w:val="both"/>
        <w:rPr>
          <w:rFonts w:ascii="Calibri" w:hAnsi="Calibri" w:cs="Calibri"/>
        </w:rPr>
      </w:pPr>
      <w:r w:rsidRPr="00171404">
        <w:rPr>
          <w:rStyle w:val="FootnoteReference"/>
          <w:rFonts w:ascii="Calibri" w:hAnsi="Calibri" w:cs="Calibri"/>
        </w:rPr>
        <w:footnoteRef/>
      </w:r>
      <w:r w:rsidRPr="00171404">
        <w:rPr>
          <w:rFonts w:ascii="Calibri" w:hAnsi="Calibri" w:cs="Calibri"/>
        </w:rPr>
        <w:t xml:space="preserve"> Con significativa nos referimos a resultados de tipo cuantitativo en esquemas econométricos donde se tengan en consideración indicadores tales como: cantidad de patentes, cantidad de registro de marcas, publicaciones, derechos de autor, etc. </w:t>
      </w:r>
    </w:p>
  </w:footnote>
  <w:footnote w:id="14">
    <w:p w:rsidR="007A62FA" w:rsidRDefault="007A62FA" w:rsidP="00235AAE">
      <w:pPr>
        <w:pStyle w:val="FootnoteText"/>
        <w:jc w:val="both"/>
      </w:pPr>
      <w:r w:rsidRPr="00171404">
        <w:rPr>
          <w:rStyle w:val="FootnoteReference"/>
          <w:rFonts w:asciiTheme="minorHAnsi" w:hAnsiTheme="minorHAnsi"/>
        </w:rPr>
        <w:footnoteRef/>
      </w:r>
      <w:r w:rsidRPr="00171404">
        <w:rPr>
          <w:rFonts w:asciiTheme="minorHAnsi" w:hAnsiTheme="minorHAnsi"/>
        </w:rPr>
        <w:t xml:space="preserve"> Esta información se relevó de las preguntas abiertas incluidas en las encuestas a beneficiarios del componente de investigación del PROCIT atendiendo a aquellos comentarios que se repitieran entre los beneficiarios indicando un nivel de acuerdo respecto a las afirmaciones. En este sentido se incorporaron los comentarios considerados más</w:t>
      </w:r>
      <w:r w:rsidRPr="00FC352D">
        <w:rPr>
          <w:rFonts w:asciiTheme="minorHAnsi" w:hAnsiTheme="minorHAnsi"/>
        </w:rPr>
        <w:t xml:space="preserve"> “representativos” de la percepción.</w:t>
      </w:r>
    </w:p>
  </w:footnote>
  <w:footnote w:id="15">
    <w:p w:rsidR="007A62FA" w:rsidRPr="00D51AC3" w:rsidRDefault="007A62FA" w:rsidP="00E0722F">
      <w:pPr>
        <w:jc w:val="both"/>
        <w:rPr>
          <w:rFonts w:ascii="Calibri" w:hAnsi="Calibri" w:cs="Calibri"/>
          <w:sz w:val="18"/>
          <w:szCs w:val="18"/>
        </w:rPr>
      </w:pPr>
      <w:r w:rsidRPr="00171404">
        <w:rPr>
          <w:rStyle w:val="FootnoteReference"/>
          <w:rFonts w:ascii="Calibri" w:hAnsi="Calibri" w:cs="Calibri"/>
          <w:sz w:val="20"/>
          <w:szCs w:val="20"/>
        </w:rPr>
        <w:footnoteRef/>
      </w:r>
      <w:r w:rsidRPr="00171404">
        <w:rPr>
          <w:rFonts w:ascii="Calibri" w:hAnsi="Calibri" w:cs="Calibri"/>
          <w:sz w:val="20"/>
          <w:szCs w:val="20"/>
        </w:rPr>
        <w:t xml:space="preserve"> Esta necesidad surge de las fuertes restricciones presupuestarias. En algunos casos, debido a la rigidez de los fondos presupuestados no pudo re- utilizarse el dinero excedente de las licitaciones por no estar contemplado en</w:t>
      </w:r>
      <w:r w:rsidRPr="00FC352D">
        <w:rPr>
          <w:rFonts w:ascii="Calibri" w:hAnsi="Calibri" w:cs="Calibri"/>
          <w:sz w:val="20"/>
          <w:szCs w:val="20"/>
        </w:rPr>
        <w:t xml:space="preserve"> el presupuesto original.</w:t>
      </w:r>
      <w:r w:rsidRPr="00D51AC3">
        <w:rPr>
          <w:rFonts w:ascii="Calibri" w:hAnsi="Calibri" w:cs="Calibri"/>
          <w:sz w:val="18"/>
          <w:szCs w:val="18"/>
        </w:rPr>
        <w:t xml:space="preserve"> </w:t>
      </w:r>
    </w:p>
    <w:p w:rsidR="007A62FA" w:rsidRPr="00D51AC3" w:rsidRDefault="007A62FA" w:rsidP="00E0722F">
      <w:pPr>
        <w:pStyle w:val="FootnoteText"/>
        <w:jc w:val="both"/>
        <w:rPr>
          <w:rFonts w:ascii="Calibri" w:hAnsi="Calibri" w:cs="Calibri"/>
          <w:sz w:val="18"/>
          <w:szCs w:val="18"/>
        </w:rPr>
      </w:pPr>
    </w:p>
  </w:footnote>
  <w:footnote w:id="16">
    <w:p w:rsidR="007A62FA" w:rsidRPr="009C5D92" w:rsidRDefault="007A62FA" w:rsidP="008C6725">
      <w:pPr>
        <w:pStyle w:val="DefaultStyle"/>
        <w:spacing w:after="0" w:line="240" w:lineRule="auto"/>
        <w:jc w:val="both"/>
        <w:rPr>
          <w:rFonts w:asciiTheme="minorHAnsi" w:hAnsiTheme="minorHAnsi" w:cstheme="minorHAnsi"/>
          <w:sz w:val="20"/>
          <w:szCs w:val="20"/>
        </w:rPr>
      </w:pPr>
      <w:r w:rsidRPr="009C5D92">
        <w:rPr>
          <w:rStyle w:val="FootnoteReference"/>
          <w:rFonts w:asciiTheme="minorHAnsi" w:hAnsiTheme="minorHAnsi" w:cstheme="minorHAnsi"/>
          <w:sz w:val="20"/>
          <w:szCs w:val="20"/>
        </w:rPr>
        <w:footnoteRef/>
      </w:r>
      <w:r w:rsidRPr="009C5D92">
        <w:rPr>
          <w:rFonts w:asciiTheme="minorHAnsi" w:hAnsiTheme="minorHAnsi" w:cstheme="minorHAnsi"/>
          <w:sz w:val="20"/>
          <w:szCs w:val="20"/>
        </w:rPr>
        <w:t xml:space="preserve"> Contrato de Préstamo No. 1698/0C-PR entre la República del Paraguay y el Banco Interamericano de Desarrollo, Programa de Apoyo al Desarrollo de la Ciencia, Tecnología e Innovación, 10 de abril de 2006.</w:t>
      </w:r>
    </w:p>
    <w:p w:rsidR="007A62FA" w:rsidRPr="009C5D92" w:rsidRDefault="007A62FA" w:rsidP="008C6725">
      <w:pPr>
        <w:pStyle w:val="FootnoteText"/>
        <w:jc w:val="both"/>
        <w:rPr>
          <w:rFonts w:asciiTheme="minorHAnsi" w:hAnsiTheme="minorHAnsi" w:cstheme="minorHAnsi"/>
          <w:lang w:val="es-AR"/>
        </w:rPr>
      </w:pPr>
    </w:p>
  </w:footnote>
  <w:footnote w:id="17">
    <w:p w:rsidR="007A62FA" w:rsidRPr="009C5D92" w:rsidRDefault="007A62FA" w:rsidP="008C6725">
      <w:pPr>
        <w:pStyle w:val="DefaultStyle"/>
        <w:spacing w:after="0" w:line="240" w:lineRule="auto"/>
        <w:jc w:val="both"/>
        <w:rPr>
          <w:rFonts w:asciiTheme="minorHAnsi" w:hAnsiTheme="minorHAnsi" w:cstheme="minorHAnsi"/>
          <w:sz w:val="20"/>
          <w:szCs w:val="20"/>
        </w:rPr>
      </w:pPr>
      <w:r w:rsidRPr="009C5D92">
        <w:rPr>
          <w:rStyle w:val="FootnoteReference"/>
          <w:rFonts w:asciiTheme="minorHAnsi" w:hAnsiTheme="minorHAnsi" w:cstheme="minorHAnsi"/>
          <w:sz w:val="20"/>
          <w:szCs w:val="20"/>
        </w:rPr>
        <w:footnoteRef/>
      </w:r>
      <w:r w:rsidRPr="009C5D92">
        <w:rPr>
          <w:rFonts w:asciiTheme="minorHAnsi" w:hAnsiTheme="minorHAnsi" w:cstheme="minorHAnsi"/>
          <w:sz w:val="20"/>
          <w:szCs w:val="20"/>
        </w:rPr>
        <w:t xml:space="preserve"> </w:t>
      </w:r>
      <w:r w:rsidRPr="009C5D92">
        <w:rPr>
          <w:rFonts w:asciiTheme="minorHAnsi" w:hAnsiTheme="minorHAnsi" w:cstheme="minorHAnsi"/>
          <w:spacing w:val="-2"/>
          <w:sz w:val="20"/>
          <w:szCs w:val="20"/>
        </w:rPr>
        <w:t xml:space="preserve">Programa de Apoyo al Desarrollo </w:t>
      </w:r>
      <w:bookmarkStart w:id="179" w:name="_Toc160215069"/>
      <w:bookmarkEnd w:id="179"/>
      <w:r w:rsidRPr="009C5D92">
        <w:rPr>
          <w:rFonts w:asciiTheme="minorHAnsi" w:hAnsiTheme="minorHAnsi" w:cstheme="minorHAnsi"/>
          <w:spacing w:val="-2"/>
          <w:sz w:val="20"/>
          <w:szCs w:val="20"/>
        </w:rPr>
        <w:t xml:space="preserve">de la Ciencia, Tecnología e Innovación, 1698/OC-PR, </w:t>
      </w:r>
      <w:bookmarkStart w:id="180" w:name="_Toc160215070"/>
      <w:r w:rsidRPr="009C5D92">
        <w:rPr>
          <w:rFonts w:asciiTheme="minorHAnsi" w:hAnsiTheme="minorHAnsi" w:cstheme="minorHAnsi"/>
          <w:sz w:val="20"/>
          <w:szCs w:val="20"/>
          <w:lang w:val="pt-BR"/>
        </w:rPr>
        <w:t>Reglamento Operativo</w:t>
      </w:r>
      <w:bookmarkEnd w:id="180"/>
      <w:r w:rsidRPr="009C5D92">
        <w:rPr>
          <w:rFonts w:asciiTheme="minorHAnsi" w:hAnsiTheme="minorHAnsi" w:cstheme="minorHAnsi"/>
          <w:sz w:val="20"/>
          <w:szCs w:val="20"/>
          <w:lang w:val="pt-BR"/>
        </w:rPr>
        <w:t xml:space="preserve"> del Programa,</w:t>
      </w:r>
      <w:r w:rsidRPr="009C5D92">
        <w:rPr>
          <w:rFonts w:asciiTheme="minorHAnsi" w:hAnsiTheme="minorHAnsi" w:cstheme="minorHAnsi"/>
          <w:sz w:val="20"/>
          <w:szCs w:val="20"/>
          <w:u w:val="single"/>
          <w:lang w:val="pt-BR"/>
        </w:rPr>
        <w:t xml:space="preserve"> </w:t>
      </w:r>
      <w:r w:rsidRPr="009C5D92">
        <w:rPr>
          <w:rFonts w:asciiTheme="minorHAnsi" w:hAnsiTheme="minorHAnsi" w:cstheme="minorHAnsi"/>
          <w:i/>
          <w:sz w:val="20"/>
          <w:szCs w:val="20"/>
        </w:rPr>
        <w:t>Aprobado según Acta de Reunión del Consejo N° 261/08 del 16 de Julio de 2008.</w:t>
      </w:r>
    </w:p>
  </w:footnote>
  <w:footnote w:id="18">
    <w:p w:rsidR="007A62FA" w:rsidRPr="009C5D92" w:rsidRDefault="007A62FA" w:rsidP="008C6725">
      <w:pPr>
        <w:pStyle w:val="FootnoteText"/>
        <w:jc w:val="both"/>
        <w:rPr>
          <w:rFonts w:asciiTheme="minorHAnsi" w:hAnsiTheme="minorHAnsi" w:cstheme="minorHAnsi"/>
          <w:lang w:val="es-CL"/>
        </w:rPr>
      </w:pPr>
      <w:r w:rsidRPr="009C5D92">
        <w:rPr>
          <w:rStyle w:val="FootnoteReference"/>
          <w:rFonts w:asciiTheme="minorHAnsi" w:hAnsiTheme="minorHAnsi" w:cstheme="minorHAnsi"/>
        </w:rPr>
        <w:footnoteRef/>
      </w:r>
      <w:r w:rsidRPr="009C5D92">
        <w:rPr>
          <w:rFonts w:asciiTheme="minorHAnsi" w:hAnsiTheme="minorHAnsi" w:cstheme="minorHAnsi"/>
        </w:rPr>
        <w:t xml:space="preserve"> </w:t>
      </w:r>
      <w:r w:rsidR="00F64702" w:rsidRPr="009C5D92">
        <w:rPr>
          <w:rFonts w:asciiTheme="minorHAnsi" w:hAnsiTheme="minorHAnsi" w:cstheme="minorHAnsi"/>
          <w:lang w:val="es-CL"/>
        </w:rPr>
        <w:t>Ibíd.</w:t>
      </w:r>
    </w:p>
  </w:footnote>
  <w:footnote w:id="19">
    <w:p w:rsidR="007A62FA" w:rsidRPr="009C5D92" w:rsidRDefault="007A62FA" w:rsidP="008C6725">
      <w:pPr>
        <w:autoSpaceDE w:val="0"/>
        <w:autoSpaceDN w:val="0"/>
        <w:adjustRightInd w:val="0"/>
        <w:jc w:val="both"/>
        <w:rPr>
          <w:rFonts w:asciiTheme="minorHAnsi" w:hAnsiTheme="minorHAnsi" w:cstheme="minorHAnsi"/>
          <w:sz w:val="20"/>
          <w:szCs w:val="20"/>
          <w:lang w:val="es-AR"/>
        </w:rPr>
      </w:pPr>
      <w:r w:rsidRPr="009C5D92">
        <w:rPr>
          <w:rStyle w:val="FootnoteReference"/>
          <w:rFonts w:asciiTheme="minorHAnsi" w:hAnsiTheme="minorHAnsi" w:cstheme="minorHAnsi"/>
          <w:sz w:val="20"/>
          <w:szCs w:val="20"/>
        </w:rPr>
        <w:footnoteRef/>
      </w:r>
      <w:r w:rsidRPr="009C5D92">
        <w:rPr>
          <w:rFonts w:asciiTheme="minorHAnsi" w:hAnsiTheme="minorHAnsi" w:cstheme="minorHAnsi"/>
          <w:sz w:val="20"/>
          <w:szCs w:val="20"/>
        </w:rPr>
        <w:t xml:space="preserve"> </w:t>
      </w:r>
      <w:r w:rsidRPr="009C5D92">
        <w:rPr>
          <w:rFonts w:asciiTheme="minorHAnsi" w:eastAsiaTheme="minorHAnsi" w:hAnsiTheme="minorHAnsi" w:cstheme="minorHAnsi"/>
          <w:bCs/>
          <w:sz w:val="20"/>
          <w:szCs w:val="20"/>
          <w:lang w:eastAsia="en-US"/>
        </w:rPr>
        <w:t xml:space="preserve">Normalización de Indicadores de Innovación Tecnológica en América Latina y el Caribe. MANUAL DE BOGOTÁ, RICYT / OEA / CYTED, COLCIENCIAS/OCYT, </w:t>
      </w:r>
      <w:r w:rsidRPr="009C5D92">
        <w:rPr>
          <w:rFonts w:asciiTheme="minorHAnsi" w:eastAsiaTheme="minorHAnsi" w:hAnsiTheme="minorHAnsi" w:cstheme="minorHAnsi"/>
          <w:sz w:val="20"/>
          <w:szCs w:val="20"/>
          <w:lang w:eastAsia="en-US"/>
        </w:rPr>
        <w:t>Marzo 2001.</w:t>
      </w:r>
    </w:p>
  </w:footnote>
  <w:footnote w:id="20">
    <w:p w:rsidR="007A62FA" w:rsidRPr="009C5D92" w:rsidRDefault="007A62FA" w:rsidP="008C6725">
      <w:pPr>
        <w:autoSpaceDE w:val="0"/>
        <w:autoSpaceDN w:val="0"/>
        <w:adjustRightInd w:val="0"/>
        <w:jc w:val="both"/>
        <w:rPr>
          <w:rFonts w:asciiTheme="minorHAnsi" w:hAnsiTheme="minorHAnsi" w:cstheme="minorHAnsi"/>
          <w:sz w:val="20"/>
          <w:szCs w:val="20"/>
          <w:lang w:val="es-AR"/>
        </w:rPr>
      </w:pPr>
      <w:r w:rsidRPr="009C5D92">
        <w:rPr>
          <w:rStyle w:val="FootnoteReference"/>
          <w:rFonts w:asciiTheme="minorHAnsi" w:hAnsiTheme="minorHAnsi" w:cstheme="minorHAnsi"/>
          <w:sz w:val="20"/>
          <w:szCs w:val="20"/>
        </w:rPr>
        <w:footnoteRef/>
      </w:r>
      <w:r w:rsidRPr="009C5D92">
        <w:rPr>
          <w:rFonts w:asciiTheme="minorHAnsi" w:hAnsiTheme="minorHAnsi" w:cstheme="minorHAnsi"/>
          <w:sz w:val="20"/>
          <w:szCs w:val="20"/>
        </w:rPr>
        <w:t xml:space="preserve"> “</w:t>
      </w:r>
      <w:r w:rsidRPr="009C5D92">
        <w:rPr>
          <w:rFonts w:asciiTheme="minorHAnsi" w:hAnsiTheme="minorHAnsi" w:cstheme="minorHAnsi"/>
          <w:i/>
          <w:iCs/>
          <w:sz w:val="20"/>
          <w:szCs w:val="20"/>
          <w:lang w:eastAsia="es-AR"/>
        </w:rPr>
        <w:t>Desarrollo de investigación y experimentación</w:t>
      </w:r>
      <w:r w:rsidRPr="009C5D92">
        <w:rPr>
          <w:rFonts w:asciiTheme="minorHAnsi" w:hAnsiTheme="minorHAnsi" w:cstheme="minorHAnsi"/>
          <w:sz w:val="20"/>
          <w:szCs w:val="20"/>
          <w:lang w:eastAsia="es-AR"/>
        </w:rPr>
        <w:t xml:space="preserve">: comprende el trabajo creativo que se emprende sobre una base sistemática con el fin de incrementar el stock de conocimiento. La mayoría de las veces, la fase experimental más importante es la construcción y prueba de un prototipo, esto es, un modelo original que incluye todas las características y realizaciones técnicas de un nuevo producto o proceso” </w:t>
      </w:r>
      <w:r w:rsidRPr="009C5D92">
        <w:rPr>
          <w:rFonts w:asciiTheme="minorHAnsi" w:eastAsiaTheme="minorHAnsi" w:hAnsiTheme="minorHAnsi" w:cstheme="minorHAnsi"/>
          <w:bCs/>
          <w:sz w:val="20"/>
          <w:szCs w:val="20"/>
          <w:lang w:eastAsia="en-US"/>
        </w:rPr>
        <w:t xml:space="preserve">Normalización de Indicadores de Innovación Tecnológica en América Latina y el Caribe, MANUAL DE BOGOTÁ, RICYT / OEA / CYTED, COLCIENCIAS/OCYT, </w:t>
      </w:r>
      <w:r w:rsidRPr="009C5D92">
        <w:rPr>
          <w:rFonts w:asciiTheme="minorHAnsi" w:eastAsiaTheme="minorHAnsi" w:hAnsiTheme="minorHAnsi" w:cstheme="minorHAnsi"/>
          <w:sz w:val="20"/>
          <w:szCs w:val="20"/>
          <w:lang w:eastAsia="en-US"/>
        </w:rPr>
        <w:t>Marzo 2001, pág. 34.</w:t>
      </w:r>
    </w:p>
  </w:footnote>
  <w:footnote w:id="21">
    <w:p w:rsidR="007A62FA" w:rsidRPr="009C5D92" w:rsidRDefault="007A62FA" w:rsidP="008C6725">
      <w:pPr>
        <w:autoSpaceDE w:val="0"/>
        <w:autoSpaceDN w:val="0"/>
        <w:adjustRightInd w:val="0"/>
        <w:jc w:val="both"/>
        <w:rPr>
          <w:rFonts w:asciiTheme="minorHAnsi" w:hAnsiTheme="minorHAnsi" w:cstheme="minorHAnsi"/>
          <w:color w:val="000000" w:themeColor="text1"/>
          <w:sz w:val="20"/>
          <w:szCs w:val="20"/>
        </w:rPr>
      </w:pPr>
      <w:r w:rsidRPr="009C5D92">
        <w:rPr>
          <w:rStyle w:val="FootnoteReference"/>
          <w:rFonts w:asciiTheme="minorHAnsi" w:hAnsiTheme="minorHAnsi" w:cstheme="minorHAnsi"/>
          <w:sz w:val="20"/>
          <w:szCs w:val="20"/>
        </w:rPr>
        <w:footnoteRef/>
      </w:r>
      <w:r w:rsidRPr="009C5D92">
        <w:rPr>
          <w:rFonts w:asciiTheme="minorHAnsi" w:hAnsiTheme="minorHAnsi" w:cstheme="minorHAnsi"/>
          <w:sz w:val="20"/>
          <w:szCs w:val="20"/>
        </w:rPr>
        <w:t xml:space="preserve"> “</w:t>
      </w:r>
      <w:r w:rsidRPr="009C5D92">
        <w:rPr>
          <w:rFonts w:asciiTheme="minorHAnsi" w:hAnsiTheme="minorHAnsi" w:cstheme="minorHAnsi"/>
          <w:i/>
          <w:iCs/>
          <w:sz w:val="20"/>
          <w:szCs w:val="20"/>
          <w:lang w:eastAsia="es-AR"/>
        </w:rPr>
        <w:t>Adquisición de tecnología no incorporada y conocimiento</w:t>
      </w:r>
      <w:r w:rsidRPr="009C5D92">
        <w:rPr>
          <w:rFonts w:asciiTheme="minorHAnsi" w:hAnsiTheme="minorHAnsi" w:cstheme="minorHAnsi"/>
          <w:sz w:val="20"/>
          <w:szCs w:val="20"/>
          <w:lang w:eastAsia="es-AR"/>
        </w:rPr>
        <w:t xml:space="preserve">: incluye la adquisición de tecnología externa en forma de patentes, inventos no patentados, licencias, divulgaciones de know-how, diseños, marcas de fábrica, patrones, como también servicios de computación y otros servicios científicos y técnicos relacionados con la implementación de innovaciones TPP, además de la adquisición de paquetes de software no clasificados en otra parte. </w:t>
      </w:r>
      <w:r w:rsidRPr="009C5D92">
        <w:rPr>
          <w:rFonts w:asciiTheme="minorHAnsi" w:hAnsiTheme="minorHAnsi" w:cstheme="minorHAnsi"/>
          <w:i/>
          <w:iCs/>
          <w:sz w:val="20"/>
          <w:szCs w:val="20"/>
          <w:lang w:eastAsia="es-AR"/>
        </w:rPr>
        <w:t>Adquisición de tecnología incorporada</w:t>
      </w:r>
      <w:r w:rsidRPr="009C5D92">
        <w:rPr>
          <w:rFonts w:asciiTheme="minorHAnsi" w:hAnsiTheme="minorHAnsi" w:cstheme="minorHAnsi"/>
          <w:sz w:val="20"/>
          <w:szCs w:val="20"/>
          <w:lang w:eastAsia="es-AR"/>
        </w:rPr>
        <w:t xml:space="preserve">: adquisición de maquinaria y equipo en procura de mejoras en el desempeño tecnológico de la firma, tanto en procesos como en productos.” </w:t>
      </w:r>
      <w:r w:rsidRPr="009C5D92">
        <w:rPr>
          <w:rFonts w:asciiTheme="minorHAnsi" w:eastAsiaTheme="minorHAnsi" w:hAnsiTheme="minorHAnsi" w:cstheme="minorHAnsi"/>
          <w:bCs/>
          <w:sz w:val="20"/>
          <w:szCs w:val="20"/>
          <w:lang w:eastAsia="en-US"/>
        </w:rPr>
        <w:t xml:space="preserve">Normalización de Indicadores de Innovación Tecnológica en América Latina y el Caribe, MANUAL DE BOGOTÁ, RICYT / OEA / CYTED, COLCIENCIAS/OCYT, </w:t>
      </w:r>
      <w:r w:rsidRPr="009C5D92">
        <w:rPr>
          <w:rFonts w:asciiTheme="minorHAnsi" w:eastAsiaTheme="minorHAnsi" w:hAnsiTheme="minorHAnsi" w:cstheme="minorHAnsi"/>
          <w:sz w:val="20"/>
          <w:szCs w:val="20"/>
          <w:lang w:eastAsia="en-US"/>
        </w:rPr>
        <w:t>Marzo 2001, pág. 34.</w:t>
      </w:r>
    </w:p>
    <w:p w:rsidR="007A62FA" w:rsidRPr="009C5D92" w:rsidRDefault="007A62FA" w:rsidP="008C6725">
      <w:pPr>
        <w:pStyle w:val="FootnoteText"/>
        <w:jc w:val="both"/>
        <w:rPr>
          <w:rFonts w:asciiTheme="minorHAnsi" w:hAnsiTheme="minorHAnsi" w:cstheme="minorHAnsi"/>
        </w:rPr>
      </w:pPr>
    </w:p>
  </w:footnote>
  <w:footnote w:id="22">
    <w:p w:rsidR="007A62FA" w:rsidRPr="009C5D92" w:rsidRDefault="007A62FA" w:rsidP="008C6725">
      <w:pPr>
        <w:pStyle w:val="Textbody"/>
        <w:spacing w:after="0" w:line="240" w:lineRule="auto"/>
        <w:jc w:val="both"/>
        <w:rPr>
          <w:rFonts w:asciiTheme="minorHAnsi" w:hAnsiTheme="minorHAnsi" w:cstheme="minorHAnsi"/>
          <w:color w:val="000000" w:themeColor="text1"/>
          <w:sz w:val="20"/>
          <w:szCs w:val="20"/>
          <w:lang w:val="en-US"/>
        </w:rPr>
      </w:pPr>
      <w:r w:rsidRPr="009C5D92">
        <w:rPr>
          <w:rStyle w:val="FootnoteReference"/>
          <w:rFonts w:asciiTheme="minorHAnsi" w:hAnsiTheme="minorHAnsi" w:cstheme="minorHAnsi"/>
          <w:sz w:val="20"/>
          <w:szCs w:val="20"/>
        </w:rPr>
        <w:footnoteRef/>
      </w:r>
      <w:r w:rsidRPr="009C5D92">
        <w:rPr>
          <w:rFonts w:asciiTheme="minorHAnsi" w:hAnsiTheme="minorHAnsi" w:cstheme="minorHAnsi"/>
          <w:sz w:val="20"/>
          <w:szCs w:val="20"/>
          <w:lang w:val="en-US"/>
        </w:rPr>
        <w:t xml:space="preserve"> </w:t>
      </w:r>
      <w:r w:rsidRPr="009C5D92">
        <w:rPr>
          <w:rFonts w:asciiTheme="minorHAnsi" w:hAnsiTheme="minorHAnsi" w:cstheme="minorHAnsi"/>
          <w:color w:val="000000" w:themeColor="text1"/>
          <w:sz w:val="20"/>
          <w:szCs w:val="20"/>
          <w:lang w:val="en-US"/>
        </w:rPr>
        <w:t>L. Georghiou, B. Clarysse, G. Steurs, V. Bilsen, J. Larosse, '</w:t>
      </w:r>
      <w:r w:rsidRPr="009C5D92">
        <w:rPr>
          <w:rStyle w:val="Emphasis"/>
          <w:rFonts w:asciiTheme="minorHAnsi" w:hAnsiTheme="minorHAnsi" w:cstheme="minorHAnsi"/>
          <w:color w:val="000000" w:themeColor="text1"/>
          <w:sz w:val="20"/>
          <w:szCs w:val="20"/>
          <w:lang w:val="en-US"/>
        </w:rPr>
        <w:t>Making the Difference'. The Evaluation of 'Behavioural Additionality' of R&amp;D Subsidies</w:t>
      </w:r>
      <w:r w:rsidRPr="009C5D92">
        <w:rPr>
          <w:rFonts w:asciiTheme="minorHAnsi" w:hAnsiTheme="minorHAnsi" w:cstheme="minorHAnsi"/>
          <w:color w:val="000000" w:themeColor="text1"/>
          <w:sz w:val="20"/>
          <w:szCs w:val="20"/>
          <w:lang w:val="en-US"/>
        </w:rPr>
        <w:t>, IWT-STUDIES 48, June 2004.</w:t>
      </w:r>
    </w:p>
    <w:p w:rsidR="007A62FA" w:rsidRPr="009C5D92" w:rsidRDefault="007A62FA" w:rsidP="008C6725">
      <w:pPr>
        <w:pStyle w:val="FootnoteText"/>
        <w:jc w:val="both"/>
        <w:rPr>
          <w:rFonts w:asciiTheme="minorHAnsi" w:hAnsiTheme="minorHAnsi" w:cstheme="minorHAnsi"/>
          <w:lang w:val="en-US"/>
        </w:rPr>
      </w:pPr>
    </w:p>
  </w:footnote>
  <w:footnote w:id="23">
    <w:p w:rsidR="007A62FA" w:rsidRPr="009C5D92" w:rsidRDefault="007A62FA" w:rsidP="008C6725">
      <w:pPr>
        <w:pStyle w:val="DefaultStyle"/>
        <w:spacing w:after="0" w:line="240" w:lineRule="auto"/>
        <w:jc w:val="both"/>
        <w:rPr>
          <w:rFonts w:asciiTheme="minorHAnsi" w:hAnsiTheme="minorHAnsi" w:cstheme="minorHAnsi"/>
          <w:sz w:val="20"/>
          <w:szCs w:val="20"/>
          <w:lang w:val="en-US"/>
        </w:rPr>
      </w:pPr>
      <w:r w:rsidRPr="009C5D92">
        <w:rPr>
          <w:rStyle w:val="FootnoteReference"/>
          <w:rFonts w:asciiTheme="minorHAnsi" w:hAnsiTheme="minorHAnsi" w:cstheme="minorHAnsi"/>
          <w:sz w:val="20"/>
          <w:szCs w:val="20"/>
        </w:rPr>
        <w:footnoteRef/>
      </w:r>
      <w:r w:rsidRPr="009C5D92">
        <w:rPr>
          <w:rFonts w:asciiTheme="minorHAnsi" w:hAnsiTheme="minorHAnsi" w:cstheme="minorHAnsi"/>
          <w:sz w:val="20"/>
          <w:szCs w:val="20"/>
          <w:lang w:val="en-US"/>
        </w:rPr>
        <w:t xml:space="preserve"> </w:t>
      </w:r>
      <w:r w:rsidRPr="009C5D92">
        <w:rPr>
          <w:rFonts w:asciiTheme="minorHAnsi" w:hAnsiTheme="minorHAnsi" w:cstheme="minorHAnsi"/>
          <w:bCs/>
          <w:sz w:val="20"/>
          <w:szCs w:val="20"/>
          <w:lang w:val="en-US"/>
        </w:rPr>
        <w:t>Study and Evaluation of the Behavioural Additionality of R&amp;D subsidies, Final report.</w:t>
      </w:r>
      <w:r w:rsidRPr="009C5D92">
        <w:rPr>
          <w:rFonts w:asciiTheme="minorHAnsi" w:hAnsiTheme="minorHAnsi" w:cstheme="minorHAnsi"/>
          <w:sz w:val="20"/>
          <w:szCs w:val="20"/>
          <w:lang w:val="en-US"/>
        </w:rPr>
        <w:t xml:space="preserve"> On behalf of: IWT, IDEA Consult, in cooperation with Prof. Dr. Bart Clarysse, Brussels, Noviembre de 2006.</w:t>
      </w:r>
    </w:p>
    <w:p w:rsidR="007A62FA" w:rsidRPr="009C5D92" w:rsidRDefault="007A62FA" w:rsidP="008C6725">
      <w:pPr>
        <w:pStyle w:val="FootnoteText"/>
        <w:jc w:val="both"/>
        <w:rPr>
          <w:rFonts w:asciiTheme="minorHAnsi" w:hAnsiTheme="minorHAnsi" w:cstheme="minorHAnsi"/>
          <w:lang w:val="en-US"/>
        </w:rPr>
      </w:pPr>
    </w:p>
  </w:footnote>
  <w:footnote w:id="24">
    <w:p w:rsidR="007A62FA" w:rsidRPr="009C5D92" w:rsidRDefault="007A62FA" w:rsidP="009C5D92">
      <w:pPr>
        <w:pStyle w:val="FootnoteText"/>
        <w:jc w:val="both"/>
        <w:rPr>
          <w:rFonts w:asciiTheme="minorHAnsi" w:hAnsiTheme="minorHAnsi" w:cstheme="minorHAnsi"/>
        </w:rPr>
      </w:pPr>
      <w:r w:rsidRPr="009C5D92">
        <w:rPr>
          <w:rStyle w:val="FootnoteReference"/>
          <w:rFonts w:asciiTheme="minorHAnsi" w:hAnsiTheme="minorHAnsi" w:cstheme="minorHAnsi"/>
        </w:rPr>
        <w:footnoteRef/>
      </w:r>
      <w:r w:rsidRPr="009C5D92">
        <w:rPr>
          <w:rFonts w:asciiTheme="minorHAnsi" w:hAnsiTheme="minorHAnsi" w:cstheme="minorHAnsi"/>
        </w:rPr>
        <w:t xml:space="preserve"> Por resultados en cuanto a la cantidad, valoramos la tasa de graduación y por resultados en cuanto a la calidad valoramos las actividades de difusión de la producción científica realizadas (publicaciones, participación en eventos científicos, registro de propiedad intelectual –patentes–, estancias de estudiantes en el extranjero). Los instrumentos utilizados para realizar esta valoración fueron los indicados en la introducción respecto de la metodología utilizada.</w:t>
      </w:r>
    </w:p>
  </w:footnote>
  <w:footnote w:id="25">
    <w:p w:rsidR="007A62FA" w:rsidRPr="009C5D92" w:rsidRDefault="007A62FA" w:rsidP="009C5D92">
      <w:pPr>
        <w:pStyle w:val="FootnoteText"/>
        <w:jc w:val="both"/>
        <w:rPr>
          <w:rFonts w:asciiTheme="minorHAnsi" w:hAnsiTheme="minorHAnsi" w:cstheme="minorHAnsi"/>
        </w:rPr>
      </w:pPr>
      <w:r w:rsidRPr="009C5D92">
        <w:rPr>
          <w:rStyle w:val="FootnoteReference"/>
          <w:rFonts w:asciiTheme="minorHAnsi" w:hAnsiTheme="minorHAnsi" w:cstheme="minorHAnsi"/>
        </w:rPr>
        <w:footnoteRef/>
      </w:r>
      <w:r w:rsidRPr="009C5D92">
        <w:rPr>
          <w:rFonts w:asciiTheme="minorHAnsi" w:hAnsiTheme="minorHAnsi" w:cstheme="minorHAnsi"/>
        </w:rPr>
        <w:t xml:space="preserve"> Fuente: Encuesta a beneficiarios de becas en todas sus modalidades.</w:t>
      </w:r>
    </w:p>
  </w:footnote>
  <w:footnote w:id="26">
    <w:p w:rsidR="007A62FA" w:rsidRPr="009C5D92" w:rsidRDefault="007A62FA" w:rsidP="009C5D92">
      <w:pPr>
        <w:pStyle w:val="FootnoteText"/>
        <w:jc w:val="both"/>
        <w:rPr>
          <w:rFonts w:asciiTheme="minorHAnsi" w:hAnsiTheme="minorHAnsi" w:cstheme="minorHAnsi"/>
        </w:rPr>
      </w:pPr>
      <w:r w:rsidRPr="009C5D92">
        <w:rPr>
          <w:rStyle w:val="FootnoteReference"/>
          <w:rFonts w:asciiTheme="minorHAnsi" w:hAnsiTheme="minorHAnsi" w:cstheme="minorHAnsi"/>
        </w:rPr>
        <w:footnoteRef/>
      </w:r>
      <w:r w:rsidRPr="009C5D92">
        <w:rPr>
          <w:rFonts w:asciiTheme="minorHAnsi" w:hAnsiTheme="minorHAnsi" w:cstheme="minorHAnsi"/>
        </w:rPr>
        <w:t xml:space="preserve"> Fuente: Encuesta a beneficiarios de becas nacionales.</w:t>
      </w:r>
    </w:p>
  </w:footnote>
  <w:footnote w:id="27">
    <w:p w:rsidR="007A62FA" w:rsidRPr="009C5D92" w:rsidRDefault="007A62FA" w:rsidP="009C5D92">
      <w:pPr>
        <w:pStyle w:val="FootnoteText"/>
        <w:jc w:val="both"/>
        <w:rPr>
          <w:rFonts w:asciiTheme="minorHAnsi" w:hAnsiTheme="minorHAnsi" w:cstheme="minorHAnsi"/>
        </w:rPr>
      </w:pPr>
      <w:r w:rsidRPr="009C5D92">
        <w:rPr>
          <w:rStyle w:val="FootnoteReference"/>
          <w:rFonts w:asciiTheme="minorHAnsi" w:hAnsiTheme="minorHAnsi" w:cstheme="minorHAnsi"/>
        </w:rPr>
        <w:footnoteRef/>
      </w:r>
      <w:r w:rsidRPr="009C5D92">
        <w:rPr>
          <w:rFonts w:asciiTheme="minorHAnsi" w:hAnsiTheme="minorHAnsi" w:cstheme="minorHAnsi"/>
        </w:rPr>
        <w:t xml:space="preserve"> Cabe aclarar que los encuestados podían seleccionar más de un medio de difusión, por lo que el porcentaje indica respuestas positivas sobre el total de encuestados.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2FA" w:rsidRDefault="007A62FA" w:rsidP="00FA0CD0">
    <w:pPr>
      <w:pStyle w:val="Header"/>
    </w:pPr>
    <w:r>
      <w:rPr>
        <w:noProof/>
        <w:lang w:val="es-ES_tradnl" w:eastAsia="es-ES_tradnl"/>
      </w:rPr>
      <mc:AlternateContent>
        <mc:Choice Requires="wps">
          <w:drawing>
            <wp:anchor distT="0" distB="0" distL="114300" distR="114300" simplePos="0" relativeHeight="251661312" behindDoc="0" locked="0" layoutInCell="1" allowOverlap="1" wp14:anchorId="7DB92989" wp14:editId="437B7045">
              <wp:simplePos x="0" y="0"/>
              <wp:positionH relativeFrom="column">
                <wp:posOffset>2004695</wp:posOffset>
              </wp:positionH>
              <wp:positionV relativeFrom="paragraph">
                <wp:posOffset>-275590</wp:posOffset>
              </wp:positionV>
              <wp:extent cx="4419600" cy="509905"/>
              <wp:effectExtent l="0" t="0" r="0" b="444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2FA" w:rsidRPr="000F0E34" w:rsidRDefault="007A62FA" w:rsidP="00FA0CD0">
                          <w:pPr>
                            <w:autoSpaceDE w:val="0"/>
                            <w:autoSpaceDN w:val="0"/>
                            <w:adjustRightInd w:val="0"/>
                            <w:jc w:val="right"/>
                            <w:rPr>
                              <w:rFonts w:ascii="Calibri" w:hAnsi="Calibri"/>
                              <w:sz w:val="18"/>
                              <w:szCs w:val="18"/>
                            </w:rPr>
                          </w:pPr>
                          <w:r>
                            <w:rPr>
                              <w:rFonts w:ascii="Calibri" w:hAnsi="Calibri"/>
                              <w:sz w:val="18"/>
                              <w:szCs w:val="18"/>
                            </w:rPr>
                            <w:t>Tercer</w:t>
                          </w:r>
                          <w:r w:rsidRPr="000F0E34">
                            <w:rPr>
                              <w:rFonts w:ascii="Calibri" w:hAnsi="Calibri"/>
                              <w:sz w:val="18"/>
                              <w:szCs w:val="18"/>
                            </w:rPr>
                            <w:t xml:space="preserve"> Informe de avance            </w:t>
                          </w:r>
                        </w:p>
                        <w:p w:rsidR="007A62FA" w:rsidRPr="000F0E34" w:rsidRDefault="007A62FA" w:rsidP="00FA0CD0">
                          <w:pPr>
                            <w:autoSpaceDE w:val="0"/>
                            <w:autoSpaceDN w:val="0"/>
                            <w:adjustRightInd w:val="0"/>
                            <w:jc w:val="right"/>
                            <w:rPr>
                              <w:rFonts w:ascii="Calibri" w:hAnsi="Calibri"/>
                              <w:bCs/>
                              <w:i/>
                              <w:sz w:val="18"/>
                              <w:szCs w:val="18"/>
                              <w:lang w:val="es-AR" w:eastAsia="es-AR"/>
                            </w:rPr>
                          </w:pPr>
                          <w:r w:rsidRPr="000F0E34">
                            <w:rPr>
                              <w:rFonts w:ascii="Calibri" w:hAnsi="Calibri"/>
                              <w:sz w:val="18"/>
                              <w:szCs w:val="18"/>
                            </w:rPr>
                            <w:t>“</w:t>
                          </w:r>
                          <w:r w:rsidRPr="000F0E34">
                            <w:rPr>
                              <w:rFonts w:ascii="Calibri" w:hAnsi="Calibri"/>
                              <w:bCs/>
                              <w:i/>
                              <w:sz w:val="18"/>
                              <w:szCs w:val="18"/>
                              <w:lang w:val="es-AR" w:eastAsia="es-AR"/>
                            </w:rPr>
                            <w:t>Evaluación final del Programa de apoyo a la Ciencia, Tecnología e Innovación - PROCIT”</w:t>
                          </w:r>
                        </w:p>
                        <w:p w:rsidR="007A62FA" w:rsidRPr="000F0E34" w:rsidRDefault="007A62FA" w:rsidP="00FA0CD0">
                          <w:pPr>
                            <w:autoSpaceDE w:val="0"/>
                            <w:autoSpaceDN w:val="0"/>
                            <w:adjustRightInd w:val="0"/>
                            <w:jc w:val="right"/>
                            <w:rPr>
                              <w:rFonts w:ascii="Calibri" w:hAnsi="Calibri"/>
                              <w:sz w:val="18"/>
                              <w:szCs w:val="18"/>
                            </w:rPr>
                          </w:pPr>
                          <w:r>
                            <w:rPr>
                              <w:rFonts w:ascii="Calibri" w:hAnsi="Calibri"/>
                              <w:bCs/>
                              <w:i/>
                              <w:sz w:val="18"/>
                              <w:szCs w:val="18"/>
                              <w:lang w:val="es-AR" w:eastAsia="es-AR"/>
                            </w:rPr>
                            <w:t>18 de diciembre</w:t>
                          </w:r>
                          <w:r w:rsidRPr="000F0E34">
                            <w:rPr>
                              <w:rFonts w:ascii="Calibri" w:hAnsi="Calibri"/>
                              <w:bCs/>
                              <w:i/>
                              <w:sz w:val="18"/>
                              <w:szCs w:val="18"/>
                              <w:lang w:val="es-AR" w:eastAsia="es-AR"/>
                            </w:rPr>
                            <w:t xml:space="preserve"> de 2013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8" type="#_x0000_t202" style="position:absolute;margin-left:157.85pt;margin-top:-21.7pt;width:348pt;height:4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" stroked="f">
              <v:textbox style="mso-fit-shape-to-text:t">
                <w:txbxContent>
                  <w:p w:rsidR="007A62FA" w:rsidRPr="000F0E34" w:rsidRDefault="007A62FA" w:rsidP="00FA0CD0">
                    <w:pPr>
                      <w:autoSpaceDE w:val="0"/>
                      <w:autoSpaceDN w:val="0"/>
                      <w:adjustRightInd w:val="0"/>
                      <w:jc w:val="right"/>
                      <w:rPr>
                        <w:rFonts w:ascii="Calibri" w:hAnsi="Calibri"/>
                        <w:sz w:val="18"/>
                        <w:szCs w:val="18"/>
                      </w:rPr>
                    </w:pPr>
                    <w:r>
                      <w:rPr>
                        <w:rFonts w:ascii="Calibri" w:hAnsi="Calibri"/>
                        <w:sz w:val="18"/>
                        <w:szCs w:val="18"/>
                      </w:rPr>
                      <w:t>Tercer</w:t>
                    </w:r>
                    <w:r w:rsidRPr="000F0E34">
                      <w:rPr>
                        <w:rFonts w:ascii="Calibri" w:hAnsi="Calibri"/>
                        <w:sz w:val="18"/>
                        <w:szCs w:val="18"/>
                      </w:rPr>
                      <w:t xml:space="preserve"> Informe de avance            </w:t>
                    </w:r>
                  </w:p>
                  <w:p w:rsidR="007A62FA" w:rsidRPr="000F0E34" w:rsidRDefault="007A62FA" w:rsidP="00FA0CD0">
                    <w:pPr>
                      <w:autoSpaceDE w:val="0"/>
                      <w:autoSpaceDN w:val="0"/>
                      <w:adjustRightInd w:val="0"/>
                      <w:jc w:val="right"/>
                      <w:rPr>
                        <w:rFonts w:ascii="Calibri" w:hAnsi="Calibri"/>
                        <w:bCs/>
                        <w:i/>
                        <w:sz w:val="18"/>
                        <w:szCs w:val="18"/>
                        <w:lang w:val="es-AR" w:eastAsia="es-AR"/>
                      </w:rPr>
                    </w:pPr>
                    <w:r w:rsidRPr="000F0E34">
                      <w:rPr>
                        <w:rFonts w:ascii="Calibri" w:hAnsi="Calibri"/>
                        <w:sz w:val="18"/>
                        <w:szCs w:val="18"/>
                      </w:rPr>
                      <w:t>“</w:t>
                    </w:r>
                    <w:r w:rsidRPr="000F0E34">
                      <w:rPr>
                        <w:rFonts w:ascii="Calibri" w:hAnsi="Calibri"/>
                        <w:bCs/>
                        <w:i/>
                        <w:sz w:val="18"/>
                        <w:szCs w:val="18"/>
                        <w:lang w:val="es-AR" w:eastAsia="es-AR"/>
                      </w:rPr>
                      <w:t>Evaluación final del Programa de apoyo a la Ciencia, Tecnología e Innovación - PROCIT”</w:t>
                    </w:r>
                  </w:p>
                  <w:p w:rsidR="007A62FA" w:rsidRPr="000F0E34" w:rsidRDefault="007A62FA" w:rsidP="00FA0CD0">
                    <w:pPr>
                      <w:autoSpaceDE w:val="0"/>
                      <w:autoSpaceDN w:val="0"/>
                      <w:adjustRightInd w:val="0"/>
                      <w:jc w:val="right"/>
                      <w:rPr>
                        <w:rFonts w:ascii="Calibri" w:hAnsi="Calibri"/>
                        <w:sz w:val="18"/>
                        <w:szCs w:val="18"/>
                      </w:rPr>
                    </w:pPr>
                    <w:r>
                      <w:rPr>
                        <w:rFonts w:ascii="Calibri" w:hAnsi="Calibri"/>
                        <w:bCs/>
                        <w:i/>
                        <w:sz w:val="18"/>
                        <w:szCs w:val="18"/>
                        <w:lang w:val="es-AR" w:eastAsia="es-AR"/>
                      </w:rPr>
                      <w:t>18 de diciembre</w:t>
                    </w:r>
                    <w:r w:rsidRPr="000F0E34">
                      <w:rPr>
                        <w:rFonts w:ascii="Calibri" w:hAnsi="Calibri"/>
                        <w:bCs/>
                        <w:i/>
                        <w:sz w:val="18"/>
                        <w:szCs w:val="18"/>
                        <w:lang w:val="es-AR" w:eastAsia="es-AR"/>
                      </w:rPr>
                      <w:t xml:space="preserve"> de 2013</w:t>
                    </w:r>
                  </w:p>
                </w:txbxContent>
              </v:textbox>
            </v:shape>
          </w:pict>
        </mc:Fallback>
      </mc:AlternateContent>
    </w:r>
    <w:r>
      <w:rPr>
        <w:noProof/>
        <w:lang w:val="es-ES_tradnl" w:eastAsia="es-ES_tradnl"/>
      </w:rPr>
      <w:drawing>
        <wp:anchor distT="0" distB="0" distL="114300" distR="114300" simplePos="0" relativeHeight="251662336" behindDoc="1" locked="0" layoutInCell="1" allowOverlap="1" wp14:anchorId="718ED883" wp14:editId="10150471">
          <wp:simplePos x="0" y="0"/>
          <wp:positionH relativeFrom="column">
            <wp:posOffset>-365760</wp:posOffset>
          </wp:positionH>
          <wp:positionV relativeFrom="paragraph">
            <wp:posOffset>-220980</wp:posOffset>
          </wp:positionV>
          <wp:extent cx="1838325" cy="358140"/>
          <wp:effectExtent l="0" t="0" r="9525" b="3810"/>
          <wp:wrapNone/>
          <wp:docPr id="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58140"/>
                  </a:xfrm>
                  <a:prstGeom prst="rect">
                    <a:avLst/>
                  </a:prstGeom>
                  <a:noFill/>
                </pic:spPr>
              </pic:pic>
            </a:graphicData>
          </a:graphic>
        </wp:anchor>
      </w:drawing>
    </w:r>
  </w:p>
  <w:p w:rsidR="007A62FA" w:rsidRDefault="007A62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2FA" w:rsidRDefault="007A62FA">
    <w:pPr>
      <w:pStyle w:val="Header"/>
    </w:pPr>
    <w:r>
      <w:rPr>
        <w:noProof/>
        <w:lang w:val="es-ES_tradnl" w:eastAsia="es-ES_tradnl"/>
      </w:rPr>
      <mc:AlternateContent>
        <mc:Choice Requires="wps">
          <w:drawing>
            <wp:anchor distT="0" distB="0" distL="114300" distR="114300" simplePos="0" relativeHeight="251657216" behindDoc="0" locked="0" layoutInCell="1" allowOverlap="1" wp14:anchorId="1158176E" wp14:editId="7B878929">
              <wp:simplePos x="0" y="0"/>
              <wp:positionH relativeFrom="column">
                <wp:posOffset>2004695</wp:posOffset>
              </wp:positionH>
              <wp:positionV relativeFrom="paragraph">
                <wp:posOffset>-275590</wp:posOffset>
              </wp:positionV>
              <wp:extent cx="4419600" cy="1651635"/>
              <wp:effectExtent l="4445" t="635" r="0" b="0"/>
              <wp:wrapNone/>
              <wp:docPr id="1"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65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2FA" w:rsidRPr="000F0E34" w:rsidRDefault="007A62FA" w:rsidP="00E30F1E">
                          <w:pPr>
                            <w:autoSpaceDE w:val="0"/>
                            <w:autoSpaceDN w:val="0"/>
                            <w:adjustRightInd w:val="0"/>
                            <w:jc w:val="right"/>
                            <w:rPr>
                              <w:rFonts w:ascii="Calibri" w:hAnsi="Calibri"/>
                              <w:sz w:val="18"/>
                              <w:szCs w:val="18"/>
                            </w:rPr>
                          </w:pPr>
                          <w:r>
                            <w:rPr>
                              <w:rFonts w:ascii="Calibri" w:hAnsi="Calibri"/>
                              <w:sz w:val="18"/>
                              <w:szCs w:val="18"/>
                            </w:rPr>
                            <w:t>Tercer</w:t>
                          </w:r>
                          <w:r w:rsidRPr="000F0E34">
                            <w:rPr>
                              <w:rFonts w:ascii="Calibri" w:hAnsi="Calibri"/>
                              <w:sz w:val="18"/>
                              <w:szCs w:val="18"/>
                            </w:rPr>
                            <w:t xml:space="preserve"> Informe de avance            </w:t>
                          </w:r>
                        </w:p>
                        <w:p w:rsidR="007A62FA" w:rsidRPr="000F0E34" w:rsidRDefault="007A62FA" w:rsidP="00E30F1E">
                          <w:pPr>
                            <w:autoSpaceDE w:val="0"/>
                            <w:autoSpaceDN w:val="0"/>
                            <w:adjustRightInd w:val="0"/>
                            <w:jc w:val="right"/>
                            <w:rPr>
                              <w:rFonts w:ascii="Calibri" w:hAnsi="Calibri"/>
                              <w:bCs/>
                              <w:i/>
                              <w:sz w:val="18"/>
                              <w:szCs w:val="18"/>
                              <w:lang w:val="es-AR" w:eastAsia="es-AR"/>
                            </w:rPr>
                          </w:pPr>
                          <w:r w:rsidRPr="000F0E34">
                            <w:rPr>
                              <w:rFonts w:ascii="Calibri" w:hAnsi="Calibri"/>
                              <w:sz w:val="18"/>
                              <w:szCs w:val="18"/>
                            </w:rPr>
                            <w:t>“</w:t>
                          </w:r>
                          <w:r w:rsidRPr="000F0E34">
                            <w:rPr>
                              <w:rFonts w:ascii="Calibri" w:hAnsi="Calibri"/>
                              <w:bCs/>
                              <w:i/>
                              <w:sz w:val="18"/>
                              <w:szCs w:val="18"/>
                              <w:lang w:val="es-AR" w:eastAsia="es-AR"/>
                            </w:rPr>
                            <w:t>Evaluación final del Programa de apoyo a la Ciencia, Tecnología e Innovación - PROCIT”</w:t>
                          </w:r>
                        </w:p>
                        <w:p w:rsidR="007A62FA" w:rsidRPr="000F0E34" w:rsidRDefault="007A62FA" w:rsidP="00E30F1E">
                          <w:pPr>
                            <w:autoSpaceDE w:val="0"/>
                            <w:autoSpaceDN w:val="0"/>
                            <w:adjustRightInd w:val="0"/>
                            <w:jc w:val="right"/>
                            <w:rPr>
                              <w:rFonts w:ascii="Calibri" w:hAnsi="Calibri"/>
                              <w:sz w:val="18"/>
                              <w:szCs w:val="18"/>
                            </w:rPr>
                          </w:pPr>
                          <w:r>
                            <w:rPr>
                              <w:rFonts w:ascii="Calibri" w:hAnsi="Calibri"/>
                              <w:bCs/>
                              <w:i/>
                              <w:sz w:val="18"/>
                              <w:szCs w:val="18"/>
                              <w:lang w:val="es-AR" w:eastAsia="es-AR"/>
                            </w:rPr>
                            <w:t>28 de noviembre</w:t>
                          </w:r>
                          <w:r w:rsidRPr="000F0E34">
                            <w:rPr>
                              <w:rFonts w:ascii="Calibri" w:hAnsi="Calibri"/>
                              <w:bCs/>
                              <w:i/>
                              <w:sz w:val="18"/>
                              <w:szCs w:val="18"/>
                              <w:lang w:val="es-AR" w:eastAsia="es-AR"/>
                            </w:rPr>
                            <w:t xml:space="preserve"> de 2013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9" type="#_x0000_t202" style="position:absolute;margin-left:157.85pt;margin-top:-21.7pt;width:348pt;height:13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" stroked="f">
              <v:textbox style="mso-fit-shape-to-text:t">
                <w:txbxContent>
                  <w:p w:rsidR="007A62FA" w:rsidRPr="000F0E34" w:rsidRDefault="007A62FA" w:rsidP="00E30F1E">
                    <w:pPr>
                      <w:autoSpaceDE w:val="0"/>
                      <w:autoSpaceDN w:val="0"/>
                      <w:adjustRightInd w:val="0"/>
                      <w:jc w:val="right"/>
                      <w:rPr>
                        <w:rFonts w:ascii="Calibri" w:hAnsi="Calibri"/>
                        <w:sz w:val="18"/>
                        <w:szCs w:val="18"/>
                      </w:rPr>
                    </w:pPr>
                    <w:r>
                      <w:rPr>
                        <w:rFonts w:ascii="Calibri" w:hAnsi="Calibri"/>
                        <w:sz w:val="18"/>
                        <w:szCs w:val="18"/>
                      </w:rPr>
                      <w:t>Tercer</w:t>
                    </w:r>
                    <w:r w:rsidRPr="000F0E34">
                      <w:rPr>
                        <w:rFonts w:ascii="Calibri" w:hAnsi="Calibri"/>
                        <w:sz w:val="18"/>
                        <w:szCs w:val="18"/>
                      </w:rPr>
                      <w:t xml:space="preserve"> Informe de avance            </w:t>
                    </w:r>
                  </w:p>
                  <w:p w:rsidR="007A62FA" w:rsidRPr="000F0E34" w:rsidRDefault="007A62FA" w:rsidP="00E30F1E">
                    <w:pPr>
                      <w:autoSpaceDE w:val="0"/>
                      <w:autoSpaceDN w:val="0"/>
                      <w:adjustRightInd w:val="0"/>
                      <w:jc w:val="right"/>
                      <w:rPr>
                        <w:rFonts w:ascii="Calibri" w:hAnsi="Calibri"/>
                        <w:bCs/>
                        <w:i/>
                        <w:sz w:val="18"/>
                        <w:szCs w:val="18"/>
                        <w:lang w:val="es-AR" w:eastAsia="es-AR"/>
                      </w:rPr>
                    </w:pPr>
                    <w:r w:rsidRPr="000F0E34">
                      <w:rPr>
                        <w:rFonts w:ascii="Calibri" w:hAnsi="Calibri"/>
                        <w:sz w:val="18"/>
                        <w:szCs w:val="18"/>
                      </w:rPr>
                      <w:t>“</w:t>
                    </w:r>
                    <w:r w:rsidRPr="000F0E34">
                      <w:rPr>
                        <w:rFonts w:ascii="Calibri" w:hAnsi="Calibri"/>
                        <w:bCs/>
                        <w:i/>
                        <w:sz w:val="18"/>
                        <w:szCs w:val="18"/>
                        <w:lang w:val="es-AR" w:eastAsia="es-AR"/>
                      </w:rPr>
                      <w:t>Evaluación final del Programa de apoyo a la Ciencia, Tecnología e Innovación - PROCIT”</w:t>
                    </w:r>
                  </w:p>
                  <w:p w:rsidR="007A62FA" w:rsidRPr="000F0E34" w:rsidRDefault="007A62FA" w:rsidP="00E30F1E">
                    <w:pPr>
                      <w:autoSpaceDE w:val="0"/>
                      <w:autoSpaceDN w:val="0"/>
                      <w:adjustRightInd w:val="0"/>
                      <w:jc w:val="right"/>
                      <w:rPr>
                        <w:rFonts w:ascii="Calibri" w:hAnsi="Calibri"/>
                        <w:sz w:val="18"/>
                        <w:szCs w:val="18"/>
                      </w:rPr>
                    </w:pPr>
                    <w:r>
                      <w:rPr>
                        <w:rFonts w:ascii="Calibri" w:hAnsi="Calibri"/>
                        <w:bCs/>
                        <w:i/>
                        <w:sz w:val="18"/>
                        <w:szCs w:val="18"/>
                        <w:lang w:val="es-AR" w:eastAsia="es-AR"/>
                      </w:rPr>
                      <w:t>28 de noviembre</w:t>
                    </w:r>
                    <w:r w:rsidRPr="000F0E34">
                      <w:rPr>
                        <w:rFonts w:ascii="Calibri" w:hAnsi="Calibri"/>
                        <w:bCs/>
                        <w:i/>
                        <w:sz w:val="18"/>
                        <w:szCs w:val="18"/>
                        <w:lang w:val="es-AR" w:eastAsia="es-AR"/>
                      </w:rPr>
                      <w:t xml:space="preserve"> de 2013</w:t>
                    </w:r>
                  </w:p>
                </w:txbxContent>
              </v:textbox>
            </v:shape>
          </w:pict>
        </mc:Fallback>
      </mc:AlternateContent>
    </w:r>
    <w:r>
      <w:rPr>
        <w:noProof/>
        <w:lang w:val="es-ES_tradnl" w:eastAsia="es-ES_tradnl"/>
      </w:rPr>
      <w:drawing>
        <wp:anchor distT="0" distB="0" distL="114300" distR="114300" simplePos="0" relativeHeight="251659264" behindDoc="1" locked="0" layoutInCell="1" allowOverlap="1" wp14:anchorId="19A5DE90" wp14:editId="0B57E6C0">
          <wp:simplePos x="0" y="0"/>
          <wp:positionH relativeFrom="column">
            <wp:posOffset>-365760</wp:posOffset>
          </wp:positionH>
          <wp:positionV relativeFrom="paragraph">
            <wp:posOffset>-220980</wp:posOffset>
          </wp:positionV>
          <wp:extent cx="1838325" cy="358140"/>
          <wp:effectExtent l="0" t="0" r="9525" b="3810"/>
          <wp:wrapNone/>
          <wp:docPr id="1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58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
      </v:shape>
    </w:pict>
  </w:numPicBullet>
  <w:abstractNum w:abstractNumId="0">
    <w:nsid w:val="00000002"/>
    <w:multiLevelType w:val="multilevel"/>
    <w:tmpl w:val="00000002"/>
    <w:name w:val="WW8Num2"/>
    <w:lvl w:ilvl="0">
      <w:start w:val="5"/>
      <w:numFmt w:val="decimal"/>
      <w:lvlText w:val="%1"/>
      <w:lvlJc w:val="left"/>
      <w:pPr>
        <w:tabs>
          <w:tab w:val="num" w:pos="0"/>
        </w:tabs>
        <w:ind w:left="360" w:hanging="360"/>
      </w:pPr>
      <w:rPr>
        <w:rFonts w:ascii="Arial" w:hAnsi="Arial" w:cs="Arial"/>
        <w:b/>
        <w:bCs/>
        <w:sz w:val="22"/>
        <w:szCs w:val="22"/>
      </w:rPr>
    </w:lvl>
    <w:lvl w:ilvl="1">
      <w:start w:val="1"/>
      <w:numFmt w:val="decimal"/>
      <w:lvlText w:val="%1.%2"/>
      <w:lvlJc w:val="left"/>
      <w:pPr>
        <w:tabs>
          <w:tab w:val="num" w:pos="0"/>
        </w:tabs>
        <w:ind w:left="1069" w:hanging="360"/>
      </w:pPr>
    </w:lvl>
    <w:lvl w:ilvl="2">
      <w:start w:val="1"/>
      <w:numFmt w:val="decimal"/>
      <w:lvlText w:val="%1.%2.%3"/>
      <w:lvlJc w:val="left"/>
      <w:pPr>
        <w:tabs>
          <w:tab w:val="num" w:pos="0"/>
        </w:tabs>
        <w:ind w:left="1713" w:hanging="720"/>
      </w:pPr>
      <w:rPr>
        <w:sz w:val="20"/>
        <w:szCs w:val="20"/>
      </w:rPr>
    </w:lvl>
    <w:lvl w:ilvl="3">
      <w:start w:val="1"/>
      <w:numFmt w:val="decimal"/>
      <w:lvlText w:val="%1.%2.%3.%4"/>
      <w:lvlJc w:val="left"/>
      <w:pPr>
        <w:tabs>
          <w:tab w:val="num" w:pos="0"/>
        </w:tabs>
        <w:ind w:left="1996" w:hanging="720"/>
      </w:pPr>
      <w:rPr>
        <w:sz w:val="18"/>
        <w:szCs w:val="18"/>
      </w:r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nsid w:val="00000003"/>
    <w:multiLevelType w:val="multilevel"/>
    <w:tmpl w:val="00000003"/>
    <w:name w:val="WW8Num3"/>
    <w:lvl w:ilvl="0">
      <w:start w:val="1"/>
      <w:numFmt w:val="bullet"/>
      <w:lvlText w:val=""/>
      <w:lvlJc w:val="left"/>
      <w:pPr>
        <w:tabs>
          <w:tab w:val="num" w:pos="720"/>
        </w:tabs>
        <w:ind w:left="357" w:hanging="357"/>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nsid w:val="039E65EF"/>
    <w:multiLevelType w:val="hybridMultilevel"/>
    <w:tmpl w:val="9A88E1F4"/>
    <w:lvl w:ilvl="0" w:tplc="6264FE7E">
      <w:start w:val="1"/>
      <w:numFmt w:val="decimal"/>
      <w:lvlText w:val="%1."/>
      <w:lvlJc w:val="left"/>
      <w:pPr>
        <w:ind w:left="360" w:hanging="360"/>
      </w:pPr>
      <w:rPr>
        <w:rFonts w:hint="default"/>
        <w:color w:val="auto"/>
      </w:rPr>
    </w:lvl>
    <w:lvl w:ilvl="1" w:tplc="0A4EA2BC">
      <w:start w:val="1"/>
      <w:numFmt w:val="decimal"/>
      <w:lvlText w:val="%2"/>
      <w:lvlJc w:val="left"/>
      <w:pPr>
        <w:ind w:left="1500" w:hanging="780"/>
      </w:pPr>
      <w:rPr>
        <w:rFonts w:hint="default"/>
      </w:r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
    <w:nsid w:val="0C566A8D"/>
    <w:multiLevelType w:val="hybridMultilevel"/>
    <w:tmpl w:val="E7B0DC08"/>
    <w:lvl w:ilvl="0" w:tplc="BEFE89C6">
      <w:numFmt w:val="bullet"/>
      <w:lvlText w:val="-"/>
      <w:lvlJc w:val="left"/>
      <w:pPr>
        <w:ind w:left="720" w:hanging="360"/>
      </w:pPr>
      <w:rPr>
        <w:rFonts w:ascii="Calibri" w:eastAsia="Calibr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D750380"/>
    <w:multiLevelType w:val="hybridMultilevel"/>
    <w:tmpl w:val="D65C40C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0DC7330B"/>
    <w:multiLevelType w:val="multilevel"/>
    <w:tmpl w:val="58C87D16"/>
    <w:lvl w:ilvl="0">
      <w:start w:val="1"/>
      <w:numFmt w:val="decimal"/>
      <w:lvlText w:val="%1."/>
      <w:lvlJc w:val="left"/>
      <w:pPr>
        <w:tabs>
          <w:tab w:val="num" w:pos="1077"/>
        </w:tabs>
        <w:ind w:left="714" w:hanging="357"/>
      </w:pPr>
      <w:rPr>
        <w:rFonts w:hint="default"/>
      </w:rPr>
    </w:lvl>
    <w:lvl w:ilvl="1">
      <w:start w:val="1"/>
      <w:numFmt w:val="bullet"/>
      <w:lvlText w:val="o"/>
      <w:lvlJc w:val="left"/>
      <w:pPr>
        <w:tabs>
          <w:tab w:val="num" w:pos="1797"/>
        </w:tabs>
        <w:ind w:left="1797" w:hanging="360"/>
      </w:pPr>
      <w:rPr>
        <w:rFonts w:ascii="Courier New" w:hAnsi="Courier New" w:cs="Courier New" w:hint="default"/>
      </w:rPr>
    </w:lvl>
    <w:lvl w:ilvl="2">
      <w:start w:val="1"/>
      <w:numFmt w:val="bullet"/>
      <w:lvlText w:val=""/>
      <w:lvlJc w:val="left"/>
      <w:pPr>
        <w:tabs>
          <w:tab w:val="num" w:pos="2517"/>
        </w:tabs>
        <w:ind w:left="2517" w:hanging="360"/>
      </w:pPr>
      <w:rPr>
        <w:rFonts w:ascii="Wingdings" w:hAnsi="Wingdings" w:cs="Wingdings" w:hint="default"/>
      </w:rPr>
    </w:lvl>
    <w:lvl w:ilvl="3">
      <w:start w:val="1"/>
      <w:numFmt w:val="bullet"/>
      <w:lvlText w:val=""/>
      <w:lvlJc w:val="left"/>
      <w:pPr>
        <w:tabs>
          <w:tab w:val="num" w:pos="3237"/>
        </w:tabs>
        <w:ind w:left="3237" w:hanging="360"/>
      </w:pPr>
      <w:rPr>
        <w:rFonts w:ascii="Symbol" w:hAnsi="Symbol" w:cs="Symbol" w:hint="default"/>
      </w:rPr>
    </w:lvl>
    <w:lvl w:ilvl="4">
      <w:start w:val="1"/>
      <w:numFmt w:val="bullet"/>
      <w:lvlText w:val="o"/>
      <w:lvlJc w:val="left"/>
      <w:pPr>
        <w:tabs>
          <w:tab w:val="num" w:pos="3957"/>
        </w:tabs>
        <w:ind w:left="3957" w:hanging="360"/>
      </w:pPr>
      <w:rPr>
        <w:rFonts w:ascii="Courier New" w:hAnsi="Courier New" w:cs="Courier New" w:hint="default"/>
      </w:rPr>
    </w:lvl>
    <w:lvl w:ilvl="5">
      <w:start w:val="1"/>
      <w:numFmt w:val="bullet"/>
      <w:lvlText w:val=""/>
      <w:lvlJc w:val="left"/>
      <w:pPr>
        <w:tabs>
          <w:tab w:val="num" w:pos="4677"/>
        </w:tabs>
        <w:ind w:left="4677" w:hanging="360"/>
      </w:pPr>
      <w:rPr>
        <w:rFonts w:ascii="Wingdings" w:hAnsi="Wingdings" w:cs="Wingdings" w:hint="default"/>
      </w:rPr>
    </w:lvl>
    <w:lvl w:ilvl="6">
      <w:start w:val="1"/>
      <w:numFmt w:val="bullet"/>
      <w:lvlText w:val=""/>
      <w:lvlJc w:val="left"/>
      <w:pPr>
        <w:tabs>
          <w:tab w:val="num" w:pos="5397"/>
        </w:tabs>
        <w:ind w:left="5397" w:hanging="360"/>
      </w:pPr>
      <w:rPr>
        <w:rFonts w:ascii="Symbol" w:hAnsi="Symbol" w:cs="Symbol" w:hint="default"/>
      </w:rPr>
    </w:lvl>
    <w:lvl w:ilvl="7">
      <w:start w:val="1"/>
      <w:numFmt w:val="bullet"/>
      <w:lvlText w:val="o"/>
      <w:lvlJc w:val="left"/>
      <w:pPr>
        <w:tabs>
          <w:tab w:val="num" w:pos="6117"/>
        </w:tabs>
        <w:ind w:left="6117" w:hanging="360"/>
      </w:pPr>
      <w:rPr>
        <w:rFonts w:ascii="Courier New" w:hAnsi="Courier New" w:cs="Courier New" w:hint="default"/>
      </w:rPr>
    </w:lvl>
    <w:lvl w:ilvl="8">
      <w:start w:val="1"/>
      <w:numFmt w:val="bullet"/>
      <w:lvlText w:val=""/>
      <w:lvlJc w:val="left"/>
      <w:pPr>
        <w:tabs>
          <w:tab w:val="num" w:pos="6837"/>
        </w:tabs>
        <w:ind w:left="6837" w:hanging="360"/>
      </w:pPr>
      <w:rPr>
        <w:rFonts w:ascii="Wingdings" w:hAnsi="Wingdings" w:cs="Wingdings" w:hint="default"/>
      </w:rPr>
    </w:lvl>
  </w:abstractNum>
  <w:abstractNum w:abstractNumId="6">
    <w:nsid w:val="0E4F125C"/>
    <w:multiLevelType w:val="hybridMultilevel"/>
    <w:tmpl w:val="2BB2DAFA"/>
    <w:lvl w:ilvl="0" w:tplc="B0B82CEE">
      <w:numFmt w:val="bullet"/>
      <w:lvlText w:val="-"/>
      <w:lvlJc w:val="left"/>
      <w:pPr>
        <w:ind w:left="720" w:hanging="360"/>
      </w:pPr>
      <w:rPr>
        <w:rFonts w:ascii="Calibri" w:eastAsia="Calibri" w:hAnsi="Calibri" w:cs="Calibr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379407B"/>
    <w:multiLevelType w:val="hybridMultilevel"/>
    <w:tmpl w:val="F97466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77482D"/>
    <w:multiLevelType w:val="hybridMultilevel"/>
    <w:tmpl w:val="4068604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BCD4213"/>
    <w:multiLevelType w:val="hybridMultilevel"/>
    <w:tmpl w:val="4B5ED74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B22D6B"/>
    <w:multiLevelType w:val="hybridMultilevel"/>
    <w:tmpl w:val="BE0A33D8"/>
    <w:lvl w:ilvl="0" w:tplc="57E8BFD8">
      <w:start w:val="1"/>
      <w:numFmt w:val="decimal"/>
      <w:pStyle w:val="Heading1"/>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1">
    <w:nsid w:val="22DD3D24"/>
    <w:multiLevelType w:val="multilevel"/>
    <w:tmpl w:val="7CA439FC"/>
    <w:lvl w:ilvl="0">
      <w:start w:val="1"/>
      <w:numFmt w:val="upperLetter"/>
      <w:lvlText w:val="%1)"/>
      <w:lvlJc w:val="left"/>
      <w:pPr>
        <w:ind w:left="360" w:hanging="360"/>
      </w:pPr>
      <w:rPr>
        <w:rFonts w:ascii="Calibri" w:eastAsia="Times New Roman" w:hAnsi="Calibri" w:cs="Times New Roman"/>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nsid w:val="24324CA2"/>
    <w:multiLevelType w:val="hybridMultilevel"/>
    <w:tmpl w:val="2E48069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nsid w:val="27010B63"/>
    <w:multiLevelType w:val="multilevel"/>
    <w:tmpl w:val="2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nsid w:val="27047AC5"/>
    <w:multiLevelType w:val="hybridMultilevel"/>
    <w:tmpl w:val="B2169B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29F26D52"/>
    <w:multiLevelType w:val="hybridMultilevel"/>
    <w:tmpl w:val="67D261B6"/>
    <w:lvl w:ilvl="0" w:tplc="6398173A">
      <w:start w:val="1"/>
      <w:numFmt w:val="bullet"/>
      <w:lvlText w:val=""/>
      <w:lvlJc w:val="left"/>
      <w:pPr>
        <w:tabs>
          <w:tab w:val="num" w:pos="72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250A15"/>
    <w:multiLevelType w:val="hybridMultilevel"/>
    <w:tmpl w:val="E0641D2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7">
    <w:nsid w:val="3B5B4075"/>
    <w:multiLevelType w:val="hybridMultilevel"/>
    <w:tmpl w:val="9EB06F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407C0A9E"/>
    <w:multiLevelType w:val="hybridMultilevel"/>
    <w:tmpl w:val="21B20B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47610A52"/>
    <w:multiLevelType w:val="hybridMultilevel"/>
    <w:tmpl w:val="5896F18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481A60FB"/>
    <w:multiLevelType w:val="hybridMultilevel"/>
    <w:tmpl w:val="97E480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514E5BB6"/>
    <w:multiLevelType w:val="hybridMultilevel"/>
    <w:tmpl w:val="40207DB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3204B0E"/>
    <w:multiLevelType w:val="hybridMultilevel"/>
    <w:tmpl w:val="3336303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538B372C"/>
    <w:multiLevelType w:val="multilevel"/>
    <w:tmpl w:val="8EEA4CD2"/>
    <w:lvl w:ilvl="0">
      <w:start w:val="1"/>
      <w:numFmt w:val="upperLetter"/>
      <w:lvlText w:val="%1)"/>
      <w:lvlJc w:val="left"/>
      <w:pPr>
        <w:ind w:left="360" w:hanging="360"/>
      </w:pPr>
      <w:rPr>
        <w:rFonts w:ascii="Calibri" w:eastAsia="Times New Roman" w:hAnsi="Calibri" w:cs="Times New Roman"/>
      </w:r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080" w:hanging="360"/>
      </w:pPr>
      <w:rPr>
        <w:rFonts w:cs="Times New Roman"/>
      </w:rPr>
    </w:lvl>
    <w:lvl w:ilvl="3">
      <w:start w:val="1"/>
      <w:numFmt w:val="bullet"/>
      <w:lvlText w:val=""/>
      <w:lvlPicBulletId w:val="0"/>
      <w:lvlJc w:val="left"/>
      <w:pPr>
        <w:ind w:left="1440" w:hanging="360"/>
      </w:pPr>
      <w:rPr>
        <w:rFonts w:ascii="Symbol" w:hAnsi="Symbol" w:hint="default"/>
        <w:color w:val="auto"/>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nsid w:val="552B255B"/>
    <w:multiLevelType w:val="hybridMultilevel"/>
    <w:tmpl w:val="A44475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nsid w:val="590D1560"/>
    <w:multiLevelType w:val="hybridMultilevel"/>
    <w:tmpl w:val="2B84AA28"/>
    <w:lvl w:ilvl="0" w:tplc="CA3E4770">
      <w:start w:val="5"/>
      <w:numFmt w:val="bullet"/>
      <w:lvlText w:val="-"/>
      <w:lvlJc w:val="left"/>
      <w:pPr>
        <w:ind w:left="360" w:hanging="360"/>
      </w:pPr>
      <w:rPr>
        <w:rFonts w:ascii="Calibri" w:eastAsia="Calibri" w:hAnsi="Calibri" w:cs="Calibri"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6">
    <w:nsid w:val="5C600F00"/>
    <w:multiLevelType w:val="hybridMultilevel"/>
    <w:tmpl w:val="69AEA3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E8C73A2"/>
    <w:multiLevelType w:val="multilevel"/>
    <w:tmpl w:val="AB5EE74C"/>
    <w:lvl w:ilvl="0">
      <w:start w:val="1"/>
      <w:numFmt w:val="decimal"/>
      <w:lvlText w:val="%1"/>
      <w:lvlJc w:val="left"/>
      <w:pPr>
        <w:tabs>
          <w:tab w:val="num" w:pos="555"/>
        </w:tabs>
        <w:ind w:left="555" w:hanging="555"/>
      </w:pPr>
      <w:rPr>
        <w:rFonts w:cs="Times New Roman" w:hint="default"/>
      </w:rPr>
    </w:lvl>
    <w:lvl w:ilvl="1">
      <w:start w:val="1"/>
      <w:numFmt w:val="decimal"/>
      <w:lvlText w:val="%1.%2"/>
      <w:lvlJc w:val="left"/>
      <w:pPr>
        <w:tabs>
          <w:tab w:val="num" w:pos="735"/>
        </w:tabs>
        <w:ind w:left="73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7383"/>
        </w:tabs>
        <w:ind w:left="7383"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5FAE535D"/>
    <w:multiLevelType w:val="multilevel"/>
    <w:tmpl w:val="F030F0D4"/>
    <w:lvl w:ilvl="0">
      <w:start w:val="1"/>
      <w:numFmt w:val="decimal"/>
      <w:pStyle w:val="Heading3"/>
      <w:lvlText w:val="%1"/>
      <w:lvlJc w:val="left"/>
      <w:pPr>
        <w:tabs>
          <w:tab w:val="num" w:pos="555"/>
        </w:tabs>
        <w:ind w:left="555" w:hanging="555"/>
      </w:pPr>
      <w:rPr>
        <w:rFonts w:cs="Times New Roman" w:hint="default"/>
      </w:rPr>
    </w:lvl>
    <w:lvl w:ilvl="1">
      <w:start w:val="1"/>
      <w:numFmt w:val="decimal"/>
      <w:pStyle w:val="Heading2"/>
      <w:lvlText w:val="%1.%2"/>
      <w:lvlJc w:val="left"/>
      <w:pPr>
        <w:tabs>
          <w:tab w:val="num" w:pos="735"/>
        </w:tabs>
        <w:ind w:left="735" w:hanging="555"/>
      </w:pPr>
      <w:rPr>
        <w:rFonts w:cs="Times New Roman" w:hint="default"/>
        <w:b/>
        <w:sz w:val="22"/>
        <w:szCs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1AB19D1"/>
    <w:multiLevelType w:val="hybridMultilevel"/>
    <w:tmpl w:val="FF6C9480"/>
    <w:lvl w:ilvl="0" w:tplc="B0B82CEE">
      <w:numFmt w:val="bullet"/>
      <w:lvlText w:val="-"/>
      <w:lvlJc w:val="left"/>
      <w:pPr>
        <w:ind w:left="720" w:hanging="360"/>
      </w:pPr>
      <w:rPr>
        <w:rFonts w:ascii="Calibri" w:eastAsia="Calibr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636A267F"/>
    <w:multiLevelType w:val="hybridMultilevel"/>
    <w:tmpl w:val="3E76A7BC"/>
    <w:lvl w:ilvl="0" w:tplc="76E6AF7A">
      <w:numFmt w:val="bullet"/>
      <w:lvlText w:val=""/>
      <w:lvlJc w:val="left"/>
      <w:pPr>
        <w:ind w:left="360" w:hanging="360"/>
      </w:pPr>
      <w:rPr>
        <w:rFonts w:ascii="Symbol" w:eastAsia="Calibri" w:hAnsi="Symbol"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66940FAE"/>
    <w:multiLevelType w:val="hybridMultilevel"/>
    <w:tmpl w:val="739EE95E"/>
    <w:lvl w:ilvl="0" w:tplc="6264FE7E">
      <w:start w:val="1"/>
      <w:numFmt w:val="decimal"/>
      <w:lvlText w:val="%1."/>
      <w:lvlJc w:val="left"/>
      <w:pPr>
        <w:ind w:left="720" w:hanging="360"/>
      </w:pPr>
      <w:rPr>
        <w:rFonts w:hint="default"/>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nsid w:val="66AD50EA"/>
    <w:multiLevelType w:val="hybridMultilevel"/>
    <w:tmpl w:val="E5D2607A"/>
    <w:lvl w:ilvl="0" w:tplc="B0B82CEE">
      <w:numFmt w:val="bullet"/>
      <w:lvlText w:val="-"/>
      <w:lvlJc w:val="left"/>
      <w:pPr>
        <w:ind w:left="720" w:hanging="360"/>
      </w:pPr>
      <w:rPr>
        <w:rFonts w:ascii="Calibri" w:eastAsia="Calibri" w:hAnsi="Calibri" w:cs="Calibr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68C22E47"/>
    <w:multiLevelType w:val="hybridMultilevel"/>
    <w:tmpl w:val="48D459C8"/>
    <w:lvl w:ilvl="0" w:tplc="70AC11BC">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6D1B668A"/>
    <w:multiLevelType w:val="hybridMultilevel"/>
    <w:tmpl w:val="02FCBF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10F15A0"/>
    <w:multiLevelType w:val="hybridMultilevel"/>
    <w:tmpl w:val="B63823C0"/>
    <w:lvl w:ilvl="0" w:tplc="B0B82CEE">
      <w:numFmt w:val="bullet"/>
      <w:lvlText w:val="-"/>
      <w:lvlJc w:val="left"/>
      <w:pPr>
        <w:ind w:left="720" w:hanging="360"/>
      </w:pPr>
      <w:rPr>
        <w:rFonts w:ascii="Calibri" w:eastAsia="Calibr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nsid w:val="76A853E0"/>
    <w:multiLevelType w:val="hybridMultilevel"/>
    <w:tmpl w:val="E3688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CBD25EC"/>
    <w:multiLevelType w:val="hybridMultilevel"/>
    <w:tmpl w:val="69182A12"/>
    <w:lvl w:ilvl="0" w:tplc="60225DDE">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abstractNumId w:val="30"/>
  </w:num>
  <w:num w:numId="2">
    <w:abstractNumId w:val="1"/>
  </w:num>
  <w:num w:numId="3">
    <w:abstractNumId w:val="27"/>
  </w:num>
  <w:num w:numId="4">
    <w:abstractNumId w:val="28"/>
  </w:num>
  <w:num w:numId="5">
    <w:abstractNumId w:val="13"/>
  </w:num>
  <w:num w:numId="6">
    <w:abstractNumId w:val="10"/>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4"/>
  </w:num>
  <w:num w:numId="10">
    <w:abstractNumId w:val="31"/>
  </w:num>
  <w:num w:numId="11">
    <w:abstractNumId w:val="9"/>
  </w:num>
  <w:num w:numId="12">
    <w:abstractNumId w:val="21"/>
  </w:num>
  <w:num w:numId="13">
    <w:abstractNumId w:val="8"/>
  </w:num>
  <w:num w:numId="14">
    <w:abstractNumId w:val="12"/>
  </w:num>
  <w:num w:numId="15">
    <w:abstractNumId w:val="5"/>
  </w:num>
  <w:num w:numId="16">
    <w:abstractNumId w:val="11"/>
  </w:num>
  <w:num w:numId="17">
    <w:abstractNumId w:val="23"/>
  </w:num>
  <w:num w:numId="18">
    <w:abstractNumId w:val="7"/>
  </w:num>
  <w:num w:numId="19">
    <w:abstractNumId w:val="20"/>
  </w:num>
  <w:num w:numId="20">
    <w:abstractNumId w:val="36"/>
  </w:num>
  <w:num w:numId="21">
    <w:abstractNumId w:val="18"/>
  </w:num>
  <w:num w:numId="22">
    <w:abstractNumId w:val="34"/>
  </w:num>
  <w:num w:numId="23">
    <w:abstractNumId w:val="26"/>
  </w:num>
  <w:num w:numId="24">
    <w:abstractNumId w:val="24"/>
  </w:num>
  <w:num w:numId="25">
    <w:abstractNumId w:val="19"/>
  </w:num>
  <w:num w:numId="26">
    <w:abstractNumId w:val="37"/>
  </w:num>
  <w:num w:numId="27">
    <w:abstractNumId w:val="2"/>
  </w:num>
  <w:num w:numId="28">
    <w:abstractNumId w:val="16"/>
  </w:num>
  <w:num w:numId="29">
    <w:abstractNumId w:val="4"/>
  </w:num>
  <w:num w:numId="30">
    <w:abstractNumId w:val="17"/>
  </w:num>
  <w:num w:numId="31">
    <w:abstractNumId w:val="33"/>
  </w:num>
  <w:num w:numId="32">
    <w:abstractNumId w:val="3"/>
  </w:num>
  <w:num w:numId="33">
    <w:abstractNumId w:val="29"/>
  </w:num>
  <w:num w:numId="34">
    <w:abstractNumId w:val="25"/>
  </w:num>
  <w:num w:numId="35">
    <w:abstractNumId w:val="22"/>
  </w:num>
  <w:num w:numId="36">
    <w:abstractNumId w:val="6"/>
  </w:num>
  <w:num w:numId="37">
    <w:abstractNumId w:val="32"/>
  </w:num>
  <w:num w:numId="38">
    <w:abstractNumId w:val="35"/>
  </w:num>
  <w:num w:numId="39">
    <w:abstractNumId w:val="10"/>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45C"/>
    <w:rsid w:val="00000E63"/>
    <w:rsid w:val="00001C83"/>
    <w:rsid w:val="00002002"/>
    <w:rsid w:val="00003DF0"/>
    <w:rsid w:val="0000601C"/>
    <w:rsid w:val="000060C3"/>
    <w:rsid w:val="000078FC"/>
    <w:rsid w:val="00007D6C"/>
    <w:rsid w:val="000105EE"/>
    <w:rsid w:val="000113CB"/>
    <w:rsid w:val="00011942"/>
    <w:rsid w:val="000119DA"/>
    <w:rsid w:val="000134FE"/>
    <w:rsid w:val="0001404C"/>
    <w:rsid w:val="0001455F"/>
    <w:rsid w:val="00014F74"/>
    <w:rsid w:val="00014F9A"/>
    <w:rsid w:val="00016D70"/>
    <w:rsid w:val="00017116"/>
    <w:rsid w:val="0002658A"/>
    <w:rsid w:val="00026936"/>
    <w:rsid w:val="00030F2A"/>
    <w:rsid w:val="00032041"/>
    <w:rsid w:val="000320ED"/>
    <w:rsid w:val="00032A1C"/>
    <w:rsid w:val="00032C28"/>
    <w:rsid w:val="0003516A"/>
    <w:rsid w:val="00036B41"/>
    <w:rsid w:val="00040ED4"/>
    <w:rsid w:val="0004122E"/>
    <w:rsid w:val="00043715"/>
    <w:rsid w:val="00044C5B"/>
    <w:rsid w:val="00051795"/>
    <w:rsid w:val="00055459"/>
    <w:rsid w:val="0005617F"/>
    <w:rsid w:val="000562FE"/>
    <w:rsid w:val="00056DAF"/>
    <w:rsid w:val="000577BD"/>
    <w:rsid w:val="00060E00"/>
    <w:rsid w:val="00061641"/>
    <w:rsid w:val="0007242C"/>
    <w:rsid w:val="0007637E"/>
    <w:rsid w:val="00082F61"/>
    <w:rsid w:val="000832C3"/>
    <w:rsid w:val="000853D0"/>
    <w:rsid w:val="0008770C"/>
    <w:rsid w:val="00090055"/>
    <w:rsid w:val="000902F4"/>
    <w:rsid w:val="0009128E"/>
    <w:rsid w:val="0009492E"/>
    <w:rsid w:val="000954A5"/>
    <w:rsid w:val="00097D6A"/>
    <w:rsid w:val="000A266A"/>
    <w:rsid w:val="000A4928"/>
    <w:rsid w:val="000A7860"/>
    <w:rsid w:val="000B0043"/>
    <w:rsid w:val="000B0C31"/>
    <w:rsid w:val="000B20F1"/>
    <w:rsid w:val="000B4373"/>
    <w:rsid w:val="000B7CA3"/>
    <w:rsid w:val="000C2148"/>
    <w:rsid w:val="000C299D"/>
    <w:rsid w:val="000C30A7"/>
    <w:rsid w:val="000C4ECB"/>
    <w:rsid w:val="000C4F9A"/>
    <w:rsid w:val="000C5232"/>
    <w:rsid w:val="000D1D14"/>
    <w:rsid w:val="000D2FAC"/>
    <w:rsid w:val="000D5550"/>
    <w:rsid w:val="000E1A2B"/>
    <w:rsid w:val="000E2600"/>
    <w:rsid w:val="000E3895"/>
    <w:rsid w:val="000E50D9"/>
    <w:rsid w:val="000E56B1"/>
    <w:rsid w:val="000E660F"/>
    <w:rsid w:val="000E6996"/>
    <w:rsid w:val="000E7D67"/>
    <w:rsid w:val="000F0E34"/>
    <w:rsid w:val="000F42D9"/>
    <w:rsid w:val="000F712C"/>
    <w:rsid w:val="00103D90"/>
    <w:rsid w:val="00105574"/>
    <w:rsid w:val="0010670C"/>
    <w:rsid w:val="0010764C"/>
    <w:rsid w:val="00107921"/>
    <w:rsid w:val="001136E1"/>
    <w:rsid w:val="00113B62"/>
    <w:rsid w:val="001238B1"/>
    <w:rsid w:val="00124B2D"/>
    <w:rsid w:val="00124EF4"/>
    <w:rsid w:val="00132BC4"/>
    <w:rsid w:val="00132D5A"/>
    <w:rsid w:val="001374C1"/>
    <w:rsid w:val="00140F93"/>
    <w:rsid w:val="00151822"/>
    <w:rsid w:val="001539B8"/>
    <w:rsid w:val="00154DB7"/>
    <w:rsid w:val="00156B33"/>
    <w:rsid w:val="00157C3B"/>
    <w:rsid w:val="00157C63"/>
    <w:rsid w:val="0016041E"/>
    <w:rsid w:val="001626DA"/>
    <w:rsid w:val="001649C8"/>
    <w:rsid w:val="00164C32"/>
    <w:rsid w:val="00165C67"/>
    <w:rsid w:val="00165E40"/>
    <w:rsid w:val="00171404"/>
    <w:rsid w:val="00173985"/>
    <w:rsid w:val="00174021"/>
    <w:rsid w:val="0017519B"/>
    <w:rsid w:val="001815F3"/>
    <w:rsid w:val="00182C79"/>
    <w:rsid w:val="00184251"/>
    <w:rsid w:val="0018492F"/>
    <w:rsid w:val="001860F3"/>
    <w:rsid w:val="0019181B"/>
    <w:rsid w:val="001943FE"/>
    <w:rsid w:val="00194918"/>
    <w:rsid w:val="00194AD2"/>
    <w:rsid w:val="00195973"/>
    <w:rsid w:val="00195CEC"/>
    <w:rsid w:val="001973DD"/>
    <w:rsid w:val="001974F1"/>
    <w:rsid w:val="001A0762"/>
    <w:rsid w:val="001A2999"/>
    <w:rsid w:val="001A4DE6"/>
    <w:rsid w:val="001B18B9"/>
    <w:rsid w:val="001B385B"/>
    <w:rsid w:val="001B68B6"/>
    <w:rsid w:val="001B7647"/>
    <w:rsid w:val="001C0A39"/>
    <w:rsid w:val="001C1601"/>
    <w:rsid w:val="001C1AA8"/>
    <w:rsid w:val="001C350C"/>
    <w:rsid w:val="001C38AA"/>
    <w:rsid w:val="001D2109"/>
    <w:rsid w:val="001D41B3"/>
    <w:rsid w:val="001D500E"/>
    <w:rsid w:val="001D5209"/>
    <w:rsid w:val="001D5D38"/>
    <w:rsid w:val="001E2A3F"/>
    <w:rsid w:val="001E34B9"/>
    <w:rsid w:val="001E6BCC"/>
    <w:rsid w:val="001F1286"/>
    <w:rsid w:val="001F193A"/>
    <w:rsid w:val="001F2507"/>
    <w:rsid w:val="001F36A5"/>
    <w:rsid w:val="001F478B"/>
    <w:rsid w:val="0021400F"/>
    <w:rsid w:val="002212C5"/>
    <w:rsid w:val="00221BF8"/>
    <w:rsid w:val="00222BFE"/>
    <w:rsid w:val="00225C80"/>
    <w:rsid w:val="00226DD3"/>
    <w:rsid w:val="00227522"/>
    <w:rsid w:val="00232DD4"/>
    <w:rsid w:val="0023300A"/>
    <w:rsid w:val="00235AAE"/>
    <w:rsid w:val="00236C3E"/>
    <w:rsid w:val="002401E0"/>
    <w:rsid w:val="00242D9A"/>
    <w:rsid w:val="0024344C"/>
    <w:rsid w:val="002461CA"/>
    <w:rsid w:val="00246DF7"/>
    <w:rsid w:val="002500D7"/>
    <w:rsid w:val="00253D04"/>
    <w:rsid w:val="002618C0"/>
    <w:rsid w:val="00264C76"/>
    <w:rsid w:val="00267CDA"/>
    <w:rsid w:val="00270BF8"/>
    <w:rsid w:val="00276E65"/>
    <w:rsid w:val="0028130F"/>
    <w:rsid w:val="0028165A"/>
    <w:rsid w:val="00286154"/>
    <w:rsid w:val="00286D46"/>
    <w:rsid w:val="00287F8A"/>
    <w:rsid w:val="002915D7"/>
    <w:rsid w:val="00292BB7"/>
    <w:rsid w:val="00294D00"/>
    <w:rsid w:val="0029680A"/>
    <w:rsid w:val="002A0189"/>
    <w:rsid w:val="002A067A"/>
    <w:rsid w:val="002A1796"/>
    <w:rsid w:val="002A2394"/>
    <w:rsid w:val="002A3669"/>
    <w:rsid w:val="002A3811"/>
    <w:rsid w:val="002A4128"/>
    <w:rsid w:val="002B0120"/>
    <w:rsid w:val="002B0B4A"/>
    <w:rsid w:val="002B7F1D"/>
    <w:rsid w:val="002C04E2"/>
    <w:rsid w:val="002C0D72"/>
    <w:rsid w:val="002C1305"/>
    <w:rsid w:val="002C13DF"/>
    <w:rsid w:val="002C2E12"/>
    <w:rsid w:val="002C4702"/>
    <w:rsid w:val="002C53A2"/>
    <w:rsid w:val="002C5D95"/>
    <w:rsid w:val="002D41EF"/>
    <w:rsid w:val="002D636F"/>
    <w:rsid w:val="002D7EE9"/>
    <w:rsid w:val="002E1B8D"/>
    <w:rsid w:val="002F14AC"/>
    <w:rsid w:val="002F262F"/>
    <w:rsid w:val="002F5E2A"/>
    <w:rsid w:val="002F5E9E"/>
    <w:rsid w:val="002F6413"/>
    <w:rsid w:val="003020D3"/>
    <w:rsid w:val="0030245C"/>
    <w:rsid w:val="00306678"/>
    <w:rsid w:val="00311E96"/>
    <w:rsid w:val="00312077"/>
    <w:rsid w:val="00316459"/>
    <w:rsid w:val="0032226F"/>
    <w:rsid w:val="00325523"/>
    <w:rsid w:val="00327CF4"/>
    <w:rsid w:val="0033341C"/>
    <w:rsid w:val="00337805"/>
    <w:rsid w:val="00337CC8"/>
    <w:rsid w:val="00337D60"/>
    <w:rsid w:val="00350842"/>
    <w:rsid w:val="00352A12"/>
    <w:rsid w:val="0035312C"/>
    <w:rsid w:val="00355E6F"/>
    <w:rsid w:val="0036027B"/>
    <w:rsid w:val="00360C9E"/>
    <w:rsid w:val="00361A3C"/>
    <w:rsid w:val="00372A00"/>
    <w:rsid w:val="0037314C"/>
    <w:rsid w:val="0037415B"/>
    <w:rsid w:val="00385D89"/>
    <w:rsid w:val="00386209"/>
    <w:rsid w:val="00392867"/>
    <w:rsid w:val="00396501"/>
    <w:rsid w:val="00397F6E"/>
    <w:rsid w:val="003A359D"/>
    <w:rsid w:val="003A44B2"/>
    <w:rsid w:val="003A4F78"/>
    <w:rsid w:val="003A4FC9"/>
    <w:rsid w:val="003A6BCC"/>
    <w:rsid w:val="003B2087"/>
    <w:rsid w:val="003B59E2"/>
    <w:rsid w:val="003B66B7"/>
    <w:rsid w:val="003C0133"/>
    <w:rsid w:val="003C0CA5"/>
    <w:rsid w:val="003D1F87"/>
    <w:rsid w:val="003D269B"/>
    <w:rsid w:val="003D64A2"/>
    <w:rsid w:val="003D766B"/>
    <w:rsid w:val="003D7927"/>
    <w:rsid w:val="003D7B40"/>
    <w:rsid w:val="003D7CF3"/>
    <w:rsid w:val="003E5F7B"/>
    <w:rsid w:val="003E6A2F"/>
    <w:rsid w:val="003E6B6D"/>
    <w:rsid w:val="003F055C"/>
    <w:rsid w:val="003F1CFD"/>
    <w:rsid w:val="00406782"/>
    <w:rsid w:val="004068DD"/>
    <w:rsid w:val="00407BB1"/>
    <w:rsid w:val="00407CA9"/>
    <w:rsid w:val="0041657B"/>
    <w:rsid w:val="004222A3"/>
    <w:rsid w:val="0042242F"/>
    <w:rsid w:val="00423B34"/>
    <w:rsid w:val="00423D84"/>
    <w:rsid w:val="00425B2F"/>
    <w:rsid w:val="00425D2F"/>
    <w:rsid w:val="00426BF6"/>
    <w:rsid w:val="00430152"/>
    <w:rsid w:val="00430BC8"/>
    <w:rsid w:val="004312AF"/>
    <w:rsid w:val="00433C2B"/>
    <w:rsid w:val="00436A85"/>
    <w:rsid w:val="00440683"/>
    <w:rsid w:val="00440872"/>
    <w:rsid w:val="004443DC"/>
    <w:rsid w:val="0044468F"/>
    <w:rsid w:val="00444F80"/>
    <w:rsid w:val="004477D6"/>
    <w:rsid w:val="0045108D"/>
    <w:rsid w:val="00452E74"/>
    <w:rsid w:val="00453BF7"/>
    <w:rsid w:val="00462ECF"/>
    <w:rsid w:val="0046392C"/>
    <w:rsid w:val="00464163"/>
    <w:rsid w:val="004745F8"/>
    <w:rsid w:val="00475EEA"/>
    <w:rsid w:val="00480839"/>
    <w:rsid w:val="00481F33"/>
    <w:rsid w:val="0048300D"/>
    <w:rsid w:val="00483406"/>
    <w:rsid w:val="004863AA"/>
    <w:rsid w:val="0049075F"/>
    <w:rsid w:val="00491DE4"/>
    <w:rsid w:val="004937FE"/>
    <w:rsid w:val="00493D03"/>
    <w:rsid w:val="004A1EE3"/>
    <w:rsid w:val="004A247C"/>
    <w:rsid w:val="004A6231"/>
    <w:rsid w:val="004A6A28"/>
    <w:rsid w:val="004A6CCE"/>
    <w:rsid w:val="004B0978"/>
    <w:rsid w:val="004B3DA8"/>
    <w:rsid w:val="004B542B"/>
    <w:rsid w:val="004C0916"/>
    <w:rsid w:val="004C48F2"/>
    <w:rsid w:val="004C5DE3"/>
    <w:rsid w:val="004C6B18"/>
    <w:rsid w:val="004D42B1"/>
    <w:rsid w:val="004D44F2"/>
    <w:rsid w:val="004D46C9"/>
    <w:rsid w:val="004D5F40"/>
    <w:rsid w:val="004E1B77"/>
    <w:rsid w:val="004E32B2"/>
    <w:rsid w:val="004E3947"/>
    <w:rsid w:val="004E3CF7"/>
    <w:rsid w:val="004E6D44"/>
    <w:rsid w:val="004F01AB"/>
    <w:rsid w:val="004F0862"/>
    <w:rsid w:val="004F5CEA"/>
    <w:rsid w:val="00500628"/>
    <w:rsid w:val="00504E08"/>
    <w:rsid w:val="0050757C"/>
    <w:rsid w:val="00510F0D"/>
    <w:rsid w:val="00514A7F"/>
    <w:rsid w:val="005216B4"/>
    <w:rsid w:val="00522092"/>
    <w:rsid w:val="00522BE2"/>
    <w:rsid w:val="005231AA"/>
    <w:rsid w:val="005266B5"/>
    <w:rsid w:val="00527CDE"/>
    <w:rsid w:val="00534377"/>
    <w:rsid w:val="00537B5C"/>
    <w:rsid w:val="00537D90"/>
    <w:rsid w:val="0054373E"/>
    <w:rsid w:val="00545868"/>
    <w:rsid w:val="0054612E"/>
    <w:rsid w:val="005463DB"/>
    <w:rsid w:val="0054740B"/>
    <w:rsid w:val="00552DB6"/>
    <w:rsid w:val="00554813"/>
    <w:rsid w:val="00557AD9"/>
    <w:rsid w:val="005603F3"/>
    <w:rsid w:val="00560F24"/>
    <w:rsid w:val="005611AC"/>
    <w:rsid w:val="00561E3C"/>
    <w:rsid w:val="005627CA"/>
    <w:rsid w:val="00563C7E"/>
    <w:rsid w:val="0056634F"/>
    <w:rsid w:val="005668D7"/>
    <w:rsid w:val="00566BC2"/>
    <w:rsid w:val="00567F5E"/>
    <w:rsid w:val="0057066B"/>
    <w:rsid w:val="005734DE"/>
    <w:rsid w:val="00577676"/>
    <w:rsid w:val="005776E8"/>
    <w:rsid w:val="00580456"/>
    <w:rsid w:val="00581150"/>
    <w:rsid w:val="00582634"/>
    <w:rsid w:val="005830C2"/>
    <w:rsid w:val="00583B8B"/>
    <w:rsid w:val="005842B2"/>
    <w:rsid w:val="00584339"/>
    <w:rsid w:val="005852D4"/>
    <w:rsid w:val="00586B55"/>
    <w:rsid w:val="00590801"/>
    <w:rsid w:val="0059162E"/>
    <w:rsid w:val="005930C3"/>
    <w:rsid w:val="0059491F"/>
    <w:rsid w:val="00594B51"/>
    <w:rsid w:val="00595D25"/>
    <w:rsid w:val="005A0D28"/>
    <w:rsid w:val="005A1ED1"/>
    <w:rsid w:val="005A2072"/>
    <w:rsid w:val="005A3555"/>
    <w:rsid w:val="005A4042"/>
    <w:rsid w:val="005A5A4A"/>
    <w:rsid w:val="005A5C2F"/>
    <w:rsid w:val="005B069E"/>
    <w:rsid w:val="005B0B4A"/>
    <w:rsid w:val="005B4F1C"/>
    <w:rsid w:val="005B5A04"/>
    <w:rsid w:val="005B7183"/>
    <w:rsid w:val="005B76DD"/>
    <w:rsid w:val="005C28A3"/>
    <w:rsid w:val="005C631A"/>
    <w:rsid w:val="005C7AB7"/>
    <w:rsid w:val="005D233E"/>
    <w:rsid w:val="005D7902"/>
    <w:rsid w:val="005D7A08"/>
    <w:rsid w:val="005E0487"/>
    <w:rsid w:val="005E06C9"/>
    <w:rsid w:val="005E350E"/>
    <w:rsid w:val="005E4281"/>
    <w:rsid w:val="005E6188"/>
    <w:rsid w:val="005F23B6"/>
    <w:rsid w:val="005F7966"/>
    <w:rsid w:val="00600B9C"/>
    <w:rsid w:val="00601514"/>
    <w:rsid w:val="00601607"/>
    <w:rsid w:val="00601C39"/>
    <w:rsid w:val="006020B4"/>
    <w:rsid w:val="0060251D"/>
    <w:rsid w:val="00606F25"/>
    <w:rsid w:val="00610538"/>
    <w:rsid w:val="00611A60"/>
    <w:rsid w:val="00613D2E"/>
    <w:rsid w:val="00615443"/>
    <w:rsid w:val="006217C3"/>
    <w:rsid w:val="00624526"/>
    <w:rsid w:val="006257C9"/>
    <w:rsid w:val="00626D76"/>
    <w:rsid w:val="0063188B"/>
    <w:rsid w:val="00632A96"/>
    <w:rsid w:val="0064122B"/>
    <w:rsid w:val="00643D2D"/>
    <w:rsid w:val="00646B8D"/>
    <w:rsid w:val="006477EC"/>
    <w:rsid w:val="00652E5F"/>
    <w:rsid w:val="00652FAD"/>
    <w:rsid w:val="00666944"/>
    <w:rsid w:val="00666D88"/>
    <w:rsid w:val="00670727"/>
    <w:rsid w:val="00671EBD"/>
    <w:rsid w:val="0067448D"/>
    <w:rsid w:val="00677118"/>
    <w:rsid w:val="006812F2"/>
    <w:rsid w:val="00681B90"/>
    <w:rsid w:val="00682E42"/>
    <w:rsid w:val="0068327B"/>
    <w:rsid w:val="00684058"/>
    <w:rsid w:val="00684586"/>
    <w:rsid w:val="006851A8"/>
    <w:rsid w:val="006859D6"/>
    <w:rsid w:val="00686A3A"/>
    <w:rsid w:val="00687BF8"/>
    <w:rsid w:val="00693E94"/>
    <w:rsid w:val="00695BE9"/>
    <w:rsid w:val="006A07CA"/>
    <w:rsid w:val="006A0E3C"/>
    <w:rsid w:val="006A18A2"/>
    <w:rsid w:val="006A2793"/>
    <w:rsid w:val="006A2EE8"/>
    <w:rsid w:val="006A62C0"/>
    <w:rsid w:val="006A6357"/>
    <w:rsid w:val="006A6F11"/>
    <w:rsid w:val="006A7A1E"/>
    <w:rsid w:val="006B3598"/>
    <w:rsid w:val="006B3618"/>
    <w:rsid w:val="006B4691"/>
    <w:rsid w:val="006C2C5B"/>
    <w:rsid w:val="006C3167"/>
    <w:rsid w:val="006C33AF"/>
    <w:rsid w:val="006C58AB"/>
    <w:rsid w:val="006C6743"/>
    <w:rsid w:val="006C6A4B"/>
    <w:rsid w:val="006D3C3F"/>
    <w:rsid w:val="006D5D8F"/>
    <w:rsid w:val="006E392D"/>
    <w:rsid w:val="006E5C8C"/>
    <w:rsid w:val="006E600B"/>
    <w:rsid w:val="006F1343"/>
    <w:rsid w:val="006F3D4A"/>
    <w:rsid w:val="006F3DB8"/>
    <w:rsid w:val="006F4CF6"/>
    <w:rsid w:val="006F4FD9"/>
    <w:rsid w:val="006F5EFA"/>
    <w:rsid w:val="006F74EB"/>
    <w:rsid w:val="00711F54"/>
    <w:rsid w:val="0071223C"/>
    <w:rsid w:val="00713F89"/>
    <w:rsid w:val="007146DB"/>
    <w:rsid w:val="00715744"/>
    <w:rsid w:val="00723CF2"/>
    <w:rsid w:val="00727507"/>
    <w:rsid w:val="00730555"/>
    <w:rsid w:val="00730DA3"/>
    <w:rsid w:val="0073188D"/>
    <w:rsid w:val="00732A52"/>
    <w:rsid w:val="0073428F"/>
    <w:rsid w:val="007430F4"/>
    <w:rsid w:val="00745164"/>
    <w:rsid w:val="00751221"/>
    <w:rsid w:val="00753D6F"/>
    <w:rsid w:val="00754BD3"/>
    <w:rsid w:val="007571BE"/>
    <w:rsid w:val="0076647A"/>
    <w:rsid w:val="00766892"/>
    <w:rsid w:val="007673B2"/>
    <w:rsid w:val="00772355"/>
    <w:rsid w:val="007745E1"/>
    <w:rsid w:val="00777092"/>
    <w:rsid w:val="00777C0C"/>
    <w:rsid w:val="007833B6"/>
    <w:rsid w:val="00784D78"/>
    <w:rsid w:val="00785131"/>
    <w:rsid w:val="007934E0"/>
    <w:rsid w:val="00794216"/>
    <w:rsid w:val="00797838"/>
    <w:rsid w:val="007A053D"/>
    <w:rsid w:val="007A140A"/>
    <w:rsid w:val="007A4732"/>
    <w:rsid w:val="007A62FA"/>
    <w:rsid w:val="007A653B"/>
    <w:rsid w:val="007A7D58"/>
    <w:rsid w:val="007B0DC7"/>
    <w:rsid w:val="007B12F7"/>
    <w:rsid w:val="007B363E"/>
    <w:rsid w:val="007B40EC"/>
    <w:rsid w:val="007C1CBC"/>
    <w:rsid w:val="007C2F1E"/>
    <w:rsid w:val="007C3D1E"/>
    <w:rsid w:val="007C65C5"/>
    <w:rsid w:val="007D01EB"/>
    <w:rsid w:val="007D0E98"/>
    <w:rsid w:val="007D1237"/>
    <w:rsid w:val="007D1A37"/>
    <w:rsid w:val="007D1B2A"/>
    <w:rsid w:val="007D3894"/>
    <w:rsid w:val="007D3EEB"/>
    <w:rsid w:val="007D43D2"/>
    <w:rsid w:val="007D45A5"/>
    <w:rsid w:val="007D5A66"/>
    <w:rsid w:val="007D78CE"/>
    <w:rsid w:val="007E2F5D"/>
    <w:rsid w:val="007E5344"/>
    <w:rsid w:val="007E5B20"/>
    <w:rsid w:val="007F0FDC"/>
    <w:rsid w:val="007F2F3F"/>
    <w:rsid w:val="007F3607"/>
    <w:rsid w:val="007F757B"/>
    <w:rsid w:val="008015AD"/>
    <w:rsid w:val="00802E2B"/>
    <w:rsid w:val="0080326A"/>
    <w:rsid w:val="008032B7"/>
    <w:rsid w:val="00806081"/>
    <w:rsid w:val="008066D2"/>
    <w:rsid w:val="00817C37"/>
    <w:rsid w:val="0082188A"/>
    <w:rsid w:val="00821BDF"/>
    <w:rsid w:val="00822C0D"/>
    <w:rsid w:val="00822ED9"/>
    <w:rsid w:val="00825E8E"/>
    <w:rsid w:val="00830384"/>
    <w:rsid w:val="00835314"/>
    <w:rsid w:val="00835979"/>
    <w:rsid w:val="00841C79"/>
    <w:rsid w:val="008449FC"/>
    <w:rsid w:val="00845F5E"/>
    <w:rsid w:val="00846F1A"/>
    <w:rsid w:val="00851D41"/>
    <w:rsid w:val="00852419"/>
    <w:rsid w:val="00853A8C"/>
    <w:rsid w:val="00854901"/>
    <w:rsid w:val="0085686E"/>
    <w:rsid w:val="00856CB8"/>
    <w:rsid w:val="00857306"/>
    <w:rsid w:val="0086033C"/>
    <w:rsid w:val="0086054E"/>
    <w:rsid w:val="00860ACD"/>
    <w:rsid w:val="008636A8"/>
    <w:rsid w:val="00870C65"/>
    <w:rsid w:val="008759EA"/>
    <w:rsid w:val="00876FFE"/>
    <w:rsid w:val="008806FB"/>
    <w:rsid w:val="00883FCA"/>
    <w:rsid w:val="00890D13"/>
    <w:rsid w:val="008925A9"/>
    <w:rsid w:val="0089476C"/>
    <w:rsid w:val="00895716"/>
    <w:rsid w:val="00895BB1"/>
    <w:rsid w:val="00896EBF"/>
    <w:rsid w:val="008A13D7"/>
    <w:rsid w:val="008A266F"/>
    <w:rsid w:val="008A2B0C"/>
    <w:rsid w:val="008A3186"/>
    <w:rsid w:val="008A3AFF"/>
    <w:rsid w:val="008B274D"/>
    <w:rsid w:val="008B3283"/>
    <w:rsid w:val="008B3A71"/>
    <w:rsid w:val="008B4483"/>
    <w:rsid w:val="008B7D34"/>
    <w:rsid w:val="008C6725"/>
    <w:rsid w:val="008D46C7"/>
    <w:rsid w:val="008D7721"/>
    <w:rsid w:val="008E002C"/>
    <w:rsid w:val="008E276E"/>
    <w:rsid w:val="008E3F3D"/>
    <w:rsid w:val="008E6F2B"/>
    <w:rsid w:val="008F0286"/>
    <w:rsid w:val="009013C4"/>
    <w:rsid w:val="00905B01"/>
    <w:rsid w:val="00911177"/>
    <w:rsid w:val="00911204"/>
    <w:rsid w:val="009113B1"/>
    <w:rsid w:val="00911B25"/>
    <w:rsid w:val="00912D3A"/>
    <w:rsid w:val="00914776"/>
    <w:rsid w:val="00914FE7"/>
    <w:rsid w:val="0092133C"/>
    <w:rsid w:val="009227DC"/>
    <w:rsid w:val="00925E5E"/>
    <w:rsid w:val="00934F54"/>
    <w:rsid w:val="00935925"/>
    <w:rsid w:val="00936D5F"/>
    <w:rsid w:val="00940B60"/>
    <w:rsid w:val="009429B0"/>
    <w:rsid w:val="00943B80"/>
    <w:rsid w:val="009444E2"/>
    <w:rsid w:val="00945A81"/>
    <w:rsid w:val="00956668"/>
    <w:rsid w:val="00957A26"/>
    <w:rsid w:val="00963BB4"/>
    <w:rsid w:val="00964BAE"/>
    <w:rsid w:val="00965648"/>
    <w:rsid w:val="00967F9F"/>
    <w:rsid w:val="00970A72"/>
    <w:rsid w:val="009747C2"/>
    <w:rsid w:val="0098064E"/>
    <w:rsid w:val="009807D1"/>
    <w:rsid w:val="00980C10"/>
    <w:rsid w:val="009831D7"/>
    <w:rsid w:val="00983C5E"/>
    <w:rsid w:val="00985BDA"/>
    <w:rsid w:val="00986E93"/>
    <w:rsid w:val="00987619"/>
    <w:rsid w:val="00995232"/>
    <w:rsid w:val="009968AA"/>
    <w:rsid w:val="009A1701"/>
    <w:rsid w:val="009A21FB"/>
    <w:rsid w:val="009A322E"/>
    <w:rsid w:val="009A34C3"/>
    <w:rsid w:val="009A5BA5"/>
    <w:rsid w:val="009B0493"/>
    <w:rsid w:val="009B197C"/>
    <w:rsid w:val="009B2DCF"/>
    <w:rsid w:val="009B3785"/>
    <w:rsid w:val="009B5B7B"/>
    <w:rsid w:val="009B6026"/>
    <w:rsid w:val="009C5D92"/>
    <w:rsid w:val="009D048B"/>
    <w:rsid w:val="009D1677"/>
    <w:rsid w:val="009D18FD"/>
    <w:rsid w:val="009D45B5"/>
    <w:rsid w:val="009D6DD5"/>
    <w:rsid w:val="009E1505"/>
    <w:rsid w:val="009E41F0"/>
    <w:rsid w:val="009E5248"/>
    <w:rsid w:val="009E5313"/>
    <w:rsid w:val="009E594A"/>
    <w:rsid w:val="009F150D"/>
    <w:rsid w:val="009F194A"/>
    <w:rsid w:val="009F4AAC"/>
    <w:rsid w:val="009F4EB6"/>
    <w:rsid w:val="00A026F0"/>
    <w:rsid w:val="00A04005"/>
    <w:rsid w:val="00A06838"/>
    <w:rsid w:val="00A0753D"/>
    <w:rsid w:val="00A111EE"/>
    <w:rsid w:val="00A123F9"/>
    <w:rsid w:val="00A1343F"/>
    <w:rsid w:val="00A1774A"/>
    <w:rsid w:val="00A21539"/>
    <w:rsid w:val="00A2440E"/>
    <w:rsid w:val="00A26148"/>
    <w:rsid w:val="00A26FEE"/>
    <w:rsid w:val="00A31215"/>
    <w:rsid w:val="00A33842"/>
    <w:rsid w:val="00A34F50"/>
    <w:rsid w:val="00A44C2D"/>
    <w:rsid w:val="00A46BC1"/>
    <w:rsid w:val="00A50922"/>
    <w:rsid w:val="00A53C25"/>
    <w:rsid w:val="00A5669B"/>
    <w:rsid w:val="00A57788"/>
    <w:rsid w:val="00A63353"/>
    <w:rsid w:val="00A645CE"/>
    <w:rsid w:val="00A64A01"/>
    <w:rsid w:val="00A70D08"/>
    <w:rsid w:val="00A70DD3"/>
    <w:rsid w:val="00A7223F"/>
    <w:rsid w:val="00A75578"/>
    <w:rsid w:val="00A77962"/>
    <w:rsid w:val="00A779A2"/>
    <w:rsid w:val="00A8312B"/>
    <w:rsid w:val="00A8704B"/>
    <w:rsid w:val="00A900DC"/>
    <w:rsid w:val="00A932E9"/>
    <w:rsid w:val="00A94043"/>
    <w:rsid w:val="00A94D20"/>
    <w:rsid w:val="00A95800"/>
    <w:rsid w:val="00A96FC8"/>
    <w:rsid w:val="00AA2D0D"/>
    <w:rsid w:val="00AA3193"/>
    <w:rsid w:val="00AA3D9F"/>
    <w:rsid w:val="00AA5E37"/>
    <w:rsid w:val="00AA7317"/>
    <w:rsid w:val="00AB134F"/>
    <w:rsid w:val="00AB234F"/>
    <w:rsid w:val="00AB2718"/>
    <w:rsid w:val="00AB33AB"/>
    <w:rsid w:val="00AB4C22"/>
    <w:rsid w:val="00AC4EB4"/>
    <w:rsid w:val="00AC6261"/>
    <w:rsid w:val="00AC7A51"/>
    <w:rsid w:val="00AD1C87"/>
    <w:rsid w:val="00AD4C47"/>
    <w:rsid w:val="00AD4E53"/>
    <w:rsid w:val="00AD5F7A"/>
    <w:rsid w:val="00AE07B0"/>
    <w:rsid w:val="00AE082D"/>
    <w:rsid w:val="00AE0E0A"/>
    <w:rsid w:val="00AE161B"/>
    <w:rsid w:val="00AE26A7"/>
    <w:rsid w:val="00AE4E1F"/>
    <w:rsid w:val="00AE7040"/>
    <w:rsid w:val="00AE780E"/>
    <w:rsid w:val="00AE7898"/>
    <w:rsid w:val="00AE7CDF"/>
    <w:rsid w:val="00AF0BE4"/>
    <w:rsid w:val="00AF1949"/>
    <w:rsid w:val="00AF41C7"/>
    <w:rsid w:val="00AF455B"/>
    <w:rsid w:val="00AF5810"/>
    <w:rsid w:val="00AF5C21"/>
    <w:rsid w:val="00AF5E54"/>
    <w:rsid w:val="00AF624A"/>
    <w:rsid w:val="00B07BDA"/>
    <w:rsid w:val="00B10BD9"/>
    <w:rsid w:val="00B11503"/>
    <w:rsid w:val="00B11DCA"/>
    <w:rsid w:val="00B1238D"/>
    <w:rsid w:val="00B158E6"/>
    <w:rsid w:val="00B1686D"/>
    <w:rsid w:val="00B16D26"/>
    <w:rsid w:val="00B21197"/>
    <w:rsid w:val="00B225FC"/>
    <w:rsid w:val="00B23176"/>
    <w:rsid w:val="00B275B3"/>
    <w:rsid w:val="00B30D3B"/>
    <w:rsid w:val="00B32FD0"/>
    <w:rsid w:val="00B40818"/>
    <w:rsid w:val="00B412ED"/>
    <w:rsid w:val="00B43238"/>
    <w:rsid w:val="00B44592"/>
    <w:rsid w:val="00B4568E"/>
    <w:rsid w:val="00B46995"/>
    <w:rsid w:val="00B47377"/>
    <w:rsid w:val="00B50537"/>
    <w:rsid w:val="00B51012"/>
    <w:rsid w:val="00B51907"/>
    <w:rsid w:val="00B52269"/>
    <w:rsid w:val="00B524B8"/>
    <w:rsid w:val="00B52872"/>
    <w:rsid w:val="00B60C69"/>
    <w:rsid w:val="00B651CF"/>
    <w:rsid w:val="00B65C06"/>
    <w:rsid w:val="00B6619D"/>
    <w:rsid w:val="00B667FF"/>
    <w:rsid w:val="00B66BE8"/>
    <w:rsid w:val="00B67F46"/>
    <w:rsid w:val="00B7006A"/>
    <w:rsid w:val="00B707D9"/>
    <w:rsid w:val="00B712FF"/>
    <w:rsid w:val="00B71EDB"/>
    <w:rsid w:val="00B73685"/>
    <w:rsid w:val="00B754D4"/>
    <w:rsid w:val="00B75ACA"/>
    <w:rsid w:val="00B75BEC"/>
    <w:rsid w:val="00B80259"/>
    <w:rsid w:val="00B80BCF"/>
    <w:rsid w:val="00B8148E"/>
    <w:rsid w:val="00B8281D"/>
    <w:rsid w:val="00B83757"/>
    <w:rsid w:val="00B84945"/>
    <w:rsid w:val="00B8512E"/>
    <w:rsid w:val="00B86E1D"/>
    <w:rsid w:val="00B87941"/>
    <w:rsid w:val="00B91147"/>
    <w:rsid w:val="00B92105"/>
    <w:rsid w:val="00B974E2"/>
    <w:rsid w:val="00B97702"/>
    <w:rsid w:val="00BA274D"/>
    <w:rsid w:val="00BA3334"/>
    <w:rsid w:val="00BA5AF0"/>
    <w:rsid w:val="00BB03E2"/>
    <w:rsid w:val="00BB0A3F"/>
    <w:rsid w:val="00BB2188"/>
    <w:rsid w:val="00BB3607"/>
    <w:rsid w:val="00BB678B"/>
    <w:rsid w:val="00BB6A8E"/>
    <w:rsid w:val="00BB6CE3"/>
    <w:rsid w:val="00BC1236"/>
    <w:rsid w:val="00BC1777"/>
    <w:rsid w:val="00BC2182"/>
    <w:rsid w:val="00BC262B"/>
    <w:rsid w:val="00BC37EF"/>
    <w:rsid w:val="00BD0953"/>
    <w:rsid w:val="00BD190C"/>
    <w:rsid w:val="00BD211E"/>
    <w:rsid w:val="00BE6AAD"/>
    <w:rsid w:val="00BE7FCF"/>
    <w:rsid w:val="00BF09EA"/>
    <w:rsid w:val="00BF101C"/>
    <w:rsid w:val="00BF1748"/>
    <w:rsid w:val="00BF19F9"/>
    <w:rsid w:val="00BF1A3C"/>
    <w:rsid w:val="00BF46E3"/>
    <w:rsid w:val="00BF6FD8"/>
    <w:rsid w:val="00BF7116"/>
    <w:rsid w:val="00BF7F58"/>
    <w:rsid w:val="00C0306B"/>
    <w:rsid w:val="00C03899"/>
    <w:rsid w:val="00C05651"/>
    <w:rsid w:val="00C10CC9"/>
    <w:rsid w:val="00C10DAE"/>
    <w:rsid w:val="00C13A30"/>
    <w:rsid w:val="00C169A0"/>
    <w:rsid w:val="00C201D5"/>
    <w:rsid w:val="00C23BFE"/>
    <w:rsid w:val="00C24307"/>
    <w:rsid w:val="00C2628C"/>
    <w:rsid w:val="00C27718"/>
    <w:rsid w:val="00C30A87"/>
    <w:rsid w:val="00C30DF0"/>
    <w:rsid w:val="00C30FF0"/>
    <w:rsid w:val="00C311CF"/>
    <w:rsid w:val="00C33535"/>
    <w:rsid w:val="00C33AAF"/>
    <w:rsid w:val="00C35065"/>
    <w:rsid w:val="00C4547D"/>
    <w:rsid w:val="00C47AEC"/>
    <w:rsid w:val="00C513B8"/>
    <w:rsid w:val="00C51962"/>
    <w:rsid w:val="00C51D6C"/>
    <w:rsid w:val="00C5455A"/>
    <w:rsid w:val="00C62B3D"/>
    <w:rsid w:val="00C63071"/>
    <w:rsid w:val="00C64AF6"/>
    <w:rsid w:val="00C65732"/>
    <w:rsid w:val="00C65ED9"/>
    <w:rsid w:val="00C729B4"/>
    <w:rsid w:val="00C73825"/>
    <w:rsid w:val="00C81674"/>
    <w:rsid w:val="00C8168F"/>
    <w:rsid w:val="00C902A5"/>
    <w:rsid w:val="00C93E3B"/>
    <w:rsid w:val="00CA22D8"/>
    <w:rsid w:val="00CA28A4"/>
    <w:rsid w:val="00CA64F6"/>
    <w:rsid w:val="00CC16B1"/>
    <w:rsid w:val="00CC371F"/>
    <w:rsid w:val="00CC53B8"/>
    <w:rsid w:val="00CC5E3C"/>
    <w:rsid w:val="00CD0ADA"/>
    <w:rsid w:val="00CD0D39"/>
    <w:rsid w:val="00CD3FC8"/>
    <w:rsid w:val="00CD4AC1"/>
    <w:rsid w:val="00CD535C"/>
    <w:rsid w:val="00CD6B97"/>
    <w:rsid w:val="00CD716B"/>
    <w:rsid w:val="00CD7294"/>
    <w:rsid w:val="00CD7926"/>
    <w:rsid w:val="00CE055F"/>
    <w:rsid w:val="00CE179D"/>
    <w:rsid w:val="00CE3FD0"/>
    <w:rsid w:val="00CE71E7"/>
    <w:rsid w:val="00CF0095"/>
    <w:rsid w:val="00CF1B2C"/>
    <w:rsid w:val="00CF55C8"/>
    <w:rsid w:val="00CF631E"/>
    <w:rsid w:val="00CF653E"/>
    <w:rsid w:val="00D01ADC"/>
    <w:rsid w:val="00D02FFC"/>
    <w:rsid w:val="00D046AD"/>
    <w:rsid w:val="00D05E52"/>
    <w:rsid w:val="00D11DBA"/>
    <w:rsid w:val="00D164F2"/>
    <w:rsid w:val="00D16AB0"/>
    <w:rsid w:val="00D2273D"/>
    <w:rsid w:val="00D23768"/>
    <w:rsid w:val="00D25124"/>
    <w:rsid w:val="00D25923"/>
    <w:rsid w:val="00D25E08"/>
    <w:rsid w:val="00D303FE"/>
    <w:rsid w:val="00D30CEF"/>
    <w:rsid w:val="00D314DD"/>
    <w:rsid w:val="00D31750"/>
    <w:rsid w:val="00D339A6"/>
    <w:rsid w:val="00D33A5C"/>
    <w:rsid w:val="00D350A3"/>
    <w:rsid w:val="00D37D00"/>
    <w:rsid w:val="00D4326F"/>
    <w:rsid w:val="00D440A5"/>
    <w:rsid w:val="00D46085"/>
    <w:rsid w:val="00D46926"/>
    <w:rsid w:val="00D50BF4"/>
    <w:rsid w:val="00D516EA"/>
    <w:rsid w:val="00D51AC3"/>
    <w:rsid w:val="00D51C66"/>
    <w:rsid w:val="00D52C71"/>
    <w:rsid w:val="00D53340"/>
    <w:rsid w:val="00D533EC"/>
    <w:rsid w:val="00D549D4"/>
    <w:rsid w:val="00D642A5"/>
    <w:rsid w:val="00D64605"/>
    <w:rsid w:val="00D657C5"/>
    <w:rsid w:val="00D66B91"/>
    <w:rsid w:val="00D7539E"/>
    <w:rsid w:val="00D75CA0"/>
    <w:rsid w:val="00D76E85"/>
    <w:rsid w:val="00D77BB3"/>
    <w:rsid w:val="00D80096"/>
    <w:rsid w:val="00D8255C"/>
    <w:rsid w:val="00D83660"/>
    <w:rsid w:val="00D85727"/>
    <w:rsid w:val="00D85976"/>
    <w:rsid w:val="00D9185C"/>
    <w:rsid w:val="00D93424"/>
    <w:rsid w:val="00D96A55"/>
    <w:rsid w:val="00DA428B"/>
    <w:rsid w:val="00DA4676"/>
    <w:rsid w:val="00DA49EF"/>
    <w:rsid w:val="00DA5E3B"/>
    <w:rsid w:val="00DC05B4"/>
    <w:rsid w:val="00DC0750"/>
    <w:rsid w:val="00DC53E3"/>
    <w:rsid w:val="00DC67B5"/>
    <w:rsid w:val="00DC69EB"/>
    <w:rsid w:val="00DC72E4"/>
    <w:rsid w:val="00DD1026"/>
    <w:rsid w:val="00DD3FAF"/>
    <w:rsid w:val="00DD410C"/>
    <w:rsid w:val="00DD6ACE"/>
    <w:rsid w:val="00DD789D"/>
    <w:rsid w:val="00DD7F99"/>
    <w:rsid w:val="00DE1539"/>
    <w:rsid w:val="00DE34FE"/>
    <w:rsid w:val="00DE70E2"/>
    <w:rsid w:val="00DE75C6"/>
    <w:rsid w:val="00DE7725"/>
    <w:rsid w:val="00DF0E1D"/>
    <w:rsid w:val="00DF3780"/>
    <w:rsid w:val="00DF3939"/>
    <w:rsid w:val="00DF4868"/>
    <w:rsid w:val="00DF6CCB"/>
    <w:rsid w:val="00DF6CD7"/>
    <w:rsid w:val="00E00384"/>
    <w:rsid w:val="00E00662"/>
    <w:rsid w:val="00E039CC"/>
    <w:rsid w:val="00E03F03"/>
    <w:rsid w:val="00E06FE0"/>
    <w:rsid w:val="00E0722F"/>
    <w:rsid w:val="00E10FD1"/>
    <w:rsid w:val="00E1299F"/>
    <w:rsid w:val="00E12A06"/>
    <w:rsid w:val="00E2332C"/>
    <w:rsid w:val="00E25754"/>
    <w:rsid w:val="00E3064A"/>
    <w:rsid w:val="00E30EB6"/>
    <w:rsid w:val="00E30F1E"/>
    <w:rsid w:val="00E32680"/>
    <w:rsid w:val="00E37ED6"/>
    <w:rsid w:val="00E4185A"/>
    <w:rsid w:val="00E430EA"/>
    <w:rsid w:val="00E4370A"/>
    <w:rsid w:val="00E43CC5"/>
    <w:rsid w:val="00E44D20"/>
    <w:rsid w:val="00E46928"/>
    <w:rsid w:val="00E53E7F"/>
    <w:rsid w:val="00E558ED"/>
    <w:rsid w:val="00E62EF3"/>
    <w:rsid w:val="00E63E36"/>
    <w:rsid w:val="00E64217"/>
    <w:rsid w:val="00E6424F"/>
    <w:rsid w:val="00E65C61"/>
    <w:rsid w:val="00E66944"/>
    <w:rsid w:val="00E67950"/>
    <w:rsid w:val="00E7117B"/>
    <w:rsid w:val="00E73E5F"/>
    <w:rsid w:val="00E74037"/>
    <w:rsid w:val="00E745E6"/>
    <w:rsid w:val="00E748F0"/>
    <w:rsid w:val="00E748F5"/>
    <w:rsid w:val="00E74B9E"/>
    <w:rsid w:val="00E7553A"/>
    <w:rsid w:val="00E847CE"/>
    <w:rsid w:val="00E85072"/>
    <w:rsid w:val="00E86FC2"/>
    <w:rsid w:val="00E905C9"/>
    <w:rsid w:val="00E90EA9"/>
    <w:rsid w:val="00E93698"/>
    <w:rsid w:val="00E94DA1"/>
    <w:rsid w:val="00E95ABE"/>
    <w:rsid w:val="00E97213"/>
    <w:rsid w:val="00EA45D0"/>
    <w:rsid w:val="00EA4A90"/>
    <w:rsid w:val="00EC1D51"/>
    <w:rsid w:val="00EC2AB3"/>
    <w:rsid w:val="00EC3CD9"/>
    <w:rsid w:val="00EC60C0"/>
    <w:rsid w:val="00EC7BEF"/>
    <w:rsid w:val="00ED3A1B"/>
    <w:rsid w:val="00ED5640"/>
    <w:rsid w:val="00ED7E54"/>
    <w:rsid w:val="00EE23C6"/>
    <w:rsid w:val="00EE347B"/>
    <w:rsid w:val="00EE43B4"/>
    <w:rsid w:val="00EE4C29"/>
    <w:rsid w:val="00EE4E3A"/>
    <w:rsid w:val="00EE7D12"/>
    <w:rsid w:val="00EF08B1"/>
    <w:rsid w:val="00F0089B"/>
    <w:rsid w:val="00F00B97"/>
    <w:rsid w:val="00F04DAF"/>
    <w:rsid w:val="00F07135"/>
    <w:rsid w:val="00F074EA"/>
    <w:rsid w:val="00F11274"/>
    <w:rsid w:val="00F12069"/>
    <w:rsid w:val="00F12D98"/>
    <w:rsid w:val="00F12F5B"/>
    <w:rsid w:val="00F156FF"/>
    <w:rsid w:val="00F1655F"/>
    <w:rsid w:val="00F22EA0"/>
    <w:rsid w:val="00F238D2"/>
    <w:rsid w:val="00F243EC"/>
    <w:rsid w:val="00F24454"/>
    <w:rsid w:val="00F27096"/>
    <w:rsid w:val="00F30131"/>
    <w:rsid w:val="00F306F6"/>
    <w:rsid w:val="00F30AB2"/>
    <w:rsid w:val="00F33CBD"/>
    <w:rsid w:val="00F34CA0"/>
    <w:rsid w:val="00F3538C"/>
    <w:rsid w:val="00F3689D"/>
    <w:rsid w:val="00F40368"/>
    <w:rsid w:val="00F40C22"/>
    <w:rsid w:val="00F44F8B"/>
    <w:rsid w:val="00F45C3A"/>
    <w:rsid w:val="00F52E4D"/>
    <w:rsid w:val="00F54419"/>
    <w:rsid w:val="00F556DD"/>
    <w:rsid w:val="00F55765"/>
    <w:rsid w:val="00F6049D"/>
    <w:rsid w:val="00F64702"/>
    <w:rsid w:val="00F67D13"/>
    <w:rsid w:val="00F70312"/>
    <w:rsid w:val="00F7306F"/>
    <w:rsid w:val="00F74048"/>
    <w:rsid w:val="00F75928"/>
    <w:rsid w:val="00F7720F"/>
    <w:rsid w:val="00F773C4"/>
    <w:rsid w:val="00F80FE3"/>
    <w:rsid w:val="00F82FEE"/>
    <w:rsid w:val="00F84412"/>
    <w:rsid w:val="00F8473B"/>
    <w:rsid w:val="00F8509E"/>
    <w:rsid w:val="00F90DDD"/>
    <w:rsid w:val="00F94D37"/>
    <w:rsid w:val="00F95928"/>
    <w:rsid w:val="00FA0CD0"/>
    <w:rsid w:val="00FA549E"/>
    <w:rsid w:val="00FA5BE0"/>
    <w:rsid w:val="00FA74BE"/>
    <w:rsid w:val="00FB16B7"/>
    <w:rsid w:val="00FB1E89"/>
    <w:rsid w:val="00FB252D"/>
    <w:rsid w:val="00FB25AB"/>
    <w:rsid w:val="00FB2692"/>
    <w:rsid w:val="00FB2B0D"/>
    <w:rsid w:val="00FB628A"/>
    <w:rsid w:val="00FB67F8"/>
    <w:rsid w:val="00FC1054"/>
    <w:rsid w:val="00FC20F1"/>
    <w:rsid w:val="00FC352D"/>
    <w:rsid w:val="00FC5F01"/>
    <w:rsid w:val="00FC774C"/>
    <w:rsid w:val="00FD17FC"/>
    <w:rsid w:val="00FD32E6"/>
    <w:rsid w:val="00FD39F8"/>
    <w:rsid w:val="00FD42BC"/>
    <w:rsid w:val="00FD460D"/>
    <w:rsid w:val="00FD4824"/>
    <w:rsid w:val="00FD599A"/>
    <w:rsid w:val="00FE01E2"/>
    <w:rsid w:val="00FE0CEC"/>
    <w:rsid w:val="00FE151F"/>
    <w:rsid w:val="00FE2AE3"/>
    <w:rsid w:val="00FE4C2B"/>
    <w:rsid w:val="00FE7684"/>
    <w:rsid w:val="00FF0897"/>
    <w:rsid w:val="00FF1047"/>
    <w:rsid w:val="00FF12D5"/>
    <w:rsid w:val="00FF673F"/>
    <w:rsid w:val="00FF695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03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046AD"/>
    <w:rPr>
      <w:rFonts w:ascii="Times New Roman" w:hAnsi="Times New Roman"/>
      <w:sz w:val="24"/>
      <w:szCs w:val="24"/>
      <w:lang w:val="es-ES" w:eastAsia="es-ES"/>
    </w:rPr>
  </w:style>
  <w:style w:type="paragraph" w:styleId="Heading1">
    <w:name w:val="heading 1"/>
    <w:basedOn w:val="Normal"/>
    <w:next w:val="Normal"/>
    <w:link w:val="Heading1Char"/>
    <w:autoRedefine/>
    <w:uiPriority w:val="99"/>
    <w:qFormat/>
    <w:rsid w:val="00F1655F"/>
    <w:pPr>
      <w:keepNext/>
      <w:numPr>
        <w:numId w:val="6"/>
      </w:numPr>
      <w:spacing w:before="240" w:after="240"/>
      <w:outlineLvl w:val="0"/>
    </w:pPr>
    <w:rPr>
      <w:rFonts w:ascii="Cambria" w:eastAsia="Times New Roman" w:hAnsi="Cambria"/>
      <w:b/>
      <w:color w:val="244061"/>
      <w:sz w:val="28"/>
      <w:szCs w:val="28"/>
      <w:lang w:val="es-AR" w:eastAsia="es-AR"/>
    </w:rPr>
  </w:style>
  <w:style w:type="paragraph" w:styleId="Heading2">
    <w:name w:val="heading 2"/>
    <w:basedOn w:val="Normal"/>
    <w:next w:val="Normal"/>
    <w:link w:val="Heading2Char"/>
    <w:autoRedefine/>
    <w:uiPriority w:val="99"/>
    <w:qFormat/>
    <w:rsid w:val="00097D6A"/>
    <w:pPr>
      <w:keepNext/>
      <w:numPr>
        <w:ilvl w:val="1"/>
        <w:numId w:val="4"/>
      </w:numPr>
      <w:spacing w:before="240" w:after="240" w:line="276" w:lineRule="auto"/>
      <w:jc w:val="both"/>
      <w:outlineLvl w:val="1"/>
    </w:pPr>
    <w:rPr>
      <w:rFonts w:ascii="Arial" w:eastAsia="Times New Roman" w:hAnsi="Arial" w:cs="Arial"/>
      <w:b/>
      <w:bCs/>
      <w:i/>
      <w:iCs/>
      <w:color w:val="31849B"/>
      <w:sz w:val="22"/>
      <w:szCs w:val="22"/>
      <w:lang w:val="es-ES_tradnl"/>
    </w:rPr>
  </w:style>
  <w:style w:type="paragraph" w:styleId="Heading3">
    <w:name w:val="heading 3"/>
    <w:basedOn w:val="Normal"/>
    <w:next w:val="Normal"/>
    <w:link w:val="Heading3Char"/>
    <w:autoRedefine/>
    <w:uiPriority w:val="99"/>
    <w:qFormat/>
    <w:rsid w:val="005734DE"/>
    <w:pPr>
      <w:keepNext/>
      <w:widowControl w:val="0"/>
      <w:numPr>
        <w:numId w:val="4"/>
      </w:numPr>
      <w:tabs>
        <w:tab w:val="left" w:pos="0"/>
      </w:tabs>
      <w:spacing w:after="240" w:line="276" w:lineRule="auto"/>
      <w:jc w:val="both"/>
      <w:outlineLvl w:val="2"/>
    </w:pPr>
    <w:rPr>
      <w:rFonts w:ascii="Calibri" w:eastAsia="Times New Roman" w:hAnsi="Calibri" w:cs="Calibri"/>
      <w:b/>
      <w:i/>
      <w:lang w:val="es-ES_tradnl" w:eastAsia="en-US"/>
    </w:rPr>
  </w:style>
  <w:style w:type="paragraph" w:styleId="Heading4">
    <w:name w:val="heading 4"/>
    <w:basedOn w:val="Normal"/>
    <w:next w:val="Normal"/>
    <w:link w:val="Heading4Char"/>
    <w:autoRedefine/>
    <w:uiPriority w:val="99"/>
    <w:qFormat/>
    <w:rsid w:val="00D046AD"/>
    <w:pPr>
      <w:keepNext/>
      <w:widowControl w:val="0"/>
      <w:numPr>
        <w:ilvl w:val="3"/>
        <w:numId w:val="3"/>
      </w:numPr>
      <w:tabs>
        <w:tab w:val="left" w:pos="0"/>
      </w:tabs>
      <w:spacing w:after="240"/>
      <w:jc w:val="both"/>
      <w:outlineLvl w:val="3"/>
    </w:pPr>
    <w:rPr>
      <w:rFonts w:ascii="Arial" w:eastAsia="Times New Roman" w:hAnsi="Arial"/>
      <w:i/>
      <w:sz w:val="20"/>
      <w:szCs w:val="20"/>
      <w:lang w:val="es-CL"/>
    </w:rPr>
  </w:style>
  <w:style w:type="paragraph" w:styleId="Heading5">
    <w:name w:val="heading 5"/>
    <w:basedOn w:val="Normal"/>
    <w:next w:val="Normal"/>
    <w:link w:val="Heading5Char"/>
    <w:semiHidden/>
    <w:unhideWhenUsed/>
    <w:qFormat/>
    <w:locked/>
    <w:rsid w:val="001C0A3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1655F"/>
    <w:rPr>
      <w:rFonts w:ascii="Cambria" w:eastAsia="Times New Roman" w:hAnsi="Cambria"/>
      <w:b/>
      <w:color w:val="244061"/>
      <w:sz w:val="28"/>
      <w:szCs w:val="28"/>
    </w:rPr>
  </w:style>
  <w:style w:type="character" w:customStyle="1" w:styleId="Heading2Char">
    <w:name w:val="Heading 2 Char"/>
    <w:link w:val="Heading2"/>
    <w:uiPriority w:val="99"/>
    <w:locked/>
    <w:rsid w:val="00097D6A"/>
    <w:rPr>
      <w:rFonts w:ascii="Arial" w:eastAsia="Times New Roman" w:hAnsi="Arial" w:cs="Arial"/>
      <w:b/>
      <w:bCs/>
      <w:i/>
      <w:iCs/>
      <w:color w:val="31849B"/>
      <w:sz w:val="22"/>
      <w:szCs w:val="22"/>
      <w:lang w:val="es-ES_tradnl" w:eastAsia="es-ES"/>
    </w:rPr>
  </w:style>
  <w:style w:type="character" w:customStyle="1" w:styleId="Heading3Char">
    <w:name w:val="Heading 3 Char"/>
    <w:link w:val="Heading3"/>
    <w:uiPriority w:val="99"/>
    <w:locked/>
    <w:rsid w:val="005734DE"/>
    <w:rPr>
      <w:rFonts w:eastAsia="Times New Roman" w:cs="Calibri"/>
      <w:b/>
      <w:i/>
      <w:sz w:val="24"/>
      <w:szCs w:val="24"/>
      <w:lang w:val="es-ES_tradnl" w:eastAsia="en-US"/>
    </w:rPr>
  </w:style>
  <w:style w:type="character" w:customStyle="1" w:styleId="Heading4Char">
    <w:name w:val="Heading 4 Char"/>
    <w:link w:val="Heading4"/>
    <w:uiPriority w:val="99"/>
    <w:locked/>
    <w:rsid w:val="00D046AD"/>
    <w:rPr>
      <w:rFonts w:ascii="Arial" w:eastAsia="Times New Roman" w:hAnsi="Arial"/>
      <w:i/>
      <w:lang w:val="es-CL" w:eastAsia="es-ES"/>
    </w:rPr>
  </w:style>
  <w:style w:type="paragraph" w:styleId="ListParagraph">
    <w:name w:val="List Paragraph"/>
    <w:basedOn w:val="Normal"/>
    <w:uiPriority w:val="34"/>
    <w:qFormat/>
    <w:rsid w:val="004F01AB"/>
    <w:pPr>
      <w:ind w:left="720"/>
      <w:contextualSpacing/>
    </w:pPr>
    <w:rPr>
      <w:rFonts w:eastAsia="Times New Roman"/>
    </w:rPr>
  </w:style>
  <w:style w:type="table" w:styleId="TableGrid">
    <w:name w:val="Table Grid"/>
    <w:basedOn w:val="TableNormal"/>
    <w:uiPriority w:val="39"/>
    <w:rsid w:val="004F01A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4F01AB"/>
    <w:rPr>
      <w:sz w:val="20"/>
      <w:szCs w:val="20"/>
    </w:rPr>
  </w:style>
  <w:style w:type="character" w:customStyle="1" w:styleId="FootnoteTextChar">
    <w:name w:val="Footnote Text Char"/>
    <w:link w:val="FootnoteText"/>
    <w:locked/>
    <w:rsid w:val="004F01AB"/>
    <w:rPr>
      <w:rFonts w:ascii="Times New Roman" w:hAnsi="Times New Roman" w:cs="Times New Roman"/>
      <w:sz w:val="20"/>
      <w:szCs w:val="20"/>
      <w:lang w:val="es-ES" w:eastAsia="es-ES"/>
    </w:rPr>
  </w:style>
  <w:style w:type="character" w:styleId="FootnoteReference">
    <w:name w:val="footnote reference"/>
    <w:rsid w:val="004F01AB"/>
    <w:rPr>
      <w:rFonts w:cs="Times New Roman"/>
      <w:vertAlign w:val="superscript"/>
    </w:rPr>
  </w:style>
  <w:style w:type="character" w:styleId="Hyperlink">
    <w:name w:val="Hyperlink"/>
    <w:uiPriority w:val="99"/>
    <w:rsid w:val="004F01AB"/>
    <w:rPr>
      <w:rFonts w:cs="Times New Roman"/>
      <w:color w:val="0000FF"/>
      <w:u w:val="single"/>
    </w:rPr>
  </w:style>
  <w:style w:type="paragraph" w:styleId="BalloonText">
    <w:name w:val="Balloon Text"/>
    <w:basedOn w:val="Normal"/>
    <w:link w:val="BalloonTextChar"/>
    <w:uiPriority w:val="99"/>
    <w:semiHidden/>
    <w:rsid w:val="004F01AB"/>
    <w:rPr>
      <w:rFonts w:ascii="Tahoma" w:hAnsi="Tahoma" w:cs="Tahoma"/>
      <w:sz w:val="16"/>
      <w:szCs w:val="16"/>
    </w:rPr>
  </w:style>
  <w:style w:type="character" w:customStyle="1" w:styleId="BalloonTextChar">
    <w:name w:val="Balloon Text Char"/>
    <w:link w:val="BalloonText"/>
    <w:uiPriority w:val="99"/>
    <w:semiHidden/>
    <w:locked/>
    <w:rsid w:val="004F01AB"/>
    <w:rPr>
      <w:rFonts w:ascii="Tahoma" w:hAnsi="Tahoma" w:cs="Tahoma"/>
      <w:sz w:val="16"/>
      <w:szCs w:val="16"/>
      <w:lang w:val="es-ES" w:eastAsia="es-ES"/>
    </w:rPr>
  </w:style>
  <w:style w:type="character" w:styleId="CommentReference">
    <w:name w:val="annotation reference"/>
    <w:uiPriority w:val="99"/>
    <w:semiHidden/>
    <w:rsid w:val="004F01AB"/>
    <w:rPr>
      <w:rFonts w:cs="Times New Roman"/>
      <w:sz w:val="16"/>
      <w:szCs w:val="16"/>
    </w:rPr>
  </w:style>
  <w:style w:type="paragraph" w:styleId="CommentText">
    <w:name w:val="annotation text"/>
    <w:basedOn w:val="Normal"/>
    <w:link w:val="CommentTextChar"/>
    <w:uiPriority w:val="99"/>
    <w:rsid w:val="004F01AB"/>
    <w:rPr>
      <w:sz w:val="20"/>
      <w:szCs w:val="20"/>
    </w:rPr>
  </w:style>
  <w:style w:type="character" w:customStyle="1" w:styleId="CommentTextChar">
    <w:name w:val="Comment Text Char"/>
    <w:link w:val="CommentText"/>
    <w:uiPriority w:val="99"/>
    <w:locked/>
    <w:rsid w:val="004F01AB"/>
    <w:rPr>
      <w:rFonts w:ascii="Times New Roman" w:hAnsi="Times New Roman" w:cs="Times New Roman"/>
      <w:sz w:val="20"/>
      <w:szCs w:val="20"/>
      <w:lang w:val="es-ES" w:eastAsia="es-ES"/>
    </w:rPr>
  </w:style>
  <w:style w:type="paragraph" w:styleId="CommentSubject">
    <w:name w:val="annotation subject"/>
    <w:basedOn w:val="CommentText"/>
    <w:next w:val="CommentText"/>
    <w:link w:val="CommentSubjectChar"/>
    <w:uiPriority w:val="99"/>
    <w:semiHidden/>
    <w:rsid w:val="004F01AB"/>
    <w:rPr>
      <w:b/>
      <w:bCs/>
    </w:rPr>
  </w:style>
  <w:style w:type="character" w:customStyle="1" w:styleId="CommentSubjectChar">
    <w:name w:val="Comment Subject Char"/>
    <w:link w:val="CommentSubject"/>
    <w:uiPriority w:val="99"/>
    <w:semiHidden/>
    <w:locked/>
    <w:rsid w:val="004F01AB"/>
    <w:rPr>
      <w:rFonts w:ascii="Times New Roman" w:hAnsi="Times New Roman" w:cs="Times New Roman"/>
      <w:b/>
      <w:bCs/>
      <w:sz w:val="20"/>
      <w:szCs w:val="20"/>
      <w:lang w:val="es-ES" w:eastAsia="es-ES"/>
    </w:rPr>
  </w:style>
  <w:style w:type="paragraph" w:styleId="TOCHeading">
    <w:name w:val="TOC Heading"/>
    <w:basedOn w:val="Heading1"/>
    <w:next w:val="Normal"/>
    <w:uiPriority w:val="39"/>
    <w:qFormat/>
    <w:rsid w:val="00F6049D"/>
    <w:pPr>
      <w:keepLines/>
      <w:spacing w:before="480" w:after="0" w:line="276" w:lineRule="auto"/>
      <w:outlineLvl w:val="9"/>
    </w:pPr>
    <w:rPr>
      <w:color w:val="365F91"/>
    </w:rPr>
  </w:style>
  <w:style w:type="paragraph" w:styleId="TOC1">
    <w:name w:val="toc 1"/>
    <w:basedOn w:val="Normal"/>
    <w:next w:val="Normal"/>
    <w:autoRedefine/>
    <w:uiPriority w:val="39"/>
    <w:rsid w:val="00F6049D"/>
    <w:pPr>
      <w:spacing w:after="100"/>
    </w:pPr>
  </w:style>
  <w:style w:type="paragraph" w:styleId="TOC2">
    <w:name w:val="toc 2"/>
    <w:basedOn w:val="Normal"/>
    <w:next w:val="Normal"/>
    <w:autoRedefine/>
    <w:uiPriority w:val="39"/>
    <w:rsid w:val="00F6049D"/>
    <w:pPr>
      <w:spacing w:after="100"/>
      <w:ind w:left="240"/>
    </w:pPr>
  </w:style>
  <w:style w:type="paragraph" w:styleId="TOC3">
    <w:name w:val="toc 3"/>
    <w:basedOn w:val="Normal"/>
    <w:next w:val="Normal"/>
    <w:autoRedefine/>
    <w:uiPriority w:val="39"/>
    <w:rsid w:val="00F6049D"/>
    <w:pPr>
      <w:spacing w:after="100"/>
      <w:ind w:left="480"/>
    </w:pPr>
  </w:style>
  <w:style w:type="paragraph" w:styleId="Header">
    <w:name w:val="header"/>
    <w:basedOn w:val="Normal"/>
    <w:link w:val="HeaderChar"/>
    <w:rsid w:val="00AB2718"/>
    <w:pPr>
      <w:tabs>
        <w:tab w:val="center" w:pos="4419"/>
        <w:tab w:val="right" w:pos="8838"/>
      </w:tabs>
    </w:pPr>
  </w:style>
  <w:style w:type="character" w:customStyle="1" w:styleId="HeaderChar">
    <w:name w:val="Header Char"/>
    <w:link w:val="Header"/>
    <w:locked/>
    <w:rsid w:val="00AB2718"/>
    <w:rPr>
      <w:rFonts w:ascii="Times New Roman" w:hAnsi="Times New Roman" w:cs="Times New Roman"/>
      <w:sz w:val="24"/>
      <w:szCs w:val="24"/>
      <w:lang w:val="es-ES" w:eastAsia="es-ES"/>
    </w:rPr>
  </w:style>
  <w:style w:type="paragraph" w:styleId="Footer">
    <w:name w:val="footer"/>
    <w:basedOn w:val="Normal"/>
    <w:link w:val="FooterChar"/>
    <w:uiPriority w:val="99"/>
    <w:rsid w:val="00AB2718"/>
    <w:pPr>
      <w:tabs>
        <w:tab w:val="center" w:pos="4419"/>
        <w:tab w:val="right" w:pos="8838"/>
      </w:tabs>
    </w:pPr>
  </w:style>
  <w:style w:type="character" w:customStyle="1" w:styleId="FooterChar">
    <w:name w:val="Footer Char"/>
    <w:link w:val="Footer"/>
    <w:uiPriority w:val="99"/>
    <w:locked/>
    <w:rsid w:val="00AB2718"/>
    <w:rPr>
      <w:rFonts w:ascii="Times New Roman" w:hAnsi="Times New Roman" w:cs="Times New Roman"/>
      <w:sz w:val="24"/>
      <w:szCs w:val="24"/>
      <w:lang w:val="es-ES" w:eastAsia="es-ES"/>
    </w:rPr>
  </w:style>
  <w:style w:type="table" w:customStyle="1" w:styleId="Tablaconcuadrcula2">
    <w:name w:val="Tabla con cuadrícula2"/>
    <w:uiPriority w:val="99"/>
    <w:rsid w:val="002E1B8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uiPriority w:val="99"/>
    <w:rsid w:val="002E1B8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E1B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C6261"/>
    <w:pPr>
      <w:autoSpaceDE w:val="0"/>
      <w:autoSpaceDN w:val="0"/>
      <w:adjustRightInd w:val="0"/>
    </w:pPr>
    <w:rPr>
      <w:rFonts w:ascii="Times New Roman" w:hAnsi="Times New Roman"/>
      <w:color w:val="000000"/>
      <w:sz w:val="24"/>
      <w:szCs w:val="24"/>
    </w:rPr>
  </w:style>
  <w:style w:type="paragraph" w:customStyle="1" w:styleId="DefaultStyle">
    <w:name w:val="Default Style"/>
    <w:rsid w:val="006851A8"/>
    <w:pPr>
      <w:suppressAutoHyphens/>
      <w:spacing w:after="200" w:line="276" w:lineRule="auto"/>
    </w:pPr>
    <w:rPr>
      <w:rFonts w:cs="Calibri"/>
      <w:sz w:val="22"/>
      <w:szCs w:val="22"/>
      <w:lang w:eastAsia="en-US"/>
    </w:rPr>
  </w:style>
  <w:style w:type="table" w:styleId="LightList">
    <w:name w:val="Light List"/>
    <w:basedOn w:val="TableNormal"/>
    <w:uiPriority w:val="99"/>
    <w:rsid w:val="001974F1"/>
    <w:rPr>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styleId="Emphasis">
    <w:name w:val="Emphasis"/>
    <w:qFormat/>
    <w:rsid w:val="00995232"/>
    <w:rPr>
      <w:rFonts w:cs="Times New Roman"/>
      <w:i/>
      <w:iCs/>
    </w:rPr>
  </w:style>
  <w:style w:type="paragraph" w:styleId="NormalWeb">
    <w:name w:val="Normal (Web)"/>
    <w:basedOn w:val="Normal"/>
    <w:uiPriority w:val="99"/>
    <w:unhideWhenUsed/>
    <w:rsid w:val="00CD0D39"/>
    <w:pPr>
      <w:spacing w:before="100" w:beforeAutospacing="1" w:after="100" w:afterAutospacing="1"/>
    </w:pPr>
    <w:rPr>
      <w:rFonts w:eastAsia="Times New Roman"/>
      <w:lang w:val="es-AR" w:eastAsia="es-AR"/>
    </w:rPr>
  </w:style>
  <w:style w:type="paragraph" w:styleId="BodyText">
    <w:name w:val="Body Text"/>
    <w:basedOn w:val="Normal"/>
    <w:link w:val="BodyTextChar"/>
    <w:rsid w:val="00194AD2"/>
    <w:pPr>
      <w:widowControl w:val="0"/>
      <w:suppressAutoHyphens/>
      <w:spacing w:after="120"/>
    </w:pPr>
    <w:rPr>
      <w:rFonts w:ascii="Arial" w:eastAsia="Droid Sans Fallback" w:hAnsi="Arial" w:cs="Lohit Hindi"/>
      <w:kern w:val="1"/>
      <w:sz w:val="22"/>
      <w:lang w:eastAsia="zh-CN" w:bidi="hi-IN"/>
    </w:rPr>
  </w:style>
  <w:style w:type="character" w:customStyle="1" w:styleId="BodyTextChar">
    <w:name w:val="Body Text Char"/>
    <w:link w:val="BodyText"/>
    <w:rsid w:val="00194AD2"/>
    <w:rPr>
      <w:rFonts w:ascii="Arial" w:eastAsia="Droid Sans Fallback" w:hAnsi="Arial" w:cs="Lohit Hindi"/>
      <w:kern w:val="1"/>
      <w:szCs w:val="24"/>
      <w:lang w:val="es-ES" w:eastAsia="zh-CN" w:bidi="hi-IN"/>
    </w:rPr>
  </w:style>
  <w:style w:type="paragraph" w:customStyle="1" w:styleId="Prrafodelista1">
    <w:name w:val="Párrafo de lista1"/>
    <w:basedOn w:val="Normal"/>
    <w:rsid w:val="00194AD2"/>
    <w:pPr>
      <w:widowControl w:val="0"/>
      <w:suppressAutoHyphens/>
      <w:ind w:left="720"/>
      <w:contextualSpacing/>
    </w:pPr>
    <w:rPr>
      <w:rFonts w:ascii="Arial" w:eastAsia="Times New Roman" w:hAnsi="Arial"/>
      <w:kern w:val="1"/>
      <w:sz w:val="22"/>
      <w:lang w:eastAsia="zh-CN" w:bidi="hi-IN"/>
    </w:rPr>
  </w:style>
  <w:style w:type="character" w:customStyle="1" w:styleId="FootnoteCharacters">
    <w:name w:val="Footnote Characters"/>
    <w:rsid w:val="00194AD2"/>
    <w:rPr>
      <w:vertAlign w:val="superscript"/>
    </w:rPr>
  </w:style>
  <w:style w:type="paragraph" w:customStyle="1" w:styleId="Chapter">
    <w:name w:val="Chapter"/>
    <w:basedOn w:val="Normal"/>
    <w:next w:val="Normal"/>
    <w:rsid w:val="00194AD2"/>
    <w:pPr>
      <w:suppressAutoHyphens/>
      <w:textAlignment w:val="baseline"/>
    </w:pPr>
    <w:rPr>
      <w:rFonts w:ascii="Arial" w:eastAsia="Times" w:hAnsi="Arial" w:cs="Arial"/>
      <w:b/>
      <w:color w:val="000000"/>
      <w:sz w:val="22"/>
      <w:szCs w:val="22"/>
      <w:lang w:eastAsia="zh-CN"/>
    </w:rPr>
  </w:style>
  <w:style w:type="paragraph" w:customStyle="1" w:styleId="Textoindependiente31">
    <w:name w:val="Texto independiente 31"/>
    <w:basedOn w:val="Normal"/>
    <w:rsid w:val="00194AD2"/>
    <w:pPr>
      <w:suppressAutoHyphens/>
      <w:autoSpaceDE w:val="0"/>
    </w:pPr>
    <w:rPr>
      <w:rFonts w:ascii="Arial" w:eastAsia="Times New Roman" w:hAnsi="Arial" w:cs="Arial"/>
      <w:color w:val="000000"/>
      <w:sz w:val="22"/>
      <w:szCs w:val="22"/>
      <w:lang w:eastAsia="zh-CN"/>
    </w:rPr>
  </w:style>
  <w:style w:type="character" w:customStyle="1" w:styleId="apple-converted-space">
    <w:name w:val="apple-converted-space"/>
    <w:rsid w:val="00567F5E"/>
  </w:style>
  <w:style w:type="character" w:styleId="Strong">
    <w:name w:val="Strong"/>
    <w:basedOn w:val="DefaultParagraphFont"/>
    <w:uiPriority w:val="22"/>
    <w:qFormat/>
    <w:locked/>
    <w:rsid w:val="00E039CC"/>
    <w:rPr>
      <w:b/>
      <w:bCs/>
    </w:rPr>
  </w:style>
  <w:style w:type="paragraph" w:customStyle="1" w:styleId="FirstHeading">
    <w:name w:val="FirstHeading"/>
    <w:basedOn w:val="Normal"/>
    <w:rsid w:val="00444F80"/>
    <w:pPr>
      <w:jc w:val="both"/>
    </w:pPr>
    <w:rPr>
      <w:rFonts w:eastAsia="Times New Roman"/>
      <w:sz w:val="22"/>
      <w:szCs w:val="20"/>
      <w:lang w:eastAsia="en-US"/>
    </w:rPr>
  </w:style>
  <w:style w:type="paragraph" w:customStyle="1" w:styleId="ecxmsonormal">
    <w:name w:val="ecxmsonormal"/>
    <w:basedOn w:val="Normal"/>
    <w:rsid w:val="00A63353"/>
    <w:pPr>
      <w:spacing w:after="324"/>
    </w:pPr>
    <w:rPr>
      <w:rFonts w:eastAsia="Times New Roman"/>
      <w:lang w:val="es-AR" w:eastAsia="es-AR"/>
    </w:rPr>
  </w:style>
  <w:style w:type="paragraph" w:styleId="BodyText2">
    <w:name w:val="Body Text 2"/>
    <w:basedOn w:val="Normal"/>
    <w:link w:val="BodyText2Char"/>
    <w:rsid w:val="00A63353"/>
    <w:pPr>
      <w:spacing w:after="120" w:line="480" w:lineRule="auto"/>
    </w:pPr>
    <w:rPr>
      <w:rFonts w:ascii="Arial" w:eastAsia="Times New Roman" w:hAnsi="Arial"/>
      <w:sz w:val="22"/>
      <w:szCs w:val="20"/>
      <w:lang w:val="es-ES_tradnl" w:eastAsia="zh-CN"/>
    </w:rPr>
  </w:style>
  <w:style w:type="character" w:customStyle="1" w:styleId="BodyText2Char">
    <w:name w:val="Body Text 2 Char"/>
    <w:basedOn w:val="DefaultParagraphFont"/>
    <w:link w:val="BodyText2"/>
    <w:rsid w:val="00A63353"/>
    <w:rPr>
      <w:rFonts w:ascii="Arial" w:eastAsia="Times New Roman" w:hAnsi="Arial"/>
      <w:sz w:val="22"/>
      <w:lang w:val="es-ES_tradnl" w:eastAsia="zh-CN"/>
    </w:rPr>
  </w:style>
  <w:style w:type="paragraph" w:customStyle="1" w:styleId="Textbody">
    <w:name w:val="Text body"/>
    <w:basedOn w:val="Normal"/>
    <w:rsid w:val="00CC16B1"/>
    <w:pPr>
      <w:widowControl w:val="0"/>
      <w:tabs>
        <w:tab w:val="left" w:pos="709"/>
      </w:tabs>
      <w:suppressAutoHyphens/>
      <w:spacing w:after="120" w:line="276" w:lineRule="auto"/>
    </w:pPr>
    <w:rPr>
      <w:rFonts w:ascii="Liberation Serif" w:eastAsia="WenQuanYi Micro Hei" w:hAnsi="Liberation Serif" w:cs="Lohit Hindi"/>
      <w:lang w:eastAsia="zh-CN" w:bidi="hi-IN"/>
    </w:rPr>
  </w:style>
  <w:style w:type="character" w:customStyle="1" w:styleId="Heading5Char">
    <w:name w:val="Heading 5 Char"/>
    <w:basedOn w:val="DefaultParagraphFont"/>
    <w:link w:val="Heading5"/>
    <w:semiHidden/>
    <w:rsid w:val="001C0A39"/>
    <w:rPr>
      <w:rFonts w:asciiTheme="majorHAnsi" w:eastAsiaTheme="majorEastAsia" w:hAnsiTheme="majorHAnsi" w:cstheme="majorBidi"/>
      <w:color w:val="365F91" w:themeColor="accent1" w:themeShade="BF"/>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046AD"/>
    <w:rPr>
      <w:rFonts w:ascii="Times New Roman" w:hAnsi="Times New Roman"/>
      <w:sz w:val="24"/>
      <w:szCs w:val="24"/>
      <w:lang w:val="es-ES" w:eastAsia="es-ES"/>
    </w:rPr>
  </w:style>
  <w:style w:type="paragraph" w:styleId="Heading1">
    <w:name w:val="heading 1"/>
    <w:basedOn w:val="Normal"/>
    <w:next w:val="Normal"/>
    <w:link w:val="Heading1Char"/>
    <w:autoRedefine/>
    <w:uiPriority w:val="99"/>
    <w:qFormat/>
    <w:rsid w:val="00F1655F"/>
    <w:pPr>
      <w:keepNext/>
      <w:numPr>
        <w:numId w:val="6"/>
      </w:numPr>
      <w:spacing w:before="240" w:after="240"/>
      <w:outlineLvl w:val="0"/>
    </w:pPr>
    <w:rPr>
      <w:rFonts w:ascii="Cambria" w:eastAsia="Times New Roman" w:hAnsi="Cambria"/>
      <w:b/>
      <w:color w:val="244061"/>
      <w:sz w:val="28"/>
      <w:szCs w:val="28"/>
      <w:lang w:val="es-AR" w:eastAsia="es-AR"/>
    </w:rPr>
  </w:style>
  <w:style w:type="paragraph" w:styleId="Heading2">
    <w:name w:val="heading 2"/>
    <w:basedOn w:val="Normal"/>
    <w:next w:val="Normal"/>
    <w:link w:val="Heading2Char"/>
    <w:autoRedefine/>
    <w:uiPriority w:val="99"/>
    <w:qFormat/>
    <w:rsid w:val="00097D6A"/>
    <w:pPr>
      <w:keepNext/>
      <w:numPr>
        <w:ilvl w:val="1"/>
        <w:numId w:val="4"/>
      </w:numPr>
      <w:spacing w:before="240" w:after="240" w:line="276" w:lineRule="auto"/>
      <w:jc w:val="both"/>
      <w:outlineLvl w:val="1"/>
    </w:pPr>
    <w:rPr>
      <w:rFonts w:ascii="Arial" w:eastAsia="Times New Roman" w:hAnsi="Arial" w:cs="Arial"/>
      <w:b/>
      <w:bCs/>
      <w:i/>
      <w:iCs/>
      <w:color w:val="31849B"/>
      <w:sz w:val="22"/>
      <w:szCs w:val="22"/>
      <w:lang w:val="es-ES_tradnl"/>
    </w:rPr>
  </w:style>
  <w:style w:type="paragraph" w:styleId="Heading3">
    <w:name w:val="heading 3"/>
    <w:basedOn w:val="Normal"/>
    <w:next w:val="Normal"/>
    <w:link w:val="Heading3Char"/>
    <w:autoRedefine/>
    <w:uiPriority w:val="99"/>
    <w:qFormat/>
    <w:rsid w:val="005734DE"/>
    <w:pPr>
      <w:keepNext/>
      <w:widowControl w:val="0"/>
      <w:numPr>
        <w:numId w:val="4"/>
      </w:numPr>
      <w:tabs>
        <w:tab w:val="left" w:pos="0"/>
      </w:tabs>
      <w:spacing w:after="240" w:line="276" w:lineRule="auto"/>
      <w:jc w:val="both"/>
      <w:outlineLvl w:val="2"/>
    </w:pPr>
    <w:rPr>
      <w:rFonts w:ascii="Calibri" w:eastAsia="Times New Roman" w:hAnsi="Calibri" w:cs="Calibri"/>
      <w:b/>
      <w:i/>
      <w:lang w:val="es-ES_tradnl" w:eastAsia="en-US"/>
    </w:rPr>
  </w:style>
  <w:style w:type="paragraph" w:styleId="Heading4">
    <w:name w:val="heading 4"/>
    <w:basedOn w:val="Normal"/>
    <w:next w:val="Normal"/>
    <w:link w:val="Heading4Char"/>
    <w:autoRedefine/>
    <w:uiPriority w:val="99"/>
    <w:qFormat/>
    <w:rsid w:val="00D046AD"/>
    <w:pPr>
      <w:keepNext/>
      <w:widowControl w:val="0"/>
      <w:numPr>
        <w:ilvl w:val="3"/>
        <w:numId w:val="3"/>
      </w:numPr>
      <w:tabs>
        <w:tab w:val="left" w:pos="0"/>
      </w:tabs>
      <w:spacing w:after="240"/>
      <w:jc w:val="both"/>
      <w:outlineLvl w:val="3"/>
    </w:pPr>
    <w:rPr>
      <w:rFonts w:ascii="Arial" w:eastAsia="Times New Roman" w:hAnsi="Arial"/>
      <w:i/>
      <w:sz w:val="20"/>
      <w:szCs w:val="20"/>
      <w:lang w:val="es-CL"/>
    </w:rPr>
  </w:style>
  <w:style w:type="paragraph" w:styleId="Heading5">
    <w:name w:val="heading 5"/>
    <w:basedOn w:val="Normal"/>
    <w:next w:val="Normal"/>
    <w:link w:val="Heading5Char"/>
    <w:semiHidden/>
    <w:unhideWhenUsed/>
    <w:qFormat/>
    <w:locked/>
    <w:rsid w:val="001C0A3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1655F"/>
    <w:rPr>
      <w:rFonts w:ascii="Cambria" w:eastAsia="Times New Roman" w:hAnsi="Cambria"/>
      <w:b/>
      <w:color w:val="244061"/>
      <w:sz w:val="28"/>
      <w:szCs w:val="28"/>
    </w:rPr>
  </w:style>
  <w:style w:type="character" w:customStyle="1" w:styleId="Heading2Char">
    <w:name w:val="Heading 2 Char"/>
    <w:link w:val="Heading2"/>
    <w:uiPriority w:val="99"/>
    <w:locked/>
    <w:rsid w:val="00097D6A"/>
    <w:rPr>
      <w:rFonts w:ascii="Arial" w:eastAsia="Times New Roman" w:hAnsi="Arial" w:cs="Arial"/>
      <w:b/>
      <w:bCs/>
      <w:i/>
      <w:iCs/>
      <w:color w:val="31849B"/>
      <w:sz w:val="22"/>
      <w:szCs w:val="22"/>
      <w:lang w:val="es-ES_tradnl" w:eastAsia="es-ES"/>
    </w:rPr>
  </w:style>
  <w:style w:type="character" w:customStyle="1" w:styleId="Heading3Char">
    <w:name w:val="Heading 3 Char"/>
    <w:link w:val="Heading3"/>
    <w:uiPriority w:val="99"/>
    <w:locked/>
    <w:rsid w:val="005734DE"/>
    <w:rPr>
      <w:rFonts w:eastAsia="Times New Roman" w:cs="Calibri"/>
      <w:b/>
      <w:i/>
      <w:sz w:val="24"/>
      <w:szCs w:val="24"/>
      <w:lang w:val="es-ES_tradnl" w:eastAsia="en-US"/>
    </w:rPr>
  </w:style>
  <w:style w:type="character" w:customStyle="1" w:styleId="Heading4Char">
    <w:name w:val="Heading 4 Char"/>
    <w:link w:val="Heading4"/>
    <w:uiPriority w:val="99"/>
    <w:locked/>
    <w:rsid w:val="00D046AD"/>
    <w:rPr>
      <w:rFonts w:ascii="Arial" w:eastAsia="Times New Roman" w:hAnsi="Arial"/>
      <w:i/>
      <w:lang w:val="es-CL" w:eastAsia="es-ES"/>
    </w:rPr>
  </w:style>
  <w:style w:type="paragraph" w:styleId="ListParagraph">
    <w:name w:val="List Paragraph"/>
    <w:basedOn w:val="Normal"/>
    <w:uiPriority w:val="34"/>
    <w:qFormat/>
    <w:rsid w:val="004F01AB"/>
    <w:pPr>
      <w:ind w:left="720"/>
      <w:contextualSpacing/>
    </w:pPr>
    <w:rPr>
      <w:rFonts w:eastAsia="Times New Roman"/>
    </w:rPr>
  </w:style>
  <w:style w:type="table" w:styleId="TableGrid">
    <w:name w:val="Table Grid"/>
    <w:basedOn w:val="TableNormal"/>
    <w:uiPriority w:val="39"/>
    <w:rsid w:val="004F01A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4F01AB"/>
    <w:rPr>
      <w:sz w:val="20"/>
      <w:szCs w:val="20"/>
    </w:rPr>
  </w:style>
  <w:style w:type="character" w:customStyle="1" w:styleId="FootnoteTextChar">
    <w:name w:val="Footnote Text Char"/>
    <w:link w:val="FootnoteText"/>
    <w:locked/>
    <w:rsid w:val="004F01AB"/>
    <w:rPr>
      <w:rFonts w:ascii="Times New Roman" w:hAnsi="Times New Roman" w:cs="Times New Roman"/>
      <w:sz w:val="20"/>
      <w:szCs w:val="20"/>
      <w:lang w:val="es-ES" w:eastAsia="es-ES"/>
    </w:rPr>
  </w:style>
  <w:style w:type="character" w:styleId="FootnoteReference">
    <w:name w:val="footnote reference"/>
    <w:rsid w:val="004F01AB"/>
    <w:rPr>
      <w:rFonts w:cs="Times New Roman"/>
      <w:vertAlign w:val="superscript"/>
    </w:rPr>
  </w:style>
  <w:style w:type="character" w:styleId="Hyperlink">
    <w:name w:val="Hyperlink"/>
    <w:uiPriority w:val="99"/>
    <w:rsid w:val="004F01AB"/>
    <w:rPr>
      <w:rFonts w:cs="Times New Roman"/>
      <w:color w:val="0000FF"/>
      <w:u w:val="single"/>
    </w:rPr>
  </w:style>
  <w:style w:type="paragraph" w:styleId="BalloonText">
    <w:name w:val="Balloon Text"/>
    <w:basedOn w:val="Normal"/>
    <w:link w:val="BalloonTextChar"/>
    <w:uiPriority w:val="99"/>
    <w:semiHidden/>
    <w:rsid w:val="004F01AB"/>
    <w:rPr>
      <w:rFonts w:ascii="Tahoma" w:hAnsi="Tahoma" w:cs="Tahoma"/>
      <w:sz w:val="16"/>
      <w:szCs w:val="16"/>
    </w:rPr>
  </w:style>
  <w:style w:type="character" w:customStyle="1" w:styleId="BalloonTextChar">
    <w:name w:val="Balloon Text Char"/>
    <w:link w:val="BalloonText"/>
    <w:uiPriority w:val="99"/>
    <w:semiHidden/>
    <w:locked/>
    <w:rsid w:val="004F01AB"/>
    <w:rPr>
      <w:rFonts w:ascii="Tahoma" w:hAnsi="Tahoma" w:cs="Tahoma"/>
      <w:sz w:val="16"/>
      <w:szCs w:val="16"/>
      <w:lang w:val="es-ES" w:eastAsia="es-ES"/>
    </w:rPr>
  </w:style>
  <w:style w:type="character" w:styleId="CommentReference">
    <w:name w:val="annotation reference"/>
    <w:uiPriority w:val="99"/>
    <w:semiHidden/>
    <w:rsid w:val="004F01AB"/>
    <w:rPr>
      <w:rFonts w:cs="Times New Roman"/>
      <w:sz w:val="16"/>
      <w:szCs w:val="16"/>
    </w:rPr>
  </w:style>
  <w:style w:type="paragraph" w:styleId="CommentText">
    <w:name w:val="annotation text"/>
    <w:basedOn w:val="Normal"/>
    <w:link w:val="CommentTextChar"/>
    <w:uiPriority w:val="99"/>
    <w:rsid w:val="004F01AB"/>
    <w:rPr>
      <w:sz w:val="20"/>
      <w:szCs w:val="20"/>
    </w:rPr>
  </w:style>
  <w:style w:type="character" w:customStyle="1" w:styleId="CommentTextChar">
    <w:name w:val="Comment Text Char"/>
    <w:link w:val="CommentText"/>
    <w:uiPriority w:val="99"/>
    <w:locked/>
    <w:rsid w:val="004F01AB"/>
    <w:rPr>
      <w:rFonts w:ascii="Times New Roman" w:hAnsi="Times New Roman" w:cs="Times New Roman"/>
      <w:sz w:val="20"/>
      <w:szCs w:val="20"/>
      <w:lang w:val="es-ES" w:eastAsia="es-ES"/>
    </w:rPr>
  </w:style>
  <w:style w:type="paragraph" w:styleId="CommentSubject">
    <w:name w:val="annotation subject"/>
    <w:basedOn w:val="CommentText"/>
    <w:next w:val="CommentText"/>
    <w:link w:val="CommentSubjectChar"/>
    <w:uiPriority w:val="99"/>
    <w:semiHidden/>
    <w:rsid w:val="004F01AB"/>
    <w:rPr>
      <w:b/>
      <w:bCs/>
    </w:rPr>
  </w:style>
  <w:style w:type="character" w:customStyle="1" w:styleId="CommentSubjectChar">
    <w:name w:val="Comment Subject Char"/>
    <w:link w:val="CommentSubject"/>
    <w:uiPriority w:val="99"/>
    <w:semiHidden/>
    <w:locked/>
    <w:rsid w:val="004F01AB"/>
    <w:rPr>
      <w:rFonts w:ascii="Times New Roman" w:hAnsi="Times New Roman" w:cs="Times New Roman"/>
      <w:b/>
      <w:bCs/>
      <w:sz w:val="20"/>
      <w:szCs w:val="20"/>
      <w:lang w:val="es-ES" w:eastAsia="es-ES"/>
    </w:rPr>
  </w:style>
  <w:style w:type="paragraph" w:styleId="TOCHeading">
    <w:name w:val="TOC Heading"/>
    <w:basedOn w:val="Heading1"/>
    <w:next w:val="Normal"/>
    <w:uiPriority w:val="39"/>
    <w:qFormat/>
    <w:rsid w:val="00F6049D"/>
    <w:pPr>
      <w:keepLines/>
      <w:spacing w:before="480" w:after="0" w:line="276" w:lineRule="auto"/>
      <w:outlineLvl w:val="9"/>
    </w:pPr>
    <w:rPr>
      <w:color w:val="365F91"/>
    </w:rPr>
  </w:style>
  <w:style w:type="paragraph" w:styleId="TOC1">
    <w:name w:val="toc 1"/>
    <w:basedOn w:val="Normal"/>
    <w:next w:val="Normal"/>
    <w:autoRedefine/>
    <w:uiPriority w:val="39"/>
    <w:rsid w:val="00F6049D"/>
    <w:pPr>
      <w:spacing w:after="100"/>
    </w:pPr>
  </w:style>
  <w:style w:type="paragraph" w:styleId="TOC2">
    <w:name w:val="toc 2"/>
    <w:basedOn w:val="Normal"/>
    <w:next w:val="Normal"/>
    <w:autoRedefine/>
    <w:uiPriority w:val="39"/>
    <w:rsid w:val="00F6049D"/>
    <w:pPr>
      <w:spacing w:after="100"/>
      <w:ind w:left="240"/>
    </w:pPr>
  </w:style>
  <w:style w:type="paragraph" w:styleId="TOC3">
    <w:name w:val="toc 3"/>
    <w:basedOn w:val="Normal"/>
    <w:next w:val="Normal"/>
    <w:autoRedefine/>
    <w:uiPriority w:val="39"/>
    <w:rsid w:val="00F6049D"/>
    <w:pPr>
      <w:spacing w:after="100"/>
      <w:ind w:left="480"/>
    </w:pPr>
  </w:style>
  <w:style w:type="paragraph" w:styleId="Header">
    <w:name w:val="header"/>
    <w:basedOn w:val="Normal"/>
    <w:link w:val="HeaderChar"/>
    <w:rsid w:val="00AB2718"/>
    <w:pPr>
      <w:tabs>
        <w:tab w:val="center" w:pos="4419"/>
        <w:tab w:val="right" w:pos="8838"/>
      </w:tabs>
    </w:pPr>
  </w:style>
  <w:style w:type="character" w:customStyle="1" w:styleId="HeaderChar">
    <w:name w:val="Header Char"/>
    <w:link w:val="Header"/>
    <w:locked/>
    <w:rsid w:val="00AB2718"/>
    <w:rPr>
      <w:rFonts w:ascii="Times New Roman" w:hAnsi="Times New Roman" w:cs="Times New Roman"/>
      <w:sz w:val="24"/>
      <w:szCs w:val="24"/>
      <w:lang w:val="es-ES" w:eastAsia="es-ES"/>
    </w:rPr>
  </w:style>
  <w:style w:type="paragraph" w:styleId="Footer">
    <w:name w:val="footer"/>
    <w:basedOn w:val="Normal"/>
    <w:link w:val="FooterChar"/>
    <w:uiPriority w:val="99"/>
    <w:rsid w:val="00AB2718"/>
    <w:pPr>
      <w:tabs>
        <w:tab w:val="center" w:pos="4419"/>
        <w:tab w:val="right" w:pos="8838"/>
      </w:tabs>
    </w:pPr>
  </w:style>
  <w:style w:type="character" w:customStyle="1" w:styleId="FooterChar">
    <w:name w:val="Footer Char"/>
    <w:link w:val="Footer"/>
    <w:uiPriority w:val="99"/>
    <w:locked/>
    <w:rsid w:val="00AB2718"/>
    <w:rPr>
      <w:rFonts w:ascii="Times New Roman" w:hAnsi="Times New Roman" w:cs="Times New Roman"/>
      <w:sz w:val="24"/>
      <w:szCs w:val="24"/>
      <w:lang w:val="es-ES" w:eastAsia="es-ES"/>
    </w:rPr>
  </w:style>
  <w:style w:type="table" w:customStyle="1" w:styleId="Tablaconcuadrcula2">
    <w:name w:val="Tabla con cuadrícula2"/>
    <w:uiPriority w:val="99"/>
    <w:rsid w:val="002E1B8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uiPriority w:val="99"/>
    <w:rsid w:val="002E1B8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E1B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C6261"/>
    <w:pPr>
      <w:autoSpaceDE w:val="0"/>
      <w:autoSpaceDN w:val="0"/>
      <w:adjustRightInd w:val="0"/>
    </w:pPr>
    <w:rPr>
      <w:rFonts w:ascii="Times New Roman" w:hAnsi="Times New Roman"/>
      <w:color w:val="000000"/>
      <w:sz w:val="24"/>
      <w:szCs w:val="24"/>
    </w:rPr>
  </w:style>
  <w:style w:type="paragraph" w:customStyle="1" w:styleId="DefaultStyle">
    <w:name w:val="Default Style"/>
    <w:rsid w:val="006851A8"/>
    <w:pPr>
      <w:suppressAutoHyphens/>
      <w:spacing w:after="200" w:line="276" w:lineRule="auto"/>
    </w:pPr>
    <w:rPr>
      <w:rFonts w:cs="Calibri"/>
      <w:sz w:val="22"/>
      <w:szCs w:val="22"/>
      <w:lang w:eastAsia="en-US"/>
    </w:rPr>
  </w:style>
  <w:style w:type="table" w:styleId="LightList">
    <w:name w:val="Light List"/>
    <w:basedOn w:val="TableNormal"/>
    <w:uiPriority w:val="99"/>
    <w:rsid w:val="001974F1"/>
    <w:rPr>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styleId="Emphasis">
    <w:name w:val="Emphasis"/>
    <w:qFormat/>
    <w:rsid w:val="00995232"/>
    <w:rPr>
      <w:rFonts w:cs="Times New Roman"/>
      <w:i/>
      <w:iCs/>
    </w:rPr>
  </w:style>
  <w:style w:type="paragraph" w:styleId="NormalWeb">
    <w:name w:val="Normal (Web)"/>
    <w:basedOn w:val="Normal"/>
    <w:uiPriority w:val="99"/>
    <w:unhideWhenUsed/>
    <w:rsid w:val="00CD0D39"/>
    <w:pPr>
      <w:spacing w:before="100" w:beforeAutospacing="1" w:after="100" w:afterAutospacing="1"/>
    </w:pPr>
    <w:rPr>
      <w:rFonts w:eastAsia="Times New Roman"/>
      <w:lang w:val="es-AR" w:eastAsia="es-AR"/>
    </w:rPr>
  </w:style>
  <w:style w:type="paragraph" w:styleId="BodyText">
    <w:name w:val="Body Text"/>
    <w:basedOn w:val="Normal"/>
    <w:link w:val="BodyTextChar"/>
    <w:rsid w:val="00194AD2"/>
    <w:pPr>
      <w:widowControl w:val="0"/>
      <w:suppressAutoHyphens/>
      <w:spacing w:after="120"/>
    </w:pPr>
    <w:rPr>
      <w:rFonts w:ascii="Arial" w:eastAsia="Droid Sans Fallback" w:hAnsi="Arial" w:cs="Lohit Hindi"/>
      <w:kern w:val="1"/>
      <w:sz w:val="22"/>
      <w:lang w:eastAsia="zh-CN" w:bidi="hi-IN"/>
    </w:rPr>
  </w:style>
  <w:style w:type="character" w:customStyle="1" w:styleId="BodyTextChar">
    <w:name w:val="Body Text Char"/>
    <w:link w:val="BodyText"/>
    <w:rsid w:val="00194AD2"/>
    <w:rPr>
      <w:rFonts w:ascii="Arial" w:eastAsia="Droid Sans Fallback" w:hAnsi="Arial" w:cs="Lohit Hindi"/>
      <w:kern w:val="1"/>
      <w:szCs w:val="24"/>
      <w:lang w:val="es-ES" w:eastAsia="zh-CN" w:bidi="hi-IN"/>
    </w:rPr>
  </w:style>
  <w:style w:type="paragraph" w:customStyle="1" w:styleId="Prrafodelista1">
    <w:name w:val="Párrafo de lista1"/>
    <w:basedOn w:val="Normal"/>
    <w:rsid w:val="00194AD2"/>
    <w:pPr>
      <w:widowControl w:val="0"/>
      <w:suppressAutoHyphens/>
      <w:ind w:left="720"/>
      <w:contextualSpacing/>
    </w:pPr>
    <w:rPr>
      <w:rFonts w:ascii="Arial" w:eastAsia="Times New Roman" w:hAnsi="Arial"/>
      <w:kern w:val="1"/>
      <w:sz w:val="22"/>
      <w:lang w:eastAsia="zh-CN" w:bidi="hi-IN"/>
    </w:rPr>
  </w:style>
  <w:style w:type="character" w:customStyle="1" w:styleId="FootnoteCharacters">
    <w:name w:val="Footnote Characters"/>
    <w:rsid w:val="00194AD2"/>
    <w:rPr>
      <w:vertAlign w:val="superscript"/>
    </w:rPr>
  </w:style>
  <w:style w:type="paragraph" w:customStyle="1" w:styleId="Chapter">
    <w:name w:val="Chapter"/>
    <w:basedOn w:val="Normal"/>
    <w:next w:val="Normal"/>
    <w:rsid w:val="00194AD2"/>
    <w:pPr>
      <w:suppressAutoHyphens/>
      <w:textAlignment w:val="baseline"/>
    </w:pPr>
    <w:rPr>
      <w:rFonts w:ascii="Arial" w:eastAsia="Times" w:hAnsi="Arial" w:cs="Arial"/>
      <w:b/>
      <w:color w:val="000000"/>
      <w:sz w:val="22"/>
      <w:szCs w:val="22"/>
      <w:lang w:eastAsia="zh-CN"/>
    </w:rPr>
  </w:style>
  <w:style w:type="paragraph" w:customStyle="1" w:styleId="Textoindependiente31">
    <w:name w:val="Texto independiente 31"/>
    <w:basedOn w:val="Normal"/>
    <w:rsid w:val="00194AD2"/>
    <w:pPr>
      <w:suppressAutoHyphens/>
      <w:autoSpaceDE w:val="0"/>
    </w:pPr>
    <w:rPr>
      <w:rFonts w:ascii="Arial" w:eastAsia="Times New Roman" w:hAnsi="Arial" w:cs="Arial"/>
      <w:color w:val="000000"/>
      <w:sz w:val="22"/>
      <w:szCs w:val="22"/>
      <w:lang w:eastAsia="zh-CN"/>
    </w:rPr>
  </w:style>
  <w:style w:type="character" w:customStyle="1" w:styleId="apple-converted-space">
    <w:name w:val="apple-converted-space"/>
    <w:rsid w:val="00567F5E"/>
  </w:style>
  <w:style w:type="character" w:styleId="Strong">
    <w:name w:val="Strong"/>
    <w:basedOn w:val="DefaultParagraphFont"/>
    <w:uiPriority w:val="22"/>
    <w:qFormat/>
    <w:locked/>
    <w:rsid w:val="00E039CC"/>
    <w:rPr>
      <w:b/>
      <w:bCs/>
    </w:rPr>
  </w:style>
  <w:style w:type="paragraph" w:customStyle="1" w:styleId="FirstHeading">
    <w:name w:val="FirstHeading"/>
    <w:basedOn w:val="Normal"/>
    <w:rsid w:val="00444F80"/>
    <w:pPr>
      <w:jc w:val="both"/>
    </w:pPr>
    <w:rPr>
      <w:rFonts w:eastAsia="Times New Roman"/>
      <w:sz w:val="22"/>
      <w:szCs w:val="20"/>
      <w:lang w:eastAsia="en-US"/>
    </w:rPr>
  </w:style>
  <w:style w:type="paragraph" w:customStyle="1" w:styleId="ecxmsonormal">
    <w:name w:val="ecxmsonormal"/>
    <w:basedOn w:val="Normal"/>
    <w:rsid w:val="00A63353"/>
    <w:pPr>
      <w:spacing w:after="324"/>
    </w:pPr>
    <w:rPr>
      <w:rFonts w:eastAsia="Times New Roman"/>
      <w:lang w:val="es-AR" w:eastAsia="es-AR"/>
    </w:rPr>
  </w:style>
  <w:style w:type="paragraph" w:styleId="BodyText2">
    <w:name w:val="Body Text 2"/>
    <w:basedOn w:val="Normal"/>
    <w:link w:val="BodyText2Char"/>
    <w:rsid w:val="00A63353"/>
    <w:pPr>
      <w:spacing w:after="120" w:line="480" w:lineRule="auto"/>
    </w:pPr>
    <w:rPr>
      <w:rFonts w:ascii="Arial" w:eastAsia="Times New Roman" w:hAnsi="Arial"/>
      <w:sz w:val="22"/>
      <w:szCs w:val="20"/>
      <w:lang w:val="es-ES_tradnl" w:eastAsia="zh-CN"/>
    </w:rPr>
  </w:style>
  <w:style w:type="character" w:customStyle="1" w:styleId="BodyText2Char">
    <w:name w:val="Body Text 2 Char"/>
    <w:basedOn w:val="DefaultParagraphFont"/>
    <w:link w:val="BodyText2"/>
    <w:rsid w:val="00A63353"/>
    <w:rPr>
      <w:rFonts w:ascii="Arial" w:eastAsia="Times New Roman" w:hAnsi="Arial"/>
      <w:sz w:val="22"/>
      <w:lang w:val="es-ES_tradnl" w:eastAsia="zh-CN"/>
    </w:rPr>
  </w:style>
  <w:style w:type="paragraph" w:customStyle="1" w:styleId="Textbody">
    <w:name w:val="Text body"/>
    <w:basedOn w:val="Normal"/>
    <w:rsid w:val="00CC16B1"/>
    <w:pPr>
      <w:widowControl w:val="0"/>
      <w:tabs>
        <w:tab w:val="left" w:pos="709"/>
      </w:tabs>
      <w:suppressAutoHyphens/>
      <w:spacing w:after="120" w:line="276" w:lineRule="auto"/>
    </w:pPr>
    <w:rPr>
      <w:rFonts w:ascii="Liberation Serif" w:eastAsia="WenQuanYi Micro Hei" w:hAnsi="Liberation Serif" w:cs="Lohit Hindi"/>
      <w:lang w:eastAsia="zh-CN" w:bidi="hi-IN"/>
    </w:rPr>
  </w:style>
  <w:style w:type="character" w:customStyle="1" w:styleId="Heading5Char">
    <w:name w:val="Heading 5 Char"/>
    <w:basedOn w:val="DefaultParagraphFont"/>
    <w:link w:val="Heading5"/>
    <w:semiHidden/>
    <w:rsid w:val="001C0A39"/>
    <w:rPr>
      <w:rFonts w:asciiTheme="majorHAnsi" w:eastAsiaTheme="majorEastAsia" w:hAnsiTheme="majorHAnsi" w:cstheme="majorBidi"/>
      <w:color w:val="365F91" w:themeColor="accent1" w:themeShade="B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89724">
      <w:bodyDiv w:val="1"/>
      <w:marLeft w:val="0"/>
      <w:marRight w:val="0"/>
      <w:marTop w:val="0"/>
      <w:marBottom w:val="0"/>
      <w:divBdr>
        <w:top w:val="none" w:sz="0" w:space="0" w:color="auto"/>
        <w:left w:val="none" w:sz="0" w:space="0" w:color="auto"/>
        <w:bottom w:val="none" w:sz="0" w:space="0" w:color="auto"/>
        <w:right w:val="none" w:sz="0" w:space="0" w:color="auto"/>
      </w:divBdr>
    </w:div>
    <w:div w:id="689726198">
      <w:bodyDiv w:val="1"/>
      <w:marLeft w:val="0"/>
      <w:marRight w:val="0"/>
      <w:marTop w:val="0"/>
      <w:marBottom w:val="0"/>
      <w:divBdr>
        <w:top w:val="none" w:sz="0" w:space="0" w:color="auto"/>
        <w:left w:val="none" w:sz="0" w:space="0" w:color="auto"/>
        <w:bottom w:val="none" w:sz="0" w:space="0" w:color="auto"/>
        <w:right w:val="none" w:sz="0" w:space="0" w:color="auto"/>
      </w:divBdr>
    </w:div>
    <w:div w:id="695542079">
      <w:bodyDiv w:val="1"/>
      <w:marLeft w:val="0"/>
      <w:marRight w:val="0"/>
      <w:marTop w:val="0"/>
      <w:marBottom w:val="0"/>
      <w:divBdr>
        <w:top w:val="none" w:sz="0" w:space="0" w:color="auto"/>
        <w:left w:val="none" w:sz="0" w:space="0" w:color="auto"/>
        <w:bottom w:val="none" w:sz="0" w:space="0" w:color="auto"/>
        <w:right w:val="none" w:sz="0" w:space="0" w:color="auto"/>
      </w:divBdr>
    </w:div>
    <w:div w:id="746152269">
      <w:bodyDiv w:val="1"/>
      <w:marLeft w:val="0"/>
      <w:marRight w:val="0"/>
      <w:marTop w:val="0"/>
      <w:marBottom w:val="0"/>
      <w:divBdr>
        <w:top w:val="none" w:sz="0" w:space="0" w:color="auto"/>
        <w:left w:val="none" w:sz="0" w:space="0" w:color="auto"/>
        <w:bottom w:val="none" w:sz="0" w:space="0" w:color="auto"/>
        <w:right w:val="none" w:sz="0" w:space="0" w:color="auto"/>
      </w:divBdr>
    </w:div>
    <w:div w:id="856773842">
      <w:bodyDiv w:val="1"/>
      <w:marLeft w:val="0"/>
      <w:marRight w:val="0"/>
      <w:marTop w:val="0"/>
      <w:marBottom w:val="0"/>
      <w:divBdr>
        <w:top w:val="none" w:sz="0" w:space="0" w:color="auto"/>
        <w:left w:val="none" w:sz="0" w:space="0" w:color="auto"/>
        <w:bottom w:val="none" w:sz="0" w:space="0" w:color="auto"/>
        <w:right w:val="none" w:sz="0" w:space="0" w:color="auto"/>
      </w:divBdr>
    </w:div>
    <w:div w:id="1062679363">
      <w:bodyDiv w:val="1"/>
      <w:marLeft w:val="0"/>
      <w:marRight w:val="0"/>
      <w:marTop w:val="0"/>
      <w:marBottom w:val="0"/>
      <w:divBdr>
        <w:top w:val="none" w:sz="0" w:space="0" w:color="auto"/>
        <w:left w:val="none" w:sz="0" w:space="0" w:color="auto"/>
        <w:bottom w:val="none" w:sz="0" w:space="0" w:color="auto"/>
        <w:right w:val="none" w:sz="0" w:space="0" w:color="auto"/>
      </w:divBdr>
    </w:div>
    <w:div w:id="1140418916">
      <w:bodyDiv w:val="1"/>
      <w:marLeft w:val="0"/>
      <w:marRight w:val="0"/>
      <w:marTop w:val="0"/>
      <w:marBottom w:val="0"/>
      <w:divBdr>
        <w:top w:val="none" w:sz="0" w:space="0" w:color="auto"/>
        <w:left w:val="none" w:sz="0" w:space="0" w:color="auto"/>
        <w:bottom w:val="none" w:sz="0" w:space="0" w:color="auto"/>
        <w:right w:val="none" w:sz="0" w:space="0" w:color="auto"/>
      </w:divBdr>
      <w:divsChild>
        <w:div w:id="519852969">
          <w:marLeft w:val="0"/>
          <w:marRight w:val="0"/>
          <w:marTop w:val="0"/>
          <w:marBottom w:val="0"/>
          <w:divBdr>
            <w:top w:val="none" w:sz="0" w:space="0" w:color="auto"/>
            <w:left w:val="none" w:sz="0" w:space="0" w:color="auto"/>
            <w:bottom w:val="none" w:sz="0" w:space="0" w:color="auto"/>
            <w:right w:val="none" w:sz="0" w:space="0" w:color="auto"/>
          </w:divBdr>
        </w:div>
        <w:div w:id="1037464672">
          <w:marLeft w:val="0"/>
          <w:marRight w:val="0"/>
          <w:marTop w:val="0"/>
          <w:marBottom w:val="0"/>
          <w:divBdr>
            <w:top w:val="none" w:sz="0" w:space="0" w:color="auto"/>
            <w:left w:val="none" w:sz="0" w:space="0" w:color="auto"/>
            <w:bottom w:val="none" w:sz="0" w:space="0" w:color="auto"/>
            <w:right w:val="none" w:sz="0" w:space="0" w:color="auto"/>
          </w:divBdr>
          <w:divsChild>
            <w:div w:id="619652453">
              <w:marLeft w:val="0"/>
              <w:marRight w:val="0"/>
              <w:marTop w:val="0"/>
              <w:marBottom w:val="0"/>
              <w:divBdr>
                <w:top w:val="none" w:sz="0" w:space="0" w:color="auto"/>
                <w:left w:val="none" w:sz="0" w:space="0" w:color="auto"/>
                <w:bottom w:val="none" w:sz="0" w:space="0" w:color="auto"/>
                <w:right w:val="none" w:sz="0" w:space="0" w:color="auto"/>
              </w:divBdr>
            </w:div>
            <w:div w:id="4485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593792">
      <w:marLeft w:val="0"/>
      <w:marRight w:val="0"/>
      <w:marTop w:val="0"/>
      <w:marBottom w:val="0"/>
      <w:divBdr>
        <w:top w:val="none" w:sz="0" w:space="0" w:color="auto"/>
        <w:left w:val="none" w:sz="0" w:space="0" w:color="auto"/>
        <w:bottom w:val="none" w:sz="0" w:space="0" w:color="auto"/>
        <w:right w:val="none" w:sz="0" w:space="0" w:color="auto"/>
      </w:divBdr>
      <w:divsChild>
        <w:div w:id="1700593796">
          <w:marLeft w:val="547"/>
          <w:marRight w:val="0"/>
          <w:marTop w:val="60"/>
          <w:marBottom w:val="60"/>
          <w:divBdr>
            <w:top w:val="none" w:sz="0" w:space="0" w:color="auto"/>
            <w:left w:val="none" w:sz="0" w:space="0" w:color="auto"/>
            <w:bottom w:val="none" w:sz="0" w:space="0" w:color="auto"/>
            <w:right w:val="none" w:sz="0" w:space="0" w:color="auto"/>
          </w:divBdr>
        </w:div>
      </w:divsChild>
    </w:div>
    <w:div w:id="1700593793">
      <w:marLeft w:val="0"/>
      <w:marRight w:val="0"/>
      <w:marTop w:val="0"/>
      <w:marBottom w:val="0"/>
      <w:divBdr>
        <w:top w:val="none" w:sz="0" w:space="0" w:color="auto"/>
        <w:left w:val="none" w:sz="0" w:space="0" w:color="auto"/>
        <w:bottom w:val="none" w:sz="0" w:space="0" w:color="auto"/>
        <w:right w:val="none" w:sz="0" w:space="0" w:color="auto"/>
      </w:divBdr>
    </w:div>
    <w:div w:id="1700593794">
      <w:marLeft w:val="0"/>
      <w:marRight w:val="0"/>
      <w:marTop w:val="0"/>
      <w:marBottom w:val="0"/>
      <w:divBdr>
        <w:top w:val="none" w:sz="0" w:space="0" w:color="auto"/>
        <w:left w:val="none" w:sz="0" w:space="0" w:color="auto"/>
        <w:bottom w:val="none" w:sz="0" w:space="0" w:color="auto"/>
        <w:right w:val="none" w:sz="0" w:space="0" w:color="auto"/>
      </w:divBdr>
    </w:div>
    <w:div w:id="1700593797">
      <w:marLeft w:val="0"/>
      <w:marRight w:val="0"/>
      <w:marTop w:val="0"/>
      <w:marBottom w:val="0"/>
      <w:divBdr>
        <w:top w:val="none" w:sz="0" w:space="0" w:color="auto"/>
        <w:left w:val="none" w:sz="0" w:space="0" w:color="auto"/>
        <w:bottom w:val="none" w:sz="0" w:space="0" w:color="auto"/>
        <w:right w:val="none" w:sz="0" w:space="0" w:color="auto"/>
      </w:divBdr>
      <w:divsChild>
        <w:div w:id="1700593806">
          <w:marLeft w:val="547"/>
          <w:marRight w:val="0"/>
          <w:marTop w:val="60"/>
          <w:marBottom w:val="60"/>
          <w:divBdr>
            <w:top w:val="none" w:sz="0" w:space="0" w:color="auto"/>
            <w:left w:val="none" w:sz="0" w:space="0" w:color="auto"/>
            <w:bottom w:val="none" w:sz="0" w:space="0" w:color="auto"/>
            <w:right w:val="none" w:sz="0" w:space="0" w:color="auto"/>
          </w:divBdr>
        </w:div>
      </w:divsChild>
    </w:div>
    <w:div w:id="1700593798">
      <w:marLeft w:val="0"/>
      <w:marRight w:val="0"/>
      <w:marTop w:val="0"/>
      <w:marBottom w:val="0"/>
      <w:divBdr>
        <w:top w:val="none" w:sz="0" w:space="0" w:color="auto"/>
        <w:left w:val="none" w:sz="0" w:space="0" w:color="auto"/>
        <w:bottom w:val="none" w:sz="0" w:space="0" w:color="auto"/>
        <w:right w:val="none" w:sz="0" w:space="0" w:color="auto"/>
      </w:divBdr>
      <w:divsChild>
        <w:div w:id="1700593795">
          <w:marLeft w:val="547"/>
          <w:marRight w:val="0"/>
          <w:marTop w:val="60"/>
          <w:marBottom w:val="60"/>
          <w:divBdr>
            <w:top w:val="none" w:sz="0" w:space="0" w:color="auto"/>
            <w:left w:val="none" w:sz="0" w:space="0" w:color="auto"/>
            <w:bottom w:val="none" w:sz="0" w:space="0" w:color="auto"/>
            <w:right w:val="none" w:sz="0" w:space="0" w:color="auto"/>
          </w:divBdr>
        </w:div>
      </w:divsChild>
    </w:div>
    <w:div w:id="1700593801">
      <w:marLeft w:val="0"/>
      <w:marRight w:val="0"/>
      <w:marTop w:val="0"/>
      <w:marBottom w:val="0"/>
      <w:divBdr>
        <w:top w:val="none" w:sz="0" w:space="0" w:color="auto"/>
        <w:left w:val="none" w:sz="0" w:space="0" w:color="auto"/>
        <w:bottom w:val="none" w:sz="0" w:space="0" w:color="auto"/>
        <w:right w:val="none" w:sz="0" w:space="0" w:color="auto"/>
      </w:divBdr>
      <w:divsChild>
        <w:div w:id="1700593791">
          <w:marLeft w:val="547"/>
          <w:marRight w:val="0"/>
          <w:marTop w:val="60"/>
          <w:marBottom w:val="60"/>
          <w:divBdr>
            <w:top w:val="none" w:sz="0" w:space="0" w:color="auto"/>
            <w:left w:val="none" w:sz="0" w:space="0" w:color="auto"/>
            <w:bottom w:val="none" w:sz="0" w:space="0" w:color="auto"/>
            <w:right w:val="none" w:sz="0" w:space="0" w:color="auto"/>
          </w:divBdr>
        </w:div>
      </w:divsChild>
    </w:div>
    <w:div w:id="1700593802">
      <w:marLeft w:val="0"/>
      <w:marRight w:val="0"/>
      <w:marTop w:val="0"/>
      <w:marBottom w:val="0"/>
      <w:divBdr>
        <w:top w:val="none" w:sz="0" w:space="0" w:color="auto"/>
        <w:left w:val="none" w:sz="0" w:space="0" w:color="auto"/>
        <w:bottom w:val="none" w:sz="0" w:space="0" w:color="auto"/>
        <w:right w:val="none" w:sz="0" w:space="0" w:color="auto"/>
      </w:divBdr>
    </w:div>
    <w:div w:id="1700593803">
      <w:marLeft w:val="0"/>
      <w:marRight w:val="0"/>
      <w:marTop w:val="0"/>
      <w:marBottom w:val="0"/>
      <w:divBdr>
        <w:top w:val="none" w:sz="0" w:space="0" w:color="auto"/>
        <w:left w:val="none" w:sz="0" w:space="0" w:color="auto"/>
        <w:bottom w:val="none" w:sz="0" w:space="0" w:color="auto"/>
        <w:right w:val="none" w:sz="0" w:space="0" w:color="auto"/>
      </w:divBdr>
    </w:div>
    <w:div w:id="1700593804">
      <w:marLeft w:val="0"/>
      <w:marRight w:val="0"/>
      <w:marTop w:val="0"/>
      <w:marBottom w:val="0"/>
      <w:divBdr>
        <w:top w:val="none" w:sz="0" w:space="0" w:color="auto"/>
        <w:left w:val="none" w:sz="0" w:space="0" w:color="auto"/>
        <w:bottom w:val="none" w:sz="0" w:space="0" w:color="auto"/>
        <w:right w:val="none" w:sz="0" w:space="0" w:color="auto"/>
      </w:divBdr>
      <w:divsChild>
        <w:div w:id="1700593807">
          <w:marLeft w:val="547"/>
          <w:marRight w:val="0"/>
          <w:marTop w:val="60"/>
          <w:marBottom w:val="60"/>
          <w:divBdr>
            <w:top w:val="none" w:sz="0" w:space="0" w:color="auto"/>
            <w:left w:val="none" w:sz="0" w:space="0" w:color="auto"/>
            <w:bottom w:val="none" w:sz="0" w:space="0" w:color="auto"/>
            <w:right w:val="none" w:sz="0" w:space="0" w:color="auto"/>
          </w:divBdr>
        </w:div>
      </w:divsChild>
    </w:div>
    <w:div w:id="1700593805">
      <w:marLeft w:val="0"/>
      <w:marRight w:val="0"/>
      <w:marTop w:val="0"/>
      <w:marBottom w:val="0"/>
      <w:divBdr>
        <w:top w:val="none" w:sz="0" w:space="0" w:color="auto"/>
        <w:left w:val="none" w:sz="0" w:space="0" w:color="auto"/>
        <w:bottom w:val="none" w:sz="0" w:space="0" w:color="auto"/>
        <w:right w:val="none" w:sz="0" w:space="0" w:color="auto"/>
      </w:divBdr>
      <w:divsChild>
        <w:div w:id="1700593799">
          <w:marLeft w:val="547"/>
          <w:marRight w:val="0"/>
          <w:marTop w:val="60"/>
          <w:marBottom w:val="60"/>
          <w:divBdr>
            <w:top w:val="none" w:sz="0" w:space="0" w:color="auto"/>
            <w:left w:val="none" w:sz="0" w:space="0" w:color="auto"/>
            <w:bottom w:val="none" w:sz="0" w:space="0" w:color="auto"/>
            <w:right w:val="none" w:sz="0" w:space="0" w:color="auto"/>
          </w:divBdr>
        </w:div>
      </w:divsChild>
    </w:div>
    <w:div w:id="1700593808">
      <w:marLeft w:val="0"/>
      <w:marRight w:val="0"/>
      <w:marTop w:val="0"/>
      <w:marBottom w:val="0"/>
      <w:divBdr>
        <w:top w:val="none" w:sz="0" w:space="0" w:color="auto"/>
        <w:left w:val="none" w:sz="0" w:space="0" w:color="auto"/>
        <w:bottom w:val="none" w:sz="0" w:space="0" w:color="auto"/>
        <w:right w:val="none" w:sz="0" w:space="0" w:color="auto"/>
      </w:divBdr>
      <w:divsChild>
        <w:div w:id="1700593800">
          <w:marLeft w:val="547"/>
          <w:marRight w:val="0"/>
          <w:marTop w:val="60"/>
          <w:marBottom w:val="60"/>
          <w:divBdr>
            <w:top w:val="none" w:sz="0" w:space="0" w:color="auto"/>
            <w:left w:val="none" w:sz="0" w:space="0" w:color="auto"/>
            <w:bottom w:val="none" w:sz="0" w:space="0" w:color="auto"/>
            <w:right w:val="none" w:sz="0" w:space="0" w:color="auto"/>
          </w:divBdr>
        </w:div>
      </w:divsChild>
    </w:div>
    <w:div w:id="1817334803">
      <w:bodyDiv w:val="1"/>
      <w:marLeft w:val="0"/>
      <w:marRight w:val="0"/>
      <w:marTop w:val="0"/>
      <w:marBottom w:val="0"/>
      <w:divBdr>
        <w:top w:val="none" w:sz="0" w:space="0" w:color="auto"/>
        <w:left w:val="none" w:sz="0" w:space="0" w:color="auto"/>
        <w:bottom w:val="none" w:sz="0" w:space="0" w:color="auto"/>
        <w:right w:val="none" w:sz="0" w:space="0" w:color="auto"/>
      </w:divBdr>
      <w:divsChild>
        <w:div w:id="821239081">
          <w:marLeft w:val="0"/>
          <w:marRight w:val="0"/>
          <w:marTop w:val="0"/>
          <w:marBottom w:val="0"/>
          <w:divBdr>
            <w:top w:val="none" w:sz="0" w:space="0" w:color="auto"/>
            <w:left w:val="none" w:sz="0" w:space="0" w:color="auto"/>
            <w:bottom w:val="none" w:sz="0" w:space="0" w:color="auto"/>
            <w:right w:val="none" w:sz="0" w:space="0" w:color="auto"/>
          </w:divBdr>
          <w:divsChild>
            <w:div w:id="142744092">
              <w:marLeft w:val="0"/>
              <w:marRight w:val="0"/>
              <w:marTop w:val="0"/>
              <w:marBottom w:val="0"/>
              <w:divBdr>
                <w:top w:val="none" w:sz="0" w:space="0" w:color="auto"/>
                <w:left w:val="none" w:sz="0" w:space="0" w:color="auto"/>
                <w:bottom w:val="none" w:sz="0" w:space="0" w:color="auto"/>
                <w:right w:val="none" w:sz="0" w:space="0" w:color="auto"/>
              </w:divBdr>
              <w:divsChild>
                <w:div w:id="45652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35239">
          <w:marLeft w:val="0"/>
          <w:marRight w:val="0"/>
          <w:marTop w:val="0"/>
          <w:marBottom w:val="0"/>
          <w:divBdr>
            <w:top w:val="none" w:sz="0" w:space="0" w:color="auto"/>
            <w:left w:val="none" w:sz="0" w:space="0" w:color="auto"/>
            <w:bottom w:val="none" w:sz="0" w:space="0" w:color="auto"/>
            <w:right w:val="none" w:sz="0" w:space="0" w:color="auto"/>
          </w:divBdr>
        </w:div>
        <w:div w:id="1121147606">
          <w:marLeft w:val="0"/>
          <w:marRight w:val="0"/>
          <w:marTop w:val="0"/>
          <w:marBottom w:val="0"/>
          <w:divBdr>
            <w:top w:val="none" w:sz="0" w:space="0" w:color="auto"/>
            <w:left w:val="none" w:sz="0" w:space="0" w:color="auto"/>
            <w:bottom w:val="none" w:sz="0" w:space="0" w:color="auto"/>
            <w:right w:val="none" w:sz="0" w:space="0" w:color="auto"/>
          </w:divBdr>
        </w:div>
      </w:divsChild>
    </w:div>
    <w:div w:id="2019429621">
      <w:bodyDiv w:val="1"/>
      <w:marLeft w:val="0"/>
      <w:marRight w:val="0"/>
      <w:marTop w:val="0"/>
      <w:marBottom w:val="0"/>
      <w:divBdr>
        <w:top w:val="none" w:sz="0" w:space="0" w:color="auto"/>
        <w:left w:val="none" w:sz="0" w:space="0" w:color="auto"/>
        <w:bottom w:val="none" w:sz="0" w:space="0" w:color="auto"/>
        <w:right w:val="none" w:sz="0" w:space="0" w:color="auto"/>
      </w:divBdr>
      <w:divsChild>
        <w:div w:id="1391999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382996">
              <w:marLeft w:val="0"/>
              <w:marRight w:val="0"/>
              <w:marTop w:val="0"/>
              <w:marBottom w:val="0"/>
              <w:divBdr>
                <w:top w:val="none" w:sz="0" w:space="0" w:color="auto"/>
                <w:left w:val="none" w:sz="0" w:space="0" w:color="auto"/>
                <w:bottom w:val="none" w:sz="0" w:space="0" w:color="auto"/>
                <w:right w:val="none" w:sz="0" w:space="0" w:color="auto"/>
              </w:divBdr>
              <w:divsChild>
                <w:div w:id="19888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40182">
      <w:bodyDiv w:val="1"/>
      <w:marLeft w:val="0"/>
      <w:marRight w:val="0"/>
      <w:marTop w:val="0"/>
      <w:marBottom w:val="0"/>
      <w:divBdr>
        <w:top w:val="none" w:sz="0" w:space="0" w:color="auto"/>
        <w:left w:val="none" w:sz="0" w:space="0" w:color="auto"/>
        <w:bottom w:val="none" w:sz="0" w:space="0" w:color="auto"/>
        <w:right w:val="none" w:sz="0" w:space="0" w:color="auto"/>
      </w:divBdr>
      <w:divsChild>
        <w:div w:id="401759567">
          <w:marLeft w:val="0"/>
          <w:marRight w:val="0"/>
          <w:marTop w:val="0"/>
          <w:marBottom w:val="0"/>
          <w:divBdr>
            <w:top w:val="none" w:sz="0" w:space="0" w:color="auto"/>
            <w:left w:val="none" w:sz="0" w:space="0" w:color="auto"/>
            <w:bottom w:val="none" w:sz="0" w:space="0" w:color="auto"/>
            <w:right w:val="none" w:sz="0" w:space="0" w:color="auto"/>
          </w:divBdr>
        </w:div>
        <w:div w:id="1796562707">
          <w:marLeft w:val="0"/>
          <w:marRight w:val="0"/>
          <w:marTop w:val="0"/>
          <w:marBottom w:val="0"/>
          <w:divBdr>
            <w:top w:val="none" w:sz="0" w:space="0" w:color="auto"/>
            <w:left w:val="none" w:sz="0" w:space="0" w:color="auto"/>
            <w:bottom w:val="none" w:sz="0" w:space="0" w:color="auto"/>
            <w:right w:val="none" w:sz="0" w:space="0" w:color="auto"/>
          </w:divBdr>
          <w:divsChild>
            <w:div w:id="1362895966">
              <w:marLeft w:val="0"/>
              <w:marRight w:val="0"/>
              <w:marTop w:val="0"/>
              <w:marBottom w:val="0"/>
              <w:divBdr>
                <w:top w:val="none" w:sz="0" w:space="0" w:color="auto"/>
                <w:left w:val="none" w:sz="0" w:space="0" w:color="auto"/>
                <w:bottom w:val="none" w:sz="0" w:space="0" w:color="auto"/>
                <w:right w:val="none" w:sz="0" w:space="0" w:color="auto"/>
              </w:divBdr>
            </w:div>
            <w:div w:id="118393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4781">
      <w:bodyDiv w:val="1"/>
      <w:marLeft w:val="0"/>
      <w:marRight w:val="0"/>
      <w:marTop w:val="0"/>
      <w:marBottom w:val="0"/>
      <w:divBdr>
        <w:top w:val="none" w:sz="0" w:space="0" w:color="auto"/>
        <w:left w:val="none" w:sz="0" w:space="0" w:color="auto"/>
        <w:bottom w:val="none" w:sz="0" w:space="0" w:color="auto"/>
        <w:right w:val="none" w:sz="0" w:space="0" w:color="auto"/>
      </w:divBdr>
      <w:divsChild>
        <w:div w:id="1649899332">
          <w:marLeft w:val="0"/>
          <w:marRight w:val="0"/>
          <w:marTop w:val="0"/>
          <w:marBottom w:val="0"/>
          <w:divBdr>
            <w:top w:val="none" w:sz="0" w:space="0" w:color="auto"/>
            <w:left w:val="none" w:sz="0" w:space="0" w:color="auto"/>
            <w:bottom w:val="none" w:sz="0" w:space="0" w:color="auto"/>
            <w:right w:val="none" w:sz="0" w:space="0" w:color="auto"/>
          </w:divBdr>
        </w:div>
        <w:div w:id="162934533">
          <w:marLeft w:val="0"/>
          <w:marRight w:val="0"/>
          <w:marTop w:val="0"/>
          <w:marBottom w:val="0"/>
          <w:divBdr>
            <w:top w:val="none" w:sz="0" w:space="0" w:color="auto"/>
            <w:left w:val="none" w:sz="0" w:space="0" w:color="auto"/>
            <w:bottom w:val="none" w:sz="0" w:space="0" w:color="auto"/>
            <w:right w:val="none" w:sz="0" w:space="0" w:color="auto"/>
          </w:divBdr>
        </w:div>
        <w:div w:id="1609241636">
          <w:marLeft w:val="0"/>
          <w:marRight w:val="0"/>
          <w:marTop w:val="0"/>
          <w:marBottom w:val="0"/>
          <w:divBdr>
            <w:top w:val="none" w:sz="0" w:space="0" w:color="auto"/>
            <w:left w:val="none" w:sz="0" w:space="0" w:color="auto"/>
            <w:bottom w:val="none" w:sz="0" w:space="0" w:color="auto"/>
            <w:right w:val="none" w:sz="0" w:space="0" w:color="auto"/>
          </w:divBdr>
        </w:div>
        <w:div w:id="786049993">
          <w:marLeft w:val="0"/>
          <w:marRight w:val="0"/>
          <w:marTop w:val="0"/>
          <w:marBottom w:val="0"/>
          <w:divBdr>
            <w:top w:val="none" w:sz="0" w:space="0" w:color="auto"/>
            <w:left w:val="none" w:sz="0" w:space="0" w:color="auto"/>
            <w:bottom w:val="none" w:sz="0" w:space="0" w:color="auto"/>
            <w:right w:val="none" w:sz="0" w:space="0" w:color="auto"/>
          </w:divBdr>
        </w:div>
        <w:div w:id="1394893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4.emf"/><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52.emf"/><Relationship Id="rId68" Type="http://schemas.openxmlformats.org/officeDocument/2006/relationships/image" Target="media/image57.emf"/><Relationship Id="rId16" Type="http://schemas.openxmlformats.org/officeDocument/2006/relationships/image" Target="media/image9.emf"/><Relationship Id="rId11" Type="http://schemas.openxmlformats.org/officeDocument/2006/relationships/image" Target="media/image4.emf"/><Relationship Id="rId32" Type="http://schemas.openxmlformats.org/officeDocument/2006/relationships/image" Target="media/image23.png"/><Relationship Id="rId37" Type="http://schemas.openxmlformats.org/officeDocument/2006/relationships/image" Target="media/image27.emf"/><Relationship Id="rId53" Type="http://schemas.openxmlformats.org/officeDocument/2006/relationships/image" Target="media/image42.emf"/><Relationship Id="rId58" Type="http://schemas.openxmlformats.org/officeDocument/2006/relationships/image" Target="media/image47.png"/><Relationship Id="rId74" Type="http://schemas.openxmlformats.org/officeDocument/2006/relationships/fontTable" Target="fontTable.xml"/><Relationship Id="rId79" Type="http://schemas.openxmlformats.org/officeDocument/2006/relationships/customXml" Target="../customXml/item5.xml"/><Relationship Id="rId5" Type="http://schemas.openxmlformats.org/officeDocument/2006/relationships/settings" Target="settings.xml"/><Relationship Id="rId61" Type="http://schemas.openxmlformats.org/officeDocument/2006/relationships/image" Target="media/image50.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6.emf"/><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chart" Target="charts/chart4.xml"/><Relationship Id="rId80" Type="http://schemas.openxmlformats.org/officeDocument/2006/relationships/customXml" Target="../customXml/item6.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33" Type="http://schemas.openxmlformats.org/officeDocument/2006/relationships/image" Target="media/image24.emf"/><Relationship Id="rId38" Type="http://schemas.openxmlformats.org/officeDocument/2006/relationships/image" Target="media/image28.emf"/><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3.emf"/><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eader" Target="head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chart" Target="charts/chart2.xml"/><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emf"/><Relationship Id="rId31" Type="http://schemas.openxmlformats.org/officeDocument/2006/relationships/chart" Target="charts/chart1.xml"/><Relationship Id="rId44" Type="http://schemas.openxmlformats.org/officeDocument/2006/relationships/chart" Target="charts/chart3.xml"/><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0.png"/><Relationship Id="rId78" Type="http://schemas.openxmlformats.org/officeDocument/2006/relationships/customXml" Target="../customXml/item4.xml"/><Relationship Id="rId81" Type="http://schemas.openxmlformats.org/officeDocument/2006/relationships/customXml" Target="../customXml/item7.xml"/><Relationship Id="rId4" Type="http://schemas.microsoft.com/office/2007/relationships/stylesWithEffects" Target="stylesWithEffect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9.emf"/><Relationship Id="rId34" Type="http://schemas.openxmlformats.org/officeDocument/2006/relationships/image" Target="media/image25.emf"/><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header" Target="header1.xml"/><Relationship Id="rId40" Type="http://schemas.openxmlformats.org/officeDocument/2006/relationships/image" Target="media/image30.emf"/><Relationship Id="rId45" Type="http://schemas.openxmlformats.org/officeDocument/2006/relationships/image" Target="media/image34.emf"/><Relationship Id="rId66" Type="http://schemas.openxmlformats.org/officeDocument/2006/relationships/image" Target="media/image55.emf"/></Relationships>
</file>

<file path=word/_rels/footnotes.xml.rels><?xml version="1.0" encoding="UTF-8" standalone="yes"?>
<Relationships xmlns="http://schemas.openxmlformats.org/package/2006/relationships"><Relationship Id="rId1" Type="http://schemas.openxmlformats.org/officeDocument/2006/relationships/hyperlink" Target="http://secit.conacyt.gov.py/mejora-de-las-capacidades-de-investigaci%C3%B3n-e-innovaci%C3%B3n-procit/resultados-esperad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SERVIDOR\DatosLinux\OPORTUNIDADES\Proyectos%20en%20ejecuci&#243;n\1211%20PARAGUAY%20CONACYT\3%20Proyecto\Etapa%202\base%20de%20datos\Base%20de%20datos%20paraguay%20final.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SERVIDOR\DatosLinux\OPORTUNIDADES\Proyectos%20en%20ejecuci&#243;n\1211%20PARAGUAY%20CONACYT\3%20Proyecto\Etapa%202\base%20de%20datos\base%20de%20datos%20paraguay_LB.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gerardo\Desktop\paraguay\tercer-informe\resumen-empres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ofi\Sofi\INNOVOS\INNOVOS%20Paraguay%20Sofi\Informe%20final\Tercer%20informe\Base%20an&#225;lisis%20be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32613864443415"/>
          <c:y val="3.3126293995859216E-2"/>
          <c:w val="0.65072027173073954"/>
          <c:h val="0.85886992386821215"/>
        </c:manualLayout>
      </c:layout>
      <c:pieChart>
        <c:varyColors val="1"/>
        <c:ser>
          <c:idx val="0"/>
          <c:order val="0"/>
          <c:spPr>
            <a:ln>
              <a:solidFill>
                <a:sysClr val="windowText" lastClr="000000"/>
              </a:solidFill>
            </a:ln>
          </c:spPr>
          <c:dPt>
            <c:idx val="0"/>
            <c:bubble3D val="0"/>
            <c:spPr>
              <a:solidFill>
                <a:srgbClr val="00B0F0"/>
              </a:solidFill>
              <a:ln>
                <a:solidFill>
                  <a:sysClr val="windowText" lastClr="000000"/>
                </a:solidFill>
              </a:ln>
            </c:spPr>
          </c:dPt>
          <c:dPt>
            <c:idx val="1"/>
            <c:bubble3D val="0"/>
            <c:spPr>
              <a:solidFill>
                <a:schemeClr val="accent1">
                  <a:lumMod val="20000"/>
                  <a:lumOff val="80000"/>
                </a:schemeClr>
              </a:solidFill>
              <a:ln>
                <a:solidFill>
                  <a:sysClr val="windowText" lastClr="000000"/>
                </a:solidFill>
              </a:ln>
            </c:spPr>
          </c:dPt>
          <c:dPt>
            <c:idx val="2"/>
            <c:bubble3D val="0"/>
            <c:spPr>
              <a:solidFill>
                <a:srgbClr val="002060"/>
              </a:solidFill>
              <a:ln>
                <a:solidFill>
                  <a:sysClr val="windowText" lastClr="000000"/>
                </a:solidFill>
              </a:ln>
            </c:spPr>
          </c:dPt>
          <c:dLbls>
            <c:dLbl>
              <c:idx val="0"/>
              <c:layout>
                <c:manualLayout>
                  <c:x val="4.9440666975451596E-2"/>
                  <c:y val="2.738038180010107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009942874787712E-2"/>
                  <c:y val="6.245806230742896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904461942257218E-2"/>
                  <c:y val="-1.07135521103340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solidFill>
                      <a:schemeClr val="accent1">
                        <a:lumMod val="50000"/>
                      </a:schemeClr>
                    </a:solidFill>
                  </a:defRPr>
                </a:pPr>
                <a:endParaRPr lang="es-ES_tradnl"/>
              </a:p>
            </c:txPr>
            <c:showLegendKey val="0"/>
            <c:showVal val="1"/>
            <c:showCatName val="0"/>
            <c:showSerName val="0"/>
            <c:showPercent val="0"/>
            <c:showBubbleSize val="0"/>
            <c:showLeaderLines val="1"/>
            <c:extLst>
              <c:ext xmlns:c15="http://schemas.microsoft.com/office/drawing/2012/chart" uri="{CE6537A1-D6FC-4f65-9D91-7224C49458BB}"/>
            </c:extLst>
          </c:dLbls>
          <c:cat>
            <c:strRef>
              <c:f>investigacion!$H$15:$H$17</c:f>
              <c:strCache>
                <c:ptCount val="3"/>
                <c:pt idx="0">
                  <c:v>ONG</c:v>
                </c:pt>
                <c:pt idx="1">
                  <c:v>Sector privado</c:v>
                </c:pt>
                <c:pt idx="2">
                  <c:v>Sector público</c:v>
                </c:pt>
              </c:strCache>
            </c:strRef>
          </c:cat>
          <c:val>
            <c:numRef>
              <c:f>investigacion!$I$15:$I$17</c:f>
              <c:numCache>
                <c:formatCode>General</c:formatCode>
                <c:ptCount val="3"/>
                <c:pt idx="0">
                  <c:v>9</c:v>
                </c:pt>
                <c:pt idx="1">
                  <c:v>12</c:v>
                </c:pt>
                <c:pt idx="2">
                  <c:v>25</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433670292322108"/>
          <c:y val="0.26824641910922004"/>
          <c:w val="0.55628582141518024"/>
          <c:h val="0.62304011998500186"/>
        </c:manualLayout>
      </c:layout>
      <c:pieChart>
        <c:varyColors val="1"/>
        <c:ser>
          <c:idx val="0"/>
          <c:order val="0"/>
          <c:spPr>
            <a:ln>
              <a:solidFill>
                <a:sysClr val="windowText" lastClr="000000"/>
              </a:solidFill>
            </a:ln>
          </c:spPr>
          <c:explosion val="9"/>
          <c:dPt>
            <c:idx val="0"/>
            <c:bubble3D val="0"/>
            <c:explosion val="8"/>
            <c:spPr>
              <a:solidFill>
                <a:srgbClr val="002060"/>
              </a:solidFill>
              <a:ln>
                <a:solidFill>
                  <a:sysClr val="windowText" lastClr="000000"/>
                </a:solidFill>
              </a:ln>
            </c:spPr>
          </c:dPt>
          <c:dPt>
            <c:idx val="1"/>
            <c:bubble3D val="0"/>
            <c:spPr>
              <a:solidFill>
                <a:srgbClr val="00B0F0"/>
              </a:solidFill>
              <a:ln>
                <a:solidFill>
                  <a:sysClr val="windowText" lastClr="000000"/>
                </a:solidFill>
              </a:ln>
            </c:spPr>
          </c:dPt>
          <c:dPt>
            <c:idx val="2"/>
            <c:bubble3D val="0"/>
            <c:spPr>
              <a:solidFill>
                <a:schemeClr val="tx2">
                  <a:lumMod val="20000"/>
                  <a:lumOff val="80000"/>
                </a:schemeClr>
              </a:solidFill>
              <a:ln>
                <a:solidFill>
                  <a:sysClr val="windowText" lastClr="000000"/>
                </a:solidFill>
              </a:ln>
            </c:spPr>
          </c:dPt>
          <c:dPt>
            <c:idx val="3"/>
            <c:bubble3D val="0"/>
            <c:spPr>
              <a:solidFill>
                <a:schemeClr val="accent1"/>
              </a:solidFill>
              <a:ln>
                <a:solidFill>
                  <a:sysClr val="windowText" lastClr="000000"/>
                </a:solidFill>
              </a:ln>
            </c:spPr>
          </c:dPt>
          <c:dPt>
            <c:idx val="4"/>
            <c:bubble3D val="0"/>
          </c:dPt>
          <c:dLbls>
            <c:dLbl>
              <c:idx val="0"/>
              <c:layout>
                <c:manualLayout>
                  <c:x val="-0.28626964866642224"/>
                  <c:y val="9.5119997869292233E-3"/>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5.2775222048293512E-2"/>
                  <c:y val="3.3851549179470079E-3"/>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0.21095944146993895"/>
                  <c:y val="0.33309756144342201"/>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6.9462640823501065E-3"/>
                  <c:y val="0.2161118568247718"/>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3.5994359152594508E-4"/>
                  <c:y val="-1.3547551236946445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b="1">
                    <a:solidFill>
                      <a:srgbClr val="002060"/>
                    </a:solidFill>
                  </a:defRPr>
                </a:pPr>
                <a:endParaRPr lang="es-ES_tradnl"/>
              </a:p>
            </c:txPr>
            <c:showLegendKey val="0"/>
            <c:showVal val="1"/>
            <c:showCatName val="1"/>
            <c:showSerName val="0"/>
            <c:showPercent val="0"/>
            <c:showBubbleSize val="0"/>
            <c:showLeaderLines val="1"/>
            <c:extLst>
              <c:ext xmlns:c15="http://schemas.microsoft.com/office/drawing/2012/chart" uri="{CE6537A1-D6FC-4f65-9D91-7224C49458BB}"/>
            </c:extLst>
          </c:dLbls>
          <c:cat>
            <c:strRef>
              <c:f>investigacion!$A$53:$A$57</c:f>
              <c:strCache>
                <c:ptCount val="5"/>
                <c:pt idx="0">
                  <c:v>Se habría llevado a cabo con el mismo alcance y en el mismo tiempo</c:v>
                </c:pt>
                <c:pt idx="1">
                  <c:v>Se habría llevado a cabo con el mismo alcance, aunque en un tiempo más largo</c:v>
                </c:pt>
                <c:pt idx="2">
                  <c:v>Se habría llevado a cabo con un alcance más reducido, en el mismo tiempo</c:v>
                </c:pt>
                <c:pt idx="3">
                  <c:v>Se habría llevado a cabo con un alcance más reducido, en un tiempo más largo</c:v>
                </c:pt>
                <c:pt idx="4">
                  <c:v>No se habría llevado a cabo</c:v>
                </c:pt>
              </c:strCache>
            </c:strRef>
          </c:cat>
          <c:val>
            <c:numRef>
              <c:f>investigacion!$C$53:$C$57</c:f>
              <c:numCache>
                <c:formatCode>0%</c:formatCode>
                <c:ptCount val="5"/>
                <c:pt idx="0">
                  <c:v>0.05</c:v>
                </c:pt>
                <c:pt idx="1">
                  <c:v>0.05</c:v>
                </c:pt>
                <c:pt idx="2">
                  <c:v>0</c:v>
                </c:pt>
                <c:pt idx="3">
                  <c:v>0.35</c:v>
                </c:pt>
                <c:pt idx="4">
                  <c:v>0.55000000000000004</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ES_tradn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'[resumen-empresas.xlsx]Hoja8'!$G$2:$G$3</c:f>
              <c:strCache>
                <c:ptCount val="1"/>
                <c:pt idx="0">
                  <c:v>riesgo de mercado bajo </c:v>
                </c:pt>
              </c:strCache>
            </c:strRef>
          </c:tx>
          <c:invertIfNegative val="0"/>
          <c:cat>
            <c:multiLvlStrRef>
              <c:f>'[resumen-empresas.xlsx]Hoja8'!$E$4:$F$7</c:f>
              <c:multiLvlStrCache>
                <c:ptCount val="3"/>
                <c:lvl>
                  <c:pt idx="0">
                    <c:v>bajo </c:v>
                  </c:pt>
                  <c:pt idx="1">
                    <c:v>mediano</c:v>
                  </c:pt>
                  <c:pt idx="2">
                    <c:v>alto</c:v>
                  </c:pt>
                </c:lvl>
                <c:lvl>
                  <c:pt idx="0">
                    <c:v>Riesgo tecnológico</c:v>
                  </c:pt>
                </c:lvl>
              </c:multiLvlStrCache>
            </c:multiLvlStrRef>
          </c:cat>
          <c:val>
            <c:numRef>
              <c:f>'[resumen-empresas.xlsx]Hoja8'!$G$4:$G$7</c:f>
              <c:numCache>
                <c:formatCode>General</c:formatCode>
                <c:ptCount val="4"/>
                <c:pt idx="0">
                  <c:v>3</c:v>
                </c:pt>
                <c:pt idx="1">
                  <c:v>3</c:v>
                </c:pt>
                <c:pt idx="2">
                  <c:v>0</c:v>
                </c:pt>
                <c:pt idx="3">
                  <c:v>6</c:v>
                </c:pt>
              </c:numCache>
            </c:numRef>
          </c:val>
        </c:ser>
        <c:ser>
          <c:idx val="1"/>
          <c:order val="1"/>
          <c:tx>
            <c:strRef>
              <c:f>'[resumen-empresas.xlsx]Hoja8'!$H$2:$H$3</c:f>
              <c:strCache>
                <c:ptCount val="1"/>
                <c:pt idx="0">
                  <c:v>riesgo de mercado mediano</c:v>
                </c:pt>
              </c:strCache>
            </c:strRef>
          </c:tx>
          <c:spPr>
            <a:solidFill>
              <a:schemeClr val="tx2">
                <a:lumMod val="50000"/>
              </a:schemeClr>
            </a:solidFill>
          </c:spPr>
          <c:invertIfNegative val="0"/>
          <c:cat>
            <c:multiLvlStrRef>
              <c:f>'[resumen-empresas.xlsx]Hoja8'!$E$4:$F$7</c:f>
              <c:multiLvlStrCache>
                <c:ptCount val="3"/>
                <c:lvl>
                  <c:pt idx="0">
                    <c:v>bajo </c:v>
                  </c:pt>
                  <c:pt idx="1">
                    <c:v>mediano</c:v>
                  </c:pt>
                  <c:pt idx="2">
                    <c:v>alto</c:v>
                  </c:pt>
                </c:lvl>
                <c:lvl>
                  <c:pt idx="0">
                    <c:v>Riesgo tecnológico</c:v>
                  </c:pt>
                </c:lvl>
              </c:multiLvlStrCache>
            </c:multiLvlStrRef>
          </c:cat>
          <c:val>
            <c:numRef>
              <c:f>'[resumen-empresas.xlsx]Hoja8'!$H$4:$H$7</c:f>
              <c:numCache>
                <c:formatCode>General</c:formatCode>
                <c:ptCount val="4"/>
                <c:pt idx="0">
                  <c:v>7</c:v>
                </c:pt>
                <c:pt idx="1">
                  <c:v>2</c:v>
                </c:pt>
                <c:pt idx="2">
                  <c:v>1</c:v>
                </c:pt>
                <c:pt idx="3">
                  <c:v>10</c:v>
                </c:pt>
              </c:numCache>
            </c:numRef>
          </c:val>
        </c:ser>
        <c:ser>
          <c:idx val="2"/>
          <c:order val="2"/>
          <c:tx>
            <c:strRef>
              <c:f>'[resumen-empresas.xlsx]Hoja8'!$I$2:$I$3</c:f>
              <c:strCache>
                <c:ptCount val="1"/>
                <c:pt idx="0">
                  <c:v>riesgo de mercado alto</c:v>
                </c:pt>
              </c:strCache>
            </c:strRef>
          </c:tx>
          <c:spPr>
            <a:solidFill>
              <a:srgbClr val="00B0F0"/>
            </a:solidFill>
          </c:spPr>
          <c:invertIfNegative val="0"/>
          <c:cat>
            <c:multiLvlStrRef>
              <c:f>'[resumen-empresas.xlsx]Hoja8'!$E$4:$F$7</c:f>
              <c:multiLvlStrCache>
                <c:ptCount val="3"/>
                <c:lvl>
                  <c:pt idx="0">
                    <c:v>bajo </c:v>
                  </c:pt>
                  <c:pt idx="1">
                    <c:v>mediano</c:v>
                  </c:pt>
                  <c:pt idx="2">
                    <c:v>alto</c:v>
                  </c:pt>
                </c:lvl>
                <c:lvl>
                  <c:pt idx="0">
                    <c:v>Riesgo tecnológico</c:v>
                  </c:pt>
                </c:lvl>
              </c:multiLvlStrCache>
            </c:multiLvlStrRef>
          </c:cat>
          <c:val>
            <c:numRef>
              <c:f>'[resumen-empresas.xlsx]Hoja8'!$I$4:$I$7</c:f>
              <c:numCache>
                <c:formatCode>General</c:formatCode>
                <c:ptCount val="4"/>
                <c:pt idx="0">
                  <c:v>1</c:v>
                </c:pt>
                <c:pt idx="1">
                  <c:v>0</c:v>
                </c:pt>
                <c:pt idx="2">
                  <c:v>1</c:v>
                </c:pt>
                <c:pt idx="3">
                  <c:v>2</c:v>
                </c:pt>
              </c:numCache>
            </c:numRef>
          </c:val>
        </c:ser>
        <c:dLbls>
          <c:showLegendKey val="0"/>
          <c:showVal val="0"/>
          <c:showCatName val="0"/>
          <c:showSerName val="0"/>
          <c:showPercent val="0"/>
          <c:showBubbleSize val="0"/>
        </c:dLbls>
        <c:gapWidth val="150"/>
        <c:axId val="74988160"/>
        <c:axId val="74989952"/>
      </c:barChart>
      <c:catAx>
        <c:axId val="74988160"/>
        <c:scaling>
          <c:orientation val="minMax"/>
        </c:scaling>
        <c:delete val="0"/>
        <c:axPos val="b"/>
        <c:numFmt formatCode="General" sourceLinked="0"/>
        <c:majorTickMark val="out"/>
        <c:minorTickMark val="none"/>
        <c:tickLblPos val="nextTo"/>
        <c:crossAx val="74989952"/>
        <c:crosses val="autoZero"/>
        <c:auto val="1"/>
        <c:lblAlgn val="ctr"/>
        <c:lblOffset val="100"/>
        <c:noMultiLvlLbl val="0"/>
      </c:catAx>
      <c:valAx>
        <c:axId val="74989952"/>
        <c:scaling>
          <c:orientation val="minMax"/>
        </c:scaling>
        <c:delete val="0"/>
        <c:axPos val="l"/>
        <c:majorGridlines/>
        <c:numFmt formatCode="General" sourceLinked="1"/>
        <c:majorTickMark val="out"/>
        <c:minorTickMark val="none"/>
        <c:tickLblPos val="nextTo"/>
        <c:crossAx val="7498816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lumMod val="50000"/>
                      </a:schemeClr>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Hoja2!$A$3:$A$4</c:f>
              <c:strCache>
                <c:ptCount val="2"/>
                <c:pt idx="0">
                  <c:v>La interacción con el Oficial del PROCIT fue fluida</c:v>
                </c:pt>
                <c:pt idx="1">
                  <c:v>El tiempo dedicado por el Oficial del PROCIT asignado a su proyecto fue suficiente</c:v>
                </c:pt>
              </c:strCache>
            </c:strRef>
          </c:cat>
          <c:val>
            <c:numRef>
              <c:f>Hoja2!$F$3:$F$4</c:f>
              <c:numCache>
                <c:formatCode>0%</c:formatCode>
                <c:ptCount val="2"/>
                <c:pt idx="0">
                  <c:v>0.75</c:v>
                </c:pt>
                <c:pt idx="1">
                  <c:v>0.73333333333333339</c:v>
                </c:pt>
              </c:numCache>
            </c:numRef>
          </c:val>
        </c:ser>
        <c:dLbls>
          <c:showLegendKey val="0"/>
          <c:showVal val="0"/>
          <c:showCatName val="0"/>
          <c:showSerName val="0"/>
          <c:showPercent val="0"/>
          <c:showBubbleSize val="0"/>
        </c:dLbls>
        <c:gapWidth val="219"/>
        <c:overlap val="-27"/>
        <c:axId val="75125120"/>
        <c:axId val="75126656"/>
      </c:barChart>
      <c:catAx>
        <c:axId val="7512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_tradnl"/>
          </a:p>
        </c:txPr>
        <c:crossAx val="75126656"/>
        <c:crosses val="autoZero"/>
        <c:auto val="1"/>
        <c:lblAlgn val="ctr"/>
        <c:lblOffset val="100"/>
        <c:noMultiLvlLbl val="0"/>
      </c:catAx>
      <c:valAx>
        <c:axId val="7512665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7512512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Business_x0020_Area xmlns="cdc7663a-08f0-4737-9e8c-148ce897a09c" xsi:nil="true"/>
    <IDBDocs_x0020_Number xmlns="cdc7663a-08f0-4737-9e8c-148ce897a09c">39181198</IDBDocs_x0020_Number>
    <TaxCatchAll xmlns="cdc7663a-08f0-4737-9e8c-148ce897a09c">
      <Value>24</Value>
      <Value>3</Value>
      <Value>77</Value>
    </TaxCatchAll>
    <Phase xmlns="cdc7663a-08f0-4737-9e8c-148ce897a09c" xsi:nil="true"/>
    <SISCOR_x0020_Number xmlns="cdc7663a-08f0-4737-9e8c-148ce897a09c" xsi:nil="true"/>
    <Division_x0020_or_x0020_Unit xmlns="cdc7663a-08f0-4737-9e8c-148ce897a09c">IFD/CTI</Division_x0020_or_x0020_Unit>
    <Approval_x0020_Number xmlns="cdc7663a-08f0-4737-9e8c-148ce897a09c">1698/OC-PR</Approval_x0020_Number>
    <Document_x0020_Author xmlns="cdc7663a-08f0-4737-9e8c-148ce897a09c">Angelelli, Pablo Javier</Document_x0020_Author>
    <Fiscal_x0020_Year_x0020_IDB xmlns="cdc7663a-08f0-4737-9e8c-148ce897a09c">2014</Fiscal_x0020_Year_x0020_IDB>
    <Other_x0020_Author xmlns="cdc7663a-08f0-4737-9e8c-148ce897a09c">INNOVOS GROUP</Other_x0020_Author>
    <Project_x0020_Number xmlns="cdc7663a-08f0-4737-9e8c-148ce897a09c">PR0126</Project_x0020_Number>
    <Package_x0020_Code xmlns="cdc7663a-08f0-4737-9e8c-148ce897a09c" xsi:nil="true"/>
    <Key_x0020_Document xmlns="cdc7663a-08f0-4737-9e8c-148ce897a09c">false</Key_x0020_Document>
    <Migration_x0020_Info xmlns="cdc7663a-08f0-4737-9e8c-148ce897a09c">&lt;div class="ExternalClass9E733CB45730473F919A4EF7D27F502E"&gt;MS WORDCONS-RPTFConsultant/Firm Final Report0N&lt;/div&gt;</Migration_x0020_Info>
    <Operation_x0020_Type xmlns="cdc7663a-08f0-4737-9e8c-148ce897a09c" xsi:nil="true"/>
    <Record_x0020_Number xmlns="cdc7663a-08f0-4737-9e8c-148ce897a09c" xsi:nil="true"/>
    <Document_x0020_Language_x0020_IDB xmlns="cdc7663a-08f0-4737-9e8c-148ce897a09c">Spanish</Document_x0020_Language_x0020_IDB>
    <Identifier xmlns="cdc7663a-08f0-4737-9e8c-148ce897a09c"> REPORT</Identifier>
    <Access_x0020_to_x0020_Information_x00a0_Policy xmlns="cdc7663a-08f0-4737-9e8c-148ce897a09c">Confidential</Access_x0020_to_x0020_Information_x00a0_Policy>
    <b26cdb1da78c4bb4b1c1bac2f6ac5911 xmlns="cdc7663a-08f0-4737-9e8c-148ce897a09c">
      <Terms xmlns="http://schemas.microsoft.com/office/infopath/2007/PartnerControls">
        <TermInfo xmlns="http://schemas.microsoft.com/office/infopath/2007/PartnerControls">
          <TermName xmlns="http://schemas.microsoft.com/office/infopath/2007/PartnerControls">Consultant Final Report</TermName>
          <TermId xmlns="http://schemas.microsoft.com/office/infopath/2007/PartnerControls">6d704795-c54b-4119-a188-27fbb7109bdd</TermId>
        </TermInfo>
      </Term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Paraguay</TermName>
          <TermId xmlns="http://schemas.microsoft.com/office/infopath/2007/PartnerControls">50282442-27e7-4526-9d04-55bf5da33a10</TermId>
        </TermInfo>
      </Terms>
    </ic46d7e087fd4a108fb86518ca413cc6>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Monitoring and Reporting</TermName>
          <TermId xmlns="http://schemas.microsoft.com/office/infopath/2007/PartnerControls">df3c2aa1-d63e-41aa-b1f5-bb15dee691ca</TermId>
        </TermInfo>
      </Terms>
    </e46fe2894295491da65140ffd2369f49>
    <b2ec7cfb18674cb8803df6b262e8b107 xmlns="cdc7663a-08f0-4737-9e8c-148ce897a09c">
      <Terms xmlns="http://schemas.microsoft.com/office/infopath/2007/PartnerControls"/>
    </b2ec7cfb18674cb8803df6b262e8b107>
    <g511464f9e53401d84b16fa9b379a574 xmlns="cdc7663a-08f0-4737-9e8c-148ce897a09c">
      <Terms xmlns="http://schemas.microsoft.com/office/infopath/2007/PartnerControls"/>
    </g511464f9e53401d84b16fa9b379a574>
    <nddeef1749674d76abdbe4b239a70bc6 xmlns="cdc7663a-08f0-4737-9e8c-148ce897a09c">
      <Terms xmlns="http://schemas.microsoft.com/office/infopath/2007/PartnerControls"/>
    </nddeef1749674d76abdbe4b239a70bc6>
    <Abstract xmlns="cdc7663a-08f0-4737-9e8c-148ce897a09c" xsi:nil="true"/>
    <Editor1 xmlns="cdc7663a-08f0-4737-9e8c-148ce897a09c" xsi:nil="true"/>
    <Disclosure_x0020_Activity xmlns="cdc7663a-08f0-4737-9e8c-148ce897a09c">Consultant/Firm Final Report</Disclosure_x0020_Activity>
    <Region xmlns="cdc7663a-08f0-4737-9e8c-148ce897a09c" xsi:nil="true"/>
    <_dlc_DocId xmlns="cdc7663a-08f0-4737-9e8c-148ce897a09c">EZSHARE-2098835012-3124</_dlc_DocId>
    <Publication_x0020_Type xmlns="cdc7663a-08f0-4737-9e8c-148ce897a09c" xsi:nil="true"/>
    <Issue_x0020_Date xmlns="cdc7663a-08f0-4737-9e8c-148ce897a09c" xsi:nil="true"/>
    <Webtopic xmlns="cdc7663a-08f0-4737-9e8c-148ce897a09c">Science and Technology</Webtopic>
    <Publishing_x0020_House xmlns="cdc7663a-08f0-4737-9e8c-148ce897a09c" xsi:nil="true"/>
    <Disclosed xmlns="cdc7663a-08f0-4737-9e8c-148ce897a09c">false</Disclosed>
    <KP_x0020_Topics xmlns="cdc7663a-08f0-4737-9e8c-148ce897a09c" xsi:nil="true"/>
    <_dlc_DocIdUrl xmlns="cdc7663a-08f0-4737-9e8c-148ce897a09c">
      <Url>https://idbg.sharepoint.com/teams/EZ-PR-LON/PR0126/_layouts/15/DocIdRedir.aspx?ID=EZSHARE-2098835012-3124</Url>
      <Description>EZSHARE-2098835012-3124</Description>
    </_dlc_DocIdUrl>
  </documentManagement>
</p:properties>
</file>

<file path=customXml/item4.xml><?xml version="1.0" encoding="utf-8"?>
<?mso-contentType ?>
<SharedContentType xmlns="Microsoft.SharePoint.Taxonomy.ContentTypeSync" SourceId="ae61f9b1-e23d-4f49-b3d7-56b991556c4b" ContentTypeId="0x0101001A458A224826124E8B45B1D613300CFC"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8AF4D3026431E247A9434C08F41AEFD7" ma:contentTypeVersion="25" ma:contentTypeDescription="A content type to manage public (operations) IDB documents" ma:contentTypeScope="" ma:versionID="88b92aaba5452637748fcc9ded275c45">
  <xsd:schema xmlns:xsd="http://www.w3.org/2001/XMLSchema" xmlns:xs="http://www.w3.org/2001/XMLSchema" xmlns:p="http://schemas.microsoft.com/office/2006/metadata/properties" xmlns:ns2="cdc7663a-08f0-4737-9e8c-148ce897a09c" targetNamespace="http://schemas.microsoft.com/office/2006/metadata/properties" ma:root="true" ma:fieldsID="77da27584fb424783c8807b5d4621714"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Props1.xml><?xml version="1.0" encoding="utf-8"?>
<ds:datastoreItem xmlns:ds="http://schemas.openxmlformats.org/officeDocument/2006/customXml" ds:itemID="{01404E7D-E404-4EF7-8CF8-578C6B4D0815}"/>
</file>

<file path=customXml/itemProps2.xml><?xml version="1.0" encoding="utf-8"?>
<ds:datastoreItem xmlns:ds="http://schemas.openxmlformats.org/officeDocument/2006/customXml" ds:itemID="{ADF70D21-73EC-4FDB-BE56-FE7F49C6E016}"/>
</file>

<file path=customXml/itemProps3.xml><?xml version="1.0" encoding="utf-8"?>
<ds:datastoreItem xmlns:ds="http://schemas.openxmlformats.org/officeDocument/2006/customXml" ds:itemID="{1F6BBEAA-F197-481D-9574-7CD1A21DE30F}"/>
</file>

<file path=customXml/itemProps4.xml><?xml version="1.0" encoding="utf-8"?>
<ds:datastoreItem xmlns:ds="http://schemas.openxmlformats.org/officeDocument/2006/customXml" ds:itemID="{28A4850A-D861-4A00-B8FB-F36EA086C037}"/>
</file>

<file path=customXml/itemProps5.xml><?xml version="1.0" encoding="utf-8"?>
<ds:datastoreItem xmlns:ds="http://schemas.openxmlformats.org/officeDocument/2006/customXml" ds:itemID="{E53A0ACA-F201-4688-AA81-56263150C30B}"/>
</file>

<file path=customXml/itemProps6.xml><?xml version="1.0" encoding="utf-8"?>
<ds:datastoreItem xmlns:ds="http://schemas.openxmlformats.org/officeDocument/2006/customXml" ds:itemID="{2B28FB7C-C877-49E1-8BF8-BC0A5264556C}"/>
</file>

<file path=customXml/itemProps7.xml><?xml version="1.0" encoding="utf-8"?>
<ds:datastoreItem xmlns:ds="http://schemas.openxmlformats.org/officeDocument/2006/customXml" ds:itemID="{4F9FE596-0A35-4C2A-8138-3B2FA4BAD6E7}"/>
</file>

<file path=docProps/app.xml><?xml version="1.0" encoding="utf-8"?>
<Properties xmlns="http://schemas.openxmlformats.org/officeDocument/2006/extended-properties" xmlns:vt="http://schemas.openxmlformats.org/officeDocument/2006/docPropsVTypes">
  <Template>Normal.dotm</Template>
  <TotalTime>4</TotalTime>
  <Pages>145</Pages>
  <Words>41691</Words>
  <Characters>237063</Characters>
  <Application>Microsoft Office Word</Application>
  <DocSecurity>0</DocSecurity>
  <Lines>1975</Lines>
  <Paragraphs>556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Final PROCIT</dc:title>
  <dc:creator>Caro</dc:creator>
  <cp:lastModifiedBy>Inter-American Development Bank</cp:lastModifiedBy>
  <cp:revision>2</cp:revision>
  <cp:lastPrinted>2013-12-19T13:25:00Z</cp:lastPrinted>
  <dcterms:created xsi:type="dcterms:W3CDTF">2014-10-27T11:30:00Z</dcterms:created>
  <dcterms:modified xsi:type="dcterms:W3CDTF">2014-10-27T11:30:00Z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0x0101001A458A224826124E8B45B1D613300CFC008AF4D3026431E247A9434C08F41AEFD7</vt:lpwstr>
  </property>
  <property fmtid="{D5CDD505-2E9C-101B-9397-08002B2CF9AE}" pid="3" name="TaxKeyword">
    <vt:lpwstr/>
  </property>
  <property fmtid="{D5CDD505-2E9C-101B-9397-08002B2CF9AE}" pid="4" name="Sub_x002d_Sector">
    <vt:lpwstr/>
  </property>
  <property fmtid="{D5CDD505-2E9C-101B-9397-08002B2CF9AE}" pid="5" name="TaxKeywordTaxHTField">
    <vt:lpwstr/>
  </property>
  <property fmtid="{D5CDD505-2E9C-101B-9397-08002B2CF9AE}" pid="6" name="Series Operations IDB">
    <vt:lpwstr>53;#Consultant Final Report|6d704795-c54b-4119-a188-27fbb7109bdd</vt:lpwstr>
  </property>
  <property fmtid="{D5CDD505-2E9C-101B-9397-08002B2CF9AE}" pid="8" name="Country">
    <vt:lpwstr>24;#Paraguay|50282442-27e7-4526-9d04-55bf5da33a10</vt:lpwstr>
  </property>
  <property fmtid="{D5CDD505-2E9C-101B-9397-08002B2CF9AE}" pid="9" name="Fund IDB">
    <vt:lpwstr/>
  </property>
  <property fmtid="{D5CDD505-2E9C-101B-9397-08002B2CF9AE}" pid="10" name="Series_x0020_Operations_x0020_IDB">
    <vt:lpwstr>53;#Consultant Final Report|6d704795-c54b-4119-a188-27fbb7109bdd</vt:lpwstr>
  </property>
  <property fmtid="{D5CDD505-2E9C-101B-9397-08002B2CF9AE}" pid="12" name="From:">
    <vt:lpwstr>INNOVOS GROUP</vt:lpwstr>
  </property>
  <property fmtid="{D5CDD505-2E9C-101B-9397-08002B2CF9AE}" pid="13" name="Sector IDB">
    <vt:lpwstr/>
  </property>
  <property fmtid="{D5CDD505-2E9C-101B-9397-08002B2CF9AE}" pid="14" name="Function Operations IDB">
    <vt:lpwstr>3;#Monitoring and Reporting|df3c2aa1-d63e-41aa-b1f5-bb15dee691ca</vt:lpwstr>
  </property>
  <property fmtid="{D5CDD505-2E9C-101B-9397-08002B2CF9AE}" pid="15" name="Sub-Sector">
    <vt:lpwstr/>
  </property>
  <property fmtid="{D5CDD505-2E9C-101B-9397-08002B2CF9AE}" pid="16" name="Order">
    <vt:r8>312400</vt:r8>
  </property>
  <property fmtid="{D5CDD505-2E9C-101B-9397-08002B2CF9AE}" pid="17" name="ATI Undisclose Document Workflow">
    <vt:lpwstr/>
  </property>
  <property fmtid="{D5CDD505-2E9C-101B-9397-08002B2CF9AE}" pid="18" name="ATI Disclose Document Workflow v5">
    <vt:lpwstr/>
  </property>
  <property fmtid="{D5CDD505-2E9C-101B-9397-08002B2CF9AE}" pid="19" name="_dlc_DocIdItemGuid">
    <vt:lpwstr>a652d3da-4908-4e6d-8e97-2816b9537ed4</vt:lpwstr>
  </property>
</Properties>
</file>