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50"/>
      </w:tblGrid>
      <w:tr w:rsidR="00B67B5E" w:rsidRPr="006222F4">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B67B5E" w:rsidRPr="006222F4" w:rsidRDefault="006222F4" w:rsidP="006222F4">
            <w:pPr>
              <w:spacing w:after="240"/>
              <w:jc w:val="center"/>
              <w:rPr>
                <w:rFonts w:ascii="Times New Roman Bold" w:eastAsia="Times New Roman" w:hAnsi="Times New Roman Bold"/>
                <w:smallCaps/>
                <w:szCs w:val="20"/>
              </w:rPr>
            </w:pPr>
            <w:bookmarkStart w:id="0" w:name="_GoBack"/>
            <w:bookmarkEnd w:id="0"/>
            <w:r w:rsidRPr="006222F4">
              <w:rPr>
                <w:rFonts w:ascii="Times New Roman Bold" w:eastAsia="Times New Roman" w:hAnsi="Times New Roman Bold"/>
                <w:b/>
                <w:bCs/>
                <w:smallCaps/>
                <w:szCs w:val="20"/>
              </w:rPr>
              <w:t>Safeguard Policy Filter Report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01"/>
              <w:gridCol w:w="5123"/>
            </w:tblGrid>
            <w:tr w:rsidR="00B67B5E" w:rsidRPr="006222F4" w:rsidTr="00926BBF">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B67B5E" w:rsidRPr="006222F4" w:rsidRDefault="006222F4">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Project Details</w:t>
                  </w: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IDB Sector</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6222F4">
                  <w:pPr>
                    <w:rPr>
                      <w:rFonts w:eastAsia="Times New Roman"/>
                      <w:sz w:val="20"/>
                      <w:szCs w:val="20"/>
                    </w:rPr>
                  </w:pPr>
                  <w:r w:rsidRPr="006222F4">
                    <w:rPr>
                      <w:rFonts w:eastAsia="Times New Roman"/>
                      <w:sz w:val="20"/>
                      <w:szCs w:val="20"/>
                    </w:rPr>
                    <w:t>Transport-Rural Roads</w:t>
                  </w: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Type of Operation</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Investment Loan</w:t>
                  </w: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Additional Operation Details</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67B5E">
                  <w:pPr>
                    <w:rPr>
                      <w:rFonts w:eastAsia="Times New Roman"/>
                      <w:sz w:val="20"/>
                      <w:szCs w:val="20"/>
                    </w:rPr>
                  </w:pP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Investment Checklist</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Infrastructure Road and Rail</w:t>
                  </w:r>
                </w:p>
              </w:tc>
            </w:tr>
            <w:tr w:rsidR="00B67B5E" w:rsidRPr="00C82000"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Team Leader</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lang w:val="pt-BR"/>
                    </w:rPr>
                  </w:pPr>
                  <w:r w:rsidRPr="006222F4">
                    <w:rPr>
                      <w:rFonts w:eastAsia="Times New Roman"/>
                      <w:sz w:val="20"/>
                      <w:szCs w:val="20"/>
                      <w:lang w:val="pt-BR"/>
                    </w:rPr>
                    <w:t>Vicentini, Vera Lucia (</w:t>
                  </w:r>
                  <w:r w:rsidR="006222F4" w:rsidRPr="006222F4">
                    <w:rPr>
                      <w:rFonts w:eastAsia="Times New Roman"/>
                      <w:sz w:val="20"/>
                      <w:szCs w:val="20"/>
                      <w:lang w:val="pt-BR"/>
                    </w:rPr>
                    <w:t>veraluciav</w:t>
                  </w:r>
                  <w:r w:rsidRPr="006222F4">
                    <w:rPr>
                      <w:rFonts w:eastAsia="Times New Roman"/>
                      <w:sz w:val="20"/>
                      <w:szCs w:val="20"/>
                      <w:lang w:val="pt-BR"/>
                    </w:rPr>
                    <w:t>@iadb.org</w:t>
                  </w:r>
                  <w:proofErr w:type="gramStart"/>
                  <w:r w:rsidRPr="006222F4">
                    <w:rPr>
                      <w:rFonts w:eastAsia="Times New Roman"/>
                      <w:sz w:val="20"/>
                      <w:szCs w:val="20"/>
                      <w:lang w:val="pt-BR"/>
                    </w:rPr>
                    <w:t>)</w:t>
                  </w:r>
                  <w:proofErr w:type="gramEnd"/>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Project Title</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Rural Roads Program</w:t>
                  </w: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Project Number</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PR-L1084</w:t>
                  </w:r>
                </w:p>
              </w:tc>
            </w:tr>
            <w:tr w:rsidR="00B67B5E" w:rsidRPr="00B3537B"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Safeguard Screening Assessor(s)</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lang w:val="es-ES_tradnl"/>
                    </w:rPr>
                  </w:pPr>
                  <w:r w:rsidRPr="006222F4">
                    <w:rPr>
                      <w:rFonts w:eastAsia="Times New Roman"/>
                      <w:sz w:val="20"/>
                      <w:szCs w:val="20"/>
                      <w:lang w:val="es-ES_tradnl"/>
                    </w:rPr>
                    <w:t>Paez Zamora, Juan Carlos (</w:t>
                  </w:r>
                  <w:r w:rsidR="006222F4" w:rsidRPr="006222F4">
                    <w:rPr>
                      <w:rFonts w:eastAsia="Times New Roman"/>
                      <w:sz w:val="20"/>
                      <w:szCs w:val="20"/>
                      <w:lang w:val="es-ES_tradnl"/>
                    </w:rPr>
                    <w:t>juancarlosp</w:t>
                  </w:r>
                  <w:r w:rsidRPr="006222F4">
                    <w:rPr>
                      <w:rFonts w:eastAsia="Times New Roman"/>
                      <w:sz w:val="20"/>
                      <w:szCs w:val="20"/>
                      <w:lang w:val="es-ES_tradnl"/>
                    </w:rPr>
                    <w:t>@iadb.org)</w:t>
                  </w:r>
                </w:p>
              </w:tc>
            </w:tr>
            <w:tr w:rsidR="00B67B5E" w:rsidRPr="006222F4" w:rsidTr="00926BBF">
              <w:tc>
                <w:tcPr>
                  <w:tcW w:w="203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Assessment Date</w:t>
                  </w:r>
                </w:p>
              </w:tc>
              <w:tc>
                <w:tcPr>
                  <w:tcW w:w="297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2014-05-01</w:t>
                  </w:r>
                </w:p>
              </w:tc>
            </w:tr>
          </w:tbl>
          <w:p w:rsidR="00B67B5E" w:rsidRPr="006222F4" w:rsidRDefault="00B67B5E">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4590"/>
              <w:gridCol w:w="2152"/>
            </w:tblGrid>
            <w:tr w:rsidR="00B67B5E" w:rsidRPr="006222F4" w:rsidTr="006222F4">
              <w:tc>
                <w:tcPr>
                  <w:tcW w:w="8624" w:type="dxa"/>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B67B5E" w:rsidRPr="006222F4" w:rsidRDefault="006222F4">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Safeguard Policy Filter Results</w:t>
                  </w:r>
                </w:p>
              </w:tc>
            </w:tr>
            <w:tr w:rsidR="00B67B5E" w:rsidRPr="006222F4" w:rsidTr="00926BBF">
              <w:tc>
                <w:tcPr>
                  <w:tcW w:w="188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Type of Operation</w:t>
                  </w:r>
                </w:p>
              </w:tc>
              <w:tc>
                <w:tcPr>
                  <w:tcW w:w="674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Loan Operation</w:t>
                  </w:r>
                </w:p>
              </w:tc>
            </w:tr>
            <w:tr w:rsidR="00B67B5E" w:rsidRPr="006222F4" w:rsidTr="00926BBF">
              <w:tc>
                <w:tcPr>
                  <w:tcW w:w="188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Safeguard Policy Items</w:t>
                  </w:r>
                  <w:r w:rsidRPr="006222F4">
                    <w:rPr>
                      <w:rFonts w:eastAsia="Times New Roman"/>
                      <w:b/>
                      <w:bCs/>
                      <w:sz w:val="20"/>
                      <w:szCs w:val="20"/>
                    </w:rPr>
                    <w:br/>
                    <w:t xml:space="preserve">Identified </w:t>
                  </w:r>
                  <w:r w:rsidRPr="006222F4">
                    <w:rPr>
                      <w:rFonts w:eastAsia="Times New Roman"/>
                      <w:b/>
                      <w:bCs/>
                      <w:color w:val="FF0000"/>
                      <w:sz w:val="20"/>
                      <w:szCs w:val="20"/>
                    </w:rPr>
                    <w:t>(Yes)</w:t>
                  </w: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Potential to negatively affect Indigenous People (also see Indigenous Peoples Policy.).</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(B.01) Indigenous People Policy– OP-765</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Does this project offer opportunities for indigenous peoples through its project components?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(B.01) Indigenous People Policy– OP-765</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Activities to be financed by the project are in a geographical area and sector exposed to natural hazards* (Type 1 Disaster Risk Scenario).</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(B.01) Disaster Risk Management Policy– OP-704</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The Bank will make available to the public the relevant Project documents.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(B.01) Access to Information Policy– OP-102</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(B.02)</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The operation (including associated facilities) is screened and classified according to their potential environmental impacts.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(B.03)</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The Borrower/Executing Agency exhibits weak institutional capacity for managing environmental and social issues.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(B.04)</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An Environmental Assessment is required.</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(B.05)</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 xml:space="preserve">Consultations with affected parties will be performed equitably and inclusively with the views of all </w:t>
                  </w:r>
                  <w:r w:rsidRPr="006222F4">
                    <w:rPr>
                      <w:rFonts w:eastAsia="Times New Roman"/>
                      <w:sz w:val="20"/>
                      <w:szCs w:val="20"/>
                    </w:rPr>
                    <w:lastRenderedPageBreak/>
                    <w:t xml:space="preserve">stakeholders taken into account, including in particular: (a) equal participation of women and men, (b) socio-culturally appropriate participation of indigenous peoples and (c) mechanisms for equitable participation by vulnerable groups. </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lastRenderedPageBreak/>
                    <w:t>(B.06)</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The Bank will monitor the executing agency/borrower’s compliance with all safeguard requirements stipulated in the loan agreement and project operating or credit regulations.</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(B.07)</w:t>
                  </w:r>
                </w:p>
              </w:tc>
            </w:tr>
            <w:tr w:rsidR="00B67B5E" w:rsidRPr="006222F4" w:rsidTr="00926BBF">
              <w:tc>
                <w:tcPr>
                  <w:tcW w:w="1882" w:type="dxa"/>
                  <w:vMerge/>
                  <w:tcBorders>
                    <w:top w:val="single" w:sz="6" w:space="0" w:color="000000"/>
                    <w:left w:val="single" w:sz="6" w:space="0" w:color="000000"/>
                    <w:bottom w:val="single" w:sz="6" w:space="0" w:color="000000"/>
                    <w:right w:val="single" w:sz="6" w:space="0" w:color="000000"/>
                  </w:tcBorders>
                  <w:vAlign w:val="center"/>
                  <w:hideMark/>
                </w:tcPr>
                <w:p w:rsidR="00B67B5E" w:rsidRPr="006222F4" w:rsidRDefault="00B67B5E">
                  <w:pPr>
                    <w:rPr>
                      <w:rFonts w:eastAsia="Times New Roman"/>
                      <w:b/>
                      <w:bCs/>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color w:val="0000FF"/>
                      <w:sz w:val="20"/>
                      <w:szCs w:val="20"/>
                    </w:rPr>
                  </w:pPr>
                  <w:r w:rsidRPr="006222F4">
                    <w:rPr>
                      <w:rFonts w:eastAsia="Times New Roman"/>
                      <w:color w:val="0000FF"/>
                      <w:sz w:val="20"/>
                      <w:szCs w:val="20"/>
                    </w:rPr>
                    <w:t>(B.17)</w:t>
                  </w:r>
                </w:p>
              </w:tc>
            </w:tr>
            <w:tr w:rsidR="00B67B5E" w:rsidRPr="006222F4" w:rsidTr="00926BBF">
              <w:trPr>
                <w:trHeight w:val="564"/>
              </w:trPr>
              <w:tc>
                <w:tcPr>
                  <w:tcW w:w="188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rsidP="00926BBF">
                  <w:pPr>
                    <w:rPr>
                      <w:rFonts w:eastAsia="Times New Roman"/>
                      <w:b/>
                      <w:bCs/>
                      <w:sz w:val="20"/>
                      <w:szCs w:val="20"/>
                    </w:rPr>
                  </w:pPr>
                  <w:r w:rsidRPr="006222F4">
                    <w:rPr>
                      <w:rFonts w:eastAsia="Times New Roman"/>
                      <w:b/>
                      <w:bCs/>
                      <w:sz w:val="20"/>
                      <w:szCs w:val="20"/>
                    </w:rPr>
                    <w:t>Potential Safeguard Policy</w:t>
                  </w:r>
                  <w:r w:rsidRPr="006222F4">
                    <w:rPr>
                      <w:rFonts w:eastAsia="Times New Roman"/>
                      <w:b/>
                      <w:bCs/>
                      <w:sz w:val="20"/>
                      <w:szCs w:val="20"/>
                    </w:rPr>
                    <w:br/>
                  </w:r>
                  <w:proofErr w:type="gramStart"/>
                  <w:r w:rsidRPr="006222F4">
                    <w:rPr>
                      <w:rFonts w:eastAsia="Times New Roman"/>
                      <w:b/>
                      <w:bCs/>
                      <w:sz w:val="20"/>
                      <w:szCs w:val="20"/>
                    </w:rPr>
                    <w:t>Items</w:t>
                  </w:r>
                  <w:r w:rsidRPr="006222F4">
                    <w:rPr>
                      <w:rFonts w:eastAsia="Times New Roman"/>
                      <w:b/>
                      <w:bCs/>
                      <w:color w:val="FF0000"/>
                      <w:sz w:val="20"/>
                      <w:szCs w:val="20"/>
                    </w:rPr>
                    <w:t>(</w:t>
                  </w:r>
                  <w:proofErr w:type="gramEnd"/>
                  <w:r w:rsidRPr="006222F4">
                    <w:rPr>
                      <w:rFonts w:eastAsia="Times New Roman"/>
                      <w:b/>
                      <w:bCs/>
                      <w:color w:val="FF0000"/>
                      <w:sz w:val="20"/>
                      <w:szCs w:val="20"/>
                    </w:rPr>
                    <w:t>?)</w:t>
                  </w:r>
                </w:p>
              </w:tc>
              <w:tc>
                <w:tcPr>
                  <w:tcW w:w="459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B67B5E" w:rsidRPr="006222F4" w:rsidRDefault="00B57D15" w:rsidP="007E79EF">
                  <w:pPr>
                    <w:rPr>
                      <w:rFonts w:eastAsia="Times New Roman"/>
                      <w:sz w:val="20"/>
                      <w:szCs w:val="20"/>
                    </w:rPr>
                  </w:pPr>
                  <w:r w:rsidRPr="006222F4">
                    <w:rPr>
                      <w:rFonts w:eastAsia="Times New Roman"/>
                      <w:sz w:val="20"/>
                      <w:szCs w:val="20"/>
                    </w:rPr>
                    <w:t>No potential issues identified</w:t>
                  </w:r>
                </w:p>
              </w:tc>
              <w:tc>
                <w:tcPr>
                  <w:tcW w:w="215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67B5E" w:rsidP="00926BBF">
                  <w:pPr>
                    <w:rPr>
                      <w:rFonts w:eastAsia="Times New Roman"/>
                      <w:sz w:val="20"/>
                      <w:szCs w:val="20"/>
                    </w:rPr>
                  </w:pPr>
                </w:p>
              </w:tc>
            </w:tr>
            <w:tr w:rsidR="00B67B5E" w:rsidRPr="006222F4" w:rsidTr="00926BBF">
              <w:tc>
                <w:tcPr>
                  <w:tcW w:w="188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Recommended Action:</w:t>
                  </w:r>
                </w:p>
              </w:tc>
              <w:tc>
                <w:tcPr>
                  <w:tcW w:w="674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rsidP="006222F4">
                  <w:pPr>
                    <w:spacing w:after="240"/>
                    <w:rPr>
                      <w:rFonts w:eastAsia="Times New Roman"/>
                      <w:sz w:val="20"/>
                      <w:szCs w:val="20"/>
                    </w:rPr>
                  </w:pPr>
                  <w:r w:rsidRPr="006222F4">
                    <w:rPr>
                      <w:rFonts w:eastAsia="Times New Roman"/>
                      <w:sz w:val="20"/>
                      <w:szCs w:val="20"/>
                    </w:rPr>
                    <w:t>Operation has triggered 1 or more Policy Directives; please refer to appropriate Directive(s). Complete Project Classification Tool. Submit Safeguard Policy Filter Report, PP (or equivalent) and Safeguard Screening Form to ESR.</w:t>
                  </w:r>
                  <w:r w:rsidRPr="006222F4">
                    <w:rPr>
                      <w:rFonts w:eastAsia="Times New Roman"/>
                      <w:sz w:val="20"/>
                      <w:szCs w:val="20"/>
                    </w:rPr>
                    <w:br/>
                  </w:r>
                  <w:r w:rsidRPr="006222F4">
                    <w:rPr>
                      <w:rFonts w:eastAsia="Times New Roman"/>
                      <w:sz w:val="20"/>
                      <w:szCs w:val="20"/>
                    </w:rPr>
                    <w:br/>
                    <w:t>The project triggered the Disaster Risk Management policy (OP-704). A Disaster Risk Assessment (DRA) may be required (see Directive A-2 of the DRM Policy OP-704) in case of high risk, a limited DRA in case of moderate risk. Next, please complete a Disaster Risk Classification alo</w:t>
                  </w:r>
                  <w:r w:rsidR="006222F4">
                    <w:rPr>
                      <w:rFonts w:eastAsia="Times New Roman"/>
                      <w:sz w:val="20"/>
                      <w:szCs w:val="20"/>
                    </w:rPr>
                    <w:t xml:space="preserve">ng with Impact Classification. </w:t>
                  </w:r>
                </w:p>
              </w:tc>
            </w:tr>
            <w:tr w:rsidR="00B67B5E" w:rsidRPr="006222F4" w:rsidTr="00926BBF">
              <w:trPr>
                <w:trHeight w:val="474"/>
              </w:trPr>
              <w:tc>
                <w:tcPr>
                  <w:tcW w:w="188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Additional Comments:</w:t>
                  </w:r>
                </w:p>
              </w:tc>
              <w:tc>
                <w:tcPr>
                  <w:tcW w:w="674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67B5E">
                  <w:pPr>
                    <w:rPr>
                      <w:rFonts w:eastAsia="Times New Roman"/>
                      <w:sz w:val="20"/>
                      <w:szCs w:val="20"/>
                    </w:rPr>
                  </w:pPr>
                </w:p>
              </w:tc>
            </w:tr>
          </w:tbl>
          <w:p w:rsidR="00B67B5E" w:rsidRPr="006222F4" w:rsidRDefault="00B67B5E">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3"/>
              <w:gridCol w:w="4491"/>
            </w:tblGrid>
            <w:tr w:rsidR="00B67B5E" w:rsidRPr="006222F4" w:rsidTr="00EC189C">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B67B5E" w:rsidRPr="006222F4" w:rsidRDefault="006222F4">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Assessor Details</w:t>
                  </w:r>
                </w:p>
              </w:tc>
            </w:tr>
            <w:tr w:rsidR="00B67B5E" w:rsidRPr="00B3537B" w:rsidTr="00EC189C">
              <w:trPr>
                <w:trHeight w:val="300"/>
              </w:trPr>
              <w:tc>
                <w:tcPr>
                  <w:tcW w:w="239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b/>
                      <w:bCs/>
                      <w:sz w:val="20"/>
                      <w:szCs w:val="20"/>
                    </w:rPr>
                  </w:pPr>
                  <w:r w:rsidRPr="006222F4">
                    <w:rPr>
                      <w:rFonts w:eastAsia="Times New Roman"/>
                      <w:b/>
                      <w:bCs/>
                      <w:sz w:val="20"/>
                      <w:szCs w:val="20"/>
                    </w:rPr>
                    <w:t>Name of person who completed screening:</w:t>
                  </w:r>
                </w:p>
              </w:tc>
              <w:tc>
                <w:tcPr>
                  <w:tcW w:w="260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lang w:val="es-ES_tradnl"/>
                    </w:rPr>
                  </w:pPr>
                  <w:r w:rsidRPr="006222F4">
                    <w:rPr>
                      <w:rFonts w:eastAsia="Times New Roman"/>
                      <w:sz w:val="20"/>
                      <w:szCs w:val="20"/>
                      <w:lang w:val="es-ES_tradnl"/>
                    </w:rPr>
                    <w:t>Paez Zamora, Juan Carlos (</w:t>
                  </w:r>
                  <w:r w:rsidR="00EC189C" w:rsidRPr="006222F4">
                    <w:rPr>
                      <w:rFonts w:eastAsia="Times New Roman"/>
                      <w:sz w:val="20"/>
                      <w:szCs w:val="20"/>
                      <w:lang w:val="es-ES_tradnl"/>
                    </w:rPr>
                    <w:t>juancarlosp</w:t>
                  </w:r>
                  <w:r w:rsidRPr="006222F4">
                    <w:rPr>
                      <w:rFonts w:eastAsia="Times New Roman"/>
                      <w:sz w:val="20"/>
                      <w:szCs w:val="20"/>
                      <w:lang w:val="es-ES_tradnl"/>
                    </w:rPr>
                    <w:t>@iadb.org)</w:t>
                  </w:r>
                </w:p>
              </w:tc>
            </w:tr>
            <w:tr w:rsidR="00B67B5E" w:rsidRPr="006222F4" w:rsidTr="00EC189C">
              <w:trPr>
                <w:trHeight w:val="300"/>
              </w:trPr>
              <w:tc>
                <w:tcPr>
                  <w:tcW w:w="239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Title:</w:t>
                  </w:r>
                </w:p>
              </w:tc>
              <w:tc>
                <w:tcPr>
                  <w:tcW w:w="260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Environmental Specialist</w:t>
                  </w:r>
                </w:p>
              </w:tc>
            </w:tr>
            <w:tr w:rsidR="00B67B5E" w:rsidRPr="006222F4" w:rsidTr="00EC189C">
              <w:trPr>
                <w:trHeight w:val="300"/>
              </w:trPr>
              <w:tc>
                <w:tcPr>
                  <w:tcW w:w="2396"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B67B5E" w:rsidRPr="006222F4" w:rsidRDefault="00B57D15">
                  <w:pPr>
                    <w:rPr>
                      <w:rFonts w:eastAsia="Times New Roman"/>
                      <w:b/>
                      <w:bCs/>
                      <w:sz w:val="20"/>
                      <w:szCs w:val="20"/>
                    </w:rPr>
                  </w:pPr>
                  <w:r w:rsidRPr="006222F4">
                    <w:rPr>
                      <w:rFonts w:eastAsia="Times New Roman"/>
                      <w:b/>
                      <w:bCs/>
                      <w:sz w:val="20"/>
                      <w:szCs w:val="20"/>
                    </w:rPr>
                    <w:t>Date:</w:t>
                  </w:r>
                </w:p>
              </w:tc>
              <w:tc>
                <w:tcPr>
                  <w:tcW w:w="2604"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B67B5E" w:rsidRPr="006222F4" w:rsidRDefault="00B57D15">
                  <w:pPr>
                    <w:rPr>
                      <w:rFonts w:eastAsia="Times New Roman"/>
                      <w:sz w:val="20"/>
                      <w:szCs w:val="20"/>
                    </w:rPr>
                  </w:pPr>
                  <w:r w:rsidRPr="006222F4">
                    <w:rPr>
                      <w:rFonts w:eastAsia="Times New Roman"/>
                      <w:sz w:val="20"/>
                      <w:szCs w:val="20"/>
                    </w:rPr>
                    <w:t>2014-05-01</w:t>
                  </w:r>
                </w:p>
              </w:tc>
            </w:tr>
          </w:tbl>
          <w:p w:rsidR="00B67B5E" w:rsidRPr="006222F4" w:rsidRDefault="00B67B5E">
            <w:pPr>
              <w:rPr>
                <w:rFonts w:eastAsia="Times New Roman"/>
                <w:sz w:val="20"/>
                <w:szCs w:val="20"/>
              </w:rPr>
            </w:pPr>
          </w:p>
        </w:tc>
      </w:tr>
    </w:tbl>
    <w:p w:rsidR="006222F4" w:rsidRDefault="006222F4">
      <w:r>
        <w:lastRenderedPageBreak/>
        <w:br w:type="page"/>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950"/>
      </w:tblGrid>
      <w:tr w:rsidR="006222F4" w:rsidRPr="006222F4" w:rsidTr="002401B8">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6222F4" w:rsidRPr="006222F4" w:rsidRDefault="006222F4" w:rsidP="00EC189C">
            <w:pPr>
              <w:spacing w:after="120"/>
              <w:jc w:val="center"/>
              <w:rPr>
                <w:rFonts w:ascii="Times New Roman Bold" w:eastAsia="Times New Roman" w:hAnsi="Times New Roman Bold"/>
                <w:smallCaps/>
                <w:szCs w:val="20"/>
              </w:rPr>
            </w:pPr>
            <w:r w:rsidRPr="006222F4">
              <w:rPr>
                <w:sz w:val="20"/>
                <w:szCs w:val="20"/>
              </w:rPr>
              <w:lastRenderedPageBreak/>
              <w:br w:type="page"/>
            </w:r>
            <w:r w:rsidRPr="006222F4">
              <w:rPr>
                <w:rFonts w:ascii="Times New Roman Bold" w:eastAsia="Times New Roman" w:hAnsi="Times New Roman Bold"/>
                <w:b/>
                <w:bCs/>
                <w:smallCaps/>
                <w:szCs w:val="20"/>
              </w:rPr>
              <w:t>Safeguard Screening Form</w:t>
            </w:r>
          </w:p>
          <w:tbl>
            <w:tblPr>
              <w:tblW w:w="5000" w:type="pct"/>
              <w:tblBorders>
                <w:top w:val="single" w:sz="6" w:space="0" w:color="808080"/>
                <w:left w:val="single" w:sz="6" w:space="0" w:color="808080"/>
                <w:right w:val="single" w:sz="6" w:space="0" w:color="808080"/>
              </w:tblBorders>
              <w:tblCellMar>
                <w:left w:w="0" w:type="dxa"/>
                <w:right w:w="0" w:type="dxa"/>
              </w:tblCellMar>
              <w:tblLook w:val="04A0" w:firstRow="1" w:lastRow="0" w:firstColumn="1" w:lastColumn="0" w:noHBand="0" w:noVBand="1"/>
            </w:tblPr>
            <w:tblGrid>
              <w:gridCol w:w="3772"/>
              <w:gridCol w:w="4952"/>
            </w:tblGrid>
            <w:tr w:rsidR="006222F4" w:rsidRPr="006222F4" w:rsidTr="002401B8">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Project Details</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IDB Sector</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Transport-Rural Roads</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Type of Operation</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Investment Loan</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Additional Operation Details</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Country</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Paraguay</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Project Status</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Investment Checklist</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Infrastructure Road and Rail</w:t>
                  </w:r>
                </w:p>
              </w:tc>
            </w:tr>
            <w:tr w:rsidR="006222F4" w:rsidRPr="00C82000"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Team Leader</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lang w:val="pt-BR"/>
                    </w:rPr>
                  </w:pPr>
                  <w:r w:rsidRPr="006222F4">
                    <w:rPr>
                      <w:rFonts w:eastAsia="Times New Roman"/>
                      <w:sz w:val="20"/>
                      <w:szCs w:val="20"/>
                      <w:lang w:val="pt-BR"/>
                    </w:rPr>
                    <w:t>Vicentini, Vera Lucia (veraluciav@iadb.org</w:t>
                  </w:r>
                  <w:proofErr w:type="gramStart"/>
                  <w:r w:rsidRPr="006222F4">
                    <w:rPr>
                      <w:rFonts w:eastAsia="Times New Roman"/>
                      <w:sz w:val="20"/>
                      <w:szCs w:val="20"/>
                      <w:lang w:val="pt-BR"/>
                    </w:rPr>
                    <w:t>)</w:t>
                  </w:r>
                  <w:proofErr w:type="gramEnd"/>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Project Title</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Rural Roads Program</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Project Number</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PR-L1084</w:t>
                  </w:r>
                </w:p>
              </w:tc>
            </w:tr>
            <w:tr w:rsidR="006222F4" w:rsidRPr="00B3537B"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Safeguard Screening Assessor(s)</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lang w:val="es-ES_tradnl"/>
                    </w:rPr>
                  </w:pPr>
                  <w:r w:rsidRPr="006222F4">
                    <w:rPr>
                      <w:rFonts w:eastAsia="Times New Roman"/>
                      <w:sz w:val="20"/>
                      <w:szCs w:val="20"/>
                      <w:lang w:val="es-ES_tradnl"/>
                    </w:rPr>
                    <w:t>Paez Zamora, Juan Carlos (juancarlosp@iadb.org)</w:t>
                  </w:r>
                </w:p>
              </w:tc>
            </w:tr>
            <w:tr w:rsidR="006222F4" w:rsidRPr="006222F4" w:rsidTr="00926BBF">
              <w:tc>
                <w:tcPr>
                  <w:tcW w:w="216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Assessment Date</w:t>
                  </w:r>
                </w:p>
              </w:tc>
              <w:tc>
                <w:tcPr>
                  <w:tcW w:w="28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2014-05-01</w:t>
                  </w:r>
                </w:p>
              </w:tc>
            </w:tr>
          </w:tbl>
          <w:p w:rsidR="006222F4" w:rsidRPr="006222F4" w:rsidRDefault="006222F4" w:rsidP="002401B8">
            <w:pPr>
              <w:spacing w:after="240"/>
              <w:rPr>
                <w:rFonts w:eastAsia="Times New Roman"/>
                <w:sz w:val="2"/>
                <w:szCs w:val="2"/>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2"/>
              <w:gridCol w:w="1938"/>
              <w:gridCol w:w="4994"/>
            </w:tblGrid>
            <w:tr w:rsidR="006222F4" w:rsidRPr="006222F4" w:rsidTr="002401B8">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Project Classification Summary</w:t>
                  </w:r>
                </w:p>
              </w:tc>
            </w:tr>
            <w:tr w:rsidR="006222F4" w:rsidRPr="006222F4" w:rsidTr="00926BBF">
              <w:trPr>
                <w:trHeight w:val="186"/>
              </w:trPr>
              <w:tc>
                <w:tcPr>
                  <w:tcW w:w="179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Project Category:</w:t>
                  </w:r>
                  <w:r w:rsidRPr="006222F4">
                    <w:rPr>
                      <w:rFonts w:eastAsia="Times New Roman"/>
                      <w:b/>
                      <w:bCs/>
                      <w:sz w:val="20"/>
                      <w:szCs w:val="20"/>
                    </w:rPr>
                    <w:br/>
                  </w:r>
                  <w:r w:rsidRPr="006222F4">
                    <w:rPr>
                      <w:rFonts w:eastAsia="Times New Roman"/>
                      <w:sz w:val="20"/>
                      <w:szCs w:val="20"/>
                    </w:rPr>
                    <w:t>B</w:t>
                  </w:r>
                </w:p>
              </w:tc>
              <w:tc>
                <w:tcPr>
                  <w:tcW w:w="1938"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Override Rating:</w:t>
                  </w:r>
                </w:p>
              </w:tc>
              <w:tc>
                <w:tcPr>
                  <w:tcW w:w="499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Override Justification:</w:t>
                  </w:r>
                </w:p>
              </w:tc>
            </w:tr>
            <w:tr w:rsidR="006222F4" w:rsidRPr="006222F4" w:rsidTr="00926BBF">
              <w:trPr>
                <w:trHeight w:val="177"/>
              </w:trPr>
              <w:tc>
                <w:tcPr>
                  <w:tcW w:w="1792" w:type="dxa"/>
                  <w:vMerge/>
                  <w:tcBorders>
                    <w:top w:val="single" w:sz="6" w:space="0" w:color="000000"/>
                    <w:left w:val="single" w:sz="6" w:space="0" w:color="000000"/>
                    <w:bottom w:val="single" w:sz="6" w:space="0" w:color="000000"/>
                    <w:right w:val="single" w:sz="6" w:space="0" w:color="000000"/>
                  </w:tcBorders>
                  <w:vAlign w:val="center"/>
                  <w:hideMark/>
                </w:tcPr>
                <w:p w:rsidR="006222F4" w:rsidRPr="006222F4" w:rsidRDefault="006222F4" w:rsidP="002401B8">
                  <w:pPr>
                    <w:rPr>
                      <w:rFonts w:eastAsia="Times New Roman"/>
                      <w:b/>
                      <w:bCs/>
                      <w:sz w:val="20"/>
                      <w:szCs w:val="20"/>
                    </w:rPr>
                  </w:pPr>
                </w:p>
              </w:tc>
              <w:tc>
                <w:tcPr>
                  <w:tcW w:w="1938" w:type="dxa"/>
                  <w:vMerge/>
                  <w:tcBorders>
                    <w:top w:val="single" w:sz="6" w:space="0" w:color="000000"/>
                    <w:left w:val="single" w:sz="6" w:space="0" w:color="000000"/>
                    <w:bottom w:val="single" w:sz="6" w:space="0" w:color="000000"/>
                    <w:right w:val="single" w:sz="6" w:space="0" w:color="000000"/>
                  </w:tcBorders>
                  <w:vAlign w:val="center"/>
                  <w:hideMark/>
                </w:tcPr>
                <w:p w:rsidR="006222F4" w:rsidRPr="006222F4" w:rsidRDefault="006222F4" w:rsidP="002401B8">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Comments:</w:t>
                  </w:r>
                </w:p>
              </w:tc>
            </w:tr>
            <w:tr w:rsidR="006222F4" w:rsidRPr="006222F4" w:rsidTr="00926BBF">
              <w:tc>
                <w:tcPr>
                  <w:tcW w:w="17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b/>
                      <w:bCs/>
                      <w:sz w:val="20"/>
                      <w:szCs w:val="20"/>
                    </w:rPr>
                  </w:pPr>
                  <w:r w:rsidRPr="006222F4">
                    <w:rPr>
                      <w:rFonts w:eastAsia="Times New Roman"/>
                      <w:b/>
                      <w:bCs/>
                      <w:sz w:val="20"/>
                      <w:szCs w:val="20"/>
                    </w:rPr>
                    <w:t>Conditions/</w:t>
                  </w:r>
                  <w:r w:rsidRPr="006222F4">
                    <w:rPr>
                      <w:rFonts w:eastAsia="Times New Roman"/>
                      <w:b/>
                      <w:bCs/>
                      <w:sz w:val="20"/>
                      <w:szCs w:val="20"/>
                    </w:rPr>
                    <w:br/>
                    <w:t>Recommendations</w:t>
                  </w:r>
                </w:p>
              </w:tc>
              <w:tc>
                <w:tcPr>
                  <w:tcW w:w="693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926BBF">
                  <w:pPr>
                    <w:spacing w:before="60" w:after="60"/>
                    <w:rPr>
                      <w:rFonts w:eastAsia="Times New Roman"/>
                      <w:sz w:val="20"/>
                      <w:szCs w:val="20"/>
                    </w:rPr>
                  </w:pPr>
                  <w:r w:rsidRPr="006222F4">
                    <w:rPr>
                      <w:rFonts w:eastAsia="Times New Roman"/>
                      <w:sz w:val="20"/>
                      <w:szCs w:val="20"/>
                    </w:rPr>
                    <w:t>Category "B" operations require an environmental analysis (see Environment Policy Guideline: Directive B.5 for Environmental Analysis requirements).</w:t>
                  </w:r>
                </w:p>
                <w:p w:rsidR="006222F4" w:rsidRPr="006222F4" w:rsidRDefault="006222F4" w:rsidP="00926BBF">
                  <w:pPr>
                    <w:spacing w:before="60" w:after="60"/>
                    <w:rPr>
                      <w:rFonts w:eastAsia="Times New Roman"/>
                      <w:sz w:val="20"/>
                      <w:szCs w:val="20"/>
                    </w:rPr>
                  </w:pPr>
                  <w:r w:rsidRPr="006222F4">
                    <w:rPr>
                      <w:rFonts w:eastAsia="Times New Roman"/>
                      <w:sz w:val="20"/>
                      <w:szCs w:val="20"/>
                    </w:rPr>
                    <w:t>The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6222F4" w:rsidRPr="006222F4" w:rsidRDefault="006222F4" w:rsidP="00926BBF">
                  <w:pPr>
                    <w:spacing w:before="60" w:after="60"/>
                    <w:rPr>
                      <w:rFonts w:eastAsia="Times New Roman"/>
                      <w:sz w:val="20"/>
                      <w:szCs w:val="20"/>
                    </w:rPr>
                  </w:pPr>
                  <w:r w:rsidRPr="006222F4">
                    <w:rPr>
                      <w:rFonts w:eastAsia="Times New Roman"/>
                      <w:sz w:val="20"/>
                      <w:szCs w:val="20"/>
                    </w:rPr>
                    <w:t>These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bl>
          <w:p w:rsidR="006222F4" w:rsidRPr="006222F4" w:rsidRDefault="006222F4" w:rsidP="002401B8">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2"/>
              <w:gridCol w:w="6932"/>
            </w:tblGrid>
            <w:tr w:rsidR="006222F4" w:rsidRPr="006222F4" w:rsidTr="002401B8">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Summary Of Impacts/Risks And Potential Solutions</w:t>
                  </w:r>
                </w:p>
              </w:tc>
            </w:tr>
            <w:tr w:rsidR="00926BBF" w:rsidRPr="006222F4" w:rsidTr="007E79EF">
              <w:trPr>
                <w:trHeight w:val="573"/>
              </w:trPr>
              <w:tc>
                <w:tcPr>
                  <w:tcW w:w="102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Identified Impacts/Risks</w:t>
                  </w:r>
                </w:p>
              </w:tc>
              <w:tc>
                <w:tcPr>
                  <w:tcW w:w="397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Potential Solutions</w:t>
                  </w:r>
                </w:p>
              </w:tc>
            </w:tr>
            <w:tr w:rsidR="00926BBF" w:rsidRPr="006222F4" w:rsidTr="00926BBF">
              <w:tc>
                <w:tcPr>
                  <w:tcW w:w="102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Likely to have minor to moderate emission or discharges that would negatively affect ambient environmental conditions.</w:t>
                  </w:r>
                </w:p>
              </w:tc>
              <w:tc>
                <w:tcPr>
                  <w:tcW w:w="397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Default="006222F4" w:rsidP="002401B8">
                  <w:pPr>
                    <w:rPr>
                      <w:rFonts w:eastAsia="Times New Roman"/>
                      <w:sz w:val="20"/>
                      <w:szCs w:val="20"/>
                    </w:rPr>
                  </w:pPr>
                  <w:r w:rsidRPr="006222F4">
                    <w:rPr>
                      <w:rFonts w:eastAsia="Times New Roman"/>
                      <w:b/>
                      <w:bCs/>
                      <w:sz w:val="20"/>
                      <w:szCs w:val="20"/>
                    </w:rPr>
                    <w:t>Management of Ambient Environmental Conditions:</w:t>
                  </w:r>
                  <w:r w:rsidRPr="006222F4">
                    <w:rPr>
                      <w:rFonts w:eastAsia="Times New Roman"/>
                      <w:sz w:val="20"/>
                      <w:szCs w:val="20"/>
                    </w:rPr>
                    <w:t xml:space="preserve"> The borrower should be required to prepare an action plan (and include it in the ESMP) that indicates how risks and impacts to ambient environmental conditions can be managed and mitigated consistent with relevant national and/or international standards. The borrower should (a) consider a number of factors, including the finite assimilative capacity of the environment, existing and future land use, existing ambient conditions, the project's proximity to ecologically sensitive or protected areas, and the potential for cumulative impacts with uncertain and irreversible consequences; and (b) promote strategies that avoid or, where avoidance is not feasible, minimize or reduce the release of pollutants, including strategies that contribute to the improvement of ambient conditions when the project has the potential to constitute a significant source of emissions in an already degraded area. The plan should be subject to review by qualified independent experts. Depending on the financial product, this information should be referenced in appropriate legal documentation (covenants, conditions of disbursement, etc.).</w:t>
                  </w:r>
                </w:p>
                <w:p w:rsidR="00926BBF" w:rsidRDefault="00926BBF" w:rsidP="002401B8">
                  <w:pPr>
                    <w:rPr>
                      <w:rFonts w:eastAsia="Times New Roman"/>
                      <w:sz w:val="20"/>
                      <w:szCs w:val="20"/>
                    </w:rPr>
                  </w:pPr>
                </w:p>
                <w:p w:rsidR="00EC189C" w:rsidRPr="006222F4" w:rsidRDefault="00EC189C" w:rsidP="002401B8">
                  <w:pPr>
                    <w:rPr>
                      <w:rFonts w:eastAsia="Times New Roman"/>
                      <w:sz w:val="20"/>
                      <w:szCs w:val="20"/>
                    </w:rPr>
                  </w:pPr>
                </w:p>
              </w:tc>
            </w:tr>
            <w:tr w:rsidR="00926BBF" w:rsidRPr="006222F4" w:rsidTr="00926BBF">
              <w:tc>
                <w:tcPr>
                  <w:tcW w:w="102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lastRenderedPageBreak/>
                    <w:t>The project has or will have minor negative impacts on Indigenous Peoples.</w:t>
                  </w:r>
                </w:p>
              </w:tc>
              <w:tc>
                <w:tcPr>
                  <w:tcW w:w="397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b/>
                      <w:bCs/>
                      <w:sz w:val="20"/>
                      <w:szCs w:val="20"/>
                    </w:rPr>
                    <w:t>Mitigation Framework:</w:t>
                  </w:r>
                  <w:r w:rsidRPr="006222F4">
                    <w:rPr>
                      <w:rFonts w:eastAsia="Times New Roman"/>
                      <w:sz w:val="20"/>
                      <w:szCs w:val="20"/>
                    </w:rPr>
                    <w:t xml:space="preserve"> Include specific mitigation measures as needed in consultation with affected IPs. Consult with Indigenous Peoples specialist. Incorporate measures in legal documentation (covenants, conditions of disbursement, etc.). Include mitigation measures as part of overall environmental and social management plans or provisions.</w:t>
                  </w:r>
                </w:p>
              </w:tc>
            </w:tr>
          </w:tbl>
          <w:p w:rsidR="006222F4" w:rsidRPr="006222F4" w:rsidRDefault="006222F4" w:rsidP="002401B8">
            <w:pPr>
              <w:spacing w:after="240"/>
              <w:rPr>
                <w:rFonts w:eastAsia="Times New Roman"/>
                <w:sz w:val="2"/>
                <w:szCs w:val="2"/>
              </w:rPr>
            </w:pPr>
          </w:p>
          <w:tbl>
            <w:tblPr>
              <w:tblW w:w="87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2"/>
              <w:gridCol w:w="6932"/>
            </w:tblGrid>
            <w:tr w:rsidR="006222F4" w:rsidRPr="006222F4" w:rsidTr="00EC189C">
              <w:trPr>
                <w:trHeight w:val="22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Disaster Risk Summary</w:t>
                  </w:r>
                </w:p>
              </w:tc>
            </w:tr>
            <w:tr w:rsidR="006222F4" w:rsidRPr="006222F4" w:rsidTr="00EC189C">
              <w:trPr>
                <w:trHeight w:val="224"/>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 xml:space="preserve">Disaster Risk Category: </w:t>
                  </w:r>
                  <w:r w:rsidRPr="006222F4">
                    <w:rPr>
                      <w:rFonts w:eastAsia="Times New Roman"/>
                      <w:sz w:val="20"/>
                      <w:szCs w:val="20"/>
                    </w:rPr>
                    <w:t>Moderate</w:t>
                  </w:r>
                </w:p>
              </w:tc>
            </w:tr>
            <w:tr w:rsidR="006222F4" w:rsidRPr="006222F4" w:rsidTr="00B3537B">
              <w:trPr>
                <w:trHeight w:val="6315"/>
              </w:trPr>
              <w:tc>
                <w:tcPr>
                  <w:tcW w:w="102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Disaster/</w:t>
                  </w:r>
                  <w:r w:rsidRPr="006222F4">
                    <w:rPr>
                      <w:rFonts w:eastAsia="Times New Roman"/>
                      <w:b/>
                      <w:bCs/>
                      <w:sz w:val="20"/>
                      <w:szCs w:val="20"/>
                    </w:rPr>
                    <w:br/>
                    <w:t>Recommendations</w:t>
                  </w:r>
                </w:p>
              </w:tc>
              <w:tc>
                <w:tcPr>
                  <w:tcW w:w="397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EC189C">
                  <w:pPr>
                    <w:numPr>
                      <w:ilvl w:val="0"/>
                      <w:numId w:val="1"/>
                    </w:numPr>
                    <w:tabs>
                      <w:tab w:val="clear" w:pos="720"/>
                    </w:tabs>
                    <w:ind w:left="259" w:hanging="187"/>
                    <w:rPr>
                      <w:rFonts w:eastAsia="Times New Roman"/>
                      <w:sz w:val="20"/>
                      <w:szCs w:val="20"/>
                    </w:rPr>
                  </w:pPr>
                  <w:r w:rsidRPr="006222F4">
                    <w:rPr>
                      <w:rFonts w:eastAsia="Times New Roman"/>
                      <w:sz w:val="20"/>
                      <w:szCs w:val="20"/>
                    </w:rPr>
                    <w:t>The reports of the Safeguard Screening Form (i.e., of the Safeguards Policy Filter and the Safeguard Classification) constitute the Disaster Risk Profile to be included in the Environmental and Social Strategy (ESS). The Project Team must send the PP (or equivalent) containing the ESS to the ESR.</w:t>
                  </w:r>
                </w:p>
                <w:p w:rsidR="006222F4" w:rsidRPr="006222F4" w:rsidRDefault="006222F4" w:rsidP="00EC189C">
                  <w:pPr>
                    <w:numPr>
                      <w:ilvl w:val="0"/>
                      <w:numId w:val="1"/>
                    </w:numPr>
                    <w:tabs>
                      <w:tab w:val="clear" w:pos="720"/>
                    </w:tabs>
                    <w:spacing w:before="100" w:beforeAutospacing="1" w:after="100" w:afterAutospacing="1"/>
                    <w:ind w:left="255" w:hanging="180"/>
                    <w:rPr>
                      <w:rFonts w:eastAsia="Times New Roman"/>
                      <w:sz w:val="20"/>
                      <w:szCs w:val="20"/>
                    </w:rPr>
                  </w:pPr>
                  <w:r w:rsidRPr="006222F4">
                    <w:rPr>
                      <w:rFonts w:eastAsia="Times New Roman"/>
                      <w:sz w:val="20"/>
                      <w:szCs w:val="20"/>
                    </w:rPr>
                    <w:t>The Borrower prepares a Disaster Risk Management Summary, based on pertinent information, focusing on the specific moderate disaster and climate risks associated with the project and the proposed risk management measures. Operations classified to involve moderate disaster risk do not require a full Disaster Risk Assessment (see Directive A-2 of the DRM Policy OP-704).</w:t>
                  </w:r>
                </w:p>
                <w:p w:rsidR="006222F4" w:rsidRPr="006222F4" w:rsidRDefault="006222F4" w:rsidP="00EC189C">
                  <w:pPr>
                    <w:numPr>
                      <w:ilvl w:val="0"/>
                      <w:numId w:val="1"/>
                    </w:numPr>
                    <w:tabs>
                      <w:tab w:val="clear" w:pos="720"/>
                    </w:tabs>
                    <w:spacing w:before="100" w:beforeAutospacing="1" w:after="100" w:afterAutospacing="1"/>
                    <w:ind w:left="255" w:hanging="180"/>
                    <w:rPr>
                      <w:rFonts w:eastAsia="Times New Roman"/>
                      <w:sz w:val="20"/>
                      <w:szCs w:val="20"/>
                    </w:rPr>
                  </w:pPr>
                  <w:r w:rsidRPr="006222F4">
                    <w:rPr>
                      <w:rFonts w:eastAsia="Times New Roman"/>
                      <w:sz w:val="20"/>
                      <w:szCs w:val="20"/>
                    </w:rPr>
                    <w:t>The Project Team examines and adopts the DRM summary. The team remits the project risk reduction proposals from the DRMP to the engineering review by the sector expert or the independent engineer during project analysis or due diligence, and the financial protection proposals to the insurance review (if this is performed). The potential exacerbation of risks for the environment and population and the proposed risk preparedness or mitigation measures are included in the Environmental and Social Management Report (ESMR), and are reviewed by the ESG expert or environmental consultant. The results of these analyses are reflected in the general risk analysis for the project. Regarding the project implementation, monitoring and evaluation phases, the project team identifies and supervises the DRM approaches being applied by the project executing agency.</w:t>
                  </w:r>
                </w:p>
                <w:p w:rsidR="006222F4" w:rsidRPr="006222F4" w:rsidRDefault="006222F4" w:rsidP="00EC189C">
                  <w:pPr>
                    <w:numPr>
                      <w:ilvl w:val="0"/>
                      <w:numId w:val="1"/>
                    </w:numPr>
                    <w:tabs>
                      <w:tab w:val="clear" w:pos="720"/>
                    </w:tabs>
                    <w:spacing w:before="100" w:beforeAutospacing="1" w:after="100" w:afterAutospacing="1"/>
                    <w:ind w:left="255" w:hanging="180"/>
                    <w:rPr>
                      <w:rFonts w:eastAsia="Times New Roman"/>
                      <w:sz w:val="20"/>
                      <w:szCs w:val="20"/>
                    </w:rPr>
                  </w:pPr>
                  <w:r w:rsidRPr="006222F4">
                    <w:rPr>
                      <w:rFonts w:eastAsia="Times New Roman"/>
                      <w:sz w:val="20"/>
                      <w:szCs w:val="20"/>
                    </w:rPr>
                    <w:t>Climate change adaptation specialists in INE/CCS may be consulted for information regarding the influence of climate change on existing and new natural hazard risks. If the project requires modification or adjustments to increase its resilience to climate change, consider (i) the possibility of classification as an adaptation project and (ii) additional financing options. Please consult the INE/CCS adaptation group for guidance.</w:t>
                  </w:r>
                </w:p>
              </w:tc>
            </w:tr>
          </w:tbl>
          <w:p w:rsidR="006222F4" w:rsidRPr="006222F4" w:rsidRDefault="006222F4" w:rsidP="002401B8">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4"/>
              <w:gridCol w:w="6820"/>
            </w:tblGrid>
            <w:tr w:rsidR="006222F4" w:rsidRPr="006222F4" w:rsidTr="002401B8">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Summary Of Disaster Impacts/Risks And Potential Solutions</w:t>
                  </w:r>
                </w:p>
              </w:tc>
            </w:tr>
            <w:tr w:rsidR="006222F4" w:rsidRPr="006222F4" w:rsidTr="00EC189C">
              <w:tc>
                <w:tcPr>
                  <w:tcW w:w="1091"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Identified Impacts/Risks</w:t>
                  </w:r>
                </w:p>
              </w:tc>
              <w:tc>
                <w:tcPr>
                  <w:tcW w:w="3909"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Potential Solutions</w:t>
                  </w:r>
                </w:p>
              </w:tc>
            </w:tr>
            <w:tr w:rsidR="006222F4" w:rsidRPr="006222F4" w:rsidTr="00EC189C">
              <w:tc>
                <w:tcPr>
                  <w:tcW w:w="1091"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 xml:space="preserve">Area </w:t>
                  </w:r>
                  <w:hyperlink r:id="rId8" w:history="1">
                    <w:r w:rsidRPr="006222F4">
                      <w:rPr>
                        <w:rStyle w:val="Hyperlink"/>
                        <w:rFonts w:eastAsia="Times New Roman"/>
                        <w:sz w:val="20"/>
                        <w:szCs w:val="20"/>
                      </w:rPr>
                      <w:t xml:space="preserve">flooding </w:t>
                    </w:r>
                  </w:hyperlink>
                  <w:r w:rsidRPr="006222F4">
                    <w:rPr>
                      <w:rFonts w:eastAsia="Times New Roman"/>
                      <w:sz w:val="20"/>
                      <w:szCs w:val="20"/>
                    </w:rPr>
                    <w:t xml:space="preserve">from sustained </w:t>
                  </w:r>
                  <w:hyperlink r:id="rId9" w:history="1">
                    <w:r w:rsidRPr="006222F4">
                      <w:rPr>
                        <w:rStyle w:val="Hyperlink"/>
                        <w:rFonts w:eastAsia="Times New Roman"/>
                        <w:sz w:val="20"/>
                        <w:szCs w:val="20"/>
                      </w:rPr>
                      <w:t>rainfall</w:t>
                    </w:r>
                  </w:hyperlink>
                  <w:r w:rsidRPr="006222F4">
                    <w:rPr>
                      <w:rFonts w:eastAsia="Times New Roman"/>
                      <w:sz w:val="20"/>
                      <w:szCs w:val="20"/>
                    </w:rPr>
                    <w:t xml:space="preserve"> is prevalent in the project area and the likely severity of impacts is moderate.</w:t>
                  </w:r>
                </w:p>
              </w:tc>
              <w:tc>
                <w:tcPr>
                  <w:tcW w:w="3909"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926BBF">
                  <w:pPr>
                    <w:spacing w:before="40" w:after="40"/>
                    <w:rPr>
                      <w:rFonts w:eastAsia="Times New Roman"/>
                      <w:sz w:val="20"/>
                      <w:szCs w:val="20"/>
                    </w:rPr>
                  </w:pPr>
                  <w:r w:rsidRPr="006222F4">
                    <w:rPr>
                      <w:rFonts w:eastAsia="Times New Roman"/>
                      <w:sz w:val="20"/>
                      <w:szCs w:val="20"/>
                    </w:rPr>
                    <w:t>The Disaster Risk Management Plan should secure a design for the project at an acceptable level of areal flooding risks for the project which must take into consideration changes in the frequency and intensity of precipitations that could occur with climate change. Areal floods may be exacerbated by the project outside the project boundary by modifying draining patterns for heavy precipitations and increase risks for people and the environment during construction and operation. Appropriate measures to reduce risks (predominantly engineering), prepare for impact (predominantly environmental and social safeguards) and to include financial protection will need to be included.</w:t>
                  </w:r>
                </w:p>
              </w:tc>
            </w:tr>
            <w:tr w:rsidR="006222F4" w:rsidRPr="006222F4" w:rsidTr="00EC189C">
              <w:tc>
                <w:tcPr>
                  <w:tcW w:w="1091"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C82000" w:rsidP="002401B8">
                  <w:pPr>
                    <w:rPr>
                      <w:rFonts w:eastAsia="Times New Roman"/>
                      <w:sz w:val="20"/>
                      <w:szCs w:val="20"/>
                    </w:rPr>
                  </w:pPr>
                  <w:hyperlink r:id="rId10" w:history="1">
                    <w:r w:rsidR="006222F4" w:rsidRPr="006222F4">
                      <w:rPr>
                        <w:rStyle w:val="Hyperlink"/>
                        <w:rFonts w:eastAsia="Times New Roman"/>
                        <w:sz w:val="20"/>
                        <w:szCs w:val="20"/>
                      </w:rPr>
                      <w:t>Droughts</w:t>
                    </w:r>
                  </w:hyperlink>
                  <w:r w:rsidR="006222F4" w:rsidRPr="006222F4">
                    <w:rPr>
                      <w:rFonts w:eastAsia="Times New Roman"/>
                      <w:sz w:val="20"/>
                      <w:szCs w:val="20"/>
                    </w:rPr>
                    <w:t xml:space="preserve"> are prevalent in the project area and the </w:t>
                  </w:r>
                  <w:r w:rsidR="006222F4" w:rsidRPr="006222F4">
                    <w:rPr>
                      <w:rFonts w:eastAsia="Times New Roman"/>
                      <w:sz w:val="20"/>
                      <w:szCs w:val="20"/>
                    </w:rPr>
                    <w:lastRenderedPageBreak/>
                    <w:t>likely severity of impacts is moderate.</w:t>
                  </w:r>
                </w:p>
              </w:tc>
              <w:tc>
                <w:tcPr>
                  <w:tcW w:w="3909"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926BBF">
                  <w:pPr>
                    <w:spacing w:before="40" w:after="40"/>
                    <w:rPr>
                      <w:rFonts w:eastAsia="Times New Roman"/>
                      <w:sz w:val="20"/>
                      <w:szCs w:val="20"/>
                    </w:rPr>
                  </w:pPr>
                  <w:r w:rsidRPr="006222F4">
                    <w:rPr>
                      <w:rFonts w:eastAsia="Times New Roman"/>
                      <w:sz w:val="20"/>
                      <w:szCs w:val="20"/>
                    </w:rPr>
                    <w:lastRenderedPageBreak/>
                    <w:t xml:space="preserve">The Disaster Risk Management Plan should secure a design for the project at an acceptable level of drought risks for the project and address potential exacerbated risks for people and the environment during construction and operation, which </w:t>
                  </w:r>
                  <w:r w:rsidRPr="006222F4">
                    <w:rPr>
                      <w:rFonts w:eastAsia="Times New Roman"/>
                      <w:sz w:val="20"/>
                      <w:szCs w:val="20"/>
                    </w:rPr>
                    <w:lastRenderedPageBreak/>
                    <w:t xml:space="preserve">must take into consideration changes in the frequency and intensity of droughts that could occur with climate change. Appropriate measures to reduce risks (predominantly engineering), prepare for impact (predominantly environmental and social safeguards) and to include financial protection will need to be included. </w:t>
                  </w:r>
                </w:p>
              </w:tc>
            </w:tr>
          </w:tbl>
          <w:p w:rsidR="006222F4" w:rsidRPr="006222F4" w:rsidRDefault="006222F4" w:rsidP="002401B8">
            <w:pPr>
              <w:spacing w:after="240"/>
              <w:rPr>
                <w:rFonts w:eastAsia="Times New Roman"/>
                <w:sz w:val="2"/>
                <w:szCs w:val="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1"/>
              <w:gridCol w:w="4863"/>
            </w:tblGrid>
            <w:tr w:rsidR="006222F4" w:rsidRPr="006222F4" w:rsidTr="00EC189C">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6222F4" w:rsidRPr="006222F4" w:rsidRDefault="006222F4" w:rsidP="002401B8">
                  <w:pPr>
                    <w:rPr>
                      <w:rFonts w:ascii="Times New Roman Bold" w:eastAsia="Times New Roman" w:hAnsi="Times New Roman Bold"/>
                      <w:b/>
                      <w:bCs/>
                      <w:smallCaps/>
                      <w:sz w:val="20"/>
                      <w:szCs w:val="20"/>
                    </w:rPr>
                  </w:pPr>
                  <w:r w:rsidRPr="006222F4">
                    <w:rPr>
                      <w:rFonts w:ascii="Times New Roman Bold" w:eastAsia="Times New Roman" w:hAnsi="Times New Roman Bold"/>
                      <w:b/>
                      <w:bCs/>
                      <w:smallCaps/>
                      <w:sz w:val="20"/>
                      <w:szCs w:val="20"/>
                    </w:rPr>
                    <w:t>Assessor Details</w:t>
                  </w:r>
                </w:p>
              </w:tc>
            </w:tr>
            <w:tr w:rsidR="006222F4" w:rsidRPr="00B3537B" w:rsidTr="00EC189C">
              <w:trPr>
                <w:trHeight w:val="300"/>
              </w:trPr>
              <w:tc>
                <w:tcPr>
                  <w:tcW w:w="221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b/>
                      <w:bCs/>
                      <w:sz w:val="20"/>
                      <w:szCs w:val="20"/>
                    </w:rPr>
                  </w:pPr>
                  <w:r w:rsidRPr="006222F4">
                    <w:rPr>
                      <w:rFonts w:eastAsia="Times New Roman"/>
                      <w:b/>
                      <w:bCs/>
                      <w:sz w:val="20"/>
                      <w:szCs w:val="20"/>
                    </w:rPr>
                    <w:t>Name of person who completed screening:</w:t>
                  </w:r>
                </w:p>
              </w:tc>
              <w:tc>
                <w:tcPr>
                  <w:tcW w:w="27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lang w:val="es-ES_tradnl"/>
                    </w:rPr>
                  </w:pPr>
                  <w:r w:rsidRPr="006222F4">
                    <w:rPr>
                      <w:rFonts w:eastAsia="Times New Roman"/>
                      <w:sz w:val="20"/>
                      <w:szCs w:val="20"/>
                      <w:lang w:val="es-ES_tradnl"/>
                    </w:rPr>
                    <w:t>Paez Zamora, Juan Carlos (juancarlosp@iadb.org)</w:t>
                  </w:r>
                </w:p>
              </w:tc>
            </w:tr>
            <w:tr w:rsidR="006222F4" w:rsidRPr="006222F4" w:rsidTr="00EC189C">
              <w:trPr>
                <w:trHeight w:val="300"/>
              </w:trPr>
              <w:tc>
                <w:tcPr>
                  <w:tcW w:w="221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Title:</w:t>
                  </w:r>
                </w:p>
              </w:tc>
              <w:tc>
                <w:tcPr>
                  <w:tcW w:w="27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Environmental Specialist</w:t>
                  </w:r>
                </w:p>
              </w:tc>
            </w:tr>
            <w:tr w:rsidR="006222F4" w:rsidRPr="006222F4" w:rsidTr="00EC189C">
              <w:trPr>
                <w:trHeight w:val="300"/>
              </w:trPr>
              <w:tc>
                <w:tcPr>
                  <w:tcW w:w="2213"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6222F4" w:rsidRPr="006222F4" w:rsidRDefault="006222F4" w:rsidP="002401B8">
                  <w:pPr>
                    <w:rPr>
                      <w:rFonts w:eastAsia="Times New Roman"/>
                      <w:b/>
                      <w:bCs/>
                      <w:sz w:val="20"/>
                      <w:szCs w:val="20"/>
                    </w:rPr>
                  </w:pPr>
                  <w:r w:rsidRPr="006222F4">
                    <w:rPr>
                      <w:rFonts w:eastAsia="Times New Roman"/>
                      <w:b/>
                      <w:bCs/>
                      <w:sz w:val="20"/>
                      <w:szCs w:val="20"/>
                    </w:rPr>
                    <w:t>Date:</w:t>
                  </w:r>
                </w:p>
              </w:tc>
              <w:tc>
                <w:tcPr>
                  <w:tcW w:w="2787"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6222F4" w:rsidRPr="006222F4" w:rsidRDefault="006222F4" w:rsidP="002401B8">
                  <w:pPr>
                    <w:rPr>
                      <w:rFonts w:eastAsia="Times New Roman"/>
                      <w:sz w:val="20"/>
                      <w:szCs w:val="20"/>
                    </w:rPr>
                  </w:pPr>
                  <w:r w:rsidRPr="006222F4">
                    <w:rPr>
                      <w:rFonts w:eastAsia="Times New Roman"/>
                      <w:sz w:val="20"/>
                      <w:szCs w:val="20"/>
                    </w:rPr>
                    <w:t>2014-05-01</w:t>
                  </w:r>
                </w:p>
              </w:tc>
            </w:tr>
          </w:tbl>
          <w:p w:rsidR="006222F4" w:rsidRPr="006222F4" w:rsidRDefault="006222F4" w:rsidP="002401B8">
            <w:pPr>
              <w:rPr>
                <w:rFonts w:eastAsia="Times New Roman"/>
                <w:sz w:val="20"/>
                <w:szCs w:val="20"/>
              </w:rPr>
            </w:pPr>
            <w:r w:rsidRPr="006222F4">
              <w:rPr>
                <w:rFonts w:eastAsia="Times New Roman"/>
                <w:sz w:val="20"/>
                <w:szCs w:val="20"/>
              </w:rPr>
              <w:br/>
              <w:t> </w:t>
            </w:r>
          </w:p>
        </w:tc>
      </w:tr>
    </w:tbl>
    <w:p w:rsidR="006222F4" w:rsidRPr="006222F4" w:rsidRDefault="006222F4" w:rsidP="006222F4">
      <w:pPr>
        <w:rPr>
          <w:rFonts w:eastAsia="Times New Roman"/>
          <w:sz w:val="20"/>
          <w:szCs w:val="20"/>
        </w:rPr>
      </w:pPr>
    </w:p>
    <w:p w:rsidR="00B67B5E" w:rsidRPr="006222F4" w:rsidRDefault="00B67B5E">
      <w:pPr>
        <w:rPr>
          <w:rFonts w:eastAsia="Times New Roman"/>
          <w:sz w:val="20"/>
          <w:szCs w:val="20"/>
        </w:rPr>
      </w:pPr>
    </w:p>
    <w:sectPr w:rsidR="00B67B5E" w:rsidRPr="006222F4" w:rsidSect="006222F4">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F4" w:rsidRDefault="006222F4" w:rsidP="006222F4">
      <w:r>
        <w:separator/>
      </w:r>
    </w:p>
  </w:endnote>
  <w:endnote w:type="continuationSeparator" w:id="0">
    <w:p w:rsidR="006222F4" w:rsidRDefault="006222F4" w:rsidP="0062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F4" w:rsidRDefault="006222F4" w:rsidP="006222F4">
      <w:r>
        <w:separator/>
      </w:r>
    </w:p>
  </w:footnote>
  <w:footnote w:type="continuationSeparator" w:id="0">
    <w:p w:rsidR="006222F4" w:rsidRDefault="006222F4" w:rsidP="0062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F4" w:rsidRPr="006222F4" w:rsidRDefault="00B3537B" w:rsidP="006222F4">
    <w:pPr>
      <w:pStyle w:val="Header"/>
      <w:jc w:val="right"/>
      <w:rPr>
        <w:sz w:val="22"/>
        <w:lang w:val="pt-BR"/>
      </w:rPr>
    </w:pPr>
    <w:r>
      <w:rPr>
        <w:sz w:val="22"/>
        <w:lang w:val="pt-BR"/>
      </w:rPr>
      <w:t>Anexo I</w:t>
    </w:r>
    <w:r w:rsidR="00C82000">
      <w:rPr>
        <w:sz w:val="22"/>
        <w:lang w:val="pt-BR"/>
      </w:rPr>
      <w:t>V</w:t>
    </w:r>
    <w:r w:rsidR="006222F4" w:rsidRPr="006222F4">
      <w:rPr>
        <w:sz w:val="22"/>
        <w:lang w:val="pt-BR"/>
      </w:rPr>
      <w:t xml:space="preserve"> - PR-L1084</w:t>
    </w:r>
  </w:p>
  <w:p w:rsidR="006222F4" w:rsidRPr="006222F4" w:rsidRDefault="00C82000" w:rsidP="006222F4">
    <w:pPr>
      <w:pStyle w:val="Header"/>
      <w:jc w:val="right"/>
      <w:rPr>
        <w:sz w:val="22"/>
        <w:lang w:val="pt-BR"/>
      </w:rPr>
    </w:pPr>
    <w:sdt>
      <w:sdtPr>
        <w:rPr>
          <w:sz w:val="22"/>
        </w:rPr>
        <w:id w:val="1168209085"/>
        <w:docPartObj>
          <w:docPartGallery w:val="Page Numbers (Top of Page)"/>
          <w:docPartUnique/>
        </w:docPartObj>
      </w:sdtPr>
      <w:sdtEndPr/>
      <w:sdtContent>
        <w:r w:rsidR="006222F4" w:rsidRPr="006222F4">
          <w:rPr>
            <w:sz w:val="22"/>
            <w:lang w:val="pt-BR"/>
          </w:rPr>
          <w:t xml:space="preserve">Página </w:t>
        </w:r>
        <w:r w:rsidR="006222F4" w:rsidRPr="006222F4">
          <w:rPr>
            <w:bCs/>
            <w:sz w:val="22"/>
          </w:rPr>
          <w:fldChar w:fldCharType="begin"/>
        </w:r>
        <w:r w:rsidR="006222F4" w:rsidRPr="006222F4">
          <w:rPr>
            <w:bCs/>
            <w:sz w:val="22"/>
            <w:lang w:val="pt-BR"/>
          </w:rPr>
          <w:instrText xml:space="preserve"> PAGE </w:instrText>
        </w:r>
        <w:r w:rsidR="006222F4" w:rsidRPr="006222F4">
          <w:rPr>
            <w:bCs/>
            <w:sz w:val="22"/>
          </w:rPr>
          <w:fldChar w:fldCharType="separate"/>
        </w:r>
        <w:r>
          <w:rPr>
            <w:bCs/>
            <w:noProof/>
            <w:sz w:val="22"/>
            <w:lang w:val="pt-BR"/>
          </w:rPr>
          <w:t>1</w:t>
        </w:r>
        <w:r w:rsidR="006222F4" w:rsidRPr="006222F4">
          <w:rPr>
            <w:bCs/>
            <w:sz w:val="22"/>
          </w:rPr>
          <w:fldChar w:fldCharType="end"/>
        </w:r>
        <w:r w:rsidR="006222F4" w:rsidRPr="006222F4">
          <w:rPr>
            <w:sz w:val="22"/>
            <w:lang w:val="pt-BR"/>
          </w:rPr>
          <w:t xml:space="preserve"> de </w:t>
        </w:r>
        <w:r w:rsidR="006222F4" w:rsidRPr="006222F4">
          <w:rPr>
            <w:bCs/>
            <w:sz w:val="22"/>
          </w:rPr>
          <w:fldChar w:fldCharType="begin"/>
        </w:r>
        <w:r w:rsidR="006222F4" w:rsidRPr="006222F4">
          <w:rPr>
            <w:bCs/>
            <w:sz w:val="22"/>
            <w:lang w:val="pt-BR"/>
          </w:rPr>
          <w:instrText xml:space="preserve"> NUMPAGES  </w:instrText>
        </w:r>
        <w:r w:rsidR="006222F4" w:rsidRPr="006222F4">
          <w:rPr>
            <w:bCs/>
            <w:sz w:val="22"/>
          </w:rPr>
          <w:fldChar w:fldCharType="separate"/>
        </w:r>
        <w:r>
          <w:rPr>
            <w:bCs/>
            <w:noProof/>
            <w:sz w:val="22"/>
            <w:lang w:val="pt-BR"/>
          </w:rPr>
          <w:t>5</w:t>
        </w:r>
        <w:r w:rsidR="006222F4" w:rsidRPr="006222F4">
          <w:rPr>
            <w:bCs/>
            <w:sz w:val="22"/>
          </w:rPr>
          <w:fldChar w:fldCharType="end"/>
        </w:r>
      </w:sdtContent>
    </w:sdt>
  </w:p>
  <w:p w:rsidR="006222F4" w:rsidRPr="006222F4" w:rsidRDefault="006222F4">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586"/>
    <w:multiLevelType w:val="multilevel"/>
    <w:tmpl w:val="EB6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57D15"/>
    <w:rsid w:val="006222F4"/>
    <w:rsid w:val="007E79EF"/>
    <w:rsid w:val="00926BBF"/>
    <w:rsid w:val="00B3537B"/>
    <w:rsid w:val="00B57D15"/>
    <w:rsid w:val="00B67B5E"/>
    <w:rsid w:val="00C82000"/>
    <w:rsid w:val="00E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character" w:styleId="Hyperlink">
    <w:name w:val="Hyperlink"/>
    <w:basedOn w:val="DefaultParagraphFont"/>
    <w:uiPriority w:val="99"/>
    <w:semiHidden/>
    <w:unhideWhenUsed/>
    <w:rsid w:val="006222F4"/>
    <w:rPr>
      <w:color w:val="0000FF"/>
      <w:u w:val="single"/>
    </w:rPr>
  </w:style>
  <w:style w:type="paragraph" w:styleId="Header">
    <w:name w:val="header"/>
    <w:basedOn w:val="Normal"/>
    <w:link w:val="HeaderChar"/>
    <w:uiPriority w:val="99"/>
    <w:unhideWhenUsed/>
    <w:rsid w:val="006222F4"/>
    <w:pPr>
      <w:tabs>
        <w:tab w:val="center" w:pos="4680"/>
        <w:tab w:val="right" w:pos="9360"/>
      </w:tabs>
    </w:pPr>
  </w:style>
  <w:style w:type="character" w:customStyle="1" w:styleId="HeaderChar">
    <w:name w:val="Header Char"/>
    <w:basedOn w:val="DefaultParagraphFont"/>
    <w:link w:val="Header"/>
    <w:uiPriority w:val="99"/>
    <w:rsid w:val="006222F4"/>
    <w:rPr>
      <w:rFonts w:eastAsiaTheme="minorEastAsia"/>
      <w:sz w:val="24"/>
      <w:szCs w:val="24"/>
    </w:rPr>
  </w:style>
  <w:style w:type="paragraph" w:styleId="Footer">
    <w:name w:val="footer"/>
    <w:basedOn w:val="Normal"/>
    <w:link w:val="FooterChar"/>
    <w:uiPriority w:val="99"/>
    <w:unhideWhenUsed/>
    <w:rsid w:val="006222F4"/>
    <w:pPr>
      <w:tabs>
        <w:tab w:val="center" w:pos="4680"/>
        <w:tab w:val="right" w:pos="9360"/>
      </w:tabs>
    </w:pPr>
  </w:style>
  <w:style w:type="character" w:customStyle="1" w:styleId="FooterChar">
    <w:name w:val="Footer Char"/>
    <w:basedOn w:val="DefaultParagraphFont"/>
    <w:link w:val="Footer"/>
    <w:uiPriority w:val="99"/>
    <w:rsid w:val="006222F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character" w:styleId="Hyperlink">
    <w:name w:val="Hyperlink"/>
    <w:basedOn w:val="DefaultParagraphFont"/>
    <w:uiPriority w:val="99"/>
    <w:semiHidden/>
    <w:unhideWhenUsed/>
    <w:rsid w:val="006222F4"/>
    <w:rPr>
      <w:color w:val="0000FF"/>
      <w:u w:val="single"/>
    </w:rPr>
  </w:style>
  <w:style w:type="paragraph" w:styleId="Header">
    <w:name w:val="header"/>
    <w:basedOn w:val="Normal"/>
    <w:link w:val="HeaderChar"/>
    <w:uiPriority w:val="99"/>
    <w:unhideWhenUsed/>
    <w:rsid w:val="006222F4"/>
    <w:pPr>
      <w:tabs>
        <w:tab w:val="center" w:pos="4680"/>
        <w:tab w:val="right" w:pos="9360"/>
      </w:tabs>
    </w:pPr>
  </w:style>
  <w:style w:type="character" w:customStyle="1" w:styleId="HeaderChar">
    <w:name w:val="Header Char"/>
    <w:basedOn w:val="DefaultParagraphFont"/>
    <w:link w:val="Header"/>
    <w:uiPriority w:val="99"/>
    <w:rsid w:val="006222F4"/>
    <w:rPr>
      <w:rFonts w:eastAsiaTheme="minorEastAsia"/>
      <w:sz w:val="24"/>
      <w:szCs w:val="24"/>
    </w:rPr>
  </w:style>
  <w:style w:type="paragraph" w:styleId="Footer">
    <w:name w:val="footer"/>
    <w:basedOn w:val="Normal"/>
    <w:link w:val="FooterChar"/>
    <w:uiPriority w:val="99"/>
    <w:unhideWhenUsed/>
    <w:rsid w:val="006222F4"/>
    <w:pPr>
      <w:tabs>
        <w:tab w:val="center" w:pos="4680"/>
        <w:tab w:val="right" w:pos="9360"/>
      </w:tabs>
    </w:pPr>
  </w:style>
  <w:style w:type="character" w:customStyle="1" w:styleId="FooterChar">
    <w:name w:val="Footer Char"/>
    <w:basedOn w:val="DefaultParagraphFont"/>
    <w:link w:val="Footer"/>
    <w:uiPriority w:val="99"/>
    <w:rsid w:val="006222F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Term(%22Inland%20flooding%22,%201)"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javascript:ShowTerm(%22Drought%22,%201)" TargetMode="External"/><Relationship Id="rId4" Type="http://schemas.openxmlformats.org/officeDocument/2006/relationships/settings" Target="settings.xml"/><Relationship Id="rId9" Type="http://schemas.openxmlformats.org/officeDocument/2006/relationships/hyperlink" Target="javascript:ShowTerm(%22Extreme%20rainfall%22,%20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tru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DA8CC0E463244E8C78BAF8C65D82B8" ma:contentTypeVersion="0" ma:contentTypeDescription="A content type to manage public (operations) IDB documents" ma:contentTypeScope="" ma:versionID="b22e53878570e53c2d99378b5b2117aa">
  <xsd:schema xmlns:xsd="http://www.w3.org/2001/XMLSchema" xmlns:xs="http://www.w3.org/2001/XMLSchema" xmlns:p="http://schemas.microsoft.com/office/2006/metadata/properties" xmlns:ns2="9c571b2f-e523-4ab2-ba2e-09e151a03ef4" targetNamespace="http://schemas.microsoft.com/office/2006/metadata/properties" ma:root="true" ma:fieldsID="00f02d04dbffc8223ab87bb0dcc9c1e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f76994-b145-4aa5-bae9-5834c8e755c3}" ma:internalName="TaxCatchAll" ma:showField="CatchAllData"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f76994-b145-4aa5-bae9-5834c8e755c3}" ma:internalName="TaxCatchAllLabel" ma:readOnly="true" ma:showField="CatchAllDataLabel"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39126968</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Lenci Pousada, Vera Lucia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PR-L1084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Virginia Navas #2457 TECFILE</Identifier>
    <Disclosure_x0020_Activity xmlns="9c571b2f-e523-4ab2-ba2e-09e151a03ef4">Loan Proposal</Disclosure_x0020_Activity>
    <Webtopic xmlns="9c571b2f-e523-4ab2-ba2e-09e151a03ef4">TR-TRO</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2E5B3444-6127-4DB3-B2CA-3764D8B0BEFC}"/>
</file>

<file path=customXml/itemProps2.xml><?xml version="1.0" encoding="utf-8"?>
<ds:datastoreItem xmlns:ds="http://schemas.openxmlformats.org/officeDocument/2006/customXml" ds:itemID="{5055820A-ABDB-4DC7-ADFF-55B15659A7C2}"/>
</file>

<file path=customXml/itemProps3.xml><?xml version="1.0" encoding="utf-8"?>
<ds:datastoreItem xmlns:ds="http://schemas.openxmlformats.org/officeDocument/2006/customXml" ds:itemID="{F83803B3-BFAE-44FA-A692-341AAA614E07}"/>
</file>

<file path=customXml/itemProps4.xml><?xml version="1.0" encoding="utf-8"?>
<ds:datastoreItem xmlns:ds="http://schemas.openxmlformats.org/officeDocument/2006/customXml" ds:itemID="{B151E894-4CAA-46AA-9B25-3E9A9DBD8C12}"/>
</file>

<file path=customXml/itemProps5.xml><?xml version="1.0" encoding="utf-8"?>
<ds:datastoreItem xmlns:ds="http://schemas.openxmlformats.org/officeDocument/2006/customXml" ds:itemID="{774B757F-61FE-4D20-AE2F-2A7BDA4D23C3}"/>
</file>

<file path=docProps/app.xml><?xml version="1.0" encoding="utf-8"?>
<Properties xmlns="http://schemas.openxmlformats.org/officeDocument/2006/extended-properties" xmlns:vt="http://schemas.openxmlformats.org/officeDocument/2006/docPropsVTypes">
  <Template>Normal.dotm</Template>
  <TotalTime>9</TotalTime>
  <Pages>5</Pages>
  <Words>1394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EEO20_ Filtro de Políticas de Salvaguardias y Formulario de Análisis de Salvaguardias</dc:title>
  <dc:creator>Juan Carlos Páez</dc:creator>
  <cp:lastModifiedBy>Test</cp:lastModifiedBy>
  <cp:revision>6</cp:revision>
  <dcterms:created xsi:type="dcterms:W3CDTF">2014-06-03T21:57:00Z</dcterms:created>
  <dcterms:modified xsi:type="dcterms:W3CDTF">2014-08-30T04:28:00Z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0x01010046CF21643EE8D14686A648AA6DAD089200A0DA8CC0E463244E8C78BAF8C65D82B8</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