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D4137" w14:textId="77777777" w:rsidR="00BA04D0" w:rsidRPr="00AE4035" w:rsidRDefault="00BA04D0" w:rsidP="00F537F5">
      <w:pPr>
        <w:spacing w:after="0" w:line="240" w:lineRule="auto"/>
        <w:jc w:val="center"/>
        <w:rPr>
          <w:rFonts w:ascii="Arial" w:hAnsi="Arial" w:cs="Arial"/>
          <w:b/>
          <w:color w:val="4F81BD" w:themeColor="accent1"/>
          <w:lang w:val="es-ES_tradnl"/>
        </w:rPr>
      </w:pPr>
      <w:bookmarkStart w:id="0" w:name="_GoBack"/>
      <w:r w:rsidRPr="00AE4035">
        <w:rPr>
          <w:rFonts w:ascii="Arial" w:hAnsi="Arial" w:cs="Arial"/>
          <w:b/>
          <w:color w:val="4F81BD" w:themeColor="accent1"/>
          <w:lang w:val="es-ES_tradnl"/>
        </w:rPr>
        <w:t xml:space="preserve">TÉRMINOS DE REFERENCIA – CONSULTOR INDIVIDUAL </w:t>
      </w:r>
    </w:p>
    <w:p w14:paraId="2D3BB86B" w14:textId="7699EC83" w:rsidR="005155AA" w:rsidRPr="00AE4035" w:rsidRDefault="00BA04D0" w:rsidP="00F537F5">
      <w:pPr>
        <w:spacing w:after="0" w:line="240" w:lineRule="auto"/>
        <w:jc w:val="center"/>
        <w:rPr>
          <w:rFonts w:ascii="Arial" w:hAnsi="Arial" w:cs="Arial"/>
          <w:b/>
          <w:color w:val="4F81BD" w:themeColor="accent1"/>
          <w:lang w:val="es-ES_tradnl"/>
        </w:rPr>
      </w:pPr>
      <w:r w:rsidRPr="00AE4035">
        <w:rPr>
          <w:rFonts w:ascii="Arial" w:hAnsi="Arial" w:cs="Arial"/>
          <w:b/>
          <w:color w:val="4F81BD" w:themeColor="accent1"/>
          <w:lang w:val="es-ES_tradnl"/>
        </w:rPr>
        <w:t xml:space="preserve">ESTRATEGIA PARA DIVULGAR Y APLICAR EL ENFOQUE </w:t>
      </w:r>
      <w:r w:rsidR="00E25A13" w:rsidRPr="00AE4035">
        <w:rPr>
          <w:rFonts w:ascii="Arial" w:hAnsi="Arial" w:cs="Arial"/>
          <w:b/>
          <w:color w:val="4F81BD" w:themeColor="accent1"/>
          <w:lang w:val="es-ES_tradnl"/>
        </w:rPr>
        <w:t xml:space="preserve">BASADO EN LOS DERECHOS </w:t>
      </w:r>
      <w:r w:rsidR="00B1264D" w:rsidRPr="00AE4035">
        <w:rPr>
          <w:rFonts w:ascii="Arial" w:hAnsi="Arial" w:cs="Arial"/>
          <w:b/>
          <w:color w:val="4F81BD" w:themeColor="accent1"/>
          <w:lang w:val="es-ES_tradnl"/>
        </w:rPr>
        <w:t xml:space="preserve">HUMANOS </w:t>
      </w:r>
      <w:r w:rsidR="00E25A13" w:rsidRPr="00AE4035">
        <w:rPr>
          <w:rFonts w:ascii="Arial" w:hAnsi="Arial" w:cs="Arial"/>
          <w:b/>
          <w:color w:val="4F81BD" w:themeColor="accent1"/>
          <w:lang w:val="es-ES_tradnl"/>
        </w:rPr>
        <w:t>EN AGUA Y SANEAMIENTO</w:t>
      </w:r>
    </w:p>
    <w:p w14:paraId="671EA7C0" w14:textId="77777777" w:rsidR="00156286" w:rsidRPr="00AE4035" w:rsidRDefault="00156286" w:rsidP="00F537F5">
      <w:pPr>
        <w:spacing w:after="0" w:line="240" w:lineRule="auto"/>
        <w:jc w:val="center"/>
        <w:rPr>
          <w:rFonts w:ascii="Arial" w:hAnsi="Arial" w:cs="Arial"/>
          <w:b/>
          <w:color w:val="4F81BD" w:themeColor="accent1"/>
          <w:lang w:val="es-ES_tradnl"/>
        </w:rPr>
      </w:pPr>
    </w:p>
    <w:p w14:paraId="1E166A83" w14:textId="2F573D5F" w:rsidR="00BA04D0" w:rsidRPr="00AE4035" w:rsidRDefault="00BA04D0" w:rsidP="00596768">
      <w:pPr>
        <w:spacing w:after="0" w:line="240" w:lineRule="auto"/>
        <w:jc w:val="center"/>
        <w:rPr>
          <w:rFonts w:ascii="Arial" w:hAnsi="Arial" w:cs="Arial"/>
          <w:b/>
          <w:color w:val="4F81BD" w:themeColor="accent1"/>
          <w:lang w:val="es-ES_tradnl"/>
        </w:rPr>
      </w:pPr>
      <w:r w:rsidRPr="00AE4035">
        <w:rPr>
          <w:rFonts w:ascii="Arial" w:hAnsi="Arial" w:cs="Arial"/>
          <w:b/>
          <w:color w:val="4F81BD" w:themeColor="accent1"/>
          <w:lang w:val="es-ES_tradnl"/>
        </w:rPr>
        <w:t>RG-</w:t>
      </w:r>
      <w:r w:rsidR="00787DFC" w:rsidRPr="00AE4035">
        <w:rPr>
          <w:rFonts w:ascii="Arial" w:hAnsi="Arial" w:cs="Arial"/>
          <w:b/>
          <w:color w:val="4F81BD" w:themeColor="accent1"/>
          <w:lang w:val="es-ES_tradnl"/>
        </w:rPr>
        <w:t>T2642</w:t>
      </w:r>
    </w:p>
    <w:p w14:paraId="5D00DD6F" w14:textId="77777777" w:rsidR="00BA04D0" w:rsidRPr="00AE4035" w:rsidRDefault="00BA04D0" w:rsidP="00BA04D0">
      <w:pPr>
        <w:spacing w:after="0" w:line="240" w:lineRule="auto"/>
        <w:rPr>
          <w:rFonts w:cs="Times New Roman"/>
          <w:b/>
          <w:color w:val="4F81BD" w:themeColor="accent1"/>
          <w:sz w:val="28"/>
          <w:szCs w:val="28"/>
          <w:lang w:val="es-ES_tradnl"/>
        </w:rPr>
      </w:pPr>
    </w:p>
    <w:p w14:paraId="62551EED" w14:textId="77777777" w:rsidR="005155AA" w:rsidRPr="00AE4035" w:rsidRDefault="005155AA" w:rsidP="00B629D8">
      <w:pPr>
        <w:pStyle w:val="ListParagraph"/>
        <w:numPr>
          <w:ilvl w:val="0"/>
          <w:numId w:val="1"/>
        </w:numPr>
        <w:tabs>
          <w:tab w:val="left" w:pos="450"/>
          <w:tab w:val="left" w:pos="540"/>
        </w:tabs>
        <w:spacing w:after="0" w:line="240" w:lineRule="auto"/>
        <w:ind w:left="450" w:hanging="450"/>
        <w:rPr>
          <w:rFonts w:cs="Times New Roman"/>
          <w:b/>
          <w:lang w:val="es-ES_tradnl"/>
        </w:rPr>
      </w:pPr>
      <w:r w:rsidRPr="00AE4035">
        <w:rPr>
          <w:rFonts w:cs="Times New Roman"/>
          <w:b/>
          <w:lang w:val="es-ES_tradnl"/>
        </w:rPr>
        <w:t>ANTECEDENTES</w:t>
      </w:r>
    </w:p>
    <w:p w14:paraId="7690582A" w14:textId="77777777" w:rsidR="00F537F5" w:rsidRPr="00AE4035" w:rsidRDefault="00F537F5" w:rsidP="00F537F5">
      <w:pPr>
        <w:spacing w:after="0" w:line="240" w:lineRule="auto"/>
        <w:ind w:left="360"/>
        <w:jc w:val="both"/>
        <w:rPr>
          <w:rFonts w:cs="Times New Roman"/>
          <w:lang w:val="es-ES_tradnl"/>
        </w:rPr>
      </w:pPr>
    </w:p>
    <w:p w14:paraId="7BF77FE0" w14:textId="2BCC47BE" w:rsidR="006E4774" w:rsidRPr="00AE4035" w:rsidRDefault="004266F1" w:rsidP="00E201D4">
      <w:pPr>
        <w:spacing w:after="0" w:line="240" w:lineRule="auto"/>
        <w:ind w:left="450"/>
        <w:jc w:val="both"/>
        <w:rPr>
          <w:rFonts w:cs="Times New Roman"/>
          <w:lang w:val="es-ES_tradnl"/>
        </w:rPr>
      </w:pPr>
      <w:r w:rsidRPr="00AE4035">
        <w:rPr>
          <w:rFonts w:cs="Times New Roman"/>
          <w:lang w:val="es-ES_tradnl"/>
        </w:rPr>
        <w:t xml:space="preserve">El 28 de julio de 2010 la Asamblea General de las Naciones Unidas adoptó la Resolución 64/292, mediante la cual “Reconoce que el derecho al agua potable y el saneamiento es un derecho humano esencial para el pleno disfrute de la vida y de todos los derechos humanos”. </w:t>
      </w:r>
      <w:r w:rsidR="006E4774" w:rsidRPr="00AE4035">
        <w:rPr>
          <w:rFonts w:cs="Times New Roman"/>
          <w:lang w:val="es-ES_tradnl"/>
        </w:rPr>
        <w:t xml:space="preserve">Dos meses </w:t>
      </w:r>
      <w:r w:rsidR="008C7B78" w:rsidRPr="00AE4035">
        <w:rPr>
          <w:rFonts w:cs="Times New Roman"/>
          <w:lang w:val="es-ES_tradnl"/>
        </w:rPr>
        <w:t>más</w:t>
      </w:r>
      <w:r w:rsidR="006E4774" w:rsidRPr="00AE4035">
        <w:rPr>
          <w:rFonts w:cs="Times New Roman"/>
          <w:lang w:val="es-ES_tradnl"/>
        </w:rPr>
        <w:t xml:space="preserve"> tarde, el 30 de septiembre de 2010, el Consejo de Derechos Humanos de las Naciones Unidas </w:t>
      </w:r>
      <w:r w:rsidR="00E201D4" w:rsidRPr="00AE4035">
        <w:rPr>
          <w:rFonts w:cs="Times New Roman"/>
          <w:lang w:val="es-ES_tradnl"/>
        </w:rPr>
        <w:t>confirm</w:t>
      </w:r>
      <w:r w:rsidR="00143AFE" w:rsidRPr="00AE4035">
        <w:rPr>
          <w:rFonts w:cs="Times New Roman"/>
          <w:lang w:val="es-ES_tradnl"/>
        </w:rPr>
        <w:t>ó</w:t>
      </w:r>
      <w:r w:rsidR="00E201D4" w:rsidRPr="00AE4035">
        <w:rPr>
          <w:rFonts w:cs="Times New Roman"/>
          <w:lang w:val="es-ES_tradnl"/>
        </w:rPr>
        <w:t xml:space="preserve"> este derecho por consenso mediante </w:t>
      </w:r>
      <w:r w:rsidR="00143AFE" w:rsidRPr="00AE4035">
        <w:rPr>
          <w:rFonts w:cs="Times New Roman"/>
          <w:lang w:val="es-ES_tradnl"/>
        </w:rPr>
        <w:t>Resolución</w:t>
      </w:r>
      <w:r w:rsidR="00E201D4" w:rsidRPr="00AE4035">
        <w:rPr>
          <w:rFonts w:cs="Times New Roman"/>
          <w:lang w:val="es-ES_tradnl"/>
        </w:rPr>
        <w:t xml:space="preserve"> 15/9 aclarando sus fundamentos.</w:t>
      </w:r>
    </w:p>
    <w:p w14:paraId="589EA100" w14:textId="77777777" w:rsidR="002B44A6" w:rsidRPr="00AE4035" w:rsidRDefault="002B44A6" w:rsidP="00E201D4">
      <w:pPr>
        <w:spacing w:after="0" w:line="240" w:lineRule="auto"/>
        <w:ind w:left="450"/>
        <w:jc w:val="both"/>
        <w:rPr>
          <w:rFonts w:cs="Times New Roman"/>
          <w:lang w:val="es-ES_tradnl"/>
        </w:rPr>
      </w:pPr>
    </w:p>
    <w:p w14:paraId="58935B7C" w14:textId="3F4FB951" w:rsidR="002B44A6" w:rsidRPr="00AE4035" w:rsidRDefault="002B44A6" w:rsidP="00E201D4">
      <w:pPr>
        <w:spacing w:after="0" w:line="240" w:lineRule="auto"/>
        <w:ind w:left="450"/>
        <w:jc w:val="both"/>
        <w:rPr>
          <w:rFonts w:cs="Times New Roman"/>
          <w:lang w:val="es-ES_tradnl"/>
        </w:rPr>
      </w:pPr>
      <w:r w:rsidRPr="00AE4035">
        <w:rPr>
          <w:rFonts w:cs="Times New Roman"/>
          <w:lang w:val="es-ES_tradnl"/>
        </w:rPr>
        <w:t>El derecho humano al agua significa que toda persona tiene derecho a una cantidad suficiente de agua, de calidad, aceptable, físicamente accesible y asequible para los usos personales y domésticos, que incluyen saneamiento. El derecho a saneamiento significa que toda persona, sin ningún tipo de discriminación, debe tener acceso físico y económico a servicios de saneamiento, en todas las esferas de la vida, que sea seguro, higiénico, aceptable social y culturalmente, que proporcione privacidad y asegure la dignidad.</w:t>
      </w:r>
    </w:p>
    <w:p w14:paraId="1D95C2CB" w14:textId="77777777" w:rsidR="00054E0C" w:rsidRPr="00AE4035" w:rsidRDefault="00054E0C" w:rsidP="00B629D8">
      <w:pPr>
        <w:spacing w:after="0" w:line="240" w:lineRule="auto"/>
        <w:ind w:left="450"/>
        <w:jc w:val="both"/>
        <w:rPr>
          <w:rFonts w:cs="Times New Roman"/>
          <w:lang w:val="es-ES_tradnl"/>
        </w:rPr>
      </w:pPr>
    </w:p>
    <w:p w14:paraId="155EA60A" w14:textId="7CB4647B" w:rsidR="00596768" w:rsidRPr="00AE4035" w:rsidRDefault="002B44A6" w:rsidP="00B629D8">
      <w:pPr>
        <w:spacing w:after="0" w:line="240" w:lineRule="auto"/>
        <w:ind w:left="450"/>
        <w:jc w:val="both"/>
        <w:rPr>
          <w:rFonts w:cs="Times New Roman"/>
          <w:lang w:val="es-ES_tradnl"/>
        </w:rPr>
      </w:pPr>
      <w:r w:rsidRPr="00AE4035">
        <w:rPr>
          <w:rFonts w:cs="Times New Roman"/>
          <w:lang w:val="es-ES_tradnl"/>
        </w:rPr>
        <w:t>E</w:t>
      </w:r>
      <w:r w:rsidR="00143AFE" w:rsidRPr="00AE4035">
        <w:rPr>
          <w:rFonts w:cs="Times New Roman"/>
          <w:lang w:val="es-ES_tradnl"/>
        </w:rPr>
        <w:t>stas</w:t>
      </w:r>
      <w:r w:rsidR="006760A6" w:rsidRPr="00AE4035">
        <w:rPr>
          <w:rFonts w:cs="Times New Roman"/>
          <w:lang w:val="es-ES_tradnl"/>
        </w:rPr>
        <w:t xml:space="preserve"> resoluci</w:t>
      </w:r>
      <w:r w:rsidR="00941379" w:rsidRPr="00AE4035">
        <w:rPr>
          <w:rFonts w:cs="Times New Roman"/>
          <w:lang w:val="es-ES_tradnl"/>
        </w:rPr>
        <w:t>ones</w:t>
      </w:r>
      <w:r w:rsidR="006760A6" w:rsidRPr="00AE4035">
        <w:rPr>
          <w:rFonts w:cs="Times New Roman"/>
          <w:lang w:val="es-ES_tradnl"/>
        </w:rPr>
        <w:t xml:space="preserve"> </w:t>
      </w:r>
      <w:r w:rsidR="00596768" w:rsidRPr="00AE4035">
        <w:rPr>
          <w:rFonts w:cs="Times New Roman"/>
          <w:lang w:val="es-ES_tradnl"/>
        </w:rPr>
        <w:t>ratifica</w:t>
      </w:r>
      <w:r w:rsidR="00941379" w:rsidRPr="00AE4035">
        <w:rPr>
          <w:rFonts w:cs="Times New Roman"/>
          <w:lang w:val="es-ES_tradnl"/>
        </w:rPr>
        <w:t>n</w:t>
      </w:r>
      <w:r w:rsidR="00596768" w:rsidRPr="00AE4035">
        <w:rPr>
          <w:rFonts w:cs="Times New Roman"/>
          <w:lang w:val="es-ES_tradnl"/>
        </w:rPr>
        <w:t xml:space="preserve"> los conceptos que ya se habían venido discutiendo respecto de incorporar la disponibilidad efectiva de agua, niveles mínimos de consumo, sus condiciones de calidad, de continuidad, de aceptabilidad cultural, cercanía y asequibilidad. Más aún, pus</w:t>
      </w:r>
      <w:r w:rsidR="00C97C1F" w:rsidRPr="00AE4035">
        <w:rPr>
          <w:rFonts w:cs="Times New Roman"/>
          <w:lang w:val="es-ES_tradnl"/>
        </w:rPr>
        <w:t>ieron</w:t>
      </w:r>
      <w:r w:rsidR="00596768" w:rsidRPr="00AE4035">
        <w:rPr>
          <w:rFonts w:cs="Times New Roman"/>
          <w:lang w:val="es-ES_tradnl"/>
        </w:rPr>
        <w:t xml:space="preserve"> </w:t>
      </w:r>
      <w:r w:rsidR="00C97C1F" w:rsidRPr="00AE4035">
        <w:rPr>
          <w:rFonts w:cs="Times New Roman"/>
          <w:lang w:val="es-ES_tradnl"/>
        </w:rPr>
        <w:t>énfasis en</w:t>
      </w:r>
      <w:r w:rsidR="00596768" w:rsidRPr="00AE4035">
        <w:rPr>
          <w:rFonts w:cs="Times New Roman"/>
          <w:lang w:val="es-ES_tradnl"/>
        </w:rPr>
        <w:t xml:space="preserve"> la necesidad de avanzar en las coberturas hacia segmentos de la población hasta ahora excluidos, principalmente población marginal urbana y rural, tanto concentrada como dispersa. </w:t>
      </w:r>
      <w:r w:rsidR="00C97C1F" w:rsidRPr="00AE4035">
        <w:rPr>
          <w:rFonts w:cs="Times New Roman"/>
          <w:lang w:val="es-ES_tradnl"/>
        </w:rPr>
        <w:t>Las</w:t>
      </w:r>
      <w:r w:rsidR="00596768" w:rsidRPr="00AE4035">
        <w:rPr>
          <w:rFonts w:cs="Times New Roman"/>
          <w:lang w:val="es-ES_tradnl"/>
        </w:rPr>
        <w:t xml:space="preserve"> políticas y conceptos </w:t>
      </w:r>
      <w:r w:rsidR="00C97C1F" w:rsidRPr="00AE4035">
        <w:rPr>
          <w:rFonts w:cs="Times New Roman"/>
          <w:lang w:val="es-ES_tradnl"/>
        </w:rPr>
        <w:t>deben adaptarse para</w:t>
      </w:r>
      <w:r w:rsidR="00596768" w:rsidRPr="00AE4035">
        <w:rPr>
          <w:rFonts w:cs="Times New Roman"/>
          <w:lang w:val="es-ES_tradnl"/>
        </w:rPr>
        <w:t xml:space="preserve"> atender </w:t>
      </w:r>
      <w:r w:rsidR="00C97C1F" w:rsidRPr="00AE4035">
        <w:rPr>
          <w:rFonts w:cs="Times New Roman"/>
          <w:lang w:val="es-ES_tradnl"/>
        </w:rPr>
        <w:t xml:space="preserve">a </w:t>
      </w:r>
      <w:r w:rsidR="00596768" w:rsidRPr="00AE4035">
        <w:rPr>
          <w:rFonts w:cs="Times New Roman"/>
          <w:lang w:val="es-ES_tradnl"/>
        </w:rPr>
        <w:t xml:space="preserve">estos grupos de población, incluyendo especialmente nuevas opciones tecnológicas para servicios de redes urbanos (por ejemplo, soluciones condominiales), y una ampliación del espectro de soluciones para el saneamiento rural. También </w:t>
      </w:r>
      <w:r w:rsidR="00F07B99" w:rsidRPr="00AE4035">
        <w:rPr>
          <w:rFonts w:cs="Times New Roman"/>
          <w:lang w:val="es-ES_tradnl"/>
        </w:rPr>
        <w:t xml:space="preserve">deben </w:t>
      </w:r>
      <w:r w:rsidR="00596768" w:rsidRPr="00AE4035">
        <w:rPr>
          <w:rFonts w:cs="Times New Roman"/>
          <w:lang w:val="es-ES_tradnl"/>
        </w:rPr>
        <w:t>incorpora</w:t>
      </w:r>
      <w:r w:rsidR="00F07B99" w:rsidRPr="00AE4035">
        <w:rPr>
          <w:rFonts w:cs="Times New Roman"/>
          <w:lang w:val="es-ES_tradnl"/>
        </w:rPr>
        <w:t>rse</w:t>
      </w:r>
      <w:r w:rsidR="00596768" w:rsidRPr="00AE4035">
        <w:rPr>
          <w:rFonts w:cs="Times New Roman"/>
          <w:lang w:val="es-ES_tradnl"/>
        </w:rPr>
        <w:t xml:space="preserve"> conceptos de participación comunitaria, rol de la mujer, promoción de la higiene,</w:t>
      </w:r>
      <w:r w:rsidR="00F07B99" w:rsidRPr="00AE4035">
        <w:rPr>
          <w:rFonts w:cs="Times New Roman"/>
          <w:lang w:val="es-ES_tradnl"/>
        </w:rPr>
        <w:t xml:space="preserve"> y velar por la transparencia, </w:t>
      </w:r>
      <w:r w:rsidR="00596768" w:rsidRPr="00AE4035">
        <w:rPr>
          <w:rFonts w:cs="Times New Roman"/>
          <w:lang w:val="es-ES_tradnl"/>
        </w:rPr>
        <w:t>la no discriminación</w:t>
      </w:r>
      <w:r w:rsidR="00F07B99" w:rsidRPr="00AE4035">
        <w:rPr>
          <w:rFonts w:cs="Times New Roman"/>
          <w:lang w:val="es-ES_tradnl"/>
        </w:rPr>
        <w:t xml:space="preserve"> y la rendición de cuentas, </w:t>
      </w:r>
      <w:r w:rsidR="00596768" w:rsidRPr="00AE4035">
        <w:rPr>
          <w:rFonts w:cs="Times New Roman"/>
          <w:lang w:val="es-ES_tradnl"/>
        </w:rPr>
        <w:t>entre otros aspectos.</w:t>
      </w:r>
    </w:p>
    <w:p w14:paraId="6B147B43" w14:textId="77777777" w:rsidR="00596768" w:rsidRPr="00AE4035" w:rsidRDefault="00596768" w:rsidP="00B629D8">
      <w:pPr>
        <w:spacing w:after="0" w:line="240" w:lineRule="auto"/>
        <w:ind w:left="450"/>
        <w:jc w:val="both"/>
        <w:rPr>
          <w:rFonts w:cs="Times New Roman"/>
          <w:lang w:val="es-ES_tradnl"/>
        </w:rPr>
      </w:pPr>
    </w:p>
    <w:p w14:paraId="3700E825" w14:textId="5E13FE23" w:rsidR="002B44A6" w:rsidRPr="00AE4035" w:rsidRDefault="007010DC" w:rsidP="00B629D8">
      <w:pPr>
        <w:spacing w:after="0" w:line="240" w:lineRule="auto"/>
        <w:ind w:left="450"/>
        <w:jc w:val="both"/>
        <w:rPr>
          <w:rFonts w:cs="Times New Roman"/>
          <w:lang w:val="es-ES_tradnl"/>
        </w:rPr>
      </w:pPr>
      <w:r w:rsidRPr="00AE4035">
        <w:rPr>
          <w:rFonts w:cs="Times New Roman"/>
          <w:lang w:val="es-ES_tradnl"/>
        </w:rPr>
        <w:t>La región de América Latina y el Caribe es un referente a nivel mundial en sus avances legislativos y judiciales con respecto a estos derechos humanos. A diferencia de otras regiones del mundo, existen expresos reconocimientos de estos derechos en las leyes  constitucionales (tales como, Bolivia, Ecuador, Nicaragua y Uruguay), y en la jurisprudencia o regulación del sector (Argentina, Colombia, Costa Rica, México), sirviendo de base para orientar las leyes, regulaciones, políticas y otras medidas adicionales para realizar los mismos. Por lo tanto, los retos a abordar se centran principalmente en la implementación, esto es, en asegurar que las leyes, regulaciones y políticas recojan el contenido de estos derechos humanos y sus principios, y los proveedores de servicios actúen de acuerdo a las mismas, estableciendo mecanismos de reclamación en caso de incumplimiento.</w:t>
      </w:r>
    </w:p>
    <w:p w14:paraId="40096C57" w14:textId="77777777" w:rsidR="007010DC" w:rsidRPr="00AE4035" w:rsidRDefault="007010DC" w:rsidP="00B629D8">
      <w:pPr>
        <w:spacing w:after="0" w:line="240" w:lineRule="auto"/>
        <w:ind w:left="450"/>
        <w:jc w:val="both"/>
        <w:rPr>
          <w:rFonts w:cs="Times New Roman"/>
          <w:lang w:val="es-ES_tradnl"/>
        </w:rPr>
      </w:pPr>
    </w:p>
    <w:p w14:paraId="2ADA5636" w14:textId="675443BA" w:rsidR="007010DC" w:rsidRPr="00AE4035" w:rsidRDefault="002B44A6" w:rsidP="007010DC">
      <w:pPr>
        <w:spacing w:after="0" w:line="240" w:lineRule="auto"/>
        <w:ind w:left="450"/>
        <w:jc w:val="both"/>
        <w:rPr>
          <w:rFonts w:cs="Times New Roman"/>
          <w:lang w:val="es-ES_tradnl"/>
        </w:rPr>
      </w:pPr>
      <w:r w:rsidRPr="00AE4035">
        <w:rPr>
          <w:rFonts w:cs="Times New Roman"/>
          <w:lang w:val="es-ES_tradnl"/>
        </w:rPr>
        <w:t>En este marco, el BID</w:t>
      </w:r>
      <w:r w:rsidR="007010DC" w:rsidRPr="00AE4035">
        <w:rPr>
          <w:rFonts w:cs="Times New Roman"/>
          <w:lang w:val="es-ES_tradnl"/>
        </w:rPr>
        <w:t xml:space="preserve"> se une a los esfuerzos realizados por algunos de los países miembros del BID, como la Cooperación Alemana, la Cooperación Suiza, la Cooperación Española, entre otros, para promover el enfoque de Derecho Humano al Agua y Saneamiento (DHAS), y va a trabajar para </w:t>
      </w:r>
      <w:r w:rsidR="007010DC" w:rsidRPr="00AE4035">
        <w:rPr>
          <w:rFonts w:cs="Times New Roman"/>
          <w:lang w:val="es-ES_tradnl"/>
        </w:rPr>
        <w:lastRenderedPageBreak/>
        <w:t xml:space="preserve">apoyar a los Gobiernos de la Región en la implementación del enfoque de Derecho Humano, a través de una </w:t>
      </w:r>
      <w:r w:rsidRPr="00AE4035">
        <w:rPr>
          <w:rFonts w:cs="Times New Roman"/>
          <w:lang w:val="es-ES_tradnl"/>
        </w:rPr>
        <w:t xml:space="preserve">Cooperación Técnica (CT) </w:t>
      </w:r>
      <w:r w:rsidR="007010DC" w:rsidRPr="00AE4035">
        <w:rPr>
          <w:rFonts w:cs="Times New Roman"/>
          <w:lang w:val="es-ES_tradnl"/>
        </w:rPr>
        <w:t xml:space="preserve">cuyo objetivo </w:t>
      </w:r>
      <w:r w:rsidRPr="00AE4035">
        <w:rPr>
          <w:rFonts w:cs="Times New Roman"/>
          <w:lang w:val="es-ES_tradnl"/>
        </w:rPr>
        <w:t>es generar buenas prácticas en la aplicación del enfoque de los DHAS en la región a través del intercambio de conocimiento y la sensibilización de la importancia del enfoque, así como a través de la puesta en práctica en tres países de la región.</w:t>
      </w:r>
      <w:r w:rsidR="007010DC" w:rsidRPr="00AE4035">
        <w:rPr>
          <w:rFonts w:cs="Times New Roman"/>
          <w:lang w:val="es-ES_tradnl"/>
        </w:rPr>
        <w:t xml:space="preserve"> Esta consultoría se enmarca en este trabajo.  </w:t>
      </w:r>
    </w:p>
    <w:p w14:paraId="7057CAF9" w14:textId="77777777" w:rsidR="007010DC" w:rsidRPr="00AE4035" w:rsidRDefault="007010DC" w:rsidP="007010DC">
      <w:pPr>
        <w:spacing w:after="0" w:line="240" w:lineRule="auto"/>
        <w:ind w:left="450"/>
        <w:jc w:val="both"/>
        <w:rPr>
          <w:rFonts w:cs="Times New Roman"/>
          <w:lang w:val="es-ES_tradnl"/>
        </w:rPr>
      </w:pPr>
    </w:p>
    <w:p w14:paraId="2CF3D7EF" w14:textId="56E91ED6" w:rsidR="005155AA" w:rsidRPr="00AE4035" w:rsidRDefault="005155AA" w:rsidP="003C0818">
      <w:pPr>
        <w:pStyle w:val="ListParagraph"/>
        <w:numPr>
          <w:ilvl w:val="0"/>
          <w:numId w:val="1"/>
        </w:numPr>
        <w:spacing w:after="0" w:line="240" w:lineRule="auto"/>
        <w:ind w:left="450" w:hanging="450"/>
        <w:rPr>
          <w:rFonts w:cs="Times New Roman"/>
          <w:b/>
          <w:lang w:val="es-ES_tradnl"/>
        </w:rPr>
      </w:pPr>
      <w:r w:rsidRPr="00AE4035">
        <w:rPr>
          <w:rFonts w:cs="Times New Roman"/>
          <w:b/>
          <w:lang w:val="es-ES_tradnl"/>
        </w:rPr>
        <w:t>OBJETIVO DE LA CONSULTOR</w:t>
      </w:r>
      <w:r w:rsidR="005674D4" w:rsidRPr="00AE4035">
        <w:rPr>
          <w:rFonts w:cs="Times New Roman"/>
          <w:b/>
          <w:lang w:val="es-ES_tradnl"/>
        </w:rPr>
        <w:t>Í</w:t>
      </w:r>
      <w:r w:rsidRPr="00AE4035">
        <w:rPr>
          <w:rFonts w:cs="Times New Roman"/>
          <w:b/>
          <w:lang w:val="es-ES_tradnl"/>
        </w:rPr>
        <w:t>A</w:t>
      </w:r>
    </w:p>
    <w:p w14:paraId="21AFB8B4" w14:textId="77777777" w:rsidR="00D45584" w:rsidRPr="00AE4035" w:rsidRDefault="00D45584" w:rsidP="003C0818">
      <w:pPr>
        <w:spacing w:after="0" w:line="240" w:lineRule="auto"/>
        <w:rPr>
          <w:rFonts w:cs="Times New Roman"/>
          <w:b/>
          <w:lang w:val="es-ES_tradnl"/>
        </w:rPr>
      </w:pPr>
    </w:p>
    <w:p w14:paraId="6D4D92CD" w14:textId="40023FCF" w:rsidR="00EF22A5" w:rsidRPr="00AE4035" w:rsidRDefault="00497EDB" w:rsidP="003C0818">
      <w:pPr>
        <w:spacing w:after="0" w:line="240" w:lineRule="auto"/>
        <w:ind w:left="450"/>
        <w:jc w:val="both"/>
        <w:rPr>
          <w:rFonts w:cs="Times New Roman"/>
          <w:lang w:val="es-ES_tradnl"/>
        </w:rPr>
      </w:pPr>
      <w:r w:rsidRPr="00AE4035">
        <w:rPr>
          <w:rFonts w:cs="Times New Roman"/>
          <w:lang w:val="es-ES_tradnl"/>
        </w:rPr>
        <w:t>El objetivo</w:t>
      </w:r>
      <w:r w:rsidR="00EF22A5" w:rsidRPr="00AE4035">
        <w:rPr>
          <w:rFonts w:cs="Times New Roman"/>
          <w:lang w:val="es-ES_tradnl"/>
        </w:rPr>
        <w:t xml:space="preserve"> de la </w:t>
      </w:r>
      <w:r w:rsidRPr="00AE4035">
        <w:rPr>
          <w:rFonts w:cs="Times New Roman"/>
          <w:lang w:val="es-ES_tradnl"/>
        </w:rPr>
        <w:t>consultoría</w:t>
      </w:r>
      <w:r w:rsidR="00EF22A5" w:rsidRPr="00AE4035">
        <w:rPr>
          <w:rFonts w:cs="Times New Roman"/>
          <w:lang w:val="es-ES_tradnl"/>
        </w:rPr>
        <w:t xml:space="preserve"> </w:t>
      </w:r>
      <w:r w:rsidR="00511C4D" w:rsidRPr="00AE4035">
        <w:rPr>
          <w:rFonts w:cs="Times New Roman"/>
          <w:lang w:val="es-ES_tradnl"/>
        </w:rPr>
        <w:t xml:space="preserve">es desarrollar acciones de conocimiento y divulgación del DHAS para generar buenas prácticas en la aplicación del enfoque en Latinoamérica y Caribe. </w:t>
      </w:r>
    </w:p>
    <w:p w14:paraId="7994B4D7" w14:textId="77777777" w:rsidR="00EF22A5" w:rsidRPr="00AE4035" w:rsidRDefault="00EF22A5" w:rsidP="003C0818">
      <w:pPr>
        <w:spacing w:after="0" w:line="240" w:lineRule="auto"/>
        <w:rPr>
          <w:rFonts w:cs="Times New Roman"/>
          <w:b/>
          <w:lang w:val="es-ES_tradnl"/>
        </w:rPr>
      </w:pPr>
    </w:p>
    <w:p w14:paraId="58EA89A6" w14:textId="77777777" w:rsidR="005155AA" w:rsidRPr="00AE4035" w:rsidRDefault="005155AA" w:rsidP="00B629D8">
      <w:pPr>
        <w:pStyle w:val="ListParagraph"/>
        <w:numPr>
          <w:ilvl w:val="0"/>
          <w:numId w:val="1"/>
        </w:numPr>
        <w:tabs>
          <w:tab w:val="left" w:pos="450"/>
        </w:tabs>
        <w:spacing w:after="0" w:line="240" w:lineRule="auto"/>
        <w:ind w:left="450" w:hanging="450"/>
        <w:rPr>
          <w:rFonts w:cs="Times New Roman"/>
          <w:b/>
          <w:lang w:val="es-ES_tradnl"/>
        </w:rPr>
      </w:pPr>
      <w:r w:rsidRPr="00AE4035">
        <w:rPr>
          <w:rFonts w:cs="Times New Roman"/>
          <w:b/>
          <w:lang w:val="es-ES_tradnl"/>
        </w:rPr>
        <w:t>ACTIVIDADES PRINCIPALES</w:t>
      </w:r>
    </w:p>
    <w:p w14:paraId="38AF94B9" w14:textId="77777777" w:rsidR="00497EDB" w:rsidRPr="00AE4035" w:rsidRDefault="00497EDB" w:rsidP="00497EDB">
      <w:pPr>
        <w:tabs>
          <w:tab w:val="left" w:pos="630"/>
        </w:tabs>
        <w:spacing w:after="0" w:line="240" w:lineRule="auto"/>
        <w:rPr>
          <w:rFonts w:cs="Times New Roman"/>
          <w:b/>
          <w:lang w:val="es-ES_tradnl"/>
        </w:rPr>
      </w:pPr>
    </w:p>
    <w:p w14:paraId="42E95ADE" w14:textId="50779775" w:rsidR="00497EDB" w:rsidRPr="00AE4035" w:rsidRDefault="00497EDB" w:rsidP="00B629D8">
      <w:pPr>
        <w:tabs>
          <w:tab w:val="left" w:pos="630"/>
        </w:tabs>
        <w:spacing w:after="0" w:line="240" w:lineRule="auto"/>
        <w:ind w:firstLine="450"/>
        <w:rPr>
          <w:rFonts w:cs="Times New Roman"/>
          <w:lang w:val="es-ES_tradnl"/>
        </w:rPr>
      </w:pPr>
      <w:r w:rsidRPr="00AE4035">
        <w:rPr>
          <w:rFonts w:cs="Times New Roman"/>
          <w:lang w:val="es-ES_tradnl"/>
        </w:rPr>
        <w:t xml:space="preserve">El consultor deberá </w:t>
      </w:r>
      <w:r w:rsidR="00511C4D" w:rsidRPr="00AE4035">
        <w:rPr>
          <w:rFonts w:cs="Times New Roman"/>
          <w:lang w:val="es-ES_tradnl"/>
        </w:rPr>
        <w:t>realizar</w:t>
      </w:r>
      <w:r w:rsidRPr="00AE4035">
        <w:rPr>
          <w:rFonts w:cs="Times New Roman"/>
          <w:lang w:val="es-ES_tradnl"/>
        </w:rPr>
        <w:t xml:space="preserve"> las siguientes actividades:</w:t>
      </w:r>
    </w:p>
    <w:p w14:paraId="0D4FD270" w14:textId="77777777" w:rsidR="00EF22A5" w:rsidRPr="00AE4035" w:rsidRDefault="00EF22A5" w:rsidP="00F537F5">
      <w:pPr>
        <w:spacing w:after="0" w:line="240" w:lineRule="auto"/>
        <w:ind w:left="360"/>
        <w:jc w:val="both"/>
        <w:rPr>
          <w:rFonts w:cs="Times New Roman"/>
          <w:lang w:val="es-ES_tradnl"/>
        </w:rPr>
      </w:pPr>
    </w:p>
    <w:p w14:paraId="4F659AFD" w14:textId="7B1A1D2C" w:rsidR="00831EEF" w:rsidRPr="00AE4035" w:rsidRDefault="00831EEF" w:rsidP="00100D3C">
      <w:pPr>
        <w:pStyle w:val="ListParagraph"/>
        <w:numPr>
          <w:ilvl w:val="0"/>
          <w:numId w:val="17"/>
        </w:numPr>
        <w:spacing w:after="0" w:line="240" w:lineRule="auto"/>
        <w:jc w:val="both"/>
        <w:rPr>
          <w:rFonts w:cs="Times New Roman"/>
          <w:lang w:val="es-ES_tradnl"/>
        </w:rPr>
      </w:pPr>
      <w:r w:rsidRPr="00AE4035">
        <w:rPr>
          <w:rFonts w:cs="Times New Roman"/>
          <w:b/>
          <w:lang w:val="es-ES_tradnl"/>
        </w:rPr>
        <w:t>Desarrollo de un manual de implementación del enfoque DHAS dirigido a tres diferentes actores: prestadores del servicio, reguladores y ministerios o entes rectores del sector</w:t>
      </w:r>
      <w:r w:rsidRPr="00AE4035">
        <w:rPr>
          <w:rFonts w:cs="Times New Roman"/>
          <w:lang w:val="es-ES_tradnl"/>
        </w:rPr>
        <w:t xml:space="preserve">. </w:t>
      </w:r>
      <w:r w:rsidR="005674D4" w:rsidRPr="00AE4035">
        <w:rPr>
          <w:rFonts w:cs="Times New Roman"/>
          <w:lang w:val="es-ES_tradnl"/>
        </w:rPr>
        <w:br/>
      </w:r>
      <w:r w:rsidRPr="00AE4035">
        <w:rPr>
          <w:rFonts w:cs="Times New Roman"/>
          <w:lang w:val="es-ES_tradnl"/>
        </w:rPr>
        <w:t>El manual incluirá información en relación al significado e implicaciones del enfoque de DHAS, conjuntamente con ejemplos de buenas prácticas en la región, principalmente. El manual incluirá al menos:</w:t>
      </w:r>
    </w:p>
    <w:p w14:paraId="4F3F63EB" w14:textId="3D7B7933"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 xml:space="preserve">Tres capítulos diferenciados para cada actor: prestador del servicio, regulador y ministerio o ente rector del sector; </w:t>
      </w:r>
    </w:p>
    <w:p w14:paraId="516C295B" w14:textId="7E42F9DA"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 xml:space="preserve">Diferenciará y tratará por separado los retos y buenas prácticas en zonas peri-urbanas, zonas rurales nucleadas y zonas rurales dispersas; </w:t>
      </w:r>
    </w:p>
    <w:p w14:paraId="331FDC75" w14:textId="67864DD9"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Incluirá el mayor número de ejemplos posibles, describiendo buenas y malas prácticas en la región o globalmente para facilitar el entendimiento del enfoque de DHAS;</w:t>
      </w:r>
    </w:p>
    <w:p w14:paraId="1F1C2620" w14:textId="1AFA5015"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Diferenciará entre agua y saneamiento cuando aplique;</w:t>
      </w:r>
    </w:p>
    <w:p w14:paraId="5CE519D5" w14:textId="5C358EEA"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Ser</w:t>
      </w:r>
      <w:r w:rsidR="005674D4" w:rsidRPr="00AE4035">
        <w:rPr>
          <w:rFonts w:cs="Times New Roman"/>
          <w:lang w:val="es-ES_tradnl"/>
        </w:rPr>
        <w:t>á</w:t>
      </w:r>
      <w:r w:rsidRPr="00AE4035">
        <w:rPr>
          <w:rFonts w:cs="Times New Roman"/>
          <w:lang w:val="es-ES_tradnl"/>
        </w:rPr>
        <w:t xml:space="preserve"> un documento de no más de </w:t>
      </w:r>
      <w:r w:rsidR="0089703E" w:rsidRPr="00AE4035">
        <w:rPr>
          <w:rFonts w:cs="Times New Roman"/>
          <w:lang w:val="es-ES_tradnl"/>
        </w:rPr>
        <w:t>45</w:t>
      </w:r>
      <w:r w:rsidRPr="00AE4035">
        <w:rPr>
          <w:rFonts w:cs="Times New Roman"/>
          <w:lang w:val="es-ES_tradnl"/>
        </w:rPr>
        <w:t xml:space="preserve"> </w:t>
      </w:r>
      <w:r w:rsidR="00AE4035" w:rsidRPr="00AE4035">
        <w:rPr>
          <w:rFonts w:cs="Times New Roman"/>
          <w:lang w:val="es-ES_tradnl"/>
        </w:rPr>
        <w:t>páginas</w:t>
      </w:r>
      <w:r w:rsidRPr="00AE4035">
        <w:rPr>
          <w:rFonts w:cs="Times New Roman"/>
          <w:lang w:val="es-ES_tradnl"/>
        </w:rPr>
        <w:t xml:space="preserve"> en español;</w:t>
      </w:r>
    </w:p>
    <w:p w14:paraId="26656A55" w14:textId="760952A1" w:rsidR="00831EEF" w:rsidRPr="00AE4035" w:rsidRDefault="00831EEF"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Incluirá lecciones de aplicación a los proyectos del BID y de sus socios, los operadores y los gobiernos de la región;</w:t>
      </w:r>
    </w:p>
    <w:p w14:paraId="29F4DE93" w14:textId="6870256E" w:rsidR="000425B0" w:rsidRPr="00AE4035" w:rsidRDefault="005674D4" w:rsidP="003C0818">
      <w:pPr>
        <w:pStyle w:val="ListParagraph"/>
        <w:tabs>
          <w:tab w:val="left" w:pos="3324"/>
          <w:tab w:val="left" w:pos="4344"/>
        </w:tabs>
        <w:spacing w:after="0" w:line="240" w:lineRule="auto"/>
        <w:ind w:left="1800"/>
        <w:jc w:val="both"/>
        <w:rPr>
          <w:rFonts w:cs="Times New Roman"/>
          <w:lang w:val="es-ES_tradnl"/>
        </w:rPr>
      </w:pPr>
      <w:r w:rsidRPr="00AE4035">
        <w:rPr>
          <w:rFonts w:cs="Times New Roman"/>
          <w:lang w:val="es-ES_tradnl"/>
        </w:rPr>
        <w:tab/>
      </w:r>
      <w:r w:rsidRPr="00AE4035">
        <w:rPr>
          <w:rFonts w:cs="Times New Roman"/>
          <w:lang w:val="es-ES_tradnl"/>
        </w:rPr>
        <w:tab/>
      </w:r>
    </w:p>
    <w:p w14:paraId="0A577472" w14:textId="605F88F8" w:rsidR="00831EEF" w:rsidRPr="00AE4035" w:rsidRDefault="000425B0" w:rsidP="00100D3C">
      <w:pPr>
        <w:pStyle w:val="ListParagraph"/>
        <w:numPr>
          <w:ilvl w:val="0"/>
          <w:numId w:val="17"/>
        </w:numPr>
        <w:spacing w:after="0" w:line="240" w:lineRule="auto"/>
        <w:jc w:val="both"/>
        <w:rPr>
          <w:rFonts w:cs="Times New Roman"/>
          <w:lang w:val="es-ES_tradnl"/>
        </w:rPr>
      </w:pPr>
      <w:r w:rsidRPr="00AE4035">
        <w:rPr>
          <w:rFonts w:cs="Times New Roman"/>
          <w:b/>
          <w:lang w:val="es-ES_tradnl"/>
        </w:rPr>
        <w:t>Desarrollo e implementación de un plan de divulgación del manual</w:t>
      </w:r>
      <w:r w:rsidRPr="00AE4035">
        <w:rPr>
          <w:rFonts w:cs="Times New Roman"/>
          <w:lang w:val="es-ES_tradnl"/>
        </w:rPr>
        <w:t>: El/</w:t>
      </w:r>
      <w:r w:rsidR="005674D4" w:rsidRPr="00AE4035">
        <w:rPr>
          <w:rFonts w:cs="Times New Roman"/>
          <w:lang w:val="es-ES_tradnl"/>
        </w:rPr>
        <w:t>l</w:t>
      </w:r>
      <w:r w:rsidRPr="00AE4035">
        <w:rPr>
          <w:rFonts w:cs="Times New Roman"/>
          <w:lang w:val="es-ES_tradnl"/>
        </w:rPr>
        <w:t xml:space="preserve">a consultor/a diseñará un plan de divulgación para el manual con el objetivo de diseminar en la mayor medida de lo posible el producto generado, en conferencias regionales, a través de eventos de relevancia en el sector, o a través de otro tipo de actividades como BBLs o Webinars. </w:t>
      </w:r>
    </w:p>
    <w:p w14:paraId="57D4EBD2" w14:textId="77777777" w:rsidR="000425B0" w:rsidRPr="00AE4035" w:rsidRDefault="000425B0" w:rsidP="000425B0">
      <w:pPr>
        <w:pStyle w:val="ListParagraph"/>
        <w:spacing w:after="0" w:line="240" w:lineRule="auto"/>
        <w:jc w:val="both"/>
        <w:rPr>
          <w:rFonts w:cs="Times New Roman"/>
          <w:lang w:val="es-ES_tradnl"/>
        </w:rPr>
      </w:pPr>
    </w:p>
    <w:p w14:paraId="1F5F8B3A" w14:textId="24E8DBFD" w:rsidR="000425B0" w:rsidRPr="00AE4035" w:rsidRDefault="00860906" w:rsidP="00100D3C">
      <w:pPr>
        <w:pStyle w:val="ListParagraph"/>
        <w:numPr>
          <w:ilvl w:val="0"/>
          <w:numId w:val="17"/>
        </w:numPr>
        <w:spacing w:after="0" w:line="240" w:lineRule="auto"/>
        <w:jc w:val="both"/>
        <w:rPr>
          <w:rFonts w:cs="Times New Roman"/>
          <w:lang w:val="es-ES_tradnl"/>
        </w:rPr>
      </w:pPr>
      <w:r w:rsidRPr="00AE4035">
        <w:rPr>
          <w:rFonts w:cs="Times New Roman"/>
          <w:b/>
          <w:lang w:val="es-ES_tradnl"/>
        </w:rPr>
        <w:t xml:space="preserve"> </w:t>
      </w:r>
      <w:r w:rsidR="000425B0" w:rsidRPr="00AE4035">
        <w:rPr>
          <w:rFonts w:cs="Times New Roman"/>
          <w:b/>
          <w:lang w:val="es-ES_tradnl"/>
        </w:rPr>
        <w:t>Preparación de conferencia de alto nivel y de divulgación</w:t>
      </w:r>
      <w:r w:rsidR="000425B0" w:rsidRPr="00AE4035">
        <w:rPr>
          <w:rFonts w:cs="Times New Roman"/>
          <w:lang w:val="es-ES_tradnl"/>
        </w:rPr>
        <w:t xml:space="preserve">. </w:t>
      </w:r>
      <w:r w:rsidR="00020F32" w:rsidRPr="00AE4035">
        <w:rPr>
          <w:rFonts w:cs="Times New Roman"/>
          <w:lang w:val="es-ES_tradnl"/>
        </w:rPr>
        <w:t>El/</w:t>
      </w:r>
      <w:r w:rsidR="005674D4" w:rsidRPr="00AE4035">
        <w:rPr>
          <w:rFonts w:cs="Times New Roman"/>
          <w:lang w:val="es-ES_tradnl"/>
        </w:rPr>
        <w:t>l</w:t>
      </w:r>
      <w:r w:rsidR="00020F32" w:rsidRPr="00AE4035">
        <w:rPr>
          <w:rFonts w:cs="Times New Roman"/>
          <w:lang w:val="es-ES_tradnl"/>
        </w:rPr>
        <w:t xml:space="preserve">a consultor/a deberá preparar el contenido temático de las siguientes conferencias: </w:t>
      </w:r>
    </w:p>
    <w:p w14:paraId="6882A64C" w14:textId="70B944D5" w:rsidR="00500687" w:rsidRPr="00AE4035" w:rsidRDefault="00020F32"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 xml:space="preserve">Tres conferencias subregionales de alto nivel </w:t>
      </w:r>
      <w:r w:rsidR="003D05D3" w:rsidRPr="00AE4035">
        <w:rPr>
          <w:rFonts w:cs="Times New Roman"/>
          <w:lang w:val="es-ES_tradnl"/>
        </w:rPr>
        <w:t xml:space="preserve">cuyo objetivo es el generar un mayor entendimiento entre </w:t>
      </w:r>
      <w:r w:rsidR="00500687" w:rsidRPr="00AE4035">
        <w:rPr>
          <w:rFonts w:cs="Times New Roman"/>
          <w:lang w:val="es-ES_tradnl"/>
        </w:rPr>
        <w:t>los tomadores de decisiones en el sector – Ministros de Agua</w:t>
      </w:r>
      <w:r w:rsidR="005674D4" w:rsidRPr="00AE4035">
        <w:rPr>
          <w:rFonts w:cs="Times New Roman"/>
          <w:lang w:val="es-ES_tradnl"/>
        </w:rPr>
        <w:t xml:space="preserve"> y</w:t>
      </w:r>
      <w:r w:rsidR="00500687" w:rsidRPr="00AE4035">
        <w:rPr>
          <w:rFonts w:cs="Times New Roman"/>
          <w:lang w:val="es-ES_tradnl"/>
        </w:rPr>
        <w:t xml:space="preserve"> </w:t>
      </w:r>
      <w:r w:rsidR="005674D4" w:rsidRPr="00AE4035">
        <w:rPr>
          <w:rFonts w:cs="Times New Roman"/>
          <w:lang w:val="es-ES_tradnl"/>
        </w:rPr>
        <w:t>D</w:t>
      </w:r>
      <w:r w:rsidR="00500687" w:rsidRPr="00AE4035">
        <w:rPr>
          <w:rFonts w:cs="Times New Roman"/>
          <w:lang w:val="es-ES_tradnl"/>
        </w:rPr>
        <w:t xml:space="preserve">irectores Generales, entre otros – de la aplicación del enfoque DHAS. </w:t>
      </w:r>
    </w:p>
    <w:p w14:paraId="087F0866" w14:textId="0E929B8A" w:rsidR="00020F32" w:rsidRPr="00AE4035" w:rsidRDefault="00500687"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 xml:space="preserve">Tres conferencias subregionales de divulgación de los resultados obtenidos en las iniciativas piloto a realizar en el marco de la Cooperación Técnica. Estas serán coincidentes con las conferencias de alto nivel.  </w:t>
      </w:r>
    </w:p>
    <w:p w14:paraId="06238D50" w14:textId="77777777" w:rsidR="00500687" w:rsidRPr="00AE4035" w:rsidRDefault="00500687" w:rsidP="00500687">
      <w:pPr>
        <w:pStyle w:val="ListParagraph"/>
        <w:spacing w:after="0" w:line="240" w:lineRule="auto"/>
        <w:ind w:left="1800"/>
        <w:jc w:val="both"/>
        <w:rPr>
          <w:rFonts w:cs="Times New Roman"/>
          <w:lang w:val="es-ES_tradnl"/>
        </w:rPr>
      </w:pPr>
    </w:p>
    <w:p w14:paraId="4C5DDB21" w14:textId="2965AFDC" w:rsidR="00500687" w:rsidRPr="00AE4035" w:rsidRDefault="00500687" w:rsidP="00100D3C">
      <w:pPr>
        <w:pStyle w:val="ListParagraph"/>
        <w:numPr>
          <w:ilvl w:val="0"/>
          <w:numId w:val="17"/>
        </w:numPr>
        <w:spacing w:after="0" w:line="240" w:lineRule="auto"/>
        <w:jc w:val="both"/>
        <w:rPr>
          <w:rFonts w:cs="Times New Roman"/>
          <w:b/>
          <w:lang w:val="es-ES_tradnl"/>
        </w:rPr>
      </w:pPr>
      <w:r w:rsidRPr="00AE4035">
        <w:rPr>
          <w:rFonts w:cs="Times New Roman"/>
          <w:b/>
          <w:lang w:val="es-ES_tradnl"/>
        </w:rPr>
        <w:t xml:space="preserve">Aplicación práctica del enfoque de DHAS en LAC. </w:t>
      </w:r>
      <w:r w:rsidRPr="00AE4035">
        <w:rPr>
          <w:rFonts w:cs="Times New Roman"/>
          <w:lang w:val="es-ES_tradnl"/>
        </w:rPr>
        <w:t>El/</w:t>
      </w:r>
      <w:r w:rsidR="005674D4" w:rsidRPr="00AE4035">
        <w:rPr>
          <w:rFonts w:cs="Times New Roman"/>
          <w:lang w:val="es-ES_tradnl"/>
        </w:rPr>
        <w:t>l</w:t>
      </w:r>
      <w:r w:rsidRPr="00AE4035">
        <w:rPr>
          <w:rFonts w:cs="Times New Roman"/>
          <w:lang w:val="es-ES_tradnl"/>
        </w:rPr>
        <w:t>a consultor/a deberá:</w:t>
      </w:r>
    </w:p>
    <w:p w14:paraId="2EF79100" w14:textId="3D1863A3" w:rsidR="00435302" w:rsidRPr="00AE4035" w:rsidRDefault="00435302" w:rsidP="00100D3C">
      <w:pPr>
        <w:pStyle w:val="ListParagraph"/>
        <w:numPr>
          <w:ilvl w:val="1"/>
          <w:numId w:val="17"/>
        </w:numPr>
        <w:spacing w:after="0" w:line="240" w:lineRule="auto"/>
        <w:jc w:val="both"/>
        <w:rPr>
          <w:rFonts w:cs="Times New Roman"/>
          <w:b/>
          <w:lang w:val="es-ES_tradnl"/>
        </w:rPr>
      </w:pPr>
      <w:r w:rsidRPr="00AE4035">
        <w:rPr>
          <w:rFonts w:cs="Times New Roman"/>
          <w:lang w:val="es-ES_tradnl"/>
        </w:rPr>
        <w:lastRenderedPageBreak/>
        <w:t>Asistir en la</w:t>
      </w:r>
      <w:r w:rsidR="00100D3C" w:rsidRPr="00AE4035">
        <w:rPr>
          <w:rFonts w:cs="Times New Roman"/>
          <w:lang w:val="es-ES_tradnl"/>
        </w:rPr>
        <w:t xml:space="preserve"> </w:t>
      </w:r>
      <w:r w:rsidR="003B6BD5" w:rsidRPr="00AE4035">
        <w:rPr>
          <w:rFonts w:cs="Times New Roman"/>
          <w:lang w:val="es-ES_tradnl"/>
        </w:rPr>
        <w:t>identificación</w:t>
      </w:r>
      <w:r w:rsidR="00100D3C" w:rsidRPr="00AE4035">
        <w:rPr>
          <w:rFonts w:cs="Times New Roman"/>
          <w:lang w:val="es-ES_tradnl"/>
        </w:rPr>
        <w:t xml:space="preserve"> </w:t>
      </w:r>
      <w:r w:rsidRPr="00AE4035">
        <w:rPr>
          <w:rFonts w:cs="Times New Roman"/>
          <w:lang w:val="es-ES_tradnl"/>
        </w:rPr>
        <w:t xml:space="preserve">de </w:t>
      </w:r>
      <w:r w:rsidR="00100D3C" w:rsidRPr="00AE4035">
        <w:rPr>
          <w:rFonts w:cs="Times New Roman"/>
          <w:lang w:val="es-ES_tradnl"/>
        </w:rPr>
        <w:t>países que pueden ser objetivo de las tres operaciones piloto a implementar para pilotar diferentes aspectos de la aplicación del enfoque de DHAS</w:t>
      </w:r>
      <w:r w:rsidR="005674D4" w:rsidRPr="00AE4035">
        <w:rPr>
          <w:rFonts w:cs="Times New Roman"/>
          <w:lang w:val="es-ES_tradnl"/>
        </w:rPr>
        <w:t>;</w:t>
      </w:r>
      <w:r w:rsidR="00100D3C" w:rsidRPr="00AE4035">
        <w:rPr>
          <w:rFonts w:cs="Times New Roman"/>
          <w:lang w:val="es-ES_tradnl"/>
        </w:rPr>
        <w:t xml:space="preserve"> </w:t>
      </w:r>
    </w:p>
    <w:p w14:paraId="7C7D702E" w14:textId="0A15DC81" w:rsidR="00500687" w:rsidRPr="00AE4035" w:rsidRDefault="00435302" w:rsidP="00100D3C">
      <w:pPr>
        <w:pStyle w:val="ListParagraph"/>
        <w:numPr>
          <w:ilvl w:val="1"/>
          <w:numId w:val="17"/>
        </w:numPr>
        <w:spacing w:after="0" w:line="240" w:lineRule="auto"/>
        <w:jc w:val="both"/>
        <w:rPr>
          <w:rFonts w:cs="Times New Roman"/>
          <w:b/>
          <w:lang w:val="es-ES_tradnl"/>
        </w:rPr>
      </w:pPr>
      <w:r w:rsidRPr="00AE4035">
        <w:rPr>
          <w:rFonts w:cs="Times New Roman"/>
          <w:lang w:val="es-ES_tradnl"/>
        </w:rPr>
        <w:t xml:space="preserve">Realizar estudios </w:t>
      </w:r>
      <w:r w:rsidR="00100D3C" w:rsidRPr="00AE4035">
        <w:rPr>
          <w:rFonts w:cs="Times New Roman"/>
          <w:lang w:val="es-ES_tradnl"/>
        </w:rPr>
        <w:t>que describa</w:t>
      </w:r>
      <w:r w:rsidRPr="00AE4035">
        <w:rPr>
          <w:rFonts w:cs="Times New Roman"/>
          <w:lang w:val="es-ES_tradnl"/>
        </w:rPr>
        <w:t>n</w:t>
      </w:r>
      <w:r w:rsidR="00100D3C" w:rsidRPr="00AE4035">
        <w:rPr>
          <w:rFonts w:cs="Times New Roman"/>
          <w:lang w:val="es-ES_tradnl"/>
        </w:rPr>
        <w:t xml:space="preserve"> en estos países la organización, normas y regulación del sector de agua y saneamiento para ver si éstas promueven o no la implementación del enfoque de los DHAS e identificar aquellos temas que se necesitan impulsar o se pueden complementar para poner en marcha o avanzar el DHAS</w:t>
      </w:r>
      <w:r w:rsidR="005674D4" w:rsidRPr="00AE4035">
        <w:rPr>
          <w:rFonts w:cs="Times New Roman"/>
          <w:lang w:val="es-ES_tradnl"/>
        </w:rPr>
        <w:t>;</w:t>
      </w:r>
    </w:p>
    <w:p w14:paraId="7479AF1D" w14:textId="0968757D" w:rsidR="00100D3C" w:rsidRPr="00AE4035" w:rsidRDefault="00100D3C" w:rsidP="00100D3C">
      <w:pPr>
        <w:pStyle w:val="ListParagraph"/>
        <w:numPr>
          <w:ilvl w:val="1"/>
          <w:numId w:val="17"/>
        </w:numPr>
        <w:spacing w:after="0" w:line="240" w:lineRule="auto"/>
        <w:jc w:val="both"/>
        <w:rPr>
          <w:rFonts w:cs="Times New Roman"/>
          <w:b/>
          <w:lang w:val="es-ES_tradnl"/>
        </w:rPr>
      </w:pPr>
      <w:r w:rsidRPr="00AE4035">
        <w:rPr>
          <w:rFonts w:cs="Times New Roman"/>
          <w:lang w:val="es-ES_tradnl"/>
        </w:rPr>
        <w:t xml:space="preserve">Preparar el contenido temático de los talleres de sensibilización inicial a realizar en los tres países seleccionados; </w:t>
      </w:r>
    </w:p>
    <w:p w14:paraId="149D83E7" w14:textId="3F6FF3A8" w:rsidR="00100D3C" w:rsidRPr="00AE4035" w:rsidRDefault="00100D3C" w:rsidP="00100D3C">
      <w:pPr>
        <w:pStyle w:val="ListParagraph"/>
        <w:numPr>
          <w:ilvl w:val="1"/>
          <w:numId w:val="17"/>
        </w:numPr>
        <w:spacing w:after="0" w:line="240" w:lineRule="auto"/>
        <w:jc w:val="both"/>
        <w:rPr>
          <w:rFonts w:cs="Times New Roman"/>
          <w:lang w:val="es-ES_tradnl"/>
        </w:rPr>
      </w:pPr>
      <w:r w:rsidRPr="00AE4035">
        <w:rPr>
          <w:rFonts w:cs="Times New Roman"/>
          <w:lang w:val="es-ES_tradnl"/>
        </w:rPr>
        <w:t xml:space="preserve">Diseño y </w:t>
      </w:r>
      <w:r w:rsidR="00435302" w:rsidRPr="00AE4035">
        <w:rPr>
          <w:rFonts w:cs="Times New Roman"/>
          <w:lang w:val="es-ES_tradnl"/>
        </w:rPr>
        <w:t xml:space="preserve">acompañamiento en la ejecución de los planes de </w:t>
      </w:r>
      <w:r w:rsidR="003B6BD5" w:rsidRPr="00AE4035">
        <w:rPr>
          <w:rFonts w:cs="Times New Roman"/>
          <w:lang w:val="es-ES_tradnl"/>
        </w:rPr>
        <w:t>acción</w:t>
      </w:r>
      <w:r w:rsidR="00435302" w:rsidRPr="00AE4035">
        <w:rPr>
          <w:rFonts w:cs="Times New Roman"/>
          <w:lang w:val="es-ES_tradnl"/>
        </w:rPr>
        <w:t xml:space="preserve"> </w:t>
      </w:r>
      <w:r w:rsidRPr="00AE4035">
        <w:rPr>
          <w:rFonts w:cs="Times New Roman"/>
          <w:lang w:val="es-ES_tradnl"/>
        </w:rPr>
        <w:t xml:space="preserve">en cada país donde se van a realizar los pilotos </w:t>
      </w:r>
    </w:p>
    <w:p w14:paraId="1E7E6C24" w14:textId="77777777" w:rsidR="00100D3C" w:rsidRPr="00AE4035" w:rsidRDefault="00100D3C" w:rsidP="00100D3C">
      <w:pPr>
        <w:pStyle w:val="ListParagraph"/>
        <w:spacing w:after="0" w:line="240" w:lineRule="auto"/>
        <w:ind w:left="1800"/>
        <w:jc w:val="both"/>
        <w:rPr>
          <w:rFonts w:cs="Times New Roman"/>
          <w:lang w:val="es-ES_tradnl"/>
        </w:rPr>
      </w:pPr>
    </w:p>
    <w:p w14:paraId="1198B389" w14:textId="77777777" w:rsidR="00100D3C" w:rsidRPr="00AE4035" w:rsidRDefault="00100D3C" w:rsidP="00100D3C">
      <w:pPr>
        <w:pStyle w:val="ListParagraph"/>
        <w:numPr>
          <w:ilvl w:val="0"/>
          <w:numId w:val="1"/>
        </w:numPr>
        <w:spacing w:after="0" w:line="240" w:lineRule="auto"/>
        <w:ind w:left="540" w:hanging="540"/>
        <w:rPr>
          <w:rFonts w:cs="Times New Roman"/>
          <w:b/>
          <w:lang w:val="es-ES_tradnl"/>
        </w:rPr>
      </w:pPr>
      <w:r w:rsidRPr="00AE4035">
        <w:rPr>
          <w:rFonts w:cs="Times New Roman"/>
          <w:b/>
          <w:lang w:val="es-ES_tradnl"/>
        </w:rPr>
        <w:t>PRODUCTOS Y CALENDARIO</w:t>
      </w:r>
    </w:p>
    <w:p w14:paraId="254E86F9" w14:textId="77777777" w:rsidR="001B5D28" w:rsidRPr="00AE4035" w:rsidRDefault="001B5D28" w:rsidP="001B5D28">
      <w:pPr>
        <w:pStyle w:val="Paragraph"/>
        <w:numPr>
          <w:ilvl w:val="0"/>
          <w:numId w:val="0"/>
        </w:numPr>
        <w:tabs>
          <w:tab w:val="left" w:pos="709"/>
        </w:tabs>
        <w:ind w:left="709" w:hanging="169"/>
        <w:rPr>
          <w:rFonts w:asciiTheme="minorHAnsi" w:hAnsiTheme="minorHAnsi"/>
          <w:sz w:val="22"/>
          <w:szCs w:val="22"/>
        </w:rPr>
      </w:pPr>
      <w:r w:rsidRPr="00AE4035">
        <w:rPr>
          <w:rFonts w:asciiTheme="minorHAnsi" w:hAnsiTheme="minorHAnsi"/>
          <w:sz w:val="22"/>
          <w:szCs w:val="22"/>
        </w:rPr>
        <w:t>El consultor deberá entregar los siguientes informes en los plazos que se indican para cada uno:</w:t>
      </w:r>
    </w:p>
    <w:p w14:paraId="509CC8EF" w14:textId="553A42E3" w:rsidR="001B5D28" w:rsidRPr="00AE4035" w:rsidRDefault="001B5D28"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Informe inicial (plan de trabajo): fir</w:t>
      </w:r>
      <w:r w:rsidR="00E85DA0" w:rsidRPr="00AE4035">
        <w:rPr>
          <w:rFonts w:asciiTheme="minorHAnsi" w:hAnsiTheme="minorHAnsi"/>
          <w:sz w:val="22"/>
          <w:szCs w:val="22"/>
        </w:rPr>
        <w:t>ma del contrato (FC) + 1 semana;</w:t>
      </w:r>
    </w:p>
    <w:p w14:paraId="12BD1E02" w14:textId="183E8556" w:rsidR="00E85DA0" w:rsidRPr="00AE4035" w:rsidRDefault="00E85DA0"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Borrador de m</w:t>
      </w:r>
      <w:r w:rsidR="005B7D17" w:rsidRPr="00AE4035">
        <w:rPr>
          <w:rFonts w:asciiTheme="minorHAnsi" w:hAnsiTheme="minorHAnsi"/>
          <w:sz w:val="22"/>
          <w:szCs w:val="22"/>
        </w:rPr>
        <w:t xml:space="preserve">anual de </w:t>
      </w:r>
      <w:r w:rsidRPr="00AE4035">
        <w:rPr>
          <w:rFonts w:asciiTheme="minorHAnsi" w:hAnsiTheme="minorHAnsi"/>
          <w:sz w:val="22"/>
          <w:szCs w:val="22"/>
        </w:rPr>
        <w:t>implementación</w:t>
      </w:r>
      <w:r w:rsidR="005B7D17" w:rsidRPr="00AE4035">
        <w:rPr>
          <w:rFonts w:asciiTheme="minorHAnsi" w:hAnsiTheme="minorHAnsi"/>
          <w:sz w:val="22"/>
          <w:szCs w:val="22"/>
        </w:rPr>
        <w:t xml:space="preserve"> del DHAS en </w:t>
      </w:r>
      <w:r w:rsidRPr="00AE4035">
        <w:rPr>
          <w:rFonts w:asciiTheme="minorHAnsi" w:hAnsiTheme="minorHAnsi"/>
          <w:sz w:val="22"/>
          <w:szCs w:val="22"/>
        </w:rPr>
        <w:t>español</w:t>
      </w:r>
      <w:r w:rsidR="005B7D17" w:rsidRPr="00AE4035">
        <w:rPr>
          <w:rFonts w:asciiTheme="minorHAnsi" w:hAnsiTheme="minorHAnsi"/>
          <w:sz w:val="22"/>
          <w:szCs w:val="22"/>
        </w:rPr>
        <w:t xml:space="preserve">: FC + </w:t>
      </w:r>
      <w:r w:rsidRPr="00AE4035">
        <w:rPr>
          <w:rFonts w:asciiTheme="minorHAnsi" w:hAnsiTheme="minorHAnsi"/>
          <w:sz w:val="22"/>
          <w:szCs w:val="22"/>
        </w:rPr>
        <w:t>2 meses;</w:t>
      </w:r>
    </w:p>
    <w:p w14:paraId="31F6B51A" w14:textId="098D084D" w:rsidR="00100D3C" w:rsidRPr="00AE4035" w:rsidRDefault="003B6BD5"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Versión</w:t>
      </w:r>
      <w:r w:rsidR="00E85DA0" w:rsidRPr="00AE4035">
        <w:rPr>
          <w:rFonts w:asciiTheme="minorHAnsi" w:hAnsiTheme="minorHAnsi"/>
          <w:sz w:val="22"/>
          <w:szCs w:val="22"/>
        </w:rPr>
        <w:t xml:space="preserve"> final del manual de </w:t>
      </w:r>
      <w:r w:rsidRPr="00AE4035">
        <w:rPr>
          <w:rFonts w:asciiTheme="minorHAnsi" w:hAnsiTheme="minorHAnsi"/>
          <w:sz w:val="22"/>
          <w:szCs w:val="22"/>
        </w:rPr>
        <w:t>implementación</w:t>
      </w:r>
      <w:r w:rsidR="00E85DA0" w:rsidRPr="00AE4035">
        <w:rPr>
          <w:rFonts w:asciiTheme="minorHAnsi" w:hAnsiTheme="minorHAnsi"/>
          <w:sz w:val="22"/>
          <w:szCs w:val="22"/>
        </w:rPr>
        <w:t xml:space="preserve"> del DHAS en </w:t>
      </w:r>
      <w:r w:rsidRPr="00AE4035">
        <w:rPr>
          <w:rFonts w:asciiTheme="minorHAnsi" w:hAnsiTheme="minorHAnsi"/>
          <w:sz w:val="22"/>
          <w:szCs w:val="22"/>
        </w:rPr>
        <w:t>español</w:t>
      </w:r>
      <w:r w:rsidR="00E85DA0" w:rsidRPr="00AE4035">
        <w:rPr>
          <w:rFonts w:asciiTheme="minorHAnsi" w:hAnsiTheme="minorHAnsi"/>
          <w:sz w:val="22"/>
          <w:szCs w:val="22"/>
        </w:rPr>
        <w:t xml:space="preserve">: FC + 3 meses; </w:t>
      </w:r>
    </w:p>
    <w:p w14:paraId="7A503246" w14:textId="712A6109" w:rsidR="00E85DA0" w:rsidRPr="00AE4035" w:rsidRDefault="00E85DA0"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Estudios de condiciones del sector en cada país seleccionado para las intervenciones piloto: FC + 5 meses;</w:t>
      </w:r>
    </w:p>
    <w:p w14:paraId="3896564C" w14:textId="75787E8A" w:rsidR="00E85DA0" w:rsidRPr="00AE4035" w:rsidRDefault="003178AD"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Planes de acción para los pilotos: FC + 6 meses; FC+8 meses; FC+10 meses</w:t>
      </w:r>
      <w:r w:rsidR="00E85DA0" w:rsidRPr="00AE4035">
        <w:rPr>
          <w:rFonts w:asciiTheme="minorHAnsi" w:hAnsiTheme="minorHAnsi"/>
          <w:sz w:val="22"/>
          <w:szCs w:val="22"/>
        </w:rPr>
        <w:t>;</w:t>
      </w:r>
    </w:p>
    <w:p w14:paraId="24161C7B" w14:textId="0EDD2C09" w:rsidR="003178AD" w:rsidRPr="00AE4035" w:rsidRDefault="003178AD" w:rsidP="003178AD">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Implementación de planes pilotos: FC +12 meses; FC+14 meses; FC+16 meses</w:t>
      </w:r>
    </w:p>
    <w:p w14:paraId="313E396E" w14:textId="4D40C3CB" w:rsidR="00E85DA0" w:rsidRPr="00AE4035" w:rsidRDefault="00E85DA0"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Propuestas de contenido temático para las tres conferencias de divulgación de los pilotos y las conferencias de alto nivel: FC + mes 1</w:t>
      </w:r>
      <w:r w:rsidR="003178AD" w:rsidRPr="00AE4035">
        <w:rPr>
          <w:rFonts w:asciiTheme="minorHAnsi" w:hAnsiTheme="minorHAnsi"/>
          <w:sz w:val="22"/>
          <w:szCs w:val="22"/>
        </w:rPr>
        <w:t>8</w:t>
      </w:r>
      <w:r w:rsidRPr="00AE4035">
        <w:rPr>
          <w:rFonts w:asciiTheme="minorHAnsi" w:hAnsiTheme="minorHAnsi"/>
          <w:sz w:val="22"/>
          <w:szCs w:val="22"/>
        </w:rPr>
        <w:t>.</w:t>
      </w:r>
    </w:p>
    <w:p w14:paraId="7F4F5AF8" w14:textId="29E71574" w:rsidR="003178AD" w:rsidRPr="00AE4035" w:rsidRDefault="003178AD" w:rsidP="003C0818">
      <w:pPr>
        <w:pStyle w:val="Paragraph"/>
        <w:numPr>
          <w:ilvl w:val="0"/>
          <w:numId w:val="14"/>
        </w:numPr>
        <w:autoSpaceDE w:val="0"/>
        <w:autoSpaceDN w:val="0"/>
        <w:ind w:left="900" w:hanging="360"/>
        <w:rPr>
          <w:rFonts w:asciiTheme="minorHAnsi" w:hAnsiTheme="minorHAnsi"/>
          <w:sz w:val="22"/>
          <w:szCs w:val="22"/>
        </w:rPr>
      </w:pPr>
      <w:r w:rsidRPr="00AE4035">
        <w:rPr>
          <w:rFonts w:asciiTheme="minorHAnsi" w:hAnsiTheme="minorHAnsi"/>
          <w:sz w:val="22"/>
          <w:szCs w:val="22"/>
        </w:rPr>
        <w:t>Memorias y conclusiones de las conferencias FC+20 meses</w:t>
      </w:r>
    </w:p>
    <w:p w14:paraId="174C369D" w14:textId="77777777" w:rsidR="00D45584" w:rsidRPr="00AE4035" w:rsidRDefault="00D45584" w:rsidP="00AB14F2">
      <w:pPr>
        <w:spacing w:after="0" w:line="240" w:lineRule="auto"/>
        <w:ind w:left="540" w:hanging="540"/>
        <w:rPr>
          <w:rFonts w:cs="Times New Roman"/>
          <w:b/>
          <w:lang w:val="es-ES_tradnl"/>
        </w:rPr>
      </w:pPr>
    </w:p>
    <w:p w14:paraId="61D7D609" w14:textId="77777777" w:rsidR="005155AA" w:rsidRPr="00AE4035" w:rsidRDefault="005155AA" w:rsidP="00831EEF">
      <w:pPr>
        <w:pStyle w:val="ListParagraph"/>
        <w:numPr>
          <w:ilvl w:val="0"/>
          <w:numId w:val="15"/>
        </w:numPr>
        <w:spacing w:after="0" w:line="240" w:lineRule="auto"/>
        <w:ind w:left="540" w:hanging="540"/>
        <w:rPr>
          <w:rFonts w:cs="Times New Roman"/>
          <w:b/>
          <w:lang w:val="es-ES_tradnl"/>
        </w:rPr>
      </w:pPr>
      <w:r w:rsidRPr="00AE4035">
        <w:rPr>
          <w:rFonts w:cs="Times New Roman"/>
          <w:b/>
          <w:lang w:val="es-ES_tradnl"/>
        </w:rPr>
        <w:t>PAGOS</w:t>
      </w:r>
    </w:p>
    <w:p w14:paraId="64CF9C56" w14:textId="77777777" w:rsidR="001B5D28" w:rsidRPr="00AE4035" w:rsidRDefault="001B5D28" w:rsidP="001B5D28">
      <w:pPr>
        <w:pStyle w:val="Paragraph"/>
        <w:numPr>
          <w:ilvl w:val="0"/>
          <w:numId w:val="0"/>
        </w:numPr>
        <w:tabs>
          <w:tab w:val="num" w:pos="709"/>
        </w:tabs>
        <w:autoSpaceDE w:val="0"/>
        <w:autoSpaceDN w:val="0"/>
        <w:ind w:left="540"/>
        <w:rPr>
          <w:rFonts w:asciiTheme="minorHAnsi" w:hAnsiTheme="minorHAnsi"/>
          <w:sz w:val="22"/>
          <w:szCs w:val="22"/>
        </w:rPr>
      </w:pPr>
      <w:r w:rsidRPr="00AE4035">
        <w:rPr>
          <w:rFonts w:asciiTheme="minorHAnsi" w:hAnsiTheme="minorHAnsi"/>
          <w:sz w:val="22"/>
          <w:szCs w:val="22"/>
        </w:rPr>
        <w:t xml:space="preserve">Los pagos se realizarán después de que el BID apruebe los </w:t>
      </w:r>
      <w:r w:rsidR="00E21AB4" w:rsidRPr="00AE4035">
        <w:rPr>
          <w:rFonts w:asciiTheme="minorHAnsi" w:hAnsiTheme="minorHAnsi"/>
          <w:sz w:val="22"/>
          <w:szCs w:val="22"/>
        </w:rPr>
        <w:t>productos</w:t>
      </w:r>
      <w:r w:rsidRPr="00AE4035">
        <w:rPr>
          <w:rFonts w:asciiTheme="minorHAnsi" w:hAnsiTheme="minorHAnsi"/>
          <w:sz w:val="22"/>
          <w:szCs w:val="22"/>
        </w:rPr>
        <w:t xml:space="preserve"> asociados a cada pago. Los pagos se estructurarán de la siguiente manera:</w:t>
      </w:r>
    </w:p>
    <w:tbl>
      <w:tblPr>
        <w:tblW w:w="8640" w:type="dxa"/>
        <w:tblInd w:w="468" w:type="dxa"/>
        <w:tblLook w:val="04A0" w:firstRow="1" w:lastRow="0" w:firstColumn="1" w:lastColumn="0" w:noHBand="0" w:noVBand="1"/>
      </w:tblPr>
      <w:tblGrid>
        <w:gridCol w:w="737"/>
        <w:gridCol w:w="6661"/>
        <w:gridCol w:w="1242"/>
      </w:tblGrid>
      <w:tr w:rsidR="001B5D28" w:rsidRPr="00AE4035" w14:paraId="1C33D7F2" w14:textId="77777777" w:rsidTr="00860906">
        <w:trPr>
          <w:trHeight w:val="315"/>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D7779" w14:textId="77777777" w:rsidR="001B5D28" w:rsidRPr="00AE4035" w:rsidRDefault="001B5D28" w:rsidP="001B5D28">
            <w:pPr>
              <w:autoSpaceDN w:val="0"/>
              <w:ind w:left="540" w:hanging="630"/>
              <w:jc w:val="center"/>
              <w:rPr>
                <w:b/>
                <w:bCs/>
                <w:lang w:val="es-ES_tradnl"/>
              </w:rPr>
            </w:pPr>
            <w:r w:rsidRPr="00AE4035">
              <w:rPr>
                <w:b/>
                <w:bCs/>
                <w:lang w:val="es-ES_tradnl"/>
              </w:rPr>
              <w:t>Pago</w:t>
            </w:r>
          </w:p>
        </w:tc>
        <w:tc>
          <w:tcPr>
            <w:tcW w:w="6661" w:type="dxa"/>
            <w:tcBorders>
              <w:top w:val="single" w:sz="4" w:space="0" w:color="auto"/>
              <w:left w:val="nil"/>
              <w:bottom w:val="single" w:sz="4" w:space="0" w:color="auto"/>
              <w:right w:val="single" w:sz="4" w:space="0" w:color="auto"/>
            </w:tcBorders>
            <w:noWrap/>
            <w:vAlign w:val="bottom"/>
            <w:hideMark/>
          </w:tcPr>
          <w:p w14:paraId="18CD0379" w14:textId="77777777" w:rsidR="001B5D28" w:rsidRPr="00AE4035" w:rsidRDefault="00E21AB4" w:rsidP="001B5D28">
            <w:pPr>
              <w:autoSpaceDN w:val="0"/>
              <w:ind w:left="540"/>
              <w:jc w:val="center"/>
              <w:rPr>
                <w:b/>
                <w:bCs/>
                <w:lang w:val="es-ES_tradnl"/>
              </w:rPr>
            </w:pPr>
            <w:r w:rsidRPr="00AE4035">
              <w:rPr>
                <w:b/>
                <w:bCs/>
                <w:lang w:val="es-ES_tradnl"/>
              </w:rPr>
              <w:t>Productos</w:t>
            </w:r>
          </w:p>
        </w:tc>
        <w:tc>
          <w:tcPr>
            <w:tcW w:w="1242" w:type="dxa"/>
            <w:tcBorders>
              <w:top w:val="single" w:sz="4" w:space="0" w:color="auto"/>
              <w:left w:val="nil"/>
              <w:bottom w:val="single" w:sz="4" w:space="0" w:color="auto"/>
              <w:right w:val="single" w:sz="4" w:space="0" w:color="auto"/>
            </w:tcBorders>
            <w:noWrap/>
            <w:vAlign w:val="bottom"/>
            <w:hideMark/>
          </w:tcPr>
          <w:p w14:paraId="0C0AFA5F" w14:textId="77777777" w:rsidR="001B5D28" w:rsidRPr="00AE4035" w:rsidRDefault="001B5D28" w:rsidP="00E21AB4">
            <w:pPr>
              <w:autoSpaceDN w:val="0"/>
              <w:ind w:left="540" w:hanging="558"/>
              <w:jc w:val="center"/>
              <w:rPr>
                <w:b/>
                <w:bCs/>
                <w:lang w:val="es-ES_tradnl"/>
              </w:rPr>
            </w:pPr>
            <w:r w:rsidRPr="00AE4035">
              <w:rPr>
                <w:b/>
                <w:bCs/>
                <w:lang w:val="es-ES_tradnl"/>
              </w:rPr>
              <w:t>Porcentaje</w:t>
            </w:r>
          </w:p>
        </w:tc>
      </w:tr>
      <w:tr w:rsidR="00E21AB4" w:rsidRPr="00AE4035" w14:paraId="05D8F85E" w14:textId="77777777" w:rsidTr="00860906">
        <w:trPr>
          <w:trHeight w:val="530"/>
        </w:trPr>
        <w:tc>
          <w:tcPr>
            <w:tcW w:w="737" w:type="dxa"/>
            <w:tcBorders>
              <w:top w:val="nil"/>
              <w:left w:val="single" w:sz="4" w:space="0" w:color="auto"/>
              <w:bottom w:val="single" w:sz="4" w:space="0" w:color="auto"/>
              <w:right w:val="single" w:sz="4" w:space="0" w:color="auto"/>
            </w:tcBorders>
            <w:shd w:val="clear" w:color="auto" w:fill="auto"/>
            <w:noWrap/>
          </w:tcPr>
          <w:p w14:paraId="0BF012B1" w14:textId="77777777" w:rsidR="00E21AB4" w:rsidRPr="00AE4035" w:rsidRDefault="00E21AB4" w:rsidP="001B5D28">
            <w:pPr>
              <w:autoSpaceDN w:val="0"/>
              <w:ind w:left="540" w:hanging="630"/>
              <w:jc w:val="center"/>
              <w:rPr>
                <w:lang w:val="es-ES_tradnl"/>
              </w:rPr>
            </w:pPr>
            <w:r w:rsidRPr="00AE4035">
              <w:rPr>
                <w:lang w:val="es-ES_tradnl"/>
              </w:rPr>
              <w:t>1</w:t>
            </w:r>
          </w:p>
        </w:tc>
        <w:tc>
          <w:tcPr>
            <w:tcW w:w="6661" w:type="dxa"/>
            <w:tcBorders>
              <w:top w:val="nil"/>
              <w:left w:val="nil"/>
              <w:bottom w:val="single" w:sz="4" w:space="0" w:color="auto"/>
              <w:right w:val="single" w:sz="4" w:space="0" w:color="auto"/>
            </w:tcBorders>
            <w:shd w:val="clear" w:color="auto" w:fill="auto"/>
            <w:noWrap/>
          </w:tcPr>
          <w:p w14:paraId="1409D77C" w14:textId="2715D1D0" w:rsidR="00E21AB4" w:rsidRPr="00AE4035" w:rsidRDefault="00F0705A"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Informe inicial (plan de trabajo): firma del contrato (FC) + 1 semana;</w:t>
            </w:r>
          </w:p>
        </w:tc>
        <w:tc>
          <w:tcPr>
            <w:tcW w:w="1242" w:type="dxa"/>
            <w:tcBorders>
              <w:top w:val="nil"/>
              <w:left w:val="nil"/>
              <w:bottom w:val="single" w:sz="4" w:space="0" w:color="auto"/>
              <w:right w:val="single" w:sz="4" w:space="0" w:color="auto"/>
            </w:tcBorders>
            <w:noWrap/>
          </w:tcPr>
          <w:p w14:paraId="589C78F3" w14:textId="68FBF6AE" w:rsidR="00E21AB4" w:rsidRPr="00AE4035" w:rsidRDefault="003178AD" w:rsidP="00E21AB4">
            <w:pPr>
              <w:autoSpaceDN w:val="0"/>
              <w:ind w:left="540" w:hanging="558"/>
              <w:jc w:val="center"/>
              <w:rPr>
                <w:lang w:val="es-ES_tradnl"/>
              </w:rPr>
            </w:pPr>
            <w:r w:rsidRPr="00AE4035">
              <w:rPr>
                <w:lang w:val="es-ES_tradnl"/>
              </w:rPr>
              <w:t>2</w:t>
            </w:r>
          </w:p>
        </w:tc>
      </w:tr>
      <w:tr w:rsidR="001B5D28" w:rsidRPr="00AE4035" w14:paraId="7C9681CF" w14:textId="77777777" w:rsidTr="00860906">
        <w:trPr>
          <w:trHeight w:val="773"/>
        </w:trPr>
        <w:tc>
          <w:tcPr>
            <w:tcW w:w="737" w:type="dxa"/>
            <w:tcBorders>
              <w:top w:val="nil"/>
              <w:left w:val="single" w:sz="4" w:space="0" w:color="auto"/>
              <w:bottom w:val="single" w:sz="4" w:space="0" w:color="auto"/>
              <w:right w:val="single" w:sz="4" w:space="0" w:color="auto"/>
            </w:tcBorders>
            <w:shd w:val="clear" w:color="auto" w:fill="auto"/>
            <w:noWrap/>
            <w:hideMark/>
          </w:tcPr>
          <w:p w14:paraId="6FBCEBD0" w14:textId="77777777" w:rsidR="001B5D28" w:rsidRPr="00AE4035" w:rsidRDefault="00E21AB4" w:rsidP="001B5D28">
            <w:pPr>
              <w:autoSpaceDN w:val="0"/>
              <w:ind w:left="540" w:hanging="630"/>
              <w:jc w:val="center"/>
              <w:rPr>
                <w:lang w:val="es-ES_tradnl"/>
              </w:rPr>
            </w:pPr>
            <w:r w:rsidRPr="00AE4035">
              <w:rPr>
                <w:lang w:val="es-ES_tradnl"/>
              </w:rPr>
              <w:t>2</w:t>
            </w:r>
          </w:p>
        </w:tc>
        <w:tc>
          <w:tcPr>
            <w:tcW w:w="6661" w:type="dxa"/>
            <w:tcBorders>
              <w:top w:val="nil"/>
              <w:left w:val="nil"/>
              <w:bottom w:val="single" w:sz="4" w:space="0" w:color="auto"/>
              <w:right w:val="single" w:sz="4" w:space="0" w:color="auto"/>
            </w:tcBorders>
            <w:shd w:val="clear" w:color="auto" w:fill="auto"/>
            <w:noWrap/>
          </w:tcPr>
          <w:p w14:paraId="4C92FF0B" w14:textId="68B94841" w:rsidR="00E21AB4" w:rsidRPr="00AE4035" w:rsidRDefault="00F0705A"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Borrador de manual de implementación del DHAS en español: FC + 2 meses</w:t>
            </w:r>
          </w:p>
        </w:tc>
        <w:tc>
          <w:tcPr>
            <w:tcW w:w="1242" w:type="dxa"/>
            <w:tcBorders>
              <w:top w:val="nil"/>
              <w:left w:val="nil"/>
              <w:bottom w:val="single" w:sz="4" w:space="0" w:color="auto"/>
              <w:right w:val="single" w:sz="4" w:space="0" w:color="auto"/>
            </w:tcBorders>
            <w:noWrap/>
          </w:tcPr>
          <w:p w14:paraId="3E4F204A" w14:textId="1265AE9A" w:rsidR="001B5D28" w:rsidRPr="00AE4035" w:rsidRDefault="0097563D" w:rsidP="00E21AB4">
            <w:pPr>
              <w:autoSpaceDN w:val="0"/>
              <w:ind w:left="540" w:hanging="558"/>
              <w:jc w:val="center"/>
              <w:rPr>
                <w:lang w:val="es-ES_tradnl"/>
              </w:rPr>
            </w:pPr>
            <w:r w:rsidRPr="00AE4035">
              <w:rPr>
                <w:lang w:val="es-ES_tradnl"/>
              </w:rPr>
              <w:t>5</w:t>
            </w:r>
          </w:p>
        </w:tc>
      </w:tr>
      <w:tr w:rsidR="00F46750" w:rsidRPr="00AE4035" w14:paraId="5615272A" w14:textId="77777777" w:rsidTr="00860906">
        <w:trPr>
          <w:trHeight w:val="710"/>
        </w:trPr>
        <w:tc>
          <w:tcPr>
            <w:tcW w:w="737" w:type="dxa"/>
            <w:tcBorders>
              <w:top w:val="nil"/>
              <w:left w:val="single" w:sz="4" w:space="0" w:color="auto"/>
              <w:bottom w:val="single" w:sz="4" w:space="0" w:color="auto"/>
              <w:right w:val="single" w:sz="4" w:space="0" w:color="auto"/>
            </w:tcBorders>
            <w:shd w:val="clear" w:color="auto" w:fill="auto"/>
            <w:noWrap/>
          </w:tcPr>
          <w:p w14:paraId="4DFB529C" w14:textId="05B407EB" w:rsidR="00F46750" w:rsidRPr="00AE4035" w:rsidRDefault="00C200EF" w:rsidP="001B5D28">
            <w:pPr>
              <w:autoSpaceDN w:val="0"/>
              <w:ind w:left="540" w:hanging="630"/>
              <w:jc w:val="center"/>
              <w:rPr>
                <w:lang w:val="es-ES_tradnl"/>
              </w:rPr>
            </w:pPr>
            <w:r w:rsidRPr="00AE4035">
              <w:rPr>
                <w:lang w:val="es-ES_tradnl"/>
              </w:rPr>
              <w:t>3</w:t>
            </w:r>
          </w:p>
        </w:tc>
        <w:tc>
          <w:tcPr>
            <w:tcW w:w="6661" w:type="dxa"/>
            <w:tcBorders>
              <w:top w:val="nil"/>
              <w:left w:val="nil"/>
              <w:bottom w:val="single" w:sz="4" w:space="0" w:color="auto"/>
              <w:right w:val="single" w:sz="4" w:space="0" w:color="auto"/>
            </w:tcBorders>
            <w:shd w:val="clear" w:color="auto" w:fill="auto"/>
            <w:noWrap/>
          </w:tcPr>
          <w:p w14:paraId="3D9D0436" w14:textId="63CD6B79" w:rsidR="00F46750" w:rsidRPr="00AE4035" w:rsidRDefault="00F0705A" w:rsidP="003178AD">
            <w:pPr>
              <w:pStyle w:val="Paragraph"/>
              <w:numPr>
                <w:ilvl w:val="0"/>
                <w:numId w:val="0"/>
              </w:numPr>
              <w:autoSpaceDE w:val="0"/>
              <w:autoSpaceDN w:val="0"/>
              <w:rPr>
                <w:highlight w:val="yellow"/>
              </w:rPr>
            </w:pPr>
            <w:r w:rsidRPr="00AE4035">
              <w:rPr>
                <w:rFonts w:asciiTheme="minorHAnsi" w:hAnsiTheme="minorHAnsi"/>
                <w:sz w:val="22"/>
                <w:szCs w:val="22"/>
              </w:rPr>
              <w:t>Versión final del manual de implementación del DHAS en español: FC + 3 meses</w:t>
            </w:r>
          </w:p>
        </w:tc>
        <w:tc>
          <w:tcPr>
            <w:tcW w:w="1242" w:type="dxa"/>
            <w:tcBorders>
              <w:top w:val="nil"/>
              <w:left w:val="nil"/>
              <w:bottom w:val="single" w:sz="4" w:space="0" w:color="auto"/>
              <w:right w:val="single" w:sz="4" w:space="0" w:color="auto"/>
            </w:tcBorders>
            <w:noWrap/>
          </w:tcPr>
          <w:p w14:paraId="4BB767C7" w14:textId="7E64B252" w:rsidR="00F46750" w:rsidRPr="00AE4035" w:rsidRDefault="0097563D" w:rsidP="00E21AB4">
            <w:pPr>
              <w:autoSpaceDN w:val="0"/>
              <w:ind w:left="540" w:hanging="558"/>
              <w:jc w:val="center"/>
              <w:rPr>
                <w:lang w:val="es-ES_tradnl"/>
              </w:rPr>
            </w:pPr>
            <w:r w:rsidRPr="00AE4035">
              <w:rPr>
                <w:lang w:val="es-ES_tradnl"/>
              </w:rPr>
              <w:t>7.5</w:t>
            </w:r>
          </w:p>
        </w:tc>
      </w:tr>
      <w:tr w:rsidR="00F46750" w:rsidRPr="00AE4035" w14:paraId="029EAB31" w14:textId="77777777" w:rsidTr="00860906">
        <w:trPr>
          <w:trHeight w:val="755"/>
        </w:trPr>
        <w:tc>
          <w:tcPr>
            <w:tcW w:w="737" w:type="dxa"/>
            <w:tcBorders>
              <w:top w:val="nil"/>
              <w:left w:val="single" w:sz="4" w:space="0" w:color="auto"/>
              <w:bottom w:val="single" w:sz="4" w:space="0" w:color="auto"/>
              <w:right w:val="single" w:sz="4" w:space="0" w:color="auto"/>
            </w:tcBorders>
            <w:shd w:val="clear" w:color="auto" w:fill="auto"/>
            <w:noWrap/>
          </w:tcPr>
          <w:p w14:paraId="6133A51C" w14:textId="66A080EF" w:rsidR="00F46750" w:rsidRPr="00AE4035" w:rsidRDefault="00C200EF" w:rsidP="001B5D28">
            <w:pPr>
              <w:autoSpaceDN w:val="0"/>
              <w:ind w:left="540" w:hanging="630"/>
              <w:jc w:val="center"/>
              <w:rPr>
                <w:lang w:val="es-ES_tradnl"/>
              </w:rPr>
            </w:pPr>
            <w:r w:rsidRPr="00AE4035">
              <w:rPr>
                <w:lang w:val="es-ES_tradnl"/>
              </w:rPr>
              <w:t>4</w:t>
            </w:r>
          </w:p>
        </w:tc>
        <w:tc>
          <w:tcPr>
            <w:tcW w:w="6661" w:type="dxa"/>
            <w:tcBorders>
              <w:top w:val="nil"/>
              <w:left w:val="nil"/>
              <w:bottom w:val="single" w:sz="4" w:space="0" w:color="auto"/>
              <w:right w:val="single" w:sz="4" w:space="0" w:color="auto"/>
            </w:tcBorders>
            <w:shd w:val="clear" w:color="auto" w:fill="auto"/>
            <w:noWrap/>
          </w:tcPr>
          <w:p w14:paraId="15520961" w14:textId="5AA0E06A" w:rsidR="00F46750" w:rsidRPr="00AE4035" w:rsidRDefault="00F0705A" w:rsidP="003178AD">
            <w:pPr>
              <w:pStyle w:val="Paragraph"/>
              <w:numPr>
                <w:ilvl w:val="0"/>
                <w:numId w:val="0"/>
              </w:numPr>
              <w:autoSpaceDE w:val="0"/>
              <w:autoSpaceDN w:val="0"/>
              <w:rPr>
                <w:highlight w:val="yellow"/>
              </w:rPr>
            </w:pPr>
            <w:r w:rsidRPr="00AE4035">
              <w:rPr>
                <w:rFonts w:asciiTheme="minorHAnsi" w:hAnsiTheme="minorHAnsi"/>
                <w:sz w:val="22"/>
                <w:szCs w:val="22"/>
              </w:rPr>
              <w:t>Estudios de condiciones del sector en cada país seleccionado para las intervenciones piloto: FC + 5 meses;</w:t>
            </w:r>
          </w:p>
        </w:tc>
        <w:tc>
          <w:tcPr>
            <w:tcW w:w="1242" w:type="dxa"/>
            <w:tcBorders>
              <w:top w:val="nil"/>
              <w:left w:val="nil"/>
              <w:bottom w:val="single" w:sz="4" w:space="0" w:color="auto"/>
              <w:right w:val="single" w:sz="4" w:space="0" w:color="auto"/>
            </w:tcBorders>
            <w:noWrap/>
          </w:tcPr>
          <w:p w14:paraId="073E786D" w14:textId="3365E70F" w:rsidR="00F46750" w:rsidRPr="00AE4035" w:rsidRDefault="0097563D" w:rsidP="00E21AB4">
            <w:pPr>
              <w:autoSpaceDN w:val="0"/>
              <w:ind w:left="540" w:hanging="558"/>
              <w:jc w:val="center"/>
              <w:rPr>
                <w:lang w:val="es-ES_tradnl"/>
              </w:rPr>
            </w:pPr>
            <w:r w:rsidRPr="00AE4035">
              <w:rPr>
                <w:lang w:val="es-ES_tradnl"/>
              </w:rPr>
              <w:t>10</w:t>
            </w:r>
          </w:p>
        </w:tc>
      </w:tr>
      <w:tr w:rsidR="001B5D28" w:rsidRPr="00AE4035" w14:paraId="21B9F2F2" w14:textId="77777777" w:rsidTr="00860906">
        <w:trPr>
          <w:trHeight w:val="260"/>
        </w:trPr>
        <w:tc>
          <w:tcPr>
            <w:tcW w:w="737" w:type="dxa"/>
            <w:tcBorders>
              <w:top w:val="nil"/>
              <w:left w:val="single" w:sz="4" w:space="0" w:color="auto"/>
              <w:bottom w:val="single" w:sz="4" w:space="0" w:color="auto"/>
              <w:right w:val="single" w:sz="4" w:space="0" w:color="auto"/>
            </w:tcBorders>
            <w:shd w:val="clear" w:color="auto" w:fill="auto"/>
            <w:noWrap/>
            <w:hideMark/>
          </w:tcPr>
          <w:p w14:paraId="34FED49E" w14:textId="16875B13" w:rsidR="001B5D28" w:rsidRPr="00AE4035" w:rsidRDefault="00C200EF" w:rsidP="001B5D28">
            <w:pPr>
              <w:autoSpaceDN w:val="0"/>
              <w:ind w:left="540" w:hanging="630"/>
              <w:jc w:val="center"/>
              <w:rPr>
                <w:lang w:val="es-ES_tradnl"/>
              </w:rPr>
            </w:pPr>
            <w:r w:rsidRPr="00AE4035">
              <w:rPr>
                <w:lang w:val="es-ES_tradnl"/>
              </w:rPr>
              <w:lastRenderedPageBreak/>
              <w:t>5</w:t>
            </w:r>
          </w:p>
        </w:tc>
        <w:tc>
          <w:tcPr>
            <w:tcW w:w="6661" w:type="dxa"/>
            <w:tcBorders>
              <w:top w:val="nil"/>
              <w:left w:val="nil"/>
              <w:bottom w:val="single" w:sz="4" w:space="0" w:color="auto"/>
              <w:right w:val="single" w:sz="4" w:space="0" w:color="auto"/>
            </w:tcBorders>
            <w:shd w:val="clear" w:color="auto" w:fill="auto"/>
            <w:noWrap/>
          </w:tcPr>
          <w:p w14:paraId="7E59E431" w14:textId="68CE2C14" w:rsidR="001B5D28" w:rsidRPr="00AE4035" w:rsidRDefault="00F0705A" w:rsidP="003178AD">
            <w:pPr>
              <w:pStyle w:val="Paragraph"/>
              <w:numPr>
                <w:ilvl w:val="0"/>
                <w:numId w:val="0"/>
              </w:numPr>
              <w:autoSpaceDE w:val="0"/>
              <w:autoSpaceDN w:val="0"/>
              <w:rPr>
                <w:highlight w:val="yellow"/>
              </w:rPr>
            </w:pPr>
            <w:r w:rsidRPr="00AE4035">
              <w:rPr>
                <w:rFonts w:asciiTheme="minorHAnsi" w:hAnsiTheme="minorHAnsi"/>
                <w:sz w:val="22"/>
                <w:szCs w:val="22"/>
              </w:rPr>
              <w:t>Propuesta de contenido temático para los talleres de sensibilización: FC + 5 meses;</w:t>
            </w:r>
          </w:p>
        </w:tc>
        <w:tc>
          <w:tcPr>
            <w:tcW w:w="1242" w:type="dxa"/>
            <w:tcBorders>
              <w:top w:val="nil"/>
              <w:left w:val="nil"/>
              <w:bottom w:val="single" w:sz="4" w:space="0" w:color="auto"/>
              <w:right w:val="single" w:sz="4" w:space="0" w:color="auto"/>
            </w:tcBorders>
            <w:noWrap/>
          </w:tcPr>
          <w:p w14:paraId="59941A18" w14:textId="781A006D" w:rsidR="001B5D28" w:rsidRPr="00AE4035" w:rsidRDefault="0097563D" w:rsidP="00742007">
            <w:pPr>
              <w:autoSpaceDN w:val="0"/>
              <w:ind w:left="540" w:hanging="558"/>
              <w:jc w:val="center"/>
              <w:rPr>
                <w:lang w:val="es-ES_tradnl"/>
              </w:rPr>
            </w:pPr>
            <w:r w:rsidRPr="00AE4035">
              <w:rPr>
                <w:lang w:val="es-ES_tradnl"/>
              </w:rPr>
              <w:t>7.5</w:t>
            </w:r>
          </w:p>
        </w:tc>
      </w:tr>
      <w:tr w:rsidR="001B5D28" w:rsidRPr="00AE4035" w14:paraId="2E11D72A" w14:textId="77777777" w:rsidTr="00860906">
        <w:trPr>
          <w:trHeight w:val="1547"/>
        </w:trPr>
        <w:tc>
          <w:tcPr>
            <w:tcW w:w="737" w:type="dxa"/>
            <w:tcBorders>
              <w:top w:val="nil"/>
              <w:left w:val="single" w:sz="4" w:space="0" w:color="auto"/>
              <w:bottom w:val="single" w:sz="4" w:space="0" w:color="auto"/>
              <w:right w:val="single" w:sz="4" w:space="0" w:color="auto"/>
            </w:tcBorders>
            <w:shd w:val="clear" w:color="auto" w:fill="auto"/>
            <w:noWrap/>
            <w:hideMark/>
          </w:tcPr>
          <w:p w14:paraId="75A9FACA" w14:textId="041D5474" w:rsidR="001B5D28" w:rsidRPr="00AE4035" w:rsidRDefault="00C200EF" w:rsidP="001B5D28">
            <w:pPr>
              <w:autoSpaceDN w:val="0"/>
              <w:ind w:left="540" w:hanging="630"/>
              <w:jc w:val="center"/>
              <w:rPr>
                <w:lang w:val="es-ES_tradnl"/>
              </w:rPr>
            </w:pPr>
            <w:r w:rsidRPr="00AE4035">
              <w:rPr>
                <w:lang w:val="es-ES_tradnl"/>
              </w:rPr>
              <w:t>6</w:t>
            </w:r>
          </w:p>
        </w:tc>
        <w:tc>
          <w:tcPr>
            <w:tcW w:w="6661" w:type="dxa"/>
            <w:tcBorders>
              <w:top w:val="nil"/>
              <w:left w:val="nil"/>
              <w:bottom w:val="single" w:sz="4" w:space="0" w:color="auto"/>
              <w:right w:val="single" w:sz="4" w:space="0" w:color="auto"/>
            </w:tcBorders>
            <w:shd w:val="clear" w:color="auto" w:fill="auto"/>
            <w:noWrap/>
          </w:tcPr>
          <w:p w14:paraId="00F8F481" w14:textId="7777777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Planes de acción para los pilotos: </w:t>
            </w:r>
          </w:p>
          <w:p w14:paraId="1A6D585D" w14:textId="69C89C2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FC + 6 meses; </w:t>
            </w:r>
          </w:p>
          <w:p w14:paraId="0A43C574" w14:textId="7777777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FC+8 meses; </w:t>
            </w:r>
          </w:p>
          <w:p w14:paraId="1506FF29" w14:textId="64FAB4DA" w:rsidR="001B5D28"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FC+10 meses</w:t>
            </w:r>
          </w:p>
        </w:tc>
        <w:tc>
          <w:tcPr>
            <w:tcW w:w="1242" w:type="dxa"/>
            <w:tcBorders>
              <w:top w:val="nil"/>
              <w:left w:val="nil"/>
              <w:bottom w:val="single" w:sz="4" w:space="0" w:color="auto"/>
              <w:right w:val="single" w:sz="4" w:space="0" w:color="auto"/>
            </w:tcBorders>
            <w:noWrap/>
          </w:tcPr>
          <w:p w14:paraId="064422D7" w14:textId="77777777" w:rsidR="0097563D" w:rsidRPr="00AE4035" w:rsidRDefault="0097563D" w:rsidP="0097563D">
            <w:pPr>
              <w:autoSpaceDN w:val="0"/>
              <w:spacing w:line="240" w:lineRule="auto"/>
              <w:ind w:left="540" w:hanging="558"/>
              <w:jc w:val="center"/>
              <w:rPr>
                <w:lang w:val="es-ES_tradnl"/>
              </w:rPr>
            </w:pPr>
          </w:p>
          <w:p w14:paraId="501B7336" w14:textId="4D852F19" w:rsidR="001B5D28" w:rsidRPr="00AE4035" w:rsidRDefault="0097563D" w:rsidP="0097563D">
            <w:pPr>
              <w:autoSpaceDN w:val="0"/>
              <w:spacing w:line="240" w:lineRule="auto"/>
              <w:ind w:left="540" w:hanging="558"/>
              <w:jc w:val="center"/>
              <w:rPr>
                <w:lang w:val="es-ES_tradnl"/>
              </w:rPr>
            </w:pPr>
            <w:r w:rsidRPr="00AE4035">
              <w:rPr>
                <w:lang w:val="es-ES_tradnl"/>
              </w:rPr>
              <w:t>8</w:t>
            </w:r>
          </w:p>
          <w:p w14:paraId="222B4923" w14:textId="77777777" w:rsidR="00860906" w:rsidRPr="00AE4035" w:rsidRDefault="0097563D" w:rsidP="00860906">
            <w:pPr>
              <w:autoSpaceDN w:val="0"/>
              <w:spacing w:line="240" w:lineRule="auto"/>
              <w:ind w:left="540" w:hanging="558"/>
              <w:jc w:val="center"/>
              <w:rPr>
                <w:lang w:val="es-ES_tradnl"/>
              </w:rPr>
            </w:pPr>
            <w:r w:rsidRPr="00AE4035">
              <w:rPr>
                <w:lang w:val="es-ES_tradnl"/>
              </w:rPr>
              <w:t>8</w:t>
            </w:r>
          </w:p>
          <w:p w14:paraId="48779166" w14:textId="5435CF8F" w:rsidR="0097563D" w:rsidRPr="00AE4035" w:rsidRDefault="00860906" w:rsidP="00860906">
            <w:pPr>
              <w:tabs>
                <w:tab w:val="center" w:pos="504"/>
                <w:tab w:val="left" w:pos="948"/>
              </w:tabs>
              <w:autoSpaceDN w:val="0"/>
              <w:spacing w:line="240" w:lineRule="auto"/>
              <w:ind w:left="540" w:hanging="558"/>
              <w:rPr>
                <w:lang w:val="es-ES_tradnl"/>
              </w:rPr>
            </w:pPr>
            <w:r w:rsidRPr="00AE4035">
              <w:rPr>
                <w:lang w:val="es-ES_tradnl"/>
              </w:rPr>
              <w:tab/>
            </w:r>
            <w:r w:rsidR="0097563D" w:rsidRPr="00AE4035">
              <w:rPr>
                <w:lang w:val="es-ES_tradnl"/>
              </w:rPr>
              <w:t>8</w:t>
            </w:r>
          </w:p>
        </w:tc>
      </w:tr>
      <w:tr w:rsidR="003178AD" w:rsidRPr="00AE4035" w14:paraId="4CB836B0" w14:textId="77777777" w:rsidTr="00860906">
        <w:trPr>
          <w:trHeight w:val="773"/>
        </w:trPr>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05BD52BF" w14:textId="693F944B" w:rsidR="003178AD" w:rsidRPr="00AE4035" w:rsidRDefault="003178AD" w:rsidP="001B5D28">
            <w:pPr>
              <w:autoSpaceDN w:val="0"/>
              <w:ind w:left="540" w:hanging="630"/>
              <w:jc w:val="center"/>
              <w:rPr>
                <w:lang w:val="es-ES_tradnl"/>
              </w:rPr>
            </w:pPr>
            <w:r w:rsidRPr="00AE4035">
              <w:rPr>
                <w:lang w:val="es-ES_tradnl"/>
              </w:rPr>
              <w:t>7</w:t>
            </w:r>
          </w:p>
        </w:tc>
        <w:tc>
          <w:tcPr>
            <w:tcW w:w="6661" w:type="dxa"/>
            <w:tcBorders>
              <w:top w:val="single" w:sz="4" w:space="0" w:color="auto"/>
              <w:left w:val="nil"/>
              <w:bottom w:val="single" w:sz="4" w:space="0" w:color="auto"/>
              <w:right w:val="single" w:sz="4" w:space="0" w:color="auto"/>
            </w:tcBorders>
            <w:shd w:val="clear" w:color="auto" w:fill="auto"/>
            <w:noWrap/>
          </w:tcPr>
          <w:p w14:paraId="35695922" w14:textId="7777777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Implementación de planes pilotos: </w:t>
            </w:r>
          </w:p>
          <w:p w14:paraId="37D155E5" w14:textId="7777777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FC +12 meses; </w:t>
            </w:r>
          </w:p>
          <w:p w14:paraId="46A97554" w14:textId="77777777" w:rsidR="0097563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 xml:space="preserve">FC+14 meses; </w:t>
            </w:r>
          </w:p>
          <w:p w14:paraId="4B1C167E" w14:textId="6E06E3B7" w:rsidR="003178AD" w:rsidRPr="00AE4035" w:rsidRDefault="003178AD" w:rsidP="003178AD">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FC+16 meses</w:t>
            </w:r>
          </w:p>
        </w:tc>
        <w:tc>
          <w:tcPr>
            <w:tcW w:w="1242" w:type="dxa"/>
            <w:tcBorders>
              <w:top w:val="single" w:sz="4" w:space="0" w:color="auto"/>
              <w:left w:val="nil"/>
              <w:bottom w:val="single" w:sz="4" w:space="0" w:color="auto"/>
              <w:right w:val="single" w:sz="4" w:space="0" w:color="auto"/>
            </w:tcBorders>
            <w:noWrap/>
          </w:tcPr>
          <w:p w14:paraId="195AD945" w14:textId="77777777" w:rsidR="003178AD" w:rsidRPr="00AE4035" w:rsidRDefault="003178AD" w:rsidP="00E21AB4">
            <w:pPr>
              <w:autoSpaceDN w:val="0"/>
              <w:ind w:left="540" w:hanging="558"/>
              <w:jc w:val="center"/>
              <w:rPr>
                <w:lang w:val="es-ES_tradnl"/>
              </w:rPr>
            </w:pPr>
          </w:p>
          <w:p w14:paraId="4D4DF439" w14:textId="03EDD68F" w:rsidR="0097563D" w:rsidRPr="00AE4035" w:rsidRDefault="0097563D" w:rsidP="00E21AB4">
            <w:pPr>
              <w:autoSpaceDN w:val="0"/>
              <w:ind w:left="540" w:hanging="558"/>
              <w:jc w:val="center"/>
              <w:rPr>
                <w:lang w:val="es-ES_tradnl"/>
              </w:rPr>
            </w:pPr>
            <w:r w:rsidRPr="00AE4035">
              <w:rPr>
                <w:lang w:val="es-ES_tradnl"/>
              </w:rPr>
              <w:t>8</w:t>
            </w:r>
          </w:p>
          <w:p w14:paraId="69A1D9D5" w14:textId="5D833183" w:rsidR="0097563D" w:rsidRPr="00AE4035" w:rsidRDefault="0097563D" w:rsidP="00E21AB4">
            <w:pPr>
              <w:autoSpaceDN w:val="0"/>
              <w:ind w:left="540" w:hanging="558"/>
              <w:jc w:val="center"/>
              <w:rPr>
                <w:lang w:val="es-ES_tradnl"/>
              </w:rPr>
            </w:pPr>
            <w:r w:rsidRPr="00AE4035">
              <w:rPr>
                <w:lang w:val="es-ES_tradnl"/>
              </w:rPr>
              <w:t>8</w:t>
            </w:r>
          </w:p>
          <w:p w14:paraId="0F97C6F4" w14:textId="1E603560" w:rsidR="0097563D" w:rsidRPr="00AE4035" w:rsidRDefault="0097563D" w:rsidP="00E21AB4">
            <w:pPr>
              <w:autoSpaceDN w:val="0"/>
              <w:ind w:left="540" w:hanging="558"/>
              <w:jc w:val="center"/>
              <w:rPr>
                <w:lang w:val="es-ES_tradnl"/>
              </w:rPr>
            </w:pPr>
            <w:r w:rsidRPr="00AE4035">
              <w:rPr>
                <w:lang w:val="es-ES_tradnl"/>
              </w:rPr>
              <w:t>8</w:t>
            </w:r>
          </w:p>
        </w:tc>
      </w:tr>
      <w:tr w:rsidR="003178AD" w:rsidRPr="00AE4035" w14:paraId="7EBB9237" w14:textId="77777777" w:rsidTr="00860906">
        <w:trPr>
          <w:trHeight w:val="782"/>
        </w:trPr>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2C5AEBFD" w14:textId="012EA948" w:rsidR="003178AD" w:rsidRPr="00AE4035" w:rsidRDefault="003178AD" w:rsidP="001B5D28">
            <w:pPr>
              <w:autoSpaceDN w:val="0"/>
              <w:ind w:left="540" w:hanging="630"/>
              <w:jc w:val="center"/>
              <w:rPr>
                <w:lang w:val="es-ES_tradnl"/>
              </w:rPr>
            </w:pPr>
            <w:r w:rsidRPr="00AE4035">
              <w:rPr>
                <w:lang w:val="es-ES_tradnl"/>
              </w:rPr>
              <w:t>8</w:t>
            </w:r>
          </w:p>
        </w:tc>
        <w:tc>
          <w:tcPr>
            <w:tcW w:w="6661" w:type="dxa"/>
            <w:tcBorders>
              <w:top w:val="single" w:sz="4" w:space="0" w:color="auto"/>
              <w:left w:val="nil"/>
              <w:bottom w:val="single" w:sz="4" w:space="0" w:color="auto"/>
              <w:right w:val="single" w:sz="4" w:space="0" w:color="auto"/>
            </w:tcBorders>
            <w:shd w:val="clear" w:color="auto" w:fill="auto"/>
            <w:noWrap/>
          </w:tcPr>
          <w:p w14:paraId="371C084D" w14:textId="2F6872D9" w:rsidR="003178AD" w:rsidRPr="00AE4035" w:rsidRDefault="003178AD" w:rsidP="00860906">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Propuestas de contenido temático para las tres conferencias de divulgación de los pilotos y las conferencias de alto nivel: FC + mes 18.</w:t>
            </w:r>
          </w:p>
        </w:tc>
        <w:tc>
          <w:tcPr>
            <w:tcW w:w="1242" w:type="dxa"/>
            <w:tcBorders>
              <w:top w:val="single" w:sz="4" w:space="0" w:color="auto"/>
              <w:left w:val="nil"/>
              <w:bottom w:val="single" w:sz="4" w:space="0" w:color="auto"/>
              <w:right w:val="single" w:sz="4" w:space="0" w:color="auto"/>
            </w:tcBorders>
            <w:noWrap/>
          </w:tcPr>
          <w:p w14:paraId="49773F13" w14:textId="68581EDD" w:rsidR="003178AD" w:rsidRPr="00AE4035" w:rsidRDefault="0097563D" w:rsidP="00E21AB4">
            <w:pPr>
              <w:autoSpaceDN w:val="0"/>
              <w:ind w:left="540" w:hanging="558"/>
              <w:jc w:val="center"/>
              <w:rPr>
                <w:lang w:val="es-ES_tradnl"/>
              </w:rPr>
            </w:pPr>
            <w:r w:rsidRPr="00AE4035">
              <w:rPr>
                <w:lang w:val="es-ES_tradnl"/>
              </w:rPr>
              <w:t>10</w:t>
            </w:r>
          </w:p>
        </w:tc>
      </w:tr>
      <w:tr w:rsidR="003178AD" w:rsidRPr="00AE4035" w14:paraId="3C3FC02D" w14:textId="77777777" w:rsidTr="00860906">
        <w:trPr>
          <w:trHeight w:val="413"/>
        </w:trPr>
        <w:tc>
          <w:tcPr>
            <w:tcW w:w="737" w:type="dxa"/>
            <w:tcBorders>
              <w:top w:val="single" w:sz="4" w:space="0" w:color="auto"/>
              <w:left w:val="single" w:sz="4" w:space="0" w:color="auto"/>
              <w:bottom w:val="single" w:sz="4" w:space="0" w:color="auto"/>
              <w:right w:val="single" w:sz="4" w:space="0" w:color="auto"/>
            </w:tcBorders>
            <w:shd w:val="clear" w:color="auto" w:fill="auto"/>
            <w:noWrap/>
          </w:tcPr>
          <w:p w14:paraId="15F29CB4" w14:textId="3AD06D40" w:rsidR="003178AD" w:rsidRPr="00AE4035" w:rsidRDefault="003178AD" w:rsidP="001B5D28">
            <w:pPr>
              <w:autoSpaceDN w:val="0"/>
              <w:ind w:left="540" w:hanging="630"/>
              <w:jc w:val="center"/>
              <w:rPr>
                <w:lang w:val="es-ES_tradnl"/>
              </w:rPr>
            </w:pPr>
            <w:r w:rsidRPr="00AE4035">
              <w:rPr>
                <w:lang w:val="es-ES_tradnl"/>
              </w:rPr>
              <w:t>9</w:t>
            </w:r>
          </w:p>
        </w:tc>
        <w:tc>
          <w:tcPr>
            <w:tcW w:w="6661" w:type="dxa"/>
            <w:tcBorders>
              <w:top w:val="single" w:sz="4" w:space="0" w:color="auto"/>
              <w:left w:val="nil"/>
              <w:bottom w:val="single" w:sz="4" w:space="0" w:color="auto"/>
              <w:right w:val="single" w:sz="4" w:space="0" w:color="auto"/>
            </w:tcBorders>
            <w:shd w:val="clear" w:color="auto" w:fill="auto"/>
            <w:noWrap/>
          </w:tcPr>
          <w:p w14:paraId="17725413" w14:textId="144C4C3C" w:rsidR="003178AD" w:rsidRPr="00AE4035" w:rsidRDefault="003178AD" w:rsidP="00860906">
            <w:pPr>
              <w:pStyle w:val="Paragraph"/>
              <w:numPr>
                <w:ilvl w:val="0"/>
                <w:numId w:val="0"/>
              </w:numPr>
              <w:autoSpaceDE w:val="0"/>
              <w:autoSpaceDN w:val="0"/>
              <w:rPr>
                <w:rFonts w:asciiTheme="minorHAnsi" w:hAnsiTheme="minorHAnsi"/>
                <w:sz w:val="22"/>
                <w:szCs w:val="22"/>
              </w:rPr>
            </w:pPr>
            <w:r w:rsidRPr="00AE4035">
              <w:rPr>
                <w:rFonts w:asciiTheme="minorHAnsi" w:hAnsiTheme="minorHAnsi"/>
                <w:sz w:val="22"/>
                <w:szCs w:val="22"/>
              </w:rPr>
              <w:t>Memorias y conclusiones de las conferencias FC+20 meses</w:t>
            </w:r>
          </w:p>
        </w:tc>
        <w:tc>
          <w:tcPr>
            <w:tcW w:w="1242" w:type="dxa"/>
            <w:tcBorders>
              <w:top w:val="single" w:sz="4" w:space="0" w:color="auto"/>
              <w:left w:val="nil"/>
              <w:bottom w:val="single" w:sz="4" w:space="0" w:color="auto"/>
              <w:right w:val="single" w:sz="4" w:space="0" w:color="auto"/>
            </w:tcBorders>
            <w:noWrap/>
          </w:tcPr>
          <w:p w14:paraId="1810169A" w14:textId="17A502FE" w:rsidR="003178AD" w:rsidRPr="00AE4035" w:rsidRDefault="0097563D" w:rsidP="00E21AB4">
            <w:pPr>
              <w:autoSpaceDN w:val="0"/>
              <w:ind w:left="540" w:hanging="558"/>
              <w:jc w:val="center"/>
              <w:rPr>
                <w:lang w:val="es-ES_tradnl"/>
              </w:rPr>
            </w:pPr>
            <w:r w:rsidRPr="00AE4035">
              <w:rPr>
                <w:lang w:val="es-ES_tradnl"/>
              </w:rPr>
              <w:t>10</w:t>
            </w:r>
          </w:p>
        </w:tc>
      </w:tr>
    </w:tbl>
    <w:p w14:paraId="5677C5DD" w14:textId="77777777" w:rsidR="00D45584" w:rsidRPr="00AE4035" w:rsidRDefault="00D45584" w:rsidP="00F537F5">
      <w:pPr>
        <w:spacing w:after="0" w:line="240" w:lineRule="auto"/>
        <w:rPr>
          <w:rFonts w:cs="Times New Roman"/>
          <w:b/>
          <w:lang w:val="es-ES_tradnl"/>
        </w:rPr>
      </w:pPr>
    </w:p>
    <w:p w14:paraId="4BEE94BD" w14:textId="7C2B0CF8" w:rsidR="005155AA" w:rsidRPr="00AE4035" w:rsidRDefault="009F0A59" w:rsidP="00831EEF">
      <w:pPr>
        <w:pStyle w:val="ListParagraph"/>
        <w:numPr>
          <w:ilvl w:val="0"/>
          <w:numId w:val="15"/>
        </w:numPr>
        <w:spacing w:after="0" w:line="240" w:lineRule="auto"/>
        <w:ind w:left="540" w:hanging="540"/>
        <w:rPr>
          <w:rFonts w:cs="Times New Roman"/>
          <w:b/>
          <w:lang w:val="es-ES_tradnl"/>
        </w:rPr>
      </w:pPr>
      <w:r w:rsidRPr="00AE4035">
        <w:rPr>
          <w:rFonts w:cs="Times New Roman"/>
          <w:b/>
          <w:lang w:val="es-ES_tradnl"/>
        </w:rPr>
        <w:t xml:space="preserve">CARACTERÍSTICAS </w:t>
      </w:r>
      <w:r w:rsidR="005155AA" w:rsidRPr="00AE4035">
        <w:rPr>
          <w:rFonts w:cs="Times New Roman"/>
          <w:b/>
          <w:lang w:val="es-ES_tradnl"/>
        </w:rPr>
        <w:t xml:space="preserve">DE LA </w:t>
      </w:r>
      <w:r w:rsidRPr="00AE4035">
        <w:rPr>
          <w:rFonts w:cs="Times New Roman"/>
          <w:b/>
          <w:lang w:val="es-ES_tradnl"/>
        </w:rPr>
        <w:t>CONSULTORÍA</w:t>
      </w:r>
    </w:p>
    <w:p w14:paraId="42DCF40D" w14:textId="77777777" w:rsidR="00AB14F2" w:rsidRPr="00AE4035" w:rsidRDefault="00AB14F2" w:rsidP="00AB14F2">
      <w:pPr>
        <w:pStyle w:val="Paragraph"/>
        <w:numPr>
          <w:ilvl w:val="0"/>
          <w:numId w:val="0"/>
        </w:numPr>
        <w:ind w:left="540"/>
        <w:rPr>
          <w:rFonts w:asciiTheme="minorHAnsi" w:hAnsiTheme="minorHAnsi"/>
          <w:sz w:val="22"/>
          <w:szCs w:val="22"/>
        </w:rPr>
      </w:pPr>
      <w:r w:rsidRPr="00AE4035">
        <w:rPr>
          <w:rFonts w:asciiTheme="minorHAnsi" w:hAnsiTheme="minorHAnsi"/>
          <w:b/>
          <w:i/>
          <w:sz w:val="22"/>
          <w:szCs w:val="22"/>
        </w:rPr>
        <w:t>Tipo de Consultoría</w:t>
      </w:r>
      <w:r w:rsidRPr="00AE4035">
        <w:rPr>
          <w:rFonts w:asciiTheme="minorHAnsi" w:hAnsiTheme="minorHAnsi"/>
          <w:b/>
          <w:sz w:val="22"/>
          <w:szCs w:val="22"/>
        </w:rPr>
        <w:t>:</w:t>
      </w:r>
      <w:r w:rsidRPr="00AE4035">
        <w:rPr>
          <w:rFonts w:asciiTheme="minorHAnsi" w:hAnsiTheme="minorHAnsi"/>
          <w:sz w:val="22"/>
          <w:szCs w:val="22"/>
        </w:rPr>
        <w:t xml:space="preserve"> Consultoría individual internacional</w:t>
      </w:r>
    </w:p>
    <w:p w14:paraId="318B78A8" w14:textId="610ADD33" w:rsidR="00AB14F2" w:rsidRPr="00AE4035" w:rsidRDefault="00AB14F2" w:rsidP="00AB14F2">
      <w:pPr>
        <w:pStyle w:val="Paragraph"/>
        <w:numPr>
          <w:ilvl w:val="0"/>
          <w:numId w:val="0"/>
        </w:numPr>
        <w:ind w:left="540"/>
        <w:rPr>
          <w:rFonts w:asciiTheme="minorHAnsi" w:hAnsiTheme="minorHAnsi"/>
          <w:sz w:val="22"/>
          <w:szCs w:val="22"/>
        </w:rPr>
      </w:pPr>
      <w:r w:rsidRPr="00AE4035">
        <w:rPr>
          <w:rFonts w:asciiTheme="minorHAnsi" w:hAnsiTheme="minorHAnsi"/>
          <w:b/>
          <w:i/>
          <w:sz w:val="22"/>
          <w:szCs w:val="22"/>
        </w:rPr>
        <w:t>Duración del Contrato:</w:t>
      </w:r>
      <w:r w:rsidR="005F5600" w:rsidRPr="00AE4035">
        <w:rPr>
          <w:rFonts w:asciiTheme="minorHAnsi" w:hAnsiTheme="minorHAnsi"/>
          <w:sz w:val="22"/>
          <w:szCs w:val="22"/>
        </w:rPr>
        <w:t xml:space="preserve"> </w:t>
      </w:r>
      <w:r w:rsidR="00390124" w:rsidRPr="00AE4035">
        <w:rPr>
          <w:rFonts w:asciiTheme="minorHAnsi" w:hAnsiTheme="minorHAnsi"/>
          <w:sz w:val="22"/>
          <w:szCs w:val="22"/>
        </w:rPr>
        <w:t xml:space="preserve">19.5 </w:t>
      </w:r>
      <w:r w:rsidRPr="00AE4035">
        <w:rPr>
          <w:rFonts w:asciiTheme="minorHAnsi" w:hAnsiTheme="minorHAnsi"/>
          <w:sz w:val="22"/>
          <w:szCs w:val="22"/>
        </w:rPr>
        <w:t>meses con dedicación de 21.5 días por mes.</w:t>
      </w:r>
    </w:p>
    <w:p w14:paraId="4EA08804" w14:textId="77777777" w:rsidR="00AB14F2" w:rsidRPr="00AE4035" w:rsidRDefault="00AB14F2" w:rsidP="00193427">
      <w:pPr>
        <w:pStyle w:val="Paragraph"/>
        <w:numPr>
          <w:ilvl w:val="0"/>
          <w:numId w:val="0"/>
        </w:numPr>
        <w:ind w:left="540"/>
        <w:rPr>
          <w:rFonts w:asciiTheme="minorHAnsi" w:hAnsiTheme="minorHAnsi"/>
          <w:sz w:val="22"/>
          <w:szCs w:val="22"/>
        </w:rPr>
      </w:pPr>
      <w:r w:rsidRPr="00AE4035">
        <w:rPr>
          <w:rFonts w:asciiTheme="minorHAnsi" w:hAnsiTheme="minorHAnsi"/>
          <w:b/>
          <w:i/>
          <w:sz w:val="22"/>
          <w:szCs w:val="22"/>
        </w:rPr>
        <w:t>Lugar de trabajo:</w:t>
      </w:r>
      <w:r w:rsidRPr="00AE4035">
        <w:rPr>
          <w:rFonts w:asciiTheme="minorHAnsi" w:hAnsiTheme="minorHAnsi"/>
          <w:b/>
          <w:sz w:val="22"/>
          <w:szCs w:val="22"/>
        </w:rPr>
        <w:t xml:space="preserve"> </w:t>
      </w:r>
      <w:r w:rsidRPr="00AE4035">
        <w:rPr>
          <w:rFonts w:asciiTheme="minorHAnsi" w:hAnsiTheme="minorHAnsi"/>
          <w:sz w:val="22"/>
          <w:szCs w:val="22"/>
        </w:rPr>
        <w:t xml:space="preserve">Oficina del consultor. </w:t>
      </w:r>
      <w:r w:rsidR="00D2007D" w:rsidRPr="00AE4035">
        <w:rPr>
          <w:rFonts w:asciiTheme="minorHAnsi" w:hAnsiTheme="minorHAnsi"/>
          <w:sz w:val="22"/>
          <w:szCs w:val="22"/>
        </w:rPr>
        <w:t xml:space="preserve">El consultor deberá estar disponible para realizar </w:t>
      </w:r>
      <w:r w:rsidRPr="00AE4035">
        <w:rPr>
          <w:rFonts w:asciiTheme="minorHAnsi" w:hAnsiTheme="minorHAnsi"/>
          <w:sz w:val="22"/>
          <w:szCs w:val="22"/>
        </w:rPr>
        <w:t>2 viajes</w:t>
      </w:r>
      <w:r w:rsidR="00D2007D" w:rsidRPr="00AE4035">
        <w:rPr>
          <w:rFonts w:asciiTheme="minorHAnsi" w:hAnsiTheme="minorHAnsi"/>
          <w:sz w:val="22"/>
          <w:szCs w:val="22"/>
        </w:rPr>
        <w:t>:</w:t>
      </w:r>
      <w:r w:rsidRPr="00AE4035">
        <w:rPr>
          <w:rFonts w:asciiTheme="minorHAnsi" w:hAnsiTheme="minorHAnsi"/>
          <w:sz w:val="22"/>
          <w:szCs w:val="22"/>
        </w:rPr>
        <w:t xml:space="preserve"> a Washington DC </w:t>
      </w:r>
      <w:r w:rsidR="00D2007D" w:rsidRPr="00AE4035">
        <w:rPr>
          <w:rFonts w:asciiTheme="minorHAnsi" w:hAnsiTheme="minorHAnsi"/>
          <w:sz w:val="22"/>
          <w:szCs w:val="22"/>
        </w:rPr>
        <w:t xml:space="preserve">o </w:t>
      </w:r>
      <w:r w:rsidRPr="00AE4035">
        <w:rPr>
          <w:rFonts w:asciiTheme="minorHAnsi" w:hAnsiTheme="minorHAnsi"/>
          <w:sz w:val="22"/>
          <w:szCs w:val="22"/>
        </w:rPr>
        <w:t xml:space="preserve">a </w:t>
      </w:r>
      <w:r w:rsidR="00D2007D" w:rsidRPr="00AE4035">
        <w:rPr>
          <w:rFonts w:asciiTheme="minorHAnsi" w:hAnsiTheme="minorHAnsi"/>
          <w:sz w:val="22"/>
          <w:szCs w:val="22"/>
        </w:rPr>
        <w:t>algún</w:t>
      </w:r>
      <w:r w:rsidRPr="00AE4035">
        <w:rPr>
          <w:rFonts w:asciiTheme="minorHAnsi" w:hAnsiTheme="minorHAnsi"/>
          <w:sz w:val="22"/>
          <w:szCs w:val="22"/>
        </w:rPr>
        <w:t xml:space="preserve"> país miembro del Banco.</w:t>
      </w:r>
      <w:r w:rsidR="00C565B0" w:rsidRPr="00AE4035">
        <w:rPr>
          <w:rFonts w:asciiTheme="minorHAnsi" w:hAnsiTheme="minorHAnsi"/>
          <w:sz w:val="22"/>
          <w:szCs w:val="22"/>
        </w:rPr>
        <w:t xml:space="preserve"> Los costos relacionados con estos viajes serán cubiertos por el BID.</w:t>
      </w:r>
    </w:p>
    <w:p w14:paraId="7F8EEA20" w14:textId="77777777" w:rsidR="00AB14F2" w:rsidRPr="00AE4035" w:rsidRDefault="00AB14F2" w:rsidP="00F537F5">
      <w:pPr>
        <w:spacing w:after="0" w:line="240" w:lineRule="auto"/>
        <w:rPr>
          <w:rFonts w:cs="Times New Roman"/>
          <w:b/>
          <w:lang w:val="es-ES_tradnl"/>
        </w:rPr>
      </w:pPr>
    </w:p>
    <w:p w14:paraId="28B8C450" w14:textId="77777777" w:rsidR="005155AA" w:rsidRPr="00AE4035" w:rsidRDefault="005155AA" w:rsidP="00831EEF">
      <w:pPr>
        <w:pStyle w:val="ListParagraph"/>
        <w:numPr>
          <w:ilvl w:val="0"/>
          <w:numId w:val="15"/>
        </w:numPr>
        <w:spacing w:after="0" w:line="240" w:lineRule="auto"/>
        <w:ind w:left="540" w:hanging="540"/>
        <w:rPr>
          <w:rFonts w:cs="Times New Roman"/>
          <w:b/>
          <w:lang w:val="es-ES_tradnl"/>
        </w:rPr>
      </w:pPr>
      <w:r w:rsidRPr="00AE4035">
        <w:rPr>
          <w:rFonts w:cs="Times New Roman"/>
          <w:b/>
          <w:lang w:val="es-ES_tradnl"/>
        </w:rPr>
        <w:t>REQUISITOS DEL CONSULTOR</w:t>
      </w:r>
    </w:p>
    <w:p w14:paraId="3F212437" w14:textId="320C1384" w:rsidR="00E21AB4" w:rsidRPr="00AE4035" w:rsidRDefault="00555CB0" w:rsidP="00E21AB4">
      <w:pPr>
        <w:autoSpaceDE w:val="0"/>
        <w:autoSpaceDN w:val="0"/>
        <w:spacing w:after="0"/>
        <w:ind w:left="540"/>
        <w:jc w:val="both"/>
        <w:rPr>
          <w:lang w:val="es-ES_tradnl"/>
        </w:rPr>
      </w:pPr>
      <w:r w:rsidRPr="00AE4035">
        <w:rPr>
          <w:lang w:val="es-ES_tradnl"/>
        </w:rPr>
        <w:t>El consultor debe ser u</w:t>
      </w:r>
      <w:r w:rsidR="00E21AB4" w:rsidRPr="00AE4035">
        <w:rPr>
          <w:lang w:val="es-ES_tradnl"/>
        </w:rPr>
        <w:t xml:space="preserve">n profesional titulado del área de </w:t>
      </w:r>
      <w:r w:rsidR="00642D72" w:rsidRPr="00AE4035">
        <w:rPr>
          <w:lang w:val="es-ES_tradnl"/>
        </w:rPr>
        <w:t xml:space="preserve">derecho, ciencias políticas, economía o áreas afines </w:t>
      </w:r>
      <w:r w:rsidR="00E21AB4" w:rsidRPr="00AE4035">
        <w:rPr>
          <w:lang w:val="es-ES_tradnl"/>
        </w:rPr>
        <w:t>- con a</w:t>
      </w:r>
      <w:r w:rsidR="00D96403" w:rsidRPr="00AE4035">
        <w:rPr>
          <w:lang w:val="es-ES_tradnl"/>
        </w:rPr>
        <w:t xml:space="preserve">l menos 7 años de experiencia con temas de agua y saneamiento en América Latina y el caribe, al menos 3 años de experiencia en el tema </w:t>
      </w:r>
      <w:r w:rsidR="003848A6" w:rsidRPr="00AE4035">
        <w:rPr>
          <w:lang w:val="es-ES_tradnl"/>
        </w:rPr>
        <w:t>del Derecho Humano al Agua y Saneamiento</w:t>
      </w:r>
      <w:r w:rsidR="00E21AB4" w:rsidRPr="00AE4035">
        <w:rPr>
          <w:lang w:val="es-ES_tradnl"/>
        </w:rPr>
        <w:t xml:space="preserve">, </w:t>
      </w:r>
      <w:r w:rsidR="00D96403" w:rsidRPr="00AE4035">
        <w:rPr>
          <w:lang w:val="es-ES_tradnl"/>
        </w:rPr>
        <w:t>experiencia en difusión de temas técnicos a diferentes niveles, y conocimiento de los organismos internacionales que lideran los temas de agua y saneamiento y específicamente el tema del Derecho Humano al Agua y Saneamiento</w:t>
      </w:r>
      <w:r w:rsidRPr="00AE4035">
        <w:rPr>
          <w:lang w:val="es-ES_tradnl"/>
        </w:rPr>
        <w:t>.</w:t>
      </w:r>
      <w:r w:rsidR="00E21AB4" w:rsidRPr="00AE4035">
        <w:rPr>
          <w:lang w:val="es-ES_tradnl"/>
        </w:rPr>
        <w:t xml:space="preserve">  </w:t>
      </w:r>
      <w:r w:rsidR="00765D68" w:rsidRPr="00AE4035">
        <w:rPr>
          <w:lang w:val="es-ES_tradnl"/>
        </w:rPr>
        <w:t>El consultor debe tener dominio del inglés y español en forma oral y escrita.</w:t>
      </w:r>
    </w:p>
    <w:p w14:paraId="757716FD" w14:textId="77777777" w:rsidR="00D45584" w:rsidRPr="00AE4035" w:rsidRDefault="00D45584" w:rsidP="00AB14F2">
      <w:pPr>
        <w:spacing w:after="0" w:line="240" w:lineRule="auto"/>
        <w:ind w:left="540" w:hanging="540"/>
        <w:rPr>
          <w:rFonts w:cs="Times New Roman"/>
          <w:b/>
          <w:lang w:val="es-ES_tradnl"/>
        </w:rPr>
      </w:pPr>
    </w:p>
    <w:p w14:paraId="74B9CCE9" w14:textId="26C0342C" w:rsidR="005155AA" w:rsidRPr="00AE4035" w:rsidRDefault="005155AA" w:rsidP="00831EEF">
      <w:pPr>
        <w:pStyle w:val="ListParagraph"/>
        <w:numPr>
          <w:ilvl w:val="0"/>
          <w:numId w:val="15"/>
        </w:numPr>
        <w:spacing w:after="0" w:line="240" w:lineRule="auto"/>
        <w:ind w:left="540" w:hanging="540"/>
        <w:rPr>
          <w:rFonts w:cs="Times New Roman"/>
          <w:b/>
          <w:lang w:val="es-ES_tradnl"/>
        </w:rPr>
      </w:pPr>
      <w:r w:rsidRPr="00AE4035">
        <w:rPr>
          <w:rFonts w:cs="Times New Roman"/>
          <w:b/>
          <w:lang w:val="es-ES_tradnl"/>
        </w:rPr>
        <w:t>SUPERVISI</w:t>
      </w:r>
      <w:r w:rsidR="00450EF0" w:rsidRPr="00AE4035">
        <w:rPr>
          <w:rFonts w:cs="Times New Roman"/>
          <w:b/>
          <w:lang w:val="es-ES_tradnl"/>
        </w:rPr>
        <w:t>Ó</w:t>
      </w:r>
      <w:r w:rsidRPr="00AE4035">
        <w:rPr>
          <w:rFonts w:cs="Times New Roman"/>
          <w:b/>
          <w:lang w:val="es-ES_tradnl"/>
        </w:rPr>
        <w:t>N Y COORDINACI</w:t>
      </w:r>
      <w:r w:rsidR="00450EF0" w:rsidRPr="00AE4035">
        <w:rPr>
          <w:rFonts w:cs="Times New Roman"/>
          <w:b/>
          <w:lang w:val="es-ES_tradnl"/>
        </w:rPr>
        <w:t>Ó</w:t>
      </w:r>
      <w:r w:rsidRPr="00AE4035">
        <w:rPr>
          <w:rFonts w:cs="Times New Roman"/>
          <w:b/>
          <w:lang w:val="es-ES_tradnl"/>
        </w:rPr>
        <w:t>N</w:t>
      </w:r>
    </w:p>
    <w:p w14:paraId="16F70128" w14:textId="77777777" w:rsidR="005155AA" w:rsidRPr="00AE4035" w:rsidRDefault="005155AA" w:rsidP="00BA04D0">
      <w:pPr>
        <w:spacing w:after="0" w:line="240" w:lineRule="auto"/>
        <w:ind w:left="540"/>
        <w:rPr>
          <w:rFonts w:cs="Times New Roman"/>
          <w:b/>
          <w:lang w:val="es-ES_tradnl"/>
        </w:rPr>
      </w:pPr>
    </w:p>
    <w:p w14:paraId="59D9926F" w14:textId="550AB6C3" w:rsidR="00BA04D0" w:rsidRPr="00AE4035" w:rsidRDefault="00D2007D" w:rsidP="00860906">
      <w:pPr>
        <w:ind w:left="540"/>
        <w:rPr>
          <w:rFonts w:ascii="Times New Roman" w:hAnsi="Times New Roman" w:cs="Times New Roman"/>
          <w:b/>
          <w:sz w:val="24"/>
          <w:szCs w:val="24"/>
          <w:lang w:val="es-ES_tradnl"/>
        </w:rPr>
      </w:pPr>
      <w:r w:rsidRPr="00AE4035">
        <w:rPr>
          <w:lang w:val="es-ES_tradnl"/>
        </w:rPr>
        <w:t xml:space="preserve">La coordinación técnica y administrativa de esta consultoría estará bajo responsabilidad de la División de Agua y Saneamiento. Específicamente bajo Jorge Ducci (WSA/CCH) y </w:t>
      </w:r>
      <w:r w:rsidR="008C7B78" w:rsidRPr="00AE4035">
        <w:rPr>
          <w:lang w:val="es-ES_tradnl"/>
        </w:rPr>
        <w:t>María</w:t>
      </w:r>
      <w:r w:rsidRPr="00AE4035">
        <w:rPr>
          <w:lang w:val="es-ES_tradnl"/>
        </w:rPr>
        <w:t xml:space="preserve"> del Rosario Navia (SRE/SPA).    </w:t>
      </w:r>
      <w:bookmarkEnd w:id="0"/>
    </w:p>
    <w:sectPr w:rsidR="00BA04D0" w:rsidRPr="00AE4035" w:rsidSect="00C200EF">
      <w:footerReference w:type="default" r:id="rId9"/>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6CCE5" w14:textId="77777777" w:rsidR="001246E8" w:rsidRDefault="001246E8" w:rsidP="00E21AB4">
      <w:pPr>
        <w:spacing w:after="0" w:line="240" w:lineRule="auto"/>
      </w:pPr>
      <w:r>
        <w:separator/>
      </w:r>
    </w:p>
  </w:endnote>
  <w:endnote w:type="continuationSeparator" w:id="0">
    <w:p w14:paraId="1A170DB7" w14:textId="77777777" w:rsidR="001246E8" w:rsidRDefault="001246E8" w:rsidP="00E21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reofidelic">
    <w:panose1 w:val="02000400000000000000"/>
    <w:charset w:val="00"/>
    <w:family w:val="auto"/>
    <w:pitch w:val="variable"/>
    <w:sig w:usb0="A0000027" w:usb1="0000000A" w:usb2="00000000" w:usb3="00000000" w:csb0="00000111"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6339457"/>
      <w:docPartObj>
        <w:docPartGallery w:val="Page Numbers (Bottom of Page)"/>
        <w:docPartUnique/>
      </w:docPartObj>
    </w:sdtPr>
    <w:sdtEndPr>
      <w:rPr>
        <w:noProof/>
      </w:rPr>
    </w:sdtEndPr>
    <w:sdtContent>
      <w:p w14:paraId="7B1B4AD8" w14:textId="36E1E37B" w:rsidR="00862AEF" w:rsidRDefault="00862AEF">
        <w:pPr>
          <w:pStyle w:val="Footer"/>
          <w:jc w:val="right"/>
        </w:pPr>
        <w:r>
          <w:fldChar w:fldCharType="begin"/>
        </w:r>
        <w:r>
          <w:instrText xml:space="preserve"> PAGE   \* MERGEFORMAT </w:instrText>
        </w:r>
        <w:r>
          <w:fldChar w:fldCharType="separate"/>
        </w:r>
        <w:r w:rsidR="00AE4035">
          <w:rPr>
            <w:noProof/>
          </w:rPr>
          <w:t>3</w:t>
        </w:r>
        <w:r>
          <w:rPr>
            <w:noProof/>
          </w:rPr>
          <w:fldChar w:fldCharType="end"/>
        </w:r>
      </w:p>
    </w:sdtContent>
  </w:sdt>
  <w:p w14:paraId="5D5690F8" w14:textId="77777777" w:rsidR="00862AEF" w:rsidRDefault="00862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3052C" w14:textId="77777777" w:rsidR="001246E8" w:rsidRDefault="001246E8" w:rsidP="00E21AB4">
      <w:pPr>
        <w:spacing w:after="0" w:line="240" w:lineRule="auto"/>
      </w:pPr>
      <w:r>
        <w:separator/>
      </w:r>
    </w:p>
  </w:footnote>
  <w:footnote w:type="continuationSeparator" w:id="0">
    <w:p w14:paraId="6621C456" w14:textId="77777777" w:rsidR="001246E8" w:rsidRDefault="001246E8" w:rsidP="00E21A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79"/>
    <w:multiLevelType w:val="hybridMultilevel"/>
    <w:tmpl w:val="6826F412"/>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6366A"/>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B7FC9"/>
    <w:multiLevelType w:val="multilevel"/>
    <w:tmpl w:val="438E062A"/>
    <w:lvl w:ilvl="0">
      <w:start w:val="1"/>
      <w:numFmt w:val="upperRoman"/>
      <w:lvlText w:val="%1."/>
      <w:lvlJc w:val="center"/>
      <w:pPr>
        <w:tabs>
          <w:tab w:val="num" w:pos="3240"/>
        </w:tabs>
        <w:ind w:left="2592" w:firstLine="288"/>
      </w:pPr>
      <w:rPr>
        <w:rFonts w:hint="default"/>
        <w:b/>
        <w:i w:val="0"/>
      </w:rPr>
    </w:lvl>
    <w:lvl w:ilvl="1">
      <w:start w:val="1"/>
      <w:numFmt w:val="decimal"/>
      <w:isLgl/>
      <w:lvlText w:val="%1.%2"/>
      <w:lvlJc w:val="left"/>
      <w:pPr>
        <w:tabs>
          <w:tab w:val="num" w:pos="1440"/>
        </w:tabs>
        <w:ind w:left="1440" w:hanging="720"/>
      </w:pPr>
      <w:rPr>
        <w:rFonts w:hint="default"/>
      </w:rPr>
    </w:lvl>
    <w:lvl w:ilvl="2">
      <w:start w:val="1"/>
      <w:numFmt w:val="lowerLette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3">
    <w:nsid w:val="0ED70730"/>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E4435B"/>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DA7905"/>
    <w:multiLevelType w:val="hybridMultilevel"/>
    <w:tmpl w:val="2E085C44"/>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EDC7652"/>
    <w:multiLevelType w:val="singleLevel"/>
    <w:tmpl w:val="0C0A0001"/>
    <w:lvl w:ilvl="0">
      <w:start w:val="1"/>
      <w:numFmt w:val="bullet"/>
      <w:lvlText w:val=""/>
      <w:lvlJc w:val="left"/>
      <w:pPr>
        <w:tabs>
          <w:tab w:val="num" w:pos="360"/>
        </w:tabs>
        <w:ind w:left="360" w:hanging="360"/>
      </w:pPr>
      <w:rPr>
        <w:rFonts w:ascii="Symbol" w:hAnsi="Symbol" w:cs="Symbol" w:hint="default"/>
      </w:rPr>
    </w:lvl>
  </w:abstractNum>
  <w:abstractNum w:abstractNumId="7">
    <w:nsid w:val="32680EA4"/>
    <w:multiLevelType w:val="multilevel"/>
    <w:tmpl w:val="BBFC464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450"/>
        </w:tabs>
        <w:ind w:left="450" w:hanging="36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
    <w:nsid w:val="35B50C97"/>
    <w:multiLevelType w:val="hybridMultilevel"/>
    <w:tmpl w:val="E33E4ADC"/>
    <w:lvl w:ilvl="0" w:tplc="3CECA1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43E57"/>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403E2"/>
    <w:multiLevelType w:val="hybridMultilevel"/>
    <w:tmpl w:val="C16A885C"/>
    <w:lvl w:ilvl="0" w:tplc="3CECA112">
      <w:start w:val="1"/>
      <w:numFmt w:val="upperRoman"/>
      <w:lvlText w:val="%1."/>
      <w:lvlJc w:val="left"/>
      <w:pPr>
        <w:ind w:left="720" w:hanging="360"/>
      </w:pPr>
      <w:rPr>
        <w:rFonts w:hint="default"/>
      </w:rPr>
    </w:lvl>
    <w:lvl w:ilvl="1" w:tplc="BDD6697E">
      <w:numFmt w:val="bullet"/>
      <w:lvlText w:val="-"/>
      <w:lvlJc w:val="left"/>
      <w:pPr>
        <w:ind w:left="1440" w:hanging="360"/>
      </w:pPr>
      <w:rPr>
        <w:rFonts w:ascii="Calibri" w:eastAsiaTheme="minorHAnsi" w:hAnsi="Calibri" w:cs="Times New Roman" w:hint="default"/>
      </w:rPr>
    </w:lvl>
    <w:lvl w:ilvl="2" w:tplc="1FFC899E">
      <w:start w:val="1"/>
      <w:numFmt w:val="bullet"/>
      <w:lvlText w:val="-"/>
      <w:lvlJc w:val="left"/>
      <w:pPr>
        <w:ind w:left="2160" w:hanging="180"/>
      </w:pPr>
      <w:rPr>
        <w:rFonts w:ascii="Stereofidelic" w:hAnsi="Stereofidelic"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421C6549"/>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EB6D3D"/>
    <w:multiLevelType w:val="multilevel"/>
    <w:tmpl w:val="08C83876"/>
    <w:lvl w:ilvl="0">
      <w:start w:val="1"/>
      <w:numFmt w:val="lowerLetter"/>
      <w:lvlText w:val="%1)"/>
      <w:lvlJc w:val="left"/>
      <w:pPr>
        <w:tabs>
          <w:tab w:val="num" w:pos="720"/>
        </w:tabs>
        <w:ind w:left="720" w:hanging="360"/>
      </w:pPr>
      <w:rPr>
        <w:rFonts w:hint="default"/>
        <w:sz w:val="24"/>
        <w:szCs w:val="24"/>
      </w:rPr>
    </w:lvl>
    <w:lvl w:ilvl="1">
      <w:start w:val="1"/>
      <w:numFmt w:val="decimal"/>
      <w:isLgl/>
      <w:lvlText w:val="1.%2"/>
      <w:lvlJc w:val="left"/>
      <w:pPr>
        <w:tabs>
          <w:tab w:val="num" w:pos="1260"/>
        </w:tabs>
        <w:ind w:left="1260" w:hanging="720"/>
      </w:pPr>
      <w:rPr>
        <w:rFonts w:hint="default"/>
      </w:rPr>
    </w:lvl>
    <w:lvl w:ilvl="2">
      <w:start w:val="1"/>
      <w:numFmt w:val="lowerLetter"/>
      <w:lvlText w:val="%3)"/>
      <w:lvlJc w:val="left"/>
      <w:pPr>
        <w:tabs>
          <w:tab w:val="num" w:pos="1602"/>
        </w:tabs>
        <w:ind w:left="160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pPr>
      <w:rPr>
        <w:rFonts w:hint="default"/>
      </w:rPr>
    </w:lvl>
    <w:lvl w:ilvl="5">
      <w:start w:val="1"/>
      <w:numFmt w:val="none"/>
      <w:lvlText w:val=""/>
      <w:lvlJc w:val="left"/>
      <w:pPr>
        <w:tabs>
          <w:tab w:val="num" w:pos="3960"/>
        </w:tabs>
        <w:ind w:left="3600"/>
      </w:pPr>
      <w:rPr>
        <w:rFonts w:hint="default"/>
      </w:rPr>
    </w:lvl>
    <w:lvl w:ilvl="6">
      <w:start w:val="1"/>
      <w:numFmt w:val="none"/>
      <w:lvlText w:val=""/>
      <w:lvlJc w:val="left"/>
      <w:pPr>
        <w:tabs>
          <w:tab w:val="num" w:pos="4680"/>
        </w:tabs>
        <w:ind w:left="4320"/>
      </w:pPr>
      <w:rPr>
        <w:rFonts w:hint="default"/>
      </w:rPr>
    </w:lvl>
    <w:lvl w:ilvl="7">
      <w:start w:val="1"/>
      <w:numFmt w:val="none"/>
      <w:lvlText w:val=""/>
      <w:lvlJc w:val="left"/>
      <w:pPr>
        <w:tabs>
          <w:tab w:val="num" w:pos="5400"/>
        </w:tabs>
        <w:ind w:left="5040"/>
      </w:pPr>
      <w:rPr>
        <w:rFonts w:hint="default"/>
      </w:rPr>
    </w:lvl>
    <w:lvl w:ilvl="8">
      <w:start w:val="1"/>
      <w:numFmt w:val="none"/>
      <w:lvlText w:val=""/>
      <w:lvlJc w:val="left"/>
      <w:pPr>
        <w:tabs>
          <w:tab w:val="num" w:pos="6120"/>
        </w:tabs>
        <w:ind w:left="5760"/>
      </w:pPr>
      <w:rPr>
        <w:rFonts w:hint="default"/>
      </w:rPr>
    </w:lvl>
  </w:abstractNum>
  <w:abstractNum w:abstractNumId="13">
    <w:nsid w:val="4AC37253"/>
    <w:multiLevelType w:val="multilevel"/>
    <w:tmpl w:val="DAB04CD6"/>
    <w:lvl w:ilvl="0">
      <w:start w:val="3"/>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810"/>
        </w:tabs>
        <w:ind w:left="810" w:hanging="720"/>
      </w:pPr>
      <w:rPr>
        <w:rFonts w:hint="default"/>
        <w:b w:val="0"/>
        <w:i w:val="0"/>
      </w:rPr>
    </w:lvl>
    <w:lvl w:ilvl="2">
      <w:start w:val="1"/>
      <w:numFmt w:val="lowerLetter"/>
      <w:pStyle w:val="subpar"/>
      <w:lvlText w:val="%3."/>
      <w:lvlJc w:val="left"/>
      <w:pPr>
        <w:tabs>
          <w:tab w:val="num" w:pos="1152"/>
        </w:tabs>
        <w:ind w:left="1152" w:hanging="432"/>
      </w:pPr>
      <w:rPr>
        <w:rFonts w:hint="default"/>
        <w:b/>
      </w:rPr>
    </w:lvl>
    <w:lvl w:ilvl="3">
      <w:start w:val="1"/>
      <w:numFmt w:val="lowerRoman"/>
      <w:pStyle w:val="SubSubPar"/>
      <w:lvlText w:val="%4."/>
      <w:lvlJc w:val="right"/>
      <w:pPr>
        <w:tabs>
          <w:tab w:val="num" w:pos="1584"/>
        </w:tabs>
        <w:ind w:left="1584" w:hanging="288"/>
      </w:pPr>
      <w:rPr>
        <w:rFonts w:hint="default"/>
        <w:b/>
      </w:rPr>
    </w:lvl>
    <w:lvl w:ilvl="4">
      <w:start w:val="1"/>
      <w:numFmt w:val="none"/>
      <w:lvlText w:val=""/>
      <w:lvlJc w:val="left"/>
      <w:pPr>
        <w:tabs>
          <w:tab w:val="num" w:pos="3240"/>
        </w:tabs>
        <w:ind w:left="2880" w:firstLine="0"/>
      </w:pPr>
      <w:rPr>
        <w:rFonts w:hint="default"/>
        <w:b/>
      </w:rPr>
    </w:lvl>
    <w:lvl w:ilvl="5">
      <w:start w:val="1"/>
      <w:numFmt w:val="none"/>
      <w:lvlText w:val=""/>
      <w:lvlJc w:val="left"/>
      <w:pPr>
        <w:tabs>
          <w:tab w:val="num" w:pos="3960"/>
        </w:tabs>
        <w:ind w:left="3600" w:firstLine="0"/>
      </w:pPr>
      <w:rPr>
        <w:rFonts w:hint="default"/>
        <w:b/>
      </w:rPr>
    </w:lvl>
    <w:lvl w:ilvl="6">
      <w:start w:val="1"/>
      <w:numFmt w:val="none"/>
      <w:lvlText w:val=""/>
      <w:lvlJc w:val="left"/>
      <w:pPr>
        <w:tabs>
          <w:tab w:val="num" w:pos="4680"/>
        </w:tabs>
        <w:ind w:left="4320" w:firstLine="0"/>
      </w:pPr>
      <w:rPr>
        <w:rFonts w:hint="default"/>
        <w:b/>
      </w:rPr>
    </w:lvl>
    <w:lvl w:ilvl="7">
      <w:start w:val="1"/>
      <w:numFmt w:val="none"/>
      <w:lvlText w:val=""/>
      <w:lvlJc w:val="left"/>
      <w:pPr>
        <w:tabs>
          <w:tab w:val="num" w:pos="5400"/>
        </w:tabs>
        <w:ind w:left="5040" w:firstLine="0"/>
      </w:pPr>
      <w:rPr>
        <w:rFonts w:hint="default"/>
        <w:b/>
      </w:rPr>
    </w:lvl>
    <w:lvl w:ilvl="8">
      <w:start w:val="1"/>
      <w:numFmt w:val="none"/>
      <w:lvlText w:val=""/>
      <w:lvlJc w:val="left"/>
      <w:pPr>
        <w:tabs>
          <w:tab w:val="num" w:pos="6120"/>
        </w:tabs>
        <w:ind w:left="5760" w:firstLine="0"/>
      </w:pPr>
      <w:rPr>
        <w:rFonts w:hint="default"/>
        <w:b/>
      </w:rPr>
    </w:lvl>
  </w:abstractNum>
  <w:abstractNum w:abstractNumId="14">
    <w:nsid w:val="4DFB67F7"/>
    <w:multiLevelType w:val="hybridMultilevel"/>
    <w:tmpl w:val="88C80480"/>
    <w:lvl w:ilvl="0" w:tplc="1FFC899E">
      <w:start w:val="1"/>
      <w:numFmt w:val="bullet"/>
      <w:lvlText w:val="-"/>
      <w:lvlJc w:val="left"/>
      <w:pPr>
        <w:ind w:left="1800" w:hanging="360"/>
      </w:pPr>
      <w:rPr>
        <w:rFonts w:ascii="Stereofidelic" w:hAnsi="Stereofidelic" w:hint="default"/>
      </w:rPr>
    </w:lvl>
    <w:lvl w:ilvl="1" w:tplc="040A0003">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15">
    <w:nsid w:val="4E0B3ED5"/>
    <w:multiLevelType w:val="hybridMultilevel"/>
    <w:tmpl w:val="CEAC222E"/>
    <w:lvl w:ilvl="0" w:tplc="0409000F">
      <w:start w:val="1"/>
      <w:numFmt w:val="decimal"/>
      <w:lvlText w:val="%1."/>
      <w:lvlJc w:val="left"/>
      <w:pPr>
        <w:tabs>
          <w:tab w:val="num" w:pos="720"/>
        </w:tabs>
        <w:ind w:left="720" w:hanging="360"/>
      </w:pPr>
      <w:rPr>
        <w:rFonts w:hint="default"/>
      </w:rPr>
    </w:lvl>
    <w:lvl w:ilvl="1" w:tplc="C088DB64">
      <w:start w:val="4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2304820"/>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06ED8"/>
    <w:multiLevelType w:val="multilevel"/>
    <w:tmpl w:val="EAB6CB98"/>
    <w:lvl w:ilvl="0">
      <w:start w:val="1"/>
      <w:numFmt w:val="upperRoman"/>
      <w:lvlText w:val="%1."/>
      <w:lvlJc w:val="center"/>
      <w:pPr>
        <w:tabs>
          <w:tab w:val="num" w:pos="648"/>
        </w:tabs>
        <w:ind w:firstLine="288"/>
      </w:pPr>
      <w:rPr>
        <w:rFonts w:hint="default"/>
        <w:b/>
        <w:bCs/>
        <w:i w:val="0"/>
        <w:iCs w:val="0"/>
      </w:rPr>
    </w:lvl>
    <w:lvl w:ilvl="1">
      <w:start w:val="1"/>
      <w:numFmt w:val="decimal"/>
      <w:isLgl/>
      <w:lvlText w:val="1.%2"/>
      <w:lvlJc w:val="left"/>
      <w:pPr>
        <w:tabs>
          <w:tab w:val="num" w:pos="1260"/>
        </w:tabs>
        <w:ind w:left="1260" w:hanging="720"/>
      </w:pPr>
      <w:rPr>
        <w:rFonts w:hint="default"/>
      </w:rPr>
    </w:lvl>
    <w:lvl w:ilvl="2">
      <w:start w:val="1"/>
      <w:numFmt w:val="lowerLetter"/>
      <w:lvlText w:val="%3)"/>
      <w:lvlJc w:val="left"/>
      <w:pPr>
        <w:tabs>
          <w:tab w:val="num" w:pos="1602"/>
        </w:tabs>
        <w:ind w:left="1602" w:hanging="432"/>
      </w:pPr>
    </w:lvl>
    <w:lvl w:ilvl="3">
      <w:start w:val="1"/>
      <w:numFmt w:val="lowerRoman"/>
      <w:lvlText w:val="%4)"/>
      <w:lvlJc w:val="right"/>
      <w:pPr>
        <w:tabs>
          <w:tab w:val="num" w:pos="1584"/>
        </w:tabs>
        <w:ind w:left="1584" w:hanging="288"/>
      </w:pPr>
    </w:lvl>
    <w:lvl w:ilvl="4">
      <w:start w:val="1"/>
      <w:numFmt w:val="none"/>
      <w:lvlText w:val=""/>
      <w:lvlJc w:val="left"/>
      <w:pPr>
        <w:tabs>
          <w:tab w:val="num" w:pos="3240"/>
        </w:tabs>
        <w:ind w:left="2880"/>
      </w:pPr>
      <w:rPr>
        <w:rFonts w:hint="default"/>
      </w:rPr>
    </w:lvl>
    <w:lvl w:ilvl="5">
      <w:start w:val="1"/>
      <w:numFmt w:val="none"/>
      <w:lvlText w:val=""/>
      <w:lvlJc w:val="left"/>
      <w:pPr>
        <w:tabs>
          <w:tab w:val="num" w:pos="3960"/>
        </w:tabs>
        <w:ind w:left="3600"/>
      </w:pPr>
      <w:rPr>
        <w:rFonts w:hint="default"/>
      </w:rPr>
    </w:lvl>
    <w:lvl w:ilvl="6">
      <w:start w:val="1"/>
      <w:numFmt w:val="none"/>
      <w:lvlText w:val=""/>
      <w:lvlJc w:val="left"/>
      <w:pPr>
        <w:tabs>
          <w:tab w:val="num" w:pos="4680"/>
        </w:tabs>
        <w:ind w:left="4320"/>
      </w:pPr>
      <w:rPr>
        <w:rFonts w:hint="default"/>
      </w:rPr>
    </w:lvl>
    <w:lvl w:ilvl="7">
      <w:start w:val="1"/>
      <w:numFmt w:val="none"/>
      <w:lvlText w:val=""/>
      <w:lvlJc w:val="left"/>
      <w:pPr>
        <w:tabs>
          <w:tab w:val="num" w:pos="5400"/>
        </w:tabs>
        <w:ind w:left="5040"/>
      </w:pPr>
      <w:rPr>
        <w:rFonts w:hint="default"/>
      </w:rPr>
    </w:lvl>
    <w:lvl w:ilvl="8">
      <w:start w:val="1"/>
      <w:numFmt w:val="none"/>
      <w:lvlText w:val=""/>
      <w:lvlJc w:val="left"/>
      <w:pPr>
        <w:tabs>
          <w:tab w:val="num" w:pos="6120"/>
        </w:tabs>
        <w:ind w:left="5760"/>
      </w:pPr>
      <w:rPr>
        <w:rFonts w:hint="default"/>
      </w:rPr>
    </w:lvl>
  </w:abstractNum>
  <w:abstractNum w:abstractNumId="18">
    <w:nsid w:val="604A325C"/>
    <w:multiLevelType w:val="multilevel"/>
    <w:tmpl w:val="5948B6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66C15826"/>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E46D96"/>
    <w:multiLevelType w:val="hybridMultilevel"/>
    <w:tmpl w:val="AC968616"/>
    <w:lvl w:ilvl="0" w:tplc="1FFC899E">
      <w:start w:val="1"/>
      <w:numFmt w:val="bullet"/>
      <w:lvlText w:val="-"/>
      <w:lvlJc w:val="left"/>
      <w:pPr>
        <w:ind w:left="720" w:hanging="360"/>
      </w:pPr>
      <w:rPr>
        <w:rFonts w:ascii="Stereofidelic" w:hAnsi="Stereofidel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1416AC"/>
    <w:multiLevelType w:val="singleLevel"/>
    <w:tmpl w:val="0C963A5C"/>
    <w:lvl w:ilvl="0">
      <w:start w:val="1"/>
      <w:numFmt w:val="lowerLetter"/>
      <w:lvlText w:val="%1)"/>
      <w:lvlJc w:val="left"/>
      <w:pPr>
        <w:tabs>
          <w:tab w:val="num" w:pos="1530"/>
        </w:tabs>
        <w:ind w:left="1530" w:hanging="360"/>
      </w:pPr>
      <w:rPr>
        <w:rFonts w:hint="default"/>
      </w:rPr>
    </w:lvl>
  </w:abstractNum>
  <w:abstractNum w:abstractNumId="22">
    <w:nsid w:val="6DBC1EC6"/>
    <w:multiLevelType w:val="hybridMultilevel"/>
    <w:tmpl w:val="E5F8EB3C"/>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BD2597"/>
    <w:multiLevelType w:val="hybridMultilevel"/>
    <w:tmpl w:val="855A4F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5"/>
  </w:num>
  <w:num w:numId="4">
    <w:abstractNumId w:val="23"/>
  </w:num>
  <w:num w:numId="5">
    <w:abstractNumId w:val="20"/>
  </w:num>
  <w:num w:numId="6">
    <w:abstractNumId w:val="13"/>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3"/>
  </w:num>
  <w:num w:numId="15">
    <w:abstractNumId w:val="10"/>
  </w:num>
  <w:num w:numId="16">
    <w:abstractNumId w:val="14"/>
  </w:num>
  <w:num w:numId="17">
    <w:abstractNumId w:val="5"/>
  </w:num>
  <w:num w:numId="18">
    <w:abstractNumId w:val="1"/>
  </w:num>
  <w:num w:numId="19">
    <w:abstractNumId w:val="9"/>
  </w:num>
  <w:num w:numId="20">
    <w:abstractNumId w:val="16"/>
  </w:num>
  <w:num w:numId="21">
    <w:abstractNumId w:val="11"/>
  </w:num>
  <w:num w:numId="22">
    <w:abstractNumId w:val="4"/>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F7E"/>
    <w:rsid w:val="00020F32"/>
    <w:rsid w:val="0002280A"/>
    <w:rsid w:val="000425B0"/>
    <w:rsid w:val="00054E0C"/>
    <w:rsid w:val="000658D3"/>
    <w:rsid w:val="00100D3C"/>
    <w:rsid w:val="00102075"/>
    <w:rsid w:val="001246E8"/>
    <w:rsid w:val="001412D5"/>
    <w:rsid w:val="00143AFE"/>
    <w:rsid w:val="00156286"/>
    <w:rsid w:val="00170379"/>
    <w:rsid w:val="00193427"/>
    <w:rsid w:val="001B5D28"/>
    <w:rsid w:val="001D15F2"/>
    <w:rsid w:val="00245641"/>
    <w:rsid w:val="002A0597"/>
    <w:rsid w:val="002B0997"/>
    <w:rsid w:val="002B44A6"/>
    <w:rsid w:val="002B7AE8"/>
    <w:rsid w:val="003178AD"/>
    <w:rsid w:val="003823E5"/>
    <w:rsid w:val="00383B0D"/>
    <w:rsid w:val="003848A6"/>
    <w:rsid w:val="00390124"/>
    <w:rsid w:val="003B6BD5"/>
    <w:rsid w:val="003C0818"/>
    <w:rsid w:val="003D05D3"/>
    <w:rsid w:val="004266F1"/>
    <w:rsid w:val="00435302"/>
    <w:rsid w:val="00450EF0"/>
    <w:rsid w:val="00476963"/>
    <w:rsid w:val="00486DA6"/>
    <w:rsid w:val="00490AED"/>
    <w:rsid w:val="00497EDB"/>
    <w:rsid w:val="00500687"/>
    <w:rsid w:val="00511C4D"/>
    <w:rsid w:val="005155AA"/>
    <w:rsid w:val="00555CB0"/>
    <w:rsid w:val="005674D4"/>
    <w:rsid w:val="0057163F"/>
    <w:rsid w:val="00596768"/>
    <w:rsid w:val="005B7D17"/>
    <w:rsid w:val="005F5600"/>
    <w:rsid w:val="00604849"/>
    <w:rsid w:val="00642D72"/>
    <w:rsid w:val="006760A6"/>
    <w:rsid w:val="006A1141"/>
    <w:rsid w:val="006C6821"/>
    <w:rsid w:val="006E4774"/>
    <w:rsid w:val="007010DC"/>
    <w:rsid w:val="00742007"/>
    <w:rsid w:val="00765D68"/>
    <w:rsid w:val="00787070"/>
    <w:rsid w:val="00787DFC"/>
    <w:rsid w:val="00790EAA"/>
    <w:rsid w:val="007E3418"/>
    <w:rsid w:val="00831EEF"/>
    <w:rsid w:val="00833608"/>
    <w:rsid w:val="00833976"/>
    <w:rsid w:val="00860906"/>
    <w:rsid w:val="00862AEF"/>
    <w:rsid w:val="0089703E"/>
    <w:rsid w:val="008A7447"/>
    <w:rsid w:val="008C7B78"/>
    <w:rsid w:val="008F19A7"/>
    <w:rsid w:val="00936EDB"/>
    <w:rsid w:val="00941379"/>
    <w:rsid w:val="009630BB"/>
    <w:rsid w:val="0097563D"/>
    <w:rsid w:val="009970B6"/>
    <w:rsid w:val="009E0765"/>
    <w:rsid w:val="009F0A59"/>
    <w:rsid w:val="00A01E6F"/>
    <w:rsid w:val="00A37E53"/>
    <w:rsid w:val="00AB14F2"/>
    <w:rsid w:val="00AE4035"/>
    <w:rsid w:val="00AF796D"/>
    <w:rsid w:val="00B1264D"/>
    <w:rsid w:val="00B629D8"/>
    <w:rsid w:val="00B744C7"/>
    <w:rsid w:val="00B95F8E"/>
    <w:rsid w:val="00BA04D0"/>
    <w:rsid w:val="00BA17CF"/>
    <w:rsid w:val="00BB0082"/>
    <w:rsid w:val="00BD298C"/>
    <w:rsid w:val="00C200EF"/>
    <w:rsid w:val="00C565B0"/>
    <w:rsid w:val="00C97C1F"/>
    <w:rsid w:val="00CA21AC"/>
    <w:rsid w:val="00CB69EA"/>
    <w:rsid w:val="00CC2465"/>
    <w:rsid w:val="00CC599A"/>
    <w:rsid w:val="00CF1F13"/>
    <w:rsid w:val="00D109D6"/>
    <w:rsid w:val="00D2007D"/>
    <w:rsid w:val="00D34D19"/>
    <w:rsid w:val="00D37876"/>
    <w:rsid w:val="00D45584"/>
    <w:rsid w:val="00D82021"/>
    <w:rsid w:val="00D835D9"/>
    <w:rsid w:val="00D96403"/>
    <w:rsid w:val="00DC23A3"/>
    <w:rsid w:val="00DF1ECD"/>
    <w:rsid w:val="00E01B27"/>
    <w:rsid w:val="00E03BBD"/>
    <w:rsid w:val="00E201D4"/>
    <w:rsid w:val="00E21AB4"/>
    <w:rsid w:val="00E25A13"/>
    <w:rsid w:val="00E85DA0"/>
    <w:rsid w:val="00E91F7E"/>
    <w:rsid w:val="00EA4EEA"/>
    <w:rsid w:val="00EE4688"/>
    <w:rsid w:val="00EF22A5"/>
    <w:rsid w:val="00EF3F37"/>
    <w:rsid w:val="00F0705A"/>
    <w:rsid w:val="00F07B99"/>
    <w:rsid w:val="00F46750"/>
    <w:rsid w:val="00F537F5"/>
    <w:rsid w:val="00F6136D"/>
    <w:rsid w:val="00F73366"/>
    <w:rsid w:val="00FA2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7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AA"/>
    <w:pPr>
      <w:ind w:left="720"/>
      <w:contextualSpacing/>
    </w:pPr>
  </w:style>
  <w:style w:type="paragraph" w:customStyle="1" w:styleId="Default">
    <w:name w:val="Default"/>
    <w:rsid w:val="004266F1"/>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Chapter">
    <w:name w:val="Chapter"/>
    <w:basedOn w:val="Normal"/>
    <w:next w:val="Normal"/>
    <w:uiPriority w:val="99"/>
    <w:rsid w:val="00AB14F2"/>
    <w:pPr>
      <w:numPr>
        <w:numId w:val="6"/>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link w:val="ParagraphChar"/>
    <w:uiPriority w:val="99"/>
    <w:rsid w:val="00AB14F2"/>
    <w:pPr>
      <w:numPr>
        <w:ilvl w:val="1"/>
        <w:numId w:val="6"/>
      </w:numPr>
      <w:tabs>
        <w:tab w:val="clear" w:pos="810"/>
      </w:tabs>
      <w:spacing w:before="120" w:line="240" w:lineRule="auto"/>
      <w:ind w:left="1440" w:hanging="36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uiPriority w:val="99"/>
    <w:rsid w:val="00AB14F2"/>
    <w:pPr>
      <w:numPr>
        <w:ilvl w:val="2"/>
        <w:numId w:val="6"/>
      </w:numPr>
      <w:tabs>
        <w:tab w:val="clear" w:pos="1152"/>
      </w:tabs>
      <w:spacing w:before="120" w:line="240" w:lineRule="auto"/>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AB14F2"/>
    <w:pPr>
      <w:numPr>
        <w:ilvl w:val="3"/>
      </w:numPr>
      <w:tabs>
        <w:tab w:val="clear" w:pos="1584"/>
        <w:tab w:val="left" w:pos="0"/>
      </w:tabs>
      <w:ind w:left="2880" w:hanging="360"/>
    </w:pPr>
  </w:style>
  <w:style w:type="paragraph" w:styleId="BodyTextIndent">
    <w:name w:val="Body Text Indent"/>
    <w:basedOn w:val="Normal"/>
    <w:link w:val="BodyTextIndentChar"/>
    <w:uiPriority w:val="99"/>
    <w:semiHidden/>
    <w:unhideWhenUsed/>
    <w:rsid w:val="00AB14F2"/>
    <w:pPr>
      <w:spacing w:after="120"/>
      <w:ind w:left="360"/>
    </w:pPr>
  </w:style>
  <w:style w:type="character" w:customStyle="1" w:styleId="BodyTextIndentChar">
    <w:name w:val="Body Text Indent Char"/>
    <w:basedOn w:val="DefaultParagraphFont"/>
    <w:link w:val="BodyTextIndent"/>
    <w:uiPriority w:val="99"/>
    <w:semiHidden/>
    <w:rsid w:val="00AB14F2"/>
  </w:style>
  <w:style w:type="paragraph" w:styleId="BodyTextIndent3">
    <w:name w:val="Body Text Indent 3"/>
    <w:basedOn w:val="Normal"/>
    <w:link w:val="BodyTextIndent3Char"/>
    <w:uiPriority w:val="99"/>
    <w:semiHidden/>
    <w:unhideWhenUsed/>
    <w:rsid w:val="00AB14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14F2"/>
    <w:rPr>
      <w:sz w:val="16"/>
      <w:szCs w:val="16"/>
    </w:rPr>
  </w:style>
  <w:style w:type="character" w:customStyle="1" w:styleId="mediumtext1">
    <w:name w:val="medium_text1"/>
    <w:basedOn w:val="DefaultParagraphFont"/>
    <w:rsid w:val="00BA04D0"/>
    <w:rPr>
      <w:sz w:val="34"/>
      <w:szCs w:val="34"/>
    </w:rPr>
  </w:style>
  <w:style w:type="character" w:styleId="CommentReference">
    <w:name w:val="annotation reference"/>
    <w:basedOn w:val="DefaultParagraphFont"/>
    <w:uiPriority w:val="99"/>
    <w:semiHidden/>
    <w:unhideWhenUsed/>
    <w:rsid w:val="001B5D28"/>
    <w:rPr>
      <w:sz w:val="16"/>
      <w:szCs w:val="16"/>
    </w:rPr>
  </w:style>
  <w:style w:type="paragraph" w:styleId="CommentText">
    <w:name w:val="annotation text"/>
    <w:basedOn w:val="Normal"/>
    <w:link w:val="CommentTextChar"/>
    <w:uiPriority w:val="99"/>
    <w:semiHidden/>
    <w:unhideWhenUsed/>
    <w:rsid w:val="001B5D28"/>
    <w:pPr>
      <w:spacing w:line="240" w:lineRule="auto"/>
    </w:pPr>
    <w:rPr>
      <w:sz w:val="20"/>
      <w:szCs w:val="20"/>
    </w:rPr>
  </w:style>
  <w:style w:type="character" w:customStyle="1" w:styleId="CommentTextChar">
    <w:name w:val="Comment Text Char"/>
    <w:basedOn w:val="DefaultParagraphFont"/>
    <w:link w:val="CommentText"/>
    <w:uiPriority w:val="99"/>
    <w:semiHidden/>
    <w:rsid w:val="001B5D28"/>
    <w:rPr>
      <w:sz w:val="20"/>
      <w:szCs w:val="20"/>
    </w:rPr>
  </w:style>
  <w:style w:type="paragraph" w:styleId="CommentSubject">
    <w:name w:val="annotation subject"/>
    <w:basedOn w:val="CommentText"/>
    <w:next w:val="CommentText"/>
    <w:link w:val="CommentSubjectChar"/>
    <w:uiPriority w:val="99"/>
    <w:semiHidden/>
    <w:unhideWhenUsed/>
    <w:rsid w:val="001B5D28"/>
    <w:rPr>
      <w:b/>
      <w:bCs/>
    </w:rPr>
  </w:style>
  <w:style w:type="character" w:customStyle="1" w:styleId="CommentSubjectChar">
    <w:name w:val="Comment Subject Char"/>
    <w:basedOn w:val="CommentTextChar"/>
    <w:link w:val="CommentSubject"/>
    <w:uiPriority w:val="99"/>
    <w:semiHidden/>
    <w:rsid w:val="001B5D28"/>
    <w:rPr>
      <w:b/>
      <w:bCs/>
      <w:sz w:val="20"/>
      <w:szCs w:val="20"/>
    </w:rPr>
  </w:style>
  <w:style w:type="paragraph" w:styleId="BalloonText">
    <w:name w:val="Balloon Text"/>
    <w:basedOn w:val="Normal"/>
    <w:link w:val="BalloonTextChar"/>
    <w:uiPriority w:val="99"/>
    <w:semiHidden/>
    <w:unhideWhenUsed/>
    <w:rsid w:val="001B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28"/>
    <w:rPr>
      <w:rFonts w:ascii="Tahoma" w:hAnsi="Tahoma" w:cs="Tahoma"/>
      <w:sz w:val="16"/>
      <w:szCs w:val="16"/>
    </w:rPr>
  </w:style>
  <w:style w:type="character" w:customStyle="1" w:styleId="ParagraphChar">
    <w:name w:val="Paragraph Char"/>
    <w:link w:val="Paragraph"/>
    <w:uiPriority w:val="99"/>
    <w:rsid w:val="001B5D28"/>
    <w:rPr>
      <w:rFonts w:ascii="Times New Roman" w:eastAsia="Times New Roman" w:hAnsi="Times New Roman" w:cs="Times New Roman"/>
      <w:sz w:val="24"/>
      <w:szCs w:val="20"/>
      <w:lang w:val="es-ES_tradnl"/>
    </w:rPr>
  </w:style>
  <w:style w:type="paragraph" w:styleId="FootnoteText">
    <w:name w:val="footnote text"/>
    <w:aliases w:val=" Car,Texto nota pie Car Car,Footnote Text Char Char Char,Footnote Text Char Char Char Char Char Char Char,Footnote Text Char Char Char Char Char,Footnote Text Char Char Char Char Char Char,Footnote Text Char Char Char Char Ch Char,fn"/>
    <w:basedOn w:val="Normal"/>
    <w:link w:val="FootnoteTextChar"/>
    <w:uiPriority w:val="99"/>
    <w:rsid w:val="00E21AB4"/>
    <w:pPr>
      <w:spacing w:after="0" w:line="240" w:lineRule="auto"/>
    </w:pPr>
    <w:rPr>
      <w:rFonts w:ascii="Arial" w:eastAsia="Times New Roman" w:hAnsi="Arial" w:cs="Times New Roman"/>
      <w:sz w:val="20"/>
      <w:szCs w:val="20"/>
    </w:rPr>
  </w:style>
  <w:style w:type="character" w:customStyle="1" w:styleId="FootnoteTextChar">
    <w:name w:val="Footnote Text Char"/>
    <w:aliases w:val=" Car Char,Texto nota pie Car Car Char,Footnote Text Char Char Char Char,Footnote Text Char Char Char Char Char Char Char Char,Footnote Text Char Char Char Char Char Char1,Footnote Text Char Char Char Char Char Char Char1,fn Char"/>
    <w:basedOn w:val="DefaultParagraphFont"/>
    <w:link w:val="FootnoteText"/>
    <w:uiPriority w:val="99"/>
    <w:rsid w:val="00E21AB4"/>
    <w:rPr>
      <w:rFonts w:ascii="Arial" w:eastAsia="Times New Roman" w:hAnsi="Arial" w:cs="Times New Roman"/>
      <w:sz w:val="20"/>
      <w:szCs w:val="20"/>
    </w:rPr>
  </w:style>
  <w:style w:type="character" w:styleId="FootnoteReference">
    <w:name w:val="footnote reference"/>
    <w:uiPriority w:val="99"/>
    <w:rsid w:val="00E21AB4"/>
    <w:rPr>
      <w:vertAlign w:val="superscript"/>
    </w:rPr>
  </w:style>
  <w:style w:type="paragraph" w:customStyle="1" w:styleId="bodytext">
    <w:name w:val="bodytext"/>
    <w:basedOn w:val="Normal"/>
    <w:rsid w:val="006E4774"/>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86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AEF"/>
  </w:style>
  <w:style w:type="paragraph" w:styleId="Footer">
    <w:name w:val="footer"/>
    <w:basedOn w:val="Normal"/>
    <w:link w:val="FooterChar"/>
    <w:uiPriority w:val="99"/>
    <w:unhideWhenUsed/>
    <w:rsid w:val="0086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A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5AA"/>
    <w:pPr>
      <w:ind w:left="720"/>
      <w:contextualSpacing/>
    </w:pPr>
  </w:style>
  <w:style w:type="paragraph" w:customStyle="1" w:styleId="Default">
    <w:name w:val="Default"/>
    <w:rsid w:val="004266F1"/>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Chapter">
    <w:name w:val="Chapter"/>
    <w:basedOn w:val="Normal"/>
    <w:next w:val="Normal"/>
    <w:uiPriority w:val="99"/>
    <w:rsid w:val="00AB14F2"/>
    <w:pPr>
      <w:numPr>
        <w:numId w:val="6"/>
      </w:numPr>
      <w:tabs>
        <w:tab w:val="left" w:pos="1440"/>
      </w:tabs>
      <w:spacing w:before="240" w:after="24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link w:val="ParagraphChar"/>
    <w:uiPriority w:val="99"/>
    <w:rsid w:val="00AB14F2"/>
    <w:pPr>
      <w:numPr>
        <w:ilvl w:val="1"/>
        <w:numId w:val="6"/>
      </w:numPr>
      <w:tabs>
        <w:tab w:val="clear" w:pos="810"/>
      </w:tabs>
      <w:spacing w:before="120" w:line="240" w:lineRule="auto"/>
      <w:ind w:left="1440" w:hanging="360"/>
      <w:jc w:val="both"/>
      <w:outlineLvl w:val="1"/>
    </w:pPr>
    <w:rPr>
      <w:rFonts w:ascii="Times New Roman" w:eastAsia="Times New Roman" w:hAnsi="Times New Roman" w:cs="Times New Roman"/>
      <w:sz w:val="24"/>
      <w:szCs w:val="20"/>
      <w:lang w:val="es-ES_tradnl"/>
    </w:rPr>
  </w:style>
  <w:style w:type="paragraph" w:customStyle="1" w:styleId="subpar">
    <w:name w:val="subpar"/>
    <w:basedOn w:val="BodyTextIndent3"/>
    <w:uiPriority w:val="99"/>
    <w:rsid w:val="00AB14F2"/>
    <w:pPr>
      <w:numPr>
        <w:ilvl w:val="2"/>
        <w:numId w:val="6"/>
      </w:numPr>
      <w:tabs>
        <w:tab w:val="clear" w:pos="1152"/>
      </w:tabs>
      <w:spacing w:before="120" w:line="240" w:lineRule="auto"/>
      <w:ind w:left="2160" w:hanging="18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uiPriority w:val="99"/>
    <w:rsid w:val="00AB14F2"/>
    <w:pPr>
      <w:numPr>
        <w:ilvl w:val="3"/>
      </w:numPr>
      <w:tabs>
        <w:tab w:val="clear" w:pos="1584"/>
        <w:tab w:val="left" w:pos="0"/>
      </w:tabs>
      <w:ind w:left="2880" w:hanging="360"/>
    </w:pPr>
  </w:style>
  <w:style w:type="paragraph" w:styleId="BodyTextIndent">
    <w:name w:val="Body Text Indent"/>
    <w:basedOn w:val="Normal"/>
    <w:link w:val="BodyTextIndentChar"/>
    <w:uiPriority w:val="99"/>
    <w:semiHidden/>
    <w:unhideWhenUsed/>
    <w:rsid w:val="00AB14F2"/>
    <w:pPr>
      <w:spacing w:after="120"/>
      <w:ind w:left="360"/>
    </w:pPr>
  </w:style>
  <w:style w:type="character" w:customStyle="1" w:styleId="BodyTextIndentChar">
    <w:name w:val="Body Text Indent Char"/>
    <w:basedOn w:val="DefaultParagraphFont"/>
    <w:link w:val="BodyTextIndent"/>
    <w:uiPriority w:val="99"/>
    <w:semiHidden/>
    <w:rsid w:val="00AB14F2"/>
  </w:style>
  <w:style w:type="paragraph" w:styleId="BodyTextIndent3">
    <w:name w:val="Body Text Indent 3"/>
    <w:basedOn w:val="Normal"/>
    <w:link w:val="BodyTextIndent3Char"/>
    <w:uiPriority w:val="99"/>
    <w:semiHidden/>
    <w:unhideWhenUsed/>
    <w:rsid w:val="00AB14F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B14F2"/>
    <w:rPr>
      <w:sz w:val="16"/>
      <w:szCs w:val="16"/>
    </w:rPr>
  </w:style>
  <w:style w:type="character" w:customStyle="1" w:styleId="mediumtext1">
    <w:name w:val="medium_text1"/>
    <w:basedOn w:val="DefaultParagraphFont"/>
    <w:rsid w:val="00BA04D0"/>
    <w:rPr>
      <w:sz w:val="34"/>
      <w:szCs w:val="34"/>
    </w:rPr>
  </w:style>
  <w:style w:type="character" w:styleId="CommentReference">
    <w:name w:val="annotation reference"/>
    <w:basedOn w:val="DefaultParagraphFont"/>
    <w:uiPriority w:val="99"/>
    <w:semiHidden/>
    <w:unhideWhenUsed/>
    <w:rsid w:val="001B5D28"/>
    <w:rPr>
      <w:sz w:val="16"/>
      <w:szCs w:val="16"/>
    </w:rPr>
  </w:style>
  <w:style w:type="paragraph" w:styleId="CommentText">
    <w:name w:val="annotation text"/>
    <w:basedOn w:val="Normal"/>
    <w:link w:val="CommentTextChar"/>
    <w:uiPriority w:val="99"/>
    <w:semiHidden/>
    <w:unhideWhenUsed/>
    <w:rsid w:val="001B5D28"/>
    <w:pPr>
      <w:spacing w:line="240" w:lineRule="auto"/>
    </w:pPr>
    <w:rPr>
      <w:sz w:val="20"/>
      <w:szCs w:val="20"/>
    </w:rPr>
  </w:style>
  <w:style w:type="character" w:customStyle="1" w:styleId="CommentTextChar">
    <w:name w:val="Comment Text Char"/>
    <w:basedOn w:val="DefaultParagraphFont"/>
    <w:link w:val="CommentText"/>
    <w:uiPriority w:val="99"/>
    <w:semiHidden/>
    <w:rsid w:val="001B5D28"/>
    <w:rPr>
      <w:sz w:val="20"/>
      <w:szCs w:val="20"/>
    </w:rPr>
  </w:style>
  <w:style w:type="paragraph" w:styleId="CommentSubject">
    <w:name w:val="annotation subject"/>
    <w:basedOn w:val="CommentText"/>
    <w:next w:val="CommentText"/>
    <w:link w:val="CommentSubjectChar"/>
    <w:uiPriority w:val="99"/>
    <w:semiHidden/>
    <w:unhideWhenUsed/>
    <w:rsid w:val="001B5D28"/>
    <w:rPr>
      <w:b/>
      <w:bCs/>
    </w:rPr>
  </w:style>
  <w:style w:type="character" w:customStyle="1" w:styleId="CommentSubjectChar">
    <w:name w:val="Comment Subject Char"/>
    <w:basedOn w:val="CommentTextChar"/>
    <w:link w:val="CommentSubject"/>
    <w:uiPriority w:val="99"/>
    <w:semiHidden/>
    <w:rsid w:val="001B5D28"/>
    <w:rPr>
      <w:b/>
      <w:bCs/>
      <w:sz w:val="20"/>
      <w:szCs w:val="20"/>
    </w:rPr>
  </w:style>
  <w:style w:type="paragraph" w:styleId="BalloonText">
    <w:name w:val="Balloon Text"/>
    <w:basedOn w:val="Normal"/>
    <w:link w:val="BalloonTextChar"/>
    <w:uiPriority w:val="99"/>
    <w:semiHidden/>
    <w:unhideWhenUsed/>
    <w:rsid w:val="001B5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D28"/>
    <w:rPr>
      <w:rFonts w:ascii="Tahoma" w:hAnsi="Tahoma" w:cs="Tahoma"/>
      <w:sz w:val="16"/>
      <w:szCs w:val="16"/>
    </w:rPr>
  </w:style>
  <w:style w:type="character" w:customStyle="1" w:styleId="ParagraphChar">
    <w:name w:val="Paragraph Char"/>
    <w:link w:val="Paragraph"/>
    <w:uiPriority w:val="99"/>
    <w:rsid w:val="001B5D28"/>
    <w:rPr>
      <w:rFonts w:ascii="Times New Roman" w:eastAsia="Times New Roman" w:hAnsi="Times New Roman" w:cs="Times New Roman"/>
      <w:sz w:val="24"/>
      <w:szCs w:val="20"/>
      <w:lang w:val="es-ES_tradnl"/>
    </w:rPr>
  </w:style>
  <w:style w:type="paragraph" w:styleId="FootnoteText">
    <w:name w:val="footnote text"/>
    <w:aliases w:val=" Car,Texto nota pie Car Car,Footnote Text Char Char Char,Footnote Text Char Char Char Char Char Char Char,Footnote Text Char Char Char Char Char,Footnote Text Char Char Char Char Char Char,Footnote Text Char Char Char Char Ch Char,fn"/>
    <w:basedOn w:val="Normal"/>
    <w:link w:val="FootnoteTextChar"/>
    <w:uiPriority w:val="99"/>
    <w:rsid w:val="00E21AB4"/>
    <w:pPr>
      <w:spacing w:after="0" w:line="240" w:lineRule="auto"/>
    </w:pPr>
    <w:rPr>
      <w:rFonts w:ascii="Arial" w:eastAsia="Times New Roman" w:hAnsi="Arial" w:cs="Times New Roman"/>
      <w:sz w:val="20"/>
      <w:szCs w:val="20"/>
    </w:rPr>
  </w:style>
  <w:style w:type="character" w:customStyle="1" w:styleId="FootnoteTextChar">
    <w:name w:val="Footnote Text Char"/>
    <w:aliases w:val=" Car Char,Texto nota pie Car Car Char,Footnote Text Char Char Char Char,Footnote Text Char Char Char Char Char Char Char Char,Footnote Text Char Char Char Char Char Char1,Footnote Text Char Char Char Char Char Char Char1,fn Char"/>
    <w:basedOn w:val="DefaultParagraphFont"/>
    <w:link w:val="FootnoteText"/>
    <w:uiPriority w:val="99"/>
    <w:rsid w:val="00E21AB4"/>
    <w:rPr>
      <w:rFonts w:ascii="Arial" w:eastAsia="Times New Roman" w:hAnsi="Arial" w:cs="Times New Roman"/>
      <w:sz w:val="20"/>
      <w:szCs w:val="20"/>
    </w:rPr>
  </w:style>
  <w:style w:type="character" w:styleId="FootnoteReference">
    <w:name w:val="footnote reference"/>
    <w:uiPriority w:val="99"/>
    <w:rsid w:val="00E21AB4"/>
    <w:rPr>
      <w:vertAlign w:val="superscript"/>
    </w:rPr>
  </w:style>
  <w:style w:type="paragraph" w:customStyle="1" w:styleId="bodytext">
    <w:name w:val="bodytext"/>
    <w:basedOn w:val="Normal"/>
    <w:rsid w:val="006E4774"/>
    <w:pPr>
      <w:spacing w:before="100" w:beforeAutospacing="1" w:after="100" w:afterAutospacing="1" w:line="240" w:lineRule="auto"/>
    </w:pPr>
    <w:rPr>
      <w:rFonts w:ascii="Times" w:hAnsi="Times"/>
      <w:sz w:val="20"/>
      <w:szCs w:val="20"/>
    </w:rPr>
  </w:style>
  <w:style w:type="paragraph" w:styleId="Header">
    <w:name w:val="header"/>
    <w:basedOn w:val="Normal"/>
    <w:link w:val="HeaderChar"/>
    <w:uiPriority w:val="99"/>
    <w:unhideWhenUsed/>
    <w:rsid w:val="00862A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AEF"/>
  </w:style>
  <w:style w:type="paragraph" w:styleId="Footer">
    <w:name w:val="footer"/>
    <w:basedOn w:val="Normal"/>
    <w:link w:val="FooterChar"/>
    <w:uiPriority w:val="99"/>
    <w:unhideWhenUsed/>
    <w:rsid w:val="00862A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cf0be0ad-272c-4e7f-a157-3f0abda6cde5" ContentTypeId="0x01010046CF21643EE8D14686A648AA6DAD0892" PreviousValue="false"/>
</file>

<file path=customXml/item2.xml><?xml version="1.0" encoding="utf-8"?>
<ct:contentTypeSchema xmlns:ct="http://schemas.microsoft.com/office/2006/metadata/contentType" xmlns:ma="http://schemas.microsoft.com/office/2006/metadata/properties/metaAttributes" ct:_="" ma:_="" ma:contentTypeName="ez-Disclosure Operations" ma:contentTypeID="0x01010046CF21643EE8D14686A648AA6DAD0892002FBF2CA01B62AB4D8F6224D84ADD4103" ma:contentTypeVersion="0" ma:contentTypeDescription="A content type to manage public (operations) IDB documents" ma:contentTypeScope="" ma:versionID="24c12a7cff8dd8b71d15edb397ba1a42">
  <xsd:schema xmlns:xsd="http://www.w3.org/2001/XMLSchema" xmlns:xs="http://www.w3.org/2001/XMLSchema" xmlns:p="http://schemas.microsoft.com/office/2006/metadata/properties" xmlns:ns2="9c571b2f-e523-4ab2-ba2e-09e151a03ef4" targetNamespace="http://schemas.microsoft.com/office/2006/metadata/properties" ma:root="true" ma:fieldsID="a472df5bebbbf6f21bee7075c0164153" ns2:_="">
    <xsd:import namespace="9c571b2f-e523-4ab2-ba2e-09e151a03ef4"/>
    <xsd:element name="properties">
      <xsd:complexType>
        <xsd:sequence>
          <xsd:element name="documentManagement">
            <xsd:complexType>
              <xsd:all>
                <xsd:element ref="ns2:_dlc_DocId" minOccurs="0"/>
                <xsd:element ref="ns2:_dlc_DocIdUrl" minOccurs="0"/>
                <xsd:element ref="ns2:_dlc_DocIdPersistId" minOccurs="0"/>
                <xsd:element ref="ns2:fd0e48b6a66848a9885f717e5bbf40c4" minOccurs="0"/>
                <xsd:element ref="ns2:TaxCatchAll" minOccurs="0"/>
                <xsd:element ref="ns2:TaxCatchAllLabel" minOccurs="0"/>
                <xsd:element ref="ns2:Access_x0020_to_x0020_Information_x00a0_Policy"/>
                <xsd:element ref="ns2:o5138a91267540169645e33d09c9ddc6"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m555d3814edf4817b4410a4e57f94ce9" minOccurs="0"/>
                <xsd:element ref="ns2:e559ffcc31d34167856647188be35015" minOccurs="0"/>
                <xsd:element ref="ns2:c456731dbc904a5fb605ec556c33e883" minOccurs="0"/>
                <xsd:element ref="ns2:Document_x0020_Language_x0020_IDB"/>
                <xsd:element ref="ns2:Division_x0020_or_x0020_Unit"/>
                <xsd:element ref="ns2:Identifier" minOccurs="0"/>
                <xsd:element ref="ns2:j8b96605ee2f4c4e988849e658583fee"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Fiscal_x0020_Year_x0020_I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71b2f-e523-4ab2-ba2e-09e151a03e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d0e48b6a66848a9885f717e5bbf40c4" ma:index="11" nillable="true" ma:taxonomy="true" ma:internalName="fd0e48b6a66848a9885f717e5bbf40c4" ma:taxonomyFieldName="Function_x0020_Operations_x0020_IDB" ma:displayName="Function Operations IDB" ma:default="" ma:fieldId="{fd0e48b6-a668-48a9-885f-717e5bbf40c4}" ma:sspId="cf0be0ad-272c-4e7f-a157-3f0abda6cde5" ma:termSetId="5afbb5f0-73fa-45d3-a56a-b084af06f56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7b9f53c-cd6a-4d49-961c-a9d04affd81a}" ma:internalName="TaxCatchAll" ma:showField="CatchAllData"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7b9f53c-cd6a-4d49-961c-a9d04affd81a}" ma:internalName="TaxCatchAllLabel" ma:readOnly="true" ma:showField="CatchAllDataLabel" ma:web="26692275-734b-4582-b58b-aeb48db657a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20 years"/>
          <xsd:enumeration value="Disclosed Over Time – 10 years"/>
          <xsd:enumeration value="Public"/>
          <xsd:enumeration value="Public - Simultaneous Disclosure"/>
        </xsd:restriction>
      </xsd:simpleType>
    </xsd:element>
    <xsd:element name="o5138a91267540169645e33d09c9ddc6" ma:index="16" ma:taxonomy="true" ma:internalName="o5138a91267540169645e33d09c9ddc6" ma:taxonomyFieldName="Series_x0020_Operations_x0020_IDB" ma:displayName="Series Operations IDB" ma:readOnly="false" ma:default="" ma:fieldId="{85138a91-2675-4016-9645-e33d09c9ddc6}" ma:sspId="cf0be0ad-272c-4e7f-a157-3f0abda6cde5" ma:termSetId="3bc5da7b-2b03-4315-921b-8aab7897c505"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description="Entered by the user or default value pulled from project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m555d3814edf4817b4410a4e57f94ce9" ma:index="24" nillable="true" ma:taxonomy="true" ma:internalName="m555d3814edf4817b4410a4e57f94ce9" ma:taxonomyFieldName="Fund_x0020_IDB" ma:displayName="Fund IDB" ma:default="" ma:fieldId="{6555d381-4edf-4817-b441-0a4e57f94ce9}" ma:taxonomyMulti="true" ma:sspId="cf0be0ad-272c-4e7f-a157-3f0abda6cde5" ma:termSetId="932037b2-42e9-4373-86b7-1f7fc55d6c47" ma:anchorId="00000000-0000-0000-0000-000000000000" ma:open="false" ma:isKeyword="false">
      <xsd:complexType>
        <xsd:sequence>
          <xsd:element ref="pc:Terms" minOccurs="0" maxOccurs="1"/>
        </xsd:sequence>
      </xsd:complexType>
    </xsd:element>
    <xsd:element name="e559ffcc31d34167856647188be35015" ma:index="26" nillable="true" ma:taxonomy="true" ma:internalName="e559ffcc31d34167856647188be35015" ma:taxonomyFieldName="Sector_x0020_IDB" ma:displayName="Sector IDB" ma:default="" ma:fieldId="{e559ffcc-31d3-4167-8566-47188be35015}" ma:taxonomyMulti="true" ma:sspId="cf0be0ad-272c-4e7f-a157-3f0abda6cde5" ma:termSetId="2d74a730-652b-4815-b74c-000791e0ddfc" ma:anchorId="00000000-0000-0000-0000-000000000000" ma:open="true" ma:isKeyword="false">
      <xsd:complexType>
        <xsd:sequence>
          <xsd:element ref="pc:Terms" minOccurs="0" maxOccurs="1"/>
        </xsd:sequence>
      </xsd:complexType>
    </xsd:element>
    <xsd:element name="c456731dbc904a5fb605ec556c33e883" ma:index="28" nillable="true" ma:taxonomy="true" ma:internalName="c456731dbc904a5fb605ec556c33e883" ma:taxonomyFieldName="Sub_x002d_Sector" ma:displayName="Sub-Sector" ma:default="" ma:fieldId="{c456731d-bc90-4a5f-b605-ec556c33e883}" ma:sspId="cf0be0ad-272c-4e7f-a157-3f0abda6cde5" ma:termSetId="b6d60bd7-2da3-4fd7-a377-d114adc2f2db"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j8b96605ee2f4c4e988849e658583fee" ma:index="33" nillable="true" ma:taxonomy="true" ma:internalName="j8b96605ee2f4c4e988849e658583fee" ma:taxonomyFieldName="Country" ma:displayName="Country" ma:default="" ma:fieldId="{38b96605-ee2f-4c4e-9888-49e658583fee}" ma:taxonomyMulti="true" ma:sspId="cf0be0ad-272c-4e7f-a157-3f0abda6cde5" ma:termSetId="2a7cd356-0181-422a-926d-b928cc73465d" ma:anchorId="00000000-0000-0000-0000-000000000000" ma:open="false" ma:isKeyword="false">
      <xsd:complexType>
        <xsd:sequence>
          <xsd:element ref="pc:Terms" minOccurs="0" maxOccurs="1"/>
        </xsd:sequence>
      </xsd:complexType>
    </xsd:element>
    <xsd:element name="Operation_x0020_Type" ma:index="35" nillable="true" ma:displayName="Operation Type" ma:internalName="Operation_x0020_Type">
      <xsd:simpleType>
        <xsd:restriction base="dms:Text">
          <xsd:maxLength value="255"/>
        </xsd:restriction>
      </xsd:simpleType>
    </xsd:element>
    <xsd:element name="Package_x0020_Code" ma:index="36" nillable="true" ma:displayName="Package Code" ma:internalName="Package_x0020_Code">
      <xsd:simpleType>
        <xsd:restriction base="dms:Text">
          <xsd:maxLength value="255"/>
        </xsd:restriction>
      </xsd:simpleType>
    </xsd:element>
    <xsd:element name="Phase" ma:index="37" nillable="true" ma:displayName="Phase" ma:internalName="Phase">
      <xsd:simpleType>
        <xsd:restriction base="dms:Text">
          <xsd:maxLength value="255"/>
        </xsd:restriction>
      </xsd:simpleType>
    </xsd:element>
    <xsd:element name="Business_x0020_Area" ma:index="38" nillable="true" ma:displayName="Business Area" ma:internalName="Business_x0020_Area">
      <xsd:simpleType>
        <xsd:restriction base="dms:Text">
          <xsd:maxLength value="255"/>
        </xsd:restriction>
      </xsd:simpleType>
    </xsd:element>
    <xsd:element name="Key_x0020_Document" ma:index="39" nillable="true" ma:displayName="Key Document" ma:default="0" ma:internalName="Key_x0020_Document">
      <xsd:simpleType>
        <xsd:restriction base="dms:Boolean"/>
      </xsd:simpleType>
    </xsd:element>
    <xsd:element name="Project_x0020_Document_x0020_Type" ma:index="40" nillable="true" ma:displayName="Project Document Type" ma:internalName="Project_x0020_Document_x0020_Type">
      <xsd:simpleType>
        <xsd:restriction base="dms:Text">
          <xsd:maxLength value="255"/>
        </xsd:restriction>
      </xsd:simpleType>
    </xsd:element>
    <xsd:element name="Abstract" ma:index="41" nillable="true" ma:displayName="Abstract" ma:internalName="Abstract">
      <xsd:simpleType>
        <xsd:restriction base="dms:Note">
          <xsd:maxLength value="255"/>
        </xsd:restriction>
      </xsd:simpleType>
    </xsd:element>
    <xsd:element name="Migration_x0020_Info" ma:index="42" nillable="true" ma:displayName="Migration Info" ma:internalName="Migration_x0020_Info">
      <xsd:simpleType>
        <xsd:restriction base="dms:Note"/>
      </xsd:simpleType>
    </xsd:element>
    <xsd:element name="SISCOR_x0020_Number" ma:index="43" nillable="true" ma:displayName="SISCOR Number" ma:internalName="SISCOR_x0020_Number">
      <xsd:simpleType>
        <xsd:restriction base="dms:Text">
          <xsd:maxLength value="255"/>
        </xsd:restriction>
      </xsd:simpleType>
    </xsd:element>
    <xsd:element name="IDBDocs_x0020_Number" ma:index="44" nillable="true" ma:displayName="IDBDocs Number" ma:description="Brought over as part of Migration" ma:internalName="IDBDocs_x0020_Number">
      <xsd:simpleType>
        <xsd:restriction base="dms:Text">
          <xsd:maxLength value="255"/>
        </xsd:restriction>
      </xsd:simpleType>
    </xsd:element>
    <xsd:element name="Editor1" ma:index="45" nillable="true" ma:displayName="Editor" ma:internalName="Editor1">
      <xsd:simpleType>
        <xsd:restriction base="dms:Text">
          <xsd:maxLength value="255"/>
        </xsd:restriction>
      </xsd:simpleType>
    </xsd:element>
    <xsd:element name="Issue_x0020_Date" ma:index="46" nillable="true" ma:displayName="Issue Date" ma:format="DateOnly" ma:internalName="Issue_x0020_Date">
      <xsd:simpleType>
        <xsd:restriction base="dms:DateTime"/>
      </xsd:simpleType>
    </xsd:element>
    <xsd:element name="Publishing_x0020_House" ma:index="47" nillable="true" ma:displayName="Publishing House" ma:internalName="Publishing_x0020_House">
      <xsd:simpleType>
        <xsd:restriction base="dms:Text">
          <xsd:maxLength value="255"/>
        </xsd:restriction>
      </xsd:simpleType>
    </xsd:element>
    <xsd:element name="KP_x0020_Topics" ma:index="48" nillable="true" ma:displayName="KP Topics" ma:internalName="KP_x0020_Topics">
      <xsd:simpleType>
        <xsd:restriction base="dms:Text">
          <xsd:maxLength value="255"/>
        </xsd:restriction>
      </xsd:simpleType>
    </xsd:element>
    <xsd:element name="Region" ma:index="49" nillable="true" ma:displayName="Region" ma:internalName="Region">
      <xsd:simpleType>
        <xsd:restriction base="dms:Text">
          <xsd:maxLength value="255"/>
        </xsd:restriction>
      </xsd:simpleType>
    </xsd:element>
    <xsd:element name="Publication_x0020_Type" ma:index="50" nillable="true" ma:displayName="Publication Type" ma:internalName="Publication_x0020_Type">
      <xsd:simpleType>
        <xsd:restriction base="dms:Text">
          <xsd:maxLength value="255"/>
        </xsd:restriction>
      </xsd:simpleType>
    </xsd:element>
    <xsd:element name="Fiscal_x0020_Year_x0020_IDB" ma:index="51" nillable="true" ma:displayName="Fiscal Year IDB" ma:default="=TEXT(TODAY(),&quot;yyyy&quot;)" ma:internalName="Fiscal_x0020_Year_x0020_IDB">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Project_x0020_Document_x0020_Type xmlns="9c571b2f-e523-4ab2-ba2e-09e151a03ef4" xsi:nil="true"/>
    <Abstract xmlns="9c571b2f-e523-4ab2-ba2e-09e151a03ef4" xsi:nil="true"/>
    <j8b96605ee2f4c4e988849e658583fee xmlns="9c571b2f-e523-4ab2-ba2e-09e151a03ef4">
      <Terms xmlns="http://schemas.microsoft.com/office/infopath/2007/PartnerControls"/>
    </j8b96605ee2f4c4e988849e658583fee>
    <Disclosure_x0020_Activity xmlns="9c571b2f-e523-4ab2-ba2e-09e151a03ef4">Approved TC document</Disclosure_x0020_Activity>
    <Key_x0020_Document xmlns="9c571b2f-e523-4ab2-ba2e-09e151a03ef4">false</Key_x0020_Document>
    <Division_x0020_or_x0020_Unit xmlns="9c571b2f-e523-4ab2-ba2e-09e151a03ef4">INE/WSA</Division_x0020_or_x0020_Unit>
    <Other_x0020_Author xmlns="9c571b2f-e523-4ab2-ba2e-09e151a03ef4" xsi:nil="true"/>
    <Region xmlns="9c571b2f-e523-4ab2-ba2e-09e151a03ef4" xsi:nil="true"/>
    <IDBDocs_x0020_Number xmlns="9c571b2f-e523-4ab2-ba2e-09e151a03ef4">39731810</IDBDocs_x0020_Number>
    <Document_x0020_Author xmlns="9c571b2f-e523-4ab2-ba2e-09e151a03ef4">Navia Diaz, Maria del Rosario</Document_x0020_Author>
    <Publication_x0020_Type xmlns="9c571b2f-e523-4ab2-ba2e-09e151a03ef4" xsi:nil="true"/>
    <Operation_x0020_Type xmlns="9c571b2f-e523-4ab2-ba2e-09e151a03ef4" xsi:nil="true"/>
    <TaxCatchAll xmlns="9c571b2f-e523-4ab2-ba2e-09e151a03ef4">
      <Value>2</Value>
      <Value>3</Value>
    </TaxCatchAll>
    <Fiscal_x0020_Year_x0020_IDB xmlns="9c571b2f-e523-4ab2-ba2e-09e151a03ef4">2015</Fiscal_x0020_Year_x0020_IDB>
    <Issue_x0020_Date xmlns="9c571b2f-e523-4ab2-ba2e-09e151a03ef4" xsi:nil="true"/>
    <m555d3814edf4817b4410a4e57f94ce9 xmlns="9c571b2f-e523-4ab2-ba2e-09e151a03ef4">
      <Terms xmlns="http://schemas.microsoft.com/office/infopath/2007/PartnerControls"/>
    </m555d3814edf4817b4410a4e57f94ce9>
    <Project_x0020_Number xmlns="9c571b2f-e523-4ab2-ba2e-09e151a03ef4">RG-T2642</Project_x0020_Number>
    <o5138a91267540169645e33d09c9ddc6 xmlns="9c571b2f-e523-4ab2-ba2e-09e151a03ef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o5138a91267540169645e33d09c9ddc6>
    <Package_x0020_Code xmlns="9c571b2f-e523-4ab2-ba2e-09e151a03ef4" xsi:nil="true"/>
    <Migration_x0020_Info xmlns="9c571b2f-e523-4ab2-ba2e-09e151a03ef4">&lt;Data&gt;&lt;APPLICATION&gt;MS WORD&lt;/APPLICATION&gt;&lt;USER_STAGE&gt;Approved TC document&lt;/USER_STAGE&gt;&lt;PD_OBJ_TYPE&gt;0&lt;/PD_OBJ_TYPE&gt;&lt;MAKERECORD&gt;N&lt;/MAKERECORD&gt;&lt;/Data&gt;</Migration_x0020_Info>
    <Approval_x0020_Number xmlns="9c571b2f-e523-4ab2-ba2e-09e151a03ef4" xsi:nil="true"/>
    <Access_x0020_to_x0020_Information_x00a0_Policy xmlns="9c571b2f-e523-4ab2-ba2e-09e151a03ef4">Public</Access_x0020_to_x0020_Information_x00a0_Policy>
    <Business_x0020_Area xmlns="9c571b2f-e523-4ab2-ba2e-09e151a03ef4" xsi:nil="true"/>
    <SISCOR_x0020_Number xmlns="9c571b2f-e523-4ab2-ba2e-09e151a03ef4" xsi:nil="true"/>
    <Webtopic xmlns="9c571b2f-e523-4ab2-ba2e-09e151a03ef4">OS-ASA</Webtopic>
    <Identifier xmlns="9c571b2f-e523-4ab2-ba2e-09e151a03ef4"> TOR</Identifier>
    <Publishing_x0020_House xmlns="9c571b2f-e523-4ab2-ba2e-09e151a03ef4" xsi:nil="true"/>
    <Document_x0020_Language_x0020_IDB xmlns="9c571b2f-e523-4ab2-ba2e-09e151a03ef4">Spanish</Document_x0020_Language_x0020_IDB>
    <KP_x0020_Topics xmlns="9c571b2f-e523-4ab2-ba2e-09e151a03ef4" xsi:nil="true"/>
    <Phase xmlns="9c571b2f-e523-4ab2-ba2e-09e151a03ef4" xsi:nil="true"/>
    <fd0e48b6a66848a9885f717e5bbf40c4 xmlns="9c571b2f-e523-4ab2-ba2e-09e151a03ef4">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fd0e48b6a66848a9885f717e5bbf40c4>
    <e559ffcc31d34167856647188be35015 xmlns="9c571b2f-e523-4ab2-ba2e-09e151a03ef4">
      <Terms xmlns="http://schemas.microsoft.com/office/infopath/2007/PartnerControls"/>
    </e559ffcc31d34167856647188be35015>
    <c456731dbc904a5fb605ec556c33e883 xmlns="9c571b2f-e523-4ab2-ba2e-09e151a03ef4">
      <Terms xmlns="http://schemas.microsoft.com/office/infopath/2007/PartnerControls"/>
    </c456731dbc904a5fb605ec556c33e883>
    <Editor1 xmlns="9c571b2f-e523-4ab2-ba2e-09e151a03ef4" xsi:nil="true"/>
  </documentManagement>
</p:properties>
</file>

<file path=customXml/itemProps1.xml><?xml version="1.0" encoding="utf-8"?>
<ds:datastoreItem xmlns:ds="http://schemas.openxmlformats.org/officeDocument/2006/customXml" ds:itemID="{DEBD1ED8-4E34-402F-9586-75EDE00AD2D4}"/>
</file>

<file path=customXml/itemProps2.xml><?xml version="1.0" encoding="utf-8"?>
<ds:datastoreItem xmlns:ds="http://schemas.openxmlformats.org/officeDocument/2006/customXml" ds:itemID="{9BE669C2-79A3-477A-9986-33A8B46D13E1}"/>
</file>

<file path=customXml/itemProps3.xml><?xml version="1.0" encoding="utf-8"?>
<ds:datastoreItem xmlns:ds="http://schemas.openxmlformats.org/officeDocument/2006/customXml" ds:itemID="{483BB523-52FE-4415-A2EE-5630E3627DC1}"/>
</file>

<file path=customXml/itemProps4.xml><?xml version="1.0" encoding="utf-8"?>
<ds:datastoreItem xmlns:ds="http://schemas.openxmlformats.org/officeDocument/2006/customXml" ds:itemID="{6FD33D4B-87D8-494F-83A1-14627EE4D257}"/>
</file>

<file path=customXml/itemProps5.xml><?xml version="1.0" encoding="utf-8"?>
<ds:datastoreItem xmlns:ds="http://schemas.openxmlformats.org/officeDocument/2006/customXml" ds:itemID="{5A66A477-5C11-4F79-B789-96EFE9993C43}"/>
</file>

<file path=customXml/itemProps6.xml><?xml version="1.0" encoding="utf-8"?>
<ds:datastoreItem xmlns:ds="http://schemas.openxmlformats.org/officeDocument/2006/customXml" ds:itemID="{1F2DFE91-07D6-4CB3-B067-9E810037B803}"/>
</file>

<file path=docProps/app.xml><?xml version="1.0" encoding="utf-8"?>
<Properties xmlns="http://schemas.openxmlformats.org/officeDocument/2006/extended-properties" xmlns:vt="http://schemas.openxmlformats.org/officeDocument/2006/docPropsVTypes">
  <Template>Normal.dotm</Template>
  <TotalTime>5</TotalTime>
  <Pages>4</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9814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Términos de Referencia  - Consultor 1</dc:title>
  <dc:creator>MN</dc:creator>
  <cp:lastModifiedBy>Inter-American Development Bank</cp:lastModifiedBy>
  <cp:revision>4</cp:revision>
  <dcterms:created xsi:type="dcterms:W3CDTF">2015-07-20T15:28:00Z</dcterms:created>
  <dcterms:modified xsi:type="dcterms:W3CDTF">2015-07-28T20:03:00Z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ub_x002d_Sector">
    <vt:lpwstr/>
  </property>
  <property fmtid="{D5CDD505-2E9C-101B-9397-08002B2CF9AE}" pid="4" name="ContentTypeId">
    <vt:lpwstr>0x01010046CF21643EE8D14686A648AA6DAD0892002FBF2CA01B62AB4D8F6224D84ADD4103</vt:lpwstr>
  </property>
  <property fmtid="{D5CDD505-2E9C-101B-9397-08002B2CF9AE}" pid="5" name="TaxKeywordTaxHTField">
    <vt:lpwstr/>
  </property>
  <property fmtid="{D5CDD505-2E9C-101B-9397-08002B2CF9AE}" pid="6" name="Series Operations IDB">
    <vt:lpwstr>2;#Unclassified|a6dff32e-d477-44cd-a56b-85efe9e0a56c</vt:lpwstr>
  </property>
  <property fmtid="{D5CDD505-2E9C-101B-9397-08002B2CF9AE}" pid="7" name="Sub-Sector">
    <vt:lpwstr/>
  </property>
  <property fmtid="{D5CDD505-2E9C-101B-9397-08002B2CF9AE}" pid="8" name="Country">
    <vt:lpwstr/>
  </property>
  <property fmtid="{D5CDD505-2E9C-101B-9397-08002B2CF9AE}" pid="9" name="Fund IDB">
    <vt:lpwstr/>
  </property>
  <property fmtid="{D5CDD505-2E9C-101B-9397-08002B2CF9AE}" pid="10" name="Series_x0020_Operations_x0020_IDB">
    <vt:lpwstr>2;#Unclassified|a6dff32e-d477-44cd-a56b-85efe9e0a56c</vt:lpwstr>
  </property>
  <property fmtid="{D5CDD505-2E9C-101B-9397-08002B2CF9AE}" pid="11" name="To:">
    <vt:lpwstr/>
  </property>
  <property fmtid="{D5CDD505-2E9C-101B-9397-08002B2CF9AE}" pid="12" name="From:">
    <vt:lpwstr/>
  </property>
  <property fmtid="{D5CDD505-2E9C-101B-9397-08002B2CF9AE}" pid="13" name="Sector IDB">
    <vt:lpwstr/>
  </property>
  <property fmtid="{D5CDD505-2E9C-101B-9397-08002B2CF9AE}" pid="14" name="Function Operations IDB">
    <vt:lpwstr>3;#IDBDocs|cca77002-e150-4b2d-ab1f-1d7a7cdcae16</vt:lpwstr>
  </property>
</Properties>
</file>